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E" w:rsidRDefault="00CE182E" w:rsidP="00CE182E">
      <w:pPr>
        <w:pStyle w:val="Header"/>
        <w:tabs>
          <w:tab w:val="clear" w:pos="4320"/>
          <w:tab w:val="clear" w:pos="8640"/>
          <w:tab w:val="center" w:pos="4680"/>
        </w:tabs>
        <w:spacing w:line="480" w:lineRule="auto"/>
        <w:jc w:val="center"/>
        <w:rPr>
          <w:b/>
          <w:bCs/>
          <w:sz w:val="24"/>
        </w:rPr>
      </w:pPr>
      <w:r>
        <w:rPr>
          <w:b/>
          <w:bCs/>
          <w:sz w:val="24"/>
        </w:rPr>
        <w:t>BEFORE THE</w:t>
      </w:r>
    </w:p>
    <w:p w:rsidR="00CE182E" w:rsidRDefault="00CE182E" w:rsidP="00CE182E">
      <w:pPr>
        <w:pStyle w:val="Heading1"/>
        <w:jc w:val="center"/>
        <w:rPr>
          <w:sz w:val="24"/>
        </w:rPr>
      </w:pPr>
      <w:smartTag w:uri="urn:schemas-microsoft-com:office:smarttags" w:element="place">
        <w:smartTag w:uri="urn:schemas-microsoft-com:office:smarttags" w:element="State">
          <w:r>
            <w:rPr>
              <w:sz w:val="24"/>
            </w:rPr>
            <w:t>WASHINGTON</w:t>
          </w:r>
        </w:smartTag>
      </w:smartTag>
      <w:r>
        <w:rPr>
          <w:sz w:val="24"/>
        </w:rPr>
        <w:t xml:space="preserve"> UTILITIES AND TRANSPORTATION COMMISSION</w:t>
      </w:r>
    </w:p>
    <w:p w:rsidR="00CE182E" w:rsidRPr="00FE7B82" w:rsidRDefault="00CE182E" w:rsidP="00CE182E"/>
    <w:p w:rsidR="00CE182E" w:rsidRDefault="00CE182E" w:rsidP="00CE182E">
      <w:pPr>
        <w:tabs>
          <w:tab w:val="center" w:pos="4680"/>
        </w:tabs>
        <w:rPr>
          <w:b/>
        </w:rPr>
      </w:pPr>
    </w:p>
    <w:tbl>
      <w:tblPr>
        <w:tblW w:w="8648" w:type="dxa"/>
        <w:tblLayout w:type="fixed"/>
        <w:tblCellMar>
          <w:left w:w="0" w:type="dxa"/>
          <w:right w:w="0" w:type="dxa"/>
        </w:tblCellMar>
        <w:tblLook w:val="0000"/>
      </w:tblPr>
      <w:tblGrid>
        <w:gridCol w:w="4328"/>
        <w:gridCol w:w="270"/>
        <w:gridCol w:w="4050"/>
      </w:tblGrid>
      <w:tr w:rsidR="00CE182E" w:rsidTr="00130E4A">
        <w:tc>
          <w:tcPr>
            <w:tcW w:w="4328" w:type="dxa"/>
            <w:tcBorders>
              <w:bottom w:val="single" w:sz="4" w:space="0" w:color="auto"/>
            </w:tcBorders>
          </w:tcPr>
          <w:p w:rsidR="00CE182E" w:rsidRDefault="00CE182E" w:rsidP="00130E4A">
            <w:pPr>
              <w:tabs>
                <w:tab w:val="left" w:pos="2160"/>
              </w:tabs>
              <w:rPr>
                <w:bCs/>
              </w:rPr>
            </w:pPr>
            <w:bookmarkStart w:id="0" w:name="Parties"/>
            <w:bookmarkEnd w:id="0"/>
            <w:smartTag w:uri="urn:schemas-microsoft-com:office:smarttags" w:element="place">
              <w:smartTag w:uri="urn:schemas-microsoft-com:office:smarttags" w:element="State">
                <w:r>
                  <w:rPr>
                    <w:bCs/>
                  </w:rPr>
                  <w:t>WASHINGTON</w:t>
                </w:r>
              </w:smartTag>
            </w:smartTag>
            <w:r>
              <w:rPr>
                <w:bCs/>
              </w:rPr>
              <w:t xml:space="preserve"> UTILITIES AND TRANSPORTATION COMMISSION,</w:t>
            </w:r>
          </w:p>
          <w:p w:rsidR="00CE182E" w:rsidRDefault="00CE182E" w:rsidP="00130E4A">
            <w:pPr>
              <w:tabs>
                <w:tab w:val="left" w:pos="2160"/>
              </w:tabs>
              <w:rPr>
                <w:bCs/>
              </w:rPr>
            </w:pPr>
          </w:p>
          <w:p w:rsidR="00CE182E" w:rsidRDefault="00CE182E" w:rsidP="00130E4A">
            <w:pPr>
              <w:tabs>
                <w:tab w:val="left" w:pos="2160"/>
              </w:tabs>
              <w:rPr>
                <w:bCs/>
              </w:rPr>
            </w:pPr>
            <w:r>
              <w:rPr>
                <w:bCs/>
              </w:rPr>
              <w:tab/>
              <w:t>Complainant,</w:t>
            </w:r>
          </w:p>
          <w:p w:rsidR="00CE182E" w:rsidRDefault="00CE182E" w:rsidP="00130E4A">
            <w:pPr>
              <w:tabs>
                <w:tab w:val="left" w:pos="2160"/>
              </w:tabs>
              <w:rPr>
                <w:bCs/>
              </w:rPr>
            </w:pPr>
          </w:p>
          <w:p w:rsidR="00CE182E" w:rsidRDefault="00CE182E" w:rsidP="00130E4A">
            <w:pPr>
              <w:rPr>
                <w:bCs/>
              </w:rPr>
            </w:pPr>
            <w:r>
              <w:rPr>
                <w:bCs/>
              </w:rPr>
              <w:t>v.</w:t>
            </w:r>
          </w:p>
          <w:p w:rsidR="00CE182E" w:rsidRDefault="00CE182E" w:rsidP="00130E4A">
            <w:pPr>
              <w:tabs>
                <w:tab w:val="left" w:pos="2160"/>
              </w:tabs>
              <w:rPr>
                <w:bCs/>
              </w:rPr>
            </w:pPr>
          </w:p>
          <w:p w:rsidR="00CE182E" w:rsidRDefault="00CE182E" w:rsidP="00130E4A">
            <w:pPr>
              <w:tabs>
                <w:tab w:val="left" w:pos="2160"/>
              </w:tabs>
              <w:rPr>
                <w:bCs/>
              </w:rPr>
            </w:pPr>
            <w:r w:rsidRPr="001A5EFC">
              <w:rPr>
                <w:bCs/>
              </w:rPr>
              <w:t xml:space="preserve">PACIFICORP D/B/A PACIFIC POWER &amp; LIGHT COMPANY, </w:t>
            </w:r>
          </w:p>
          <w:p w:rsidR="00CE182E" w:rsidRDefault="00CE182E" w:rsidP="00130E4A">
            <w:pPr>
              <w:tabs>
                <w:tab w:val="left" w:pos="2160"/>
              </w:tabs>
              <w:rPr>
                <w:bCs/>
              </w:rPr>
            </w:pPr>
          </w:p>
          <w:p w:rsidR="00CE182E" w:rsidRDefault="00CE182E" w:rsidP="00130E4A">
            <w:pPr>
              <w:pStyle w:val="Footer"/>
              <w:widowControl/>
              <w:tabs>
                <w:tab w:val="clear" w:pos="4320"/>
                <w:tab w:val="clear" w:pos="8640"/>
                <w:tab w:val="left" w:pos="2160"/>
              </w:tabs>
              <w:rPr>
                <w:snapToGrid/>
              </w:rPr>
            </w:pPr>
            <w:r>
              <w:rPr>
                <w:bCs/>
              </w:rPr>
              <w:tab/>
              <w:t>Respondent.</w:t>
            </w:r>
          </w:p>
        </w:tc>
        <w:tc>
          <w:tcPr>
            <w:tcW w:w="270" w:type="dxa"/>
          </w:tcPr>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p w:rsidR="00CE182E" w:rsidRDefault="00CE182E" w:rsidP="00130E4A">
            <w:pPr>
              <w:pStyle w:val="SingleSpacing"/>
              <w:spacing w:line="240" w:lineRule="auto"/>
            </w:pPr>
            <w:r>
              <w:t>)</w:t>
            </w:r>
          </w:p>
        </w:tc>
        <w:tc>
          <w:tcPr>
            <w:tcW w:w="4050" w:type="dxa"/>
          </w:tcPr>
          <w:p w:rsidR="00CE182E" w:rsidRDefault="00CE182E" w:rsidP="00130E4A">
            <w:pPr>
              <w:pStyle w:val="SingleSpacing"/>
              <w:spacing w:line="240" w:lineRule="auto"/>
            </w:pPr>
            <w:bookmarkStart w:id="1" w:name="CaseNumber"/>
            <w:bookmarkEnd w:id="1"/>
            <w:r>
              <w:t xml:space="preserve">DOCKET NO. </w:t>
            </w:r>
            <w:r w:rsidRPr="00BC0EFD">
              <w:rPr>
                <w:bCs/>
              </w:rPr>
              <w:t>UE-</w:t>
            </w:r>
            <w:r>
              <w:rPr>
                <w:bCs/>
              </w:rPr>
              <w:t>100749</w:t>
            </w:r>
          </w:p>
          <w:p w:rsidR="00CE182E" w:rsidRDefault="00CE182E" w:rsidP="00130E4A">
            <w:pPr>
              <w:pStyle w:val="BodyText2"/>
            </w:pPr>
          </w:p>
          <w:p w:rsidR="00CE182E" w:rsidRDefault="00CE182E" w:rsidP="00130E4A">
            <w:pPr>
              <w:pStyle w:val="BodyText2"/>
            </w:pPr>
          </w:p>
          <w:p w:rsidR="00CE182E" w:rsidRDefault="00CE182E" w:rsidP="00130E4A">
            <w:pPr>
              <w:pStyle w:val="BodyText2"/>
            </w:pPr>
          </w:p>
          <w:p w:rsidR="00CE182E" w:rsidRDefault="00CE182E" w:rsidP="00130E4A">
            <w:pPr>
              <w:pStyle w:val="BodyText2"/>
            </w:pPr>
            <w:r>
              <w:t>ANSWER OF THE INDUSTRIAL CUSTOMERS OF NORTHWEST UTILITIES</w:t>
            </w:r>
            <w:r w:rsidR="008F5890">
              <w:t xml:space="preserve"> IN OPPOSITION TO PACIFICORP’S PETITION FOR RECONSIDERATION</w:t>
            </w:r>
          </w:p>
          <w:p w:rsidR="00CE182E" w:rsidRDefault="00CE182E" w:rsidP="00130E4A">
            <w:pPr>
              <w:pStyle w:val="SingleSpacing"/>
              <w:spacing w:line="240" w:lineRule="auto"/>
            </w:pPr>
          </w:p>
        </w:tc>
      </w:tr>
    </w:tbl>
    <w:p w:rsidR="00CE182E" w:rsidRPr="00CE182E" w:rsidRDefault="00CE182E" w:rsidP="00DB0DF7">
      <w:pPr>
        <w:pStyle w:val="WUTCParagraph"/>
        <w:numPr>
          <w:ilvl w:val="0"/>
          <w:numId w:val="0"/>
        </w:numPr>
        <w:tabs>
          <w:tab w:val="left" w:pos="720"/>
        </w:tabs>
        <w:spacing w:before="240"/>
        <w:jc w:val="center"/>
        <w:rPr>
          <w:b/>
        </w:rPr>
      </w:pPr>
      <w:r>
        <w:rPr>
          <w:b/>
        </w:rPr>
        <w:t>I.</w:t>
      </w:r>
      <w:r>
        <w:rPr>
          <w:b/>
        </w:rPr>
        <w:tab/>
        <w:t>INTRODUCTION</w:t>
      </w:r>
    </w:p>
    <w:p w:rsidR="00CE182E" w:rsidRDefault="00CE182E" w:rsidP="00471E68">
      <w:pPr>
        <w:pStyle w:val="WUTCParagraph"/>
      </w:pPr>
      <w:r>
        <w:tab/>
        <w:t>Pursuant the Washington Utilities and Transportation Commission’s (“WUTC” or the “Commission”) notice, the Industrial Customers of Northwest Utilities (“ICNU”) submits this answer in opposition to PacifiCorp’s (or the “Company”) petition for reconsideration (“Petition”)</w:t>
      </w:r>
      <w:r w:rsidR="00C6469A">
        <w:t xml:space="preserve"> of the Commission’s final order (“Final Order”)</w:t>
      </w:r>
      <w:r>
        <w:t xml:space="preserve">.  PacifiCorp’s Petition is procedurally and substantively flawed because </w:t>
      </w:r>
      <w:r w:rsidR="003B3AAC">
        <w:t>the Company</w:t>
      </w:r>
      <w:r w:rsidR="00866C1A">
        <w:t xml:space="preserve"> is</w:t>
      </w:r>
      <w:r>
        <w:t xml:space="preserve"> not seeking to change erroneous or incomplete aspects of the </w:t>
      </w:r>
      <w:r w:rsidR="001F7CBC">
        <w:t>Commission’s F</w:t>
      </w:r>
      <w:r w:rsidR="003B3AAC">
        <w:t xml:space="preserve">inal </w:t>
      </w:r>
      <w:r w:rsidR="001F7CBC">
        <w:t>O</w:t>
      </w:r>
      <w:r w:rsidR="003B3AAC">
        <w:t xml:space="preserve">rder, but </w:t>
      </w:r>
      <w:r w:rsidR="00866C1A">
        <w:t>is</w:t>
      </w:r>
      <w:r>
        <w:t xml:space="preserve"> instead seeking a third opportun</w:t>
      </w:r>
      <w:r w:rsidR="006155D7">
        <w:t>ity to brief issues</w:t>
      </w:r>
      <w:r w:rsidR="008F5890">
        <w:t xml:space="preserve"> it has already lost</w:t>
      </w:r>
      <w:r w:rsidR="006155D7">
        <w:t>.  The vast majority of the Company’s arguments were</w:t>
      </w:r>
      <w:r w:rsidR="003C1AFB">
        <w:t xml:space="preserve"> previously</w:t>
      </w:r>
      <w:r w:rsidR="006155D7">
        <w:t xml:space="preserve"> raised, </w:t>
      </w:r>
      <w:r w:rsidR="00554EAF">
        <w:t xml:space="preserve">fully </w:t>
      </w:r>
      <w:r w:rsidR="006155D7">
        <w:t>considered by the Commission,</w:t>
      </w:r>
      <w:r w:rsidR="00471E68">
        <w:t xml:space="preserve"> and are not appropriate to be included in a petition for reconsideration.  The Com</w:t>
      </w:r>
      <w:r w:rsidR="00866C1A">
        <w:t>mission should reject</w:t>
      </w:r>
      <w:r w:rsidR="00471E68">
        <w:t xml:space="preserve"> PacifiCorp’s Petition </w:t>
      </w:r>
      <w:r w:rsidR="00866C1A">
        <w:t>and reaffirm its previous conclusion</w:t>
      </w:r>
      <w:r w:rsidR="00C6469A">
        <w:t xml:space="preserve"> to prevent </w:t>
      </w:r>
      <w:r w:rsidR="00471E68">
        <w:t xml:space="preserve">parties </w:t>
      </w:r>
      <w:r w:rsidR="00C6469A">
        <w:t>from using</w:t>
      </w:r>
      <w:r w:rsidR="00866C1A">
        <w:t xml:space="preserve"> the reconsideration process to </w:t>
      </w:r>
      <w:r w:rsidR="00471E68">
        <w:t xml:space="preserve">unnecessarily draw out rate case proceedings with post-order briefing.    </w:t>
      </w:r>
      <w:r w:rsidR="006155D7">
        <w:t xml:space="preserve"> </w:t>
      </w:r>
      <w:r>
        <w:t xml:space="preserve"> </w:t>
      </w:r>
    </w:p>
    <w:p w:rsidR="00554EAF" w:rsidRDefault="00471E68" w:rsidP="00554EAF">
      <w:pPr>
        <w:pStyle w:val="WUTCParagraph"/>
      </w:pPr>
      <w:r>
        <w:lastRenderedPageBreak/>
        <w:tab/>
        <w:t xml:space="preserve">The Commission should reject PacifiCorp’s attempt to reargue </w:t>
      </w:r>
      <w:r w:rsidR="00554EAF">
        <w:t xml:space="preserve">cost of capital issues and the </w:t>
      </w:r>
      <w:r>
        <w:t xml:space="preserve">power cost issues related to the DC Intertie, arbitrage revenues, wind integration costs, and minimum loading and deration.  Except for one </w:t>
      </w:r>
      <w:r w:rsidR="00DC2956">
        <w:t xml:space="preserve">minor </w:t>
      </w:r>
      <w:r>
        <w:t>argument on intra</w:t>
      </w:r>
      <w:r w:rsidR="00C6469A">
        <w:t>-</w:t>
      </w:r>
      <w:r>
        <w:t xml:space="preserve">hour wind integration costs, </w:t>
      </w:r>
      <w:r w:rsidR="002F27F4">
        <w:t>PacifiCorp does not even</w:t>
      </w:r>
      <w:r w:rsidR="008F5890">
        <w:t xml:space="preserve"> attempt to</w:t>
      </w:r>
      <w:r w:rsidR="002F27F4">
        <w:t xml:space="preserve"> make </w:t>
      </w:r>
      <w:r>
        <w:t>prima facie argument</w:t>
      </w:r>
      <w:r w:rsidR="002F27F4">
        <w:t>s</w:t>
      </w:r>
      <w:r>
        <w:t xml:space="preserve"> that the Commission’s </w:t>
      </w:r>
      <w:r w:rsidR="00C6469A">
        <w:t>Final O</w:t>
      </w:r>
      <w:r>
        <w:t xml:space="preserve">rder was erroneous or incomplete, but instead seeks to reargue or expand </w:t>
      </w:r>
      <w:r w:rsidR="00866C1A">
        <w:t xml:space="preserve">rejected </w:t>
      </w:r>
      <w:r>
        <w:t>arguments</w:t>
      </w:r>
      <w:r w:rsidR="00554EAF" w:rsidRPr="00554EAF">
        <w:t xml:space="preserve"> </w:t>
      </w:r>
      <w:r w:rsidR="00554EAF">
        <w:t>with the hindsight of knowing the Commission’s factual and legal conclusions</w:t>
      </w:r>
      <w:r w:rsidR="00703157">
        <w:t>.</w:t>
      </w:r>
      <w:r w:rsidR="00866C1A">
        <w:rPr>
          <w:rStyle w:val="FootnoteReference"/>
        </w:rPr>
        <w:footnoteReference w:id="1"/>
      </w:r>
      <w:r w:rsidR="00866C1A">
        <w:rPr>
          <w:vertAlign w:val="superscript"/>
        </w:rPr>
        <w:t>/</w:t>
      </w:r>
      <w:r w:rsidR="00703157">
        <w:t xml:space="preserve">  </w:t>
      </w:r>
      <w:r w:rsidR="00C039B9">
        <w:t xml:space="preserve">ICNU also disagreed with certain Commission conclusions in the </w:t>
      </w:r>
      <w:r w:rsidR="00C6469A">
        <w:t>F</w:t>
      </w:r>
      <w:r w:rsidR="00C039B9">
        <w:t xml:space="preserve">inal </w:t>
      </w:r>
      <w:r w:rsidR="00C6469A">
        <w:t>O</w:t>
      </w:r>
      <w:r w:rsidR="00C039B9">
        <w:t xml:space="preserve">rder, but that does not by itself provide the grounds to seek reconsideration. </w:t>
      </w:r>
      <w:r w:rsidR="003B3AAC">
        <w:t xml:space="preserve"> </w:t>
      </w:r>
      <w:r w:rsidR="00554EAF">
        <w:t>All parties would like the opportunity to refine and revise their cases based on a review of what the Commission’s Final Order, but the Commission’s procedural rules do not permit the parti</w:t>
      </w:r>
      <w:r w:rsidR="008F5890">
        <w:t>es to file</w:t>
      </w:r>
      <w:r w:rsidR="00554EAF">
        <w:t xml:space="preserve"> post-order brief</w:t>
      </w:r>
      <w:r w:rsidR="008F5890">
        <w:t>s</w:t>
      </w:r>
      <w:r w:rsidR="00554EAF">
        <w:t>.  PacifiCorp has not identified errors or omissions in the Commission’s Final Order that warrant reconsideration.</w:t>
      </w:r>
    </w:p>
    <w:p w:rsidR="002F27F4" w:rsidRDefault="00130E4A" w:rsidP="00130E4A">
      <w:pPr>
        <w:pStyle w:val="WUTCParagraph"/>
        <w:numPr>
          <w:ilvl w:val="0"/>
          <w:numId w:val="0"/>
        </w:numPr>
        <w:tabs>
          <w:tab w:val="clear" w:pos="1440"/>
          <w:tab w:val="left" w:pos="0"/>
        </w:tabs>
        <w:jc w:val="center"/>
      </w:pPr>
      <w:r>
        <w:rPr>
          <w:b/>
        </w:rPr>
        <w:t>II.</w:t>
      </w:r>
      <w:r>
        <w:rPr>
          <w:b/>
        </w:rPr>
        <w:tab/>
        <w:t>ANSWER</w:t>
      </w:r>
    </w:p>
    <w:p w:rsidR="00997E24" w:rsidRDefault="00997E24" w:rsidP="00997E24">
      <w:pPr>
        <w:pStyle w:val="WUTCParagraph"/>
        <w:numPr>
          <w:ilvl w:val="0"/>
          <w:numId w:val="0"/>
        </w:numPr>
        <w:tabs>
          <w:tab w:val="clear" w:pos="1440"/>
          <w:tab w:val="left" w:pos="0"/>
        </w:tabs>
        <w:rPr>
          <w:b/>
        </w:rPr>
      </w:pPr>
      <w:r>
        <w:rPr>
          <w:b/>
        </w:rPr>
        <w:t>A.</w:t>
      </w:r>
      <w:r>
        <w:rPr>
          <w:b/>
        </w:rPr>
        <w:tab/>
        <w:t>Legal Standard</w:t>
      </w:r>
    </w:p>
    <w:p w:rsidR="0073210C" w:rsidRDefault="0073210C" w:rsidP="00997E24">
      <w:pPr>
        <w:pStyle w:val="WUTCParagraph"/>
      </w:pPr>
      <w:r>
        <w:tab/>
        <w:t>PacifiCorp noticeably fails to cite the standard for seeking reconsideration, which might explain why the Company ignores the relevant legal requirements throughout its Petition.  A petition for reconsideration must “request that the commission change the outcome with respect to one or more issues determined by the commission</w:t>
      </w:r>
      <w:r w:rsidR="00866C1A">
        <w:t>’</w:t>
      </w:r>
      <w:r>
        <w:t>s final order” and “must clearly identify each portion of the challenged order that it contends is erroneous or incomplete.”</w:t>
      </w:r>
      <w:r>
        <w:rPr>
          <w:rStyle w:val="FootnoteReference"/>
        </w:rPr>
        <w:footnoteReference w:id="2"/>
      </w:r>
      <w:r w:rsidRPr="00425725">
        <w:rPr>
          <w:vertAlign w:val="superscript"/>
        </w:rPr>
        <w:t>/</w:t>
      </w:r>
      <w:r>
        <w:t xml:space="preserve">  </w:t>
      </w:r>
      <w:r>
        <w:lastRenderedPageBreak/>
        <w:t>Therefore, a petition for reconsideration is only allowed to correct</w:t>
      </w:r>
      <w:r w:rsidR="00866C1A">
        <w:t xml:space="preserve"> omissions and</w:t>
      </w:r>
      <w:r>
        <w:t xml:space="preserve"> errors of fact or law.  </w:t>
      </w:r>
    </w:p>
    <w:p w:rsidR="0073210C" w:rsidRDefault="0073210C" w:rsidP="00997E24">
      <w:pPr>
        <w:pStyle w:val="WUTCParagraph"/>
      </w:pPr>
      <w:r>
        <w:tab/>
        <w:t xml:space="preserve">The Commission has explained that petitions for reconsideration are not appropriate to reargue or relitigate issues that were fully developed in the proceeding, and a petition for reconsideration is not warranted merely because a party disagrees with the final order.  Specifically, the Commission has </w:t>
      </w:r>
      <w:r w:rsidR="00AB3D68">
        <w:t>repeatedly explained that</w:t>
      </w:r>
      <w:r>
        <w:t>:</w:t>
      </w:r>
    </w:p>
    <w:p w:rsidR="0073210C" w:rsidRDefault="0073210C" w:rsidP="00F73212">
      <w:pPr>
        <w:spacing w:after="240"/>
        <w:ind w:left="1080" w:right="1080"/>
        <w:jc w:val="both"/>
      </w:pPr>
      <w:r w:rsidRPr="008A51AB">
        <w:t xml:space="preserve">A petition for reconsideration must demonstrate errors of law, or of facts not reasonably available to the petitioner at the time of entry of an order.  A petition that cites no evidence that the Commission has not considered, and merely restates arguments the Commission thoroughly considered in its final order, states no basis for relief.  A petition for reconsideration is </w:t>
      </w:r>
      <w:r w:rsidRPr="003C1AFB">
        <w:rPr>
          <w:u w:val="single"/>
        </w:rPr>
        <w:t>not a second opportunity to litigate issues which were fully developed prior to entry of the final order and which were discussed and decided in the final order.  The mere fact that a party disagrees with a final order does not state a basis for reconsideration</w:t>
      </w:r>
      <w:r w:rsidRPr="008A51AB">
        <w:t>.</w:t>
      </w:r>
      <w:r w:rsidR="00AB3D68">
        <w:rPr>
          <w:rStyle w:val="FootnoteReference"/>
        </w:rPr>
        <w:footnoteReference w:id="3"/>
      </w:r>
      <w:r w:rsidR="00AB3D68" w:rsidRPr="00425725">
        <w:rPr>
          <w:vertAlign w:val="superscript"/>
        </w:rPr>
        <w:t>/</w:t>
      </w:r>
      <w:r w:rsidR="00AB3D68">
        <w:t xml:space="preserve">  </w:t>
      </w:r>
      <w:r w:rsidRPr="008A51AB">
        <w:t xml:space="preserve">  </w:t>
      </w:r>
    </w:p>
    <w:p w:rsidR="00DB2FD5" w:rsidRPr="008A51AB" w:rsidRDefault="00DB2FD5" w:rsidP="00DB2FD5">
      <w:pPr>
        <w:spacing w:line="480" w:lineRule="auto"/>
      </w:pPr>
      <w:r>
        <w:t>The limited purpose and extent of reconsideration is reflected in the fact that parties only have ten calendar days to seek reconsideration.</w:t>
      </w:r>
      <w:r w:rsidR="00BE04DE">
        <w:rPr>
          <w:rStyle w:val="FootnoteReference"/>
        </w:rPr>
        <w:footnoteReference w:id="4"/>
      </w:r>
      <w:r w:rsidR="00BE04DE" w:rsidRPr="00425725">
        <w:rPr>
          <w:vertAlign w:val="superscript"/>
        </w:rPr>
        <w:t>/</w:t>
      </w:r>
    </w:p>
    <w:p w:rsidR="00997E24" w:rsidRPr="008A51AB" w:rsidRDefault="00AB3D68" w:rsidP="00AB3D68">
      <w:pPr>
        <w:pStyle w:val="WUTCParagraph"/>
      </w:pPr>
      <w:r>
        <w:tab/>
        <w:t>Pacifi</w:t>
      </w:r>
      <w:r w:rsidR="000E345B">
        <w:t>Corp ignores this precedent and repeats arguments it made in earlier briefing, including simply copyi</w:t>
      </w:r>
      <w:r w:rsidR="008121C0">
        <w:t>ng and pasting portions of earlier</w:t>
      </w:r>
      <w:r w:rsidR="000E345B">
        <w:t xml:space="preserve"> briefs.  In addition, PacifiCorp is using its Petition to bolster rejected a</w:t>
      </w:r>
      <w:r w:rsidR="00E863DB">
        <w:t xml:space="preserve">rguments by citing </w:t>
      </w:r>
      <w:r w:rsidR="00454FF2">
        <w:t xml:space="preserve">additional portions of the record, and </w:t>
      </w:r>
      <w:r w:rsidR="00454FF2">
        <w:lastRenderedPageBreak/>
        <w:t xml:space="preserve">slightly revising its arguments now that the Company has the benefit of reading the Commission’s </w:t>
      </w:r>
      <w:r w:rsidR="00C6469A">
        <w:t>F</w:t>
      </w:r>
      <w:r w:rsidR="00454FF2">
        <w:t xml:space="preserve">inal </w:t>
      </w:r>
      <w:r w:rsidR="00C6469A">
        <w:t>O</w:t>
      </w:r>
      <w:r w:rsidR="00454FF2">
        <w:t xml:space="preserve">rder.  </w:t>
      </w:r>
      <w:r w:rsidR="00DB2FD5">
        <w:t xml:space="preserve">The Commission should reject PacifiCorp’s Petition and remind all parties </w:t>
      </w:r>
      <w:r w:rsidR="00BE04DE">
        <w:t xml:space="preserve">of the limited purpose for </w:t>
      </w:r>
      <w:r w:rsidR="00DB2FD5">
        <w:t>reconsideration</w:t>
      </w:r>
      <w:r w:rsidR="00BE04DE">
        <w:t>.</w:t>
      </w:r>
    </w:p>
    <w:p w:rsidR="00130E4A" w:rsidRDefault="00997E24" w:rsidP="00130E4A">
      <w:pPr>
        <w:pStyle w:val="WUTCParagraph"/>
        <w:numPr>
          <w:ilvl w:val="0"/>
          <w:numId w:val="0"/>
        </w:numPr>
        <w:tabs>
          <w:tab w:val="clear" w:pos="1440"/>
          <w:tab w:val="left" w:pos="0"/>
        </w:tabs>
        <w:rPr>
          <w:b/>
        </w:rPr>
      </w:pPr>
      <w:r>
        <w:rPr>
          <w:b/>
        </w:rPr>
        <w:t>B</w:t>
      </w:r>
      <w:r w:rsidR="00C039B9">
        <w:rPr>
          <w:b/>
        </w:rPr>
        <w:t>.</w:t>
      </w:r>
      <w:r w:rsidR="00C039B9">
        <w:rPr>
          <w:b/>
        </w:rPr>
        <w:tab/>
        <w:t>Net Power Costs</w:t>
      </w:r>
    </w:p>
    <w:p w:rsidR="00C039B9" w:rsidRDefault="00C039B9" w:rsidP="00C039B9">
      <w:pPr>
        <w:pStyle w:val="WUTCParagraph"/>
        <w:numPr>
          <w:ilvl w:val="0"/>
          <w:numId w:val="0"/>
        </w:numPr>
        <w:tabs>
          <w:tab w:val="clear" w:pos="1440"/>
          <w:tab w:val="left" w:pos="720"/>
        </w:tabs>
        <w:spacing w:line="240" w:lineRule="auto"/>
        <w:ind w:left="1440" w:hanging="1440"/>
        <w:rPr>
          <w:b/>
        </w:rPr>
      </w:pPr>
      <w:r>
        <w:rPr>
          <w:b/>
        </w:rPr>
        <w:tab/>
        <w:t>1.</w:t>
      </w:r>
      <w:r>
        <w:rPr>
          <w:b/>
        </w:rPr>
        <w:tab/>
        <w:t xml:space="preserve">The Commission’s Decision to Exclude the DC Intertie Is Supported by the Record </w:t>
      </w:r>
    </w:p>
    <w:p w:rsidR="00C039B9" w:rsidRPr="00C039B9" w:rsidRDefault="00C039B9" w:rsidP="00C039B9">
      <w:pPr>
        <w:pStyle w:val="WUTCParagraph"/>
        <w:numPr>
          <w:ilvl w:val="0"/>
          <w:numId w:val="0"/>
        </w:numPr>
        <w:tabs>
          <w:tab w:val="clear" w:pos="1440"/>
          <w:tab w:val="left" w:pos="720"/>
        </w:tabs>
        <w:spacing w:line="240" w:lineRule="auto"/>
        <w:ind w:left="1440" w:hanging="1440"/>
        <w:rPr>
          <w:b/>
        </w:rPr>
      </w:pPr>
    </w:p>
    <w:p w:rsidR="00CD4ECD" w:rsidRDefault="00C039B9" w:rsidP="00CE182E">
      <w:pPr>
        <w:pStyle w:val="WUTCParagraph"/>
      </w:pPr>
      <w:r>
        <w:tab/>
        <w:t>PacifiCorp argues that the Commission’s decision regarding th</w:t>
      </w:r>
      <w:r w:rsidR="00D42B3B">
        <w:t>e DC Intertie should be reversed because the “Commission’s conclusion that the record shows that the DC Intertie will not be used in the rate effective period is incorrect.”</w:t>
      </w:r>
      <w:r w:rsidR="00CD4ECD">
        <w:rPr>
          <w:rStyle w:val="FootnoteReference"/>
        </w:rPr>
        <w:footnoteReference w:id="5"/>
      </w:r>
      <w:r w:rsidR="00CD4ECD" w:rsidRPr="00425725">
        <w:rPr>
          <w:vertAlign w:val="superscript"/>
        </w:rPr>
        <w:t>/</w:t>
      </w:r>
      <w:r w:rsidR="00D42B3B">
        <w:t xml:space="preserve">  </w:t>
      </w:r>
      <w:r w:rsidR="00425725">
        <w:t>First, PacifiCorp’s claim that the DC Intertie will be used in the rate effective period repeats verbatim the factual arguments raised in the Company’s initial and reply briefs.</w:t>
      </w:r>
      <w:r w:rsidR="00425725">
        <w:rPr>
          <w:rStyle w:val="FootnoteReference"/>
        </w:rPr>
        <w:footnoteReference w:id="6"/>
      </w:r>
      <w:r w:rsidR="00425725" w:rsidRPr="00425725">
        <w:rPr>
          <w:vertAlign w:val="superscript"/>
        </w:rPr>
        <w:t>/</w:t>
      </w:r>
      <w:r w:rsidR="00425725">
        <w:t xml:space="preserve">  Next, t</w:t>
      </w:r>
      <w:r w:rsidR="00D42B3B">
        <w:t xml:space="preserve">he Company makes a new argument that the Commission should give </w:t>
      </w:r>
      <w:r w:rsidR="00425725">
        <w:t>greater weight to out of context and unsupported statements made at the hearing</w:t>
      </w:r>
      <w:r w:rsidR="00D42B3B">
        <w:t xml:space="preserve"> than </w:t>
      </w:r>
      <w:r w:rsidR="008121C0">
        <w:t>the information provided in</w:t>
      </w:r>
      <w:r w:rsidR="00425725">
        <w:t xml:space="preserve"> </w:t>
      </w:r>
      <w:r w:rsidR="00C6469A">
        <w:t xml:space="preserve">its own </w:t>
      </w:r>
      <w:r w:rsidR="00425725">
        <w:t xml:space="preserve">discovery responses and </w:t>
      </w:r>
      <w:r w:rsidR="00D42B3B">
        <w:t>the</w:t>
      </w:r>
      <w:r w:rsidR="00D777B3">
        <w:t xml:space="preserve"> pre-filed</w:t>
      </w:r>
      <w:r w:rsidR="00D42B3B">
        <w:t xml:space="preserve"> testimony of ICNU witness Randall Falkenberg and Staff witness Alan Buckley.</w:t>
      </w:r>
      <w:r w:rsidR="00CD4ECD">
        <w:rPr>
          <w:rStyle w:val="FootnoteReference"/>
        </w:rPr>
        <w:footnoteReference w:id="7"/>
      </w:r>
      <w:r w:rsidR="00CD4ECD" w:rsidRPr="00425725">
        <w:rPr>
          <w:vertAlign w:val="superscript"/>
        </w:rPr>
        <w:t>/</w:t>
      </w:r>
      <w:r w:rsidR="00D42B3B">
        <w:t xml:space="preserve">  </w:t>
      </w:r>
      <w:r w:rsidR="006B6039">
        <w:t xml:space="preserve">The evidence in the record supports the Commission’s conclusions that </w:t>
      </w:r>
      <w:r w:rsidR="008A2145">
        <w:t xml:space="preserve">PacifiCorp did not meet its burden of proof to show that </w:t>
      </w:r>
      <w:r w:rsidR="006B6039">
        <w:t xml:space="preserve">the DC Intertie </w:t>
      </w:r>
      <w:r w:rsidR="008A2145">
        <w:t>benefits ratepayers and</w:t>
      </w:r>
      <w:r w:rsidR="006B6039">
        <w:t xml:space="preserve"> is used and useful.  </w:t>
      </w:r>
      <w:r w:rsidR="00A9291E">
        <w:t xml:space="preserve">  </w:t>
      </w:r>
      <w:r w:rsidR="00D42B3B">
        <w:t xml:space="preserve">  </w:t>
      </w:r>
      <w:r w:rsidR="00CD4ECD">
        <w:tab/>
        <w:t xml:space="preserve"> </w:t>
      </w:r>
    </w:p>
    <w:p w:rsidR="00214AFE" w:rsidRDefault="00CE182E" w:rsidP="00CE182E">
      <w:pPr>
        <w:pStyle w:val="WUTCParagraph"/>
      </w:pPr>
      <w:r>
        <w:tab/>
      </w:r>
      <w:r w:rsidR="001161FA">
        <w:t xml:space="preserve">PacifiCorp failed to present adequate evidence to establish that the DC Intertie will be used and useful during the rate year, </w:t>
      </w:r>
      <w:r w:rsidR="008121C0">
        <w:t xml:space="preserve">did not show that it </w:t>
      </w:r>
      <w:r w:rsidR="001161FA">
        <w:t xml:space="preserve">managed the resource to provide a benefit to ratepayers, </w:t>
      </w:r>
      <w:r w:rsidR="008121C0">
        <w:t>and failed to prove</w:t>
      </w:r>
      <w:r w:rsidR="001161FA">
        <w:t xml:space="preserve"> that the resource will be us</w:t>
      </w:r>
      <w:r w:rsidR="00CD4ECD">
        <w:t>e</w:t>
      </w:r>
      <w:r w:rsidR="001161FA">
        <w:t>d in the future.</w:t>
      </w:r>
      <w:r w:rsidR="00CD4ECD">
        <w:rPr>
          <w:rStyle w:val="FootnoteReference"/>
        </w:rPr>
        <w:footnoteReference w:id="8"/>
      </w:r>
      <w:r w:rsidR="00CD4ECD" w:rsidRPr="00833350">
        <w:rPr>
          <w:vertAlign w:val="superscript"/>
        </w:rPr>
        <w:t>/</w:t>
      </w:r>
      <w:r w:rsidR="00CD4ECD">
        <w:t xml:space="preserve"> </w:t>
      </w:r>
      <w:r w:rsidR="001161FA">
        <w:t xml:space="preserve">  </w:t>
      </w:r>
      <w:r w:rsidR="00CD4ECD">
        <w:t>Both ICNU and Staff</w:t>
      </w:r>
      <w:r w:rsidR="00BC0DB8">
        <w:t xml:space="preserve"> investigated the Company’s use of the DC Intertie in the discovery process and </w:t>
      </w:r>
      <w:r w:rsidR="00BC0DB8">
        <w:lastRenderedPageBreak/>
        <w:t>the Company failed to present any evidence that there were contracts to use the DC Inter</w:t>
      </w:r>
      <w:r w:rsidR="008121C0">
        <w:t xml:space="preserve">tie in the test period, that the resource </w:t>
      </w:r>
      <w:r w:rsidR="00BC0DB8">
        <w:t>would be used during the test period, or that the Company has demonstrated or calculated any ratepayer benefits.</w:t>
      </w:r>
      <w:r w:rsidR="00BC0DB8">
        <w:rPr>
          <w:rStyle w:val="FootnoteReference"/>
        </w:rPr>
        <w:footnoteReference w:id="9"/>
      </w:r>
      <w:r w:rsidR="00BC0DB8" w:rsidRPr="004E1090">
        <w:rPr>
          <w:vertAlign w:val="superscript"/>
        </w:rPr>
        <w:t>/</w:t>
      </w:r>
      <w:r w:rsidR="00BC0DB8">
        <w:t xml:space="preserve">  </w:t>
      </w:r>
      <w:r w:rsidR="00000840">
        <w:t xml:space="preserve">In </w:t>
      </w:r>
      <w:r w:rsidR="0080490C">
        <w:t xml:space="preserve">its </w:t>
      </w:r>
      <w:r w:rsidR="00000840">
        <w:t>rebuttal testimony, PacifiCorp did not dispute that there are no transactions modeled in the test period, but primarily argued that the Company prudently entered into the contact 16 years ago</w:t>
      </w:r>
      <w:r w:rsidR="00264A30">
        <w:t xml:space="preserve"> and made vague claims that the resource could be used as a hedge in the future.</w:t>
      </w:r>
      <w:r w:rsidR="00264A30" w:rsidRPr="00634E9E">
        <w:rPr>
          <w:rStyle w:val="FootnoteReference"/>
        </w:rPr>
        <w:footnoteReference w:id="10"/>
      </w:r>
      <w:r w:rsidR="00264A30" w:rsidRPr="00634E9E">
        <w:rPr>
          <w:vertAlign w:val="superscript"/>
        </w:rPr>
        <w:t>/</w:t>
      </w:r>
      <w:r w:rsidR="00264A30" w:rsidRPr="00634E9E">
        <w:t xml:space="preserve"> </w:t>
      </w:r>
      <w:r w:rsidR="00264A30">
        <w:t xml:space="preserve"> Thus, the Company presented no evidence </w:t>
      </w:r>
      <w:r w:rsidR="00F237C2">
        <w:t xml:space="preserve">in discovery or pre-filed testimony </w:t>
      </w:r>
      <w:r w:rsidR="00264A30">
        <w:t>that the DC Intertie would be used</w:t>
      </w:r>
      <w:r w:rsidR="00F237C2">
        <w:t xml:space="preserve"> during the test period.</w:t>
      </w:r>
      <w:r w:rsidR="00264A30" w:rsidRPr="00634E9E">
        <w:rPr>
          <w:rStyle w:val="FootnoteReference"/>
        </w:rPr>
        <w:footnoteReference w:id="11"/>
      </w:r>
      <w:r w:rsidR="00264A30" w:rsidRPr="00634E9E">
        <w:rPr>
          <w:vertAlign w:val="superscript"/>
        </w:rPr>
        <w:t>/</w:t>
      </w:r>
      <w:r w:rsidR="00264A30">
        <w:t xml:space="preserve">   </w:t>
      </w:r>
      <w:r w:rsidR="00BC0DB8">
        <w:t xml:space="preserve"> </w:t>
      </w:r>
    </w:p>
    <w:p w:rsidR="00EC6D2C" w:rsidRDefault="006B6039" w:rsidP="00EC6D2C">
      <w:pPr>
        <w:pStyle w:val="WUTCParagraph"/>
      </w:pPr>
      <w:r>
        <w:t xml:space="preserve"> </w:t>
      </w:r>
      <w:r w:rsidR="000457A2">
        <w:tab/>
      </w:r>
      <w:r w:rsidR="00EC6D2C">
        <w:t xml:space="preserve">PacifiCorp’s only </w:t>
      </w:r>
      <w:r w:rsidR="000C7D66">
        <w:t>“</w:t>
      </w:r>
      <w:r w:rsidR="00EC6D2C">
        <w:t>evidence</w:t>
      </w:r>
      <w:r w:rsidR="000C7D66">
        <w:t>”</w:t>
      </w:r>
      <w:r w:rsidR="00EC6D2C">
        <w:t xml:space="preserve"> that the DC Intertie may be used during the test period comes from statements made at the cross examination hearing.</w:t>
      </w:r>
      <w:r w:rsidR="00EC6D2C" w:rsidRPr="00634E9E">
        <w:rPr>
          <w:rStyle w:val="FootnoteReference"/>
        </w:rPr>
        <w:footnoteReference w:id="12"/>
      </w:r>
      <w:r w:rsidR="00EC6D2C" w:rsidRPr="00634E9E">
        <w:rPr>
          <w:vertAlign w:val="superscript"/>
        </w:rPr>
        <w:t>/</w:t>
      </w:r>
      <w:r w:rsidR="00EC6D2C">
        <w:t xml:space="preserve">  For exa</w:t>
      </w:r>
      <w:r w:rsidR="002B4292">
        <w:t>mple, the Company cherry picks a</w:t>
      </w:r>
      <w:r w:rsidR="001A2FE3">
        <w:t xml:space="preserve"> </w:t>
      </w:r>
      <w:r w:rsidR="002B4292">
        <w:t xml:space="preserve">hearing </w:t>
      </w:r>
      <w:r w:rsidR="001A2FE3">
        <w:t>statement by Mr. Falkenberg to</w:t>
      </w:r>
      <w:r w:rsidR="00425725">
        <w:t xml:space="preserve"> </w:t>
      </w:r>
      <w:r w:rsidR="001A2FE3">
        <w:t>argue</w:t>
      </w:r>
      <w:r w:rsidR="0080490C" w:rsidRPr="0080490C">
        <w:t xml:space="preserve"> </w:t>
      </w:r>
      <w:r w:rsidR="0080490C">
        <w:t>inaccurately</w:t>
      </w:r>
      <w:r w:rsidR="001A2FE3">
        <w:t xml:space="preserve"> that ICNU “conceded that the Company uses the DC Intertie to purchase power.”</w:t>
      </w:r>
      <w:r w:rsidR="001A2FE3" w:rsidRPr="00634E9E">
        <w:rPr>
          <w:rStyle w:val="FootnoteReference"/>
        </w:rPr>
        <w:footnoteReference w:id="13"/>
      </w:r>
      <w:r w:rsidR="001A2FE3" w:rsidRPr="00634E9E">
        <w:rPr>
          <w:vertAlign w:val="superscript"/>
        </w:rPr>
        <w:t>/</w:t>
      </w:r>
      <w:r w:rsidR="001A2FE3">
        <w:t xml:space="preserve">  Mr. Falkenberg</w:t>
      </w:r>
      <w:r w:rsidR="000C7D66">
        <w:t>’s</w:t>
      </w:r>
      <w:r w:rsidR="001A2FE3">
        <w:t xml:space="preserve"> full statement at the hearing shows his “concession” was</w:t>
      </w:r>
      <w:r w:rsidR="000C7D66">
        <w:t xml:space="preserve"> concerning</w:t>
      </w:r>
      <w:r w:rsidR="001A2FE3">
        <w:t xml:space="preserve"> </w:t>
      </w:r>
      <w:r w:rsidR="001A2FE3" w:rsidRPr="001A2FE3">
        <w:rPr>
          <w:u w:val="single"/>
        </w:rPr>
        <w:t>previous</w:t>
      </w:r>
      <w:r w:rsidR="001A2FE3">
        <w:t xml:space="preserve"> years and not the test</w:t>
      </w:r>
      <w:r w:rsidR="000C7D66">
        <w:t xml:space="preserve"> period.  Further, Mr. Falkenberg explained</w:t>
      </w:r>
      <w:r w:rsidR="001A2FE3">
        <w:t xml:space="preserve"> “that the dollar amount wasn’t very substantial” in past year</w:t>
      </w:r>
      <w:r w:rsidR="008121C0">
        <w:t>s, and that the Company proposal in this case was</w:t>
      </w:r>
      <w:r w:rsidR="001A2FE3">
        <w:t xml:space="preserve"> to assign 100% of the costs of the Intertie to customers and</w:t>
      </w:r>
      <w:r w:rsidR="000C7D66">
        <w:t xml:space="preserve"> it produced</w:t>
      </w:r>
      <w:r w:rsidR="001A2FE3">
        <w:t xml:space="preserve"> “zero percent of the benefits”</w:t>
      </w:r>
      <w:r w:rsidR="000C7D66">
        <w:t xml:space="preserve"> to customers.</w:t>
      </w:r>
      <w:r w:rsidR="001A2FE3" w:rsidRPr="00634E9E">
        <w:rPr>
          <w:rStyle w:val="FootnoteReference"/>
        </w:rPr>
        <w:footnoteReference w:id="14"/>
      </w:r>
      <w:r w:rsidR="001A2FE3" w:rsidRPr="00634E9E">
        <w:rPr>
          <w:vertAlign w:val="superscript"/>
        </w:rPr>
        <w:t>/</w:t>
      </w:r>
      <w:r w:rsidR="001A2FE3">
        <w:t xml:space="preserve">  </w:t>
      </w:r>
      <w:r w:rsidR="00645E86">
        <w:t>Similarly, Mr. Duvall’s</w:t>
      </w:r>
      <w:r w:rsidR="008966AC">
        <w:t xml:space="preserve"> unsolicited</w:t>
      </w:r>
      <w:r w:rsidR="00645E86">
        <w:t xml:space="preserve"> statement regarding</w:t>
      </w:r>
      <w:r w:rsidR="008966AC">
        <w:t xml:space="preserve"> </w:t>
      </w:r>
      <w:r w:rsidR="008966AC" w:rsidRPr="008121C0">
        <w:rPr>
          <w:u w:val="single"/>
        </w:rPr>
        <w:t>past</w:t>
      </w:r>
      <w:r w:rsidR="008966AC">
        <w:t xml:space="preserve"> transactions at the California market does not </w:t>
      </w:r>
      <w:r w:rsidR="000C7D66">
        <w:t>provide evidence that</w:t>
      </w:r>
      <w:r w:rsidR="008966AC">
        <w:t xml:space="preserve"> the DC Intertie will be used during the </w:t>
      </w:r>
      <w:r w:rsidR="00F366C7">
        <w:t xml:space="preserve">rate period, </w:t>
      </w:r>
      <w:r w:rsidR="008121C0">
        <w:t xml:space="preserve">dispute the </w:t>
      </w:r>
      <w:r w:rsidR="008966AC">
        <w:t xml:space="preserve">evidence </w:t>
      </w:r>
      <w:r w:rsidR="008966AC">
        <w:lastRenderedPageBreak/>
        <w:t>that there are no contracts to use this resource during the test period</w:t>
      </w:r>
      <w:r w:rsidR="00F366C7">
        <w:t xml:space="preserve">, or provide any calculation of any alleged benefits associated with the </w:t>
      </w:r>
      <w:r w:rsidR="00E848D4">
        <w:t>resource</w:t>
      </w:r>
      <w:r w:rsidR="008966AC">
        <w:t>.</w:t>
      </w:r>
      <w:r w:rsidR="008966AC" w:rsidRPr="00634E9E">
        <w:rPr>
          <w:rStyle w:val="FootnoteReference"/>
        </w:rPr>
        <w:footnoteReference w:id="15"/>
      </w:r>
      <w:r w:rsidR="008966AC" w:rsidRPr="00634E9E">
        <w:rPr>
          <w:vertAlign w:val="superscript"/>
        </w:rPr>
        <w:t>/</w:t>
      </w:r>
      <w:r w:rsidR="00425725">
        <w:t xml:space="preserve"> </w:t>
      </w:r>
    </w:p>
    <w:p w:rsidR="008D50A0" w:rsidRDefault="00425725" w:rsidP="00EC6D2C">
      <w:pPr>
        <w:pStyle w:val="WUTCParagraph"/>
      </w:pPr>
      <w:r>
        <w:tab/>
        <w:t xml:space="preserve">PacifiCorp argues that these out of </w:t>
      </w:r>
      <w:r w:rsidR="002B4292">
        <w:t xml:space="preserve">context hearing statements </w:t>
      </w:r>
      <w:r w:rsidR="008121C0">
        <w:t>are sufficient to meet its burden of proof.  The Commission appropriately relied upon</w:t>
      </w:r>
      <w:r w:rsidR="002B4292">
        <w:t xml:space="preserve"> the voluminous testimony and discovery responses demonstrating that there are not likely to be transactions </w:t>
      </w:r>
      <w:r w:rsidR="008121C0">
        <w:t xml:space="preserve">at the DC Intertie </w:t>
      </w:r>
      <w:r w:rsidR="002B4292">
        <w:t xml:space="preserve">during the test period and that </w:t>
      </w:r>
      <w:r w:rsidR="006A2CB7">
        <w:t>PacifiCo</w:t>
      </w:r>
      <w:r w:rsidR="008835E7">
        <w:t xml:space="preserve">rp’s proposal was to assign to </w:t>
      </w:r>
      <w:r w:rsidR="002B4292">
        <w:t>ratepayers all of the costs of the DC Intertie with none of the alleged benefits.</w:t>
      </w:r>
      <w:r w:rsidR="002B4292" w:rsidRPr="00634E9E">
        <w:rPr>
          <w:rStyle w:val="FootnoteReference"/>
        </w:rPr>
        <w:footnoteReference w:id="16"/>
      </w:r>
      <w:r w:rsidR="002B4292" w:rsidRPr="00634E9E">
        <w:rPr>
          <w:vertAlign w:val="superscript"/>
        </w:rPr>
        <w:t>/</w:t>
      </w:r>
      <w:r w:rsidR="002B4292">
        <w:t xml:space="preserve">  </w:t>
      </w:r>
      <w:r w:rsidR="008835E7">
        <w:t>Simply put, PacifiCorp had more</w:t>
      </w:r>
      <w:r w:rsidR="006A2CB7">
        <w:t xml:space="preserve"> than sufficient opportunity to argue that the DC Intertie would be actually used and that alleged usage would result in quan</w:t>
      </w:r>
      <w:r w:rsidR="008121C0">
        <w:t>tifiable benefits to ratepayers, but</w:t>
      </w:r>
      <w:r w:rsidR="006A2CB7">
        <w:t xml:space="preserve"> PacifiCorp did not provide such information at any </w:t>
      </w:r>
      <w:r w:rsidR="00757A40">
        <w:t>time during the case, and quote-</w:t>
      </w:r>
      <w:r w:rsidR="008D50A0">
        <w:t xml:space="preserve">mining the hearing transcript is not sufficient to meet the Company’s burden of proof.  </w:t>
      </w:r>
    </w:p>
    <w:p w:rsidR="00C230CB" w:rsidRDefault="00C230CB" w:rsidP="00C230CB">
      <w:pPr>
        <w:pStyle w:val="WUTCParagraph"/>
        <w:numPr>
          <w:ilvl w:val="0"/>
          <w:numId w:val="0"/>
        </w:numPr>
        <w:spacing w:line="240" w:lineRule="auto"/>
        <w:ind w:left="1440" w:hanging="720"/>
        <w:rPr>
          <w:b/>
        </w:rPr>
      </w:pPr>
      <w:r>
        <w:rPr>
          <w:b/>
        </w:rPr>
        <w:t>2.</w:t>
      </w:r>
      <w:r>
        <w:rPr>
          <w:b/>
        </w:rPr>
        <w:tab/>
        <w:t>The Commission’s Arbitrage Adjustment is Not Based on Any Errors</w:t>
      </w:r>
    </w:p>
    <w:p w:rsidR="00C230CB" w:rsidRDefault="00C230CB" w:rsidP="00C230CB">
      <w:pPr>
        <w:pStyle w:val="WUTCParagraph"/>
        <w:numPr>
          <w:ilvl w:val="0"/>
          <w:numId w:val="0"/>
        </w:numPr>
        <w:spacing w:line="240" w:lineRule="auto"/>
        <w:ind w:left="1440" w:hanging="720"/>
      </w:pPr>
      <w:r>
        <w:t xml:space="preserve">  </w:t>
      </w:r>
    </w:p>
    <w:p w:rsidR="00A92550" w:rsidRDefault="00C230CB" w:rsidP="00EC6D2C">
      <w:pPr>
        <w:pStyle w:val="WUTCParagraph"/>
      </w:pPr>
      <w:r>
        <w:tab/>
        <w:t xml:space="preserve">PacifiCorp </w:t>
      </w:r>
      <w:r w:rsidR="00C6469A">
        <w:t>disagrees with</w:t>
      </w:r>
      <w:r>
        <w:t xml:space="preserve"> the Commission’s conclusion that the Company did not dispute the accuracy of ICNU’s arbitrage adjustment numbers.</w:t>
      </w:r>
      <w:r w:rsidRPr="00634E9E">
        <w:rPr>
          <w:rStyle w:val="FootnoteReference"/>
        </w:rPr>
        <w:footnoteReference w:id="17"/>
      </w:r>
      <w:r w:rsidRPr="00634E9E">
        <w:rPr>
          <w:vertAlign w:val="superscript"/>
        </w:rPr>
        <w:t>/</w:t>
      </w:r>
      <w:r>
        <w:t xml:space="preserve">  PacifiCorp claims that it actually challenged the accuracy and completeness of ICNU’s calculations on the grounds that: 1) declining sales numbers support use of the most recent year rather than Mr. Falkenberg’s four year average; and 2) the overall adjustment would be lower if trading margins were included in the adjustment.</w:t>
      </w:r>
      <w:r w:rsidRPr="00634E9E">
        <w:rPr>
          <w:rStyle w:val="FootnoteReference"/>
        </w:rPr>
        <w:footnoteReference w:id="18"/>
      </w:r>
      <w:r w:rsidRPr="00634E9E">
        <w:rPr>
          <w:vertAlign w:val="superscript"/>
        </w:rPr>
        <w:t>/</w:t>
      </w:r>
      <w:r>
        <w:t xml:space="preserve">  </w:t>
      </w:r>
      <w:r w:rsidR="008121C0">
        <w:t xml:space="preserve">PacifiCorp’s disagreement </w:t>
      </w:r>
      <w:r w:rsidR="00C6469A">
        <w:t xml:space="preserve">with the manner in which the arbitrage adjustment is calculated </w:t>
      </w:r>
      <w:r w:rsidR="008121C0">
        <w:t xml:space="preserve">does not mean that there are any errors </w:t>
      </w:r>
      <w:r w:rsidR="00C6469A">
        <w:t>or omissions</w:t>
      </w:r>
      <w:r w:rsidR="00A92550">
        <w:t>.</w:t>
      </w:r>
    </w:p>
    <w:p w:rsidR="00C230CB" w:rsidRDefault="00A92550" w:rsidP="00EC6D2C">
      <w:pPr>
        <w:pStyle w:val="WUTCParagraph"/>
      </w:pPr>
      <w:r>
        <w:lastRenderedPageBreak/>
        <w:tab/>
      </w:r>
      <w:r w:rsidR="00B55C04">
        <w:t xml:space="preserve">PacifiCorp’s argument that trading margins should be included in the arbitrage adjustment does not address the accuracy of the adjustment, but </w:t>
      </w:r>
      <w:r w:rsidR="008121C0">
        <w:t>simply renews the</w:t>
      </w:r>
      <w:r w:rsidR="00B55C04">
        <w:t xml:space="preserve"> Company’s disagreement with the </w:t>
      </w:r>
      <w:r w:rsidR="004068D5">
        <w:t xml:space="preserve">types of transactions that </w:t>
      </w:r>
      <w:r w:rsidR="008121C0">
        <w:t>should be</w:t>
      </w:r>
      <w:r w:rsidR="004068D5">
        <w:t xml:space="preserve"> included.  As ICNU’s testimony and briefing explained, the arbitrage adjustment should include arbitrage transactions, but trading </w:t>
      </w:r>
      <w:r w:rsidR="0080490C">
        <w:t xml:space="preserve">margins </w:t>
      </w:r>
      <w:r w:rsidR="004068D5">
        <w:t xml:space="preserve">should be excluded because they are risky transactions </w:t>
      </w:r>
      <w:r w:rsidR="0080490C">
        <w:t xml:space="preserve">and </w:t>
      </w:r>
      <w:r w:rsidR="00ED32E8">
        <w:t xml:space="preserve">PacifiCorp’s </w:t>
      </w:r>
      <w:r w:rsidR="004068D5">
        <w:t>responsib</w:t>
      </w:r>
      <w:r w:rsidR="00ED32E8">
        <w:t>i</w:t>
      </w:r>
      <w:r w:rsidR="004068D5">
        <w:t>l</w:t>
      </w:r>
      <w:r w:rsidR="00ED32E8">
        <w:t>ity</w:t>
      </w:r>
      <w:r w:rsidR="004068D5">
        <w:t>.</w:t>
      </w:r>
      <w:r w:rsidR="004068D5" w:rsidRPr="0051378D">
        <w:rPr>
          <w:rStyle w:val="FootnoteReference"/>
        </w:rPr>
        <w:footnoteReference w:id="19"/>
      </w:r>
      <w:r w:rsidR="004068D5" w:rsidRPr="0051378D">
        <w:rPr>
          <w:vertAlign w:val="superscript"/>
        </w:rPr>
        <w:t>/</w:t>
      </w:r>
      <w:r w:rsidR="004068D5">
        <w:t xml:space="preserve">  </w:t>
      </w:r>
      <w:r w:rsidR="00ED32E8">
        <w:t>The Company did not dispute ICNU’s calculation of the arbitrage sales, but argue</w:t>
      </w:r>
      <w:r w:rsidR="00B85F59">
        <w:t>d</w:t>
      </w:r>
      <w:r w:rsidR="0080490C">
        <w:t xml:space="preserve"> that</w:t>
      </w:r>
      <w:r w:rsidR="00ED32E8">
        <w:t xml:space="preserve"> trading transactions should be included.</w:t>
      </w:r>
      <w:r w:rsidR="00757A40">
        <w:rPr>
          <w:rStyle w:val="FootnoteReference"/>
        </w:rPr>
        <w:footnoteReference w:id="20"/>
      </w:r>
      <w:r w:rsidR="00757A40" w:rsidRPr="00530ED0">
        <w:rPr>
          <w:vertAlign w:val="superscript"/>
        </w:rPr>
        <w:t>/</w:t>
      </w:r>
      <w:r w:rsidR="00ED32E8">
        <w:t xml:space="preserve">  This issue was presented to, and resolved by</w:t>
      </w:r>
      <w:r w:rsidR="00C6469A">
        <w:t>,</w:t>
      </w:r>
      <w:r w:rsidR="00ED32E8">
        <w:t xml:space="preserve"> the Commission</w:t>
      </w:r>
      <w:r>
        <w:t xml:space="preserve"> </w:t>
      </w:r>
      <w:r w:rsidR="00ED32E8">
        <w:t>without error.</w:t>
      </w:r>
    </w:p>
    <w:p w:rsidR="00ED32E8" w:rsidRDefault="00ED32E8" w:rsidP="00EC6D2C">
      <w:pPr>
        <w:pStyle w:val="WUTCParagraph"/>
      </w:pPr>
      <w:r>
        <w:tab/>
        <w:t xml:space="preserve">The Company also argues that it challenged ICNU’s </w:t>
      </w:r>
      <w:r w:rsidR="008121C0">
        <w:t xml:space="preserve">adjustment </w:t>
      </w:r>
      <w:r>
        <w:t xml:space="preserve">as not being representative of sales during the test period because </w:t>
      </w:r>
      <w:r w:rsidR="008121C0">
        <w:t>PacifiCorp</w:t>
      </w:r>
      <w:r>
        <w:t xml:space="preserve"> “argued that the low sales numbers from the most recent year undermined the basis for the adjustment in the first instance.”</w:t>
      </w:r>
      <w:r w:rsidRPr="0051378D">
        <w:rPr>
          <w:rStyle w:val="FootnoteReference"/>
        </w:rPr>
        <w:footnoteReference w:id="21"/>
      </w:r>
      <w:r w:rsidRPr="0051378D">
        <w:rPr>
          <w:vertAlign w:val="superscript"/>
        </w:rPr>
        <w:t>/</w:t>
      </w:r>
      <w:r>
        <w:t xml:space="preserve">  The Company argued in briefing that the use of the most recent year instead of a four-year average would produce a smaller revenue requirement adjustment, but the Company never presented any evidence or argument that use of a single year would more accurately estimate the arbitrage amounts that are expected to occur during the test period.</w:t>
      </w:r>
      <w:r w:rsidR="00757A40">
        <w:rPr>
          <w:rStyle w:val="FootnoteReference"/>
        </w:rPr>
        <w:footnoteReference w:id="22"/>
      </w:r>
      <w:r w:rsidR="00757A40" w:rsidRPr="00530ED0">
        <w:rPr>
          <w:vertAlign w:val="superscript"/>
        </w:rPr>
        <w:t>/</w:t>
      </w:r>
      <w:r w:rsidR="00754ECD">
        <w:t xml:space="preserve">  Simply because an adjustment is larger or smaller does not bear upon its accuracy, and the evidence supports the recommendations of Messrs. Buckley and Falkenberg that a four year average most accurately estimates the arbitrage margins that will be anticipated during the rate effective period.  </w:t>
      </w:r>
      <w:r>
        <w:t xml:space="preserve"> </w:t>
      </w:r>
    </w:p>
    <w:p w:rsidR="00EC6D2C" w:rsidRDefault="00C230CB" w:rsidP="00417486">
      <w:pPr>
        <w:pStyle w:val="WUTCParagraph"/>
        <w:numPr>
          <w:ilvl w:val="0"/>
          <w:numId w:val="0"/>
        </w:numPr>
        <w:spacing w:line="240" w:lineRule="auto"/>
        <w:ind w:left="1440" w:hanging="720"/>
        <w:rPr>
          <w:b/>
        </w:rPr>
      </w:pPr>
      <w:r>
        <w:rPr>
          <w:b/>
        </w:rPr>
        <w:lastRenderedPageBreak/>
        <w:t>3</w:t>
      </w:r>
      <w:r w:rsidR="00417486">
        <w:rPr>
          <w:b/>
        </w:rPr>
        <w:t>.</w:t>
      </w:r>
      <w:r w:rsidR="00417486">
        <w:rPr>
          <w:b/>
        </w:rPr>
        <w:tab/>
        <w:t xml:space="preserve">The Commission Appropriately Removed the Non-Owned Wind Integration Costs from Rates </w:t>
      </w:r>
    </w:p>
    <w:p w:rsidR="00417486" w:rsidRPr="00417486" w:rsidRDefault="00417486" w:rsidP="00417486">
      <w:pPr>
        <w:pStyle w:val="WUTCParagraph"/>
        <w:numPr>
          <w:ilvl w:val="0"/>
          <w:numId w:val="0"/>
        </w:numPr>
        <w:spacing w:line="240" w:lineRule="auto"/>
        <w:ind w:left="1440" w:hanging="720"/>
        <w:rPr>
          <w:b/>
        </w:rPr>
      </w:pPr>
    </w:p>
    <w:p w:rsidR="00425725" w:rsidRDefault="00417486" w:rsidP="00EC6D2C">
      <w:pPr>
        <w:pStyle w:val="WUTCParagraph"/>
      </w:pPr>
      <w:r>
        <w:tab/>
        <w:t xml:space="preserve">PacifiCorp argues that the Commission erred when it concluded that the Company did not meet its burden of proof to establish that its wind integration </w:t>
      </w:r>
      <w:r w:rsidR="00B95CE1">
        <w:t>costs were known and measurable.</w:t>
      </w:r>
      <w:r w:rsidR="00B95CE1" w:rsidRPr="00634E9E">
        <w:rPr>
          <w:rStyle w:val="FootnoteReference"/>
        </w:rPr>
        <w:footnoteReference w:id="23"/>
      </w:r>
      <w:r w:rsidR="00B95CE1" w:rsidRPr="00634E9E">
        <w:rPr>
          <w:vertAlign w:val="superscript"/>
        </w:rPr>
        <w:t>/</w:t>
      </w:r>
      <w:r>
        <w:t xml:space="preserve"> </w:t>
      </w:r>
      <w:r w:rsidR="00B95CE1">
        <w:t xml:space="preserve"> Separately, the Company argues that </w:t>
      </w:r>
      <w:r>
        <w:t xml:space="preserve">the Supremacy Clause of the United States Constitution does not require the Commission </w:t>
      </w:r>
      <w:r w:rsidR="008121C0">
        <w:t>to charge retail ratepayers the</w:t>
      </w:r>
      <w:r>
        <w:t xml:space="preserve"> costs associated with non-owned wind generators.</w:t>
      </w:r>
      <w:r w:rsidRPr="00634E9E">
        <w:rPr>
          <w:rStyle w:val="FootnoteReference"/>
        </w:rPr>
        <w:footnoteReference w:id="24"/>
      </w:r>
      <w:r w:rsidRPr="00634E9E">
        <w:rPr>
          <w:vertAlign w:val="superscript"/>
        </w:rPr>
        <w:t>/</w:t>
      </w:r>
      <w:r>
        <w:t xml:space="preserve">  </w:t>
      </w:r>
      <w:r w:rsidR="00972E92">
        <w:t>The record fully supports the Commission’s conclusions that the non-owned intra</w:t>
      </w:r>
      <w:r w:rsidR="00B04A5C">
        <w:t>-</w:t>
      </w:r>
      <w:r w:rsidR="00972E92">
        <w:t>hour wind integration costs are not known and measurable and likely inflated.  PacifiCorp’s arguments regarding the Supremacy Clause merely repeat its previously raised concerns, which were rejected.</w:t>
      </w:r>
      <w:r w:rsidR="00125C08">
        <w:rPr>
          <w:rStyle w:val="FootnoteReference"/>
        </w:rPr>
        <w:footnoteReference w:id="25"/>
      </w:r>
      <w:r w:rsidR="00125C08" w:rsidRPr="00634E9E">
        <w:rPr>
          <w:vertAlign w:val="superscript"/>
        </w:rPr>
        <w:t>/</w:t>
      </w:r>
      <w:r w:rsidR="00972E92">
        <w:t xml:space="preserve">  The Supremacy Clause does not require th</w:t>
      </w:r>
      <w:r w:rsidR="00D777B3">
        <w:t>e</w:t>
      </w:r>
      <w:r w:rsidR="00972E92">
        <w:t xml:space="preserve"> </w:t>
      </w:r>
      <w:r w:rsidR="00D777B3">
        <w:t>WUTC</w:t>
      </w:r>
      <w:r w:rsidR="00972E92">
        <w:t xml:space="preserve"> to pass to retail ratepayers costs that the Federal Energy Regulatory Commission (“FERC”) has not approved as part of PacifiCorp’s </w:t>
      </w:r>
      <w:r w:rsidR="008121C0">
        <w:t>wholesale transmission</w:t>
      </w:r>
      <w:r w:rsidR="00972E92">
        <w:t xml:space="preserve"> rates.   </w:t>
      </w:r>
      <w:r>
        <w:t xml:space="preserve"> </w:t>
      </w:r>
      <w:r>
        <w:tab/>
        <w:t xml:space="preserve"> </w:t>
      </w:r>
    </w:p>
    <w:p w:rsidR="00417486" w:rsidRDefault="00417486" w:rsidP="00EC6D2C">
      <w:pPr>
        <w:pStyle w:val="WUTCParagraph"/>
      </w:pPr>
      <w:r>
        <w:t xml:space="preserve">  </w:t>
      </w:r>
      <w:r w:rsidR="00972E92">
        <w:tab/>
        <w:t>The Commission correctly concluded that</w:t>
      </w:r>
      <w:r w:rsidR="0080490C">
        <w:t>: 1)</w:t>
      </w:r>
      <w:r w:rsidR="00972E92">
        <w:t xml:space="preserve"> the huge increase in intra</w:t>
      </w:r>
      <w:r w:rsidR="003F22BA">
        <w:t>-</w:t>
      </w:r>
      <w:r w:rsidR="00972E92">
        <w:t xml:space="preserve">hour wind integration costs was </w:t>
      </w:r>
      <w:r w:rsidR="008121C0">
        <w:t xml:space="preserve">not </w:t>
      </w:r>
      <w:r w:rsidR="00972E92">
        <w:t>supported by substantial evidence in the record</w:t>
      </w:r>
      <w:r w:rsidR="0080490C">
        <w:t>;</w:t>
      </w:r>
      <w:r w:rsidR="00972E92">
        <w:t xml:space="preserve"> and</w:t>
      </w:r>
      <w:r w:rsidR="0080490C">
        <w:t xml:space="preserve"> 2)</w:t>
      </w:r>
      <w:r w:rsidR="00972E92">
        <w:t xml:space="preserve"> the Company </w:t>
      </w:r>
      <w:r w:rsidR="0080490C">
        <w:t>did</w:t>
      </w:r>
      <w:r w:rsidR="00972E92">
        <w:t xml:space="preserve"> not m</w:t>
      </w:r>
      <w:r w:rsidR="0080490C">
        <w:t>e</w:t>
      </w:r>
      <w:r w:rsidR="00972E92">
        <w:t xml:space="preserve">et its burden of proof that these costs were known and measurable.  ICNU and Staff submitted extensive testimony challenging PacifiCorp’s new wind integration calculations, and the Company </w:t>
      </w:r>
      <w:r w:rsidR="008121C0">
        <w:t xml:space="preserve">even </w:t>
      </w:r>
      <w:r w:rsidR="00972E92">
        <w:t xml:space="preserve">agreed with some of these complaints removing </w:t>
      </w:r>
      <w:r w:rsidR="008121C0">
        <w:t>certain</w:t>
      </w:r>
      <w:r w:rsidR="00972E92">
        <w:t xml:space="preserve"> wind integration costs from its filing.</w:t>
      </w:r>
      <w:r w:rsidR="00751B6C">
        <w:rPr>
          <w:rStyle w:val="FootnoteReference"/>
        </w:rPr>
        <w:footnoteReference w:id="26"/>
      </w:r>
      <w:r w:rsidR="00751B6C" w:rsidRPr="004E1090">
        <w:rPr>
          <w:vertAlign w:val="superscript"/>
        </w:rPr>
        <w:t>/</w:t>
      </w:r>
      <w:r w:rsidR="00972E92">
        <w:t xml:space="preserve">  The Company’s disagreement with the Commission’s reliance upon this evidence is not grounds for reconsideration.  </w:t>
      </w:r>
    </w:p>
    <w:p w:rsidR="003C1AFB" w:rsidRDefault="00751B6C" w:rsidP="00D02344">
      <w:pPr>
        <w:pStyle w:val="WUTCParagraph"/>
      </w:pPr>
      <w:r>
        <w:lastRenderedPageBreak/>
        <w:tab/>
      </w:r>
      <w:r w:rsidR="00610FD5">
        <w:t>In addition, a</w:t>
      </w:r>
      <w:r>
        <w:t xml:space="preserve">s already fully explained in ICNU’s and Staff’s briefs and the </w:t>
      </w:r>
      <w:r w:rsidR="00B04A5C">
        <w:t>WUTC</w:t>
      </w:r>
      <w:r>
        <w:t xml:space="preserve"> order, PacifiCorp’s Supremacy Clause arguments are without merit.  </w:t>
      </w:r>
      <w:r w:rsidR="00B03CF9">
        <w:t>PacifiCorp is simply using the reconsideration process as an improper attempt to respond to ICNU’s and Staff’s reply briefs</w:t>
      </w:r>
      <w:r w:rsidR="00C6469A">
        <w:t>, and the Final Order</w:t>
      </w:r>
      <w:r w:rsidR="00B03CF9">
        <w:t xml:space="preserve">.  </w:t>
      </w:r>
      <w:r w:rsidR="00326438">
        <w:t xml:space="preserve">The Petition relies upon </w:t>
      </w:r>
      <w:r w:rsidR="001425D9" w:rsidRPr="001425D9">
        <w:rPr>
          <w:u w:val="single"/>
        </w:rPr>
        <w:t>Mississippi Power &amp; Light Co. v. Mississippi</w:t>
      </w:r>
      <w:r w:rsidR="001425D9">
        <w:t>, to argue that Washington retail customers must pay for any costs that the Company allegedly incurs to provide service to its wholesale customers.</w:t>
      </w:r>
      <w:r w:rsidR="001425D9" w:rsidRPr="00634E9E">
        <w:rPr>
          <w:rStyle w:val="FootnoteReference"/>
        </w:rPr>
        <w:footnoteReference w:id="27"/>
      </w:r>
      <w:r w:rsidR="001425D9" w:rsidRPr="00634E9E">
        <w:rPr>
          <w:vertAlign w:val="superscript"/>
        </w:rPr>
        <w:t>/</w:t>
      </w:r>
      <w:r w:rsidR="001425D9">
        <w:t xml:space="preserve">  </w:t>
      </w:r>
      <w:r w:rsidR="00E62A9F">
        <w:t xml:space="preserve">The </w:t>
      </w:r>
      <w:r w:rsidR="00C6469A">
        <w:t xml:space="preserve">U. S. </w:t>
      </w:r>
      <w:r w:rsidR="00B12B45">
        <w:t>Supreme Court has made it clear that a state regulatory commission cannot collaterally attack a FERC rate determination and must pass through the rates or charges in a FERC approved rate.</w:t>
      </w:r>
      <w:r w:rsidR="00B12B45" w:rsidRPr="00634E9E">
        <w:rPr>
          <w:rStyle w:val="FootnoteReference"/>
        </w:rPr>
        <w:footnoteReference w:id="28"/>
      </w:r>
      <w:r w:rsidR="00B12B45" w:rsidRPr="00634E9E">
        <w:rPr>
          <w:vertAlign w:val="superscript"/>
        </w:rPr>
        <w:t>/</w:t>
      </w:r>
      <w:r w:rsidR="00B12B45">
        <w:t xml:space="preserve">  </w:t>
      </w:r>
      <w:r w:rsidR="00E62A9F">
        <w:t>The Supreme Court’s conclusion is based on the well accepted principle that the FERC approved rate is just and reasonable</w:t>
      </w:r>
      <w:r w:rsidR="00682C0D">
        <w:t xml:space="preserve"> and that a state commission cannot assume that a different rate is appropriate.</w:t>
      </w:r>
      <w:r w:rsidR="00682C0D" w:rsidRPr="00634E9E">
        <w:rPr>
          <w:rStyle w:val="FootnoteReference"/>
        </w:rPr>
        <w:footnoteReference w:id="29"/>
      </w:r>
      <w:r w:rsidR="00682C0D" w:rsidRPr="00634E9E">
        <w:rPr>
          <w:vertAlign w:val="superscript"/>
        </w:rPr>
        <w:t>/</w:t>
      </w:r>
      <w:r w:rsidR="00682C0D">
        <w:t xml:space="preserve">  </w:t>
      </w:r>
    </w:p>
    <w:p w:rsidR="00E62A9F" w:rsidRDefault="003C1AFB" w:rsidP="00D02344">
      <w:pPr>
        <w:pStyle w:val="WUTCParagraph"/>
      </w:pPr>
      <w:r>
        <w:tab/>
      </w:r>
      <w:r w:rsidR="009E76E9">
        <w:t xml:space="preserve">In essence, </w:t>
      </w:r>
      <w:r>
        <w:t xml:space="preserve">PacifiCorp’s argument is that any expense the Company claims is related to serving its wholesale customers and that the Company claims is not being recovered in its wholesale transmission rates must be fully paid for by its retail customers.  As explained in ICNU’s earlier briefing, the cases cited by PacifiCorp do not stand for this nonsensical interpretation.  </w:t>
      </w:r>
      <w:r w:rsidR="00B95CE1">
        <w:t xml:space="preserve">If the WUTC were to find that </w:t>
      </w:r>
      <w:r w:rsidR="00286342">
        <w:t xml:space="preserve">retail ratepayers must pay higher rates because </w:t>
      </w:r>
      <w:r w:rsidR="00B95CE1">
        <w:t>PacifiCorp’s transmission rates are insufficient to recover its costs or should include an intra-hour wind integration charge, then</w:t>
      </w:r>
      <w:r w:rsidR="0080490C" w:rsidRPr="0080490C">
        <w:t xml:space="preserve"> </w:t>
      </w:r>
      <w:r w:rsidR="0080490C">
        <w:t>essentially</w:t>
      </w:r>
      <w:r w:rsidR="00B95CE1">
        <w:t xml:space="preserve"> the </w:t>
      </w:r>
      <w:r w:rsidR="00B04A5C">
        <w:t>WUTC</w:t>
      </w:r>
      <w:r w:rsidR="00286342">
        <w:t xml:space="preserve"> would be challenging </w:t>
      </w:r>
      <w:r>
        <w:t>F</w:t>
      </w:r>
      <w:r w:rsidR="00F14D88">
        <w:t>ERC</w:t>
      </w:r>
      <w:r>
        <w:t>’s previous</w:t>
      </w:r>
      <w:r w:rsidR="00F14D88">
        <w:t xml:space="preserve"> determin</w:t>
      </w:r>
      <w:r>
        <w:t xml:space="preserve">ations </w:t>
      </w:r>
      <w:r w:rsidR="00F14D88">
        <w:t>that PacifiCorp’s transmission rates are fair, just, reasonable and sufficient</w:t>
      </w:r>
      <w:r>
        <w:t xml:space="preserve">.  Thus, the WUTC </w:t>
      </w:r>
      <w:r w:rsidR="00F14D88">
        <w:t>would violate the Supremacy Clause</w:t>
      </w:r>
      <w:r w:rsidR="00286342">
        <w:t xml:space="preserve"> by concluding that PacifiCorp’s transmission </w:t>
      </w:r>
      <w:r w:rsidR="00286342">
        <w:lastRenderedPageBreak/>
        <w:t>rates are not reasonable</w:t>
      </w:r>
      <w:r w:rsidR="00D02344">
        <w:t>.</w:t>
      </w:r>
      <w:r w:rsidR="00D02344" w:rsidRPr="00634E9E">
        <w:rPr>
          <w:rStyle w:val="FootnoteReference"/>
        </w:rPr>
        <w:footnoteReference w:id="30"/>
      </w:r>
      <w:r w:rsidR="00D02344" w:rsidRPr="00634E9E">
        <w:rPr>
          <w:vertAlign w:val="superscript"/>
        </w:rPr>
        <w:t>/</w:t>
      </w:r>
      <w:r w:rsidR="00682C0D">
        <w:t xml:space="preserve"> </w:t>
      </w:r>
      <w:r>
        <w:t xml:space="preserve"> </w:t>
      </w:r>
      <w:r w:rsidR="007621B2">
        <w:t xml:space="preserve">If PacifiCorp believes its wholesale transmission rates do not fully compensate it for the costs it incurs to serve its wholesale transmission customers, </w:t>
      </w:r>
      <w:r w:rsidR="00C6469A">
        <w:t xml:space="preserve">then </w:t>
      </w:r>
      <w:r w:rsidR="007621B2">
        <w:t xml:space="preserve">the Company should request that FERC approve new transmission rates.  </w:t>
      </w:r>
    </w:p>
    <w:p w:rsidR="00BA611D" w:rsidRDefault="00BA611D" w:rsidP="00BA611D">
      <w:pPr>
        <w:pStyle w:val="WUTCParagraph"/>
        <w:numPr>
          <w:ilvl w:val="0"/>
          <w:numId w:val="0"/>
        </w:numPr>
        <w:spacing w:line="240" w:lineRule="auto"/>
        <w:ind w:left="1440" w:hanging="720"/>
        <w:rPr>
          <w:b/>
        </w:rPr>
      </w:pPr>
      <w:r>
        <w:rPr>
          <w:b/>
        </w:rPr>
        <w:t>4.</w:t>
      </w:r>
      <w:r>
        <w:rPr>
          <w:b/>
        </w:rPr>
        <w:tab/>
        <w:t>PacifiCorp’s $46,418 Wind Integration Revision</w:t>
      </w:r>
    </w:p>
    <w:p w:rsidR="00BA611D" w:rsidRDefault="00BA611D" w:rsidP="00BA611D">
      <w:pPr>
        <w:pStyle w:val="WUTCParagraph"/>
        <w:numPr>
          <w:ilvl w:val="0"/>
          <w:numId w:val="0"/>
        </w:numPr>
        <w:spacing w:line="240" w:lineRule="auto"/>
        <w:ind w:left="1440" w:hanging="720"/>
      </w:pPr>
      <w:r>
        <w:t xml:space="preserve"> </w:t>
      </w:r>
    </w:p>
    <w:p w:rsidR="00BA611D" w:rsidRDefault="00BA611D" w:rsidP="00D02344">
      <w:pPr>
        <w:pStyle w:val="WUTCParagraph"/>
      </w:pPr>
      <w:r>
        <w:tab/>
        <w:t>PacifiCorp proposes that the Commission’s $518,692 intra</w:t>
      </w:r>
      <w:r w:rsidR="003F22BA">
        <w:t>-</w:t>
      </w:r>
      <w:r>
        <w:t>hour wind integration adjustment should be reduced by $46,418 to account for the fact that the Company’s rebuttal case adopted part</w:t>
      </w:r>
      <w:r w:rsidR="00B04A5C">
        <w:t xml:space="preserve"> of</w:t>
      </w:r>
      <w:r>
        <w:t xml:space="preserve"> an ICNU wind integration</w:t>
      </w:r>
      <w:r w:rsidR="00B03CF9">
        <w:t xml:space="preserve"> adjustment</w:t>
      </w:r>
      <w:r>
        <w:t>.</w:t>
      </w:r>
      <w:r w:rsidR="0080490C">
        <w:rPr>
          <w:rStyle w:val="FootnoteReference"/>
        </w:rPr>
        <w:footnoteReference w:id="31"/>
      </w:r>
      <w:r w:rsidR="00ED0209" w:rsidRPr="00530ED0">
        <w:rPr>
          <w:vertAlign w:val="superscript"/>
        </w:rPr>
        <w:t>/</w:t>
      </w:r>
      <w:r>
        <w:t xml:space="preserve">  The Commission’s order agreed with both ICNU and Staff regarding intr</w:t>
      </w:r>
      <w:r w:rsidR="00B03CF9">
        <w:t>a</w:t>
      </w:r>
      <w:r w:rsidR="00B04A5C">
        <w:t>-</w:t>
      </w:r>
      <w:r>
        <w:t>hour wind integration costs, but specifically adopted Staff’s intra</w:t>
      </w:r>
      <w:r w:rsidR="00B04A5C">
        <w:t>-</w:t>
      </w:r>
      <w:r>
        <w:t>hour wind integration calculation.  PacifiCorp now argues that Staff’s wind integration amount s</w:t>
      </w:r>
      <w:r w:rsidR="005E4F5D">
        <w:t xml:space="preserve">hould be reduced because the Company’s rebuttal testimony </w:t>
      </w:r>
      <w:r w:rsidR="00B03CF9">
        <w:t xml:space="preserve">accepting part of ICNU’s adjustment </w:t>
      </w:r>
      <w:r w:rsidR="005E4F5D">
        <w:t xml:space="preserve">should also be considered </w:t>
      </w:r>
      <w:r w:rsidR="00610FD5">
        <w:t>when adopting</w:t>
      </w:r>
      <w:r w:rsidR="00B03CF9">
        <w:t xml:space="preserve"> part of</w:t>
      </w:r>
      <w:r w:rsidR="005E4F5D">
        <w:t xml:space="preserve"> Staff’s </w:t>
      </w:r>
      <w:r w:rsidR="00B03CF9">
        <w:t>adjustment</w:t>
      </w:r>
      <w:r w:rsidR="005E4F5D">
        <w:t>.</w:t>
      </w:r>
    </w:p>
    <w:p w:rsidR="005E4F5D" w:rsidRDefault="005E4F5D" w:rsidP="00D02344">
      <w:pPr>
        <w:pStyle w:val="WUTCParagraph"/>
      </w:pPr>
      <w:r>
        <w:tab/>
        <w:t>ICNU agrees in principle that PacifiCorp’s rebuttal t</w:t>
      </w:r>
      <w:r w:rsidR="00B03CF9">
        <w:t>estimony accepting</w:t>
      </w:r>
      <w:r>
        <w:t xml:space="preserve"> part of ICNU’s wind integration adjustment should in theory reduce the value of Staff’s wind integration adjustment.  </w:t>
      </w:r>
      <w:r w:rsidR="009E3E0E">
        <w:t>PacifiCorp, however, did not identify that its adjustment should also remove a portion of Staff’s adjustment when it filed its rebuttal testimony</w:t>
      </w:r>
      <w:r w:rsidR="00B03CF9">
        <w:t>, and t</w:t>
      </w:r>
      <w:r w:rsidR="009E3E0E">
        <w:t xml:space="preserve">he first </w:t>
      </w:r>
      <w:r w:rsidR="00005D65">
        <w:t>estimate of how PacifiCorp’s</w:t>
      </w:r>
      <w:r w:rsidR="009E3E0E">
        <w:t xml:space="preserve"> rebuttal</w:t>
      </w:r>
      <w:r w:rsidR="008F42F8">
        <w:t xml:space="preserve"> testimony would alter Staff’s adjustment </w:t>
      </w:r>
      <w:r w:rsidR="00005D65">
        <w:t>appeared in</w:t>
      </w:r>
      <w:r w:rsidR="008C6F17">
        <w:t xml:space="preserve"> this</w:t>
      </w:r>
      <w:r w:rsidR="008F42F8">
        <w:t xml:space="preserve"> </w:t>
      </w:r>
      <w:r w:rsidR="009E3E0E">
        <w:t>Petition.</w:t>
      </w:r>
      <w:r w:rsidR="008C6F17">
        <w:t xml:space="preserve">  Thus, any “error” in the Commission’s order is due to the Company’s negligence.  In addition, ICNU does not believe that it is generally appropriate for utilities to correct their own failure to provide appropriate information to the Commission in a reconsideration request</w:t>
      </w:r>
      <w:r w:rsidR="00005D65">
        <w:t>,</w:t>
      </w:r>
      <w:r w:rsidR="008C6F17">
        <w:t xml:space="preserve"> </w:t>
      </w:r>
      <w:r w:rsidR="00005D65">
        <w:t xml:space="preserve">as it may </w:t>
      </w:r>
      <w:r w:rsidR="008C6F17">
        <w:t xml:space="preserve">deprive other parties </w:t>
      </w:r>
      <w:r w:rsidR="00005D65">
        <w:t xml:space="preserve">of </w:t>
      </w:r>
      <w:r w:rsidR="008C6F17">
        <w:t xml:space="preserve">an opportunity to evaluate and respond.  </w:t>
      </w:r>
      <w:r w:rsidR="009E3E0E">
        <w:t xml:space="preserve">  </w:t>
      </w:r>
    </w:p>
    <w:p w:rsidR="00E361D5" w:rsidRDefault="009E6E31" w:rsidP="00E361D5">
      <w:pPr>
        <w:pStyle w:val="WUTCParagraph"/>
        <w:numPr>
          <w:ilvl w:val="0"/>
          <w:numId w:val="0"/>
        </w:numPr>
        <w:spacing w:line="240" w:lineRule="auto"/>
        <w:ind w:left="1440" w:hanging="720"/>
        <w:rPr>
          <w:b/>
        </w:rPr>
      </w:pPr>
      <w:r>
        <w:rPr>
          <w:b/>
        </w:rPr>
        <w:lastRenderedPageBreak/>
        <w:t>5</w:t>
      </w:r>
      <w:r w:rsidR="00754ECD">
        <w:rPr>
          <w:b/>
        </w:rPr>
        <w:t>.</w:t>
      </w:r>
      <w:r w:rsidR="00754ECD">
        <w:rPr>
          <w:b/>
        </w:rPr>
        <w:tab/>
        <w:t xml:space="preserve">ICNU’s Minimum Loading and Deration Adjustments </w:t>
      </w:r>
      <w:r w:rsidR="00C6469A">
        <w:rPr>
          <w:b/>
        </w:rPr>
        <w:t>Correct Errors in GRID that Unnecessarily Inflate Power Costs</w:t>
      </w:r>
    </w:p>
    <w:p w:rsidR="00E361D5" w:rsidRPr="00754ECD" w:rsidRDefault="00E361D5" w:rsidP="00E361D5">
      <w:pPr>
        <w:pStyle w:val="WUTCParagraph"/>
        <w:numPr>
          <w:ilvl w:val="0"/>
          <w:numId w:val="0"/>
        </w:numPr>
        <w:spacing w:line="240" w:lineRule="auto"/>
        <w:ind w:left="1440" w:hanging="720"/>
        <w:rPr>
          <w:b/>
        </w:rPr>
      </w:pPr>
    </w:p>
    <w:p w:rsidR="00417486" w:rsidRDefault="002F7054" w:rsidP="00EC6D2C">
      <w:pPr>
        <w:pStyle w:val="WUTCParagraph"/>
      </w:pPr>
      <w:r>
        <w:tab/>
      </w:r>
      <w:r w:rsidR="00E361D5">
        <w:t>PacifiCorp argues that the Commission’s adoption of ICNU’s minimum loading and deration adjustments “is erroneous and not based on substantial evidence” because the Commission’s conclusion that ICNU’s adjustment “appears” to be more accurate is too “ambiguous.”</w:t>
      </w:r>
      <w:r w:rsidR="00E361D5" w:rsidRPr="00634E9E">
        <w:rPr>
          <w:rStyle w:val="FootnoteReference"/>
        </w:rPr>
        <w:footnoteReference w:id="32"/>
      </w:r>
      <w:r w:rsidR="00E361D5" w:rsidRPr="00D02344">
        <w:rPr>
          <w:vertAlign w:val="superscript"/>
        </w:rPr>
        <w:t>/</w:t>
      </w:r>
      <w:r w:rsidR="00E361D5">
        <w:t xml:space="preserve"> </w:t>
      </w:r>
      <w:r w:rsidR="001425D9">
        <w:t xml:space="preserve"> </w:t>
      </w:r>
      <w:r w:rsidR="008A376C">
        <w:t xml:space="preserve">PacifiCorp also requests that the Commission reconsider its conclusion </w:t>
      </w:r>
      <w:r w:rsidR="0064529E">
        <w:t>because the Company argued that its approach was better.</w:t>
      </w:r>
      <w:r w:rsidR="0064529E" w:rsidRPr="00634E9E">
        <w:rPr>
          <w:rStyle w:val="FootnoteReference"/>
        </w:rPr>
        <w:footnoteReference w:id="33"/>
      </w:r>
      <w:r w:rsidR="0064529E" w:rsidRPr="00D02344">
        <w:rPr>
          <w:vertAlign w:val="superscript"/>
        </w:rPr>
        <w:t>/</w:t>
      </w:r>
      <w:r w:rsidR="0064529E">
        <w:t xml:space="preserve">  </w:t>
      </w:r>
      <w:r w:rsidR="00005D65">
        <w:t>Not only does PacifiCorp repeat</w:t>
      </w:r>
      <w:r w:rsidR="009E6E31">
        <w:t xml:space="preserve"> arguments raised in its testimony and previous briefs,</w:t>
      </w:r>
      <w:r w:rsidR="00005D65">
        <w:t xml:space="preserve"> but</w:t>
      </w:r>
      <w:r w:rsidR="009E6E31">
        <w:t xml:space="preserve"> </w:t>
      </w:r>
      <w:r w:rsidR="0064529E">
        <w:t xml:space="preserve">ICNU </w:t>
      </w:r>
      <w:r w:rsidR="00005D65">
        <w:t xml:space="preserve">also </w:t>
      </w:r>
      <w:r w:rsidR="0064529E">
        <w:t>notes that PacifiCorp appears to have put more effort into addressing these issues in its Petition than the Company did in its previous rounds of briefing.</w:t>
      </w:r>
      <w:r w:rsidR="0064529E" w:rsidRPr="00634E9E">
        <w:rPr>
          <w:rStyle w:val="FootnoteReference"/>
        </w:rPr>
        <w:footnoteReference w:id="34"/>
      </w:r>
      <w:r w:rsidR="0064529E" w:rsidRPr="00D02344">
        <w:rPr>
          <w:vertAlign w:val="superscript"/>
        </w:rPr>
        <w:t>/</w:t>
      </w:r>
      <w:r w:rsidR="0064529E">
        <w:t xml:space="preserve">   </w:t>
      </w:r>
    </w:p>
    <w:p w:rsidR="006213E4" w:rsidRDefault="006213E4" w:rsidP="00EC6D2C">
      <w:pPr>
        <w:pStyle w:val="WUTCParagraph"/>
      </w:pPr>
      <w:r>
        <w:tab/>
      </w:r>
      <w:r w:rsidR="00DF65E1">
        <w:t>PacifiCorp</w:t>
      </w:r>
      <w:r>
        <w:t xml:space="preserve"> claim</w:t>
      </w:r>
      <w:r w:rsidR="00DF65E1">
        <w:t>s</w:t>
      </w:r>
      <w:r>
        <w:t xml:space="preserve"> that the Commission’s conclusions are not based on substantial evidence, </w:t>
      </w:r>
      <w:r w:rsidR="00DF65E1">
        <w:t xml:space="preserve">but </w:t>
      </w:r>
      <w:r>
        <w:t xml:space="preserve">the Company notably does not explain the meaning of the </w:t>
      </w:r>
      <w:r w:rsidR="00B04A5C">
        <w:t xml:space="preserve">legal </w:t>
      </w:r>
      <w:r>
        <w:t xml:space="preserve">standard. </w:t>
      </w:r>
      <w:r w:rsidR="00B04A5C">
        <w:t xml:space="preserve"> </w:t>
      </w:r>
      <w:r>
        <w:t>Substantial evidence exists if a rational, fair minded person would be convinced by it.</w:t>
      </w:r>
      <w:r w:rsidRPr="00634E9E">
        <w:rPr>
          <w:rStyle w:val="FootnoteReference"/>
        </w:rPr>
        <w:footnoteReference w:id="35"/>
      </w:r>
      <w:r w:rsidRPr="00D02344">
        <w:rPr>
          <w:vertAlign w:val="superscript"/>
        </w:rPr>
        <w:t>/</w:t>
      </w:r>
      <w:r>
        <w:t xml:space="preserve">   </w:t>
      </w:r>
      <w:r w:rsidR="00504C9F">
        <w:t>Sub</w:t>
      </w:r>
      <w:r w:rsidR="00832C52">
        <w:t>stantial evidence does not mean the absence of contrary evidence, but that the evidence and reasonable inferences viewed in the manner most favorable to the prevailing party supports the factual conclusions.</w:t>
      </w:r>
      <w:r w:rsidR="00832C52" w:rsidRPr="00634E9E">
        <w:rPr>
          <w:rStyle w:val="FootnoteReference"/>
        </w:rPr>
        <w:footnoteReference w:id="36"/>
      </w:r>
      <w:r w:rsidR="00832C52" w:rsidRPr="00D02344">
        <w:rPr>
          <w:vertAlign w:val="superscript"/>
        </w:rPr>
        <w:t>/</w:t>
      </w:r>
      <w:r w:rsidR="00832C52">
        <w:t xml:space="preserve">  Not only are the Commission’s conclusions support</w:t>
      </w:r>
      <w:r w:rsidR="00DF65E1">
        <w:t xml:space="preserve">ed by substantial evidence, </w:t>
      </w:r>
      <w:r w:rsidR="00B04A5C">
        <w:t xml:space="preserve">but </w:t>
      </w:r>
      <w:r w:rsidR="00DF65E1">
        <w:t>the Commission has</w:t>
      </w:r>
      <w:r w:rsidR="00832C52">
        <w:t xml:space="preserve"> </w:t>
      </w:r>
      <w:r w:rsidR="00915E73">
        <w:t xml:space="preserve">corrected a serious defect in the manner in which PacifiCorp models minimum loading and derations.  </w:t>
      </w:r>
    </w:p>
    <w:p w:rsidR="00610FD5" w:rsidRDefault="00915E73" w:rsidP="00891B1E">
      <w:pPr>
        <w:pStyle w:val="WUTCParagraph"/>
      </w:pPr>
      <w:r>
        <w:lastRenderedPageBreak/>
        <w:tab/>
        <w:t>PacifiCorp claims that the Commission’s conclusions are erroneous and not based on substantial evidence because the Company testified to alleged flaws in ICNU’s deration and  minimum loading adjustments.</w:t>
      </w:r>
      <w:r w:rsidRPr="00634E9E">
        <w:rPr>
          <w:rStyle w:val="FootnoteReference"/>
        </w:rPr>
        <w:footnoteReference w:id="37"/>
      </w:r>
      <w:r w:rsidRPr="00D02344">
        <w:rPr>
          <w:vertAlign w:val="superscript"/>
        </w:rPr>
        <w:t>/</w:t>
      </w:r>
      <w:r>
        <w:t xml:space="preserve">  Specifically, PacifiCorp claims that: 1) the deration adjustment will only apply when a unit is dispatched at its maximum capacity; 2) ICNU’s proposal would understate the heat rate; and 3) ICNU’s proposal is unrealistic because it reduces the minimum generating of units below their technical capability.</w:t>
      </w:r>
      <w:r w:rsidRPr="00634E9E">
        <w:rPr>
          <w:rStyle w:val="FootnoteReference"/>
        </w:rPr>
        <w:footnoteReference w:id="38"/>
      </w:r>
      <w:r w:rsidRPr="00D02344">
        <w:rPr>
          <w:vertAlign w:val="superscript"/>
        </w:rPr>
        <w:t>/</w:t>
      </w:r>
      <w:r>
        <w:t xml:space="preserve">  PacifiCorp raised each of these arguments in its testimony and initial brief</w:t>
      </w:r>
      <w:r w:rsidR="009C7AC0">
        <w:t>,</w:t>
      </w:r>
      <w:r>
        <w:t xml:space="preserve"> and </w:t>
      </w:r>
      <w:r w:rsidR="009C7AC0">
        <w:t xml:space="preserve">they all </w:t>
      </w:r>
      <w:r>
        <w:t>were rebutted in testimony and briefing.</w:t>
      </w:r>
      <w:r w:rsidRPr="00634E9E">
        <w:rPr>
          <w:rStyle w:val="FootnoteReference"/>
        </w:rPr>
        <w:footnoteReference w:id="39"/>
      </w:r>
      <w:r w:rsidRPr="00D02344">
        <w:rPr>
          <w:vertAlign w:val="superscript"/>
        </w:rPr>
        <w:t>/</w:t>
      </w:r>
      <w:r>
        <w:t xml:space="preserve">  </w:t>
      </w:r>
    </w:p>
    <w:p w:rsidR="00891B1E" w:rsidRDefault="00610FD5" w:rsidP="00891B1E">
      <w:pPr>
        <w:pStyle w:val="WUTCParagraph"/>
      </w:pPr>
      <w:r>
        <w:tab/>
      </w:r>
      <w:r w:rsidR="00FB3E71">
        <w:t>ICNU explained that Mr. Falkenb</w:t>
      </w:r>
      <w:r w:rsidR="00005D65">
        <w:t>erg’s proposal does not inflate</w:t>
      </w:r>
      <w:r w:rsidR="00FB3E71">
        <w:t xml:space="preserve"> heat rates, and that PacifiCorp’s concerns only apply to the very small amount of time when generation units operate between the minimum and maximum derated capacities.</w:t>
      </w:r>
      <w:r w:rsidR="00FB3E71" w:rsidRPr="0051378D">
        <w:rPr>
          <w:rStyle w:val="FootnoteReference"/>
        </w:rPr>
        <w:footnoteReference w:id="40"/>
      </w:r>
      <w:r w:rsidR="00FB3E71" w:rsidRPr="00F435DC">
        <w:rPr>
          <w:vertAlign w:val="superscript"/>
        </w:rPr>
        <w:t>/</w:t>
      </w:r>
      <w:r w:rsidR="00FB3E71">
        <w:t xml:space="preserve">  </w:t>
      </w:r>
      <w:r w:rsidR="00FC0A57">
        <w:t xml:space="preserve">Thus, even if PacifiCorp were correct, the Company has not addressed the much larger flaws, which must be fixed since PacifiCorp </w:t>
      </w:r>
      <w:r w:rsidR="00546E07">
        <w:t>uses</w:t>
      </w:r>
      <w:r w:rsidR="00FC0A57">
        <w:t xml:space="preserve"> a deration approach to modeling forced outages.</w:t>
      </w:r>
      <w:r w:rsidR="00FC0A57" w:rsidRPr="0051378D">
        <w:rPr>
          <w:rStyle w:val="FootnoteReference"/>
        </w:rPr>
        <w:footnoteReference w:id="41"/>
      </w:r>
      <w:r w:rsidR="00FC0A57" w:rsidRPr="00FC0A57">
        <w:rPr>
          <w:vertAlign w:val="superscript"/>
        </w:rPr>
        <w:t>/</w:t>
      </w:r>
      <w:r w:rsidR="00891B1E">
        <w:t xml:space="preserve">  Finally, ICNU also conclusively rebutted PacifiCorp’s claims that Mr. Falkenberg’s approach was “unrealistic” </w:t>
      </w:r>
      <w:r w:rsidR="00DB0DF7">
        <w:t>as</w:t>
      </w:r>
      <w:r w:rsidR="00891B1E">
        <w:t>: 1) the entire deration approach is already unrealistic “because it models each thermal unit as never being able to run at its maximum capacity;” and 2) PacifiCorp</w:t>
      </w:r>
      <w:r w:rsidR="00546E07">
        <w:t>’s</w:t>
      </w:r>
      <w:r w:rsidR="00891B1E">
        <w:t xml:space="preserve"> approach ignores that outages can occur when the unit is expected to operate at minimum capacity.</w:t>
      </w:r>
      <w:r w:rsidR="00891B1E" w:rsidRPr="0051378D">
        <w:rPr>
          <w:rStyle w:val="FootnoteReference"/>
        </w:rPr>
        <w:footnoteReference w:id="42"/>
      </w:r>
      <w:r w:rsidR="00891B1E" w:rsidRPr="00F435DC">
        <w:rPr>
          <w:vertAlign w:val="superscript"/>
        </w:rPr>
        <w:t>/</w:t>
      </w:r>
      <w:r w:rsidR="00891B1E">
        <w:t xml:space="preserve"> </w:t>
      </w:r>
      <w:r w:rsidR="00FC0A57">
        <w:t xml:space="preserve"> </w:t>
      </w:r>
      <w:r w:rsidR="00891B1E">
        <w:t xml:space="preserve">These issues were fully addressed and PacifiCorp is not entitled to reconsideration by merely </w:t>
      </w:r>
      <w:r w:rsidR="00DB0DF7">
        <w:t>expanding upon</w:t>
      </w:r>
      <w:r w:rsidR="00891B1E">
        <w:t xml:space="preserve"> its previously raised arguments. </w:t>
      </w:r>
    </w:p>
    <w:p w:rsidR="00915E73" w:rsidRDefault="00891B1E" w:rsidP="00891B1E">
      <w:pPr>
        <w:pStyle w:val="WUTCParagraph"/>
      </w:pPr>
      <w:r>
        <w:lastRenderedPageBreak/>
        <w:tab/>
      </w:r>
      <w:r w:rsidR="00A8110F">
        <w:t xml:space="preserve">PacifiCorp also </w:t>
      </w:r>
      <w:r w:rsidR="008D5F4C">
        <w:t>argues that the Commission did not address all of its arguments</w:t>
      </w:r>
      <w:r w:rsidR="009C7AC0">
        <w:t>,</w:t>
      </w:r>
      <w:r w:rsidR="008D5F4C">
        <w:t xml:space="preserve"> </w:t>
      </w:r>
      <w:r w:rsidR="000E70C2">
        <w:t xml:space="preserve">and </w:t>
      </w:r>
      <w:r w:rsidR="008D5F4C">
        <w:t>that the Commission’s conclusion that ICNU’s proposal “appears” to be better represent the usable range of generation unit and better match the heat rate curve with the derated capacity are inappropriate</w:t>
      </w:r>
      <w:r w:rsidR="009C7AC0">
        <w:t>ly</w:t>
      </w:r>
      <w:r w:rsidR="008D5F4C">
        <w:t xml:space="preserve"> “ambiguous” statements.</w:t>
      </w:r>
      <w:r w:rsidR="008D5F4C" w:rsidRPr="00634E9E">
        <w:rPr>
          <w:rStyle w:val="FootnoteReference"/>
        </w:rPr>
        <w:footnoteReference w:id="43"/>
      </w:r>
      <w:r w:rsidR="008D5F4C" w:rsidRPr="006213E4">
        <w:rPr>
          <w:vertAlign w:val="superscript"/>
        </w:rPr>
        <w:t>/</w:t>
      </w:r>
      <w:r w:rsidR="008D5F4C">
        <w:t xml:space="preserve">  PacifiCorp cites no cases to support its novel claims that the Commission must specifically rule on each and every argument in support of a party’s position or that the Commission cannot adopt the position that best appears to be the most accurate.</w:t>
      </w:r>
      <w:r w:rsidR="00E651E3">
        <w:rPr>
          <w:rStyle w:val="FootnoteReference"/>
        </w:rPr>
        <w:footnoteReference w:id="44"/>
      </w:r>
      <w:r w:rsidR="00E651E3" w:rsidRPr="006213E4">
        <w:rPr>
          <w:vertAlign w:val="superscript"/>
        </w:rPr>
        <w:t>/</w:t>
      </w:r>
      <w:r w:rsidR="008D5F4C">
        <w:t xml:space="preserve">  </w:t>
      </w:r>
      <w:r w:rsidR="002D30C7">
        <w:t>A common meaning for “appears” is simply that the facts are “obvious or easily perceived; [to] be clear or made clear by evidence.”</w:t>
      </w:r>
      <w:r w:rsidR="002D30C7" w:rsidRPr="00634E9E">
        <w:rPr>
          <w:rStyle w:val="FootnoteReference"/>
        </w:rPr>
        <w:footnoteReference w:id="45"/>
      </w:r>
      <w:r w:rsidR="002D30C7" w:rsidRPr="006213E4">
        <w:rPr>
          <w:vertAlign w:val="superscript"/>
        </w:rPr>
        <w:t>/</w:t>
      </w:r>
      <w:r w:rsidR="002D30C7">
        <w:t xml:space="preserve">  In addition, it is not unusual for Washington courts to approve lower court and administrative actions based on the conclusion that they “appear” to be correct.</w:t>
      </w:r>
      <w:r w:rsidR="002D30C7" w:rsidRPr="00634E9E">
        <w:rPr>
          <w:rStyle w:val="FootnoteReference"/>
        </w:rPr>
        <w:footnoteReference w:id="46"/>
      </w:r>
      <w:r w:rsidR="002D30C7" w:rsidRPr="006213E4">
        <w:rPr>
          <w:vertAlign w:val="superscript"/>
        </w:rPr>
        <w:t>/</w:t>
      </w:r>
      <w:r w:rsidR="002D30C7">
        <w:t xml:space="preserve">  </w:t>
      </w:r>
      <w:r w:rsidR="009C7AC0">
        <w:t xml:space="preserve">At a minimum, PacifiCorp has failed to meet its burden of proof if </w:t>
      </w:r>
      <w:r w:rsidR="000E70C2">
        <w:t>the Company</w:t>
      </w:r>
      <w:r w:rsidR="009C7AC0">
        <w:t xml:space="preserve"> cannot</w:t>
      </w:r>
      <w:r w:rsidR="000E70C2">
        <w:t xml:space="preserve"> even</w:t>
      </w:r>
      <w:r w:rsidR="009C7AC0">
        <w:t xml:space="preserve"> establish that its position </w:t>
      </w:r>
      <w:r w:rsidR="000E70C2">
        <w:t>“</w:t>
      </w:r>
      <w:r w:rsidR="009C7AC0">
        <w:t>appears</w:t>
      </w:r>
      <w:r w:rsidR="000E70C2">
        <w:t>”</w:t>
      </w:r>
      <w:r w:rsidR="009C7AC0">
        <w:t xml:space="preserve"> to be accurate.</w:t>
      </w:r>
      <w:r w:rsidR="008D5F4C">
        <w:t xml:space="preserve"> </w:t>
      </w:r>
      <w:r w:rsidR="00915E73">
        <w:t xml:space="preserve"> </w:t>
      </w:r>
    </w:p>
    <w:p w:rsidR="00EE51B2" w:rsidRDefault="00997E24" w:rsidP="00EE51B2">
      <w:pPr>
        <w:pStyle w:val="WUTCParagraph"/>
        <w:numPr>
          <w:ilvl w:val="0"/>
          <w:numId w:val="0"/>
        </w:numPr>
        <w:tabs>
          <w:tab w:val="clear" w:pos="1440"/>
          <w:tab w:val="left" w:pos="720"/>
        </w:tabs>
        <w:rPr>
          <w:b/>
        </w:rPr>
      </w:pPr>
      <w:r>
        <w:rPr>
          <w:b/>
        </w:rPr>
        <w:t>C</w:t>
      </w:r>
      <w:r w:rsidR="00EE51B2">
        <w:rPr>
          <w:b/>
        </w:rPr>
        <w:t>.</w:t>
      </w:r>
      <w:r w:rsidR="00EE51B2">
        <w:rPr>
          <w:b/>
        </w:rPr>
        <w:tab/>
      </w:r>
      <w:r w:rsidR="00A81F38">
        <w:rPr>
          <w:b/>
        </w:rPr>
        <w:t>Return on Equity</w:t>
      </w:r>
    </w:p>
    <w:p w:rsidR="00A81F38" w:rsidRDefault="00392EC2" w:rsidP="002D30C7">
      <w:pPr>
        <w:pStyle w:val="WUTCParagraph"/>
      </w:pPr>
      <w:r>
        <w:tab/>
      </w:r>
      <w:r w:rsidR="00BF3A2C">
        <w:t>PacifiCorp is seeking reconsideration of the Commission’s order setting the Company’s return on equity (“ROE”) at 9.8%.</w:t>
      </w:r>
      <w:r w:rsidR="00BF3A2C" w:rsidRPr="00634E9E">
        <w:rPr>
          <w:rStyle w:val="FootnoteReference"/>
        </w:rPr>
        <w:footnoteReference w:id="47"/>
      </w:r>
      <w:r w:rsidR="00BF3A2C" w:rsidRPr="006213E4">
        <w:rPr>
          <w:vertAlign w:val="superscript"/>
        </w:rPr>
        <w:t>/</w:t>
      </w:r>
      <w:r w:rsidR="00BF3A2C">
        <w:t xml:space="preserve">  PacifiCorp largely repeats its previous arguments, but modifies them to mischaracterize the Commission’s order in an effort to point out non-existent errors and inconsistencies.  Notably, PacifiCorp appears to have abandoned its original request for a 10.6% ROE</w:t>
      </w:r>
      <w:r w:rsidR="009C7AC0">
        <w:t>,</w:t>
      </w:r>
      <w:r w:rsidR="00BF3A2C">
        <w:t xml:space="preserve"> as the Company repeatedly argues that t</w:t>
      </w:r>
      <w:r w:rsidR="00613BE8">
        <w:t xml:space="preserve">he evidence supports </w:t>
      </w:r>
      <w:r w:rsidR="00613BE8">
        <w:lastRenderedPageBreak/>
        <w:t>an ROE in the low 10% range</w:t>
      </w:r>
      <w:r w:rsidR="00BF3A2C">
        <w:t>.</w:t>
      </w:r>
      <w:r w:rsidR="00BF3A2C" w:rsidRPr="00634E9E">
        <w:rPr>
          <w:rStyle w:val="FootnoteReference"/>
        </w:rPr>
        <w:footnoteReference w:id="48"/>
      </w:r>
      <w:r w:rsidR="00BF3A2C" w:rsidRPr="006213E4">
        <w:rPr>
          <w:vertAlign w:val="superscript"/>
        </w:rPr>
        <w:t>/</w:t>
      </w:r>
      <w:r w:rsidR="00BF3A2C">
        <w:t xml:space="preserve">  </w:t>
      </w:r>
      <w:r w:rsidR="00DB0DF7">
        <w:t xml:space="preserve">The Company, however, presented no evidence supporting a low 10% range.  </w:t>
      </w:r>
      <w:r w:rsidR="00A81F38">
        <w:t xml:space="preserve">Although ICNU argued for a lower 9.5% ROE, there is substantial evidence in the record to support </w:t>
      </w:r>
      <w:r w:rsidR="009C7AC0">
        <w:t xml:space="preserve">a </w:t>
      </w:r>
      <w:r w:rsidR="00A81F38">
        <w:t>9.8%</w:t>
      </w:r>
      <w:r w:rsidR="009C7AC0">
        <w:t xml:space="preserve"> ROE</w:t>
      </w:r>
      <w:r w:rsidR="00A81F38">
        <w:t>, and there are no errors in the Commission’s analysis.  As explained by the Commission, there is a range of reasonable and appropriate ROEs, and the Commission</w:t>
      </w:r>
      <w:r w:rsidR="005A7100">
        <w:t xml:space="preserve"> appropriately</w:t>
      </w:r>
      <w:r w:rsidR="00A81F38">
        <w:t xml:space="preserve"> utilized its informed judgment </w:t>
      </w:r>
      <w:r w:rsidR="00DB0DF7">
        <w:t xml:space="preserve">based on the totality of the evidence </w:t>
      </w:r>
      <w:r w:rsidR="00A81F38">
        <w:t>to adopt a 9.8% ROE.</w:t>
      </w:r>
      <w:r w:rsidR="00A81F38" w:rsidRPr="00634E9E">
        <w:rPr>
          <w:rStyle w:val="FootnoteReference"/>
        </w:rPr>
        <w:footnoteReference w:id="49"/>
      </w:r>
      <w:r w:rsidR="00A81F38" w:rsidRPr="006213E4">
        <w:rPr>
          <w:vertAlign w:val="superscript"/>
        </w:rPr>
        <w:t>/</w:t>
      </w:r>
      <w:r w:rsidR="00A81F38">
        <w:t xml:space="preserve"> </w:t>
      </w:r>
    </w:p>
    <w:p w:rsidR="00BF3A2C" w:rsidRDefault="00A81F38" w:rsidP="00A81F38">
      <w:pPr>
        <w:pStyle w:val="WUTCParagraph"/>
        <w:numPr>
          <w:ilvl w:val="0"/>
          <w:numId w:val="0"/>
        </w:numPr>
        <w:ind w:left="1440" w:hanging="720"/>
      </w:pPr>
      <w:r>
        <w:rPr>
          <w:b/>
        </w:rPr>
        <w:t>1.</w:t>
      </w:r>
      <w:r>
        <w:rPr>
          <w:b/>
        </w:rPr>
        <w:tab/>
        <w:t>The Commission’s Order Exhaustively Considers Changed Conditions</w:t>
      </w:r>
      <w:r>
        <w:t xml:space="preserve">   </w:t>
      </w:r>
      <w:r w:rsidR="00BF3A2C">
        <w:t xml:space="preserve">  </w:t>
      </w:r>
    </w:p>
    <w:p w:rsidR="005730A4" w:rsidRDefault="002D30C7" w:rsidP="005730A4">
      <w:pPr>
        <w:pStyle w:val="WUTCParagraph"/>
      </w:pPr>
      <w:r>
        <w:t xml:space="preserve"> </w:t>
      </w:r>
      <w:r w:rsidR="00A81F38">
        <w:tab/>
        <w:t xml:space="preserve">Despite the Commission’s repeated discussion of the changes in market conditions, PacifiCorp argues that the Commission’s traditional analysis regarding what has changed since the last determination of </w:t>
      </w:r>
      <w:r w:rsidR="00546E07">
        <w:t>the</w:t>
      </w:r>
      <w:r w:rsidR="00A81F38">
        <w:t xml:space="preserve"> Company’s ROE “is entirely absent in the Order.”</w:t>
      </w:r>
      <w:r w:rsidR="00A81F38" w:rsidRPr="00634E9E">
        <w:rPr>
          <w:rStyle w:val="FootnoteReference"/>
        </w:rPr>
        <w:footnoteReference w:id="50"/>
      </w:r>
      <w:r w:rsidR="00A81F38" w:rsidRPr="006213E4">
        <w:rPr>
          <w:vertAlign w:val="superscript"/>
        </w:rPr>
        <w:t>/</w:t>
      </w:r>
      <w:r w:rsidR="00A81F38">
        <w:t xml:space="preserve">  PacifiCorp’s real complaint is not that the Commission did not consider the market changes, but that the Commission did not agree with </w:t>
      </w:r>
      <w:r w:rsidR="000A7B6B">
        <w:t>PacifiCorp’s one-sided characterization of those changes.  The Company argues that a reduction in its ROE “cannot be justified” when</w:t>
      </w:r>
      <w:r w:rsidR="000C5DB3">
        <w:t>: 1)</w:t>
      </w:r>
      <w:r w:rsidR="009C7AC0">
        <w:t xml:space="preserve"> interest rates are similar</w:t>
      </w:r>
      <w:r w:rsidR="000A7B6B">
        <w:t xml:space="preserve"> to those </w:t>
      </w:r>
      <w:r w:rsidR="000C5DB3">
        <w:t xml:space="preserve">during the Company’s 2005 rate case; 2) national utility average ROEs are </w:t>
      </w:r>
      <w:r w:rsidR="005A7100">
        <w:t xml:space="preserve">also </w:t>
      </w:r>
      <w:r w:rsidR="000C5DB3">
        <w:t>similar; and 3) utility stocks are performing worse than the market.</w:t>
      </w:r>
      <w:r w:rsidR="000C5DB3" w:rsidRPr="00634E9E">
        <w:rPr>
          <w:rStyle w:val="FootnoteReference"/>
        </w:rPr>
        <w:footnoteReference w:id="51"/>
      </w:r>
      <w:r w:rsidR="000C5DB3" w:rsidRPr="006213E4">
        <w:rPr>
          <w:vertAlign w:val="superscript"/>
        </w:rPr>
        <w:t>/</w:t>
      </w:r>
      <w:r w:rsidR="005730A4">
        <w:t xml:space="preserve">  PacifiCorp made these claims in its earlier briefing,</w:t>
      </w:r>
      <w:r w:rsidR="009C7AC0" w:rsidRPr="00634E9E">
        <w:rPr>
          <w:rStyle w:val="FootnoteReference"/>
        </w:rPr>
        <w:footnoteReference w:id="52"/>
      </w:r>
      <w:r w:rsidR="009C7AC0" w:rsidRPr="006213E4">
        <w:rPr>
          <w:vertAlign w:val="superscript"/>
        </w:rPr>
        <w:t>/</w:t>
      </w:r>
      <w:r w:rsidR="005730A4">
        <w:t xml:space="preserve"> and </w:t>
      </w:r>
      <w:r w:rsidR="00DB0DF7">
        <w:t xml:space="preserve">once again </w:t>
      </w:r>
      <w:r w:rsidR="00005D65">
        <w:t xml:space="preserve">it is impermissible to use </w:t>
      </w:r>
      <w:r w:rsidR="00063F04">
        <w:t xml:space="preserve">reconsideration merely to repeat arguments that were not persuasive in earlier briefing.  </w:t>
      </w:r>
    </w:p>
    <w:p w:rsidR="005730A4" w:rsidRDefault="00274FA7" w:rsidP="002D30C7">
      <w:pPr>
        <w:pStyle w:val="WUTCParagraph"/>
      </w:pPr>
      <w:r>
        <w:tab/>
        <w:t xml:space="preserve">The Commission’s ROE analysis in this case started with a consideration of the changes </w:t>
      </w:r>
      <w:r w:rsidR="00005D65">
        <w:t xml:space="preserve">that have occurred </w:t>
      </w:r>
      <w:r>
        <w:t xml:space="preserve">since the Company’s last litigated rate case in which cost of capital </w:t>
      </w:r>
      <w:r>
        <w:lastRenderedPageBreak/>
        <w:t>issues were decided.</w:t>
      </w:r>
      <w:r w:rsidRPr="00634E9E">
        <w:rPr>
          <w:rStyle w:val="FootnoteReference"/>
        </w:rPr>
        <w:footnoteReference w:id="53"/>
      </w:r>
      <w:r w:rsidRPr="006213E4">
        <w:rPr>
          <w:vertAlign w:val="superscript"/>
        </w:rPr>
        <w:t>/</w:t>
      </w:r>
      <w:r w:rsidRPr="00274FA7">
        <w:t xml:space="preserve"> </w:t>
      </w:r>
      <w:r>
        <w:t xml:space="preserve"> </w:t>
      </w:r>
      <w:r w:rsidR="00C246A9">
        <w:t>The Commission explained that there have been significant changes, including a severe economic recession and a number of years of ownership by Berkshire Hathaway, and these facts guided the Commission’s analysis of all cost of capital issues.</w:t>
      </w:r>
      <w:r w:rsidR="00C246A9" w:rsidRPr="00634E9E">
        <w:rPr>
          <w:rStyle w:val="FootnoteReference"/>
        </w:rPr>
        <w:footnoteReference w:id="54"/>
      </w:r>
      <w:r w:rsidR="00C246A9" w:rsidRPr="006213E4">
        <w:rPr>
          <w:vertAlign w:val="superscript"/>
        </w:rPr>
        <w:t>/</w:t>
      </w:r>
      <w:r w:rsidR="00C246A9">
        <w:t xml:space="preserve">  </w:t>
      </w:r>
      <w:r w:rsidR="003020E1">
        <w:t>For example, the Commission discussed the Company’s arguments regarding utility stocks, and specifically rejected its argument stating that financial conditions have returned to more normal conditions and that the “evidence is clear that utility stocks are less volatile than non-utility stocks and, in a period of turmoil, are generally considered safer investments.”</w:t>
      </w:r>
      <w:r w:rsidR="003020E1" w:rsidRPr="00634E9E">
        <w:rPr>
          <w:rStyle w:val="FootnoteReference"/>
        </w:rPr>
        <w:footnoteReference w:id="55"/>
      </w:r>
      <w:r w:rsidR="003020E1" w:rsidRPr="006213E4">
        <w:rPr>
          <w:vertAlign w:val="superscript"/>
        </w:rPr>
        <w:t>/</w:t>
      </w:r>
      <w:r w:rsidR="003020E1">
        <w:t xml:space="preserve">  </w:t>
      </w:r>
      <w:r w:rsidR="009C7AC0">
        <w:t xml:space="preserve">The Commission relied upon </w:t>
      </w:r>
      <w:r w:rsidR="004C36CD">
        <w:t>Mr. Gorman</w:t>
      </w:r>
      <w:r w:rsidR="005A7100">
        <w:t>’s analysis that</w:t>
      </w:r>
      <w:r w:rsidR="004C36CD">
        <w:t xml:space="preserve"> responded </w:t>
      </w:r>
      <w:r w:rsidR="003E6672">
        <w:t xml:space="preserve">to PacifiCorp’s arguments regarding the lack of changes in interest rates and explained </w:t>
      </w:r>
      <w:r w:rsidR="004C36CD">
        <w:t>why the ROE models produce different results given other changes in the economy.</w:t>
      </w:r>
      <w:r w:rsidR="004C36CD" w:rsidRPr="00634E9E">
        <w:rPr>
          <w:rStyle w:val="FootnoteReference"/>
        </w:rPr>
        <w:footnoteReference w:id="56"/>
      </w:r>
      <w:r w:rsidR="004C36CD" w:rsidRPr="006213E4">
        <w:rPr>
          <w:vertAlign w:val="superscript"/>
        </w:rPr>
        <w:t>/</w:t>
      </w:r>
      <w:r w:rsidR="004C36CD">
        <w:t xml:space="preserve">  </w:t>
      </w:r>
      <w:r w:rsidR="003E6672">
        <w:t>Finally, the downward</w:t>
      </w:r>
      <w:r w:rsidR="00005D65">
        <w:t>-</w:t>
      </w:r>
      <w:r w:rsidR="003E6672">
        <w:t>trend</w:t>
      </w:r>
      <w:r w:rsidR="00DB0DF7">
        <w:t>ing</w:t>
      </w:r>
      <w:r w:rsidR="003E6672">
        <w:t xml:space="preserve"> </w:t>
      </w:r>
      <w:r w:rsidR="00DA00C7">
        <w:t>ROEs referred to b</w:t>
      </w:r>
      <w:r w:rsidR="00005D65">
        <w:t>y</w:t>
      </w:r>
      <w:r w:rsidR="00DA00C7">
        <w:t xml:space="preserve"> the Commission </w:t>
      </w:r>
      <w:r w:rsidR="00005D65">
        <w:t>are</w:t>
      </w:r>
      <w:r w:rsidR="00DA00C7">
        <w:t xml:space="preserve"> well</w:t>
      </w:r>
      <w:r w:rsidR="00005D65">
        <w:t>-</w:t>
      </w:r>
      <w:r w:rsidR="00DA00C7">
        <w:t>supported by recent orders in</w:t>
      </w:r>
      <w:r w:rsidR="00005D65">
        <w:t xml:space="preserve"> the</w:t>
      </w:r>
      <w:r w:rsidR="00DA00C7">
        <w:t xml:space="preserve"> Northwest.</w:t>
      </w:r>
      <w:r w:rsidR="00DA00C7" w:rsidRPr="00634E9E">
        <w:rPr>
          <w:rStyle w:val="FootnoteReference"/>
        </w:rPr>
        <w:footnoteReference w:id="57"/>
      </w:r>
      <w:r w:rsidR="00DA00C7" w:rsidRPr="006213E4">
        <w:rPr>
          <w:vertAlign w:val="superscript"/>
        </w:rPr>
        <w:t>/</w:t>
      </w:r>
      <w:r w:rsidR="00DA00C7">
        <w:t xml:space="preserve">  </w:t>
      </w:r>
      <w:r w:rsidR="003E6672">
        <w:t xml:space="preserve"> </w:t>
      </w:r>
      <w:r>
        <w:t xml:space="preserve">  </w:t>
      </w:r>
      <w:r w:rsidR="005730A4">
        <w:t xml:space="preserve">  </w:t>
      </w:r>
    </w:p>
    <w:p w:rsidR="003E6672" w:rsidRDefault="003E6672" w:rsidP="00EA11B0">
      <w:pPr>
        <w:pStyle w:val="WUTCParagraph"/>
        <w:numPr>
          <w:ilvl w:val="0"/>
          <w:numId w:val="0"/>
        </w:numPr>
        <w:spacing w:line="240" w:lineRule="auto"/>
        <w:ind w:left="1440" w:hanging="720"/>
        <w:rPr>
          <w:b/>
        </w:rPr>
      </w:pPr>
      <w:r>
        <w:rPr>
          <w:b/>
        </w:rPr>
        <w:t>2.</w:t>
      </w:r>
      <w:r>
        <w:rPr>
          <w:b/>
        </w:rPr>
        <w:tab/>
      </w:r>
      <w:r w:rsidR="00EA11B0">
        <w:rPr>
          <w:b/>
        </w:rPr>
        <w:t>The Commission’s Order Properly Discounts Long-Term Growth Rates</w:t>
      </w:r>
    </w:p>
    <w:p w:rsidR="00EA11B0" w:rsidRPr="003E6672" w:rsidRDefault="00EA11B0" w:rsidP="00EA11B0">
      <w:pPr>
        <w:pStyle w:val="WUTCParagraph"/>
        <w:numPr>
          <w:ilvl w:val="0"/>
          <w:numId w:val="0"/>
        </w:numPr>
        <w:spacing w:line="240" w:lineRule="auto"/>
        <w:ind w:left="1440" w:hanging="720"/>
        <w:rPr>
          <w:b/>
        </w:rPr>
      </w:pPr>
    </w:p>
    <w:p w:rsidR="005730A4" w:rsidRDefault="005730A4" w:rsidP="006D3F83">
      <w:pPr>
        <w:pStyle w:val="WUTCParagraph"/>
      </w:pPr>
      <w:r>
        <w:t xml:space="preserve">  </w:t>
      </w:r>
      <w:r w:rsidR="00EA11B0">
        <w:tab/>
        <w:t xml:space="preserve">PacifiCorp argues that the Commission improperly discounts long-term growth rates </w:t>
      </w:r>
      <w:r w:rsidR="009C7AC0">
        <w:t>in</w:t>
      </w:r>
      <w:r w:rsidR="00EA11B0">
        <w:t xml:space="preserve"> the discounted cash flow (“DCF”) model</w:t>
      </w:r>
      <w:r w:rsidR="009C7AC0">
        <w:t xml:space="preserve"> because the DCF model</w:t>
      </w:r>
      <w:r w:rsidR="00EA11B0">
        <w:t xml:space="preserve"> requires a long-term growth rate.</w:t>
      </w:r>
      <w:r w:rsidR="00EA11B0" w:rsidRPr="00634E9E">
        <w:rPr>
          <w:rStyle w:val="FootnoteReference"/>
        </w:rPr>
        <w:footnoteReference w:id="58"/>
      </w:r>
      <w:r w:rsidR="00EA11B0" w:rsidRPr="006213E4">
        <w:rPr>
          <w:vertAlign w:val="superscript"/>
        </w:rPr>
        <w:t>/</w:t>
      </w:r>
      <w:r w:rsidR="00EA11B0">
        <w:t xml:space="preserve">  The Commission was appropriately skeptical of use of long-term growth rates, and </w:t>
      </w:r>
      <w:r w:rsidR="009C7AC0">
        <w:t xml:space="preserve">its </w:t>
      </w:r>
      <w:r w:rsidR="00EA11B0">
        <w:t xml:space="preserve">reliance upon short-term growth rates is not inconsistent with </w:t>
      </w:r>
      <w:r w:rsidR="009C7AC0">
        <w:t xml:space="preserve">how </w:t>
      </w:r>
      <w:r w:rsidR="00EA11B0">
        <w:t>the DCF model</w:t>
      </w:r>
      <w:r w:rsidR="009C7AC0">
        <w:t xml:space="preserve"> operates</w:t>
      </w:r>
      <w:r w:rsidR="005A7100">
        <w:t xml:space="preserve">.  As explained by Mr. Gorman </w:t>
      </w:r>
      <w:r w:rsidR="00EA11B0">
        <w:t xml:space="preserve">and accepted by the Commission, more reasonable </w:t>
      </w:r>
      <w:r w:rsidR="00EA11B0">
        <w:lastRenderedPageBreak/>
        <w:t xml:space="preserve">growth rates can be used </w:t>
      </w:r>
      <w:r w:rsidR="000E70C2">
        <w:t xml:space="preserve">in </w:t>
      </w:r>
      <w:r w:rsidR="00EA11B0">
        <w:t>the DCF model to produce more accurate cost of capital estimates.</w:t>
      </w:r>
      <w:r w:rsidR="00EA11B0" w:rsidRPr="00634E9E">
        <w:rPr>
          <w:rStyle w:val="FootnoteReference"/>
        </w:rPr>
        <w:footnoteReference w:id="59"/>
      </w:r>
      <w:r w:rsidR="00EA11B0" w:rsidRPr="006213E4">
        <w:rPr>
          <w:vertAlign w:val="superscript"/>
        </w:rPr>
        <w:t>/</w:t>
      </w:r>
      <w:r w:rsidR="00EA11B0">
        <w:t xml:space="preserve">  PacifiCorp’s argument is strange, because if the Commission agrees with the Company that </w:t>
      </w:r>
      <w:r w:rsidR="00E539FB">
        <w:t xml:space="preserve">the DCF model requires </w:t>
      </w:r>
      <w:r w:rsidR="006D3F83">
        <w:t xml:space="preserve">the use of only </w:t>
      </w:r>
      <w:r w:rsidR="00E539FB">
        <w:t>lon</w:t>
      </w:r>
      <w:r w:rsidR="00005D65">
        <w:t>g-</w:t>
      </w:r>
      <w:r w:rsidR="00E539FB">
        <w:t>term growth rates, then the most logical result is for the Commission to rely more heavily upon the risk premium and capital asset pricing model (“CAPM”), which produce midpoint ROE</w:t>
      </w:r>
      <w:r w:rsidR="00005D65">
        <w:t>s</w:t>
      </w:r>
      <w:r w:rsidR="00E539FB">
        <w:t xml:space="preserve"> well below 9.8%.</w:t>
      </w:r>
      <w:r w:rsidR="00E539FB" w:rsidRPr="00634E9E">
        <w:rPr>
          <w:rStyle w:val="FootnoteReference"/>
        </w:rPr>
        <w:footnoteReference w:id="60"/>
      </w:r>
      <w:r w:rsidR="00E539FB" w:rsidRPr="006213E4">
        <w:rPr>
          <w:vertAlign w:val="superscript"/>
        </w:rPr>
        <w:t>/</w:t>
      </w:r>
      <w:r w:rsidR="00E539FB">
        <w:t xml:space="preserve">  Therefore, if the Commission agrees with PacifiCorp that the DCF model requires a long</w:t>
      </w:r>
      <w:r w:rsidR="00005D65">
        <w:t>-</w:t>
      </w:r>
      <w:r w:rsidR="00E539FB">
        <w:t xml:space="preserve">term growth rate, then ICNU recommends that the Commission </w:t>
      </w:r>
      <w:r w:rsidR="002659C5">
        <w:t>rely more heavily on the other models to lower</w:t>
      </w:r>
      <w:r w:rsidR="00E539FB">
        <w:t xml:space="preserve"> the Company’s ROE to 9.5%</w:t>
      </w:r>
      <w:r w:rsidR="00DB0DF7">
        <w:t xml:space="preserve"> on reconsideration</w:t>
      </w:r>
      <w:r w:rsidR="00E539FB">
        <w:t xml:space="preserve">.   </w:t>
      </w:r>
    </w:p>
    <w:p w:rsidR="006D3F83" w:rsidRDefault="006D3F83" w:rsidP="006D3F83">
      <w:pPr>
        <w:pStyle w:val="WUTCParagraph"/>
        <w:numPr>
          <w:ilvl w:val="0"/>
          <w:numId w:val="0"/>
        </w:numPr>
        <w:spacing w:line="240" w:lineRule="auto"/>
        <w:ind w:left="1440" w:hanging="720"/>
        <w:rPr>
          <w:b/>
        </w:rPr>
      </w:pPr>
      <w:r>
        <w:rPr>
          <w:b/>
        </w:rPr>
        <w:t>3.</w:t>
      </w:r>
      <w:r>
        <w:rPr>
          <w:b/>
        </w:rPr>
        <w:tab/>
        <w:t>The Commission Appropriately Accounted for Security Analys</w:t>
      </w:r>
      <w:r w:rsidR="005A7100">
        <w:rPr>
          <w:b/>
        </w:rPr>
        <w:t>t</w:t>
      </w:r>
      <w:r>
        <w:rPr>
          <w:b/>
        </w:rPr>
        <w:t>s</w:t>
      </w:r>
      <w:r w:rsidR="005A7100">
        <w:rPr>
          <w:b/>
        </w:rPr>
        <w:t>’</w:t>
      </w:r>
      <w:r>
        <w:rPr>
          <w:b/>
        </w:rPr>
        <w:t xml:space="preserve"> Estimates</w:t>
      </w:r>
    </w:p>
    <w:p w:rsidR="006D3F83" w:rsidRPr="006D3F83" w:rsidRDefault="006D3F83" w:rsidP="006D3F83">
      <w:pPr>
        <w:pStyle w:val="WUTCParagraph"/>
        <w:numPr>
          <w:ilvl w:val="0"/>
          <w:numId w:val="0"/>
        </w:numPr>
        <w:spacing w:line="240" w:lineRule="auto"/>
        <w:ind w:left="1440" w:hanging="720"/>
        <w:rPr>
          <w:b/>
        </w:rPr>
      </w:pPr>
    </w:p>
    <w:p w:rsidR="0087358D" w:rsidRDefault="005730A4" w:rsidP="002D30C7">
      <w:pPr>
        <w:pStyle w:val="WUTCParagraph"/>
      </w:pPr>
      <w:r>
        <w:t xml:space="preserve">  </w:t>
      </w:r>
      <w:r w:rsidR="006D3F83">
        <w:tab/>
      </w:r>
      <w:r w:rsidR="002659C5">
        <w:t>T</w:t>
      </w:r>
      <w:r w:rsidR="006D3F83">
        <w:t>he Company argues that if the Commission relies upon near</w:t>
      </w:r>
      <w:r w:rsidR="00005D65">
        <w:t>-</w:t>
      </w:r>
      <w:r w:rsidR="006D3F83">
        <w:t xml:space="preserve">term forecasts, then the Commission should adopt a 10.5% ROE based on </w:t>
      </w:r>
      <w:r w:rsidR="007B658D">
        <w:t xml:space="preserve">only </w:t>
      </w:r>
      <w:r w:rsidR="006D3F83">
        <w:t>Mr. Gorman’s constant growth DCF model.</w:t>
      </w:r>
      <w:r w:rsidR="002B6336" w:rsidRPr="00634E9E">
        <w:rPr>
          <w:rStyle w:val="FootnoteReference"/>
        </w:rPr>
        <w:footnoteReference w:id="61"/>
      </w:r>
      <w:r w:rsidR="002B6336" w:rsidRPr="006213E4">
        <w:rPr>
          <w:vertAlign w:val="superscript"/>
        </w:rPr>
        <w:t>/</w:t>
      </w:r>
      <w:r w:rsidR="002B6336">
        <w:t xml:space="preserve">  The Company’s made a shorter version of this argument in its ini</w:t>
      </w:r>
      <w:r w:rsidR="00380FB5">
        <w:t>tial brief,</w:t>
      </w:r>
      <w:r w:rsidR="007B658D" w:rsidRPr="00634E9E">
        <w:rPr>
          <w:rStyle w:val="FootnoteReference"/>
        </w:rPr>
        <w:footnoteReference w:id="62"/>
      </w:r>
      <w:r w:rsidR="007B658D" w:rsidRPr="006213E4">
        <w:rPr>
          <w:vertAlign w:val="superscript"/>
        </w:rPr>
        <w:t>/</w:t>
      </w:r>
      <w:r w:rsidR="00380FB5">
        <w:t xml:space="preserve"> and the Company is using the reconsideration process to refine its position now that it has the benefit of reviewing the Commission’s conclusions and analysis in its </w:t>
      </w:r>
      <w:r w:rsidR="002659C5">
        <w:t>F</w:t>
      </w:r>
      <w:r w:rsidR="00380FB5">
        <w:t>inal</w:t>
      </w:r>
      <w:r w:rsidR="002659C5">
        <w:t xml:space="preserve"> O</w:t>
      </w:r>
      <w:r w:rsidR="00380FB5">
        <w:t xml:space="preserve">rder. </w:t>
      </w:r>
      <w:r w:rsidR="002B6336">
        <w:t xml:space="preserve"> </w:t>
      </w:r>
      <w:r w:rsidR="00380FB5">
        <w:t>PacifiCorp argues that the Commission should only rely upon Mr. Gorman’s constant growth DCF model results because, while security analysts</w:t>
      </w:r>
      <w:r w:rsidR="00005D65">
        <w:t>’</w:t>
      </w:r>
      <w:r w:rsidR="00380FB5">
        <w:t xml:space="preserve"> long-term growth rates </w:t>
      </w:r>
      <w:r w:rsidR="0087358D">
        <w:t>are too high, their near</w:t>
      </w:r>
      <w:r w:rsidR="00005D65">
        <w:t>-</w:t>
      </w:r>
      <w:r w:rsidR="0087358D">
        <w:t>term growth rates</w:t>
      </w:r>
      <w:r w:rsidR="007B658D">
        <w:t xml:space="preserve"> are accurate</w:t>
      </w:r>
      <w:r w:rsidR="0087358D">
        <w:t>.</w:t>
      </w:r>
      <w:r w:rsidR="0087358D" w:rsidRPr="00634E9E">
        <w:rPr>
          <w:rStyle w:val="FootnoteReference"/>
        </w:rPr>
        <w:footnoteReference w:id="63"/>
      </w:r>
      <w:r w:rsidR="0087358D" w:rsidRPr="006213E4">
        <w:rPr>
          <w:vertAlign w:val="superscript"/>
        </w:rPr>
        <w:t>/</w:t>
      </w:r>
      <w:r w:rsidR="0087358D">
        <w:t xml:space="preserve">  The Commission</w:t>
      </w:r>
      <w:r w:rsidR="002659C5">
        <w:t xml:space="preserve"> should again reject PacifiCorp’s argument, because </w:t>
      </w:r>
      <w:r w:rsidR="005A7100">
        <w:t>the Commission correctly</w:t>
      </w:r>
      <w:r w:rsidR="0087358D">
        <w:t xml:space="preserve"> relied upon the broad range of Mr. Gorman’s model results, including the average of his three DCF analyses.  </w:t>
      </w:r>
    </w:p>
    <w:p w:rsidR="0087358D" w:rsidRDefault="00F37E5B" w:rsidP="002D30C7">
      <w:pPr>
        <w:pStyle w:val="WUTCParagraph"/>
      </w:pPr>
      <w:r>
        <w:lastRenderedPageBreak/>
        <w:tab/>
        <w:t>Mr. Gorman presented the Commission with three DCF model results ranging from 10.5% to 9.14%, averaging 9.85%.</w:t>
      </w:r>
      <w:r w:rsidR="0084527B">
        <w:rPr>
          <w:rStyle w:val="FootnoteReference"/>
        </w:rPr>
        <w:footnoteReference w:id="64"/>
      </w:r>
      <w:r w:rsidR="0084527B" w:rsidRPr="00F1385B">
        <w:rPr>
          <w:vertAlign w:val="superscript"/>
        </w:rPr>
        <w:t>/</w:t>
      </w:r>
      <w:r w:rsidR="0084527B" w:rsidRPr="00F1385B">
        <w:t xml:space="preserve"> </w:t>
      </w:r>
      <w:r>
        <w:t xml:space="preserve"> </w:t>
      </w:r>
      <w:r w:rsidR="0084527B">
        <w:t xml:space="preserve">Mr. Gorman explained that his constant growth DCF analysis that produced a 10.5% ROE </w:t>
      </w:r>
      <w:r w:rsidR="00C335E9">
        <w:t>should be discounted because it does not provide a reasonable estimate of long-term sustainable growth, and the constant DCF model is “based on a growth rate that is sustainable in the long term . . . .”</w:t>
      </w:r>
      <w:r w:rsidR="00C335E9" w:rsidRPr="00634E9E">
        <w:rPr>
          <w:rStyle w:val="FootnoteReference"/>
        </w:rPr>
        <w:footnoteReference w:id="65"/>
      </w:r>
      <w:r w:rsidR="00C335E9" w:rsidRPr="006213E4">
        <w:rPr>
          <w:vertAlign w:val="superscript"/>
        </w:rPr>
        <w:t>/</w:t>
      </w:r>
      <w:r w:rsidR="0087358D">
        <w:t xml:space="preserve"> </w:t>
      </w:r>
      <w:r w:rsidR="00381216">
        <w:t xml:space="preserve"> </w:t>
      </w:r>
      <w:r w:rsidR="007F78AA">
        <w:t>Thus, the entire constant growth DCF results are suspect</w:t>
      </w:r>
      <w:r w:rsidR="002659C5">
        <w:t>,</w:t>
      </w:r>
      <w:r w:rsidR="007F78AA">
        <w:t xml:space="preserve"> </w:t>
      </w:r>
      <w:r w:rsidR="002659C5">
        <w:t>because</w:t>
      </w:r>
      <w:r w:rsidR="007F78AA">
        <w:t xml:space="preserve"> the model produces inaccurate estimates of long-term sustainable growth.  Even though </w:t>
      </w:r>
      <w:r w:rsidR="00381216">
        <w:t xml:space="preserve">Mr. Gorman </w:t>
      </w:r>
      <w:r w:rsidR="007F78AA">
        <w:t xml:space="preserve">had strong concerns about the constant growth DCF model, he </w:t>
      </w:r>
      <w:r w:rsidR="00381216">
        <w:t xml:space="preserve">did not reject </w:t>
      </w:r>
      <w:r w:rsidR="007F78AA">
        <w:t>its results, but instead average</w:t>
      </w:r>
      <w:r w:rsidR="000E70C2">
        <w:t>d</w:t>
      </w:r>
      <w:r w:rsidR="007F78AA">
        <w:t xml:space="preserve"> it with other results to produce a more accurate and reasonable DCF result.</w:t>
      </w:r>
      <w:r w:rsidR="007F78AA" w:rsidRPr="00634E9E">
        <w:rPr>
          <w:rStyle w:val="FootnoteReference"/>
        </w:rPr>
        <w:footnoteReference w:id="66"/>
      </w:r>
      <w:r w:rsidR="007F78AA" w:rsidRPr="006213E4">
        <w:rPr>
          <w:vertAlign w:val="superscript"/>
        </w:rPr>
        <w:t>/</w:t>
      </w:r>
      <w:r w:rsidR="00381216">
        <w:t xml:space="preserve"> </w:t>
      </w:r>
    </w:p>
    <w:p w:rsidR="002D013A" w:rsidRDefault="002D013A" w:rsidP="002D013A">
      <w:pPr>
        <w:pStyle w:val="WUTCParagraph"/>
        <w:numPr>
          <w:ilvl w:val="0"/>
          <w:numId w:val="0"/>
        </w:numPr>
        <w:spacing w:line="240" w:lineRule="auto"/>
        <w:ind w:left="1440" w:hanging="720"/>
        <w:rPr>
          <w:b/>
        </w:rPr>
      </w:pPr>
      <w:r>
        <w:rPr>
          <w:b/>
        </w:rPr>
        <w:t>4.</w:t>
      </w:r>
      <w:r>
        <w:rPr>
          <w:b/>
        </w:rPr>
        <w:tab/>
        <w:t>PacifiCorp’s Arguments, Not the Commission’s Order, Are Contradictory</w:t>
      </w:r>
    </w:p>
    <w:p w:rsidR="002D013A" w:rsidRPr="002D013A" w:rsidRDefault="002D013A" w:rsidP="002D013A">
      <w:pPr>
        <w:pStyle w:val="WUTCParagraph"/>
        <w:numPr>
          <w:ilvl w:val="0"/>
          <w:numId w:val="0"/>
        </w:numPr>
        <w:spacing w:line="240" w:lineRule="auto"/>
        <w:ind w:left="1440" w:hanging="720"/>
        <w:rPr>
          <w:b/>
        </w:rPr>
      </w:pPr>
    </w:p>
    <w:p w:rsidR="00885B46" w:rsidRDefault="002D013A" w:rsidP="002D30C7">
      <w:pPr>
        <w:pStyle w:val="WUTCParagraph"/>
      </w:pPr>
      <w:r>
        <w:tab/>
      </w:r>
      <w:r w:rsidR="00885B46">
        <w:t xml:space="preserve">PacifiCorp claims that the Commission’s conclusion that financial markets are returning to more normal conditions </w:t>
      </w:r>
      <w:r w:rsidR="00546E07">
        <w:t>is</w:t>
      </w:r>
      <w:r w:rsidR="00885B46">
        <w:t xml:space="preserve"> inconsistent with </w:t>
      </w:r>
      <w:r w:rsidR="00546E07">
        <w:t>its</w:t>
      </w:r>
      <w:r w:rsidR="00885B46">
        <w:t xml:space="preserve"> conclusion that utility stocks are </w:t>
      </w:r>
      <w:r w:rsidR="00546E07">
        <w:t xml:space="preserve">generally considered to be </w:t>
      </w:r>
      <w:r w:rsidR="00885B46">
        <w:t>less volatile and safer investments in times of turmoil.</w:t>
      </w:r>
      <w:r w:rsidR="00885B46" w:rsidRPr="00634E9E">
        <w:rPr>
          <w:rStyle w:val="FootnoteReference"/>
        </w:rPr>
        <w:footnoteReference w:id="67"/>
      </w:r>
      <w:r w:rsidR="00885B46" w:rsidRPr="006213E4">
        <w:rPr>
          <w:vertAlign w:val="superscript"/>
        </w:rPr>
        <w:t>/</w:t>
      </w:r>
      <w:r w:rsidR="00885B46">
        <w:t xml:space="preserve">  PacifiCorp then argues that utility stocks have not participated equally in the current stock market rally</w:t>
      </w:r>
      <w:r w:rsidR="004B1AD8">
        <w:t>,</w:t>
      </w:r>
      <w:r w:rsidR="00885B46">
        <w:t xml:space="preserve"> and </w:t>
      </w:r>
      <w:r w:rsidR="004B1AD8">
        <w:t>this means that PacifiCorp needs</w:t>
      </w:r>
      <w:r w:rsidR="00885B46">
        <w:t xml:space="preserve"> a higher ROE to attract capital.</w:t>
      </w:r>
      <w:r w:rsidR="00885B46" w:rsidRPr="00634E9E">
        <w:rPr>
          <w:rStyle w:val="FootnoteReference"/>
        </w:rPr>
        <w:footnoteReference w:id="68"/>
      </w:r>
      <w:r w:rsidR="00885B46" w:rsidRPr="006213E4">
        <w:rPr>
          <w:vertAlign w:val="superscript"/>
        </w:rPr>
        <w:t>/</w:t>
      </w:r>
      <w:r w:rsidR="00885B46">
        <w:t xml:space="preserve">  PacifiCorp’s reconsideration</w:t>
      </w:r>
      <w:r w:rsidR="00DB0DF7">
        <w:t xml:space="preserve"> arguments are in direct opposition to</w:t>
      </w:r>
      <w:r w:rsidR="00885B46">
        <w:t xml:space="preserve"> its position in testimony and briefing that claimed utility stocks remained volatile, which warranted a higher ROE.</w:t>
      </w:r>
      <w:r w:rsidR="00885B46" w:rsidRPr="00634E9E">
        <w:rPr>
          <w:rStyle w:val="FootnoteReference"/>
        </w:rPr>
        <w:footnoteReference w:id="69"/>
      </w:r>
      <w:r w:rsidR="00885B46" w:rsidRPr="006213E4">
        <w:rPr>
          <w:vertAlign w:val="superscript"/>
        </w:rPr>
        <w:t>/</w:t>
      </w:r>
      <w:r w:rsidR="00885B46">
        <w:t xml:space="preserve">  </w:t>
      </w:r>
      <w:r w:rsidR="005A7100">
        <w:t>According to PacifiCorp</w:t>
      </w:r>
      <w:r w:rsidR="00885B46">
        <w:t xml:space="preserve">, both normal and volatile utility stock conditions warrant a higher ROE, with the only constant being that the Company will argue for a higher ROE regardless of the economic conditions.    </w:t>
      </w:r>
    </w:p>
    <w:p w:rsidR="00D56BC2" w:rsidRDefault="00885B46" w:rsidP="002D30C7">
      <w:pPr>
        <w:pStyle w:val="WUTCParagraph"/>
      </w:pPr>
      <w:r>
        <w:lastRenderedPageBreak/>
        <w:tab/>
      </w:r>
      <w:r w:rsidR="00C06522">
        <w:t>The Commission’s analysis of the current market conditions and their impact upon rate of return analysis is internally consistent and accurate.  The Commission recognized that the U.S. economy has experienced a severe economic recession and that economic conditions have improved but not entirely returned to normal.</w:t>
      </w:r>
      <w:r w:rsidR="00C06522" w:rsidRPr="00634E9E">
        <w:rPr>
          <w:rStyle w:val="FootnoteReference"/>
        </w:rPr>
        <w:footnoteReference w:id="70"/>
      </w:r>
      <w:r w:rsidR="00C06522" w:rsidRPr="006213E4">
        <w:rPr>
          <w:vertAlign w:val="superscript"/>
        </w:rPr>
        <w:t>/</w:t>
      </w:r>
      <w:r w:rsidR="00C06522">
        <w:t xml:space="preserve">  Utility stocks are stronger during poor economic conditions because they are considered safer investments, and while utility stocks have not recovered as much as non-utility stocks, this is what should be expected because utility stocks were not as hurt as </w:t>
      </w:r>
      <w:r w:rsidR="004B1AD8">
        <w:t xml:space="preserve">much as </w:t>
      </w:r>
      <w:r w:rsidR="00C06522">
        <w:t>non-utility stocks.</w:t>
      </w:r>
      <w:r w:rsidR="00C06522" w:rsidRPr="00634E9E">
        <w:rPr>
          <w:rStyle w:val="FootnoteReference"/>
        </w:rPr>
        <w:footnoteReference w:id="71"/>
      </w:r>
      <w:r w:rsidR="00C06522" w:rsidRPr="006213E4">
        <w:rPr>
          <w:vertAlign w:val="superscript"/>
        </w:rPr>
        <w:t>/</w:t>
      </w:r>
      <w:r w:rsidR="00C06522">
        <w:t xml:space="preserve">  </w:t>
      </w:r>
      <w:r w:rsidR="008D1000">
        <w:t xml:space="preserve">Thus, utility stocks are not expected to underperform the market </w:t>
      </w:r>
      <w:r w:rsidR="00005D65">
        <w:t xml:space="preserve">generally </w:t>
      </w:r>
      <w:r w:rsidR="008D1000">
        <w:t xml:space="preserve">and </w:t>
      </w:r>
      <w:r w:rsidR="004B1AD8">
        <w:t xml:space="preserve">do not </w:t>
      </w:r>
      <w:r w:rsidR="008D1000">
        <w:t xml:space="preserve">need higher ROEs to spur investment, but </w:t>
      </w:r>
      <w:r w:rsidR="004B1AD8">
        <w:t xml:space="preserve">utility stocks </w:t>
      </w:r>
      <w:r w:rsidR="00D56BC2">
        <w:t>should</w:t>
      </w:r>
      <w:r w:rsidR="005A7100">
        <w:t xml:space="preserve"> instead</w:t>
      </w:r>
      <w:r w:rsidR="00D56BC2">
        <w:t xml:space="preserve"> improve with the rest of the market</w:t>
      </w:r>
      <w:r w:rsidR="005A7100">
        <w:t>, with</w:t>
      </w:r>
      <w:r w:rsidR="00D56BC2">
        <w:t xml:space="preserve"> their improvement </w:t>
      </w:r>
      <w:r w:rsidR="005A7100">
        <w:t xml:space="preserve">being less dramatic </w:t>
      </w:r>
      <w:r w:rsidR="00D56BC2">
        <w:t xml:space="preserve">because they held greater value during the recession.  </w:t>
      </w:r>
    </w:p>
    <w:p w:rsidR="00D56BC2" w:rsidRDefault="00D56BC2" w:rsidP="00D56BC2">
      <w:pPr>
        <w:pStyle w:val="WUTCParagraph"/>
        <w:numPr>
          <w:ilvl w:val="0"/>
          <w:numId w:val="0"/>
        </w:numPr>
        <w:spacing w:line="240" w:lineRule="auto"/>
        <w:ind w:left="1440" w:hanging="720"/>
      </w:pPr>
      <w:r>
        <w:rPr>
          <w:b/>
        </w:rPr>
        <w:t>5.</w:t>
      </w:r>
      <w:r>
        <w:rPr>
          <w:b/>
        </w:rPr>
        <w:tab/>
        <w:t xml:space="preserve">The Commission’s CAPM Analysis Is Consistent With Prior WUTC Precedent </w:t>
      </w:r>
      <w:r>
        <w:t xml:space="preserve"> </w:t>
      </w:r>
    </w:p>
    <w:p w:rsidR="00D56BC2" w:rsidRDefault="00D56BC2" w:rsidP="00D56BC2">
      <w:pPr>
        <w:pStyle w:val="WUTCParagraph"/>
        <w:numPr>
          <w:ilvl w:val="0"/>
          <w:numId w:val="0"/>
        </w:numPr>
        <w:spacing w:line="240" w:lineRule="auto"/>
        <w:ind w:left="1440" w:hanging="720"/>
      </w:pPr>
    </w:p>
    <w:p w:rsidR="00D56BC2" w:rsidRDefault="00D56BC2" w:rsidP="002D30C7">
      <w:pPr>
        <w:pStyle w:val="WUTCParagraph"/>
      </w:pPr>
      <w:r>
        <w:t xml:space="preserve"> </w:t>
      </w:r>
      <w:r>
        <w:tab/>
        <w:t>PacifiCorp</w:t>
      </w:r>
      <w:r w:rsidR="004B1AD8">
        <w:t xml:space="preserve"> argues</w:t>
      </w:r>
      <w:r>
        <w:t xml:space="preserve"> that the Commission failed to follow its recent decision </w:t>
      </w:r>
      <w:r w:rsidR="00005D65">
        <w:t>(</w:t>
      </w:r>
      <w:r>
        <w:t>in the Puget Sound Energy</w:t>
      </w:r>
      <w:r w:rsidR="0008735A">
        <w:t xml:space="preserve"> (“PSE”)</w:t>
      </w:r>
      <w:r>
        <w:t xml:space="preserve"> rate case</w:t>
      </w:r>
      <w:r w:rsidR="00005D65">
        <w:t>)</w:t>
      </w:r>
      <w:r>
        <w:t xml:space="preserve"> that </w:t>
      </w:r>
      <w:r w:rsidR="00005D65">
        <w:t xml:space="preserve">it </w:t>
      </w:r>
      <w:r>
        <w:t>would accord the CAPM diminished weight because of the poor economic conditions.</w:t>
      </w:r>
      <w:r w:rsidRPr="00634E9E">
        <w:rPr>
          <w:rStyle w:val="FootnoteReference"/>
        </w:rPr>
        <w:footnoteReference w:id="72"/>
      </w:r>
      <w:r w:rsidRPr="006213E4">
        <w:rPr>
          <w:vertAlign w:val="superscript"/>
        </w:rPr>
        <w:t>/</w:t>
      </w:r>
      <w:r>
        <w:t xml:space="preserve">  PacifiCorp raised these arguments in its briefing,</w:t>
      </w:r>
      <w:r w:rsidR="002D1030" w:rsidRPr="00634E9E">
        <w:rPr>
          <w:rStyle w:val="FootnoteReference"/>
        </w:rPr>
        <w:footnoteReference w:id="73"/>
      </w:r>
      <w:r w:rsidR="002D1030" w:rsidRPr="006213E4">
        <w:rPr>
          <w:vertAlign w:val="superscript"/>
        </w:rPr>
        <w:t>/</w:t>
      </w:r>
      <w:r>
        <w:t xml:space="preserve"> and the Commission’s order fully considered them when </w:t>
      </w:r>
      <w:r w:rsidR="005A7100">
        <w:t>deciding to utilize</w:t>
      </w:r>
      <w:r>
        <w:t xml:space="preserve"> the CAPM as a </w:t>
      </w:r>
      <w:r w:rsidR="002D1030">
        <w:t>useful check on the DCF and risk premium analysis.</w:t>
      </w:r>
      <w:r w:rsidR="002D1030" w:rsidRPr="00634E9E">
        <w:rPr>
          <w:rStyle w:val="FootnoteReference"/>
        </w:rPr>
        <w:footnoteReference w:id="74"/>
      </w:r>
      <w:r w:rsidR="002D1030" w:rsidRPr="006213E4">
        <w:rPr>
          <w:vertAlign w:val="superscript"/>
        </w:rPr>
        <w:t>/</w:t>
      </w:r>
      <w:r w:rsidR="002D1030">
        <w:t xml:space="preserve">  </w:t>
      </w:r>
    </w:p>
    <w:p w:rsidR="00CD0D5A" w:rsidRDefault="002D1030" w:rsidP="002D30C7">
      <w:pPr>
        <w:pStyle w:val="WUTCParagraph"/>
      </w:pPr>
      <w:r>
        <w:tab/>
        <w:t>As recognized by the Commission, the CAPM analysis remains a valid tool to evaluate the reasonableness of the other ROE models.</w:t>
      </w:r>
      <w:r w:rsidRPr="00634E9E">
        <w:rPr>
          <w:rStyle w:val="FootnoteReference"/>
        </w:rPr>
        <w:footnoteReference w:id="75"/>
      </w:r>
      <w:r w:rsidRPr="006213E4">
        <w:rPr>
          <w:vertAlign w:val="superscript"/>
        </w:rPr>
        <w:t>/</w:t>
      </w:r>
      <w:r>
        <w:t xml:space="preserve">  </w:t>
      </w:r>
      <w:r w:rsidR="0008735A">
        <w:t xml:space="preserve">In explaining this point, the </w:t>
      </w:r>
      <w:r w:rsidR="0008735A">
        <w:lastRenderedPageBreak/>
        <w:t xml:space="preserve">Commission </w:t>
      </w:r>
      <w:r w:rsidR="004B1AD8">
        <w:t>relied on</w:t>
      </w:r>
      <w:r w:rsidR="0008735A">
        <w:t xml:space="preserve"> the recent PSE case </w:t>
      </w:r>
      <w:r w:rsidR="004B1AD8">
        <w:t>to reaffirm its long-</w:t>
      </w:r>
      <w:r w:rsidR="0008735A">
        <w:t>held position that it is important to consider multiple perspectives and models, especially in times of financial turmoil.</w:t>
      </w:r>
      <w:r w:rsidR="0008735A" w:rsidRPr="00634E9E">
        <w:rPr>
          <w:rStyle w:val="FootnoteReference"/>
        </w:rPr>
        <w:footnoteReference w:id="76"/>
      </w:r>
      <w:r w:rsidR="0008735A" w:rsidRPr="006213E4">
        <w:rPr>
          <w:vertAlign w:val="superscript"/>
        </w:rPr>
        <w:t>/</w:t>
      </w:r>
      <w:r w:rsidR="00503312">
        <w:t xml:space="preserve">  </w:t>
      </w:r>
      <w:r w:rsidR="004B1AD8">
        <w:t>F</w:t>
      </w:r>
      <w:r w:rsidR="00503312">
        <w:t>inancial conditions have steadily improved over the past six to nine months</w:t>
      </w:r>
      <w:r w:rsidR="004B1AD8">
        <w:t>, and the CAPM remains a valid tool to calculate utility ROEs</w:t>
      </w:r>
      <w:r w:rsidR="00503312">
        <w:t xml:space="preserve">.  </w:t>
      </w:r>
    </w:p>
    <w:p w:rsidR="00D72785" w:rsidRDefault="00CD0D5A" w:rsidP="002D30C7">
      <w:pPr>
        <w:pStyle w:val="WUTCParagraph"/>
      </w:pPr>
      <w:r>
        <w:tab/>
        <w:t xml:space="preserve">The Commission’s 9.8% ROE is based primarily upon ICNU’s DCF </w:t>
      </w:r>
      <w:r w:rsidR="000E4522">
        <w:t xml:space="preserve">and risk premium </w:t>
      </w:r>
      <w:r>
        <w:t>analysis,</w:t>
      </w:r>
      <w:r w:rsidR="000E4522">
        <w:t xml:space="preserve"> and the Commission only used the CAPM analysis as a </w:t>
      </w:r>
      <w:r w:rsidR="004B1AD8">
        <w:t>“</w:t>
      </w:r>
      <w:r w:rsidR="000E4522">
        <w:t>check</w:t>
      </w:r>
      <w:r w:rsidR="004B1AD8">
        <w:t>”</w:t>
      </w:r>
      <w:r w:rsidR="000E4522">
        <w:t xml:space="preserve"> to support the other models’ conclusions that a lower ROE is justified.</w:t>
      </w:r>
      <w:r w:rsidR="000E4522" w:rsidRPr="00634E9E">
        <w:rPr>
          <w:rStyle w:val="FootnoteReference"/>
        </w:rPr>
        <w:footnoteReference w:id="77"/>
      </w:r>
      <w:r w:rsidR="000E4522" w:rsidRPr="006213E4">
        <w:rPr>
          <w:vertAlign w:val="superscript"/>
        </w:rPr>
        <w:t>/</w:t>
      </w:r>
      <w:r w:rsidR="000E4522">
        <w:t xml:space="preserve">  If the Commission had accorded the CAPM as much weight </w:t>
      </w:r>
      <w:r w:rsidR="00005D65">
        <w:t>as</w:t>
      </w:r>
      <w:r w:rsidR="000E4522">
        <w:t xml:space="preserve"> the DCF and risk premium analysis, then the </w:t>
      </w:r>
      <w:r w:rsidR="004B1AD8">
        <w:t xml:space="preserve">Commission </w:t>
      </w:r>
      <w:r w:rsidR="000E4522">
        <w:t xml:space="preserve">would </w:t>
      </w:r>
      <w:r w:rsidR="004B1AD8">
        <w:t>have adopted a</w:t>
      </w:r>
      <w:r w:rsidR="000E4522">
        <w:t xml:space="preserve"> 9.5% </w:t>
      </w:r>
      <w:r w:rsidR="000E70C2">
        <w:t xml:space="preserve">ROE </w:t>
      </w:r>
      <w:r w:rsidR="000E4522">
        <w:t>rather than the higher 9.8%</w:t>
      </w:r>
      <w:r w:rsidR="004B1AD8">
        <w:t xml:space="preserve"> ROE</w:t>
      </w:r>
      <w:r w:rsidR="000E4522">
        <w:t>.</w:t>
      </w:r>
      <w:r w:rsidR="000E4522">
        <w:rPr>
          <w:rStyle w:val="FootnoteReference"/>
        </w:rPr>
        <w:footnoteReference w:id="78"/>
      </w:r>
      <w:r w:rsidR="000E4522" w:rsidRPr="00F1385B">
        <w:rPr>
          <w:vertAlign w:val="superscript"/>
        </w:rPr>
        <w:t>/</w:t>
      </w:r>
      <w:r w:rsidR="000E4522" w:rsidRPr="00F1385B">
        <w:t xml:space="preserve"> </w:t>
      </w:r>
    </w:p>
    <w:p w:rsidR="00D72785" w:rsidRDefault="00D72785" w:rsidP="00D72785">
      <w:pPr>
        <w:pStyle w:val="WUTCParagraph"/>
        <w:numPr>
          <w:ilvl w:val="0"/>
          <w:numId w:val="0"/>
        </w:numPr>
        <w:spacing w:line="240" w:lineRule="auto"/>
        <w:ind w:left="1440" w:hanging="720"/>
        <w:rPr>
          <w:b/>
        </w:rPr>
      </w:pPr>
      <w:r>
        <w:rPr>
          <w:b/>
        </w:rPr>
        <w:t>6.</w:t>
      </w:r>
      <w:r>
        <w:rPr>
          <w:b/>
        </w:rPr>
        <w:tab/>
        <w:t xml:space="preserve">The </w:t>
      </w:r>
      <w:r w:rsidR="00C563A1">
        <w:rPr>
          <w:b/>
        </w:rPr>
        <w:t xml:space="preserve">Commission Appropriately </w:t>
      </w:r>
      <w:r>
        <w:rPr>
          <w:b/>
        </w:rPr>
        <w:t>Reject</w:t>
      </w:r>
      <w:r w:rsidR="00C563A1">
        <w:rPr>
          <w:b/>
        </w:rPr>
        <w:t>ed</w:t>
      </w:r>
      <w:r>
        <w:rPr>
          <w:b/>
        </w:rPr>
        <w:t xml:space="preserve"> Dr. Hadaway’s Regression Analysis </w:t>
      </w:r>
    </w:p>
    <w:p w:rsidR="002D1030" w:rsidRDefault="000E4522" w:rsidP="00D72785">
      <w:pPr>
        <w:pStyle w:val="WUTCParagraph"/>
        <w:numPr>
          <w:ilvl w:val="0"/>
          <w:numId w:val="0"/>
        </w:numPr>
        <w:spacing w:line="240" w:lineRule="auto"/>
        <w:ind w:left="1440" w:hanging="720"/>
      </w:pPr>
      <w:r>
        <w:t xml:space="preserve">   </w:t>
      </w:r>
      <w:r w:rsidR="00CD0D5A">
        <w:t xml:space="preserve">  </w:t>
      </w:r>
      <w:r w:rsidR="002D1030">
        <w:t xml:space="preserve"> </w:t>
      </w:r>
    </w:p>
    <w:p w:rsidR="00D56BC2" w:rsidRDefault="00D56BC2" w:rsidP="002D30C7">
      <w:pPr>
        <w:pStyle w:val="WUTCParagraph"/>
      </w:pPr>
      <w:r>
        <w:t xml:space="preserve"> </w:t>
      </w:r>
      <w:r w:rsidR="00C563A1">
        <w:tab/>
        <w:t>PacifiCorp misrepresents the evidentiary record when it claims that there is “no evidence in the record” to reject Dr. Hadaway’s regression analysis and that there was “no evidentiary basis” to reject the analysis.</w:t>
      </w:r>
      <w:r w:rsidR="00C563A1">
        <w:rPr>
          <w:rStyle w:val="FootnoteReference"/>
        </w:rPr>
        <w:footnoteReference w:id="79"/>
      </w:r>
      <w:r w:rsidR="00C563A1" w:rsidRPr="00F1385B">
        <w:rPr>
          <w:vertAlign w:val="superscript"/>
        </w:rPr>
        <w:t>/</w:t>
      </w:r>
      <w:r w:rsidR="00C563A1" w:rsidRPr="00F1385B">
        <w:t xml:space="preserve"> </w:t>
      </w:r>
      <w:r w:rsidR="00C563A1">
        <w:t xml:space="preserve"> PacifiCorp repeats the arguments it made in its briefing that Mr. Gorman “ignored” the relationship in his analysis.</w:t>
      </w:r>
      <w:r w:rsidR="00C563A1">
        <w:rPr>
          <w:rStyle w:val="FootnoteReference"/>
        </w:rPr>
        <w:footnoteReference w:id="80"/>
      </w:r>
      <w:r w:rsidR="00C563A1" w:rsidRPr="00F1385B">
        <w:rPr>
          <w:vertAlign w:val="superscript"/>
        </w:rPr>
        <w:t>/</w:t>
      </w:r>
      <w:r w:rsidR="00C563A1" w:rsidRPr="00F1385B">
        <w:t xml:space="preserve"> </w:t>
      </w:r>
      <w:r w:rsidR="00C563A1">
        <w:t xml:space="preserve">   As explained by Mr. Gorman and in ICNU’s legal briefs, the inverse relationship </w:t>
      </w:r>
      <w:r w:rsidR="00D715EC">
        <w:t>should not occur during times without significant interest rate volatility</w:t>
      </w:r>
      <w:r w:rsidR="00DB0DF7">
        <w:t>,</w:t>
      </w:r>
      <w:r w:rsidR="004B1AD8">
        <w:t xml:space="preserve"> </w:t>
      </w:r>
      <w:r w:rsidR="00DB0DF7">
        <w:t>which</w:t>
      </w:r>
      <w:r w:rsidR="004B1AD8">
        <w:t xml:space="preserve"> is not expected to occur during the rate effective period</w:t>
      </w:r>
      <w:r w:rsidR="00D715EC">
        <w:t>.</w:t>
      </w:r>
      <w:r w:rsidR="00D715EC">
        <w:rPr>
          <w:rStyle w:val="FootnoteReference"/>
        </w:rPr>
        <w:footnoteReference w:id="81"/>
      </w:r>
      <w:r w:rsidR="00D715EC" w:rsidRPr="00F1385B">
        <w:rPr>
          <w:vertAlign w:val="superscript"/>
        </w:rPr>
        <w:t>/</w:t>
      </w:r>
      <w:r w:rsidR="00D715EC">
        <w:t xml:space="preserve">  </w:t>
      </w:r>
      <w:r w:rsidR="00D715EC" w:rsidRPr="00F1385B">
        <w:t xml:space="preserve"> </w:t>
      </w:r>
      <w:r w:rsidR="00C563A1">
        <w:t xml:space="preserve"> </w:t>
      </w:r>
      <w:r w:rsidR="00D715EC">
        <w:t xml:space="preserve">Mr. Gorman’s testimony </w:t>
      </w:r>
      <w:r w:rsidR="004B1AD8">
        <w:t xml:space="preserve">that the inverse relationship analysis “is a flawed </w:t>
      </w:r>
      <w:r w:rsidR="004B1AD8">
        <w:lastRenderedPageBreak/>
        <w:t xml:space="preserve">methodology and does not produce accurate or reliable risk premium estimates,” </w:t>
      </w:r>
      <w:r w:rsidR="00D715EC">
        <w:t>provides</w:t>
      </w:r>
      <w:r w:rsidR="004B1AD8">
        <w:t xml:space="preserve"> </w:t>
      </w:r>
      <w:r w:rsidR="00D715EC">
        <w:t xml:space="preserve">ample support for the Commission to reject Dr. Hadaway’s </w:t>
      </w:r>
      <w:r w:rsidR="000E70C2">
        <w:t>recommendation</w:t>
      </w:r>
      <w:r w:rsidR="00D715EC">
        <w:t>.</w:t>
      </w:r>
      <w:r w:rsidR="004B1AD8">
        <w:rPr>
          <w:rStyle w:val="FootnoteReference"/>
        </w:rPr>
        <w:footnoteReference w:id="82"/>
      </w:r>
      <w:r w:rsidR="004B1AD8" w:rsidRPr="00F1385B">
        <w:rPr>
          <w:vertAlign w:val="superscript"/>
        </w:rPr>
        <w:t>/</w:t>
      </w:r>
      <w:r w:rsidR="00D715EC">
        <w:t xml:space="preserve">  </w:t>
      </w:r>
      <w:r w:rsidR="00C563A1">
        <w:t xml:space="preserve">  </w:t>
      </w:r>
    </w:p>
    <w:p w:rsidR="00D56BC2" w:rsidRDefault="00D56BC2" w:rsidP="002D30C7">
      <w:pPr>
        <w:pStyle w:val="WUTCParagraph"/>
      </w:pPr>
      <w:r>
        <w:t xml:space="preserve"> </w:t>
      </w:r>
      <w:r w:rsidR="00D715EC">
        <w:tab/>
        <w:t xml:space="preserve">PacifiCorp also seeks reconsideration of the Commission’s finding that it was </w:t>
      </w:r>
      <w:r w:rsidR="00005D65">
        <w:t>“</w:t>
      </w:r>
      <w:r w:rsidR="00D715EC">
        <w:t>skeptical</w:t>
      </w:r>
      <w:r w:rsidR="00005D65">
        <w:t>”</w:t>
      </w:r>
      <w:r w:rsidR="00D715EC">
        <w:t xml:space="preserve"> that the inverse relationship formula could produce </w:t>
      </w:r>
      <w:r w:rsidR="00005D65">
        <w:t>“</w:t>
      </w:r>
      <w:r w:rsidR="00D715EC">
        <w:t>such a precise result.</w:t>
      </w:r>
      <w:r w:rsidR="00005D65">
        <w:t>”</w:t>
      </w:r>
      <w:r w:rsidR="00D715EC">
        <w:rPr>
          <w:rStyle w:val="FootnoteReference"/>
        </w:rPr>
        <w:footnoteReference w:id="83"/>
      </w:r>
      <w:r w:rsidR="00D715EC" w:rsidRPr="00F1385B">
        <w:rPr>
          <w:vertAlign w:val="superscript"/>
        </w:rPr>
        <w:t>/</w:t>
      </w:r>
      <w:r w:rsidR="00D715EC" w:rsidRPr="00F1385B">
        <w:t xml:space="preserve"> </w:t>
      </w:r>
      <w:r w:rsidR="00D715EC">
        <w:t xml:space="preserve"> PacifiCorp asserts that the CAPM uses </w:t>
      </w:r>
      <w:r w:rsidR="00005D65">
        <w:t>a similar statistical analysis</w:t>
      </w:r>
      <w:r w:rsidR="00D715EC">
        <w:t xml:space="preserve"> and </w:t>
      </w:r>
      <w:r w:rsidR="00005D65">
        <w:t xml:space="preserve">that </w:t>
      </w:r>
      <w:r w:rsidR="00D715EC">
        <w:t>the Commission should reject the CAPM if it does not adopt Dr. Hadaway’s inverse relationship analysis.</w:t>
      </w:r>
      <w:r w:rsidR="00D715EC">
        <w:rPr>
          <w:rStyle w:val="FootnoteReference"/>
        </w:rPr>
        <w:footnoteReference w:id="84"/>
      </w:r>
      <w:r w:rsidR="00D715EC" w:rsidRPr="00F1385B">
        <w:rPr>
          <w:vertAlign w:val="superscript"/>
        </w:rPr>
        <w:t>/</w:t>
      </w:r>
      <w:r w:rsidR="00D715EC">
        <w:t xml:space="preserve">  </w:t>
      </w:r>
      <w:r w:rsidR="00D25B88">
        <w:t>Unlike most of the Company’s reconsideration request, this is a new argument raised for the first time on reconsideration.  Although the CAPM is widely used for estimating ROEs, PacifiCorp has been opposed to the use of the CAPM throughout this procee</w:t>
      </w:r>
      <w:r w:rsidR="000E70C2">
        <w:t xml:space="preserve">ding, but the Company </w:t>
      </w:r>
      <w:r w:rsidR="00D25B88">
        <w:t xml:space="preserve">did not submit any evidence in support of its arguments regarding the alleged similarity between the CAPM and the inverse relationship. </w:t>
      </w:r>
      <w:r w:rsidR="003513FC">
        <w:t xml:space="preserve"> </w:t>
      </w:r>
      <w:r w:rsidR="00D25B88">
        <w:t>Notably, PacifiCorp cites no testimony or other support for its claims.</w:t>
      </w:r>
      <w:r w:rsidR="00D25B88">
        <w:rPr>
          <w:rStyle w:val="FootnoteReference"/>
        </w:rPr>
        <w:footnoteReference w:id="85"/>
      </w:r>
      <w:r w:rsidR="00D25B88" w:rsidRPr="00F1385B">
        <w:rPr>
          <w:vertAlign w:val="superscript"/>
        </w:rPr>
        <w:t>/</w:t>
      </w:r>
      <w:r w:rsidR="00D25B88">
        <w:t xml:space="preserve">  </w:t>
      </w:r>
      <w:r w:rsidR="004D2D62">
        <w:t>ICNU disagrees that the two methods are comparable</w:t>
      </w:r>
      <w:r w:rsidR="003513FC">
        <w:t>, and</w:t>
      </w:r>
      <w:r w:rsidR="004D2D62">
        <w:t xml:space="preserve"> there is no basis in the record for such a conclusion.   </w:t>
      </w:r>
      <w:r w:rsidR="00D25B88">
        <w:t xml:space="preserve"> </w:t>
      </w:r>
      <w:r w:rsidR="00D715EC">
        <w:t xml:space="preserve"> </w:t>
      </w:r>
    </w:p>
    <w:p w:rsidR="00BE04DE" w:rsidRPr="00BE04DE" w:rsidRDefault="00BE04DE" w:rsidP="00BE04DE">
      <w:pPr>
        <w:pStyle w:val="WUTCParagraph"/>
        <w:numPr>
          <w:ilvl w:val="0"/>
          <w:numId w:val="0"/>
        </w:numPr>
        <w:tabs>
          <w:tab w:val="left" w:pos="720"/>
        </w:tabs>
        <w:rPr>
          <w:b/>
        </w:rPr>
      </w:pPr>
      <w:r>
        <w:rPr>
          <w:b/>
        </w:rPr>
        <w:t>D.</w:t>
      </w:r>
      <w:r>
        <w:rPr>
          <w:b/>
        </w:rPr>
        <w:tab/>
        <w:t xml:space="preserve">Capital Structure </w:t>
      </w:r>
    </w:p>
    <w:p w:rsidR="00466003" w:rsidRDefault="00BE04DE" w:rsidP="002D30C7">
      <w:pPr>
        <w:pStyle w:val="WUTCParagraph"/>
      </w:pPr>
      <w:r>
        <w:tab/>
        <w:t xml:space="preserve">PacifiCorp seeks reconsideration of the Commission’s adoption of Mr. Gorman’s capital structure, which determined the Company’s equity </w:t>
      </w:r>
      <w:r w:rsidR="00AB36D1">
        <w:t>ratio</w:t>
      </w:r>
      <w:r>
        <w:t xml:space="preserve"> based on estimating the equity used to support plant investments.</w:t>
      </w:r>
      <w:r w:rsidRPr="00634E9E">
        <w:rPr>
          <w:rStyle w:val="FootnoteReference"/>
        </w:rPr>
        <w:footnoteReference w:id="86"/>
      </w:r>
      <w:r w:rsidRPr="006213E4">
        <w:rPr>
          <w:vertAlign w:val="superscript"/>
        </w:rPr>
        <w:t>/</w:t>
      </w:r>
      <w:r>
        <w:t xml:space="preserve">  </w:t>
      </w:r>
      <w:r w:rsidR="00466003">
        <w:t xml:space="preserve">PacifiCorp argues that the Commission: 1) erroneously removed $360 million of equity from the Company’s balance sheets; 2) failed to consider the impact of Mr. Gorman’s recommendation on the Company’s credit </w:t>
      </w:r>
      <w:r w:rsidR="00005D65">
        <w:t>metrics</w:t>
      </w:r>
      <w:r w:rsidR="00466003">
        <w:t xml:space="preserve">; and 3) relied upon </w:t>
      </w:r>
      <w:r w:rsidR="00466003">
        <w:lastRenderedPageBreak/>
        <w:t>the wrong legal standard.</w:t>
      </w:r>
      <w:r w:rsidR="00466003">
        <w:rPr>
          <w:rStyle w:val="FootnoteReference"/>
        </w:rPr>
        <w:footnoteReference w:id="87"/>
      </w:r>
      <w:r w:rsidR="00466003" w:rsidRPr="00F1385B">
        <w:rPr>
          <w:vertAlign w:val="superscript"/>
        </w:rPr>
        <w:t>/</w:t>
      </w:r>
      <w:r w:rsidR="00466003">
        <w:t xml:space="preserve">  Again, PacifiCorp made all of these arguments previously in testimony and legal briefing</w:t>
      </w:r>
      <w:r w:rsidR="002A45F5">
        <w:t>, and the Company is merely disagreeing with the Commission’s conclusions instead of identifying any errors or omissions</w:t>
      </w:r>
      <w:r w:rsidR="00466003">
        <w:t>.</w:t>
      </w:r>
    </w:p>
    <w:p w:rsidR="002A45F5" w:rsidRDefault="00466003" w:rsidP="002D30C7">
      <w:pPr>
        <w:pStyle w:val="WUTCParagraph"/>
      </w:pPr>
      <w:r>
        <w:tab/>
      </w:r>
      <w:r w:rsidR="002A45F5">
        <w:t>PacifiCorp’s reconsideration request notably does not disagree with the Commission’s fundamental conclusion that “the Company’s proposed capital structure contains too much equity, which tips the balance too far in favor of investor interests over ratepayers.”</w:t>
      </w:r>
      <w:r w:rsidR="002A45F5" w:rsidRPr="00634E9E">
        <w:rPr>
          <w:rStyle w:val="FootnoteReference"/>
        </w:rPr>
        <w:footnoteReference w:id="88"/>
      </w:r>
      <w:r w:rsidR="002A45F5" w:rsidRPr="006213E4">
        <w:rPr>
          <w:vertAlign w:val="superscript"/>
        </w:rPr>
        <w:t>/</w:t>
      </w:r>
      <w:r w:rsidR="002A45F5">
        <w:t xml:space="preserve">  The Commission’s options to remedy PacifiCorp’s harmful equity ratio </w:t>
      </w:r>
      <w:r w:rsidR="00005D65">
        <w:t>were either</w:t>
      </w:r>
      <w:r w:rsidR="002A45F5">
        <w:t xml:space="preserve"> to fashion it</w:t>
      </w:r>
      <w:r w:rsidR="00005D65">
        <w:t>s own hypothetical equity ratio</w:t>
      </w:r>
      <w:r w:rsidR="002A45F5">
        <w:t xml:space="preserve"> or </w:t>
      </w:r>
      <w:r w:rsidR="00005D65">
        <w:t xml:space="preserve">to </w:t>
      </w:r>
      <w:r w:rsidR="002A45F5">
        <w:t>adopt the proposals of Messrs. Gorman or Elgin.  Mr. Gorman’s recommendations were well</w:t>
      </w:r>
      <w:r w:rsidR="00005D65">
        <w:t>-</w:t>
      </w:r>
      <w:r w:rsidR="002A45F5">
        <w:t>supported and address the problem of PacifiCorp unnecessarily expanding its equity ratio in order to promote shareholder benefits over a more cost-effective and economic equity ratio.  If the Commission, however, agrees with PacifiCorp’s previously raised arguments regarding Mr. Gorman’s equity ratio, then ICNU recommends that the Commission fashion a hypothetical equity ratio based upon the overall recommendations of Messrs. Gorman and Elgin.</w:t>
      </w:r>
    </w:p>
    <w:p w:rsidR="00C563A1" w:rsidRPr="00B65972" w:rsidRDefault="002A45F5" w:rsidP="00B65972">
      <w:pPr>
        <w:pStyle w:val="WUTCParagraph"/>
        <w:keepNext/>
        <w:numPr>
          <w:ilvl w:val="0"/>
          <w:numId w:val="0"/>
        </w:numPr>
        <w:spacing w:after="240" w:line="240" w:lineRule="auto"/>
        <w:ind w:left="1440" w:hanging="720"/>
        <w:rPr>
          <w:b/>
        </w:rPr>
      </w:pPr>
      <w:r>
        <w:rPr>
          <w:b/>
        </w:rPr>
        <w:t>1.</w:t>
      </w:r>
      <w:r>
        <w:rPr>
          <w:b/>
        </w:rPr>
        <w:tab/>
      </w:r>
      <w:r w:rsidR="00043D03">
        <w:rPr>
          <w:b/>
        </w:rPr>
        <w:t xml:space="preserve">The Commission Did Not Need “Clear and Convincing” Evidence to Adopt Mr. Gorman’s Capital Structure </w:t>
      </w:r>
    </w:p>
    <w:p w:rsidR="000A7B6B" w:rsidRDefault="00885B46" w:rsidP="002D30C7">
      <w:pPr>
        <w:pStyle w:val="WUTCParagraph"/>
      </w:pPr>
      <w:r>
        <w:t xml:space="preserve"> </w:t>
      </w:r>
      <w:r w:rsidR="0087358D">
        <w:t xml:space="preserve"> </w:t>
      </w:r>
      <w:r w:rsidR="006D3F83">
        <w:t xml:space="preserve">  </w:t>
      </w:r>
      <w:r w:rsidR="00043D03">
        <w:tab/>
        <w:t>PacifiCorp argues throughout its Petition, previous briefing and in testimony that the Commission cannot adopt a hypothetical capital structure unless there is “a clear and compelling reason to do so.”</w:t>
      </w:r>
      <w:r w:rsidR="00043D03" w:rsidRPr="00634E9E">
        <w:rPr>
          <w:rStyle w:val="FootnoteReference"/>
        </w:rPr>
        <w:footnoteReference w:id="89"/>
      </w:r>
      <w:r w:rsidR="00043D03" w:rsidRPr="006213E4">
        <w:rPr>
          <w:vertAlign w:val="superscript"/>
        </w:rPr>
        <w:t>/</w:t>
      </w:r>
      <w:r w:rsidR="004B3352">
        <w:t xml:space="preserve">  </w:t>
      </w:r>
      <w:r w:rsidR="00DB0DF7">
        <w:t xml:space="preserve">PacifiCorp provides no legal basis for this “clear and convincing” standard.  </w:t>
      </w:r>
      <w:r w:rsidR="004B3352">
        <w:t>PacifiCorp ignores the totality of</w:t>
      </w:r>
      <w:r w:rsidR="00043D03">
        <w:t xml:space="preserve"> the relevant Commission precedent, </w:t>
      </w:r>
      <w:r w:rsidR="00043D03">
        <w:lastRenderedPageBreak/>
        <w:t>under which the Commission has adopted hypothetical capital structures</w:t>
      </w:r>
      <w:r w:rsidR="004B3352">
        <w:t xml:space="preserve"> in cases</w:t>
      </w:r>
      <w:r w:rsidR="00043D03">
        <w:t xml:space="preserve"> when there is “good reason” to do so.</w:t>
      </w:r>
      <w:r w:rsidR="004B3352" w:rsidRPr="00634E9E">
        <w:rPr>
          <w:rStyle w:val="FootnoteReference"/>
        </w:rPr>
        <w:footnoteReference w:id="90"/>
      </w:r>
      <w:r w:rsidR="004B3352" w:rsidRPr="006213E4">
        <w:rPr>
          <w:vertAlign w:val="superscript"/>
        </w:rPr>
        <w:t>/</w:t>
      </w:r>
      <w:r w:rsidR="00043D03">
        <w:t xml:space="preserve">  </w:t>
      </w:r>
      <w:r w:rsidR="004B3352">
        <w:t>Regardless, Mid-American Energy Holdings Company’s</w:t>
      </w:r>
      <w:r w:rsidR="005A7100">
        <w:t xml:space="preserve"> (“MEHC”)</w:t>
      </w:r>
      <w:r w:rsidR="004B3352">
        <w:t xml:space="preserve"> efforts to build up PacifiCorp’s equity in</w:t>
      </w:r>
      <w:r w:rsidR="00005D65">
        <w:t xml:space="preserve"> an uneconomical manner provide</w:t>
      </w:r>
      <w:r w:rsidR="004B3352">
        <w:t xml:space="preserve"> </w:t>
      </w:r>
      <w:r w:rsidR="00DB0DF7">
        <w:t>ample</w:t>
      </w:r>
      <w:r w:rsidR="004B3352">
        <w:t xml:space="preserve"> evidence to adopt a hypothetical capital structure.</w:t>
      </w:r>
    </w:p>
    <w:p w:rsidR="004B3352" w:rsidRPr="004B3352" w:rsidRDefault="004B3352" w:rsidP="004B3352">
      <w:pPr>
        <w:pStyle w:val="WUTCParagraph"/>
        <w:numPr>
          <w:ilvl w:val="0"/>
          <w:numId w:val="0"/>
        </w:numPr>
        <w:ind w:left="1440" w:hanging="720"/>
        <w:rPr>
          <w:b/>
        </w:rPr>
      </w:pPr>
      <w:r>
        <w:rPr>
          <w:b/>
        </w:rPr>
        <w:t>2.</w:t>
      </w:r>
      <w:r>
        <w:rPr>
          <w:b/>
        </w:rPr>
        <w:tab/>
        <w:t>Mr. Gorman’s Equity Adjustments Are Well Supported</w:t>
      </w:r>
    </w:p>
    <w:p w:rsidR="00F72001" w:rsidRDefault="004B3352" w:rsidP="002D30C7">
      <w:pPr>
        <w:pStyle w:val="WUTCParagraph"/>
      </w:pPr>
      <w:r>
        <w:tab/>
      </w:r>
      <w:r w:rsidR="008825C7">
        <w:t>PacifiCorp</w:t>
      </w:r>
      <w:r w:rsidR="000E70C2">
        <w:t xml:space="preserve"> argues</w:t>
      </w:r>
      <w:r w:rsidR="008825C7">
        <w:t xml:space="preserve"> that specific aspects of Mr. Gorman’s equity adjustment are incorrect or erroneous</w:t>
      </w:r>
      <w:r w:rsidR="003C331C">
        <w:t xml:space="preserve">, </w:t>
      </w:r>
      <w:r w:rsidR="000E70C2">
        <w:t>claiming</w:t>
      </w:r>
      <w:r w:rsidR="002F26E1">
        <w:t xml:space="preserve"> that: 1) it was inappropriate to remove short-term investments; 2) Mr. Gorman’s recommendation was one-sided; 3) accumulated amortization of the acquisition adjustment should have been removed; and 4) adoption of Staff’s cash working capital (“CWC”) adjustment is inconsistent with Mr. Gorman’s equit</w:t>
      </w:r>
      <w:r w:rsidR="00F72001">
        <w:t>y ratio</w:t>
      </w:r>
      <w:r w:rsidR="008D4ADA">
        <w:t>.</w:t>
      </w:r>
      <w:r w:rsidR="00F72001" w:rsidRPr="00634E9E">
        <w:rPr>
          <w:rStyle w:val="FootnoteReference"/>
        </w:rPr>
        <w:footnoteReference w:id="91"/>
      </w:r>
      <w:r w:rsidR="00F72001" w:rsidRPr="006213E4">
        <w:rPr>
          <w:vertAlign w:val="superscript"/>
        </w:rPr>
        <w:t>/</w:t>
      </w:r>
      <w:r w:rsidR="00F72001">
        <w:t xml:space="preserve">  PacifiCorp’s arguments are incorrect and </w:t>
      </w:r>
      <w:r w:rsidR="00DB0DF7">
        <w:t>un</w:t>
      </w:r>
      <w:r w:rsidR="00F72001">
        <w:t>supported by the record.</w:t>
      </w:r>
    </w:p>
    <w:p w:rsidR="00262DCD" w:rsidRDefault="00F72001" w:rsidP="002D30C7">
      <w:pPr>
        <w:pStyle w:val="WUTCParagraph"/>
      </w:pPr>
      <w:r>
        <w:tab/>
        <w:t>Mr. Gorman appropriately removed short-term investments, and</w:t>
      </w:r>
      <w:r w:rsidR="00D1135E">
        <w:t xml:space="preserve"> the Company’s claim that</w:t>
      </w:r>
      <w:r>
        <w:t xml:space="preserve"> short-term investments should be netted against common equity instead of long-term debt </w:t>
      </w:r>
      <w:r w:rsidR="00D1135E">
        <w:t>is wrong</w:t>
      </w:r>
      <w:r>
        <w:t>.  Mr. Gorman explained that short-term investments are “cash the Company has on its balance sheet” a</w:t>
      </w:r>
      <w:r w:rsidR="001237BD">
        <w:t>nd the Company has “an abnormal</w:t>
      </w:r>
      <w:r>
        <w:t xml:space="preserve"> large balance of cash . . . .”</w:t>
      </w:r>
      <w:r w:rsidRPr="00634E9E">
        <w:rPr>
          <w:rStyle w:val="FootnoteReference"/>
        </w:rPr>
        <w:footnoteReference w:id="92"/>
      </w:r>
      <w:r w:rsidRPr="006213E4">
        <w:rPr>
          <w:vertAlign w:val="superscript"/>
        </w:rPr>
        <w:t>/</w:t>
      </w:r>
      <w:r>
        <w:t xml:space="preserve">  Contrary to PacifiCorp’s claims, there is no accepted practice of netting debt against cash rather than equity, and Mr. Gorman’s approach is correct because “it is reasonable to believe that these short-term investments simply represent a placeholder for all the retained earnings PacifiCorp is retaining in its Company in order to build up its common equity ratio.”</w:t>
      </w:r>
      <w:r w:rsidRPr="00634E9E">
        <w:rPr>
          <w:rStyle w:val="FootnoteReference"/>
        </w:rPr>
        <w:footnoteReference w:id="93"/>
      </w:r>
      <w:r w:rsidRPr="006213E4">
        <w:rPr>
          <w:vertAlign w:val="superscript"/>
        </w:rPr>
        <w:t>/</w:t>
      </w:r>
      <w:r>
        <w:t xml:space="preserve"> </w:t>
      </w:r>
      <w:r w:rsidR="008825C7">
        <w:t xml:space="preserve"> </w:t>
      </w:r>
      <w:r>
        <w:t>Mr. Gorman’s adjustment was designed to measure the amount of equity PacifiCorp had invested in rate</w:t>
      </w:r>
      <w:r w:rsidR="00262DCD">
        <w:t xml:space="preserve"> </w:t>
      </w:r>
      <w:r>
        <w:t xml:space="preserve">base, </w:t>
      </w:r>
      <w:r w:rsidR="00262DCD">
        <w:t>and</w:t>
      </w:r>
      <w:r w:rsidR="000E70C2">
        <w:t xml:space="preserve"> to</w:t>
      </w:r>
      <w:r w:rsidR="00262DCD">
        <w:t xml:space="preserve"> remove </w:t>
      </w:r>
      <w:r w:rsidR="00262DCD">
        <w:lastRenderedPageBreak/>
        <w:t>equity that is not</w:t>
      </w:r>
      <w:r w:rsidR="00202E24">
        <w:t xml:space="preserve"> invested in plant that is</w:t>
      </w:r>
      <w:r w:rsidR="00262DCD">
        <w:t xml:space="preserve"> used </w:t>
      </w:r>
      <w:r w:rsidR="00E06711">
        <w:t xml:space="preserve">to provide </w:t>
      </w:r>
      <w:r w:rsidR="00262DCD">
        <w:t xml:space="preserve">utility service.  </w:t>
      </w:r>
      <w:r w:rsidR="001237BD">
        <w:t>His</w:t>
      </w:r>
      <w:r w:rsidR="00262DCD">
        <w:t xml:space="preserve"> adjustment was required to protect ratepayers from </w:t>
      </w:r>
      <w:r>
        <w:t xml:space="preserve">PacifiCorp’s </w:t>
      </w:r>
      <w:r w:rsidR="00262DCD">
        <w:t xml:space="preserve">unorthodox and uneconomic </w:t>
      </w:r>
      <w:r>
        <w:t>practice of retaining all earnings and receiving all equity infusions from MEHC</w:t>
      </w:r>
      <w:r w:rsidR="00262DCD">
        <w:t>.</w:t>
      </w:r>
      <w:r w:rsidR="008D4ADA" w:rsidRPr="00634E9E">
        <w:rPr>
          <w:rStyle w:val="FootnoteReference"/>
        </w:rPr>
        <w:footnoteReference w:id="94"/>
      </w:r>
      <w:r w:rsidR="008D4ADA" w:rsidRPr="006213E4">
        <w:rPr>
          <w:vertAlign w:val="superscript"/>
        </w:rPr>
        <w:t>/</w:t>
      </w:r>
    </w:p>
    <w:p w:rsidR="00043D03" w:rsidRDefault="008770CF" w:rsidP="002D30C7">
      <w:pPr>
        <w:pStyle w:val="WUTCParagraph"/>
      </w:pPr>
      <w:r>
        <w:tab/>
        <w:t xml:space="preserve">PacifiCorp’s argument regarding the acquisition adjustment is inaccurate and merely an attempt to confuse the record.  </w:t>
      </w:r>
      <w:r w:rsidR="008D4ADA">
        <w:t>PacifiCorp claims that Mr. Gorman erroneously excluded the gross amount of the acquisition adjustment without accounting for accumulated amortization.</w:t>
      </w:r>
      <w:r w:rsidR="008D4ADA" w:rsidRPr="00634E9E">
        <w:rPr>
          <w:rStyle w:val="FootnoteReference"/>
        </w:rPr>
        <w:footnoteReference w:id="95"/>
      </w:r>
      <w:r w:rsidR="008D4ADA" w:rsidRPr="006213E4">
        <w:rPr>
          <w:vertAlign w:val="superscript"/>
        </w:rPr>
        <w:t>/</w:t>
      </w:r>
      <w:r w:rsidR="008D4ADA">
        <w:t xml:space="preserve">  Mr. Gorman</w:t>
      </w:r>
      <w:r w:rsidR="00E06711">
        <w:t xml:space="preserve"> </w:t>
      </w:r>
      <w:r w:rsidR="008D4ADA">
        <w:t xml:space="preserve">removed the acquisition adjustment because it is not included in Washington rates, and his adjustment is based on the </w:t>
      </w:r>
      <w:r w:rsidR="00202E24">
        <w:t xml:space="preserve">premium PacifiCorp paid for assets above the </w:t>
      </w:r>
      <w:r w:rsidR="00E06711">
        <w:t>net book value</w:t>
      </w:r>
      <w:r w:rsidR="008D4ADA">
        <w:t xml:space="preserve"> </w:t>
      </w:r>
      <w:r w:rsidR="00202E24">
        <w:t xml:space="preserve">of the asset.  This premium above net book value is referred to as an </w:t>
      </w:r>
      <w:r w:rsidR="008D4ADA">
        <w:t xml:space="preserve">acquisition </w:t>
      </w:r>
      <w:r w:rsidR="00202E24">
        <w:t>adjustment</w:t>
      </w:r>
      <w:r w:rsidR="008D4ADA">
        <w:t>.</w:t>
      </w:r>
      <w:r w:rsidR="008D4ADA" w:rsidRPr="00634E9E">
        <w:rPr>
          <w:rStyle w:val="FootnoteReference"/>
        </w:rPr>
        <w:footnoteReference w:id="96"/>
      </w:r>
      <w:r w:rsidR="008D4ADA" w:rsidRPr="006213E4">
        <w:rPr>
          <w:vertAlign w:val="superscript"/>
        </w:rPr>
        <w:t>/</w:t>
      </w:r>
      <w:r w:rsidR="008D4ADA">
        <w:t xml:space="preserve">  Thus, Mr. Gorman’s adjustment is based on the purchase price above net book value</w:t>
      </w:r>
      <w:r w:rsidR="00202E24">
        <w:t xml:space="preserve">.  While the book value of assets </w:t>
      </w:r>
      <w:r w:rsidR="001237BD">
        <w:t>is</w:t>
      </w:r>
      <w:r w:rsidR="00202E24">
        <w:t xml:space="preserve"> depreciated and contribute</w:t>
      </w:r>
      <w:r w:rsidR="001237BD">
        <w:t>s</w:t>
      </w:r>
      <w:r w:rsidR="00202E24">
        <w:t xml:space="preserve"> to the buildup of accumulated depreciation, the acquisition adjustment is not depreciated and does not contribute to the buildup of accumulated depreciation</w:t>
      </w:r>
      <w:r w:rsidR="008D4ADA">
        <w:t xml:space="preserve">.  </w:t>
      </w:r>
      <w:r w:rsidR="004B3D75">
        <w:t>Contrary to the argum</w:t>
      </w:r>
      <w:r w:rsidR="00DB0DF7">
        <w:t>ents in the Petition, a careful</w:t>
      </w:r>
      <w:r w:rsidR="004B3D75">
        <w:t xml:space="preserve"> reading of the testimony establishes that the accumulated amortization referred to</w:t>
      </w:r>
      <w:r w:rsidR="001237BD">
        <w:t xml:space="preserve"> in</w:t>
      </w:r>
      <w:r w:rsidR="004B3D75">
        <w:t xml:space="preserve"> Mr. Williams’ testimony addresses the amortization on the plants</w:t>
      </w:r>
      <w:r w:rsidR="00202E24">
        <w:t xml:space="preserve"> (i.e.</w:t>
      </w:r>
      <w:r w:rsidR="004B3D75">
        <w:t>,</w:t>
      </w:r>
      <w:r w:rsidR="00202E24">
        <w:t xml:space="preserve"> asset book value),</w:t>
      </w:r>
      <w:r w:rsidR="004B3D75">
        <w:t xml:space="preserve"> which is a different issue from the above book value</w:t>
      </w:r>
      <w:r w:rsidR="00202E24">
        <w:t xml:space="preserve"> premium, or</w:t>
      </w:r>
      <w:r w:rsidR="004B3D75">
        <w:t xml:space="preserve"> the acquisition adjustments</w:t>
      </w:r>
      <w:r w:rsidR="00202E24">
        <w:t>, that was</w:t>
      </w:r>
      <w:r w:rsidR="004B3D75">
        <w:t xml:space="preserve"> removed by Mr. Gorman.</w:t>
      </w:r>
      <w:r w:rsidR="004B3D75" w:rsidRPr="00634E9E">
        <w:rPr>
          <w:rStyle w:val="FootnoteReference"/>
        </w:rPr>
        <w:footnoteReference w:id="97"/>
      </w:r>
      <w:r w:rsidR="004B3D75" w:rsidRPr="006213E4">
        <w:rPr>
          <w:vertAlign w:val="superscript"/>
        </w:rPr>
        <w:t>/</w:t>
      </w:r>
      <w:r w:rsidR="004B3D75">
        <w:t xml:space="preserve">   </w:t>
      </w:r>
      <w:r w:rsidR="008D4ADA">
        <w:t xml:space="preserve">    </w:t>
      </w:r>
      <w:r w:rsidR="008825C7">
        <w:t xml:space="preserve"> </w:t>
      </w:r>
    </w:p>
    <w:p w:rsidR="007E23D6" w:rsidRDefault="0047006A" w:rsidP="00503D81">
      <w:pPr>
        <w:pStyle w:val="WUTCParagraph"/>
      </w:pPr>
      <w:r>
        <w:tab/>
        <w:t xml:space="preserve">PacifiCorp repeats its allegation that Mr. Gorman’s adjustment is “one-sided” because he excluded certain favorable financings that are located outside of the west control </w:t>
      </w:r>
      <w:r>
        <w:lastRenderedPageBreak/>
        <w:t>area.</w:t>
      </w:r>
      <w:r w:rsidRPr="00634E9E">
        <w:rPr>
          <w:rStyle w:val="FootnoteReference"/>
        </w:rPr>
        <w:footnoteReference w:id="98"/>
      </w:r>
      <w:r w:rsidRPr="006213E4">
        <w:rPr>
          <w:vertAlign w:val="superscript"/>
        </w:rPr>
        <w:t>/</w:t>
      </w:r>
      <w:r>
        <w:t xml:space="preserve">  PacifiCorp is correct that Mr. Gorman did not </w:t>
      </w:r>
      <w:r w:rsidR="005A7100">
        <w:t>change the</w:t>
      </w:r>
      <w:r>
        <w:t xml:space="preserve"> jurisdictional allocation</w:t>
      </w:r>
      <w:r w:rsidR="00E06711">
        <w:t>s</w:t>
      </w:r>
      <w:r>
        <w:t xml:space="preserve"> for plant in service.  Mr. Gorman’s adjustment focused on the capital structure used to support </w:t>
      </w:r>
      <w:r w:rsidR="001237BD">
        <w:t>its Washington operations but did not provide</w:t>
      </w:r>
      <w:r>
        <w:t xml:space="preserve"> a </w:t>
      </w:r>
      <w:r w:rsidR="005A7100">
        <w:t xml:space="preserve">complex and </w:t>
      </w:r>
      <w:r>
        <w:t>comprehensive analysis of which rate base assets are serving Washington.</w:t>
      </w:r>
      <w:r w:rsidRPr="00634E9E">
        <w:rPr>
          <w:rStyle w:val="FootnoteReference"/>
        </w:rPr>
        <w:footnoteReference w:id="99"/>
      </w:r>
      <w:r w:rsidRPr="006213E4">
        <w:rPr>
          <w:vertAlign w:val="superscript"/>
        </w:rPr>
        <w:t>/</w:t>
      </w:r>
      <w:r>
        <w:t xml:space="preserve"> </w:t>
      </w:r>
      <w:r w:rsidRPr="0047006A">
        <w:t xml:space="preserve"> </w:t>
      </w:r>
      <w:r w:rsidR="0046281A">
        <w:t xml:space="preserve">No party, including PacifiCorp, presented </w:t>
      </w:r>
      <w:r w:rsidR="002F77BB">
        <w:t>a comprehensive jurisdictional allocation of plant in service, which is not necessary to develop a capital structure that provides “a more reasonable estimate of PacifiCorp’s actual cost of capital supporting its utility plant investment.”</w:t>
      </w:r>
      <w:r w:rsidR="002F77BB" w:rsidRPr="00634E9E">
        <w:rPr>
          <w:rStyle w:val="FootnoteReference"/>
        </w:rPr>
        <w:footnoteReference w:id="100"/>
      </w:r>
      <w:r w:rsidR="002F77BB" w:rsidRPr="006213E4">
        <w:rPr>
          <w:vertAlign w:val="superscript"/>
        </w:rPr>
        <w:t>/</w:t>
      </w:r>
      <w:r w:rsidR="002F77BB">
        <w:t xml:space="preserve">   </w:t>
      </w:r>
      <w:r>
        <w:t xml:space="preserve">   </w:t>
      </w:r>
    </w:p>
    <w:p w:rsidR="00BE7ADC" w:rsidRDefault="007E23D6" w:rsidP="007E23D6">
      <w:pPr>
        <w:pStyle w:val="WUTCParagraph"/>
      </w:pPr>
      <w:r>
        <w:tab/>
      </w:r>
      <w:r w:rsidR="00DB0DF7">
        <w:t xml:space="preserve">Further, </w:t>
      </w:r>
      <w:r>
        <w:t xml:space="preserve">PacifiCorp’s arguments that the Commission’s acceptance of Staff’s CWC adjustment requires the Commission to reject Mr. Gorman’s equity ratio adjustments are based on erroneous reasoning.  Staff’s </w:t>
      </w:r>
      <w:r w:rsidR="001237BD">
        <w:t>CWC</w:t>
      </w:r>
      <w:r>
        <w:t xml:space="preserve"> is based on the timing difference between revenue receipts and cash expenditure out flows, and </w:t>
      </w:r>
      <w:r w:rsidR="001237BD">
        <w:t xml:space="preserve">it </w:t>
      </w:r>
      <w:r>
        <w:t>represents how much cash on hand is needed to run operations.</w:t>
      </w:r>
      <w:r w:rsidRPr="00634E9E">
        <w:rPr>
          <w:rStyle w:val="FootnoteReference"/>
        </w:rPr>
        <w:footnoteReference w:id="101"/>
      </w:r>
      <w:r w:rsidRPr="007E23D6">
        <w:rPr>
          <w:vertAlign w:val="superscript"/>
        </w:rPr>
        <w:t>/</w:t>
      </w:r>
      <w:r>
        <w:t xml:space="preserve">  Mr. Gorman’s capital structure adjustment did not include cash deposits, but rather included temporary cash investments that are not yet used for operations.</w:t>
      </w:r>
      <w:r w:rsidRPr="00634E9E">
        <w:rPr>
          <w:rStyle w:val="FootnoteReference"/>
        </w:rPr>
        <w:footnoteReference w:id="102"/>
      </w:r>
      <w:r w:rsidRPr="006213E4">
        <w:rPr>
          <w:vertAlign w:val="superscript"/>
        </w:rPr>
        <w:t>/</w:t>
      </w:r>
      <w:r>
        <w:t>  Mr. Gorman did not adjust PacifiCorp’s common equity for the amount of cash the Company had on its balance sheet, but only adjusted common equity for the temporary cash investment and affiliate loans.</w:t>
      </w:r>
      <w:r w:rsidRPr="00634E9E">
        <w:rPr>
          <w:rStyle w:val="FootnoteReference"/>
        </w:rPr>
        <w:footnoteReference w:id="103"/>
      </w:r>
      <w:r>
        <w:t xml:space="preserve">  T</w:t>
      </w:r>
      <w:r w:rsidR="00DB0DF7">
        <w:t>hus, t</w:t>
      </w:r>
      <w:r>
        <w:t>he two adjustments are different</w:t>
      </w:r>
      <w:r w:rsidR="001237BD">
        <w:t>,</w:t>
      </w:r>
      <w:r>
        <w:t xml:space="preserve"> and there is no inconsistency in the Commission adopting Staff’s CWC adjustment and Mr. Gorman’s capital structure.  </w:t>
      </w:r>
    </w:p>
    <w:p w:rsidR="002F77BB" w:rsidRPr="003513FC" w:rsidRDefault="002F77BB" w:rsidP="003513FC">
      <w:pPr>
        <w:pStyle w:val="WUTCParagraph"/>
        <w:keepNext/>
        <w:numPr>
          <w:ilvl w:val="0"/>
          <w:numId w:val="0"/>
        </w:numPr>
        <w:spacing w:after="240" w:line="240" w:lineRule="auto"/>
        <w:ind w:left="1440" w:hanging="720"/>
        <w:rPr>
          <w:b/>
        </w:rPr>
      </w:pPr>
      <w:r>
        <w:rPr>
          <w:b/>
        </w:rPr>
        <w:lastRenderedPageBreak/>
        <w:t>3.</w:t>
      </w:r>
      <w:r>
        <w:rPr>
          <w:b/>
        </w:rPr>
        <w:tab/>
      </w:r>
      <w:r w:rsidR="00A45B5B">
        <w:rPr>
          <w:b/>
        </w:rPr>
        <w:t>Mr. Gorman’s Recommendations Are Supportive of the Company’s Credit Rating</w:t>
      </w:r>
    </w:p>
    <w:p w:rsidR="00D00E2E" w:rsidRDefault="00A45B5B" w:rsidP="002D30C7">
      <w:pPr>
        <w:pStyle w:val="WUTCParagraph"/>
      </w:pPr>
      <w:r>
        <w:tab/>
        <w:t xml:space="preserve">PacifiCorp argues that the Commission’s order will imperil its credit rating, and that the Commission’s decision “is even more egregious because” Mr. Gorman </w:t>
      </w:r>
      <w:r w:rsidR="00D27B8D">
        <w:t>did not consider certain off balance sheet obligations included in Standard</w:t>
      </w:r>
      <w:r w:rsidR="00900D4D">
        <w:t xml:space="preserve"> </w:t>
      </w:r>
      <w:r w:rsidR="00D27B8D">
        <w:t>&amp;</w:t>
      </w:r>
      <w:r w:rsidR="00900D4D">
        <w:t xml:space="preserve"> </w:t>
      </w:r>
      <w:r w:rsidR="00D27B8D">
        <w:t>Poor’s (“S&amp;P”) analysis.</w:t>
      </w:r>
      <w:r w:rsidR="00D27B8D" w:rsidRPr="00634E9E">
        <w:rPr>
          <w:rStyle w:val="FootnoteReference"/>
        </w:rPr>
        <w:footnoteReference w:id="104"/>
      </w:r>
      <w:r w:rsidR="00D27B8D" w:rsidRPr="006213E4">
        <w:rPr>
          <w:vertAlign w:val="superscript"/>
        </w:rPr>
        <w:t>/</w:t>
      </w:r>
      <w:r w:rsidR="00D27B8D">
        <w:t xml:space="preserve">  There is nothing new</w:t>
      </w:r>
      <w:r w:rsidR="00E848D4">
        <w:t xml:space="preserve"> in</w:t>
      </w:r>
      <w:r w:rsidR="00D27B8D">
        <w:t xml:space="preserve"> the Company’s straw man arguments.</w:t>
      </w:r>
      <w:r w:rsidR="00650833">
        <w:rPr>
          <w:rStyle w:val="FootnoteReference"/>
        </w:rPr>
        <w:footnoteReference w:id="105"/>
      </w:r>
      <w:r w:rsidR="00650833" w:rsidRPr="00530ED0">
        <w:rPr>
          <w:vertAlign w:val="superscript"/>
        </w:rPr>
        <w:t>/</w:t>
      </w:r>
      <w:r w:rsidR="00D27B8D">
        <w:t xml:space="preserve">  Mr. Gorman did not, and the Commission should not, attempt to duplicate the credit </w:t>
      </w:r>
      <w:r w:rsidR="001237BD">
        <w:t>metrics</w:t>
      </w:r>
      <w:r w:rsidR="00D27B8D">
        <w:t xml:space="preserve"> of any rating agency.</w:t>
      </w:r>
      <w:r w:rsidR="00D27B8D" w:rsidRPr="00634E9E">
        <w:rPr>
          <w:rStyle w:val="FootnoteReference"/>
        </w:rPr>
        <w:footnoteReference w:id="106"/>
      </w:r>
      <w:r w:rsidR="00D27B8D" w:rsidRPr="006213E4">
        <w:rPr>
          <w:vertAlign w:val="superscript"/>
        </w:rPr>
        <w:t>/</w:t>
      </w:r>
      <w:r w:rsidR="00D27B8D">
        <w:t xml:space="preserve">   Mr. Gorman used S&amp;P’s guidelines to determine whether his rate of return would support investment grade credit ratings, but he appropriately </w:t>
      </w:r>
      <w:r w:rsidR="000E70C2">
        <w:t>excluded</w:t>
      </w:r>
      <w:r w:rsidR="00D27B8D">
        <w:t xml:space="preserve"> third</w:t>
      </w:r>
      <w:r w:rsidR="001237BD">
        <w:t>-</w:t>
      </w:r>
      <w:r w:rsidR="00D27B8D">
        <w:t xml:space="preserve">party debt </w:t>
      </w:r>
      <w:r w:rsidR="001237BD">
        <w:t>that</w:t>
      </w:r>
      <w:r w:rsidR="00D27B8D">
        <w:t xml:space="preserve"> was not associated with regulated operations.</w:t>
      </w:r>
      <w:r w:rsidR="00D27B8D" w:rsidRPr="00634E9E">
        <w:rPr>
          <w:rStyle w:val="FootnoteReference"/>
        </w:rPr>
        <w:footnoteReference w:id="107"/>
      </w:r>
      <w:r w:rsidR="00D27B8D" w:rsidRPr="006213E4">
        <w:rPr>
          <w:vertAlign w:val="superscript"/>
        </w:rPr>
        <w:t>/</w:t>
      </w:r>
      <w:r w:rsidR="00D27B8D">
        <w:t xml:space="preserve">  PacifiCorp complained about Mr. Gorman’s decision only to use off-balance sheet debt that related to third-party obligations related to utility service,</w:t>
      </w:r>
      <w:r w:rsidR="00532916" w:rsidRPr="00634E9E">
        <w:rPr>
          <w:rStyle w:val="FootnoteReference"/>
        </w:rPr>
        <w:footnoteReference w:id="108"/>
      </w:r>
      <w:r w:rsidR="00532916" w:rsidRPr="006213E4">
        <w:rPr>
          <w:vertAlign w:val="superscript"/>
        </w:rPr>
        <w:t>/</w:t>
      </w:r>
      <w:r w:rsidR="00532916">
        <w:t xml:space="preserve"> </w:t>
      </w:r>
      <w:r w:rsidR="00D27B8D">
        <w:t xml:space="preserve"> but the Company </w:t>
      </w:r>
      <w:r w:rsidR="00C57FF4">
        <w:t>never argued</w:t>
      </w:r>
      <w:r w:rsidR="00D27B8D">
        <w:t xml:space="preserve"> that this excluded debt </w:t>
      </w:r>
      <w:r w:rsidR="00532916">
        <w:t>is associated with the cost associated with regulated operations.</w:t>
      </w:r>
      <w:r w:rsidR="00D00E2E">
        <w:t xml:space="preserve">  </w:t>
      </w:r>
      <w:r w:rsidR="00C57FF4">
        <w:t xml:space="preserve">Mr. Gorman’s adjustment was appropriate, because </w:t>
      </w:r>
      <w:r w:rsidR="00D00E2E">
        <w:t xml:space="preserve">Washington ratepayers are not responsible for guaranteeing the credit worthiness of debt not related to regulated operations.  </w:t>
      </w:r>
    </w:p>
    <w:p w:rsidR="00C60DE0" w:rsidRDefault="00C60DE0" w:rsidP="002D30C7">
      <w:pPr>
        <w:pStyle w:val="WUTCParagraph"/>
      </w:pPr>
      <w:r>
        <w:tab/>
        <w:t>Further, there is no evidence to support this argument that the order will imperil PacifiCorp’s credit rating.  PacifiCorp’s credit rating is based on the Company’s overall credit worthiness from its operations in all six states</w:t>
      </w:r>
      <w:r w:rsidR="00286342">
        <w:t>, and the Company presented no evidence that any actions by the Commission would result in a credit rating downgrade</w:t>
      </w:r>
      <w:r>
        <w:t xml:space="preserve">.  It is highly speculative </w:t>
      </w:r>
      <w:r>
        <w:lastRenderedPageBreak/>
        <w:t xml:space="preserve">and without merit to allege that the </w:t>
      </w:r>
      <w:r w:rsidR="003513FC">
        <w:t>Final Order</w:t>
      </w:r>
      <w:r>
        <w:t xml:space="preserve"> will impact </w:t>
      </w:r>
      <w:r w:rsidR="003513FC">
        <w:t>the Company’s</w:t>
      </w:r>
      <w:r>
        <w:t xml:space="preserve"> credit rating, especially given how small its operations are in Washington.</w:t>
      </w:r>
    </w:p>
    <w:p w:rsidR="00D00E2E" w:rsidRPr="00D00E2E" w:rsidRDefault="00D00E2E" w:rsidP="00DB0DF7">
      <w:pPr>
        <w:pStyle w:val="WUTCParagraph"/>
        <w:keepNext/>
        <w:numPr>
          <w:ilvl w:val="0"/>
          <w:numId w:val="0"/>
        </w:numPr>
        <w:tabs>
          <w:tab w:val="left" w:pos="720"/>
        </w:tabs>
        <w:jc w:val="center"/>
        <w:rPr>
          <w:b/>
        </w:rPr>
      </w:pPr>
      <w:r>
        <w:rPr>
          <w:b/>
        </w:rPr>
        <w:t>III.</w:t>
      </w:r>
      <w:r>
        <w:rPr>
          <w:b/>
        </w:rPr>
        <w:tab/>
        <w:t>CONCLUSION</w:t>
      </w:r>
    </w:p>
    <w:p w:rsidR="0047006A" w:rsidRDefault="00D00E2E" w:rsidP="002D30C7">
      <w:pPr>
        <w:pStyle w:val="WUTCParagraph"/>
      </w:pPr>
      <w:r>
        <w:tab/>
        <w:t xml:space="preserve">The Commission should reject PacifiCorp’s Petition as a highly inappropriate attempt to reargue issues that have been fully litigated and </w:t>
      </w:r>
      <w:r w:rsidR="00C57FF4">
        <w:t>resolved</w:t>
      </w:r>
      <w:r>
        <w:t xml:space="preserve"> in the proceeding.  </w:t>
      </w:r>
      <w:r w:rsidR="00C57FF4">
        <w:t>T</w:t>
      </w:r>
      <w:r>
        <w:t>he costs and burdens of litigating before the Commission</w:t>
      </w:r>
      <w:r w:rsidR="00C57FF4">
        <w:t xml:space="preserve"> will increase</w:t>
      </w:r>
      <w:r>
        <w:t xml:space="preserve"> if parties that disagree with the </w:t>
      </w:r>
      <w:r w:rsidR="005B7931">
        <w:t xml:space="preserve">Commission’s </w:t>
      </w:r>
      <w:r>
        <w:t xml:space="preserve">conclusions </w:t>
      </w:r>
      <w:r w:rsidR="005B7931">
        <w:t xml:space="preserve">are provided another opportunity to refine their arguments after reviewing the </w:t>
      </w:r>
      <w:r w:rsidR="000E70C2">
        <w:t>F</w:t>
      </w:r>
      <w:r w:rsidR="005B7931">
        <w:t>inal Order.  All of PacifiCorp’s power cost and cost of capital reconsideration requests fail to allege any errors or omissions</w:t>
      </w:r>
      <w:r w:rsidR="00C60DE0">
        <w:t>, with the exception of the minor $46,000 “correction</w:t>
      </w:r>
      <w:r w:rsidR="001237BD">
        <w:t>.</w:t>
      </w:r>
      <w:r w:rsidR="00C60DE0">
        <w:t>”</w:t>
      </w:r>
      <w:r w:rsidR="005B7931">
        <w:t xml:space="preserve"> </w:t>
      </w:r>
      <w:r w:rsidR="003513FC">
        <w:t xml:space="preserve"> </w:t>
      </w:r>
      <w:r w:rsidR="001237BD">
        <w:t>T</w:t>
      </w:r>
      <w:r w:rsidR="00C60DE0">
        <w:t xml:space="preserve">he Commission </w:t>
      </w:r>
      <w:r w:rsidR="005B7931">
        <w:t>should reject</w:t>
      </w:r>
      <w:r w:rsidR="00C60DE0">
        <w:t xml:space="preserve"> the Petition,</w:t>
      </w:r>
      <w:r w:rsidR="005B7931">
        <w:t xml:space="preserve"> </w:t>
      </w:r>
      <w:r w:rsidR="00C60DE0">
        <w:t>as the Company</w:t>
      </w:r>
      <w:r w:rsidR="005B7931">
        <w:t xml:space="preserve"> merely repeat</w:t>
      </w:r>
      <w:r w:rsidR="00C60DE0">
        <w:t>s</w:t>
      </w:r>
      <w:r w:rsidR="005B7931">
        <w:t xml:space="preserve"> and refine</w:t>
      </w:r>
      <w:r w:rsidR="00C60DE0">
        <w:t>s</w:t>
      </w:r>
      <w:r w:rsidR="005B7931">
        <w:t xml:space="preserve"> </w:t>
      </w:r>
      <w:r w:rsidR="00C57FF4">
        <w:t xml:space="preserve">already rejected </w:t>
      </w:r>
      <w:r w:rsidR="005B7931">
        <w:t xml:space="preserve">arguments.  </w:t>
      </w:r>
    </w:p>
    <w:p w:rsidR="00747DD3" w:rsidRDefault="00747DD3" w:rsidP="00747DD3">
      <w:pPr>
        <w:keepNext/>
        <w:spacing w:line="570" w:lineRule="exact"/>
        <w:ind w:firstLine="1440"/>
      </w:pPr>
      <w:r>
        <w:t>Dated this 14th day of April, 2011.</w:t>
      </w:r>
    </w:p>
    <w:p w:rsidR="00747DD3" w:rsidRDefault="00747DD3" w:rsidP="00747DD3">
      <w:pPr>
        <w:keepNext/>
        <w:spacing w:line="570" w:lineRule="exact"/>
        <w:ind w:firstLine="1440"/>
      </w:pPr>
      <w:r>
        <w:t>Respectfully submitted,</w:t>
      </w:r>
    </w:p>
    <w:p w:rsidR="00747DD3" w:rsidRDefault="00747DD3" w:rsidP="00747DD3">
      <w:pPr>
        <w:keepNext/>
        <w:spacing w:line="570" w:lineRule="exact"/>
        <w:ind w:firstLine="720"/>
      </w:pPr>
      <w:r>
        <w:tab/>
      </w:r>
      <w:r>
        <w:tab/>
      </w:r>
      <w:r>
        <w:tab/>
      </w:r>
      <w:r>
        <w:tab/>
        <w:t>DAVISON VAN CLEVE, P.C.</w:t>
      </w:r>
    </w:p>
    <w:p w:rsidR="00747DD3" w:rsidRDefault="00747DD3" w:rsidP="00747DD3">
      <w:pPr>
        <w:keepNext/>
        <w:spacing w:line="570" w:lineRule="exact"/>
        <w:ind w:firstLine="3600"/>
      </w:pPr>
    </w:p>
    <w:p w:rsidR="00747DD3" w:rsidRPr="008A109D" w:rsidRDefault="00747DD3" w:rsidP="00747DD3">
      <w:pPr>
        <w:keepNext/>
        <w:ind w:firstLine="3600"/>
        <w:rPr>
          <w:i/>
          <w:u w:val="single"/>
        </w:rPr>
      </w:pPr>
      <w:r>
        <w:rPr>
          <w:i/>
          <w:u w:val="single"/>
        </w:rPr>
        <w:t>/s/ Irion Sanger</w:t>
      </w:r>
    </w:p>
    <w:p w:rsidR="00747DD3" w:rsidRDefault="00747DD3" w:rsidP="00747DD3">
      <w:pPr>
        <w:keepNext/>
        <w:ind w:firstLine="3600"/>
      </w:pPr>
      <w:r>
        <w:t>Melinda J. Davison</w:t>
      </w:r>
    </w:p>
    <w:p w:rsidR="00747DD3" w:rsidRDefault="00747DD3" w:rsidP="00747DD3">
      <w:pPr>
        <w:keepNext/>
        <w:ind w:firstLine="3600"/>
      </w:pPr>
      <w:r>
        <w:t xml:space="preserve">Irion Sanger </w:t>
      </w:r>
    </w:p>
    <w:p w:rsidR="00747DD3" w:rsidRDefault="00747DD3" w:rsidP="00747DD3">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747DD3" w:rsidRDefault="00747DD3" w:rsidP="00747DD3">
      <w:pPr>
        <w:keepNext/>
        <w:ind w:firstLine="3600"/>
      </w:pPr>
      <w:smartTag w:uri="urn:schemas-microsoft-com:office:smarttags" w:element="PersonName">
        <w:smartTag w:uri="urn:schemas-microsoft-com:office:smarttags" w:element="PlaceName">
          <w:r>
            <w:t>Portland</w:t>
          </w:r>
        </w:smartTag>
        <w:r>
          <w:t xml:space="preserve">, </w:t>
        </w:r>
        <w:smartTag w:uri="urn:schemas-microsoft-com:office:smarttags" w:element="State">
          <w:r>
            <w:t>Oregon</w:t>
          </w:r>
        </w:smartTag>
        <w:r>
          <w:t xml:space="preserve"> </w:t>
        </w:r>
        <w:smartTag w:uri="urn:schemas-microsoft-com:office:smarttags" w:element="PlaceType">
          <w:r>
            <w:t>97204</w:t>
          </w:r>
        </w:smartTag>
      </w:smartTag>
    </w:p>
    <w:p w:rsidR="00747DD3" w:rsidRDefault="00747DD3" w:rsidP="00747DD3">
      <w:pPr>
        <w:keepNext/>
        <w:ind w:firstLine="3600"/>
      </w:pPr>
      <w:smartTag w:uri="urn:schemas-microsoft-com:office:smarttags" w:element="phone">
        <w:smartTagPr>
          <w:attr w:name="phonenumber" w:val="$6241$$$"/>
          <w:attr w:uri="urn:schemas-microsoft-com:office:office" w:name="ls" w:val="trans"/>
        </w:smartTagPr>
        <w:r>
          <w:t xml:space="preserve">(503) </w:t>
        </w:r>
        <w:smartTag w:uri="urn:schemas-microsoft-com:office:smarttags" w:element="phone">
          <w:smartTagPr>
            <w:attr w:name="phonenumber" w:val="$6241$$$"/>
            <w:attr w:uri="urn:schemas-microsoft-com:office:office" w:name="ls" w:val="trans"/>
          </w:smartTagPr>
          <w:r>
            <w:t>241-7242</w:t>
          </w:r>
        </w:smartTag>
      </w:smartTag>
      <w:r>
        <w:t xml:space="preserve"> phone</w:t>
      </w:r>
    </w:p>
    <w:p w:rsidR="00747DD3" w:rsidRDefault="00747DD3" w:rsidP="00747DD3">
      <w:pPr>
        <w:keepNext/>
        <w:ind w:firstLine="3600"/>
      </w:pPr>
      <w:smartTag w:uri="urn:schemas-microsoft-com:office:smarttags" w:element="phone">
        <w:smartTagPr>
          <w:attr w:name="phonenumber" w:val="$6241$$$"/>
          <w:attr w:uri="urn:schemas-microsoft-com:office:office" w:name="ls" w:val="trans"/>
        </w:smartTagPr>
        <w:r>
          <w:t xml:space="preserve">(503) </w:t>
        </w:r>
        <w:smartTag w:uri="urn:schemas-microsoft-com:office:smarttags" w:element="phone">
          <w:smartTagPr>
            <w:attr w:name="phonenumber" w:val="$6241$$$"/>
            <w:attr w:uri="urn:schemas-microsoft-com:office:office" w:name="ls" w:val="trans"/>
          </w:smartTagPr>
          <w:r>
            <w:t>241-8160</w:t>
          </w:r>
        </w:smartTag>
      </w:smartTag>
      <w:r>
        <w:t xml:space="preserve"> facsimile</w:t>
      </w:r>
    </w:p>
    <w:p w:rsidR="00C60DE0" w:rsidRDefault="00C60DE0" w:rsidP="00747DD3">
      <w:pPr>
        <w:keepNext/>
        <w:ind w:firstLine="3600"/>
      </w:pPr>
      <w:r>
        <w:t>mjd@dvclaw.com</w:t>
      </w:r>
    </w:p>
    <w:p w:rsidR="00747DD3" w:rsidRDefault="00747DD3" w:rsidP="00747DD3">
      <w:pPr>
        <w:keepNext/>
        <w:ind w:firstLine="3600"/>
      </w:pPr>
      <w:r>
        <w:t>ias@dvclaw.com</w:t>
      </w:r>
    </w:p>
    <w:p w:rsidR="00747DD3" w:rsidRDefault="00747DD3" w:rsidP="00747DD3">
      <w:pPr>
        <w:ind w:left="3600"/>
      </w:pPr>
      <w:r>
        <w:t xml:space="preserve">Of Attorneys for the Industrial Customers of </w:t>
      </w:r>
    </w:p>
    <w:p w:rsidR="00747DD3" w:rsidRDefault="00747DD3" w:rsidP="00747DD3">
      <w:pPr>
        <w:ind w:left="3600"/>
      </w:pPr>
      <w:r>
        <w:t>Northwest Utilities</w:t>
      </w:r>
    </w:p>
    <w:p w:rsidR="005730A4" w:rsidRDefault="005730A4" w:rsidP="005730A4">
      <w:pPr>
        <w:pStyle w:val="WUTCParagraph"/>
        <w:numPr>
          <w:ilvl w:val="0"/>
          <w:numId w:val="0"/>
        </w:numPr>
      </w:pPr>
    </w:p>
    <w:sectPr w:rsidR="005730A4" w:rsidSect="00214AF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BA" w:rsidRDefault="004F7ABA" w:rsidP="00CD4ECD">
      <w:r>
        <w:separator/>
      </w:r>
    </w:p>
  </w:endnote>
  <w:endnote w:type="continuationSeparator" w:id="0">
    <w:p w:rsidR="004F7ABA" w:rsidRDefault="004F7ABA" w:rsidP="00CD4EC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Narrow"/>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BA" w:rsidRDefault="004F7ABA" w:rsidP="00EE51B2">
    <w:pPr>
      <w:pStyle w:val="Footer"/>
    </w:pPr>
  </w:p>
  <w:p w:rsidR="004F7ABA" w:rsidRDefault="004F7ABA" w:rsidP="00EE51B2">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36D1">
      <w:rPr>
        <w:rStyle w:val="PageNumber"/>
        <w:noProof/>
      </w:rPr>
      <w:t>20</w:t>
    </w:r>
    <w:r>
      <w:rPr>
        <w:rStyle w:val="PageNumber"/>
      </w:rPr>
      <w:fldChar w:fldCharType="end"/>
    </w:r>
    <w:r>
      <w:rPr>
        <w:rStyle w:val="PageNumber"/>
      </w:rPr>
      <w:t xml:space="preserve"> – ANSWER OF ICNU</w:t>
    </w:r>
    <w:r>
      <w:rPr>
        <w:rStyle w:val="PageNumber"/>
      </w:rPr>
      <w:tab/>
    </w:r>
  </w:p>
  <w:p w:rsidR="004F7ABA" w:rsidRPr="00A8153E" w:rsidRDefault="004F7ABA" w:rsidP="00EE51B2">
    <w:pPr>
      <w:pStyle w:val="Footer"/>
      <w:rPr>
        <w:rStyle w:val="PageNumber"/>
        <w:sz w:val="16"/>
        <w:szCs w:val="16"/>
      </w:rPr>
    </w:pPr>
  </w:p>
  <w:p w:rsidR="004F7ABA" w:rsidRPr="00A8153E" w:rsidRDefault="004F7ABA" w:rsidP="00EE51B2">
    <w:pPr>
      <w:jc w:val="center"/>
      <w:rPr>
        <w:rFonts w:ascii="EngraversGothic BT" w:hAnsi="EngraversGothic BT"/>
        <w:sz w:val="16"/>
        <w:szCs w:val="16"/>
      </w:rPr>
    </w:pPr>
    <w:r w:rsidRPr="00A8153E">
      <w:rPr>
        <w:rFonts w:ascii="EngraversGothic BT" w:hAnsi="EngraversGothic BT"/>
        <w:sz w:val="16"/>
        <w:szCs w:val="16"/>
      </w:rPr>
      <w:t>DAVISON VAN CLEVE, P.C.</w:t>
    </w:r>
  </w:p>
  <w:p w:rsidR="004F7ABA" w:rsidRPr="00A8153E" w:rsidRDefault="004F7ABA" w:rsidP="00EE51B2">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4F7ABA" w:rsidRPr="00A8153E" w:rsidRDefault="004F7ABA" w:rsidP="00EE51B2">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4F7ABA" w:rsidRPr="00A8153E" w:rsidRDefault="004F7ABA" w:rsidP="00EE51B2">
    <w:pPr>
      <w:pStyle w:val="Footer"/>
      <w:jc w:val="center"/>
      <w:rPr>
        <w:sz w:val="16"/>
        <w:szCs w:val="16"/>
      </w:rPr>
    </w:pPr>
    <w:r w:rsidRPr="00A8153E">
      <w:rPr>
        <w:rFonts w:ascii="EngraversGothic BT" w:hAnsi="EngraversGothic BT"/>
        <w:sz w:val="16"/>
        <w:szCs w:val="16"/>
      </w:rPr>
      <w:t>Telephone (503) 241-7242</w:t>
    </w:r>
  </w:p>
  <w:p w:rsidR="004F7ABA" w:rsidRDefault="004F7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BA" w:rsidRDefault="004F7ABA" w:rsidP="00CD4ECD">
      <w:r>
        <w:separator/>
      </w:r>
    </w:p>
  </w:footnote>
  <w:footnote w:type="continuationSeparator" w:id="0">
    <w:p w:rsidR="004F7ABA" w:rsidRDefault="004F7ABA" w:rsidP="00CD4ECD">
      <w:r>
        <w:continuationSeparator/>
      </w:r>
    </w:p>
  </w:footnote>
  <w:footnote w:id="1">
    <w:p w:rsidR="004F7ABA" w:rsidRDefault="004F7ABA" w:rsidP="00866C1A">
      <w:pPr>
        <w:pStyle w:val="FootnoteText"/>
        <w:ind w:left="720" w:hanging="720"/>
      </w:pPr>
      <w:r>
        <w:rPr>
          <w:rStyle w:val="FootnoteReference"/>
        </w:rPr>
        <w:footnoteRef/>
      </w:r>
      <w:r>
        <w:rPr>
          <w:vertAlign w:val="superscript"/>
        </w:rPr>
        <w:t>/</w:t>
      </w:r>
      <w:r>
        <w:tab/>
        <w:t>PacifiCorp’s request to reconsider and revise the intra-hour wind integration adjustment by about $46,000 may be a valid adjustment; however, the Commission is within its authority to reject this request because the alleged “error” is due to PacifiCorp’s failure to explain its rebuttal adjustments.  Further, this adjustment is minor in light of the significant rate increase awarded.</w:t>
      </w:r>
    </w:p>
  </w:footnote>
  <w:footnote w:id="2">
    <w:p w:rsidR="004F7ABA" w:rsidRPr="00CA3588" w:rsidRDefault="004F7ABA" w:rsidP="0073210C">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WAC § 480-07-850(1)&amp;(2).   </w:t>
      </w:r>
    </w:p>
  </w:footnote>
  <w:footnote w:id="3">
    <w:p w:rsidR="004F7ABA" w:rsidRPr="00CA3588" w:rsidRDefault="004F7ABA" w:rsidP="00AB3D68">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AB3D68">
        <w:rPr>
          <w:u w:val="single"/>
        </w:rPr>
        <w:t>In re the Matter of the Application of Avista Corp. for Authority to Sell Its Interest in the Coal-Fired Centralia Power Plant</w:t>
      </w:r>
      <w:r w:rsidRPr="00534E4C">
        <w:rPr>
          <w:i/>
        </w:rPr>
        <w:t xml:space="preserve">, </w:t>
      </w:r>
      <w:r w:rsidRPr="00534E4C">
        <w:t>Docket No. UE-991255 et al., Fourth Supp. Order ¶ 40</w:t>
      </w:r>
      <w:r>
        <w:t xml:space="preserve"> (Apr. 21, 2000) </w:t>
      </w:r>
      <w:r w:rsidRPr="00534E4C">
        <w:t>(</w:t>
      </w:r>
      <w:r>
        <w:t xml:space="preserve">emphasis added and internal citations omitted); </w:t>
      </w:r>
      <w:r>
        <w:rPr>
          <w:u w:val="single"/>
        </w:rPr>
        <w:t>s</w:t>
      </w:r>
      <w:r w:rsidRPr="00AB3D68">
        <w:rPr>
          <w:u w:val="single"/>
        </w:rPr>
        <w:t>ee</w:t>
      </w:r>
      <w:r w:rsidRPr="00AB3D68">
        <w:t xml:space="preserve"> </w:t>
      </w:r>
      <w:r w:rsidRPr="00AB3D68">
        <w:rPr>
          <w:u w:val="single"/>
        </w:rPr>
        <w:t>also</w:t>
      </w:r>
      <w:r>
        <w:t xml:space="preserve"> </w:t>
      </w:r>
      <w:r w:rsidRPr="00AB3D68">
        <w:rPr>
          <w:u w:val="single"/>
        </w:rPr>
        <w:t>WUTC v. Olympic Pipe Line Co.</w:t>
      </w:r>
      <w:r w:rsidRPr="00534E4C">
        <w:t>, Docket No. TO-0</w:t>
      </w:r>
      <w:r>
        <w:t xml:space="preserve">11472, Eighth Supp. Order ¶¶ 13, </w:t>
      </w:r>
      <w:r w:rsidRPr="00534E4C">
        <w:t>15</w:t>
      </w:r>
      <w:r>
        <w:t xml:space="preserve"> (Mar. 29, 2002)</w:t>
      </w:r>
      <w:r w:rsidRPr="00534E4C">
        <w:t xml:space="preserve">.  (a petition will be denied where the petitioner  points to no error of fact, instead “continues to support the factual theories that it advanced at the hearing” and the petition  “is merely a restatement of its position at hearing;” stating, in part, </w:t>
      </w:r>
      <w:r>
        <w:t xml:space="preserve">the matter </w:t>
      </w:r>
      <w:r w:rsidRPr="00534E4C">
        <w:t xml:space="preserve">that petitioner seeks to have reconsidered </w:t>
      </w:r>
      <w:r>
        <w:t>“</w:t>
      </w:r>
      <w:r w:rsidRPr="00534E4C">
        <w:t>was contested; the Commission considered the Company’s factual assertions at hearing</w:t>
      </w:r>
      <w:r>
        <w:t xml:space="preserve">; </w:t>
      </w:r>
      <w:r w:rsidRPr="00534E4C">
        <w:t>and the Commission declined to accept the Company’s position as to certain of the facts”</w:t>
      </w:r>
      <w:r>
        <w:t xml:space="preserve">); </w:t>
      </w:r>
      <w:r w:rsidRPr="00AB3D68">
        <w:rPr>
          <w:u w:val="single"/>
        </w:rPr>
        <w:t>WUTC v. Puget Sound Energy, Inc.</w:t>
      </w:r>
      <w:r>
        <w:t>, Docket No. UE-011163, Seventh Supp. Order ¶¶ 18, 22-23 (Oct. 24, 2001) (finding that PSE failed to meet its burden of demonstrating a basis for reconsideration where it had not shown error in the final order or that the order was incomplete).</w:t>
      </w:r>
      <w:r w:rsidRPr="00534E4C">
        <w:t xml:space="preserve">  </w:t>
      </w:r>
    </w:p>
  </w:footnote>
  <w:footnote w:id="4">
    <w:p w:rsidR="004F7ABA" w:rsidRPr="00CA3588" w:rsidRDefault="004F7ABA" w:rsidP="00BE04DE">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WAC § 480-07-850(1).   </w:t>
      </w:r>
    </w:p>
  </w:footnote>
  <w:footnote w:id="5">
    <w:p w:rsidR="004F7ABA" w:rsidRPr="00CA3588" w:rsidRDefault="004F7ABA" w:rsidP="00CD4EC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Petition ¶ 31.</w:t>
      </w:r>
    </w:p>
  </w:footnote>
  <w:footnote w:id="6">
    <w:p w:rsidR="004F7ABA" w:rsidRPr="00CA3588" w:rsidRDefault="004F7ABA" w:rsidP="0042572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Compare</w:t>
      </w:r>
      <w:r>
        <w:t xml:space="preserve"> PacifiCorp Initial Brief ¶ 79 </w:t>
      </w:r>
      <w:r w:rsidRPr="00CD4ECD">
        <w:rPr>
          <w:u w:val="single"/>
        </w:rPr>
        <w:t>with</w:t>
      </w:r>
      <w:r>
        <w:t xml:space="preserve"> Petition ¶ 31.    </w:t>
      </w:r>
    </w:p>
  </w:footnote>
  <w:footnote w:id="7">
    <w:p w:rsidR="004F7ABA" w:rsidRPr="00CA3588" w:rsidRDefault="004F7ABA" w:rsidP="00CD4EC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Petition ¶¶ 31-32.  </w:t>
      </w:r>
    </w:p>
  </w:footnote>
  <w:footnote w:id="8">
    <w:p w:rsidR="004F7ABA" w:rsidRPr="00CA3588" w:rsidRDefault="004F7ABA" w:rsidP="00CD4EC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Final Order at ¶¶ 148-51.  </w:t>
      </w:r>
    </w:p>
  </w:footnote>
  <w:footnote w:id="9">
    <w:p w:rsidR="004F7ABA" w:rsidRPr="007456D7" w:rsidRDefault="004F7ABA" w:rsidP="00BC0DB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Falkenberg, Exh. No. RJF-1CT at 33:1—34:6; Buckley, Exh. No. APB-1CT at 18:13—19:23.  </w:t>
      </w:r>
    </w:p>
  </w:footnote>
  <w:footnote w:id="10">
    <w:p w:rsidR="004F7ABA" w:rsidRPr="0036124C" w:rsidRDefault="004F7ABA" w:rsidP="00264A3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Duvall, Exh. No. GND-5T at 40:18—43:22.</w:t>
      </w:r>
    </w:p>
  </w:footnote>
  <w:footnote w:id="11">
    <w:p w:rsidR="004F7ABA" w:rsidRPr="00BE04DE" w:rsidRDefault="004F7ABA" w:rsidP="00264A3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Id.</w:t>
      </w:r>
    </w:p>
  </w:footnote>
  <w:footnote w:id="12">
    <w:p w:rsidR="004F7ABA" w:rsidRPr="0036124C" w:rsidRDefault="004F7ABA" w:rsidP="00EC6D2C">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31.    </w:t>
      </w:r>
    </w:p>
  </w:footnote>
  <w:footnote w:id="13">
    <w:p w:rsidR="004F7ABA" w:rsidRPr="0036124C" w:rsidRDefault="004F7ABA" w:rsidP="001A2FE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79; Petition ¶ 31.    </w:t>
      </w:r>
    </w:p>
  </w:footnote>
  <w:footnote w:id="14">
    <w:p w:rsidR="004F7ABA" w:rsidRPr="0036124C" w:rsidRDefault="004F7ABA" w:rsidP="001A2FE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Falkenberg, TR. 657:10—659:22.   </w:t>
      </w:r>
    </w:p>
  </w:footnote>
  <w:footnote w:id="15">
    <w:p w:rsidR="004F7ABA" w:rsidRPr="0036124C" w:rsidRDefault="004F7ABA" w:rsidP="008966AC">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Duvall, TR. 303:25—304:8; Falkenberg, Exh. No. RJF-1CT at 33:1—34:6; Duvall, Exh. No. GND-5T at 40:18—43:22.  </w:t>
      </w:r>
    </w:p>
  </w:footnote>
  <w:footnote w:id="16">
    <w:p w:rsidR="004F7ABA" w:rsidRPr="0036124C" w:rsidRDefault="004F7ABA" w:rsidP="002B429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32.    </w:t>
      </w:r>
    </w:p>
  </w:footnote>
  <w:footnote w:id="17">
    <w:p w:rsidR="004F7ABA" w:rsidRPr="0036124C" w:rsidRDefault="004F7ABA" w:rsidP="00C230CB">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C230CB">
        <w:rPr>
          <w:u w:val="single"/>
        </w:rPr>
        <w:t>Id.</w:t>
      </w:r>
      <w:r>
        <w:t xml:space="preserve"> at ¶ 33.    </w:t>
      </w:r>
    </w:p>
  </w:footnote>
  <w:footnote w:id="18">
    <w:p w:rsidR="004F7ABA" w:rsidRPr="0036124C" w:rsidRDefault="004F7ABA" w:rsidP="00C230CB">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C230CB">
        <w:rPr>
          <w:u w:val="single"/>
        </w:rPr>
        <w:t>Id.</w:t>
      </w:r>
      <w:r>
        <w:t xml:space="preserve"> at ¶ 34.    </w:t>
      </w:r>
    </w:p>
  </w:footnote>
  <w:footnote w:id="19">
    <w:p w:rsidR="004F7ABA" w:rsidRPr="007456D7" w:rsidRDefault="004F7ABA" w:rsidP="004068D5">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ICNU Initial Brief ¶¶ 54-60; Falkenberg, Exh. No. RJF-1CT at 8:22—9:6; Buckley, Exh. No. APB-1CT at 8:17—9:2.</w:t>
      </w:r>
    </w:p>
  </w:footnote>
  <w:footnote w:id="20">
    <w:p w:rsidR="004F7ABA" w:rsidRDefault="004F7ABA">
      <w:pPr>
        <w:pStyle w:val="FootnoteText"/>
      </w:pPr>
      <w:r>
        <w:rPr>
          <w:rStyle w:val="FootnoteReference"/>
        </w:rPr>
        <w:footnoteRef/>
      </w:r>
      <w:r w:rsidRPr="00530ED0">
        <w:rPr>
          <w:vertAlign w:val="superscript"/>
        </w:rPr>
        <w:t>/</w:t>
      </w:r>
      <w:r>
        <w:t xml:space="preserve"> </w:t>
      </w:r>
      <w:r>
        <w:tab/>
        <w:t>PacifiCorp Initial Brief ¶¶ 70, 72; PacifiCorp Reply Brief ¶ 51.</w:t>
      </w:r>
    </w:p>
  </w:footnote>
  <w:footnote w:id="21">
    <w:p w:rsidR="004F7ABA" w:rsidRPr="007456D7" w:rsidRDefault="004F7ABA" w:rsidP="00ED32E8">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Petition ¶ 34.</w:t>
      </w:r>
    </w:p>
  </w:footnote>
  <w:footnote w:id="22">
    <w:p w:rsidR="004F7ABA" w:rsidRDefault="004F7ABA">
      <w:pPr>
        <w:pStyle w:val="FootnoteText"/>
      </w:pPr>
      <w:r>
        <w:rPr>
          <w:rStyle w:val="FootnoteReference"/>
        </w:rPr>
        <w:footnoteRef/>
      </w:r>
      <w:r w:rsidRPr="00530ED0">
        <w:rPr>
          <w:vertAlign w:val="superscript"/>
        </w:rPr>
        <w:t>/</w:t>
      </w:r>
      <w:r>
        <w:rPr>
          <w:vertAlign w:val="superscript"/>
        </w:rPr>
        <w:tab/>
      </w:r>
      <w:r w:rsidRPr="00757A40">
        <w:rPr>
          <w:u w:val="single"/>
        </w:rPr>
        <w:t>Id.</w:t>
      </w:r>
    </w:p>
  </w:footnote>
  <w:footnote w:id="23">
    <w:p w:rsidR="004F7ABA" w:rsidRPr="0036124C" w:rsidRDefault="004F7ABA" w:rsidP="00B95CE1">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35-36.    </w:t>
      </w:r>
    </w:p>
  </w:footnote>
  <w:footnote w:id="24">
    <w:p w:rsidR="004F7ABA" w:rsidRPr="0036124C" w:rsidRDefault="004F7ABA" w:rsidP="0041748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B90C31">
        <w:rPr>
          <w:u w:val="single"/>
        </w:rPr>
        <w:t>Id.</w:t>
      </w:r>
      <w:r>
        <w:t xml:space="preserve"> ¶¶ 35-41.    </w:t>
      </w:r>
    </w:p>
  </w:footnote>
  <w:footnote w:id="25">
    <w:p w:rsidR="004F7ABA" w:rsidRDefault="004F7ABA">
      <w:pPr>
        <w:pStyle w:val="FootnoteText"/>
      </w:pPr>
      <w:r>
        <w:rPr>
          <w:rStyle w:val="FootnoteReference"/>
        </w:rPr>
        <w:footnoteRef/>
      </w:r>
      <w:r w:rsidRPr="00530ED0">
        <w:rPr>
          <w:vertAlign w:val="superscript"/>
        </w:rPr>
        <w:t>/</w:t>
      </w:r>
      <w:r>
        <w:rPr>
          <w:vertAlign w:val="superscript"/>
        </w:rPr>
        <w:tab/>
      </w:r>
      <w:r>
        <w:t>Final Order ¶¶ 125-26; PacifiCorp Initial Brief ¶¶ 81-85.</w:t>
      </w:r>
    </w:p>
  </w:footnote>
  <w:footnote w:id="26">
    <w:p w:rsidR="004F7ABA" w:rsidRPr="007456D7" w:rsidRDefault="004F7ABA" w:rsidP="00751B6C">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Falkenberg, Exh. No. RJF-1CT at 40:5—42:17; Buckley, Exh. No. APB-1CT at 21:9—23:18; Duvall, Exh. No. GND-5T at 28:1—29:10.  </w:t>
      </w:r>
    </w:p>
  </w:footnote>
  <w:footnote w:id="27">
    <w:p w:rsidR="004F7ABA" w:rsidRPr="0036124C" w:rsidRDefault="004F7ABA" w:rsidP="001425D9">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38 </w:t>
      </w:r>
      <w:r w:rsidRPr="00B12B45">
        <w:rPr>
          <w:u w:val="single"/>
        </w:rPr>
        <w:t>citing</w:t>
      </w:r>
      <w:r>
        <w:t xml:space="preserve"> </w:t>
      </w:r>
      <w:r w:rsidRPr="001425D9">
        <w:rPr>
          <w:u w:val="single"/>
        </w:rPr>
        <w:t>Mississippi Power &amp; Light Co. v. Mississippi</w:t>
      </w:r>
      <w:r w:rsidR="00546E07">
        <w:t>,</w:t>
      </w:r>
      <w:r>
        <w:t xml:space="preserve"> 487 U.S. 354, 369-70 (1988).  PacifiCorp is essentially rearguing its preemption argument raised in its Initial Brief at ¶¶ 81-82.</w:t>
      </w:r>
    </w:p>
  </w:footnote>
  <w:footnote w:id="28">
    <w:p w:rsidR="004F7ABA" w:rsidRPr="0036124C" w:rsidRDefault="004F7ABA" w:rsidP="00B12B45">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1425D9">
        <w:rPr>
          <w:u w:val="single"/>
        </w:rPr>
        <w:t xml:space="preserve">Mississippi Power &amp; Light </w:t>
      </w:r>
      <w:r>
        <w:rPr>
          <w:u w:val="single"/>
        </w:rPr>
        <w:t>Co.</w:t>
      </w:r>
      <w:r w:rsidRPr="00B90C31">
        <w:t>,</w:t>
      </w:r>
      <w:r>
        <w:t xml:space="preserve"> 487 U.S. at 369-75.    </w:t>
      </w:r>
    </w:p>
  </w:footnote>
  <w:footnote w:id="29">
    <w:p w:rsidR="004F7ABA" w:rsidRPr="0036124C" w:rsidRDefault="004F7ABA" w:rsidP="00682C0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Id.</w:t>
      </w:r>
      <w:r>
        <w:t xml:space="preserve"> at 371.    </w:t>
      </w:r>
    </w:p>
  </w:footnote>
  <w:footnote w:id="30">
    <w:p w:rsidR="004F7ABA" w:rsidRPr="0036124C" w:rsidRDefault="004F7ABA" w:rsidP="00D02344">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Nantahala Power &amp; Light Co. v. Thornberg</w:t>
      </w:r>
      <w:r>
        <w:t>, 476 U.S. 953 (1986) (“Once FERC sets such a rate, a State may not conclude in setting retail rates that the FERC-approved wholesale rates are unreasonable”).</w:t>
      </w:r>
    </w:p>
  </w:footnote>
  <w:footnote w:id="31">
    <w:p w:rsidR="004F7ABA" w:rsidRDefault="004F7ABA">
      <w:pPr>
        <w:pStyle w:val="FootnoteText"/>
      </w:pPr>
      <w:r>
        <w:rPr>
          <w:rStyle w:val="FootnoteReference"/>
        </w:rPr>
        <w:footnoteRef/>
      </w:r>
      <w:r w:rsidRPr="00530ED0">
        <w:rPr>
          <w:vertAlign w:val="superscript"/>
        </w:rPr>
        <w:t>/</w:t>
      </w:r>
      <w:r>
        <w:t xml:space="preserve"> </w:t>
      </w:r>
      <w:r>
        <w:tab/>
        <w:t>Petition ¶¶ 42-45.</w:t>
      </w:r>
    </w:p>
  </w:footnote>
  <w:footnote w:id="32">
    <w:p w:rsidR="004F7ABA" w:rsidRPr="0036124C" w:rsidRDefault="004F7ABA" w:rsidP="00E361D5">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B90C31">
        <w:rPr>
          <w:u w:val="single"/>
        </w:rPr>
        <w:t>Id.</w:t>
      </w:r>
      <w:r>
        <w:t xml:space="preserve"> at ¶¶ 47-48.  </w:t>
      </w:r>
    </w:p>
  </w:footnote>
  <w:footnote w:id="33">
    <w:p w:rsidR="004F7ABA" w:rsidRPr="0036124C" w:rsidRDefault="004F7ABA" w:rsidP="0064529E">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B04A5C">
        <w:rPr>
          <w:u w:val="single"/>
        </w:rPr>
        <w:t>Id.</w:t>
      </w:r>
      <w:r>
        <w:t xml:space="preserve">  </w:t>
      </w:r>
    </w:p>
  </w:footnote>
  <w:footnote w:id="34">
    <w:p w:rsidR="004F7ABA" w:rsidRPr="0036124C" w:rsidRDefault="004F7ABA" w:rsidP="0064529E">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PacifiCorp’s Petition addresses minimum loading and heat rates issues in three paragraphs in the Petition, while the Company addressed these complex issues in a total of two total paragraphs in its earlier briefing.  Petition ¶¶ 46-48; PacifiCorp Opening Brief ¶ 94; PacifiCorp Reply Brief ¶ 66.  </w:t>
      </w:r>
    </w:p>
  </w:footnote>
  <w:footnote w:id="35">
    <w:p w:rsidR="004F7ABA" w:rsidRPr="0036124C" w:rsidRDefault="004F7ABA" w:rsidP="006213E4">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Rogers Potato Serv., LLC v. Countrywide Potato, LLC</w:t>
      </w:r>
      <w:r>
        <w:t xml:space="preserve">, 152 Wn.2d 387, 391 (2004). </w:t>
      </w:r>
    </w:p>
  </w:footnote>
  <w:footnote w:id="36">
    <w:p w:rsidR="004F7ABA" w:rsidRPr="0036124C" w:rsidRDefault="004F7ABA" w:rsidP="00832C5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Ongom v. State Dept. of Health</w:t>
      </w:r>
      <w:r>
        <w:t xml:space="preserve">, 124 Wn. App. 935, 949 (2005).  </w:t>
      </w:r>
    </w:p>
  </w:footnote>
  <w:footnote w:id="37">
    <w:p w:rsidR="004F7ABA" w:rsidRPr="0036124C" w:rsidRDefault="004F7ABA" w:rsidP="00915E7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47.  </w:t>
      </w:r>
    </w:p>
  </w:footnote>
  <w:footnote w:id="38">
    <w:p w:rsidR="004F7ABA" w:rsidRPr="0036124C" w:rsidRDefault="004F7ABA" w:rsidP="00915E7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B7445D">
        <w:rPr>
          <w:u w:val="single"/>
        </w:rPr>
        <w:t>Id.</w:t>
      </w:r>
      <w:r>
        <w:t xml:space="preserve">  </w:t>
      </w:r>
    </w:p>
  </w:footnote>
  <w:footnote w:id="39">
    <w:p w:rsidR="004F7ABA" w:rsidRPr="0036124C" w:rsidRDefault="004F7ABA" w:rsidP="00915E7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94; ICNU Initial Brief ¶¶ 77-84.  </w:t>
      </w:r>
    </w:p>
  </w:footnote>
  <w:footnote w:id="40">
    <w:p w:rsidR="004F7ABA" w:rsidRPr="007456D7" w:rsidRDefault="004F7ABA" w:rsidP="00FB3E71">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ICNU Initial Brief ¶ 84; Falkenberg, Exh. No. RJF-1CT at 57:4—58:4.</w:t>
      </w:r>
    </w:p>
  </w:footnote>
  <w:footnote w:id="41">
    <w:p w:rsidR="004F7ABA" w:rsidRPr="007456D7" w:rsidRDefault="004F7ABA" w:rsidP="00FC0A5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ICNU Initial Brief ¶ 84; </w:t>
      </w:r>
      <w:r>
        <w:rPr>
          <w:u w:val="single"/>
        </w:rPr>
        <w:t>Re Commission Investigation into Forecasting Forced Outage Rates for Electric Generating Units</w:t>
      </w:r>
      <w:r>
        <w:t>, Oregon Docket No. UM 1355, Order No. 10-414 at 8 (Oct. 22, 2010).</w:t>
      </w:r>
    </w:p>
  </w:footnote>
  <w:footnote w:id="42">
    <w:p w:rsidR="004F7ABA" w:rsidRPr="007456D7" w:rsidRDefault="004F7ABA" w:rsidP="00891B1E">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ICNU Initial Brief ¶ 80.</w:t>
      </w:r>
    </w:p>
  </w:footnote>
  <w:footnote w:id="43">
    <w:p w:rsidR="004F7ABA" w:rsidRPr="0036124C" w:rsidRDefault="004F7ABA" w:rsidP="008D5F4C">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48.  </w:t>
      </w:r>
    </w:p>
  </w:footnote>
  <w:footnote w:id="44">
    <w:p w:rsidR="004F7ABA" w:rsidRDefault="004F7ABA" w:rsidP="00E651E3">
      <w:pPr>
        <w:pStyle w:val="FootnoteText"/>
        <w:ind w:left="720" w:hanging="720"/>
      </w:pPr>
      <w:r>
        <w:rPr>
          <w:rStyle w:val="FootnoteReference"/>
        </w:rPr>
        <w:footnoteRef/>
      </w:r>
      <w:r w:rsidRPr="006213E4">
        <w:rPr>
          <w:vertAlign w:val="superscript"/>
        </w:rPr>
        <w:t>/</w:t>
      </w:r>
      <w:r>
        <w:rPr>
          <w:vertAlign w:val="superscript"/>
        </w:rPr>
        <w:tab/>
      </w:r>
      <w:r>
        <w:t>Even in 125 pages, it is impossible for the Commission to address all arguments in its Final Order, when the record contains 25 witnesses and over 3,200 pages of documents, not including workpapers.  Final Order ¶ 7.</w:t>
      </w:r>
    </w:p>
  </w:footnote>
  <w:footnote w:id="45">
    <w:p w:rsidR="004F7ABA" w:rsidRPr="0036124C" w:rsidRDefault="004F7ABA" w:rsidP="002D30C7">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D30C7">
        <w:t>http://dictionary.reference.com/browse/appears</w:t>
      </w:r>
      <w:r>
        <w:t>.</w:t>
      </w:r>
    </w:p>
  </w:footnote>
  <w:footnote w:id="46">
    <w:p w:rsidR="004F7ABA" w:rsidRPr="0036124C" w:rsidRDefault="004F7ABA" w:rsidP="002D30C7">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D30C7">
        <w:rPr>
          <w:u w:val="single"/>
        </w:rPr>
        <w:t>E.g.</w:t>
      </w:r>
      <w:r>
        <w:t xml:space="preserve">, </w:t>
      </w:r>
      <w:r w:rsidRPr="002D30C7">
        <w:rPr>
          <w:u w:val="single"/>
        </w:rPr>
        <w:t>Federal Signal Corp. v. Safety Factors</w:t>
      </w:r>
      <w:r>
        <w:t>, 125 Wn.2d 413, 439 (1994).</w:t>
      </w:r>
    </w:p>
  </w:footnote>
  <w:footnote w:id="47">
    <w:p w:rsidR="004F7ABA" w:rsidRPr="0036124C" w:rsidRDefault="004F7ABA" w:rsidP="00BF3A2C">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49-64.  </w:t>
      </w:r>
    </w:p>
  </w:footnote>
  <w:footnote w:id="48">
    <w:p w:rsidR="004F7ABA" w:rsidRPr="0036124C" w:rsidRDefault="004F7ABA" w:rsidP="00BF3A2C">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00546E07" w:rsidRPr="00546E07">
        <w:rPr>
          <w:u w:val="single"/>
        </w:rPr>
        <w:t>Id.</w:t>
      </w:r>
      <w:r>
        <w:t xml:space="preserve"> ¶¶ 50-52, 54, 62.  </w:t>
      </w:r>
    </w:p>
  </w:footnote>
  <w:footnote w:id="49">
    <w:p w:rsidR="004F7ABA" w:rsidRPr="0036124C" w:rsidRDefault="004F7ABA" w:rsidP="00A81F38">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Order ¶¶ 93-94.</w:t>
      </w:r>
    </w:p>
  </w:footnote>
  <w:footnote w:id="50">
    <w:p w:rsidR="004F7ABA" w:rsidRPr="0036124C" w:rsidRDefault="004F7ABA" w:rsidP="00A81F38">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49-50.  </w:t>
      </w:r>
    </w:p>
  </w:footnote>
  <w:footnote w:id="51">
    <w:p w:rsidR="004F7ABA" w:rsidRPr="0036124C" w:rsidRDefault="004F7ABA" w:rsidP="000C5DB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9C7AC0">
        <w:rPr>
          <w:u w:val="single"/>
        </w:rPr>
        <w:t>Id.</w:t>
      </w:r>
      <w:r>
        <w:t xml:space="preserve"> at ¶¶ 50-54.  </w:t>
      </w:r>
    </w:p>
  </w:footnote>
  <w:footnote w:id="52">
    <w:p w:rsidR="004F7ABA" w:rsidRPr="0036124C" w:rsidRDefault="004F7ABA" w:rsidP="009C7AC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10-13.  </w:t>
      </w:r>
    </w:p>
  </w:footnote>
  <w:footnote w:id="53">
    <w:p w:rsidR="004F7ABA" w:rsidRPr="0036124C" w:rsidRDefault="004F7ABA" w:rsidP="00274FA7">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Order ¶ 76.  </w:t>
      </w:r>
    </w:p>
  </w:footnote>
  <w:footnote w:id="54">
    <w:p w:rsidR="004F7ABA" w:rsidRPr="0036124C" w:rsidRDefault="004F7ABA" w:rsidP="00C246A9">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C246A9">
        <w:rPr>
          <w:u w:val="single"/>
        </w:rPr>
        <w:t>Id.</w:t>
      </w:r>
      <w:r>
        <w:t xml:space="preserve"> at ¶¶ 39-42, 76, 81, 89-92.  </w:t>
      </w:r>
    </w:p>
  </w:footnote>
  <w:footnote w:id="55">
    <w:p w:rsidR="004F7ABA" w:rsidRPr="0036124C" w:rsidRDefault="004F7ABA" w:rsidP="003020E1">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3020E1">
        <w:rPr>
          <w:u w:val="single"/>
        </w:rPr>
        <w:t>Id.</w:t>
      </w:r>
      <w:r>
        <w:t xml:space="preserve"> at ¶ 81.  </w:t>
      </w:r>
    </w:p>
  </w:footnote>
  <w:footnote w:id="56">
    <w:p w:rsidR="004F7ABA" w:rsidRPr="0036124C" w:rsidRDefault="004F7ABA" w:rsidP="004C36C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9C7AC0">
        <w:rPr>
          <w:u w:val="single"/>
        </w:rPr>
        <w:t>Id.</w:t>
      </w:r>
      <w:r>
        <w:t xml:space="preserve">; Gorman, TR. 480:16—481:23.   </w:t>
      </w:r>
    </w:p>
  </w:footnote>
  <w:footnote w:id="57">
    <w:p w:rsidR="004F7ABA" w:rsidRPr="0036124C" w:rsidRDefault="004F7ABA" w:rsidP="00DA00C7">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Order ¶ 92; </w:t>
      </w:r>
      <w:r w:rsidRPr="005C2E79">
        <w:rPr>
          <w:u w:val="single"/>
        </w:rPr>
        <w:t>see</w:t>
      </w:r>
      <w:r>
        <w:t xml:space="preserve"> </w:t>
      </w:r>
      <w:r w:rsidRPr="005C2E79">
        <w:rPr>
          <w:u w:val="single"/>
        </w:rPr>
        <w:t>also</w:t>
      </w:r>
      <w:r>
        <w:t xml:space="preserve"> </w:t>
      </w:r>
      <w:r w:rsidRPr="005C2E79">
        <w:rPr>
          <w:u w:val="single"/>
        </w:rPr>
        <w:t>Re Portland General Electric Co.</w:t>
      </w:r>
      <w:r>
        <w:t xml:space="preserve">, Docket No. UE 215, Order No. 10-478 (Dec. 17, 2010) (PGE’s 10% ROE is well below PacifiCorp’s requested 10.6% ROE or its last approved 10.2% ROE).  </w:t>
      </w:r>
    </w:p>
  </w:footnote>
  <w:footnote w:id="58">
    <w:p w:rsidR="004F7ABA" w:rsidRPr="0036124C" w:rsidRDefault="004F7ABA" w:rsidP="00EA11B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55-56.  </w:t>
      </w:r>
    </w:p>
  </w:footnote>
  <w:footnote w:id="59">
    <w:p w:rsidR="004F7ABA" w:rsidRPr="0036124C" w:rsidRDefault="004F7ABA" w:rsidP="00EA11B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82-85.  </w:t>
      </w:r>
    </w:p>
  </w:footnote>
  <w:footnote w:id="60">
    <w:p w:rsidR="004F7ABA" w:rsidRPr="0036124C" w:rsidRDefault="004F7ABA" w:rsidP="00E539FB">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659C5">
        <w:rPr>
          <w:u w:val="single"/>
        </w:rPr>
        <w:t>Id.</w:t>
      </w:r>
      <w:r>
        <w:t xml:space="preserve"> at ¶ 93.  </w:t>
      </w:r>
    </w:p>
  </w:footnote>
  <w:footnote w:id="61">
    <w:p w:rsidR="004F7ABA" w:rsidRPr="0036124C" w:rsidRDefault="004F7ABA" w:rsidP="002B633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57-59.  </w:t>
      </w:r>
    </w:p>
  </w:footnote>
  <w:footnote w:id="62">
    <w:p w:rsidR="004F7ABA" w:rsidRPr="0036124C" w:rsidRDefault="004F7ABA" w:rsidP="007B658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15-16.  </w:t>
      </w:r>
    </w:p>
  </w:footnote>
  <w:footnote w:id="63">
    <w:p w:rsidR="004F7ABA" w:rsidRPr="0036124C" w:rsidRDefault="004F7ABA" w:rsidP="0087358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57-59.  </w:t>
      </w:r>
    </w:p>
  </w:footnote>
  <w:footnote w:id="64">
    <w:p w:rsidR="004F7ABA" w:rsidRDefault="004F7ABA" w:rsidP="0084527B">
      <w:pPr>
        <w:pStyle w:val="FootnoteText"/>
        <w:ind w:left="720" w:right="-180" w:hanging="720"/>
      </w:pPr>
      <w:r>
        <w:rPr>
          <w:rStyle w:val="FootnoteReference"/>
        </w:rPr>
        <w:footnoteRef/>
      </w:r>
      <w:r>
        <w:rPr>
          <w:vertAlign w:val="superscript"/>
        </w:rPr>
        <w:t>/</w:t>
      </w:r>
      <w:r>
        <w:tab/>
        <w:t>Gorman, Exh. No. MPG-1T at 27:5-7.</w:t>
      </w:r>
    </w:p>
  </w:footnote>
  <w:footnote w:id="65">
    <w:p w:rsidR="004F7ABA" w:rsidRPr="0036124C" w:rsidRDefault="004F7ABA" w:rsidP="00C335E9">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C335E9">
        <w:rPr>
          <w:u w:val="single"/>
        </w:rPr>
        <w:t>Id.</w:t>
      </w:r>
      <w:r>
        <w:t xml:space="preserve"> at 27:7-15.</w:t>
      </w:r>
    </w:p>
  </w:footnote>
  <w:footnote w:id="66">
    <w:p w:rsidR="004F7ABA" w:rsidRPr="0036124C" w:rsidRDefault="004F7ABA" w:rsidP="007F78A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C335E9">
        <w:rPr>
          <w:u w:val="single"/>
        </w:rPr>
        <w:t>Id.</w:t>
      </w:r>
      <w:r>
        <w:t xml:space="preserve"> at 27:7-18.</w:t>
      </w:r>
    </w:p>
  </w:footnote>
  <w:footnote w:id="67">
    <w:p w:rsidR="004F7ABA" w:rsidRPr="0036124C" w:rsidRDefault="004F7ABA" w:rsidP="00885B4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60-61.  </w:t>
      </w:r>
    </w:p>
  </w:footnote>
  <w:footnote w:id="68">
    <w:p w:rsidR="004F7ABA" w:rsidRPr="0036124C" w:rsidRDefault="004F7ABA" w:rsidP="00885B4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885B46">
        <w:rPr>
          <w:u w:val="single"/>
        </w:rPr>
        <w:t>Id.</w:t>
      </w:r>
      <w:r>
        <w:t xml:space="preserve"> at ¶ 61.  </w:t>
      </w:r>
    </w:p>
  </w:footnote>
  <w:footnote w:id="69">
    <w:p w:rsidR="004F7ABA" w:rsidRPr="0036124C" w:rsidRDefault="004F7ABA" w:rsidP="00885B4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13-14.  </w:t>
      </w:r>
    </w:p>
  </w:footnote>
  <w:footnote w:id="70">
    <w:p w:rsidR="004F7ABA" w:rsidRPr="0036124C" w:rsidRDefault="004F7ABA" w:rsidP="00C0652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76, 81.  </w:t>
      </w:r>
    </w:p>
  </w:footnote>
  <w:footnote w:id="71">
    <w:p w:rsidR="004F7ABA" w:rsidRPr="0036124C" w:rsidRDefault="004F7ABA" w:rsidP="00C0652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D1030">
        <w:rPr>
          <w:u w:val="single"/>
        </w:rPr>
        <w:t>Id.</w:t>
      </w:r>
      <w:r>
        <w:t xml:space="preserve">; Gorman, TR. 443:4—444:9.   </w:t>
      </w:r>
    </w:p>
  </w:footnote>
  <w:footnote w:id="72">
    <w:p w:rsidR="004F7ABA" w:rsidRPr="0036124C" w:rsidRDefault="004F7ABA" w:rsidP="00D56BC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62.  </w:t>
      </w:r>
    </w:p>
  </w:footnote>
  <w:footnote w:id="73">
    <w:p w:rsidR="004F7ABA" w:rsidRPr="0036124C" w:rsidRDefault="004F7ABA" w:rsidP="002D103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PacifiCorp Initial Brief ¶¶ 32-34.  </w:t>
      </w:r>
    </w:p>
  </w:footnote>
  <w:footnote w:id="74">
    <w:p w:rsidR="004F7ABA" w:rsidRPr="0036124C" w:rsidRDefault="004F7ABA" w:rsidP="002D103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88-94.  </w:t>
      </w:r>
    </w:p>
  </w:footnote>
  <w:footnote w:id="75">
    <w:p w:rsidR="004F7ABA" w:rsidRPr="0036124C" w:rsidRDefault="004F7ABA" w:rsidP="002D1030">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D1030">
        <w:rPr>
          <w:u w:val="single"/>
        </w:rPr>
        <w:t>Id.</w:t>
      </w:r>
      <w:r>
        <w:t xml:space="preserve">  </w:t>
      </w:r>
    </w:p>
  </w:footnote>
  <w:footnote w:id="76">
    <w:p w:rsidR="004F7ABA" w:rsidRPr="0036124C" w:rsidRDefault="004F7ABA" w:rsidP="0008735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08735A">
        <w:rPr>
          <w:u w:val="single"/>
        </w:rPr>
        <w:t>Id.</w:t>
      </w:r>
      <w:r>
        <w:t xml:space="preserve"> at ¶ 91.  </w:t>
      </w:r>
    </w:p>
  </w:footnote>
  <w:footnote w:id="77">
    <w:p w:rsidR="004F7ABA" w:rsidRPr="0036124C" w:rsidRDefault="004F7ABA" w:rsidP="000E452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D1030">
        <w:rPr>
          <w:u w:val="single"/>
        </w:rPr>
        <w:t>Id.</w:t>
      </w:r>
      <w:r>
        <w:t xml:space="preserve"> at n.130, ¶ 93.    </w:t>
      </w:r>
    </w:p>
  </w:footnote>
  <w:footnote w:id="78">
    <w:p w:rsidR="004F7ABA" w:rsidRDefault="004F7ABA" w:rsidP="000E4522">
      <w:pPr>
        <w:pStyle w:val="FootnoteText"/>
        <w:ind w:left="720" w:right="-180" w:hanging="720"/>
      </w:pPr>
      <w:r>
        <w:rPr>
          <w:rStyle w:val="FootnoteReference"/>
        </w:rPr>
        <w:footnoteRef/>
      </w:r>
      <w:r>
        <w:rPr>
          <w:vertAlign w:val="superscript"/>
        </w:rPr>
        <w:t>/</w:t>
      </w:r>
      <w:r>
        <w:tab/>
        <w:t>Gorman, Exh. No. MPG-1T at 37:7-14.</w:t>
      </w:r>
    </w:p>
  </w:footnote>
  <w:footnote w:id="79">
    <w:p w:rsidR="004F7ABA" w:rsidRDefault="004F7ABA" w:rsidP="00C563A1">
      <w:pPr>
        <w:pStyle w:val="FootnoteText"/>
        <w:ind w:left="720" w:right="-180" w:hanging="720"/>
      </w:pPr>
      <w:r>
        <w:rPr>
          <w:rStyle w:val="FootnoteReference"/>
        </w:rPr>
        <w:footnoteRef/>
      </w:r>
      <w:r>
        <w:rPr>
          <w:vertAlign w:val="superscript"/>
        </w:rPr>
        <w:t>/</w:t>
      </w:r>
      <w:r>
        <w:tab/>
        <w:t xml:space="preserve">Petition ¶ 63.  </w:t>
      </w:r>
    </w:p>
  </w:footnote>
  <w:footnote w:id="80">
    <w:p w:rsidR="004F7ABA" w:rsidRDefault="004F7ABA" w:rsidP="00C563A1">
      <w:pPr>
        <w:pStyle w:val="FootnoteText"/>
        <w:ind w:left="720" w:right="-180" w:hanging="720"/>
      </w:pPr>
      <w:r>
        <w:rPr>
          <w:rStyle w:val="FootnoteReference"/>
        </w:rPr>
        <w:footnoteRef/>
      </w:r>
      <w:r>
        <w:rPr>
          <w:vertAlign w:val="superscript"/>
        </w:rPr>
        <w:t>/</w:t>
      </w:r>
      <w:r>
        <w:tab/>
        <w:t>PacifiCorp Initial Brief ¶ 18.</w:t>
      </w:r>
    </w:p>
  </w:footnote>
  <w:footnote w:id="81">
    <w:p w:rsidR="004F7ABA" w:rsidRDefault="004F7ABA" w:rsidP="00D715EC">
      <w:pPr>
        <w:pStyle w:val="FootnoteText"/>
        <w:ind w:left="720" w:right="-180" w:hanging="720"/>
      </w:pPr>
      <w:r>
        <w:rPr>
          <w:rStyle w:val="FootnoteReference"/>
        </w:rPr>
        <w:footnoteRef/>
      </w:r>
      <w:r>
        <w:rPr>
          <w:vertAlign w:val="superscript"/>
        </w:rPr>
        <w:t>/</w:t>
      </w:r>
      <w:r>
        <w:tab/>
        <w:t>ICNU Initial -Brief ¶ 21; ICNU Reply Brief ¶ 9.</w:t>
      </w:r>
    </w:p>
  </w:footnote>
  <w:footnote w:id="82">
    <w:p w:rsidR="004F7ABA" w:rsidRDefault="004F7ABA" w:rsidP="004B1AD8">
      <w:pPr>
        <w:pStyle w:val="FootnoteText"/>
        <w:ind w:left="720" w:right="-180" w:hanging="720"/>
      </w:pPr>
      <w:r>
        <w:rPr>
          <w:rStyle w:val="FootnoteReference"/>
        </w:rPr>
        <w:footnoteRef/>
      </w:r>
      <w:r>
        <w:rPr>
          <w:vertAlign w:val="superscript"/>
        </w:rPr>
        <w:t>/</w:t>
      </w:r>
      <w:r>
        <w:tab/>
        <w:t>Gorman, Exh. No. MPG-1T at 50:18-21.</w:t>
      </w:r>
    </w:p>
  </w:footnote>
  <w:footnote w:id="83">
    <w:p w:rsidR="004F7ABA" w:rsidRDefault="004F7ABA" w:rsidP="00D715EC">
      <w:pPr>
        <w:pStyle w:val="FootnoteText"/>
        <w:ind w:left="720" w:right="-180" w:hanging="720"/>
      </w:pPr>
      <w:r>
        <w:rPr>
          <w:rStyle w:val="FootnoteReference"/>
        </w:rPr>
        <w:footnoteRef/>
      </w:r>
      <w:r>
        <w:rPr>
          <w:vertAlign w:val="superscript"/>
        </w:rPr>
        <w:t>/</w:t>
      </w:r>
      <w:r>
        <w:tab/>
        <w:t xml:space="preserve">Petition ¶ 64.  </w:t>
      </w:r>
    </w:p>
  </w:footnote>
  <w:footnote w:id="84">
    <w:p w:rsidR="004F7ABA" w:rsidRDefault="004F7ABA" w:rsidP="00D715EC">
      <w:pPr>
        <w:pStyle w:val="FootnoteText"/>
        <w:ind w:left="720" w:right="-180" w:hanging="720"/>
      </w:pPr>
      <w:r>
        <w:rPr>
          <w:rStyle w:val="FootnoteReference"/>
        </w:rPr>
        <w:footnoteRef/>
      </w:r>
      <w:r>
        <w:rPr>
          <w:vertAlign w:val="superscript"/>
        </w:rPr>
        <w:t>/</w:t>
      </w:r>
      <w:r>
        <w:tab/>
      </w:r>
      <w:r w:rsidRPr="00D715EC">
        <w:rPr>
          <w:u w:val="single"/>
        </w:rPr>
        <w:t>Id.</w:t>
      </w:r>
      <w:r>
        <w:t xml:space="preserve">  </w:t>
      </w:r>
    </w:p>
  </w:footnote>
  <w:footnote w:id="85">
    <w:p w:rsidR="004F7ABA" w:rsidRDefault="004F7ABA" w:rsidP="00D25B88">
      <w:pPr>
        <w:pStyle w:val="FootnoteText"/>
        <w:ind w:left="720" w:right="-180" w:hanging="720"/>
      </w:pPr>
      <w:r>
        <w:rPr>
          <w:rStyle w:val="FootnoteReference"/>
        </w:rPr>
        <w:footnoteRef/>
      </w:r>
      <w:r>
        <w:rPr>
          <w:vertAlign w:val="superscript"/>
        </w:rPr>
        <w:t>/</w:t>
      </w:r>
      <w:r>
        <w:tab/>
      </w:r>
      <w:r w:rsidRPr="00D715EC">
        <w:rPr>
          <w:u w:val="single"/>
        </w:rPr>
        <w:t>Id.</w:t>
      </w:r>
      <w:r>
        <w:t xml:space="preserve">    </w:t>
      </w:r>
    </w:p>
  </w:footnote>
  <w:footnote w:id="86">
    <w:p w:rsidR="004F7ABA" w:rsidRPr="0036124C" w:rsidRDefault="004F7ABA" w:rsidP="00BE04DE">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40, 42.  </w:t>
      </w:r>
    </w:p>
  </w:footnote>
  <w:footnote w:id="87">
    <w:p w:rsidR="004F7ABA" w:rsidRDefault="004F7ABA" w:rsidP="00466003">
      <w:pPr>
        <w:pStyle w:val="FootnoteText"/>
        <w:ind w:left="720" w:right="-180" w:hanging="720"/>
      </w:pPr>
      <w:r>
        <w:rPr>
          <w:rStyle w:val="FootnoteReference"/>
        </w:rPr>
        <w:footnoteRef/>
      </w:r>
      <w:r>
        <w:rPr>
          <w:vertAlign w:val="superscript"/>
        </w:rPr>
        <w:t>/</w:t>
      </w:r>
      <w:r>
        <w:tab/>
        <w:t xml:space="preserve">Petition ¶¶ 65-71.  </w:t>
      </w:r>
    </w:p>
  </w:footnote>
  <w:footnote w:id="88">
    <w:p w:rsidR="004F7ABA" w:rsidRPr="0036124C" w:rsidRDefault="004F7ABA" w:rsidP="002A45F5">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39.  </w:t>
      </w:r>
    </w:p>
  </w:footnote>
  <w:footnote w:id="89">
    <w:p w:rsidR="004F7ABA" w:rsidRPr="0036124C" w:rsidRDefault="004F7ABA" w:rsidP="00043D03">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043D03">
        <w:rPr>
          <w:u w:val="single"/>
        </w:rPr>
        <w:t>E.g.</w:t>
      </w:r>
      <w:r>
        <w:t xml:space="preserve">, Petition ¶ 65.  </w:t>
      </w:r>
    </w:p>
  </w:footnote>
  <w:footnote w:id="90">
    <w:p w:rsidR="004F7ABA" w:rsidRPr="0036124C" w:rsidRDefault="004F7ABA" w:rsidP="004B3352">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Pr>
          <w:u w:val="single"/>
        </w:rPr>
        <w:t>See</w:t>
      </w:r>
      <w:r>
        <w:t xml:space="preserve"> Staff Initial Brief ¶¶ 160-162.    </w:t>
      </w:r>
    </w:p>
  </w:footnote>
  <w:footnote w:id="91">
    <w:p w:rsidR="004F7ABA" w:rsidRPr="0036124C" w:rsidRDefault="004F7ABA" w:rsidP="00F72001">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66-70.  </w:t>
      </w:r>
    </w:p>
  </w:footnote>
  <w:footnote w:id="92">
    <w:p w:rsidR="004F7ABA" w:rsidRPr="0036124C" w:rsidRDefault="004F7ABA" w:rsidP="00F72001">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Gorman, TR. 477:18-21. </w:t>
      </w:r>
    </w:p>
  </w:footnote>
  <w:footnote w:id="93">
    <w:p w:rsidR="004F7ABA" w:rsidRPr="0036124C" w:rsidRDefault="004F7ABA" w:rsidP="00F72001">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Gorman, Exh. No. MPG-1T at 14:19-26. </w:t>
      </w:r>
    </w:p>
  </w:footnote>
  <w:footnote w:id="94">
    <w:p w:rsidR="004F7ABA" w:rsidRPr="0036124C" w:rsidRDefault="004F7ABA" w:rsidP="008D4AD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8D4ADA">
        <w:rPr>
          <w:u w:val="single"/>
        </w:rPr>
        <w:t>Id.</w:t>
      </w:r>
      <w:r>
        <w:t xml:space="preserve"> at 14:13-26. </w:t>
      </w:r>
    </w:p>
  </w:footnote>
  <w:footnote w:id="95">
    <w:p w:rsidR="004F7ABA" w:rsidRPr="0036124C" w:rsidRDefault="004F7ABA" w:rsidP="008D4AD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67.  </w:t>
      </w:r>
    </w:p>
  </w:footnote>
  <w:footnote w:id="96">
    <w:p w:rsidR="004F7ABA" w:rsidRPr="0036124C" w:rsidRDefault="004F7ABA" w:rsidP="008D4AD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Gorman, Exh. No. MPG-1T at 14:7-13. </w:t>
      </w:r>
    </w:p>
  </w:footnote>
  <w:footnote w:id="97">
    <w:p w:rsidR="004F7ABA" w:rsidRPr="0036124C" w:rsidRDefault="004F7ABA" w:rsidP="004B3D75">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4B3D75">
        <w:rPr>
          <w:u w:val="single"/>
        </w:rPr>
        <w:t>See</w:t>
      </w:r>
      <w:r>
        <w:t xml:space="preserve"> Williams, Exh. No. BNW-7T at 18:14—19-10. </w:t>
      </w:r>
    </w:p>
  </w:footnote>
  <w:footnote w:id="98">
    <w:p w:rsidR="004F7ABA" w:rsidRPr="0036124C" w:rsidRDefault="004F7ABA" w:rsidP="0047006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68; PacifiCorp Initial Brief ¶ 39; Williams, Exh. No. BNW-7T at 18:14—19:10.  </w:t>
      </w:r>
    </w:p>
  </w:footnote>
  <w:footnote w:id="99">
    <w:p w:rsidR="004F7ABA" w:rsidRPr="0036124C" w:rsidRDefault="004F7ABA" w:rsidP="0047006A">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Gorman, Exh. No. MPG-1T at 13:1—14:7.  </w:t>
      </w:r>
    </w:p>
  </w:footnote>
  <w:footnote w:id="100">
    <w:p w:rsidR="004F7ABA" w:rsidRPr="0036124C" w:rsidRDefault="004F7ABA" w:rsidP="002F77BB">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2F77BB">
        <w:rPr>
          <w:u w:val="single"/>
        </w:rPr>
        <w:t>Id.</w:t>
      </w:r>
      <w:r>
        <w:t xml:space="preserve"> at 14:4-7. </w:t>
      </w:r>
    </w:p>
  </w:footnote>
  <w:footnote w:id="101">
    <w:p w:rsidR="004F7ABA" w:rsidRPr="0036124C" w:rsidRDefault="004F7ABA" w:rsidP="007E23D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Final Order ¶¶ 290-96.  </w:t>
      </w:r>
    </w:p>
  </w:footnote>
  <w:footnote w:id="102">
    <w:p w:rsidR="004F7ABA" w:rsidRPr="0036124C" w:rsidRDefault="004F7ABA" w:rsidP="007E23D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7E23D6">
        <w:rPr>
          <w:u w:val="single"/>
        </w:rPr>
        <w:t>See</w:t>
      </w:r>
      <w:r>
        <w:t xml:space="preserve"> Gorman, Exh. No. MPG-1T at 13:10—14:26.  </w:t>
      </w:r>
    </w:p>
  </w:footnote>
  <w:footnote w:id="103">
    <w:p w:rsidR="004F7ABA" w:rsidRPr="0036124C" w:rsidRDefault="004F7ABA" w:rsidP="007E23D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7E23D6">
        <w:rPr>
          <w:u w:val="single"/>
        </w:rPr>
        <w:t>Id.</w:t>
      </w:r>
      <w:r>
        <w:t xml:space="preserve">  </w:t>
      </w:r>
    </w:p>
  </w:footnote>
  <w:footnote w:id="104">
    <w:p w:rsidR="004F7ABA" w:rsidRPr="0036124C" w:rsidRDefault="004F7ABA" w:rsidP="00D27B8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71.   </w:t>
      </w:r>
    </w:p>
  </w:footnote>
  <w:footnote w:id="105">
    <w:p w:rsidR="004F7ABA" w:rsidRDefault="004F7ABA">
      <w:pPr>
        <w:pStyle w:val="FootnoteText"/>
      </w:pPr>
      <w:r>
        <w:rPr>
          <w:rStyle w:val="FootnoteReference"/>
        </w:rPr>
        <w:footnoteRef/>
      </w:r>
      <w:r w:rsidRPr="00530ED0">
        <w:rPr>
          <w:vertAlign w:val="superscript"/>
        </w:rPr>
        <w:t>/</w:t>
      </w:r>
      <w:r>
        <w:t xml:space="preserve"> </w:t>
      </w:r>
      <w:r>
        <w:tab/>
        <w:t>PacifiCorp Initial Brief ¶¶ 46-47.</w:t>
      </w:r>
    </w:p>
  </w:footnote>
  <w:footnote w:id="106">
    <w:p w:rsidR="004F7ABA" w:rsidRPr="0036124C" w:rsidRDefault="004F7ABA" w:rsidP="00D27B8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Gorman, TR. 462:11—463:12.   </w:t>
      </w:r>
    </w:p>
  </w:footnote>
  <w:footnote w:id="107">
    <w:p w:rsidR="004F7ABA" w:rsidRPr="0036124C" w:rsidRDefault="004F7ABA" w:rsidP="00D27B8D">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r>
      <w:r w:rsidRPr="00D27B8D">
        <w:rPr>
          <w:u w:val="single"/>
        </w:rPr>
        <w:t>Id.</w:t>
      </w:r>
      <w:r>
        <w:t xml:space="preserve">   </w:t>
      </w:r>
    </w:p>
  </w:footnote>
  <w:footnote w:id="108">
    <w:p w:rsidR="004F7ABA" w:rsidRPr="0036124C" w:rsidRDefault="004F7ABA" w:rsidP="00532916">
      <w:pPr>
        <w:pStyle w:val="FootnoteText"/>
        <w:tabs>
          <w:tab w:val="left" w:pos="810"/>
        </w:tabs>
        <w:ind w:left="720" w:right="-180" w:hanging="720"/>
        <w:rPr>
          <w:u w:val="single"/>
        </w:rPr>
      </w:pPr>
      <w:r w:rsidRPr="00530ED0">
        <w:rPr>
          <w:rStyle w:val="FootnoteReference"/>
        </w:rPr>
        <w:footnoteRef/>
      </w:r>
      <w:r w:rsidRPr="00530ED0">
        <w:rPr>
          <w:vertAlign w:val="superscript"/>
        </w:rPr>
        <w:t>/</w:t>
      </w:r>
      <w:r>
        <w:tab/>
        <w:t xml:space="preserve">Petition ¶ 71.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10501"/>
    <w:multiLevelType w:val="multilevel"/>
    <w:tmpl w:val="2F16CFEE"/>
    <w:lvl w:ilvl="0">
      <w:start w:val="1"/>
      <w:numFmt w:val="decimal"/>
      <w:pStyle w:val="dra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CE182E"/>
    <w:rsid w:val="00000840"/>
    <w:rsid w:val="000009DF"/>
    <w:rsid w:val="00005D65"/>
    <w:rsid w:val="00043D03"/>
    <w:rsid w:val="000457A2"/>
    <w:rsid w:val="00063F04"/>
    <w:rsid w:val="000845CA"/>
    <w:rsid w:val="0008735A"/>
    <w:rsid w:val="000964F6"/>
    <w:rsid w:val="000A7B6B"/>
    <w:rsid w:val="000C2381"/>
    <w:rsid w:val="000C5DB3"/>
    <w:rsid w:val="000C7D66"/>
    <w:rsid w:val="000E345B"/>
    <w:rsid w:val="000E4522"/>
    <w:rsid w:val="000E70C2"/>
    <w:rsid w:val="001161FA"/>
    <w:rsid w:val="001237BD"/>
    <w:rsid w:val="00125C08"/>
    <w:rsid w:val="00130E4A"/>
    <w:rsid w:val="001425D9"/>
    <w:rsid w:val="00153BE7"/>
    <w:rsid w:val="00164759"/>
    <w:rsid w:val="001A2FE3"/>
    <w:rsid w:val="001F3A41"/>
    <w:rsid w:val="001F7CBC"/>
    <w:rsid w:val="00202E24"/>
    <w:rsid w:val="00211ACD"/>
    <w:rsid w:val="00214AFE"/>
    <w:rsid w:val="00262DCD"/>
    <w:rsid w:val="00264A30"/>
    <w:rsid w:val="002659C5"/>
    <w:rsid w:val="00274FA7"/>
    <w:rsid w:val="00277BBD"/>
    <w:rsid w:val="00286342"/>
    <w:rsid w:val="00295401"/>
    <w:rsid w:val="002A45F5"/>
    <w:rsid w:val="002B4292"/>
    <w:rsid w:val="002B6336"/>
    <w:rsid w:val="002D013A"/>
    <w:rsid w:val="002D1030"/>
    <w:rsid w:val="002D30C7"/>
    <w:rsid w:val="002F26E1"/>
    <w:rsid w:val="002F27F4"/>
    <w:rsid w:val="002F7054"/>
    <w:rsid w:val="002F77BB"/>
    <w:rsid w:val="00300823"/>
    <w:rsid w:val="003020E1"/>
    <w:rsid w:val="00326438"/>
    <w:rsid w:val="003513FC"/>
    <w:rsid w:val="00380FB5"/>
    <w:rsid w:val="00381216"/>
    <w:rsid w:val="00392EC2"/>
    <w:rsid w:val="003B3AAC"/>
    <w:rsid w:val="003C1AFB"/>
    <w:rsid w:val="003C331C"/>
    <w:rsid w:val="003E6672"/>
    <w:rsid w:val="003F22BA"/>
    <w:rsid w:val="00403C64"/>
    <w:rsid w:val="004068D5"/>
    <w:rsid w:val="00417486"/>
    <w:rsid w:val="00425725"/>
    <w:rsid w:val="00454FF2"/>
    <w:rsid w:val="0046281A"/>
    <w:rsid w:val="00466003"/>
    <w:rsid w:val="0047006A"/>
    <w:rsid w:val="0047142E"/>
    <w:rsid w:val="00471E68"/>
    <w:rsid w:val="004777F0"/>
    <w:rsid w:val="004A2D07"/>
    <w:rsid w:val="004B0B75"/>
    <w:rsid w:val="004B1AD8"/>
    <w:rsid w:val="004B3352"/>
    <w:rsid w:val="004B3D75"/>
    <w:rsid w:val="004C36CD"/>
    <w:rsid w:val="004D2D62"/>
    <w:rsid w:val="004F7ABA"/>
    <w:rsid w:val="00503312"/>
    <w:rsid w:val="00503D81"/>
    <w:rsid w:val="00504C9F"/>
    <w:rsid w:val="00510B23"/>
    <w:rsid w:val="00532916"/>
    <w:rsid w:val="00546E07"/>
    <w:rsid w:val="00554EAF"/>
    <w:rsid w:val="00561E52"/>
    <w:rsid w:val="005730A4"/>
    <w:rsid w:val="005A7100"/>
    <w:rsid w:val="005B7931"/>
    <w:rsid w:val="005C2E79"/>
    <w:rsid w:val="005E4F5D"/>
    <w:rsid w:val="0060501B"/>
    <w:rsid w:val="00610FD5"/>
    <w:rsid w:val="00613BE8"/>
    <w:rsid w:val="006155D7"/>
    <w:rsid w:val="006213E4"/>
    <w:rsid w:val="0064529E"/>
    <w:rsid w:val="00645E86"/>
    <w:rsid w:val="00650833"/>
    <w:rsid w:val="00667465"/>
    <w:rsid w:val="006733C2"/>
    <w:rsid w:val="00675175"/>
    <w:rsid w:val="00682C0D"/>
    <w:rsid w:val="0068321D"/>
    <w:rsid w:val="006A2CB7"/>
    <w:rsid w:val="006B6039"/>
    <w:rsid w:val="006C6810"/>
    <w:rsid w:val="006D3F83"/>
    <w:rsid w:val="00700DE6"/>
    <w:rsid w:val="00703157"/>
    <w:rsid w:val="0073210C"/>
    <w:rsid w:val="00747DD3"/>
    <w:rsid w:val="00751B6C"/>
    <w:rsid w:val="00754ECD"/>
    <w:rsid w:val="00757A40"/>
    <w:rsid w:val="007621B2"/>
    <w:rsid w:val="007B658D"/>
    <w:rsid w:val="007E23D6"/>
    <w:rsid w:val="007F78AA"/>
    <w:rsid w:val="0080490C"/>
    <w:rsid w:val="008121C0"/>
    <w:rsid w:val="00832C52"/>
    <w:rsid w:val="0084527B"/>
    <w:rsid w:val="00866C1A"/>
    <w:rsid w:val="0087358D"/>
    <w:rsid w:val="008770CF"/>
    <w:rsid w:val="008825C7"/>
    <w:rsid w:val="008835E7"/>
    <w:rsid w:val="00885B46"/>
    <w:rsid w:val="00891B1E"/>
    <w:rsid w:val="008966AC"/>
    <w:rsid w:val="008A2145"/>
    <w:rsid w:val="008A2AA7"/>
    <w:rsid w:val="008A376C"/>
    <w:rsid w:val="008C6F17"/>
    <w:rsid w:val="008D1000"/>
    <w:rsid w:val="008D4ADA"/>
    <w:rsid w:val="008D50A0"/>
    <w:rsid w:val="008D5F4C"/>
    <w:rsid w:val="008F42F8"/>
    <w:rsid w:val="008F5890"/>
    <w:rsid w:val="00900D4D"/>
    <w:rsid w:val="00915E73"/>
    <w:rsid w:val="00933E24"/>
    <w:rsid w:val="009562CD"/>
    <w:rsid w:val="00964267"/>
    <w:rsid w:val="0096495C"/>
    <w:rsid w:val="00966A3B"/>
    <w:rsid w:val="00972E92"/>
    <w:rsid w:val="00997E24"/>
    <w:rsid w:val="009C7AC0"/>
    <w:rsid w:val="009E3E0E"/>
    <w:rsid w:val="009E54DB"/>
    <w:rsid w:val="009E6E31"/>
    <w:rsid w:val="009E76E9"/>
    <w:rsid w:val="00A065A6"/>
    <w:rsid w:val="00A45B5B"/>
    <w:rsid w:val="00A46727"/>
    <w:rsid w:val="00A702CF"/>
    <w:rsid w:val="00A8110F"/>
    <w:rsid w:val="00A81F38"/>
    <w:rsid w:val="00A87CC0"/>
    <w:rsid w:val="00A92550"/>
    <w:rsid w:val="00A9291E"/>
    <w:rsid w:val="00AB36D1"/>
    <w:rsid w:val="00AB3D68"/>
    <w:rsid w:val="00B02FF5"/>
    <w:rsid w:val="00B03CF9"/>
    <w:rsid w:val="00B04A5C"/>
    <w:rsid w:val="00B12B45"/>
    <w:rsid w:val="00B55C04"/>
    <w:rsid w:val="00B65972"/>
    <w:rsid w:val="00B7445D"/>
    <w:rsid w:val="00B76D03"/>
    <w:rsid w:val="00B85F59"/>
    <w:rsid w:val="00B90C31"/>
    <w:rsid w:val="00B915CE"/>
    <w:rsid w:val="00B95CE1"/>
    <w:rsid w:val="00BA0D69"/>
    <w:rsid w:val="00BA1A3A"/>
    <w:rsid w:val="00BA611D"/>
    <w:rsid w:val="00BC0DB8"/>
    <w:rsid w:val="00BE04DE"/>
    <w:rsid w:val="00BE7ADC"/>
    <w:rsid w:val="00BF3A2C"/>
    <w:rsid w:val="00C039B9"/>
    <w:rsid w:val="00C06522"/>
    <w:rsid w:val="00C230CB"/>
    <w:rsid w:val="00C246A9"/>
    <w:rsid w:val="00C335E9"/>
    <w:rsid w:val="00C563A1"/>
    <w:rsid w:val="00C57FF4"/>
    <w:rsid w:val="00C60DE0"/>
    <w:rsid w:val="00C6469A"/>
    <w:rsid w:val="00CB2B64"/>
    <w:rsid w:val="00CD0D5A"/>
    <w:rsid w:val="00CD4ECD"/>
    <w:rsid w:val="00CE182E"/>
    <w:rsid w:val="00D00E2E"/>
    <w:rsid w:val="00D02344"/>
    <w:rsid w:val="00D1135E"/>
    <w:rsid w:val="00D25B88"/>
    <w:rsid w:val="00D27B8D"/>
    <w:rsid w:val="00D35FDD"/>
    <w:rsid w:val="00D42B3B"/>
    <w:rsid w:val="00D56BC2"/>
    <w:rsid w:val="00D654B3"/>
    <w:rsid w:val="00D715EC"/>
    <w:rsid w:val="00D72785"/>
    <w:rsid w:val="00D777B3"/>
    <w:rsid w:val="00DA00C7"/>
    <w:rsid w:val="00DA4027"/>
    <w:rsid w:val="00DB0DF7"/>
    <w:rsid w:val="00DB2FD5"/>
    <w:rsid w:val="00DC2956"/>
    <w:rsid w:val="00DF65E1"/>
    <w:rsid w:val="00E06711"/>
    <w:rsid w:val="00E26450"/>
    <w:rsid w:val="00E361D5"/>
    <w:rsid w:val="00E502B7"/>
    <w:rsid w:val="00E539FB"/>
    <w:rsid w:val="00E62A9F"/>
    <w:rsid w:val="00E651E3"/>
    <w:rsid w:val="00E848D4"/>
    <w:rsid w:val="00E863DB"/>
    <w:rsid w:val="00E96E45"/>
    <w:rsid w:val="00EA11B0"/>
    <w:rsid w:val="00EC6D2C"/>
    <w:rsid w:val="00ED0209"/>
    <w:rsid w:val="00ED32E8"/>
    <w:rsid w:val="00EE51B2"/>
    <w:rsid w:val="00F14D88"/>
    <w:rsid w:val="00F237C2"/>
    <w:rsid w:val="00F366C7"/>
    <w:rsid w:val="00F37E5B"/>
    <w:rsid w:val="00F72001"/>
    <w:rsid w:val="00F73212"/>
    <w:rsid w:val="00F91153"/>
    <w:rsid w:val="00FB3E71"/>
    <w:rsid w:val="00FC0A57"/>
    <w:rsid w:val="00FF3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napToGrid w:val="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2E"/>
    <w:pPr>
      <w:spacing w:after="0" w:line="240" w:lineRule="auto"/>
    </w:pPr>
    <w:rPr>
      <w:rFonts w:eastAsia="Times New Roman"/>
      <w:snapToGrid/>
      <w:color w:val="000000"/>
      <w:szCs w:val="20"/>
    </w:rPr>
  </w:style>
  <w:style w:type="paragraph" w:styleId="Heading1">
    <w:name w:val="heading 1"/>
    <w:basedOn w:val="Normal"/>
    <w:next w:val="Normal"/>
    <w:link w:val="Heading1Char"/>
    <w:qFormat/>
    <w:rsid w:val="00CE182E"/>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E7"/>
    <w:pPr>
      <w:ind w:left="720"/>
      <w:contextualSpacing/>
    </w:pPr>
  </w:style>
  <w:style w:type="character" w:customStyle="1" w:styleId="Heading1Char">
    <w:name w:val="Heading 1 Char"/>
    <w:basedOn w:val="DefaultParagraphFont"/>
    <w:link w:val="Heading1"/>
    <w:rsid w:val="00CE182E"/>
    <w:rPr>
      <w:rFonts w:eastAsia="Times New Roman"/>
      <w:b/>
      <w:sz w:val="28"/>
      <w:szCs w:val="20"/>
    </w:rPr>
  </w:style>
  <w:style w:type="paragraph" w:styleId="Footer">
    <w:name w:val="footer"/>
    <w:basedOn w:val="Normal"/>
    <w:link w:val="FooterChar"/>
    <w:uiPriority w:val="99"/>
    <w:rsid w:val="00CE182E"/>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CE182E"/>
    <w:rPr>
      <w:rFonts w:eastAsia="Times New Roman"/>
      <w:szCs w:val="20"/>
    </w:rPr>
  </w:style>
  <w:style w:type="paragraph" w:styleId="Header">
    <w:name w:val="header"/>
    <w:basedOn w:val="Normal"/>
    <w:link w:val="HeaderChar"/>
    <w:uiPriority w:val="99"/>
    <w:rsid w:val="00CE182E"/>
    <w:pPr>
      <w:tabs>
        <w:tab w:val="center" w:pos="4320"/>
        <w:tab w:val="right" w:pos="8640"/>
      </w:tabs>
    </w:pPr>
    <w:rPr>
      <w:color w:val="auto"/>
      <w:sz w:val="20"/>
    </w:rPr>
  </w:style>
  <w:style w:type="character" w:customStyle="1" w:styleId="HeaderChar">
    <w:name w:val="Header Char"/>
    <w:basedOn w:val="DefaultParagraphFont"/>
    <w:link w:val="Header"/>
    <w:uiPriority w:val="99"/>
    <w:rsid w:val="00CE182E"/>
    <w:rPr>
      <w:rFonts w:eastAsia="Times New Roman"/>
      <w:snapToGrid/>
      <w:sz w:val="20"/>
      <w:szCs w:val="20"/>
    </w:rPr>
  </w:style>
  <w:style w:type="paragraph" w:customStyle="1" w:styleId="SingleSpacing">
    <w:name w:val="Single Spacing"/>
    <w:basedOn w:val="Normal"/>
    <w:rsid w:val="00CE182E"/>
    <w:pPr>
      <w:spacing w:line="254" w:lineRule="exact"/>
    </w:pPr>
    <w:rPr>
      <w:color w:val="auto"/>
    </w:rPr>
  </w:style>
  <w:style w:type="paragraph" w:styleId="BodyText2">
    <w:name w:val="Body Text 2"/>
    <w:basedOn w:val="Normal"/>
    <w:link w:val="BodyText2Char"/>
    <w:rsid w:val="00CE182E"/>
    <w:rPr>
      <w:color w:val="auto"/>
    </w:rPr>
  </w:style>
  <w:style w:type="character" w:customStyle="1" w:styleId="BodyText2Char">
    <w:name w:val="Body Text 2 Char"/>
    <w:basedOn w:val="DefaultParagraphFont"/>
    <w:link w:val="BodyText2"/>
    <w:rsid w:val="00CE182E"/>
    <w:rPr>
      <w:rFonts w:eastAsia="Times New Roman"/>
      <w:snapToGrid/>
      <w:szCs w:val="20"/>
    </w:rPr>
  </w:style>
  <w:style w:type="paragraph" w:customStyle="1" w:styleId="WUTCParagraph">
    <w:name w:val="WUTC Paragraph"/>
    <w:basedOn w:val="Normal"/>
    <w:rsid w:val="00CE182E"/>
    <w:pPr>
      <w:numPr>
        <w:numId w:val="1"/>
      </w:numPr>
      <w:tabs>
        <w:tab w:val="clear" w:pos="0"/>
        <w:tab w:val="left" w:pos="1440"/>
      </w:tabs>
      <w:spacing w:line="480" w:lineRule="auto"/>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CD4ECD"/>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4ECD"/>
    <w:rPr>
      <w:rFonts w:eastAsia="Times New Roman"/>
      <w:snapToGrid/>
      <w:sz w:val="20"/>
      <w:szCs w:val="20"/>
    </w:rPr>
  </w:style>
  <w:style w:type="character" w:styleId="FootnoteReference">
    <w:name w:val="footnote reference"/>
    <w:aliases w:val="o,fr,Style 3"/>
    <w:basedOn w:val="DefaultParagraphFont"/>
    <w:rsid w:val="00CD4ECD"/>
    <w:rPr>
      <w:u w:val="single"/>
      <w:vertAlign w:val="superscript"/>
    </w:rPr>
  </w:style>
  <w:style w:type="character" w:styleId="LineNumber">
    <w:name w:val="line number"/>
    <w:uiPriority w:val="99"/>
    <w:unhideWhenUsed/>
    <w:qFormat/>
    <w:rsid w:val="00BC0DB8"/>
    <w:rPr>
      <w:rFonts w:ascii="Times New Roman" w:hAnsi="Times New Roman"/>
      <w:sz w:val="24"/>
      <w:szCs w:val="22"/>
    </w:rPr>
  </w:style>
  <w:style w:type="character" w:styleId="Hyperlink">
    <w:name w:val="Hyperlink"/>
    <w:basedOn w:val="DefaultParagraphFont"/>
    <w:uiPriority w:val="99"/>
    <w:semiHidden/>
    <w:unhideWhenUsed/>
    <w:rsid w:val="000964F6"/>
    <w:rPr>
      <w:color w:val="0000FF"/>
      <w:u w:val="single"/>
    </w:rPr>
  </w:style>
  <w:style w:type="character" w:customStyle="1" w:styleId="pmterms3">
    <w:name w:val="pmterms3"/>
    <w:basedOn w:val="DefaultParagraphFont"/>
    <w:rsid w:val="000964F6"/>
  </w:style>
  <w:style w:type="character" w:customStyle="1" w:styleId="pmterms1">
    <w:name w:val="pmterms1"/>
    <w:basedOn w:val="DefaultParagraphFont"/>
    <w:rsid w:val="000964F6"/>
  </w:style>
  <w:style w:type="paragraph" w:customStyle="1" w:styleId="draft">
    <w:name w:val="draft"/>
    <w:basedOn w:val="WUTCParagraph"/>
    <w:link w:val="draftChar"/>
    <w:qFormat/>
    <w:rsid w:val="00FC0A57"/>
    <w:pPr>
      <w:numPr>
        <w:numId w:val="2"/>
      </w:numPr>
      <w:tabs>
        <w:tab w:val="num" w:pos="1440"/>
      </w:tabs>
      <w:spacing w:line="570" w:lineRule="exact"/>
    </w:pPr>
  </w:style>
  <w:style w:type="character" w:customStyle="1" w:styleId="draftChar">
    <w:name w:val="draft Char"/>
    <w:basedOn w:val="DefaultParagraphFont"/>
    <w:link w:val="draft"/>
    <w:rsid w:val="00FC0A57"/>
    <w:rPr>
      <w:rFonts w:eastAsia="Times New Roman"/>
      <w:snapToGrid/>
    </w:rPr>
  </w:style>
  <w:style w:type="paragraph" w:styleId="BalloonText">
    <w:name w:val="Balloon Text"/>
    <w:basedOn w:val="Normal"/>
    <w:link w:val="BalloonTextChar"/>
    <w:uiPriority w:val="99"/>
    <w:semiHidden/>
    <w:unhideWhenUsed/>
    <w:rsid w:val="002D30C7"/>
    <w:rPr>
      <w:rFonts w:ascii="Tahoma" w:hAnsi="Tahoma" w:cs="Tahoma"/>
      <w:sz w:val="16"/>
      <w:szCs w:val="16"/>
    </w:rPr>
  </w:style>
  <w:style w:type="character" w:customStyle="1" w:styleId="BalloonTextChar">
    <w:name w:val="Balloon Text Char"/>
    <w:basedOn w:val="DefaultParagraphFont"/>
    <w:link w:val="BalloonText"/>
    <w:uiPriority w:val="99"/>
    <w:semiHidden/>
    <w:rsid w:val="002D30C7"/>
    <w:rPr>
      <w:rFonts w:ascii="Tahoma" w:eastAsia="Times New Roman" w:hAnsi="Tahoma" w:cs="Tahoma"/>
      <w:snapToGrid/>
      <w:color w:val="000000"/>
      <w:sz w:val="16"/>
      <w:szCs w:val="16"/>
    </w:rPr>
  </w:style>
  <w:style w:type="character" w:styleId="PageNumber">
    <w:name w:val="page number"/>
    <w:basedOn w:val="DefaultParagraphFont"/>
    <w:uiPriority w:val="99"/>
    <w:rsid w:val="00EE51B2"/>
  </w:style>
</w:styles>
</file>

<file path=word/webSettings.xml><?xml version="1.0" encoding="utf-8"?>
<w:webSettings xmlns:r="http://schemas.openxmlformats.org/officeDocument/2006/relationships" xmlns:w="http://schemas.openxmlformats.org/wordprocessingml/2006/main">
  <w:divs>
    <w:div w:id="18982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6AE1EA-3540-4E6D-BB38-3ABAB56D5EF4}"/>
</file>

<file path=customXml/itemProps2.xml><?xml version="1.0" encoding="utf-8"?>
<ds:datastoreItem xmlns:ds="http://schemas.openxmlformats.org/officeDocument/2006/customXml" ds:itemID="{030B8EDC-D650-4A36-ABDC-D41F324A6C1F}"/>
</file>

<file path=customXml/itemProps3.xml><?xml version="1.0" encoding="utf-8"?>
<ds:datastoreItem xmlns:ds="http://schemas.openxmlformats.org/officeDocument/2006/customXml" ds:itemID="{CFC9F4F3-3D4D-4308-9E90-FBB2F705AED0}"/>
</file>

<file path=customXml/itemProps4.xml><?xml version="1.0" encoding="utf-8"?>
<ds:datastoreItem xmlns:ds="http://schemas.openxmlformats.org/officeDocument/2006/customXml" ds:itemID="{B4022EF9-8346-4F6C-8F86-AC6B7AA935A8}"/>
</file>

<file path=customXml/itemProps5.xml><?xml version="1.0" encoding="utf-8"?>
<ds:datastoreItem xmlns:ds="http://schemas.openxmlformats.org/officeDocument/2006/customXml" ds:itemID="{7B7BD86F-9A02-4193-B2F8-8880DB721277}"/>
</file>

<file path=docProps/app.xml><?xml version="1.0" encoding="utf-8"?>
<Properties xmlns="http://schemas.openxmlformats.org/officeDocument/2006/extended-properties" xmlns:vt="http://schemas.openxmlformats.org/officeDocument/2006/docPropsVTypes">
  <Template>Normal</Template>
  <TotalTime>2055</TotalTime>
  <Pages>26</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sak</cp:lastModifiedBy>
  <cp:revision>169</cp:revision>
  <cp:lastPrinted>2011-04-14T20:18:00Z</cp:lastPrinted>
  <dcterms:created xsi:type="dcterms:W3CDTF">2011-04-05T22:58:00Z</dcterms:created>
  <dcterms:modified xsi:type="dcterms:W3CDTF">2011-04-14T20:59:00Z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