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7475C" w14:textId="77777777" w:rsidR="00274A8A" w:rsidRDefault="00274A8A" w:rsidP="002E5CA2">
      <w:pPr>
        <w:jc w:val="center"/>
        <w:rPr>
          <w:rFonts w:ascii="Times New Roman" w:hAnsi="Times New Roman" w:cs="Times New Roman"/>
          <w:b/>
          <w:sz w:val="24"/>
          <w:szCs w:val="24"/>
        </w:rPr>
      </w:pPr>
      <w:r>
        <w:rPr>
          <w:rFonts w:ascii="Times New Roman" w:hAnsi="Times New Roman" w:cs="Times New Roman"/>
          <w:b/>
          <w:sz w:val="24"/>
          <w:szCs w:val="24"/>
        </w:rPr>
        <w:t>COMMISSION</w:t>
      </w:r>
      <w:r w:rsidR="00F15A0F">
        <w:rPr>
          <w:rFonts w:ascii="Times New Roman" w:hAnsi="Times New Roman" w:cs="Times New Roman"/>
          <w:b/>
          <w:sz w:val="24"/>
          <w:szCs w:val="24"/>
        </w:rPr>
        <w:t xml:space="preserve"> STAFF COMMENTS REGARDING </w:t>
      </w:r>
    </w:p>
    <w:p w14:paraId="4FCD92D5" w14:textId="77777777" w:rsidR="00274A8A" w:rsidRDefault="00274A8A" w:rsidP="002E5CA2">
      <w:pPr>
        <w:jc w:val="center"/>
        <w:rPr>
          <w:rFonts w:ascii="Times New Roman" w:hAnsi="Times New Roman" w:cs="Times New Roman"/>
          <w:b/>
          <w:sz w:val="24"/>
          <w:szCs w:val="24"/>
        </w:rPr>
      </w:pPr>
      <w:r>
        <w:rPr>
          <w:rFonts w:ascii="Times New Roman" w:hAnsi="Times New Roman" w:cs="Times New Roman"/>
          <w:b/>
          <w:sz w:val="24"/>
          <w:szCs w:val="24"/>
        </w:rPr>
        <w:t>PACIFIC POWER &amp; LIGHT COMPANY’</w:t>
      </w:r>
      <w:r w:rsidR="00F15A0F">
        <w:rPr>
          <w:rFonts w:ascii="Times New Roman" w:hAnsi="Times New Roman" w:cs="Times New Roman"/>
          <w:b/>
          <w:sz w:val="24"/>
          <w:szCs w:val="24"/>
        </w:rPr>
        <w:t xml:space="preserve">S </w:t>
      </w:r>
    </w:p>
    <w:p w14:paraId="7AE98C6F" w14:textId="1C86DB35" w:rsidR="002C039A" w:rsidRDefault="00F15A0F" w:rsidP="002E5CA2">
      <w:pPr>
        <w:jc w:val="center"/>
        <w:rPr>
          <w:rFonts w:ascii="Times New Roman" w:hAnsi="Times New Roman" w:cs="Times New Roman"/>
          <w:b/>
          <w:sz w:val="24"/>
          <w:szCs w:val="24"/>
        </w:rPr>
      </w:pPr>
      <w:r>
        <w:rPr>
          <w:rFonts w:ascii="Times New Roman" w:hAnsi="Times New Roman" w:cs="Times New Roman"/>
          <w:b/>
          <w:sz w:val="24"/>
          <w:szCs w:val="24"/>
        </w:rPr>
        <w:t>2012-2013 BIENNIAL CONSERVATION REPORT</w:t>
      </w:r>
    </w:p>
    <w:p w14:paraId="7AE98C70" w14:textId="524D2D91" w:rsidR="00F15A0F" w:rsidRDefault="00C91087" w:rsidP="002E5CA2">
      <w:pPr>
        <w:jc w:val="center"/>
        <w:rPr>
          <w:rFonts w:ascii="Times New Roman" w:hAnsi="Times New Roman" w:cs="Times New Roman"/>
          <w:b/>
          <w:sz w:val="24"/>
          <w:szCs w:val="24"/>
        </w:rPr>
      </w:pPr>
      <w:r>
        <w:rPr>
          <w:rFonts w:ascii="Times New Roman" w:hAnsi="Times New Roman" w:cs="Times New Roman"/>
          <w:b/>
          <w:sz w:val="24"/>
          <w:szCs w:val="24"/>
        </w:rPr>
        <w:t xml:space="preserve">JUNE 30, 2014 </w:t>
      </w:r>
    </w:p>
    <w:p w14:paraId="201EA283" w14:textId="77777777" w:rsidR="00C91087" w:rsidRDefault="00C91087" w:rsidP="002E5CA2">
      <w:pPr>
        <w:jc w:val="center"/>
        <w:rPr>
          <w:rFonts w:ascii="Times New Roman" w:hAnsi="Times New Roman" w:cs="Times New Roman"/>
          <w:b/>
          <w:sz w:val="24"/>
          <w:szCs w:val="24"/>
        </w:rPr>
      </w:pPr>
    </w:p>
    <w:p w14:paraId="7AE98C71" w14:textId="77777777" w:rsidR="00F15A0F" w:rsidRDefault="00F15A0F" w:rsidP="002E5CA2">
      <w:pPr>
        <w:jc w:val="center"/>
        <w:rPr>
          <w:rFonts w:ascii="Times New Roman" w:hAnsi="Times New Roman" w:cs="Times New Roman"/>
          <w:b/>
          <w:sz w:val="24"/>
          <w:szCs w:val="24"/>
        </w:rPr>
      </w:pPr>
      <w:r>
        <w:rPr>
          <w:rFonts w:ascii="Times New Roman" w:hAnsi="Times New Roman" w:cs="Times New Roman"/>
          <w:b/>
          <w:sz w:val="24"/>
          <w:szCs w:val="24"/>
        </w:rPr>
        <w:t>DOCKET UE-111880</w:t>
      </w:r>
    </w:p>
    <w:p w14:paraId="7AE98C72" w14:textId="77777777" w:rsidR="00F15A0F" w:rsidRDefault="00F15A0F" w:rsidP="007622F8">
      <w:pPr>
        <w:rPr>
          <w:rFonts w:ascii="Times New Roman" w:hAnsi="Times New Roman" w:cs="Times New Roman"/>
          <w:b/>
          <w:sz w:val="24"/>
          <w:szCs w:val="24"/>
        </w:rPr>
      </w:pPr>
    </w:p>
    <w:p w14:paraId="7AE98C73" w14:textId="77777777" w:rsidR="00F15A0F" w:rsidRDefault="00F15A0F" w:rsidP="007622F8">
      <w:pPr>
        <w:rPr>
          <w:rFonts w:ascii="Times New Roman" w:hAnsi="Times New Roman" w:cs="Times New Roman"/>
          <w:b/>
          <w:sz w:val="24"/>
          <w:szCs w:val="24"/>
        </w:rPr>
      </w:pPr>
      <w:r>
        <w:rPr>
          <w:rFonts w:ascii="Times New Roman" w:hAnsi="Times New Roman" w:cs="Times New Roman"/>
          <w:b/>
          <w:sz w:val="24"/>
          <w:szCs w:val="24"/>
        </w:rPr>
        <w:t>Background</w:t>
      </w:r>
    </w:p>
    <w:p w14:paraId="7AE98C74" w14:textId="77777777" w:rsidR="00F15A0F" w:rsidRDefault="00F15A0F" w:rsidP="007622F8">
      <w:pPr>
        <w:rPr>
          <w:rFonts w:ascii="Times New Roman" w:hAnsi="Times New Roman" w:cs="Times New Roman"/>
          <w:b/>
          <w:sz w:val="24"/>
          <w:szCs w:val="24"/>
        </w:rPr>
      </w:pPr>
    </w:p>
    <w:p w14:paraId="7AE98C75" w14:textId="77777777" w:rsidR="0095774E" w:rsidRDefault="00F15A0F" w:rsidP="007622F8">
      <w:pPr>
        <w:rPr>
          <w:rFonts w:ascii="Times New Roman" w:hAnsi="Times New Roman" w:cs="Times New Roman"/>
          <w:sz w:val="24"/>
          <w:szCs w:val="24"/>
        </w:rPr>
      </w:pPr>
      <w:r>
        <w:rPr>
          <w:rFonts w:ascii="Times New Roman" w:hAnsi="Times New Roman" w:cs="Times New Roman"/>
          <w:sz w:val="24"/>
          <w:szCs w:val="24"/>
        </w:rPr>
        <w:t xml:space="preserve">On May 30, 2014, Pacific Power &amp; Light Company (PacifiCorp or company) filed its </w:t>
      </w:r>
      <w:r w:rsidR="00DB208A">
        <w:rPr>
          <w:rFonts w:ascii="Times New Roman" w:hAnsi="Times New Roman" w:cs="Times New Roman"/>
          <w:sz w:val="24"/>
          <w:szCs w:val="24"/>
        </w:rPr>
        <w:t xml:space="preserve">2012-2013 </w:t>
      </w:r>
      <w:r>
        <w:rPr>
          <w:rFonts w:ascii="Times New Roman" w:hAnsi="Times New Roman" w:cs="Times New Roman"/>
          <w:sz w:val="24"/>
          <w:szCs w:val="24"/>
        </w:rPr>
        <w:t>Biennial Conservation Report</w:t>
      </w:r>
      <w:r w:rsidR="006747AD">
        <w:rPr>
          <w:rFonts w:ascii="Times New Roman" w:hAnsi="Times New Roman" w:cs="Times New Roman"/>
          <w:sz w:val="24"/>
          <w:szCs w:val="24"/>
        </w:rPr>
        <w:t xml:space="preserve"> (BCR)</w:t>
      </w:r>
      <w:r w:rsidR="00DB208A">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Pr="00F15A0F">
        <w:rPr>
          <w:rFonts w:ascii="Times New Roman" w:hAnsi="Times New Roman" w:cs="Times New Roman"/>
          <w:sz w:val="24"/>
          <w:szCs w:val="24"/>
        </w:rPr>
        <w:t xml:space="preserve">Washington Utilities and Transportation </w:t>
      </w:r>
      <w:r w:rsidR="00002353">
        <w:rPr>
          <w:rFonts w:ascii="Times New Roman" w:hAnsi="Times New Roman" w:cs="Times New Roman"/>
          <w:sz w:val="24"/>
          <w:szCs w:val="24"/>
        </w:rPr>
        <w:t>Commission</w:t>
      </w:r>
      <w:r>
        <w:rPr>
          <w:rFonts w:ascii="Times New Roman" w:hAnsi="Times New Roman" w:cs="Times New Roman"/>
          <w:sz w:val="24"/>
          <w:szCs w:val="24"/>
        </w:rPr>
        <w:t xml:space="preserve"> (</w:t>
      </w:r>
      <w:r w:rsidR="00002353">
        <w:rPr>
          <w:rFonts w:ascii="Times New Roman" w:hAnsi="Times New Roman" w:cs="Times New Roman"/>
          <w:sz w:val="24"/>
          <w:szCs w:val="24"/>
        </w:rPr>
        <w:t>Commission</w:t>
      </w:r>
      <w:r>
        <w:rPr>
          <w:rFonts w:ascii="Times New Roman" w:hAnsi="Times New Roman" w:cs="Times New Roman"/>
          <w:sz w:val="24"/>
          <w:szCs w:val="24"/>
        </w:rPr>
        <w:t>), as required by Order 01 in this docket.</w:t>
      </w:r>
      <w:r>
        <w:rPr>
          <w:rStyle w:val="FootnoteReference"/>
          <w:rFonts w:ascii="Times New Roman" w:hAnsi="Times New Roman" w:cs="Times New Roman"/>
          <w:sz w:val="24"/>
          <w:szCs w:val="24"/>
        </w:rPr>
        <w:footnoteReference w:id="2"/>
      </w:r>
      <w:r w:rsidR="00DA5187">
        <w:rPr>
          <w:rFonts w:ascii="Times New Roman" w:hAnsi="Times New Roman" w:cs="Times New Roman"/>
          <w:sz w:val="24"/>
          <w:szCs w:val="24"/>
        </w:rPr>
        <w:t xml:space="preserve"> </w:t>
      </w:r>
      <w:r w:rsidR="003A2E9F">
        <w:rPr>
          <w:rFonts w:ascii="Times New Roman" w:hAnsi="Times New Roman" w:cs="Times New Roman"/>
          <w:sz w:val="24"/>
          <w:szCs w:val="24"/>
        </w:rPr>
        <w:t>The company has agreed to file</w:t>
      </w:r>
      <w:r w:rsidR="006747AD">
        <w:rPr>
          <w:rFonts w:ascii="Times New Roman" w:hAnsi="Times New Roman" w:cs="Times New Roman"/>
          <w:sz w:val="24"/>
          <w:szCs w:val="24"/>
        </w:rPr>
        <w:t xml:space="preserve"> an amended report </w:t>
      </w:r>
      <w:r w:rsidR="00510B3B">
        <w:rPr>
          <w:rFonts w:ascii="Times New Roman" w:hAnsi="Times New Roman" w:cs="Times New Roman"/>
          <w:sz w:val="24"/>
          <w:szCs w:val="24"/>
        </w:rPr>
        <w:t xml:space="preserve">to </w:t>
      </w:r>
      <w:r w:rsidR="006747AD">
        <w:rPr>
          <w:rFonts w:ascii="Times New Roman" w:hAnsi="Times New Roman" w:cs="Times New Roman"/>
          <w:sz w:val="24"/>
          <w:szCs w:val="24"/>
        </w:rPr>
        <w:t>adjust its reported savings based on a review of its home insulation measures</w:t>
      </w:r>
      <w:r w:rsidR="003A2E9F">
        <w:rPr>
          <w:rFonts w:ascii="Times New Roman" w:hAnsi="Times New Roman" w:cs="Times New Roman"/>
          <w:sz w:val="24"/>
          <w:szCs w:val="24"/>
        </w:rPr>
        <w:t xml:space="preserve"> and address minor issues raised</w:t>
      </w:r>
      <w:r w:rsidR="00510B3B">
        <w:rPr>
          <w:rFonts w:ascii="Times New Roman" w:hAnsi="Times New Roman" w:cs="Times New Roman"/>
          <w:sz w:val="24"/>
          <w:szCs w:val="24"/>
        </w:rPr>
        <w:t xml:space="preserve"> by staff and other stakeholders</w:t>
      </w:r>
      <w:r w:rsidR="003A2E9F">
        <w:rPr>
          <w:rFonts w:ascii="Times New Roman" w:hAnsi="Times New Roman" w:cs="Times New Roman"/>
          <w:sz w:val="24"/>
          <w:szCs w:val="24"/>
        </w:rPr>
        <w:t xml:space="preserve">. </w:t>
      </w:r>
    </w:p>
    <w:p w14:paraId="7AE98C76" w14:textId="77777777" w:rsidR="003A2E9F" w:rsidRDefault="003A2E9F" w:rsidP="007622F8">
      <w:pPr>
        <w:rPr>
          <w:rFonts w:ascii="Times New Roman" w:hAnsi="Times New Roman" w:cs="Times New Roman"/>
          <w:sz w:val="24"/>
          <w:szCs w:val="24"/>
        </w:rPr>
      </w:pPr>
    </w:p>
    <w:p w14:paraId="7AE98C77" w14:textId="77777777" w:rsidR="00DA5187" w:rsidRDefault="00F15A0F" w:rsidP="007622F8">
      <w:pPr>
        <w:rPr>
          <w:rFonts w:ascii="Times New Roman" w:hAnsi="Times New Roman" w:cs="Times New Roman"/>
          <w:sz w:val="24"/>
          <w:szCs w:val="24"/>
        </w:rPr>
      </w:pPr>
      <w:r>
        <w:rPr>
          <w:rFonts w:ascii="Times New Roman" w:hAnsi="Times New Roman" w:cs="Times New Roman"/>
          <w:sz w:val="24"/>
          <w:szCs w:val="24"/>
        </w:rPr>
        <w:t>Throughout t</w:t>
      </w:r>
      <w:r w:rsidR="008C347D">
        <w:rPr>
          <w:rFonts w:ascii="Times New Roman" w:hAnsi="Times New Roman" w:cs="Times New Roman"/>
          <w:sz w:val="24"/>
          <w:szCs w:val="24"/>
        </w:rPr>
        <w:t>he biennium, staff</w:t>
      </w:r>
      <w:r>
        <w:rPr>
          <w:rFonts w:ascii="Times New Roman" w:hAnsi="Times New Roman" w:cs="Times New Roman"/>
          <w:sz w:val="24"/>
          <w:szCs w:val="24"/>
        </w:rPr>
        <w:t xml:space="preserve"> met regularly with PacifiCorp’s Washington Demand-Side Man</w:t>
      </w:r>
      <w:r w:rsidR="008C347D">
        <w:rPr>
          <w:rFonts w:ascii="Times New Roman" w:hAnsi="Times New Roman" w:cs="Times New Roman"/>
          <w:sz w:val="24"/>
          <w:szCs w:val="24"/>
        </w:rPr>
        <w:t xml:space="preserve">agement </w:t>
      </w:r>
      <w:r w:rsidR="00F00B6B">
        <w:rPr>
          <w:rFonts w:ascii="Times New Roman" w:hAnsi="Times New Roman" w:cs="Times New Roman"/>
          <w:sz w:val="24"/>
          <w:szCs w:val="24"/>
        </w:rPr>
        <w:t xml:space="preserve">(DSM) </w:t>
      </w:r>
      <w:r w:rsidR="008C347D">
        <w:rPr>
          <w:rFonts w:ascii="Times New Roman" w:hAnsi="Times New Roman" w:cs="Times New Roman"/>
          <w:sz w:val="24"/>
          <w:szCs w:val="24"/>
        </w:rPr>
        <w:t>Advisory Group. This</w:t>
      </w:r>
      <w:r>
        <w:rPr>
          <w:rFonts w:ascii="Times New Roman" w:hAnsi="Times New Roman" w:cs="Times New Roman"/>
          <w:sz w:val="24"/>
          <w:szCs w:val="24"/>
        </w:rPr>
        <w:t xml:space="preserve"> allowed staff to conduct an ongoing review of the company’s progre</w:t>
      </w:r>
      <w:r w:rsidR="00DA5187">
        <w:rPr>
          <w:rFonts w:ascii="Times New Roman" w:hAnsi="Times New Roman" w:cs="Times New Roman"/>
          <w:sz w:val="24"/>
          <w:szCs w:val="24"/>
        </w:rPr>
        <w:t>ss toward meeting its biennial target and review propos</w:t>
      </w:r>
      <w:r w:rsidR="008C347D">
        <w:rPr>
          <w:rFonts w:ascii="Times New Roman" w:hAnsi="Times New Roman" w:cs="Times New Roman"/>
          <w:sz w:val="24"/>
          <w:szCs w:val="24"/>
        </w:rPr>
        <w:t>ed program changes</w:t>
      </w:r>
      <w:r w:rsidR="00DA5187">
        <w:rPr>
          <w:rFonts w:ascii="Times New Roman" w:hAnsi="Times New Roman" w:cs="Times New Roman"/>
          <w:sz w:val="24"/>
          <w:szCs w:val="24"/>
        </w:rPr>
        <w:t xml:space="preserve">. </w:t>
      </w:r>
    </w:p>
    <w:p w14:paraId="7AE98C78" w14:textId="77777777" w:rsidR="00DA5187" w:rsidRDefault="00821E8B" w:rsidP="00821E8B">
      <w:pPr>
        <w:tabs>
          <w:tab w:val="left" w:pos="1770"/>
        </w:tabs>
        <w:rPr>
          <w:rFonts w:ascii="Times New Roman" w:hAnsi="Times New Roman" w:cs="Times New Roman"/>
          <w:sz w:val="24"/>
          <w:szCs w:val="24"/>
        </w:rPr>
      </w:pPr>
      <w:r>
        <w:rPr>
          <w:rFonts w:ascii="Times New Roman" w:hAnsi="Times New Roman" w:cs="Times New Roman"/>
          <w:sz w:val="24"/>
          <w:szCs w:val="24"/>
        </w:rPr>
        <w:tab/>
      </w:r>
    </w:p>
    <w:p w14:paraId="7AE98C79" w14:textId="77777777" w:rsidR="00F15A0F" w:rsidRDefault="00DA5187" w:rsidP="007622F8">
      <w:pPr>
        <w:rPr>
          <w:rFonts w:ascii="Times New Roman" w:hAnsi="Times New Roman" w:cs="Times New Roman"/>
          <w:sz w:val="24"/>
          <w:szCs w:val="24"/>
        </w:rPr>
      </w:pPr>
      <w:r>
        <w:rPr>
          <w:rFonts w:ascii="Times New Roman" w:hAnsi="Times New Roman" w:cs="Times New Roman"/>
          <w:sz w:val="24"/>
          <w:szCs w:val="24"/>
        </w:rPr>
        <w:t>Staff’</w:t>
      </w:r>
      <w:r w:rsidR="00C66120">
        <w:rPr>
          <w:rFonts w:ascii="Times New Roman" w:hAnsi="Times New Roman" w:cs="Times New Roman"/>
          <w:sz w:val="24"/>
          <w:szCs w:val="24"/>
        </w:rPr>
        <w:t xml:space="preserve">s review of PacifiCorp’s </w:t>
      </w:r>
      <w:r w:rsidR="00F00B6B">
        <w:rPr>
          <w:rFonts w:ascii="Times New Roman" w:hAnsi="Times New Roman" w:cs="Times New Roman"/>
          <w:sz w:val="24"/>
          <w:szCs w:val="24"/>
        </w:rPr>
        <w:t>BCR</w:t>
      </w:r>
      <w:r w:rsidR="00C66120">
        <w:rPr>
          <w:rFonts w:ascii="Times New Roman" w:hAnsi="Times New Roman" w:cs="Times New Roman"/>
          <w:sz w:val="24"/>
          <w:szCs w:val="24"/>
        </w:rPr>
        <w:t xml:space="preserve"> has focused on evaluating whether the company met the reporting requirements outlined in RCW 19.285.070 and WAC 480-109-040 and whether the company </w:t>
      </w:r>
      <w:r w:rsidR="0095774E">
        <w:rPr>
          <w:rFonts w:ascii="Times New Roman" w:hAnsi="Times New Roman" w:cs="Times New Roman"/>
          <w:sz w:val="24"/>
          <w:szCs w:val="24"/>
        </w:rPr>
        <w:t xml:space="preserve">correctly reported </w:t>
      </w:r>
      <w:r w:rsidR="00510B3B">
        <w:rPr>
          <w:rFonts w:ascii="Times New Roman" w:hAnsi="Times New Roman" w:cs="Times New Roman"/>
          <w:sz w:val="24"/>
          <w:szCs w:val="24"/>
        </w:rPr>
        <w:t xml:space="preserve">its </w:t>
      </w:r>
      <w:r w:rsidR="0095774E">
        <w:rPr>
          <w:rFonts w:ascii="Times New Roman" w:hAnsi="Times New Roman" w:cs="Times New Roman"/>
          <w:sz w:val="24"/>
          <w:szCs w:val="24"/>
        </w:rPr>
        <w:t>savings for the biennium.</w:t>
      </w:r>
    </w:p>
    <w:p w14:paraId="7AE98C7A" w14:textId="77777777" w:rsidR="00C66120" w:rsidRDefault="00C66120" w:rsidP="007622F8">
      <w:pPr>
        <w:rPr>
          <w:rFonts w:ascii="Times New Roman" w:hAnsi="Times New Roman" w:cs="Times New Roman"/>
          <w:sz w:val="24"/>
          <w:szCs w:val="24"/>
        </w:rPr>
      </w:pPr>
    </w:p>
    <w:p w14:paraId="7AE98C7B" w14:textId="77777777" w:rsidR="002B53D0" w:rsidRDefault="002B53D0" w:rsidP="007622F8">
      <w:pPr>
        <w:rPr>
          <w:rFonts w:ascii="Times New Roman" w:hAnsi="Times New Roman" w:cs="Times New Roman"/>
          <w:sz w:val="24"/>
          <w:szCs w:val="24"/>
        </w:rPr>
      </w:pPr>
      <w:r>
        <w:rPr>
          <w:rFonts w:ascii="Times New Roman" w:hAnsi="Times New Roman" w:cs="Times New Roman"/>
          <w:sz w:val="24"/>
          <w:szCs w:val="24"/>
        </w:rPr>
        <w:t>In these comments, staff will s</w:t>
      </w:r>
      <w:r w:rsidR="008C347D">
        <w:rPr>
          <w:rFonts w:ascii="Times New Roman" w:hAnsi="Times New Roman" w:cs="Times New Roman"/>
          <w:sz w:val="24"/>
          <w:szCs w:val="24"/>
        </w:rPr>
        <w:t>ummarize PacifiCorp’s report,</w:t>
      </w:r>
      <w:r>
        <w:rPr>
          <w:rFonts w:ascii="Times New Roman" w:hAnsi="Times New Roman" w:cs="Times New Roman"/>
          <w:sz w:val="24"/>
          <w:szCs w:val="24"/>
        </w:rPr>
        <w:t xml:space="preserve"> highlight key pieces of information</w:t>
      </w:r>
      <w:r w:rsidR="008C347D">
        <w:rPr>
          <w:rFonts w:ascii="Times New Roman" w:hAnsi="Times New Roman" w:cs="Times New Roman"/>
          <w:sz w:val="24"/>
          <w:szCs w:val="24"/>
        </w:rPr>
        <w:t>, and identify lingering issues</w:t>
      </w:r>
      <w:r>
        <w:rPr>
          <w:rFonts w:ascii="Times New Roman" w:hAnsi="Times New Roman" w:cs="Times New Roman"/>
          <w:sz w:val="24"/>
          <w:szCs w:val="24"/>
        </w:rPr>
        <w:t xml:space="preserve">. Staff will also discuss </w:t>
      </w:r>
      <w:r w:rsidR="008C347D">
        <w:rPr>
          <w:rFonts w:ascii="Times New Roman" w:hAnsi="Times New Roman" w:cs="Times New Roman"/>
          <w:sz w:val="24"/>
          <w:szCs w:val="24"/>
        </w:rPr>
        <w:t>recent and anticipated changes in the rules and policies affecting energy conservation</w:t>
      </w:r>
      <w:r>
        <w:rPr>
          <w:rFonts w:ascii="Times New Roman" w:hAnsi="Times New Roman" w:cs="Times New Roman"/>
          <w:sz w:val="24"/>
          <w:szCs w:val="24"/>
        </w:rPr>
        <w:t>.</w:t>
      </w:r>
      <w:r w:rsidR="007D18A6">
        <w:rPr>
          <w:rFonts w:ascii="Times New Roman" w:hAnsi="Times New Roman" w:cs="Times New Roman"/>
          <w:sz w:val="24"/>
          <w:szCs w:val="24"/>
        </w:rPr>
        <w:t xml:space="preserve"> </w:t>
      </w:r>
      <w:r w:rsidR="00F00B6B">
        <w:rPr>
          <w:rFonts w:ascii="Times New Roman" w:hAnsi="Times New Roman" w:cs="Times New Roman"/>
          <w:sz w:val="24"/>
          <w:szCs w:val="24"/>
        </w:rPr>
        <w:t>After reviewing</w:t>
      </w:r>
      <w:r w:rsidR="007D18A6">
        <w:rPr>
          <w:rFonts w:ascii="Times New Roman" w:hAnsi="Times New Roman" w:cs="Times New Roman"/>
          <w:sz w:val="24"/>
          <w:szCs w:val="24"/>
        </w:rPr>
        <w:t xml:space="preserve"> </w:t>
      </w:r>
      <w:r w:rsidR="006E0406">
        <w:rPr>
          <w:rFonts w:ascii="Times New Roman" w:hAnsi="Times New Roman" w:cs="Times New Roman"/>
          <w:sz w:val="24"/>
          <w:szCs w:val="24"/>
        </w:rPr>
        <w:t xml:space="preserve">PacifiCorp’s amended report and the </w:t>
      </w:r>
      <w:r w:rsidR="007D18A6">
        <w:rPr>
          <w:rFonts w:ascii="Times New Roman" w:hAnsi="Times New Roman" w:cs="Times New Roman"/>
          <w:sz w:val="24"/>
          <w:szCs w:val="24"/>
        </w:rPr>
        <w:t>comments filed b</w:t>
      </w:r>
      <w:r w:rsidR="00F00B6B">
        <w:rPr>
          <w:rFonts w:ascii="Times New Roman" w:hAnsi="Times New Roman" w:cs="Times New Roman"/>
          <w:sz w:val="24"/>
          <w:szCs w:val="24"/>
        </w:rPr>
        <w:t>y other parties in this matter, staff will</w:t>
      </w:r>
      <w:r w:rsidR="007D18A6">
        <w:rPr>
          <w:rFonts w:ascii="Times New Roman" w:hAnsi="Times New Roman" w:cs="Times New Roman"/>
          <w:sz w:val="24"/>
          <w:szCs w:val="24"/>
        </w:rPr>
        <w:t xml:space="preserve"> make a final recommendation on whether the </w:t>
      </w:r>
      <w:r w:rsidR="00002353">
        <w:rPr>
          <w:rFonts w:ascii="Times New Roman" w:hAnsi="Times New Roman" w:cs="Times New Roman"/>
          <w:sz w:val="24"/>
          <w:szCs w:val="24"/>
        </w:rPr>
        <w:t>Commission</w:t>
      </w:r>
      <w:r w:rsidR="007D18A6">
        <w:rPr>
          <w:rFonts w:ascii="Times New Roman" w:hAnsi="Times New Roman" w:cs="Times New Roman"/>
          <w:sz w:val="24"/>
          <w:szCs w:val="24"/>
        </w:rPr>
        <w:t xml:space="preserve"> should issue an </w:t>
      </w:r>
      <w:r w:rsidR="00AC4385">
        <w:rPr>
          <w:rFonts w:ascii="Times New Roman" w:hAnsi="Times New Roman" w:cs="Times New Roman"/>
          <w:sz w:val="24"/>
          <w:szCs w:val="24"/>
        </w:rPr>
        <w:t xml:space="preserve">order </w:t>
      </w:r>
      <w:r w:rsidR="007D18A6">
        <w:rPr>
          <w:rFonts w:ascii="Times New Roman" w:hAnsi="Times New Roman" w:cs="Times New Roman"/>
          <w:sz w:val="24"/>
          <w:szCs w:val="24"/>
        </w:rPr>
        <w:t>finding that PacifiCorp has met its biennial conservation target at the July 25, 2014, recessed open meeting.</w:t>
      </w:r>
    </w:p>
    <w:p w14:paraId="7AE98C7C" w14:textId="77777777" w:rsidR="002B53D0" w:rsidRDefault="002B53D0" w:rsidP="007622F8">
      <w:pPr>
        <w:rPr>
          <w:rFonts w:ascii="Times New Roman" w:hAnsi="Times New Roman" w:cs="Times New Roman"/>
          <w:sz w:val="24"/>
          <w:szCs w:val="24"/>
        </w:rPr>
      </w:pPr>
    </w:p>
    <w:p w14:paraId="7AE98C7D" w14:textId="77777777" w:rsidR="002B53D0" w:rsidRDefault="002B53D0" w:rsidP="007622F8">
      <w:pPr>
        <w:rPr>
          <w:rFonts w:ascii="Times New Roman" w:hAnsi="Times New Roman" w:cs="Times New Roman"/>
          <w:b/>
          <w:sz w:val="24"/>
          <w:szCs w:val="24"/>
        </w:rPr>
      </w:pPr>
      <w:r>
        <w:rPr>
          <w:rFonts w:ascii="Times New Roman" w:hAnsi="Times New Roman" w:cs="Times New Roman"/>
          <w:b/>
          <w:sz w:val="24"/>
          <w:szCs w:val="24"/>
        </w:rPr>
        <w:t>PacifiCorp’s Biennial Conservation Report</w:t>
      </w:r>
    </w:p>
    <w:p w14:paraId="7AE98C7E" w14:textId="77777777" w:rsidR="0095774E" w:rsidRDefault="0095774E" w:rsidP="007622F8">
      <w:pPr>
        <w:rPr>
          <w:rFonts w:ascii="Times New Roman" w:hAnsi="Times New Roman" w:cs="Times New Roman"/>
          <w:b/>
          <w:sz w:val="24"/>
          <w:szCs w:val="24"/>
        </w:rPr>
      </w:pPr>
    </w:p>
    <w:p w14:paraId="7AE98C7F" w14:textId="56B29DB5" w:rsidR="00C91087" w:rsidRDefault="0095774E" w:rsidP="007622F8">
      <w:pPr>
        <w:rPr>
          <w:rFonts w:ascii="Times New Roman" w:hAnsi="Times New Roman" w:cs="Times New Roman"/>
          <w:sz w:val="24"/>
          <w:szCs w:val="24"/>
        </w:rPr>
      </w:pPr>
      <w:r>
        <w:rPr>
          <w:rFonts w:ascii="Times New Roman" w:hAnsi="Times New Roman" w:cs="Times New Roman"/>
          <w:sz w:val="24"/>
          <w:szCs w:val="24"/>
        </w:rPr>
        <w:t xml:space="preserve">In Order 01 of this docket,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approved a 2012-2013 biennial conservation target range of 76,291 to 79,322 megawatt-hours (MWh) for PacifiCorp. The company reports that it exceeded the top end of the range by 41 percent, achieving 111,932 MWh. The company spent about $19.5 million, which is about seven percent less than the $20.9 million budget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approved. A summary of PacifiCorp’s reported savings and expen</w:t>
      </w:r>
      <w:r w:rsidR="00C44F52">
        <w:rPr>
          <w:rFonts w:ascii="Times New Roman" w:hAnsi="Times New Roman" w:cs="Times New Roman"/>
          <w:sz w:val="24"/>
          <w:szCs w:val="24"/>
        </w:rPr>
        <w:t>ses</w:t>
      </w:r>
      <w:r>
        <w:rPr>
          <w:rFonts w:ascii="Times New Roman" w:hAnsi="Times New Roman" w:cs="Times New Roman"/>
          <w:sz w:val="24"/>
          <w:szCs w:val="24"/>
        </w:rPr>
        <w:t xml:space="preserve"> is in Table 1:</w:t>
      </w:r>
    </w:p>
    <w:p w14:paraId="1D590511" w14:textId="77777777" w:rsidR="00C91087" w:rsidRDefault="00C91087">
      <w:pPr>
        <w:rPr>
          <w:rFonts w:ascii="Times New Roman" w:hAnsi="Times New Roman" w:cs="Times New Roman"/>
          <w:sz w:val="24"/>
          <w:szCs w:val="24"/>
        </w:rPr>
      </w:pPr>
      <w:r>
        <w:rPr>
          <w:rFonts w:ascii="Times New Roman" w:hAnsi="Times New Roman" w:cs="Times New Roman"/>
          <w:sz w:val="24"/>
          <w:szCs w:val="24"/>
        </w:rPr>
        <w:br w:type="page"/>
      </w:r>
    </w:p>
    <w:p w14:paraId="7AE98C81" w14:textId="77777777" w:rsidR="0095774E" w:rsidRPr="00CC6F5C" w:rsidRDefault="00CC6F5C" w:rsidP="007622F8">
      <w:pPr>
        <w:rPr>
          <w:rFonts w:ascii="Times New Roman" w:hAnsi="Times New Roman" w:cs="Times New Roman"/>
          <w:b/>
          <w:sz w:val="24"/>
          <w:szCs w:val="24"/>
        </w:rPr>
      </w:pPr>
      <w:r>
        <w:rPr>
          <w:rFonts w:ascii="Times New Roman" w:hAnsi="Times New Roman" w:cs="Times New Roman"/>
          <w:b/>
          <w:sz w:val="24"/>
          <w:szCs w:val="24"/>
        </w:rPr>
        <w:lastRenderedPageBreak/>
        <w:t>Table 1: Summary of PacifiCorp’s 2012-2013 Conservation Achievements</w:t>
      </w:r>
    </w:p>
    <w:tbl>
      <w:tblPr>
        <w:tblStyle w:val="TableGrid"/>
        <w:tblW w:w="0" w:type="auto"/>
        <w:tblLook w:val="04A0" w:firstRow="1" w:lastRow="0" w:firstColumn="1" w:lastColumn="0" w:noHBand="0" w:noVBand="1"/>
      </w:tblPr>
      <w:tblGrid>
        <w:gridCol w:w="2808"/>
        <w:gridCol w:w="1980"/>
        <w:gridCol w:w="2394"/>
        <w:gridCol w:w="2394"/>
      </w:tblGrid>
      <w:tr w:rsidR="0095774E" w14:paraId="7AE98C86" w14:textId="77777777" w:rsidTr="0011198C">
        <w:trPr>
          <w:trHeight w:val="395"/>
        </w:trPr>
        <w:tc>
          <w:tcPr>
            <w:tcW w:w="2808" w:type="dxa"/>
            <w:vAlign w:val="center"/>
          </w:tcPr>
          <w:p w14:paraId="7AE98C82" w14:textId="77777777" w:rsidR="0095774E" w:rsidRDefault="0095774E" w:rsidP="007622F8">
            <w:pPr>
              <w:rPr>
                <w:rFonts w:ascii="Times New Roman" w:hAnsi="Times New Roman" w:cs="Times New Roman"/>
                <w:sz w:val="24"/>
                <w:szCs w:val="24"/>
              </w:rPr>
            </w:pPr>
          </w:p>
        </w:tc>
        <w:tc>
          <w:tcPr>
            <w:tcW w:w="1980" w:type="dxa"/>
            <w:vAlign w:val="center"/>
          </w:tcPr>
          <w:p w14:paraId="7AE98C83" w14:textId="77777777" w:rsidR="0095774E" w:rsidRPr="00CC6F5C" w:rsidRDefault="0095774E" w:rsidP="007622F8">
            <w:pPr>
              <w:rPr>
                <w:rFonts w:ascii="Times New Roman" w:hAnsi="Times New Roman" w:cs="Times New Roman"/>
                <w:b/>
                <w:sz w:val="24"/>
                <w:szCs w:val="24"/>
              </w:rPr>
            </w:pPr>
            <w:r w:rsidRPr="00CC6F5C">
              <w:rPr>
                <w:rFonts w:ascii="Times New Roman" w:hAnsi="Times New Roman" w:cs="Times New Roman"/>
                <w:b/>
                <w:sz w:val="24"/>
                <w:szCs w:val="24"/>
              </w:rPr>
              <w:t>Target</w:t>
            </w:r>
          </w:p>
        </w:tc>
        <w:tc>
          <w:tcPr>
            <w:tcW w:w="2394" w:type="dxa"/>
            <w:vAlign w:val="center"/>
          </w:tcPr>
          <w:p w14:paraId="7AE98C84" w14:textId="77777777" w:rsidR="0095774E" w:rsidRPr="00CC6F5C" w:rsidRDefault="0095774E" w:rsidP="007622F8">
            <w:pPr>
              <w:rPr>
                <w:rFonts w:ascii="Times New Roman" w:hAnsi="Times New Roman" w:cs="Times New Roman"/>
                <w:b/>
                <w:sz w:val="24"/>
                <w:szCs w:val="24"/>
              </w:rPr>
            </w:pPr>
            <w:r w:rsidRPr="00CC6F5C">
              <w:rPr>
                <w:rFonts w:ascii="Times New Roman" w:hAnsi="Times New Roman" w:cs="Times New Roman"/>
                <w:b/>
                <w:sz w:val="24"/>
                <w:szCs w:val="24"/>
              </w:rPr>
              <w:t>Actual</w:t>
            </w:r>
          </w:p>
        </w:tc>
        <w:tc>
          <w:tcPr>
            <w:tcW w:w="2394" w:type="dxa"/>
            <w:vAlign w:val="center"/>
          </w:tcPr>
          <w:p w14:paraId="7AE98C85" w14:textId="77777777" w:rsidR="0095774E" w:rsidRPr="00CC6F5C" w:rsidRDefault="0095774E" w:rsidP="007622F8">
            <w:pPr>
              <w:rPr>
                <w:rFonts w:ascii="Times New Roman" w:hAnsi="Times New Roman" w:cs="Times New Roman"/>
                <w:b/>
                <w:sz w:val="24"/>
                <w:szCs w:val="24"/>
              </w:rPr>
            </w:pPr>
            <w:r w:rsidRPr="00CC6F5C">
              <w:rPr>
                <w:rFonts w:ascii="Times New Roman" w:hAnsi="Times New Roman" w:cs="Times New Roman"/>
                <w:b/>
                <w:sz w:val="24"/>
                <w:szCs w:val="24"/>
              </w:rPr>
              <w:t>Percent</w:t>
            </w:r>
            <w:r w:rsidR="00CC6F5C">
              <w:rPr>
                <w:rFonts w:ascii="Times New Roman" w:hAnsi="Times New Roman" w:cs="Times New Roman"/>
                <w:b/>
                <w:sz w:val="24"/>
                <w:szCs w:val="24"/>
              </w:rPr>
              <w:t xml:space="preserve"> of target</w:t>
            </w:r>
          </w:p>
        </w:tc>
      </w:tr>
      <w:tr w:rsidR="00CC6F5C" w14:paraId="7AE98C8B" w14:textId="77777777" w:rsidTr="0011198C">
        <w:trPr>
          <w:trHeight w:val="440"/>
        </w:trPr>
        <w:tc>
          <w:tcPr>
            <w:tcW w:w="2808" w:type="dxa"/>
            <w:vAlign w:val="center"/>
          </w:tcPr>
          <w:p w14:paraId="7AE98C87" w14:textId="77777777" w:rsidR="00CC6F5C" w:rsidRPr="00CC6F5C" w:rsidRDefault="00CC6F5C" w:rsidP="007622F8">
            <w:pPr>
              <w:rPr>
                <w:rFonts w:ascii="Times New Roman" w:hAnsi="Times New Roman" w:cs="Times New Roman"/>
                <w:b/>
                <w:sz w:val="24"/>
                <w:szCs w:val="24"/>
              </w:rPr>
            </w:pPr>
            <w:r w:rsidRPr="00CC6F5C">
              <w:rPr>
                <w:rFonts w:ascii="Times New Roman" w:hAnsi="Times New Roman" w:cs="Times New Roman"/>
                <w:b/>
                <w:sz w:val="24"/>
                <w:szCs w:val="24"/>
              </w:rPr>
              <w:t>Savings (MWh)</w:t>
            </w:r>
          </w:p>
        </w:tc>
        <w:tc>
          <w:tcPr>
            <w:tcW w:w="1980" w:type="dxa"/>
            <w:vAlign w:val="center"/>
          </w:tcPr>
          <w:p w14:paraId="7AE98C88" w14:textId="77777777" w:rsidR="00CC6F5C" w:rsidRDefault="00CC6F5C" w:rsidP="00862C74">
            <w:pPr>
              <w:jc w:val="center"/>
              <w:rPr>
                <w:rFonts w:ascii="Times New Roman" w:hAnsi="Times New Roman" w:cs="Times New Roman"/>
                <w:sz w:val="24"/>
                <w:szCs w:val="24"/>
              </w:rPr>
            </w:pPr>
            <w:r>
              <w:rPr>
                <w:rFonts w:ascii="Times New Roman" w:hAnsi="Times New Roman" w:cs="Times New Roman"/>
                <w:sz w:val="24"/>
                <w:szCs w:val="24"/>
              </w:rPr>
              <w:t>79,322</w:t>
            </w:r>
          </w:p>
        </w:tc>
        <w:tc>
          <w:tcPr>
            <w:tcW w:w="2394" w:type="dxa"/>
            <w:vAlign w:val="center"/>
          </w:tcPr>
          <w:p w14:paraId="7AE98C89" w14:textId="77777777" w:rsidR="00CC6F5C" w:rsidRDefault="00CC6F5C" w:rsidP="00862C74">
            <w:pPr>
              <w:jc w:val="center"/>
              <w:rPr>
                <w:rFonts w:ascii="Times New Roman" w:hAnsi="Times New Roman" w:cs="Times New Roman"/>
                <w:sz w:val="24"/>
                <w:szCs w:val="24"/>
              </w:rPr>
            </w:pPr>
            <w:r>
              <w:rPr>
                <w:rFonts w:ascii="Times New Roman" w:hAnsi="Times New Roman" w:cs="Times New Roman"/>
                <w:sz w:val="24"/>
                <w:szCs w:val="24"/>
              </w:rPr>
              <w:t>111,853</w:t>
            </w:r>
          </w:p>
        </w:tc>
        <w:tc>
          <w:tcPr>
            <w:tcW w:w="2394" w:type="dxa"/>
            <w:vMerge w:val="restart"/>
            <w:vAlign w:val="center"/>
          </w:tcPr>
          <w:p w14:paraId="7AE98C8A" w14:textId="77777777" w:rsidR="00CC6F5C" w:rsidRDefault="00CC6F5C" w:rsidP="00862C74">
            <w:pPr>
              <w:jc w:val="center"/>
              <w:rPr>
                <w:rFonts w:ascii="Times New Roman" w:hAnsi="Times New Roman" w:cs="Times New Roman"/>
                <w:sz w:val="24"/>
                <w:szCs w:val="24"/>
              </w:rPr>
            </w:pPr>
            <w:r>
              <w:rPr>
                <w:rFonts w:ascii="Times New Roman" w:hAnsi="Times New Roman" w:cs="Times New Roman"/>
                <w:sz w:val="24"/>
                <w:szCs w:val="24"/>
              </w:rPr>
              <w:t>141%</w:t>
            </w:r>
          </w:p>
        </w:tc>
      </w:tr>
      <w:tr w:rsidR="00CC6F5C" w14:paraId="7AE98C90" w14:textId="77777777" w:rsidTr="0011198C">
        <w:trPr>
          <w:trHeight w:val="440"/>
        </w:trPr>
        <w:tc>
          <w:tcPr>
            <w:tcW w:w="2808" w:type="dxa"/>
            <w:vAlign w:val="center"/>
          </w:tcPr>
          <w:p w14:paraId="7AE98C8C" w14:textId="77777777" w:rsidR="00CC6F5C" w:rsidRPr="00CC6F5C" w:rsidRDefault="00CC6F5C" w:rsidP="007622F8">
            <w:pPr>
              <w:rPr>
                <w:rFonts w:ascii="Times New Roman" w:hAnsi="Times New Roman" w:cs="Times New Roman"/>
                <w:b/>
                <w:sz w:val="24"/>
                <w:szCs w:val="24"/>
              </w:rPr>
            </w:pPr>
            <w:r w:rsidRPr="00CC6F5C">
              <w:rPr>
                <w:rFonts w:ascii="Times New Roman" w:hAnsi="Times New Roman" w:cs="Times New Roman"/>
                <w:b/>
                <w:sz w:val="24"/>
                <w:szCs w:val="24"/>
              </w:rPr>
              <w:t>Savings (average MW)</w:t>
            </w:r>
          </w:p>
        </w:tc>
        <w:tc>
          <w:tcPr>
            <w:tcW w:w="1980" w:type="dxa"/>
            <w:vAlign w:val="center"/>
          </w:tcPr>
          <w:p w14:paraId="7AE98C8D" w14:textId="77777777" w:rsidR="00CC6F5C" w:rsidRDefault="00CC6F5C" w:rsidP="00862C74">
            <w:pPr>
              <w:jc w:val="center"/>
              <w:rPr>
                <w:rFonts w:ascii="Times New Roman" w:hAnsi="Times New Roman" w:cs="Times New Roman"/>
                <w:sz w:val="24"/>
                <w:szCs w:val="24"/>
              </w:rPr>
            </w:pPr>
            <w:r>
              <w:rPr>
                <w:rFonts w:ascii="Times New Roman" w:hAnsi="Times New Roman" w:cs="Times New Roman"/>
                <w:sz w:val="24"/>
                <w:szCs w:val="24"/>
              </w:rPr>
              <w:t>9.055</w:t>
            </w:r>
          </w:p>
        </w:tc>
        <w:tc>
          <w:tcPr>
            <w:tcW w:w="2394" w:type="dxa"/>
            <w:vAlign w:val="center"/>
          </w:tcPr>
          <w:p w14:paraId="7AE98C8E" w14:textId="77777777" w:rsidR="00CC6F5C" w:rsidRDefault="00CC6F5C" w:rsidP="00862C74">
            <w:pPr>
              <w:jc w:val="center"/>
              <w:rPr>
                <w:rFonts w:ascii="Times New Roman" w:hAnsi="Times New Roman" w:cs="Times New Roman"/>
                <w:sz w:val="24"/>
                <w:szCs w:val="24"/>
              </w:rPr>
            </w:pPr>
            <w:r>
              <w:rPr>
                <w:rFonts w:ascii="Times New Roman" w:hAnsi="Times New Roman" w:cs="Times New Roman"/>
                <w:sz w:val="24"/>
                <w:szCs w:val="24"/>
              </w:rPr>
              <w:t>12.769</w:t>
            </w:r>
          </w:p>
        </w:tc>
        <w:tc>
          <w:tcPr>
            <w:tcW w:w="2394" w:type="dxa"/>
            <w:vMerge/>
            <w:vAlign w:val="center"/>
          </w:tcPr>
          <w:p w14:paraId="7AE98C8F" w14:textId="77777777" w:rsidR="00CC6F5C" w:rsidRDefault="00CC6F5C" w:rsidP="00862C74">
            <w:pPr>
              <w:jc w:val="center"/>
              <w:rPr>
                <w:rFonts w:ascii="Times New Roman" w:hAnsi="Times New Roman" w:cs="Times New Roman"/>
                <w:sz w:val="24"/>
                <w:szCs w:val="24"/>
              </w:rPr>
            </w:pPr>
          </w:p>
        </w:tc>
      </w:tr>
      <w:tr w:rsidR="0095774E" w14:paraId="7AE98C95" w14:textId="77777777" w:rsidTr="0011198C">
        <w:trPr>
          <w:trHeight w:val="440"/>
        </w:trPr>
        <w:tc>
          <w:tcPr>
            <w:tcW w:w="2808" w:type="dxa"/>
            <w:vAlign w:val="center"/>
          </w:tcPr>
          <w:p w14:paraId="7AE98C91" w14:textId="77777777" w:rsidR="0095774E" w:rsidRPr="00CC6F5C" w:rsidRDefault="0095774E" w:rsidP="007622F8">
            <w:pPr>
              <w:rPr>
                <w:rFonts w:ascii="Times New Roman" w:hAnsi="Times New Roman" w:cs="Times New Roman"/>
                <w:b/>
                <w:sz w:val="24"/>
                <w:szCs w:val="24"/>
              </w:rPr>
            </w:pPr>
            <w:r w:rsidRPr="00CC6F5C">
              <w:rPr>
                <w:rFonts w:ascii="Times New Roman" w:hAnsi="Times New Roman" w:cs="Times New Roman"/>
                <w:b/>
                <w:sz w:val="24"/>
                <w:szCs w:val="24"/>
              </w:rPr>
              <w:t>Expenditures</w:t>
            </w:r>
          </w:p>
        </w:tc>
        <w:tc>
          <w:tcPr>
            <w:tcW w:w="1980" w:type="dxa"/>
            <w:vAlign w:val="center"/>
          </w:tcPr>
          <w:p w14:paraId="7AE98C92" w14:textId="77777777" w:rsidR="0095774E" w:rsidRDefault="00CC6F5C" w:rsidP="00862C74">
            <w:pPr>
              <w:jc w:val="center"/>
              <w:rPr>
                <w:rFonts w:ascii="Times New Roman" w:hAnsi="Times New Roman" w:cs="Times New Roman"/>
                <w:sz w:val="24"/>
                <w:szCs w:val="24"/>
              </w:rPr>
            </w:pPr>
            <w:r>
              <w:rPr>
                <w:rFonts w:ascii="Times New Roman" w:hAnsi="Times New Roman" w:cs="Times New Roman"/>
                <w:sz w:val="24"/>
                <w:szCs w:val="24"/>
              </w:rPr>
              <w:t>$20,892,766</w:t>
            </w:r>
          </w:p>
        </w:tc>
        <w:tc>
          <w:tcPr>
            <w:tcW w:w="2394" w:type="dxa"/>
            <w:vAlign w:val="center"/>
          </w:tcPr>
          <w:p w14:paraId="7AE98C93" w14:textId="77777777" w:rsidR="0095774E" w:rsidRDefault="00CC6F5C" w:rsidP="00862C74">
            <w:pPr>
              <w:jc w:val="center"/>
              <w:rPr>
                <w:rFonts w:ascii="Times New Roman" w:hAnsi="Times New Roman" w:cs="Times New Roman"/>
                <w:sz w:val="24"/>
                <w:szCs w:val="24"/>
              </w:rPr>
            </w:pPr>
            <w:r>
              <w:rPr>
                <w:rFonts w:ascii="Times New Roman" w:hAnsi="Times New Roman" w:cs="Times New Roman"/>
                <w:sz w:val="24"/>
                <w:szCs w:val="24"/>
              </w:rPr>
              <w:t>$19,461,529</w:t>
            </w:r>
          </w:p>
        </w:tc>
        <w:tc>
          <w:tcPr>
            <w:tcW w:w="2394" w:type="dxa"/>
            <w:vAlign w:val="center"/>
          </w:tcPr>
          <w:p w14:paraId="7AE98C94" w14:textId="77777777" w:rsidR="0095774E" w:rsidRDefault="00CC6F5C" w:rsidP="00862C74">
            <w:pPr>
              <w:jc w:val="center"/>
              <w:rPr>
                <w:rFonts w:ascii="Times New Roman" w:hAnsi="Times New Roman" w:cs="Times New Roman"/>
                <w:sz w:val="24"/>
                <w:szCs w:val="24"/>
              </w:rPr>
            </w:pPr>
            <w:r>
              <w:rPr>
                <w:rFonts w:ascii="Times New Roman" w:hAnsi="Times New Roman" w:cs="Times New Roman"/>
                <w:sz w:val="24"/>
                <w:szCs w:val="24"/>
              </w:rPr>
              <w:t>93%</w:t>
            </w:r>
          </w:p>
        </w:tc>
      </w:tr>
    </w:tbl>
    <w:p w14:paraId="7AE98C96" w14:textId="77777777" w:rsidR="0095774E" w:rsidRDefault="0095774E" w:rsidP="007622F8">
      <w:pPr>
        <w:rPr>
          <w:rFonts w:ascii="Times New Roman" w:hAnsi="Times New Roman" w:cs="Times New Roman"/>
          <w:sz w:val="24"/>
          <w:szCs w:val="24"/>
        </w:rPr>
      </w:pPr>
    </w:p>
    <w:p w14:paraId="7AE98C97" w14:textId="77777777" w:rsidR="002B53D0" w:rsidRDefault="00FD680D" w:rsidP="007622F8">
      <w:pPr>
        <w:rPr>
          <w:rFonts w:ascii="Times New Roman" w:hAnsi="Times New Roman" w:cs="Times New Roman"/>
          <w:sz w:val="24"/>
          <w:szCs w:val="24"/>
        </w:rPr>
      </w:pPr>
      <w:r>
        <w:rPr>
          <w:rFonts w:ascii="Times New Roman" w:hAnsi="Times New Roman" w:cs="Times New Roman"/>
          <w:sz w:val="24"/>
          <w:szCs w:val="24"/>
        </w:rPr>
        <w:t>Using the Northwest Power and Conservation Council’s</w:t>
      </w:r>
      <w:r w:rsidR="00AD0857">
        <w:rPr>
          <w:rFonts w:ascii="Times New Roman" w:hAnsi="Times New Roman" w:cs="Times New Roman"/>
          <w:sz w:val="24"/>
          <w:szCs w:val="24"/>
        </w:rPr>
        <w:t xml:space="preserve"> </w:t>
      </w:r>
      <w:r>
        <w:rPr>
          <w:rFonts w:ascii="Times New Roman" w:hAnsi="Times New Roman" w:cs="Times New Roman"/>
          <w:sz w:val="24"/>
          <w:szCs w:val="24"/>
        </w:rPr>
        <w:t>cost-effectiv</w:t>
      </w:r>
      <w:r w:rsidR="002419A1">
        <w:rPr>
          <w:rFonts w:ascii="Times New Roman" w:hAnsi="Times New Roman" w:cs="Times New Roman"/>
          <w:sz w:val="24"/>
          <w:szCs w:val="24"/>
        </w:rPr>
        <w:t xml:space="preserve">eness test, </w:t>
      </w:r>
      <w:r>
        <w:rPr>
          <w:rFonts w:ascii="Times New Roman" w:hAnsi="Times New Roman" w:cs="Times New Roman"/>
          <w:sz w:val="24"/>
          <w:szCs w:val="24"/>
        </w:rPr>
        <w:t xml:space="preserve">PacifiCorp reported a </w:t>
      </w:r>
      <w:r w:rsidR="00AB19B4">
        <w:rPr>
          <w:rFonts w:ascii="Times New Roman" w:hAnsi="Times New Roman" w:cs="Times New Roman"/>
          <w:sz w:val="24"/>
          <w:szCs w:val="24"/>
        </w:rPr>
        <w:t xml:space="preserve">portfolio-wide </w:t>
      </w:r>
      <w:r>
        <w:rPr>
          <w:rFonts w:ascii="Times New Roman" w:hAnsi="Times New Roman" w:cs="Times New Roman"/>
          <w:sz w:val="24"/>
          <w:szCs w:val="24"/>
        </w:rPr>
        <w:t>cost-effectiveness ratio of 2.3.</w:t>
      </w:r>
    </w:p>
    <w:p w14:paraId="7AE98C98" w14:textId="77777777" w:rsidR="00FD680D" w:rsidRDefault="00FD680D" w:rsidP="007622F8">
      <w:pPr>
        <w:rPr>
          <w:rFonts w:ascii="Times New Roman" w:hAnsi="Times New Roman" w:cs="Times New Roman"/>
          <w:sz w:val="24"/>
          <w:szCs w:val="24"/>
        </w:rPr>
      </w:pPr>
    </w:p>
    <w:p w14:paraId="7AE98C99" w14:textId="77777777" w:rsidR="0098054A" w:rsidRDefault="0098054A" w:rsidP="007622F8">
      <w:pPr>
        <w:rPr>
          <w:rFonts w:ascii="Times New Roman" w:hAnsi="Times New Roman" w:cs="Times New Roman"/>
          <w:sz w:val="24"/>
          <w:szCs w:val="24"/>
        </w:rPr>
      </w:pPr>
      <w:r>
        <w:rPr>
          <w:rFonts w:ascii="Times New Roman" w:hAnsi="Times New Roman" w:cs="Times New Roman"/>
          <w:sz w:val="24"/>
          <w:szCs w:val="24"/>
        </w:rPr>
        <w:t>PacifiCorp’s significant overachievement of its target was largely driven by its commercial and industrial customers. In addition to higher</w:t>
      </w:r>
      <w:r w:rsidR="0094601E">
        <w:rPr>
          <w:rFonts w:ascii="Times New Roman" w:hAnsi="Times New Roman" w:cs="Times New Roman"/>
          <w:sz w:val="24"/>
          <w:szCs w:val="24"/>
        </w:rPr>
        <w:t>-than-expected</w:t>
      </w:r>
      <w:r>
        <w:rPr>
          <w:rFonts w:ascii="Times New Roman" w:hAnsi="Times New Roman" w:cs="Times New Roman"/>
          <w:sz w:val="24"/>
          <w:szCs w:val="24"/>
        </w:rPr>
        <w:t xml:space="preserve"> participation from </w:t>
      </w:r>
      <w:r w:rsidR="00AB19B4">
        <w:rPr>
          <w:rFonts w:ascii="Times New Roman" w:hAnsi="Times New Roman" w:cs="Times New Roman"/>
          <w:sz w:val="24"/>
          <w:szCs w:val="24"/>
        </w:rPr>
        <w:t xml:space="preserve">customers in </w:t>
      </w:r>
      <w:r>
        <w:rPr>
          <w:rFonts w:ascii="Times New Roman" w:hAnsi="Times New Roman" w:cs="Times New Roman"/>
          <w:sz w:val="24"/>
          <w:szCs w:val="24"/>
        </w:rPr>
        <w:t>these</w:t>
      </w:r>
      <w:r w:rsidR="0094601E">
        <w:rPr>
          <w:rFonts w:ascii="Times New Roman" w:hAnsi="Times New Roman" w:cs="Times New Roman"/>
          <w:sz w:val="24"/>
          <w:szCs w:val="24"/>
        </w:rPr>
        <w:t xml:space="preserve"> sectors</w:t>
      </w:r>
      <w:r>
        <w:rPr>
          <w:rFonts w:ascii="Times New Roman" w:hAnsi="Times New Roman" w:cs="Times New Roman"/>
          <w:sz w:val="24"/>
          <w:szCs w:val="24"/>
        </w:rPr>
        <w:t>, the compan</w:t>
      </w:r>
      <w:r w:rsidR="0094601E">
        <w:rPr>
          <w:rFonts w:ascii="Times New Roman" w:hAnsi="Times New Roman" w:cs="Times New Roman"/>
          <w:sz w:val="24"/>
          <w:szCs w:val="24"/>
        </w:rPr>
        <w:t xml:space="preserve">y also saw </w:t>
      </w:r>
      <w:r>
        <w:rPr>
          <w:rFonts w:ascii="Times New Roman" w:hAnsi="Times New Roman" w:cs="Times New Roman"/>
          <w:sz w:val="24"/>
          <w:szCs w:val="24"/>
        </w:rPr>
        <w:t>a numbe</w:t>
      </w:r>
      <w:r w:rsidR="0094601E">
        <w:rPr>
          <w:rFonts w:ascii="Times New Roman" w:hAnsi="Times New Roman" w:cs="Times New Roman"/>
          <w:sz w:val="24"/>
          <w:szCs w:val="24"/>
        </w:rPr>
        <w:t>r of larger projects completed ahead of schedule.</w:t>
      </w:r>
      <w:r>
        <w:rPr>
          <w:rFonts w:ascii="Times New Roman" w:hAnsi="Times New Roman" w:cs="Times New Roman"/>
          <w:sz w:val="24"/>
          <w:szCs w:val="24"/>
        </w:rPr>
        <w:t xml:space="preserve"> </w:t>
      </w:r>
      <w:r w:rsidR="0094601E">
        <w:rPr>
          <w:rFonts w:ascii="Times New Roman" w:hAnsi="Times New Roman" w:cs="Times New Roman"/>
          <w:sz w:val="24"/>
          <w:szCs w:val="24"/>
        </w:rPr>
        <w:t xml:space="preserve">As a result, </w:t>
      </w:r>
      <w:r>
        <w:rPr>
          <w:rFonts w:ascii="Times New Roman" w:hAnsi="Times New Roman" w:cs="Times New Roman"/>
          <w:sz w:val="24"/>
          <w:szCs w:val="24"/>
        </w:rPr>
        <w:t>PacifiCorp r</w:t>
      </w:r>
      <w:r w:rsidR="0094601E">
        <w:rPr>
          <w:rFonts w:ascii="Times New Roman" w:hAnsi="Times New Roman" w:cs="Times New Roman"/>
          <w:sz w:val="24"/>
          <w:szCs w:val="24"/>
        </w:rPr>
        <w:t>ecorded</w:t>
      </w:r>
      <w:r>
        <w:rPr>
          <w:rFonts w:ascii="Times New Roman" w:hAnsi="Times New Roman" w:cs="Times New Roman"/>
          <w:sz w:val="24"/>
          <w:szCs w:val="24"/>
        </w:rPr>
        <w:t xml:space="preserve"> more than 17,000 MWh </w:t>
      </w:r>
      <w:r w:rsidR="008C347D">
        <w:rPr>
          <w:rFonts w:ascii="Times New Roman" w:hAnsi="Times New Roman" w:cs="Times New Roman"/>
          <w:sz w:val="24"/>
          <w:szCs w:val="24"/>
        </w:rPr>
        <w:t xml:space="preserve">(47 percent) </w:t>
      </w:r>
      <w:r>
        <w:rPr>
          <w:rFonts w:ascii="Times New Roman" w:hAnsi="Times New Roman" w:cs="Times New Roman"/>
          <w:sz w:val="24"/>
          <w:szCs w:val="24"/>
        </w:rPr>
        <w:t xml:space="preserve">of additional savings from </w:t>
      </w:r>
      <w:r w:rsidR="00AB19B4">
        <w:rPr>
          <w:rFonts w:ascii="Times New Roman" w:hAnsi="Times New Roman" w:cs="Times New Roman"/>
          <w:sz w:val="24"/>
          <w:szCs w:val="24"/>
        </w:rPr>
        <w:t xml:space="preserve">these </w:t>
      </w:r>
      <w:r>
        <w:rPr>
          <w:rFonts w:ascii="Times New Roman" w:hAnsi="Times New Roman" w:cs="Times New Roman"/>
          <w:sz w:val="24"/>
          <w:szCs w:val="24"/>
        </w:rPr>
        <w:t xml:space="preserve">sectors than what </w:t>
      </w:r>
      <w:r w:rsidR="00AB19B4">
        <w:rPr>
          <w:rFonts w:ascii="Times New Roman" w:hAnsi="Times New Roman" w:cs="Times New Roman"/>
          <w:sz w:val="24"/>
          <w:szCs w:val="24"/>
        </w:rPr>
        <w:t xml:space="preserve">it had projected </w:t>
      </w:r>
      <w:r>
        <w:rPr>
          <w:rFonts w:ascii="Times New Roman" w:hAnsi="Times New Roman" w:cs="Times New Roman"/>
          <w:sz w:val="24"/>
          <w:szCs w:val="24"/>
        </w:rPr>
        <w:t>when setting its biennial target.</w:t>
      </w:r>
    </w:p>
    <w:p w14:paraId="7AE98C9A" w14:textId="77777777" w:rsidR="0098054A" w:rsidRDefault="0098054A" w:rsidP="007622F8">
      <w:pPr>
        <w:rPr>
          <w:rFonts w:ascii="Times New Roman" w:hAnsi="Times New Roman" w:cs="Times New Roman"/>
          <w:sz w:val="24"/>
          <w:szCs w:val="24"/>
        </w:rPr>
      </w:pPr>
    </w:p>
    <w:p w14:paraId="7AE98C9B" w14:textId="77777777" w:rsidR="00FD680D" w:rsidRDefault="0094601E" w:rsidP="007622F8">
      <w:pPr>
        <w:rPr>
          <w:rFonts w:ascii="Times New Roman" w:hAnsi="Times New Roman" w:cs="Times New Roman"/>
          <w:sz w:val="24"/>
          <w:szCs w:val="24"/>
        </w:rPr>
      </w:pPr>
      <w:r>
        <w:rPr>
          <w:rFonts w:ascii="Times New Roman" w:hAnsi="Times New Roman" w:cs="Times New Roman"/>
          <w:sz w:val="24"/>
          <w:szCs w:val="24"/>
        </w:rPr>
        <w:t xml:space="preserve">Another significant driver in PacifiCorp’s overachievement was </w:t>
      </w:r>
      <w:r w:rsidR="00FD680D">
        <w:rPr>
          <w:rFonts w:ascii="Times New Roman" w:hAnsi="Times New Roman" w:cs="Times New Roman"/>
          <w:sz w:val="24"/>
          <w:szCs w:val="24"/>
        </w:rPr>
        <w:t xml:space="preserve">its participation in the Northwest Energy Efficiency Alliance (NEEA), which provided the company with </w:t>
      </w:r>
      <w:r w:rsidR="005C7BDC">
        <w:rPr>
          <w:rFonts w:ascii="Times New Roman" w:hAnsi="Times New Roman" w:cs="Times New Roman"/>
          <w:sz w:val="24"/>
          <w:szCs w:val="24"/>
        </w:rPr>
        <w:t xml:space="preserve">about 12,000 MWh of savings </w:t>
      </w:r>
      <w:r>
        <w:rPr>
          <w:rFonts w:ascii="Times New Roman" w:hAnsi="Times New Roman" w:cs="Times New Roman"/>
          <w:sz w:val="24"/>
          <w:szCs w:val="24"/>
        </w:rPr>
        <w:t>above what</w:t>
      </w:r>
      <w:r w:rsidR="005C7BDC">
        <w:rPr>
          <w:rFonts w:ascii="Times New Roman" w:hAnsi="Times New Roman" w:cs="Times New Roman"/>
          <w:sz w:val="24"/>
          <w:szCs w:val="24"/>
        </w:rPr>
        <w:t xml:space="preserve"> </w:t>
      </w:r>
      <w:r w:rsidR="00AB19B4">
        <w:rPr>
          <w:rFonts w:ascii="Times New Roman" w:hAnsi="Times New Roman" w:cs="Times New Roman"/>
          <w:sz w:val="24"/>
          <w:szCs w:val="24"/>
        </w:rPr>
        <w:t xml:space="preserve">the company </w:t>
      </w:r>
      <w:r w:rsidR="005C7BDC">
        <w:rPr>
          <w:rFonts w:ascii="Times New Roman" w:hAnsi="Times New Roman" w:cs="Times New Roman"/>
          <w:sz w:val="24"/>
          <w:szCs w:val="24"/>
        </w:rPr>
        <w:t>had expected. PacifiCorp’s share of NEEA savings w</w:t>
      </w:r>
      <w:r w:rsidR="00AB19B4">
        <w:rPr>
          <w:rFonts w:ascii="Times New Roman" w:hAnsi="Times New Roman" w:cs="Times New Roman"/>
          <w:sz w:val="24"/>
          <w:szCs w:val="24"/>
        </w:rPr>
        <w:t>as 70 percent above what the company had expected</w:t>
      </w:r>
      <w:r w:rsidR="005C7BDC">
        <w:rPr>
          <w:rFonts w:ascii="Times New Roman" w:hAnsi="Times New Roman" w:cs="Times New Roman"/>
          <w:sz w:val="24"/>
          <w:szCs w:val="24"/>
        </w:rPr>
        <w:t xml:space="preserve"> when setting its target.</w:t>
      </w:r>
    </w:p>
    <w:p w14:paraId="7AE98C9C" w14:textId="77777777" w:rsidR="005C7BDC" w:rsidRDefault="005C7BDC" w:rsidP="007622F8">
      <w:pPr>
        <w:rPr>
          <w:rFonts w:ascii="Times New Roman" w:hAnsi="Times New Roman" w:cs="Times New Roman"/>
          <w:sz w:val="24"/>
          <w:szCs w:val="24"/>
        </w:rPr>
      </w:pPr>
    </w:p>
    <w:p w14:paraId="7AE98C9D" w14:textId="77777777" w:rsidR="006747AD" w:rsidRDefault="0094601E" w:rsidP="007622F8">
      <w:pPr>
        <w:rPr>
          <w:rFonts w:ascii="Times New Roman" w:hAnsi="Times New Roman" w:cs="Times New Roman"/>
          <w:sz w:val="24"/>
          <w:szCs w:val="24"/>
        </w:rPr>
      </w:pPr>
      <w:r>
        <w:rPr>
          <w:rFonts w:ascii="Times New Roman" w:hAnsi="Times New Roman" w:cs="Times New Roman"/>
          <w:sz w:val="24"/>
          <w:szCs w:val="24"/>
        </w:rPr>
        <w:t>The final significant factor in the overachievement</w:t>
      </w:r>
      <w:r w:rsidR="005C7BDC">
        <w:rPr>
          <w:rFonts w:ascii="Times New Roman" w:hAnsi="Times New Roman" w:cs="Times New Roman"/>
          <w:sz w:val="24"/>
          <w:szCs w:val="24"/>
        </w:rPr>
        <w:t xml:space="preserve"> was</w:t>
      </w:r>
      <w:r w:rsidR="008C347D">
        <w:rPr>
          <w:rFonts w:ascii="Times New Roman" w:hAnsi="Times New Roman" w:cs="Times New Roman"/>
          <w:sz w:val="24"/>
          <w:szCs w:val="24"/>
        </w:rPr>
        <w:t xml:space="preserve"> the addition of the </w:t>
      </w:r>
      <w:r w:rsidR="00510B3B">
        <w:rPr>
          <w:rFonts w:ascii="Times New Roman" w:hAnsi="Times New Roman" w:cs="Times New Roman"/>
          <w:sz w:val="24"/>
          <w:szCs w:val="24"/>
        </w:rPr>
        <w:t>H</w:t>
      </w:r>
      <w:r w:rsidR="008C347D">
        <w:rPr>
          <w:rFonts w:ascii="Times New Roman" w:hAnsi="Times New Roman" w:cs="Times New Roman"/>
          <w:sz w:val="24"/>
          <w:szCs w:val="24"/>
        </w:rPr>
        <w:t xml:space="preserve">ome </w:t>
      </w:r>
      <w:r w:rsidR="00510B3B">
        <w:rPr>
          <w:rFonts w:ascii="Times New Roman" w:hAnsi="Times New Roman" w:cs="Times New Roman"/>
          <w:sz w:val="24"/>
          <w:szCs w:val="24"/>
        </w:rPr>
        <w:t>E</w:t>
      </w:r>
      <w:r w:rsidR="008C347D">
        <w:rPr>
          <w:rFonts w:ascii="Times New Roman" w:hAnsi="Times New Roman" w:cs="Times New Roman"/>
          <w:sz w:val="24"/>
          <w:szCs w:val="24"/>
        </w:rPr>
        <w:t xml:space="preserve">nergy </w:t>
      </w:r>
      <w:r w:rsidR="00510B3B">
        <w:rPr>
          <w:rFonts w:ascii="Times New Roman" w:hAnsi="Times New Roman" w:cs="Times New Roman"/>
          <w:sz w:val="24"/>
          <w:szCs w:val="24"/>
        </w:rPr>
        <w:t>R</w:t>
      </w:r>
      <w:r w:rsidR="005C7BDC">
        <w:rPr>
          <w:rFonts w:ascii="Times New Roman" w:hAnsi="Times New Roman" w:cs="Times New Roman"/>
          <w:sz w:val="24"/>
          <w:szCs w:val="24"/>
        </w:rPr>
        <w:t xml:space="preserve">eports program, in which PacifiCorp partners with Opower to provide about 11,500 of its residential customers with bimonthly energy usage reports designed to encourage behavioral changes </w:t>
      </w:r>
      <w:r w:rsidR="008C347D">
        <w:rPr>
          <w:rFonts w:ascii="Times New Roman" w:hAnsi="Times New Roman" w:cs="Times New Roman"/>
          <w:sz w:val="24"/>
          <w:szCs w:val="24"/>
        </w:rPr>
        <w:t>that reduce a household’s electricity consumption</w:t>
      </w:r>
      <w:r w:rsidR="005C7BDC">
        <w:rPr>
          <w:rFonts w:ascii="Times New Roman" w:hAnsi="Times New Roman" w:cs="Times New Roman"/>
          <w:sz w:val="24"/>
          <w:szCs w:val="24"/>
        </w:rPr>
        <w:t xml:space="preserve">. This program was added in late 2012, so it was not reflected in the target-setting process, but </w:t>
      </w:r>
      <w:r>
        <w:rPr>
          <w:rFonts w:ascii="Times New Roman" w:hAnsi="Times New Roman" w:cs="Times New Roman"/>
          <w:sz w:val="24"/>
          <w:szCs w:val="24"/>
        </w:rPr>
        <w:t>contributed more than 8,000</w:t>
      </w:r>
      <w:r w:rsidR="005C7BDC">
        <w:rPr>
          <w:rFonts w:ascii="Times New Roman" w:hAnsi="Times New Roman" w:cs="Times New Roman"/>
          <w:sz w:val="24"/>
          <w:szCs w:val="24"/>
        </w:rPr>
        <w:t xml:space="preserve"> M</w:t>
      </w:r>
      <w:r>
        <w:rPr>
          <w:rFonts w:ascii="Times New Roman" w:hAnsi="Times New Roman" w:cs="Times New Roman"/>
          <w:sz w:val="24"/>
          <w:szCs w:val="24"/>
        </w:rPr>
        <w:t>W</w:t>
      </w:r>
      <w:r w:rsidR="005C7BDC">
        <w:rPr>
          <w:rFonts w:ascii="Times New Roman" w:hAnsi="Times New Roman" w:cs="Times New Roman"/>
          <w:sz w:val="24"/>
          <w:szCs w:val="24"/>
        </w:rPr>
        <w:t>h of savings over the biennium.</w:t>
      </w:r>
      <w:r>
        <w:rPr>
          <w:rFonts w:ascii="Times New Roman" w:hAnsi="Times New Roman" w:cs="Times New Roman"/>
          <w:sz w:val="24"/>
          <w:szCs w:val="24"/>
        </w:rPr>
        <w:t xml:space="preserve"> Based on the results of the 18-month initial pilot program, the company plans to expand this service during the 2014-2015 biennium to include </w:t>
      </w:r>
      <w:r w:rsidR="00AC4385">
        <w:rPr>
          <w:rFonts w:ascii="Times New Roman" w:hAnsi="Times New Roman" w:cs="Times New Roman"/>
          <w:sz w:val="24"/>
          <w:szCs w:val="24"/>
        </w:rPr>
        <w:t>up to</w:t>
      </w:r>
      <w:r>
        <w:rPr>
          <w:rFonts w:ascii="Times New Roman" w:hAnsi="Times New Roman" w:cs="Times New Roman"/>
          <w:sz w:val="24"/>
          <w:szCs w:val="24"/>
        </w:rPr>
        <w:t xml:space="preserve"> 35,000 </w:t>
      </w:r>
      <w:r w:rsidR="00AC4385">
        <w:rPr>
          <w:rFonts w:ascii="Times New Roman" w:hAnsi="Times New Roman" w:cs="Times New Roman"/>
          <w:sz w:val="24"/>
          <w:szCs w:val="24"/>
        </w:rPr>
        <w:t xml:space="preserve">additional </w:t>
      </w:r>
      <w:r>
        <w:rPr>
          <w:rFonts w:ascii="Times New Roman" w:hAnsi="Times New Roman" w:cs="Times New Roman"/>
          <w:sz w:val="24"/>
          <w:szCs w:val="24"/>
        </w:rPr>
        <w:t xml:space="preserve">residential customers. </w:t>
      </w:r>
    </w:p>
    <w:p w14:paraId="7AE98C9E" w14:textId="77777777" w:rsidR="00525D90" w:rsidRDefault="00525D90" w:rsidP="007622F8">
      <w:pPr>
        <w:rPr>
          <w:rFonts w:ascii="Times New Roman" w:hAnsi="Times New Roman" w:cs="Times New Roman"/>
          <w:sz w:val="24"/>
          <w:szCs w:val="24"/>
        </w:rPr>
      </w:pPr>
    </w:p>
    <w:p w14:paraId="7AE98C9F" w14:textId="77777777" w:rsidR="00AC4385" w:rsidRPr="002E5CA2" w:rsidRDefault="00AC4385" w:rsidP="00AC4385">
      <w:pPr>
        <w:rPr>
          <w:rFonts w:ascii="Times New Roman" w:hAnsi="Times New Roman" w:cs="Times New Roman"/>
          <w:b/>
          <w:sz w:val="24"/>
          <w:szCs w:val="24"/>
        </w:rPr>
      </w:pPr>
      <w:r>
        <w:rPr>
          <w:rFonts w:ascii="Times New Roman" w:hAnsi="Times New Roman" w:cs="Times New Roman"/>
          <w:b/>
          <w:sz w:val="24"/>
          <w:szCs w:val="24"/>
        </w:rPr>
        <w:t>Discussion</w:t>
      </w:r>
    </w:p>
    <w:p w14:paraId="7AE98CA0" w14:textId="77777777" w:rsidR="00AC4385" w:rsidRDefault="00AC4385" w:rsidP="00AC4385">
      <w:pPr>
        <w:rPr>
          <w:rFonts w:ascii="Times New Roman" w:hAnsi="Times New Roman" w:cs="Times New Roman"/>
          <w:sz w:val="24"/>
          <w:szCs w:val="24"/>
        </w:rPr>
      </w:pPr>
    </w:p>
    <w:p w14:paraId="7AE98CA1" w14:textId="77777777" w:rsidR="00AC4385" w:rsidRDefault="00AC4385" w:rsidP="00AC4385">
      <w:pPr>
        <w:rPr>
          <w:rFonts w:ascii="Times New Roman" w:hAnsi="Times New Roman" w:cs="Times New Roman"/>
          <w:sz w:val="24"/>
          <w:szCs w:val="24"/>
        </w:rPr>
      </w:pPr>
      <w:r>
        <w:rPr>
          <w:rFonts w:ascii="Times New Roman" w:hAnsi="Times New Roman" w:cs="Times New Roman"/>
          <w:sz w:val="24"/>
          <w:szCs w:val="24"/>
        </w:rPr>
        <w:t xml:space="preserve">Generally, staff is pleased with the quality and detail of PacifiCorp’s BCR. The information was clearly and concisely presented, and the need for additional information was minimal. </w:t>
      </w:r>
      <w:r w:rsidR="00510B3B">
        <w:rPr>
          <w:rFonts w:ascii="Times New Roman" w:hAnsi="Times New Roman" w:cs="Times New Roman"/>
          <w:sz w:val="24"/>
          <w:szCs w:val="24"/>
        </w:rPr>
        <w:t>S</w:t>
      </w:r>
      <w:r>
        <w:rPr>
          <w:rFonts w:ascii="Times New Roman" w:hAnsi="Times New Roman" w:cs="Times New Roman"/>
          <w:sz w:val="24"/>
          <w:szCs w:val="24"/>
        </w:rPr>
        <w:t>taff</w:t>
      </w:r>
      <w:r w:rsidR="00510B3B">
        <w:rPr>
          <w:rFonts w:ascii="Times New Roman" w:hAnsi="Times New Roman" w:cs="Times New Roman"/>
          <w:sz w:val="24"/>
          <w:szCs w:val="24"/>
        </w:rPr>
        <w:t>’s comments will focus on three areas: the third-party review, PacifiCorp’s line loss</w:t>
      </w:r>
      <w:r w:rsidR="007820FC">
        <w:rPr>
          <w:rFonts w:ascii="Times New Roman" w:hAnsi="Times New Roman" w:cs="Times New Roman"/>
          <w:sz w:val="24"/>
          <w:szCs w:val="24"/>
        </w:rPr>
        <w:t xml:space="preserve"> assumptions, and pilot programs.</w:t>
      </w:r>
    </w:p>
    <w:p w14:paraId="7AE98CA2" w14:textId="77777777" w:rsidR="00AC4385" w:rsidRDefault="00AC4385" w:rsidP="007622F8">
      <w:pPr>
        <w:rPr>
          <w:rFonts w:ascii="Times New Roman" w:hAnsi="Times New Roman" w:cs="Times New Roman"/>
          <w:sz w:val="24"/>
          <w:szCs w:val="24"/>
        </w:rPr>
      </w:pPr>
    </w:p>
    <w:p w14:paraId="7AE98CA3" w14:textId="77777777" w:rsidR="00525D90" w:rsidRDefault="00525D90" w:rsidP="007622F8">
      <w:pPr>
        <w:rPr>
          <w:rFonts w:ascii="Times New Roman" w:hAnsi="Times New Roman" w:cs="Times New Roman"/>
          <w:i/>
          <w:sz w:val="24"/>
          <w:szCs w:val="24"/>
        </w:rPr>
      </w:pPr>
      <w:r>
        <w:rPr>
          <w:rFonts w:ascii="Times New Roman" w:hAnsi="Times New Roman" w:cs="Times New Roman"/>
          <w:i/>
          <w:sz w:val="24"/>
          <w:szCs w:val="24"/>
        </w:rPr>
        <w:t>Third party reviewer</w:t>
      </w:r>
    </w:p>
    <w:p w14:paraId="7AE98CA4" w14:textId="77777777" w:rsidR="002419A1" w:rsidRDefault="002419A1" w:rsidP="007622F8">
      <w:pPr>
        <w:rPr>
          <w:rFonts w:ascii="Times New Roman" w:hAnsi="Times New Roman" w:cs="Times New Roman"/>
          <w:i/>
          <w:sz w:val="24"/>
          <w:szCs w:val="24"/>
        </w:rPr>
      </w:pPr>
    </w:p>
    <w:p w14:paraId="7AE98CA5" w14:textId="77777777" w:rsidR="00AB19B4" w:rsidRDefault="002419A1" w:rsidP="00AB19B4">
      <w:pPr>
        <w:rPr>
          <w:rFonts w:ascii="Times New Roman" w:hAnsi="Times New Roman" w:cs="Times New Roman"/>
          <w:sz w:val="24"/>
          <w:szCs w:val="24"/>
        </w:rPr>
      </w:pPr>
      <w:r>
        <w:rPr>
          <w:rFonts w:ascii="Times New Roman" w:hAnsi="Times New Roman" w:cs="Times New Roman"/>
          <w:sz w:val="24"/>
          <w:szCs w:val="24"/>
        </w:rPr>
        <w:t xml:space="preserve">PacifiCorp contracted with SBW Consulting, Inc. </w:t>
      </w:r>
      <w:r w:rsidR="002B5AAB">
        <w:rPr>
          <w:rFonts w:ascii="Times New Roman" w:hAnsi="Times New Roman" w:cs="Times New Roman"/>
          <w:sz w:val="24"/>
          <w:szCs w:val="24"/>
        </w:rPr>
        <w:t xml:space="preserve">(SBW) </w:t>
      </w:r>
      <w:r>
        <w:rPr>
          <w:rFonts w:ascii="Times New Roman" w:hAnsi="Times New Roman" w:cs="Times New Roman"/>
          <w:sz w:val="24"/>
          <w:szCs w:val="24"/>
        </w:rPr>
        <w:t xml:space="preserve">to </w:t>
      </w:r>
      <w:r w:rsidR="00AC4385">
        <w:rPr>
          <w:rFonts w:ascii="Times New Roman" w:hAnsi="Times New Roman" w:cs="Times New Roman"/>
          <w:sz w:val="24"/>
          <w:szCs w:val="24"/>
        </w:rPr>
        <w:t>review the company’s conservation programs</w:t>
      </w:r>
      <w:r>
        <w:rPr>
          <w:rFonts w:ascii="Times New Roman" w:hAnsi="Times New Roman" w:cs="Times New Roman"/>
          <w:sz w:val="24"/>
          <w:szCs w:val="24"/>
        </w:rPr>
        <w:t xml:space="preserve"> and verify its claimed savings. DNV GL a</w:t>
      </w:r>
      <w:r w:rsidR="00F338D5">
        <w:rPr>
          <w:rFonts w:ascii="Times New Roman" w:hAnsi="Times New Roman" w:cs="Times New Roman"/>
          <w:sz w:val="24"/>
          <w:szCs w:val="24"/>
        </w:rPr>
        <w:t xml:space="preserve">ssisted as a subcontractor. </w:t>
      </w:r>
      <w:r w:rsidR="00AB19B4">
        <w:rPr>
          <w:rFonts w:ascii="Times New Roman" w:hAnsi="Times New Roman" w:cs="Times New Roman"/>
          <w:sz w:val="24"/>
          <w:szCs w:val="24"/>
        </w:rPr>
        <w:t xml:space="preserve">Generally, SBW found that PacifiCorp has employed </w:t>
      </w:r>
      <w:r w:rsidR="007820FC">
        <w:rPr>
          <w:rFonts w:ascii="Times New Roman" w:hAnsi="Times New Roman" w:cs="Times New Roman"/>
          <w:sz w:val="24"/>
          <w:szCs w:val="24"/>
        </w:rPr>
        <w:t>solid</w:t>
      </w:r>
      <w:r w:rsidR="00AB19B4">
        <w:rPr>
          <w:rFonts w:ascii="Times New Roman" w:hAnsi="Times New Roman" w:cs="Times New Roman"/>
          <w:sz w:val="24"/>
          <w:szCs w:val="24"/>
        </w:rPr>
        <w:t xml:space="preserve"> practices in tracking and measuring the achievements of its conservation programs. SBW identified a handful of minor process issues, but stated that the company’s transition to a new, web-based system for tracking its conservation programs will </w:t>
      </w:r>
      <w:r w:rsidR="00AB19B4">
        <w:rPr>
          <w:rFonts w:ascii="Times New Roman" w:hAnsi="Times New Roman" w:cs="Times New Roman"/>
          <w:sz w:val="24"/>
          <w:szCs w:val="24"/>
        </w:rPr>
        <w:lastRenderedPageBreak/>
        <w:t xml:space="preserve">likely address most of </w:t>
      </w:r>
      <w:r w:rsidR="007820FC">
        <w:rPr>
          <w:rFonts w:ascii="Times New Roman" w:hAnsi="Times New Roman" w:cs="Times New Roman"/>
          <w:sz w:val="24"/>
          <w:szCs w:val="24"/>
        </w:rPr>
        <w:t>them</w:t>
      </w:r>
      <w:r w:rsidR="00AB19B4">
        <w:rPr>
          <w:rFonts w:ascii="Times New Roman" w:hAnsi="Times New Roman" w:cs="Times New Roman"/>
          <w:sz w:val="24"/>
          <w:szCs w:val="24"/>
        </w:rPr>
        <w:t xml:space="preserve">. Staff agrees with SBW’s recommendation that once the web-based platform is fully operational, PacifiCorp should include a thorough review of the </w:t>
      </w:r>
      <w:r w:rsidR="007820FC">
        <w:rPr>
          <w:rFonts w:ascii="Times New Roman" w:hAnsi="Times New Roman" w:cs="Times New Roman"/>
          <w:sz w:val="24"/>
          <w:szCs w:val="24"/>
        </w:rPr>
        <w:t>software</w:t>
      </w:r>
      <w:r w:rsidR="00AB19B4">
        <w:rPr>
          <w:rFonts w:ascii="Times New Roman" w:hAnsi="Times New Roman" w:cs="Times New Roman"/>
          <w:sz w:val="24"/>
          <w:szCs w:val="24"/>
        </w:rPr>
        <w:t>’s functionality in a future independent conservation program review.</w:t>
      </w:r>
      <w:r w:rsidR="00AB19B4">
        <w:rPr>
          <w:rStyle w:val="FootnoteReference"/>
          <w:rFonts w:ascii="Times New Roman" w:hAnsi="Times New Roman" w:cs="Times New Roman"/>
          <w:sz w:val="24"/>
          <w:szCs w:val="24"/>
        </w:rPr>
        <w:footnoteReference w:id="3"/>
      </w:r>
    </w:p>
    <w:p w14:paraId="7AE98CA6" w14:textId="77777777" w:rsidR="00AB19B4" w:rsidRDefault="00AB19B4" w:rsidP="007622F8">
      <w:pPr>
        <w:rPr>
          <w:rFonts w:ascii="Times New Roman" w:hAnsi="Times New Roman" w:cs="Times New Roman"/>
          <w:sz w:val="24"/>
          <w:szCs w:val="24"/>
        </w:rPr>
      </w:pPr>
    </w:p>
    <w:p w14:paraId="7AE98CA7" w14:textId="77777777" w:rsidR="00E5169F" w:rsidRDefault="00F338D5" w:rsidP="007622F8">
      <w:pPr>
        <w:rPr>
          <w:rFonts w:ascii="Times New Roman" w:hAnsi="Times New Roman" w:cs="Times New Roman"/>
          <w:sz w:val="24"/>
          <w:szCs w:val="24"/>
        </w:rPr>
      </w:pPr>
      <w:r>
        <w:rPr>
          <w:rFonts w:ascii="Times New Roman" w:hAnsi="Times New Roman" w:cs="Times New Roman"/>
          <w:sz w:val="24"/>
          <w:szCs w:val="24"/>
        </w:rPr>
        <w:t>One of the review’s findings was that PacifiCorp used incorrect unit energy savings values when calculating its savings from its attic and floor insulation measures</w:t>
      </w:r>
      <w:r w:rsidR="002B5AAB">
        <w:rPr>
          <w:rFonts w:ascii="Times New Roman" w:hAnsi="Times New Roman" w:cs="Times New Roman"/>
          <w:sz w:val="24"/>
          <w:szCs w:val="24"/>
        </w:rPr>
        <w:t>.</w:t>
      </w:r>
      <w:r w:rsidR="00E5169F">
        <w:rPr>
          <w:rFonts w:ascii="Times New Roman" w:hAnsi="Times New Roman" w:cs="Times New Roman"/>
          <w:sz w:val="24"/>
          <w:szCs w:val="24"/>
        </w:rPr>
        <w:t xml:space="preserve"> </w:t>
      </w:r>
      <w:r w:rsidR="002B5AAB">
        <w:rPr>
          <w:rFonts w:ascii="Times New Roman" w:hAnsi="Times New Roman" w:cs="Times New Roman"/>
          <w:sz w:val="24"/>
          <w:szCs w:val="24"/>
        </w:rPr>
        <w:t xml:space="preserve">SBW </w:t>
      </w:r>
      <w:r w:rsidR="006747AD">
        <w:rPr>
          <w:rFonts w:ascii="Times New Roman" w:hAnsi="Times New Roman" w:cs="Times New Roman"/>
          <w:sz w:val="24"/>
          <w:szCs w:val="24"/>
        </w:rPr>
        <w:t xml:space="preserve">concluded that the error was an isolated event, and </w:t>
      </w:r>
      <w:r w:rsidR="002B5AAB">
        <w:rPr>
          <w:rFonts w:ascii="Times New Roman" w:hAnsi="Times New Roman" w:cs="Times New Roman"/>
          <w:sz w:val="24"/>
          <w:szCs w:val="24"/>
        </w:rPr>
        <w:t xml:space="preserve">recommended that </w:t>
      </w:r>
      <w:r w:rsidR="006747AD">
        <w:rPr>
          <w:rFonts w:ascii="Times New Roman" w:hAnsi="Times New Roman" w:cs="Times New Roman"/>
          <w:sz w:val="24"/>
          <w:szCs w:val="24"/>
        </w:rPr>
        <w:t>PacifiCorp</w:t>
      </w:r>
      <w:r w:rsidR="002B5AAB">
        <w:rPr>
          <w:rFonts w:ascii="Times New Roman" w:hAnsi="Times New Roman" w:cs="Times New Roman"/>
          <w:sz w:val="24"/>
          <w:szCs w:val="24"/>
        </w:rPr>
        <w:t xml:space="preserve"> reduce its reported savings by 250 kilowatt-hours based on the finding. </w:t>
      </w:r>
    </w:p>
    <w:p w14:paraId="7AE98CA8" w14:textId="77777777" w:rsidR="00E5169F" w:rsidRDefault="00E5169F" w:rsidP="007622F8">
      <w:pPr>
        <w:rPr>
          <w:rFonts w:ascii="Times New Roman" w:hAnsi="Times New Roman" w:cs="Times New Roman"/>
          <w:sz w:val="24"/>
          <w:szCs w:val="24"/>
        </w:rPr>
      </w:pPr>
    </w:p>
    <w:p w14:paraId="7AE98CA9" w14:textId="77777777" w:rsidR="006747AD" w:rsidRDefault="002B5AAB" w:rsidP="007622F8">
      <w:pPr>
        <w:rPr>
          <w:rFonts w:ascii="Times New Roman" w:hAnsi="Times New Roman" w:cs="Times New Roman"/>
          <w:sz w:val="24"/>
          <w:szCs w:val="24"/>
        </w:rPr>
      </w:pPr>
      <w:r>
        <w:rPr>
          <w:rFonts w:ascii="Times New Roman" w:hAnsi="Times New Roman" w:cs="Times New Roman"/>
          <w:sz w:val="24"/>
          <w:szCs w:val="24"/>
        </w:rPr>
        <w:t>In addition to accepting the recommendation, PacifiCorp also engaged in a proactive review with the third-party administrator of its insulation program to determine whether any additional adjustments were ne</w:t>
      </w:r>
      <w:r w:rsidR="007820FC">
        <w:rPr>
          <w:rFonts w:ascii="Times New Roman" w:hAnsi="Times New Roman" w:cs="Times New Roman"/>
          <w:sz w:val="24"/>
          <w:szCs w:val="24"/>
        </w:rPr>
        <w:t>eded. The review identified another 2</w:t>
      </w:r>
      <w:r>
        <w:rPr>
          <w:rFonts w:ascii="Times New Roman" w:hAnsi="Times New Roman" w:cs="Times New Roman"/>
          <w:sz w:val="24"/>
          <w:szCs w:val="24"/>
        </w:rPr>
        <w:t xml:space="preserve"> MWh of erroneously</w:t>
      </w:r>
      <w:r w:rsidR="00AB19B4">
        <w:rPr>
          <w:rFonts w:ascii="Times New Roman" w:hAnsi="Times New Roman" w:cs="Times New Roman"/>
          <w:sz w:val="24"/>
          <w:szCs w:val="24"/>
        </w:rPr>
        <w:t xml:space="preserve"> claimed</w:t>
      </w:r>
      <w:r>
        <w:rPr>
          <w:rFonts w:ascii="Times New Roman" w:hAnsi="Times New Roman" w:cs="Times New Roman"/>
          <w:sz w:val="24"/>
          <w:szCs w:val="24"/>
        </w:rPr>
        <w:t xml:space="preserve"> savings that were removed before the company filed its BCR. </w:t>
      </w:r>
      <w:r w:rsidR="00AC4385">
        <w:rPr>
          <w:rFonts w:ascii="Times New Roman" w:hAnsi="Times New Roman" w:cs="Times New Roman"/>
          <w:sz w:val="24"/>
          <w:szCs w:val="24"/>
        </w:rPr>
        <w:t xml:space="preserve">After filing the BCR, the company </w:t>
      </w:r>
      <w:r>
        <w:rPr>
          <w:rFonts w:ascii="Times New Roman" w:hAnsi="Times New Roman" w:cs="Times New Roman"/>
          <w:sz w:val="24"/>
          <w:szCs w:val="24"/>
        </w:rPr>
        <w:t xml:space="preserve">identified an additional 8 MWh of savings that were mistakenly claimed. PacifiCorp </w:t>
      </w:r>
      <w:r w:rsidR="003A2E9F">
        <w:rPr>
          <w:rFonts w:ascii="Times New Roman" w:hAnsi="Times New Roman" w:cs="Times New Roman"/>
          <w:sz w:val="24"/>
          <w:szCs w:val="24"/>
        </w:rPr>
        <w:t>plans to file an amended report in the first week of July</w:t>
      </w:r>
      <w:r w:rsidR="007820FC">
        <w:rPr>
          <w:rFonts w:ascii="Times New Roman" w:hAnsi="Times New Roman" w:cs="Times New Roman"/>
          <w:sz w:val="24"/>
          <w:szCs w:val="24"/>
        </w:rPr>
        <w:t xml:space="preserve"> 2014</w:t>
      </w:r>
      <w:r w:rsidR="003A2E9F">
        <w:rPr>
          <w:rFonts w:ascii="Times New Roman" w:hAnsi="Times New Roman" w:cs="Times New Roman"/>
          <w:sz w:val="24"/>
          <w:szCs w:val="24"/>
        </w:rPr>
        <w:t xml:space="preserve"> that will</w:t>
      </w:r>
      <w:r>
        <w:rPr>
          <w:rFonts w:ascii="Times New Roman" w:hAnsi="Times New Roman" w:cs="Times New Roman"/>
          <w:sz w:val="24"/>
          <w:szCs w:val="24"/>
        </w:rPr>
        <w:t xml:space="preserve"> </w:t>
      </w:r>
      <w:r w:rsidR="003A2E9F">
        <w:rPr>
          <w:rFonts w:ascii="Times New Roman" w:hAnsi="Times New Roman" w:cs="Times New Roman"/>
          <w:sz w:val="24"/>
          <w:szCs w:val="24"/>
        </w:rPr>
        <w:t xml:space="preserve">remove </w:t>
      </w:r>
      <w:r>
        <w:rPr>
          <w:rFonts w:ascii="Times New Roman" w:hAnsi="Times New Roman" w:cs="Times New Roman"/>
          <w:sz w:val="24"/>
          <w:szCs w:val="24"/>
        </w:rPr>
        <w:t>the 8 MWh. Staff appreciate</w:t>
      </w:r>
      <w:r w:rsidR="00AC4385">
        <w:rPr>
          <w:rFonts w:ascii="Times New Roman" w:hAnsi="Times New Roman" w:cs="Times New Roman"/>
          <w:sz w:val="24"/>
          <w:szCs w:val="24"/>
        </w:rPr>
        <w:t>s</w:t>
      </w:r>
      <w:r>
        <w:rPr>
          <w:rFonts w:ascii="Times New Roman" w:hAnsi="Times New Roman" w:cs="Times New Roman"/>
          <w:sz w:val="24"/>
          <w:szCs w:val="24"/>
        </w:rPr>
        <w:t xml:space="preserve"> PacifiCorp’s proactive approach to reviewing </w:t>
      </w:r>
      <w:r w:rsidR="00AB19B4">
        <w:rPr>
          <w:rFonts w:ascii="Times New Roman" w:hAnsi="Times New Roman" w:cs="Times New Roman"/>
          <w:sz w:val="24"/>
          <w:szCs w:val="24"/>
        </w:rPr>
        <w:t>and adjusting its claimed savings</w:t>
      </w:r>
      <w:r>
        <w:rPr>
          <w:rFonts w:ascii="Times New Roman" w:hAnsi="Times New Roman" w:cs="Times New Roman"/>
          <w:sz w:val="24"/>
          <w:szCs w:val="24"/>
        </w:rPr>
        <w:t xml:space="preserve">. </w:t>
      </w:r>
    </w:p>
    <w:p w14:paraId="7AE98CAA" w14:textId="77777777" w:rsidR="00CC7963" w:rsidRDefault="00CC7963" w:rsidP="007622F8">
      <w:pPr>
        <w:rPr>
          <w:rFonts w:ascii="Times New Roman" w:hAnsi="Times New Roman" w:cs="Times New Roman"/>
          <w:sz w:val="24"/>
          <w:szCs w:val="24"/>
        </w:rPr>
      </w:pPr>
    </w:p>
    <w:p w14:paraId="7AE98CAB" w14:textId="77777777" w:rsidR="00CC7963" w:rsidRDefault="00AB19B4" w:rsidP="007622F8">
      <w:pPr>
        <w:rPr>
          <w:rFonts w:ascii="Times New Roman" w:hAnsi="Times New Roman" w:cs="Times New Roman"/>
          <w:sz w:val="24"/>
          <w:szCs w:val="24"/>
        </w:rPr>
      </w:pPr>
      <w:r>
        <w:rPr>
          <w:rFonts w:ascii="Times New Roman" w:hAnsi="Times New Roman" w:cs="Times New Roman"/>
          <w:sz w:val="24"/>
          <w:szCs w:val="24"/>
        </w:rPr>
        <w:t xml:space="preserve">Staff </w:t>
      </w:r>
      <w:r w:rsidR="00063AA2">
        <w:rPr>
          <w:rFonts w:ascii="Times New Roman" w:hAnsi="Times New Roman" w:cs="Times New Roman"/>
          <w:sz w:val="24"/>
          <w:szCs w:val="24"/>
        </w:rPr>
        <w:t>agrees with SBW’s recommendation that future program reviewers be provided more information about the cost-effectiveness calculations that PacifiCorp obtains from third parties.</w:t>
      </w:r>
      <w:r w:rsidR="00063AA2">
        <w:rPr>
          <w:rStyle w:val="FootnoteReference"/>
          <w:rFonts w:ascii="Times New Roman" w:hAnsi="Times New Roman" w:cs="Times New Roman"/>
          <w:sz w:val="24"/>
          <w:szCs w:val="24"/>
        </w:rPr>
        <w:footnoteReference w:id="4"/>
      </w:r>
      <w:r w:rsidR="00063AA2">
        <w:rPr>
          <w:rFonts w:ascii="Times New Roman" w:hAnsi="Times New Roman" w:cs="Times New Roman"/>
          <w:sz w:val="24"/>
          <w:szCs w:val="24"/>
        </w:rPr>
        <w:t xml:space="preserve"> While the details of these calculations may be considered out of</w:t>
      </w:r>
      <w:r w:rsidR="00111B4B">
        <w:rPr>
          <w:rFonts w:ascii="Times New Roman" w:hAnsi="Times New Roman" w:cs="Times New Roman"/>
          <w:sz w:val="24"/>
          <w:szCs w:val="24"/>
        </w:rPr>
        <w:t xml:space="preserve"> scope, staff believes that a third-party reviewer can only conduct a comprehensive program review if it understands, at least at a high level, the calculations behind the metrics </w:t>
      </w:r>
      <w:r>
        <w:rPr>
          <w:rFonts w:ascii="Times New Roman" w:hAnsi="Times New Roman" w:cs="Times New Roman"/>
          <w:sz w:val="24"/>
          <w:szCs w:val="24"/>
        </w:rPr>
        <w:t xml:space="preserve">of the program that </w:t>
      </w:r>
      <w:r w:rsidR="00111B4B">
        <w:rPr>
          <w:rFonts w:ascii="Times New Roman" w:hAnsi="Times New Roman" w:cs="Times New Roman"/>
          <w:sz w:val="24"/>
          <w:szCs w:val="24"/>
        </w:rPr>
        <w:t>it is being asked to review.</w:t>
      </w:r>
    </w:p>
    <w:p w14:paraId="7AE98CAC" w14:textId="77777777" w:rsidR="00111B4B" w:rsidRDefault="00111B4B" w:rsidP="007622F8">
      <w:pPr>
        <w:rPr>
          <w:rFonts w:ascii="Times New Roman" w:hAnsi="Times New Roman" w:cs="Times New Roman"/>
          <w:sz w:val="24"/>
          <w:szCs w:val="24"/>
        </w:rPr>
      </w:pPr>
    </w:p>
    <w:p w14:paraId="7AE98CAD" w14:textId="77777777" w:rsidR="006747AD" w:rsidRPr="002419A1" w:rsidRDefault="00111B4B" w:rsidP="007622F8">
      <w:pPr>
        <w:rPr>
          <w:rFonts w:ascii="Times New Roman" w:hAnsi="Times New Roman" w:cs="Times New Roman"/>
          <w:sz w:val="24"/>
          <w:szCs w:val="24"/>
        </w:rPr>
      </w:pPr>
      <w:r>
        <w:rPr>
          <w:rFonts w:ascii="Times New Roman" w:hAnsi="Times New Roman" w:cs="Times New Roman"/>
          <w:sz w:val="24"/>
          <w:szCs w:val="24"/>
        </w:rPr>
        <w:t>Finally, staff notes that SBW did not do any onsite project evaluations during its review. Staff believes that onsite evaluations are an important component of program reviews, a</w:t>
      </w:r>
      <w:r w:rsidR="00E5169F">
        <w:rPr>
          <w:rFonts w:ascii="Times New Roman" w:hAnsi="Times New Roman" w:cs="Times New Roman"/>
          <w:sz w:val="24"/>
          <w:szCs w:val="24"/>
        </w:rPr>
        <w:t xml:space="preserve">s evidenced </w:t>
      </w:r>
      <w:r>
        <w:rPr>
          <w:rFonts w:ascii="Times New Roman" w:hAnsi="Times New Roman" w:cs="Times New Roman"/>
          <w:sz w:val="24"/>
          <w:szCs w:val="24"/>
        </w:rPr>
        <w:t>by SBW’s concern that site evaluations done by other parties lacked detail about data collection and analysis methods.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Future program reviews should involve onsite project evaluations.</w:t>
      </w:r>
    </w:p>
    <w:p w14:paraId="7AE98CAE" w14:textId="77777777" w:rsidR="00C44F52" w:rsidRPr="00C44F52" w:rsidRDefault="00C44F52" w:rsidP="00134880">
      <w:pPr>
        <w:rPr>
          <w:rFonts w:ascii="Times New Roman" w:hAnsi="Times New Roman" w:cs="Times New Roman"/>
          <w:sz w:val="24"/>
          <w:szCs w:val="24"/>
        </w:rPr>
      </w:pPr>
    </w:p>
    <w:p w14:paraId="7AE98CAF" w14:textId="77777777" w:rsidR="00134880" w:rsidRDefault="00134880" w:rsidP="00134880">
      <w:pPr>
        <w:rPr>
          <w:rFonts w:ascii="Times New Roman" w:hAnsi="Times New Roman" w:cs="Times New Roman"/>
          <w:i/>
          <w:sz w:val="24"/>
          <w:szCs w:val="24"/>
        </w:rPr>
      </w:pPr>
      <w:r w:rsidRPr="00134880">
        <w:rPr>
          <w:rFonts w:ascii="Times New Roman" w:hAnsi="Times New Roman" w:cs="Times New Roman"/>
          <w:i/>
          <w:sz w:val="24"/>
          <w:szCs w:val="24"/>
        </w:rPr>
        <w:t>Line losses</w:t>
      </w:r>
    </w:p>
    <w:p w14:paraId="7AE98CB0" w14:textId="77777777" w:rsidR="00C00793" w:rsidRDefault="00C00793" w:rsidP="00134880">
      <w:pPr>
        <w:rPr>
          <w:rFonts w:ascii="Times New Roman" w:hAnsi="Times New Roman" w:cs="Times New Roman"/>
          <w:i/>
          <w:sz w:val="24"/>
          <w:szCs w:val="24"/>
        </w:rPr>
      </w:pPr>
    </w:p>
    <w:p w14:paraId="7AE98CB1" w14:textId="77777777" w:rsidR="00111B4B" w:rsidRDefault="00C00793" w:rsidP="00134880">
      <w:pPr>
        <w:rPr>
          <w:rFonts w:ascii="Times New Roman" w:hAnsi="Times New Roman" w:cs="Times New Roman"/>
          <w:sz w:val="24"/>
          <w:szCs w:val="24"/>
        </w:rPr>
      </w:pPr>
      <w:r>
        <w:rPr>
          <w:rFonts w:ascii="Times New Roman" w:hAnsi="Times New Roman" w:cs="Times New Roman"/>
          <w:sz w:val="24"/>
          <w:szCs w:val="24"/>
        </w:rPr>
        <w:t>PacifiCorp</w:t>
      </w:r>
      <w:r w:rsidR="007820FC">
        <w:rPr>
          <w:rFonts w:ascii="Times New Roman" w:hAnsi="Times New Roman" w:cs="Times New Roman"/>
          <w:sz w:val="24"/>
          <w:szCs w:val="24"/>
        </w:rPr>
        <w:t xml:space="preserve"> grosses up the conservation it measures at the end user</w:t>
      </w:r>
      <w:r>
        <w:rPr>
          <w:rFonts w:ascii="Times New Roman" w:hAnsi="Times New Roman" w:cs="Times New Roman"/>
          <w:sz w:val="24"/>
          <w:szCs w:val="24"/>
        </w:rPr>
        <w:t xml:space="preserve"> by a line loss factor to represent not only the energ</w:t>
      </w:r>
      <w:r w:rsidR="00E5169F">
        <w:rPr>
          <w:rFonts w:ascii="Times New Roman" w:hAnsi="Times New Roman" w:cs="Times New Roman"/>
          <w:sz w:val="24"/>
          <w:szCs w:val="24"/>
        </w:rPr>
        <w:t>y that a customer avoided using</w:t>
      </w:r>
      <w:r>
        <w:rPr>
          <w:rFonts w:ascii="Times New Roman" w:hAnsi="Times New Roman" w:cs="Times New Roman"/>
          <w:sz w:val="24"/>
          <w:szCs w:val="24"/>
        </w:rPr>
        <w:t xml:space="preserve">, but the energy that would have been lost in the transmission and distribution process had that energy been </w:t>
      </w:r>
      <w:r w:rsidR="007820FC">
        <w:rPr>
          <w:rFonts w:ascii="Times New Roman" w:hAnsi="Times New Roman" w:cs="Times New Roman"/>
          <w:sz w:val="24"/>
          <w:szCs w:val="24"/>
        </w:rPr>
        <w:t xml:space="preserve">generated and </w:t>
      </w:r>
      <w:r>
        <w:rPr>
          <w:rFonts w:ascii="Times New Roman" w:hAnsi="Times New Roman" w:cs="Times New Roman"/>
          <w:sz w:val="24"/>
          <w:szCs w:val="24"/>
        </w:rPr>
        <w:t xml:space="preserve">consumed. </w:t>
      </w:r>
    </w:p>
    <w:p w14:paraId="7AE98CB2" w14:textId="77777777" w:rsidR="00C00793" w:rsidRDefault="00C00793" w:rsidP="00134880">
      <w:pPr>
        <w:rPr>
          <w:rFonts w:ascii="Times New Roman" w:hAnsi="Times New Roman" w:cs="Times New Roman"/>
          <w:sz w:val="24"/>
          <w:szCs w:val="24"/>
        </w:rPr>
      </w:pPr>
    </w:p>
    <w:p w14:paraId="7AE98CB3" w14:textId="77777777" w:rsidR="008F2D3E" w:rsidRDefault="008F2D3E" w:rsidP="00134880">
      <w:pPr>
        <w:rPr>
          <w:rFonts w:ascii="Times New Roman" w:hAnsi="Times New Roman" w:cs="Times New Roman"/>
          <w:sz w:val="24"/>
          <w:szCs w:val="24"/>
        </w:rPr>
      </w:pPr>
      <w:r>
        <w:rPr>
          <w:rFonts w:ascii="Times New Roman" w:hAnsi="Times New Roman" w:cs="Times New Roman"/>
          <w:sz w:val="24"/>
          <w:szCs w:val="24"/>
        </w:rPr>
        <w:t>While this is a standard practice, staff noted during its review of the BCR that PacifiCorp’s line loss values appeared to be high. Through a data request, the company stated that it uses the following line loss values:</w:t>
      </w:r>
    </w:p>
    <w:p w14:paraId="7AE98CB4" w14:textId="77777777" w:rsidR="008F2D3E" w:rsidRDefault="008F2D3E" w:rsidP="00134880">
      <w:pPr>
        <w:rPr>
          <w:rFonts w:ascii="Times New Roman" w:hAnsi="Times New Roman" w:cs="Times New Roman"/>
          <w:sz w:val="24"/>
          <w:szCs w:val="24"/>
        </w:rPr>
      </w:pPr>
    </w:p>
    <w:p w14:paraId="7AE98CB5" w14:textId="77777777" w:rsidR="008F2D3E" w:rsidRDefault="00B81F42" w:rsidP="00B81F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9.67 percent for residential and agricultural customers,</w:t>
      </w:r>
    </w:p>
    <w:p w14:paraId="7AE98CB6" w14:textId="77777777" w:rsidR="00B81F42" w:rsidRDefault="00B81F42" w:rsidP="00B81F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9.53 percent for commercial customers, and</w:t>
      </w:r>
    </w:p>
    <w:p w14:paraId="7AE98CB7" w14:textId="77777777" w:rsidR="00B81F42" w:rsidRDefault="00B81F42" w:rsidP="00B81F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8.16 percent for industrial customers.</w:t>
      </w:r>
    </w:p>
    <w:p w14:paraId="7AE98CB8" w14:textId="77777777" w:rsidR="00B81F42" w:rsidRDefault="00B81F42" w:rsidP="00B81F42">
      <w:pPr>
        <w:rPr>
          <w:rFonts w:ascii="Times New Roman" w:hAnsi="Times New Roman" w:cs="Times New Roman"/>
          <w:sz w:val="24"/>
          <w:szCs w:val="24"/>
        </w:rPr>
      </w:pPr>
    </w:p>
    <w:p w14:paraId="7AE98CB9" w14:textId="77777777" w:rsidR="007820FC" w:rsidRDefault="00B81F42" w:rsidP="00B81F42">
      <w:pPr>
        <w:rPr>
          <w:rFonts w:ascii="Times New Roman" w:hAnsi="Times New Roman" w:cs="Times New Roman"/>
          <w:sz w:val="24"/>
          <w:szCs w:val="24"/>
        </w:rPr>
      </w:pPr>
      <w:r>
        <w:rPr>
          <w:rFonts w:ascii="Times New Roman" w:hAnsi="Times New Roman" w:cs="Times New Roman"/>
          <w:sz w:val="24"/>
          <w:szCs w:val="24"/>
        </w:rPr>
        <w:t>These values are somewhat higher than those used by Puget Sound Energy</w:t>
      </w:r>
      <w:r w:rsidR="00AC4385">
        <w:rPr>
          <w:rFonts w:ascii="Times New Roman" w:hAnsi="Times New Roman" w:cs="Times New Roman"/>
          <w:sz w:val="24"/>
          <w:szCs w:val="24"/>
        </w:rPr>
        <w:t xml:space="preserve"> (PSE), which assumes line losses of </w:t>
      </w:r>
      <w:r>
        <w:rPr>
          <w:rFonts w:ascii="Times New Roman" w:hAnsi="Times New Roman" w:cs="Times New Roman"/>
          <w:sz w:val="24"/>
          <w:szCs w:val="24"/>
        </w:rPr>
        <w:t>8.02 percent for residential customers and 6.55 percent for commercial and industrial cus</w:t>
      </w:r>
      <w:r w:rsidR="007820FC">
        <w:rPr>
          <w:rFonts w:ascii="Times New Roman" w:hAnsi="Times New Roman" w:cs="Times New Roman"/>
          <w:sz w:val="24"/>
          <w:szCs w:val="24"/>
        </w:rPr>
        <w:t>tomers</w:t>
      </w:r>
      <w:r w:rsidR="00AC4385">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AC4385">
        <w:rPr>
          <w:rFonts w:ascii="Times New Roman" w:hAnsi="Times New Roman" w:cs="Times New Roman"/>
          <w:sz w:val="24"/>
          <w:szCs w:val="24"/>
        </w:rPr>
        <w:t>Avista Corporation</w:t>
      </w:r>
      <w:r w:rsidR="00180BBA">
        <w:rPr>
          <w:rFonts w:ascii="Times New Roman" w:hAnsi="Times New Roman" w:cs="Times New Roman"/>
          <w:sz w:val="24"/>
          <w:szCs w:val="24"/>
        </w:rPr>
        <w:t xml:space="preserve"> (Avista)</w:t>
      </w:r>
      <w:r w:rsidR="00AC4385">
        <w:rPr>
          <w:rFonts w:ascii="Times New Roman" w:hAnsi="Times New Roman" w:cs="Times New Roman"/>
          <w:sz w:val="24"/>
          <w:szCs w:val="24"/>
        </w:rPr>
        <w:t xml:space="preserve"> plans and measures its conservation achievements </w:t>
      </w:r>
      <w:r w:rsidR="00180BBA">
        <w:rPr>
          <w:rFonts w:ascii="Times New Roman" w:hAnsi="Times New Roman" w:cs="Times New Roman"/>
          <w:sz w:val="24"/>
          <w:szCs w:val="24"/>
        </w:rPr>
        <w:t>at the end user</w:t>
      </w:r>
      <w:r w:rsidR="00AC4385">
        <w:rPr>
          <w:rFonts w:ascii="Times New Roman" w:hAnsi="Times New Roman" w:cs="Times New Roman"/>
          <w:sz w:val="24"/>
          <w:szCs w:val="24"/>
        </w:rPr>
        <w:t xml:space="preserve">; the company does not gross up its figures to report savings at generation. </w:t>
      </w:r>
      <w:r w:rsidR="00180BBA">
        <w:rPr>
          <w:rFonts w:ascii="Times New Roman" w:hAnsi="Times New Roman" w:cs="Times New Roman"/>
          <w:sz w:val="24"/>
          <w:szCs w:val="24"/>
        </w:rPr>
        <w:t xml:space="preserve">Avista </w:t>
      </w:r>
      <w:r w:rsidR="006E0406">
        <w:rPr>
          <w:rFonts w:ascii="Times New Roman" w:hAnsi="Times New Roman" w:cs="Times New Roman"/>
          <w:sz w:val="24"/>
          <w:szCs w:val="24"/>
        </w:rPr>
        <w:t xml:space="preserve">does, however, assume a </w:t>
      </w:r>
      <w:r w:rsidR="00180BBA">
        <w:rPr>
          <w:rFonts w:ascii="Times New Roman" w:hAnsi="Times New Roman" w:cs="Times New Roman"/>
          <w:sz w:val="24"/>
          <w:szCs w:val="24"/>
        </w:rPr>
        <w:t xml:space="preserve">line loss rate of </w:t>
      </w:r>
      <w:r w:rsidR="00F35113">
        <w:rPr>
          <w:rFonts w:ascii="Times New Roman" w:hAnsi="Times New Roman" w:cs="Times New Roman"/>
          <w:sz w:val="24"/>
          <w:szCs w:val="24"/>
        </w:rPr>
        <w:t>6</w:t>
      </w:r>
      <w:r w:rsidR="00180BBA">
        <w:rPr>
          <w:rFonts w:ascii="Times New Roman" w:hAnsi="Times New Roman" w:cs="Times New Roman"/>
          <w:sz w:val="24"/>
          <w:szCs w:val="24"/>
        </w:rPr>
        <w:t xml:space="preserve"> percent in its distribution planning. </w:t>
      </w:r>
    </w:p>
    <w:p w14:paraId="7AE98CBA" w14:textId="77777777" w:rsidR="007820FC" w:rsidRDefault="007820FC" w:rsidP="00B81F42">
      <w:pPr>
        <w:rPr>
          <w:rFonts w:ascii="Times New Roman" w:hAnsi="Times New Roman" w:cs="Times New Roman"/>
          <w:sz w:val="24"/>
          <w:szCs w:val="24"/>
        </w:rPr>
      </w:pPr>
    </w:p>
    <w:p w14:paraId="7AE98CBB" w14:textId="77777777" w:rsidR="00F00B6B" w:rsidRDefault="00B81F42" w:rsidP="00B81F42">
      <w:pPr>
        <w:rPr>
          <w:rFonts w:ascii="Times New Roman" w:hAnsi="Times New Roman" w:cs="Times New Roman"/>
          <w:sz w:val="24"/>
          <w:szCs w:val="24"/>
        </w:rPr>
      </w:pPr>
      <w:r>
        <w:rPr>
          <w:rFonts w:ascii="Times New Roman" w:hAnsi="Times New Roman" w:cs="Times New Roman"/>
          <w:sz w:val="24"/>
          <w:szCs w:val="24"/>
        </w:rPr>
        <w:t xml:space="preserve">Given that PacifiCorp transmits </w:t>
      </w:r>
      <w:r w:rsidR="00F00B6B">
        <w:rPr>
          <w:rFonts w:ascii="Times New Roman" w:hAnsi="Times New Roman" w:cs="Times New Roman"/>
          <w:sz w:val="24"/>
          <w:szCs w:val="24"/>
        </w:rPr>
        <w:t>a large portion of the energy i</w:t>
      </w:r>
      <w:r w:rsidR="00CD5AA5">
        <w:rPr>
          <w:rFonts w:ascii="Times New Roman" w:hAnsi="Times New Roman" w:cs="Times New Roman"/>
          <w:sz w:val="24"/>
          <w:szCs w:val="24"/>
        </w:rPr>
        <w:t>t</w:t>
      </w:r>
      <w:r w:rsidR="00F00B6B">
        <w:rPr>
          <w:rFonts w:ascii="Times New Roman" w:hAnsi="Times New Roman" w:cs="Times New Roman"/>
          <w:sz w:val="24"/>
          <w:szCs w:val="24"/>
        </w:rPr>
        <w:t xml:space="preserve"> provides to Washington customers over great distances, staff was not surprised to see a higher line loss percentage for PacifiCorp, but </w:t>
      </w:r>
      <w:r w:rsidR="00AB19B4">
        <w:rPr>
          <w:rFonts w:ascii="Times New Roman" w:hAnsi="Times New Roman" w:cs="Times New Roman"/>
          <w:sz w:val="24"/>
          <w:szCs w:val="24"/>
        </w:rPr>
        <w:t>did not have readily available documentation for the percentages being used</w:t>
      </w:r>
      <w:r w:rsidR="00F00B6B">
        <w:rPr>
          <w:rFonts w:ascii="Times New Roman" w:hAnsi="Times New Roman" w:cs="Times New Roman"/>
          <w:sz w:val="24"/>
          <w:szCs w:val="24"/>
        </w:rPr>
        <w:t xml:space="preserve">. </w:t>
      </w:r>
      <w:r w:rsidR="00AB19B4">
        <w:rPr>
          <w:rFonts w:ascii="Times New Roman" w:hAnsi="Times New Roman" w:cs="Times New Roman"/>
          <w:sz w:val="24"/>
          <w:szCs w:val="24"/>
        </w:rPr>
        <w:t>At s</w:t>
      </w:r>
      <w:r w:rsidR="00F00B6B">
        <w:rPr>
          <w:rFonts w:ascii="Times New Roman" w:hAnsi="Times New Roman" w:cs="Times New Roman"/>
          <w:sz w:val="24"/>
          <w:szCs w:val="24"/>
        </w:rPr>
        <w:t>taff</w:t>
      </w:r>
      <w:r w:rsidR="00AB19B4">
        <w:rPr>
          <w:rFonts w:ascii="Times New Roman" w:hAnsi="Times New Roman" w:cs="Times New Roman"/>
          <w:sz w:val="24"/>
          <w:szCs w:val="24"/>
        </w:rPr>
        <w:t>’s request, the company provided</w:t>
      </w:r>
      <w:r w:rsidR="00F00B6B">
        <w:rPr>
          <w:rFonts w:ascii="Times New Roman" w:hAnsi="Times New Roman" w:cs="Times New Roman"/>
          <w:sz w:val="24"/>
          <w:szCs w:val="24"/>
        </w:rPr>
        <w:t xml:space="preserve"> documentation for </w:t>
      </w:r>
      <w:r w:rsidR="00AB19B4">
        <w:rPr>
          <w:rFonts w:ascii="Times New Roman" w:hAnsi="Times New Roman" w:cs="Times New Roman"/>
          <w:sz w:val="24"/>
          <w:szCs w:val="24"/>
        </w:rPr>
        <w:t>its</w:t>
      </w:r>
      <w:r w:rsidR="00F00B6B">
        <w:rPr>
          <w:rFonts w:ascii="Times New Roman" w:hAnsi="Times New Roman" w:cs="Times New Roman"/>
          <w:sz w:val="24"/>
          <w:szCs w:val="24"/>
        </w:rPr>
        <w:t xml:space="preserve"> line loss assumptions. </w:t>
      </w:r>
    </w:p>
    <w:p w14:paraId="7AE98CBC" w14:textId="77777777" w:rsidR="00F00B6B" w:rsidRDefault="00F00B6B" w:rsidP="00B81F42">
      <w:pPr>
        <w:rPr>
          <w:rFonts w:ascii="Times New Roman" w:hAnsi="Times New Roman" w:cs="Times New Roman"/>
          <w:sz w:val="24"/>
          <w:szCs w:val="24"/>
        </w:rPr>
      </w:pPr>
    </w:p>
    <w:p w14:paraId="7AE98CBD" w14:textId="77777777" w:rsidR="00C00793" w:rsidRPr="00111B4B" w:rsidRDefault="00F00B6B" w:rsidP="00134880">
      <w:pPr>
        <w:rPr>
          <w:rFonts w:ascii="Times New Roman" w:hAnsi="Times New Roman" w:cs="Times New Roman"/>
          <w:sz w:val="24"/>
          <w:szCs w:val="24"/>
        </w:rPr>
      </w:pPr>
      <w:r>
        <w:rPr>
          <w:rFonts w:ascii="Times New Roman" w:hAnsi="Times New Roman" w:cs="Times New Roman"/>
          <w:sz w:val="24"/>
          <w:szCs w:val="24"/>
        </w:rPr>
        <w:t xml:space="preserve">After reviewing the supporting documentation, which is a line loss study prepared by a consultant in 2011, staff does not have any objection to PacifiCorp’s line loss assumptions. Staff recognizes that opportunities for reducing the company’s line loss rates are limited, given the characteristics of its distribution system and the fact that the long-distance transmission lines </w:t>
      </w:r>
      <w:r w:rsidR="00AB19B4">
        <w:rPr>
          <w:rFonts w:ascii="Times New Roman" w:hAnsi="Times New Roman" w:cs="Times New Roman"/>
          <w:sz w:val="24"/>
          <w:szCs w:val="24"/>
        </w:rPr>
        <w:t>it</w:t>
      </w:r>
      <w:r>
        <w:rPr>
          <w:rFonts w:ascii="Times New Roman" w:hAnsi="Times New Roman" w:cs="Times New Roman"/>
          <w:sz w:val="24"/>
          <w:szCs w:val="24"/>
        </w:rPr>
        <w:t xml:space="preserve"> uses are mostly owned by third parties. However, staff </w:t>
      </w:r>
      <w:r w:rsidR="00180BBA">
        <w:rPr>
          <w:rFonts w:ascii="Times New Roman" w:hAnsi="Times New Roman" w:cs="Times New Roman"/>
          <w:sz w:val="24"/>
          <w:szCs w:val="24"/>
        </w:rPr>
        <w:t>will</w:t>
      </w:r>
      <w:r>
        <w:rPr>
          <w:rFonts w:ascii="Times New Roman" w:hAnsi="Times New Roman" w:cs="Times New Roman"/>
          <w:sz w:val="24"/>
          <w:szCs w:val="24"/>
        </w:rPr>
        <w:t xml:space="preserve"> work with the company and the DSM Advisory Group </w:t>
      </w:r>
      <w:r w:rsidR="00180BBA">
        <w:rPr>
          <w:rFonts w:ascii="Times New Roman" w:hAnsi="Times New Roman" w:cs="Times New Roman"/>
          <w:sz w:val="24"/>
          <w:szCs w:val="24"/>
        </w:rPr>
        <w:t xml:space="preserve">during the current biennium </w:t>
      </w:r>
      <w:r>
        <w:rPr>
          <w:rFonts w:ascii="Times New Roman" w:hAnsi="Times New Roman" w:cs="Times New Roman"/>
          <w:sz w:val="24"/>
          <w:szCs w:val="24"/>
        </w:rPr>
        <w:t xml:space="preserve">to identify </w:t>
      </w:r>
      <w:r w:rsidR="00AB19B4">
        <w:rPr>
          <w:rFonts w:ascii="Times New Roman" w:hAnsi="Times New Roman" w:cs="Times New Roman"/>
          <w:sz w:val="24"/>
          <w:szCs w:val="24"/>
        </w:rPr>
        <w:t xml:space="preserve">potential </w:t>
      </w:r>
      <w:r>
        <w:rPr>
          <w:rFonts w:ascii="Times New Roman" w:hAnsi="Times New Roman" w:cs="Times New Roman"/>
          <w:sz w:val="24"/>
          <w:szCs w:val="24"/>
        </w:rPr>
        <w:t>opportunities for reducing line losses on the company’s Washington system.</w:t>
      </w:r>
    </w:p>
    <w:p w14:paraId="7AE98CBE" w14:textId="77777777" w:rsidR="00134880" w:rsidRDefault="00134880" w:rsidP="00134880">
      <w:pPr>
        <w:rPr>
          <w:rFonts w:ascii="Times New Roman" w:hAnsi="Times New Roman" w:cs="Times New Roman"/>
          <w:sz w:val="24"/>
          <w:szCs w:val="24"/>
        </w:rPr>
      </w:pPr>
    </w:p>
    <w:p w14:paraId="7AE98CBF" w14:textId="77777777" w:rsidR="00134880" w:rsidRPr="00134880" w:rsidRDefault="007820FC" w:rsidP="00134880">
      <w:pPr>
        <w:rPr>
          <w:rFonts w:ascii="Times New Roman" w:hAnsi="Times New Roman" w:cs="Times New Roman"/>
          <w:i/>
          <w:sz w:val="24"/>
          <w:szCs w:val="24"/>
        </w:rPr>
      </w:pPr>
      <w:r>
        <w:rPr>
          <w:rFonts w:ascii="Times New Roman" w:hAnsi="Times New Roman" w:cs="Times New Roman"/>
          <w:i/>
          <w:sz w:val="24"/>
          <w:szCs w:val="24"/>
        </w:rPr>
        <w:t>Pilot and Education Budget</w:t>
      </w:r>
    </w:p>
    <w:p w14:paraId="7AE98CC0" w14:textId="77777777" w:rsidR="00FD680D" w:rsidRDefault="00FD680D" w:rsidP="007622F8">
      <w:pPr>
        <w:rPr>
          <w:rFonts w:ascii="Times New Roman" w:hAnsi="Times New Roman" w:cs="Times New Roman"/>
          <w:sz w:val="24"/>
          <w:szCs w:val="24"/>
        </w:rPr>
      </w:pPr>
    </w:p>
    <w:p w14:paraId="7AE98CC1" w14:textId="77777777" w:rsidR="00F701E4" w:rsidRDefault="00F701E4" w:rsidP="007622F8">
      <w:pPr>
        <w:rPr>
          <w:rFonts w:ascii="Times New Roman" w:hAnsi="Times New Roman" w:cs="Times New Roman"/>
          <w:sz w:val="24"/>
          <w:szCs w:val="24"/>
        </w:rPr>
      </w:pPr>
      <w:r>
        <w:rPr>
          <w:rFonts w:ascii="Times New Roman" w:hAnsi="Times New Roman" w:cs="Times New Roman"/>
          <w:sz w:val="24"/>
          <w:szCs w:val="24"/>
        </w:rPr>
        <w:t xml:space="preserve">In Order 01 of this docket,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authorized PacifiCorp to spend up to 10 percent of its conservation program budget on educational and pilot programs “whose savings impact has not yet been measured.”</w:t>
      </w:r>
      <w:r>
        <w:rPr>
          <w:rStyle w:val="FootnoteReference"/>
          <w:rFonts w:ascii="Times New Roman" w:hAnsi="Times New Roman" w:cs="Times New Roman"/>
          <w:sz w:val="24"/>
          <w:szCs w:val="24"/>
        </w:rPr>
        <w:footnoteReference w:id="7"/>
      </w:r>
    </w:p>
    <w:p w14:paraId="7AE98CC2" w14:textId="77777777" w:rsidR="007C27B7" w:rsidRDefault="007C27B7" w:rsidP="007622F8">
      <w:pPr>
        <w:rPr>
          <w:rFonts w:ascii="Times New Roman" w:hAnsi="Times New Roman" w:cs="Times New Roman"/>
          <w:sz w:val="24"/>
          <w:szCs w:val="24"/>
        </w:rPr>
      </w:pPr>
    </w:p>
    <w:p w14:paraId="7AE98CC3" w14:textId="77777777" w:rsidR="00AB19B4" w:rsidRDefault="00DB1604" w:rsidP="007622F8">
      <w:pPr>
        <w:rPr>
          <w:rFonts w:ascii="Times New Roman" w:hAnsi="Times New Roman" w:cs="Times New Roman"/>
          <w:sz w:val="24"/>
          <w:szCs w:val="24"/>
        </w:rPr>
      </w:pPr>
      <w:r>
        <w:rPr>
          <w:rFonts w:ascii="Times New Roman" w:hAnsi="Times New Roman" w:cs="Times New Roman"/>
          <w:sz w:val="24"/>
          <w:szCs w:val="24"/>
        </w:rPr>
        <w:t xml:space="preserve">As noted in </w:t>
      </w:r>
      <w:r w:rsidR="007C27B7">
        <w:rPr>
          <w:rFonts w:ascii="Times New Roman" w:hAnsi="Times New Roman" w:cs="Times New Roman"/>
          <w:sz w:val="24"/>
          <w:szCs w:val="24"/>
        </w:rPr>
        <w:t xml:space="preserve">its </w:t>
      </w:r>
      <w:r>
        <w:rPr>
          <w:rFonts w:ascii="Times New Roman" w:hAnsi="Times New Roman" w:cs="Times New Roman"/>
          <w:sz w:val="24"/>
          <w:szCs w:val="24"/>
        </w:rPr>
        <w:t xml:space="preserve">previous comments on PacifiCorp’s conservation filings, staff remains </w:t>
      </w:r>
      <w:r w:rsidR="00F701E4">
        <w:rPr>
          <w:rFonts w:ascii="Times New Roman" w:hAnsi="Times New Roman" w:cs="Times New Roman"/>
          <w:sz w:val="24"/>
          <w:szCs w:val="24"/>
        </w:rPr>
        <w:t xml:space="preserve">concerned that the company is not taking advantage of </w:t>
      </w:r>
      <w:r w:rsidR="007C27B7">
        <w:rPr>
          <w:rFonts w:ascii="Times New Roman" w:hAnsi="Times New Roman" w:cs="Times New Roman"/>
          <w:sz w:val="24"/>
          <w:szCs w:val="24"/>
        </w:rPr>
        <w:t>this policy,</w:t>
      </w:r>
      <w:r w:rsidR="00180BBA">
        <w:rPr>
          <w:rStyle w:val="FootnoteReference"/>
          <w:rFonts w:ascii="Times New Roman" w:hAnsi="Times New Roman" w:cs="Times New Roman"/>
          <w:sz w:val="24"/>
          <w:szCs w:val="24"/>
        </w:rPr>
        <w:footnoteReference w:id="8"/>
      </w:r>
      <w:r w:rsidR="007C27B7">
        <w:rPr>
          <w:rFonts w:ascii="Times New Roman" w:hAnsi="Times New Roman" w:cs="Times New Roman"/>
          <w:sz w:val="24"/>
          <w:szCs w:val="24"/>
        </w:rPr>
        <w:t xml:space="preserve"> which is designed to encourage innovation and </w:t>
      </w:r>
      <w:r w:rsidR="002F3136">
        <w:rPr>
          <w:rFonts w:ascii="Times New Roman" w:hAnsi="Times New Roman" w:cs="Times New Roman"/>
          <w:sz w:val="24"/>
          <w:szCs w:val="24"/>
        </w:rPr>
        <w:t>help new efficiency technologies enter the market</w:t>
      </w:r>
      <w:r w:rsidR="007C27B7">
        <w:rPr>
          <w:rFonts w:ascii="Times New Roman" w:hAnsi="Times New Roman" w:cs="Times New Roman"/>
          <w:sz w:val="24"/>
          <w:szCs w:val="24"/>
        </w:rPr>
        <w:t xml:space="preserve">. PacifiCorp engaged in two programs in the 2012-2013 biennium that fell into this category, Home Energy Reports and Energy Education in Schools, that </w:t>
      </w:r>
      <w:r w:rsidR="00C44F52">
        <w:rPr>
          <w:rFonts w:ascii="Times New Roman" w:hAnsi="Times New Roman" w:cs="Times New Roman"/>
          <w:sz w:val="24"/>
          <w:szCs w:val="24"/>
        </w:rPr>
        <w:t xml:space="preserve">accounted for $568,000 (about </w:t>
      </w:r>
      <w:r w:rsidR="00F35113">
        <w:rPr>
          <w:rFonts w:ascii="Times New Roman" w:hAnsi="Times New Roman" w:cs="Times New Roman"/>
          <w:sz w:val="24"/>
          <w:szCs w:val="24"/>
        </w:rPr>
        <w:t>3</w:t>
      </w:r>
      <w:r w:rsidR="007C27B7">
        <w:rPr>
          <w:rFonts w:ascii="Times New Roman" w:hAnsi="Times New Roman" w:cs="Times New Roman"/>
          <w:sz w:val="24"/>
          <w:szCs w:val="24"/>
        </w:rPr>
        <w:t xml:space="preserve"> percent) of the company’s budget. </w:t>
      </w:r>
    </w:p>
    <w:p w14:paraId="7AE98CC4" w14:textId="77777777" w:rsidR="00AB19B4" w:rsidRDefault="00AB19B4" w:rsidP="007622F8">
      <w:pPr>
        <w:rPr>
          <w:rFonts w:ascii="Times New Roman" w:hAnsi="Times New Roman" w:cs="Times New Roman"/>
          <w:sz w:val="24"/>
          <w:szCs w:val="24"/>
        </w:rPr>
      </w:pPr>
    </w:p>
    <w:p w14:paraId="7AE98CC5" w14:textId="77777777" w:rsidR="00DB1604" w:rsidRDefault="007C27B7" w:rsidP="007622F8">
      <w:pPr>
        <w:rPr>
          <w:rFonts w:ascii="Times New Roman" w:hAnsi="Times New Roman" w:cs="Times New Roman"/>
          <w:sz w:val="24"/>
          <w:szCs w:val="24"/>
        </w:rPr>
      </w:pPr>
      <w:r>
        <w:rPr>
          <w:rFonts w:ascii="Times New Roman" w:hAnsi="Times New Roman" w:cs="Times New Roman"/>
          <w:sz w:val="24"/>
          <w:szCs w:val="24"/>
        </w:rPr>
        <w:t xml:space="preserve">Now that </w:t>
      </w:r>
      <w:r w:rsidR="002F3136">
        <w:rPr>
          <w:rFonts w:ascii="Times New Roman" w:hAnsi="Times New Roman" w:cs="Times New Roman"/>
          <w:sz w:val="24"/>
          <w:szCs w:val="24"/>
        </w:rPr>
        <w:t xml:space="preserve">PacifiCorp has completed an evaluation </w:t>
      </w:r>
      <w:r w:rsidR="007820FC">
        <w:rPr>
          <w:rFonts w:ascii="Times New Roman" w:hAnsi="Times New Roman" w:cs="Times New Roman"/>
          <w:sz w:val="24"/>
          <w:szCs w:val="24"/>
        </w:rPr>
        <w:t xml:space="preserve">to verify the savings from </w:t>
      </w:r>
      <w:r w:rsidR="002F3136">
        <w:rPr>
          <w:rFonts w:ascii="Times New Roman" w:hAnsi="Times New Roman" w:cs="Times New Roman"/>
          <w:sz w:val="24"/>
          <w:szCs w:val="24"/>
        </w:rPr>
        <w:t>its Home Energy Reports Program, Energy Education in Schools is the company’s only program that falls into this category, and it only accounts for 0.6 percent of the company’s 2014-2015 biennial budget.</w:t>
      </w:r>
      <w:r w:rsidR="002F3136">
        <w:rPr>
          <w:rStyle w:val="FootnoteReference"/>
          <w:rFonts w:ascii="Times New Roman" w:hAnsi="Times New Roman" w:cs="Times New Roman"/>
          <w:sz w:val="24"/>
          <w:szCs w:val="24"/>
        </w:rPr>
        <w:footnoteReference w:id="9"/>
      </w:r>
      <w:r w:rsidR="002F3136">
        <w:rPr>
          <w:rFonts w:ascii="Times New Roman" w:hAnsi="Times New Roman" w:cs="Times New Roman"/>
          <w:sz w:val="24"/>
          <w:szCs w:val="24"/>
        </w:rPr>
        <w:t xml:space="preserve"> Staff encourages PacifiCorp to work with the DSM Advisory Group to identify new technologies and programs that could support the </w:t>
      </w:r>
      <w:r w:rsidR="00002353">
        <w:rPr>
          <w:rFonts w:ascii="Times New Roman" w:hAnsi="Times New Roman" w:cs="Times New Roman"/>
          <w:sz w:val="24"/>
          <w:szCs w:val="24"/>
        </w:rPr>
        <w:t>Commission</w:t>
      </w:r>
      <w:r w:rsidR="002F3136">
        <w:rPr>
          <w:rFonts w:ascii="Times New Roman" w:hAnsi="Times New Roman" w:cs="Times New Roman"/>
          <w:sz w:val="24"/>
          <w:szCs w:val="24"/>
        </w:rPr>
        <w:t>’s policy.</w:t>
      </w:r>
    </w:p>
    <w:p w14:paraId="7AE98CC6" w14:textId="77777777" w:rsidR="007C27B7" w:rsidRPr="00DB1604" w:rsidRDefault="007C27B7" w:rsidP="007622F8">
      <w:pPr>
        <w:rPr>
          <w:rFonts w:ascii="Times New Roman" w:hAnsi="Times New Roman" w:cs="Times New Roman"/>
          <w:sz w:val="24"/>
          <w:szCs w:val="24"/>
        </w:rPr>
      </w:pPr>
    </w:p>
    <w:p w14:paraId="7AE98CC7" w14:textId="77777777" w:rsidR="00510B3B" w:rsidRDefault="00510B3B" w:rsidP="00510B3B">
      <w:pPr>
        <w:rPr>
          <w:rFonts w:ascii="Times New Roman" w:hAnsi="Times New Roman" w:cs="Times New Roman"/>
          <w:b/>
          <w:sz w:val="24"/>
          <w:szCs w:val="24"/>
        </w:rPr>
      </w:pPr>
      <w:r>
        <w:rPr>
          <w:rFonts w:ascii="Times New Roman" w:hAnsi="Times New Roman" w:cs="Times New Roman"/>
          <w:b/>
          <w:sz w:val="24"/>
          <w:szCs w:val="24"/>
        </w:rPr>
        <w:t>Conservation policy updates</w:t>
      </w:r>
    </w:p>
    <w:p w14:paraId="7AE98CC8" w14:textId="77777777" w:rsidR="00510B3B" w:rsidRDefault="00510B3B" w:rsidP="00510B3B">
      <w:pPr>
        <w:rPr>
          <w:rFonts w:ascii="Times New Roman" w:hAnsi="Times New Roman" w:cs="Times New Roman"/>
          <w:b/>
          <w:sz w:val="24"/>
          <w:szCs w:val="24"/>
        </w:rPr>
      </w:pPr>
    </w:p>
    <w:p w14:paraId="7AE98CC9" w14:textId="025B997B" w:rsidR="00510B3B" w:rsidRPr="006316E1" w:rsidRDefault="00510B3B" w:rsidP="00510B3B">
      <w:pPr>
        <w:rPr>
          <w:rFonts w:ascii="Times New Roman" w:hAnsi="Times New Roman" w:cs="Times New Roman"/>
          <w:sz w:val="24"/>
          <w:szCs w:val="24"/>
        </w:rPr>
      </w:pPr>
      <w:r>
        <w:rPr>
          <w:rFonts w:ascii="Times New Roman" w:hAnsi="Times New Roman" w:cs="Times New Roman"/>
          <w:sz w:val="24"/>
          <w:szCs w:val="24"/>
        </w:rPr>
        <w:t xml:space="preserve">Staff has been working to resolve a number of general issues that have been identified during the first three biennial cycles. </w:t>
      </w:r>
      <w:r w:rsidR="00982946">
        <w:rPr>
          <w:rFonts w:ascii="Times New Roman" w:hAnsi="Times New Roman" w:cs="Times New Roman"/>
          <w:sz w:val="24"/>
          <w:szCs w:val="24"/>
        </w:rPr>
        <w:t xml:space="preserve">Many of these issues are being addressed through an open rulemaking proceeding and other issues have been addressed through Commission orders or informal collaborations between staff, the utilities, and external stakeholders. </w:t>
      </w:r>
      <w:r>
        <w:rPr>
          <w:rFonts w:ascii="Times New Roman" w:hAnsi="Times New Roman" w:cs="Times New Roman"/>
          <w:sz w:val="24"/>
          <w:szCs w:val="24"/>
        </w:rPr>
        <w:t>This section will briefly summarize these processes and their impact on this and future conservation filings.</w:t>
      </w:r>
    </w:p>
    <w:p w14:paraId="7AE98CCA" w14:textId="77777777" w:rsidR="00510B3B" w:rsidRDefault="00510B3B" w:rsidP="00510B3B">
      <w:pPr>
        <w:rPr>
          <w:rFonts w:ascii="Times New Roman" w:hAnsi="Times New Roman" w:cs="Times New Roman"/>
          <w:b/>
          <w:sz w:val="24"/>
          <w:szCs w:val="24"/>
        </w:rPr>
      </w:pPr>
    </w:p>
    <w:p w14:paraId="7AE98CCB" w14:textId="77777777" w:rsidR="00510B3B" w:rsidRDefault="00510B3B" w:rsidP="00510B3B">
      <w:pPr>
        <w:rPr>
          <w:rFonts w:ascii="Times New Roman" w:hAnsi="Times New Roman" w:cs="Times New Roman"/>
          <w:i/>
          <w:sz w:val="24"/>
          <w:szCs w:val="24"/>
        </w:rPr>
      </w:pPr>
      <w:r>
        <w:rPr>
          <w:rFonts w:ascii="Times New Roman" w:hAnsi="Times New Roman" w:cs="Times New Roman"/>
          <w:i/>
          <w:sz w:val="24"/>
          <w:szCs w:val="24"/>
        </w:rPr>
        <w:t>Energy Independence Act Rulemaking</w:t>
      </w:r>
    </w:p>
    <w:p w14:paraId="7AE98CCC" w14:textId="77777777" w:rsidR="00510B3B" w:rsidRDefault="00510B3B" w:rsidP="00510B3B">
      <w:pPr>
        <w:rPr>
          <w:rFonts w:ascii="Times New Roman" w:hAnsi="Times New Roman" w:cs="Times New Roman"/>
          <w:i/>
          <w:sz w:val="24"/>
          <w:szCs w:val="24"/>
        </w:rPr>
      </w:pPr>
    </w:p>
    <w:p w14:paraId="7AE98CCD" w14:textId="77777777" w:rsidR="00510B3B" w:rsidRDefault="00510B3B" w:rsidP="00510B3B">
      <w:pPr>
        <w:rPr>
          <w:rFonts w:ascii="Times New Roman" w:hAnsi="Times New Roman" w:cs="Times New Roman"/>
          <w:sz w:val="24"/>
          <w:szCs w:val="24"/>
        </w:rPr>
      </w:pPr>
      <w:r>
        <w:rPr>
          <w:rFonts w:ascii="Times New Roman" w:hAnsi="Times New Roman" w:cs="Times New Roman"/>
          <w:sz w:val="24"/>
          <w:szCs w:val="24"/>
        </w:rPr>
        <w:t xml:space="preserve">The </w:t>
      </w:r>
      <w:r w:rsidR="00002353">
        <w:rPr>
          <w:rFonts w:ascii="Times New Roman" w:hAnsi="Times New Roman" w:cs="Times New Roman"/>
          <w:sz w:val="24"/>
          <w:szCs w:val="24"/>
        </w:rPr>
        <w:t>Commission</w:t>
      </w:r>
      <w:r>
        <w:rPr>
          <w:rFonts w:ascii="Times New Roman" w:hAnsi="Times New Roman" w:cs="Times New Roman"/>
          <w:sz w:val="24"/>
          <w:szCs w:val="24"/>
        </w:rPr>
        <w:t xml:space="preserve"> has opened a rulemaking procedure in Docket UE-131723 to update WAC 480-109, the </w:t>
      </w:r>
      <w:r w:rsidR="00002353">
        <w:rPr>
          <w:rFonts w:ascii="Times New Roman" w:hAnsi="Times New Roman" w:cs="Times New Roman"/>
          <w:sz w:val="24"/>
          <w:szCs w:val="24"/>
        </w:rPr>
        <w:t>Commission</w:t>
      </w:r>
      <w:r>
        <w:rPr>
          <w:rFonts w:ascii="Times New Roman" w:hAnsi="Times New Roman" w:cs="Times New Roman"/>
          <w:sz w:val="24"/>
          <w:szCs w:val="24"/>
        </w:rPr>
        <w:t xml:space="preserve">’s rule implementing the Energy Independence Act (EIA). The proposed rule may address several issues raised by various parties since the biennial conservation cycle began in 2010. </w:t>
      </w:r>
    </w:p>
    <w:p w14:paraId="7AE98CCE" w14:textId="77777777" w:rsidR="00510B3B" w:rsidRDefault="00510B3B" w:rsidP="00510B3B">
      <w:pPr>
        <w:rPr>
          <w:rFonts w:ascii="Times New Roman" w:hAnsi="Times New Roman" w:cs="Times New Roman"/>
          <w:sz w:val="24"/>
          <w:szCs w:val="24"/>
        </w:rPr>
      </w:pPr>
    </w:p>
    <w:p w14:paraId="7AE98CCF" w14:textId="5CAC778B" w:rsidR="00510B3B" w:rsidRDefault="00510B3B" w:rsidP="00510B3B">
      <w:pPr>
        <w:rPr>
          <w:rFonts w:ascii="Times New Roman" w:hAnsi="Times New Roman" w:cs="Times New Roman"/>
          <w:sz w:val="24"/>
          <w:szCs w:val="24"/>
        </w:rPr>
      </w:pPr>
      <w:r>
        <w:rPr>
          <w:rFonts w:ascii="Times New Roman" w:hAnsi="Times New Roman" w:cs="Times New Roman"/>
          <w:sz w:val="24"/>
          <w:szCs w:val="24"/>
        </w:rPr>
        <w:t>Informal draft rule language was made</w:t>
      </w:r>
      <w:r w:rsidR="007820FC">
        <w:rPr>
          <w:rFonts w:ascii="Times New Roman" w:hAnsi="Times New Roman" w:cs="Times New Roman"/>
          <w:sz w:val="24"/>
          <w:szCs w:val="24"/>
        </w:rPr>
        <w:t xml:space="preserve"> available to parties on April </w:t>
      </w:r>
      <w:r>
        <w:rPr>
          <w:rFonts w:ascii="Times New Roman" w:hAnsi="Times New Roman" w:cs="Times New Roman"/>
          <w:sz w:val="24"/>
          <w:szCs w:val="24"/>
        </w:rPr>
        <w:t>9, 2014</w:t>
      </w:r>
      <w:r w:rsidR="007820FC">
        <w:rPr>
          <w:rFonts w:ascii="Times New Roman" w:hAnsi="Times New Roman" w:cs="Times New Roman"/>
          <w:sz w:val="24"/>
          <w:szCs w:val="24"/>
        </w:rPr>
        <w:t>,</w:t>
      </w:r>
      <w:r>
        <w:rPr>
          <w:rFonts w:ascii="Times New Roman" w:hAnsi="Times New Roman" w:cs="Times New Roman"/>
          <w:sz w:val="24"/>
          <w:szCs w:val="24"/>
        </w:rPr>
        <w:t xml:space="preserve"> and discussed at the </w:t>
      </w:r>
      <w:r w:rsidR="00002353">
        <w:rPr>
          <w:rFonts w:ascii="Times New Roman" w:hAnsi="Times New Roman" w:cs="Times New Roman"/>
          <w:sz w:val="24"/>
          <w:szCs w:val="24"/>
        </w:rPr>
        <w:t>Commission</w:t>
      </w:r>
      <w:r>
        <w:rPr>
          <w:rFonts w:ascii="Times New Roman" w:hAnsi="Times New Roman" w:cs="Times New Roman"/>
          <w:sz w:val="24"/>
          <w:szCs w:val="24"/>
        </w:rPr>
        <w:t>’s workshop with stakeholders on May 15, 2014. Staff is review</w:t>
      </w:r>
      <w:r w:rsidR="00982946">
        <w:rPr>
          <w:rFonts w:ascii="Times New Roman" w:hAnsi="Times New Roman" w:cs="Times New Roman"/>
          <w:sz w:val="24"/>
          <w:szCs w:val="24"/>
        </w:rPr>
        <w:t>ing the comments received on the</w:t>
      </w:r>
      <w:r>
        <w:rPr>
          <w:rFonts w:ascii="Times New Roman" w:hAnsi="Times New Roman" w:cs="Times New Roman"/>
          <w:sz w:val="24"/>
          <w:szCs w:val="24"/>
        </w:rPr>
        <w:t xml:space="preserve"> informal draft </w:t>
      </w:r>
      <w:r w:rsidR="00982946">
        <w:rPr>
          <w:rFonts w:ascii="Times New Roman" w:hAnsi="Times New Roman" w:cs="Times New Roman"/>
          <w:sz w:val="24"/>
          <w:szCs w:val="24"/>
        </w:rPr>
        <w:t>rule</w:t>
      </w:r>
      <w:r>
        <w:rPr>
          <w:rFonts w:ascii="Times New Roman" w:hAnsi="Times New Roman" w:cs="Times New Roman"/>
          <w:sz w:val="24"/>
          <w:szCs w:val="24"/>
        </w:rPr>
        <w:t>. The proposed rule will be filed later in 2014, and will be subject to additional comment and revision before being finalized. Following is a brief summary of the key conservation issues that staff expects will be addressed in the proposed rule:</w:t>
      </w:r>
    </w:p>
    <w:p w14:paraId="7AE98CD0" w14:textId="77777777" w:rsidR="00510B3B" w:rsidRDefault="00510B3B" w:rsidP="00510B3B">
      <w:pPr>
        <w:rPr>
          <w:rFonts w:ascii="Times New Roman" w:hAnsi="Times New Roman" w:cs="Times New Roman"/>
          <w:sz w:val="24"/>
          <w:szCs w:val="24"/>
        </w:rPr>
      </w:pPr>
    </w:p>
    <w:p w14:paraId="7AE98CD1" w14:textId="77777777" w:rsidR="00510B3B" w:rsidRDefault="00510B3B" w:rsidP="00510B3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Pursue all. </w:t>
      </w:r>
      <w:r>
        <w:rPr>
          <w:rFonts w:ascii="Times New Roman" w:hAnsi="Times New Roman" w:cs="Times New Roman"/>
          <w:sz w:val="24"/>
          <w:szCs w:val="24"/>
        </w:rPr>
        <w:t>RCW 19.285.040(1) requires utilities to “pursue all available conservation that is cost-effective, reliable and feasible.” Staff’s comments on the three regulated utilities’ 2010-2011 biennial conservation reports identified a general process by which staff would interpret this broad language when evaluating whether a utility met the requirement.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informal draft rule defined the term “pursue all” and further expounded on the process that staff has identified. Following the </w:t>
      </w:r>
      <w:r w:rsidR="00002353">
        <w:rPr>
          <w:rFonts w:ascii="Times New Roman" w:hAnsi="Times New Roman" w:cs="Times New Roman"/>
          <w:sz w:val="24"/>
          <w:szCs w:val="24"/>
        </w:rPr>
        <w:t>Commission</w:t>
      </w:r>
      <w:r>
        <w:rPr>
          <w:rFonts w:ascii="Times New Roman" w:hAnsi="Times New Roman" w:cs="Times New Roman"/>
          <w:sz w:val="24"/>
          <w:szCs w:val="24"/>
        </w:rPr>
        <w:t>’s rulemaking workshop on May 15, 2014, staff has been working with stakeholders to resolve concerns around this language.</w:t>
      </w:r>
    </w:p>
    <w:p w14:paraId="7AE98CD2" w14:textId="77777777" w:rsidR="00510B3B" w:rsidRPr="006316E1" w:rsidRDefault="00510B3B" w:rsidP="00510B3B">
      <w:pPr>
        <w:rPr>
          <w:rFonts w:ascii="Times New Roman" w:hAnsi="Times New Roman" w:cs="Times New Roman"/>
          <w:sz w:val="24"/>
          <w:szCs w:val="24"/>
        </w:rPr>
      </w:pPr>
    </w:p>
    <w:p w14:paraId="7AE98CD3" w14:textId="77777777" w:rsidR="00510B3B" w:rsidRDefault="00510B3B" w:rsidP="00510B3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Conditions lists. </w:t>
      </w:r>
      <w:r>
        <w:rPr>
          <w:rFonts w:ascii="Times New Roman" w:hAnsi="Times New Roman" w:cs="Times New Roman"/>
          <w:sz w:val="24"/>
          <w:szCs w:val="24"/>
        </w:rPr>
        <w:t xml:space="preserve">WAC 480-109-010(4)(c) allows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to approve a utility’s 10-year conservation potential and two-year conservation target subject to conditions. In the three planning cycles that have occurred since the EIA’s conservation requirements went into effect,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has crafted a number of standard conditions. The informal draft rule incorporated many conditions which were generally applicable to all three companies and widely accepted by the parties involved. Examples of this include the interim reports a utility is required to file and the role of conservation advisory groups.</w:t>
      </w:r>
    </w:p>
    <w:p w14:paraId="7AE98CD4" w14:textId="77777777" w:rsidR="00510B3B" w:rsidRPr="005F53F1" w:rsidRDefault="00510B3B" w:rsidP="00510B3B">
      <w:pPr>
        <w:pStyle w:val="ListParagraph"/>
        <w:rPr>
          <w:rFonts w:ascii="Times New Roman" w:hAnsi="Times New Roman" w:cs="Times New Roman"/>
          <w:sz w:val="24"/>
          <w:szCs w:val="24"/>
        </w:rPr>
      </w:pPr>
    </w:p>
    <w:p w14:paraId="7AE98CD5" w14:textId="77777777" w:rsidR="00510B3B" w:rsidRDefault="00510B3B" w:rsidP="00510B3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Legislative changes. </w:t>
      </w:r>
      <w:r>
        <w:rPr>
          <w:rFonts w:ascii="Times New Roman" w:hAnsi="Times New Roman" w:cs="Times New Roman"/>
          <w:sz w:val="24"/>
          <w:szCs w:val="24"/>
        </w:rPr>
        <w:t>The rule will also incorporate recent legislative changes that will affect future conservation filings. Chief among these changes is a law passed in the 2014 session that will allow utilities that exceed their target in a given biennium to “bank” the overage and apply it toward meeting up to 25 percent of the targets in the two succeeding biennia.</w:t>
      </w:r>
    </w:p>
    <w:p w14:paraId="7AE98CD6" w14:textId="77777777" w:rsidR="00510B3B" w:rsidRPr="00A631EE" w:rsidRDefault="00510B3B" w:rsidP="00510B3B">
      <w:pPr>
        <w:pStyle w:val="ListParagraph"/>
        <w:rPr>
          <w:rFonts w:ascii="Times New Roman" w:hAnsi="Times New Roman" w:cs="Times New Roman"/>
          <w:sz w:val="24"/>
          <w:szCs w:val="24"/>
        </w:rPr>
      </w:pPr>
    </w:p>
    <w:p w14:paraId="7AE98CD7" w14:textId="77777777" w:rsidR="00510B3B" w:rsidRPr="00A631EE" w:rsidRDefault="00510B3B" w:rsidP="00510B3B">
      <w:pPr>
        <w:rPr>
          <w:rFonts w:ascii="Times New Roman" w:hAnsi="Times New Roman" w:cs="Times New Roman"/>
          <w:sz w:val="24"/>
          <w:szCs w:val="24"/>
        </w:rPr>
      </w:pPr>
      <w:r>
        <w:rPr>
          <w:rFonts w:ascii="Times New Roman" w:hAnsi="Times New Roman" w:cs="Times New Roman"/>
          <w:sz w:val="24"/>
          <w:szCs w:val="24"/>
        </w:rPr>
        <w:t>The full text of the informal draft rule is available in Docket UE-131723.</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14:paraId="7AE98CD8" w14:textId="77777777" w:rsidR="00510B3B" w:rsidRDefault="00510B3B" w:rsidP="00510B3B">
      <w:pPr>
        <w:rPr>
          <w:rFonts w:ascii="Times New Roman" w:hAnsi="Times New Roman" w:cs="Times New Roman"/>
          <w:i/>
          <w:sz w:val="24"/>
          <w:szCs w:val="24"/>
        </w:rPr>
      </w:pPr>
    </w:p>
    <w:p w14:paraId="7AE98CDA" w14:textId="77777777" w:rsidR="00510B3B" w:rsidRDefault="00510B3B" w:rsidP="00510B3B">
      <w:pPr>
        <w:rPr>
          <w:rFonts w:ascii="Times New Roman" w:hAnsi="Times New Roman" w:cs="Times New Roman"/>
          <w:i/>
          <w:sz w:val="24"/>
          <w:szCs w:val="24"/>
        </w:rPr>
      </w:pPr>
      <w:r>
        <w:rPr>
          <w:rFonts w:ascii="Times New Roman" w:hAnsi="Times New Roman" w:cs="Times New Roman"/>
          <w:i/>
          <w:sz w:val="24"/>
          <w:szCs w:val="24"/>
        </w:rPr>
        <w:t>NEEA</w:t>
      </w:r>
    </w:p>
    <w:p w14:paraId="7AE98CDB" w14:textId="77777777" w:rsidR="00510B3B" w:rsidRDefault="00510B3B" w:rsidP="00510B3B">
      <w:pPr>
        <w:rPr>
          <w:rFonts w:ascii="Times New Roman" w:hAnsi="Times New Roman" w:cs="Times New Roman"/>
          <w:i/>
          <w:sz w:val="24"/>
          <w:szCs w:val="24"/>
        </w:rPr>
      </w:pPr>
    </w:p>
    <w:p w14:paraId="7AE98CDC" w14:textId="77777777" w:rsidR="00510B3B" w:rsidRDefault="00510B3B" w:rsidP="00510B3B">
      <w:pPr>
        <w:rPr>
          <w:rFonts w:ascii="Times New Roman" w:hAnsi="Times New Roman" w:cs="Times New Roman"/>
          <w:sz w:val="24"/>
          <w:szCs w:val="24"/>
        </w:rPr>
      </w:pPr>
      <w:r>
        <w:rPr>
          <w:rFonts w:ascii="Times New Roman" w:hAnsi="Times New Roman" w:cs="Times New Roman"/>
          <w:sz w:val="24"/>
          <w:szCs w:val="24"/>
        </w:rPr>
        <w:t>In its memo on the utilities’ 2010-2011 biennial conservation plans,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staff noted that the three utilities took different approaches in how they claimed savings from NEEA and that multiple stakeholders felt that a common approach was warranted.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agreed and ordered the utilities to craft a uniform approach for treatment of NEEA savings.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14:paraId="7AE98CDD" w14:textId="77777777" w:rsidR="00510B3B" w:rsidRDefault="00510B3B" w:rsidP="00510B3B">
      <w:pPr>
        <w:rPr>
          <w:rFonts w:ascii="Times New Roman" w:hAnsi="Times New Roman" w:cs="Times New Roman"/>
          <w:sz w:val="24"/>
          <w:szCs w:val="24"/>
        </w:rPr>
      </w:pPr>
    </w:p>
    <w:p w14:paraId="7AE98CDE" w14:textId="77777777" w:rsidR="00510B3B" w:rsidRPr="00A631EE" w:rsidRDefault="00510B3B" w:rsidP="00510B3B">
      <w:pPr>
        <w:rPr>
          <w:rFonts w:ascii="Times New Roman" w:hAnsi="Times New Roman" w:cs="Times New Roman"/>
          <w:sz w:val="24"/>
          <w:szCs w:val="24"/>
        </w:rPr>
      </w:pPr>
      <w:r>
        <w:rPr>
          <w:rFonts w:ascii="Times New Roman" w:hAnsi="Times New Roman" w:cs="Times New Roman"/>
          <w:sz w:val="24"/>
          <w:szCs w:val="24"/>
        </w:rPr>
        <w:t>In response, the utilities proposed to remove NEEA savings from the target-setting process.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Utilities would continue to fund NEEA and report the amount of savings they received from doing so, but would not reflect those savings when setting their target or apply them toward meeting their target.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accepted this approach and allowed the utilities to begin using it in the 2014-2015 biennium.</w:t>
      </w:r>
    </w:p>
    <w:p w14:paraId="7AE98CDF" w14:textId="77777777" w:rsidR="00510B3B" w:rsidRDefault="00510B3B" w:rsidP="00510B3B">
      <w:pPr>
        <w:rPr>
          <w:rFonts w:ascii="Times New Roman" w:hAnsi="Times New Roman" w:cs="Times New Roman"/>
          <w:i/>
          <w:sz w:val="24"/>
          <w:szCs w:val="24"/>
        </w:rPr>
      </w:pPr>
    </w:p>
    <w:p w14:paraId="7AE98CE0" w14:textId="77777777" w:rsidR="00510B3B" w:rsidRDefault="00510B3B" w:rsidP="00510B3B">
      <w:pPr>
        <w:rPr>
          <w:rFonts w:ascii="Times New Roman" w:hAnsi="Times New Roman" w:cs="Times New Roman"/>
          <w:i/>
          <w:sz w:val="24"/>
          <w:szCs w:val="24"/>
        </w:rPr>
      </w:pPr>
      <w:r>
        <w:rPr>
          <w:rFonts w:ascii="Times New Roman" w:hAnsi="Times New Roman" w:cs="Times New Roman"/>
          <w:i/>
          <w:sz w:val="24"/>
          <w:szCs w:val="24"/>
        </w:rPr>
        <w:t>UES values/baselines</w:t>
      </w:r>
    </w:p>
    <w:p w14:paraId="7AE98CE1" w14:textId="77777777" w:rsidR="00510B3B" w:rsidRDefault="00510B3B" w:rsidP="00510B3B">
      <w:pPr>
        <w:rPr>
          <w:rFonts w:ascii="Times New Roman" w:hAnsi="Times New Roman" w:cs="Times New Roman"/>
          <w:i/>
          <w:sz w:val="24"/>
          <w:szCs w:val="24"/>
        </w:rPr>
      </w:pPr>
    </w:p>
    <w:p w14:paraId="7AE98CE2" w14:textId="443C42D9" w:rsidR="00510B3B" w:rsidRDefault="00510B3B" w:rsidP="00510B3B">
      <w:pPr>
        <w:rPr>
          <w:rFonts w:ascii="Times New Roman" w:hAnsi="Times New Roman" w:cs="Times New Roman"/>
          <w:sz w:val="24"/>
          <w:szCs w:val="24"/>
        </w:rPr>
      </w:pPr>
      <w:r>
        <w:rPr>
          <w:rFonts w:ascii="Times New Roman" w:hAnsi="Times New Roman" w:cs="Times New Roman"/>
          <w:sz w:val="24"/>
          <w:szCs w:val="24"/>
        </w:rPr>
        <w:t xml:space="preserve">Another issue that staff identified in its memo on the utilities’ 2010-2011 biennial conservation reports related to how frequently utilities update the assumed savings values for their conservation measures.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has directed the utilities to use the unit energy savings (UES) values that the Council’s Regional Technical Forum (RTF) calculates for each measure, where</w:t>
      </w:r>
      <w:r w:rsidR="004013E7">
        <w:rPr>
          <w:rFonts w:ascii="Times New Roman" w:hAnsi="Times New Roman" w:cs="Times New Roman"/>
          <w:sz w:val="24"/>
          <w:szCs w:val="24"/>
        </w:rPr>
        <w:t xml:space="preserve"> they exist and are appropriate.</w:t>
      </w:r>
      <w:r>
        <w:rPr>
          <w:rStyle w:val="FootnoteReference"/>
          <w:rFonts w:ascii="Times New Roman" w:hAnsi="Times New Roman" w:cs="Times New Roman"/>
          <w:sz w:val="24"/>
          <w:szCs w:val="24"/>
        </w:rPr>
        <w:footnoteReference w:id="15"/>
      </w:r>
      <w:r w:rsidR="004013E7">
        <w:rPr>
          <w:rFonts w:ascii="Times New Roman" w:hAnsi="Times New Roman" w:cs="Times New Roman"/>
          <w:sz w:val="24"/>
          <w:szCs w:val="24"/>
        </w:rPr>
        <w:t xml:space="preserve"> H</w:t>
      </w:r>
      <w:r>
        <w:rPr>
          <w:rFonts w:ascii="Times New Roman" w:hAnsi="Times New Roman" w:cs="Times New Roman"/>
          <w:sz w:val="24"/>
          <w:szCs w:val="24"/>
        </w:rPr>
        <w:t>owever, the utilities vary in how frequently they update their assumptions to reflect current RTF practice. PacifiCorp and Avista update every other year when preparing their next biennial target; this allows the utilities to use the same value when setting their target and measuring whe</w:t>
      </w:r>
      <w:r w:rsidR="004013E7">
        <w:rPr>
          <w:rFonts w:ascii="Times New Roman" w:hAnsi="Times New Roman" w:cs="Times New Roman"/>
          <w:sz w:val="24"/>
          <w:szCs w:val="24"/>
        </w:rPr>
        <w:t xml:space="preserve">ther they met it. PSE </w:t>
      </w:r>
      <w:r>
        <w:rPr>
          <w:rFonts w:ascii="Times New Roman" w:hAnsi="Times New Roman" w:cs="Times New Roman"/>
          <w:sz w:val="24"/>
          <w:szCs w:val="24"/>
        </w:rPr>
        <w:t xml:space="preserve">voluntarily updates UES values every year. </w:t>
      </w:r>
    </w:p>
    <w:p w14:paraId="7AE98CE3" w14:textId="77777777" w:rsidR="00510B3B" w:rsidRDefault="00510B3B" w:rsidP="00510B3B">
      <w:pPr>
        <w:rPr>
          <w:rFonts w:ascii="Times New Roman" w:hAnsi="Times New Roman" w:cs="Times New Roman"/>
          <w:sz w:val="24"/>
          <w:szCs w:val="24"/>
        </w:rPr>
      </w:pPr>
    </w:p>
    <w:p w14:paraId="7AE98CE4" w14:textId="77777777" w:rsidR="00510B3B" w:rsidRDefault="00510B3B" w:rsidP="00510B3B">
      <w:pPr>
        <w:rPr>
          <w:rFonts w:ascii="Times New Roman" w:hAnsi="Times New Roman" w:cs="Times New Roman"/>
          <w:sz w:val="24"/>
          <w:szCs w:val="24"/>
        </w:rPr>
      </w:pPr>
      <w:r>
        <w:rPr>
          <w:rFonts w:ascii="Times New Roman" w:hAnsi="Times New Roman" w:cs="Times New Roman"/>
          <w:sz w:val="24"/>
          <w:szCs w:val="24"/>
        </w:rPr>
        <w:t>Staff recognizes that PSE’s approach may increase a company’s risk of not meeting its target. In an effort to quantify this risk, staff has arranged for PacifiCorp and Avista to report at the end of the 2014-2015 biennium the difference between using the same UES values for the entire biennium and updating them annually. Staff may use this information to formulate a recommendation on how companies should treat UES values in the future.</w:t>
      </w:r>
    </w:p>
    <w:p w14:paraId="7AE98CE5" w14:textId="77777777" w:rsidR="00510B3B" w:rsidRDefault="00510B3B" w:rsidP="00510B3B">
      <w:pPr>
        <w:rPr>
          <w:rFonts w:ascii="Times New Roman" w:hAnsi="Times New Roman" w:cs="Times New Roman"/>
          <w:sz w:val="24"/>
          <w:szCs w:val="24"/>
        </w:rPr>
      </w:pPr>
    </w:p>
    <w:p w14:paraId="7AE98CE6" w14:textId="77777777" w:rsidR="00510B3B" w:rsidRDefault="00510B3B" w:rsidP="00C91087">
      <w:pPr>
        <w:keepNext/>
        <w:rPr>
          <w:rFonts w:ascii="Times New Roman" w:hAnsi="Times New Roman" w:cs="Times New Roman"/>
          <w:i/>
          <w:sz w:val="24"/>
          <w:szCs w:val="24"/>
        </w:rPr>
      </w:pPr>
      <w:bookmarkStart w:id="0" w:name="_GoBack"/>
      <w:r>
        <w:rPr>
          <w:rFonts w:ascii="Times New Roman" w:hAnsi="Times New Roman" w:cs="Times New Roman"/>
          <w:i/>
          <w:sz w:val="24"/>
          <w:szCs w:val="24"/>
        </w:rPr>
        <w:lastRenderedPageBreak/>
        <w:t>Opower</w:t>
      </w:r>
    </w:p>
    <w:p w14:paraId="7AE98CE7" w14:textId="77777777" w:rsidR="00510B3B" w:rsidRDefault="00510B3B" w:rsidP="00C91087">
      <w:pPr>
        <w:keepNext/>
        <w:rPr>
          <w:rFonts w:ascii="Times New Roman" w:hAnsi="Times New Roman" w:cs="Times New Roman"/>
          <w:i/>
          <w:sz w:val="24"/>
          <w:szCs w:val="24"/>
        </w:rPr>
      </w:pPr>
    </w:p>
    <w:bookmarkEnd w:id="0"/>
    <w:p w14:paraId="7AE98CE8" w14:textId="479A6654" w:rsidR="00510B3B" w:rsidRDefault="00321139" w:rsidP="00510B3B">
      <w:pPr>
        <w:rPr>
          <w:rFonts w:ascii="Times New Roman" w:hAnsi="Times New Roman" w:cs="Times New Roman"/>
          <w:sz w:val="24"/>
          <w:szCs w:val="24"/>
        </w:rPr>
      </w:pPr>
      <w:r>
        <w:rPr>
          <w:rFonts w:ascii="Times New Roman" w:hAnsi="Times New Roman" w:cs="Times New Roman"/>
          <w:sz w:val="24"/>
          <w:szCs w:val="24"/>
        </w:rPr>
        <w:t>Staff comments on the biennial conservation p</w:t>
      </w:r>
      <w:r w:rsidR="004013E7">
        <w:rPr>
          <w:rFonts w:ascii="Times New Roman" w:hAnsi="Times New Roman" w:cs="Times New Roman"/>
          <w:sz w:val="24"/>
          <w:szCs w:val="24"/>
        </w:rPr>
        <w:t xml:space="preserve">lans filed for the 2014-15 biennium </w:t>
      </w:r>
      <w:r w:rsidR="00510B3B">
        <w:rPr>
          <w:rFonts w:ascii="Times New Roman" w:hAnsi="Times New Roman" w:cs="Times New Roman"/>
          <w:sz w:val="24"/>
          <w:szCs w:val="24"/>
        </w:rPr>
        <w:t>identified inconsistencies in how the companies measure savings from the home energy reports programs they run through Opower.</w:t>
      </w:r>
      <w:r w:rsidR="00510B3B">
        <w:rPr>
          <w:rStyle w:val="FootnoteReference"/>
          <w:rFonts w:ascii="Times New Roman" w:hAnsi="Times New Roman" w:cs="Times New Roman"/>
          <w:sz w:val="24"/>
          <w:szCs w:val="24"/>
        </w:rPr>
        <w:footnoteReference w:id="16"/>
      </w:r>
      <w:r w:rsidR="00510B3B">
        <w:rPr>
          <w:rFonts w:ascii="Times New Roman" w:hAnsi="Times New Roman" w:cs="Times New Roman"/>
          <w:sz w:val="24"/>
          <w:szCs w:val="24"/>
        </w:rPr>
        <w:t xml:space="preserve"> All three companies have now contracted with Opower for the service, but each measures savings differently.</w:t>
      </w:r>
    </w:p>
    <w:p w14:paraId="7AE98CE9" w14:textId="77777777" w:rsidR="00510B3B" w:rsidRDefault="00510B3B" w:rsidP="00510B3B">
      <w:pPr>
        <w:rPr>
          <w:rFonts w:ascii="Times New Roman" w:hAnsi="Times New Roman" w:cs="Times New Roman"/>
          <w:sz w:val="24"/>
          <w:szCs w:val="24"/>
        </w:rPr>
      </w:pPr>
    </w:p>
    <w:p w14:paraId="77354B68" w14:textId="3D8E55F8" w:rsidR="00321139" w:rsidRDefault="00510B3B" w:rsidP="00321139">
      <w:pPr>
        <w:rPr>
          <w:rFonts w:ascii="Times New Roman" w:hAnsi="Times New Roman" w:cs="Times New Roman"/>
          <w:sz w:val="24"/>
          <w:szCs w:val="24"/>
        </w:rPr>
      </w:pPr>
      <w:r>
        <w:rPr>
          <w:rFonts w:ascii="Times New Roman" w:hAnsi="Times New Roman" w:cs="Times New Roman"/>
          <w:sz w:val="24"/>
          <w:szCs w:val="24"/>
        </w:rPr>
        <w:t>The main difference in approaches is in</w:t>
      </w:r>
      <w:r w:rsidR="00321139">
        <w:rPr>
          <w:rFonts w:ascii="Times New Roman" w:hAnsi="Times New Roman" w:cs="Times New Roman"/>
          <w:sz w:val="24"/>
          <w:szCs w:val="24"/>
        </w:rPr>
        <w:t xml:space="preserve"> the measure life –</w:t>
      </w:r>
      <w:r>
        <w:rPr>
          <w:rFonts w:ascii="Times New Roman" w:hAnsi="Times New Roman" w:cs="Times New Roman"/>
          <w:sz w:val="24"/>
          <w:szCs w:val="24"/>
        </w:rPr>
        <w:t xml:space="preserve"> how long the behavioral changes created by the reports are assumed to last before residents return to their old habits and </w:t>
      </w:r>
      <w:r w:rsidR="00321139">
        <w:rPr>
          <w:rFonts w:ascii="Times New Roman" w:hAnsi="Times New Roman" w:cs="Times New Roman"/>
          <w:sz w:val="24"/>
          <w:szCs w:val="24"/>
        </w:rPr>
        <w:t xml:space="preserve">utilities need to “repurchase” the </w:t>
      </w:r>
      <w:r>
        <w:rPr>
          <w:rFonts w:ascii="Times New Roman" w:hAnsi="Times New Roman" w:cs="Times New Roman"/>
          <w:sz w:val="24"/>
          <w:szCs w:val="24"/>
        </w:rPr>
        <w:t xml:space="preserve">savings with additional reports. </w:t>
      </w:r>
      <w:r w:rsidR="00321139">
        <w:rPr>
          <w:rFonts w:ascii="Times New Roman" w:hAnsi="Times New Roman" w:cs="Times New Roman"/>
          <w:sz w:val="24"/>
          <w:szCs w:val="24"/>
        </w:rPr>
        <w:t>PSE and Avista use two-year measure lives, which means that the reports in the first year create savings that last into the second year, so only a fraction of the second-year savings are treated as new savings for the program. PacifiCorp, on the other hand, assumes a one-year measure life, which means that the company assumes that all the savings in a given year are the result of that year’s reports alone. The practical impact of these differences is that on a per-household basis, PacifiCorp claims a much higher level of savings from its Home Energy Reports program than Avista and PSE.</w:t>
      </w:r>
    </w:p>
    <w:p w14:paraId="7AE98CEB" w14:textId="77777777" w:rsidR="00510B3B" w:rsidRDefault="00510B3B" w:rsidP="00510B3B">
      <w:pPr>
        <w:rPr>
          <w:rFonts w:ascii="Times New Roman" w:hAnsi="Times New Roman" w:cs="Times New Roman"/>
          <w:sz w:val="24"/>
          <w:szCs w:val="24"/>
        </w:rPr>
      </w:pPr>
    </w:p>
    <w:p w14:paraId="7AE98CEC" w14:textId="26A28329" w:rsidR="00510B3B" w:rsidRPr="00AD0857" w:rsidRDefault="00321139" w:rsidP="00510B3B">
      <w:pPr>
        <w:rPr>
          <w:rFonts w:ascii="Times New Roman" w:hAnsi="Times New Roman" w:cs="Times New Roman"/>
          <w:sz w:val="24"/>
          <w:szCs w:val="24"/>
        </w:rPr>
      </w:pPr>
      <w:r>
        <w:rPr>
          <w:rFonts w:ascii="Times New Roman" w:hAnsi="Times New Roman" w:cs="Times New Roman"/>
          <w:sz w:val="24"/>
          <w:szCs w:val="24"/>
        </w:rPr>
        <w:t xml:space="preserve">Staff stated in the comments on the 2014-15 biennial conservation plans </w:t>
      </w:r>
      <w:r w:rsidR="00510B3B">
        <w:rPr>
          <w:rFonts w:ascii="Times New Roman" w:hAnsi="Times New Roman" w:cs="Times New Roman"/>
          <w:sz w:val="24"/>
          <w:szCs w:val="24"/>
        </w:rPr>
        <w:t>that it would work with the utilities during the biennium to devise a “reasonable and consistent approach.”</w:t>
      </w:r>
      <w:r w:rsidR="00510B3B">
        <w:rPr>
          <w:rStyle w:val="FootnoteReference"/>
          <w:rFonts w:ascii="Times New Roman" w:hAnsi="Times New Roman" w:cs="Times New Roman"/>
          <w:sz w:val="24"/>
          <w:szCs w:val="24"/>
        </w:rPr>
        <w:footnoteReference w:id="17"/>
      </w:r>
      <w:r w:rsidR="00510B3B">
        <w:rPr>
          <w:rFonts w:ascii="Times New Roman" w:hAnsi="Times New Roman" w:cs="Times New Roman"/>
          <w:sz w:val="24"/>
          <w:szCs w:val="24"/>
        </w:rPr>
        <w:t xml:space="preserve"> Staff met with the utilities, external stakeholders, and a representative from Opower on May 22, 2014, to discuss this matter. The meeting provided valuable insight into current industry practice and the benefits and drawbacks of different approaches to measuring savings from behavioral programs. Staff continues to explore the matter.</w:t>
      </w:r>
    </w:p>
    <w:p w14:paraId="7AE98CED" w14:textId="77777777" w:rsidR="00510B3B" w:rsidRPr="00525D90" w:rsidRDefault="00510B3B" w:rsidP="00510B3B">
      <w:pPr>
        <w:rPr>
          <w:rFonts w:ascii="Times New Roman" w:hAnsi="Times New Roman" w:cs="Times New Roman"/>
          <w:sz w:val="24"/>
          <w:szCs w:val="24"/>
        </w:rPr>
      </w:pPr>
    </w:p>
    <w:p w14:paraId="7AE98CEE" w14:textId="77777777" w:rsidR="00510B3B" w:rsidRDefault="00510B3B" w:rsidP="00510B3B">
      <w:pPr>
        <w:rPr>
          <w:rFonts w:ascii="Times New Roman" w:hAnsi="Times New Roman" w:cs="Times New Roman"/>
          <w:b/>
          <w:sz w:val="24"/>
          <w:szCs w:val="24"/>
        </w:rPr>
      </w:pPr>
      <w:r>
        <w:rPr>
          <w:rFonts w:ascii="Times New Roman" w:hAnsi="Times New Roman" w:cs="Times New Roman"/>
          <w:b/>
          <w:sz w:val="24"/>
          <w:szCs w:val="24"/>
        </w:rPr>
        <w:t>Conclusion</w:t>
      </w:r>
    </w:p>
    <w:p w14:paraId="7AE98CEF" w14:textId="77777777" w:rsidR="00510B3B" w:rsidRDefault="00510B3B" w:rsidP="00510B3B">
      <w:pPr>
        <w:rPr>
          <w:rFonts w:ascii="Times New Roman" w:hAnsi="Times New Roman" w:cs="Times New Roman"/>
          <w:b/>
          <w:sz w:val="24"/>
          <w:szCs w:val="24"/>
        </w:rPr>
      </w:pPr>
    </w:p>
    <w:p w14:paraId="7AE98CF0" w14:textId="77777777" w:rsidR="00510B3B" w:rsidRPr="00FC5820" w:rsidRDefault="00510B3B" w:rsidP="00510B3B">
      <w:pPr>
        <w:rPr>
          <w:rFonts w:ascii="Times New Roman" w:hAnsi="Times New Roman" w:cs="Times New Roman"/>
          <w:sz w:val="24"/>
          <w:szCs w:val="24"/>
        </w:rPr>
      </w:pPr>
      <w:r>
        <w:rPr>
          <w:rFonts w:ascii="Times New Roman" w:hAnsi="Times New Roman" w:cs="Times New Roman"/>
          <w:sz w:val="24"/>
          <w:szCs w:val="24"/>
        </w:rPr>
        <w:t xml:space="preserve">Staff will review the comments of other stakeholders and provide a recommendation as to whether the </w:t>
      </w:r>
      <w:r w:rsidR="00002353">
        <w:rPr>
          <w:rFonts w:ascii="Times New Roman" w:hAnsi="Times New Roman" w:cs="Times New Roman"/>
          <w:sz w:val="24"/>
          <w:szCs w:val="24"/>
        </w:rPr>
        <w:t>Commission</w:t>
      </w:r>
      <w:r>
        <w:rPr>
          <w:rFonts w:ascii="Times New Roman" w:hAnsi="Times New Roman" w:cs="Times New Roman"/>
          <w:sz w:val="24"/>
          <w:szCs w:val="24"/>
        </w:rPr>
        <w:t xml:space="preserve"> should accept PacifiCorp’s biennial conservation report and issue an order finding that the company met its biennial conservation target at the July 25, 2014, recessed open meeting.</w:t>
      </w:r>
    </w:p>
    <w:p w14:paraId="7AE98CF1" w14:textId="77777777" w:rsidR="00FC5820" w:rsidRPr="00FC5820" w:rsidRDefault="00FC5820" w:rsidP="00510B3B">
      <w:pPr>
        <w:rPr>
          <w:rFonts w:ascii="Times New Roman" w:hAnsi="Times New Roman" w:cs="Times New Roman"/>
          <w:sz w:val="24"/>
          <w:szCs w:val="24"/>
        </w:rPr>
      </w:pPr>
    </w:p>
    <w:sectPr w:rsidR="00FC5820" w:rsidRPr="00FC5820" w:rsidSect="00C9108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98CF5" w14:textId="77777777" w:rsidR="004013E7" w:rsidRDefault="004013E7" w:rsidP="00F15A0F">
      <w:r>
        <w:separator/>
      </w:r>
    </w:p>
  </w:endnote>
  <w:endnote w:type="continuationSeparator" w:id="0">
    <w:p w14:paraId="7AE98CF6" w14:textId="77777777" w:rsidR="004013E7" w:rsidRDefault="004013E7" w:rsidP="00F15A0F">
      <w:r>
        <w:continuationSeparator/>
      </w:r>
    </w:p>
  </w:endnote>
  <w:endnote w:type="continuationNotice" w:id="1">
    <w:p w14:paraId="7AE98CF7" w14:textId="77777777" w:rsidR="004013E7" w:rsidRDefault="00401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98CF2" w14:textId="77777777" w:rsidR="004013E7" w:rsidRDefault="004013E7" w:rsidP="00F15A0F">
      <w:r>
        <w:separator/>
      </w:r>
    </w:p>
  </w:footnote>
  <w:footnote w:type="continuationSeparator" w:id="0">
    <w:p w14:paraId="7AE98CF3" w14:textId="77777777" w:rsidR="004013E7" w:rsidRDefault="004013E7" w:rsidP="00F15A0F">
      <w:r>
        <w:continuationSeparator/>
      </w:r>
    </w:p>
  </w:footnote>
  <w:footnote w:type="continuationNotice" w:id="1">
    <w:p w14:paraId="7AE98CF4" w14:textId="77777777" w:rsidR="004013E7" w:rsidRDefault="004013E7"/>
  </w:footnote>
  <w:footnote w:id="2">
    <w:p w14:paraId="7AE98CFC" w14:textId="77777777" w:rsidR="004013E7" w:rsidRPr="00134880" w:rsidRDefault="004013E7">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Pr>
          <w:rFonts w:ascii="Times New Roman" w:hAnsi="Times New Roman" w:cs="Times New Roman"/>
        </w:rPr>
        <w:t>See Docket UE-111880, a</w:t>
      </w:r>
      <w:r w:rsidRPr="00134880">
        <w:rPr>
          <w:rFonts w:ascii="Times New Roman" w:hAnsi="Times New Roman" w:cs="Times New Roman"/>
        </w:rPr>
        <w:t xml:space="preserve">t ¶ 29. </w:t>
      </w:r>
    </w:p>
  </w:footnote>
  <w:footnote w:id="3">
    <w:p w14:paraId="7AE98CFD" w14:textId="77777777" w:rsidR="004013E7" w:rsidRPr="005C0980" w:rsidRDefault="004013E7" w:rsidP="00AB19B4">
      <w:pPr>
        <w:pStyle w:val="FootnoteText"/>
        <w:rPr>
          <w:rFonts w:ascii="Times New Roman" w:hAnsi="Times New Roman" w:cs="Times New Roman"/>
        </w:rPr>
      </w:pPr>
      <w:r>
        <w:rPr>
          <w:rStyle w:val="FootnoteReference"/>
        </w:rPr>
        <w:footnoteRef/>
      </w:r>
      <w:r>
        <w:t xml:space="preserve"> </w:t>
      </w:r>
      <w:r w:rsidRPr="005C0980">
        <w:rPr>
          <w:rFonts w:ascii="Times New Roman" w:hAnsi="Times New Roman" w:cs="Times New Roman"/>
          <w:i/>
        </w:rPr>
        <w:t>2012-2013 Biennial Conservation Report</w:t>
      </w:r>
      <w:r w:rsidRPr="005C0980">
        <w:rPr>
          <w:rFonts w:ascii="Times New Roman" w:hAnsi="Times New Roman" w:cs="Times New Roman"/>
        </w:rPr>
        <w:t>, Docket UE-111880, Appendix 2 at page 61.</w:t>
      </w:r>
    </w:p>
  </w:footnote>
  <w:footnote w:id="4">
    <w:p w14:paraId="7AE98CFE" w14:textId="77777777" w:rsidR="004013E7" w:rsidRPr="005C0980" w:rsidRDefault="004013E7">
      <w:pPr>
        <w:pStyle w:val="FootnoteText"/>
        <w:rPr>
          <w:rFonts w:ascii="Times New Roman" w:hAnsi="Times New Roman" w:cs="Times New Roman"/>
        </w:rPr>
      </w:pPr>
      <w:r>
        <w:rPr>
          <w:rStyle w:val="FootnoteReference"/>
        </w:rPr>
        <w:footnoteRef/>
      </w:r>
      <w:r>
        <w:t xml:space="preserve"> </w:t>
      </w:r>
      <w:r w:rsidRPr="005C0980">
        <w:rPr>
          <w:rFonts w:ascii="Times New Roman" w:hAnsi="Times New Roman" w:cs="Times New Roman"/>
          <w:i/>
        </w:rPr>
        <w:t xml:space="preserve">Id. </w:t>
      </w:r>
      <w:r w:rsidRPr="005C0980">
        <w:rPr>
          <w:rFonts w:ascii="Times New Roman" w:hAnsi="Times New Roman" w:cs="Times New Roman"/>
        </w:rPr>
        <w:t>at page 60.</w:t>
      </w:r>
    </w:p>
  </w:footnote>
  <w:footnote w:id="5">
    <w:p w14:paraId="7AE98CFF" w14:textId="77777777" w:rsidR="004013E7" w:rsidRPr="005C0980" w:rsidRDefault="004013E7">
      <w:pPr>
        <w:pStyle w:val="FootnoteText"/>
        <w:rPr>
          <w:rFonts w:ascii="Times New Roman" w:hAnsi="Times New Roman" w:cs="Times New Roman"/>
        </w:rPr>
      </w:pPr>
      <w:r>
        <w:rPr>
          <w:rStyle w:val="FootnoteReference"/>
        </w:rPr>
        <w:footnoteRef/>
      </w:r>
      <w:r>
        <w:t xml:space="preserve"> </w:t>
      </w:r>
      <w:r w:rsidRPr="005C0980">
        <w:rPr>
          <w:rFonts w:ascii="Times New Roman" w:hAnsi="Times New Roman" w:cs="Times New Roman"/>
          <w:i/>
        </w:rPr>
        <w:t>Id.</w:t>
      </w:r>
      <w:r w:rsidRPr="005C0980">
        <w:rPr>
          <w:rFonts w:ascii="Times New Roman" w:hAnsi="Times New Roman" w:cs="Times New Roman"/>
        </w:rPr>
        <w:t xml:space="preserve"> at page 45.</w:t>
      </w:r>
    </w:p>
  </w:footnote>
  <w:footnote w:id="6">
    <w:p w14:paraId="7AE98D00" w14:textId="77777777" w:rsidR="004013E7" w:rsidRPr="00B81F42" w:rsidRDefault="004013E7">
      <w:pPr>
        <w:pStyle w:val="FootnoteText"/>
      </w:pPr>
      <w:r>
        <w:rPr>
          <w:rStyle w:val="FootnoteReference"/>
        </w:rPr>
        <w:footnoteRef/>
      </w:r>
      <w:r>
        <w:t xml:space="preserve"> </w:t>
      </w:r>
      <w:r w:rsidRPr="005C0980">
        <w:rPr>
          <w:rFonts w:ascii="Times New Roman" w:hAnsi="Times New Roman" w:cs="Times New Roman"/>
          <w:i/>
        </w:rPr>
        <w:t>Puget Sound Energy’s 2012-2013 Biennial Electric Conservation Achievement</w:t>
      </w:r>
      <w:r w:rsidRPr="005C0980">
        <w:rPr>
          <w:rFonts w:ascii="Times New Roman" w:hAnsi="Times New Roman" w:cs="Times New Roman"/>
        </w:rPr>
        <w:t>, Docket UE-111881, at page 99.</w:t>
      </w:r>
    </w:p>
  </w:footnote>
  <w:footnote w:id="7">
    <w:p w14:paraId="7AE98D01" w14:textId="77777777" w:rsidR="004013E7" w:rsidRPr="005C0980" w:rsidRDefault="004013E7">
      <w:pPr>
        <w:pStyle w:val="FootnoteText"/>
        <w:rPr>
          <w:rFonts w:ascii="Times New Roman" w:hAnsi="Times New Roman" w:cs="Times New Roman"/>
        </w:rPr>
      </w:pPr>
      <w:r>
        <w:rPr>
          <w:rStyle w:val="FootnoteReference"/>
        </w:rPr>
        <w:footnoteRef/>
      </w:r>
      <w:r>
        <w:t xml:space="preserve"> </w:t>
      </w:r>
      <w:r w:rsidRPr="005C0980">
        <w:rPr>
          <w:rFonts w:ascii="Times New Roman" w:hAnsi="Times New Roman" w:cs="Times New Roman"/>
          <w:i/>
        </w:rPr>
        <w:t xml:space="preserve">In the Matter of Pacific Power &amp; Light Company’s 2012-2021 Ten-Year Achievable Conservation Potential and 2012-2013 Biennial Conservation Target Under RCW 19.285.040 and WAC 480-109-010, </w:t>
      </w:r>
      <w:r w:rsidRPr="005C0980">
        <w:rPr>
          <w:rFonts w:ascii="Times New Roman" w:hAnsi="Times New Roman" w:cs="Times New Roman"/>
        </w:rPr>
        <w:t>Docket UE-111880 Order 01 ¶ 28.</w:t>
      </w:r>
    </w:p>
  </w:footnote>
  <w:footnote w:id="8">
    <w:p w14:paraId="7AE98D02" w14:textId="77777777" w:rsidR="004013E7" w:rsidRDefault="004013E7">
      <w:pPr>
        <w:pStyle w:val="FootnoteText"/>
      </w:pPr>
      <w:r>
        <w:rPr>
          <w:rStyle w:val="FootnoteReference"/>
        </w:rPr>
        <w:footnoteRef/>
      </w:r>
      <w:r>
        <w:t xml:space="preserve"> </w:t>
      </w:r>
      <w:r w:rsidRPr="00134880">
        <w:rPr>
          <w:rFonts w:ascii="Times New Roman" w:hAnsi="Times New Roman" w:cs="Times New Roman"/>
          <w:i/>
        </w:rPr>
        <w:t>UTC Staff Comments Regarding Electric Utility Reports on Ten-Year Achievable Conservation Potential and Biennial Conservation Targets;</w:t>
      </w:r>
      <w:r>
        <w:rPr>
          <w:rFonts w:ascii="Times New Roman" w:hAnsi="Times New Roman" w:cs="Times New Roman"/>
        </w:rPr>
        <w:t xml:space="preserve"> Docket UE-132047 at page 15.</w:t>
      </w:r>
    </w:p>
  </w:footnote>
  <w:footnote w:id="9">
    <w:p w14:paraId="7AE98D03" w14:textId="77777777" w:rsidR="004013E7" w:rsidRPr="00180BBA" w:rsidRDefault="004013E7">
      <w:pPr>
        <w:pStyle w:val="FootnoteText"/>
      </w:pPr>
      <w:r>
        <w:rPr>
          <w:rStyle w:val="FootnoteReference"/>
        </w:rPr>
        <w:footnoteRef/>
      </w:r>
      <w:r>
        <w:t xml:space="preserve"> </w:t>
      </w:r>
      <w:r>
        <w:rPr>
          <w:rFonts w:ascii="Times New Roman" w:hAnsi="Times New Roman" w:cs="Times New Roman"/>
          <w:i/>
        </w:rPr>
        <w:t>Id.</w:t>
      </w:r>
    </w:p>
  </w:footnote>
  <w:footnote w:id="10">
    <w:p w14:paraId="7AE98D04" w14:textId="78EFC350"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In the Matter of Evaluating Electric Utility Conservation Achievements Under the Energy Independence Act;</w:t>
      </w:r>
      <w:r w:rsidRPr="00134880">
        <w:rPr>
          <w:rFonts w:ascii="Times New Roman" w:hAnsi="Times New Roman" w:cs="Times New Roman"/>
        </w:rPr>
        <w:t xml:space="preserve"> Dockets UE-100170, UE-100176, and UE-100177; Staff Comments, July 16, 2012</w:t>
      </w:r>
      <w:r w:rsidR="00B3456F" w:rsidRPr="00134880">
        <w:rPr>
          <w:rFonts w:ascii="Times New Roman" w:hAnsi="Times New Roman" w:cs="Times New Roman"/>
        </w:rPr>
        <w:t>, page</w:t>
      </w:r>
      <w:r w:rsidRPr="00134880">
        <w:rPr>
          <w:rFonts w:ascii="Times New Roman" w:hAnsi="Times New Roman" w:cs="Times New Roman"/>
        </w:rPr>
        <w:t xml:space="preserve"> 9.</w:t>
      </w:r>
    </w:p>
  </w:footnote>
  <w:footnote w:id="11">
    <w:p w14:paraId="7AE98D05" w14:textId="77777777"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Notice of Opportunity to File Written Comments,</w:t>
      </w:r>
      <w:r w:rsidRPr="00134880">
        <w:rPr>
          <w:rFonts w:ascii="Times New Roman" w:hAnsi="Times New Roman" w:cs="Times New Roman"/>
        </w:rPr>
        <w:t xml:space="preserve"> Docket UE-131723, April 9, 2014.</w:t>
      </w:r>
    </w:p>
  </w:footnote>
  <w:footnote w:id="12">
    <w:p w14:paraId="7AE98D06" w14:textId="77777777"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Dockets UE-100170, UE-100176, and UE-100177; Open Meeting Memo, Aug. 9, 2012, Attachment A.</w:t>
      </w:r>
    </w:p>
  </w:footnote>
  <w:footnote w:id="13">
    <w:p w14:paraId="7AE98D07" w14:textId="1F72A8CF"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See </w:t>
      </w:r>
      <w:r w:rsidRPr="00134880">
        <w:rPr>
          <w:rFonts w:ascii="Times New Roman" w:hAnsi="Times New Roman" w:cs="Times New Roman"/>
          <w:i/>
        </w:rPr>
        <w:t xml:space="preserve">In the Matter of PacifiCorp d/b/a </w:t>
      </w:r>
      <w:r w:rsidR="00B3456F" w:rsidRPr="00134880">
        <w:rPr>
          <w:rFonts w:ascii="Times New Roman" w:hAnsi="Times New Roman" w:cs="Times New Roman"/>
          <w:i/>
        </w:rPr>
        <w:t>Pacific Power</w:t>
      </w:r>
      <w:r w:rsidRPr="00134880">
        <w:rPr>
          <w:rFonts w:ascii="Times New Roman" w:hAnsi="Times New Roman" w:cs="Times New Roman"/>
          <w:i/>
        </w:rPr>
        <w:t xml:space="preserve"> &amp; Light Company’s 2010-2011 Biennial Conservation Target Under RCW 19.285.040</w:t>
      </w:r>
      <w:r w:rsidRPr="00134880">
        <w:rPr>
          <w:rFonts w:ascii="Times New Roman" w:hAnsi="Times New Roman" w:cs="Times New Roman"/>
        </w:rPr>
        <w:t>, Docket UE-111770, Order 03 ¶ 28.</w:t>
      </w:r>
    </w:p>
  </w:footnote>
  <w:footnote w:id="14">
    <w:p w14:paraId="7AE98D08" w14:textId="77777777"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See </w:t>
      </w:r>
      <w:r w:rsidRPr="00134880">
        <w:rPr>
          <w:rFonts w:ascii="Times New Roman" w:hAnsi="Times New Roman" w:cs="Times New Roman"/>
          <w:i/>
        </w:rPr>
        <w:t>Joint Proposal for Consistent Approach to Northwest Energy Efficiency Alliance Claimed Conservation Savings</w:t>
      </w:r>
      <w:r w:rsidRPr="00134880">
        <w:rPr>
          <w:rFonts w:ascii="Times New Roman" w:hAnsi="Times New Roman" w:cs="Times New Roman"/>
        </w:rPr>
        <w:t xml:space="preserve">, Docket UE-111770, Oct. 31, 2012. </w:t>
      </w:r>
    </w:p>
  </w:footnote>
  <w:footnote w:id="15">
    <w:p w14:paraId="7AE98D09" w14:textId="77777777"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See </w:t>
      </w:r>
      <w:r w:rsidRPr="00134880">
        <w:rPr>
          <w:rFonts w:ascii="Times New Roman" w:hAnsi="Times New Roman" w:cs="Times New Roman"/>
          <w:i/>
        </w:rPr>
        <w:t xml:space="preserve">In the Matter of Pacific Power &amp; Light Company d/b/a PacifiCorp’s Report Identifying its 2014-2023 Ten-Year Achievable Electric Conservation Potential and Its 2014-2015 Electric Biennial Conservation Target Under RCW 19.285.040 and WAC 480-109-010, </w:t>
      </w:r>
      <w:r w:rsidRPr="00134880">
        <w:rPr>
          <w:rFonts w:ascii="Times New Roman" w:hAnsi="Times New Roman" w:cs="Times New Roman"/>
        </w:rPr>
        <w:t>Docket UE-132047, Order 01 ¶ 6.</w:t>
      </w:r>
    </w:p>
  </w:footnote>
  <w:footnote w:id="16">
    <w:p w14:paraId="7AE98D0A" w14:textId="77777777"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UTC Staff Comments Regarding Electric Utility Reports on Ten-Year Achievable Conservation Potential and Biennial Conservation Targets;</w:t>
      </w:r>
      <w:r w:rsidRPr="00134880">
        <w:rPr>
          <w:rFonts w:ascii="Times New Roman" w:hAnsi="Times New Roman" w:cs="Times New Roman"/>
        </w:rPr>
        <w:t xml:space="preserve"> Dockets UE-132043, UE-132045, and UE-132047; pages 15-17.</w:t>
      </w:r>
    </w:p>
  </w:footnote>
  <w:footnote w:id="17">
    <w:p w14:paraId="7AE98D0B" w14:textId="77777777" w:rsidR="004013E7" w:rsidRPr="00134880" w:rsidRDefault="004013E7" w:rsidP="00510B3B">
      <w:pPr>
        <w:pStyle w:val="FootnoteText"/>
        <w:rPr>
          <w:rFonts w:ascii="Times New Roman" w:hAnsi="Times New Roman" w:cs="Times New Roman"/>
        </w:rPr>
      </w:pPr>
      <w:r w:rsidRPr="00134880">
        <w:rPr>
          <w:rStyle w:val="FootnoteReference"/>
          <w:rFonts w:ascii="Times New Roman" w:hAnsi="Times New Roman" w:cs="Times New Roman"/>
        </w:rPr>
        <w:footnoteRef/>
      </w:r>
      <w:r w:rsidRPr="00134880">
        <w:rPr>
          <w:rFonts w:ascii="Times New Roman" w:hAnsi="Times New Roman" w:cs="Times New Roman"/>
        </w:rPr>
        <w:t xml:space="preserve"> </w:t>
      </w:r>
      <w:r w:rsidRPr="00134880">
        <w:rPr>
          <w:rFonts w:ascii="Times New Roman" w:hAnsi="Times New Roman" w:cs="Times New Roman"/>
          <w:i/>
        </w:rPr>
        <w:t>Id.</w:t>
      </w:r>
      <w:r w:rsidRPr="00134880">
        <w:rPr>
          <w:rFonts w:ascii="Times New Roman" w:hAnsi="Times New Roman" w:cs="Times New Roman"/>
        </w:rPr>
        <w:t>, page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98CF8" w14:textId="77777777" w:rsidR="004013E7" w:rsidRPr="00821E8B" w:rsidRDefault="004013E7">
    <w:pPr>
      <w:pStyle w:val="Header"/>
      <w:rPr>
        <w:rFonts w:ascii="Times New Roman" w:hAnsi="Times New Roman" w:cs="Times New Roman"/>
        <w:b/>
        <w:sz w:val="20"/>
        <w:szCs w:val="20"/>
      </w:rPr>
    </w:pPr>
    <w:r w:rsidRPr="00821E8B">
      <w:rPr>
        <w:rFonts w:ascii="Times New Roman" w:hAnsi="Times New Roman" w:cs="Times New Roman"/>
        <w:b/>
        <w:sz w:val="20"/>
        <w:szCs w:val="20"/>
      </w:rPr>
      <w:t>Docket UE-111880</w:t>
    </w:r>
  </w:p>
  <w:p w14:paraId="7AE98CF9" w14:textId="77777777" w:rsidR="004013E7" w:rsidRPr="00821E8B" w:rsidRDefault="004013E7">
    <w:pPr>
      <w:pStyle w:val="Header"/>
      <w:rPr>
        <w:rFonts w:ascii="Times New Roman" w:hAnsi="Times New Roman" w:cs="Times New Roman"/>
        <w:b/>
        <w:sz w:val="20"/>
        <w:szCs w:val="20"/>
      </w:rPr>
    </w:pPr>
    <w:r w:rsidRPr="00821E8B">
      <w:rPr>
        <w:rFonts w:ascii="Times New Roman" w:hAnsi="Times New Roman" w:cs="Times New Roman"/>
        <w:b/>
        <w:sz w:val="20"/>
        <w:szCs w:val="20"/>
      </w:rPr>
      <w:t>Staff Comments – June 30, 2014</w:t>
    </w:r>
  </w:p>
  <w:p w14:paraId="7AE98CFA" w14:textId="77777777" w:rsidR="004013E7" w:rsidRPr="00821E8B" w:rsidRDefault="004013E7">
    <w:pPr>
      <w:pStyle w:val="Header"/>
      <w:rPr>
        <w:rFonts w:ascii="Times New Roman" w:hAnsi="Times New Roman" w:cs="Times New Roman"/>
        <w:b/>
        <w:sz w:val="20"/>
        <w:szCs w:val="20"/>
      </w:rPr>
    </w:pPr>
    <w:r w:rsidRPr="00821E8B">
      <w:rPr>
        <w:rFonts w:ascii="Times New Roman" w:hAnsi="Times New Roman" w:cs="Times New Roman"/>
        <w:b/>
        <w:sz w:val="20"/>
        <w:szCs w:val="20"/>
      </w:rPr>
      <w:t xml:space="preserve">Page </w:t>
    </w:r>
    <w:sdt>
      <w:sdtPr>
        <w:rPr>
          <w:rFonts w:ascii="Times New Roman" w:hAnsi="Times New Roman" w:cs="Times New Roman"/>
          <w:b/>
          <w:sz w:val="20"/>
          <w:szCs w:val="20"/>
        </w:rPr>
        <w:id w:val="986594568"/>
        <w:docPartObj>
          <w:docPartGallery w:val="Page Numbers (Top of Page)"/>
          <w:docPartUnique/>
        </w:docPartObj>
      </w:sdtPr>
      <w:sdtEndPr>
        <w:rPr>
          <w:noProof/>
        </w:rPr>
      </w:sdtEndPr>
      <w:sdtContent>
        <w:r w:rsidRPr="00821E8B">
          <w:rPr>
            <w:rFonts w:ascii="Times New Roman" w:hAnsi="Times New Roman" w:cs="Times New Roman"/>
            <w:b/>
            <w:sz w:val="20"/>
            <w:szCs w:val="20"/>
          </w:rPr>
          <w:fldChar w:fldCharType="begin"/>
        </w:r>
        <w:r w:rsidRPr="00821E8B">
          <w:rPr>
            <w:rFonts w:ascii="Times New Roman" w:hAnsi="Times New Roman" w:cs="Times New Roman"/>
            <w:b/>
            <w:sz w:val="20"/>
            <w:szCs w:val="20"/>
          </w:rPr>
          <w:instrText xml:space="preserve"> PAGE   \* MERGEFORMAT </w:instrText>
        </w:r>
        <w:r w:rsidRPr="00821E8B">
          <w:rPr>
            <w:rFonts w:ascii="Times New Roman" w:hAnsi="Times New Roman" w:cs="Times New Roman"/>
            <w:b/>
            <w:sz w:val="20"/>
            <w:szCs w:val="20"/>
          </w:rPr>
          <w:fldChar w:fldCharType="separate"/>
        </w:r>
        <w:r w:rsidR="00C91087">
          <w:rPr>
            <w:rFonts w:ascii="Times New Roman" w:hAnsi="Times New Roman" w:cs="Times New Roman"/>
            <w:b/>
            <w:noProof/>
            <w:sz w:val="20"/>
            <w:szCs w:val="20"/>
          </w:rPr>
          <w:t>7</w:t>
        </w:r>
        <w:r w:rsidRPr="00821E8B">
          <w:rPr>
            <w:rFonts w:ascii="Times New Roman" w:hAnsi="Times New Roman" w:cs="Times New Roman"/>
            <w:b/>
            <w:noProof/>
            <w:sz w:val="20"/>
            <w:szCs w:val="20"/>
          </w:rPr>
          <w:fldChar w:fldCharType="end"/>
        </w:r>
      </w:sdtContent>
    </w:sdt>
  </w:p>
  <w:p w14:paraId="7AE98CFB" w14:textId="77777777" w:rsidR="004013E7" w:rsidRPr="00821E8B" w:rsidRDefault="004013E7">
    <w:pPr>
      <w:pStyle w:val="Head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2BD"/>
    <w:multiLevelType w:val="hybridMultilevel"/>
    <w:tmpl w:val="C34E188E"/>
    <w:lvl w:ilvl="0" w:tplc="5AE6AF46">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120169E"/>
    <w:multiLevelType w:val="hybridMultilevel"/>
    <w:tmpl w:val="64FEF86C"/>
    <w:lvl w:ilvl="0" w:tplc="4768DDD8">
      <w:start w:val="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0F"/>
    <w:rsid w:val="00002353"/>
    <w:rsid w:val="000612B1"/>
    <w:rsid w:val="00063AA2"/>
    <w:rsid w:val="00073136"/>
    <w:rsid w:val="000E640C"/>
    <w:rsid w:val="0011198C"/>
    <w:rsid w:val="00111B4B"/>
    <w:rsid w:val="00134880"/>
    <w:rsid w:val="001520B6"/>
    <w:rsid w:val="00175286"/>
    <w:rsid w:val="00180BBA"/>
    <w:rsid w:val="001A6DC3"/>
    <w:rsid w:val="001C5AB1"/>
    <w:rsid w:val="001E1D7A"/>
    <w:rsid w:val="002419A1"/>
    <w:rsid w:val="00266228"/>
    <w:rsid w:val="00274A8A"/>
    <w:rsid w:val="002B53D0"/>
    <w:rsid w:val="002B5AAB"/>
    <w:rsid w:val="002C039A"/>
    <w:rsid w:val="002E5CA2"/>
    <w:rsid w:val="002F3136"/>
    <w:rsid w:val="00321139"/>
    <w:rsid w:val="003902DC"/>
    <w:rsid w:val="003A2E9F"/>
    <w:rsid w:val="004013E7"/>
    <w:rsid w:val="004436FF"/>
    <w:rsid w:val="00510B3B"/>
    <w:rsid w:val="00516D9B"/>
    <w:rsid w:val="00525D90"/>
    <w:rsid w:val="00552600"/>
    <w:rsid w:val="005A6C74"/>
    <w:rsid w:val="005C0980"/>
    <w:rsid w:val="005C7BDC"/>
    <w:rsid w:val="005F53F1"/>
    <w:rsid w:val="006316E1"/>
    <w:rsid w:val="00672F7B"/>
    <w:rsid w:val="006747AD"/>
    <w:rsid w:val="00693A5A"/>
    <w:rsid w:val="006A41EE"/>
    <w:rsid w:val="006E0406"/>
    <w:rsid w:val="007622F8"/>
    <w:rsid w:val="00776CFD"/>
    <w:rsid w:val="007820FC"/>
    <w:rsid w:val="007C27B7"/>
    <w:rsid w:val="007D18A6"/>
    <w:rsid w:val="00821E8B"/>
    <w:rsid w:val="00862C74"/>
    <w:rsid w:val="008835C3"/>
    <w:rsid w:val="008940F3"/>
    <w:rsid w:val="008B4E57"/>
    <w:rsid w:val="008C347D"/>
    <w:rsid w:val="008F2D3E"/>
    <w:rsid w:val="009039C2"/>
    <w:rsid w:val="00935386"/>
    <w:rsid w:val="0094601E"/>
    <w:rsid w:val="0095774E"/>
    <w:rsid w:val="0098054A"/>
    <w:rsid w:val="00982946"/>
    <w:rsid w:val="00987D69"/>
    <w:rsid w:val="00995E08"/>
    <w:rsid w:val="009E71AB"/>
    <w:rsid w:val="009F745A"/>
    <w:rsid w:val="00A2744E"/>
    <w:rsid w:val="00A631EE"/>
    <w:rsid w:val="00A84C2A"/>
    <w:rsid w:val="00A90473"/>
    <w:rsid w:val="00AB19B4"/>
    <w:rsid w:val="00AC4385"/>
    <w:rsid w:val="00AD0857"/>
    <w:rsid w:val="00AD3312"/>
    <w:rsid w:val="00AE273E"/>
    <w:rsid w:val="00B13041"/>
    <w:rsid w:val="00B3456F"/>
    <w:rsid w:val="00B56556"/>
    <w:rsid w:val="00B81F42"/>
    <w:rsid w:val="00C00793"/>
    <w:rsid w:val="00C44F52"/>
    <w:rsid w:val="00C66120"/>
    <w:rsid w:val="00C664E8"/>
    <w:rsid w:val="00C91087"/>
    <w:rsid w:val="00C961A4"/>
    <w:rsid w:val="00C96BF6"/>
    <w:rsid w:val="00CB0965"/>
    <w:rsid w:val="00CC6F5C"/>
    <w:rsid w:val="00CC7963"/>
    <w:rsid w:val="00CD5AA5"/>
    <w:rsid w:val="00CF542A"/>
    <w:rsid w:val="00D53B57"/>
    <w:rsid w:val="00D9655B"/>
    <w:rsid w:val="00DA1B86"/>
    <w:rsid w:val="00DA5187"/>
    <w:rsid w:val="00DB1604"/>
    <w:rsid w:val="00DB208A"/>
    <w:rsid w:val="00DD2A47"/>
    <w:rsid w:val="00E5169F"/>
    <w:rsid w:val="00E52132"/>
    <w:rsid w:val="00F004EB"/>
    <w:rsid w:val="00F00B6B"/>
    <w:rsid w:val="00F02929"/>
    <w:rsid w:val="00F15A0F"/>
    <w:rsid w:val="00F21B68"/>
    <w:rsid w:val="00F338D5"/>
    <w:rsid w:val="00F35113"/>
    <w:rsid w:val="00F456A7"/>
    <w:rsid w:val="00F52E17"/>
    <w:rsid w:val="00F63260"/>
    <w:rsid w:val="00F701E4"/>
    <w:rsid w:val="00F8580C"/>
    <w:rsid w:val="00FA4B4F"/>
    <w:rsid w:val="00FC5820"/>
    <w:rsid w:val="00FD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9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15A0F"/>
    <w:rPr>
      <w:sz w:val="20"/>
      <w:szCs w:val="20"/>
    </w:rPr>
  </w:style>
  <w:style w:type="character" w:customStyle="1" w:styleId="FootnoteTextChar">
    <w:name w:val="Footnote Text Char"/>
    <w:basedOn w:val="DefaultParagraphFont"/>
    <w:link w:val="FootnoteText"/>
    <w:uiPriority w:val="99"/>
    <w:semiHidden/>
    <w:rsid w:val="00F15A0F"/>
    <w:rPr>
      <w:sz w:val="20"/>
      <w:szCs w:val="20"/>
    </w:rPr>
  </w:style>
  <w:style w:type="character" w:styleId="FootnoteReference">
    <w:name w:val="footnote reference"/>
    <w:basedOn w:val="DefaultParagraphFont"/>
    <w:uiPriority w:val="99"/>
    <w:semiHidden/>
    <w:unhideWhenUsed/>
    <w:rsid w:val="00F15A0F"/>
    <w:rPr>
      <w:vertAlign w:val="superscript"/>
    </w:rPr>
  </w:style>
  <w:style w:type="table" w:styleId="TableGrid">
    <w:name w:val="Table Grid"/>
    <w:basedOn w:val="TableNormal"/>
    <w:uiPriority w:val="59"/>
    <w:rsid w:val="0095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C3"/>
    <w:pPr>
      <w:ind w:left="720"/>
      <w:contextualSpacing/>
    </w:pPr>
  </w:style>
  <w:style w:type="paragraph" w:styleId="Header">
    <w:name w:val="header"/>
    <w:basedOn w:val="Normal"/>
    <w:link w:val="HeaderChar"/>
    <w:uiPriority w:val="99"/>
    <w:unhideWhenUsed/>
    <w:rsid w:val="00134880"/>
    <w:pPr>
      <w:tabs>
        <w:tab w:val="center" w:pos="4680"/>
        <w:tab w:val="right" w:pos="9360"/>
      </w:tabs>
    </w:pPr>
  </w:style>
  <w:style w:type="character" w:customStyle="1" w:styleId="HeaderChar">
    <w:name w:val="Header Char"/>
    <w:basedOn w:val="DefaultParagraphFont"/>
    <w:link w:val="Header"/>
    <w:uiPriority w:val="99"/>
    <w:rsid w:val="00134880"/>
  </w:style>
  <w:style w:type="paragraph" w:styleId="Footer">
    <w:name w:val="footer"/>
    <w:basedOn w:val="Normal"/>
    <w:link w:val="FooterChar"/>
    <w:uiPriority w:val="99"/>
    <w:unhideWhenUsed/>
    <w:rsid w:val="00134880"/>
    <w:pPr>
      <w:tabs>
        <w:tab w:val="center" w:pos="4680"/>
        <w:tab w:val="right" w:pos="9360"/>
      </w:tabs>
    </w:pPr>
  </w:style>
  <w:style w:type="character" w:customStyle="1" w:styleId="FooterChar">
    <w:name w:val="Footer Char"/>
    <w:basedOn w:val="DefaultParagraphFont"/>
    <w:link w:val="Footer"/>
    <w:uiPriority w:val="99"/>
    <w:rsid w:val="00134880"/>
  </w:style>
  <w:style w:type="character" w:styleId="CommentReference">
    <w:name w:val="annotation reference"/>
    <w:basedOn w:val="DefaultParagraphFont"/>
    <w:uiPriority w:val="99"/>
    <w:semiHidden/>
    <w:unhideWhenUsed/>
    <w:rsid w:val="00CB0965"/>
    <w:rPr>
      <w:sz w:val="16"/>
      <w:szCs w:val="16"/>
    </w:rPr>
  </w:style>
  <w:style w:type="paragraph" w:styleId="CommentText">
    <w:name w:val="annotation text"/>
    <w:basedOn w:val="Normal"/>
    <w:link w:val="CommentTextChar"/>
    <w:uiPriority w:val="99"/>
    <w:semiHidden/>
    <w:unhideWhenUsed/>
    <w:rsid w:val="00CB0965"/>
    <w:rPr>
      <w:sz w:val="20"/>
      <w:szCs w:val="20"/>
    </w:rPr>
  </w:style>
  <w:style w:type="character" w:customStyle="1" w:styleId="CommentTextChar">
    <w:name w:val="Comment Text Char"/>
    <w:basedOn w:val="DefaultParagraphFont"/>
    <w:link w:val="CommentText"/>
    <w:uiPriority w:val="99"/>
    <w:semiHidden/>
    <w:rsid w:val="00CB0965"/>
    <w:rPr>
      <w:sz w:val="20"/>
      <w:szCs w:val="20"/>
    </w:rPr>
  </w:style>
  <w:style w:type="paragraph" w:styleId="CommentSubject">
    <w:name w:val="annotation subject"/>
    <w:basedOn w:val="CommentText"/>
    <w:next w:val="CommentText"/>
    <w:link w:val="CommentSubjectChar"/>
    <w:uiPriority w:val="99"/>
    <w:semiHidden/>
    <w:unhideWhenUsed/>
    <w:rsid w:val="00CB0965"/>
    <w:rPr>
      <w:b/>
      <w:bCs/>
    </w:rPr>
  </w:style>
  <w:style w:type="character" w:customStyle="1" w:styleId="CommentSubjectChar">
    <w:name w:val="Comment Subject Char"/>
    <w:basedOn w:val="CommentTextChar"/>
    <w:link w:val="CommentSubject"/>
    <w:uiPriority w:val="99"/>
    <w:semiHidden/>
    <w:rsid w:val="00CB0965"/>
    <w:rPr>
      <w:b/>
      <w:bCs/>
      <w:sz w:val="20"/>
      <w:szCs w:val="20"/>
    </w:rPr>
  </w:style>
  <w:style w:type="paragraph" w:styleId="BalloonText">
    <w:name w:val="Balloon Text"/>
    <w:basedOn w:val="Normal"/>
    <w:link w:val="BalloonTextChar"/>
    <w:uiPriority w:val="99"/>
    <w:semiHidden/>
    <w:unhideWhenUsed/>
    <w:rsid w:val="00CB0965"/>
    <w:rPr>
      <w:rFonts w:ascii="Tahoma" w:hAnsi="Tahoma" w:cs="Tahoma"/>
      <w:sz w:val="16"/>
      <w:szCs w:val="16"/>
    </w:rPr>
  </w:style>
  <w:style w:type="character" w:customStyle="1" w:styleId="BalloonTextChar">
    <w:name w:val="Balloon Text Char"/>
    <w:basedOn w:val="DefaultParagraphFont"/>
    <w:link w:val="BalloonText"/>
    <w:uiPriority w:val="99"/>
    <w:semiHidden/>
    <w:rsid w:val="00CB0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15A0F"/>
    <w:rPr>
      <w:sz w:val="20"/>
      <w:szCs w:val="20"/>
    </w:rPr>
  </w:style>
  <w:style w:type="character" w:customStyle="1" w:styleId="FootnoteTextChar">
    <w:name w:val="Footnote Text Char"/>
    <w:basedOn w:val="DefaultParagraphFont"/>
    <w:link w:val="FootnoteText"/>
    <w:uiPriority w:val="99"/>
    <w:semiHidden/>
    <w:rsid w:val="00F15A0F"/>
    <w:rPr>
      <w:sz w:val="20"/>
      <w:szCs w:val="20"/>
    </w:rPr>
  </w:style>
  <w:style w:type="character" w:styleId="FootnoteReference">
    <w:name w:val="footnote reference"/>
    <w:basedOn w:val="DefaultParagraphFont"/>
    <w:uiPriority w:val="99"/>
    <w:semiHidden/>
    <w:unhideWhenUsed/>
    <w:rsid w:val="00F15A0F"/>
    <w:rPr>
      <w:vertAlign w:val="superscript"/>
    </w:rPr>
  </w:style>
  <w:style w:type="table" w:styleId="TableGrid">
    <w:name w:val="Table Grid"/>
    <w:basedOn w:val="TableNormal"/>
    <w:uiPriority w:val="59"/>
    <w:rsid w:val="0095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5C3"/>
    <w:pPr>
      <w:ind w:left="720"/>
      <w:contextualSpacing/>
    </w:pPr>
  </w:style>
  <w:style w:type="paragraph" w:styleId="Header">
    <w:name w:val="header"/>
    <w:basedOn w:val="Normal"/>
    <w:link w:val="HeaderChar"/>
    <w:uiPriority w:val="99"/>
    <w:unhideWhenUsed/>
    <w:rsid w:val="00134880"/>
    <w:pPr>
      <w:tabs>
        <w:tab w:val="center" w:pos="4680"/>
        <w:tab w:val="right" w:pos="9360"/>
      </w:tabs>
    </w:pPr>
  </w:style>
  <w:style w:type="character" w:customStyle="1" w:styleId="HeaderChar">
    <w:name w:val="Header Char"/>
    <w:basedOn w:val="DefaultParagraphFont"/>
    <w:link w:val="Header"/>
    <w:uiPriority w:val="99"/>
    <w:rsid w:val="00134880"/>
  </w:style>
  <w:style w:type="paragraph" w:styleId="Footer">
    <w:name w:val="footer"/>
    <w:basedOn w:val="Normal"/>
    <w:link w:val="FooterChar"/>
    <w:uiPriority w:val="99"/>
    <w:unhideWhenUsed/>
    <w:rsid w:val="00134880"/>
    <w:pPr>
      <w:tabs>
        <w:tab w:val="center" w:pos="4680"/>
        <w:tab w:val="right" w:pos="9360"/>
      </w:tabs>
    </w:pPr>
  </w:style>
  <w:style w:type="character" w:customStyle="1" w:styleId="FooterChar">
    <w:name w:val="Footer Char"/>
    <w:basedOn w:val="DefaultParagraphFont"/>
    <w:link w:val="Footer"/>
    <w:uiPriority w:val="99"/>
    <w:rsid w:val="00134880"/>
  </w:style>
  <w:style w:type="character" w:styleId="CommentReference">
    <w:name w:val="annotation reference"/>
    <w:basedOn w:val="DefaultParagraphFont"/>
    <w:uiPriority w:val="99"/>
    <w:semiHidden/>
    <w:unhideWhenUsed/>
    <w:rsid w:val="00CB0965"/>
    <w:rPr>
      <w:sz w:val="16"/>
      <w:szCs w:val="16"/>
    </w:rPr>
  </w:style>
  <w:style w:type="paragraph" w:styleId="CommentText">
    <w:name w:val="annotation text"/>
    <w:basedOn w:val="Normal"/>
    <w:link w:val="CommentTextChar"/>
    <w:uiPriority w:val="99"/>
    <w:semiHidden/>
    <w:unhideWhenUsed/>
    <w:rsid w:val="00CB0965"/>
    <w:rPr>
      <w:sz w:val="20"/>
      <w:szCs w:val="20"/>
    </w:rPr>
  </w:style>
  <w:style w:type="character" w:customStyle="1" w:styleId="CommentTextChar">
    <w:name w:val="Comment Text Char"/>
    <w:basedOn w:val="DefaultParagraphFont"/>
    <w:link w:val="CommentText"/>
    <w:uiPriority w:val="99"/>
    <w:semiHidden/>
    <w:rsid w:val="00CB0965"/>
    <w:rPr>
      <w:sz w:val="20"/>
      <w:szCs w:val="20"/>
    </w:rPr>
  </w:style>
  <w:style w:type="paragraph" w:styleId="CommentSubject">
    <w:name w:val="annotation subject"/>
    <w:basedOn w:val="CommentText"/>
    <w:next w:val="CommentText"/>
    <w:link w:val="CommentSubjectChar"/>
    <w:uiPriority w:val="99"/>
    <w:semiHidden/>
    <w:unhideWhenUsed/>
    <w:rsid w:val="00CB0965"/>
    <w:rPr>
      <w:b/>
      <w:bCs/>
    </w:rPr>
  </w:style>
  <w:style w:type="character" w:customStyle="1" w:styleId="CommentSubjectChar">
    <w:name w:val="Comment Subject Char"/>
    <w:basedOn w:val="CommentTextChar"/>
    <w:link w:val="CommentSubject"/>
    <w:uiPriority w:val="99"/>
    <w:semiHidden/>
    <w:rsid w:val="00CB0965"/>
    <w:rPr>
      <w:b/>
      <w:bCs/>
      <w:sz w:val="20"/>
      <w:szCs w:val="20"/>
    </w:rPr>
  </w:style>
  <w:style w:type="paragraph" w:styleId="BalloonText">
    <w:name w:val="Balloon Text"/>
    <w:basedOn w:val="Normal"/>
    <w:link w:val="BalloonTextChar"/>
    <w:uiPriority w:val="99"/>
    <w:semiHidden/>
    <w:unhideWhenUsed/>
    <w:rsid w:val="00CB0965"/>
    <w:rPr>
      <w:rFonts w:ascii="Tahoma" w:hAnsi="Tahoma" w:cs="Tahoma"/>
      <w:sz w:val="16"/>
      <w:szCs w:val="16"/>
    </w:rPr>
  </w:style>
  <w:style w:type="character" w:customStyle="1" w:styleId="BalloonTextChar">
    <w:name w:val="Balloon Text Char"/>
    <w:basedOn w:val="DefaultParagraphFont"/>
    <w:link w:val="BalloonText"/>
    <w:uiPriority w:val="99"/>
    <w:semiHidden/>
    <w:rsid w:val="00CB0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A6A82-1FBA-46DC-A02C-3BF7FA397B1C}"/>
</file>

<file path=customXml/itemProps2.xml><?xml version="1.0" encoding="utf-8"?>
<ds:datastoreItem xmlns:ds="http://schemas.openxmlformats.org/officeDocument/2006/customXml" ds:itemID="{2693C47B-51B3-4012-9DA9-E875714EAA7D}"/>
</file>

<file path=customXml/itemProps3.xml><?xml version="1.0" encoding="utf-8"?>
<ds:datastoreItem xmlns:ds="http://schemas.openxmlformats.org/officeDocument/2006/customXml" ds:itemID="{3AF0B3BF-384B-4A18-A23E-D4F638379657}"/>
</file>

<file path=customXml/itemProps4.xml><?xml version="1.0" encoding="utf-8"?>
<ds:datastoreItem xmlns:ds="http://schemas.openxmlformats.org/officeDocument/2006/customXml" ds:itemID="{36CB8E90-5FDB-4DC3-B9D7-4E911A728F1E}"/>
</file>

<file path=customXml/itemProps5.xml><?xml version="1.0" encoding="utf-8"?>
<ds:datastoreItem xmlns:ds="http://schemas.openxmlformats.org/officeDocument/2006/customXml" ds:itemID="{E3DA9B6C-4954-4280-8320-26AF173676DF}"/>
</file>

<file path=docProps/app.xml><?xml version="1.0" encoding="utf-8"?>
<Properties xmlns="http://schemas.openxmlformats.org/officeDocument/2006/extended-properties" xmlns:vt="http://schemas.openxmlformats.org/officeDocument/2006/docPropsVTypes">
  <Template>Normal.dotm</Template>
  <TotalTime>5</TotalTime>
  <Pages>7</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Twitchell</dc:creator>
  <cp:lastModifiedBy>Krista Gross</cp:lastModifiedBy>
  <cp:revision>5</cp:revision>
  <dcterms:created xsi:type="dcterms:W3CDTF">2014-06-30T20:34:00Z</dcterms:created>
  <dcterms:modified xsi:type="dcterms:W3CDTF">2014-06-30T22:21:00Z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0x0101006E56B4D1795A2E4DB2F0B01679ED314A008EC0D5F6EAA1564A915F198CD04D0CEE</vt:lpwstr>
  </property>
  <property fmtid="{D5CDD505-2E9C-101B-9397-08002B2CF9AE}" pid="3" name="_docset_NoMedatataSyncRequired">
    <vt:lpwstr>False</vt:lpwstr>
  </property>
</Properties>
</file>