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8F673" w14:textId="35FA03DF" w:rsidR="00C0665B" w:rsidRPr="00B814E2" w:rsidRDefault="00B814E2" w:rsidP="00B814E2">
      <w:pPr>
        <w:ind w:left="5760"/>
        <w:rPr>
          <w:b/>
        </w:rPr>
      </w:pPr>
      <w:bookmarkStart w:id="0" w:name="_GoBack"/>
      <w:bookmarkEnd w:id="0"/>
      <w:r w:rsidRPr="00B814E2">
        <w:rPr>
          <w:b/>
        </w:rPr>
        <w:t>Exhibit No. ___ (</w:t>
      </w:r>
      <w:r w:rsidR="00543D59">
        <w:rPr>
          <w:b/>
        </w:rPr>
        <w:t>TES</w:t>
      </w:r>
      <w:r w:rsidRPr="00B814E2">
        <w:rPr>
          <w:b/>
        </w:rPr>
        <w:t>-</w:t>
      </w:r>
      <w:r w:rsidR="00F94E04">
        <w:rPr>
          <w:b/>
        </w:rPr>
        <w:t>6</w:t>
      </w:r>
      <w:r w:rsidRPr="00B814E2">
        <w:rPr>
          <w:b/>
        </w:rPr>
        <w:t>T)</w:t>
      </w:r>
    </w:p>
    <w:p w14:paraId="5F835771" w14:textId="77777777" w:rsidR="00B814E2" w:rsidRPr="00B814E2" w:rsidRDefault="00B814E2" w:rsidP="00B814E2">
      <w:pPr>
        <w:ind w:left="5760"/>
        <w:rPr>
          <w:b/>
        </w:rPr>
      </w:pPr>
      <w:r w:rsidRPr="00B814E2">
        <w:rPr>
          <w:b/>
        </w:rPr>
        <w:t>Docket</w:t>
      </w:r>
      <w:r w:rsidR="00543D59">
        <w:rPr>
          <w:b/>
        </w:rPr>
        <w:t>s UE-121697, et al.</w:t>
      </w:r>
    </w:p>
    <w:p w14:paraId="4CBE76B2" w14:textId="77777777" w:rsidR="00B814E2" w:rsidRPr="00B814E2" w:rsidRDefault="0046251D" w:rsidP="00B814E2">
      <w:pPr>
        <w:ind w:left="5760"/>
        <w:rPr>
          <w:b/>
        </w:rPr>
      </w:pPr>
      <w:r>
        <w:rPr>
          <w:b/>
        </w:rPr>
        <w:t xml:space="preserve">Witness:  </w:t>
      </w:r>
      <w:r w:rsidR="00543D59">
        <w:rPr>
          <w:b/>
        </w:rPr>
        <w:t>Thomas E. Schooley</w:t>
      </w:r>
    </w:p>
    <w:p w14:paraId="41DC730A" w14:textId="77777777" w:rsidR="00B814E2" w:rsidRPr="00B814E2" w:rsidRDefault="00B814E2" w:rsidP="00B814E2">
      <w:pPr>
        <w:rPr>
          <w:b/>
        </w:rPr>
      </w:pPr>
    </w:p>
    <w:p w14:paraId="41362172" w14:textId="77777777" w:rsidR="00B814E2" w:rsidRPr="00B814E2" w:rsidRDefault="00B814E2" w:rsidP="00B814E2">
      <w:pPr>
        <w:rPr>
          <w:b/>
        </w:rPr>
      </w:pPr>
    </w:p>
    <w:p w14:paraId="54ADF1F2" w14:textId="77777777" w:rsidR="00B814E2" w:rsidRPr="00B814E2" w:rsidRDefault="00B814E2" w:rsidP="00B814E2">
      <w:pPr>
        <w:ind w:left="-360" w:right="-252"/>
        <w:jc w:val="center"/>
        <w:rPr>
          <w:b/>
        </w:rPr>
      </w:pPr>
      <w:r w:rsidRPr="00B814E2">
        <w:rPr>
          <w:b/>
        </w:rPr>
        <w:t>BEFORE THE WASHINGTON UTILITIES AND TRANSPORTATION COMMISSION</w:t>
      </w:r>
    </w:p>
    <w:p w14:paraId="3027C175" w14:textId="77777777" w:rsidR="00B814E2" w:rsidRPr="00B814E2" w:rsidRDefault="00B814E2" w:rsidP="00B814E2">
      <w:pPr>
        <w:rPr>
          <w:b/>
        </w:rPr>
      </w:pPr>
    </w:p>
    <w:p w14:paraId="0035789B"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D13BE7" w:rsidRPr="00D13BE7" w14:paraId="0C544883" w14:textId="77777777" w:rsidTr="00D83D39">
        <w:tc>
          <w:tcPr>
            <w:tcW w:w="4590" w:type="dxa"/>
            <w:tcBorders>
              <w:top w:val="single" w:sz="6" w:space="0" w:color="FFFFFF"/>
              <w:left w:val="single" w:sz="6" w:space="0" w:color="FFFFFF"/>
              <w:bottom w:val="single" w:sz="6" w:space="0" w:color="FFFFFF"/>
              <w:right w:val="single" w:sz="6" w:space="0" w:color="FFFFFF"/>
            </w:tcBorders>
          </w:tcPr>
          <w:p w14:paraId="1E607048" w14:textId="77777777" w:rsidR="00D13BE7" w:rsidRPr="00D13BE7" w:rsidRDefault="00D13BE7" w:rsidP="00D83D39">
            <w:pPr>
              <w:rPr>
                <w:b/>
              </w:rPr>
            </w:pPr>
            <w:r w:rsidRPr="00D13BE7">
              <w:rPr>
                <w:b/>
              </w:rPr>
              <w:t>WASHINGTON UTILITIES AND TRANSPORTATION COMMISSION,</w:t>
            </w:r>
          </w:p>
          <w:p w14:paraId="74C046CE" w14:textId="77777777" w:rsidR="00D13BE7" w:rsidRPr="00D13BE7" w:rsidRDefault="00D13BE7" w:rsidP="00D83D39">
            <w:pPr>
              <w:rPr>
                <w:b/>
              </w:rPr>
            </w:pPr>
          </w:p>
          <w:p w14:paraId="0F695476" w14:textId="77777777" w:rsidR="00D13BE7" w:rsidRPr="00D13BE7" w:rsidRDefault="00D13BE7" w:rsidP="00D83D39">
            <w:pPr>
              <w:rPr>
                <w:b/>
              </w:rPr>
            </w:pPr>
            <w:r w:rsidRPr="00D13BE7">
              <w:rPr>
                <w:b/>
              </w:rPr>
              <w:t xml:space="preserve">                           Complainant,</w:t>
            </w:r>
          </w:p>
          <w:p w14:paraId="56D9DDA6" w14:textId="77777777" w:rsidR="00D13BE7" w:rsidRPr="00D13BE7" w:rsidRDefault="00D13BE7" w:rsidP="00D83D39">
            <w:pPr>
              <w:rPr>
                <w:b/>
              </w:rPr>
            </w:pPr>
          </w:p>
          <w:p w14:paraId="7F191EA4" w14:textId="77777777" w:rsidR="00D13BE7" w:rsidRPr="00D13BE7" w:rsidRDefault="00D13BE7" w:rsidP="00D83D39">
            <w:pPr>
              <w:rPr>
                <w:b/>
              </w:rPr>
            </w:pPr>
            <w:r w:rsidRPr="00D13BE7">
              <w:rPr>
                <w:b/>
              </w:rPr>
              <w:t>v.</w:t>
            </w:r>
          </w:p>
          <w:p w14:paraId="01B964A8" w14:textId="77777777" w:rsidR="00D13BE7" w:rsidRPr="00D13BE7" w:rsidRDefault="00D13BE7" w:rsidP="00D83D39">
            <w:pPr>
              <w:rPr>
                <w:b/>
              </w:rPr>
            </w:pPr>
          </w:p>
          <w:p w14:paraId="405723E0" w14:textId="77777777" w:rsidR="00D13BE7" w:rsidRPr="00D13BE7" w:rsidRDefault="00D13BE7" w:rsidP="00D83D39">
            <w:pPr>
              <w:rPr>
                <w:b/>
              </w:rPr>
            </w:pPr>
            <w:r w:rsidRPr="00D13BE7">
              <w:rPr>
                <w:b/>
              </w:rPr>
              <w:t>PUGET SOUND ENERGY,</w:t>
            </w:r>
          </w:p>
          <w:p w14:paraId="6A080D9C" w14:textId="77777777" w:rsidR="00D13BE7" w:rsidRPr="00D13BE7" w:rsidRDefault="00D13BE7" w:rsidP="00D83D39">
            <w:pPr>
              <w:rPr>
                <w:b/>
              </w:rPr>
            </w:pPr>
          </w:p>
          <w:p w14:paraId="51FF0438" w14:textId="77777777" w:rsidR="00D13BE7" w:rsidRPr="00D13BE7" w:rsidRDefault="00D13BE7" w:rsidP="00D83D39">
            <w:pPr>
              <w:rPr>
                <w:b/>
              </w:rPr>
            </w:pPr>
            <w:r w:rsidRPr="00D13BE7">
              <w:rPr>
                <w:b/>
              </w:rPr>
              <w:t xml:space="preserve">                           Respondent.</w:t>
            </w:r>
          </w:p>
          <w:p w14:paraId="3F51BD6C" w14:textId="77777777" w:rsidR="00D13BE7" w:rsidRPr="00D13BE7" w:rsidRDefault="00D13BE7" w:rsidP="00D83D39">
            <w:pPr>
              <w:rPr>
                <w:b/>
              </w:rPr>
            </w:pPr>
            <w:r w:rsidRPr="00D13BE7">
              <w:rPr>
                <w:b/>
              </w:rPr>
              <w:t>____________________________________</w:t>
            </w:r>
          </w:p>
          <w:p w14:paraId="3DDCB359" w14:textId="77777777" w:rsidR="00D13BE7" w:rsidRPr="00D13BE7" w:rsidRDefault="00D13BE7" w:rsidP="00D83D39">
            <w:pPr>
              <w:rPr>
                <w:b/>
              </w:rPr>
            </w:pPr>
          </w:p>
          <w:p w14:paraId="56D93260" w14:textId="77777777" w:rsidR="00D13BE7" w:rsidRPr="00D13BE7" w:rsidRDefault="00D13BE7" w:rsidP="00D83D39">
            <w:pPr>
              <w:rPr>
                <w:b/>
              </w:rPr>
            </w:pPr>
            <w:r w:rsidRPr="00D13BE7">
              <w:rPr>
                <w:b/>
              </w:rPr>
              <w:t>WASHINGTON UTILITIES AND TRANSPORTATION COMMISSION,</w:t>
            </w:r>
          </w:p>
          <w:p w14:paraId="656E6CEE" w14:textId="77777777" w:rsidR="00D13BE7" w:rsidRPr="00D13BE7" w:rsidRDefault="00D13BE7" w:rsidP="00D83D39">
            <w:pPr>
              <w:rPr>
                <w:b/>
              </w:rPr>
            </w:pPr>
          </w:p>
          <w:p w14:paraId="5855E16B" w14:textId="77777777" w:rsidR="00D13BE7" w:rsidRPr="00D13BE7" w:rsidRDefault="00D13BE7" w:rsidP="00D83D39">
            <w:pPr>
              <w:rPr>
                <w:b/>
              </w:rPr>
            </w:pPr>
            <w:r w:rsidRPr="00D13BE7">
              <w:rPr>
                <w:b/>
              </w:rPr>
              <w:tab/>
            </w:r>
            <w:r w:rsidRPr="00D13BE7">
              <w:rPr>
                <w:b/>
              </w:rPr>
              <w:tab/>
              <w:t>Complainant,</w:t>
            </w:r>
          </w:p>
          <w:p w14:paraId="71B5A27B" w14:textId="77777777" w:rsidR="00D13BE7" w:rsidRPr="00D13BE7" w:rsidRDefault="00D13BE7" w:rsidP="00D83D39">
            <w:pPr>
              <w:rPr>
                <w:b/>
              </w:rPr>
            </w:pPr>
          </w:p>
          <w:p w14:paraId="60273601" w14:textId="77777777" w:rsidR="00D13BE7" w:rsidRPr="00D13BE7" w:rsidRDefault="00D13BE7" w:rsidP="00D83D39">
            <w:pPr>
              <w:rPr>
                <w:b/>
              </w:rPr>
            </w:pPr>
            <w:r w:rsidRPr="00D13BE7">
              <w:rPr>
                <w:b/>
              </w:rPr>
              <w:t>v.</w:t>
            </w:r>
          </w:p>
          <w:p w14:paraId="5B4F9ECD" w14:textId="77777777" w:rsidR="00D13BE7" w:rsidRPr="00D13BE7" w:rsidRDefault="00D13BE7" w:rsidP="00D83D39">
            <w:pPr>
              <w:rPr>
                <w:b/>
              </w:rPr>
            </w:pPr>
          </w:p>
          <w:p w14:paraId="188C0188" w14:textId="77777777" w:rsidR="00D13BE7" w:rsidRPr="00D13BE7" w:rsidRDefault="00D13BE7" w:rsidP="00D83D39">
            <w:pPr>
              <w:rPr>
                <w:b/>
              </w:rPr>
            </w:pPr>
            <w:r w:rsidRPr="00D13BE7">
              <w:rPr>
                <w:b/>
              </w:rPr>
              <w:t>PUGET SOUND ENERGY, INC.</w:t>
            </w:r>
          </w:p>
          <w:p w14:paraId="4E2376D4" w14:textId="77777777" w:rsidR="00D13BE7" w:rsidRPr="00D13BE7" w:rsidRDefault="00D13BE7" w:rsidP="00D83D39">
            <w:pPr>
              <w:rPr>
                <w:b/>
              </w:rPr>
            </w:pPr>
          </w:p>
          <w:p w14:paraId="4192743D" w14:textId="77777777" w:rsidR="00D13BE7" w:rsidRPr="00D13BE7" w:rsidRDefault="00D13BE7" w:rsidP="00D83D39">
            <w:pPr>
              <w:rPr>
                <w:b/>
              </w:rPr>
            </w:pPr>
            <w:r w:rsidRPr="00D13BE7">
              <w:rPr>
                <w:b/>
              </w:rPr>
              <w:tab/>
            </w:r>
            <w:r w:rsidRPr="00D13BE7">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A821E1B" w14:textId="77777777" w:rsidR="00D13BE7" w:rsidRPr="00D13BE7" w:rsidRDefault="00D13BE7" w:rsidP="00D83D39">
            <w:pPr>
              <w:ind w:firstLine="720"/>
              <w:rPr>
                <w:b/>
              </w:rPr>
            </w:pPr>
            <w:r w:rsidRPr="00D13BE7">
              <w:rPr>
                <w:b/>
              </w:rPr>
              <w:t>DOCKETS UE-121697 and</w:t>
            </w:r>
          </w:p>
          <w:p w14:paraId="5CC9B265" w14:textId="77777777" w:rsidR="00D13BE7" w:rsidRPr="00D13BE7" w:rsidRDefault="00D13BE7" w:rsidP="00D83D39">
            <w:pPr>
              <w:ind w:firstLine="720"/>
              <w:rPr>
                <w:b/>
              </w:rPr>
            </w:pPr>
            <w:r w:rsidRPr="00D13BE7">
              <w:rPr>
                <w:b/>
              </w:rPr>
              <w:t>UG-121705 (</w:t>
            </w:r>
            <w:r w:rsidRPr="00D13BE7">
              <w:rPr>
                <w:b/>
                <w:i/>
              </w:rPr>
              <w:t>consolidated</w:t>
            </w:r>
            <w:r w:rsidRPr="00D13BE7">
              <w:rPr>
                <w:b/>
              </w:rPr>
              <w:t xml:space="preserve">) </w:t>
            </w:r>
          </w:p>
          <w:p w14:paraId="40CDBC8F" w14:textId="77777777" w:rsidR="00D13BE7" w:rsidRPr="00D13BE7" w:rsidRDefault="00D13BE7" w:rsidP="00D83D39">
            <w:pPr>
              <w:rPr>
                <w:b/>
              </w:rPr>
            </w:pPr>
          </w:p>
          <w:p w14:paraId="2FC79B0F" w14:textId="77777777" w:rsidR="00D13BE7" w:rsidRPr="00D13BE7" w:rsidRDefault="00D13BE7" w:rsidP="00D83D39">
            <w:pPr>
              <w:ind w:left="720"/>
              <w:rPr>
                <w:b/>
              </w:rPr>
            </w:pPr>
          </w:p>
          <w:p w14:paraId="17945183" w14:textId="77777777" w:rsidR="00D13BE7" w:rsidRPr="00D13BE7" w:rsidRDefault="00D13BE7" w:rsidP="00D83D39">
            <w:pPr>
              <w:ind w:left="720"/>
              <w:rPr>
                <w:b/>
              </w:rPr>
            </w:pPr>
          </w:p>
          <w:p w14:paraId="3007D7DF" w14:textId="77777777" w:rsidR="00D13BE7" w:rsidRPr="00D13BE7" w:rsidRDefault="00D13BE7" w:rsidP="00D83D39">
            <w:pPr>
              <w:ind w:left="720"/>
              <w:rPr>
                <w:b/>
              </w:rPr>
            </w:pPr>
          </w:p>
          <w:p w14:paraId="37F15237" w14:textId="77777777" w:rsidR="00D13BE7" w:rsidRPr="00D13BE7" w:rsidRDefault="00D13BE7" w:rsidP="00D83D39">
            <w:pPr>
              <w:ind w:left="720"/>
              <w:rPr>
                <w:b/>
              </w:rPr>
            </w:pPr>
          </w:p>
          <w:p w14:paraId="3FEBD768" w14:textId="77777777" w:rsidR="00D13BE7" w:rsidRPr="00D13BE7" w:rsidRDefault="00D13BE7" w:rsidP="00D83D39">
            <w:pPr>
              <w:ind w:left="720"/>
              <w:rPr>
                <w:b/>
              </w:rPr>
            </w:pPr>
          </w:p>
          <w:p w14:paraId="55B378F0" w14:textId="77777777" w:rsidR="00D13BE7" w:rsidRPr="00D13BE7" w:rsidRDefault="00D13BE7" w:rsidP="00D83D39">
            <w:pPr>
              <w:ind w:left="720"/>
              <w:rPr>
                <w:b/>
              </w:rPr>
            </w:pPr>
          </w:p>
          <w:p w14:paraId="613365F4" w14:textId="77777777" w:rsidR="00D13BE7" w:rsidRPr="00D13BE7" w:rsidRDefault="00D13BE7" w:rsidP="00D83D39">
            <w:pPr>
              <w:ind w:left="720"/>
              <w:rPr>
                <w:b/>
              </w:rPr>
            </w:pPr>
          </w:p>
          <w:p w14:paraId="0BDB2885" w14:textId="77777777" w:rsidR="00D13BE7" w:rsidRPr="00D13BE7" w:rsidRDefault="00D13BE7" w:rsidP="00D83D39">
            <w:pPr>
              <w:ind w:left="720"/>
              <w:rPr>
                <w:b/>
              </w:rPr>
            </w:pPr>
          </w:p>
          <w:p w14:paraId="71AE38DA" w14:textId="77777777" w:rsidR="00D13BE7" w:rsidRPr="00D13BE7" w:rsidRDefault="00D13BE7" w:rsidP="00D83D39">
            <w:pPr>
              <w:ind w:left="720"/>
              <w:rPr>
                <w:b/>
              </w:rPr>
            </w:pPr>
          </w:p>
          <w:p w14:paraId="43C7E86C" w14:textId="77777777" w:rsidR="00D13BE7" w:rsidRPr="00D13BE7" w:rsidRDefault="00D13BE7" w:rsidP="00D83D39">
            <w:pPr>
              <w:ind w:left="720"/>
              <w:rPr>
                <w:b/>
              </w:rPr>
            </w:pPr>
            <w:r w:rsidRPr="00D13BE7">
              <w:rPr>
                <w:b/>
              </w:rPr>
              <w:t>DOCKETS UE-130137 and</w:t>
            </w:r>
          </w:p>
          <w:p w14:paraId="672C605B" w14:textId="77777777" w:rsidR="00D13BE7" w:rsidRPr="00D13BE7" w:rsidRDefault="00D13BE7" w:rsidP="00D83D39">
            <w:pPr>
              <w:ind w:left="720"/>
              <w:rPr>
                <w:b/>
              </w:rPr>
            </w:pPr>
            <w:r w:rsidRPr="00D13BE7">
              <w:rPr>
                <w:b/>
              </w:rPr>
              <w:t>UG-130138 (</w:t>
            </w:r>
            <w:r w:rsidRPr="00D13BE7">
              <w:rPr>
                <w:b/>
                <w:i/>
              </w:rPr>
              <w:t>consolidated</w:t>
            </w:r>
            <w:r w:rsidRPr="00D13BE7">
              <w:rPr>
                <w:b/>
              </w:rPr>
              <w:t>)</w:t>
            </w:r>
          </w:p>
          <w:p w14:paraId="2C797D31" w14:textId="77777777" w:rsidR="00D13BE7" w:rsidRPr="00D13BE7" w:rsidRDefault="00D13BE7" w:rsidP="00D83D39">
            <w:pPr>
              <w:ind w:left="720"/>
              <w:rPr>
                <w:b/>
              </w:rPr>
            </w:pPr>
          </w:p>
          <w:p w14:paraId="4BC49D7D" w14:textId="77777777" w:rsidR="00D13BE7" w:rsidRPr="00D13BE7" w:rsidRDefault="00D13BE7" w:rsidP="00D83D39">
            <w:pPr>
              <w:ind w:left="720"/>
              <w:rPr>
                <w:b/>
              </w:rPr>
            </w:pPr>
          </w:p>
          <w:p w14:paraId="50DA9256" w14:textId="77777777" w:rsidR="00D13BE7" w:rsidRPr="00D13BE7" w:rsidRDefault="00D13BE7" w:rsidP="00D83D39">
            <w:pPr>
              <w:ind w:left="720"/>
              <w:rPr>
                <w:b/>
              </w:rPr>
            </w:pPr>
          </w:p>
          <w:p w14:paraId="6C2CC37B" w14:textId="77777777" w:rsidR="00D13BE7" w:rsidRPr="00D13BE7" w:rsidRDefault="00D13BE7" w:rsidP="00D83D39">
            <w:pPr>
              <w:ind w:left="720"/>
              <w:rPr>
                <w:b/>
              </w:rPr>
            </w:pPr>
          </w:p>
        </w:tc>
      </w:tr>
      <w:tr w:rsidR="00D13BE7" w:rsidRPr="00D13BE7" w14:paraId="7880BBE9" w14:textId="77777777" w:rsidTr="00D83D39">
        <w:tc>
          <w:tcPr>
            <w:tcW w:w="4590" w:type="dxa"/>
            <w:tcBorders>
              <w:top w:val="single" w:sz="6" w:space="0" w:color="FFFFFF"/>
              <w:left w:val="single" w:sz="6" w:space="0" w:color="FFFFFF"/>
              <w:bottom w:val="single" w:sz="7" w:space="0" w:color="000000"/>
              <w:right w:val="single" w:sz="6" w:space="0" w:color="FFFFFF"/>
            </w:tcBorders>
          </w:tcPr>
          <w:p w14:paraId="186E82C3" w14:textId="77777777" w:rsidR="00D13BE7" w:rsidRPr="00D13BE7" w:rsidRDefault="00D13BE7" w:rsidP="00D83D39">
            <w:pPr>
              <w:rPr>
                <w:b/>
              </w:rPr>
            </w:pPr>
          </w:p>
        </w:tc>
        <w:tc>
          <w:tcPr>
            <w:tcW w:w="4590" w:type="dxa"/>
            <w:tcBorders>
              <w:top w:val="single" w:sz="6" w:space="0" w:color="FFFFFF"/>
              <w:left w:val="single" w:sz="7" w:space="0" w:color="000000"/>
              <w:bottom w:val="single" w:sz="6" w:space="0" w:color="FFFFFF"/>
              <w:right w:val="single" w:sz="6" w:space="0" w:color="FFFFFF"/>
            </w:tcBorders>
          </w:tcPr>
          <w:p w14:paraId="629B3D04" w14:textId="77777777" w:rsidR="00D13BE7" w:rsidRPr="00D13BE7" w:rsidRDefault="00D13BE7" w:rsidP="00D83D39">
            <w:pPr>
              <w:ind w:firstLine="720"/>
              <w:rPr>
                <w:b/>
              </w:rPr>
            </w:pPr>
          </w:p>
        </w:tc>
      </w:tr>
    </w:tbl>
    <w:p w14:paraId="7DB5C457" w14:textId="77777777" w:rsidR="00D13BE7" w:rsidRPr="00D13BE7" w:rsidRDefault="00D13BE7" w:rsidP="00D13BE7">
      <w:pPr>
        <w:jc w:val="both"/>
        <w:rPr>
          <w:b/>
        </w:rPr>
      </w:pPr>
    </w:p>
    <w:p w14:paraId="413A309F" w14:textId="77777777" w:rsidR="00B814E2" w:rsidRPr="00D13BE7" w:rsidRDefault="00B814E2" w:rsidP="00B814E2">
      <w:pPr>
        <w:rPr>
          <w:b/>
          <w:bCs/>
        </w:rPr>
      </w:pPr>
    </w:p>
    <w:p w14:paraId="706816B4" w14:textId="77777777" w:rsidR="00B814E2" w:rsidRPr="00D13BE7" w:rsidRDefault="00B814E2" w:rsidP="00B814E2">
      <w:pPr>
        <w:rPr>
          <w:b/>
          <w:bCs/>
        </w:rPr>
      </w:pPr>
    </w:p>
    <w:p w14:paraId="643BFA83" w14:textId="77777777" w:rsidR="00B814E2" w:rsidRPr="00D13BE7" w:rsidRDefault="00B814E2" w:rsidP="00B814E2">
      <w:pPr>
        <w:tabs>
          <w:tab w:val="center" w:pos="4680"/>
        </w:tabs>
        <w:jc w:val="center"/>
        <w:rPr>
          <w:b/>
          <w:bCs/>
        </w:rPr>
      </w:pPr>
      <w:r w:rsidRPr="00D13BE7">
        <w:rPr>
          <w:b/>
          <w:bCs/>
        </w:rPr>
        <w:t>TESTIMONY OF</w:t>
      </w:r>
    </w:p>
    <w:p w14:paraId="6C066EFF" w14:textId="77777777" w:rsidR="00B814E2" w:rsidRDefault="00B814E2" w:rsidP="00B814E2">
      <w:pPr>
        <w:jc w:val="center"/>
        <w:rPr>
          <w:b/>
          <w:bCs/>
        </w:rPr>
      </w:pPr>
    </w:p>
    <w:p w14:paraId="4DDD0CB2" w14:textId="77777777" w:rsidR="00B814E2" w:rsidRDefault="00D13BE7" w:rsidP="00B814E2">
      <w:pPr>
        <w:tabs>
          <w:tab w:val="center" w:pos="4680"/>
        </w:tabs>
        <w:jc w:val="center"/>
        <w:rPr>
          <w:b/>
          <w:bCs/>
        </w:rPr>
      </w:pPr>
      <w:r w:rsidRPr="00D13BE7">
        <w:rPr>
          <w:b/>
          <w:bCs/>
        </w:rPr>
        <w:t>Thomas E. Schooley</w:t>
      </w:r>
    </w:p>
    <w:p w14:paraId="343CDD69" w14:textId="77777777" w:rsidR="00D13BE7" w:rsidRDefault="00D13BE7" w:rsidP="00B814E2">
      <w:pPr>
        <w:tabs>
          <w:tab w:val="center" w:pos="4680"/>
        </w:tabs>
        <w:jc w:val="center"/>
        <w:rPr>
          <w:b/>
          <w:bCs/>
        </w:rPr>
      </w:pPr>
    </w:p>
    <w:p w14:paraId="1E06C955" w14:textId="77777777" w:rsidR="00B814E2" w:rsidRDefault="00B814E2" w:rsidP="00B814E2">
      <w:pPr>
        <w:tabs>
          <w:tab w:val="center" w:pos="4680"/>
        </w:tabs>
        <w:jc w:val="center"/>
        <w:rPr>
          <w:b/>
          <w:bCs/>
        </w:rPr>
      </w:pPr>
      <w:r>
        <w:rPr>
          <w:b/>
          <w:bCs/>
        </w:rPr>
        <w:t>STAFF OF</w:t>
      </w:r>
    </w:p>
    <w:p w14:paraId="05668099"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48602255" w14:textId="77777777" w:rsidR="00B814E2" w:rsidRDefault="00B814E2" w:rsidP="00B814E2">
      <w:pPr>
        <w:tabs>
          <w:tab w:val="center" w:pos="4680"/>
        </w:tabs>
        <w:jc w:val="center"/>
        <w:rPr>
          <w:b/>
          <w:bCs/>
        </w:rPr>
      </w:pPr>
      <w:r>
        <w:rPr>
          <w:b/>
          <w:bCs/>
        </w:rPr>
        <w:t>TRANSPORTATION COMMISSION</w:t>
      </w:r>
    </w:p>
    <w:p w14:paraId="2B11EBED" w14:textId="77777777" w:rsidR="00B814E2" w:rsidRDefault="00B814E2" w:rsidP="00B814E2">
      <w:pPr>
        <w:jc w:val="center"/>
        <w:rPr>
          <w:b/>
          <w:bCs/>
        </w:rPr>
      </w:pPr>
    </w:p>
    <w:p w14:paraId="69949CCA" w14:textId="122AF4E7" w:rsidR="00B814E2" w:rsidRPr="00B814E2" w:rsidRDefault="00B814E2" w:rsidP="00B814E2">
      <w:pPr>
        <w:jc w:val="center"/>
        <w:rPr>
          <w:b/>
          <w:bCs/>
          <w:i/>
        </w:rPr>
      </w:pPr>
      <w:r>
        <w:rPr>
          <w:b/>
          <w:bCs/>
          <w:i/>
        </w:rPr>
        <w:t>Testimony</w:t>
      </w:r>
      <w:r w:rsidR="007A58F2">
        <w:rPr>
          <w:b/>
          <w:bCs/>
          <w:i/>
        </w:rPr>
        <w:t xml:space="preserve"> on Remand</w:t>
      </w:r>
    </w:p>
    <w:p w14:paraId="054FEC58" w14:textId="77777777" w:rsidR="00B814E2" w:rsidRDefault="00B814E2" w:rsidP="00B814E2">
      <w:pPr>
        <w:rPr>
          <w:b/>
          <w:bCs/>
        </w:rPr>
      </w:pPr>
    </w:p>
    <w:p w14:paraId="662AA237" w14:textId="77777777" w:rsidR="00B814E2" w:rsidRDefault="00B814E2" w:rsidP="00B814E2">
      <w:pPr>
        <w:rPr>
          <w:b/>
          <w:bCs/>
        </w:rPr>
      </w:pPr>
    </w:p>
    <w:p w14:paraId="0C9E054E" w14:textId="3C3BF10F" w:rsidR="00B814E2" w:rsidRDefault="0007390F" w:rsidP="00D13BE7">
      <w:pPr>
        <w:jc w:val="center"/>
      </w:pPr>
      <w:r>
        <w:rPr>
          <w:b/>
          <w:bCs/>
        </w:rPr>
        <w:t>December 3</w:t>
      </w:r>
      <w:r w:rsidR="00D13BE7">
        <w:rPr>
          <w:b/>
          <w:bCs/>
        </w:rPr>
        <w:t>, 2014</w:t>
      </w:r>
    </w:p>
    <w:p w14:paraId="253E3557"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5E910054" w14:textId="77777777" w:rsidR="00B814E2" w:rsidRDefault="00B814E2" w:rsidP="00B814E2">
      <w:pPr>
        <w:jc w:val="center"/>
      </w:pPr>
      <w:r>
        <w:rPr>
          <w:b/>
        </w:rPr>
        <w:lastRenderedPageBreak/>
        <w:t>TABLE OF CONTENTS</w:t>
      </w:r>
    </w:p>
    <w:p w14:paraId="7BC6796B" w14:textId="77777777" w:rsidR="00B814E2" w:rsidRDefault="00B814E2" w:rsidP="00B814E2"/>
    <w:p w14:paraId="082CF516" w14:textId="77777777" w:rsidR="00B814E2" w:rsidRDefault="00B814E2" w:rsidP="00B814E2"/>
    <w:p w14:paraId="3FC3002B" w14:textId="77777777" w:rsidR="00B814E2" w:rsidRDefault="00B814E2" w:rsidP="00D939C1">
      <w:pPr>
        <w:tabs>
          <w:tab w:val="left" w:pos="720"/>
          <w:tab w:val="right" w:leader="dot" w:pos="8820"/>
        </w:tabs>
      </w:pPr>
      <w:r>
        <w:t>I.</w:t>
      </w:r>
      <w:r>
        <w:tab/>
        <w:t xml:space="preserve">INTRODUCTION </w:t>
      </w:r>
      <w:r>
        <w:tab/>
        <w:t>1</w:t>
      </w:r>
    </w:p>
    <w:p w14:paraId="36EA4DC9" w14:textId="77777777" w:rsidR="00B814E2" w:rsidRDefault="00B814E2" w:rsidP="00D939C1">
      <w:pPr>
        <w:tabs>
          <w:tab w:val="left" w:pos="720"/>
          <w:tab w:val="right" w:leader="dot" w:pos="8820"/>
        </w:tabs>
      </w:pPr>
    </w:p>
    <w:p w14:paraId="55B6DB87" w14:textId="15020BE0" w:rsidR="00B814E2" w:rsidRDefault="00B814E2" w:rsidP="00D939C1">
      <w:pPr>
        <w:tabs>
          <w:tab w:val="left" w:pos="720"/>
          <w:tab w:val="right" w:leader="dot" w:pos="8820"/>
        </w:tabs>
      </w:pPr>
      <w:r>
        <w:t>II.</w:t>
      </w:r>
      <w:r>
        <w:tab/>
        <w:t xml:space="preserve">SCOPE OF TESTIMONY </w:t>
      </w:r>
      <w:r>
        <w:tab/>
      </w:r>
      <w:r w:rsidR="00322EFE">
        <w:t>1</w:t>
      </w:r>
    </w:p>
    <w:p w14:paraId="528ACFED" w14:textId="77777777" w:rsidR="00322EFE" w:rsidRDefault="00322EFE" w:rsidP="00D939C1">
      <w:pPr>
        <w:tabs>
          <w:tab w:val="left" w:pos="720"/>
          <w:tab w:val="right" w:leader="dot" w:pos="8820"/>
        </w:tabs>
      </w:pPr>
    </w:p>
    <w:p w14:paraId="628C02A1" w14:textId="53C32885" w:rsidR="003871A3" w:rsidRDefault="00140180" w:rsidP="00D939C1">
      <w:pPr>
        <w:tabs>
          <w:tab w:val="left" w:pos="720"/>
          <w:tab w:val="right" w:leader="dot" w:pos="8820"/>
        </w:tabs>
      </w:pPr>
      <w:r>
        <w:t>III.</w:t>
      </w:r>
      <w:r>
        <w:tab/>
      </w:r>
      <w:r w:rsidR="003871A3">
        <w:t>DISCUSSION</w:t>
      </w:r>
      <w:r w:rsidR="00D939C1">
        <w:tab/>
      </w:r>
      <w:r w:rsidR="00513187">
        <w:t>3</w:t>
      </w:r>
      <w:r w:rsidR="00D939C1">
        <w:tab/>
      </w:r>
    </w:p>
    <w:p w14:paraId="20A3F17B" w14:textId="08F81120" w:rsidR="00322EFE" w:rsidRDefault="003871A3" w:rsidP="00631F39">
      <w:pPr>
        <w:pStyle w:val="ListParagraph"/>
        <w:numPr>
          <w:ilvl w:val="0"/>
          <w:numId w:val="2"/>
        </w:numPr>
        <w:tabs>
          <w:tab w:val="left" w:pos="720"/>
          <w:tab w:val="right" w:leader="dot" w:pos="8820"/>
        </w:tabs>
        <w:ind w:left="1440" w:hanging="720"/>
      </w:pPr>
      <w:r w:rsidRPr="002B5778">
        <w:t>PSE’s Rate of Return</w:t>
      </w:r>
      <w:r w:rsidR="00140180" w:rsidRPr="002B5778">
        <w:tab/>
      </w:r>
      <w:r w:rsidR="00513187">
        <w:t>3</w:t>
      </w:r>
    </w:p>
    <w:p w14:paraId="05DA59AA" w14:textId="77777777" w:rsidR="002B5778" w:rsidRPr="002B5778" w:rsidRDefault="002B5778" w:rsidP="00631F39">
      <w:pPr>
        <w:tabs>
          <w:tab w:val="left" w:pos="720"/>
          <w:tab w:val="right" w:leader="dot" w:pos="8820"/>
        </w:tabs>
        <w:ind w:left="1440" w:hanging="720"/>
      </w:pPr>
    </w:p>
    <w:p w14:paraId="0CE32A01" w14:textId="4D1414D1" w:rsidR="002B5778" w:rsidRDefault="002B5778" w:rsidP="00631F39">
      <w:pPr>
        <w:pStyle w:val="ListParagraph"/>
        <w:numPr>
          <w:ilvl w:val="0"/>
          <w:numId w:val="2"/>
        </w:numPr>
        <w:tabs>
          <w:tab w:val="left" w:pos="720"/>
          <w:tab w:val="right" w:leader="dot" w:pos="8820"/>
        </w:tabs>
        <w:ind w:left="1440" w:hanging="720"/>
      </w:pPr>
      <w:r w:rsidRPr="00256871">
        <w:t>Effect of Decoupling on Cost of Capital</w:t>
      </w:r>
      <w:r>
        <w:tab/>
      </w:r>
      <w:r w:rsidR="00513187">
        <w:t>5</w:t>
      </w:r>
    </w:p>
    <w:p w14:paraId="48B86EE7" w14:textId="77777777" w:rsidR="002B5778" w:rsidRDefault="002B5778" w:rsidP="00631F39">
      <w:pPr>
        <w:pStyle w:val="ListParagraph"/>
        <w:ind w:left="1440" w:hanging="720"/>
      </w:pPr>
    </w:p>
    <w:p w14:paraId="2C43A894" w14:textId="4E24E17C" w:rsidR="002B5778" w:rsidRDefault="002B5778" w:rsidP="00631F39">
      <w:pPr>
        <w:pStyle w:val="ListParagraph"/>
        <w:numPr>
          <w:ilvl w:val="0"/>
          <w:numId w:val="2"/>
        </w:numPr>
        <w:tabs>
          <w:tab w:val="left" w:pos="720"/>
          <w:tab w:val="right" w:leader="dot" w:pos="8820"/>
        </w:tabs>
        <w:ind w:left="1440" w:hanging="720"/>
      </w:pPr>
      <w:r w:rsidRPr="00256871">
        <w:t xml:space="preserve">Review of Decoupling and K-Factor Mechanisms </w:t>
      </w:r>
      <w:r>
        <w:t>and</w:t>
      </w:r>
      <w:r>
        <w:br/>
      </w:r>
      <w:r w:rsidRPr="00256871">
        <w:t>Customer Impact to Date</w:t>
      </w:r>
      <w:r>
        <w:tab/>
      </w:r>
      <w:r w:rsidR="00513187">
        <w:t>6</w:t>
      </w:r>
    </w:p>
    <w:p w14:paraId="0262C4C9" w14:textId="23B6032E" w:rsidR="002B5778" w:rsidRDefault="002B5778" w:rsidP="00631F39">
      <w:pPr>
        <w:pStyle w:val="ListParagraph"/>
        <w:ind w:left="1440" w:hanging="720"/>
      </w:pPr>
    </w:p>
    <w:p w14:paraId="41327879" w14:textId="73576B8B" w:rsidR="00B814E2" w:rsidRDefault="002B5778" w:rsidP="00631F39">
      <w:pPr>
        <w:pStyle w:val="ListParagraph"/>
        <w:numPr>
          <w:ilvl w:val="0"/>
          <w:numId w:val="2"/>
        </w:numPr>
        <w:tabs>
          <w:tab w:val="left" w:pos="720"/>
          <w:tab w:val="right" w:leader="dot" w:pos="8820"/>
        </w:tabs>
        <w:ind w:left="1440" w:hanging="720"/>
      </w:pPr>
      <w:r w:rsidRPr="00256871">
        <w:t>Concerns Related to PSE’s Testimony Regarding Earnings Sharing</w:t>
      </w:r>
      <w:r w:rsidR="00B553CA">
        <w:tab/>
      </w:r>
      <w:r w:rsidR="00513187">
        <w:t>8</w:t>
      </w:r>
    </w:p>
    <w:p w14:paraId="48449359" w14:textId="77777777" w:rsidR="00B814E2" w:rsidRDefault="00B814E2" w:rsidP="00B814E2"/>
    <w:p w14:paraId="7E6A357C" w14:textId="77777777" w:rsidR="00810553" w:rsidRDefault="00810553" w:rsidP="00B814E2"/>
    <w:p w14:paraId="73D9BE68" w14:textId="77777777" w:rsidR="002B5778" w:rsidRDefault="002B5778" w:rsidP="00B814E2">
      <w:pPr>
        <w:jc w:val="center"/>
        <w:rPr>
          <w:b/>
        </w:rPr>
      </w:pPr>
    </w:p>
    <w:p w14:paraId="09D58B90" w14:textId="77777777" w:rsidR="00B814E2" w:rsidRDefault="00B814E2" w:rsidP="00B814E2">
      <w:pPr>
        <w:jc w:val="center"/>
      </w:pPr>
      <w:r>
        <w:rPr>
          <w:b/>
        </w:rPr>
        <w:t>List of Exhibits</w:t>
      </w:r>
    </w:p>
    <w:p w14:paraId="6057B8B3" w14:textId="77777777" w:rsidR="00B814E2" w:rsidRDefault="00B814E2" w:rsidP="00B814E2"/>
    <w:p w14:paraId="20559D5F" w14:textId="57041482" w:rsidR="00B814E2" w:rsidRDefault="00B814E2" w:rsidP="00B814E2"/>
    <w:p w14:paraId="5F3EF028" w14:textId="521DBCE1" w:rsidR="002538F1" w:rsidRDefault="005519B3" w:rsidP="002538F1">
      <w:pPr>
        <w:ind w:left="2880" w:hanging="2880"/>
      </w:pPr>
      <w:r>
        <w:t>Exhibit No. __</w:t>
      </w:r>
      <w:r>
        <w:softHyphen/>
        <w:t>_ (TES-7</w:t>
      </w:r>
      <w:r w:rsidR="002538F1">
        <w:t>)</w:t>
      </w:r>
      <w:r w:rsidR="002538F1">
        <w:tab/>
        <w:t>Thurston County Superior Court Transcript of Oral Argument on Petitions for Judicial Review of Order 07.</w:t>
      </w:r>
    </w:p>
    <w:p w14:paraId="0EA63EC7" w14:textId="77777777" w:rsidR="002538F1" w:rsidRDefault="002538F1" w:rsidP="002538F1">
      <w:pPr>
        <w:ind w:left="2880" w:hanging="2880"/>
      </w:pPr>
    </w:p>
    <w:p w14:paraId="2FA5076D" w14:textId="613C0E0D" w:rsidR="00B814E2" w:rsidRDefault="00B814E2" w:rsidP="002538F1">
      <w:pPr>
        <w:ind w:left="2880" w:hanging="2880"/>
      </w:pPr>
      <w:r>
        <w:t>Exhibit N</w:t>
      </w:r>
      <w:r w:rsidR="00D13BE7">
        <w:t>o</w:t>
      </w:r>
      <w:r>
        <w:t xml:space="preserve">. </w:t>
      </w:r>
      <w:r w:rsidR="0007390F">
        <w:t>__</w:t>
      </w:r>
      <w:r w:rsidR="006450A2">
        <w:softHyphen/>
        <w:t>_</w:t>
      </w:r>
      <w:r w:rsidR="0007390F">
        <w:t xml:space="preserve"> (</w:t>
      </w:r>
      <w:r w:rsidR="00D13BE7">
        <w:t>TES</w:t>
      </w:r>
      <w:r>
        <w:t>-</w:t>
      </w:r>
      <w:r w:rsidR="005519B3">
        <w:t>8</w:t>
      </w:r>
      <w:r w:rsidR="0007390F">
        <w:t>)</w:t>
      </w:r>
      <w:r w:rsidR="002538F1">
        <w:tab/>
      </w:r>
      <w:r w:rsidR="00AB4F1F">
        <w:t>Update</w:t>
      </w:r>
      <w:r w:rsidR="002538F1">
        <w:t xml:space="preserve"> to </w:t>
      </w:r>
      <w:r w:rsidR="003B506F">
        <w:t xml:space="preserve">Exhibit No. </w:t>
      </w:r>
      <w:r w:rsidR="00352997">
        <w:t>TES-</w:t>
      </w:r>
      <w:r w:rsidR="00E102CD">
        <w:t>3</w:t>
      </w:r>
      <w:r w:rsidR="002538F1">
        <w:t xml:space="preserve">, </w:t>
      </w:r>
      <w:r w:rsidR="002C0E4F">
        <w:t xml:space="preserve">Rate Changes </w:t>
      </w:r>
      <w:r w:rsidR="002538F1">
        <w:t>V</w:t>
      </w:r>
      <w:r w:rsidR="002C0E4F">
        <w:t>ersus Earned Returns</w:t>
      </w:r>
      <w:r>
        <w:t xml:space="preserve"> </w:t>
      </w:r>
    </w:p>
    <w:p w14:paraId="691AB63D" w14:textId="77777777" w:rsidR="00B814E2" w:rsidRDefault="00B814E2" w:rsidP="00B814E2"/>
    <w:p w14:paraId="40CE339A" w14:textId="6ECE49B3" w:rsidR="000F755F" w:rsidRDefault="000F755F" w:rsidP="00B814E2"/>
    <w:p w14:paraId="74BA312A" w14:textId="77777777" w:rsidR="000F755F" w:rsidRPr="000F755F" w:rsidRDefault="000F755F" w:rsidP="000F755F"/>
    <w:p w14:paraId="7938BD44" w14:textId="77777777" w:rsidR="000F755F" w:rsidRPr="000F755F" w:rsidRDefault="000F755F" w:rsidP="000F755F"/>
    <w:p w14:paraId="780808A5" w14:textId="77777777" w:rsidR="000F755F" w:rsidRPr="000F755F" w:rsidRDefault="000F755F" w:rsidP="000F755F"/>
    <w:p w14:paraId="31A284EB" w14:textId="77777777" w:rsidR="000F755F" w:rsidRPr="000F755F" w:rsidRDefault="000F755F" w:rsidP="000F755F"/>
    <w:p w14:paraId="09EE8A88" w14:textId="77777777" w:rsidR="000F755F" w:rsidRPr="000F755F" w:rsidRDefault="000F755F" w:rsidP="000F755F"/>
    <w:p w14:paraId="3DAAAA06" w14:textId="77777777" w:rsidR="000F755F" w:rsidRPr="000F755F" w:rsidRDefault="000F755F" w:rsidP="000F755F"/>
    <w:p w14:paraId="3952F3E5" w14:textId="77777777" w:rsidR="000F755F" w:rsidRPr="000F755F" w:rsidRDefault="000F755F" w:rsidP="000F755F"/>
    <w:p w14:paraId="07EF5086" w14:textId="77777777" w:rsidR="000F755F" w:rsidRPr="000F755F" w:rsidRDefault="000F755F" w:rsidP="000F755F"/>
    <w:p w14:paraId="6A5402B6" w14:textId="77777777" w:rsidR="000F755F" w:rsidRPr="000F755F" w:rsidRDefault="000F755F" w:rsidP="000F755F"/>
    <w:p w14:paraId="729C91D1" w14:textId="77777777" w:rsidR="000F755F" w:rsidRPr="000F755F" w:rsidRDefault="000F755F" w:rsidP="000F755F"/>
    <w:p w14:paraId="4CCEDAB9" w14:textId="77777777" w:rsidR="000F755F" w:rsidRPr="000F755F" w:rsidRDefault="000F755F" w:rsidP="000F755F"/>
    <w:p w14:paraId="2C04577F" w14:textId="77777777" w:rsidR="000F755F" w:rsidRPr="000F755F" w:rsidRDefault="000F755F" w:rsidP="000F755F"/>
    <w:p w14:paraId="5A9479BD" w14:textId="77777777" w:rsidR="000F755F" w:rsidRPr="000F755F" w:rsidRDefault="000F755F" w:rsidP="000F755F"/>
    <w:p w14:paraId="1817C217" w14:textId="77777777" w:rsidR="000F755F" w:rsidRPr="000F755F" w:rsidRDefault="000F755F" w:rsidP="000F755F"/>
    <w:p w14:paraId="08D0FB66" w14:textId="77777777" w:rsidR="000F755F" w:rsidRPr="000F755F" w:rsidRDefault="000F755F" w:rsidP="000F755F"/>
    <w:p w14:paraId="122B98CC" w14:textId="6896D3E9" w:rsidR="00B814E2" w:rsidRPr="000F755F" w:rsidRDefault="00B814E2" w:rsidP="000F755F">
      <w:pPr>
        <w:sectPr w:rsidR="00B814E2" w:rsidRPr="000F755F" w:rsidSect="0015026F">
          <w:footerReference w:type="default" r:id="rId11"/>
          <w:pgSz w:w="12240" w:h="15840"/>
          <w:pgMar w:top="1440" w:right="1440" w:bottom="1440" w:left="1872" w:header="720" w:footer="720" w:gutter="0"/>
          <w:pgNumType w:fmt="lowerRoman" w:start="1"/>
          <w:cols w:space="720"/>
          <w:docGrid w:linePitch="360"/>
        </w:sectPr>
      </w:pPr>
    </w:p>
    <w:p w14:paraId="419E74EF" w14:textId="77777777" w:rsidR="00B814E2" w:rsidRDefault="00B814E2">
      <w:pPr>
        <w:spacing w:line="480" w:lineRule="auto"/>
        <w:jc w:val="center"/>
        <w:rPr>
          <w:b/>
        </w:rPr>
      </w:pPr>
      <w:r>
        <w:rPr>
          <w:b/>
        </w:rPr>
        <w:lastRenderedPageBreak/>
        <w:t>I.</w:t>
      </w:r>
      <w:r>
        <w:rPr>
          <w:b/>
        </w:rPr>
        <w:tab/>
        <w:t>INTRODUCTION</w:t>
      </w:r>
    </w:p>
    <w:p w14:paraId="76F8D46E" w14:textId="77777777" w:rsidR="00B814E2" w:rsidRDefault="00B814E2" w:rsidP="00B814E2">
      <w:pPr>
        <w:spacing w:line="480" w:lineRule="auto"/>
        <w:rPr>
          <w:b/>
        </w:rPr>
      </w:pPr>
    </w:p>
    <w:p w14:paraId="42FA7779" w14:textId="77777777" w:rsidR="00B814E2" w:rsidRDefault="00B814E2" w:rsidP="00B814E2">
      <w:pPr>
        <w:spacing w:line="480" w:lineRule="auto"/>
      </w:pPr>
      <w:r>
        <w:rPr>
          <w:b/>
        </w:rPr>
        <w:t>Q.</w:t>
      </w:r>
      <w:r>
        <w:rPr>
          <w:b/>
        </w:rPr>
        <w:tab/>
        <w:t xml:space="preserve">Please state your name and business address.  </w:t>
      </w:r>
    </w:p>
    <w:p w14:paraId="1DC62C02" w14:textId="10EC80A2" w:rsidR="00B814E2" w:rsidRDefault="00B814E2" w:rsidP="00B814E2">
      <w:pPr>
        <w:spacing w:line="480" w:lineRule="auto"/>
        <w:ind w:left="720" w:hanging="720"/>
      </w:pPr>
      <w:r>
        <w:t>A.</w:t>
      </w:r>
      <w:r>
        <w:tab/>
        <w:t xml:space="preserve">I am </w:t>
      </w:r>
      <w:r w:rsidR="002C0E4F">
        <w:t xml:space="preserve">Thomas E. Schooley.  </w:t>
      </w:r>
      <w:r>
        <w:t xml:space="preserve">My business address is 1300 S. Evergreen Park Drive S.W., P.O. Box 47250, Olympia, WA  98504.  </w:t>
      </w:r>
    </w:p>
    <w:p w14:paraId="56931467" w14:textId="77777777" w:rsidR="00B814E2" w:rsidRDefault="00B814E2" w:rsidP="00B814E2">
      <w:pPr>
        <w:spacing w:line="480" w:lineRule="auto"/>
        <w:ind w:left="720" w:hanging="720"/>
      </w:pPr>
    </w:p>
    <w:p w14:paraId="63829ECA" w14:textId="77777777" w:rsidR="00B814E2" w:rsidRDefault="00B814E2" w:rsidP="00B814E2">
      <w:pPr>
        <w:spacing w:line="480" w:lineRule="auto"/>
        <w:ind w:left="720" w:hanging="720"/>
      </w:pPr>
      <w:r>
        <w:rPr>
          <w:b/>
        </w:rPr>
        <w:t>Q.</w:t>
      </w:r>
      <w:r>
        <w:rPr>
          <w:b/>
        </w:rPr>
        <w:tab/>
        <w:t xml:space="preserve">By whom are you employed and in what capacity?  </w:t>
      </w:r>
    </w:p>
    <w:p w14:paraId="25129063" w14:textId="46B2C478" w:rsidR="00B814E2" w:rsidRDefault="00B814E2" w:rsidP="00B814E2">
      <w:pPr>
        <w:spacing w:line="480" w:lineRule="auto"/>
        <w:ind w:left="720" w:hanging="720"/>
      </w:pPr>
      <w:r>
        <w:t>A.</w:t>
      </w:r>
      <w:r>
        <w:tab/>
        <w:t xml:space="preserve">I am employed by the Washington Utilities and Transportation Commission </w:t>
      </w:r>
      <w:r w:rsidR="00B65016">
        <w:t xml:space="preserve">(Commission) </w:t>
      </w:r>
      <w:r>
        <w:t xml:space="preserve">as the </w:t>
      </w:r>
      <w:r w:rsidR="002C0E4F">
        <w:t xml:space="preserve">Assistant Director, Energy Regulation.  </w:t>
      </w:r>
    </w:p>
    <w:p w14:paraId="5439FA1C" w14:textId="77777777" w:rsidR="00B814E2" w:rsidRDefault="00B814E2" w:rsidP="00B814E2">
      <w:pPr>
        <w:spacing w:line="480" w:lineRule="auto"/>
        <w:ind w:left="720" w:hanging="720"/>
      </w:pPr>
    </w:p>
    <w:p w14:paraId="4F3CDD56"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6D040BEC" w14:textId="697D8F1C" w:rsidR="00B814E2" w:rsidRDefault="00B814E2" w:rsidP="00B814E2">
      <w:pPr>
        <w:spacing w:line="480" w:lineRule="auto"/>
        <w:ind w:left="720" w:hanging="720"/>
      </w:pPr>
      <w:r>
        <w:t>A.</w:t>
      </w:r>
      <w:r>
        <w:tab/>
      </w:r>
      <w:r w:rsidR="002C0E4F">
        <w:t>Since September 1991.</w:t>
      </w:r>
    </w:p>
    <w:p w14:paraId="4F4A5B36" w14:textId="77777777" w:rsidR="00B814E2" w:rsidRDefault="00B814E2" w:rsidP="00B814E2">
      <w:pPr>
        <w:spacing w:line="480" w:lineRule="auto"/>
        <w:ind w:left="720" w:hanging="720"/>
      </w:pPr>
    </w:p>
    <w:p w14:paraId="729A17D5" w14:textId="50A4E4BD" w:rsidR="00B814E2" w:rsidRDefault="00B814E2" w:rsidP="00B814E2">
      <w:pPr>
        <w:spacing w:line="480" w:lineRule="auto"/>
        <w:ind w:left="720" w:hanging="720"/>
      </w:pPr>
      <w:r>
        <w:rPr>
          <w:b/>
        </w:rPr>
        <w:t xml:space="preserve">Q </w:t>
      </w:r>
      <w:r>
        <w:rPr>
          <w:b/>
        </w:rPr>
        <w:tab/>
      </w:r>
      <w:r w:rsidR="002C0E4F">
        <w:rPr>
          <w:b/>
        </w:rPr>
        <w:t xml:space="preserve">Are you the same Thomas E. Schooley </w:t>
      </w:r>
      <w:r w:rsidR="007978D9">
        <w:rPr>
          <w:b/>
        </w:rPr>
        <w:t xml:space="preserve">who </w:t>
      </w:r>
      <w:r w:rsidR="002C0E4F">
        <w:rPr>
          <w:b/>
        </w:rPr>
        <w:t>filed testimony in earlier phases of this proceeding</w:t>
      </w:r>
      <w:r>
        <w:rPr>
          <w:b/>
        </w:rPr>
        <w:t xml:space="preserve">?  </w:t>
      </w:r>
    </w:p>
    <w:p w14:paraId="1C9131D4" w14:textId="5A9C77CC" w:rsidR="00B814E2" w:rsidRDefault="00B814E2" w:rsidP="00B814E2">
      <w:pPr>
        <w:spacing w:line="480" w:lineRule="auto"/>
        <w:ind w:left="720" w:hanging="720"/>
      </w:pPr>
      <w:r>
        <w:t>A.</w:t>
      </w:r>
      <w:r>
        <w:tab/>
      </w:r>
      <w:r w:rsidR="002C0E4F">
        <w:t xml:space="preserve">Yes.  I filed Exhibit </w:t>
      </w:r>
      <w:r w:rsidR="00E7764E">
        <w:t>No. TES-1T</w:t>
      </w:r>
      <w:r w:rsidR="002C0E4F">
        <w:t xml:space="preserve"> on March 27, 2013, along with Exhibits </w:t>
      </w:r>
      <w:r w:rsidR="00F45F08">
        <w:t xml:space="preserve">Nos. </w:t>
      </w:r>
      <w:r w:rsidR="00E7764E">
        <w:t xml:space="preserve">TES-2 and </w:t>
      </w:r>
      <w:r w:rsidR="002C0E4F">
        <w:t>TES-3.  I also filed Exhibit</w:t>
      </w:r>
      <w:r w:rsidR="00F45F08">
        <w:t xml:space="preserve"> No.</w:t>
      </w:r>
      <w:r w:rsidR="00E7764E">
        <w:t xml:space="preserve"> TES-4T</w:t>
      </w:r>
      <w:r w:rsidR="002C0E4F">
        <w:t xml:space="preserve"> on May 8, 2013.</w:t>
      </w:r>
    </w:p>
    <w:p w14:paraId="093157C7" w14:textId="77777777" w:rsidR="00B814E2" w:rsidRDefault="00B814E2" w:rsidP="00B814E2">
      <w:pPr>
        <w:spacing w:line="480" w:lineRule="auto"/>
        <w:ind w:left="720" w:hanging="720"/>
      </w:pPr>
    </w:p>
    <w:p w14:paraId="450124E4" w14:textId="77777777" w:rsidR="00B814E2" w:rsidRDefault="00B814E2" w:rsidP="00B814E2">
      <w:pPr>
        <w:spacing w:line="480" w:lineRule="auto"/>
        <w:ind w:left="720" w:hanging="720"/>
      </w:pPr>
    </w:p>
    <w:p w14:paraId="57F11020" w14:textId="12051B81" w:rsidR="00B814E2" w:rsidRDefault="00B814E2" w:rsidP="00B814E2">
      <w:pPr>
        <w:spacing w:line="480" w:lineRule="auto"/>
        <w:ind w:left="720" w:hanging="720"/>
        <w:jc w:val="center"/>
      </w:pPr>
      <w:r>
        <w:rPr>
          <w:b/>
        </w:rPr>
        <w:t>II.</w:t>
      </w:r>
      <w:r>
        <w:rPr>
          <w:b/>
        </w:rPr>
        <w:tab/>
        <w:t>SCOPE OF TESTIMONY</w:t>
      </w:r>
    </w:p>
    <w:p w14:paraId="56047889" w14:textId="77777777" w:rsidR="00B814E2" w:rsidRDefault="00B814E2" w:rsidP="00B814E2">
      <w:pPr>
        <w:spacing w:line="480" w:lineRule="auto"/>
        <w:ind w:left="720" w:hanging="720"/>
      </w:pPr>
    </w:p>
    <w:p w14:paraId="0491029B" w14:textId="48FA7D70" w:rsidR="00B814E2" w:rsidRDefault="00B814E2" w:rsidP="00B814E2">
      <w:pPr>
        <w:spacing w:line="480" w:lineRule="auto"/>
        <w:ind w:left="720" w:hanging="720"/>
        <w:rPr>
          <w:b/>
        </w:rPr>
      </w:pPr>
      <w:r>
        <w:rPr>
          <w:b/>
        </w:rPr>
        <w:t>Q.</w:t>
      </w:r>
      <w:r>
        <w:rPr>
          <w:b/>
        </w:rPr>
        <w:tab/>
      </w:r>
      <w:r w:rsidR="002C0E4F" w:rsidRPr="00631F39">
        <w:rPr>
          <w:b/>
        </w:rPr>
        <w:t>What is the purpose of your testimony for the remand portion of this</w:t>
      </w:r>
      <w:r w:rsidR="002538F1" w:rsidRPr="00631F39">
        <w:rPr>
          <w:b/>
        </w:rPr>
        <w:t xml:space="preserve"> </w:t>
      </w:r>
      <w:r w:rsidR="00A64198" w:rsidRPr="00631F39">
        <w:rPr>
          <w:b/>
        </w:rPr>
        <w:t>proceeding</w:t>
      </w:r>
      <w:r w:rsidR="002C0E4F" w:rsidRPr="00631F39">
        <w:rPr>
          <w:b/>
        </w:rPr>
        <w:t>?</w:t>
      </w:r>
    </w:p>
    <w:p w14:paraId="4A1D97D3" w14:textId="77DB5DE2" w:rsidR="00B814E2" w:rsidRDefault="00B814E2" w:rsidP="00B814E2">
      <w:pPr>
        <w:spacing w:line="480" w:lineRule="auto"/>
        <w:ind w:left="720" w:hanging="720"/>
      </w:pPr>
      <w:r>
        <w:lastRenderedPageBreak/>
        <w:t>A.</w:t>
      </w:r>
      <w:r>
        <w:tab/>
      </w:r>
      <w:r w:rsidR="002C0E4F">
        <w:t xml:space="preserve">I present Staff’s opinion of the directive from the Thurston County </w:t>
      </w:r>
      <w:r w:rsidR="00CF51FA">
        <w:t>Superior C</w:t>
      </w:r>
      <w:r w:rsidR="002C0E4F">
        <w:t>ourt and how Staff meets that directive.  I also present Staff’s comments on the role of decoupling in this remand phase.</w:t>
      </w:r>
      <w:r w:rsidR="00322EFE">
        <w:t xml:space="preserve">  </w:t>
      </w:r>
      <w:r w:rsidR="009F5F72">
        <w:t xml:space="preserve">I review the rate plan </w:t>
      </w:r>
      <w:r w:rsidR="006828BC">
        <w:t xml:space="preserve">and decoupling </w:t>
      </w:r>
      <w:r w:rsidR="009F5F72">
        <w:t>mechanism</w:t>
      </w:r>
      <w:r w:rsidR="006828BC">
        <w:t>s</w:t>
      </w:r>
      <w:r w:rsidR="009F5F72">
        <w:t xml:space="preserve"> and discuss the impact of the rate plan and decoupling thus far.</w:t>
      </w:r>
      <w:r w:rsidR="005768D8">
        <w:t xml:space="preserve">  Finally, I discuss PSE’s testimony regarding</w:t>
      </w:r>
      <w:r w:rsidR="00256871">
        <w:t xml:space="preserve"> sharing</w:t>
      </w:r>
      <w:r w:rsidR="005768D8">
        <w:t xml:space="preserve"> earning</w:t>
      </w:r>
      <w:r w:rsidR="00256871">
        <w:t>s</w:t>
      </w:r>
      <w:r w:rsidR="005768D8">
        <w:t>.</w:t>
      </w:r>
    </w:p>
    <w:p w14:paraId="0CAC3D96" w14:textId="77777777" w:rsidR="00546145" w:rsidRDefault="00546145" w:rsidP="00B814E2">
      <w:pPr>
        <w:spacing w:line="480" w:lineRule="auto"/>
        <w:ind w:left="720" w:hanging="720"/>
      </w:pPr>
    </w:p>
    <w:p w14:paraId="118D6F13" w14:textId="1B6232B5" w:rsidR="00CF51FA" w:rsidRDefault="002C0E4F" w:rsidP="00B814E2">
      <w:pPr>
        <w:spacing w:line="480" w:lineRule="auto"/>
        <w:ind w:left="720" w:hanging="720"/>
      </w:pPr>
      <w:r w:rsidRPr="00910023">
        <w:rPr>
          <w:b/>
        </w:rPr>
        <w:t>Q.</w:t>
      </w:r>
      <w:r w:rsidRPr="00910023">
        <w:rPr>
          <w:b/>
        </w:rPr>
        <w:tab/>
      </w:r>
      <w:r w:rsidR="00CF51FA">
        <w:rPr>
          <w:b/>
        </w:rPr>
        <w:t xml:space="preserve">What is the basis for Staff’s </w:t>
      </w:r>
      <w:r w:rsidR="007A58F2">
        <w:rPr>
          <w:b/>
        </w:rPr>
        <w:t>opinion on</w:t>
      </w:r>
      <w:r w:rsidR="00CF51FA">
        <w:rPr>
          <w:b/>
        </w:rPr>
        <w:t xml:space="preserve"> the requirements of the remand from Thurston County Superior Court?</w:t>
      </w:r>
    </w:p>
    <w:p w14:paraId="2FD8C520" w14:textId="5DE42FA6" w:rsidR="00CF51FA" w:rsidRPr="00256871" w:rsidRDefault="00CF51FA" w:rsidP="00B814E2">
      <w:pPr>
        <w:spacing w:line="480" w:lineRule="auto"/>
        <w:ind w:left="720" w:hanging="720"/>
      </w:pPr>
      <w:r>
        <w:rPr>
          <w:b/>
        </w:rPr>
        <w:t>A.</w:t>
      </w:r>
      <w:r>
        <w:tab/>
        <w:t xml:space="preserve">Staff </w:t>
      </w:r>
      <w:r w:rsidR="00DF3489">
        <w:t>relied on</w:t>
      </w:r>
      <w:r>
        <w:t xml:space="preserve"> </w:t>
      </w:r>
      <w:r w:rsidR="0059768D">
        <w:t>the</w:t>
      </w:r>
      <w:r>
        <w:t xml:space="preserve"> Order Granting in Part and Denying In Par</w:t>
      </w:r>
      <w:r w:rsidR="0059768D">
        <w:t xml:space="preserve">t Petitions for Judicial Review, signed by Judge Murphy, and </w:t>
      </w:r>
      <w:r>
        <w:t>entered in Thurston County Superior Court in Case Nos. 13-2-01576-2 and 13-2-01582-7 (consolidated) on July 25, 2015</w:t>
      </w:r>
      <w:r w:rsidR="0059768D">
        <w:t xml:space="preserve"> (Order on Review)</w:t>
      </w:r>
      <w:r>
        <w:t xml:space="preserve">.  </w:t>
      </w:r>
      <w:r w:rsidR="00334C47">
        <w:t xml:space="preserve">Staff </w:t>
      </w:r>
      <w:r w:rsidR="00DF3489">
        <w:t>also reviewed</w:t>
      </w:r>
      <w:r w:rsidR="00334C47">
        <w:t xml:space="preserve"> Judge Murphy’s letter ruling dated June 4, 2014.  Judge Murphy’s</w:t>
      </w:r>
      <w:r>
        <w:t xml:space="preserve"> order </w:t>
      </w:r>
      <w:r w:rsidR="00334C47">
        <w:t>and letter ruling were</w:t>
      </w:r>
      <w:r>
        <w:t xml:space="preserve"> filed in Commission Dockets UE-121697 and UG-121705 (consolidated) and UE-130137 and UG-130138 (consolidated) on July 29, 2014.  In addition, Staff consulted the transcript of the oral argument </w:t>
      </w:r>
      <w:r w:rsidR="00054602">
        <w:t>on th</w:t>
      </w:r>
      <w:r w:rsidR="00546145">
        <w:t xml:space="preserve">e petitions for judicial review, </w:t>
      </w:r>
      <w:r w:rsidR="00054602">
        <w:t xml:space="preserve">held May 9, 2014, </w:t>
      </w:r>
      <w:r>
        <w:t>before Judge Murphy.  A copy of the transcript constitutes Exhibit No. __</w:t>
      </w:r>
      <w:r>
        <w:softHyphen/>
        <w:t>_ (TES-6</w:t>
      </w:r>
      <w:r w:rsidR="00054602">
        <w:t>).</w:t>
      </w:r>
    </w:p>
    <w:p w14:paraId="0B2BE70A" w14:textId="77777777" w:rsidR="00CF51FA" w:rsidRDefault="00CF51FA" w:rsidP="00B814E2">
      <w:pPr>
        <w:spacing w:line="480" w:lineRule="auto"/>
        <w:ind w:left="720" w:hanging="720"/>
        <w:rPr>
          <w:b/>
        </w:rPr>
      </w:pPr>
    </w:p>
    <w:p w14:paraId="1E5DB939" w14:textId="549A0C3C" w:rsidR="002C0E4F" w:rsidRPr="00910023" w:rsidRDefault="00CF51FA" w:rsidP="00B814E2">
      <w:pPr>
        <w:spacing w:line="480" w:lineRule="auto"/>
        <w:ind w:left="720" w:hanging="720"/>
        <w:rPr>
          <w:b/>
        </w:rPr>
      </w:pPr>
      <w:r>
        <w:rPr>
          <w:b/>
        </w:rPr>
        <w:t>Q.</w:t>
      </w:r>
      <w:r>
        <w:rPr>
          <w:b/>
        </w:rPr>
        <w:tab/>
      </w:r>
      <w:r w:rsidR="002B51A3" w:rsidRPr="00910023">
        <w:rPr>
          <w:b/>
        </w:rPr>
        <w:t xml:space="preserve">Please explain Staff’s interpretation of Judge Murphy’s </w:t>
      </w:r>
      <w:r w:rsidR="007A58F2">
        <w:rPr>
          <w:b/>
        </w:rPr>
        <w:t>decision</w:t>
      </w:r>
      <w:r w:rsidR="002B51A3" w:rsidRPr="00910023">
        <w:rPr>
          <w:b/>
        </w:rPr>
        <w:t>.</w:t>
      </w:r>
    </w:p>
    <w:p w14:paraId="52F69E8B" w14:textId="5E8B749A" w:rsidR="002B51A3" w:rsidRDefault="002B51A3" w:rsidP="00B814E2">
      <w:pPr>
        <w:spacing w:line="480" w:lineRule="auto"/>
        <w:ind w:left="720" w:hanging="720"/>
      </w:pPr>
      <w:r>
        <w:t>A.</w:t>
      </w:r>
      <w:r>
        <w:tab/>
        <w:t xml:space="preserve">The </w:t>
      </w:r>
      <w:r w:rsidR="00EA5F12">
        <w:t>c</w:t>
      </w:r>
      <w:r w:rsidR="0059768D">
        <w:t>ourt considered several main issues</w:t>
      </w:r>
      <w:r w:rsidR="007655C8">
        <w:t xml:space="preserve"> in its</w:t>
      </w:r>
      <w:r w:rsidR="0059768D">
        <w:t xml:space="preserve"> review of the Commission’s Order </w:t>
      </w:r>
      <w:r w:rsidR="00792624">
        <w:t>07</w:t>
      </w:r>
      <w:r w:rsidR="00306308">
        <w:rPr>
          <w:rStyle w:val="FootnoteReference"/>
        </w:rPr>
        <w:footnoteReference w:id="1"/>
      </w:r>
      <w:r w:rsidR="00792624">
        <w:t>:</w:t>
      </w:r>
      <w:r w:rsidR="006425F9">
        <w:t xml:space="preserve"> </w:t>
      </w:r>
      <w:r w:rsidR="007D634A">
        <w:t xml:space="preserve"> </w:t>
      </w:r>
      <w:r w:rsidR="007655C8">
        <w:t xml:space="preserve">Whether an expedited rate case was proper procedure or whether a general rate proceeding was required; whether there was substantial evidence supporting the </w:t>
      </w:r>
      <w:r w:rsidR="007655C8">
        <w:lastRenderedPageBreak/>
        <w:t xml:space="preserve">Commission’s decision </w:t>
      </w:r>
      <w:r w:rsidR="000D5EEB">
        <w:t xml:space="preserve">and whether the company was held to its burden of proof </w:t>
      </w:r>
      <w:r w:rsidR="007655C8">
        <w:t>with respect to return on equity (ROE), and whether the Commission erred when it established an attrition adjustment.</w:t>
      </w:r>
      <w:r w:rsidR="007D634A">
        <w:rPr>
          <w:rStyle w:val="FootnoteReference"/>
        </w:rPr>
        <w:footnoteReference w:id="2"/>
      </w:r>
      <w:r w:rsidR="00543E58">
        <w:t xml:space="preserve">  </w:t>
      </w:r>
      <w:r w:rsidR="000D5EEB">
        <w:t>I</w:t>
      </w:r>
      <w:r w:rsidR="00FA76D3">
        <w:t>n the</w:t>
      </w:r>
      <w:r w:rsidR="000D5EEB">
        <w:t xml:space="preserve"> </w:t>
      </w:r>
      <w:r w:rsidR="00FA76D3">
        <w:t>Order on Review</w:t>
      </w:r>
      <w:r w:rsidR="006425F9">
        <w:t>,</w:t>
      </w:r>
      <w:r w:rsidR="00230636">
        <w:rPr>
          <w:rStyle w:val="FootnoteReference"/>
        </w:rPr>
        <w:footnoteReference w:id="3"/>
      </w:r>
      <w:r w:rsidR="00543E58">
        <w:t xml:space="preserve"> </w:t>
      </w:r>
      <w:r w:rsidR="00EA5F12">
        <w:t>the c</w:t>
      </w:r>
      <w:r w:rsidR="00FA76D3">
        <w:t>ourt</w:t>
      </w:r>
      <w:r w:rsidR="00543E58">
        <w:t xml:space="preserve"> affirmed </w:t>
      </w:r>
      <w:r w:rsidR="00BC7A2A">
        <w:t xml:space="preserve">the Commission’s decision with respect to </w:t>
      </w:r>
      <w:r w:rsidR="00543E58">
        <w:t xml:space="preserve">the expedited rate case treatment and use of an attrition adjustment.   The court reversed the </w:t>
      </w:r>
      <w:r w:rsidR="00EA5F12">
        <w:t xml:space="preserve">Commission’s decision </w:t>
      </w:r>
      <w:r w:rsidR="00F016EB">
        <w:t>setting</w:t>
      </w:r>
      <w:r w:rsidR="00EA5F12">
        <w:t xml:space="preserve"> the </w:t>
      </w:r>
      <w:r w:rsidR="00543E58">
        <w:t xml:space="preserve">rates to be charged during the rate plan because the Commission’s findings of fact with respect to the return on equity </w:t>
      </w:r>
      <w:r w:rsidR="00C02947">
        <w:t xml:space="preserve">(ROE) </w:t>
      </w:r>
      <w:r w:rsidR="00543E58">
        <w:t>component of cost of capital</w:t>
      </w:r>
      <w:r w:rsidR="00EA25FB">
        <w:t xml:space="preserve"> in the context of a multi-year rate plan</w:t>
      </w:r>
      <w:r w:rsidR="00543E58">
        <w:t xml:space="preserve"> </w:t>
      </w:r>
      <w:r w:rsidR="00F016EB">
        <w:t>was</w:t>
      </w:r>
      <w:r w:rsidR="00543E58">
        <w:t xml:space="preserve"> unsupported by substantial evidence</w:t>
      </w:r>
      <w:r w:rsidR="00F016EB">
        <w:t xml:space="preserve"> and the </w:t>
      </w:r>
      <w:r w:rsidR="00EA25FB">
        <w:t>Commission did not hold the company to its the burden of proof on this issue</w:t>
      </w:r>
      <w:r w:rsidR="00543E58">
        <w:t xml:space="preserve">.  To </w:t>
      </w:r>
      <w:r w:rsidR="00FA5A6D">
        <w:t>S</w:t>
      </w:r>
      <w:r w:rsidR="00543E58">
        <w:t>taff it is quite clear that the only issue</w:t>
      </w:r>
      <w:r w:rsidR="00230636">
        <w:t>,</w:t>
      </w:r>
      <w:r w:rsidR="00543E58">
        <w:t xml:space="preserve"> </w:t>
      </w:r>
      <w:r w:rsidR="00230636">
        <w:t xml:space="preserve">and task, </w:t>
      </w:r>
      <w:r w:rsidR="00543E58">
        <w:t xml:space="preserve">of this remand proceeding is the need for more evidence to support a decision </w:t>
      </w:r>
      <w:r w:rsidR="00C02947">
        <w:t>on the ROE.</w:t>
      </w:r>
      <w:r w:rsidR="00462A5E">
        <w:t xml:space="preserve"> </w:t>
      </w:r>
      <w:r w:rsidR="00C11180">
        <w:t xml:space="preserve"> It is also clear to Staff that any potential effect </w:t>
      </w:r>
      <w:r w:rsidR="00674225">
        <w:t xml:space="preserve">from decoupling </w:t>
      </w:r>
      <w:r w:rsidR="00C11180">
        <w:t xml:space="preserve">on </w:t>
      </w:r>
      <w:r w:rsidR="00674225">
        <w:t>ROE</w:t>
      </w:r>
      <w:r w:rsidR="00C11180">
        <w:t xml:space="preserve"> is never mentioned in the </w:t>
      </w:r>
      <w:r w:rsidR="00462A5E">
        <w:t xml:space="preserve">Order on Review or Judge Murphy’s letter ruling </w:t>
      </w:r>
      <w:r w:rsidR="00C11180">
        <w:t>and</w:t>
      </w:r>
      <w:r w:rsidR="00F50089">
        <w:t>,</w:t>
      </w:r>
      <w:r w:rsidR="00C11180">
        <w:t xml:space="preserve"> therefore, it is not an issue to be considered </w:t>
      </w:r>
      <w:r w:rsidR="00FA5A6D">
        <w:t>on remand</w:t>
      </w:r>
      <w:r w:rsidR="00C11180">
        <w:t>.</w:t>
      </w:r>
    </w:p>
    <w:p w14:paraId="6C56573C" w14:textId="77777777" w:rsidR="00B814E2" w:rsidRDefault="00B814E2" w:rsidP="00B814E2">
      <w:pPr>
        <w:spacing w:line="480" w:lineRule="auto"/>
        <w:ind w:left="720" w:hanging="720"/>
      </w:pPr>
    </w:p>
    <w:p w14:paraId="668A5992" w14:textId="2D3F19B1" w:rsidR="00E207DA" w:rsidRDefault="00E207DA" w:rsidP="008719AB">
      <w:pPr>
        <w:spacing w:line="480" w:lineRule="auto"/>
        <w:ind w:left="720" w:hanging="720"/>
        <w:jc w:val="center"/>
        <w:rPr>
          <w:b/>
        </w:rPr>
      </w:pPr>
      <w:r>
        <w:rPr>
          <w:b/>
        </w:rPr>
        <w:t>III.</w:t>
      </w:r>
      <w:r>
        <w:rPr>
          <w:b/>
        </w:rPr>
        <w:tab/>
      </w:r>
      <w:r w:rsidR="003871A3">
        <w:rPr>
          <w:b/>
        </w:rPr>
        <w:t>DISCUSSION</w:t>
      </w:r>
    </w:p>
    <w:p w14:paraId="528C6FB4" w14:textId="77777777" w:rsidR="00631F39" w:rsidRDefault="00631F39" w:rsidP="008719AB">
      <w:pPr>
        <w:spacing w:line="480" w:lineRule="auto"/>
        <w:ind w:left="720" w:hanging="720"/>
        <w:jc w:val="center"/>
        <w:rPr>
          <w:b/>
        </w:rPr>
      </w:pPr>
    </w:p>
    <w:p w14:paraId="41168AF4" w14:textId="0EA8C578" w:rsidR="00B0786B" w:rsidRDefault="00B0786B" w:rsidP="00B0786B">
      <w:pPr>
        <w:spacing w:line="480" w:lineRule="auto"/>
        <w:ind w:left="720" w:hanging="720"/>
        <w:rPr>
          <w:b/>
        </w:rPr>
      </w:pPr>
      <w:r w:rsidRPr="00B0786B">
        <w:rPr>
          <w:b/>
        </w:rPr>
        <w:t>A.</w:t>
      </w:r>
      <w:r w:rsidRPr="00B0786B">
        <w:rPr>
          <w:b/>
        </w:rPr>
        <w:tab/>
      </w:r>
      <w:r w:rsidRPr="00631F39">
        <w:rPr>
          <w:b/>
        </w:rPr>
        <w:t>PSE’s Rate of Return</w:t>
      </w:r>
    </w:p>
    <w:p w14:paraId="1FD66D0D" w14:textId="77777777" w:rsidR="00631F39" w:rsidRPr="008719AB" w:rsidRDefault="00631F39" w:rsidP="00B0786B">
      <w:pPr>
        <w:spacing w:line="480" w:lineRule="auto"/>
        <w:ind w:left="720" w:hanging="720"/>
        <w:rPr>
          <w:b/>
          <w:u w:val="single"/>
        </w:rPr>
      </w:pPr>
    </w:p>
    <w:p w14:paraId="13C31478" w14:textId="7676DA82" w:rsidR="006828BC" w:rsidRPr="00910023" w:rsidRDefault="006828BC" w:rsidP="006828BC">
      <w:pPr>
        <w:spacing w:line="480" w:lineRule="auto"/>
        <w:ind w:left="720" w:hanging="720"/>
        <w:rPr>
          <w:b/>
        </w:rPr>
      </w:pPr>
      <w:r>
        <w:rPr>
          <w:b/>
        </w:rPr>
        <w:lastRenderedPageBreak/>
        <w:t>Q.</w:t>
      </w:r>
      <w:r>
        <w:rPr>
          <w:b/>
        </w:rPr>
        <w:tab/>
      </w:r>
      <w:r w:rsidR="00E207DA">
        <w:rPr>
          <w:b/>
        </w:rPr>
        <w:t>Does Staff present</w:t>
      </w:r>
      <w:r>
        <w:rPr>
          <w:b/>
        </w:rPr>
        <w:t xml:space="preserve"> </w:t>
      </w:r>
      <w:r w:rsidR="00E207DA">
        <w:rPr>
          <w:b/>
        </w:rPr>
        <w:t>evidence of PSE’s cost of equity for the Commission’s consideration on remand</w:t>
      </w:r>
      <w:r>
        <w:rPr>
          <w:b/>
        </w:rPr>
        <w:t xml:space="preserve">? </w:t>
      </w:r>
    </w:p>
    <w:p w14:paraId="3DF4FBFD" w14:textId="1E55AE25" w:rsidR="006828BC" w:rsidRDefault="006828BC" w:rsidP="006828BC">
      <w:pPr>
        <w:spacing w:line="480" w:lineRule="auto"/>
        <w:ind w:left="720" w:hanging="720"/>
      </w:pPr>
      <w:r>
        <w:t>A.</w:t>
      </w:r>
      <w:r>
        <w:tab/>
        <w:t>Yes.  Mr. David Parcell presents Staff’s cost of equity analysis using data from the first quarter of 2013.  His analysis shows a reasonable equity return is in the range of 9.0 to 10.0 percent.</w:t>
      </w:r>
    </w:p>
    <w:p w14:paraId="5D3C8C40" w14:textId="77777777" w:rsidR="006828BC" w:rsidRDefault="006828BC" w:rsidP="00B814E2">
      <w:pPr>
        <w:spacing w:line="480" w:lineRule="auto"/>
        <w:ind w:left="720" w:hanging="720"/>
      </w:pPr>
    </w:p>
    <w:p w14:paraId="30F46980" w14:textId="299CAE44" w:rsidR="00C11180" w:rsidRPr="00910023" w:rsidRDefault="00C11180" w:rsidP="00B814E2">
      <w:pPr>
        <w:spacing w:line="480" w:lineRule="auto"/>
        <w:ind w:left="720" w:hanging="720"/>
        <w:rPr>
          <w:b/>
        </w:rPr>
      </w:pPr>
      <w:r w:rsidRPr="00910023">
        <w:rPr>
          <w:b/>
        </w:rPr>
        <w:t>Q.</w:t>
      </w:r>
      <w:r w:rsidRPr="00910023">
        <w:rPr>
          <w:b/>
        </w:rPr>
        <w:tab/>
      </w:r>
      <w:r w:rsidR="004145F7" w:rsidRPr="00910023">
        <w:rPr>
          <w:b/>
        </w:rPr>
        <w:t>Did Staff address the issue of cost</w:t>
      </w:r>
      <w:r w:rsidR="00434755" w:rsidRPr="00910023">
        <w:rPr>
          <w:b/>
        </w:rPr>
        <w:t xml:space="preserve"> </w:t>
      </w:r>
      <w:r w:rsidR="004145F7" w:rsidRPr="00910023">
        <w:rPr>
          <w:b/>
        </w:rPr>
        <w:t>of capital, or return on equity, in its previous testimony?</w:t>
      </w:r>
    </w:p>
    <w:p w14:paraId="1C55FB76" w14:textId="705CC54C" w:rsidR="004145F7" w:rsidRDefault="00A9523A" w:rsidP="00B814E2">
      <w:pPr>
        <w:spacing w:line="480" w:lineRule="auto"/>
        <w:ind w:left="720" w:hanging="720"/>
      </w:pPr>
      <w:r>
        <w:t>A.</w:t>
      </w:r>
      <w:r>
        <w:tab/>
        <w:t xml:space="preserve">Yes, but Staff did not directly testify to a revision to </w:t>
      </w:r>
      <w:r w:rsidR="00674225">
        <w:t>ROE</w:t>
      </w:r>
      <w:r>
        <w:t>.  My testimony in Exhibit</w:t>
      </w:r>
      <w:r w:rsidR="00A64198">
        <w:t xml:space="preserve"> No.</w:t>
      </w:r>
      <w:r w:rsidR="00BB57CA">
        <w:t xml:space="preserve"> TES-1T</w:t>
      </w:r>
      <w:r>
        <w:t xml:space="preserve"> speaks to PSE’s shortfall in rate of return over the past several years in spite of regular rate increases.  Exhibit </w:t>
      </w:r>
      <w:r w:rsidR="00A64198">
        <w:t xml:space="preserve">No. </w:t>
      </w:r>
      <w:r>
        <w:t xml:space="preserve">TES-3 presents this data.  In my rebuttal testimony, I </w:t>
      </w:r>
      <w:r w:rsidR="008719AB">
        <w:t xml:space="preserve">explained </w:t>
      </w:r>
      <w:r w:rsidR="00674225">
        <w:t xml:space="preserve">that the </w:t>
      </w:r>
      <w:r w:rsidR="00017164">
        <w:t>intent</w:t>
      </w:r>
      <w:r>
        <w:t xml:space="preserve"> of an expedited rate case is to avoid the debate surrounding the rate of return</w:t>
      </w:r>
      <w:r w:rsidR="002026D5">
        <w:t>.</w:t>
      </w:r>
      <w:r w:rsidR="0020723F">
        <w:t xml:space="preserve">  </w:t>
      </w:r>
      <w:r w:rsidR="002026D5">
        <w:t>T</w:t>
      </w:r>
      <w:r w:rsidR="00A6429B">
        <w:t>he Commission expressly acknowledges</w:t>
      </w:r>
      <w:r w:rsidR="002026D5">
        <w:t xml:space="preserve"> this approach</w:t>
      </w:r>
      <w:r w:rsidR="00A6429B">
        <w:t xml:space="preserve"> in Order 07</w:t>
      </w:r>
      <w:r w:rsidR="002026D5">
        <w:t>.</w:t>
      </w:r>
      <w:r w:rsidR="00F67138">
        <w:rPr>
          <w:rStyle w:val="FootnoteReference"/>
        </w:rPr>
        <w:footnoteReference w:id="4"/>
      </w:r>
      <w:r>
        <w:t xml:space="preserve"> </w:t>
      </w:r>
      <w:r w:rsidR="002026D5">
        <w:t xml:space="preserve"> In addition, </w:t>
      </w:r>
      <w:r>
        <w:t>I address</w:t>
      </w:r>
      <w:r w:rsidR="00017164">
        <w:t>ed</w:t>
      </w:r>
      <w:r>
        <w:t xml:space="preserve"> the issue of the effect of decoupling on the rate of return.</w:t>
      </w:r>
    </w:p>
    <w:p w14:paraId="149F9FA2" w14:textId="77777777" w:rsidR="00A9523A" w:rsidRDefault="00A9523A" w:rsidP="00B814E2">
      <w:pPr>
        <w:spacing w:line="480" w:lineRule="auto"/>
        <w:ind w:left="720" w:hanging="720"/>
      </w:pPr>
    </w:p>
    <w:p w14:paraId="7840ACAE" w14:textId="633EFCEF" w:rsidR="00A9523A" w:rsidRPr="00910023" w:rsidRDefault="00A9523A" w:rsidP="00B814E2">
      <w:pPr>
        <w:spacing w:line="480" w:lineRule="auto"/>
        <w:ind w:left="720" w:hanging="720"/>
        <w:rPr>
          <w:b/>
        </w:rPr>
      </w:pPr>
      <w:r w:rsidRPr="00910023">
        <w:rPr>
          <w:b/>
        </w:rPr>
        <w:t>Q.</w:t>
      </w:r>
      <w:r w:rsidRPr="00910023">
        <w:rPr>
          <w:b/>
        </w:rPr>
        <w:tab/>
      </w:r>
      <w:r w:rsidR="00025FA7" w:rsidRPr="00910023">
        <w:rPr>
          <w:b/>
        </w:rPr>
        <w:t xml:space="preserve">What does the latest data from </w:t>
      </w:r>
      <w:r w:rsidR="00B65016">
        <w:rPr>
          <w:b/>
        </w:rPr>
        <w:t>C</w:t>
      </w:r>
      <w:r w:rsidR="00BF69D1">
        <w:rPr>
          <w:b/>
        </w:rPr>
        <w:t xml:space="preserve">ommission </w:t>
      </w:r>
      <w:r w:rsidR="00341497">
        <w:rPr>
          <w:b/>
        </w:rPr>
        <w:t>b</w:t>
      </w:r>
      <w:r w:rsidR="00BF69D1">
        <w:rPr>
          <w:b/>
        </w:rPr>
        <w:t xml:space="preserve">asis </w:t>
      </w:r>
      <w:r w:rsidR="00341497">
        <w:rPr>
          <w:b/>
        </w:rPr>
        <w:t>r</w:t>
      </w:r>
      <w:r w:rsidR="00025FA7" w:rsidRPr="00910023">
        <w:rPr>
          <w:b/>
        </w:rPr>
        <w:t>eports show for PSE’s earnings?</w:t>
      </w:r>
    </w:p>
    <w:p w14:paraId="3996460E" w14:textId="4AA98233" w:rsidR="00025FA7" w:rsidRDefault="00025FA7" w:rsidP="00B814E2">
      <w:pPr>
        <w:spacing w:line="480" w:lineRule="auto"/>
        <w:ind w:left="720" w:hanging="720"/>
      </w:pPr>
      <w:r>
        <w:t>A.</w:t>
      </w:r>
      <w:r>
        <w:tab/>
        <w:t xml:space="preserve">I have updated my Exhibit </w:t>
      </w:r>
      <w:r w:rsidR="00B13A30">
        <w:t xml:space="preserve">No. </w:t>
      </w:r>
      <w:r w:rsidR="00BB57CA">
        <w:t>TES-3</w:t>
      </w:r>
      <w:r>
        <w:t xml:space="preserve"> to reflect data through June 2014.</w:t>
      </w:r>
      <w:r w:rsidR="00A93BB0">
        <w:t xml:space="preserve">  The updates are contained in my Exhibit No. ___ (TES-7).</w:t>
      </w:r>
      <w:r>
        <w:t xml:space="preserve">  PSE continues to earn less than its authorized rate of return of 7.77%, but it is getting closer.</w:t>
      </w:r>
    </w:p>
    <w:p w14:paraId="7754B3B8" w14:textId="77777777" w:rsidR="00025FA7" w:rsidRDefault="00025FA7" w:rsidP="00B814E2">
      <w:pPr>
        <w:spacing w:line="480" w:lineRule="auto"/>
        <w:ind w:left="720" w:hanging="720"/>
      </w:pPr>
    </w:p>
    <w:p w14:paraId="49D67C6E" w14:textId="097D8109" w:rsidR="00025FA7" w:rsidRPr="00910023" w:rsidRDefault="00F62875" w:rsidP="00631F39">
      <w:pPr>
        <w:keepNext/>
        <w:spacing w:line="480" w:lineRule="auto"/>
        <w:ind w:left="720" w:hanging="720"/>
        <w:rPr>
          <w:b/>
        </w:rPr>
      </w:pPr>
      <w:r w:rsidRPr="00910023">
        <w:rPr>
          <w:b/>
        </w:rPr>
        <w:lastRenderedPageBreak/>
        <w:t>Q.</w:t>
      </w:r>
      <w:r w:rsidRPr="00910023">
        <w:rPr>
          <w:b/>
        </w:rPr>
        <w:tab/>
        <w:t>Of what importance is this data?</w:t>
      </w:r>
    </w:p>
    <w:p w14:paraId="3ECE4017" w14:textId="2DA85E24" w:rsidR="00F62875" w:rsidRDefault="00F62875" w:rsidP="00631F39">
      <w:pPr>
        <w:keepNext/>
        <w:spacing w:line="480" w:lineRule="auto"/>
        <w:ind w:left="720" w:hanging="720"/>
      </w:pPr>
      <w:r>
        <w:t>A.</w:t>
      </w:r>
      <w:r>
        <w:tab/>
        <w:t>This data implies that</w:t>
      </w:r>
      <w:r w:rsidR="00B13A30">
        <w:t>,</w:t>
      </w:r>
      <w:r>
        <w:t xml:space="preserve"> since </w:t>
      </w:r>
      <w:r w:rsidR="00B13A30">
        <w:t xml:space="preserve">PSE is not achieving its </w:t>
      </w:r>
      <w:r>
        <w:t>authorized return of 7.77 percent, it is unnecessary to reduce the authorized</w:t>
      </w:r>
      <w:r w:rsidR="00B13A30">
        <w:t xml:space="preserve"> return</w:t>
      </w:r>
      <w:r>
        <w:t xml:space="preserve">. </w:t>
      </w:r>
    </w:p>
    <w:p w14:paraId="78B4CC29" w14:textId="77777777" w:rsidR="007136CF" w:rsidRDefault="007136CF" w:rsidP="00631F39">
      <w:pPr>
        <w:keepNext/>
        <w:spacing w:line="480" w:lineRule="auto"/>
      </w:pPr>
    </w:p>
    <w:p w14:paraId="595271C4" w14:textId="10C0DF0E" w:rsidR="00140180" w:rsidRPr="007944EA" w:rsidRDefault="00B0786B" w:rsidP="00B0786B">
      <w:pPr>
        <w:spacing w:line="480" w:lineRule="auto"/>
        <w:ind w:left="720" w:hanging="720"/>
        <w:rPr>
          <w:b/>
        </w:rPr>
      </w:pPr>
      <w:r>
        <w:rPr>
          <w:b/>
        </w:rPr>
        <w:t>B</w:t>
      </w:r>
      <w:r w:rsidR="00140180" w:rsidRPr="007944EA">
        <w:rPr>
          <w:b/>
        </w:rPr>
        <w:t>.</w:t>
      </w:r>
      <w:r w:rsidR="00140180" w:rsidRPr="007944EA">
        <w:rPr>
          <w:b/>
        </w:rPr>
        <w:tab/>
      </w:r>
      <w:r w:rsidRPr="00631F39">
        <w:rPr>
          <w:b/>
        </w:rPr>
        <w:t>Effect of Decoupling on Cost of Capital</w:t>
      </w:r>
    </w:p>
    <w:p w14:paraId="64BDA5B1" w14:textId="77777777" w:rsidR="00140180" w:rsidRDefault="00140180" w:rsidP="007944EA">
      <w:pPr>
        <w:spacing w:line="480" w:lineRule="auto"/>
      </w:pPr>
    </w:p>
    <w:p w14:paraId="31D48C5C" w14:textId="17D2DFC1" w:rsidR="007136CF" w:rsidRDefault="007136CF" w:rsidP="00B814E2">
      <w:pPr>
        <w:spacing w:line="480" w:lineRule="auto"/>
        <w:ind w:left="720" w:hanging="720"/>
      </w:pPr>
      <w:r w:rsidRPr="00B2161C">
        <w:rPr>
          <w:b/>
        </w:rPr>
        <w:t>Q.</w:t>
      </w:r>
      <w:r w:rsidRPr="00B2161C">
        <w:rPr>
          <w:b/>
        </w:rPr>
        <w:tab/>
      </w:r>
      <w:r w:rsidR="00D92DD3">
        <w:rPr>
          <w:b/>
        </w:rPr>
        <w:t xml:space="preserve">You mentioned earlier that Staff </w:t>
      </w:r>
      <w:r w:rsidRPr="00B2161C">
        <w:rPr>
          <w:b/>
        </w:rPr>
        <w:t>address</w:t>
      </w:r>
      <w:r w:rsidR="00D92DD3">
        <w:rPr>
          <w:b/>
        </w:rPr>
        <w:t>ed</w:t>
      </w:r>
      <w:r w:rsidRPr="00B2161C">
        <w:rPr>
          <w:b/>
        </w:rPr>
        <w:t xml:space="preserve"> the issue of </w:t>
      </w:r>
      <w:r>
        <w:rPr>
          <w:b/>
        </w:rPr>
        <w:t xml:space="preserve">the effect of decoupling on </w:t>
      </w:r>
      <w:r w:rsidRPr="00B2161C">
        <w:rPr>
          <w:b/>
        </w:rPr>
        <w:t>cost of capital, or return on equity, in its previous testimony</w:t>
      </w:r>
      <w:r w:rsidR="00D92DD3">
        <w:rPr>
          <w:b/>
        </w:rPr>
        <w:t>.  What was Staff’s position</w:t>
      </w:r>
      <w:r w:rsidRPr="00B2161C">
        <w:rPr>
          <w:b/>
        </w:rPr>
        <w:t>?</w:t>
      </w:r>
    </w:p>
    <w:p w14:paraId="72C852FD" w14:textId="1CB1E8E7" w:rsidR="00017164" w:rsidRDefault="007136CF" w:rsidP="00B814E2">
      <w:pPr>
        <w:spacing w:line="480" w:lineRule="auto"/>
        <w:ind w:left="720" w:hanging="720"/>
      </w:pPr>
      <w:r>
        <w:t>A.</w:t>
      </w:r>
      <w:r>
        <w:tab/>
      </w:r>
      <w:r w:rsidR="00EE0F69">
        <w:t>In</w:t>
      </w:r>
      <w:r>
        <w:t xml:space="preserve"> Exhibit </w:t>
      </w:r>
      <w:r w:rsidR="006634CF">
        <w:t xml:space="preserve">No. </w:t>
      </w:r>
      <w:r w:rsidR="00E102CD">
        <w:t>TES-4T</w:t>
      </w:r>
      <w:r w:rsidR="00EE0F69">
        <w:t>, I replied</w:t>
      </w:r>
      <w:r>
        <w:t xml:space="preserve"> to the testimony of other parties who </w:t>
      </w:r>
      <w:r w:rsidR="00674225">
        <w:t xml:space="preserve">advocated for </w:t>
      </w:r>
      <w:r w:rsidR="000646C5">
        <w:t>a reduction in the cost of capital due to the proposed decoupling program.  I testified that it was premature to reduce the rate of return absent any data that the rate of return will improve due to decoupling.  My testimony is best summed up by my statement: “The claim that decoupling reduces risk for regulated utilities has theoretical appeal, but is at best hypothetical and unsupported by empirical evidence.”</w:t>
      </w:r>
      <w:r w:rsidR="00B260CE">
        <w:rPr>
          <w:rStyle w:val="FootnoteReference"/>
        </w:rPr>
        <w:footnoteReference w:id="5"/>
      </w:r>
      <w:r w:rsidR="000646C5">
        <w:t xml:space="preserve">  </w:t>
      </w:r>
    </w:p>
    <w:p w14:paraId="0E3D05A2" w14:textId="77777777" w:rsidR="000646C5" w:rsidRDefault="000646C5" w:rsidP="00B814E2">
      <w:pPr>
        <w:spacing w:line="480" w:lineRule="auto"/>
        <w:ind w:left="720" w:hanging="720"/>
      </w:pPr>
    </w:p>
    <w:p w14:paraId="340FEBF4" w14:textId="2BC5A2E9" w:rsidR="000646C5" w:rsidRPr="00910023" w:rsidRDefault="000646C5" w:rsidP="00B814E2">
      <w:pPr>
        <w:spacing w:line="480" w:lineRule="auto"/>
        <w:ind w:left="720" w:hanging="720"/>
        <w:rPr>
          <w:b/>
        </w:rPr>
      </w:pPr>
      <w:r w:rsidRPr="00910023">
        <w:rPr>
          <w:b/>
        </w:rPr>
        <w:t>Q.</w:t>
      </w:r>
      <w:r w:rsidRPr="00910023">
        <w:rPr>
          <w:b/>
        </w:rPr>
        <w:tab/>
        <w:t>Has your position changed since the testimony of May 2013?</w:t>
      </w:r>
    </w:p>
    <w:p w14:paraId="6DF99422" w14:textId="07E0BB29" w:rsidR="000646C5" w:rsidRDefault="000646C5" w:rsidP="00B814E2">
      <w:pPr>
        <w:spacing w:line="480" w:lineRule="auto"/>
        <w:ind w:left="720" w:hanging="720"/>
      </w:pPr>
      <w:r>
        <w:t>A.</w:t>
      </w:r>
      <w:r>
        <w:tab/>
      </w:r>
      <w:r w:rsidR="00B75C97">
        <w:t>No.</w:t>
      </w:r>
      <w:r w:rsidR="0061466A">
        <w:t xml:space="preserve"> </w:t>
      </w:r>
      <w:r w:rsidR="00B75C97">
        <w:t xml:space="preserve"> I still believe the best course of action is the one we are on.    </w:t>
      </w:r>
      <w:r w:rsidR="00B260CE">
        <w:t xml:space="preserve">The Commission wisely </w:t>
      </w:r>
      <w:r w:rsidR="000E2CC2">
        <w:t xml:space="preserve">determined that the return on equity should remain the same during the next few years to </w:t>
      </w:r>
      <w:r w:rsidR="000742B9">
        <w:t xml:space="preserve">allow </w:t>
      </w:r>
      <w:r w:rsidR="000E2CC2">
        <w:t>objective</w:t>
      </w:r>
      <w:r w:rsidR="00B260CE">
        <w:t xml:space="preserve"> data </w:t>
      </w:r>
      <w:r w:rsidR="000E2CC2">
        <w:t xml:space="preserve">on the effects of decoupling on earnings </w:t>
      </w:r>
      <w:r w:rsidR="000742B9">
        <w:t>to accumulate</w:t>
      </w:r>
      <w:r w:rsidR="00B260CE">
        <w:t>.</w:t>
      </w:r>
      <w:r w:rsidR="007944EA">
        <w:rPr>
          <w:rStyle w:val="FootnoteReference"/>
        </w:rPr>
        <w:footnoteReference w:id="6"/>
      </w:r>
      <w:r w:rsidR="00B260CE">
        <w:t xml:space="preserve">  </w:t>
      </w:r>
    </w:p>
    <w:p w14:paraId="008FDE38" w14:textId="3BA472BB" w:rsidR="006634CF" w:rsidRDefault="000E08B1" w:rsidP="00B814E2">
      <w:pPr>
        <w:spacing w:line="480" w:lineRule="auto"/>
        <w:ind w:left="720" w:hanging="720"/>
        <w:rPr>
          <w:b/>
        </w:rPr>
      </w:pPr>
      <w:r>
        <w:rPr>
          <w:b/>
        </w:rPr>
        <w:lastRenderedPageBreak/>
        <w:t>C.</w:t>
      </w:r>
      <w:r>
        <w:rPr>
          <w:b/>
        </w:rPr>
        <w:tab/>
      </w:r>
      <w:r w:rsidRPr="00631F39">
        <w:rPr>
          <w:b/>
        </w:rPr>
        <w:t>Review of Decoupling and K-Factor Mechanisms</w:t>
      </w:r>
      <w:r w:rsidR="00D618DD" w:rsidRPr="00631F39">
        <w:rPr>
          <w:b/>
        </w:rPr>
        <w:t xml:space="preserve"> and Customer Impact</w:t>
      </w:r>
      <w:r w:rsidR="002B5778" w:rsidRPr="00631F39">
        <w:rPr>
          <w:b/>
        </w:rPr>
        <w:t xml:space="preserve"> to Date</w:t>
      </w:r>
    </w:p>
    <w:p w14:paraId="74941D91" w14:textId="77777777" w:rsidR="000E08B1" w:rsidRPr="00AC0697" w:rsidRDefault="000E08B1" w:rsidP="00B814E2">
      <w:pPr>
        <w:spacing w:line="480" w:lineRule="auto"/>
        <w:ind w:left="720" w:hanging="720"/>
        <w:rPr>
          <w:b/>
        </w:rPr>
      </w:pPr>
    </w:p>
    <w:p w14:paraId="3669D4E0" w14:textId="26525B5F" w:rsidR="000646C5" w:rsidRDefault="00E47A94" w:rsidP="00B814E2">
      <w:pPr>
        <w:spacing w:line="480" w:lineRule="auto"/>
        <w:ind w:left="720" w:hanging="720"/>
        <w:rPr>
          <w:b/>
        </w:rPr>
      </w:pPr>
      <w:r w:rsidRPr="00910023">
        <w:rPr>
          <w:b/>
        </w:rPr>
        <w:t>Q.</w:t>
      </w:r>
      <w:r w:rsidRPr="00910023">
        <w:rPr>
          <w:b/>
        </w:rPr>
        <w:tab/>
        <w:t>Please give a brief description of the decoupling mechanism.</w:t>
      </w:r>
    </w:p>
    <w:p w14:paraId="2C4858EB" w14:textId="476365F2" w:rsidR="00E47A94" w:rsidRPr="00910023" w:rsidRDefault="00E47A94" w:rsidP="00AC0697">
      <w:pPr>
        <w:spacing w:line="480" w:lineRule="auto"/>
        <w:ind w:left="720" w:hanging="720"/>
      </w:pPr>
      <w:r w:rsidRPr="00AC0697">
        <w:t>A.</w:t>
      </w:r>
      <w:r w:rsidRPr="00910023">
        <w:rPr>
          <w:b/>
        </w:rPr>
        <w:tab/>
      </w:r>
      <w:r w:rsidRPr="00910023">
        <w:t>In a nutshell, PSE’s revenues will be determined on a delivery dollars per customer basis, but collected from customers on a cents per kilowatt-hour</w:t>
      </w:r>
      <w:r w:rsidR="0049084A">
        <w:t>, or cents per therm</w:t>
      </w:r>
      <w:r w:rsidRPr="00910023">
        <w:t xml:space="preserve"> basis. </w:t>
      </w:r>
      <w:r w:rsidR="0049084A">
        <w:t xml:space="preserve"> It is important to note the decoupling mechanism only applies to the delivery portion of total revenues.  The production costs of electricity and the purchases of natural gas are not subject to the decoupling mechanism at PSE. </w:t>
      </w:r>
    </w:p>
    <w:p w14:paraId="167AC107" w14:textId="77777777" w:rsidR="006405D1" w:rsidRPr="00AC0697" w:rsidRDefault="006405D1" w:rsidP="00B814E2">
      <w:pPr>
        <w:spacing w:line="480" w:lineRule="auto"/>
        <w:ind w:left="720" w:hanging="720"/>
      </w:pPr>
    </w:p>
    <w:p w14:paraId="2BAD8306" w14:textId="59862F0E" w:rsidR="00E47A94" w:rsidRDefault="00E47A94" w:rsidP="00B814E2">
      <w:pPr>
        <w:spacing w:line="480" w:lineRule="auto"/>
        <w:ind w:left="720" w:hanging="720"/>
        <w:rPr>
          <w:b/>
        </w:rPr>
      </w:pPr>
      <w:r>
        <w:rPr>
          <w:b/>
        </w:rPr>
        <w:t>Q.</w:t>
      </w:r>
      <w:r>
        <w:rPr>
          <w:b/>
        </w:rPr>
        <w:tab/>
      </w:r>
      <w:r w:rsidRPr="00B2161C">
        <w:rPr>
          <w:b/>
        </w:rPr>
        <w:t xml:space="preserve">Please give a brief description of the </w:t>
      </w:r>
      <w:r>
        <w:rPr>
          <w:b/>
        </w:rPr>
        <w:t>K-factor, or rate plan</w:t>
      </w:r>
      <w:r w:rsidRPr="00B2161C">
        <w:rPr>
          <w:b/>
        </w:rPr>
        <w:t>.</w:t>
      </w:r>
    </w:p>
    <w:p w14:paraId="36E2C993" w14:textId="71BD909C" w:rsidR="00E47A94" w:rsidRPr="00910023" w:rsidRDefault="00E47A94" w:rsidP="00AC0697">
      <w:pPr>
        <w:spacing w:line="480" w:lineRule="auto"/>
        <w:ind w:left="720" w:hanging="720"/>
      </w:pPr>
      <w:r w:rsidRPr="00AC0697">
        <w:t>A.</w:t>
      </w:r>
      <w:r w:rsidRPr="00AC0697">
        <w:tab/>
      </w:r>
      <w:r w:rsidRPr="00910023">
        <w:t xml:space="preserve">The “K-factor” is the term given the planned revenue increases during the next few years.  It is essentially the </w:t>
      </w:r>
      <w:r w:rsidR="00674225">
        <w:t xml:space="preserve">mechanism of </w:t>
      </w:r>
      <w:r w:rsidR="0013064C">
        <w:t>the</w:t>
      </w:r>
      <w:r w:rsidR="00674225">
        <w:t xml:space="preserve"> so-called multi-year </w:t>
      </w:r>
      <w:r w:rsidRPr="00910023">
        <w:t>rate plan</w:t>
      </w:r>
      <w:r w:rsidR="00674225">
        <w:t xml:space="preserve"> that results in annual increases to rates</w:t>
      </w:r>
      <w:r w:rsidRPr="00910023">
        <w:t xml:space="preserve">.  For electricity, a one percent increase for delivery revenue </w:t>
      </w:r>
      <w:r w:rsidR="0013064C">
        <w:t>was implemented</w:t>
      </w:r>
      <w:r w:rsidR="0013064C" w:rsidRPr="00910023">
        <w:t xml:space="preserve"> </w:t>
      </w:r>
      <w:r w:rsidRPr="00910023">
        <w:t>on July 1, 2013</w:t>
      </w:r>
      <w:r w:rsidR="0013064C">
        <w:t>,</w:t>
      </w:r>
      <w:r w:rsidRPr="00910023">
        <w:t xml:space="preserve"> with annual one percent increases for delivery revenue each subsequent January 1.  For natural gas, a 2.2 percent increase for gas delivery </w:t>
      </w:r>
      <w:r w:rsidR="0013064C">
        <w:t>was implemented</w:t>
      </w:r>
      <w:r w:rsidR="0013064C" w:rsidRPr="00910023">
        <w:t xml:space="preserve"> </w:t>
      </w:r>
      <w:r w:rsidRPr="00910023">
        <w:t>on July 1, 2013</w:t>
      </w:r>
      <w:r w:rsidR="0013064C">
        <w:t>,</w:t>
      </w:r>
      <w:r w:rsidRPr="00910023">
        <w:t xml:space="preserve"> with annual 2.2 percent increases for delivery revenue each subsequent January 1.  Customer rate increases </w:t>
      </w:r>
      <w:r w:rsidR="00EE3E3C">
        <w:t xml:space="preserve">also </w:t>
      </w:r>
      <w:r w:rsidR="0013064C">
        <w:t>went into effect</w:t>
      </w:r>
      <w:r w:rsidR="0013064C" w:rsidRPr="00910023">
        <w:t xml:space="preserve"> </w:t>
      </w:r>
      <w:r w:rsidRPr="00910023">
        <w:t xml:space="preserve">on July 1, 2013, but subsequent rate </w:t>
      </w:r>
      <w:r w:rsidR="00EE3E3C">
        <w:t>revisions</w:t>
      </w:r>
      <w:r w:rsidR="00EE3E3C" w:rsidRPr="00910023">
        <w:t xml:space="preserve"> </w:t>
      </w:r>
      <w:r w:rsidRPr="00910023">
        <w:t xml:space="preserve">will </w:t>
      </w:r>
      <w:r w:rsidR="00EE3E3C">
        <w:t>be made</w:t>
      </w:r>
      <w:r w:rsidR="00EE3E3C" w:rsidRPr="00910023">
        <w:t xml:space="preserve"> </w:t>
      </w:r>
      <w:r w:rsidRPr="00910023">
        <w:t xml:space="preserve">each May 1 to recover the K-factor increase plus or minus any decoupling variance from the prior calendar year. </w:t>
      </w:r>
    </w:p>
    <w:p w14:paraId="0BC81EA8" w14:textId="57E41A97" w:rsidR="00E47A94" w:rsidRPr="00910023" w:rsidRDefault="00E47A94" w:rsidP="00B814E2">
      <w:pPr>
        <w:spacing w:line="480" w:lineRule="auto"/>
        <w:ind w:left="720" w:hanging="720"/>
        <w:rPr>
          <w:b/>
        </w:rPr>
      </w:pPr>
    </w:p>
    <w:p w14:paraId="142F0B3F" w14:textId="06814135" w:rsidR="000646C5" w:rsidRPr="00910023" w:rsidRDefault="00B260CE" w:rsidP="00B814E2">
      <w:pPr>
        <w:spacing w:line="480" w:lineRule="auto"/>
        <w:ind w:left="720" w:hanging="720"/>
        <w:rPr>
          <w:b/>
        </w:rPr>
      </w:pPr>
      <w:r w:rsidRPr="00910023">
        <w:rPr>
          <w:b/>
        </w:rPr>
        <w:t>Q.</w:t>
      </w:r>
      <w:r w:rsidRPr="00910023">
        <w:rPr>
          <w:b/>
        </w:rPr>
        <w:tab/>
      </w:r>
      <w:r w:rsidR="0061466A" w:rsidRPr="00910023">
        <w:rPr>
          <w:b/>
        </w:rPr>
        <w:t xml:space="preserve">How </w:t>
      </w:r>
      <w:r w:rsidR="000E08B1">
        <w:rPr>
          <w:b/>
        </w:rPr>
        <w:t>have</w:t>
      </w:r>
      <w:r w:rsidR="000E08B1" w:rsidRPr="00910023">
        <w:rPr>
          <w:b/>
        </w:rPr>
        <w:t xml:space="preserve"> </w:t>
      </w:r>
      <w:r w:rsidR="0061466A" w:rsidRPr="00910023">
        <w:rPr>
          <w:b/>
        </w:rPr>
        <w:t xml:space="preserve">the decoupling mechanism </w:t>
      </w:r>
      <w:r w:rsidR="000E08B1">
        <w:rPr>
          <w:b/>
        </w:rPr>
        <w:t xml:space="preserve">and K-factor </w:t>
      </w:r>
      <w:r w:rsidR="0013064C">
        <w:rPr>
          <w:b/>
        </w:rPr>
        <w:t>affected</w:t>
      </w:r>
      <w:r w:rsidR="0013064C" w:rsidRPr="00910023">
        <w:rPr>
          <w:b/>
        </w:rPr>
        <w:t xml:space="preserve"> </w:t>
      </w:r>
      <w:r w:rsidR="0061466A" w:rsidRPr="00910023">
        <w:rPr>
          <w:b/>
        </w:rPr>
        <w:t xml:space="preserve">customer rates since </w:t>
      </w:r>
      <w:r w:rsidR="000E08B1">
        <w:rPr>
          <w:b/>
        </w:rPr>
        <w:t>implementation</w:t>
      </w:r>
      <w:r w:rsidR="0061466A" w:rsidRPr="00910023">
        <w:rPr>
          <w:b/>
        </w:rPr>
        <w:t>?</w:t>
      </w:r>
    </w:p>
    <w:p w14:paraId="20632F4E" w14:textId="3434F37C" w:rsidR="000646C5" w:rsidRDefault="0061466A" w:rsidP="00B814E2">
      <w:pPr>
        <w:spacing w:line="480" w:lineRule="auto"/>
        <w:ind w:left="720" w:hanging="720"/>
      </w:pPr>
      <w:r>
        <w:lastRenderedPageBreak/>
        <w:t>A.</w:t>
      </w:r>
      <w:r>
        <w:tab/>
      </w:r>
      <w:r w:rsidR="00786C71">
        <w:t xml:space="preserve">The first decoupling and the first K-factor </w:t>
      </w:r>
      <w:r w:rsidR="00EE3E3C">
        <w:t xml:space="preserve">rate </w:t>
      </w:r>
      <w:r w:rsidR="00786C71">
        <w:t xml:space="preserve">increase </w:t>
      </w:r>
      <w:r w:rsidR="007A58F2">
        <w:t xml:space="preserve">went into effect </w:t>
      </w:r>
      <w:r w:rsidR="00786C71">
        <w:t xml:space="preserve">on July 1, 2013.  Over the next six months PSE recovered more dollars in customer payments than </w:t>
      </w:r>
      <w:r w:rsidR="00E47A94">
        <w:t xml:space="preserve">it earned </w:t>
      </w:r>
      <w:r w:rsidR="00786C71">
        <w:t xml:space="preserve">on a </w:t>
      </w:r>
      <w:r w:rsidR="00E47A94">
        <w:t xml:space="preserve">delivery </w:t>
      </w:r>
      <w:r w:rsidR="00786C71">
        <w:t xml:space="preserve">revenue per customer </w:t>
      </w:r>
      <w:r w:rsidR="00E47A94">
        <w:t xml:space="preserve">basis by </w:t>
      </w:r>
      <w:r w:rsidR="002001F1">
        <w:t xml:space="preserve">about </w:t>
      </w:r>
      <w:r w:rsidR="00E47A94" w:rsidRPr="00513187">
        <w:t>$</w:t>
      </w:r>
      <w:r w:rsidR="001C4868" w:rsidRPr="00513187">
        <w:t>1</w:t>
      </w:r>
      <w:r w:rsidR="002001F1" w:rsidRPr="00513187">
        <w:t>6</w:t>
      </w:r>
      <w:r w:rsidR="001C4868" w:rsidRPr="00513187">
        <w:t xml:space="preserve"> </w:t>
      </w:r>
      <w:r w:rsidR="001C4868">
        <w:t>million in electricity and $5 million in gas</w:t>
      </w:r>
      <w:r w:rsidR="00E47A94">
        <w:t>.  This over-collection was returned to customers in the rate revision of May 2014.</w:t>
      </w:r>
      <w:r w:rsidR="00AB4D48">
        <w:t xml:space="preserve">  In </w:t>
      </w:r>
      <w:r w:rsidR="002001F1">
        <w:t xml:space="preserve">the first half of </w:t>
      </w:r>
      <w:r w:rsidR="00AB4D48">
        <w:t xml:space="preserve">2014, the electric delivery revenues </w:t>
      </w:r>
      <w:r w:rsidR="002140CC">
        <w:t xml:space="preserve">owed </w:t>
      </w:r>
      <w:r w:rsidR="00AB4D48">
        <w:t xml:space="preserve">to the company exceed </w:t>
      </w:r>
      <w:r w:rsidR="002140CC">
        <w:t>revenues collected</w:t>
      </w:r>
      <w:r w:rsidR="00AB4D48">
        <w:t xml:space="preserve"> from customers by over $25 million</w:t>
      </w:r>
      <w:r w:rsidR="00A711C4">
        <w:t>,</w:t>
      </w:r>
      <w:r w:rsidR="00AB4D48">
        <w:t xml:space="preserve"> while the natural gas delivery revenues exceed customer collections by about $10 million.</w:t>
      </w:r>
      <w:r w:rsidR="00AB4D48">
        <w:rPr>
          <w:rStyle w:val="FootnoteReference"/>
        </w:rPr>
        <w:footnoteReference w:id="7"/>
      </w:r>
      <w:r w:rsidR="00AB4D48">
        <w:t xml:space="preserve"> </w:t>
      </w:r>
      <w:r w:rsidR="002001F1">
        <w:t xml:space="preserve"> </w:t>
      </w:r>
      <w:r w:rsidR="00AB4D48">
        <w:t xml:space="preserve">It appears </w:t>
      </w:r>
      <w:r w:rsidR="001F51B3">
        <w:t xml:space="preserve">some </w:t>
      </w:r>
      <w:r w:rsidR="00AB4D48">
        <w:t xml:space="preserve">customers </w:t>
      </w:r>
      <w:r w:rsidR="001F51B3">
        <w:t xml:space="preserve">may </w:t>
      </w:r>
      <w:r w:rsidR="00AB4D48">
        <w:t>see a rate increase in 2015.</w:t>
      </w:r>
    </w:p>
    <w:p w14:paraId="00D20ED4" w14:textId="77777777" w:rsidR="000646C5" w:rsidRDefault="000646C5" w:rsidP="00B814E2">
      <w:pPr>
        <w:spacing w:line="480" w:lineRule="auto"/>
        <w:ind w:left="720" w:hanging="720"/>
      </w:pPr>
    </w:p>
    <w:p w14:paraId="5B1CBF60" w14:textId="0AC52536" w:rsidR="00F91C14" w:rsidRPr="00910023" w:rsidRDefault="00F91C14" w:rsidP="00B814E2">
      <w:pPr>
        <w:spacing w:line="480" w:lineRule="auto"/>
        <w:ind w:left="720" w:hanging="720"/>
        <w:rPr>
          <w:b/>
        </w:rPr>
      </w:pPr>
      <w:r w:rsidRPr="00910023">
        <w:rPr>
          <w:b/>
        </w:rPr>
        <w:t>Q.</w:t>
      </w:r>
      <w:r w:rsidRPr="00910023">
        <w:rPr>
          <w:b/>
        </w:rPr>
        <w:tab/>
        <w:t>How should the information on decoupling for 2014 be interpreted?</w:t>
      </w:r>
    </w:p>
    <w:p w14:paraId="1E7F0A91" w14:textId="6A989001" w:rsidR="00F91C14" w:rsidRDefault="00F91C14" w:rsidP="00B814E2">
      <w:pPr>
        <w:spacing w:line="480" w:lineRule="auto"/>
        <w:ind w:left="720" w:hanging="720"/>
      </w:pPr>
      <w:r>
        <w:t>A.</w:t>
      </w:r>
      <w:r>
        <w:tab/>
        <w:t xml:space="preserve">This is simply a consequence of decoupling mechanisms. </w:t>
      </w:r>
      <w:r w:rsidR="001F51B3">
        <w:t xml:space="preserve"> </w:t>
      </w:r>
      <w:r>
        <w:t xml:space="preserve">For the six months of 2013, customers received a refund.  But for the full 12 months of 2014, </w:t>
      </w:r>
      <w:r w:rsidR="002313AE">
        <w:t xml:space="preserve">customers will need to pay </w:t>
      </w:r>
      <w:r w:rsidR="00686B0A">
        <w:t>more</w:t>
      </w:r>
      <w:r w:rsidR="002313AE">
        <w:t xml:space="preserve"> in order </w:t>
      </w:r>
      <w:r>
        <w:t xml:space="preserve">for PSE to </w:t>
      </w:r>
      <w:r w:rsidR="008040FB">
        <w:t>collect</w:t>
      </w:r>
      <w:r w:rsidR="002313AE">
        <w:t xml:space="preserve"> </w:t>
      </w:r>
      <w:r w:rsidR="00A711C4">
        <w:t xml:space="preserve">the amount of </w:t>
      </w:r>
      <w:r w:rsidR="002313AE">
        <w:t xml:space="preserve">the revenue requirement approved under the rate </w:t>
      </w:r>
      <w:r w:rsidR="008040FB">
        <w:t>plan.</w:t>
      </w:r>
      <w:r>
        <w:t xml:space="preserve">  These refunds or </w:t>
      </w:r>
      <w:r w:rsidR="00686B0A">
        <w:t xml:space="preserve">charges </w:t>
      </w:r>
      <w:r>
        <w:t xml:space="preserve">will be passed on to customers on a volumetric, or cents per kilowatt-hour, basis. </w:t>
      </w:r>
    </w:p>
    <w:p w14:paraId="4718960F" w14:textId="77777777" w:rsidR="0049084A" w:rsidRDefault="0049084A" w:rsidP="00B814E2">
      <w:pPr>
        <w:spacing w:line="480" w:lineRule="auto"/>
        <w:ind w:left="720" w:hanging="720"/>
        <w:rPr>
          <w:b/>
        </w:rPr>
      </w:pPr>
    </w:p>
    <w:p w14:paraId="019E8CEB" w14:textId="11A74B4B" w:rsidR="00F91C14" w:rsidRPr="00910023" w:rsidRDefault="00F91C14" w:rsidP="00B814E2">
      <w:pPr>
        <w:spacing w:line="480" w:lineRule="auto"/>
        <w:ind w:left="720" w:hanging="720"/>
        <w:rPr>
          <w:b/>
        </w:rPr>
      </w:pPr>
      <w:r w:rsidRPr="00910023">
        <w:rPr>
          <w:b/>
        </w:rPr>
        <w:t>Q.</w:t>
      </w:r>
      <w:r w:rsidRPr="00910023">
        <w:rPr>
          <w:b/>
        </w:rPr>
        <w:tab/>
        <w:t>Will this be easy to explain to the customers?</w:t>
      </w:r>
    </w:p>
    <w:p w14:paraId="22F1481D" w14:textId="36E1DFCD" w:rsidR="00F91C14" w:rsidRDefault="00F91C14" w:rsidP="00B814E2">
      <w:pPr>
        <w:spacing w:line="480" w:lineRule="auto"/>
        <w:ind w:left="720" w:hanging="720"/>
      </w:pPr>
      <w:r w:rsidRPr="00910023">
        <w:t>A.</w:t>
      </w:r>
      <w:r w:rsidRPr="00910023">
        <w:tab/>
        <w:t>No.</w:t>
      </w:r>
      <w:r>
        <w:t xml:space="preserve">  I suggest an education campaign be instituted soon</w:t>
      </w:r>
      <w:r w:rsidR="0049084A">
        <w:t xml:space="preserve">.  Explanations from PSE and the Northwest Energy Coalition about the rate increases due to decoupling may help to alleviate the </w:t>
      </w:r>
      <w:r w:rsidR="00686B0A">
        <w:t xml:space="preserve">high volume of </w:t>
      </w:r>
      <w:r w:rsidR="0049084A">
        <w:t>calls the Commission’s Consumer Protection section may expect next spring.</w:t>
      </w:r>
    </w:p>
    <w:p w14:paraId="2E073C02" w14:textId="77777777" w:rsidR="007A58F2" w:rsidRDefault="007A58F2" w:rsidP="00B814E2">
      <w:pPr>
        <w:spacing w:line="480" w:lineRule="auto"/>
        <w:ind w:left="720" w:hanging="720"/>
      </w:pPr>
    </w:p>
    <w:p w14:paraId="77F119B2" w14:textId="5649E4C5" w:rsidR="000E08B1" w:rsidRDefault="000E08B1" w:rsidP="00B814E2">
      <w:pPr>
        <w:spacing w:line="480" w:lineRule="auto"/>
        <w:ind w:left="720" w:hanging="720"/>
      </w:pPr>
      <w:r>
        <w:rPr>
          <w:b/>
        </w:rPr>
        <w:lastRenderedPageBreak/>
        <w:t>D.</w:t>
      </w:r>
      <w:r>
        <w:rPr>
          <w:b/>
        </w:rPr>
        <w:tab/>
      </w:r>
      <w:r w:rsidRPr="00631F39">
        <w:rPr>
          <w:b/>
        </w:rPr>
        <w:t>Concerns Related to PSE’s Testimony Regarding Earnings Sharing</w:t>
      </w:r>
    </w:p>
    <w:p w14:paraId="628D9636" w14:textId="77777777" w:rsidR="003871A3" w:rsidRPr="00910023" w:rsidRDefault="003871A3" w:rsidP="00B814E2">
      <w:pPr>
        <w:spacing w:line="480" w:lineRule="auto"/>
        <w:ind w:left="720" w:hanging="720"/>
      </w:pPr>
    </w:p>
    <w:p w14:paraId="10BA2B4B" w14:textId="522DB7FB" w:rsidR="00F91C14" w:rsidRPr="008040FB" w:rsidRDefault="0049084A" w:rsidP="00B814E2">
      <w:pPr>
        <w:spacing w:line="480" w:lineRule="auto"/>
        <w:ind w:left="720" w:hanging="720"/>
        <w:rPr>
          <w:b/>
        </w:rPr>
      </w:pPr>
      <w:r w:rsidRPr="008040FB">
        <w:rPr>
          <w:b/>
        </w:rPr>
        <w:t>Q.</w:t>
      </w:r>
      <w:r w:rsidRPr="008040FB">
        <w:rPr>
          <w:b/>
        </w:rPr>
        <w:tab/>
      </w:r>
      <w:r w:rsidR="00910023" w:rsidRPr="008040FB">
        <w:rPr>
          <w:b/>
        </w:rPr>
        <w:t>Could</w:t>
      </w:r>
      <w:r w:rsidR="001E4800" w:rsidRPr="008040FB">
        <w:rPr>
          <w:b/>
        </w:rPr>
        <w:t xml:space="preserve"> you </w:t>
      </w:r>
      <w:r w:rsidR="007A58F2">
        <w:rPr>
          <w:b/>
        </w:rPr>
        <w:t xml:space="preserve">please </w:t>
      </w:r>
      <w:r w:rsidR="00910023" w:rsidRPr="008040FB">
        <w:rPr>
          <w:b/>
        </w:rPr>
        <w:t>briefly explain the earnings sharing aspect of the decoupling mechanism</w:t>
      </w:r>
      <w:r w:rsidR="001E4800" w:rsidRPr="008040FB">
        <w:rPr>
          <w:b/>
        </w:rPr>
        <w:t>?</w:t>
      </w:r>
    </w:p>
    <w:p w14:paraId="2F34D7D5" w14:textId="15CE7E75" w:rsidR="001E4800" w:rsidRDefault="001E4800" w:rsidP="00B814E2">
      <w:pPr>
        <w:spacing w:line="480" w:lineRule="auto"/>
        <w:ind w:left="720" w:hanging="720"/>
      </w:pPr>
      <w:r>
        <w:t>A.</w:t>
      </w:r>
      <w:r>
        <w:tab/>
      </w:r>
      <w:r w:rsidR="00910023">
        <w:t xml:space="preserve">The Commission approved decoupling and the rate plan on the condition that any earnings over the authorized rate of return, 7.77 percent, would be </w:t>
      </w:r>
      <w:r w:rsidR="00D75F7D">
        <w:t xml:space="preserve">shared with customers 50/50.  </w:t>
      </w:r>
      <w:r w:rsidR="00116A4A">
        <w:t xml:space="preserve">The </w:t>
      </w:r>
      <w:r w:rsidR="007B165C">
        <w:t>measure of the ach</w:t>
      </w:r>
      <w:r w:rsidR="00341497">
        <w:t>ieved return is the Commission basis r</w:t>
      </w:r>
      <w:r w:rsidR="007B165C">
        <w:t xml:space="preserve">eport (CBR) filed annually per WAC 480-100-257.  </w:t>
      </w:r>
      <w:r w:rsidR="00D75F7D">
        <w:t>The concept is to give PSE the incentive and opportunity to earn more than its authorized return, but not substantially more. To achieve such earnings, PSE must work to streamline its operations.  If it is successful over the term of the rate plan, PSE will profit from its efforts.  Customers will benefit when the test year of the next rate case reflects those reduced expenses.</w:t>
      </w:r>
    </w:p>
    <w:p w14:paraId="67F7F661" w14:textId="77777777" w:rsidR="00D75F7D" w:rsidRDefault="00D75F7D" w:rsidP="00B814E2">
      <w:pPr>
        <w:spacing w:line="480" w:lineRule="auto"/>
        <w:ind w:left="720" w:hanging="720"/>
        <w:rPr>
          <w:b/>
        </w:rPr>
      </w:pPr>
    </w:p>
    <w:p w14:paraId="409072AD" w14:textId="4117BEE8" w:rsidR="00D75F7D" w:rsidRDefault="00D75F7D" w:rsidP="00B814E2">
      <w:pPr>
        <w:spacing w:line="480" w:lineRule="auto"/>
        <w:ind w:left="720" w:hanging="720"/>
        <w:rPr>
          <w:b/>
        </w:rPr>
      </w:pPr>
      <w:r>
        <w:rPr>
          <w:b/>
        </w:rPr>
        <w:t>Q.</w:t>
      </w:r>
      <w:r>
        <w:rPr>
          <w:b/>
        </w:rPr>
        <w:tab/>
        <w:t>PSE witness Mr. Doyle claims the sharing method approved by the Commission “alters the traditional balance that should exist in a utility’s opportunity to earn its allowed rate of return.”</w:t>
      </w:r>
      <w:r>
        <w:rPr>
          <w:rStyle w:val="FootnoteReference"/>
          <w:b/>
        </w:rPr>
        <w:footnoteReference w:id="8"/>
      </w:r>
      <w:r>
        <w:rPr>
          <w:b/>
        </w:rPr>
        <w:t xml:space="preserve">  </w:t>
      </w:r>
      <w:r w:rsidR="00116A4A">
        <w:rPr>
          <w:b/>
        </w:rPr>
        <w:t>What do you think he means by this?</w:t>
      </w:r>
    </w:p>
    <w:p w14:paraId="2075FF66" w14:textId="64D06C9C" w:rsidR="007B165C" w:rsidRDefault="00D75F7D" w:rsidP="00B814E2">
      <w:pPr>
        <w:spacing w:line="480" w:lineRule="auto"/>
        <w:ind w:left="720" w:hanging="720"/>
      </w:pPr>
      <w:r w:rsidRPr="00DE0318">
        <w:t>A.</w:t>
      </w:r>
      <w:r w:rsidRPr="00DE0318">
        <w:tab/>
      </w:r>
      <w:r w:rsidR="00BF69D1">
        <w:t>I a</w:t>
      </w:r>
      <w:r w:rsidR="00116A4A" w:rsidRPr="00DE0318">
        <w:t xml:space="preserve">m not sure.  He seems to equate the opportunity to earn </w:t>
      </w:r>
      <w:r w:rsidR="00116A4A">
        <w:t>an</w:t>
      </w:r>
      <w:r w:rsidR="00116A4A" w:rsidRPr="00DE0318">
        <w:t xml:space="preserve"> allowed return with</w:t>
      </w:r>
      <w:r w:rsidR="00116A4A">
        <w:t xml:space="preserve"> a guarantee that the utility’s rates will not be challenged when earnings are greater than the return established in a rate case.</w:t>
      </w:r>
    </w:p>
    <w:p w14:paraId="33FF2E8D" w14:textId="69D3AFDD" w:rsidR="00D75F7D" w:rsidRPr="00116A4A" w:rsidRDefault="00116A4A" w:rsidP="00B814E2">
      <w:pPr>
        <w:spacing w:line="480" w:lineRule="auto"/>
        <w:ind w:left="720" w:hanging="720"/>
        <w:rPr>
          <w:b/>
        </w:rPr>
      </w:pPr>
      <w:r w:rsidRPr="00116A4A">
        <w:rPr>
          <w:b/>
        </w:rPr>
        <w:t xml:space="preserve"> </w:t>
      </w:r>
    </w:p>
    <w:p w14:paraId="63C238AF" w14:textId="3D28D528" w:rsidR="00D75F7D" w:rsidRDefault="00116A4A" w:rsidP="00631F39">
      <w:pPr>
        <w:keepNext/>
        <w:spacing w:line="480" w:lineRule="auto"/>
        <w:ind w:left="720" w:hanging="720"/>
        <w:rPr>
          <w:b/>
        </w:rPr>
      </w:pPr>
      <w:r>
        <w:rPr>
          <w:b/>
        </w:rPr>
        <w:lastRenderedPageBreak/>
        <w:t>Q.</w:t>
      </w:r>
      <w:r>
        <w:rPr>
          <w:b/>
        </w:rPr>
        <w:tab/>
        <w:t>What else does Mr. Doyle claim in his testimony?</w:t>
      </w:r>
    </w:p>
    <w:p w14:paraId="110663A1" w14:textId="2C25FF3A" w:rsidR="00116A4A" w:rsidRDefault="00116A4A" w:rsidP="00631F39">
      <w:pPr>
        <w:keepNext/>
        <w:spacing w:line="480" w:lineRule="auto"/>
        <w:ind w:left="720" w:hanging="720"/>
      </w:pPr>
      <w:r>
        <w:t>A.</w:t>
      </w:r>
      <w:r>
        <w:tab/>
        <w:t>Mr. Doyle further states, “In other words, utilities may over-earn and under-earn their authorized rates of return and ROEs, but, all things being equal, the average actual rates of return and ROEs will approximate the authorized rates of return and ROEs over time.”</w:t>
      </w:r>
      <w:r>
        <w:rPr>
          <w:rStyle w:val="FootnoteReference"/>
        </w:rPr>
        <w:footnoteReference w:id="9"/>
      </w:r>
    </w:p>
    <w:p w14:paraId="5F066BE1" w14:textId="77777777" w:rsidR="00DE0318" w:rsidRDefault="00DE0318" w:rsidP="00B814E2">
      <w:pPr>
        <w:spacing w:line="480" w:lineRule="auto"/>
        <w:ind w:left="720" w:hanging="720"/>
        <w:rPr>
          <w:b/>
        </w:rPr>
      </w:pPr>
    </w:p>
    <w:p w14:paraId="4AF71DF0" w14:textId="27111162" w:rsidR="00116A4A" w:rsidRPr="00DE0318" w:rsidRDefault="00116A4A" w:rsidP="00B814E2">
      <w:pPr>
        <w:spacing w:line="480" w:lineRule="auto"/>
        <w:ind w:left="720" w:hanging="720"/>
        <w:rPr>
          <w:b/>
        </w:rPr>
      </w:pPr>
      <w:r w:rsidRPr="00DE0318">
        <w:rPr>
          <w:b/>
        </w:rPr>
        <w:t>Q.</w:t>
      </w:r>
      <w:r w:rsidRPr="00DE0318">
        <w:rPr>
          <w:b/>
        </w:rPr>
        <w:tab/>
        <w:t>Do you accept this premise?</w:t>
      </w:r>
    </w:p>
    <w:p w14:paraId="07CF6107" w14:textId="77777777" w:rsidR="007A58F2" w:rsidRDefault="00116A4A" w:rsidP="00B814E2">
      <w:pPr>
        <w:spacing w:line="480" w:lineRule="auto"/>
        <w:ind w:left="720" w:hanging="720"/>
      </w:pPr>
      <w:r>
        <w:t>A.</w:t>
      </w:r>
      <w:r>
        <w:tab/>
        <w:t>No, not for the returns determined in a C</w:t>
      </w:r>
      <w:r w:rsidR="007B165C">
        <w:t>BR</w:t>
      </w:r>
      <w:r>
        <w:t>.</w:t>
      </w:r>
      <w:r w:rsidR="007B165C">
        <w:t xml:space="preserve"> </w:t>
      </w:r>
      <w:r w:rsidR="00DE0318">
        <w:t xml:space="preserve"> </w:t>
      </w:r>
      <w:r w:rsidR="007B165C">
        <w:t xml:space="preserve">One primary intent of the CBR is to depict the utility’s operations on a normal basis.  This means the utility must remove the variations of temperatures on sales and power costs, and the variations of higher or lower river flows on hydro-generation to determine its achieved return on rate base under normal conditions. </w:t>
      </w:r>
    </w:p>
    <w:p w14:paraId="72F0FBB0" w14:textId="07526EB7" w:rsidR="00261373" w:rsidRDefault="00261373" w:rsidP="00B814E2">
      <w:pPr>
        <w:spacing w:line="480" w:lineRule="auto"/>
        <w:ind w:left="720" w:hanging="720"/>
      </w:pPr>
    </w:p>
    <w:p w14:paraId="22F89EED" w14:textId="77777777" w:rsidR="00261373" w:rsidRPr="009B1FE7" w:rsidRDefault="00261373" w:rsidP="00B814E2">
      <w:pPr>
        <w:spacing w:line="480" w:lineRule="auto"/>
        <w:ind w:left="720" w:hanging="720"/>
        <w:rPr>
          <w:b/>
        </w:rPr>
      </w:pPr>
      <w:r w:rsidRPr="009B1FE7">
        <w:rPr>
          <w:b/>
        </w:rPr>
        <w:t>Q.</w:t>
      </w:r>
      <w:r w:rsidRPr="009B1FE7">
        <w:rPr>
          <w:b/>
        </w:rPr>
        <w:tab/>
        <w:t>Is there another view of the achieved rate of return that fits Mr. Doyle’s viewpoint?</w:t>
      </w:r>
    </w:p>
    <w:p w14:paraId="5EBD812A" w14:textId="516CC7FC" w:rsidR="00116A4A" w:rsidRDefault="00261373" w:rsidP="00B814E2">
      <w:pPr>
        <w:spacing w:line="480" w:lineRule="auto"/>
        <w:ind w:left="720" w:hanging="720"/>
      </w:pPr>
      <w:r>
        <w:t>A.</w:t>
      </w:r>
      <w:r>
        <w:tab/>
        <w:t xml:space="preserve">Yes, if </w:t>
      </w:r>
      <w:r w:rsidR="007B165C">
        <w:t>Mr. Doyle means the over- and under-earnings due to the exogenous factors of temperature and rainfall, then yes</w:t>
      </w:r>
      <w:r w:rsidR="00325755">
        <w:t xml:space="preserve">, over time the actual rate of return should </w:t>
      </w:r>
      <w:r w:rsidR="007B165C">
        <w:t xml:space="preserve">average </w:t>
      </w:r>
      <w:r w:rsidR="00325755">
        <w:t>out to the Commission’s authorized return.  But those highly variable factors are taken into account in determining the rate of return in a CBR.  The returns to be shared are based on exceeding this norm.  There is no “traditional balance” to be maintained for normalized rates of return.</w:t>
      </w:r>
    </w:p>
    <w:p w14:paraId="3B618360" w14:textId="77777777" w:rsidR="007B165C" w:rsidRDefault="007B165C" w:rsidP="00B814E2">
      <w:pPr>
        <w:spacing w:line="480" w:lineRule="auto"/>
        <w:ind w:left="720" w:hanging="720"/>
      </w:pPr>
    </w:p>
    <w:p w14:paraId="17F2CDD1" w14:textId="1F558A27" w:rsidR="007B165C" w:rsidRPr="00DE0318" w:rsidRDefault="00DE0318" w:rsidP="00B814E2">
      <w:pPr>
        <w:spacing w:line="480" w:lineRule="auto"/>
        <w:ind w:left="720" w:hanging="720"/>
        <w:rPr>
          <w:b/>
        </w:rPr>
      </w:pPr>
      <w:r w:rsidRPr="00DE0318">
        <w:rPr>
          <w:b/>
        </w:rPr>
        <w:lastRenderedPageBreak/>
        <w:t>Q.</w:t>
      </w:r>
      <w:r w:rsidRPr="00DE0318">
        <w:rPr>
          <w:b/>
        </w:rPr>
        <w:tab/>
        <w:t>Should the Commission revise its method of sharing over-earnings during the rate plan?</w:t>
      </w:r>
    </w:p>
    <w:p w14:paraId="5B0664CA" w14:textId="53E968B7" w:rsidR="00DE0318" w:rsidRDefault="00DE0318" w:rsidP="00B814E2">
      <w:pPr>
        <w:spacing w:line="480" w:lineRule="auto"/>
        <w:ind w:left="720" w:hanging="720"/>
      </w:pPr>
      <w:r>
        <w:t>A.</w:t>
      </w:r>
      <w:r>
        <w:tab/>
        <w:t>No.  The Commission’s order is sound and needs no revisions.</w:t>
      </w:r>
    </w:p>
    <w:p w14:paraId="724F1FE6" w14:textId="77777777" w:rsidR="007B165C" w:rsidRPr="00DE0318" w:rsidRDefault="007B165C" w:rsidP="00B814E2">
      <w:pPr>
        <w:spacing w:line="480" w:lineRule="auto"/>
        <w:ind w:left="720" w:hanging="720"/>
      </w:pPr>
    </w:p>
    <w:p w14:paraId="475D93FB" w14:textId="77777777" w:rsidR="00B814E2" w:rsidRDefault="00B814E2" w:rsidP="00B814E2">
      <w:pPr>
        <w:spacing w:line="480" w:lineRule="auto"/>
        <w:ind w:left="720" w:hanging="720"/>
        <w:rPr>
          <w:b/>
        </w:rPr>
      </w:pPr>
      <w:r>
        <w:rPr>
          <w:b/>
        </w:rPr>
        <w:t>Q.</w:t>
      </w:r>
      <w:r>
        <w:rPr>
          <w:b/>
        </w:rPr>
        <w:tab/>
        <w:t xml:space="preserve">Does this conclude your testimony?  </w:t>
      </w:r>
    </w:p>
    <w:p w14:paraId="6C02CF56"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5B08F" w14:textId="77777777" w:rsidR="00543D59" w:rsidRDefault="00543D59" w:rsidP="0015026F">
      <w:r>
        <w:separator/>
      </w:r>
    </w:p>
  </w:endnote>
  <w:endnote w:type="continuationSeparator" w:id="0">
    <w:p w14:paraId="63EC0DEA" w14:textId="77777777" w:rsidR="00543D59" w:rsidRDefault="00543D59"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290A" w14:textId="77777777" w:rsidR="0015026F" w:rsidRPr="0015026F" w:rsidRDefault="0015026F" w:rsidP="0015026F">
    <w:pPr>
      <w:pStyle w:val="Footer"/>
      <w:tabs>
        <w:tab w:val="clear" w:pos="9360"/>
        <w:tab w:val="right" w:pos="8910"/>
      </w:tabs>
      <w:rPr>
        <w:sz w:val="20"/>
        <w:szCs w:val="20"/>
      </w:rPr>
    </w:pPr>
  </w:p>
  <w:p w14:paraId="12120C6C" w14:textId="4F016B04" w:rsidR="0015026F" w:rsidRPr="0015026F" w:rsidRDefault="0015026F" w:rsidP="0015026F">
    <w:pPr>
      <w:pStyle w:val="Footer"/>
      <w:tabs>
        <w:tab w:val="clear" w:pos="9360"/>
        <w:tab w:val="right" w:pos="8910"/>
      </w:tabs>
      <w:rPr>
        <w:sz w:val="20"/>
        <w:szCs w:val="20"/>
      </w:rPr>
    </w:pPr>
    <w:r w:rsidRPr="0015026F">
      <w:rPr>
        <w:sz w:val="20"/>
        <w:szCs w:val="20"/>
      </w:rPr>
      <w:t xml:space="preserve">TESTIMONY OF </w:t>
    </w:r>
    <w:r w:rsidR="00D13BE7">
      <w:rPr>
        <w:sz w:val="20"/>
        <w:szCs w:val="20"/>
      </w:rPr>
      <w:t>THOMAS E. SCHOOLEY</w:t>
    </w:r>
    <w:r w:rsidRPr="0015026F">
      <w:rPr>
        <w:sz w:val="20"/>
        <w:szCs w:val="20"/>
      </w:rPr>
      <w:t xml:space="preserve"> </w:t>
    </w:r>
    <w:r w:rsidRPr="0015026F">
      <w:rPr>
        <w:sz w:val="20"/>
        <w:szCs w:val="20"/>
      </w:rPr>
      <w:tab/>
    </w:r>
    <w:r w:rsidRPr="0015026F">
      <w:rPr>
        <w:sz w:val="20"/>
        <w:szCs w:val="20"/>
      </w:rPr>
      <w:tab/>
      <w:t xml:space="preserve">Exhibit No. </w:t>
    </w:r>
    <w:r w:rsidR="000F755F">
      <w:rPr>
        <w:sz w:val="20"/>
        <w:szCs w:val="20"/>
      </w:rPr>
      <w:t>___ (</w:t>
    </w:r>
    <w:r w:rsidR="00D13BE7">
      <w:rPr>
        <w:sz w:val="20"/>
        <w:szCs w:val="20"/>
      </w:rPr>
      <w:t>TES</w:t>
    </w:r>
    <w:r w:rsidRPr="0015026F">
      <w:rPr>
        <w:sz w:val="20"/>
        <w:szCs w:val="20"/>
      </w:rPr>
      <w:t>-</w:t>
    </w:r>
    <w:r w:rsidR="00CA408B">
      <w:rPr>
        <w:sz w:val="20"/>
        <w:szCs w:val="20"/>
      </w:rPr>
      <w:t>6</w:t>
    </w:r>
    <w:r w:rsidRPr="0015026F">
      <w:rPr>
        <w:sz w:val="20"/>
        <w:szCs w:val="20"/>
      </w:rPr>
      <w:t>T</w:t>
    </w:r>
    <w:r w:rsidR="000F755F">
      <w:rPr>
        <w:sz w:val="20"/>
        <w:szCs w:val="20"/>
      </w:rPr>
      <w:t>)</w:t>
    </w:r>
  </w:p>
  <w:p w14:paraId="59735004" w14:textId="77777777" w:rsidR="0015026F" w:rsidRPr="0015026F" w:rsidRDefault="0015026F" w:rsidP="0015026F">
    <w:pPr>
      <w:pStyle w:val="Footer"/>
      <w:tabs>
        <w:tab w:val="clear" w:pos="9360"/>
        <w:tab w:val="right" w:pos="8910"/>
      </w:tabs>
      <w:rPr>
        <w:sz w:val="20"/>
        <w:szCs w:val="20"/>
      </w:rPr>
    </w:pPr>
    <w:r w:rsidRPr="0015026F">
      <w:rPr>
        <w:sz w:val="20"/>
        <w:szCs w:val="20"/>
      </w:rPr>
      <w:t>Docket</w:t>
    </w:r>
    <w:r w:rsidR="00D13BE7">
      <w:rPr>
        <w:sz w:val="20"/>
        <w:szCs w:val="20"/>
      </w:rPr>
      <w:t>s UE-121697, et al.</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631F39">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B483" w14:textId="77777777" w:rsidR="0015026F" w:rsidRPr="0015026F" w:rsidRDefault="0015026F" w:rsidP="0015026F">
    <w:pPr>
      <w:pStyle w:val="Footer"/>
      <w:tabs>
        <w:tab w:val="clear" w:pos="9360"/>
        <w:tab w:val="right" w:pos="8910"/>
      </w:tabs>
      <w:rPr>
        <w:sz w:val="20"/>
        <w:szCs w:val="20"/>
      </w:rPr>
    </w:pPr>
  </w:p>
  <w:p w14:paraId="504A03FE" w14:textId="792A1EDE" w:rsidR="0015026F" w:rsidRPr="0015026F" w:rsidRDefault="0015026F" w:rsidP="0015026F">
    <w:pPr>
      <w:pStyle w:val="Footer"/>
      <w:tabs>
        <w:tab w:val="clear" w:pos="9360"/>
        <w:tab w:val="right" w:pos="8910"/>
      </w:tabs>
      <w:rPr>
        <w:sz w:val="20"/>
        <w:szCs w:val="20"/>
      </w:rPr>
    </w:pPr>
    <w:r w:rsidRPr="0015026F">
      <w:rPr>
        <w:sz w:val="20"/>
        <w:szCs w:val="20"/>
      </w:rPr>
      <w:t xml:space="preserve">TESTIMONY OF </w:t>
    </w:r>
    <w:r w:rsidR="00D13BE7">
      <w:rPr>
        <w:sz w:val="20"/>
        <w:szCs w:val="20"/>
      </w:rPr>
      <w:t xml:space="preserve">THOMAS E. SCHOOLEY </w:t>
    </w:r>
    <w:r w:rsidR="00D13BE7">
      <w:rPr>
        <w:sz w:val="20"/>
        <w:szCs w:val="20"/>
      </w:rPr>
      <w:tab/>
    </w:r>
    <w:r w:rsidR="00D13BE7">
      <w:rPr>
        <w:sz w:val="20"/>
        <w:szCs w:val="20"/>
      </w:rPr>
      <w:tab/>
      <w:t>Exhibit No.</w:t>
    </w:r>
    <w:r w:rsidR="00DC0E7F">
      <w:rPr>
        <w:sz w:val="20"/>
        <w:szCs w:val="20"/>
      </w:rPr>
      <w:t xml:space="preserve"> </w:t>
    </w:r>
    <w:r w:rsidR="000F755F">
      <w:rPr>
        <w:sz w:val="20"/>
        <w:szCs w:val="20"/>
      </w:rPr>
      <w:t>___</w:t>
    </w:r>
    <w:r w:rsidR="00D13BE7">
      <w:rPr>
        <w:sz w:val="20"/>
        <w:szCs w:val="20"/>
      </w:rPr>
      <w:t xml:space="preserve"> </w:t>
    </w:r>
    <w:r w:rsidR="00DC0E7F">
      <w:rPr>
        <w:sz w:val="20"/>
        <w:szCs w:val="20"/>
      </w:rPr>
      <w:t>(</w:t>
    </w:r>
    <w:r w:rsidR="00D13BE7">
      <w:rPr>
        <w:sz w:val="20"/>
        <w:szCs w:val="20"/>
      </w:rPr>
      <w:t>TES</w:t>
    </w:r>
    <w:r w:rsidRPr="0015026F">
      <w:rPr>
        <w:sz w:val="20"/>
        <w:szCs w:val="20"/>
      </w:rPr>
      <w:t>-</w:t>
    </w:r>
    <w:r w:rsidR="00F94E04">
      <w:rPr>
        <w:sz w:val="20"/>
        <w:szCs w:val="20"/>
      </w:rPr>
      <w:t>6</w:t>
    </w:r>
    <w:r w:rsidR="00553607" w:rsidRPr="0015026F">
      <w:rPr>
        <w:sz w:val="20"/>
        <w:szCs w:val="20"/>
      </w:rPr>
      <w:t>T</w:t>
    </w:r>
    <w:r w:rsidR="00DC0E7F">
      <w:rPr>
        <w:sz w:val="20"/>
        <w:szCs w:val="20"/>
      </w:rPr>
      <w:t>)</w:t>
    </w:r>
  </w:p>
  <w:p w14:paraId="42881199" w14:textId="77777777" w:rsidR="0015026F" w:rsidRPr="0015026F" w:rsidRDefault="0015026F" w:rsidP="0015026F">
    <w:pPr>
      <w:pStyle w:val="Footer"/>
      <w:tabs>
        <w:tab w:val="clear" w:pos="9360"/>
        <w:tab w:val="right" w:pos="8910"/>
      </w:tabs>
      <w:rPr>
        <w:sz w:val="20"/>
        <w:szCs w:val="20"/>
      </w:rPr>
    </w:pPr>
    <w:r w:rsidRPr="0015026F">
      <w:rPr>
        <w:sz w:val="20"/>
        <w:szCs w:val="20"/>
      </w:rPr>
      <w:t xml:space="preserve">Docket </w:t>
    </w:r>
    <w:r w:rsidR="00D13BE7">
      <w:rPr>
        <w:sz w:val="20"/>
        <w:szCs w:val="20"/>
      </w:rPr>
      <w:t>UE-121697,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631F39">
      <w:rPr>
        <w:noProof/>
        <w:sz w:val="20"/>
        <w:szCs w:val="20"/>
      </w:rPr>
      <w:t>10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C3F06" w14:textId="77777777" w:rsidR="00543D59" w:rsidRDefault="00543D59" w:rsidP="0015026F">
      <w:r>
        <w:separator/>
      </w:r>
    </w:p>
  </w:footnote>
  <w:footnote w:type="continuationSeparator" w:id="0">
    <w:p w14:paraId="569D8715" w14:textId="77777777" w:rsidR="00543D59" w:rsidRDefault="00543D59" w:rsidP="0015026F">
      <w:r>
        <w:continuationSeparator/>
      </w:r>
    </w:p>
  </w:footnote>
  <w:footnote w:id="1">
    <w:p w14:paraId="667C4DEC" w14:textId="774D2A83" w:rsidR="00306308" w:rsidRDefault="00306308" w:rsidP="00070994">
      <w:pPr>
        <w:pStyle w:val="FootnoteText"/>
      </w:pPr>
      <w:r>
        <w:rPr>
          <w:rStyle w:val="FootnoteReference"/>
        </w:rPr>
        <w:footnoteRef/>
      </w:r>
      <w:r>
        <w:t xml:space="preserve"> Final Order</w:t>
      </w:r>
      <w:r w:rsidR="00752B76">
        <w:t xml:space="preserve"> Granting Petition (</w:t>
      </w:r>
      <w:r w:rsidR="00070994">
        <w:t>consolidated D</w:t>
      </w:r>
      <w:r w:rsidR="00752B76" w:rsidRPr="00752B76">
        <w:t>ockets</w:t>
      </w:r>
      <w:r w:rsidR="00752B76" w:rsidRPr="0059709E">
        <w:t xml:space="preserve"> UE-121697</w:t>
      </w:r>
      <w:r w:rsidR="008C6F36">
        <w:t xml:space="preserve"> </w:t>
      </w:r>
      <w:r w:rsidR="00752B76">
        <w:t>and UG-121705</w:t>
      </w:r>
      <w:r w:rsidR="00752B76" w:rsidRPr="0059709E">
        <w:t>)</w:t>
      </w:r>
      <w:r w:rsidR="00752B76">
        <w:t xml:space="preserve"> and Final Order Authorizing Rates (</w:t>
      </w:r>
      <w:r w:rsidR="00070994">
        <w:t xml:space="preserve">consolidated Dockets </w:t>
      </w:r>
      <w:r w:rsidR="00070994" w:rsidRPr="0059709E">
        <w:t>UE-130137</w:t>
      </w:r>
      <w:r w:rsidR="008C6F36">
        <w:t xml:space="preserve"> </w:t>
      </w:r>
      <w:r w:rsidR="00070994" w:rsidRPr="0059709E">
        <w:t>and UG-130138</w:t>
      </w:r>
      <w:r w:rsidR="00070994">
        <w:t>)</w:t>
      </w:r>
      <w:r>
        <w:t>, served June 25, 2013.</w:t>
      </w:r>
    </w:p>
  </w:footnote>
  <w:footnote w:id="2">
    <w:p w14:paraId="0A36FC8B" w14:textId="77777777" w:rsidR="007D634A" w:rsidRDefault="007D634A" w:rsidP="007D634A">
      <w:pPr>
        <w:pStyle w:val="FootnoteText"/>
      </w:pPr>
      <w:r>
        <w:rPr>
          <w:rStyle w:val="FootnoteReference"/>
        </w:rPr>
        <w:footnoteRef/>
      </w:r>
      <w:r>
        <w:t xml:space="preserve"> </w:t>
      </w:r>
      <w:r w:rsidRPr="00B64CEA">
        <w:rPr>
          <w:i/>
        </w:rPr>
        <w:t>Industrial Customers of NW Utilities v. Washington Utilities and Transportation Commission</w:t>
      </w:r>
      <w:r>
        <w:t>, Thurston County Cause</w:t>
      </w:r>
      <w:r w:rsidRPr="00203F5A">
        <w:t xml:space="preserve"> </w:t>
      </w:r>
      <w:r>
        <w:t>Nos. 13-2-01576-2 and 13-2-01582-7 (consolidated), Letter Ruling of Judge Murphy (June 4, 2014).</w:t>
      </w:r>
    </w:p>
  </w:footnote>
  <w:footnote w:id="3">
    <w:p w14:paraId="734CF40A" w14:textId="76880C7D" w:rsidR="00230636" w:rsidRDefault="00230636">
      <w:pPr>
        <w:pStyle w:val="FootnoteText"/>
      </w:pPr>
      <w:r>
        <w:rPr>
          <w:rStyle w:val="FootnoteReference"/>
        </w:rPr>
        <w:footnoteRef/>
      </w:r>
      <w:r>
        <w:t xml:space="preserve"> </w:t>
      </w:r>
      <w:r w:rsidR="000D5EEB" w:rsidRPr="009B1FE7">
        <w:rPr>
          <w:i/>
        </w:rPr>
        <w:t>Industrial Customers of NW Utilities v. Washington Utilities and Transportation Commission</w:t>
      </w:r>
      <w:r w:rsidR="000D5EEB">
        <w:t>, Thurston County Cause</w:t>
      </w:r>
      <w:r w:rsidR="000D5EEB" w:rsidRPr="00203F5A">
        <w:t xml:space="preserve"> </w:t>
      </w:r>
      <w:r w:rsidR="000D5EEB">
        <w:t xml:space="preserve">Nos. 13-2-01576-2 and 13-2-01582-7 (consolidated), Order Granting in Part and Denying in Part </w:t>
      </w:r>
      <w:r w:rsidR="00462A5E">
        <w:t>Petitions</w:t>
      </w:r>
      <w:r w:rsidR="000D5EEB">
        <w:t xml:space="preserve"> for Judicial Review (July 25, 2014).</w:t>
      </w:r>
    </w:p>
  </w:footnote>
  <w:footnote w:id="4">
    <w:p w14:paraId="698A6A83" w14:textId="479CA8B9" w:rsidR="00F67138" w:rsidRDefault="00F67138">
      <w:pPr>
        <w:pStyle w:val="FootnoteText"/>
      </w:pPr>
      <w:r>
        <w:rPr>
          <w:rStyle w:val="FootnoteReference"/>
        </w:rPr>
        <w:footnoteRef/>
      </w:r>
      <w:r w:rsidRPr="009962E0">
        <w:t xml:space="preserve"> </w:t>
      </w:r>
      <w:r w:rsidR="00770541" w:rsidRPr="009962E0">
        <w:rPr>
          <w:iCs/>
        </w:rPr>
        <w:t>Order 07 at</w:t>
      </w:r>
      <w:r w:rsidRPr="009962E0">
        <w:rPr>
          <w:iCs/>
        </w:rPr>
        <w:t xml:space="preserve"> </w:t>
      </w:r>
      <w:r w:rsidRPr="009962E0">
        <w:t xml:space="preserve">¶ </w:t>
      </w:r>
      <w:r w:rsidR="00770541" w:rsidRPr="009962E0">
        <w:t>65</w:t>
      </w:r>
      <w:r w:rsidRPr="009962E0">
        <w:t>.</w:t>
      </w:r>
    </w:p>
  </w:footnote>
  <w:footnote w:id="5">
    <w:p w14:paraId="3C4059CD" w14:textId="3CF24F78" w:rsidR="00B260CE" w:rsidRDefault="00B260CE">
      <w:pPr>
        <w:pStyle w:val="FootnoteText"/>
      </w:pPr>
      <w:r>
        <w:rPr>
          <w:rStyle w:val="FootnoteReference"/>
        </w:rPr>
        <w:footnoteRef/>
      </w:r>
      <w:r>
        <w:t xml:space="preserve"> Exhibit </w:t>
      </w:r>
      <w:r w:rsidR="00067E54">
        <w:t xml:space="preserve">No. </w:t>
      </w:r>
      <w:r w:rsidR="00E102CD">
        <w:t>TES-4T</w:t>
      </w:r>
      <w:r>
        <w:t xml:space="preserve"> at 5:6</w:t>
      </w:r>
      <w:r w:rsidR="002026D5">
        <w:t>–</w:t>
      </w:r>
      <w:r>
        <w:t>8</w:t>
      </w:r>
      <w:r w:rsidR="007944EA">
        <w:t>.</w:t>
      </w:r>
    </w:p>
  </w:footnote>
  <w:footnote w:id="6">
    <w:p w14:paraId="72D5DD2A" w14:textId="62A38DF3" w:rsidR="007944EA" w:rsidRDefault="007944EA">
      <w:pPr>
        <w:pStyle w:val="FootnoteText"/>
      </w:pPr>
      <w:r>
        <w:rPr>
          <w:rStyle w:val="FootnoteReference"/>
        </w:rPr>
        <w:footnoteRef/>
      </w:r>
      <w:r>
        <w:t xml:space="preserve"> </w:t>
      </w:r>
      <w:r w:rsidR="004F779A">
        <w:rPr>
          <w:i/>
        </w:rPr>
        <w:t xml:space="preserve">See </w:t>
      </w:r>
      <w:r>
        <w:t>Order 07 at ¶¶103</w:t>
      </w:r>
      <w:r w:rsidR="002026D5">
        <w:t>–</w:t>
      </w:r>
      <w:r>
        <w:t>107.</w:t>
      </w:r>
    </w:p>
  </w:footnote>
  <w:footnote w:id="7">
    <w:p w14:paraId="7F32A4D6" w14:textId="51C204FE" w:rsidR="00AB4D48" w:rsidRDefault="00AB4D48">
      <w:pPr>
        <w:pStyle w:val="FootnoteText"/>
      </w:pPr>
      <w:r>
        <w:rPr>
          <w:rStyle w:val="FootnoteReference"/>
        </w:rPr>
        <w:footnoteRef/>
      </w:r>
      <w:r>
        <w:t xml:space="preserve"> See Exhibit </w:t>
      </w:r>
      <w:r w:rsidR="007A58F2">
        <w:t xml:space="preserve">No. </w:t>
      </w:r>
      <w:r>
        <w:t>___ (DAD-6), page 2 and summing just the 2014 data.</w:t>
      </w:r>
    </w:p>
  </w:footnote>
  <w:footnote w:id="8">
    <w:p w14:paraId="46D76512" w14:textId="3E842DDA" w:rsidR="00D75F7D" w:rsidRDefault="00D75F7D">
      <w:pPr>
        <w:pStyle w:val="FootnoteText"/>
      </w:pPr>
      <w:r>
        <w:rPr>
          <w:rStyle w:val="FootnoteReference"/>
        </w:rPr>
        <w:footnoteRef/>
      </w:r>
      <w:r>
        <w:t xml:space="preserve"> Exhibit </w:t>
      </w:r>
      <w:r w:rsidR="007A58F2">
        <w:t xml:space="preserve">No. </w:t>
      </w:r>
      <w:r>
        <w:t>___ (DAD-4T) at 19:12</w:t>
      </w:r>
      <w:r w:rsidR="00E83A8C">
        <w:t>–</w:t>
      </w:r>
      <w:r>
        <w:t>13.</w:t>
      </w:r>
    </w:p>
  </w:footnote>
  <w:footnote w:id="9">
    <w:p w14:paraId="3FC5D075" w14:textId="6FDFCF45" w:rsidR="00116A4A" w:rsidRDefault="00116A4A">
      <w:pPr>
        <w:pStyle w:val="FootnoteText"/>
      </w:pPr>
      <w:r>
        <w:rPr>
          <w:rStyle w:val="FootnoteReference"/>
        </w:rPr>
        <w:footnoteRef/>
      </w:r>
      <w:r>
        <w:t xml:space="preserve"> Exhibit </w:t>
      </w:r>
      <w:r w:rsidR="007A58F2">
        <w:t xml:space="preserve">No. </w:t>
      </w:r>
      <w:r>
        <w:t>___ (DAD-4T) at 19:18</w:t>
      </w:r>
      <w:r w:rsidR="00E83A8C">
        <w:t>–</w:t>
      </w:r>
      <w: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01825"/>
    <w:multiLevelType w:val="hybridMultilevel"/>
    <w:tmpl w:val="376EEF96"/>
    <w:lvl w:ilvl="0" w:tplc="F8F80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5DC6"/>
    <w:rsid w:val="00017164"/>
    <w:rsid w:val="00025FA7"/>
    <w:rsid w:val="00054602"/>
    <w:rsid w:val="000646C5"/>
    <w:rsid w:val="00067E54"/>
    <w:rsid w:val="00070994"/>
    <w:rsid w:val="0007390F"/>
    <w:rsid w:val="000742B9"/>
    <w:rsid w:val="00090EC9"/>
    <w:rsid w:val="000A0C86"/>
    <w:rsid w:val="000A1666"/>
    <w:rsid w:val="000D5EEB"/>
    <w:rsid w:val="000E08B1"/>
    <w:rsid w:val="000E2CC2"/>
    <w:rsid w:val="000F755F"/>
    <w:rsid w:val="00116A4A"/>
    <w:rsid w:val="0013064C"/>
    <w:rsid w:val="00140180"/>
    <w:rsid w:val="0015026F"/>
    <w:rsid w:val="001C4868"/>
    <w:rsid w:val="001E4800"/>
    <w:rsid w:val="001F51B3"/>
    <w:rsid w:val="002001F1"/>
    <w:rsid w:val="002026D5"/>
    <w:rsid w:val="00203F5A"/>
    <w:rsid w:val="0020723F"/>
    <w:rsid w:val="002140CC"/>
    <w:rsid w:val="00230636"/>
    <w:rsid w:val="002313AE"/>
    <w:rsid w:val="00253132"/>
    <w:rsid w:val="002538F1"/>
    <w:rsid w:val="00256871"/>
    <w:rsid w:val="00261373"/>
    <w:rsid w:val="002B51A3"/>
    <w:rsid w:val="002B5778"/>
    <w:rsid w:val="002C0E4F"/>
    <w:rsid w:val="00306308"/>
    <w:rsid w:val="00322EFE"/>
    <w:rsid w:val="00325755"/>
    <w:rsid w:val="00327FB9"/>
    <w:rsid w:val="00334C47"/>
    <w:rsid w:val="00334CAB"/>
    <w:rsid w:val="00341497"/>
    <w:rsid w:val="00352997"/>
    <w:rsid w:val="00366392"/>
    <w:rsid w:val="0038659E"/>
    <w:rsid w:val="003871A3"/>
    <w:rsid w:val="003B506F"/>
    <w:rsid w:val="004145F7"/>
    <w:rsid w:val="00434755"/>
    <w:rsid w:val="0046251D"/>
    <w:rsid w:val="00462A5E"/>
    <w:rsid w:val="0049084A"/>
    <w:rsid w:val="00490D82"/>
    <w:rsid w:val="004F779A"/>
    <w:rsid w:val="00513187"/>
    <w:rsid w:val="00543D59"/>
    <w:rsid w:val="00543E58"/>
    <w:rsid w:val="00546145"/>
    <w:rsid w:val="005519B3"/>
    <w:rsid w:val="00553607"/>
    <w:rsid w:val="005768D8"/>
    <w:rsid w:val="0058048C"/>
    <w:rsid w:val="0059709E"/>
    <w:rsid w:val="0059768D"/>
    <w:rsid w:val="0061466A"/>
    <w:rsid w:val="0061668F"/>
    <w:rsid w:val="00630D66"/>
    <w:rsid w:val="00631F39"/>
    <w:rsid w:val="006405D1"/>
    <w:rsid w:val="006425F9"/>
    <w:rsid w:val="006450A2"/>
    <w:rsid w:val="00645906"/>
    <w:rsid w:val="006556CF"/>
    <w:rsid w:val="006634CF"/>
    <w:rsid w:val="00674225"/>
    <w:rsid w:val="006828BC"/>
    <w:rsid w:val="00686B0A"/>
    <w:rsid w:val="006C1FF9"/>
    <w:rsid w:val="007136CF"/>
    <w:rsid w:val="00752B76"/>
    <w:rsid w:val="007655C8"/>
    <w:rsid w:val="00770541"/>
    <w:rsid w:val="00786C71"/>
    <w:rsid w:val="00792624"/>
    <w:rsid w:val="007944EA"/>
    <w:rsid w:val="007978D9"/>
    <w:rsid w:val="007A58F2"/>
    <w:rsid w:val="007B165C"/>
    <w:rsid w:val="007D634A"/>
    <w:rsid w:val="008040FB"/>
    <w:rsid w:val="00806765"/>
    <w:rsid w:val="00810553"/>
    <w:rsid w:val="0081624E"/>
    <w:rsid w:val="008223AB"/>
    <w:rsid w:val="00832D9D"/>
    <w:rsid w:val="00871458"/>
    <w:rsid w:val="008719AB"/>
    <w:rsid w:val="008C6F36"/>
    <w:rsid w:val="00910023"/>
    <w:rsid w:val="00910923"/>
    <w:rsid w:val="009962E0"/>
    <w:rsid w:val="009B1FE7"/>
    <w:rsid w:val="009F5F72"/>
    <w:rsid w:val="00A64198"/>
    <w:rsid w:val="00A6429B"/>
    <w:rsid w:val="00A711C4"/>
    <w:rsid w:val="00A93BB0"/>
    <w:rsid w:val="00A9523A"/>
    <w:rsid w:val="00AB106C"/>
    <w:rsid w:val="00AB41D2"/>
    <w:rsid w:val="00AB4D48"/>
    <w:rsid w:val="00AB4F1F"/>
    <w:rsid w:val="00AC0697"/>
    <w:rsid w:val="00B0786B"/>
    <w:rsid w:val="00B13A30"/>
    <w:rsid w:val="00B260CE"/>
    <w:rsid w:val="00B3401B"/>
    <w:rsid w:val="00B553CA"/>
    <w:rsid w:val="00B65016"/>
    <w:rsid w:val="00B75C97"/>
    <w:rsid w:val="00B814E2"/>
    <w:rsid w:val="00BB57CA"/>
    <w:rsid w:val="00BC7A2A"/>
    <w:rsid w:val="00BF69D1"/>
    <w:rsid w:val="00C00112"/>
    <w:rsid w:val="00C02947"/>
    <w:rsid w:val="00C0665B"/>
    <w:rsid w:val="00C11180"/>
    <w:rsid w:val="00CA408B"/>
    <w:rsid w:val="00CF51FA"/>
    <w:rsid w:val="00D13BE7"/>
    <w:rsid w:val="00D618DD"/>
    <w:rsid w:val="00D7407D"/>
    <w:rsid w:val="00D75F7D"/>
    <w:rsid w:val="00D92DD3"/>
    <w:rsid w:val="00D939C1"/>
    <w:rsid w:val="00DB4AE9"/>
    <w:rsid w:val="00DC0E7F"/>
    <w:rsid w:val="00DE0318"/>
    <w:rsid w:val="00DF3489"/>
    <w:rsid w:val="00E102CD"/>
    <w:rsid w:val="00E207DA"/>
    <w:rsid w:val="00E47A94"/>
    <w:rsid w:val="00E50BE2"/>
    <w:rsid w:val="00E7764E"/>
    <w:rsid w:val="00E83A8C"/>
    <w:rsid w:val="00EA25FB"/>
    <w:rsid w:val="00EA5F12"/>
    <w:rsid w:val="00ED3CB2"/>
    <w:rsid w:val="00EE0F69"/>
    <w:rsid w:val="00EE3E3C"/>
    <w:rsid w:val="00F016EB"/>
    <w:rsid w:val="00F45F08"/>
    <w:rsid w:val="00F50089"/>
    <w:rsid w:val="00F62875"/>
    <w:rsid w:val="00F67138"/>
    <w:rsid w:val="00F90295"/>
    <w:rsid w:val="00F91C14"/>
    <w:rsid w:val="00F94E04"/>
    <w:rsid w:val="00FA5A6D"/>
    <w:rsid w:val="00FA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1AF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02947"/>
    <w:rPr>
      <w:sz w:val="20"/>
      <w:szCs w:val="20"/>
    </w:rPr>
  </w:style>
  <w:style w:type="character" w:customStyle="1" w:styleId="FootnoteTextChar">
    <w:name w:val="Footnote Text Char"/>
    <w:basedOn w:val="DefaultParagraphFont"/>
    <w:link w:val="FootnoteText"/>
    <w:uiPriority w:val="99"/>
    <w:semiHidden/>
    <w:rsid w:val="00C02947"/>
    <w:rPr>
      <w:sz w:val="20"/>
      <w:szCs w:val="20"/>
    </w:rPr>
  </w:style>
  <w:style w:type="character" w:styleId="FootnoteReference">
    <w:name w:val="footnote reference"/>
    <w:basedOn w:val="DefaultParagraphFont"/>
    <w:uiPriority w:val="99"/>
    <w:semiHidden/>
    <w:unhideWhenUsed/>
    <w:rsid w:val="00C02947"/>
    <w:rPr>
      <w:vertAlign w:val="superscript"/>
    </w:rPr>
  </w:style>
  <w:style w:type="paragraph" w:styleId="BalloonText">
    <w:name w:val="Balloon Text"/>
    <w:basedOn w:val="Normal"/>
    <w:link w:val="BalloonTextChar"/>
    <w:uiPriority w:val="99"/>
    <w:semiHidden/>
    <w:unhideWhenUsed/>
    <w:rsid w:val="0055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607"/>
    <w:rPr>
      <w:rFonts w:ascii="Segoe UI" w:hAnsi="Segoe UI" w:cs="Segoe UI"/>
      <w:sz w:val="18"/>
      <w:szCs w:val="18"/>
    </w:rPr>
  </w:style>
  <w:style w:type="character" w:styleId="CommentReference">
    <w:name w:val="annotation reference"/>
    <w:basedOn w:val="DefaultParagraphFont"/>
    <w:uiPriority w:val="99"/>
    <w:semiHidden/>
    <w:unhideWhenUsed/>
    <w:rsid w:val="00E47A94"/>
    <w:rPr>
      <w:sz w:val="16"/>
      <w:szCs w:val="16"/>
    </w:rPr>
  </w:style>
  <w:style w:type="paragraph" w:styleId="CommentText">
    <w:name w:val="annotation text"/>
    <w:basedOn w:val="Normal"/>
    <w:link w:val="CommentTextChar"/>
    <w:uiPriority w:val="99"/>
    <w:semiHidden/>
    <w:unhideWhenUsed/>
    <w:rsid w:val="00E47A94"/>
    <w:rPr>
      <w:sz w:val="20"/>
      <w:szCs w:val="20"/>
    </w:rPr>
  </w:style>
  <w:style w:type="character" w:customStyle="1" w:styleId="CommentTextChar">
    <w:name w:val="Comment Text Char"/>
    <w:basedOn w:val="DefaultParagraphFont"/>
    <w:link w:val="CommentText"/>
    <w:uiPriority w:val="99"/>
    <w:semiHidden/>
    <w:rsid w:val="00E47A94"/>
    <w:rPr>
      <w:sz w:val="20"/>
      <w:szCs w:val="20"/>
    </w:rPr>
  </w:style>
  <w:style w:type="paragraph" w:styleId="CommentSubject">
    <w:name w:val="annotation subject"/>
    <w:basedOn w:val="CommentText"/>
    <w:next w:val="CommentText"/>
    <w:link w:val="CommentSubjectChar"/>
    <w:uiPriority w:val="99"/>
    <w:semiHidden/>
    <w:unhideWhenUsed/>
    <w:rsid w:val="00E47A94"/>
    <w:rPr>
      <w:b/>
      <w:bCs/>
    </w:rPr>
  </w:style>
  <w:style w:type="character" w:customStyle="1" w:styleId="CommentSubjectChar">
    <w:name w:val="Comment Subject Char"/>
    <w:basedOn w:val="CommentTextChar"/>
    <w:link w:val="CommentSubject"/>
    <w:uiPriority w:val="99"/>
    <w:semiHidden/>
    <w:rsid w:val="00E47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146">
      <w:bodyDiv w:val="1"/>
      <w:marLeft w:val="0"/>
      <w:marRight w:val="0"/>
      <w:marTop w:val="0"/>
      <w:marBottom w:val="0"/>
      <w:divBdr>
        <w:top w:val="none" w:sz="0" w:space="0" w:color="auto"/>
        <w:left w:val="none" w:sz="0" w:space="0" w:color="auto"/>
        <w:bottom w:val="none" w:sz="0" w:space="0" w:color="auto"/>
        <w:right w:val="none" w:sz="0" w:space="0" w:color="auto"/>
      </w:divBdr>
    </w:div>
    <w:div w:id="12224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2014-12-03T22:38:58+00:00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63B63-D67C-4A33-893F-57A5A259CC85}"/>
</file>

<file path=customXml/itemProps2.xml><?xml version="1.0" encoding="utf-8"?>
<ds:datastoreItem xmlns:ds="http://schemas.openxmlformats.org/officeDocument/2006/customXml" ds:itemID="{F7FB8BE7-D756-4F29-A9E2-4B74E0B088BA}"/>
</file>

<file path=customXml/itemProps3.xml><?xml version="1.0" encoding="utf-8"?>
<ds:datastoreItem xmlns:ds="http://schemas.openxmlformats.org/officeDocument/2006/customXml" ds:itemID="{7E722ABF-49C4-4650-AAAB-0D204EB83E53}"/>
</file>

<file path=customXml/itemProps4.xml><?xml version="1.0" encoding="utf-8"?>
<ds:datastoreItem xmlns:ds="http://schemas.openxmlformats.org/officeDocument/2006/customXml" ds:itemID="{60811352-4F53-45A2-A476-B1727A23D011}"/>
</file>

<file path=customXml/itemProps5.xml><?xml version="1.0" encoding="utf-8"?>
<ds:datastoreItem xmlns:ds="http://schemas.openxmlformats.org/officeDocument/2006/customXml" ds:itemID="{67CFDB17-CC02-41D2-93F6-5C8FAF7CC309}"/>
</file>

<file path=docProps/app.xml><?xml version="1.0" encoding="utf-8"?>
<Properties xmlns="http://schemas.openxmlformats.org/officeDocument/2006/extended-properties" xmlns:vt="http://schemas.openxmlformats.org/officeDocument/2006/docPropsVTypes">
  <Template>Normal.dotm</Template>
  <TotalTime>0</TotalTime>
  <Pages>12</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Testimony</vt:lpstr>
    </vt:vector>
  </TitlesOfParts>
  <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subject/>
  <dc:creator/>
  <cp:keywords/>
  <dc:description/>
  <cp:lastModifiedBy/>
  <cp:revision>1</cp:revision>
  <dcterms:created xsi:type="dcterms:W3CDTF">2014-12-03T16:58:00Z</dcterms:created>
  <dcterms:modified xsi:type="dcterms:W3CDTF">2014-12-03T19:32:00Z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