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CDF" w:rsidRDefault="009C7CDF" w:rsidP="005209B7">
      <w:pPr>
        <w:pStyle w:val="DoubleSpacing"/>
        <w:spacing w:line="240" w:lineRule="auto"/>
        <w:rPr>
          <w:szCs w:val="24"/>
        </w:rPr>
      </w:pPr>
    </w:p>
    <w:p w:rsidR="009C7CDF" w:rsidRDefault="009C7CDF" w:rsidP="005209B7">
      <w:pPr>
        <w:pStyle w:val="DoubleSpacing"/>
        <w:spacing w:line="240" w:lineRule="auto"/>
        <w:rPr>
          <w:szCs w:val="24"/>
        </w:rPr>
      </w:pPr>
    </w:p>
    <w:p w:rsidR="009C7CDF" w:rsidRDefault="009C7CDF" w:rsidP="005209B7">
      <w:pPr>
        <w:pStyle w:val="DoubleSpacing"/>
        <w:spacing w:line="240" w:lineRule="auto"/>
        <w:rPr>
          <w:szCs w:val="24"/>
        </w:rPr>
      </w:pPr>
    </w:p>
    <w:p w:rsidR="009C7CDF" w:rsidRDefault="009C7CDF" w:rsidP="005209B7">
      <w:pPr>
        <w:pStyle w:val="DoubleSpacing"/>
        <w:spacing w:line="240" w:lineRule="auto"/>
        <w:rPr>
          <w:szCs w:val="24"/>
        </w:rPr>
      </w:pPr>
    </w:p>
    <w:p w:rsidR="001138D3" w:rsidRDefault="001138D3" w:rsidP="005209B7">
      <w:pPr>
        <w:pStyle w:val="DoubleSpacing"/>
        <w:spacing w:line="240" w:lineRule="auto"/>
        <w:rPr>
          <w:szCs w:val="24"/>
        </w:rPr>
      </w:pPr>
    </w:p>
    <w:p w:rsidR="001138D3" w:rsidRDefault="001138D3" w:rsidP="005209B7">
      <w:pPr>
        <w:pStyle w:val="DoubleSpacing"/>
        <w:spacing w:line="240" w:lineRule="auto"/>
        <w:rPr>
          <w:szCs w:val="24"/>
        </w:rPr>
      </w:pPr>
    </w:p>
    <w:p w:rsidR="009C7CDF" w:rsidRDefault="009C7CDF" w:rsidP="005209B7">
      <w:pPr>
        <w:pStyle w:val="DoubleSpacing"/>
        <w:spacing w:line="240" w:lineRule="auto"/>
        <w:rPr>
          <w:szCs w:val="24"/>
        </w:rPr>
      </w:pPr>
    </w:p>
    <w:p w:rsidR="009C7CDF" w:rsidRDefault="009C7CDF" w:rsidP="005209B7">
      <w:pPr>
        <w:pStyle w:val="DoubleSpacing"/>
        <w:spacing w:line="240" w:lineRule="auto"/>
        <w:rPr>
          <w:szCs w:val="24"/>
        </w:rPr>
      </w:pPr>
    </w:p>
    <w:p w:rsidR="009C7CDF" w:rsidRDefault="00CB3950" w:rsidP="005209B7">
      <w:pPr>
        <w:pStyle w:val="DoubleSpacing"/>
        <w:spacing w:line="240" w:lineRule="auto"/>
        <w:rPr>
          <w:szCs w:val="24"/>
        </w:rPr>
      </w:pPr>
      <w:r>
        <w:rPr>
          <w:szCs w:val="24"/>
        </w:rPr>
        <w:t>February</w:t>
      </w:r>
      <w:r w:rsidR="00D6187C">
        <w:rPr>
          <w:szCs w:val="24"/>
        </w:rPr>
        <w:t xml:space="preserve"> 1</w:t>
      </w:r>
      <w:r>
        <w:rPr>
          <w:szCs w:val="24"/>
        </w:rPr>
        <w:t>, 2016</w:t>
      </w:r>
    </w:p>
    <w:p w:rsidR="009C7CDF" w:rsidRDefault="009C7CDF" w:rsidP="005209B7">
      <w:pPr>
        <w:pStyle w:val="DoubleSpacing"/>
        <w:spacing w:line="240" w:lineRule="auto"/>
        <w:rPr>
          <w:szCs w:val="24"/>
        </w:rPr>
      </w:pPr>
    </w:p>
    <w:p w:rsidR="006C5383" w:rsidRDefault="006C5383" w:rsidP="005209B7">
      <w:pPr>
        <w:pStyle w:val="DoubleSpacing"/>
        <w:spacing w:line="240" w:lineRule="auto"/>
        <w:rPr>
          <w:szCs w:val="24"/>
        </w:rPr>
      </w:pPr>
    </w:p>
    <w:p w:rsidR="009C7CDF" w:rsidRDefault="009C7CDF" w:rsidP="005209B7">
      <w:pPr>
        <w:pStyle w:val="DoubleSpacing"/>
        <w:spacing w:line="240" w:lineRule="auto"/>
        <w:rPr>
          <w:szCs w:val="24"/>
        </w:rPr>
      </w:pPr>
    </w:p>
    <w:p w:rsidR="009C7CDF" w:rsidRDefault="00017B79" w:rsidP="005209B7">
      <w:pPr>
        <w:pStyle w:val="DoubleSpacing"/>
        <w:spacing w:line="240" w:lineRule="auto"/>
        <w:rPr>
          <w:b/>
          <w:i/>
          <w:szCs w:val="24"/>
          <w:u w:val="single"/>
        </w:rPr>
      </w:pPr>
      <w:r>
        <w:rPr>
          <w:b/>
          <w:i/>
          <w:szCs w:val="24"/>
          <w:u w:val="single"/>
        </w:rPr>
        <w:t xml:space="preserve">FILED </w:t>
      </w:r>
      <w:r w:rsidR="009C7CDF" w:rsidRPr="004F1F5C">
        <w:rPr>
          <w:b/>
          <w:i/>
          <w:szCs w:val="24"/>
          <w:u w:val="single"/>
        </w:rPr>
        <w:t xml:space="preserve">VIA </w:t>
      </w:r>
      <w:r w:rsidR="009C7CDF">
        <w:rPr>
          <w:b/>
          <w:i/>
          <w:szCs w:val="24"/>
          <w:u w:val="single"/>
        </w:rPr>
        <w:t xml:space="preserve">ELECTRONIC </w:t>
      </w:r>
      <w:r w:rsidR="009C7CDF" w:rsidRPr="004F1F5C">
        <w:rPr>
          <w:b/>
          <w:i/>
          <w:szCs w:val="24"/>
          <w:u w:val="single"/>
        </w:rPr>
        <w:t xml:space="preserve">MAIL </w:t>
      </w:r>
    </w:p>
    <w:p w:rsidR="009C7CDF" w:rsidRPr="004F1F5C" w:rsidRDefault="0037651F" w:rsidP="005209B7">
      <w:pPr>
        <w:pStyle w:val="DoubleSpacing"/>
        <w:spacing w:line="240" w:lineRule="auto"/>
        <w:rPr>
          <w:szCs w:val="24"/>
        </w:rPr>
      </w:pPr>
      <w:r w:rsidRPr="00F3200A">
        <w:rPr>
          <w:szCs w:val="24"/>
        </w:rPr>
        <w:t>Steve</w:t>
      </w:r>
      <w:r w:rsidR="007A24AC" w:rsidRPr="00F3200A">
        <w:rPr>
          <w:szCs w:val="24"/>
        </w:rPr>
        <w:t xml:space="preserve">n </w:t>
      </w:r>
      <w:r w:rsidRPr="00F3200A">
        <w:rPr>
          <w:szCs w:val="24"/>
        </w:rPr>
        <w:t xml:space="preserve"> </w:t>
      </w:r>
      <w:r w:rsidR="00616616" w:rsidRPr="00F3200A">
        <w:rPr>
          <w:szCs w:val="24"/>
        </w:rPr>
        <w:t xml:space="preserve">V. </w:t>
      </w:r>
      <w:r w:rsidRPr="00F3200A">
        <w:rPr>
          <w:szCs w:val="24"/>
        </w:rPr>
        <w:t>King</w:t>
      </w:r>
      <w:bookmarkStart w:id="0" w:name="_GoBack"/>
      <w:bookmarkEnd w:id="0"/>
    </w:p>
    <w:p w:rsidR="009C7CDF" w:rsidRPr="004F1F5C" w:rsidRDefault="009C7CDF" w:rsidP="005209B7">
      <w:pPr>
        <w:spacing w:line="240" w:lineRule="auto"/>
        <w:rPr>
          <w:szCs w:val="24"/>
        </w:rPr>
      </w:pPr>
      <w:r>
        <w:rPr>
          <w:szCs w:val="24"/>
        </w:rPr>
        <w:t>Executive Director and Secretary</w:t>
      </w:r>
    </w:p>
    <w:p w:rsidR="009C7CDF" w:rsidRPr="004F1F5C" w:rsidRDefault="009C7CDF" w:rsidP="005209B7">
      <w:pPr>
        <w:spacing w:line="240" w:lineRule="auto"/>
        <w:rPr>
          <w:szCs w:val="24"/>
        </w:rPr>
      </w:pPr>
      <w:smartTag w:uri="urn:schemas-microsoft-com:office:smarttags" w:element="State">
        <w:smartTag w:uri="urn:schemas-microsoft-com:office:smarttags" w:element="place">
          <w:r w:rsidRPr="004F1F5C">
            <w:rPr>
              <w:szCs w:val="24"/>
            </w:rPr>
            <w:t>Washington</w:t>
          </w:r>
        </w:smartTag>
      </w:smartTag>
      <w:r w:rsidRPr="004F1F5C">
        <w:rPr>
          <w:szCs w:val="24"/>
        </w:rPr>
        <w:t xml:space="preserve"> Utilities and Transportation Commission</w:t>
      </w:r>
    </w:p>
    <w:p w:rsidR="009C7CDF" w:rsidRPr="004F1F5C" w:rsidRDefault="009C7CDF" w:rsidP="005209B7">
      <w:pPr>
        <w:spacing w:line="240" w:lineRule="auto"/>
        <w:rPr>
          <w:szCs w:val="24"/>
        </w:rPr>
      </w:pPr>
      <w:smartTag w:uri="urn:schemas-microsoft-com:office:smarttags" w:element="Street">
        <w:smartTag w:uri="urn:schemas-microsoft-com:office:smarttags" w:element="address">
          <w:r w:rsidRPr="004F1F5C">
            <w:rPr>
              <w:szCs w:val="24"/>
            </w:rPr>
            <w:t>1300 S. Evergreen Pk. Dr. S.W.</w:t>
          </w:r>
        </w:smartTag>
      </w:smartTag>
    </w:p>
    <w:p w:rsidR="009C7CDF" w:rsidRPr="004F1F5C" w:rsidRDefault="009C7CDF" w:rsidP="005209B7">
      <w:pPr>
        <w:spacing w:line="240" w:lineRule="auto"/>
        <w:rPr>
          <w:szCs w:val="24"/>
        </w:rPr>
      </w:pPr>
      <w:r w:rsidRPr="004F1F5C">
        <w:rPr>
          <w:szCs w:val="24"/>
        </w:rPr>
        <w:t>P</w:t>
      </w:r>
      <w:r w:rsidR="006C5383">
        <w:rPr>
          <w:szCs w:val="24"/>
        </w:rPr>
        <w:t>.</w:t>
      </w:r>
      <w:r w:rsidRPr="004F1F5C">
        <w:rPr>
          <w:szCs w:val="24"/>
        </w:rPr>
        <w:t>O</w:t>
      </w:r>
      <w:r w:rsidR="006C5383">
        <w:rPr>
          <w:szCs w:val="24"/>
        </w:rPr>
        <w:t>.</w:t>
      </w:r>
      <w:r w:rsidRPr="004F1F5C">
        <w:rPr>
          <w:szCs w:val="24"/>
        </w:rPr>
        <w:t xml:space="preserve"> Box 47250</w:t>
      </w:r>
    </w:p>
    <w:p w:rsidR="00616616" w:rsidRDefault="009C7CDF" w:rsidP="005209B7">
      <w:pPr>
        <w:spacing w:line="240" w:lineRule="auto"/>
        <w:rPr>
          <w:szCs w:val="24"/>
        </w:rPr>
      </w:pPr>
      <w:r w:rsidRPr="004F1F5C">
        <w:rPr>
          <w:szCs w:val="24"/>
        </w:rPr>
        <w:t>Olympia, WA 98504-7250</w:t>
      </w:r>
    </w:p>
    <w:p w:rsidR="00616616" w:rsidRPr="004F1F5C" w:rsidRDefault="00616616" w:rsidP="005209B7">
      <w:pPr>
        <w:spacing w:line="240" w:lineRule="auto"/>
        <w:rPr>
          <w:szCs w:val="24"/>
        </w:rPr>
      </w:pPr>
    </w:p>
    <w:p w:rsidR="009C7CDF" w:rsidRPr="0037651F" w:rsidRDefault="009C7CDF" w:rsidP="005209B7">
      <w:pPr>
        <w:pStyle w:val="DoubleSpacing"/>
        <w:spacing w:line="240" w:lineRule="auto"/>
        <w:rPr>
          <w:b/>
          <w:szCs w:val="24"/>
        </w:rPr>
      </w:pPr>
      <w:r w:rsidRPr="004F1F5C">
        <w:rPr>
          <w:szCs w:val="24"/>
        </w:rPr>
        <w:t>Re:</w:t>
      </w:r>
      <w:r w:rsidRPr="004F1F5C">
        <w:rPr>
          <w:szCs w:val="24"/>
        </w:rPr>
        <w:tab/>
      </w:r>
      <w:r w:rsidRPr="0037651F">
        <w:rPr>
          <w:b/>
          <w:szCs w:val="24"/>
        </w:rPr>
        <w:t>Puget Sound Energy</w:t>
      </w:r>
    </w:p>
    <w:p w:rsidR="009C7CDF" w:rsidRPr="00A460F9" w:rsidRDefault="009C7CDF" w:rsidP="005209B7">
      <w:pPr>
        <w:pStyle w:val="DoubleSpacing"/>
        <w:spacing w:line="240" w:lineRule="auto"/>
        <w:rPr>
          <w:b/>
          <w:szCs w:val="24"/>
        </w:rPr>
      </w:pPr>
      <w:r w:rsidRPr="0037651F">
        <w:rPr>
          <w:b/>
          <w:szCs w:val="24"/>
        </w:rPr>
        <w:tab/>
      </w:r>
      <w:r w:rsidR="0037651F" w:rsidRPr="0037651F">
        <w:rPr>
          <w:b/>
          <w:szCs w:val="24"/>
        </w:rPr>
        <w:t>20</w:t>
      </w:r>
      <w:r w:rsidR="00CB3950">
        <w:rPr>
          <w:b/>
          <w:szCs w:val="24"/>
        </w:rPr>
        <w:t>15</w:t>
      </w:r>
      <w:r w:rsidR="0037651F" w:rsidRPr="0037651F">
        <w:rPr>
          <w:b/>
          <w:szCs w:val="24"/>
        </w:rPr>
        <w:t xml:space="preserve"> Integrated Resource Plan, Dockets UE-</w:t>
      </w:r>
      <w:r w:rsidR="00D6187C">
        <w:rPr>
          <w:b/>
          <w:szCs w:val="24"/>
        </w:rPr>
        <w:t>141170 and UG-141169</w:t>
      </w:r>
    </w:p>
    <w:p w:rsidR="009C7CDF" w:rsidRDefault="009C7CDF" w:rsidP="005209B7">
      <w:pPr>
        <w:pStyle w:val="DoubleSpacing"/>
        <w:spacing w:line="240" w:lineRule="auto"/>
        <w:rPr>
          <w:b/>
          <w:i/>
          <w:szCs w:val="24"/>
        </w:rPr>
      </w:pPr>
    </w:p>
    <w:p w:rsidR="009C7CDF" w:rsidRDefault="009C7CDF" w:rsidP="005209B7">
      <w:pPr>
        <w:pStyle w:val="DoubleSpacing"/>
        <w:spacing w:line="240" w:lineRule="auto"/>
        <w:jc w:val="both"/>
        <w:rPr>
          <w:szCs w:val="24"/>
        </w:rPr>
      </w:pPr>
      <w:r w:rsidRPr="004F1F5C">
        <w:rPr>
          <w:szCs w:val="24"/>
        </w:rPr>
        <w:t xml:space="preserve">Dear </w:t>
      </w:r>
      <w:r>
        <w:rPr>
          <w:szCs w:val="24"/>
        </w:rPr>
        <w:t xml:space="preserve">Mr. </w:t>
      </w:r>
      <w:r w:rsidR="0037651F">
        <w:rPr>
          <w:szCs w:val="24"/>
        </w:rPr>
        <w:t>King</w:t>
      </w:r>
      <w:r w:rsidRPr="004F1F5C">
        <w:rPr>
          <w:szCs w:val="24"/>
        </w:rPr>
        <w:t>:</w:t>
      </w:r>
    </w:p>
    <w:p w:rsidR="009C7CDF" w:rsidRPr="004F1F5C" w:rsidRDefault="009C7CDF" w:rsidP="005209B7">
      <w:pPr>
        <w:pStyle w:val="DoubleSpacing"/>
        <w:spacing w:line="240" w:lineRule="auto"/>
        <w:jc w:val="both"/>
        <w:rPr>
          <w:szCs w:val="24"/>
        </w:rPr>
      </w:pPr>
    </w:p>
    <w:p w:rsidR="0037651F" w:rsidRDefault="0037651F" w:rsidP="005209B7">
      <w:pPr>
        <w:spacing w:line="240" w:lineRule="auto"/>
      </w:pPr>
      <w:r w:rsidRPr="00F3200A">
        <w:t>On</w:t>
      </w:r>
      <w:r w:rsidR="00F3200A" w:rsidRPr="00F3200A">
        <w:t xml:space="preserve"> November 30, 2015,</w:t>
      </w:r>
      <w:r w:rsidRPr="00F3200A">
        <w:t xml:space="preserve"> </w:t>
      </w:r>
      <w:r w:rsidR="00FC054D">
        <w:t>Puget Sound Energy (PSE or Company”) f</w:t>
      </w:r>
      <w:r w:rsidRPr="00F3200A">
        <w:t>iled its 201</w:t>
      </w:r>
      <w:r w:rsidR="00F3200A" w:rsidRPr="00F3200A">
        <w:t>5</w:t>
      </w:r>
      <w:r w:rsidRPr="00F3200A">
        <w:t xml:space="preserve"> Integrated Resource Plan (IRP) for both its electric and gas operations (Docket</w:t>
      </w:r>
      <w:r w:rsidR="00913D3D" w:rsidRPr="00F3200A">
        <w:t>s</w:t>
      </w:r>
      <w:r w:rsidRPr="00F3200A">
        <w:t xml:space="preserve"> UE-1</w:t>
      </w:r>
      <w:r w:rsidR="00F3200A" w:rsidRPr="00F3200A">
        <w:t>41170</w:t>
      </w:r>
      <w:r w:rsidR="00017B79">
        <w:t xml:space="preserve"> and UG</w:t>
      </w:r>
      <w:r w:rsidR="00017B79">
        <w:noBreakHyphen/>
      </w:r>
      <w:r w:rsidRPr="00F3200A">
        <w:t>1</w:t>
      </w:r>
      <w:r w:rsidR="00F3200A" w:rsidRPr="00F3200A">
        <w:t>41169</w:t>
      </w:r>
      <w:r w:rsidRPr="00F3200A">
        <w:t xml:space="preserve">).  Public Counsel submits these comments in response to the Commission’s </w:t>
      </w:r>
      <w:r w:rsidR="00F3200A" w:rsidRPr="00F3200A">
        <w:t xml:space="preserve">Amended </w:t>
      </w:r>
      <w:r w:rsidRPr="00F3200A">
        <w:t xml:space="preserve">Notice of Opportunity to File Written Comments, issued </w:t>
      </w:r>
      <w:r w:rsidR="00F3200A" w:rsidRPr="00F3200A">
        <w:t>January 6, 2016</w:t>
      </w:r>
      <w:r w:rsidRPr="00F3200A">
        <w:t>.</w:t>
      </w:r>
      <w:r>
        <w:t xml:space="preserve">  </w:t>
      </w:r>
    </w:p>
    <w:p w:rsidR="0037651F" w:rsidRDefault="0037651F" w:rsidP="00FA496B">
      <w:pPr>
        <w:pStyle w:val="Heading2"/>
      </w:pPr>
      <w:r w:rsidRPr="00A95F4C">
        <w:t>Introduction.</w:t>
      </w:r>
    </w:p>
    <w:p w:rsidR="009F6ECC" w:rsidRPr="0037651F" w:rsidRDefault="009F6ECC" w:rsidP="005209B7">
      <w:pPr>
        <w:pStyle w:val="ListParagraph"/>
        <w:ind w:left="1080"/>
        <w:rPr>
          <w:b/>
        </w:rPr>
      </w:pPr>
    </w:p>
    <w:p w:rsidR="00D403D9" w:rsidRDefault="00FC054D" w:rsidP="005209B7">
      <w:pPr>
        <w:spacing w:after="160" w:line="240" w:lineRule="auto"/>
        <w:rPr>
          <w:szCs w:val="24"/>
        </w:rPr>
      </w:pPr>
      <w:r>
        <w:rPr>
          <w:szCs w:val="24"/>
        </w:rPr>
        <w:t xml:space="preserve">Public Counsel was a participant in PSE’s Integrated Resource Plan Advisory Group (IRPAG) throughout the development of the 2015 IRP. </w:t>
      </w:r>
      <w:r w:rsidR="00017B79">
        <w:rPr>
          <w:szCs w:val="24"/>
        </w:rPr>
        <w:t xml:space="preserve"> </w:t>
      </w:r>
      <w:r w:rsidR="001E1695">
        <w:rPr>
          <w:szCs w:val="24"/>
        </w:rPr>
        <w:t xml:space="preserve">PSE’s </w:t>
      </w:r>
      <w:r w:rsidR="00F3200A" w:rsidRPr="00577833">
        <w:rPr>
          <w:szCs w:val="24"/>
        </w:rPr>
        <w:t xml:space="preserve">2015 IRP was filed November 30, 2015, </w:t>
      </w:r>
      <w:r>
        <w:rPr>
          <w:szCs w:val="24"/>
        </w:rPr>
        <w:t>however,</w:t>
      </w:r>
      <w:r w:rsidR="00F3200A" w:rsidRPr="00577833">
        <w:rPr>
          <w:szCs w:val="24"/>
        </w:rPr>
        <w:t xml:space="preserve"> the original</w:t>
      </w:r>
      <w:r>
        <w:rPr>
          <w:szCs w:val="24"/>
        </w:rPr>
        <w:t xml:space="preserve"> filing</w:t>
      </w:r>
      <w:r w:rsidR="00F3200A" w:rsidRPr="00577833">
        <w:rPr>
          <w:szCs w:val="24"/>
        </w:rPr>
        <w:t xml:space="preserve"> deadline was May</w:t>
      </w:r>
      <w:r w:rsidR="00577833">
        <w:rPr>
          <w:szCs w:val="24"/>
        </w:rPr>
        <w:t xml:space="preserve"> 30,</w:t>
      </w:r>
      <w:r w:rsidR="00F3200A" w:rsidRPr="00577833">
        <w:rPr>
          <w:szCs w:val="24"/>
        </w:rPr>
        <w:t xml:space="preserve"> 2015. </w:t>
      </w:r>
      <w:r w:rsidR="00017B79">
        <w:rPr>
          <w:szCs w:val="24"/>
        </w:rPr>
        <w:t xml:space="preserve"> </w:t>
      </w:r>
      <w:r>
        <w:rPr>
          <w:szCs w:val="24"/>
        </w:rPr>
        <w:t>PSE indicated to stakeholders and the Commission that t</w:t>
      </w:r>
      <w:r w:rsidR="00032884" w:rsidRPr="00577833">
        <w:rPr>
          <w:szCs w:val="24"/>
        </w:rPr>
        <w:t>he delay in filing was necessary to incorporate more up-to-date information than would have been otherwise available.</w:t>
      </w:r>
      <w:r w:rsidR="00577833">
        <w:rPr>
          <w:rStyle w:val="FootnoteReference"/>
          <w:szCs w:val="24"/>
        </w:rPr>
        <w:footnoteReference w:id="1"/>
      </w:r>
      <w:r w:rsidR="00032884">
        <w:rPr>
          <w:szCs w:val="24"/>
        </w:rPr>
        <w:t xml:space="preserve">  </w:t>
      </w:r>
      <w:r w:rsidR="00F3200A" w:rsidRPr="00577833">
        <w:rPr>
          <w:szCs w:val="24"/>
        </w:rPr>
        <w:t xml:space="preserve">These deadline extensions demonstrate some of the challenges in producing a “final” </w:t>
      </w:r>
      <w:r w:rsidR="00032884">
        <w:rPr>
          <w:szCs w:val="24"/>
        </w:rPr>
        <w:t xml:space="preserve">IRP </w:t>
      </w:r>
      <w:r w:rsidR="00F3200A" w:rsidRPr="00577833">
        <w:rPr>
          <w:szCs w:val="24"/>
        </w:rPr>
        <w:t>document</w:t>
      </w:r>
      <w:r w:rsidR="00032884">
        <w:rPr>
          <w:szCs w:val="24"/>
        </w:rPr>
        <w:t xml:space="preserve">, because the analysis relies </w:t>
      </w:r>
      <w:r w:rsidR="00F3200A" w:rsidRPr="00577833">
        <w:rPr>
          <w:szCs w:val="24"/>
        </w:rPr>
        <w:t>upon dynamic and changing information</w:t>
      </w:r>
      <w:r w:rsidR="00D040B5">
        <w:rPr>
          <w:szCs w:val="24"/>
        </w:rPr>
        <w:t>. Because of the</w:t>
      </w:r>
      <w:r w:rsidR="00032884" w:rsidRPr="00802BEA">
        <w:rPr>
          <w:szCs w:val="24"/>
        </w:rPr>
        <w:t xml:space="preserve"> time necessary to complete </w:t>
      </w:r>
      <w:r w:rsidR="00D040B5">
        <w:rPr>
          <w:szCs w:val="24"/>
        </w:rPr>
        <w:t xml:space="preserve">PSE’s modeling processes, </w:t>
      </w:r>
      <w:r w:rsidR="00032884" w:rsidRPr="00802BEA">
        <w:rPr>
          <w:szCs w:val="24"/>
        </w:rPr>
        <w:t>by the time the</w:t>
      </w:r>
      <w:r w:rsidR="00032884">
        <w:rPr>
          <w:szCs w:val="24"/>
        </w:rPr>
        <w:t xml:space="preserve"> IRP is filed, </w:t>
      </w:r>
      <w:r>
        <w:rPr>
          <w:szCs w:val="24"/>
        </w:rPr>
        <w:t xml:space="preserve">some of the </w:t>
      </w:r>
      <w:r w:rsidR="00D040B5">
        <w:rPr>
          <w:szCs w:val="24"/>
        </w:rPr>
        <w:t>information</w:t>
      </w:r>
      <w:r>
        <w:rPr>
          <w:szCs w:val="24"/>
        </w:rPr>
        <w:t xml:space="preserve"> and assumptions </w:t>
      </w:r>
      <w:r w:rsidR="00D040B5">
        <w:rPr>
          <w:szCs w:val="24"/>
        </w:rPr>
        <w:t xml:space="preserve">included </w:t>
      </w:r>
      <w:r>
        <w:rPr>
          <w:szCs w:val="24"/>
        </w:rPr>
        <w:t xml:space="preserve">are </w:t>
      </w:r>
      <w:r w:rsidR="00D040B5">
        <w:rPr>
          <w:szCs w:val="24"/>
        </w:rPr>
        <w:t>not the most recent available versions</w:t>
      </w:r>
      <w:r w:rsidR="00032884">
        <w:rPr>
          <w:szCs w:val="24"/>
        </w:rPr>
        <w:t>.</w:t>
      </w:r>
      <w:r w:rsidR="00017B79">
        <w:rPr>
          <w:szCs w:val="24"/>
        </w:rPr>
        <w:t xml:space="preserve"> </w:t>
      </w:r>
      <w:r w:rsidR="00032884">
        <w:rPr>
          <w:szCs w:val="24"/>
        </w:rPr>
        <w:t xml:space="preserve"> For example, since the time </w:t>
      </w:r>
      <w:r w:rsidR="00D040B5">
        <w:rPr>
          <w:szCs w:val="24"/>
        </w:rPr>
        <w:t xml:space="preserve">PSE’s </w:t>
      </w:r>
      <w:r w:rsidR="002101F3">
        <w:rPr>
          <w:szCs w:val="24"/>
        </w:rPr>
        <w:t xml:space="preserve">updated </w:t>
      </w:r>
      <w:r w:rsidR="00032884">
        <w:rPr>
          <w:szCs w:val="24"/>
        </w:rPr>
        <w:t xml:space="preserve">load forecast was incorporated into the </w:t>
      </w:r>
      <w:r w:rsidR="00D040B5">
        <w:rPr>
          <w:szCs w:val="24"/>
        </w:rPr>
        <w:t xml:space="preserve">2015 </w:t>
      </w:r>
      <w:r w:rsidR="00032884">
        <w:rPr>
          <w:szCs w:val="24"/>
        </w:rPr>
        <w:t>IRP</w:t>
      </w:r>
      <w:r w:rsidR="00D040B5">
        <w:rPr>
          <w:szCs w:val="24"/>
        </w:rPr>
        <w:t xml:space="preserve"> analysis</w:t>
      </w:r>
      <w:r w:rsidR="00032884">
        <w:rPr>
          <w:szCs w:val="24"/>
        </w:rPr>
        <w:t xml:space="preserve">, </w:t>
      </w:r>
      <w:r w:rsidR="00D040B5">
        <w:rPr>
          <w:szCs w:val="24"/>
        </w:rPr>
        <w:t>the Company</w:t>
      </w:r>
      <w:r w:rsidR="00032884">
        <w:rPr>
          <w:szCs w:val="24"/>
        </w:rPr>
        <w:t xml:space="preserve"> has </w:t>
      </w:r>
      <w:r w:rsidR="00D040B5">
        <w:rPr>
          <w:szCs w:val="24"/>
        </w:rPr>
        <w:t>done additional work to refine its load forecast. B</w:t>
      </w:r>
      <w:r>
        <w:rPr>
          <w:szCs w:val="24"/>
        </w:rPr>
        <w:t>ased on information the Company has provided to stakeholders, PSE indicates that</w:t>
      </w:r>
      <w:r w:rsidR="002101F3">
        <w:rPr>
          <w:szCs w:val="24"/>
        </w:rPr>
        <w:t xml:space="preserve"> the</w:t>
      </w:r>
      <w:r>
        <w:rPr>
          <w:szCs w:val="24"/>
        </w:rPr>
        <w:t xml:space="preserve"> </w:t>
      </w:r>
      <w:r w:rsidR="00D040B5">
        <w:rPr>
          <w:szCs w:val="24"/>
        </w:rPr>
        <w:lastRenderedPageBreak/>
        <w:t xml:space="preserve">current load </w:t>
      </w:r>
      <w:r>
        <w:rPr>
          <w:szCs w:val="24"/>
        </w:rPr>
        <w:t>forecast</w:t>
      </w:r>
      <w:r w:rsidR="00741A8D">
        <w:rPr>
          <w:szCs w:val="24"/>
        </w:rPr>
        <w:t>, as updated from the version used in the 2015 IRP,</w:t>
      </w:r>
      <w:r>
        <w:rPr>
          <w:szCs w:val="24"/>
        </w:rPr>
        <w:t xml:space="preserve"> will result in </w:t>
      </w:r>
      <w:r w:rsidR="00032884">
        <w:rPr>
          <w:szCs w:val="24"/>
        </w:rPr>
        <w:t xml:space="preserve">lower anticipated load in later years. </w:t>
      </w:r>
    </w:p>
    <w:p w:rsidR="003E2898" w:rsidRPr="00017B79" w:rsidRDefault="00C818D4" w:rsidP="00017B79">
      <w:pPr>
        <w:spacing w:after="160" w:line="240" w:lineRule="auto"/>
        <w:rPr>
          <w:szCs w:val="24"/>
        </w:rPr>
      </w:pPr>
      <w:r>
        <w:rPr>
          <w:szCs w:val="24"/>
        </w:rPr>
        <w:t xml:space="preserve">The fluid nature of the IRP process </w:t>
      </w:r>
      <w:r w:rsidR="006E3854">
        <w:rPr>
          <w:szCs w:val="24"/>
        </w:rPr>
        <w:t>is noteworthy</w:t>
      </w:r>
      <w:r w:rsidR="00D403D9">
        <w:rPr>
          <w:szCs w:val="24"/>
        </w:rPr>
        <w:t xml:space="preserve"> </w:t>
      </w:r>
      <w:r>
        <w:rPr>
          <w:szCs w:val="24"/>
        </w:rPr>
        <w:t xml:space="preserve">to Public Counsel in review of the 2015 IRP, </w:t>
      </w:r>
      <w:r w:rsidR="00D403D9">
        <w:rPr>
          <w:szCs w:val="24"/>
        </w:rPr>
        <w:t>particularly</w:t>
      </w:r>
      <w:r>
        <w:rPr>
          <w:szCs w:val="24"/>
        </w:rPr>
        <w:t xml:space="preserve"> in light of the Company’s emphasis on “action plans” over “resource plans”</w:t>
      </w:r>
      <w:r w:rsidR="00D403D9">
        <w:rPr>
          <w:szCs w:val="24"/>
        </w:rPr>
        <w:t xml:space="preserve"> in this iteration</w:t>
      </w:r>
      <w:r w:rsidR="007F72FD">
        <w:rPr>
          <w:spacing w:val="-3"/>
        </w:rPr>
        <w:t>.</w:t>
      </w:r>
      <w:r w:rsidR="00AF3DA2">
        <w:rPr>
          <w:rStyle w:val="FootnoteReference"/>
          <w:spacing w:val="-3"/>
        </w:rPr>
        <w:footnoteReference w:id="2"/>
      </w:r>
      <w:r w:rsidR="00AF3DA2">
        <w:rPr>
          <w:spacing w:val="-3"/>
        </w:rPr>
        <w:t xml:space="preserve"> </w:t>
      </w:r>
      <w:r w:rsidR="00D403D9">
        <w:rPr>
          <w:szCs w:val="24"/>
        </w:rPr>
        <w:t xml:space="preserve"> </w:t>
      </w:r>
      <w:r w:rsidR="00913D3D">
        <w:rPr>
          <w:spacing w:val="-3"/>
        </w:rPr>
        <w:t>Public Counsel</w:t>
      </w:r>
      <w:r w:rsidR="00AF3DA2">
        <w:rPr>
          <w:spacing w:val="-3"/>
        </w:rPr>
        <w:t>’s comments on the IRP</w:t>
      </w:r>
      <w:r w:rsidRPr="00FC054D">
        <w:rPr>
          <w:szCs w:val="24"/>
        </w:rPr>
        <w:t xml:space="preserve"> are not intended to provide a comprehensive review of all issues in the IRP, </w:t>
      </w:r>
      <w:r w:rsidR="00D403D9">
        <w:rPr>
          <w:szCs w:val="24"/>
        </w:rPr>
        <w:t xml:space="preserve">rather, </w:t>
      </w:r>
      <w:r w:rsidR="00890EA3">
        <w:rPr>
          <w:szCs w:val="24"/>
        </w:rPr>
        <w:t>they serve to</w:t>
      </w:r>
      <w:r w:rsidR="00D403D9">
        <w:rPr>
          <w:szCs w:val="24"/>
        </w:rPr>
        <w:t xml:space="preserve"> highlight </w:t>
      </w:r>
      <w:r w:rsidR="00DA03A8">
        <w:rPr>
          <w:szCs w:val="24"/>
        </w:rPr>
        <w:t>several</w:t>
      </w:r>
      <w:r w:rsidR="00F46D1F">
        <w:rPr>
          <w:szCs w:val="24"/>
        </w:rPr>
        <w:t xml:space="preserve"> specific</w:t>
      </w:r>
      <w:r w:rsidRPr="00FC054D">
        <w:rPr>
          <w:szCs w:val="24"/>
        </w:rPr>
        <w:t xml:space="preserve"> areas of concern and/</w:t>
      </w:r>
      <w:r w:rsidR="00890EA3">
        <w:rPr>
          <w:szCs w:val="24"/>
        </w:rPr>
        <w:t>or interest that PSE should incorporate in its ongoing review of issues</w:t>
      </w:r>
      <w:r w:rsidR="006E3854">
        <w:rPr>
          <w:szCs w:val="24"/>
        </w:rPr>
        <w:t xml:space="preserve">, and </w:t>
      </w:r>
      <w:r w:rsidR="00890EA3">
        <w:rPr>
          <w:szCs w:val="24"/>
        </w:rPr>
        <w:t xml:space="preserve">as a part of its action plans and </w:t>
      </w:r>
      <w:r w:rsidRPr="00FC054D">
        <w:rPr>
          <w:szCs w:val="24"/>
        </w:rPr>
        <w:t>continue</w:t>
      </w:r>
      <w:r w:rsidR="00890EA3">
        <w:rPr>
          <w:szCs w:val="24"/>
        </w:rPr>
        <w:t>d</w:t>
      </w:r>
      <w:r w:rsidR="00D403D9">
        <w:rPr>
          <w:szCs w:val="24"/>
        </w:rPr>
        <w:t xml:space="preserve"> evaluation for the 2017 IRP.</w:t>
      </w:r>
      <w:r w:rsidR="00D403D9">
        <w:rPr>
          <w:rStyle w:val="FootnoteReference"/>
          <w:szCs w:val="24"/>
        </w:rPr>
        <w:footnoteReference w:id="3"/>
      </w:r>
    </w:p>
    <w:p w:rsidR="009F6ECC" w:rsidRPr="00FA496B" w:rsidRDefault="0037651F" w:rsidP="00FA496B">
      <w:pPr>
        <w:pStyle w:val="Heading2"/>
      </w:pPr>
      <w:r w:rsidRPr="00A95F4C">
        <w:t>Issues.</w:t>
      </w:r>
    </w:p>
    <w:p w:rsidR="00F3200A" w:rsidRDefault="007307BA" w:rsidP="00FA496B">
      <w:pPr>
        <w:pStyle w:val="Heading3"/>
      </w:pPr>
      <w:r>
        <w:t>New Planning Standard</w:t>
      </w:r>
      <w:r w:rsidR="00FA496B">
        <w:t>.</w:t>
      </w:r>
    </w:p>
    <w:p w:rsidR="00890EA3" w:rsidRDefault="00890EA3" w:rsidP="005209B7">
      <w:pPr>
        <w:pStyle w:val="ListParagraph"/>
        <w:ind w:left="1440"/>
        <w:contextualSpacing w:val="0"/>
        <w:rPr>
          <w:b/>
          <w:bCs/>
        </w:rPr>
      </w:pPr>
    </w:p>
    <w:p w:rsidR="000F2D4E" w:rsidRDefault="00890EA3" w:rsidP="005209B7">
      <w:pPr>
        <w:spacing w:after="160" w:line="240" w:lineRule="auto"/>
        <w:rPr>
          <w:szCs w:val="24"/>
        </w:rPr>
      </w:pPr>
      <w:r>
        <w:rPr>
          <w:szCs w:val="24"/>
        </w:rPr>
        <w:t xml:space="preserve">In the 2015 IRP, PSE incorporates a </w:t>
      </w:r>
      <w:r w:rsidR="00227EB7">
        <w:rPr>
          <w:szCs w:val="24"/>
        </w:rPr>
        <w:t>new planning standard, from a five percent</w:t>
      </w:r>
      <w:r>
        <w:rPr>
          <w:szCs w:val="24"/>
        </w:rPr>
        <w:t xml:space="preserve"> loss of load probability (LOLP) to an analysis associated</w:t>
      </w:r>
      <w:r w:rsidR="000F2D4E">
        <w:rPr>
          <w:szCs w:val="24"/>
        </w:rPr>
        <w:t xml:space="preserve"> with </w:t>
      </w:r>
      <w:r w:rsidR="007721DA">
        <w:rPr>
          <w:szCs w:val="24"/>
        </w:rPr>
        <w:t>Customer Value of Lost Load (VOLL)</w:t>
      </w:r>
      <w:r w:rsidR="000F2D4E">
        <w:rPr>
          <w:szCs w:val="24"/>
        </w:rPr>
        <w:t>.</w:t>
      </w:r>
      <w:r w:rsidR="006E3854" w:rsidRPr="006E3854">
        <w:rPr>
          <w:rStyle w:val="FootnoteReference"/>
          <w:szCs w:val="24"/>
        </w:rPr>
        <w:t xml:space="preserve"> </w:t>
      </w:r>
      <w:r w:rsidR="006E3854">
        <w:rPr>
          <w:rStyle w:val="FootnoteReference"/>
          <w:szCs w:val="24"/>
        </w:rPr>
        <w:footnoteReference w:id="4"/>
      </w:r>
      <w:r w:rsidR="00227EB7">
        <w:rPr>
          <w:szCs w:val="24"/>
        </w:rPr>
        <w:t xml:space="preserve"> </w:t>
      </w:r>
      <w:r w:rsidR="00BC5C31">
        <w:rPr>
          <w:szCs w:val="24"/>
        </w:rPr>
        <w:t xml:space="preserve">In using the new standard, PSE would </w:t>
      </w:r>
      <w:r w:rsidR="000F2D4E">
        <w:rPr>
          <w:szCs w:val="24"/>
        </w:rPr>
        <w:t>add capacity to its system</w:t>
      </w:r>
      <w:r w:rsidR="00E26E59">
        <w:rPr>
          <w:szCs w:val="24"/>
        </w:rPr>
        <w:t xml:space="preserve"> </w:t>
      </w:r>
      <w:r w:rsidR="00BC5C31">
        <w:rPr>
          <w:szCs w:val="24"/>
        </w:rPr>
        <w:t xml:space="preserve">at least two years earlier </w:t>
      </w:r>
      <w:r w:rsidR="000F2D4E">
        <w:rPr>
          <w:szCs w:val="24"/>
        </w:rPr>
        <w:t>to reduce “risk</w:t>
      </w:r>
      <w:r w:rsidR="006E3854">
        <w:rPr>
          <w:szCs w:val="24"/>
        </w:rPr>
        <w:t>,</w:t>
      </w:r>
      <w:r w:rsidR="000F2D4E">
        <w:rPr>
          <w:szCs w:val="24"/>
        </w:rPr>
        <w:t xml:space="preserve">” not to meet </w:t>
      </w:r>
      <w:r w:rsidR="006E3854">
        <w:rPr>
          <w:szCs w:val="24"/>
        </w:rPr>
        <w:t>load.</w:t>
      </w:r>
    </w:p>
    <w:p w:rsidR="000F2D4E" w:rsidRDefault="000F2D4E" w:rsidP="005209B7">
      <w:pPr>
        <w:spacing w:after="160" w:line="240" w:lineRule="auto"/>
        <w:rPr>
          <w:szCs w:val="24"/>
        </w:rPr>
      </w:pPr>
      <w:r>
        <w:rPr>
          <w:szCs w:val="24"/>
        </w:rPr>
        <w:t xml:space="preserve">Public Counsel is uncertain what problem PSE is attempting to solve with this new metric. </w:t>
      </w:r>
      <w:r w:rsidR="00227EB7">
        <w:rPr>
          <w:szCs w:val="24"/>
        </w:rPr>
        <w:t xml:space="preserve"> </w:t>
      </w:r>
      <w:r w:rsidR="001D0BD2">
        <w:rPr>
          <w:szCs w:val="24"/>
        </w:rPr>
        <w:t>PSE did not present adequate information in the IRPAG or in the</w:t>
      </w:r>
      <w:r>
        <w:rPr>
          <w:szCs w:val="24"/>
        </w:rPr>
        <w:t xml:space="preserve"> IRP that the previous </w:t>
      </w:r>
      <w:r w:rsidR="00227EB7">
        <w:rPr>
          <w:szCs w:val="24"/>
        </w:rPr>
        <w:t>five percent</w:t>
      </w:r>
      <w:r w:rsidR="001D0BD2">
        <w:rPr>
          <w:szCs w:val="24"/>
        </w:rPr>
        <w:t xml:space="preserve"> LOLP </w:t>
      </w:r>
      <w:r>
        <w:rPr>
          <w:szCs w:val="24"/>
        </w:rPr>
        <w:t>standard, which PSE states is “a reasonable, industry-standard approach</w:t>
      </w:r>
      <w:r w:rsidR="006E3854">
        <w:rPr>
          <w:szCs w:val="24"/>
        </w:rPr>
        <w:t>,</w:t>
      </w:r>
      <w:r>
        <w:rPr>
          <w:szCs w:val="24"/>
        </w:rPr>
        <w:t>”</w:t>
      </w:r>
      <w:r>
        <w:rPr>
          <w:rStyle w:val="FootnoteReference"/>
          <w:szCs w:val="24"/>
        </w:rPr>
        <w:footnoteReference w:id="5"/>
      </w:r>
      <w:r w:rsidR="001D0BD2">
        <w:rPr>
          <w:szCs w:val="24"/>
        </w:rPr>
        <w:t xml:space="preserve"> is problematic. </w:t>
      </w:r>
      <w:r w:rsidR="004C29C7">
        <w:rPr>
          <w:szCs w:val="24"/>
        </w:rPr>
        <w:t xml:space="preserve"> PSE </w:t>
      </w:r>
      <w:r w:rsidR="001D0BD2">
        <w:rPr>
          <w:szCs w:val="24"/>
        </w:rPr>
        <w:t xml:space="preserve">only explains that </w:t>
      </w:r>
      <w:r w:rsidR="004C29C7">
        <w:rPr>
          <w:szCs w:val="24"/>
        </w:rPr>
        <w:t>LOLP “does not explicitly consider the value of reliability to customers or the cost to provide that reliability.”</w:t>
      </w:r>
      <w:r w:rsidR="004C29C7">
        <w:rPr>
          <w:rStyle w:val="FootnoteReference"/>
          <w:szCs w:val="24"/>
        </w:rPr>
        <w:footnoteReference w:id="6"/>
      </w:r>
      <w:r w:rsidR="004C29C7">
        <w:rPr>
          <w:szCs w:val="24"/>
        </w:rPr>
        <w:t xml:space="preserve"> </w:t>
      </w:r>
      <w:r w:rsidR="00227EB7">
        <w:rPr>
          <w:szCs w:val="24"/>
        </w:rPr>
        <w:t xml:space="preserve"> </w:t>
      </w:r>
      <w:r w:rsidR="006E3854">
        <w:rPr>
          <w:szCs w:val="24"/>
        </w:rPr>
        <w:t xml:space="preserve">But, </w:t>
      </w:r>
      <w:r w:rsidR="004C29C7">
        <w:rPr>
          <w:szCs w:val="24"/>
        </w:rPr>
        <w:t xml:space="preserve">it is </w:t>
      </w:r>
      <w:r w:rsidR="002101F3">
        <w:rPr>
          <w:szCs w:val="24"/>
        </w:rPr>
        <w:t xml:space="preserve">not clear that PSE’s </w:t>
      </w:r>
      <w:r w:rsidR="006E3854">
        <w:rPr>
          <w:szCs w:val="24"/>
        </w:rPr>
        <w:t>use of</w:t>
      </w:r>
      <w:r w:rsidR="002101F3">
        <w:rPr>
          <w:szCs w:val="24"/>
        </w:rPr>
        <w:t xml:space="preserve"> </w:t>
      </w:r>
      <w:r w:rsidR="006E3854">
        <w:rPr>
          <w:szCs w:val="24"/>
        </w:rPr>
        <w:t>VOLL</w:t>
      </w:r>
      <w:r w:rsidR="004C29C7">
        <w:rPr>
          <w:szCs w:val="24"/>
        </w:rPr>
        <w:t xml:space="preserve"> is the corr</w:t>
      </w:r>
      <w:r w:rsidR="001D0BD2">
        <w:rPr>
          <w:szCs w:val="24"/>
        </w:rPr>
        <w:t xml:space="preserve">ect </w:t>
      </w:r>
      <w:r w:rsidR="002101F3">
        <w:rPr>
          <w:szCs w:val="24"/>
        </w:rPr>
        <w:t xml:space="preserve">and reasonable </w:t>
      </w:r>
      <w:r w:rsidR="001D0BD2">
        <w:rPr>
          <w:szCs w:val="24"/>
        </w:rPr>
        <w:t>measure by which to assess</w:t>
      </w:r>
      <w:r w:rsidR="006E3854">
        <w:rPr>
          <w:szCs w:val="24"/>
        </w:rPr>
        <w:t xml:space="preserve"> </w:t>
      </w:r>
      <w:r w:rsidR="00BC3E24">
        <w:rPr>
          <w:szCs w:val="24"/>
        </w:rPr>
        <w:t>reliability</w:t>
      </w:r>
      <w:r w:rsidR="006E3854">
        <w:rPr>
          <w:szCs w:val="24"/>
        </w:rPr>
        <w:t xml:space="preserve"> standards</w:t>
      </w:r>
      <w:r w:rsidR="00BC3E24">
        <w:rPr>
          <w:szCs w:val="24"/>
        </w:rPr>
        <w:t>, particularly for power supply.</w:t>
      </w:r>
    </w:p>
    <w:p w:rsidR="00E26E59" w:rsidRDefault="007307BA" w:rsidP="005209B7">
      <w:pPr>
        <w:spacing w:after="160" w:line="240" w:lineRule="auto"/>
        <w:rPr>
          <w:szCs w:val="24"/>
        </w:rPr>
      </w:pPr>
      <w:r w:rsidRPr="001D0BD2">
        <w:rPr>
          <w:szCs w:val="24"/>
        </w:rPr>
        <w:t xml:space="preserve">If PSE is interested in changing </w:t>
      </w:r>
      <w:r w:rsidR="001D0BD2">
        <w:rPr>
          <w:szCs w:val="24"/>
        </w:rPr>
        <w:t>the planning stan</w:t>
      </w:r>
      <w:r w:rsidR="00227EB7">
        <w:rPr>
          <w:szCs w:val="24"/>
        </w:rPr>
        <w:t>dard from the regional standard of five percent</w:t>
      </w:r>
      <w:r w:rsidR="001D0BD2">
        <w:rPr>
          <w:szCs w:val="24"/>
        </w:rPr>
        <w:t xml:space="preserve"> LOLP</w:t>
      </w:r>
      <w:r w:rsidRPr="001D0BD2">
        <w:rPr>
          <w:szCs w:val="24"/>
        </w:rPr>
        <w:t>,</w:t>
      </w:r>
      <w:r w:rsidR="001D0BD2">
        <w:rPr>
          <w:szCs w:val="24"/>
        </w:rPr>
        <w:t xml:space="preserve"> </w:t>
      </w:r>
      <w:r w:rsidR="002101F3">
        <w:rPr>
          <w:szCs w:val="24"/>
        </w:rPr>
        <w:t xml:space="preserve">the Company </w:t>
      </w:r>
      <w:r w:rsidR="001D0BD2">
        <w:rPr>
          <w:szCs w:val="24"/>
        </w:rPr>
        <w:t>will need to provide additional information about why there is a pr</w:t>
      </w:r>
      <w:r w:rsidR="007721DA">
        <w:rPr>
          <w:szCs w:val="24"/>
        </w:rPr>
        <w:t>oblem with the current standard and</w:t>
      </w:r>
      <w:r w:rsidR="001D0BD2">
        <w:rPr>
          <w:szCs w:val="24"/>
        </w:rPr>
        <w:t xml:space="preserve"> why this change is necessary</w:t>
      </w:r>
      <w:r w:rsidR="00E26E59">
        <w:rPr>
          <w:szCs w:val="24"/>
        </w:rPr>
        <w:t xml:space="preserve">. </w:t>
      </w:r>
      <w:r w:rsidR="00227EB7">
        <w:rPr>
          <w:szCs w:val="24"/>
        </w:rPr>
        <w:t xml:space="preserve"> </w:t>
      </w:r>
      <w:r w:rsidR="00E26E59">
        <w:rPr>
          <w:szCs w:val="24"/>
        </w:rPr>
        <w:t>Considering that PSE does not provide any information indicating that LOLP has been a problem or resulted in negative outcomes since its adoption, or that there are specific reasons that LOLP will be riskier in the future, at this time, this simply appears to be a more expensive option for ratepayers without clear benefits</w:t>
      </w:r>
      <w:r w:rsidR="001D0BD2">
        <w:rPr>
          <w:szCs w:val="24"/>
        </w:rPr>
        <w:t xml:space="preserve">. </w:t>
      </w:r>
    </w:p>
    <w:p w:rsidR="007307BA" w:rsidRPr="00FA496B" w:rsidRDefault="00741A8D" w:rsidP="00FA496B">
      <w:pPr>
        <w:spacing w:after="160" w:line="240" w:lineRule="auto"/>
        <w:rPr>
          <w:szCs w:val="24"/>
        </w:rPr>
      </w:pPr>
      <w:r>
        <w:rPr>
          <w:szCs w:val="24"/>
        </w:rPr>
        <w:t>Furthermore,</w:t>
      </w:r>
      <w:r w:rsidR="001D0BD2">
        <w:rPr>
          <w:szCs w:val="24"/>
        </w:rPr>
        <w:t xml:space="preserve"> Public Counsel believes that </w:t>
      </w:r>
      <w:r w:rsidR="00E26E59">
        <w:rPr>
          <w:szCs w:val="24"/>
        </w:rPr>
        <w:t>IRPAG members, other interested stakeholders,</w:t>
      </w:r>
      <w:r w:rsidR="001D0BD2">
        <w:rPr>
          <w:szCs w:val="24"/>
        </w:rPr>
        <w:t xml:space="preserve"> and </w:t>
      </w:r>
      <w:r w:rsidR="007307BA" w:rsidRPr="001D0BD2">
        <w:rPr>
          <w:szCs w:val="24"/>
        </w:rPr>
        <w:t xml:space="preserve">the Commission </w:t>
      </w:r>
      <w:r w:rsidR="001D0BD2">
        <w:rPr>
          <w:szCs w:val="24"/>
        </w:rPr>
        <w:t>would benefit from a wider discussion of this issue w</w:t>
      </w:r>
      <w:r w:rsidR="007307BA" w:rsidRPr="001D0BD2">
        <w:rPr>
          <w:szCs w:val="24"/>
        </w:rPr>
        <w:t>ith regional stakeholders</w:t>
      </w:r>
      <w:r w:rsidR="00E26E59">
        <w:rPr>
          <w:szCs w:val="24"/>
        </w:rPr>
        <w:t xml:space="preserve">, </w:t>
      </w:r>
      <w:r w:rsidR="00E26E59">
        <w:rPr>
          <w:szCs w:val="24"/>
        </w:rPr>
        <w:lastRenderedPageBreak/>
        <w:t>if PSE wishes to pursue it further</w:t>
      </w:r>
      <w:r w:rsidR="007307BA" w:rsidRPr="001D0BD2">
        <w:rPr>
          <w:szCs w:val="24"/>
        </w:rPr>
        <w:t xml:space="preserve">. </w:t>
      </w:r>
      <w:r w:rsidR="00227EB7">
        <w:rPr>
          <w:szCs w:val="24"/>
        </w:rPr>
        <w:t xml:space="preserve"> </w:t>
      </w:r>
      <w:r w:rsidR="007307BA" w:rsidRPr="001D0BD2">
        <w:rPr>
          <w:szCs w:val="24"/>
        </w:rPr>
        <w:t xml:space="preserve">Public Counsel is interested in hearing from </w:t>
      </w:r>
      <w:r w:rsidR="00923C41">
        <w:rPr>
          <w:szCs w:val="24"/>
        </w:rPr>
        <w:t>other</w:t>
      </w:r>
      <w:r w:rsidR="007307BA" w:rsidRPr="001D0BD2">
        <w:rPr>
          <w:szCs w:val="24"/>
        </w:rPr>
        <w:t xml:space="preserve"> parties on this impact of this assumption</w:t>
      </w:r>
      <w:r w:rsidR="00E26E59">
        <w:rPr>
          <w:szCs w:val="24"/>
        </w:rPr>
        <w:t>, as well as its reasonableness</w:t>
      </w:r>
      <w:r w:rsidR="007307BA" w:rsidRPr="001D0BD2">
        <w:rPr>
          <w:szCs w:val="24"/>
        </w:rPr>
        <w:t xml:space="preserve">. </w:t>
      </w:r>
      <w:r w:rsidR="00227EB7">
        <w:rPr>
          <w:szCs w:val="24"/>
        </w:rPr>
        <w:t xml:space="preserve"> </w:t>
      </w:r>
      <w:r w:rsidR="007307BA" w:rsidRPr="001D0BD2">
        <w:rPr>
          <w:szCs w:val="24"/>
        </w:rPr>
        <w:t xml:space="preserve">At this time </w:t>
      </w:r>
      <w:r w:rsidR="00E26E59">
        <w:rPr>
          <w:szCs w:val="24"/>
        </w:rPr>
        <w:t xml:space="preserve">Public Counsel believes that the </w:t>
      </w:r>
      <w:r w:rsidR="00923C41">
        <w:rPr>
          <w:szCs w:val="24"/>
        </w:rPr>
        <w:t>VOLL</w:t>
      </w:r>
      <w:r w:rsidR="00E26E59">
        <w:rPr>
          <w:szCs w:val="24"/>
        </w:rPr>
        <w:t xml:space="preserve"> analysis may have been</w:t>
      </w:r>
      <w:r w:rsidR="007307BA" w:rsidRPr="001D0BD2">
        <w:rPr>
          <w:szCs w:val="24"/>
        </w:rPr>
        <w:t xml:space="preserve"> an interesting exercise, however, </w:t>
      </w:r>
      <w:r w:rsidR="00E26E59">
        <w:rPr>
          <w:szCs w:val="24"/>
        </w:rPr>
        <w:t>it appears unnecessary</w:t>
      </w:r>
      <w:r w:rsidR="00923C41">
        <w:rPr>
          <w:szCs w:val="24"/>
        </w:rPr>
        <w:t xml:space="preserve"> and</w:t>
      </w:r>
      <w:r w:rsidR="007C49D0">
        <w:rPr>
          <w:szCs w:val="24"/>
        </w:rPr>
        <w:t xml:space="preserve"> costly</w:t>
      </w:r>
      <w:r w:rsidR="00923C41">
        <w:rPr>
          <w:szCs w:val="24"/>
        </w:rPr>
        <w:t xml:space="preserve">. </w:t>
      </w:r>
      <w:r w:rsidR="007307BA" w:rsidRPr="001D0BD2">
        <w:rPr>
          <w:szCs w:val="24"/>
        </w:rPr>
        <w:t xml:space="preserve">PSE should </w:t>
      </w:r>
      <w:r w:rsidR="00E26E59">
        <w:rPr>
          <w:szCs w:val="24"/>
        </w:rPr>
        <w:t>rely instead on</w:t>
      </w:r>
      <w:r w:rsidR="007307BA" w:rsidRPr="001D0BD2">
        <w:rPr>
          <w:szCs w:val="24"/>
        </w:rPr>
        <w:t xml:space="preserve"> </w:t>
      </w:r>
      <w:r w:rsidR="00923C41">
        <w:rPr>
          <w:szCs w:val="24"/>
        </w:rPr>
        <w:t xml:space="preserve">its </w:t>
      </w:r>
      <w:r w:rsidR="007307BA" w:rsidRPr="001D0BD2">
        <w:rPr>
          <w:szCs w:val="24"/>
        </w:rPr>
        <w:t>LOLP analysis</w:t>
      </w:r>
      <w:r w:rsidR="00923C41">
        <w:rPr>
          <w:szCs w:val="24"/>
        </w:rPr>
        <w:t xml:space="preserve"> (which </w:t>
      </w:r>
      <w:r w:rsidR="005E25C3">
        <w:rPr>
          <w:szCs w:val="24"/>
        </w:rPr>
        <w:t>indicate</w:t>
      </w:r>
      <w:r w:rsidR="007307BA" w:rsidRPr="001D0BD2">
        <w:rPr>
          <w:szCs w:val="24"/>
        </w:rPr>
        <w:t xml:space="preserve">s the utility doesn’t need </w:t>
      </w:r>
      <w:r w:rsidR="005E25C3">
        <w:rPr>
          <w:szCs w:val="24"/>
        </w:rPr>
        <w:t xml:space="preserve">additional generation </w:t>
      </w:r>
      <w:r w:rsidR="007307BA" w:rsidRPr="001D0BD2">
        <w:rPr>
          <w:szCs w:val="24"/>
        </w:rPr>
        <w:t>resources until 2023</w:t>
      </w:r>
      <w:r w:rsidR="00BC5C31">
        <w:rPr>
          <w:szCs w:val="24"/>
        </w:rPr>
        <w:t>,</w:t>
      </w:r>
      <w:r w:rsidR="0029244B">
        <w:rPr>
          <w:szCs w:val="24"/>
        </w:rPr>
        <w:t xml:space="preserve"> or </w:t>
      </w:r>
      <w:r w:rsidR="00BC5C31">
        <w:rPr>
          <w:szCs w:val="24"/>
        </w:rPr>
        <w:t xml:space="preserve">possibly </w:t>
      </w:r>
      <w:r w:rsidR="0029244B">
        <w:rPr>
          <w:szCs w:val="24"/>
        </w:rPr>
        <w:t>later</w:t>
      </w:r>
      <w:r w:rsidR="005E25C3">
        <w:rPr>
          <w:szCs w:val="24"/>
        </w:rPr>
        <w:t>).</w:t>
      </w:r>
      <w:r w:rsidR="0029244B">
        <w:rPr>
          <w:rStyle w:val="FootnoteReference"/>
          <w:szCs w:val="24"/>
        </w:rPr>
        <w:footnoteReference w:id="7"/>
      </w:r>
    </w:p>
    <w:p w:rsidR="007307BA" w:rsidRDefault="007C49D0" w:rsidP="00FA496B">
      <w:pPr>
        <w:pStyle w:val="Heading3"/>
      </w:pPr>
      <w:r>
        <w:t>Market Reliability A</w:t>
      </w:r>
      <w:r w:rsidR="007307BA" w:rsidRPr="007307BA">
        <w:t>ssessment</w:t>
      </w:r>
      <w:r w:rsidR="00FA496B">
        <w:t>.</w:t>
      </w:r>
    </w:p>
    <w:p w:rsidR="00FA496B" w:rsidRPr="00FA496B" w:rsidRDefault="00FA496B" w:rsidP="00FA496B"/>
    <w:p w:rsidR="007307BA" w:rsidRDefault="005E25C3" w:rsidP="005209B7">
      <w:pPr>
        <w:spacing w:after="160" w:line="240" w:lineRule="auto"/>
        <w:rPr>
          <w:szCs w:val="24"/>
        </w:rPr>
      </w:pPr>
      <w:r>
        <w:rPr>
          <w:szCs w:val="24"/>
        </w:rPr>
        <w:t xml:space="preserve">PSE also conducted a market reliability assessment as a part of this IRP, to explore risks associated with the availability of market resources to meet the </w:t>
      </w:r>
      <w:r w:rsidR="008E248A">
        <w:rPr>
          <w:szCs w:val="24"/>
        </w:rPr>
        <w:t xml:space="preserve">roughly </w:t>
      </w:r>
      <w:r>
        <w:rPr>
          <w:szCs w:val="24"/>
        </w:rPr>
        <w:t>1600</w:t>
      </w:r>
      <w:r w:rsidR="00F37F0C">
        <w:rPr>
          <w:szCs w:val="24"/>
        </w:rPr>
        <w:t xml:space="preserve"> </w:t>
      </w:r>
      <w:r>
        <w:rPr>
          <w:szCs w:val="24"/>
        </w:rPr>
        <w:t xml:space="preserve">MW </w:t>
      </w:r>
      <w:r w:rsidR="008E248A">
        <w:rPr>
          <w:szCs w:val="24"/>
        </w:rPr>
        <w:t>of resources PSE relies upon to meet its load.</w:t>
      </w:r>
      <w:r w:rsidR="007C49D0">
        <w:rPr>
          <w:rStyle w:val="FootnoteReference"/>
          <w:szCs w:val="24"/>
        </w:rPr>
        <w:footnoteReference w:id="8"/>
      </w:r>
      <w:r w:rsidR="008E248A">
        <w:rPr>
          <w:szCs w:val="24"/>
        </w:rPr>
        <w:t xml:space="preserve"> </w:t>
      </w:r>
      <w:r w:rsidR="001C67BA">
        <w:rPr>
          <w:szCs w:val="24"/>
        </w:rPr>
        <w:t xml:space="preserve"> </w:t>
      </w:r>
      <w:r w:rsidR="00923C41">
        <w:rPr>
          <w:szCs w:val="24"/>
        </w:rPr>
        <w:t>T</w:t>
      </w:r>
      <w:r w:rsidR="007307BA" w:rsidRPr="005E25C3">
        <w:rPr>
          <w:szCs w:val="24"/>
        </w:rPr>
        <w:t>his is an interesting concept that req</w:t>
      </w:r>
      <w:r w:rsidR="008E248A">
        <w:rPr>
          <w:szCs w:val="24"/>
        </w:rPr>
        <w:t>uires additional consideration, particularly to ensure that PSE is relying on the most recent studies on</w:t>
      </w:r>
      <w:r w:rsidR="00923C41">
        <w:rPr>
          <w:szCs w:val="24"/>
        </w:rPr>
        <w:t xml:space="preserve"> the availability of</w:t>
      </w:r>
      <w:r w:rsidR="008E248A">
        <w:rPr>
          <w:szCs w:val="24"/>
        </w:rPr>
        <w:t xml:space="preserve"> regional capacity.  </w:t>
      </w:r>
      <w:r w:rsidR="007C49D0">
        <w:rPr>
          <w:szCs w:val="24"/>
        </w:rPr>
        <w:t>Bec</w:t>
      </w:r>
      <w:r w:rsidR="007307BA" w:rsidRPr="005E25C3">
        <w:rPr>
          <w:szCs w:val="24"/>
        </w:rPr>
        <w:t xml:space="preserve">ause PSE does not identify the need to acquire new generation resources until </w:t>
      </w:r>
      <w:r w:rsidR="007C49D0">
        <w:rPr>
          <w:szCs w:val="24"/>
        </w:rPr>
        <w:t xml:space="preserve">at least </w:t>
      </w:r>
      <w:r w:rsidR="007307BA" w:rsidRPr="005E25C3">
        <w:rPr>
          <w:szCs w:val="24"/>
        </w:rPr>
        <w:t xml:space="preserve">2021 under the </w:t>
      </w:r>
      <w:r w:rsidR="00923C41">
        <w:rPr>
          <w:szCs w:val="24"/>
        </w:rPr>
        <w:t xml:space="preserve">VOLL </w:t>
      </w:r>
      <w:r w:rsidR="007307BA" w:rsidRPr="005E25C3">
        <w:rPr>
          <w:szCs w:val="24"/>
        </w:rPr>
        <w:t xml:space="preserve">planning standard, and </w:t>
      </w:r>
      <w:r w:rsidR="0029244B">
        <w:rPr>
          <w:szCs w:val="24"/>
        </w:rPr>
        <w:t>even later</w:t>
      </w:r>
      <w:r w:rsidR="007307BA" w:rsidRPr="005E25C3">
        <w:rPr>
          <w:szCs w:val="24"/>
        </w:rPr>
        <w:t xml:space="preserve"> under the traditional LOLP standard, there is no immediate decision that is impacted by these questions, and PSE can pursue </w:t>
      </w:r>
      <w:r w:rsidR="007C49D0">
        <w:rPr>
          <w:szCs w:val="24"/>
        </w:rPr>
        <w:t xml:space="preserve">additional analysis </w:t>
      </w:r>
      <w:r w:rsidR="007307BA" w:rsidRPr="005E25C3">
        <w:rPr>
          <w:szCs w:val="24"/>
        </w:rPr>
        <w:t>in the next IRP</w:t>
      </w:r>
      <w:r w:rsidR="007C49D0">
        <w:rPr>
          <w:szCs w:val="24"/>
        </w:rPr>
        <w:t xml:space="preserve">. </w:t>
      </w:r>
      <w:r w:rsidR="007307BA" w:rsidRPr="005E25C3">
        <w:rPr>
          <w:szCs w:val="24"/>
        </w:rPr>
        <w:t xml:space="preserve"> </w:t>
      </w:r>
    </w:p>
    <w:p w:rsidR="00DA03A8" w:rsidRPr="00DA03A8" w:rsidRDefault="00DA03A8" w:rsidP="00FA496B">
      <w:pPr>
        <w:pStyle w:val="Heading3"/>
      </w:pPr>
      <w:r w:rsidRPr="00DA03A8">
        <w:t>Colstrip.</w:t>
      </w:r>
    </w:p>
    <w:p w:rsidR="00DA03A8" w:rsidRDefault="00DA03A8" w:rsidP="00DA03A8">
      <w:pPr>
        <w:pStyle w:val="ListParagraph"/>
        <w:ind w:left="1080"/>
        <w:rPr>
          <w:b/>
          <w:bCs/>
        </w:rPr>
      </w:pPr>
    </w:p>
    <w:p w:rsidR="00DA03A8" w:rsidRDefault="00DA03A8" w:rsidP="00DA03A8">
      <w:pPr>
        <w:pStyle w:val="ListParagraph"/>
        <w:ind w:left="0"/>
      </w:pPr>
      <w:r>
        <w:t xml:space="preserve">In PSE’s July 31, 2015 petition seeking an extension of the IRP deadline, the Company stated, </w:t>
      </w:r>
    </w:p>
    <w:p w:rsidR="00DA03A8" w:rsidRDefault="00DA03A8" w:rsidP="00DA03A8">
      <w:pPr>
        <w:pStyle w:val="ListParagraph"/>
        <w:ind w:left="0"/>
      </w:pPr>
      <w:r>
        <w:t>that it would not attempt to quantify future costs or risks  associated with the Colstrip sensitivity analyses</w:t>
      </w:r>
      <w:r w:rsidR="00755FB5">
        <w:t>.</w:t>
      </w:r>
      <w:r w:rsidR="00755FB5">
        <w:rPr>
          <w:rStyle w:val="FootnoteReference"/>
        </w:rPr>
        <w:footnoteReference w:id="9"/>
      </w:r>
      <w:r>
        <w:t xml:space="preserve"> </w:t>
      </w:r>
      <w:r w:rsidR="001C67BA">
        <w:t xml:space="preserve"> </w:t>
      </w:r>
      <w:r w:rsidR="00755FB5">
        <w:t xml:space="preserve">This was </w:t>
      </w:r>
      <w:r>
        <w:t>noteworthy considering that PSE provided initial analysis results, including portfolio cost estimates to the IRPAG at the May 19, 2015 IRP meeting.</w:t>
      </w:r>
      <w:r>
        <w:rPr>
          <w:rStyle w:val="FootnoteReference"/>
        </w:rPr>
        <w:footnoteReference w:id="10"/>
      </w:r>
      <w:r>
        <w:t xml:space="preserve"> </w:t>
      </w:r>
      <w:r w:rsidR="001C67BA">
        <w:t xml:space="preserve"> </w:t>
      </w:r>
      <w:r w:rsidR="007721DA">
        <w:t>In addition, the expected portfolio costs for all other sensitivity analyses can b</w:t>
      </w:r>
      <w:r w:rsidR="001C67BA">
        <w:t>e found in Appendix N, Figure N</w:t>
      </w:r>
      <w:r w:rsidR="001C67BA">
        <w:noBreakHyphen/>
      </w:r>
      <w:r w:rsidR="007721DA">
        <w:t>33.</w:t>
      </w:r>
    </w:p>
    <w:p w:rsidR="00DA03A8" w:rsidRDefault="00DA03A8" w:rsidP="00DA03A8">
      <w:pPr>
        <w:pStyle w:val="ListParagraph"/>
        <w:ind w:left="0"/>
      </w:pPr>
    </w:p>
    <w:p w:rsidR="00DA03A8" w:rsidRDefault="00DA03A8" w:rsidP="00DA03A8">
      <w:pPr>
        <w:pStyle w:val="ListParagraph"/>
        <w:ind w:left="0"/>
        <w:rPr>
          <w:szCs w:val="24"/>
        </w:rPr>
      </w:pPr>
      <w:r>
        <w:rPr>
          <w:szCs w:val="24"/>
        </w:rPr>
        <w:t>Public Counsel understands that providing information regarding Colstrip in the IRP can create confusion because the Colstrip sensitivities, as considered in the</w:t>
      </w:r>
      <w:r w:rsidR="001C67BA">
        <w:rPr>
          <w:szCs w:val="24"/>
        </w:rPr>
        <w:t xml:space="preserve"> IRP do not allow for an apples</w:t>
      </w:r>
      <w:r w:rsidR="001C67BA">
        <w:rPr>
          <w:szCs w:val="24"/>
        </w:rPr>
        <w:noBreakHyphen/>
      </w:r>
      <w:r>
        <w:rPr>
          <w:szCs w:val="24"/>
        </w:rPr>
        <w:t>to-apples comparison of some of the recent legislative proposals, and the sensitivity analysis generally does not take into consideration all of the costs that would need to be considered in a decision regarding the ongoing operation of the Colstrip Generating station.</w:t>
      </w:r>
      <w:r w:rsidR="001C67BA">
        <w:rPr>
          <w:szCs w:val="24"/>
        </w:rPr>
        <w:t xml:space="preserve"> </w:t>
      </w:r>
      <w:r>
        <w:rPr>
          <w:szCs w:val="24"/>
        </w:rPr>
        <w:t xml:space="preserve"> </w:t>
      </w:r>
      <w:r w:rsidR="00923C41">
        <w:rPr>
          <w:szCs w:val="24"/>
        </w:rPr>
        <w:t>The</w:t>
      </w:r>
      <w:r>
        <w:rPr>
          <w:szCs w:val="24"/>
        </w:rPr>
        <w:t xml:space="preserve"> Commission’s comments accompanying its acknowledge</w:t>
      </w:r>
      <w:r w:rsidR="00923C41">
        <w:rPr>
          <w:szCs w:val="24"/>
        </w:rPr>
        <w:t xml:space="preserve">ment letter for PSE’s 2013 IRP </w:t>
      </w:r>
      <w:r>
        <w:rPr>
          <w:szCs w:val="24"/>
        </w:rPr>
        <w:t xml:space="preserve">stated that it expected that “any further Commission deliberations, and decisions, on the economic viability of the continued operation of the Colstrip plant” would be made in the context of a </w:t>
      </w:r>
      <w:r>
        <w:rPr>
          <w:szCs w:val="24"/>
        </w:rPr>
        <w:lastRenderedPageBreak/>
        <w:t>separate Colstrip Proceeding,</w:t>
      </w:r>
      <w:r>
        <w:rPr>
          <w:rStyle w:val="FootnoteReference"/>
          <w:szCs w:val="24"/>
        </w:rPr>
        <w:footnoteReference w:id="11"/>
      </w:r>
      <w:r>
        <w:rPr>
          <w:szCs w:val="24"/>
        </w:rPr>
        <w:t xml:space="preserve"> but not in the context of PSE’s IRP. </w:t>
      </w:r>
      <w:r w:rsidR="001C67BA">
        <w:rPr>
          <w:szCs w:val="24"/>
        </w:rPr>
        <w:t xml:space="preserve"> </w:t>
      </w:r>
      <w:r>
        <w:rPr>
          <w:szCs w:val="24"/>
        </w:rPr>
        <w:t xml:space="preserve">Public Counsel was involved in the Commission’s investigation regarding </w:t>
      </w:r>
      <w:r w:rsidR="00226835">
        <w:rPr>
          <w:szCs w:val="24"/>
        </w:rPr>
        <w:t xml:space="preserve">the decommissioning and remediation costs associated with </w:t>
      </w:r>
      <w:r>
        <w:rPr>
          <w:szCs w:val="24"/>
        </w:rPr>
        <w:t>Units 1</w:t>
      </w:r>
      <w:r w:rsidR="001C67BA">
        <w:rPr>
          <w:szCs w:val="24"/>
        </w:rPr>
        <w:t xml:space="preserve"> </w:t>
      </w:r>
      <w:r w:rsidR="00923C41">
        <w:rPr>
          <w:szCs w:val="24"/>
        </w:rPr>
        <w:t>and</w:t>
      </w:r>
      <w:r w:rsidR="001C67BA">
        <w:rPr>
          <w:szCs w:val="24"/>
        </w:rPr>
        <w:t xml:space="preserve"> </w:t>
      </w:r>
      <w:r>
        <w:rPr>
          <w:szCs w:val="24"/>
        </w:rPr>
        <w:t xml:space="preserve">2, and has encouraged the Commission to </w:t>
      </w:r>
      <w:r w:rsidR="00226835">
        <w:rPr>
          <w:szCs w:val="24"/>
        </w:rPr>
        <w:t>seek additional information and analysis on those issues</w:t>
      </w:r>
      <w:r>
        <w:rPr>
          <w:szCs w:val="24"/>
        </w:rPr>
        <w:t>.</w:t>
      </w:r>
      <w:r>
        <w:rPr>
          <w:rStyle w:val="FootnoteReference"/>
          <w:szCs w:val="24"/>
        </w:rPr>
        <w:footnoteReference w:id="12"/>
      </w:r>
    </w:p>
    <w:p w:rsidR="00DA03A8" w:rsidRDefault="00DA03A8" w:rsidP="00DA03A8">
      <w:pPr>
        <w:pStyle w:val="ListParagraph"/>
        <w:ind w:left="0"/>
        <w:rPr>
          <w:szCs w:val="24"/>
        </w:rPr>
      </w:pPr>
    </w:p>
    <w:p w:rsidR="00DA03A8" w:rsidRPr="00FA496B" w:rsidRDefault="00DA03A8" w:rsidP="00FA496B">
      <w:pPr>
        <w:pStyle w:val="ListParagraph"/>
        <w:ind w:left="0"/>
      </w:pPr>
      <w:r>
        <w:rPr>
          <w:szCs w:val="24"/>
        </w:rPr>
        <w:t xml:space="preserve">While Public Counsel </w:t>
      </w:r>
      <w:r w:rsidR="007721DA">
        <w:rPr>
          <w:szCs w:val="24"/>
        </w:rPr>
        <w:t>is not advocating for</w:t>
      </w:r>
      <w:r>
        <w:rPr>
          <w:szCs w:val="24"/>
        </w:rPr>
        <w:t xml:space="preserve"> the Colstrip issue to be decided in the IRP, </w:t>
      </w:r>
      <w:r w:rsidR="00F37F0C">
        <w:rPr>
          <w:szCs w:val="24"/>
        </w:rPr>
        <w:t>the</w:t>
      </w:r>
      <w:r>
        <w:rPr>
          <w:szCs w:val="24"/>
        </w:rPr>
        <w:t xml:space="preserve"> statements from the Company regarding its level of </w:t>
      </w:r>
      <w:r w:rsidR="00923C41">
        <w:rPr>
          <w:szCs w:val="24"/>
        </w:rPr>
        <w:t>apprehension</w:t>
      </w:r>
      <w:r>
        <w:rPr>
          <w:szCs w:val="24"/>
        </w:rPr>
        <w:t xml:space="preserve"> about the misinterpretation of analysis in the IRP is concerning. </w:t>
      </w:r>
      <w:r w:rsidR="001C67BA">
        <w:rPr>
          <w:szCs w:val="24"/>
        </w:rPr>
        <w:t xml:space="preserve"> </w:t>
      </w:r>
      <w:r w:rsidR="00923C41">
        <w:rPr>
          <w:szCs w:val="24"/>
        </w:rPr>
        <w:t>T</w:t>
      </w:r>
      <w:r>
        <w:rPr>
          <w:szCs w:val="24"/>
        </w:rPr>
        <w:t xml:space="preserve">he Commission and stakeholders </w:t>
      </w:r>
      <w:r w:rsidR="00923C41">
        <w:rPr>
          <w:szCs w:val="24"/>
        </w:rPr>
        <w:t xml:space="preserve">should </w:t>
      </w:r>
      <w:r w:rsidR="00F87F7B">
        <w:rPr>
          <w:szCs w:val="24"/>
        </w:rPr>
        <w:t>confident they will be</w:t>
      </w:r>
      <w:r>
        <w:rPr>
          <w:szCs w:val="24"/>
        </w:rPr>
        <w:t xml:space="preserve"> able to receive </w:t>
      </w:r>
      <w:r w:rsidR="00F87F7B">
        <w:rPr>
          <w:szCs w:val="24"/>
        </w:rPr>
        <w:t xml:space="preserve">useful, </w:t>
      </w:r>
      <w:r w:rsidR="00923C41">
        <w:rPr>
          <w:szCs w:val="24"/>
        </w:rPr>
        <w:t>consistent and transparent</w:t>
      </w:r>
      <w:r>
        <w:rPr>
          <w:szCs w:val="24"/>
        </w:rPr>
        <w:t xml:space="preserve"> information </w:t>
      </w:r>
      <w:r w:rsidR="00923C41">
        <w:rPr>
          <w:szCs w:val="24"/>
        </w:rPr>
        <w:t>through</w:t>
      </w:r>
      <w:r>
        <w:rPr>
          <w:szCs w:val="24"/>
        </w:rPr>
        <w:t xml:space="preserve"> the IRP proces</w:t>
      </w:r>
      <w:r w:rsidR="00923C41">
        <w:rPr>
          <w:szCs w:val="24"/>
        </w:rPr>
        <w:t>s</w:t>
      </w:r>
      <w:r w:rsidR="00F87F7B">
        <w:rPr>
          <w:szCs w:val="24"/>
        </w:rPr>
        <w:t>, and that it is not restricted by the Company because of outside concerns</w:t>
      </w:r>
      <w:r>
        <w:rPr>
          <w:szCs w:val="24"/>
        </w:rPr>
        <w:t xml:space="preserve">. </w:t>
      </w:r>
    </w:p>
    <w:p w:rsidR="00DA03A8" w:rsidRPr="00DA03A8" w:rsidRDefault="00390A3C" w:rsidP="00FA496B">
      <w:pPr>
        <w:pStyle w:val="Heading3"/>
      </w:pPr>
      <w:r>
        <w:t xml:space="preserve">Demand Side Resources: </w:t>
      </w:r>
      <w:r w:rsidR="00FA496B">
        <w:t xml:space="preserve"> </w:t>
      </w:r>
      <w:r w:rsidR="00DA03A8" w:rsidRPr="00DA03A8">
        <w:t>Conservation and Demand Response.</w:t>
      </w:r>
    </w:p>
    <w:p w:rsidR="00DA03A8" w:rsidRPr="00913D3D" w:rsidRDefault="00DA03A8" w:rsidP="00DA03A8">
      <w:pPr>
        <w:pStyle w:val="ListParagraph"/>
        <w:ind w:left="1440"/>
        <w:rPr>
          <w:b/>
        </w:rPr>
      </w:pPr>
    </w:p>
    <w:p w:rsidR="00DA03A8" w:rsidRDefault="00DA03A8" w:rsidP="00DA03A8">
      <w:pPr>
        <w:pStyle w:val="ListParagraph"/>
        <w:ind w:left="0"/>
      </w:pPr>
      <w:r>
        <w:t>The first item on both the Electric Action Plan and the Gas</w:t>
      </w:r>
      <w:r w:rsidR="00716F1A">
        <w:t xml:space="preserve"> Sales</w:t>
      </w:r>
      <w:r>
        <w:t xml:space="preserve"> Action Plan is for the Company to acquire energy efficiency. </w:t>
      </w:r>
      <w:r w:rsidR="00390A3C">
        <w:t xml:space="preserve"> </w:t>
      </w:r>
      <w:r>
        <w:t xml:space="preserve">PSE’s Ten Year Potential and 2016-2017 Biennial Target, as derived from the 2015 IRP, were approved on </w:t>
      </w:r>
      <w:r w:rsidR="00390A3C">
        <w:t>December 17, 2015</w:t>
      </w:r>
      <w:r w:rsidR="001C67BA">
        <w:t>,</w:t>
      </w:r>
      <w:r w:rsidR="00390A3C">
        <w:rPr>
          <w:rStyle w:val="FootnoteReference"/>
        </w:rPr>
        <w:footnoteReference w:id="13"/>
      </w:r>
      <w:r>
        <w:t xml:space="preserve"> and the Company is in the process of implementing programs to meet those goals.</w:t>
      </w:r>
    </w:p>
    <w:p w:rsidR="00DA03A8" w:rsidRDefault="00DA03A8" w:rsidP="00DA03A8">
      <w:pPr>
        <w:pStyle w:val="ListParagraph"/>
        <w:ind w:left="0"/>
      </w:pPr>
    </w:p>
    <w:p w:rsidR="00B452DB" w:rsidRDefault="00DA03A8" w:rsidP="00DA03A8">
      <w:pPr>
        <w:pStyle w:val="ListParagraph"/>
        <w:ind w:left="0"/>
      </w:pPr>
      <w:r>
        <w:t xml:space="preserve">The second item on the Electric Action Plan is to acquire demand response. </w:t>
      </w:r>
      <w:r w:rsidR="001C67BA">
        <w:t xml:space="preserve"> </w:t>
      </w:r>
      <w:r>
        <w:t xml:space="preserve">PSE provides additional detail about initial assessment </w:t>
      </w:r>
      <w:r w:rsidR="00B452DB">
        <w:t>of available demand response in Chapter 6,</w:t>
      </w:r>
      <w:r w:rsidR="00B452DB">
        <w:rPr>
          <w:rStyle w:val="FootnoteReference"/>
        </w:rPr>
        <w:footnoteReference w:id="14"/>
      </w:r>
      <w:r>
        <w:t xml:space="preserve"> as well as in Appendix J, Comprehensive Assessment of Demand-Side Resource potentials. </w:t>
      </w:r>
      <w:r w:rsidR="001C67BA">
        <w:t xml:space="preserve"> </w:t>
      </w:r>
      <w:r>
        <w:t xml:space="preserve">It is Public Counsel’s understanding that the Company intends to issue an RFP for demand response in the coming months. </w:t>
      </w:r>
      <w:r w:rsidR="001C67BA">
        <w:t xml:space="preserve"> </w:t>
      </w:r>
      <w:r>
        <w:t>Public Counsel encourages the company to seek proposals for all of the categories listed</w:t>
      </w:r>
      <w:r w:rsidR="00B452DB">
        <w:t xml:space="preserve"> in Chapter 6, not just those that were selected most frequently in the Optimal DSR results liste</w:t>
      </w:r>
      <w:r w:rsidR="00390A3C">
        <w:t>d in Figure 6-29, in order to ensure that the full breadth of options is considered.</w:t>
      </w:r>
    </w:p>
    <w:p w:rsidR="00755FB5" w:rsidRPr="00755FB5" w:rsidRDefault="006A1F85" w:rsidP="00FA496B">
      <w:pPr>
        <w:pStyle w:val="Heading3"/>
      </w:pPr>
      <w:r>
        <w:t xml:space="preserve">PSE </w:t>
      </w:r>
      <w:r w:rsidR="00755FB5" w:rsidRPr="00755FB5">
        <w:t>LNG Project.</w:t>
      </w:r>
    </w:p>
    <w:p w:rsidR="00755FB5" w:rsidRDefault="00755FB5" w:rsidP="00755FB5">
      <w:pPr>
        <w:pStyle w:val="ListParagraph"/>
        <w:ind w:left="1440"/>
        <w:rPr>
          <w:b/>
        </w:rPr>
      </w:pPr>
    </w:p>
    <w:p w:rsidR="0037651F" w:rsidRDefault="00AF1917" w:rsidP="006A1F85">
      <w:pPr>
        <w:pStyle w:val="ListParagraph"/>
        <w:ind w:left="0"/>
      </w:pPr>
      <w:r>
        <w:t>The issues raised by the proposed LNG</w:t>
      </w:r>
      <w:r w:rsidR="006A1F85">
        <w:t xml:space="preserve"> project</w:t>
      </w:r>
      <w:r w:rsidR="006A1F85">
        <w:rPr>
          <w:rStyle w:val="FootnoteReference"/>
        </w:rPr>
        <w:footnoteReference w:id="15"/>
      </w:r>
      <w:r>
        <w:t xml:space="preserve"> are currently under consideration in Docket UG-151663</w:t>
      </w:r>
      <w:r w:rsidR="006A1F85">
        <w:t xml:space="preserve">. Public Counsel is actively participating in that docket. </w:t>
      </w:r>
    </w:p>
    <w:p w:rsidR="001C67BA" w:rsidRDefault="001C67BA" w:rsidP="006A1F85">
      <w:pPr>
        <w:pStyle w:val="ListParagraph"/>
        <w:ind w:left="0"/>
      </w:pPr>
    </w:p>
    <w:p w:rsidR="001C67BA" w:rsidRDefault="001C67BA" w:rsidP="006A1F85">
      <w:pPr>
        <w:pStyle w:val="ListParagraph"/>
        <w:ind w:left="0"/>
      </w:pPr>
      <w:r>
        <w:t>/ /</w:t>
      </w:r>
    </w:p>
    <w:p w:rsidR="001C67BA" w:rsidRDefault="001C67BA" w:rsidP="006A1F85">
      <w:pPr>
        <w:pStyle w:val="ListParagraph"/>
        <w:ind w:left="0"/>
      </w:pPr>
    </w:p>
    <w:p w:rsidR="001C67BA" w:rsidRDefault="001C67BA" w:rsidP="006A1F85">
      <w:pPr>
        <w:pStyle w:val="ListParagraph"/>
        <w:ind w:left="0"/>
      </w:pPr>
      <w:r>
        <w:t>/ / /</w:t>
      </w:r>
    </w:p>
    <w:p w:rsidR="001C67BA" w:rsidRDefault="001C67BA" w:rsidP="006A1F85">
      <w:pPr>
        <w:pStyle w:val="ListParagraph"/>
        <w:ind w:left="0"/>
      </w:pPr>
    </w:p>
    <w:p w:rsidR="001C67BA" w:rsidRDefault="001C67BA" w:rsidP="006A1F85">
      <w:pPr>
        <w:pStyle w:val="ListParagraph"/>
        <w:ind w:left="0"/>
      </w:pPr>
      <w:r>
        <w:t>/ / / /</w:t>
      </w:r>
    </w:p>
    <w:p w:rsidR="001C67BA" w:rsidRDefault="001C67BA" w:rsidP="006A1F85">
      <w:pPr>
        <w:pStyle w:val="ListParagraph"/>
        <w:ind w:left="0"/>
      </w:pPr>
    </w:p>
    <w:p w:rsidR="0037651F" w:rsidRDefault="009F6ECC" w:rsidP="00FA496B">
      <w:pPr>
        <w:pStyle w:val="Heading2"/>
      </w:pPr>
      <w:r>
        <w:lastRenderedPageBreak/>
        <w:t>Conclusion</w:t>
      </w:r>
    </w:p>
    <w:p w:rsidR="009F6ECC" w:rsidRPr="00B3085C" w:rsidRDefault="009F6ECC" w:rsidP="005209B7">
      <w:pPr>
        <w:pStyle w:val="ListParagraph"/>
        <w:ind w:left="1080"/>
        <w:rPr>
          <w:b/>
        </w:rPr>
      </w:pPr>
    </w:p>
    <w:p w:rsidR="009C7CDF" w:rsidRDefault="00BF0CD1" w:rsidP="005209B7">
      <w:pPr>
        <w:spacing w:line="240" w:lineRule="auto"/>
        <w:rPr>
          <w:szCs w:val="24"/>
        </w:rPr>
      </w:pPr>
      <w:r>
        <w:t>Public Counsel</w:t>
      </w:r>
      <w:r w:rsidR="009C7CDF">
        <w:t xml:space="preserve"> appreciate</w:t>
      </w:r>
      <w:r w:rsidR="0004756C">
        <w:t>s</w:t>
      </w:r>
      <w:r w:rsidR="009C7CDF">
        <w:t xml:space="preserve"> your consideration of these issues.  </w:t>
      </w:r>
      <w:r w:rsidR="00AE78B5">
        <w:t xml:space="preserve">I </w:t>
      </w:r>
      <w:r w:rsidR="00985C1C">
        <w:t>will</w:t>
      </w:r>
      <w:r w:rsidR="009C7CDF">
        <w:rPr>
          <w:szCs w:val="24"/>
        </w:rPr>
        <w:t xml:space="preserve"> attend the Commission’s </w:t>
      </w:r>
      <w:r w:rsidR="00BC3E24">
        <w:rPr>
          <w:szCs w:val="24"/>
        </w:rPr>
        <w:t>March 4</w:t>
      </w:r>
      <w:r w:rsidR="009C7CDF">
        <w:rPr>
          <w:szCs w:val="24"/>
        </w:rPr>
        <w:t>, 201</w:t>
      </w:r>
      <w:r w:rsidR="00BC3E24">
        <w:rPr>
          <w:szCs w:val="24"/>
        </w:rPr>
        <w:t xml:space="preserve">6 </w:t>
      </w:r>
      <w:r w:rsidR="009C7CDF">
        <w:rPr>
          <w:szCs w:val="24"/>
        </w:rPr>
        <w:t>Open Meeting to address any questions regarding these comments.</w:t>
      </w:r>
    </w:p>
    <w:p w:rsidR="009C7CDF" w:rsidRDefault="009C7CDF" w:rsidP="005209B7">
      <w:pPr>
        <w:spacing w:line="240" w:lineRule="auto"/>
        <w:rPr>
          <w:szCs w:val="24"/>
        </w:rPr>
      </w:pPr>
    </w:p>
    <w:p w:rsidR="009C7CDF" w:rsidRPr="004F1F5C" w:rsidRDefault="009C7CDF" w:rsidP="005209B7">
      <w:pPr>
        <w:spacing w:line="240" w:lineRule="auto"/>
        <w:rPr>
          <w:szCs w:val="24"/>
        </w:rPr>
      </w:pPr>
      <w:r w:rsidRPr="004F1F5C">
        <w:rPr>
          <w:szCs w:val="24"/>
        </w:rPr>
        <w:t>Sincerely,</w:t>
      </w:r>
    </w:p>
    <w:p w:rsidR="009C7CDF" w:rsidRDefault="009C7CDF" w:rsidP="005209B7">
      <w:pPr>
        <w:spacing w:line="240" w:lineRule="auto"/>
        <w:rPr>
          <w:szCs w:val="24"/>
        </w:rPr>
      </w:pPr>
    </w:p>
    <w:p w:rsidR="009C7CDF" w:rsidRDefault="009C7CDF" w:rsidP="005209B7">
      <w:pPr>
        <w:spacing w:line="240" w:lineRule="auto"/>
        <w:rPr>
          <w:szCs w:val="24"/>
        </w:rPr>
      </w:pPr>
    </w:p>
    <w:p w:rsidR="009C7CDF" w:rsidRDefault="009C7CDF" w:rsidP="005209B7">
      <w:pPr>
        <w:spacing w:line="240" w:lineRule="auto"/>
        <w:rPr>
          <w:szCs w:val="24"/>
        </w:rPr>
      </w:pPr>
    </w:p>
    <w:p w:rsidR="001138D3" w:rsidRDefault="001138D3" w:rsidP="005209B7">
      <w:pPr>
        <w:spacing w:line="240" w:lineRule="auto"/>
        <w:rPr>
          <w:szCs w:val="24"/>
        </w:rPr>
      </w:pPr>
    </w:p>
    <w:p w:rsidR="009C7CDF" w:rsidRDefault="00AB5DBA" w:rsidP="005209B7">
      <w:pPr>
        <w:spacing w:line="240" w:lineRule="auto"/>
        <w:rPr>
          <w:szCs w:val="24"/>
        </w:rPr>
      </w:pPr>
      <w:r>
        <w:rPr>
          <w:szCs w:val="24"/>
        </w:rPr>
        <w:t>STEFANIE JOHNSON</w:t>
      </w:r>
    </w:p>
    <w:p w:rsidR="009C7CDF" w:rsidRDefault="009C7CDF" w:rsidP="005209B7">
      <w:pPr>
        <w:spacing w:line="240" w:lineRule="auto"/>
        <w:rPr>
          <w:szCs w:val="24"/>
        </w:rPr>
      </w:pPr>
      <w:r>
        <w:rPr>
          <w:szCs w:val="24"/>
        </w:rPr>
        <w:t>Regulatory Analyst</w:t>
      </w:r>
    </w:p>
    <w:p w:rsidR="009C7CDF" w:rsidRPr="004F1F5C" w:rsidRDefault="009C7CDF" w:rsidP="005209B7">
      <w:pPr>
        <w:spacing w:line="240" w:lineRule="auto"/>
        <w:rPr>
          <w:szCs w:val="24"/>
        </w:rPr>
      </w:pPr>
      <w:r>
        <w:rPr>
          <w:szCs w:val="24"/>
        </w:rPr>
        <w:t>Public Counsel</w:t>
      </w:r>
    </w:p>
    <w:p w:rsidR="009C7CDF" w:rsidRPr="004F1F5C" w:rsidRDefault="00AB5DBA" w:rsidP="005209B7">
      <w:pPr>
        <w:spacing w:line="240" w:lineRule="auto"/>
        <w:rPr>
          <w:szCs w:val="24"/>
        </w:rPr>
      </w:pPr>
      <w:r>
        <w:rPr>
          <w:szCs w:val="24"/>
        </w:rPr>
        <w:t>(206) 389-3040</w:t>
      </w:r>
    </w:p>
    <w:p w:rsidR="009C7CDF" w:rsidRPr="004F1F5C" w:rsidRDefault="009C7CDF" w:rsidP="005209B7">
      <w:pPr>
        <w:spacing w:line="240" w:lineRule="auto"/>
        <w:rPr>
          <w:szCs w:val="24"/>
        </w:rPr>
      </w:pPr>
    </w:p>
    <w:p w:rsidR="009C7CDF" w:rsidRPr="004812EB" w:rsidRDefault="009C7CDF" w:rsidP="005209B7">
      <w:pPr>
        <w:spacing w:line="240" w:lineRule="auto"/>
        <w:rPr>
          <w:szCs w:val="24"/>
        </w:rPr>
      </w:pPr>
      <w:r w:rsidRPr="004812EB">
        <w:rPr>
          <w:szCs w:val="24"/>
        </w:rPr>
        <w:t>cc:</w:t>
      </w:r>
      <w:r w:rsidRPr="004812EB">
        <w:rPr>
          <w:szCs w:val="24"/>
        </w:rPr>
        <w:tab/>
      </w:r>
      <w:r w:rsidR="00BC3E24">
        <w:rPr>
          <w:szCs w:val="24"/>
        </w:rPr>
        <w:t>Jeremy Twitchell</w:t>
      </w:r>
      <w:r w:rsidRPr="004812EB">
        <w:rPr>
          <w:szCs w:val="24"/>
        </w:rPr>
        <w:t>, UTC Staff (E-mail)</w:t>
      </w:r>
    </w:p>
    <w:p w:rsidR="009C7CDF" w:rsidRPr="004812EB" w:rsidRDefault="009C7CDF" w:rsidP="005209B7">
      <w:pPr>
        <w:spacing w:line="240" w:lineRule="auto"/>
        <w:rPr>
          <w:szCs w:val="24"/>
        </w:rPr>
      </w:pPr>
      <w:r w:rsidRPr="004812EB">
        <w:rPr>
          <w:szCs w:val="24"/>
        </w:rPr>
        <w:tab/>
      </w:r>
      <w:r w:rsidR="004812EB" w:rsidRPr="004812EB">
        <w:rPr>
          <w:szCs w:val="24"/>
        </w:rPr>
        <w:t>Phillip Popoff, PSE (E-mail)</w:t>
      </w:r>
    </w:p>
    <w:p w:rsidR="00896091" w:rsidRDefault="00896091" w:rsidP="005209B7">
      <w:pPr>
        <w:spacing w:line="240" w:lineRule="auto"/>
        <w:ind w:firstLine="720"/>
        <w:rPr>
          <w:szCs w:val="24"/>
        </w:rPr>
      </w:pPr>
    </w:p>
    <w:p w:rsidR="00896091" w:rsidRPr="001D243E" w:rsidRDefault="00896091" w:rsidP="005209B7">
      <w:pPr>
        <w:spacing w:line="240" w:lineRule="auto"/>
        <w:ind w:firstLine="720"/>
        <w:rPr>
          <w:szCs w:val="24"/>
        </w:rPr>
      </w:pPr>
    </w:p>
    <w:sectPr w:rsidR="00896091" w:rsidRPr="001D243E" w:rsidSect="000F5C1A">
      <w:headerReference w:type="default"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A5" w:rsidRDefault="00C82AA5" w:rsidP="009C7CDF">
      <w:pPr>
        <w:spacing w:line="240" w:lineRule="auto"/>
      </w:pPr>
      <w:r>
        <w:separator/>
      </w:r>
    </w:p>
  </w:endnote>
  <w:endnote w:type="continuationSeparator" w:id="0">
    <w:p w:rsidR="00C82AA5" w:rsidRDefault="00C82AA5" w:rsidP="009C7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BB" w:rsidRDefault="004449BB">
    <w:pPr>
      <w:pStyle w:val="Footer"/>
    </w:pPr>
  </w:p>
  <w:p w:rsidR="004449BB" w:rsidRDefault="00444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A5" w:rsidRDefault="00C82AA5" w:rsidP="009C7CDF">
      <w:pPr>
        <w:spacing w:line="240" w:lineRule="auto"/>
      </w:pPr>
      <w:r>
        <w:separator/>
      </w:r>
    </w:p>
  </w:footnote>
  <w:footnote w:type="continuationSeparator" w:id="0">
    <w:p w:rsidR="00C82AA5" w:rsidRDefault="00C82AA5" w:rsidP="009C7CDF">
      <w:pPr>
        <w:spacing w:line="240" w:lineRule="auto"/>
      </w:pPr>
      <w:r>
        <w:continuationSeparator/>
      </w:r>
    </w:p>
  </w:footnote>
  <w:footnote w:id="1">
    <w:p w:rsidR="00577833" w:rsidRDefault="00577833" w:rsidP="00390A3C">
      <w:pPr>
        <w:pStyle w:val="FootnoteText"/>
        <w:ind w:firstLine="0"/>
      </w:pPr>
      <w:r>
        <w:rPr>
          <w:rStyle w:val="FootnoteReference"/>
        </w:rPr>
        <w:footnoteRef/>
      </w:r>
      <w:r>
        <w:t xml:space="preserve"> </w:t>
      </w:r>
      <w:r w:rsidR="00032884">
        <w:rPr>
          <w:szCs w:val="24"/>
        </w:rPr>
        <w:t>Additional time was required to allow for the incorporation of an updated load forecast</w:t>
      </w:r>
      <w:r w:rsidR="00032884">
        <w:t xml:space="preserve"> (</w:t>
      </w:r>
      <w:r w:rsidR="002101F3">
        <w:t xml:space="preserve">Docket UE-141170 and UG-141169, </w:t>
      </w:r>
      <w:r w:rsidR="00017B79">
        <w:t>Order 01</w:t>
      </w:r>
      <w:r>
        <w:t xml:space="preserve"> ¶</w:t>
      </w:r>
      <w:r w:rsidR="00017B79">
        <w:t xml:space="preserve"> </w:t>
      </w:r>
      <w:r w:rsidR="00032884">
        <w:t xml:space="preserve">6) </w:t>
      </w:r>
      <w:r w:rsidR="00032884">
        <w:rPr>
          <w:szCs w:val="24"/>
        </w:rPr>
        <w:t>and to update PSE’s resource adequacy analysis</w:t>
      </w:r>
      <w:r w:rsidR="00032884" w:rsidRPr="00032884">
        <w:t xml:space="preserve"> </w:t>
      </w:r>
      <w:r w:rsidR="00017B79">
        <w:t>(Order 02</w:t>
      </w:r>
      <w:r w:rsidR="00032884">
        <w:t xml:space="preserve"> ¶</w:t>
      </w:r>
      <w:r w:rsidR="00017B79">
        <w:t xml:space="preserve"> </w:t>
      </w:r>
      <w:r w:rsidR="00032884">
        <w:t>4).</w:t>
      </w:r>
    </w:p>
  </w:footnote>
  <w:footnote w:id="2">
    <w:p w:rsidR="00AF3DA2" w:rsidRPr="00D403D9" w:rsidRDefault="00AF3DA2" w:rsidP="00390A3C">
      <w:pPr>
        <w:pStyle w:val="FootnoteText"/>
        <w:ind w:firstLine="0"/>
      </w:pPr>
      <w:r>
        <w:rPr>
          <w:rStyle w:val="FootnoteReference"/>
        </w:rPr>
        <w:footnoteRef/>
      </w:r>
      <w:r w:rsidR="00D403D9">
        <w:rPr>
          <w:spacing w:val="-3"/>
        </w:rPr>
        <w:t xml:space="preserve">In previous IRPs, PSE has discussed the results of the IRP modeling using the term of “resource plan.” </w:t>
      </w:r>
      <w:r w:rsidR="001C67BA">
        <w:rPr>
          <w:spacing w:val="-3"/>
        </w:rPr>
        <w:t xml:space="preserve"> </w:t>
      </w:r>
      <w:r w:rsidR="00D403D9">
        <w:rPr>
          <w:spacing w:val="-3"/>
        </w:rPr>
        <w:t>In the 2015 IRP, in an attempt to defray possible concerns that the “resource plans” that result from the IRP modeling are the precise plan for the future, PSE has instead emphasized “Action Plans</w:t>
      </w:r>
      <w:r w:rsidR="00BC5C31">
        <w:rPr>
          <w:spacing w:val="-3"/>
        </w:rPr>
        <w:t>.</w:t>
      </w:r>
      <w:r w:rsidR="00D403D9">
        <w:rPr>
          <w:spacing w:val="-3"/>
        </w:rPr>
        <w:t>”</w:t>
      </w:r>
      <w:r w:rsidR="001C67BA">
        <w:rPr>
          <w:spacing w:val="-3"/>
        </w:rPr>
        <w:t xml:space="preserve"> </w:t>
      </w:r>
      <w:r>
        <w:t xml:space="preserve"> </w:t>
      </w:r>
      <w:r w:rsidR="00D403D9">
        <w:rPr>
          <w:spacing w:val="-3"/>
        </w:rPr>
        <w:t xml:space="preserve">PSE states, “What we learn from this forecasting exercise determines the Action Plan, and this is ‘the plan’ that PSE will execute against.” </w:t>
      </w:r>
      <w:r w:rsidR="001C67BA">
        <w:rPr>
          <w:spacing w:val="-3"/>
        </w:rPr>
        <w:t xml:space="preserve"> </w:t>
      </w:r>
      <w:r w:rsidR="00D403D9">
        <w:rPr>
          <w:i/>
          <w:spacing w:val="-3"/>
        </w:rPr>
        <w:t xml:space="preserve">See, </w:t>
      </w:r>
      <w:r w:rsidR="001C67BA">
        <w:rPr>
          <w:spacing w:val="-3"/>
        </w:rPr>
        <w:t>2015 IRP at</w:t>
      </w:r>
      <w:r w:rsidR="00D403D9">
        <w:rPr>
          <w:spacing w:val="-3"/>
        </w:rPr>
        <w:t xml:space="preserve"> 1-10.</w:t>
      </w:r>
    </w:p>
  </w:footnote>
  <w:footnote w:id="3">
    <w:p w:rsidR="00D403D9" w:rsidRDefault="00D403D9" w:rsidP="00390A3C">
      <w:pPr>
        <w:pStyle w:val="FootnoteText"/>
        <w:ind w:firstLine="0"/>
      </w:pPr>
      <w:r>
        <w:rPr>
          <w:rStyle w:val="FootnoteReference"/>
        </w:rPr>
        <w:footnoteRef/>
      </w:r>
      <w:r>
        <w:t xml:space="preserve"> PSE’s 2017 IRP is </w:t>
      </w:r>
      <w:r w:rsidRPr="00FC054D">
        <w:rPr>
          <w:szCs w:val="24"/>
        </w:rPr>
        <w:t>due July 17, 20</w:t>
      </w:r>
      <w:r w:rsidR="00F37F0C">
        <w:rPr>
          <w:szCs w:val="24"/>
        </w:rPr>
        <w:t xml:space="preserve">17. </w:t>
      </w:r>
      <w:r w:rsidR="001C67BA">
        <w:rPr>
          <w:szCs w:val="24"/>
        </w:rPr>
        <w:t xml:space="preserve"> </w:t>
      </w:r>
      <w:r w:rsidR="00F37F0C">
        <w:rPr>
          <w:i/>
          <w:szCs w:val="24"/>
        </w:rPr>
        <w:t xml:space="preserve">See, </w:t>
      </w:r>
      <w:r w:rsidRPr="00FC054D">
        <w:rPr>
          <w:szCs w:val="24"/>
        </w:rPr>
        <w:t>Dockets UG-141169, UE-141170</w:t>
      </w:r>
      <w:r w:rsidR="001C67BA">
        <w:rPr>
          <w:szCs w:val="24"/>
        </w:rPr>
        <w:t>, Order 01</w:t>
      </w:r>
      <w:r w:rsidR="00890EA3">
        <w:rPr>
          <w:szCs w:val="24"/>
        </w:rPr>
        <w:t xml:space="preserve"> ¶</w:t>
      </w:r>
      <w:r w:rsidR="001C67BA">
        <w:rPr>
          <w:szCs w:val="24"/>
        </w:rPr>
        <w:t xml:space="preserve"> </w:t>
      </w:r>
      <w:r w:rsidR="00890EA3">
        <w:rPr>
          <w:szCs w:val="24"/>
        </w:rPr>
        <w:t>16.</w:t>
      </w:r>
    </w:p>
  </w:footnote>
  <w:footnote w:id="4">
    <w:p w:rsidR="006E3854" w:rsidRDefault="006E3854" w:rsidP="006E3854">
      <w:pPr>
        <w:pStyle w:val="FootnoteText"/>
        <w:ind w:firstLine="0"/>
      </w:pPr>
      <w:r>
        <w:rPr>
          <w:rStyle w:val="FootnoteReference"/>
        </w:rPr>
        <w:footnoteRef/>
      </w:r>
      <w:r>
        <w:t xml:space="preserve"> PSE describes its VOLL measure in Appendix N: Electric Analysis, at N-41 through 42.</w:t>
      </w:r>
    </w:p>
  </w:footnote>
  <w:footnote w:id="5">
    <w:p w:rsidR="000F2D4E" w:rsidRDefault="000F2D4E" w:rsidP="00390A3C">
      <w:pPr>
        <w:pStyle w:val="FootnoteText"/>
        <w:ind w:firstLine="0"/>
      </w:pPr>
      <w:r>
        <w:rPr>
          <w:rStyle w:val="FootnoteReference"/>
        </w:rPr>
        <w:footnoteRef/>
      </w:r>
      <w:r>
        <w:t xml:space="preserve"> </w:t>
      </w:r>
      <w:r w:rsidR="00F37F0C">
        <w:t xml:space="preserve">2015 </w:t>
      </w:r>
      <w:r w:rsidR="00017B79">
        <w:t>IRP at</w:t>
      </w:r>
      <w:r>
        <w:t xml:space="preserve"> 6-5.</w:t>
      </w:r>
    </w:p>
  </w:footnote>
  <w:footnote w:id="6">
    <w:p w:rsidR="004C29C7" w:rsidRDefault="004C29C7" w:rsidP="00390A3C">
      <w:pPr>
        <w:pStyle w:val="FootnoteText"/>
        <w:ind w:firstLine="0"/>
      </w:pPr>
      <w:r>
        <w:rPr>
          <w:rStyle w:val="FootnoteReference"/>
        </w:rPr>
        <w:footnoteRef/>
      </w:r>
      <w:r>
        <w:t xml:space="preserve"> </w:t>
      </w:r>
      <w:r w:rsidR="00F37F0C">
        <w:t xml:space="preserve">2015 </w:t>
      </w:r>
      <w:r w:rsidR="00017B79">
        <w:t>IRP at</w:t>
      </w:r>
      <w:r>
        <w:t xml:space="preserve"> 6-5. </w:t>
      </w:r>
    </w:p>
  </w:footnote>
  <w:footnote w:id="7">
    <w:p w:rsidR="0029244B" w:rsidRPr="0029244B" w:rsidRDefault="0029244B" w:rsidP="00390A3C">
      <w:pPr>
        <w:pStyle w:val="FootnoteText"/>
        <w:ind w:firstLine="0"/>
      </w:pPr>
      <w:r>
        <w:rPr>
          <w:rStyle w:val="FootnoteReference"/>
        </w:rPr>
        <w:footnoteRef/>
      </w:r>
      <w:r>
        <w:t xml:space="preserve"> </w:t>
      </w:r>
      <w:r>
        <w:rPr>
          <w:i/>
        </w:rPr>
        <w:t xml:space="preserve">See, </w:t>
      </w:r>
      <w:r w:rsidR="00226835">
        <w:t xml:space="preserve">2015 IRP, </w:t>
      </w:r>
      <w:r>
        <w:t>Figure 6-7. This table shows 275MW need in 2021 under the new planning standard, vs. a 50MW need in 2023 under the 5% LOLP standard</w:t>
      </w:r>
      <w:r w:rsidR="00226835">
        <w:t>.</w:t>
      </w:r>
    </w:p>
  </w:footnote>
  <w:footnote w:id="8">
    <w:p w:rsidR="007C49D0" w:rsidRDefault="007C49D0" w:rsidP="00390A3C">
      <w:pPr>
        <w:pStyle w:val="FootnoteText"/>
        <w:ind w:firstLine="0"/>
      </w:pPr>
      <w:r>
        <w:rPr>
          <w:rStyle w:val="FootnoteReference"/>
        </w:rPr>
        <w:footnoteRef/>
      </w:r>
      <w:r>
        <w:t xml:space="preserve"> </w:t>
      </w:r>
      <w:r w:rsidR="00226835">
        <w:t xml:space="preserve">2015 </w:t>
      </w:r>
      <w:r>
        <w:t>IRP, p. 6-7.</w:t>
      </w:r>
      <w:r w:rsidR="00F37F0C">
        <w:t>`</w:t>
      </w:r>
    </w:p>
  </w:footnote>
  <w:footnote w:id="9">
    <w:p w:rsidR="00755FB5" w:rsidRDefault="00755FB5" w:rsidP="00390A3C">
      <w:pPr>
        <w:pStyle w:val="FootnoteText"/>
        <w:ind w:firstLine="0"/>
      </w:pPr>
      <w:r>
        <w:rPr>
          <w:rStyle w:val="FootnoteReference"/>
        </w:rPr>
        <w:footnoteRef/>
      </w:r>
      <w:r>
        <w:t xml:space="preserve"> Docket UE-141170 and 141169, Petition for exemption from WAC 480-100-238 and WAC 480-90-238 to modify the filing date for 2015 Integrated Resource Plan on behalf of Puget Sound Energy, filed July  31, 2015, p. 3.</w:t>
      </w:r>
    </w:p>
  </w:footnote>
  <w:footnote w:id="10">
    <w:p w:rsidR="00DA03A8" w:rsidRDefault="00DA03A8" w:rsidP="00390A3C">
      <w:pPr>
        <w:pStyle w:val="FootnoteText"/>
        <w:ind w:firstLine="0"/>
      </w:pPr>
      <w:r>
        <w:rPr>
          <w:rStyle w:val="FootnoteReference"/>
        </w:rPr>
        <w:footnoteRef/>
      </w:r>
      <w:r>
        <w:t xml:space="preserve"> See </w:t>
      </w:r>
      <w:r w:rsidR="00226835">
        <w:t xml:space="preserve">May 19, 2015 presentation at link; </w:t>
      </w:r>
      <w:r>
        <w:t xml:space="preserve">Colstrip sensitivities discussed on slides 92-103. </w:t>
      </w:r>
      <w:hyperlink r:id="rId1" w:history="1">
        <w:r w:rsidRPr="008F46DD">
          <w:rPr>
            <w:rStyle w:val="Hyperlink"/>
          </w:rPr>
          <w:t>https://www.pse.com/aboutpse/EnergySupply/Documents/IRPAG_Presentation_2015-05-19.pdf</w:t>
        </w:r>
      </w:hyperlink>
      <w:r>
        <w:t xml:space="preserve"> </w:t>
      </w:r>
      <w:r w:rsidR="00226835">
        <w:t xml:space="preserve"> Note: all of the analyses presented on May 19, 2015 relied upon the 5% LOLP planning standard, not the updated EUE.</w:t>
      </w:r>
    </w:p>
  </w:footnote>
  <w:footnote w:id="11">
    <w:p w:rsidR="00DA03A8" w:rsidRDefault="00DA03A8" w:rsidP="00390A3C">
      <w:pPr>
        <w:pStyle w:val="FootnoteText"/>
        <w:ind w:firstLine="0"/>
      </w:pPr>
      <w:r>
        <w:rPr>
          <w:rStyle w:val="FootnoteReference"/>
        </w:rPr>
        <w:footnoteRef/>
      </w:r>
      <w:r>
        <w:t xml:space="preserve"> </w:t>
      </w:r>
      <w:r w:rsidR="00226835">
        <w:t xml:space="preserve">Docket UE-120767, PSE 2013 IRP, </w:t>
      </w:r>
      <w:r>
        <w:t>Commission Acknowledgement letter, Attachment B, p. 15.</w:t>
      </w:r>
    </w:p>
  </w:footnote>
  <w:footnote w:id="12">
    <w:p w:rsidR="00DA03A8" w:rsidRDefault="00DA03A8" w:rsidP="00390A3C">
      <w:pPr>
        <w:pStyle w:val="FootnoteText"/>
        <w:ind w:firstLine="0"/>
      </w:pPr>
      <w:r>
        <w:rPr>
          <w:rStyle w:val="FootnoteReference"/>
        </w:rPr>
        <w:footnoteRef/>
      </w:r>
      <w:r>
        <w:t xml:space="preserve"> </w:t>
      </w:r>
      <w:r w:rsidR="00390A3C">
        <w:t xml:space="preserve">Docket UE-1515, Second Comments of Public Counsel, </w:t>
      </w:r>
      <w:r w:rsidR="00226835">
        <w:t>filed December 30, 2015.</w:t>
      </w:r>
    </w:p>
  </w:footnote>
  <w:footnote w:id="13">
    <w:p w:rsidR="00390A3C" w:rsidRDefault="00390A3C" w:rsidP="00390A3C">
      <w:pPr>
        <w:pStyle w:val="FootnoteText"/>
        <w:ind w:firstLine="0"/>
      </w:pPr>
      <w:r>
        <w:rPr>
          <w:rStyle w:val="FootnoteReference"/>
        </w:rPr>
        <w:footnoteRef/>
      </w:r>
      <w:r>
        <w:t xml:space="preserve"> Docket UE-152058, Order 01.</w:t>
      </w:r>
    </w:p>
  </w:footnote>
  <w:footnote w:id="14">
    <w:p w:rsidR="00B452DB" w:rsidRDefault="00B452DB" w:rsidP="00390A3C">
      <w:pPr>
        <w:pStyle w:val="FootnoteText"/>
        <w:ind w:firstLine="0"/>
      </w:pPr>
      <w:r>
        <w:rPr>
          <w:rStyle w:val="FootnoteReference"/>
        </w:rPr>
        <w:footnoteRef/>
      </w:r>
      <w:r>
        <w:t xml:space="preserve"> </w:t>
      </w:r>
      <w:r w:rsidR="001C67BA">
        <w:t>2015 IRP at</w:t>
      </w:r>
      <w:r>
        <w:t xml:space="preserve"> 6-56</w:t>
      </w:r>
      <w:r w:rsidR="00226835">
        <w:t xml:space="preserve"> and 6-</w:t>
      </w:r>
      <w:r>
        <w:t>57.</w:t>
      </w:r>
    </w:p>
  </w:footnote>
  <w:footnote w:id="15">
    <w:p w:rsidR="006A1F85" w:rsidRPr="006A1F85" w:rsidRDefault="006A1F85" w:rsidP="006A1F85">
      <w:pPr>
        <w:pStyle w:val="FootnoteText"/>
        <w:ind w:firstLine="0"/>
      </w:pPr>
      <w:r>
        <w:rPr>
          <w:rStyle w:val="FootnoteReference"/>
        </w:rPr>
        <w:footnoteRef/>
      </w:r>
      <w:r>
        <w:t xml:space="preserve"> </w:t>
      </w:r>
      <w:r>
        <w:rPr>
          <w:i/>
        </w:rPr>
        <w:t xml:space="preserve">See, </w:t>
      </w:r>
      <w:r w:rsidR="001C67BA">
        <w:t>2015 IRP at</w:t>
      </w:r>
      <w:r>
        <w:t xml:space="preserve"> 7-20.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BB" w:rsidRDefault="004449BB" w:rsidP="000F5C1A">
    <w:pPr>
      <w:pStyle w:val="Header"/>
    </w:pPr>
  </w:p>
  <w:p w:rsidR="004449BB" w:rsidRDefault="004449BB" w:rsidP="000F5C1A">
    <w:pPr>
      <w:pStyle w:val="Header"/>
    </w:pPr>
  </w:p>
  <w:p w:rsidR="004449BB" w:rsidRDefault="004449BB" w:rsidP="000F5C1A">
    <w:pPr>
      <w:pStyle w:val="Header"/>
    </w:pPr>
    <w:r>
      <w:t>To:     Steve King</w:t>
    </w:r>
  </w:p>
  <w:p w:rsidR="004449BB" w:rsidRDefault="004449BB" w:rsidP="000F5C1A">
    <w:pPr>
      <w:pStyle w:val="Header"/>
    </w:pPr>
    <w:r w:rsidRPr="00F3200A">
      <w:t>Re:     Dockets UE-</w:t>
    </w:r>
    <w:r w:rsidR="00F3200A" w:rsidRPr="00F3200A">
      <w:t xml:space="preserve">141170 </w:t>
    </w:r>
    <w:r w:rsidRPr="00F3200A">
      <w:t>&amp; UG-1</w:t>
    </w:r>
    <w:r w:rsidR="00F3200A" w:rsidRPr="00F3200A">
      <w:t>41169</w:t>
    </w:r>
  </w:p>
  <w:p w:rsidR="004449BB" w:rsidRDefault="004449BB" w:rsidP="000F5C1A">
    <w:pPr>
      <w:pStyle w:val="Header"/>
    </w:pPr>
    <w:r>
      <w:t xml:space="preserve">Date:  </w:t>
    </w:r>
    <w:r w:rsidR="00F3200A">
      <w:t>February 1, 2016</w:t>
    </w:r>
  </w:p>
  <w:p w:rsidR="004449BB" w:rsidRDefault="004449BB" w:rsidP="000F5C1A">
    <w:r>
      <w:t xml:space="preserve">Page </w:t>
    </w:r>
    <w:r>
      <w:fldChar w:fldCharType="begin"/>
    </w:r>
    <w:r>
      <w:instrText xml:space="preserve"> PAGE </w:instrText>
    </w:r>
    <w:r>
      <w:fldChar w:fldCharType="separate"/>
    </w:r>
    <w:r w:rsidR="003375E7">
      <w:rPr>
        <w:noProof/>
      </w:rPr>
      <w:t>5</w:t>
    </w:r>
    <w:r>
      <w:fldChar w:fldCharType="end"/>
    </w:r>
    <w:r>
      <w:t xml:space="preserve"> of </w:t>
    </w:r>
    <w:r w:rsidR="003375E7">
      <w:fldChar w:fldCharType="begin"/>
    </w:r>
    <w:r w:rsidR="003375E7">
      <w:instrText xml:space="preserve"> NUMPAGES  </w:instrText>
    </w:r>
    <w:r w:rsidR="003375E7">
      <w:fldChar w:fldCharType="separate"/>
    </w:r>
    <w:r w:rsidR="003375E7">
      <w:rPr>
        <w:noProof/>
      </w:rPr>
      <w:t>5</w:t>
    </w:r>
    <w:r w:rsidR="003375E7">
      <w:rPr>
        <w:noProof/>
      </w:rPr>
      <w:fldChar w:fldCharType="end"/>
    </w:r>
  </w:p>
  <w:p w:rsidR="004449BB" w:rsidRDefault="004449BB" w:rsidP="000F5C1A"/>
  <w:p w:rsidR="004449BB" w:rsidRDefault="00794495">
    <w:r>
      <w:rPr>
        <w:noProof/>
      </w:rPr>
      <mc:AlternateContent>
        <mc:Choice Requires="wps">
          <w:drawing>
            <wp:anchor distT="0" distB="0" distL="114300" distR="114300" simplePos="0" relativeHeight="251657728" behindDoc="0" locked="0" layoutInCell="0" allowOverlap="1" wp14:anchorId="2407BEBB" wp14:editId="582CD48A">
              <wp:simplePos x="0" y="0"/>
              <wp:positionH relativeFrom="margin">
                <wp:posOffset>-91440</wp:posOffset>
              </wp:positionH>
              <wp:positionV relativeFrom="page">
                <wp:posOffset>0</wp:posOffset>
              </wp:positionV>
              <wp:extent cx="635" cy="10058400"/>
              <wp:effectExtent l="381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1AD357F9"/>
    <w:multiLevelType w:val="hybridMultilevel"/>
    <w:tmpl w:val="DE4C9814"/>
    <w:lvl w:ilvl="0" w:tplc="A20644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A8100C"/>
    <w:multiLevelType w:val="hybridMultilevel"/>
    <w:tmpl w:val="96164658"/>
    <w:lvl w:ilvl="0" w:tplc="FC3E65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1144DD8C">
      <w:start w:val="1"/>
      <w:numFmt w:val="lowerLetter"/>
      <w:lvlText w:val="%3."/>
      <w:lvlJc w:val="right"/>
      <w:pPr>
        <w:ind w:left="2880" w:hanging="180"/>
      </w:pPr>
      <w:rPr>
        <w:rFonts w:ascii="Times New Roman" w:eastAsia="Calibri"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3F17DC"/>
    <w:multiLevelType w:val="hybridMultilevel"/>
    <w:tmpl w:val="176E43EA"/>
    <w:lvl w:ilvl="0" w:tplc="31A4EF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0350AF"/>
    <w:multiLevelType w:val="hybridMultilevel"/>
    <w:tmpl w:val="96164658"/>
    <w:lvl w:ilvl="0" w:tplc="FC3E65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1144DD8C">
      <w:start w:val="1"/>
      <w:numFmt w:val="lowerLetter"/>
      <w:lvlText w:val="%3."/>
      <w:lvlJc w:val="right"/>
      <w:pPr>
        <w:ind w:left="2880" w:hanging="180"/>
      </w:pPr>
      <w:rPr>
        <w:rFonts w:ascii="Times New Roman" w:eastAsia="Calibri"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36560D"/>
    <w:multiLevelType w:val="hybridMultilevel"/>
    <w:tmpl w:val="0F2E93C4"/>
    <w:lvl w:ilvl="0" w:tplc="AE8CE3E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F5B6CAD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62117D"/>
    <w:multiLevelType w:val="hybridMultilevel"/>
    <w:tmpl w:val="260863F8"/>
    <w:lvl w:ilvl="0" w:tplc="8C0AE6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23786"/>
    <w:multiLevelType w:val="hybridMultilevel"/>
    <w:tmpl w:val="7E70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9431E"/>
    <w:multiLevelType w:val="hybridMultilevel"/>
    <w:tmpl w:val="96164658"/>
    <w:lvl w:ilvl="0" w:tplc="FC3E65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1144DD8C">
      <w:start w:val="1"/>
      <w:numFmt w:val="lowerLetter"/>
      <w:lvlText w:val="%3."/>
      <w:lvlJc w:val="right"/>
      <w:pPr>
        <w:ind w:left="2880" w:hanging="180"/>
      </w:pPr>
      <w:rPr>
        <w:rFonts w:ascii="Times New Roman" w:eastAsia="Calibri"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CE53BC"/>
    <w:multiLevelType w:val="hybridMultilevel"/>
    <w:tmpl w:val="1EE4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3A7C6E"/>
    <w:multiLevelType w:val="hybridMultilevel"/>
    <w:tmpl w:val="96164658"/>
    <w:lvl w:ilvl="0" w:tplc="FC3E65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1144DD8C">
      <w:start w:val="1"/>
      <w:numFmt w:val="lowerLetter"/>
      <w:lvlText w:val="%3."/>
      <w:lvlJc w:val="right"/>
      <w:pPr>
        <w:ind w:left="2880" w:hanging="180"/>
      </w:pPr>
      <w:rPr>
        <w:rFonts w:ascii="Times New Roman" w:eastAsia="Calibri"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A20B3A"/>
    <w:multiLevelType w:val="hybridMultilevel"/>
    <w:tmpl w:val="78DE42A0"/>
    <w:lvl w:ilvl="0" w:tplc="3866F0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B33404C"/>
    <w:multiLevelType w:val="hybridMultilevel"/>
    <w:tmpl w:val="EEBA00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3195C29"/>
    <w:multiLevelType w:val="hybridMultilevel"/>
    <w:tmpl w:val="C174F58A"/>
    <w:lvl w:ilvl="0" w:tplc="6AF0FB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5DF40C4"/>
    <w:multiLevelType w:val="hybridMultilevel"/>
    <w:tmpl w:val="96164658"/>
    <w:lvl w:ilvl="0" w:tplc="FC3E65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1144DD8C">
      <w:start w:val="1"/>
      <w:numFmt w:val="lowerLetter"/>
      <w:lvlText w:val="%3."/>
      <w:lvlJc w:val="right"/>
      <w:pPr>
        <w:ind w:left="2880" w:hanging="180"/>
      </w:pPr>
      <w:rPr>
        <w:rFonts w:ascii="Times New Roman" w:eastAsia="Calibri"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B001003"/>
    <w:multiLevelType w:val="singleLevel"/>
    <w:tmpl w:val="ED7C4840"/>
    <w:lvl w:ilvl="0">
      <w:start w:val="1"/>
      <w:numFmt w:val="decimal"/>
      <w:pStyle w:val="ParNumber"/>
      <w:lvlText w:val="%1."/>
      <w:lvlJc w:val="left"/>
      <w:pPr>
        <w:tabs>
          <w:tab w:val="num" w:pos="360"/>
        </w:tabs>
        <w:ind w:left="360" w:hanging="360"/>
      </w:pPr>
    </w:lvl>
  </w:abstractNum>
  <w:abstractNum w:abstractNumId="16">
    <w:nsid w:val="7F2F775E"/>
    <w:multiLevelType w:val="hybridMultilevel"/>
    <w:tmpl w:val="8000E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7"/>
  </w:num>
  <w:num w:numId="4">
    <w:abstractNumId w:val="9"/>
  </w:num>
  <w:num w:numId="5">
    <w:abstractNumId w:val="16"/>
  </w:num>
  <w:num w:numId="6">
    <w:abstractNumId w:val="3"/>
  </w:num>
  <w:num w:numId="7">
    <w:abstractNumId w:val="13"/>
  </w:num>
  <w:num w:numId="8">
    <w:abstractNumId w:val="11"/>
  </w:num>
  <w:num w:numId="9">
    <w:abstractNumId w:val="5"/>
  </w:num>
  <w:num w:numId="10">
    <w:abstractNumId w:val="1"/>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12"/>
  </w:num>
  <w:num w:numId="16">
    <w:abstractNumId w:val="2"/>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DF"/>
    <w:rsid w:val="000002D1"/>
    <w:rsid w:val="0001095B"/>
    <w:rsid w:val="00016153"/>
    <w:rsid w:val="00017B79"/>
    <w:rsid w:val="00027EE4"/>
    <w:rsid w:val="00032884"/>
    <w:rsid w:val="0004756C"/>
    <w:rsid w:val="00053492"/>
    <w:rsid w:val="00061AD4"/>
    <w:rsid w:val="000827EB"/>
    <w:rsid w:val="0008740C"/>
    <w:rsid w:val="000D31BB"/>
    <w:rsid w:val="000D4BEA"/>
    <w:rsid w:val="000E4E8F"/>
    <w:rsid w:val="000F2D4E"/>
    <w:rsid w:val="000F5C1A"/>
    <w:rsid w:val="00106DAE"/>
    <w:rsid w:val="001138D3"/>
    <w:rsid w:val="00122DF4"/>
    <w:rsid w:val="0014719B"/>
    <w:rsid w:val="00170F35"/>
    <w:rsid w:val="00171B0F"/>
    <w:rsid w:val="0017797B"/>
    <w:rsid w:val="00190330"/>
    <w:rsid w:val="00195872"/>
    <w:rsid w:val="001A5BDB"/>
    <w:rsid w:val="001B2C13"/>
    <w:rsid w:val="001B45BD"/>
    <w:rsid w:val="001C4257"/>
    <w:rsid w:val="001C67BA"/>
    <w:rsid w:val="001D0BD2"/>
    <w:rsid w:val="001E1695"/>
    <w:rsid w:val="001F21DE"/>
    <w:rsid w:val="002000CB"/>
    <w:rsid w:val="0020459C"/>
    <w:rsid w:val="002101F3"/>
    <w:rsid w:val="002104EE"/>
    <w:rsid w:val="00210E67"/>
    <w:rsid w:val="00216276"/>
    <w:rsid w:val="00226835"/>
    <w:rsid w:val="00227EB7"/>
    <w:rsid w:val="00291627"/>
    <w:rsid w:val="0029244B"/>
    <w:rsid w:val="00293E9A"/>
    <w:rsid w:val="002A5E4A"/>
    <w:rsid w:val="002B67F7"/>
    <w:rsid w:val="002D64BC"/>
    <w:rsid w:val="002F3796"/>
    <w:rsid w:val="002F6BDE"/>
    <w:rsid w:val="00310448"/>
    <w:rsid w:val="003259AB"/>
    <w:rsid w:val="003278EF"/>
    <w:rsid w:val="003375E7"/>
    <w:rsid w:val="00340FAE"/>
    <w:rsid w:val="0037651F"/>
    <w:rsid w:val="003829E5"/>
    <w:rsid w:val="00390A3C"/>
    <w:rsid w:val="003B6C2D"/>
    <w:rsid w:val="003C2F1F"/>
    <w:rsid w:val="003C3C1F"/>
    <w:rsid w:val="003C4961"/>
    <w:rsid w:val="003D7F52"/>
    <w:rsid w:val="003E2898"/>
    <w:rsid w:val="00415655"/>
    <w:rsid w:val="004168B9"/>
    <w:rsid w:val="00426C93"/>
    <w:rsid w:val="0042783E"/>
    <w:rsid w:val="0043386F"/>
    <w:rsid w:val="00435355"/>
    <w:rsid w:val="004449BB"/>
    <w:rsid w:val="00452BFE"/>
    <w:rsid w:val="004607A7"/>
    <w:rsid w:val="004812EB"/>
    <w:rsid w:val="004B081B"/>
    <w:rsid w:val="004C207C"/>
    <w:rsid w:val="004C29C7"/>
    <w:rsid w:val="004F0F17"/>
    <w:rsid w:val="004F4DE0"/>
    <w:rsid w:val="00514B61"/>
    <w:rsid w:val="005209B7"/>
    <w:rsid w:val="00524611"/>
    <w:rsid w:val="00532BAD"/>
    <w:rsid w:val="00541C49"/>
    <w:rsid w:val="00551A77"/>
    <w:rsid w:val="00551CF4"/>
    <w:rsid w:val="00556306"/>
    <w:rsid w:val="00577833"/>
    <w:rsid w:val="0058115C"/>
    <w:rsid w:val="005838FD"/>
    <w:rsid w:val="0059499A"/>
    <w:rsid w:val="005B47A8"/>
    <w:rsid w:val="005E25C3"/>
    <w:rsid w:val="00616616"/>
    <w:rsid w:val="00636141"/>
    <w:rsid w:val="006367FD"/>
    <w:rsid w:val="00637F5F"/>
    <w:rsid w:val="00654D4F"/>
    <w:rsid w:val="00663FC4"/>
    <w:rsid w:val="00690C4F"/>
    <w:rsid w:val="006A1F85"/>
    <w:rsid w:val="006B29A3"/>
    <w:rsid w:val="006C5383"/>
    <w:rsid w:val="006D5D63"/>
    <w:rsid w:val="006E1D64"/>
    <w:rsid w:val="006E3854"/>
    <w:rsid w:val="006E5371"/>
    <w:rsid w:val="00701A7C"/>
    <w:rsid w:val="00703E0B"/>
    <w:rsid w:val="007077E6"/>
    <w:rsid w:val="00716F1A"/>
    <w:rsid w:val="007307BA"/>
    <w:rsid w:val="00741A8D"/>
    <w:rsid w:val="00755FB5"/>
    <w:rsid w:val="007672D2"/>
    <w:rsid w:val="007721DA"/>
    <w:rsid w:val="007755BA"/>
    <w:rsid w:val="00794495"/>
    <w:rsid w:val="007A24AC"/>
    <w:rsid w:val="007B573B"/>
    <w:rsid w:val="007C4354"/>
    <w:rsid w:val="007C49D0"/>
    <w:rsid w:val="007C6868"/>
    <w:rsid w:val="007C6F09"/>
    <w:rsid w:val="007D27B1"/>
    <w:rsid w:val="007E3631"/>
    <w:rsid w:val="007E6DF5"/>
    <w:rsid w:val="007F72FD"/>
    <w:rsid w:val="00802BEA"/>
    <w:rsid w:val="00805C2B"/>
    <w:rsid w:val="0083492E"/>
    <w:rsid w:val="00844CEC"/>
    <w:rsid w:val="008658F8"/>
    <w:rsid w:val="00866D16"/>
    <w:rsid w:val="00866E8D"/>
    <w:rsid w:val="00867616"/>
    <w:rsid w:val="00890EA3"/>
    <w:rsid w:val="00896091"/>
    <w:rsid w:val="008A4F69"/>
    <w:rsid w:val="008B3D3D"/>
    <w:rsid w:val="008E248A"/>
    <w:rsid w:val="00902AAC"/>
    <w:rsid w:val="00913D3D"/>
    <w:rsid w:val="009140A0"/>
    <w:rsid w:val="00914243"/>
    <w:rsid w:val="00923C41"/>
    <w:rsid w:val="00930510"/>
    <w:rsid w:val="00961D30"/>
    <w:rsid w:val="0096759B"/>
    <w:rsid w:val="00985C1C"/>
    <w:rsid w:val="009B72CB"/>
    <w:rsid w:val="009C2E12"/>
    <w:rsid w:val="009C7CDF"/>
    <w:rsid w:val="009D0F55"/>
    <w:rsid w:val="009D7E93"/>
    <w:rsid w:val="009E7A9D"/>
    <w:rsid w:val="009F0409"/>
    <w:rsid w:val="009F4CE4"/>
    <w:rsid w:val="009F5016"/>
    <w:rsid w:val="009F6ECC"/>
    <w:rsid w:val="009F7589"/>
    <w:rsid w:val="00A14574"/>
    <w:rsid w:val="00A169FA"/>
    <w:rsid w:val="00A460F9"/>
    <w:rsid w:val="00A73690"/>
    <w:rsid w:val="00A779E5"/>
    <w:rsid w:val="00AA0401"/>
    <w:rsid w:val="00AA361D"/>
    <w:rsid w:val="00AA4386"/>
    <w:rsid w:val="00AB5DBA"/>
    <w:rsid w:val="00AD09BB"/>
    <w:rsid w:val="00AE78B5"/>
    <w:rsid w:val="00AE7C3D"/>
    <w:rsid w:val="00AF1917"/>
    <w:rsid w:val="00AF2842"/>
    <w:rsid w:val="00AF3DA2"/>
    <w:rsid w:val="00AF76DC"/>
    <w:rsid w:val="00B0697A"/>
    <w:rsid w:val="00B23361"/>
    <w:rsid w:val="00B452DB"/>
    <w:rsid w:val="00B4717B"/>
    <w:rsid w:val="00B5591E"/>
    <w:rsid w:val="00B55F86"/>
    <w:rsid w:val="00B57445"/>
    <w:rsid w:val="00B57CAC"/>
    <w:rsid w:val="00B75205"/>
    <w:rsid w:val="00B76631"/>
    <w:rsid w:val="00B76C74"/>
    <w:rsid w:val="00B7755C"/>
    <w:rsid w:val="00B85E29"/>
    <w:rsid w:val="00B92B2C"/>
    <w:rsid w:val="00BC0CFA"/>
    <w:rsid w:val="00BC17BF"/>
    <w:rsid w:val="00BC3E24"/>
    <w:rsid w:val="00BC5C31"/>
    <w:rsid w:val="00BF0CD1"/>
    <w:rsid w:val="00BF3E82"/>
    <w:rsid w:val="00C058F6"/>
    <w:rsid w:val="00C05F9D"/>
    <w:rsid w:val="00C209CC"/>
    <w:rsid w:val="00C22CCD"/>
    <w:rsid w:val="00C30CE3"/>
    <w:rsid w:val="00C74812"/>
    <w:rsid w:val="00C818D4"/>
    <w:rsid w:val="00C82AA5"/>
    <w:rsid w:val="00CB3950"/>
    <w:rsid w:val="00CB7CAE"/>
    <w:rsid w:val="00CC7786"/>
    <w:rsid w:val="00CF26D0"/>
    <w:rsid w:val="00D040B5"/>
    <w:rsid w:val="00D32114"/>
    <w:rsid w:val="00D33E0A"/>
    <w:rsid w:val="00D403D9"/>
    <w:rsid w:val="00D41DAC"/>
    <w:rsid w:val="00D46719"/>
    <w:rsid w:val="00D51AA3"/>
    <w:rsid w:val="00D6187C"/>
    <w:rsid w:val="00D91942"/>
    <w:rsid w:val="00DA03A8"/>
    <w:rsid w:val="00DC631F"/>
    <w:rsid w:val="00DE6B7C"/>
    <w:rsid w:val="00DE74D0"/>
    <w:rsid w:val="00DF4329"/>
    <w:rsid w:val="00E25704"/>
    <w:rsid w:val="00E260B2"/>
    <w:rsid w:val="00E26E59"/>
    <w:rsid w:val="00E316EA"/>
    <w:rsid w:val="00E43E93"/>
    <w:rsid w:val="00E551FB"/>
    <w:rsid w:val="00E618AA"/>
    <w:rsid w:val="00E62686"/>
    <w:rsid w:val="00E96DC6"/>
    <w:rsid w:val="00EA2550"/>
    <w:rsid w:val="00EA32F9"/>
    <w:rsid w:val="00EB654A"/>
    <w:rsid w:val="00EF0260"/>
    <w:rsid w:val="00EF23E7"/>
    <w:rsid w:val="00EF7340"/>
    <w:rsid w:val="00F15275"/>
    <w:rsid w:val="00F26823"/>
    <w:rsid w:val="00F3200A"/>
    <w:rsid w:val="00F32DE6"/>
    <w:rsid w:val="00F33C21"/>
    <w:rsid w:val="00F37F0C"/>
    <w:rsid w:val="00F46D1F"/>
    <w:rsid w:val="00F51B69"/>
    <w:rsid w:val="00F51F64"/>
    <w:rsid w:val="00F87F7B"/>
    <w:rsid w:val="00F9657A"/>
    <w:rsid w:val="00FA150A"/>
    <w:rsid w:val="00FA496B"/>
    <w:rsid w:val="00FB2D82"/>
    <w:rsid w:val="00FC054D"/>
    <w:rsid w:val="00FF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CDF"/>
    <w:pPr>
      <w:spacing w:line="240" w:lineRule="exact"/>
    </w:pPr>
    <w:rPr>
      <w:rFonts w:eastAsia="Times New Roman"/>
      <w:sz w:val="24"/>
    </w:rPr>
  </w:style>
  <w:style w:type="paragraph" w:styleId="Heading1">
    <w:name w:val="heading 1"/>
    <w:basedOn w:val="Normal"/>
    <w:next w:val="Normal"/>
    <w:link w:val="Heading1Char"/>
    <w:qFormat/>
    <w:rsid w:val="009C7CDF"/>
    <w:pPr>
      <w:keepNext/>
      <w:numPr>
        <w:numId w:val="2"/>
      </w:numPr>
      <w:spacing w:before="240"/>
      <w:jc w:val="center"/>
      <w:outlineLvl w:val="0"/>
    </w:pPr>
    <w:rPr>
      <w:b/>
      <w:caps/>
      <w:kern w:val="28"/>
    </w:rPr>
  </w:style>
  <w:style w:type="paragraph" w:styleId="Heading2">
    <w:name w:val="heading 2"/>
    <w:basedOn w:val="Normal"/>
    <w:next w:val="Normal"/>
    <w:link w:val="Heading2Char"/>
    <w:qFormat/>
    <w:rsid w:val="009C7CDF"/>
    <w:pPr>
      <w:keepNext/>
      <w:numPr>
        <w:ilvl w:val="1"/>
        <w:numId w:val="2"/>
      </w:numPr>
      <w:spacing w:before="240"/>
      <w:jc w:val="both"/>
      <w:outlineLvl w:val="1"/>
    </w:pPr>
    <w:rPr>
      <w:b/>
    </w:rPr>
  </w:style>
  <w:style w:type="paragraph" w:styleId="Heading3">
    <w:name w:val="heading 3"/>
    <w:basedOn w:val="Normal"/>
    <w:next w:val="Normal"/>
    <w:link w:val="Heading3Char"/>
    <w:qFormat/>
    <w:rsid w:val="009C7CDF"/>
    <w:pPr>
      <w:keepNext/>
      <w:numPr>
        <w:ilvl w:val="2"/>
        <w:numId w:val="2"/>
      </w:numPr>
      <w:spacing w:before="240"/>
      <w:jc w:val="both"/>
      <w:outlineLvl w:val="2"/>
    </w:pPr>
    <w:rPr>
      <w:b/>
    </w:rPr>
  </w:style>
  <w:style w:type="paragraph" w:styleId="Heading4">
    <w:name w:val="heading 4"/>
    <w:basedOn w:val="Normal"/>
    <w:next w:val="Normal"/>
    <w:link w:val="Heading4Char"/>
    <w:qFormat/>
    <w:rsid w:val="009C7CDF"/>
    <w:pPr>
      <w:keepNext/>
      <w:numPr>
        <w:ilvl w:val="3"/>
        <w:numId w:val="2"/>
      </w:numPr>
      <w:spacing w:before="240"/>
      <w:jc w:val="both"/>
      <w:outlineLvl w:val="3"/>
    </w:pPr>
    <w:rPr>
      <w:b/>
    </w:rPr>
  </w:style>
  <w:style w:type="paragraph" w:styleId="Heading5">
    <w:name w:val="heading 5"/>
    <w:basedOn w:val="Normal"/>
    <w:next w:val="Normal"/>
    <w:link w:val="Heading5Char"/>
    <w:qFormat/>
    <w:rsid w:val="009C7CDF"/>
    <w:pPr>
      <w:keepNext/>
      <w:numPr>
        <w:ilvl w:val="4"/>
        <w:numId w:val="2"/>
      </w:numPr>
      <w:spacing w:before="240"/>
      <w:jc w:val="both"/>
      <w:outlineLvl w:val="4"/>
    </w:pPr>
    <w:rPr>
      <w:b/>
    </w:rPr>
  </w:style>
  <w:style w:type="paragraph" w:styleId="Heading6">
    <w:name w:val="heading 6"/>
    <w:basedOn w:val="Normal"/>
    <w:next w:val="Normal"/>
    <w:link w:val="Heading6Char"/>
    <w:qFormat/>
    <w:rsid w:val="009C7CDF"/>
    <w:pPr>
      <w:keepNext/>
      <w:numPr>
        <w:ilvl w:val="5"/>
        <w:numId w:val="2"/>
      </w:numPr>
      <w:spacing w:before="240"/>
      <w:jc w:val="both"/>
      <w:outlineLvl w:val="5"/>
    </w:pPr>
    <w:rPr>
      <w:b/>
    </w:rPr>
  </w:style>
  <w:style w:type="paragraph" w:styleId="Heading7">
    <w:name w:val="heading 7"/>
    <w:basedOn w:val="Normal"/>
    <w:next w:val="Normal"/>
    <w:link w:val="Heading7Char"/>
    <w:qFormat/>
    <w:rsid w:val="009C7CDF"/>
    <w:pPr>
      <w:keepNext/>
      <w:numPr>
        <w:ilvl w:val="6"/>
        <w:numId w:val="2"/>
      </w:numPr>
      <w:spacing w:before="240"/>
      <w:jc w:val="both"/>
      <w:outlineLvl w:val="6"/>
    </w:pPr>
    <w:rPr>
      <w:b/>
    </w:rPr>
  </w:style>
  <w:style w:type="paragraph" w:styleId="Heading8">
    <w:name w:val="heading 8"/>
    <w:basedOn w:val="Normal"/>
    <w:next w:val="Normal"/>
    <w:link w:val="Heading8Char"/>
    <w:qFormat/>
    <w:rsid w:val="009C7CDF"/>
    <w:pPr>
      <w:keepNext/>
      <w:numPr>
        <w:ilvl w:val="7"/>
        <w:numId w:val="2"/>
      </w:numPr>
      <w:spacing w:before="240"/>
      <w:jc w:val="both"/>
      <w:outlineLvl w:val="7"/>
    </w:pPr>
    <w:rPr>
      <w:b/>
    </w:rPr>
  </w:style>
  <w:style w:type="paragraph" w:styleId="Heading9">
    <w:name w:val="heading 9"/>
    <w:basedOn w:val="Normal"/>
    <w:next w:val="Normal"/>
    <w:link w:val="Heading9Char"/>
    <w:qFormat/>
    <w:rsid w:val="009C7CDF"/>
    <w:pPr>
      <w:keepNext/>
      <w:numPr>
        <w:ilvl w:val="8"/>
        <w:numId w:val="2"/>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DF"/>
    <w:rPr>
      <w:rFonts w:eastAsia="Times New Roman"/>
      <w:b/>
      <w:caps/>
      <w:kern w:val="28"/>
      <w:sz w:val="24"/>
    </w:rPr>
  </w:style>
  <w:style w:type="character" w:customStyle="1" w:styleId="Heading2Char">
    <w:name w:val="Heading 2 Char"/>
    <w:basedOn w:val="DefaultParagraphFont"/>
    <w:link w:val="Heading2"/>
    <w:rsid w:val="009C7CDF"/>
    <w:rPr>
      <w:rFonts w:eastAsia="Times New Roman"/>
      <w:b/>
      <w:sz w:val="24"/>
    </w:rPr>
  </w:style>
  <w:style w:type="character" w:customStyle="1" w:styleId="Heading3Char">
    <w:name w:val="Heading 3 Char"/>
    <w:basedOn w:val="DefaultParagraphFont"/>
    <w:link w:val="Heading3"/>
    <w:rsid w:val="009C7CDF"/>
    <w:rPr>
      <w:rFonts w:eastAsia="Times New Roman"/>
      <w:b/>
      <w:sz w:val="24"/>
    </w:rPr>
  </w:style>
  <w:style w:type="character" w:customStyle="1" w:styleId="Heading4Char">
    <w:name w:val="Heading 4 Char"/>
    <w:basedOn w:val="DefaultParagraphFont"/>
    <w:link w:val="Heading4"/>
    <w:rsid w:val="009C7CDF"/>
    <w:rPr>
      <w:rFonts w:eastAsia="Times New Roman"/>
      <w:b/>
      <w:sz w:val="24"/>
    </w:rPr>
  </w:style>
  <w:style w:type="character" w:customStyle="1" w:styleId="Heading5Char">
    <w:name w:val="Heading 5 Char"/>
    <w:basedOn w:val="DefaultParagraphFont"/>
    <w:link w:val="Heading5"/>
    <w:rsid w:val="009C7CDF"/>
    <w:rPr>
      <w:rFonts w:eastAsia="Times New Roman"/>
      <w:b/>
      <w:sz w:val="24"/>
    </w:rPr>
  </w:style>
  <w:style w:type="character" w:customStyle="1" w:styleId="Heading6Char">
    <w:name w:val="Heading 6 Char"/>
    <w:basedOn w:val="DefaultParagraphFont"/>
    <w:link w:val="Heading6"/>
    <w:rsid w:val="009C7CDF"/>
    <w:rPr>
      <w:rFonts w:eastAsia="Times New Roman"/>
      <w:b/>
      <w:sz w:val="24"/>
    </w:rPr>
  </w:style>
  <w:style w:type="character" w:customStyle="1" w:styleId="Heading7Char">
    <w:name w:val="Heading 7 Char"/>
    <w:basedOn w:val="DefaultParagraphFont"/>
    <w:link w:val="Heading7"/>
    <w:rsid w:val="009C7CDF"/>
    <w:rPr>
      <w:rFonts w:eastAsia="Times New Roman"/>
      <w:b/>
      <w:sz w:val="24"/>
    </w:rPr>
  </w:style>
  <w:style w:type="character" w:customStyle="1" w:styleId="Heading8Char">
    <w:name w:val="Heading 8 Char"/>
    <w:basedOn w:val="DefaultParagraphFont"/>
    <w:link w:val="Heading8"/>
    <w:rsid w:val="009C7CDF"/>
    <w:rPr>
      <w:rFonts w:eastAsia="Times New Roman"/>
      <w:b/>
      <w:sz w:val="24"/>
    </w:rPr>
  </w:style>
  <w:style w:type="character" w:customStyle="1" w:styleId="Heading9Char">
    <w:name w:val="Heading 9 Char"/>
    <w:basedOn w:val="DefaultParagraphFont"/>
    <w:link w:val="Heading9"/>
    <w:rsid w:val="009C7CDF"/>
    <w:rPr>
      <w:rFonts w:eastAsia="Times New Roman"/>
      <w:sz w:val="24"/>
    </w:rPr>
  </w:style>
  <w:style w:type="paragraph" w:styleId="Header">
    <w:name w:val="header"/>
    <w:basedOn w:val="Normal"/>
    <w:link w:val="HeaderChar"/>
    <w:rsid w:val="009C7CDF"/>
    <w:pPr>
      <w:tabs>
        <w:tab w:val="center" w:pos="4320"/>
        <w:tab w:val="right" w:pos="8640"/>
      </w:tabs>
      <w:spacing w:line="240" w:lineRule="auto"/>
    </w:pPr>
  </w:style>
  <w:style w:type="character" w:customStyle="1" w:styleId="HeaderChar">
    <w:name w:val="Header Char"/>
    <w:basedOn w:val="DefaultParagraphFont"/>
    <w:link w:val="Header"/>
    <w:rsid w:val="009C7CDF"/>
    <w:rPr>
      <w:rFonts w:eastAsia="Times New Roman"/>
      <w:sz w:val="24"/>
    </w:rPr>
  </w:style>
  <w:style w:type="paragraph" w:styleId="Footer">
    <w:name w:val="footer"/>
    <w:basedOn w:val="Normal"/>
    <w:link w:val="FooterChar"/>
    <w:uiPriority w:val="99"/>
    <w:rsid w:val="009C7CDF"/>
    <w:pPr>
      <w:tabs>
        <w:tab w:val="center" w:pos="4320"/>
        <w:tab w:val="right" w:pos="8640"/>
      </w:tabs>
      <w:spacing w:line="240" w:lineRule="auto"/>
    </w:pPr>
    <w:rPr>
      <w:sz w:val="20"/>
    </w:rPr>
  </w:style>
  <w:style w:type="character" w:customStyle="1" w:styleId="FooterChar">
    <w:name w:val="Footer Char"/>
    <w:basedOn w:val="DefaultParagraphFont"/>
    <w:link w:val="Footer"/>
    <w:uiPriority w:val="99"/>
    <w:rsid w:val="009C7CDF"/>
    <w:rPr>
      <w:rFonts w:eastAsia="Times New Roman"/>
    </w:rPr>
  </w:style>
  <w:style w:type="paragraph" w:customStyle="1" w:styleId="DoubleSpacing">
    <w:name w:val="Double Spacing"/>
    <w:basedOn w:val="Normal"/>
    <w:uiPriority w:val="99"/>
    <w:rsid w:val="009C7CDF"/>
  </w:style>
  <w:style w:type="character" w:styleId="FootnoteReference">
    <w:name w:val="footnote reference"/>
    <w:basedOn w:val="DefaultParagraphFont"/>
    <w:uiPriority w:val="99"/>
    <w:semiHidden/>
    <w:rsid w:val="009C7CDF"/>
    <w:rPr>
      <w:vertAlign w:val="superscript"/>
    </w:rPr>
  </w:style>
  <w:style w:type="paragraph" w:styleId="FootnoteText">
    <w:name w:val="footnote text"/>
    <w:basedOn w:val="Normal"/>
    <w:link w:val="FootnoteTextChar"/>
    <w:uiPriority w:val="99"/>
    <w:semiHidden/>
    <w:rsid w:val="009C7CDF"/>
    <w:pPr>
      <w:spacing w:line="240" w:lineRule="auto"/>
      <w:ind w:firstLine="720"/>
    </w:pPr>
    <w:rPr>
      <w:sz w:val="20"/>
    </w:rPr>
  </w:style>
  <w:style w:type="character" w:customStyle="1" w:styleId="FootnoteTextChar">
    <w:name w:val="Footnote Text Char"/>
    <w:basedOn w:val="DefaultParagraphFont"/>
    <w:link w:val="FootnoteText"/>
    <w:uiPriority w:val="99"/>
    <w:semiHidden/>
    <w:rsid w:val="009C7CDF"/>
    <w:rPr>
      <w:rFonts w:eastAsia="Times New Roman"/>
    </w:rPr>
  </w:style>
  <w:style w:type="paragraph" w:customStyle="1" w:styleId="ParNumber">
    <w:name w:val="ParNumber"/>
    <w:basedOn w:val="Normal"/>
    <w:rsid w:val="009C7CDF"/>
    <w:pPr>
      <w:numPr>
        <w:numId w:val="1"/>
      </w:numPr>
      <w:tabs>
        <w:tab w:val="clear" w:pos="360"/>
        <w:tab w:val="left" w:pos="720"/>
      </w:tabs>
      <w:ind w:left="0" w:hanging="720"/>
    </w:pPr>
  </w:style>
  <w:style w:type="paragraph" w:styleId="ListParagraph">
    <w:name w:val="List Paragraph"/>
    <w:basedOn w:val="Normal"/>
    <w:uiPriority w:val="34"/>
    <w:qFormat/>
    <w:rsid w:val="009C7CDF"/>
    <w:pPr>
      <w:spacing w:line="240" w:lineRule="auto"/>
      <w:ind w:left="720"/>
      <w:contextualSpacing/>
    </w:pPr>
    <w:rPr>
      <w:rFonts w:eastAsia="Calibri"/>
      <w:szCs w:val="22"/>
    </w:rPr>
  </w:style>
  <w:style w:type="paragraph" w:styleId="BalloonText">
    <w:name w:val="Balloon Text"/>
    <w:basedOn w:val="Normal"/>
    <w:link w:val="BalloonTextChar"/>
    <w:uiPriority w:val="99"/>
    <w:semiHidden/>
    <w:unhideWhenUsed/>
    <w:rsid w:val="009C7C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CD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A0401"/>
    <w:rPr>
      <w:sz w:val="16"/>
      <w:szCs w:val="16"/>
    </w:rPr>
  </w:style>
  <w:style w:type="paragraph" w:styleId="CommentText">
    <w:name w:val="annotation text"/>
    <w:basedOn w:val="Normal"/>
    <w:link w:val="CommentTextChar"/>
    <w:uiPriority w:val="99"/>
    <w:semiHidden/>
    <w:unhideWhenUsed/>
    <w:rsid w:val="00AA0401"/>
    <w:rPr>
      <w:sz w:val="20"/>
    </w:rPr>
  </w:style>
  <w:style w:type="character" w:customStyle="1" w:styleId="CommentTextChar">
    <w:name w:val="Comment Text Char"/>
    <w:basedOn w:val="DefaultParagraphFont"/>
    <w:link w:val="CommentText"/>
    <w:uiPriority w:val="99"/>
    <w:semiHidden/>
    <w:rsid w:val="00AA0401"/>
    <w:rPr>
      <w:rFonts w:eastAsia="Times New Roman"/>
    </w:rPr>
  </w:style>
  <w:style w:type="paragraph" w:styleId="CommentSubject">
    <w:name w:val="annotation subject"/>
    <w:basedOn w:val="CommentText"/>
    <w:next w:val="CommentText"/>
    <w:link w:val="CommentSubjectChar"/>
    <w:uiPriority w:val="99"/>
    <w:semiHidden/>
    <w:unhideWhenUsed/>
    <w:rsid w:val="00AA0401"/>
    <w:rPr>
      <w:b/>
      <w:bCs/>
    </w:rPr>
  </w:style>
  <w:style w:type="character" w:customStyle="1" w:styleId="CommentSubjectChar">
    <w:name w:val="Comment Subject Char"/>
    <w:basedOn w:val="CommentTextChar"/>
    <w:link w:val="CommentSubject"/>
    <w:uiPriority w:val="99"/>
    <w:semiHidden/>
    <w:rsid w:val="00AA0401"/>
    <w:rPr>
      <w:rFonts w:eastAsia="Times New Roman"/>
      <w:b/>
      <w:bCs/>
    </w:rPr>
  </w:style>
  <w:style w:type="character" w:styleId="Hyperlink">
    <w:name w:val="Hyperlink"/>
    <w:basedOn w:val="DefaultParagraphFont"/>
    <w:uiPriority w:val="99"/>
    <w:unhideWhenUsed/>
    <w:rsid w:val="003C3C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CDF"/>
    <w:pPr>
      <w:spacing w:line="240" w:lineRule="exact"/>
    </w:pPr>
    <w:rPr>
      <w:rFonts w:eastAsia="Times New Roman"/>
      <w:sz w:val="24"/>
    </w:rPr>
  </w:style>
  <w:style w:type="paragraph" w:styleId="Heading1">
    <w:name w:val="heading 1"/>
    <w:basedOn w:val="Normal"/>
    <w:next w:val="Normal"/>
    <w:link w:val="Heading1Char"/>
    <w:qFormat/>
    <w:rsid w:val="009C7CDF"/>
    <w:pPr>
      <w:keepNext/>
      <w:numPr>
        <w:numId w:val="2"/>
      </w:numPr>
      <w:spacing w:before="240"/>
      <w:jc w:val="center"/>
      <w:outlineLvl w:val="0"/>
    </w:pPr>
    <w:rPr>
      <w:b/>
      <w:caps/>
      <w:kern w:val="28"/>
    </w:rPr>
  </w:style>
  <w:style w:type="paragraph" w:styleId="Heading2">
    <w:name w:val="heading 2"/>
    <w:basedOn w:val="Normal"/>
    <w:next w:val="Normal"/>
    <w:link w:val="Heading2Char"/>
    <w:qFormat/>
    <w:rsid w:val="009C7CDF"/>
    <w:pPr>
      <w:keepNext/>
      <w:numPr>
        <w:ilvl w:val="1"/>
        <w:numId w:val="2"/>
      </w:numPr>
      <w:spacing w:before="240"/>
      <w:jc w:val="both"/>
      <w:outlineLvl w:val="1"/>
    </w:pPr>
    <w:rPr>
      <w:b/>
    </w:rPr>
  </w:style>
  <w:style w:type="paragraph" w:styleId="Heading3">
    <w:name w:val="heading 3"/>
    <w:basedOn w:val="Normal"/>
    <w:next w:val="Normal"/>
    <w:link w:val="Heading3Char"/>
    <w:qFormat/>
    <w:rsid w:val="009C7CDF"/>
    <w:pPr>
      <w:keepNext/>
      <w:numPr>
        <w:ilvl w:val="2"/>
        <w:numId w:val="2"/>
      </w:numPr>
      <w:spacing w:before="240"/>
      <w:jc w:val="both"/>
      <w:outlineLvl w:val="2"/>
    </w:pPr>
    <w:rPr>
      <w:b/>
    </w:rPr>
  </w:style>
  <w:style w:type="paragraph" w:styleId="Heading4">
    <w:name w:val="heading 4"/>
    <w:basedOn w:val="Normal"/>
    <w:next w:val="Normal"/>
    <w:link w:val="Heading4Char"/>
    <w:qFormat/>
    <w:rsid w:val="009C7CDF"/>
    <w:pPr>
      <w:keepNext/>
      <w:numPr>
        <w:ilvl w:val="3"/>
        <w:numId w:val="2"/>
      </w:numPr>
      <w:spacing w:before="240"/>
      <w:jc w:val="both"/>
      <w:outlineLvl w:val="3"/>
    </w:pPr>
    <w:rPr>
      <w:b/>
    </w:rPr>
  </w:style>
  <w:style w:type="paragraph" w:styleId="Heading5">
    <w:name w:val="heading 5"/>
    <w:basedOn w:val="Normal"/>
    <w:next w:val="Normal"/>
    <w:link w:val="Heading5Char"/>
    <w:qFormat/>
    <w:rsid w:val="009C7CDF"/>
    <w:pPr>
      <w:keepNext/>
      <w:numPr>
        <w:ilvl w:val="4"/>
        <w:numId w:val="2"/>
      </w:numPr>
      <w:spacing w:before="240"/>
      <w:jc w:val="both"/>
      <w:outlineLvl w:val="4"/>
    </w:pPr>
    <w:rPr>
      <w:b/>
    </w:rPr>
  </w:style>
  <w:style w:type="paragraph" w:styleId="Heading6">
    <w:name w:val="heading 6"/>
    <w:basedOn w:val="Normal"/>
    <w:next w:val="Normal"/>
    <w:link w:val="Heading6Char"/>
    <w:qFormat/>
    <w:rsid w:val="009C7CDF"/>
    <w:pPr>
      <w:keepNext/>
      <w:numPr>
        <w:ilvl w:val="5"/>
        <w:numId w:val="2"/>
      </w:numPr>
      <w:spacing w:before="240"/>
      <w:jc w:val="both"/>
      <w:outlineLvl w:val="5"/>
    </w:pPr>
    <w:rPr>
      <w:b/>
    </w:rPr>
  </w:style>
  <w:style w:type="paragraph" w:styleId="Heading7">
    <w:name w:val="heading 7"/>
    <w:basedOn w:val="Normal"/>
    <w:next w:val="Normal"/>
    <w:link w:val="Heading7Char"/>
    <w:qFormat/>
    <w:rsid w:val="009C7CDF"/>
    <w:pPr>
      <w:keepNext/>
      <w:numPr>
        <w:ilvl w:val="6"/>
        <w:numId w:val="2"/>
      </w:numPr>
      <w:spacing w:before="240"/>
      <w:jc w:val="both"/>
      <w:outlineLvl w:val="6"/>
    </w:pPr>
    <w:rPr>
      <w:b/>
    </w:rPr>
  </w:style>
  <w:style w:type="paragraph" w:styleId="Heading8">
    <w:name w:val="heading 8"/>
    <w:basedOn w:val="Normal"/>
    <w:next w:val="Normal"/>
    <w:link w:val="Heading8Char"/>
    <w:qFormat/>
    <w:rsid w:val="009C7CDF"/>
    <w:pPr>
      <w:keepNext/>
      <w:numPr>
        <w:ilvl w:val="7"/>
        <w:numId w:val="2"/>
      </w:numPr>
      <w:spacing w:before="240"/>
      <w:jc w:val="both"/>
      <w:outlineLvl w:val="7"/>
    </w:pPr>
    <w:rPr>
      <w:b/>
    </w:rPr>
  </w:style>
  <w:style w:type="paragraph" w:styleId="Heading9">
    <w:name w:val="heading 9"/>
    <w:basedOn w:val="Normal"/>
    <w:next w:val="Normal"/>
    <w:link w:val="Heading9Char"/>
    <w:qFormat/>
    <w:rsid w:val="009C7CDF"/>
    <w:pPr>
      <w:keepNext/>
      <w:numPr>
        <w:ilvl w:val="8"/>
        <w:numId w:val="2"/>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DF"/>
    <w:rPr>
      <w:rFonts w:eastAsia="Times New Roman"/>
      <w:b/>
      <w:caps/>
      <w:kern w:val="28"/>
      <w:sz w:val="24"/>
    </w:rPr>
  </w:style>
  <w:style w:type="character" w:customStyle="1" w:styleId="Heading2Char">
    <w:name w:val="Heading 2 Char"/>
    <w:basedOn w:val="DefaultParagraphFont"/>
    <w:link w:val="Heading2"/>
    <w:rsid w:val="009C7CDF"/>
    <w:rPr>
      <w:rFonts w:eastAsia="Times New Roman"/>
      <w:b/>
      <w:sz w:val="24"/>
    </w:rPr>
  </w:style>
  <w:style w:type="character" w:customStyle="1" w:styleId="Heading3Char">
    <w:name w:val="Heading 3 Char"/>
    <w:basedOn w:val="DefaultParagraphFont"/>
    <w:link w:val="Heading3"/>
    <w:rsid w:val="009C7CDF"/>
    <w:rPr>
      <w:rFonts w:eastAsia="Times New Roman"/>
      <w:b/>
      <w:sz w:val="24"/>
    </w:rPr>
  </w:style>
  <w:style w:type="character" w:customStyle="1" w:styleId="Heading4Char">
    <w:name w:val="Heading 4 Char"/>
    <w:basedOn w:val="DefaultParagraphFont"/>
    <w:link w:val="Heading4"/>
    <w:rsid w:val="009C7CDF"/>
    <w:rPr>
      <w:rFonts w:eastAsia="Times New Roman"/>
      <w:b/>
      <w:sz w:val="24"/>
    </w:rPr>
  </w:style>
  <w:style w:type="character" w:customStyle="1" w:styleId="Heading5Char">
    <w:name w:val="Heading 5 Char"/>
    <w:basedOn w:val="DefaultParagraphFont"/>
    <w:link w:val="Heading5"/>
    <w:rsid w:val="009C7CDF"/>
    <w:rPr>
      <w:rFonts w:eastAsia="Times New Roman"/>
      <w:b/>
      <w:sz w:val="24"/>
    </w:rPr>
  </w:style>
  <w:style w:type="character" w:customStyle="1" w:styleId="Heading6Char">
    <w:name w:val="Heading 6 Char"/>
    <w:basedOn w:val="DefaultParagraphFont"/>
    <w:link w:val="Heading6"/>
    <w:rsid w:val="009C7CDF"/>
    <w:rPr>
      <w:rFonts w:eastAsia="Times New Roman"/>
      <w:b/>
      <w:sz w:val="24"/>
    </w:rPr>
  </w:style>
  <w:style w:type="character" w:customStyle="1" w:styleId="Heading7Char">
    <w:name w:val="Heading 7 Char"/>
    <w:basedOn w:val="DefaultParagraphFont"/>
    <w:link w:val="Heading7"/>
    <w:rsid w:val="009C7CDF"/>
    <w:rPr>
      <w:rFonts w:eastAsia="Times New Roman"/>
      <w:b/>
      <w:sz w:val="24"/>
    </w:rPr>
  </w:style>
  <w:style w:type="character" w:customStyle="1" w:styleId="Heading8Char">
    <w:name w:val="Heading 8 Char"/>
    <w:basedOn w:val="DefaultParagraphFont"/>
    <w:link w:val="Heading8"/>
    <w:rsid w:val="009C7CDF"/>
    <w:rPr>
      <w:rFonts w:eastAsia="Times New Roman"/>
      <w:b/>
      <w:sz w:val="24"/>
    </w:rPr>
  </w:style>
  <w:style w:type="character" w:customStyle="1" w:styleId="Heading9Char">
    <w:name w:val="Heading 9 Char"/>
    <w:basedOn w:val="DefaultParagraphFont"/>
    <w:link w:val="Heading9"/>
    <w:rsid w:val="009C7CDF"/>
    <w:rPr>
      <w:rFonts w:eastAsia="Times New Roman"/>
      <w:sz w:val="24"/>
    </w:rPr>
  </w:style>
  <w:style w:type="paragraph" w:styleId="Header">
    <w:name w:val="header"/>
    <w:basedOn w:val="Normal"/>
    <w:link w:val="HeaderChar"/>
    <w:rsid w:val="009C7CDF"/>
    <w:pPr>
      <w:tabs>
        <w:tab w:val="center" w:pos="4320"/>
        <w:tab w:val="right" w:pos="8640"/>
      </w:tabs>
      <w:spacing w:line="240" w:lineRule="auto"/>
    </w:pPr>
  </w:style>
  <w:style w:type="character" w:customStyle="1" w:styleId="HeaderChar">
    <w:name w:val="Header Char"/>
    <w:basedOn w:val="DefaultParagraphFont"/>
    <w:link w:val="Header"/>
    <w:rsid w:val="009C7CDF"/>
    <w:rPr>
      <w:rFonts w:eastAsia="Times New Roman"/>
      <w:sz w:val="24"/>
    </w:rPr>
  </w:style>
  <w:style w:type="paragraph" w:styleId="Footer">
    <w:name w:val="footer"/>
    <w:basedOn w:val="Normal"/>
    <w:link w:val="FooterChar"/>
    <w:uiPriority w:val="99"/>
    <w:rsid w:val="009C7CDF"/>
    <w:pPr>
      <w:tabs>
        <w:tab w:val="center" w:pos="4320"/>
        <w:tab w:val="right" w:pos="8640"/>
      </w:tabs>
      <w:spacing w:line="240" w:lineRule="auto"/>
    </w:pPr>
    <w:rPr>
      <w:sz w:val="20"/>
    </w:rPr>
  </w:style>
  <w:style w:type="character" w:customStyle="1" w:styleId="FooterChar">
    <w:name w:val="Footer Char"/>
    <w:basedOn w:val="DefaultParagraphFont"/>
    <w:link w:val="Footer"/>
    <w:uiPriority w:val="99"/>
    <w:rsid w:val="009C7CDF"/>
    <w:rPr>
      <w:rFonts w:eastAsia="Times New Roman"/>
    </w:rPr>
  </w:style>
  <w:style w:type="paragraph" w:customStyle="1" w:styleId="DoubleSpacing">
    <w:name w:val="Double Spacing"/>
    <w:basedOn w:val="Normal"/>
    <w:uiPriority w:val="99"/>
    <w:rsid w:val="009C7CDF"/>
  </w:style>
  <w:style w:type="character" w:styleId="FootnoteReference">
    <w:name w:val="footnote reference"/>
    <w:basedOn w:val="DefaultParagraphFont"/>
    <w:uiPriority w:val="99"/>
    <w:semiHidden/>
    <w:rsid w:val="009C7CDF"/>
    <w:rPr>
      <w:vertAlign w:val="superscript"/>
    </w:rPr>
  </w:style>
  <w:style w:type="paragraph" w:styleId="FootnoteText">
    <w:name w:val="footnote text"/>
    <w:basedOn w:val="Normal"/>
    <w:link w:val="FootnoteTextChar"/>
    <w:uiPriority w:val="99"/>
    <w:semiHidden/>
    <w:rsid w:val="009C7CDF"/>
    <w:pPr>
      <w:spacing w:line="240" w:lineRule="auto"/>
      <w:ind w:firstLine="720"/>
    </w:pPr>
    <w:rPr>
      <w:sz w:val="20"/>
    </w:rPr>
  </w:style>
  <w:style w:type="character" w:customStyle="1" w:styleId="FootnoteTextChar">
    <w:name w:val="Footnote Text Char"/>
    <w:basedOn w:val="DefaultParagraphFont"/>
    <w:link w:val="FootnoteText"/>
    <w:uiPriority w:val="99"/>
    <w:semiHidden/>
    <w:rsid w:val="009C7CDF"/>
    <w:rPr>
      <w:rFonts w:eastAsia="Times New Roman"/>
    </w:rPr>
  </w:style>
  <w:style w:type="paragraph" w:customStyle="1" w:styleId="ParNumber">
    <w:name w:val="ParNumber"/>
    <w:basedOn w:val="Normal"/>
    <w:rsid w:val="009C7CDF"/>
    <w:pPr>
      <w:numPr>
        <w:numId w:val="1"/>
      </w:numPr>
      <w:tabs>
        <w:tab w:val="clear" w:pos="360"/>
        <w:tab w:val="left" w:pos="720"/>
      </w:tabs>
      <w:ind w:left="0" w:hanging="720"/>
    </w:pPr>
  </w:style>
  <w:style w:type="paragraph" w:styleId="ListParagraph">
    <w:name w:val="List Paragraph"/>
    <w:basedOn w:val="Normal"/>
    <w:uiPriority w:val="34"/>
    <w:qFormat/>
    <w:rsid w:val="009C7CDF"/>
    <w:pPr>
      <w:spacing w:line="240" w:lineRule="auto"/>
      <w:ind w:left="720"/>
      <w:contextualSpacing/>
    </w:pPr>
    <w:rPr>
      <w:rFonts w:eastAsia="Calibri"/>
      <w:szCs w:val="22"/>
    </w:rPr>
  </w:style>
  <w:style w:type="paragraph" w:styleId="BalloonText">
    <w:name w:val="Balloon Text"/>
    <w:basedOn w:val="Normal"/>
    <w:link w:val="BalloonTextChar"/>
    <w:uiPriority w:val="99"/>
    <w:semiHidden/>
    <w:unhideWhenUsed/>
    <w:rsid w:val="009C7C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CD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A0401"/>
    <w:rPr>
      <w:sz w:val="16"/>
      <w:szCs w:val="16"/>
    </w:rPr>
  </w:style>
  <w:style w:type="paragraph" w:styleId="CommentText">
    <w:name w:val="annotation text"/>
    <w:basedOn w:val="Normal"/>
    <w:link w:val="CommentTextChar"/>
    <w:uiPriority w:val="99"/>
    <w:semiHidden/>
    <w:unhideWhenUsed/>
    <w:rsid w:val="00AA0401"/>
    <w:rPr>
      <w:sz w:val="20"/>
    </w:rPr>
  </w:style>
  <w:style w:type="character" w:customStyle="1" w:styleId="CommentTextChar">
    <w:name w:val="Comment Text Char"/>
    <w:basedOn w:val="DefaultParagraphFont"/>
    <w:link w:val="CommentText"/>
    <w:uiPriority w:val="99"/>
    <w:semiHidden/>
    <w:rsid w:val="00AA0401"/>
    <w:rPr>
      <w:rFonts w:eastAsia="Times New Roman"/>
    </w:rPr>
  </w:style>
  <w:style w:type="paragraph" w:styleId="CommentSubject">
    <w:name w:val="annotation subject"/>
    <w:basedOn w:val="CommentText"/>
    <w:next w:val="CommentText"/>
    <w:link w:val="CommentSubjectChar"/>
    <w:uiPriority w:val="99"/>
    <w:semiHidden/>
    <w:unhideWhenUsed/>
    <w:rsid w:val="00AA0401"/>
    <w:rPr>
      <w:b/>
      <w:bCs/>
    </w:rPr>
  </w:style>
  <w:style w:type="character" w:customStyle="1" w:styleId="CommentSubjectChar">
    <w:name w:val="Comment Subject Char"/>
    <w:basedOn w:val="CommentTextChar"/>
    <w:link w:val="CommentSubject"/>
    <w:uiPriority w:val="99"/>
    <w:semiHidden/>
    <w:rsid w:val="00AA0401"/>
    <w:rPr>
      <w:rFonts w:eastAsia="Times New Roman"/>
      <w:b/>
      <w:bCs/>
    </w:rPr>
  </w:style>
  <w:style w:type="character" w:styleId="Hyperlink">
    <w:name w:val="Hyperlink"/>
    <w:basedOn w:val="DefaultParagraphFont"/>
    <w:uiPriority w:val="99"/>
    <w:unhideWhenUsed/>
    <w:rsid w:val="003C3C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5624">
      <w:bodyDiv w:val="1"/>
      <w:marLeft w:val="0"/>
      <w:marRight w:val="0"/>
      <w:marTop w:val="0"/>
      <w:marBottom w:val="0"/>
      <w:divBdr>
        <w:top w:val="none" w:sz="0" w:space="0" w:color="auto"/>
        <w:left w:val="none" w:sz="0" w:space="0" w:color="auto"/>
        <w:bottom w:val="none" w:sz="0" w:space="0" w:color="auto"/>
        <w:right w:val="none" w:sz="0" w:space="0" w:color="auto"/>
      </w:divBdr>
    </w:div>
    <w:div w:id="122960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pse.com/aboutpse/EnergySupply/Documents/IRPAG_Presentation_2015-05-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2016-02-01T08:00:00+00:00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E0CF0FE-17C5-4B40-AA01-BE6E6106737B}"/>
</file>

<file path=customXml/itemProps2.xml><?xml version="1.0" encoding="utf-8"?>
<ds:datastoreItem xmlns:ds="http://schemas.openxmlformats.org/officeDocument/2006/customXml" ds:itemID="{832B357B-3E61-4FF8-B6EC-FEA8B13FC015}"/>
</file>

<file path=customXml/itemProps3.xml><?xml version="1.0" encoding="utf-8"?>
<ds:datastoreItem xmlns:ds="http://schemas.openxmlformats.org/officeDocument/2006/customXml" ds:itemID="{34494482-AB14-4CDA-A849-1ED7ED1D7B82}"/>
</file>

<file path=customXml/itemProps4.xml><?xml version="1.0" encoding="utf-8"?>
<ds:datastoreItem xmlns:ds="http://schemas.openxmlformats.org/officeDocument/2006/customXml" ds:itemID="{39BC5558-90C6-4CCA-8EFB-F0A1004525A7}"/>
</file>

<file path=customXml/itemProps5.xml><?xml version="1.0" encoding="utf-8"?>
<ds:datastoreItem xmlns:ds="http://schemas.openxmlformats.org/officeDocument/2006/customXml" ds:itemID="{EBD4A26A-0948-4896-9C52-E40E99A2078F}"/>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7520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Attorney General</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carolw</dc:creator>
  <cp:lastModifiedBy>Mak, Chanda (ATG)</cp:lastModifiedBy>
  <cp:revision>2</cp:revision>
  <cp:lastPrinted>2016-02-01T23:39:00Z</cp:lastPrinted>
  <dcterms:created xsi:type="dcterms:W3CDTF">2016-02-02T00:29:00Z</dcterms:created>
  <dcterms:modified xsi:type="dcterms:W3CDTF">2016-02-02T00:29:00Z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-1847695643</vt:i4>
  </property>
  <property fmtid="{D5CDD505-2E9C-101B-9397-08002B2CF9AE}" pid="3" name="_NewReviewCycle">
    <vt:lpwstr/>
  </property>
  <property fmtid="{D5CDD505-2E9C-101B-9397-08002B2CF9AE}" pid="4" name="_EmailSubject">
    <vt:lpwstr>Comments for formatting.</vt:lpwstr>
  </property>
  <property fmtid="{D5CDD505-2E9C-101B-9397-08002B2CF9AE}" pid="5" name="_AuthorEmail">
    <vt:lpwstr>StefanieJ@ATG.WA.GOV</vt:lpwstr>
  </property>
  <property fmtid="{D5CDD505-2E9C-101B-9397-08002B2CF9AE}" pid="6" name="_AuthorEmailDisplayName">
    <vt:lpwstr>Johnson, Stefanie (ATG)</vt:lpwstr>
  </property>
  <property fmtid="{D5CDD505-2E9C-101B-9397-08002B2CF9AE}" pid="7" name="_PreviousAdHocReviewCycleID">
    <vt:i4>262941280</vt:i4>
  </property>
  <property fmtid="{D5CDD505-2E9C-101B-9397-08002B2CF9AE}" pid="8" name="ContentTypeId">
    <vt:lpwstr>0x0101006E56B4D1795A2E4DB2F0B01679ED314A00CD7830C01A199B4B9669B9266D9E57D0</vt:lpwstr>
  </property>
  <property fmtid="{D5CDD505-2E9C-101B-9397-08002B2CF9AE}" pid="9" name="_docset_NoMedatataSyncRequired">
    <vt:lpwstr>False</vt:lpwstr>
  </property>
</Properties>
</file>