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1E353" w14:textId="77777777" w:rsidR="00F748D8" w:rsidRPr="004A2910" w:rsidRDefault="00F748D8" w:rsidP="000A6D23">
      <w:pPr>
        <w:ind w:right="-108"/>
        <w:jc w:val="both"/>
        <w:rPr>
          <w:sz w:val="24"/>
        </w:rPr>
      </w:pPr>
      <w:r w:rsidRPr="004A2910">
        <w:rPr>
          <w:sz w:val="24"/>
        </w:rPr>
        <w:t>BEFORE THE WASHINGTON UTILITIES AND TRANSPORTATION COMMISSION</w:t>
      </w:r>
    </w:p>
    <w:p w14:paraId="4421E354" w14:textId="77777777" w:rsidR="00F748D8" w:rsidRPr="004A2910" w:rsidRDefault="00F748D8" w:rsidP="00F748D8">
      <w:pPr>
        <w:jc w:val="both"/>
        <w:rPr>
          <w:sz w:val="24"/>
        </w:rPr>
      </w:pPr>
    </w:p>
    <w:p w14:paraId="4421E355" w14:textId="77777777" w:rsidR="00F748D8" w:rsidRPr="004A2910" w:rsidRDefault="00F748D8" w:rsidP="00F748D8">
      <w:pPr>
        <w:jc w:val="both"/>
        <w:rPr>
          <w:sz w:val="24"/>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F748D8" w:rsidRPr="004A2910" w14:paraId="4421E362" w14:textId="77777777">
        <w:tc>
          <w:tcPr>
            <w:tcW w:w="4590" w:type="dxa"/>
            <w:tcBorders>
              <w:top w:val="single" w:sz="6" w:space="0" w:color="FFFFFF"/>
              <w:left w:val="single" w:sz="6" w:space="0" w:color="FFFFFF"/>
              <w:bottom w:val="single" w:sz="7" w:space="0" w:color="000000"/>
              <w:right w:val="single" w:sz="6" w:space="0" w:color="FFFFFF"/>
            </w:tcBorders>
          </w:tcPr>
          <w:p w14:paraId="438D0C46" w14:textId="77777777" w:rsidR="00F518C4" w:rsidRPr="00F518C4" w:rsidRDefault="00F518C4" w:rsidP="00F518C4">
            <w:pPr>
              <w:pStyle w:val="Header"/>
              <w:tabs>
                <w:tab w:val="left" w:pos="681"/>
                <w:tab w:val="left" w:pos="1401"/>
              </w:tabs>
              <w:spacing w:line="240" w:lineRule="exact"/>
              <w:rPr>
                <w:sz w:val="24"/>
              </w:rPr>
            </w:pPr>
            <w:r w:rsidRPr="00F518C4">
              <w:rPr>
                <w:sz w:val="24"/>
              </w:rPr>
              <w:t xml:space="preserve">WASHINGTON UTILITIES AND TRANSPORTATION COMMISSION, </w:t>
            </w:r>
          </w:p>
          <w:p w14:paraId="151CA602" w14:textId="77777777" w:rsidR="00F518C4" w:rsidRPr="00F518C4" w:rsidRDefault="00F518C4" w:rsidP="00F518C4">
            <w:pPr>
              <w:pStyle w:val="Header"/>
              <w:tabs>
                <w:tab w:val="left" w:pos="681"/>
                <w:tab w:val="left" w:pos="1401"/>
              </w:tabs>
              <w:spacing w:line="240" w:lineRule="exact"/>
              <w:rPr>
                <w:sz w:val="24"/>
              </w:rPr>
            </w:pPr>
          </w:p>
          <w:p w14:paraId="071966A2" w14:textId="77777777" w:rsidR="00F518C4" w:rsidRPr="00F518C4" w:rsidRDefault="00F518C4" w:rsidP="00F518C4">
            <w:pPr>
              <w:pStyle w:val="Header"/>
              <w:tabs>
                <w:tab w:val="left" w:pos="681"/>
                <w:tab w:val="left" w:pos="1401"/>
              </w:tabs>
              <w:spacing w:line="240" w:lineRule="exact"/>
              <w:rPr>
                <w:sz w:val="24"/>
              </w:rPr>
            </w:pPr>
            <w:r w:rsidRPr="00F518C4">
              <w:rPr>
                <w:sz w:val="24"/>
              </w:rPr>
              <w:tab/>
            </w:r>
            <w:r w:rsidRPr="00F518C4">
              <w:rPr>
                <w:sz w:val="24"/>
              </w:rPr>
              <w:tab/>
              <w:t>Complainant,</w:t>
            </w:r>
          </w:p>
          <w:p w14:paraId="74830866" w14:textId="77777777" w:rsidR="00F518C4" w:rsidRPr="00F518C4" w:rsidRDefault="00F518C4" w:rsidP="00F518C4">
            <w:pPr>
              <w:pStyle w:val="Header"/>
              <w:tabs>
                <w:tab w:val="left" w:pos="681"/>
                <w:tab w:val="left" w:pos="1401"/>
              </w:tabs>
              <w:spacing w:line="240" w:lineRule="exact"/>
              <w:rPr>
                <w:sz w:val="24"/>
              </w:rPr>
            </w:pPr>
          </w:p>
          <w:p w14:paraId="61E6300E" w14:textId="77777777" w:rsidR="00F518C4" w:rsidRPr="00F518C4" w:rsidRDefault="00F518C4" w:rsidP="00F518C4">
            <w:pPr>
              <w:pStyle w:val="Header"/>
              <w:tabs>
                <w:tab w:val="left" w:pos="681"/>
                <w:tab w:val="left" w:pos="1401"/>
              </w:tabs>
              <w:spacing w:line="240" w:lineRule="exact"/>
              <w:rPr>
                <w:sz w:val="24"/>
              </w:rPr>
            </w:pPr>
            <w:r w:rsidRPr="00F518C4">
              <w:rPr>
                <w:sz w:val="24"/>
              </w:rPr>
              <w:tab/>
              <w:t>v.</w:t>
            </w:r>
          </w:p>
          <w:p w14:paraId="56CE84CB" w14:textId="77777777" w:rsidR="00F518C4" w:rsidRPr="00F518C4" w:rsidRDefault="00F518C4" w:rsidP="00F518C4">
            <w:pPr>
              <w:pStyle w:val="Header"/>
              <w:tabs>
                <w:tab w:val="left" w:pos="681"/>
                <w:tab w:val="left" w:pos="1401"/>
              </w:tabs>
              <w:spacing w:line="240" w:lineRule="exact"/>
              <w:rPr>
                <w:sz w:val="24"/>
              </w:rPr>
            </w:pPr>
          </w:p>
          <w:p w14:paraId="4BC93550" w14:textId="77777777" w:rsidR="00F518C4" w:rsidRPr="00F518C4" w:rsidRDefault="00F518C4" w:rsidP="00F518C4">
            <w:pPr>
              <w:pStyle w:val="Header"/>
              <w:tabs>
                <w:tab w:val="left" w:pos="681"/>
                <w:tab w:val="left" w:pos="1401"/>
              </w:tabs>
              <w:spacing w:line="240" w:lineRule="exact"/>
              <w:rPr>
                <w:sz w:val="24"/>
              </w:rPr>
            </w:pPr>
            <w:r w:rsidRPr="00F518C4">
              <w:rPr>
                <w:sz w:val="24"/>
              </w:rPr>
              <w:t xml:space="preserve">AVISTA CORPORATION, </w:t>
            </w:r>
          </w:p>
          <w:p w14:paraId="010F288A" w14:textId="77777777" w:rsidR="00F518C4" w:rsidRPr="00F518C4" w:rsidRDefault="00F518C4" w:rsidP="00F518C4">
            <w:pPr>
              <w:pStyle w:val="Header"/>
              <w:tabs>
                <w:tab w:val="left" w:pos="681"/>
                <w:tab w:val="left" w:pos="1401"/>
              </w:tabs>
              <w:spacing w:line="240" w:lineRule="exact"/>
              <w:rPr>
                <w:sz w:val="24"/>
              </w:rPr>
            </w:pPr>
          </w:p>
          <w:p w14:paraId="3D92EDE1" w14:textId="77777777" w:rsidR="00F518C4" w:rsidRPr="00F518C4" w:rsidRDefault="00F518C4" w:rsidP="00F518C4">
            <w:pPr>
              <w:pStyle w:val="Header"/>
              <w:tabs>
                <w:tab w:val="left" w:pos="681"/>
                <w:tab w:val="left" w:pos="1401"/>
              </w:tabs>
              <w:spacing w:line="240" w:lineRule="exact"/>
              <w:rPr>
                <w:sz w:val="24"/>
              </w:rPr>
            </w:pPr>
            <w:r w:rsidRPr="00F518C4">
              <w:rPr>
                <w:sz w:val="24"/>
              </w:rPr>
              <w:tab/>
            </w:r>
            <w:r w:rsidRPr="00F518C4">
              <w:rPr>
                <w:sz w:val="24"/>
              </w:rPr>
              <w:tab/>
              <w:t>Respondent.</w:t>
            </w:r>
          </w:p>
          <w:p w14:paraId="4421E35E" w14:textId="77777777" w:rsidR="004F69A5" w:rsidRPr="004A2910" w:rsidRDefault="004F69A5" w:rsidP="00F518C4">
            <w:pPr>
              <w:spacing w:after="19"/>
              <w:rPr>
                <w:sz w:val="24"/>
              </w:rPr>
            </w:pPr>
          </w:p>
        </w:tc>
        <w:tc>
          <w:tcPr>
            <w:tcW w:w="4590" w:type="dxa"/>
            <w:tcBorders>
              <w:top w:val="single" w:sz="6" w:space="0" w:color="FFFFFF"/>
              <w:left w:val="single" w:sz="7" w:space="0" w:color="000000"/>
              <w:bottom w:val="single" w:sz="6" w:space="0" w:color="FFFFFF"/>
              <w:right w:val="single" w:sz="6" w:space="0" w:color="FFFFFF"/>
            </w:tcBorders>
          </w:tcPr>
          <w:p w14:paraId="51A03407" w14:textId="77777777" w:rsidR="00F518C4" w:rsidRPr="00F518C4" w:rsidRDefault="00F518C4" w:rsidP="00F518C4">
            <w:pPr>
              <w:ind w:firstLine="720"/>
              <w:rPr>
                <w:sz w:val="24"/>
              </w:rPr>
            </w:pPr>
            <w:r w:rsidRPr="00F518C4">
              <w:rPr>
                <w:sz w:val="24"/>
              </w:rPr>
              <w:t>DOCKETS UE-160228/UG-160229</w:t>
            </w:r>
          </w:p>
          <w:p w14:paraId="09F8D16E" w14:textId="77777777" w:rsidR="00F518C4" w:rsidRPr="00F518C4" w:rsidRDefault="00F518C4" w:rsidP="00F518C4">
            <w:pPr>
              <w:ind w:firstLine="720"/>
              <w:rPr>
                <w:sz w:val="24"/>
              </w:rPr>
            </w:pPr>
          </w:p>
          <w:p w14:paraId="4421E361" w14:textId="2987171E" w:rsidR="00F748D8" w:rsidRPr="004A2910" w:rsidRDefault="00F518C4" w:rsidP="00F518C4">
            <w:pPr>
              <w:spacing w:after="19"/>
              <w:ind w:left="720"/>
              <w:rPr>
                <w:sz w:val="24"/>
              </w:rPr>
            </w:pPr>
            <w:r w:rsidRPr="00F518C4">
              <w:rPr>
                <w:sz w:val="24"/>
              </w:rPr>
              <w:t>MOTION TO STRIKE, OR IN THE ALTERNATIVE, MOTION FOR SURREBUTTAL, ON BEHALF OF COMMISSION STAFF</w:t>
            </w:r>
            <w:r w:rsidR="00F748D8" w:rsidRPr="004A2910">
              <w:rPr>
                <w:sz w:val="24"/>
              </w:rPr>
              <w:t xml:space="preserve"> </w:t>
            </w:r>
          </w:p>
        </w:tc>
      </w:tr>
    </w:tbl>
    <w:p w14:paraId="4421E363" w14:textId="77777777" w:rsidR="00F748D8" w:rsidRDefault="00F748D8" w:rsidP="00F748D8">
      <w:pPr>
        <w:jc w:val="both"/>
        <w:rPr>
          <w:sz w:val="24"/>
        </w:rPr>
      </w:pPr>
    </w:p>
    <w:p w14:paraId="4421E364" w14:textId="32365ECF" w:rsidR="00F748D8" w:rsidRDefault="00F518C4" w:rsidP="000A6D23">
      <w:pPr>
        <w:pStyle w:val="ListParagraph"/>
        <w:numPr>
          <w:ilvl w:val="0"/>
          <w:numId w:val="4"/>
        </w:numPr>
        <w:ind w:left="0" w:firstLine="0"/>
        <w:jc w:val="center"/>
        <w:rPr>
          <w:b/>
          <w:sz w:val="24"/>
        </w:rPr>
      </w:pPr>
      <w:r w:rsidRPr="00F518C4">
        <w:rPr>
          <w:b/>
          <w:sz w:val="24"/>
        </w:rPr>
        <w:t>INTRODUCTION</w:t>
      </w:r>
    </w:p>
    <w:p w14:paraId="5FA7616F" w14:textId="77777777" w:rsidR="000A6D23" w:rsidRPr="00F518C4" w:rsidRDefault="000A6D23" w:rsidP="000A6D23">
      <w:pPr>
        <w:pStyle w:val="ListParagraph"/>
        <w:ind w:left="0"/>
        <w:rPr>
          <w:b/>
          <w:sz w:val="24"/>
        </w:rPr>
      </w:pPr>
    </w:p>
    <w:p w14:paraId="4421E365" w14:textId="22BDB839" w:rsidR="00F748D8" w:rsidRPr="00F518C4" w:rsidRDefault="0041250C" w:rsidP="000A6D23">
      <w:pPr>
        <w:numPr>
          <w:ilvl w:val="0"/>
          <w:numId w:val="2"/>
        </w:numPr>
        <w:spacing w:line="480" w:lineRule="auto"/>
        <w:rPr>
          <w:sz w:val="24"/>
        </w:rPr>
      </w:pPr>
      <w:r>
        <w:rPr>
          <w:sz w:val="24"/>
        </w:rPr>
        <w:tab/>
        <w:t xml:space="preserve">Pursuant to WAC 480-07-375(1)(d), Staff of the Washington Utilities and Transportation (Commission) files this motion to strike, or in the alternative for leave to present surrebuttal testimony </w:t>
      </w:r>
      <w:r w:rsidR="007F4412">
        <w:rPr>
          <w:sz w:val="24"/>
        </w:rPr>
        <w:t xml:space="preserve">to respond to a proposal that </w:t>
      </w:r>
      <w:r>
        <w:rPr>
          <w:sz w:val="24"/>
        </w:rPr>
        <w:t>Avista Corporation</w:t>
      </w:r>
      <w:r w:rsidR="007F4412">
        <w:rPr>
          <w:sz w:val="24"/>
        </w:rPr>
        <w:t xml:space="preserve"> (Avista or Company) first presented </w:t>
      </w:r>
      <w:r w:rsidR="00C10266">
        <w:rPr>
          <w:sz w:val="24"/>
        </w:rPr>
        <w:t>on</w:t>
      </w:r>
      <w:r w:rsidR="007F4412">
        <w:rPr>
          <w:sz w:val="24"/>
        </w:rPr>
        <w:t xml:space="preserve"> rebuttal concerning</w:t>
      </w:r>
      <w:r>
        <w:rPr>
          <w:sz w:val="24"/>
        </w:rPr>
        <w:t xml:space="preserve"> accounting treatment of Advanced Metering Infrastructure </w:t>
      </w:r>
      <w:r w:rsidR="007F4412">
        <w:rPr>
          <w:sz w:val="24"/>
        </w:rPr>
        <w:t xml:space="preserve">(AMI) </w:t>
      </w:r>
      <w:r w:rsidR="009108E7">
        <w:rPr>
          <w:sz w:val="24"/>
        </w:rPr>
        <w:t>costs</w:t>
      </w:r>
      <w:r>
        <w:rPr>
          <w:sz w:val="24"/>
        </w:rPr>
        <w:t>.</w:t>
      </w:r>
      <w:r w:rsidR="00F748D8" w:rsidRPr="00F518C4">
        <w:rPr>
          <w:sz w:val="24"/>
        </w:rPr>
        <w:t xml:space="preserve"> </w:t>
      </w:r>
    </w:p>
    <w:p w14:paraId="5BFF3E61" w14:textId="58CAE04B" w:rsidR="00F518C4" w:rsidRDefault="00F518C4" w:rsidP="000A6D23">
      <w:pPr>
        <w:pStyle w:val="ListParagraph"/>
        <w:numPr>
          <w:ilvl w:val="0"/>
          <w:numId w:val="4"/>
        </w:numPr>
        <w:ind w:left="0" w:firstLine="0"/>
        <w:jc w:val="center"/>
        <w:rPr>
          <w:b/>
          <w:sz w:val="24"/>
        </w:rPr>
      </w:pPr>
      <w:r w:rsidRPr="00F518C4">
        <w:rPr>
          <w:b/>
          <w:sz w:val="24"/>
        </w:rPr>
        <w:t>RELIEF REQUESTED</w:t>
      </w:r>
    </w:p>
    <w:p w14:paraId="71F4C10E" w14:textId="77777777" w:rsidR="000A6D23" w:rsidRDefault="000A6D23" w:rsidP="000A6D23">
      <w:pPr>
        <w:pStyle w:val="ListParagraph"/>
        <w:ind w:left="0"/>
        <w:rPr>
          <w:b/>
          <w:sz w:val="24"/>
        </w:rPr>
      </w:pPr>
    </w:p>
    <w:p w14:paraId="770EF9A8" w14:textId="4F43A5F9" w:rsidR="0041250C" w:rsidRPr="0041250C" w:rsidRDefault="0041250C" w:rsidP="000A6D23">
      <w:pPr>
        <w:numPr>
          <w:ilvl w:val="0"/>
          <w:numId w:val="2"/>
        </w:numPr>
        <w:spacing w:line="480" w:lineRule="auto"/>
        <w:rPr>
          <w:sz w:val="24"/>
        </w:rPr>
      </w:pPr>
      <w:r>
        <w:rPr>
          <w:sz w:val="24"/>
        </w:rPr>
        <w:tab/>
        <w:t>Commission Staff (Staff) moves the C</w:t>
      </w:r>
      <w:r w:rsidR="007F4412">
        <w:rPr>
          <w:sz w:val="24"/>
        </w:rPr>
        <w:t>ommission to strike portions of the</w:t>
      </w:r>
      <w:r>
        <w:rPr>
          <w:sz w:val="24"/>
        </w:rPr>
        <w:t xml:space="preserve"> </w:t>
      </w:r>
      <w:r w:rsidR="007F4412">
        <w:rPr>
          <w:sz w:val="24"/>
        </w:rPr>
        <w:t xml:space="preserve">rebuttal </w:t>
      </w:r>
      <w:r>
        <w:rPr>
          <w:sz w:val="24"/>
        </w:rPr>
        <w:t xml:space="preserve">testimonies of Avista witnesses Mr. Kelly Norwood </w:t>
      </w:r>
      <w:r w:rsidR="007F4412">
        <w:rPr>
          <w:sz w:val="24"/>
        </w:rPr>
        <w:t xml:space="preserve">and Ms. Elizabeth Andrews that discuss a proposal for deferred accounting treatment of </w:t>
      </w:r>
      <w:r w:rsidR="00CC23FA">
        <w:rPr>
          <w:sz w:val="24"/>
        </w:rPr>
        <w:t>AMI</w:t>
      </w:r>
      <w:r w:rsidR="007F4412">
        <w:rPr>
          <w:sz w:val="24"/>
        </w:rPr>
        <w:t xml:space="preserve"> </w:t>
      </w:r>
      <w:r w:rsidR="00A778A9">
        <w:rPr>
          <w:sz w:val="24"/>
        </w:rPr>
        <w:t>costs</w:t>
      </w:r>
      <w:r w:rsidR="007F4412">
        <w:rPr>
          <w:sz w:val="24"/>
        </w:rPr>
        <w:t xml:space="preserve">. </w:t>
      </w:r>
      <w:r w:rsidR="00CC23FA">
        <w:rPr>
          <w:sz w:val="24"/>
        </w:rPr>
        <w:t xml:space="preserve">In the alternative, Staff moves for leave to file written surrebuttal testimony one week following the close of the evidentiary hearing, to be considered at a supplemental hearing on only this issue. As a further alternative, Staff requests leave to present oral surrebuttal on this issue at the evidentiary hearing scheduled to begin October 12, 2016. </w:t>
      </w:r>
      <w:r>
        <w:rPr>
          <w:sz w:val="24"/>
        </w:rPr>
        <w:t xml:space="preserve"> </w:t>
      </w:r>
    </w:p>
    <w:p w14:paraId="5AD5D7F6" w14:textId="77187B9C" w:rsidR="00F518C4" w:rsidRDefault="00F518C4" w:rsidP="000A6D23">
      <w:pPr>
        <w:pStyle w:val="ListParagraph"/>
        <w:numPr>
          <w:ilvl w:val="0"/>
          <w:numId w:val="4"/>
        </w:numPr>
        <w:ind w:left="0" w:firstLine="0"/>
        <w:jc w:val="center"/>
        <w:rPr>
          <w:b/>
          <w:sz w:val="24"/>
        </w:rPr>
      </w:pPr>
      <w:r w:rsidRPr="00F518C4">
        <w:rPr>
          <w:b/>
          <w:sz w:val="24"/>
        </w:rPr>
        <w:t>STATEMENT OF FACTS</w:t>
      </w:r>
    </w:p>
    <w:p w14:paraId="20B281C9" w14:textId="77777777" w:rsidR="000A6D23" w:rsidRDefault="000A6D23" w:rsidP="000A6D23">
      <w:pPr>
        <w:pStyle w:val="ListParagraph"/>
        <w:ind w:left="0"/>
        <w:rPr>
          <w:b/>
          <w:sz w:val="24"/>
        </w:rPr>
      </w:pPr>
    </w:p>
    <w:p w14:paraId="0FD0C691" w14:textId="28F18032" w:rsidR="0041250C" w:rsidRPr="00CD3811" w:rsidRDefault="00B6762E" w:rsidP="000A6D23">
      <w:pPr>
        <w:numPr>
          <w:ilvl w:val="0"/>
          <w:numId w:val="2"/>
        </w:numPr>
        <w:spacing w:line="480" w:lineRule="auto"/>
        <w:rPr>
          <w:sz w:val="24"/>
        </w:rPr>
      </w:pPr>
      <w:r>
        <w:rPr>
          <w:b/>
          <w:sz w:val="24"/>
        </w:rPr>
        <w:tab/>
      </w:r>
      <w:r w:rsidR="00C50114">
        <w:rPr>
          <w:sz w:val="24"/>
        </w:rPr>
        <w:t>On September 19, 2016, Avista filed rebuttal testimon</w:t>
      </w:r>
      <w:r w:rsidR="007C2EFD">
        <w:rPr>
          <w:sz w:val="24"/>
        </w:rPr>
        <w:t>y. The rebuttal filing contains</w:t>
      </w:r>
      <w:r w:rsidR="00C50114">
        <w:rPr>
          <w:sz w:val="24"/>
        </w:rPr>
        <w:t xml:space="preserve"> </w:t>
      </w:r>
      <w:r w:rsidR="00C50114">
        <w:rPr>
          <w:sz w:val="24"/>
        </w:rPr>
        <w:lastRenderedPageBreak/>
        <w:t>testimony from Mr. Nor</w:t>
      </w:r>
      <w:r w:rsidR="007C2EFD">
        <w:rPr>
          <w:sz w:val="24"/>
        </w:rPr>
        <w:t>wood and Ms. Andrews introducing a proposal for deferred accounting treatment related to AMI. Mr. Norwood reque</w:t>
      </w:r>
      <w:r w:rsidR="00D74E25">
        <w:rPr>
          <w:sz w:val="24"/>
        </w:rPr>
        <w:t>sts that the Commission approve</w:t>
      </w:r>
      <w:r w:rsidR="007C2EFD">
        <w:rPr>
          <w:sz w:val="24"/>
        </w:rPr>
        <w:t xml:space="preserve"> deferred accounting treatment for the AMI project if the Commission does not approve recovery of the AMI costs as proposed by Avista.</w:t>
      </w:r>
      <w:r w:rsidR="007C2EFD" w:rsidRPr="009108E7">
        <w:rPr>
          <w:vertAlign w:val="superscript"/>
        </w:rPr>
        <w:footnoteReference w:id="1"/>
      </w:r>
      <w:r w:rsidR="00C50114">
        <w:rPr>
          <w:sz w:val="24"/>
        </w:rPr>
        <w:t xml:space="preserve"> </w:t>
      </w:r>
      <w:r w:rsidR="007C2EFD">
        <w:rPr>
          <w:sz w:val="24"/>
        </w:rPr>
        <w:t>Ms. Andrews describes the proposed deferred accounting treatment in under two pages of testimony.</w:t>
      </w:r>
      <w:r w:rsidR="007C2EFD" w:rsidRPr="009108E7">
        <w:rPr>
          <w:vertAlign w:val="superscript"/>
        </w:rPr>
        <w:footnoteReference w:id="2"/>
      </w:r>
      <w:r w:rsidR="002B3B31">
        <w:rPr>
          <w:sz w:val="24"/>
        </w:rPr>
        <w:t xml:space="preserve"> </w:t>
      </w:r>
      <w:r w:rsidR="005B3A71">
        <w:rPr>
          <w:sz w:val="24"/>
        </w:rPr>
        <w:t>The essence of the Company’s proposal consists of</w:t>
      </w:r>
      <w:r w:rsidR="002B3B31">
        <w:rPr>
          <w:sz w:val="24"/>
        </w:rPr>
        <w:t xml:space="preserve"> the following:</w:t>
      </w:r>
    </w:p>
    <w:p w14:paraId="72D8F7AF" w14:textId="53CFC9EA" w:rsidR="002B3B31" w:rsidRDefault="002B3B31" w:rsidP="000A6D23">
      <w:pPr>
        <w:ind w:left="720"/>
        <w:rPr>
          <w:sz w:val="24"/>
        </w:rPr>
      </w:pPr>
      <w:r w:rsidRPr="002B3B31">
        <w:rPr>
          <w:sz w:val="24"/>
        </w:rPr>
        <w:t>The revenue requirement associated with the actual investment in AMI that transfers to plant in service between January 1, 2017 and June 30, 2018, would be deferred to preserve the opportunity for recovery in a future proceeding. This includes the costs of depreciation and the return on investment, including any related increases or reductions in O&amp;M expenses.</w:t>
      </w:r>
      <w:r>
        <w:rPr>
          <w:rStyle w:val="FootnoteReference"/>
          <w:sz w:val="24"/>
        </w:rPr>
        <w:footnoteReference w:id="3"/>
      </w:r>
    </w:p>
    <w:p w14:paraId="64B20DFE" w14:textId="77777777" w:rsidR="000A6D23" w:rsidRPr="002B3B31" w:rsidRDefault="000A6D23" w:rsidP="000A6D23">
      <w:pPr>
        <w:ind w:left="720"/>
        <w:rPr>
          <w:b/>
          <w:sz w:val="24"/>
        </w:rPr>
      </w:pPr>
    </w:p>
    <w:p w14:paraId="7473637B" w14:textId="1F5F5859" w:rsidR="002B3B31" w:rsidRPr="00FB70C8" w:rsidRDefault="00D74E25" w:rsidP="000A6D23">
      <w:pPr>
        <w:numPr>
          <w:ilvl w:val="0"/>
          <w:numId w:val="2"/>
        </w:numPr>
        <w:spacing w:line="480" w:lineRule="auto"/>
        <w:rPr>
          <w:b/>
          <w:sz w:val="24"/>
        </w:rPr>
      </w:pPr>
      <w:r>
        <w:rPr>
          <w:sz w:val="24"/>
        </w:rPr>
        <w:tab/>
        <w:t>Avista did not propose deferred accounting treatment for the AMI project in its direct testimony.</w:t>
      </w:r>
      <w:r w:rsidR="00FB70C8">
        <w:rPr>
          <w:sz w:val="24"/>
        </w:rPr>
        <w:t xml:space="preserve"> In its initial filing Avista </w:t>
      </w:r>
      <w:r w:rsidR="009478F5">
        <w:rPr>
          <w:sz w:val="24"/>
        </w:rPr>
        <w:t xml:space="preserve">proposed only that a portion of the </w:t>
      </w:r>
      <w:r w:rsidR="00FB70C8">
        <w:rPr>
          <w:sz w:val="24"/>
        </w:rPr>
        <w:t xml:space="preserve">Company’s </w:t>
      </w:r>
      <w:r w:rsidR="009478F5">
        <w:rPr>
          <w:sz w:val="24"/>
        </w:rPr>
        <w:t>projected costs for the AMI project be incorporated into the revenue requirement as an “after-attrition adjustment.”</w:t>
      </w:r>
      <w:r w:rsidR="009478F5">
        <w:rPr>
          <w:rStyle w:val="FootnoteReference"/>
          <w:sz w:val="24"/>
        </w:rPr>
        <w:footnoteReference w:id="4"/>
      </w:r>
      <w:r w:rsidR="002A2B53">
        <w:rPr>
          <w:sz w:val="24"/>
        </w:rPr>
        <w:t xml:space="preserve"> Avista first proposed deferred accounting treatment f</w:t>
      </w:r>
      <w:r w:rsidR="00FB70C8">
        <w:rPr>
          <w:sz w:val="24"/>
        </w:rPr>
        <w:t>or AMI in</w:t>
      </w:r>
      <w:r w:rsidR="002A2B53">
        <w:rPr>
          <w:sz w:val="24"/>
        </w:rPr>
        <w:t xml:space="preserve"> rebuttal testimony.</w:t>
      </w:r>
    </w:p>
    <w:p w14:paraId="6B95926F" w14:textId="385B0EAF" w:rsidR="00FB70C8" w:rsidRPr="004B2ED5" w:rsidRDefault="00FB70C8" w:rsidP="000A6D23">
      <w:pPr>
        <w:numPr>
          <w:ilvl w:val="0"/>
          <w:numId w:val="2"/>
        </w:numPr>
        <w:spacing w:line="480" w:lineRule="auto"/>
        <w:rPr>
          <w:b/>
          <w:sz w:val="24"/>
        </w:rPr>
      </w:pPr>
      <w:r>
        <w:rPr>
          <w:b/>
          <w:sz w:val="24"/>
        </w:rPr>
        <w:tab/>
      </w:r>
      <w:r w:rsidR="00A778A9">
        <w:rPr>
          <w:sz w:val="24"/>
        </w:rPr>
        <w:t xml:space="preserve">Staff witnesses </w:t>
      </w:r>
      <w:r>
        <w:rPr>
          <w:sz w:val="24"/>
        </w:rPr>
        <w:t xml:space="preserve">Ms. </w:t>
      </w:r>
      <w:r w:rsidR="00A778A9">
        <w:rPr>
          <w:sz w:val="24"/>
        </w:rPr>
        <w:t xml:space="preserve">Melissa </w:t>
      </w:r>
      <w:r>
        <w:rPr>
          <w:sz w:val="24"/>
        </w:rPr>
        <w:t xml:space="preserve">Cheesman and Mr. </w:t>
      </w:r>
      <w:r w:rsidR="00A778A9">
        <w:rPr>
          <w:sz w:val="24"/>
        </w:rPr>
        <w:t xml:space="preserve">David </w:t>
      </w:r>
      <w:r>
        <w:rPr>
          <w:sz w:val="24"/>
        </w:rPr>
        <w:t xml:space="preserve">Nightingale presented </w:t>
      </w:r>
      <w:r w:rsidR="00A778A9">
        <w:rPr>
          <w:sz w:val="24"/>
        </w:rPr>
        <w:t>response</w:t>
      </w:r>
      <w:r>
        <w:rPr>
          <w:sz w:val="24"/>
        </w:rPr>
        <w:t xml:space="preserve"> testimony concerning the AMI project. Neither of them discussed deferred accounting treatment for the AMI project in their respective testimonies.</w:t>
      </w:r>
    </w:p>
    <w:p w14:paraId="1F73EC67" w14:textId="1B4AFBA0" w:rsidR="00CD3811" w:rsidRPr="00AD76B2" w:rsidRDefault="004B2ED5" w:rsidP="000A6D23">
      <w:pPr>
        <w:numPr>
          <w:ilvl w:val="0"/>
          <w:numId w:val="2"/>
        </w:numPr>
        <w:spacing w:line="480" w:lineRule="auto"/>
        <w:rPr>
          <w:b/>
          <w:sz w:val="24"/>
        </w:rPr>
      </w:pPr>
      <w:r>
        <w:rPr>
          <w:b/>
          <w:sz w:val="24"/>
        </w:rPr>
        <w:tab/>
      </w:r>
      <w:r>
        <w:rPr>
          <w:sz w:val="24"/>
        </w:rPr>
        <w:t xml:space="preserve">The AMI project is a sizable project. </w:t>
      </w:r>
      <w:r w:rsidRPr="004B2ED5">
        <w:rPr>
          <w:sz w:val="24"/>
        </w:rPr>
        <w:t xml:space="preserve">Avista estimates that the deployment of AMI will cost approximately $166.7 million in capital and $123.4 million in operating expenses over </w:t>
      </w:r>
      <w:r w:rsidRPr="004B2ED5">
        <w:rPr>
          <w:sz w:val="24"/>
        </w:rPr>
        <w:lastRenderedPageBreak/>
        <w:t>the life of the AMI system.</w:t>
      </w:r>
      <w:r w:rsidRPr="004B2ED5">
        <w:rPr>
          <w:rStyle w:val="FootnoteReference"/>
          <w:sz w:val="24"/>
        </w:rPr>
        <w:footnoteReference w:id="5"/>
      </w:r>
    </w:p>
    <w:p w14:paraId="38FB22AE" w14:textId="443552C9" w:rsidR="000A6D23" w:rsidRPr="006B1845" w:rsidRDefault="00F518C4" w:rsidP="006B1845">
      <w:pPr>
        <w:pStyle w:val="ListParagraph"/>
        <w:keepNext/>
        <w:numPr>
          <w:ilvl w:val="0"/>
          <w:numId w:val="4"/>
        </w:numPr>
        <w:spacing w:line="480" w:lineRule="auto"/>
        <w:ind w:left="0" w:firstLine="0"/>
        <w:jc w:val="center"/>
        <w:rPr>
          <w:b/>
          <w:sz w:val="24"/>
        </w:rPr>
      </w:pPr>
      <w:r w:rsidRPr="00F518C4">
        <w:rPr>
          <w:b/>
          <w:sz w:val="24"/>
        </w:rPr>
        <w:t>STATEMENT OF ISSUES</w:t>
      </w:r>
    </w:p>
    <w:p w14:paraId="6B14AF3D" w14:textId="6FF95C50" w:rsidR="00FB5BE7" w:rsidRDefault="00FB5BE7" w:rsidP="006B1845">
      <w:pPr>
        <w:numPr>
          <w:ilvl w:val="0"/>
          <w:numId w:val="2"/>
        </w:numPr>
        <w:spacing w:line="480" w:lineRule="auto"/>
        <w:rPr>
          <w:b/>
          <w:sz w:val="24"/>
        </w:rPr>
      </w:pPr>
      <w:r>
        <w:rPr>
          <w:b/>
          <w:sz w:val="24"/>
        </w:rPr>
        <w:tab/>
      </w:r>
      <w:r>
        <w:rPr>
          <w:sz w:val="24"/>
        </w:rPr>
        <w:t>Whether the Commission should strike Avista’s testimony on deferred accounting treatment for the AMI project, proposed for the first time on rebuttal, or, in the alternative, whether the Commission should permit Staff to present surrebuttal testimony in order to respond to the Company’s new proposal.</w:t>
      </w:r>
    </w:p>
    <w:p w14:paraId="5141C351" w14:textId="7D74963B" w:rsidR="00F518C4" w:rsidRDefault="00F518C4" w:rsidP="006B1845">
      <w:pPr>
        <w:pStyle w:val="ListParagraph"/>
        <w:numPr>
          <w:ilvl w:val="0"/>
          <w:numId w:val="4"/>
        </w:numPr>
        <w:spacing w:line="480" w:lineRule="auto"/>
        <w:ind w:left="0" w:firstLine="0"/>
        <w:jc w:val="center"/>
        <w:rPr>
          <w:b/>
          <w:sz w:val="24"/>
        </w:rPr>
      </w:pPr>
      <w:r w:rsidRPr="00F518C4">
        <w:rPr>
          <w:b/>
          <w:sz w:val="24"/>
        </w:rPr>
        <w:t>EVIDENCE RELIED UPON</w:t>
      </w:r>
    </w:p>
    <w:p w14:paraId="26C4C9AD" w14:textId="361ADE64" w:rsidR="00CC23FA" w:rsidRDefault="00CC23FA" w:rsidP="006B1845">
      <w:pPr>
        <w:numPr>
          <w:ilvl w:val="0"/>
          <w:numId w:val="2"/>
        </w:numPr>
        <w:spacing w:line="480" w:lineRule="auto"/>
        <w:rPr>
          <w:sz w:val="24"/>
        </w:rPr>
      </w:pPr>
      <w:r>
        <w:rPr>
          <w:sz w:val="24"/>
        </w:rPr>
        <w:tab/>
        <w:t>Staff relies on the following prefiled written testimony contained in the following exhibits filed in this docket:</w:t>
      </w:r>
    </w:p>
    <w:p w14:paraId="7B6A8DF6" w14:textId="2C339F76" w:rsidR="00CC23FA" w:rsidRDefault="00AE6CD0" w:rsidP="006B1845">
      <w:pPr>
        <w:spacing w:line="480" w:lineRule="auto"/>
        <w:ind w:left="720"/>
        <w:rPr>
          <w:sz w:val="24"/>
        </w:rPr>
      </w:pPr>
      <w:r>
        <w:rPr>
          <w:sz w:val="24"/>
        </w:rPr>
        <w:t xml:space="preserve">Nightingale, </w:t>
      </w:r>
      <w:r w:rsidR="00CA14F9">
        <w:rPr>
          <w:sz w:val="24"/>
        </w:rPr>
        <w:t>Exhibit No. DN-1T</w:t>
      </w:r>
    </w:p>
    <w:p w14:paraId="069B0FDA" w14:textId="61026893" w:rsidR="00AE6CD0" w:rsidRDefault="00AE6CD0" w:rsidP="000A6D23">
      <w:pPr>
        <w:spacing w:line="480" w:lineRule="auto"/>
        <w:ind w:left="720"/>
        <w:rPr>
          <w:sz w:val="24"/>
        </w:rPr>
      </w:pPr>
      <w:r>
        <w:rPr>
          <w:sz w:val="24"/>
        </w:rPr>
        <w:t>Cheesman,</w:t>
      </w:r>
      <w:r w:rsidR="00CA14F9">
        <w:rPr>
          <w:sz w:val="24"/>
        </w:rPr>
        <w:t xml:space="preserve"> Exhibit No. MC-1T</w:t>
      </w:r>
    </w:p>
    <w:p w14:paraId="531D8EF9" w14:textId="65A0427E" w:rsidR="00AE6CD0" w:rsidRDefault="00AE6CD0" w:rsidP="006B1845">
      <w:pPr>
        <w:spacing w:line="480" w:lineRule="auto"/>
        <w:ind w:left="720"/>
        <w:rPr>
          <w:sz w:val="24"/>
        </w:rPr>
      </w:pPr>
      <w:r>
        <w:rPr>
          <w:sz w:val="24"/>
        </w:rPr>
        <w:t>Norwood,</w:t>
      </w:r>
      <w:r w:rsidR="002E25C8">
        <w:rPr>
          <w:sz w:val="24"/>
        </w:rPr>
        <w:t xml:space="preserve"> Exhibit No. KON-1T</w:t>
      </w:r>
    </w:p>
    <w:p w14:paraId="3B1D7A74" w14:textId="6F9C8BC1" w:rsidR="00AE6CD0" w:rsidRDefault="00AE6CD0" w:rsidP="006B1845">
      <w:pPr>
        <w:spacing w:line="480" w:lineRule="auto"/>
        <w:ind w:left="720"/>
        <w:rPr>
          <w:sz w:val="24"/>
        </w:rPr>
      </w:pPr>
      <w:r>
        <w:rPr>
          <w:sz w:val="24"/>
        </w:rPr>
        <w:t>Andrews,</w:t>
      </w:r>
      <w:r w:rsidR="002E25C8">
        <w:rPr>
          <w:sz w:val="24"/>
        </w:rPr>
        <w:t xml:space="preserve"> Exhibit No. EMA-6T</w:t>
      </w:r>
    </w:p>
    <w:p w14:paraId="7A6C7075" w14:textId="4677E1D2" w:rsidR="00734D4E" w:rsidRDefault="00734D4E" w:rsidP="006B1845">
      <w:pPr>
        <w:spacing w:line="480" w:lineRule="auto"/>
        <w:ind w:left="720"/>
        <w:rPr>
          <w:sz w:val="24"/>
        </w:rPr>
      </w:pPr>
      <w:r>
        <w:rPr>
          <w:sz w:val="24"/>
        </w:rPr>
        <w:t>Rosentrater, Exhibit No. HLR-1T</w:t>
      </w:r>
    </w:p>
    <w:p w14:paraId="6020D968" w14:textId="04C44932" w:rsidR="000A6D23" w:rsidRPr="006B1845" w:rsidRDefault="00881DC1" w:rsidP="006B1845">
      <w:pPr>
        <w:pStyle w:val="ListParagraph"/>
        <w:numPr>
          <w:ilvl w:val="0"/>
          <w:numId w:val="4"/>
        </w:numPr>
        <w:spacing w:line="480" w:lineRule="auto"/>
        <w:ind w:left="0" w:firstLine="0"/>
        <w:jc w:val="center"/>
        <w:rPr>
          <w:b/>
          <w:sz w:val="24"/>
        </w:rPr>
      </w:pPr>
      <w:r>
        <w:rPr>
          <w:b/>
          <w:sz w:val="24"/>
        </w:rPr>
        <w:t>ARGUMENT</w:t>
      </w:r>
    </w:p>
    <w:p w14:paraId="431D3F0B" w14:textId="1762FDFD" w:rsidR="00CD3811" w:rsidRPr="00F52933" w:rsidRDefault="000F6878" w:rsidP="006B1845">
      <w:pPr>
        <w:numPr>
          <w:ilvl w:val="0"/>
          <w:numId w:val="2"/>
        </w:numPr>
        <w:spacing w:line="480" w:lineRule="auto"/>
        <w:rPr>
          <w:b/>
          <w:sz w:val="24"/>
        </w:rPr>
      </w:pPr>
      <w:r>
        <w:rPr>
          <w:sz w:val="24"/>
        </w:rPr>
        <w:tab/>
      </w:r>
      <w:r w:rsidR="00AD76B2">
        <w:rPr>
          <w:sz w:val="24"/>
        </w:rPr>
        <w:t>Avista has sprung a new proposal on the other parties in the rebuttal phase</w:t>
      </w:r>
      <w:r w:rsidR="00741382">
        <w:rPr>
          <w:sz w:val="24"/>
        </w:rPr>
        <w:t xml:space="preserve">, when there are no </w:t>
      </w:r>
      <w:r w:rsidR="00FD30A8">
        <w:rPr>
          <w:sz w:val="24"/>
        </w:rPr>
        <w:t>further</w:t>
      </w:r>
      <w:r w:rsidR="00741382">
        <w:rPr>
          <w:sz w:val="24"/>
        </w:rPr>
        <w:t xml:space="preserve"> opportunities in the procedural schedule to present responsive testimony. This is manifestly unfair to the other parties and risks presenting an inadequate </w:t>
      </w:r>
      <w:r w:rsidR="00FD30A8">
        <w:rPr>
          <w:sz w:val="24"/>
        </w:rPr>
        <w:t>record to the C</w:t>
      </w:r>
      <w:r w:rsidR="00741382">
        <w:rPr>
          <w:sz w:val="24"/>
        </w:rPr>
        <w:t>ommission for decision on AMI.</w:t>
      </w:r>
      <w:r w:rsidR="00F52933">
        <w:rPr>
          <w:sz w:val="24"/>
        </w:rPr>
        <w:t xml:space="preserve"> Avista could have easily presented its proposal for deferred accounting treatment for the AMI project</w:t>
      </w:r>
      <w:r w:rsidR="002D38F5">
        <w:rPr>
          <w:sz w:val="24"/>
        </w:rPr>
        <w:t xml:space="preserve"> as an alternative</w:t>
      </w:r>
      <w:r w:rsidR="00F52933">
        <w:rPr>
          <w:sz w:val="24"/>
        </w:rPr>
        <w:t xml:space="preserve"> in its direct testimony, which is where it belongs because it is direct testimony.</w:t>
      </w:r>
    </w:p>
    <w:p w14:paraId="1D721E0B" w14:textId="5D8B3F3D" w:rsidR="00F52933" w:rsidRPr="003C11FE" w:rsidRDefault="00F52933" w:rsidP="000A6D23">
      <w:pPr>
        <w:widowControl/>
        <w:numPr>
          <w:ilvl w:val="0"/>
          <w:numId w:val="2"/>
        </w:numPr>
        <w:spacing w:line="480" w:lineRule="auto"/>
        <w:rPr>
          <w:b/>
          <w:sz w:val="24"/>
        </w:rPr>
      </w:pPr>
      <w:r>
        <w:rPr>
          <w:sz w:val="24"/>
        </w:rPr>
        <w:tab/>
        <w:t xml:space="preserve">It is axiomatic that the purpose of rebuttal testimony is to rebut another party’s testimony. None of the parties that filed responsive testimony, however, so far </w:t>
      </w:r>
      <w:r w:rsidR="006B1845">
        <w:rPr>
          <w:sz w:val="24"/>
        </w:rPr>
        <w:t>h</w:t>
      </w:r>
      <w:r>
        <w:rPr>
          <w:sz w:val="24"/>
        </w:rPr>
        <w:t>as mentioned deferred accounting for the AMI project, and Avista did not discuss it at all in its initial filing. Under these circumstances, Avista’s deferred accounting propo</w:t>
      </w:r>
      <w:r w:rsidR="00821B26">
        <w:rPr>
          <w:sz w:val="24"/>
        </w:rPr>
        <w:t>sal</w:t>
      </w:r>
      <w:r>
        <w:rPr>
          <w:sz w:val="24"/>
        </w:rPr>
        <w:t xml:space="preserve"> crosses the line of rebuttal and, unfairly, </w:t>
      </w:r>
      <w:r w:rsidR="00821B26">
        <w:rPr>
          <w:sz w:val="24"/>
        </w:rPr>
        <w:t>slips in additional direct testimony.</w:t>
      </w:r>
    </w:p>
    <w:p w14:paraId="0044F7A1" w14:textId="5255A914" w:rsidR="003C11FE" w:rsidRPr="002D38F5" w:rsidRDefault="003C11FE" w:rsidP="000A6D23">
      <w:pPr>
        <w:numPr>
          <w:ilvl w:val="0"/>
          <w:numId w:val="2"/>
        </w:numPr>
        <w:spacing w:line="480" w:lineRule="auto"/>
        <w:rPr>
          <w:b/>
          <w:sz w:val="24"/>
        </w:rPr>
      </w:pPr>
      <w:r>
        <w:rPr>
          <w:sz w:val="24"/>
        </w:rPr>
        <w:tab/>
        <w:t xml:space="preserve">While it is routine for rebuttal testimony to contain updates and changes in position, </w:t>
      </w:r>
      <w:r w:rsidR="00111B55">
        <w:rPr>
          <w:sz w:val="24"/>
        </w:rPr>
        <w:t xml:space="preserve">it is another matter to introduce </w:t>
      </w:r>
      <w:r>
        <w:rPr>
          <w:sz w:val="24"/>
        </w:rPr>
        <w:t xml:space="preserve">an entirely new proposal at the rebuttal phase. </w:t>
      </w:r>
      <w:r w:rsidR="00111B55">
        <w:rPr>
          <w:sz w:val="24"/>
        </w:rPr>
        <w:t>T</w:t>
      </w:r>
      <w:r>
        <w:rPr>
          <w:sz w:val="24"/>
        </w:rPr>
        <w:t>his new proposal is significant because, as the Company has made clear, the AMI projec</w:t>
      </w:r>
      <w:r w:rsidR="00BF7462">
        <w:rPr>
          <w:sz w:val="24"/>
        </w:rPr>
        <w:t xml:space="preserve">t is a very large project, which </w:t>
      </w:r>
      <w:r>
        <w:rPr>
          <w:sz w:val="24"/>
        </w:rPr>
        <w:t xml:space="preserve">may subject both Avista and its ratepayers to substantial risk. </w:t>
      </w:r>
      <w:r w:rsidR="00A07154">
        <w:rPr>
          <w:sz w:val="24"/>
        </w:rPr>
        <w:t xml:space="preserve">Further, </w:t>
      </w:r>
      <w:r w:rsidR="00A47BDD">
        <w:rPr>
          <w:sz w:val="24"/>
        </w:rPr>
        <w:t xml:space="preserve">the proposal </w:t>
      </w:r>
      <w:r w:rsidR="009068CA">
        <w:rPr>
          <w:sz w:val="24"/>
        </w:rPr>
        <w:t>to defer “revenue requirement” is</w:t>
      </w:r>
      <w:r w:rsidR="00A47BDD">
        <w:rPr>
          <w:sz w:val="24"/>
        </w:rPr>
        <w:t xml:space="preserve"> unorthodox, unlike the Company’s proposed accounting treatment for the Montana Riverbed lease, which </w:t>
      </w:r>
      <w:r w:rsidR="009068CA">
        <w:rPr>
          <w:sz w:val="24"/>
        </w:rPr>
        <w:t>requests authorization to</w:t>
      </w:r>
      <w:r w:rsidR="00A47BDD">
        <w:rPr>
          <w:sz w:val="24"/>
        </w:rPr>
        <w:t xml:space="preserve"> defer an </w:t>
      </w:r>
      <w:r w:rsidR="009068CA">
        <w:rPr>
          <w:sz w:val="24"/>
        </w:rPr>
        <w:t>annual expense</w:t>
      </w:r>
      <w:r w:rsidR="00A47BDD">
        <w:rPr>
          <w:sz w:val="24"/>
        </w:rPr>
        <w:t xml:space="preserve">. Finally, </w:t>
      </w:r>
      <w:r w:rsidR="00A07154">
        <w:rPr>
          <w:sz w:val="24"/>
        </w:rPr>
        <w:t>deferred accounting treatment creates a regulatory asset and a greater expectation of recovery;</w:t>
      </w:r>
      <w:r w:rsidR="005834AF">
        <w:rPr>
          <w:rStyle w:val="FootnoteReference"/>
          <w:sz w:val="24"/>
        </w:rPr>
        <w:footnoteReference w:id="6"/>
      </w:r>
      <w:r w:rsidR="00A07154">
        <w:rPr>
          <w:sz w:val="24"/>
        </w:rPr>
        <w:t xml:space="preserve"> which, as a practical matter, makes it more difficult for non-Company parties who ultimately conduct the prudence investigation to contest prudence.</w:t>
      </w:r>
      <w:r w:rsidR="00A47BDD">
        <w:rPr>
          <w:sz w:val="24"/>
        </w:rPr>
        <w:t xml:space="preserve"> </w:t>
      </w:r>
      <w:r w:rsidR="00A07154">
        <w:rPr>
          <w:sz w:val="24"/>
        </w:rPr>
        <w:t>For these reasons, it is</w:t>
      </w:r>
      <w:r>
        <w:rPr>
          <w:sz w:val="24"/>
        </w:rPr>
        <w:t xml:space="preserve"> especially inappropriate to </w:t>
      </w:r>
      <w:r w:rsidR="00A07154">
        <w:rPr>
          <w:sz w:val="24"/>
        </w:rPr>
        <w:t xml:space="preserve">introduce </w:t>
      </w:r>
      <w:r w:rsidR="00F96C6B">
        <w:rPr>
          <w:sz w:val="24"/>
        </w:rPr>
        <w:t>this</w:t>
      </w:r>
      <w:r w:rsidR="00A07154">
        <w:rPr>
          <w:sz w:val="24"/>
        </w:rPr>
        <w:t xml:space="preserve"> deferred accounting proposal</w:t>
      </w:r>
      <w:r w:rsidR="002D38F5">
        <w:rPr>
          <w:sz w:val="24"/>
        </w:rPr>
        <w:t xml:space="preserve"> </w:t>
      </w:r>
      <w:r>
        <w:rPr>
          <w:sz w:val="24"/>
        </w:rPr>
        <w:t xml:space="preserve">during the rebuttal phase </w:t>
      </w:r>
      <w:r w:rsidR="00FF15C4">
        <w:rPr>
          <w:sz w:val="24"/>
        </w:rPr>
        <w:t>for</w:t>
      </w:r>
      <w:r>
        <w:rPr>
          <w:sz w:val="24"/>
        </w:rPr>
        <w:t xml:space="preserve"> such a significant project.</w:t>
      </w:r>
    </w:p>
    <w:p w14:paraId="31CEA237" w14:textId="794E508D" w:rsidR="002D38F5" w:rsidRPr="00CD3811" w:rsidRDefault="002D38F5" w:rsidP="000A6D23">
      <w:pPr>
        <w:widowControl/>
        <w:numPr>
          <w:ilvl w:val="0"/>
          <w:numId w:val="2"/>
        </w:numPr>
        <w:spacing w:line="480" w:lineRule="auto"/>
        <w:rPr>
          <w:b/>
          <w:sz w:val="24"/>
        </w:rPr>
      </w:pPr>
      <w:r>
        <w:rPr>
          <w:sz w:val="24"/>
        </w:rPr>
        <w:tab/>
        <w:t xml:space="preserve">Staff opposes Avista’s deferred accounting proposal. At this stage in the procedural schedule, there is no opportunity for Staff to present testimony explaining Staff’s concerns. This is not fair, nor does it benefit the record to accept the one-sided deferred accounting proposal from Avista at this stage, when the Company could have and should have included this </w:t>
      </w:r>
      <w:r w:rsidR="00297C28">
        <w:rPr>
          <w:sz w:val="24"/>
        </w:rPr>
        <w:t>testimony in its initial filing, thereby affording S</w:t>
      </w:r>
      <w:r w:rsidR="00297C28" w:rsidRPr="00192762">
        <w:rPr>
          <w:sz w:val="24"/>
        </w:rPr>
        <w:t xml:space="preserve">taff an opportunity to </w:t>
      </w:r>
      <w:r w:rsidR="00297C28">
        <w:rPr>
          <w:sz w:val="24"/>
        </w:rPr>
        <w:t>complete</w:t>
      </w:r>
      <w:r w:rsidR="00297C28" w:rsidRPr="00192762">
        <w:rPr>
          <w:sz w:val="24"/>
        </w:rPr>
        <w:t xml:space="preserve"> discovery and formulate </w:t>
      </w:r>
      <w:r w:rsidR="00297C28">
        <w:rPr>
          <w:sz w:val="24"/>
        </w:rPr>
        <w:t xml:space="preserve">a </w:t>
      </w:r>
      <w:r w:rsidR="00297C28" w:rsidRPr="00192762">
        <w:rPr>
          <w:sz w:val="24"/>
        </w:rPr>
        <w:t>reasoned opinion</w:t>
      </w:r>
      <w:r w:rsidR="00297C28">
        <w:rPr>
          <w:sz w:val="24"/>
        </w:rPr>
        <w:t>.</w:t>
      </w:r>
    </w:p>
    <w:p w14:paraId="11B77240" w14:textId="1F4FE6BB" w:rsidR="000F6878" w:rsidRPr="000F6878" w:rsidRDefault="00CD3811" w:rsidP="000A6D23">
      <w:pPr>
        <w:numPr>
          <w:ilvl w:val="0"/>
          <w:numId w:val="2"/>
        </w:numPr>
        <w:spacing w:line="480" w:lineRule="auto"/>
        <w:rPr>
          <w:b/>
          <w:sz w:val="24"/>
        </w:rPr>
      </w:pPr>
      <w:r>
        <w:rPr>
          <w:sz w:val="24"/>
        </w:rPr>
        <w:tab/>
      </w:r>
      <w:r w:rsidR="00FD30A8">
        <w:rPr>
          <w:sz w:val="24"/>
        </w:rPr>
        <w:t xml:space="preserve">The Commission should strike Avista’s testimony concerning the late-introduced deferred accounting proposal. Allowing this evidence into the record unrebutted would set an unfair precedent and create an unbalanced record. </w:t>
      </w:r>
      <w:r w:rsidR="000F6878">
        <w:rPr>
          <w:sz w:val="24"/>
        </w:rPr>
        <w:t>Specifically, Staff requests that the Commission strike the following testimony:</w:t>
      </w:r>
    </w:p>
    <w:p w14:paraId="0B0D031D" w14:textId="567389C5" w:rsidR="000F6878" w:rsidRDefault="000F6878" w:rsidP="000A6D23">
      <w:pPr>
        <w:spacing w:line="480" w:lineRule="auto"/>
        <w:rPr>
          <w:sz w:val="24"/>
        </w:rPr>
      </w:pPr>
      <w:r>
        <w:rPr>
          <w:sz w:val="24"/>
        </w:rPr>
        <w:t>Norwood, Exhibit No. KON-1T</w:t>
      </w:r>
    </w:p>
    <w:p w14:paraId="70EA7517" w14:textId="6CB73BDB" w:rsidR="000F6878" w:rsidRPr="00CD75A6" w:rsidRDefault="00DA4D8A" w:rsidP="000A6D23">
      <w:pPr>
        <w:pStyle w:val="ListParagraph"/>
        <w:numPr>
          <w:ilvl w:val="0"/>
          <w:numId w:val="5"/>
        </w:numPr>
        <w:spacing w:line="480" w:lineRule="auto"/>
        <w:contextualSpacing w:val="0"/>
        <w:rPr>
          <w:sz w:val="24"/>
        </w:rPr>
      </w:pPr>
      <w:r w:rsidRPr="00CD75A6">
        <w:rPr>
          <w:sz w:val="24"/>
        </w:rPr>
        <w:t>7:13-15</w:t>
      </w:r>
      <w:r w:rsidR="000F6878" w:rsidRPr="00CD75A6">
        <w:rPr>
          <w:sz w:val="24"/>
        </w:rPr>
        <w:t xml:space="preserve"> </w:t>
      </w:r>
      <w:r w:rsidRPr="00CD75A6">
        <w:rPr>
          <w:sz w:val="24"/>
        </w:rPr>
        <w:t>– strike “for two unique issues” and “Advanced Metering Infrastructure (AMI) and”</w:t>
      </w:r>
    </w:p>
    <w:p w14:paraId="15D247AB" w14:textId="38FDA5FB" w:rsidR="000F6878" w:rsidRPr="00CD75A6" w:rsidRDefault="00DA4D8A" w:rsidP="000A6D23">
      <w:pPr>
        <w:pStyle w:val="ListParagraph"/>
        <w:numPr>
          <w:ilvl w:val="0"/>
          <w:numId w:val="5"/>
        </w:numPr>
        <w:spacing w:line="480" w:lineRule="auto"/>
        <w:contextualSpacing w:val="0"/>
        <w:rPr>
          <w:sz w:val="24"/>
        </w:rPr>
      </w:pPr>
      <w:r w:rsidRPr="00CD75A6">
        <w:rPr>
          <w:sz w:val="24"/>
        </w:rPr>
        <w:t>29:13</w:t>
      </w:r>
      <w:r w:rsidR="000F6878" w:rsidRPr="00CD75A6">
        <w:rPr>
          <w:sz w:val="24"/>
        </w:rPr>
        <w:t xml:space="preserve">-22 </w:t>
      </w:r>
      <w:r w:rsidRPr="00CD75A6">
        <w:rPr>
          <w:sz w:val="24"/>
        </w:rPr>
        <w:t xml:space="preserve">– strike references </w:t>
      </w:r>
      <w:r w:rsidR="000F6878" w:rsidRPr="00CD75A6">
        <w:rPr>
          <w:sz w:val="24"/>
        </w:rPr>
        <w:t>to AMI</w:t>
      </w:r>
      <w:r w:rsidRPr="00CD75A6">
        <w:rPr>
          <w:sz w:val="24"/>
        </w:rPr>
        <w:t>: strike “two” in line 14; strike “Advanced Metering Infrastructure, and” in lines 17 to 18.</w:t>
      </w:r>
    </w:p>
    <w:p w14:paraId="3C7E2D57" w14:textId="7E28CA64" w:rsidR="000F6878" w:rsidRPr="00CD75A6" w:rsidRDefault="000F6878" w:rsidP="000A6D23">
      <w:pPr>
        <w:pStyle w:val="ListParagraph"/>
        <w:numPr>
          <w:ilvl w:val="0"/>
          <w:numId w:val="5"/>
        </w:numPr>
        <w:spacing w:line="480" w:lineRule="auto"/>
        <w:contextualSpacing w:val="0"/>
        <w:rPr>
          <w:sz w:val="24"/>
        </w:rPr>
      </w:pPr>
      <w:r w:rsidRPr="00CD75A6">
        <w:rPr>
          <w:sz w:val="24"/>
        </w:rPr>
        <w:t xml:space="preserve">35:10-11 </w:t>
      </w:r>
      <w:r w:rsidR="004246C8" w:rsidRPr="00CD75A6">
        <w:rPr>
          <w:sz w:val="24"/>
        </w:rPr>
        <w:t xml:space="preserve">– </w:t>
      </w:r>
      <w:r w:rsidRPr="00CD75A6">
        <w:rPr>
          <w:sz w:val="24"/>
        </w:rPr>
        <w:t>strike “or deferred accounting treatment is approved for the project”</w:t>
      </w:r>
    </w:p>
    <w:p w14:paraId="55A8F2E0" w14:textId="40FFEAC8" w:rsidR="005D0833" w:rsidRPr="00CD75A6" w:rsidRDefault="005D0833" w:rsidP="000A6D23">
      <w:pPr>
        <w:pStyle w:val="ListParagraph"/>
        <w:numPr>
          <w:ilvl w:val="0"/>
          <w:numId w:val="5"/>
        </w:numPr>
        <w:spacing w:line="480" w:lineRule="auto"/>
        <w:contextualSpacing w:val="0"/>
        <w:rPr>
          <w:sz w:val="24"/>
        </w:rPr>
      </w:pPr>
      <w:r w:rsidRPr="00CD75A6">
        <w:rPr>
          <w:sz w:val="24"/>
        </w:rPr>
        <w:t>35:12 - 36:24</w:t>
      </w:r>
    </w:p>
    <w:p w14:paraId="7845DFF2" w14:textId="2EE3763A" w:rsidR="00615846" w:rsidRPr="00CD75A6" w:rsidRDefault="00615846" w:rsidP="000A6D23">
      <w:pPr>
        <w:pStyle w:val="ListParagraph"/>
        <w:numPr>
          <w:ilvl w:val="0"/>
          <w:numId w:val="5"/>
        </w:numPr>
        <w:spacing w:line="480" w:lineRule="auto"/>
        <w:contextualSpacing w:val="0"/>
        <w:rPr>
          <w:sz w:val="24"/>
        </w:rPr>
      </w:pPr>
      <w:r w:rsidRPr="00CD75A6">
        <w:rPr>
          <w:sz w:val="24"/>
        </w:rPr>
        <w:t>44:6-8 – strike “of deferred accounting with respect to both AMI expenditures and” and “for both matters”</w:t>
      </w:r>
    </w:p>
    <w:p w14:paraId="4874844C" w14:textId="14A93435" w:rsidR="009C4ABD" w:rsidRPr="00CD75A6" w:rsidRDefault="009C4ABD" w:rsidP="000A6D23">
      <w:pPr>
        <w:pStyle w:val="ListParagraph"/>
        <w:numPr>
          <w:ilvl w:val="0"/>
          <w:numId w:val="5"/>
        </w:numPr>
        <w:spacing w:line="480" w:lineRule="auto"/>
        <w:contextualSpacing w:val="0"/>
        <w:rPr>
          <w:sz w:val="24"/>
        </w:rPr>
      </w:pPr>
      <w:r w:rsidRPr="00CD75A6">
        <w:rPr>
          <w:sz w:val="24"/>
        </w:rPr>
        <w:t>44:16-18 – strike “for AMI and”</w:t>
      </w:r>
    </w:p>
    <w:p w14:paraId="6B396A20" w14:textId="44BA28BB" w:rsidR="009C4ABD" w:rsidRPr="00CD75A6" w:rsidRDefault="009C4ABD" w:rsidP="000A6D23">
      <w:pPr>
        <w:pStyle w:val="ListParagraph"/>
        <w:numPr>
          <w:ilvl w:val="0"/>
          <w:numId w:val="5"/>
        </w:numPr>
        <w:spacing w:line="480" w:lineRule="auto"/>
        <w:contextualSpacing w:val="0"/>
        <w:rPr>
          <w:sz w:val="24"/>
        </w:rPr>
      </w:pPr>
      <w:r w:rsidRPr="00CD75A6">
        <w:rPr>
          <w:sz w:val="24"/>
        </w:rPr>
        <w:t>44:</w:t>
      </w:r>
      <w:r w:rsidR="001102D1" w:rsidRPr="00CD75A6">
        <w:rPr>
          <w:sz w:val="24"/>
        </w:rPr>
        <w:t>20 – strike “AMI and”</w:t>
      </w:r>
    </w:p>
    <w:p w14:paraId="05F936DB" w14:textId="47896DC6" w:rsidR="00EA0E94" w:rsidRPr="00CD75A6" w:rsidRDefault="00EA0E94" w:rsidP="000A6D23">
      <w:pPr>
        <w:pStyle w:val="ListParagraph"/>
        <w:numPr>
          <w:ilvl w:val="0"/>
          <w:numId w:val="5"/>
        </w:numPr>
        <w:spacing w:line="480" w:lineRule="auto"/>
        <w:contextualSpacing w:val="0"/>
        <w:rPr>
          <w:sz w:val="24"/>
        </w:rPr>
      </w:pPr>
      <w:r w:rsidRPr="00CD75A6">
        <w:rPr>
          <w:sz w:val="24"/>
        </w:rPr>
        <w:t xml:space="preserve">45, Table 7 – strike references to AMI </w:t>
      </w:r>
      <w:r w:rsidR="00440656" w:rsidRPr="00CD75A6">
        <w:rPr>
          <w:sz w:val="24"/>
        </w:rPr>
        <w:t xml:space="preserve">on line 3 of the table, </w:t>
      </w:r>
      <w:r w:rsidRPr="00CD75A6">
        <w:rPr>
          <w:sz w:val="24"/>
        </w:rPr>
        <w:t>and recalculate revenue requirement</w:t>
      </w:r>
    </w:p>
    <w:p w14:paraId="66D18ECC" w14:textId="59292545" w:rsidR="00D31014" w:rsidRPr="00CD75A6" w:rsidRDefault="00D31014" w:rsidP="000A6D23">
      <w:pPr>
        <w:pStyle w:val="ListParagraph"/>
        <w:numPr>
          <w:ilvl w:val="0"/>
          <w:numId w:val="5"/>
        </w:numPr>
        <w:spacing w:line="480" w:lineRule="auto"/>
        <w:contextualSpacing w:val="0"/>
        <w:rPr>
          <w:sz w:val="24"/>
        </w:rPr>
      </w:pPr>
      <w:r w:rsidRPr="00CD75A6">
        <w:rPr>
          <w:sz w:val="24"/>
        </w:rPr>
        <w:t>46:7-8 – strike “for the 2017 costs associated with the Advanced Metering Infrastructure (AMI) project”</w:t>
      </w:r>
    </w:p>
    <w:p w14:paraId="29793424" w14:textId="03909A1E" w:rsidR="000F6878" w:rsidRDefault="000F6878" w:rsidP="000A6D23">
      <w:pPr>
        <w:spacing w:line="480" w:lineRule="auto"/>
        <w:rPr>
          <w:sz w:val="24"/>
        </w:rPr>
      </w:pPr>
      <w:r>
        <w:rPr>
          <w:sz w:val="24"/>
        </w:rPr>
        <w:t>Andrews, Exhibit No. EMA-6T</w:t>
      </w:r>
    </w:p>
    <w:p w14:paraId="5D751D1B" w14:textId="3F798EDD" w:rsidR="000F6878" w:rsidRDefault="00CD75A6" w:rsidP="000A6D23">
      <w:pPr>
        <w:pStyle w:val="ListParagraph"/>
        <w:numPr>
          <w:ilvl w:val="0"/>
          <w:numId w:val="5"/>
        </w:numPr>
        <w:spacing w:line="480" w:lineRule="auto"/>
        <w:contextualSpacing w:val="0"/>
        <w:rPr>
          <w:sz w:val="24"/>
        </w:rPr>
      </w:pPr>
      <w:r>
        <w:rPr>
          <w:sz w:val="24"/>
        </w:rPr>
        <w:t>1:30 – strike “AMI and”</w:t>
      </w:r>
    </w:p>
    <w:p w14:paraId="6120B982" w14:textId="6A460A74" w:rsidR="00CD75A6" w:rsidRDefault="00CD75A6" w:rsidP="000A6D23">
      <w:pPr>
        <w:pStyle w:val="ListParagraph"/>
        <w:numPr>
          <w:ilvl w:val="0"/>
          <w:numId w:val="5"/>
        </w:numPr>
        <w:spacing w:line="480" w:lineRule="auto"/>
        <w:contextualSpacing w:val="0"/>
        <w:rPr>
          <w:sz w:val="24"/>
        </w:rPr>
      </w:pPr>
      <w:r>
        <w:rPr>
          <w:sz w:val="24"/>
        </w:rPr>
        <w:t>1:31</w:t>
      </w:r>
    </w:p>
    <w:p w14:paraId="1BA028B3" w14:textId="560B4BD5" w:rsidR="00CD75A6" w:rsidRDefault="00CD75A6" w:rsidP="000A6D23">
      <w:pPr>
        <w:pStyle w:val="ListParagraph"/>
        <w:numPr>
          <w:ilvl w:val="0"/>
          <w:numId w:val="5"/>
        </w:numPr>
        <w:spacing w:line="480" w:lineRule="auto"/>
        <w:contextualSpacing w:val="0"/>
        <w:rPr>
          <w:sz w:val="24"/>
        </w:rPr>
      </w:pPr>
      <w:r>
        <w:rPr>
          <w:sz w:val="24"/>
        </w:rPr>
        <w:t>3:13 – strike “</w:t>
      </w:r>
      <w:r w:rsidRPr="00CD75A6">
        <w:rPr>
          <w:sz w:val="24"/>
        </w:rPr>
        <w:t>the Advanced Metering Infrastructure (AMI) project and”</w:t>
      </w:r>
    </w:p>
    <w:p w14:paraId="57BA4B42" w14:textId="7F9B8789" w:rsidR="00061C76" w:rsidRDefault="00061C76" w:rsidP="000A6D23">
      <w:pPr>
        <w:pStyle w:val="ListParagraph"/>
        <w:numPr>
          <w:ilvl w:val="0"/>
          <w:numId w:val="5"/>
        </w:numPr>
        <w:spacing w:line="480" w:lineRule="auto"/>
        <w:contextualSpacing w:val="0"/>
        <w:rPr>
          <w:sz w:val="24"/>
        </w:rPr>
      </w:pPr>
      <w:r>
        <w:rPr>
          <w:sz w:val="24"/>
        </w:rPr>
        <w:t>5:39 – strike “</w:t>
      </w:r>
      <w:r w:rsidRPr="00061C76">
        <w:rPr>
          <w:sz w:val="24"/>
        </w:rPr>
        <w:t>the Advanced Metering Infrastructure (AMI) project and”</w:t>
      </w:r>
    </w:p>
    <w:p w14:paraId="161CDDD1" w14:textId="47F24C61" w:rsidR="00AC41FC" w:rsidRDefault="00AC41FC" w:rsidP="000A6D23">
      <w:pPr>
        <w:pStyle w:val="ListParagraph"/>
        <w:numPr>
          <w:ilvl w:val="0"/>
          <w:numId w:val="5"/>
        </w:numPr>
        <w:spacing w:line="480" w:lineRule="auto"/>
        <w:contextualSpacing w:val="0"/>
        <w:rPr>
          <w:sz w:val="24"/>
        </w:rPr>
      </w:pPr>
      <w:r>
        <w:rPr>
          <w:sz w:val="24"/>
        </w:rPr>
        <w:t>33, note 44</w:t>
      </w:r>
    </w:p>
    <w:p w14:paraId="3D17B639" w14:textId="078616BE" w:rsidR="00122952" w:rsidRDefault="00122952" w:rsidP="000A6D23">
      <w:pPr>
        <w:pStyle w:val="ListParagraph"/>
        <w:numPr>
          <w:ilvl w:val="0"/>
          <w:numId w:val="5"/>
        </w:numPr>
        <w:spacing w:line="480" w:lineRule="auto"/>
        <w:contextualSpacing w:val="0"/>
        <w:rPr>
          <w:sz w:val="24"/>
        </w:rPr>
      </w:pPr>
      <w:r>
        <w:rPr>
          <w:sz w:val="24"/>
        </w:rPr>
        <w:t>51:29-30 – strike “AMI and”</w:t>
      </w:r>
    </w:p>
    <w:p w14:paraId="1A31B28D" w14:textId="1AA9A65F" w:rsidR="00061C76" w:rsidRDefault="00C82A86" w:rsidP="000A6D23">
      <w:pPr>
        <w:pStyle w:val="ListParagraph"/>
        <w:numPr>
          <w:ilvl w:val="0"/>
          <w:numId w:val="5"/>
        </w:numPr>
        <w:spacing w:line="480" w:lineRule="auto"/>
        <w:contextualSpacing w:val="0"/>
        <w:rPr>
          <w:sz w:val="24"/>
        </w:rPr>
      </w:pPr>
      <w:r>
        <w:rPr>
          <w:sz w:val="24"/>
        </w:rPr>
        <w:t>52:2-3 – strike “</w:t>
      </w:r>
      <w:r w:rsidRPr="00C82A86">
        <w:rPr>
          <w:sz w:val="24"/>
        </w:rPr>
        <w:t>Advanced Metering Infrastructure, and”</w:t>
      </w:r>
    </w:p>
    <w:p w14:paraId="1EEF6783" w14:textId="5D30A506" w:rsidR="001B6B8C" w:rsidRPr="000F6878" w:rsidRDefault="001B6B8C" w:rsidP="000A6D23">
      <w:pPr>
        <w:pStyle w:val="ListParagraph"/>
        <w:numPr>
          <w:ilvl w:val="0"/>
          <w:numId w:val="5"/>
        </w:numPr>
        <w:spacing w:line="480" w:lineRule="auto"/>
        <w:contextualSpacing w:val="0"/>
        <w:rPr>
          <w:sz w:val="24"/>
        </w:rPr>
      </w:pPr>
      <w:r>
        <w:rPr>
          <w:sz w:val="24"/>
        </w:rPr>
        <w:t>52:10 - 53:18</w:t>
      </w:r>
    </w:p>
    <w:p w14:paraId="59F07620" w14:textId="31DA9DED" w:rsidR="00881DC1" w:rsidRPr="000A6D23" w:rsidRDefault="00FD30A8" w:rsidP="006B1845">
      <w:pPr>
        <w:numPr>
          <w:ilvl w:val="0"/>
          <w:numId w:val="2"/>
        </w:numPr>
        <w:spacing w:line="480" w:lineRule="auto"/>
        <w:rPr>
          <w:b/>
          <w:sz w:val="24"/>
        </w:rPr>
      </w:pPr>
      <w:r>
        <w:rPr>
          <w:sz w:val="24"/>
        </w:rPr>
        <w:tab/>
        <w:t>In the alternative, if the Commission declines to strike this testimony, the Commission should permit Staff to present surrebuttal</w:t>
      </w:r>
      <w:r w:rsidR="00E3296F">
        <w:rPr>
          <w:sz w:val="24"/>
        </w:rPr>
        <w:t xml:space="preserve">, which would remedy some of the unfairness </w:t>
      </w:r>
      <w:r w:rsidR="00EC6A6F">
        <w:rPr>
          <w:sz w:val="24"/>
        </w:rPr>
        <w:t xml:space="preserve">and would lead to a more </w:t>
      </w:r>
      <w:r w:rsidR="00BF7462">
        <w:rPr>
          <w:sz w:val="24"/>
        </w:rPr>
        <w:t>complete</w:t>
      </w:r>
      <w:r w:rsidR="00EC6A6F">
        <w:rPr>
          <w:sz w:val="24"/>
        </w:rPr>
        <w:t xml:space="preserve"> record. Ideally, the parties would have sufficient time to vet Avista’s proposal before filing testimony. Given the advanced stage of this </w:t>
      </w:r>
      <w:r w:rsidR="00E3296F">
        <w:rPr>
          <w:sz w:val="24"/>
        </w:rPr>
        <w:t>proceeding,</w:t>
      </w:r>
      <w:r w:rsidR="00EC6A6F">
        <w:rPr>
          <w:sz w:val="24"/>
        </w:rPr>
        <w:t xml:space="preserve"> however, Staff proposes filing surrebuttal testimony </w:t>
      </w:r>
      <w:r w:rsidR="00E3296F">
        <w:rPr>
          <w:sz w:val="24"/>
        </w:rPr>
        <w:t>within one</w:t>
      </w:r>
      <w:r w:rsidR="00EC6A6F">
        <w:rPr>
          <w:sz w:val="24"/>
        </w:rPr>
        <w:t xml:space="preserve"> week after the hearing concludes. Staff could best address t</w:t>
      </w:r>
      <w:r>
        <w:rPr>
          <w:sz w:val="24"/>
        </w:rPr>
        <w:t>he topic of deferred accounting treatment in general, and specifically Avista’s proposal, in written prefiled testimony</w:t>
      </w:r>
      <w:r w:rsidR="001B0EDF">
        <w:rPr>
          <w:sz w:val="24"/>
        </w:rPr>
        <w:t>; however, Staff acknowledges the time constraints of the proceeding, and, as a further alternative, proposes presenting oral surrebuttal at the hearing scheduled to begin on October 12</w:t>
      </w:r>
      <w:r>
        <w:rPr>
          <w:sz w:val="24"/>
        </w:rPr>
        <w:t xml:space="preserve">. </w:t>
      </w:r>
    </w:p>
    <w:p w14:paraId="06921466" w14:textId="2397DAB7" w:rsidR="00881DC1" w:rsidRDefault="00881DC1" w:rsidP="006B1845">
      <w:pPr>
        <w:pStyle w:val="ListParagraph"/>
        <w:numPr>
          <w:ilvl w:val="0"/>
          <w:numId w:val="4"/>
        </w:numPr>
        <w:spacing w:line="480" w:lineRule="auto"/>
        <w:ind w:left="0" w:firstLine="0"/>
        <w:jc w:val="center"/>
        <w:rPr>
          <w:b/>
          <w:sz w:val="24"/>
        </w:rPr>
      </w:pPr>
      <w:r>
        <w:rPr>
          <w:b/>
          <w:sz w:val="24"/>
        </w:rPr>
        <w:t>CONCLU</w:t>
      </w:r>
      <w:bookmarkStart w:id="0" w:name="_GoBack"/>
      <w:bookmarkEnd w:id="0"/>
      <w:r>
        <w:rPr>
          <w:b/>
          <w:sz w:val="24"/>
        </w:rPr>
        <w:t>SION</w:t>
      </w:r>
    </w:p>
    <w:p w14:paraId="0360CA07" w14:textId="29ED0ABB" w:rsidR="00F518C4" w:rsidRPr="000A6D23" w:rsidRDefault="001F3EDB" w:rsidP="006B1845">
      <w:pPr>
        <w:numPr>
          <w:ilvl w:val="0"/>
          <w:numId w:val="2"/>
        </w:numPr>
        <w:spacing w:line="480" w:lineRule="auto"/>
        <w:rPr>
          <w:sz w:val="24"/>
        </w:rPr>
      </w:pPr>
      <w:r w:rsidRPr="000A6D23">
        <w:rPr>
          <w:b/>
          <w:sz w:val="24"/>
        </w:rPr>
        <w:tab/>
      </w:r>
      <w:r w:rsidRPr="000A6D23">
        <w:rPr>
          <w:sz w:val="24"/>
        </w:rPr>
        <w:t>Avista’s rebuttal testimony on deferred accounting for AMI project costs, which is an entirely new proposal for a significant project, is prejudicial to the other parties because they do not have the opportunity to properly vet the testimony and file a response. Further, this testimony leaves the Commission with an incomplete record for decision. For these reasons and to discourage parties from filing testimony in rebuttal that should be filed in direct, Staff moves to strike Avista’s testimony proposing deferred accounting treatment for the AMI project. In the alternative, Staff proposes to file written surrebuttal or, if the Commission prefers, to present oral surrebuttal at hearing on Avista’s proposed deferred accounting treatment.</w:t>
      </w:r>
    </w:p>
    <w:p w14:paraId="4421E367" w14:textId="6D4CD4B1" w:rsidR="00F748D8" w:rsidRPr="00F518C4" w:rsidRDefault="00F748D8" w:rsidP="00F748D8">
      <w:pPr>
        <w:ind w:left="720"/>
        <w:rPr>
          <w:sz w:val="24"/>
        </w:rPr>
      </w:pPr>
      <w:r w:rsidRPr="00F518C4">
        <w:rPr>
          <w:sz w:val="24"/>
        </w:rPr>
        <w:t xml:space="preserve">DATED this _____ day of </w:t>
      </w:r>
      <w:r w:rsidR="00F518C4">
        <w:rPr>
          <w:sz w:val="24"/>
        </w:rPr>
        <w:t>October</w:t>
      </w:r>
      <w:r w:rsidRPr="00F518C4">
        <w:rPr>
          <w:sz w:val="24"/>
        </w:rPr>
        <w:t xml:space="preserve"> 20</w:t>
      </w:r>
      <w:r w:rsidR="004A26FF" w:rsidRPr="00F518C4">
        <w:rPr>
          <w:sz w:val="24"/>
        </w:rPr>
        <w:t>1</w:t>
      </w:r>
      <w:r w:rsidR="00F518C4">
        <w:rPr>
          <w:sz w:val="24"/>
        </w:rPr>
        <w:t>6</w:t>
      </w:r>
      <w:r w:rsidRPr="00F518C4">
        <w:rPr>
          <w:sz w:val="24"/>
        </w:rPr>
        <w:t>.</w:t>
      </w:r>
    </w:p>
    <w:p w14:paraId="4421E368" w14:textId="77777777" w:rsidR="00F748D8" w:rsidRPr="00F518C4" w:rsidRDefault="00F748D8" w:rsidP="00F748D8">
      <w:pPr>
        <w:ind w:left="720"/>
        <w:rPr>
          <w:sz w:val="24"/>
        </w:rPr>
      </w:pPr>
    </w:p>
    <w:p w14:paraId="4421E369" w14:textId="77777777" w:rsidR="00F748D8" w:rsidRPr="004A2910" w:rsidRDefault="00F748D8" w:rsidP="00F748D8">
      <w:pPr>
        <w:ind w:left="720"/>
        <w:rPr>
          <w:sz w:val="24"/>
        </w:rPr>
      </w:pPr>
      <w:r>
        <w:rPr>
          <w:sz w:val="24"/>
        </w:rPr>
        <w:tab/>
      </w:r>
      <w:r>
        <w:rPr>
          <w:sz w:val="24"/>
        </w:rPr>
        <w:tab/>
      </w:r>
      <w:r>
        <w:rPr>
          <w:sz w:val="24"/>
        </w:rPr>
        <w:tab/>
      </w:r>
      <w:r>
        <w:rPr>
          <w:sz w:val="24"/>
        </w:rPr>
        <w:tab/>
      </w:r>
      <w:r>
        <w:rPr>
          <w:sz w:val="24"/>
        </w:rPr>
        <w:tab/>
      </w:r>
      <w:r>
        <w:rPr>
          <w:sz w:val="24"/>
        </w:rPr>
        <w:tab/>
        <w:t xml:space="preserve">Respectfully submitted, </w:t>
      </w:r>
    </w:p>
    <w:p w14:paraId="4421E36A" w14:textId="77777777" w:rsidR="00F748D8" w:rsidRPr="004A2910" w:rsidRDefault="00F748D8" w:rsidP="00F748D8">
      <w:pPr>
        <w:pStyle w:val="BodyTextIndent2"/>
        <w:rPr>
          <w:rFonts w:ascii="Times New Roman" w:hAnsi="Times New Roman"/>
        </w:rPr>
      </w:pPr>
    </w:p>
    <w:p w14:paraId="4421E36B" w14:textId="77777777" w:rsidR="00F748D8" w:rsidRPr="004A2910" w:rsidRDefault="00F748D8" w:rsidP="00F748D8">
      <w:pPr>
        <w:ind w:left="5040"/>
        <w:jc w:val="both"/>
        <w:rPr>
          <w:sz w:val="24"/>
        </w:rPr>
      </w:pPr>
      <w:r w:rsidRPr="004A2910">
        <w:rPr>
          <w:sz w:val="24"/>
        </w:rPr>
        <w:t>ROB</w:t>
      </w:r>
      <w:r w:rsidR="00BF3CD1">
        <w:rPr>
          <w:sz w:val="24"/>
        </w:rPr>
        <w:t xml:space="preserve">ERT </w:t>
      </w:r>
      <w:r w:rsidR="009D3E3D">
        <w:rPr>
          <w:sz w:val="24"/>
        </w:rPr>
        <w:t>W. FERGUSON</w:t>
      </w:r>
      <w:r w:rsidRPr="004A2910">
        <w:rPr>
          <w:sz w:val="24"/>
        </w:rPr>
        <w:t xml:space="preserve"> </w:t>
      </w:r>
    </w:p>
    <w:p w14:paraId="4421E36C" w14:textId="77777777" w:rsidR="00F748D8" w:rsidRPr="004A2910" w:rsidRDefault="00F748D8" w:rsidP="00F748D8">
      <w:pPr>
        <w:ind w:firstLine="5040"/>
        <w:jc w:val="both"/>
        <w:rPr>
          <w:sz w:val="24"/>
        </w:rPr>
      </w:pPr>
      <w:r w:rsidRPr="004A2910">
        <w:rPr>
          <w:sz w:val="24"/>
        </w:rPr>
        <w:t>Attorney General</w:t>
      </w:r>
    </w:p>
    <w:p w14:paraId="4421E36D" w14:textId="77777777" w:rsidR="00F748D8" w:rsidRPr="004A2910" w:rsidRDefault="00F748D8" w:rsidP="00F748D8">
      <w:pPr>
        <w:jc w:val="both"/>
        <w:rPr>
          <w:sz w:val="24"/>
        </w:rPr>
      </w:pPr>
    </w:p>
    <w:p w14:paraId="4421E36E" w14:textId="77777777" w:rsidR="00F748D8" w:rsidRDefault="00F748D8" w:rsidP="00F748D8">
      <w:pPr>
        <w:jc w:val="both"/>
        <w:rPr>
          <w:sz w:val="24"/>
        </w:rPr>
      </w:pPr>
    </w:p>
    <w:p w14:paraId="4421E370" w14:textId="011209BC" w:rsidR="00F748D8" w:rsidRPr="004A2910" w:rsidRDefault="00F748D8" w:rsidP="00F748D8">
      <w:pPr>
        <w:ind w:left="1440" w:firstLine="3600"/>
        <w:jc w:val="both"/>
        <w:rPr>
          <w:sz w:val="24"/>
        </w:rPr>
      </w:pPr>
      <w:r w:rsidRPr="004A2910">
        <w:rPr>
          <w:sz w:val="24"/>
        </w:rPr>
        <w:t>______________________________</w:t>
      </w:r>
      <w:r w:rsidR="00F518C4">
        <w:rPr>
          <w:sz w:val="24"/>
        </w:rPr>
        <w:t>__</w:t>
      </w:r>
    </w:p>
    <w:p w14:paraId="4421E371" w14:textId="0B24CBA9" w:rsidR="00F748D8" w:rsidRPr="004A2910" w:rsidRDefault="00F518C4" w:rsidP="00F748D8">
      <w:pPr>
        <w:ind w:firstLine="5040"/>
        <w:jc w:val="both"/>
        <w:rPr>
          <w:sz w:val="24"/>
        </w:rPr>
      </w:pPr>
      <w:r>
        <w:rPr>
          <w:sz w:val="24"/>
        </w:rPr>
        <w:t>JENNIFER CAMERON-RULKOWSKI</w:t>
      </w:r>
    </w:p>
    <w:p w14:paraId="4421E372" w14:textId="77777777" w:rsidR="00F748D8" w:rsidRPr="004A2910" w:rsidRDefault="00F748D8" w:rsidP="00F748D8">
      <w:pPr>
        <w:ind w:left="1440" w:firstLine="3600"/>
        <w:jc w:val="both"/>
        <w:rPr>
          <w:sz w:val="24"/>
        </w:rPr>
      </w:pPr>
      <w:r w:rsidRPr="004A2910">
        <w:rPr>
          <w:sz w:val="24"/>
        </w:rPr>
        <w:t>Assistant Attorney General</w:t>
      </w:r>
    </w:p>
    <w:p w14:paraId="4421E373" w14:textId="77777777" w:rsidR="00F748D8" w:rsidRPr="004A2910" w:rsidRDefault="00F748D8" w:rsidP="00F748D8">
      <w:pPr>
        <w:ind w:left="2160" w:firstLine="2880"/>
        <w:jc w:val="both"/>
        <w:rPr>
          <w:sz w:val="24"/>
        </w:rPr>
      </w:pPr>
      <w:r w:rsidRPr="004A2910">
        <w:rPr>
          <w:sz w:val="24"/>
        </w:rPr>
        <w:t xml:space="preserve">Counsel for </w:t>
      </w:r>
      <w:smartTag w:uri="urn:schemas-microsoft-com:office:smarttags" w:element="place">
        <w:smartTag w:uri="urn:schemas-microsoft-com:office:smarttags" w:element="PostalCode">
          <w:r w:rsidRPr="004A2910">
            <w:rPr>
              <w:sz w:val="24"/>
            </w:rPr>
            <w:t>Washington</w:t>
          </w:r>
        </w:smartTag>
      </w:smartTag>
      <w:r w:rsidRPr="004A2910">
        <w:rPr>
          <w:sz w:val="24"/>
        </w:rPr>
        <w:t xml:space="preserve"> Utilities and</w:t>
      </w:r>
    </w:p>
    <w:p w14:paraId="4421E374" w14:textId="77777777" w:rsidR="00F748D8" w:rsidRPr="004A2910" w:rsidRDefault="004F69A5" w:rsidP="00F748D8">
      <w:pPr>
        <w:ind w:left="2880" w:firstLine="2160"/>
        <w:jc w:val="both"/>
        <w:rPr>
          <w:sz w:val="24"/>
        </w:rPr>
      </w:pPr>
      <w:r>
        <w:rPr>
          <w:sz w:val="24"/>
        </w:rPr>
        <w:t>Transportation Commission</w:t>
      </w:r>
      <w:r w:rsidR="005E07C2">
        <w:rPr>
          <w:sz w:val="24"/>
        </w:rPr>
        <w:t xml:space="preserve"> Staff</w:t>
      </w:r>
    </w:p>
    <w:p w14:paraId="4421E375" w14:textId="77777777" w:rsidR="00F748D8" w:rsidRDefault="00F748D8"/>
    <w:sectPr w:rsidR="00F748D8" w:rsidSect="00F748D8">
      <w:footerReference w:type="default" r:id="rId11"/>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1E378" w14:textId="77777777" w:rsidR="00835284" w:rsidRDefault="00835284">
      <w:r>
        <w:separator/>
      </w:r>
    </w:p>
  </w:endnote>
  <w:endnote w:type="continuationSeparator" w:id="0">
    <w:p w14:paraId="4421E379" w14:textId="77777777" w:rsidR="00835284" w:rsidRDefault="00835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1E37A" w14:textId="77777777" w:rsidR="00DA492F" w:rsidRDefault="00DA492F">
    <w:pPr>
      <w:pStyle w:val="Footer"/>
    </w:pPr>
  </w:p>
  <w:p w14:paraId="4421E37B" w14:textId="6F9BC698" w:rsidR="00DA492F" w:rsidRPr="00737B08" w:rsidRDefault="00CD3811">
    <w:pPr>
      <w:pStyle w:val="Footer"/>
    </w:pPr>
    <w:r>
      <w:t xml:space="preserve">STAFF </w:t>
    </w:r>
    <w:r w:rsidR="00F518C4">
      <w:t>MOTION TO STRIKE</w:t>
    </w:r>
    <w:r w:rsidR="00DA492F" w:rsidRPr="00737B08">
      <w:t xml:space="preserve"> - </w:t>
    </w:r>
    <w:r w:rsidR="00DA492F" w:rsidRPr="00737B08">
      <w:rPr>
        <w:rStyle w:val="PageNumber"/>
      </w:rPr>
      <w:fldChar w:fldCharType="begin"/>
    </w:r>
    <w:r w:rsidR="00DA492F" w:rsidRPr="00737B08">
      <w:rPr>
        <w:rStyle w:val="PageNumber"/>
      </w:rPr>
      <w:instrText xml:space="preserve"> PAGE </w:instrText>
    </w:r>
    <w:r w:rsidR="00DA492F" w:rsidRPr="00737B08">
      <w:rPr>
        <w:rStyle w:val="PageNumber"/>
      </w:rPr>
      <w:fldChar w:fldCharType="separate"/>
    </w:r>
    <w:r w:rsidR="006B1845">
      <w:rPr>
        <w:rStyle w:val="PageNumber"/>
        <w:noProof/>
      </w:rPr>
      <w:t>7</w:t>
    </w:r>
    <w:r w:rsidR="00DA492F" w:rsidRPr="00737B0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1E376" w14:textId="77777777" w:rsidR="00835284" w:rsidRDefault="00835284">
      <w:r>
        <w:separator/>
      </w:r>
    </w:p>
  </w:footnote>
  <w:footnote w:type="continuationSeparator" w:id="0">
    <w:p w14:paraId="4421E377" w14:textId="77777777" w:rsidR="00835284" w:rsidRDefault="00835284">
      <w:r>
        <w:continuationSeparator/>
      </w:r>
    </w:p>
  </w:footnote>
  <w:footnote w:id="1">
    <w:p w14:paraId="3E1FE959" w14:textId="5DC079CA" w:rsidR="007C2EFD" w:rsidRDefault="007C2EFD">
      <w:pPr>
        <w:pStyle w:val="FootnoteText"/>
      </w:pPr>
      <w:r>
        <w:rPr>
          <w:rStyle w:val="FootnoteReference"/>
        </w:rPr>
        <w:footnoteRef/>
      </w:r>
      <w:r>
        <w:t xml:space="preserve"> Norwood, Exh, No. KON-1T 35:15-17.</w:t>
      </w:r>
    </w:p>
  </w:footnote>
  <w:footnote w:id="2">
    <w:p w14:paraId="761BFEC8" w14:textId="3781FDCB" w:rsidR="007C2EFD" w:rsidRDefault="007C2EFD">
      <w:pPr>
        <w:pStyle w:val="FootnoteText"/>
      </w:pPr>
      <w:r>
        <w:rPr>
          <w:rStyle w:val="FootnoteReference"/>
        </w:rPr>
        <w:footnoteRef/>
      </w:r>
      <w:r>
        <w:t xml:space="preserve"> Andrews, Exh. No. EMA-6T </w:t>
      </w:r>
      <w:r w:rsidR="002B3B31">
        <w:t>52:8 - 53:18.</w:t>
      </w:r>
    </w:p>
  </w:footnote>
  <w:footnote w:id="3">
    <w:p w14:paraId="7E803E81" w14:textId="662EC4C2" w:rsidR="002B3B31" w:rsidRPr="002B3B31" w:rsidRDefault="002B3B31">
      <w:pPr>
        <w:pStyle w:val="FootnoteText"/>
      </w:pPr>
      <w:r>
        <w:rPr>
          <w:rStyle w:val="FootnoteReference"/>
        </w:rPr>
        <w:footnoteRef/>
      </w:r>
      <w:r>
        <w:t xml:space="preserve"> </w:t>
      </w:r>
      <w:r>
        <w:rPr>
          <w:i/>
        </w:rPr>
        <w:t xml:space="preserve">Id. </w:t>
      </w:r>
      <w:r>
        <w:t>at 52:13-17.</w:t>
      </w:r>
    </w:p>
  </w:footnote>
  <w:footnote w:id="4">
    <w:p w14:paraId="54AA15CF" w14:textId="5F7C4268" w:rsidR="009478F5" w:rsidRDefault="009478F5">
      <w:pPr>
        <w:pStyle w:val="FootnoteText"/>
      </w:pPr>
      <w:r>
        <w:rPr>
          <w:rStyle w:val="FootnoteReference"/>
        </w:rPr>
        <w:footnoteRef/>
      </w:r>
      <w:r>
        <w:t xml:space="preserve"> </w:t>
      </w:r>
      <w:r>
        <w:rPr>
          <w:i/>
        </w:rPr>
        <w:t>E.g.,</w:t>
      </w:r>
      <w:r>
        <w:t xml:space="preserve"> Andrews, Exh. No. EMA-1T 30:6</w:t>
      </w:r>
      <w:r w:rsidR="00D97E0F">
        <w:t>-12 (electric); 30:19 - 31:2 (gas).</w:t>
      </w:r>
    </w:p>
  </w:footnote>
  <w:footnote w:id="5">
    <w:p w14:paraId="2BC8CEF3" w14:textId="148CEF24" w:rsidR="004B2ED5" w:rsidRDefault="004B2ED5" w:rsidP="004B2ED5">
      <w:pPr>
        <w:pStyle w:val="FootnoteText"/>
      </w:pPr>
      <w:r>
        <w:rPr>
          <w:rStyle w:val="FootnoteReference"/>
        </w:rPr>
        <w:footnoteRef/>
      </w:r>
      <w:r>
        <w:t xml:space="preserve"> Rosentrater, Exh. No. HLR-1T 20:10.</w:t>
      </w:r>
    </w:p>
  </w:footnote>
  <w:footnote w:id="6">
    <w:p w14:paraId="006487D0" w14:textId="2071C851" w:rsidR="005834AF" w:rsidRDefault="005834AF">
      <w:pPr>
        <w:pStyle w:val="FootnoteText"/>
        <w:rPr>
          <w:u w:val="single"/>
        </w:rPr>
      </w:pPr>
      <w:r>
        <w:rPr>
          <w:rStyle w:val="FootnoteReference"/>
        </w:rPr>
        <w:footnoteRef/>
      </w:r>
      <w:r>
        <w:t xml:space="preserve"> </w:t>
      </w:r>
      <w:r>
        <w:rPr>
          <w:i/>
        </w:rPr>
        <w:t xml:space="preserve">See </w:t>
      </w:r>
      <w:r w:rsidR="00486158" w:rsidRPr="00116E8A">
        <w:t>18 C</w:t>
      </w:r>
      <w:r w:rsidR="00BC3872" w:rsidRPr="00116E8A">
        <w:t>.</w:t>
      </w:r>
      <w:r w:rsidR="00486158" w:rsidRPr="00116E8A">
        <w:t>F</w:t>
      </w:r>
      <w:r w:rsidR="00BC3872" w:rsidRPr="00116E8A">
        <w:t>.</w:t>
      </w:r>
      <w:r w:rsidR="00486158" w:rsidRPr="00116E8A">
        <w:t>R</w:t>
      </w:r>
      <w:r w:rsidR="00BC3872" w:rsidRPr="00116E8A">
        <w:t>. P</w:t>
      </w:r>
      <w:r w:rsidR="00486158" w:rsidRPr="00116E8A">
        <w:t>arts 1</w:t>
      </w:r>
      <w:r w:rsidR="00BC3872" w:rsidRPr="00116E8A">
        <w:t>01, Uniform System of Accounts Prescribed for Public Utilities and Licensees Subject to the Provisions of the Federal Power Act, Definitions.</w:t>
      </w:r>
    </w:p>
    <w:p w14:paraId="1DC6B325" w14:textId="77777777" w:rsidR="006131B0" w:rsidRPr="00116E8A" w:rsidRDefault="006131B0" w:rsidP="00116E8A">
      <w:pPr>
        <w:widowControl/>
        <w:autoSpaceDE/>
        <w:autoSpaceDN/>
        <w:adjustRightInd/>
        <w:ind w:left="720"/>
        <w:rPr>
          <w:color w:val="333333"/>
          <w:szCs w:val="20"/>
          <w:lang w:val="en"/>
        </w:rPr>
      </w:pPr>
      <w:r w:rsidRPr="00116E8A">
        <w:rPr>
          <w:color w:val="333333"/>
          <w:szCs w:val="20"/>
          <w:lang w:val="en"/>
        </w:rPr>
        <w:t xml:space="preserve">31. </w:t>
      </w:r>
      <w:r w:rsidRPr="00116E8A">
        <w:rPr>
          <w:i/>
          <w:iCs/>
          <w:color w:val="333333"/>
          <w:szCs w:val="20"/>
          <w:lang w:val="en"/>
        </w:rPr>
        <w:t>Regulatory Assets and Liabilities</w:t>
      </w:r>
      <w:r w:rsidRPr="00116E8A">
        <w:rPr>
          <w:color w:val="333333"/>
          <w:szCs w:val="20"/>
          <w:lang w:val="en"/>
        </w:rPr>
        <w:t xml:space="preserve"> are assets and liabilities that result from rate actions of regulatory agencies. Regulatory assets and liabilities arise from specific revenues, expenses, gains, or losses that would have been included in net income determination in one period under the general requirements of the Uniform System of Accounts </w:t>
      </w:r>
      <w:r w:rsidRPr="00116E8A">
        <w:rPr>
          <w:b/>
          <w:color w:val="333333"/>
          <w:szCs w:val="20"/>
          <w:lang w:val="en"/>
        </w:rPr>
        <w:t>but for it being probable</w:t>
      </w:r>
      <w:r w:rsidRPr="00116E8A">
        <w:rPr>
          <w:color w:val="333333"/>
          <w:szCs w:val="20"/>
          <w:lang w:val="en"/>
        </w:rPr>
        <w:t>:</w:t>
      </w:r>
    </w:p>
    <w:p w14:paraId="5A369D31" w14:textId="77777777" w:rsidR="00260550" w:rsidRDefault="006131B0" w:rsidP="00116E8A">
      <w:pPr>
        <w:widowControl/>
        <w:autoSpaceDE/>
        <w:autoSpaceDN/>
        <w:adjustRightInd/>
        <w:ind w:left="720"/>
        <w:rPr>
          <w:color w:val="333333"/>
          <w:szCs w:val="20"/>
          <w:lang w:val="en"/>
        </w:rPr>
      </w:pPr>
      <w:r w:rsidRPr="00116E8A">
        <w:rPr>
          <w:color w:val="333333"/>
          <w:szCs w:val="20"/>
          <w:lang w:val="en"/>
        </w:rPr>
        <w:t xml:space="preserve">A. </w:t>
      </w:r>
      <w:r w:rsidRPr="00116E8A">
        <w:rPr>
          <w:b/>
          <w:color w:val="333333"/>
          <w:szCs w:val="20"/>
          <w:lang w:val="en"/>
        </w:rPr>
        <w:t>that such items will be included in a different period(s) for purposes of developing the rates the utility is authorized to charge for its utility services</w:t>
      </w:r>
      <w:r w:rsidR="00260550">
        <w:rPr>
          <w:color w:val="333333"/>
          <w:szCs w:val="20"/>
          <w:lang w:val="en"/>
        </w:rPr>
        <w:t>.</w:t>
      </w:r>
    </w:p>
    <w:p w14:paraId="6AD34C49" w14:textId="7C39443A" w:rsidR="006131B0" w:rsidRPr="00116E8A" w:rsidRDefault="007A2794" w:rsidP="00116E8A">
      <w:pPr>
        <w:widowControl/>
        <w:autoSpaceDE/>
        <w:autoSpaceDN/>
        <w:adjustRightInd/>
        <w:ind w:left="720"/>
        <w:rPr>
          <w:color w:val="333333"/>
          <w:szCs w:val="20"/>
          <w:lang w:val="en"/>
        </w:rPr>
      </w:pPr>
      <w:r>
        <w:rPr>
          <w:color w:val="333333"/>
          <w:szCs w:val="20"/>
          <w:lang w:val="en"/>
        </w:rPr>
        <w:t>(E</w:t>
      </w:r>
      <w:r w:rsidR="006131B0">
        <w:rPr>
          <w:color w:val="333333"/>
          <w:szCs w:val="20"/>
          <w:lang w:val="en"/>
        </w:rPr>
        <w:t>mphasis added</w:t>
      </w:r>
      <w:r>
        <w:rPr>
          <w:color w:val="333333"/>
          <w:szCs w:val="20"/>
          <w:lang w:val="en"/>
        </w:rPr>
        <w:t>.</w:t>
      </w:r>
      <w:r w:rsidR="006131B0">
        <w:rPr>
          <w:color w:val="333333"/>
          <w:szCs w:val="20"/>
          <w:lang w:val="en"/>
        </w:rPr>
        <w:t>)</w:t>
      </w:r>
    </w:p>
    <w:p w14:paraId="3A55FB0F" w14:textId="77777777" w:rsidR="006131B0" w:rsidRPr="00116E8A" w:rsidRDefault="006131B0">
      <w:pPr>
        <w:pStyle w:val="FootnoteText"/>
        <w:rPr>
          <w:u w:val="single"/>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44567"/>
    <w:multiLevelType w:val="hybridMultilevel"/>
    <w:tmpl w:val="786C488C"/>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4FE3256"/>
    <w:multiLevelType w:val="hybridMultilevel"/>
    <w:tmpl w:val="2B1AD33E"/>
    <w:lvl w:ilvl="0" w:tplc="F80696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9B1D4B"/>
    <w:multiLevelType w:val="hybridMultilevel"/>
    <w:tmpl w:val="E9A614D6"/>
    <w:lvl w:ilvl="0" w:tplc="BD2A6698">
      <w:start w:val="1"/>
      <w:numFmt w:val="upperRoman"/>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7D1390"/>
    <w:multiLevelType w:val="hybridMultilevel"/>
    <w:tmpl w:val="403820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D8"/>
    <w:rsid w:val="00002D49"/>
    <w:rsid w:val="00025DB8"/>
    <w:rsid w:val="00061C76"/>
    <w:rsid w:val="000A6D23"/>
    <w:rsid w:val="000F6878"/>
    <w:rsid w:val="001102D1"/>
    <w:rsid w:val="00111B55"/>
    <w:rsid w:val="00116E8A"/>
    <w:rsid w:val="00122952"/>
    <w:rsid w:val="001A3E51"/>
    <w:rsid w:val="001B0EDF"/>
    <w:rsid w:val="001B6B8C"/>
    <w:rsid w:val="001F3EDB"/>
    <w:rsid w:val="00255923"/>
    <w:rsid w:val="00260550"/>
    <w:rsid w:val="00297C28"/>
    <w:rsid w:val="002A2B53"/>
    <w:rsid w:val="002B3B31"/>
    <w:rsid w:val="002D38F5"/>
    <w:rsid w:val="002E25C8"/>
    <w:rsid w:val="00301085"/>
    <w:rsid w:val="003C11FE"/>
    <w:rsid w:val="003C5390"/>
    <w:rsid w:val="003E34BE"/>
    <w:rsid w:val="003E3B7E"/>
    <w:rsid w:val="003F1945"/>
    <w:rsid w:val="0041250C"/>
    <w:rsid w:val="00420F5F"/>
    <w:rsid w:val="004246C8"/>
    <w:rsid w:val="00440656"/>
    <w:rsid w:val="00486158"/>
    <w:rsid w:val="004A26FF"/>
    <w:rsid w:val="004A4F64"/>
    <w:rsid w:val="004B2ED5"/>
    <w:rsid w:val="004C3D65"/>
    <w:rsid w:val="004F69A5"/>
    <w:rsid w:val="00501FFC"/>
    <w:rsid w:val="005834AF"/>
    <w:rsid w:val="00595D41"/>
    <w:rsid w:val="005B3A71"/>
    <w:rsid w:val="005D0833"/>
    <w:rsid w:val="005E07C2"/>
    <w:rsid w:val="00606C84"/>
    <w:rsid w:val="006131B0"/>
    <w:rsid w:val="00615846"/>
    <w:rsid w:val="00641F98"/>
    <w:rsid w:val="0065561B"/>
    <w:rsid w:val="0069338E"/>
    <w:rsid w:val="006B1845"/>
    <w:rsid w:val="00734D4E"/>
    <w:rsid w:val="00737B08"/>
    <w:rsid w:val="00741382"/>
    <w:rsid w:val="007464F1"/>
    <w:rsid w:val="0076699B"/>
    <w:rsid w:val="007A2794"/>
    <w:rsid w:val="007C1BA6"/>
    <w:rsid w:val="007C2EFD"/>
    <w:rsid w:val="007F4412"/>
    <w:rsid w:val="00821B26"/>
    <w:rsid w:val="00835284"/>
    <w:rsid w:val="00881DC1"/>
    <w:rsid w:val="0089062F"/>
    <w:rsid w:val="008B016C"/>
    <w:rsid w:val="009068CA"/>
    <w:rsid w:val="009108E7"/>
    <w:rsid w:val="009478F5"/>
    <w:rsid w:val="009C2DB0"/>
    <w:rsid w:val="009C4ABD"/>
    <w:rsid w:val="009D355C"/>
    <w:rsid w:val="009D3E3D"/>
    <w:rsid w:val="009D6057"/>
    <w:rsid w:val="00A07154"/>
    <w:rsid w:val="00A30C52"/>
    <w:rsid w:val="00A47BDD"/>
    <w:rsid w:val="00A778A9"/>
    <w:rsid w:val="00A80028"/>
    <w:rsid w:val="00A918DE"/>
    <w:rsid w:val="00AC41FC"/>
    <w:rsid w:val="00AD76B2"/>
    <w:rsid w:val="00AE1324"/>
    <w:rsid w:val="00AE6CD0"/>
    <w:rsid w:val="00AF083D"/>
    <w:rsid w:val="00B6762E"/>
    <w:rsid w:val="00B73973"/>
    <w:rsid w:val="00BC3872"/>
    <w:rsid w:val="00BF2F67"/>
    <w:rsid w:val="00BF3CD1"/>
    <w:rsid w:val="00BF7462"/>
    <w:rsid w:val="00C10266"/>
    <w:rsid w:val="00C20039"/>
    <w:rsid w:val="00C360A4"/>
    <w:rsid w:val="00C50114"/>
    <w:rsid w:val="00C5478B"/>
    <w:rsid w:val="00C809D8"/>
    <w:rsid w:val="00C82A86"/>
    <w:rsid w:val="00CA14F9"/>
    <w:rsid w:val="00CC23FA"/>
    <w:rsid w:val="00CD3811"/>
    <w:rsid w:val="00CD75A6"/>
    <w:rsid w:val="00D22816"/>
    <w:rsid w:val="00D23DBA"/>
    <w:rsid w:val="00D31014"/>
    <w:rsid w:val="00D74E25"/>
    <w:rsid w:val="00D97E0F"/>
    <w:rsid w:val="00DA492F"/>
    <w:rsid w:val="00DA4D8A"/>
    <w:rsid w:val="00E309AD"/>
    <w:rsid w:val="00E3296F"/>
    <w:rsid w:val="00EA0E94"/>
    <w:rsid w:val="00EC6A6F"/>
    <w:rsid w:val="00F24974"/>
    <w:rsid w:val="00F518C4"/>
    <w:rsid w:val="00F52933"/>
    <w:rsid w:val="00F748D8"/>
    <w:rsid w:val="00F77C60"/>
    <w:rsid w:val="00F96C6B"/>
    <w:rsid w:val="00FB5BE7"/>
    <w:rsid w:val="00FB70C8"/>
    <w:rsid w:val="00FD30A8"/>
    <w:rsid w:val="00FE097F"/>
    <w:rsid w:val="00FF1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14:docId w14:val="4421E34E"/>
  <w15:docId w15:val="{EC91D1F7-54F4-45D0-BC4D-F111A49C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n,f,ft Char,1"/>
    <w:basedOn w:val="Normal"/>
    <w:link w:val="FootnoteTextChar"/>
    <w:uiPriority w:val="99"/>
    <w:qFormat/>
    <w:rsid w:val="00F748D8"/>
    <w:rPr>
      <w:szCs w:val="20"/>
    </w:rPr>
  </w:style>
  <w:style w:type="character" w:styleId="FootnoteReference">
    <w:name w:val="footnote reference"/>
    <w:aliases w:val="Style 3,o,fr,Style 13,Style 12,Style 15,Style 17,Style 9,o1,fr1,o2,fr2,o3,fr3,Style 18,(NECG) Footnote Reference,Style 20,Style 7,Style 8,Style 19,Style 28,Style 11,Style 16,Styl,Style 6,Style 24,Style 30,Style 39"/>
    <w:uiPriority w:val="99"/>
    <w:qFormat/>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ListParagraph">
    <w:name w:val="List Paragraph"/>
    <w:basedOn w:val="Normal"/>
    <w:uiPriority w:val="34"/>
    <w:qFormat/>
    <w:rsid w:val="00F518C4"/>
    <w:pPr>
      <w:ind w:left="720"/>
      <w:contextualSpacing/>
    </w:p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f Char"/>
    <w:basedOn w:val="DefaultParagraphFont"/>
    <w:link w:val="FootnoteText"/>
    <w:uiPriority w:val="99"/>
    <w:rsid w:val="004B2ED5"/>
  </w:style>
  <w:style w:type="character" w:styleId="CommentReference">
    <w:name w:val="annotation reference"/>
    <w:basedOn w:val="DefaultParagraphFont"/>
    <w:semiHidden/>
    <w:unhideWhenUsed/>
    <w:rsid w:val="00AE1324"/>
    <w:rPr>
      <w:sz w:val="16"/>
      <w:szCs w:val="16"/>
    </w:rPr>
  </w:style>
  <w:style w:type="paragraph" w:styleId="CommentText">
    <w:name w:val="annotation text"/>
    <w:basedOn w:val="Normal"/>
    <w:link w:val="CommentTextChar"/>
    <w:semiHidden/>
    <w:unhideWhenUsed/>
    <w:rsid w:val="00AE1324"/>
    <w:rPr>
      <w:szCs w:val="20"/>
    </w:rPr>
  </w:style>
  <w:style w:type="character" w:customStyle="1" w:styleId="CommentTextChar">
    <w:name w:val="Comment Text Char"/>
    <w:basedOn w:val="DefaultParagraphFont"/>
    <w:link w:val="CommentText"/>
    <w:semiHidden/>
    <w:rsid w:val="00AE1324"/>
  </w:style>
  <w:style w:type="paragraph" w:styleId="CommentSubject">
    <w:name w:val="annotation subject"/>
    <w:basedOn w:val="CommentText"/>
    <w:next w:val="CommentText"/>
    <w:link w:val="CommentSubjectChar"/>
    <w:semiHidden/>
    <w:unhideWhenUsed/>
    <w:rsid w:val="00AE1324"/>
    <w:rPr>
      <w:b/>
      <w:bCs/>
    </w:rPr>
  </w:style>
  <w:style w:type="character" w:customStyle="1" w:styleId="CommentSubjectChar">
    <w:name w:val="Comment Subject Char"/>
    <w:basedOn w:val="CommentTextChar"/>
    <w:link w:val="CommentSubject"/>
    <w:semiHidden/>
    <w:rsid w:val="00AE1324"/>
    <w:rPr>
      <w:b/>
      <w:bCs/>
    </w:rPr>
  </w:style>
  <w:style w:type="paragraph" w:styleId="BalloonText">
    <w:name w:val="Balloon Text"/>
    <w:basedOn w:val="Normal"/>
    <w:link w:val="BalloonTextChar"/>
    <w:semiHidden/>
    <w:unhideWhenUsed/>
    <w:rsid w:val="00AE1324"/>
    <w:rPr>
      <w:rFonts w:ascii="Segoe UI" w:hAnsi="Segoe UI" w:cs="Segoe UI"/>
      <w:sz w:val="18"/>
      <w:szCs w:val="18"/>
    </w:rPr>
  </w:style>
  <w:style w:type="character" w:customStyle="1" w:styleId="BalloonTextChar">
    <w:name w:val="Balloon Text Char"/>
    <w:basedOn w:val="DefaultParagraphFont"/>
    <w:link w:val="BalloonText"/>
    <w:semiHidden/>
    <w:rsid w:val="00AE1324"/>
    <w:rPr>
      <w:rFonts w:ascii="Segoe UI" w:hAnsi="Segoe UI" w:cs="Segoe UI"/>
      <w:sz w:val="18"/>
      <w:szCs w:val="18"/>
    </w:rPr>
  </w:style>
  <w:style w:type="character" w:styleId="Emphasis">
    <w:name w:val="Emphasis"/>
    <w:basedOn w:val="DefaultParagraphFont"/>
    <w:uiPriority w:val="20"/>
    <w:qFormat/>
    <w:rsid w:val="006131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48409">
      <w:bodyDiv w:val="1"/>
      <w:marLeft w:val="0"/>
      <w:marRight w:val="0"/>
      <w:marTop w:val="0"/>
      <w:marBottom w:val="0"/>
      <w:divBdr>
        <w:top w:val="none" w:sz="0" w:space="0" w:color="auto"/>
        <w:left w:val="none" w:sz="0" w:space="0" w:color="auto"/>
        <w:bottom w:val="none" w:sz="0" w:space="0" w:color="auto"/>
        <w:right w:val="none" w:sz="0" w:space="0" w:color="auto"/>
      </w:divBdr>
      <w:divsChild>
        <w:div w:id="233053102">
          <w:marLeft w:val="0"/>
          <w:marRight w:val="0"/>
          <w:marTop w:val="0"/>
          <w:marBottom w:val="0"/>
          <w:divBdr>
            <w:top w:val="none" w:sz="0" w:space="0" w:color="auto"/>
            <w:left w:val="none" w:sz="0" w:space="0" w:color="auto"/>
            <w:bottom w:val="none" w:sz="0" w:space="0" w:color="auto"/>
            <w:right w:val="none" w:sz="0" w:space="0" w:color="auto"/>
          </w:divBdr>
          <w:divsChild>
            <w:div w:id="1713338730">
              <w:marLeft w:val="0"/>
              <w:marRight w:val="0"/>
              <w:marTop w:val="0"/>
              <w:marBottom w:val="0"/>
              <w:divBdr>
                <w:top w:val="none" w:sz="0" w:space="0" w:color="auto"/>
                <w:left w:val="none" w:sz="0" w:space="0" w:color="auto"/>
                <w:bottom w:val="none" w:sz="0" w:space="0" w:color="auto"/>
                <w:right w:val="none" w:sz="0" w:space="0" w:color="auto"/>
              </w:divBdr>
              <w:divsChild>
                <w:div w:id="1435008131">
                  <w:marLeft w:val="0"/>
                  <w:marRight w:val="0"/>
                  <w:marTop w:val="0"/>
                  <w:marBottom w:val="0"/>
                  <w:divBdr>
                    <w:top w:val="none" w:sz="0" w:space="0" w:color="auto"/>
                    <w:left w:val="none" w:sz="0" w:space="0" w:color="auto"/>
                    <w:bottom w:val="none" w:sz="0" w:space="0" w:color="auto"/>
                    <w:right w:val="none" w:sz="0" w:space="0" w:color="auto"/>
                  </w:divBdr>
                  <w:divsChild>
                    <w:div w:id="2036953318">
                      <w:marLeft w:val="0"/>
                      <w:marRight w:val="0"/>
                      <w:marTop w:val="0"/>
                      <w:marBottom w:val="0"/>
                      <w:divBdr>
                        <w:top w:val="none" w:sz="0" w:space="0" w:color="auto"/>
                        <w:left w:val="none" w:sz="0" w:space="0" w:color="auto"/>
                        <w:bottom w:val="none" w:sz="0" w:space="0" w:color="auto"/>
                        <w:right w:val="none" w:sz="0" w:space="0" w:color="auto"/>
                      </w:divBdr>
                      <w:divsChild>
                        <w:div w:id="189299066">
                          <w:marLeft w:val="0"/>
                          <w:marRight w:val="0"/>
                          <w:marTop w:val="0"/>
                          <w:marBottom w:val="0"/>
                          <w:divBdr>
                            <w:top w:val="none" w:sz="0" w:space="0" w:color="auto"/>
                            <w:left w:val="none" w:sz="0" w:space="0" w:color="auto"/>
                            <w:bottom w:val="none" w:sz="0" w:space="0" w:color="auto"/>
                            <w:right w:val="none" w:sz="0" w:space="0" w:color="auto"/>
                          </w:divBdr>
                          <w:divsChild>
                            <w:div w:id="554707110">
                              <w:marLeft w:val="0"/>
                              <w:marRight w:val="0"/>
                              <w:marTop w:val="0"/>
                              <w:marBottom w:val="0"/>
                              <w:divBdr>
                                <w:top w:val="none" w:sz="0" w:space="0" w:color="auto"/>
                                <w:left w:val="none" w:sz="0" w:space="0" w:color="auto"/>
                                <w:bottom w:val="none" w:sz="0" w:space="0" w:color="auto"/>
                                <w:right w:val="none" w:sz="0" w:space="0" w:color="auto"/>
                              </w:divBdr>
                              <w:divsChild>
                                <w:div w:id="845481608">
                                  <w:marLeft w:val="0"/>
                                  <w:marRight w:val="0"/>
                                  <w:marTop w:val="0"/>
                                  <w:marBottom w:val="0"/>
                                  <w:divBdr>
                                    <w:top w:val="none" w:sz="0" w:space="0" w:color="auto"/>
                                    <w:left w:val="none" w:sz="0" w:space="0" w:color="auto"/>
                                    <w:bottom w:val="none" w:sz="0" w:space="0" w:color="auto"/>
                                    <w:right w:val="none" w:sz="0" w:space="0" w:color="auto"/>
                                  </w:divBdr>
                                  <w:divsChild>
                                    <w:div w:id="1067993424">
                                      <w:marLeft w:val="0"/>
                                      <w:marRight w:val="0"/>
                                      <w:marTop w:val="0"/>
                                      <w:marBottom w:val="0"/>
                                      <w:divBdr>
                                        <w:top w:val="none" w:sz="0" w:space="0" w:color="auto"/>
                                        <w:left w:val="none" w:sz="0" w:space="0" w:color="auto"/>
                                        <w:bottom w:val="none" w:sz="0" w:space="0" w:color="auto"/>
                                        <w:right w:val="none" w:sz="0" w:space="0" w:color="auto"/>
                                      </w:divBdr>
                                      <w:divsChild>
                                        <w:div w:id="325594797">
                                          <w:marLeft w:val="0"/>
                                          <w:marRight w:val="0"/>
                                          <w:marTop w:val="0"/>
                                          <w:marBottom w:val="0"/>
                                          <w:divBdr>
                                            <w:top w:val="none" w:sz="0" w:space="0" w:color="auto"/>
                                            <w:left w:val="none" w:sz="0" w:space="0" w:color="auto"/>
                                            <w:bottom w:val="none" w:sz="0" w:space="0" w:color="auto"/>
                                            <w:right w:val="none" w:sz="0" w:space="0" w:color="auto"/>
                                          </w:divBdr>
                                          <w:divsChild>
                                            <w:div w:id="235289167">
                                              <w:marLeft w:val="0"/>
                                              <w:marRight w:val="0"/>
                                              <w:marTop w:val="0"/>
                                              <w:marBottom w:val="0"/>
                                              <w:divBdr>
                                                <w:top w:val="none" w:sz="0" w:space="0" w:color="auto"/>
                                                <w:left w:val="none" w:sz="0" w:space="0" w:color="auto"/>
                                                <w:bottom w:val="none" w:sz="0" w:space="0" w:color="auto"/>
                                                <w:right w:val="none" w:sz="0" w:space="0" w:color="auto"/>
                                              </w:divBdr>
                                              <w:divsChild>
                                                <w:div w:id="1796677878">
                                                  <w:marLeft w:val="0"/>
                                                  <w:marRight w:val="0"/>
                                                  <w:marTop w:val="0"/>
                                                  <w:marBottom w:val="0"/>
                                                  <w:divBdr>
                                                    <w:top w:val="none" w:sz="0" w:space="0" w:color="auto"/>
                                                    <w:left w:val="none" w:sz="0" w:space="0" w:color="auto"/>
                                                    <w:bottom w:val="none" w:sz="0" w:space="0" w:color="auto"/>
                                                    <w:right w:val="none" w:sz="0" w:space="0" w:color="auto"/>
                                                  </w:divBdr>
                                                  <w:divsChild>
                                                    <w:div w:id="189875184">
                                                      <w:marLeft w:val="0"/>
                                                      <w:marRight w:val="0"/>
                                                      <w:marTop w:val="240"/>
                                                      <w:marBottom w:val="240"/>
                                                      <w:divBdr>
                                                        <w:top w:val="none" w:sz="0" w:space="0" w:color="auto"/>
                                                        <w:left w:val="none" w:sz="0" w:space="0" w:color="auto"/>
                                                        <w:bottom w:val="none" w:sz="0" w:space="0" w:color="auto"/>
                                                        <w:right w:val="none" w:sz="0" w:space="0" w:color="auto"/>
                                                      </w:divBdr>
                                                    </w:div>
                                                    <w:div w:id="170428032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2016-10-05T01:38:32+00:00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191DCFB-D936-49D9-B154-DE0CE7473E1C}">
  <ds:schemaRefs>
    <ds:schemaRef ds:uri="http://schemas.microsoft.com/sharepoint/v3/contenttype/forms"/>
  </ds:schemaRefs>
</ds:datastoreItem>
</file>

<file path=customXml/itemProps2.xml><?xml version="1.0" encoding="utf-8"?>
<ds:datastoreItem xmlns:ds="http://schemas.openxmlformats.org/officeDocument/2006/customXml" ds:itemID="{34F11E90-82DD-40E1-9033-7005F6267606}"/>
</file>

<file path=customXml/itemProps3.xml><?xml version="1.0" encoding="utf-8"?>
<ds:datastoreItem xmlns:ds="http://schemas.openxmlformats.org/officeDocument/2006/customXml" ds:itemID="{53EAE6C6-77F2-4948-BA97-2BC0DD74AB4B}">
  <ds:schemaRefs>
    <ds:schemaRef ds:uri="http://purl.org/dc/elements/1.1/"/>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7FF1794-FFDD-4E4E-AAAD-C7CE7CDCA755}">
  <ds:schemaRefs>
    <ds:schemaRef ds:uri="http://schemas.openxmlformats.org/officeDocument/2006/bibliography"/>
  </ds:schemaRefs>
</ds:datastoreItem>
</file>

<file path=customXml/itemProps5.xml><?xml version="1.0" encoding="utf-8"?>
<ds:datastoreItem xmlns:ds="http://schemas.openxmlformats.org/officeDocument/2006/customXml" ds:itemID="{C7D280C9-2964-48B0-BB5E-967EC1EC50F2}"/>
</file>

<file path=docProps/app.xml><?xml version="1.0" encoding="utf-8"?>
<Properties xmlns="http://schemas.openxmlformats.org/officeDocument/2006/extended-properties" xmlns:vt="http://schemas.openxmlformats.org/officeDocument/2006/docPropsVTypes">
  <Template>Normal.dotm</Template>
  <TotalTime>427</TotalTime>
  <Pages>7</Pages>
  <Words>1372</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9178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Linley</dc:creator>
  <cp:keywords/>
  <dc:description/>
  <cp:lastModifiedBy>DeMarco, Betsy (UTC)</cp:lastModifiedBy>
  <cp:revision>69</cp:revision>
  <dcterms:created xsi:type="dcterms:W3CDTF">2016-09-30T20:23:00Z</dcterms:created>
  <dcterms:modified xsi:type="dcterms:W3CDTF">2016-10-04T23:02:00Z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DocType">
    <vt:lpwstr>Motion</vt:lpwstr>
  </property>
  <property fmtid="{D5CDD505-2E9C-101B-9397-08002B2CF9AE}" pid="4" name="_docset_NoMedatataSyncRequired">
    <vt:lpwstr>False</vt:lpwstr>
  </property>
</Properties>
</file>