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6D" w:rsidRDefault="00586A6D" w:rsidP="00586A6D">
      <w:pPr>
        <w:jc w:val="center"/>
        <w:rPr>
          <w:rFonts w:ascii="Bookman Old Style" w:hAnsi="Bookman Old Style"/>
          <w:sz w:val="32"/>
        </w:rPr>
      </w:pPr>
      <w:r>
        <w:rPr>
          <w:rFonts w:ascii="Bookman Old Style" w:hAnsi="Bookman Old Style"/>
          <w:sz w:val="32"/>
        </w:rPr>
        <w:t>Law Office of</w:t>
      </w:r>
    </w:p>
    <w:p w:rsidR="00586A6D" w:rsidRPr="005662E4" w:rsidRDefault="00586A6D" w:rsidP="00586A6D">
      <w:pPr>
        <w:pStyle w:val="Heading3"/>
        <w:ind w:left="2160" w:firstLine="720"/>
        <w:jc w:val="left"/>
        <w:rPr>
          <w:sz w:val="16"/>
          <w:szCs w:val="16"/>
        </w:rPr>
      </w:pPr>
      <w:r>
        <w:t xml:space="preserve">  Richard A. Finnigan          </w:t>
      </w:r>
    </w:p>
    <w:p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rsidR="00586A6D" w:rsidRDefault="00586A6D" w:rsidP="00586A6D">
      <w:pPr>
        <w:jc w:val="center"/>
        <w:rPr>
          <w:rFonts w:ascii="Bookman Old Style" w:hAnsi="Bookman Old Style"/>
          <w:szCs w:val="24"/>
        </w:rPr>
      </w:pPr>
    </w:p>
    <w:p w:rsidR="00595F92" w:rsidRDefault="004D1209" w:rsidP="00595F92">
      <w:pPr>
        <w:jc w:val="center"/>
      </w:pPr>
      <w:r>
        <w:t>December 7, 2018</w:t>
      </w:r>
    </w:p>
    <w:p w:rsidR="00595F92" w:rsidRDefault="00595F92" w:rsidP="00595F92">
      <w:pPr>
        <w:jc w:val="center"/>
      </w:pPr>
    </w:p>
    <w:p w:rsidR="00595F92" w:rsidRDefault="00595F92" w:rsidP="00595F92">
      <w:pPr>
        <w:jc w:val="center"/>
      </w:pPr>
    </w:p>
    <w:p w:rsidR="00595F92" w:rsidRDefault="00595F92" w:rsidP="00595F92"/>
    <w:p w:rsidR="00595F92" w:rsidRDefault="00595F92" w:rsidP="00595F92">
      <w:r>
        <w:rPr>
          <w:b/>
          <w:u w:val="single"/>
        </w:rPr>
        <w:t>VIA E-FILING</w:t>
      </w:r>
    </w:p>
    <w:p w:rsidR="00595F92" w:rsidRDefault="00595F92" w:rsidP="00595F92"/>
    <w:p w:rsidR="00595F92" w:rsidRDefault="00595F92" w:rsidP="00595F92">
      <w:r>
        <w:t xml:space="preserve">Mr. </w:t>
      </w:r>
      <w:r w:rsidR="004D1209">
        <w:t>Mark L. Johnson</w:t>
      </w:r>
      <w:r>
        <w:t>, Executive Director and Secretary</w:t>
      </w:r>
    </w:p>
    <w:p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rsidR="00595F92" w:rsidRDefault="00595F92" w:rsidP="00595F92">
      <w:smartTag w:uri="urn:schemas-microsoft-com:office:smarttags" w:element="Street">
        <w:smartTag w:uri="urn:schemas-microsoft-com:office:smarttags" w:element="address">
          <w:r>
            <w:t>1300 South Evergreen Park Drive SW</w:t>
          </w:r>
        </w:smartTag>
      </w:smartTag>
    </w:p>
    <w:p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595F92" w:rsidRDefault="00595F92" w:rsidP="00595F92"/>
    <w:p w:rsidR="00595F92" w:rsidRDefault="00BE28A7" w:rsidP="004D1209">
      <w:pPr>
        <w:widowControl/>
        <w:autoSpaceDE w:val="0"/>
        <w:autoSpaceDN w:val="0"/>
        <w:adjustRightInd w:val="0"/>
        <w:spacing w:line="245" w:lineRule="exact"/>
        <w:ind w:left="40" w:right="-20"/>
        <w:rPr>
          <w:b/>
        </w:rPr>
      </w:pPr>
      <w:r>
        <w:tab/>
      </w:r>
      <w:r w:rsidR="00595F92">
        <w:t>Re:</w:t>
      </w:r>
      <w:r w:rsidR="00595F92">
        <w:tab/>
      </w:r>
      <w:r>
        <w:rPr>
          <w:snapToGrid/>
          <w:szCs w:val="24"/>
        </w:rPr>
        <w:t>Rulem</w:t>
      </w:r>
      <w:r>
        <w:rPr>
          <w:snapToGrid/>
          <w:spacing w:val="-1"/>
          <w:szCs w:val="24"/>
        </w:rPr>
        <w:t>a</w:t>
      </w:r>
      <w:r>
        <w:rPr>
          <w:snapToGrid/>
          <w:szCs w:val="24"/>
        </w:rPr>
        <w:t>king</w:t>
      </w:r>
      <w:r>
        <w:rPr>
          <w:snapToGrid/>
          <w:spacing w:val="-2"/>
          <w:szCs w:val="24"/>
        </w:rPr>
        <w:t xml:space="preserve"> </w:t>
      </w:r>
      <w:r>
        <w:rPr>
          <w:snapToGrid/>
          <w:szCs w:val="24"/>
        </w:rPr>
        <w:t xml:space="preserve">to </w:t>
      </w:r>
      <w:r>
        <w:rPr>
          <w:snapToGrid/>
          <w:spacing w:val="1"/>
          <w:szCs w:val="24"/>
        </w:rPr>
        <w:t>C</w:t>
      </w:r>
      <w:r>
        <w:rPr>
          <w:snapToGrid/>
          <w:szCs w:val="24"/>
        </w:rPr>
        <w:t>onsid</w:t>
      </w:r>
      <w:r>
        <w:rPr>
          <w:snapToGrid/>
          <w:spacing w:val="-1"/>
          <w:szCs w:val="24"/>
        </w:rPr>
        <w:t>e</w:t>
      </w:r>
      <w:r>
        <w:rPr>
          <w:snapToGrid/>
          <w:szCs w:val="24"/>
        </w:rPr>
        <w:t>r</w:t>
      </w:r>
      <w:r>
        <w:rPr>
          <w:snapToGrid/>
          <w:spacing w:val="3"/>
          <w:szCs w:val="24"/>
        </w:rPr>
        <w:t xml:space="preserve"> </w:t>
      </w:r>
      <w:r>
        <w:rPr>
          <w:snapToGrid/>
          <w:spacing w:val="1"/>
          <w:szCs w:val="24"/>
        </w:rPr>
        <w:t>P</w:t>
      </w:r>
      <w:r>
        <w:rPr>
          <w:snapToGrid/>
          <w:szCs w:val="24"/>
        </w:rPr>
        <w:t>oss</w:t>
      </w:r>
      <w:r>
        <w:rPr>
          <w:snapToGrid/>
          <w:spacing w:val="1"/>
          <w:szCs w:val="24"/>
        </w:rPr>
        <w:t>i</w:t>
      </w:r>
      <w:r>
        <w:rPr>
          <w:snapToGrid/>
          <w:szCs w:val="24"/>
        </w:rPr>
        <w:t>ble Ch</w:t>
      </w:r>
      <w:r>
        <w:rPr>
          <w:snapToGrid/>
          <w:spacing w:val="-1"/>
          <w:szCs w:val="24"/>
        </w:rPr>
        <w:t>a</w:t>
      </w:r>
      <w:r>
        <w:rPr>
          <w:snapToGrid/>
          <w:szCs w:val="24"/>
        </w:rPr>
        <w:t>n</w:t>
      </w:r>
      <w:r>
        <w:rPr>
          <w:snapToGrid/>
          <w:spacing w:val="-2"/>
          <w:szCs w:val="24"/>
        </w:rPr>
        <w:t>g</w:t>
      </w:r>
      <w:r>
        <w:rPr>
          <w:snapToGrid/>
          <w:spacing w:val="-1"/>
          <w:szCs w:val="24"/>
        </w:rPr>
        <w:t>e</w:t>
      </w:r>
      <w:r>
        <w:rPr>
          <w:snapToGrid/>
          <w:szCs w:val="24"/>
        </w:rPr>
        <w:t>s</w:t>
      </w:r>
      <w:r>
        <w:rPr>
          <w:snapToGrid/>
          <w:spacing w:val="1"/>
          <w:szCs w:val="24"/>
        </w:rPr>
        <w:t xml:space="preserve"> </w:t>
      </w:r>
      <w:r>
        <w:rPr>
          <w:snapToGrid/>
          <w:szCs w:val="24"/>
        </w:rPr>
        <w:t>to Rul</w:t>
      </w:r>
      <w:r>
        <w:rPr>
          <w:snapToGrid/>
          <w:spacing w:val="2"/>
          <w:szCs w:val="24"/>
        </w:rPr>
        <w:t>e</w:t>
      </w:r>
      <w:r>
        <w:rPr>
          <w:snapToGrid/>
          <w:szCs w:val="24"/>
        </w:rPr>
        <w:t>s in</w:t>
      </w:r>
      <w:r>
        <w:rPr>
          <w:snapToGrid/>
          <w:spacing w:val="2"/>
          <w:szCs w:val="24"/>
        </w:rPr>
        <w:t xml:space="preserve"> </w:t>
      </w:r>
      <w:r>
        <w:rPr>
          <w:snapToGrid/>
          <w:szCs w:val="24"/>
        </w:rPr>
        <w:t>Ch</w:t>
      </w:r>
      <w:r>
        <w:rPr>
          <w:snapToGrid/>
          <w:spacing w:val="-1"/>
          <w:szCs w:val="24"/>
        </w:rPr>
        <w:t>a</w:t>
      </w:r>
      <w:r>
        <w:rPr>
          <w:snapToGrid/>
          <w:szCs w:val="24"/>
        </w:rPr>
        <w:t>pter</w:t>
      </w:r>
      <w:r>
        <w:rPr>
          <w:snapToGrid/>
          <w:spacing w:val="-1"/>
          <w:szCs w:val="24"/>
        </w:rPr>
        <w:t xml:space="preserve"> </w:t>
      </w:r>
      <w:r>
        <w:rPr>
          <w:snapToGrid/>
          <w:szCs w:val="24"/>
        </w:rPr>
        <w:t>480</w:t>
      </w:r>
      <w:r>
        <w:rPr>
          <w:snapToGrid/>
          <w:spacing w:val="-1"/>
          <w:szCs w:val="24"/>
        </w:rPr>
        <w:t>-</w:t>
      </w:r>
      <w:r>
        <w:rPr>
          <w:snapToGrid/>
          <w:szCs w:val="24"/>
        </w:rPr>
        <w:t xml:space="preserve">120 </w:t>
      </w:r>
      <w:r>
        <w:rPr>
          <w:snapToGrid/>
          <w:spacing w:val="1"/>
          <w:szCs w:val="24"/>
        </w:rPr>
        <w:t>W</w:t>
      </w:r>
      <w:r>
        <w:rPr>
          <w:snapToGrid/>
          <w:szCs w:val="24"/>
        </w:rPr>
        <w:t>AC,</w:t>
      </w:r>
      <w:r w:rsidR="004D1209">
        <w:rPr>
          <w:snapToGrid/>
          <w:szCs w:val="24"/>
        </w:rPr>
        <w:t xml:space="preserve"> </w:t>
      </w:r>
      <w:r w:rsidR="000E57EA">
        <w:rPr>
          <w:snapToGrid/>
          <w:szCs w:val="24"/>
        </w:rPr>
        <w:tab/>
      </w:r>
      <w:r>
        <w:rPr>
          <w:snapToGrid/>
          <w:szCs w:val="24"/>
        </w:rPr>
        <w:t>R</w:t>
      </w:r>
      <w:r>
        <w:rPr>
          <w:snapToGrid/>
          <w:spacing w:val="-1"/>
          <w:szCs w:val="24"/>
        </w:rPr>
        <w:t>e</w:t>
      </w:r>
      <w:r>
        <w:rPr>
          <w:snapToGrid/>
          <w:szCs w:val="24"/>
        </w:rPr>
        <w:t>lating</w:t>
      </w:r>
      <w:r>
        <w:rPr>
          <w:snapToGrid/>
          <w:spacing w:val="-2"/>
          <w:szCs w:val="24"/>
        </w:rPr>
        <w:t xml:space="preserve"> </w:t>
      </w:r>
      <w:r>
        <w:rPr>
          <w:snapToGrid/>
          <w:szCs w:val="24"/>
        </w:rPr>
        <w:t>to</w:t>
      </w:r>
      <w:r>
        <w:rPr>
          <w:snapToGrid/>
          <w:spacing w:val="1"/>
          <w:szCs w:val="24"/>
        </w:rPr>
        <w:t xml:space="preserve"> S</w:t>
      </w:r>
      <w:r>
        <w:rPr>
          <w:snapToGrid/>
          <w:spacing w:val="-1"/>
          <w:szCs w:val="24"/>
        </w:rPr>
        <w:t>e</w:t>
      </w:r>
      <w:r>
        <w:rPr>
          <w:snapToGrid/>
          <w:szCs w:val="24"/>
        </w:rPr>
        <w:t>rvi</w:t>
      </w:r>
      <w:r>
        <w:rPr>
          <w:snapToGrid/>
          <w:spacing w:val="1"/>
          <w:szCs w:val="24"/>
        </w:rPr>
        <w:t>c</w:t>
      </w:r>
      <w:r>
        <w:rPr>
          <w:snapToGrid/>
          <w:szCs w:val="24"/>
        </w:rPr>
        <w:t>e Obligations of T</w:t>
      </w:r>
      <w:r>
        <w:rPr>
          <w:snapToGrid/>
          <w:spacing w:val="-1"/>
          <w:szCs w:val="24"/>
        </w:rPr>
        <w:t>e</w:t>
      </w:r>
      <w:r>
        <w:rPr>
          <w:snapToGrid/>
          <w:szCs w:val="24"/>
        </w:rPr>
        <w:t>lephone</w:t>
      </w:r>
      <w:r>
        <w:rPr>
          <w:snapToGrid/>
          <w:spacing w:val="-1"/>
          <w:szCs w:val="24"/>
        </w:rPr>
        <w:t xml:space="preserve"> </w:t>
      </w:r>
      <w:r>
        <w:rPr>
          <w:snapToGrid/>
          <w:szCs w:val="24"/>
        </w:rPr>
        <w:t>Co</w:t>
      </w:r>
      <w:r>
        <w:rPr>
          <w:snapToGrid/>
          <w:spacing w:val="3"/>
          <w:szCs w:val="24"/>
        </w:rPr>
        <w:t>m</w:t>
      </w:r>
      <w:r>
        <w:rPr>
          <w:snapToGrid/>
          <w:szCs w:val="24"/>
        </w:rPr>
        <w:t>p</w:t>
      </w:r>
      <w:r>
        <w:rPr>
          <w:snapToGrid/>
          <w:spacing w:val="-1"/>
          <w:szCs w:val="24"/>
        </w:rPr>
        <w:t>a</w:t>
      </w:r>
      <w:r>
        <w:rPr>
          <w:snapToGrid/>
          <w:szCs w:val="24"/>
        </w:rPr>
        <w:t>nie</w:t>
      </w:r>
      <w:r>
        <w:rPr>
          <w:snapToGrid/>
          <w:spacing w:val="1"/>
          <w:szCs w:val="24"/>
        </w:rPr>
        <w:t>s</w:t>
      </w:r>
      <w:r w:rsidR="00C91CA6">
        <w:rPr>
          <w:snapToGrid/>
          <w:spacing w:val="1"/>
          <w:szCs w:val="24"/>
        </w:rPr>
        <w:t xml:space="preserve"> </w:t>
      </w:r>
      <w:r w:rsidR="003D266D">
        <w:t xml:space="preserve">– </w:t>
      </w:r>
      <w:r w:rsidR="00C91CA6">
        <w:rPr>
          <w:snapToGrid/>
          <w:szCs w:val="24"/>
        </w:rPr>
        <w:t>Do</w:t>
      </w:r>
      <w:r w:rsidR="00C91CA6">
        <w:rPr>
          <w:snapToGrid/>
          <w:spacing w:val="-1"/>
          <w:szCs w:val="24"/>
        </w:rPr>
        <w:t>c</w:t>
      </w:r>
      <w:r w:rsidR="00C91CA6">
        <w:rPr>
          <w:snapToGrid/>
          <w:szCs w:val="24"/>
        </w:rPr>
        <w:t>k</w:t>
      </w:r>
      <w:r w:rsidR="00C91CA6">
        <w:rPr>
          <w:snapToGrid/>
          <w:spacing w:val="-1"/>
          <w:szCs w:val="24"/>
        </w:rPr>
        <w:t>e</w:t>
      </w:r>
      <w:r w:rsidR="00C91CA6">
        <w:rPr>
          <w:snapToGrid/>
          <w:szCs w:val="24"/>
        </w:rPr>
        <w:t>t</w:t>
      </w:r>
      <w:r w:rsidR="00C91CA6">
        <w:rPr>
          <w:snapToGrid/>
          <w:spacing w:val="3"/>
          <w:szCs w:val="24"/>
        </w:rPr>
        <w:t xml:space="preserve"> </w:t>
      </w:r>
      <w:r w:rsidR="00C91CA6">
        <w:rPr>
          <w:snapToGrid/>
          <w:szCs w:val="24"/>
        </w:rPr>
        <w:t>UT</w:t>
      </w:r>
      <w:r w:rsidR="00C91CA6">
        <w:rPr>
          <w:snapToGrid/>
          <w:spacing w:val="-1"/>
          <w:szCs w:val="24"/>
        </w:rPr>
        <w:t>-</w:t>
      </w:r>
      <w:r w:rsidR="00C91CA6">
        <w:rPr>
          <w:snapToGrid/>
          <w:szCs w:val="24"/>
        </w:rPr>
        <w:t>180</w:t>
      </w:r>
      <w:r w:rsidR="00C91CA6">
        <w:rPr>
          <w:snapToGrid/>
          <w:spacing w:val="2"/>
          <w:szCs w:val="24"/>
        </w:rPr>
        <w:t>8</w:t>
      </w:r>
      <w:r w:rsidR="00C91CA6">
        <w:rPr>
          <w:snapToGrid/>
          <w:szCs w:val="24"/>
        </w:rPr>
        <w:t xml:space="preserve">31 </w:t>
      </w:r>
    </w:p>
    <w:p w:rsidR="00595F92" w:rsidRDefault="00595F92" w:rsidP="00595F92"/>
    <w:p w:rsidR="00595F92" w:rsidRDefault="00595F92" w:rsidP="00595F92">
      <w:r>
        <w:t xml:space="preserve">Dear Mr. </w:t>
      </w:r>
      <w:r w:rsidR="004D1209">
        <w:t>Johnson</w:t>
      </w:r>
      <w:r>
        <w:t>:</w:t>
      </w:r>
    </w:p>
    <w:p w:rsidR="00C91CA6" w:rsidRDefault="00C91CA6" w:rsidP="00595F92"/>
    <w:p w:rsidR="00B71A6E" w:rsidRDefault="00C91CA6" w:rsidP="00595F92">
      <w:r>
        <w:tab/>
      </w:r>
      <w:r w:rsidR="006E6D63">
        <w:t xml:space="preserve">This Docket is a rulemaking to address issues surrounding carrier of last resort obligations.  </w:t>
      </w:r>
      <w:r>
        <w:t xml:space="preserve">By Notice </w:t>
      </w:r>
      <w:r w:rsidR="005B4B6B">
        <w:t xml:space="preserve">of Opportunity to Submit Written Comments dated October 22, 2018 ("Notice"), the </w:t>
      </w:r>
      <w:r w:rsidR="000E57EA">
        <w:t>C</w:t>
      </w:r>
      <w:r w:rsidR="005B4B6B">
        <w:t xml:space="preserve">ommission has asked for comments in the above referenced Docket.  </w:t>
      </w:r>
      <w:r w:rsidR="0016634F">
        <w:t>This letter is</w:t>
      </w:r>
      <w:r w:rsidR="00063EA2">
        <w:t xml:space="preserve"> submitted on behalf of the Washington Independent Telecommunications Association ("WITA")</w:t>
      </w:r>
      <w:r w:rsidR="006E6D63">
        <w:t xml:space="preserve"> and is </w:t>
      </w:r>
      <w:r w:rsidR="0016634F">
        <w:t>intended</w:t>
      </w:r>
      <w:r w:rsidR="006E6D63">
        <w:t xml:space="preserve"> to provide </w:t>
      </w:r>
      <w:r w:rsidR="0016634F">
        <w:t>comments</w:t>
      </w:r>
      <w:r w:rsidR="006E6D63">
        <w:t xml:space="preserve"> on the </w:t>
      </w:r>
      <w:r w:rsidR="008E2995">
        <w:t xml:space="preserve">proposed rulemaking addressing </w:t>
      </w:r>
      <w:r w:rsidR="006E6D63">
        <w:t>carrier of last resort obligations</w:t>
      </w:r>
      <w:r w:rsidR="00063EA2">
        <w:t xml:space="preserve">.  </w:t>
      </w:r>
    </w:p>
    <w:p w:rsidR="00B71A6E" w:rsidRDefault="00B71A6E" w:rsidP="00595F92"/>
    <w:p w:rsidR="00C91CA6" w:rsidRDefault="00B71A6E" w:rsidP="00595F92">
      <w:r>
        <w:tab/>
      </w:r>
      <w:r w:rsidR="005B4B6B">
        <w:t xml:space="preserve">In the Notice, the Commission poses a series of five questions, </w:t>
      </w:r>
      <w:r w:rsidR="00063EA2">
        <w:t>some</w:t>
      </w:r>
      <w:r w:rsidR="005B4B6B">
        <w:t xml:space="preserve"> </w:t>
      </w:r>
      <w:r w:rsidR="00A532A0">
        <w:t xml:space="preserve">of </w:t>
      </w:r>
      <w:r w:rsidR="005B4B6B">
        <w:t>which have</w:t>
      </w:r>
      <w:r w:rsidR="00A532A0">
        <w:t xml:space="preserve"> multiple subparts.  Before </w:t>
      </w:r>
      <w:r w:rsidR="00E76047">
        <w:t>providing comments in response</w:t>
      </w:r>
      <w:r w:rsidR="00A532A0">
        <w:t xml:space="preserve"> to those questions, WITA has </w:t>
      </w:r>
      <w:r w:rsidR="00E76047">
        <w:t>its own</w:t>
      </w:r>
      <w:r w:rsidR="00A532A0">
        <w:t xml:space="preserve"> threshold question.  </w:t>
      </w:r>
    </w:p>
    <w:p w:rsidR="00A532A0" w:rsidRDefault="00A532A0" w:rsidP="00595F92"/>
    <w:p w:rsidR="00A532A0" w:rsidRDefault="00A532A0" w:rsidP="00595F92">
      <w:r>
        <w:tab/>
        <w:t xml:space="preserve">The threshold question is whether there is </w:t>
      </w:r>
      <w:r w:rsidR="00063EA2">
        <w:t>a substantial need for this r</w:t>
      </w:r>
      <w:r>
        <w:t xml:space="preserve">ulemaking in the first instance.  WITA is aware that the </w:t>
      </w:r>
      <w:r w:rsidR="00063EA2">
        <w:t>r</w:t>
      </w:r>
      <w:r>
        <w:t xml:space="preserve">ulemaking </w:t>
      </w:r>
      <w:r w:rsidR="00EC3F52">
        <w:t>grows</w:t>
      </w:r>
      <w:r>
        <w:t xml:space="preserve"> out of</w:t>
      </w:r>
      <w:r w:rsidR="00EC3F52">
        <w:t xml:space="preserve"> a complaint proceeding involving CenturyLink</w:t>
      </w:r>
      <w:r w:rsidR="00A55F2F">
        <w:t>.</w:t>
      </w:r>
      <w:r w:rsidR="00EC3F52" w:rsidRPr="00A55F2F">
        <w:rPr>
          <w:rStyle w:val="FootnoteReference"/>
          <w:vertAlign w:val="superscript"/>
        </w:rPr>
        <w:footnoteReference w:id="1"/>
      </w:r>
      <w:r w:rsidR="00A55F2F">
        <w:t xml:space="preserve">  In reviewing that complaint, it appears that it involves an unusual factual situation.  The old adage </w:t>
      </w:r>
      <w:r w:rsidR="00D27DCD">
        <w:t>is that "bad facts make for bad law."  Unfortunately, that is a very true statement</w:t>
      </w:r>
      <w:r w:rsidR="000573B3">
        <w:t xml:space="preserve">.  </w:t>
      </w:r>
      <w:r w:rsidR="00D27DCD">
        <w:t xml:space="preserve">Having to deal with a situation that is likely "one off" from the norm should not lead to a general rulemaking attempting to cover all situations as though </w:t>
      </w:r>
      <w:r w:rsidR="00995C75">
        <w:t>those situations are</w:t>
      </w:r>
      <w:r w:rsidR="00D27DCD">
        <w:t xml:space="preserve"> </w:t>
      </w:r>
      <w:r w:rsidR="00F52197">
        <w:t xml:space="preserve">similar </w:t>
      </w:r>
      <w:r w:rsidR="000573B3">
        <w:t>to the unusual situation</w:t>
      </w:r>
      <w:r w:rsidR="00995C75">
        <w:t xml:space="preserve"> faced in the complaint</w:t>
      </w:r>
      <w:r w:rsidR="000573B3">
        <w:t xml:space="preserve">.  </w:t>
      </w:r>
    </w:p>
    <w:p w:rsidR="000573B3" w:rsidRDefault="000573B3" w:rsidP="00595F92"/>
    <w:p w:rsidR="000573B3" w:rsidRDefault="000573B3" w:rsidP="00595F92">
      <w:r>
        <w:tab/>
        <w:t xml:space="preserve">WITA's members are not aware of </w:t>
      </w:r>
      <w:r w:rsidR="00E76047">
        <w:t>an</w:t>
      </w:r>
      <w:r>
        <w:t xml:space="preserve"> </w:t>
      </w:r>
      <w:r w:rsidR="00995C75">
        <w:t>exigent</w:t>
      </w:r>
      <w:r>
        <w:t xml:space="preserve"> need to have additional rules dealing with </w:t>
      </w:r>
      <w:r>
        <w:lastRenderedPageBreak/>
        <w:t xml:space="preserve">carrier of last resort or line extension issues.  WITA respectfully </w:t>
      </w:r>
      <w:r w:rsidR="000C088C">
        <w:t>requests</w:t>
      </w:r>
      <w:r>
        <w:t xml:space="preserve"> that the </w:t>
      </w:r>
      <w:r w:rsidR="000C088C">
        <w:t>Commission</w:t>
      </w:r>
      <w:r>
        <w:t xml:space="preserve"> consider, as the first </w:t>
      </w:r>
      <w:r w:rsidR="00232633">
        <w:t>step</w:t>
      </w:r>
      <w:r>
        <w:t>, whether</w:t>
      </w:r>
      <w:r w:rsidR="00232633">
        <w:t xml:space="preserve"> additional</w:t>
      </w:r>
      <w:r>
        <w:t xml:space="preserve"> rules are needed on this subject.</w:t>
      </w:r>
    </w:p>
    <w:p w:rsidR="0016634F" w:rsidRDefault="0016634F" w:rsidP="00595F92"/>
    <w:p w:rsidR="000573B3" w:rsidRDefault="000573B3" w:rsidP="00595F92">
      <w:r>
        <w:tab/>
      </w:r>
      <w:r w:rsidR="00232633">
        <w:t>Having</w:t>
      </w:r>
      <w:r w:rsidR="000C088C">
        <w:t xml:space="preserve"> posed the threshold question, WITA will now turn to the five questions </w:t>
      </w:r>
      <w:r w:rsidR="0016634F">
        <w:t>set out</w:t>
      </w:r>
      <w:r w:rsidR="000C088C">
        <w:t xml:space="preserve"> in the Notice.  At this stage, WITA's comments addressing</w:t>
      </w:r>
      <w:r w:rsidR="001657F7">
        <w:t xml:space="preserve"> </w:t>
      </w:r>
      <w:r w:rsidR="007C2406">
        <w:t xml:space="preserve">the </w:t>
      </w:r>
      <w:r w:rsidR="001657F7">
        <w:t>questions</w:t>
      </w:r>
      <w:r w:rsidR="007C2406">
        <w:t xml:space="preserve"> are preliminary </w:t>
      </w:r>
      <w:r w:rsidR="003F59A2">
        <w:t>observations</w:t>
      </w:r>
      <w:r w:rsidR="007C2406">
        <w:t xml:space="preserve">.  WITA reserves the right to </w:t>
      </w:r>
      <w:r w:rsidR="003F59A2">
        <w:t>modify what it provides in these comments in the event that the Commission proceeds to a formal rulemaking.</w:t>
      </w:r>
    </w:p>
    <w:p w:rsidR="003F59A2" w:rsidRDefault="003F59A2" w:rsidP="00595F92"/>
    <w:p w:rsidR="003F59A2" w:rsidRDefault="003F59A2" w:rsidP="003F59A2">
      <w:pPr>
        <w:jc w:val="center"/>
      </w:pPr>
      <w:r>
        <w:t>Question One</w:t>
      </w:r>
    </w:p>
    <w:p w:rsidR="003F59A2" w:rsidRDefault="003F59A2" w:rsidP="003F59A2">
      <w:pPr>
        <w:jc w:val="center"/>
      </w:pPr>
    </w:p>
    <w:p w:rsidR="003F59A2" w:rsidRDefault="00762BDF" w:rsidP="003F59A2">
      <w:r>
        <w:tab/>
        <w:t xml:space="preserve">Under Question One, the Commission </w:t>
      </w:r>
      <w:r w:rsidR="00232633">
        <w:t>posed</w:t>
      </w:r>
      <w:r>
        <w:t xml:space="preserve"> a series of questions designed </w:t>
      </w:r>
      <w:r w:rsidR="00232633">
        <w:t xml:space="preserve">to determine </w:t>
      </w:r>
      <w:r>
        <w:t xml:space="preserve">the extent </w:t>
      </w:r>
      <w:r w:rsidR="006102A6">
        <w:t>of RCW 80.36.090 and the circumstances under which a person is "reasonably entitled" to receive service</w:t>
      </w:r>
      <w:r w:rsidR="0016634F">
        <w:t xml:space="preserve"> from a telecommunications provider</w:t>
      </w:r>
      <w:r w:rsidR="006102A6">
        <w:t xml:space="preserve">.  </w:t>
      </w:r>
    </w:p>
    <w:p w:rsidR="006102A6" w:rsidRDefault="006102A6" w:rsidP="003F59A2"/>
    <w:p w:rsidR="006102A6" w:rsidRDefault="006102A6" w:rsidP="003F59A2">
      <w:r>
        <w:tab/>
      </w:r>
      <w:r w:rsidR="007806E8">
        <w:t>O</w:t>
      </w:r>
      <w:r w:rsidR="000E57EA">
        <w:t>n</w:t>
      </w:r>
      <w:r>
        <w:t xml:space="preserve"> the surface</w:t>
      </w:r>
      <w:r w:rsidR="008E2995">
        <w:t>,</w:t>
      </w:r>
      <w:r w:rsidR="0016634F">
        <w:t xml:space="preserve"> the answer is easy</w:t>
      </w:r>
      <w:r w:rsidR="00B83388">
        <w:t>:</w:t>
      </w:r>
      <w:r>
        <w:t xml:space="preserve"> RCW 80.36.090 applies equally to every telecommunications company</w:t>
      </w:r>
      <w:r w:rsidR="007D2FF8">
        <w:t xml:space="preserve">.  </w:t>
      </w:r>
      <w:r w:rsidR="008E2995">
        <w:t>Then, a</w:t>
      </w:r>
      <w:r w:rsidR="004663A7">
        <w:t xml:space="preserve">ll that is </w:t>
      </w:r>
      <w:r w:rsidR="00A71591">
        <w:t>seemingly</w:t>
      </w:r>
      <w:r w:rsidR="001E6601">
        <w:t xml:space="preserve"> </w:t>
      </w:r>
      <w:r w:rsidR="004663A7">
        <w:t xml:space="preserve">left </w:t>
      </w:r>
      <w:r w:rsidR="001E6601">
        <w:t xml:space="preserve">to do </w:t>
      </w:r>
      <w:r w:rsidR="004663A7">
        <w:t xml:space="preserve">is to define "reasonably entitled."  </w:t>
      </w:r>
      <w:r w:rsidR="007D2FF8">
        <w:t xml:space="preserve">The exact </w:t>
      </w:r>
      <w:proofErr w:type="gramStart"/>
      <w:r w:rsidR="007D2FF8">
        <w:t>meaning of those words have</w:t>
      </w:r>
      <w:proofErr w:type="gramEnd"/>
      <w:r w:rsidR="007D2FF8">
        <w:t xml:space="preserve"> not been parsed out</w:t>
      </w:r>
      <w:r w:rsidR="00F1716F">
        <w:t xml:space="preserve"> in detail.  </w:t>
      </w:r>
      <w:r w:rsidR="001E6601">
        <w:t>However, i</w:t>
      </w:r>
      <w:r w:rsidR="00F1716F">
        <w:t xml:space="preserve">n trying to define the term, it is </w:t>
      </w:r>
      <w:r w:rsidR="003E1A6E">
        <w:t>quickly</w:t>
      </w:r>
      <w:r w:rsidR="00F1716F">
        <w:t xml:space="preserve"> clear</w:t>
      </w:r>
      <w:r w:rsidR="00FA1297">
        <w:t xml:space="preserve"> </w:t>
      </w:r>
      <w:r w:rsidR="004663A7">
        <w:t xml:space="preserve">that </w:t>
      </w:r>
      <w:r w:rsidR="00FA1297">
        <w:t xml:space="preserve">there are overlays that make this a very complicated </w:t>
      </w:r>
      <w:r w:rsidR="007806E8">
        <w:t>subject.</w:t>
      </w:r>
    </w:p>
    <w:p w:rsidR="00FA1297" w:rsidRDefault="00FA1297" w:rsidP="003F59A2"/>
    <w:p w:rsidR="00865066" w:rsidRDefault="00FA1297" w:rsidP="003F59A2">
      <w:r>
        <w:tab/>
        <w:t>For example, WITA's members consist of two price</w:t>
      </w:r>
      <w:r w:rsidR="00420FC5">
        <w:t>-</w:t>
      </w:r>
      <w:r>
        <w:t xml:space="preserve">cap companies, five companies that have opted </w:t>
      </w:r>
      <w:r w:rsidR="00D32CB6">
        <w:t>into</w:t>
      </w:r>
      <w:r>
        <w:t xml:space="preserve"> the FCC's new A-CAM</w:t>
      </w:r>
      <w:r w:rsidR="00C0507E" w:rsidRPr="00F10495">
        <w:rPr>
          <w:rStyle w:val="FootnoteReference"/>
          <w:vertAlign w:val="superscript"/>
        </w:rPr>
        <w:footnoteReference w:id="2"/>
      </w:r>
      <w:r>
        <w:t xml:space="preserve"> mechanism and the </w:t>
      </w:r>
      <w:proofErr w:type="gramStart"/>
      <w:r w:rsidR="002F0E0B">
        <w:t>remainder of the companies receive</w:t>
      </w:r>
      <w:proofErr w:type="gramEnd"/>
      <w:r>
        <w:t xml:space="preserve"> support under a more traditional high cost fund approach</w:t>
      </w:r>
      <w:r w:rsidR="002F0E0B">
        <w:t>.</w:t>
      </w:r>
      <w:r w:rsidR="00F64AAF" w:rsidRPr="00925B68">
        <w:rPr>
          <w:rStyle w:val="FootnoteReference"/>
          <w:vertAlign w:val="superscript"/>
        </w:rPr>
        <w:footnoteReference w:id="3"/>
      </w:r>
      <w:r w:rsidR="00F64AAF">
        <w:t xml:space="preserve"> </w:t>
      </w:r>
      <w:r w:rsidR="00925B68">
        <w:rPr>
          <w:vertAlign w:val="superscript"/>
        </w:rPr>
        <w:t xml:space="preserve"> </w:t>
      </w:r>
      <w:r w:rsidR="00925B68">
        <w:t>Further, all of WITA's members have elected designation as an eligible telecommunications company (ETC)</w:t>
      </w:r>
      <w:r w:rsidR="000843B2">
        <w:t xml:space="preserve"> under the FCC's rules, as administered by this Commission.  </w:t>
      </w:r>
      <w:r w:rsidR="00380DEC">
        <w:t>In addition</w:t>
      </w:r>
      <w:r w:rsidR="000843B2">
        <w:t xml:space="preserve">, </w:t>
      </w:r>
      <w:r w:rsidR="00380DEC">
        <w:t xml:space="preserve">currently </w:t>
      </w:r>
      <w:r w:rsidR="000843B2">
        <w:t xml:space="preserve">all but </w:t>
      </w:r>
      <w:r w:rsidR="001E6601">
        <w:t>three</w:t>
      </w:r>
      <w:r w:rsidR="000843B2">
        <w:t xml:space="preserve"> of WITA's members have applied for and have been found eligible to draw from the Washington Universal Service Program</w:t>
      </w:r>
      <w:r w:rsidR="00865066">
        <w:t xml:space="preserve"> as set out in RCW 80.36.6</w:t>
      </w:r>
      <w:r w:rsidR="003E1A6E">
        <w:t>5</w:t>
      </w:r>
      <w:r w:rsidR="00865066">
        <w:t>0</w:t>
      </w:r>
      <w:r w:rsidR="00E76047">
        <w:t xml:space="preserve"> et</w:t>
      </w:r>
      <w:proofErr w:type="gramStart"/>
      <w:r w:rsidR="00E76047">
        <w:t>. seq</w:t>
      </w:r>
      <w:proofErr w:type="gramEnd"/>
      <w:r w:rsidR="00865066">
        <w:t>.</w:t>
      </w:r>
      <w:r w:rsidR="002B6D8D" w:rsidRPr="002B6D8D">
        <w:rPr>
          <w:rStyle w:val="FootnoteReference"/>
          <w:vertAlign w:val="superscript"/>
        </w:rPr>
        <w:footnoteReference w:id="4"/>
      </w:r>
      <w:r w:rsidR="00380DEC">
        <w:t xml:space="preserve"> </w:t>
      </w:r>
      <w:r w:rsidR="006F2002">
        <w:t xml:space="preserve"> </w:t>
      </w:r>
      <w:r w:rsidR="00865066">
        <w:t xml:space="preserve">What this </w:t>
      </w:r>
      <w:r w:rsidR="001E6601">
        <w:t xml:space="preserve">range of factors </w:t>
      </w:r>
      <w:r w:rsidR="00865066">
        <w:t xml:space="preserve">means is </w:t>
      </w:r>
      <w:r w:rsidR="00380DEC">
        <w:t xml:space="preserve">that </w:t>
      </w:r>
      <w:r w:rsidR="00865066">
        <w:t xml:space="preserve">the focus </w:t>
      </w:r>
      <w:r w:rsidR="00EE4F27">
        <w:t xml:space="preserve">for </w:t>
      </w:r>
      <w:r w:rsidR="00E76047">
        <w:t xml:space="preserve">determining </w:t>
      </w:r>
      <w:r w:rsidR="00EE4F27">
        <w:t>carrier of last resort</w:t>
      </w:r>
      <w:r w:rsidR="00E76047">
        <w:t xml:space="preserve"> obligation</w:t>
      </w:r>
      <w:r w:rsidR="00EE4F27">
        <w:t xml:space="preserve"> </w:t>
      </w:r>
      <w:r w:rsidR="00865066">
        <w:t xml:space="preserve">is not necessarily </w:t>
      </w:r>
      <w:r w:rsidR="00EE4F27">
        <w:t xml:space="preserve">solely </w:t>
      </w:r>
      <w:r w:rsidR="00865066">
        <w:t xml:space="preserve">on the </w:t>
      </w:r>
      <w:r w:rsidR="00674462">
        <w:t>language</w:t>
      </w:r>
      <w:r w:rsidR="00865066">
        <w:t xml:space="preserve"> in RCW 80.36.</w:t>
      </w:r>
      <w:r w:rsidR="00674462">
        <w:t>090</w:t>
      </w:r>
      <w:r w:rsidR="000876D1">
        <w:t>.  Instead, the discussion</w:t>
      </w:r>
      <w:r w:rsidR="00674462">
        <w:t xml:space="preserve"> </w:t>
      </w:r>
      <w:r w:rsidR="00EE4F27">
        <w:t>need</w:t>
      </w:r>
      <w:r w:rsidR="00B71A6E">
        <w:t>s</w:t>
      </w:r>
      <w:r w:rsidR="00EE4F27">
        <w:t xml:space="preserve"> to include</w:t>
      </w:r>
      <w:r w:rsidR="00674462">
        <w:t xml:space="preserve"> an overall view of the varying situations that each company is under.  </w:t>
      </w:r>
    </w:p>
    <w:p w:rsidR="00674462" w:rsidRDefault="00674462" w:rsidP="003F59A2"/>
    <w:p w:rsidR="00794C4B" w:rsidRDefault="00674462" w:rsidP="003F59A2">
      <w:r>
        <w:tab/>
        <w:t xml:space="preserve">As to the ETC status, there is nothing in federal rule or FCC order that suggests that this </w:t>
      </w:r>
      <w:r w:rsidR="003E1A6E">
        <w:t xml:space="preserve">status or </w:t>
      </w:r>
      <w:r w:rsidR="00EE4F27">
        <w:t xml:space="preserve">obligation </w:t>
      </w:r>
      <w:r w:rsidR="003E1A6E">
        <w:t>constitutes</w:t>
      </w:r>
      <w:r>
        <w:t xml:space="preserve"> an absolute duty to serve every person who requests service.  Indeed, in some respects the FCC strongly suggests that it is not the case that every person is entitled to service just because an entity providing the service is designated as an ETC.  For </w:t>
      </w:r>
      <w:r>
        <w:lastRenderedPageBreak/>
        <w:t>example, the FCC has capped</w:t>
      </w:r>
      <w:r w:rsidR="00EE4F27">
        <w:t xml:space="preserve"> the per-location</w:t>
      </w:r>
      <w:r>
        <w:t xml:space="preserve"> cost that can go into the calculation of high cost support.</w:t>
      </w:r>
      <w:r w:rsidR="007259B1" w:rsidRPr="00B90B7D">
        <w:rPr>
          <w:rStyle w:val="FootnoteReference"/>
          <w:vertAlign w:val="superscript"/>
        </w:rPr>
        <w:footnoteReference w:id="5"/>
      </w:r>
      <w:r w:rsidRPr="00B90B7D">
        <w:rPr>
          <w:vertAlign w:val="superscript"/>
        </w:rPr>
        <w:t xml:space="preserve"> </w:t>
      </w:r>
      <w:r>
        <w:t xml:space="preserve"> A discussion of this can</w:t>
      </w:r>
      <w:r w:rsidR="006063CF">
        <w:t xml:space="preserve"> cap</w:t>
      </w:r>
      <w:r>
        <w:t xml:space="preserve"> be found </w:t>
      </w:r>
      <w:r w:rsidR="000A5E7A">
        <w:t xml:space="preserve">in the FCC's </w:t>
      </w:r>
      <w:r w:rsidR="000E57EA">
        <w:t>R</w:t>
      </w:r>
      <w:r w:rsidR="000A5E7A">
        <w:t>ate-of-</w:t>
      </w:r>
      <w:r w:rsidR="000E57EA">
        <w:t>R</w:t>
      </w:r>
      <w:r w:rsidR="000A5E7A">
        <w:t xml:space="preserve">eturn </w:t>
      </w:r>
      <w:r w:rsidR="000E57EA">
        <w:t>R</w:t>
      </w:r>
      <w:r w:rsidR="000A5E7A">
        <w:t xml:space="preserve">eform </w:t>
      </w:r>
      <w:r w:rsidR="000E57EA">
        <w:t>O</w:t>
      </w:r>
      <w:r w:rsidR="000A5E7A">
        <w:t xml:space="preserve">rder starting at Section 108 of that </w:t>
      </w:r>
      <w:r w:rsidR="00794C4B">
        <w:t>O</w:t>
      </w:r>
      <w:r w:rsidR="000A5E7A">
        <w:t>rder</w:t>
      </w:r>
      <w:r w:rsidR="002F0E0B">
        <w:t>.</w:t>
      </w:r>
      <w:r w:rsidR="000A5E7A" w:rsidRPr="000A5E7A">
        <w:rPr>
          <w:rStyle w:val="FootnoteReference"/>
          <w:vertAlign w:val="superscript"/>
        </w:rPr>
        <w:footnoteReference w:id="6"/>
      </w:r>
      <w:r w:rsidR="000A5E7A">
        <w:t xml:space="preserve">  </w:t>
      </w:r>
      <w:r w:rsidR="007A634A">
        <w:t>What this cap means is</w:t>
      </w:r>
      <w:r w:rsidR="000A5E7A">
        <w:t xml:space="preserve"> that if </w:t>
      </w:r>
      <w:r w:rsidR="007A634A">
        <w:t>the</w:t>
      </w:r>
      <w:r w:rsidR="000A5E7A">
        <w:t xml:space="preserve"> cost exceeds a certain level</w:t>
      </w:r>
      <w:r w:rsidR="004F2534">
        <w:t>, the FCC does not want to provide support for such a high cost location</w:t>
      </w:r>
      <w:r w:rsidR="007A634A">
        <w:t xml:space="preserve">.  </w:t>
      </w:r>
      <w:r w:rsidR="001A3D67">
        <w:t>This, in turn, implies that</w:t>
      </w:r>
      <w:r w:rsidR="004F2534">
        <w:t xml:space="preserve"> it would logically follow that the ETC does not have to serve that location.  </w:t>
      </w:r>
    </w:p>
    <w:p w:rsidR="00794C4B" w:rsidRDefault="00794C4B" w:rsidP="003F59A2"/>
    <w:p w:rsidR="00674462" w:rsidRDefault="00794C4B" w:rsidP="003F59A2">
      <w:r>
        <w:tab/>
      </w:r>
      <w:r w:rsidR="006063CF">
        <w:t>S</w:t>
      </w:r>
      <w:r w:rsidR="004F2534">
        <w:t xml:space="preserve">et out below is a table, which is recalculated annually, for WITA's members </w:t>
      </w:r>
      <w:r w:rsidR="00A402CE">
        <w:t>setting out</w:t>
      </w:r>
      <w:r w:rsidR="004F2534">
        <w:t xml:space="preserve"> the level of </w:t>
      </w:r>
      <w:r w:rsidR="001A3D67">
        <w:t xml:space="preserve">the maximum </w:t>
      </w:r>
      <w:r w:rsidR="004F2534">
        <w:t xml:space="preserve">cost per location that </w:t>
      </w:r>
      <w:r w:rsidR="007937FC">
        <w:t xml:space="preserve">WITA members </w:t>
      </w:r>
      <w:r w:rsidR="004F2534">
        <w:t>can include in their cost studies f</w:t>
      </w:r>
      <w:r w:rsidR="00B61DB2">
        <w:t>or support from the high cost fund.</w:t>
      </w:r>
    </w:p>
    <w:p w:rsidR="00055CDA" w:rsidRDefault="00055CDA" w:rsidP="003F59A2"/>
    <w:p w:rsidR="00055CDA" w:rsidRPr="00055CDA" w:rsidRDefault="00055CDA" w:rsidP="00055CDA">
      <w:pPr>
        <w:jc w:val="center"/>
        <w:rPr>
          <w:b/>
          <w:vertAlign w:val="superscript"/>
        </w:rPr>
      </w:pPr>
      <w:r w:rsidRPr="00055CDA">
        <w:rPr>
          <w:b/>
        </w:rPr>
        <w:t>2019 Capital Investment Allowance</w:t>
      </w:r>
      <w:r w:rsidRPr="00055CDA">
        <w:rPr>
          <w:rStyle w:val="FootnoteReference"/>
          <w:b/>
          <w:vertAlign w:val="superscript"/>
        </w:rPr>
        <w:footnoteReference w:id="7"/>
      </w:r>
    </w:p>
    <w:p w:rsidR="00C60294" w:rsidRDefault="00C60294" w:rsidP="003F59A2"/>
    <w:tbl>
      <w:tblPr>
        <w:tblW w:w="4740" w:type="dxa"/>
        <w:jc w:val="center"/>
        <w:tblInd w:w="93" w:type="dxa"/>
        <w:tblLook w:val="04A0" w:firstRow="1" w:lastRow="0" w:firstColumn="1" w:lastColumn="0" w:noHBand="0" w:noVBand="1"/>
      </w:tblPr>
      <w:tblGrid>
        <w:gridCol w:w="2800"/>
        <w:gridCol w:w="1940"/>
      </w:tblGrid>
      <w:tr w:rsidR="006E6D63" w:rsidRPr="006E6D63" w:rsidTr="006E6D63">
        <w:trPr>
          <w:trHeight w:val="1800"/>
          <w:jc w:val="center"/>
        </w:trPr>
        <w:tc>
          <w:tcPr>
            <w:tcW w:w="2800" w:type="dxa"/>
            <w:tcBorders>
              <w:top w:val="nil"/>
              <w:left w:val="nil"/>
              <w:bottom w:val="nil"/>
              <w:right w:val="nil"/>
            </w:tcBorders>
            <w:shd w:val="clear" w:color="auto" w:fill="auto"/>
            <w:vAlign w:val="bottom"/>
            <w:hideMark/>
          </w:tcPr>
          <w:p w:rsidR="006E6D63" w:rsidRPr="006E6D63" w:rsidRDefault="006E6D63" w:rsidP="00916B3A">
            <w:pPr>
              <w:widowControl/>
              <w:rPr>
                <w:rFonts w:ascii="Calibri" w:hAnsi="Calibri"/>
                <w:b/>
                <w:bCs/>
                <w:snapToGrid/>
                <w:color w:val="000000"/>
                <w:sz w:val="22"/>
                <w:szCs w:val="22"/>
              </w:rPr>
            </w:pPr>
            <w:r w:rsidRPr="006E6D63">
              <w:rPr>
                <w:rFonts w:ascii="Calibri" w:hAnsi="Calibri"/>
                <w:b/>
                <w:bCs/>
                <w:snapToGrid/>
                <w:color w:val="000000"/>
                <w:sz w:val="22"/>
                <w:szCs w:val="22"/>
              </w:rPr>
              <w:t>COMPANY NAME</w:t>
            </w:r>
          </w:p>
        </w:tc>
        <w:tc>
          <w:tcPr>
            <w:tcW w:w="1940" w:type="dxa"/>
            <w:tcBorders>
              <w:top w:val="nil"/>
              <w:left w:val="nil"/>
              <w:bottom w:val="nil"/>
              <w:right w:val="nil"/>
            </w:tcBorders>
            <w:shd w:val="clear" w:color="auto" w:fill="auto"/>
            <w:vAlign w:val="bottom"/>
            <w:hideMark/>
          </w:tcPr>
          <w:p w:rsidR="006E6D63" w:rsidRPr="006E6D63" w:rsidRDefault="006E6D63" w:rsidP="006E6D63">
            <w:pPr>
              <w:widowControl/>
              <w:jc w:val="center"/>
              <w:rPr>
                <w:rFonts w:ascii="Calibri" w:hAnsi="Calibri"/>
                <w:b/>
                <w:bCs/>
                <w:snapToGrid/>
                <w:color w:val="000000"/>
                <w:sz w:val="22"/>
                <w:szCs w:val="22"/>
              </w:rPr>
            </w:pPr>
            <w:r w:rsidRPr="006E6D63">
              <w:rPr>
                <w:rFonts w:ascii="Calibri" w:hAnsi="Calibri"/>
                <w:b/>
                <w:bCs/>
                <w:snapToGrid/>
                <w:color w:val="000000"/>
                <w:sz w:val="22"/>
                <w:szCs w:val="22"/>
              </w:rPr>
              <w:t>Maximum Average Per Location Construction Project Loop Plant Investment Limitation</w:t>
            </w:r>
          </w:p>
        </w:tc>
      </w:tr>
      <w:tr w:rsidR="006E6D63" w:rsidRPr="006E6D63" w:rsidTr="006E6D63">
        <w:trPr>
          <w:trHeight w:val="300"/>
          <w:jc w:val="center"/>
        </w:trPr>
        <w:tc>
          <w:tcPr>
            <w:tcW w:w="2800" w:type="dxa"/>
            <w:tcBorders>
              <w:top w:val="nil"/>
              <w:left w:val="nil"/>
              <w:bottom w:val="nil"/>
              <w:right w:val="nil"/>
            </w:tcBorders>
            <w:shd w:val="clear" w:color="auto" w:fill="auto"/>
            <w:noWrap/>
            <w:vAlign w:val="bottom"/>
            <w:hideMark/>
          </w:tcPr>
          <w:p w:rsidR="006E6D63" w:rsidRPr="006E6D63" w:rsidRDefault="006E6D63" w:rsidP="006E6D63">
            <w:pPr>
              <w:widowControl/>
              <w:rPr>
                <w:rFonts w:ascii="Calibri" w:hAnsi="Calibri"/>
                <w:snapToGrid/>
                <w:color w:val="000000"/>
                <w:sz w:val="22"/>
                <w:szCs w:val="22"/>
              </w:rPr>
            </w:pPr>
            <w:r w:rsidRPr="006E6D63">
              <w:rPr>
                <w:rFonts w:ascii="Calibri" w:hAnsi="Calibri"/>
                <w:snapToGrid/>
                <w:color w:val="000000"/>
                <w:sz w:val="22"/>
                <w:szCs w:val="22"/>
              </w:rPr>
              <w:t>SKYLINE TELECOM CO.</w:t>
            </w:r>
          </w:p>
        </w:tc>
        <w:tc>
          <w:tcPr>
            <w:tcW w:w="1940" w:type="dxa"/>
            <w:tcBorders>
              <w:top w:val="nil"/>
              <w:left w:val="nil"/>
              <w:bottom w:val="nil"/>
              <w:right w:val="nil"/>
            </w:tcBorders>
            <w:shd w:val="clear" w:color="auto" w:fill="auto"/>
            <w:noWrap/>
            <w:vAlign w:val="bottom"/>
            <w:hideMark/>
          </w:tcPr>
          <w:p w:rsidR="006E6D63" w:rsidRPr="006E6D63" w:rsidRDefault="006E6D63" w:rsidP="006E6D63">
            <w:pPr>
              <w:widowControl/>
              <w:jc w:val="center"/>
              <w:rPr>
                <w:rFonts w:ascii="Calibri" w:hAnsi="Calibri"/>
                <w:snapToGrid/>
                <w:color w:val="000000"/>
                <w:sz w:val="22"/>
                <w:szCs w:val="22"/>
              </w:rPr>
            </w:pPr>
            <w:r w:rsidRPr="006E6D63">
              <w:rPr>
                <w:rFonts w:ascii="Calibri" w:hAnsi="Calibri"/>
                <w:snapToGrid/>
                <w:color w:val="000000"/>
                <w:sz w:val="22"/>
                <w:szCs w:val="22"/>
              </w:rPr>
              <w:t xml:space="preserve">$11,045 </w:t>
            </w:r>
          </w:p>
        </w:tc>
      </w:tr>
      <w:tr w:rsidR="006E6D63" w:rsidRPr="006E6D63" w:rsidTr="006E6D63">
        <w:trPr>
          <w:trHeight w:val="300"/>
          <w:jc w:val="center"/>
        </w:trPr>
        <w:tc>
          <w:tcPr>
            <w:tcW w:w="2800" w:type="dxa"/>
            <w:tcBorders>
              <w:top w:val="nil"/>
              <w:left w:val="nil"/>
              <w:bottom w:val="nil"/>
              <w:right w:val="nil"/>
            </w:tcBorders>
            <w:shd w:val="clear" w:color="auto" w:fill="auto"/>
            <w:noWrap/>
            <w:vAlign w:val="bottom"/>
            <w:hideMark/>
          </w:tcPr>
          <w:p w:rsidR="006E6D63" w:rsidRPr="006E6D63" w:rsidRDefault="006E6D63" w:rsidP="006E6D63">
            <w:pPr>
              <w:widowControl/>
              <w:rPr>
                <w:rFonts w:ascii="Calibri" w:hAnsi="Calibri"/>
                <w:snapToGrid/>
                <w:color w:val="000000"/>
                <w:sz w:val="22"/>
                <w:szCs w:val="22"/>
              </w:rPr>
            </w:pPr>
            <w:r w:rsidRPr="006E6D63">
              <w:rPr>
                <w:rFonts w:ascii="Calibri" w:hAnsi="Calibri"/>
                <w:snapToGrid/>
                <w:color w:val="000000"/>
                <w:sz w:val="22"/>
                <w:szCs w:val="22"/>
              </w:rPr>
              <w:t>HAT ISLAND TEL CO</w:t>
            </w:r>
          </w:p>
        </w:tc>
        <w:tc>
          <w:tcPr>
            <w:tcW w:w="1940" w:type="dxa"/>
            <w:tcBorders>
              <w:top w:val="nil"/>
              <w:left w:val="nil"/>
              <w:bottom w:val="nil"/>
              <w:right w:val="nil"/>
            </w:tcBorders>
            <w:shd w:val="clear" w:color="auto" w:fill="auto"/>
            <w:noWrap/>
            <w:vAlign w:val="bottom"/>
            <w:hideMark/>
          </w:tcPr>
          <w:p w:rsidR="006E6D63" w:rsidRPr="006E6D63" w:rsidRDefault="006E6D63" w:rsidP="006E6D63">
            <w:pPr>
              <w:widowControl/>
              <w:jc w:val="center"/>
              <w:rPr>
                <w:rFonts w:ascii="Calibri" w:hAnsi="Calibri"/>
                <w:snapToGrid/>
                <w:color w:val="000000"/>
                <w:sz w:val="22"/>
                <w:szCs w:val="22"/>
              </w:rPr>
            </w:pPr>
            <w:r w:rsidRPr="006E6D63">
              <w:rPr>
                <w:rFonts w:ascii="Calibri" w:hAnsi="Calibri"/>
                <w:snapToGrid/>
                <w:color w:val="000000"/>
                <w:sz w:val="22"/>
                <w:szCs w:val="22"/>
              </w:rPr>
              <w:t xml:space="preserve">$3,510 </w:t>
            </w:r>
          </w:p>
        </w:tc>
      </w:tr>
      <w:tr w:rsidR="006E6D63" w:rsidRPr="006E6D63" w:rsidTr="006E6D63">
        <w:trPr>
          <w:trHeight w:val="300"/>
          <w:jc w:val="center"/>
        </w:trPr>
        <w:tc>
          <w:tcPr>
            <w:tcW w:w="2800" w:type="dxa"/>
            <w:tcBorders>
              <w:top w:val="nil"/>
              <w:left w:val="nil"/>
              <w:bottom w:val="nil"/>
              <w:right w:val="nil"/>
            </w:tcBorders>
            <w:shd w:val="clear" w:color="auto" w:fill="auto"/>
            <w:noWrap/>
            <w:vAlign w:val="bottom"/>
            <w:hideMark/>
          </w:tcPr>
          <w:p w:rsidR="006E6D63" w:rsidRPr="006E6D63" w:rsidRDefault="006E6D63" w:rsidP="006E6D63">
            <w:pPr>
              <w:widowControl/>
              <w:rPr>
                <w:rFonts w:ascii="Calibri" w:hAnsi="Calibri"/>
                <w:snapToGrid/>
                <w:color w:val="000000"/>
                <w:sz w:val="22"/>
                <w:szCs w:val="22"/>
              </w:rPr>
            </w:pPr>
            <w:r w:rsidRPr="006E6D63">
              <w:rPr>
                <w:rFonts w:ascii="Calibri" w:hAnsi="Calibri"/>
                <w:snapToGrid/>
                <w:color w:val="000000"/>
                <w:sz w:val="22"/>
                <w:szCs w:val="22"/>
              </w:rPr>
              <w:t>HOOD CANAL TEL CO</w:t>
            </w:r>
          </w:p>
        </w:tc>
        <w:tc>
          <w:tcPr>
            <w:tcW w:w="1940" w:type="dxa"/>
            <w:tcBorders>
              <w:top w:val="nil"/>
              <w:left w:val="nil"/>
              <w:bottom w:val="nil"/>
              <w:right w:val="nil"/>
            </w:tcBorders>
            <w:shd w:val="clear" w:color="auto" w:fill="auto"/>
            <w:noWrap/>
            <w:vAlign w:val="bottom"/>
            <w:hideMark/>
          </w:tcPr>
          <w:p w:rsidR="006E6D63" w:rsidRPr="006E6D63" w:rsidRDefault="006E6D63" w:rsidP="006E6D63">
            <w:pPr>
              <w:widowControl/>
              <w:jc w:val="center"/>
              <w:rPr>
                <w:rFonts w:ascii="Calibri" w:hAnsi="Calibri"/>
                <w:snapToGrid/>
                <w:color w:val="000000"/>
                <w:sz w:val="22"/>
                <w:szCs w:val="22"/>
              </w:rPr>
            </w:pPr>
            <w:r w:rsidRPr="006E6D63">
              <w:rPr>
                <w:rFonts w:ascii="Calibri" w:hAnsi="Calibri"/>
                <w:snapToGrid/>
                <w:color w:val="000000"/>
                <w:sz w:val="22"/>
                <w:szCs w:val="22"/>
              </w:rPr>
              <w:t xml:space="preserve">$9,084 </w:t>
            </w:r>
          </w:p>
        </w:tc>
      </w:tr>
      <w:tr w:rsidR="006E6D63" w:rsidRPr="006E6D63" w:rsidTr="006E6D63">
        <w:trPr>
          <w:trHeight w:val="300"/>
          <w:jc w:val="center"/>
        </w:trPr>
        <w:tc>
          <w:tcPr>
            <w:tcW w:w="2800" w:type="dxa"/>
            <w:tcBorders>
              <w:top w:val="nil"/>
              <w:left w:val="nil"/>
              <w:bottom w:val="nil"/>
              <w:right w:val="nil"/>
            </w:tcBorders>
            <w:shd w:val="clear" w:color="auto" w:fill="auto"/>
            <w:noWrap/>
            <w:vAlign w:val="bottom"/>
            <w:hideMark/>
          </w:tcPr>
          <w:p w:rsidR="006E6D63" w:rsidRPr="006E6D63" w:rsidRDefault="006E6D63" w:rsidP="006E6D63">
            <w:pPr>
              <w:widowControl/>
              <w:rPr>
                <w:rFonts w:ascii="Calibri" w:hAnsi="Calibri"/>
                <w:snapToGrid/>
                <w:color w:val="000000"/>
                <w:sz w:val="22"/>
                <w:szCs w:val="22"/>
              </w:rPr>
            </w:pPr>
            <w:r w:rsidRPr="006E6D63">
              <w:rPr>
                <w:rFonts w:ascii="Calibri" w:hAnsi="Calibri"/>
                <w:snapToGrid/>
                <w:color w:val="000000"/>
                <w:sz w:val="22"/>
                <w:szCs w:val="22"/>
              </w:rPr>
              <w:t>INLAND TEL CO -WA</w:t>
            </w:r>
          </w:p>
        </w:tc>
        <w:tc>
          <w:tcPr>
            <w:tcW w:w="1940" w:type="dxa"/>
            <w:tcBorders>
              <w:top w:val="nil"/>
              <w:left w:val="nil"/>
              <w:bottom w:val="nil"/>
              <w:right w:val="nil"/>
            </w:tcBorders>
            <w:shd w:val="clear" w:color="auto" w:fill="auto"/>
            <w:noWrap/>
            <w:vAlign w:val="bottom"/>
            <w:hideMark/>
          </w:tcPr>
          <w:p w:rsidR="006E6D63" w:rsidRPr="006E6D63" w:rsidRDefault="006E6D63" w:rsidP="006E6D63">
            <w:pPr>
              <w:widowControl/>
              <w:jc w:val="center"/>
              <w:rPr>
                <w:rFonts w:ascii="Calibri" w:hAnsi="Calibri"/>
                <w:snapToGrid/>
                <w:color w:val="000000"/>
                <w:sz w:val="22"/>
                <w:szCs w:val="22"/>
              </w:rPr>
            </w:pPr>
            <w:r w:rsidRPr="006E6D63">
              <w:rPr>
                <w:rFonts w:ascii="Calibri" w:hAnsi="Calibri"/>
                <w:snapToGrid/>
                <w:color w:val="000000"/>
                <w:sz w:val="22"/>
                <w:szCs w:val="22"/>
              </w:rPr>
              <w:t xml:space="preserve">$14,658 </w:t>
            </w:r>
          </w:p>
        </w:tc>
      </w:tr>
      <w:tr w:rsidR="006E6D63" w:rsidRPr="006E6D63" w:rsidTr="006E6D63">
        <w:trPr>
          <w:trHeight w:val="300"/>
          <w:jc w:val="center"/>
        </w:trPr>
        <w:tc>
          <w:tcPr>
            <w:tcW w:w="2800" w:type="dxa"/>
            <w:tcBorders>
              <w:top w:val="nil"/>
              <w:left w:val="nil"/>
              <w:bottom w:val="nil"/>
              <w:right w:val="nil"/>
            </w:tcBorders>
            <w:shd w:val="clear" w:color="auto" w:fill="auto"/>
            <w:noWrap/>
            <w:vAlign w:val="bottom"/>
            <w:hideMark/>
          </w:tcPr>
          <w:p w:rsidR="006E6D63" w:rsidRPr="006E6D63" w:rsidRDefault="006E6D63" w:rsidP="006E6D63">
            <w:pPr>
              <w:widowControl/>
              <w:rPr>
                <w:rFonts w:ascii="Calibri" w:hAnsi="Calibri"/>
                <w:snapToGrid/>
                <w:color w:val="000000"/>
                <w:sz w:val="22"/>
                <w:szCs w:val="22"/>
              </w:rPr>
            </w:pPr>
            <w:r w:rsidRPr="006E6D63">
              <w:rPr>
                <w:rFonts w:ascii="Calibri" w:hAnsi="Calibri"/>
                <w:snapToGrid/>
                <w:color w:val="000000"/>
                <w:sz w:val="22"/>
                <w:szCs w:val="22"/>
              </w:rPr>
              <w:t>KALAMA TEL CO</w:t>
            </w:r>
          </w:p>
        </w:tc>
        <w:tc>
          <w:tcPr>
            <w:tcW w:w="1940" w:type="dxa"/>
            <w:tcBorders>
              <w:top w:val="nil"/>
              <w:left w:val="nil"/>
              <w:bottom w:val="nil"/>
              <w:right w:val="nil"/>
            </w:tcBorders>
            <w:shd w:val="clear" w:color="auto" w:fill="auto"/>
            <w:noWrap/>
            <w:vAlign w:val="bottom"/>
            <w:hideMark/>
          </w:tcPr>
          <w:p w:rsidR="006E6D63" w:rsidRPr="006E6D63" w:rsidRDefault="006E6D63" w:rsidP="006E6D63">
            <w:pPr>
              <w:widowControl/>
              <w:jc w:val="center"/>
              <w:rPr>
                <w:rFonts w:ascii="Calibri" w:hAnsi="Calibri"/>
                <w:snapToGrid/>
                <w:color w:val="000000"/>
                <w:sz w:val="22"/>
                <w:szCs w:val="22"/>
              </w:rPr>
            </w:pPr>
            <w:r w:rsidRPr="006E6D63">
              <w:rPr>
                <w:rFonts w:ascii="Calibri" w:hAnsi="Calibri"/>
                <w:snapToGrid/>
                <w:color w:val="000000"/>
                <w:sz w:val="22"/>
                <w:szCs w:val="22"/>
              </w:rPr>
              <w:t xml:space="preserve">$11,767 </w:t>
            </w:r>
          </w:p>
        </w:tc>
      </w:tr>
      <w:tr w:rsidR="006E6D63" w:rsidRPr="006E6D63" w:rsidTr="006E6D63">
        <w:trPr>
          <w:trHeight w:val="300"/>
          <w:jc w:val="center"/>
        </w:trPr>
        <w:tc>
          <w:tcPr>
            <w:tcW w:w="2800" w:type="dxa"/>
            <w:tcBorders>
              <w:top w:val="nil"/>
              <w:left w:val="nil"/>
              <w:bottom w:val="nil"/>
              <w:right w:val="nil"/>
            </w:tcBorders>
            <w:shd w:val="clear" w:color="auto" w:fill="auto"/>
            <w:noWrap/>
            <w:vAlign w:val="bottom"/>
            <w:hideMark/>
          </w:tcPr>
          <w:p w:rsidR="006E6D63" w:rsidRPr="006E6D63" w:rsidRDefault="006E6D63" w:rsidP="006E6D63">
            <w:pPr>
              <w:widowControl/>
              <w:rPr>
                <w:rFonts w:ascii="Calibri" w:hAnsi="Calibri"/>
                <w:snapToGrid/>
                <w:color w:val="000000"/>
                <w:sz w:val="22"/>
                <w:szCs w:val="22"/>
              </w:rPr>
            </w:pPr>
            <w:r w:rsidRPr="006E6D63">
              <w:rPr>
                <w:rFonts w:ascii="Calibri" w:hAnsi="Calibri"/>
                <w:snapToGrid/>
                <w:color w:val="000000"/>
                <w:sz w:val="22"/>
                <w:szCs w:val="22"/>
              </w:rPr>
              <w:t xml:space="preserve">MASHELL TELECOM </w:t>
            </w:r>
            <w:proofErr w:type="spellStart"/>
            <w:r w:rsidRPr="006E6D63">
              <w:rPr>
                <w:rFonts w:ascii="Calibri" w:hAnsi="Calibri"/>
                <w:snapToGrid/>
                <w:color w:val="000000"/>
                <w:sz w:val="22"/>
                <w:szCs w:val="22"/>
              </w:rPr>
              <w:t>INC</w:t>
            </w:r>
            <w:proofErr w:type="spellEnd"/>
          </w:p>
        </w:tc>
        <w:tc>
          <w:tcPr>
            <w:tcW w:w="1940" w:type="dxa"/>
            <w:tcBorders>
              <w:top w:val="nil"/>
              <w:left w:val="nil"/>
              <w:bottom w:val="nil"/>
              <w:right w:val="nil"/>
            </w:tcBorders>
            <w:shd w:val="clear" w:color="auto" w:fill="auto"/>
            <w:noWrap/>
            <w:vAlign w:val="bottom"/>
            <w:hideMark/>
          </w:tcPr>
          <w:p w:rsidR="006E6D63" w:rsidRPr="006E6D63" w:rsidRDefault="006E6D63" w:rsidP="006E6D63">
            <w:pPr>
              <w:widowControl/>
              <w:jc w:val="center"/>
              <w:rPr>
                <w:rFonts w:ascii="Calibri" w:hAnsi="Calibri"/>
                <w:snapToGrid/>
                <w:color w:val="000000"/>
                <w:sz w:val="22"/>
                <w:szCs w:val="22"/>
              </w:rPr>
            </w:pPr>
            <w:r w:rsidRPr="006E6D63">
              <w:rPr>
                <w:rFonts w:ascii="Calibri" w:hAnsi="Calibri"/>
                <w:snapToGrid/>
                <w:color w:val="000000"/>
                <w:sz w:val="22"/>
                <w:szCs w:val="22"/>
              </w:rPr>
              <w:t xml:space="preserve">$11,148 </w:t>
            </w:r>
          </w:p>
        </w:tc>
      </w:tr>
      <w:tr w:rsidR="006E6D63" w:rsidRPr="006E6D63" w:rsidTr="006E6D63">
        <w:trPr>
          <w:trHeight w:val="300"/>
          <w:jc w:val="center"/>
        </w:trPr>
        <w:tc>
          <w:tcPr>
            <w:tcW w:w="2800" w:type="dxa"/>
            <w:tcBorders>
              <w:top w:val="nil"/>
              <w:left w:val="nil"/>
              <w:bottom w:val="nil"/>
              <w:right w:val="nil"/>
            </w:tcBorders>
            <w:shd w:val="clear" w:color="auto" w:fill="auto"/>
            <w:noWrap/>
            <w:vAlign w:val="bottom"/>
            <w:hideMark/>
          </w:tcPr>
          <w:p w:rsidR="006E6D63" w:rsidRPr="006E6D63" w:rsidRDefault="006E6D63" w:rsidP="006E6D63">
            <w:pPr>
              <w:widowControl/>
              <w:rPr>
                <w:rFonts w:ascii="Calibri" w:hAnsi="Calibri"/>
                <w:snapToGrid/>
                <w:color w:val="000000"/>
                <w:sz w:val="22"/>
                <w:szCs w:val="22"/>
              </w:rPr>
            </w:pPr>
            <w:r w:rsidRPr="006E6D63">
              <w:rPr>
                <w:rFonts w:ascii="Calibri" w:hAnsi="Calibri"/>
                <w:snapToGrid/>
                <w:color w:val="000000"/>
                <w:sz w:val="22"/>
                <w:szCs w:val="22"/>
              </w:rPr>
              <w:t>ST. JOHN TEL.</w:t>
            </w:r>
          </w:p>
        </w:tc>
        <w:tc>
          <w:tcPr>
            <w:tcW w:w="1940" w:type="dxa"/>
            <w:tcBorders>
              <w:top w:val="nil"/>
              <w:left w:val="nil"/>
              <w:bottom w:val="nil"/>
              <w:right w:val="nil"/>
            </w:tcBorders>
            <w:shd w:val="clear" w:color="auto" w:fill="auto"/>
            <w:noWrap/>
            <w:vAlign w:val="bottom"/>
            <w:hideMark/>
          </w:tcPr>
          <w:p w:rsidR="006E6D63" w:rsidRPr="006E6D63" w:rsidRDefault="006E6D63" w:rsidP="006E6D63">
            <w:pPr>
              <w:widowControl/>
              <w:jc w:val="center"/>
              <w:rPr>
                <w:rFonts w:ascii="Calibri" w:hAnsi="Calibri"/>
                <w:snapToGrid/>
                <w:color w:val="000000"/>
                <w:sz w:val="22"/>
                <w:szCs w:val="22"/>
              </w:rPr>
            </w:pPr>
            <w:r w:rsidRPr="006E6D63">
              <w:rPr>
                <w:rFonts w:ascii="Calibri" w:hAnsi="Calibri"/>
                <w:snapToGrid/>
                <w:color w:val="000000"/>
                <w:sz w:val="22"/>
                <w:szCs w:val="22"/>
              </w:rPr>
              <w:t xml:space="preserve">$37,470 </w:t>
            </w:r>
          </w:p>
        </w:tc>
      </w:tr>
      <w:tr w:rsidR="006E6D63" w:rsidRPr="006E6D63" w:rsidTr="006E6D63">
        <w:trPr>
          <w:trHeight w:val="300"/>
          <w:jc w:val="center"/>
        </w:trPr>
        <w:tc>
          <w:tcPr>
            <w:tcW w:w="2800" w:type="dxa"/>
            <w:tcBorders>
              <w:top w:val="nil"/>
              <w:left w:val="nil"/>
              <w:bottom w:val="nil"/>
              <w:right w:val="nil"/>
            </w:tcBorders>
            <w:shd w:val="clear" w:color="auto" w:fill="auto"/>
            <w:noWrap/>
            <w:vAlign w:val="bottom"/>
            <w:hideMark/>
          </w:tcPr>
          <w:p w:rsidR="006E6D63" w:rsidRPr="006E6D63" w:rsidRDefault="006E6D63" w:rsidP="006E6D63">
            <w:pPr>
              <w:widowControl/>
              <w:rPr>
                <w:rFonts w:ascii="Calibri" w:hAnsi="Calibri"/>
                <w:snapToGrid/>
                <w:color w:val="000000"/>
                <w:sz w:val="22"/>
                <w:szCs w:val="22"/>
              </w:rPr>
            </w:pPr>
            <w:r w:rsidRPr="006E6D63">
              <w:rPr>
                <w:rFonts w:ascii="Calibri" w:hAnsi="Calibri"/>
                <w:snapToGrid/>
                <w:color w:val="000000"/>
                <w:sz w:val="22"/>
                <w:szCs w:val="22"/>
              </w:rPr>
              <w:t>TENINO TELEPHONE CO</w:t>
            </w:r>
          </w:p>
        </w:tc>
        <w:tc>
          <w:tcPr>
            <w:tcW w:w="1940" w:type="dxa"/>
            <w:tcBorders>
              <w:top w:val="nil"/>
              <w:left w:val="nil"/>
              <w:bottom w:val="nil"/>
              <w:right w:val="nil"/>
            </w:tcBorders>
            <w:shd w:val="clear" w:color="auto" w:fill="auto"/>
            <w:noWrap/>
            <w:vAlign w:val="bottom"/>
            <w:hideMark/>
          </w:tcPr>
          <w:p w:rsidR="006E6D63" w:rsidRPr="006E6D63" w:rsidRDefault="006E6D63" w:rsidP="006E6D63">
            <w:pPr>
              <w:widowControl/>
              <w:jc w:val="center"/>
              <w:rPr>
                <w:rFonts w:ascii="Calibri" w:hAnsi="Calibri"/>
                <w:snapToGrid/>
                <w:color w:val="000000"/>
                <w:sz w:val="22"/>
                <w:szCs w:val="22"/>
              </w:rPr>
            </w:pPr>
            <w:r w:rsidRPr="006E6D63">
              <w:rPr>
                <w:rFonts w:ascii="Calibri" w:hAnsi="Calibri"/>
                <w:snapToGrid/>
                <w:color w:val="000000"/>
                <w:sz w:val="22"/>
                <w:szCs w:val="22"/>
              </w:rPr>
              <w:t xml:space="preserve">$11,251 </w:t>
            </w:r>
          </w:p>
        </w:tc>
      </w:tr>
      <w:tr w:rsidR="006E6D63" w:rsidRPr="006E6D63" w:rsidTr="006E6D63">
        <w:trPr>
          <w:trHeight w:val="300"/>
          <w:jc w:val="center"/>
        </w:trPr>
        <w:tc>
          <w:tcPr>
            <w:tcW w:w="2800" w:type="dxa"/>
            <w:tcBorders>
              <w:top w:val="nil"/>
              <w:left w:val="nil"/>
              <w:bottom w:val="nil"/>
              <w:right w:val="nil"/>
            </w:tcBorders>
            <w:shd w:val="clear" w:color="auto" w:fill="auto"/>
            <w:noWrap/>
            <w:vAlign w:val="bottom"/>
            <w:hideMark/>
          </w:tcPr>
          <w:p w:rsidR="006E6D63" w:rsidRPr="006E6D63" w:rsidRDefault="006E6D63" w:rsidP="006E6D63">
            <w:pPr>
              <w:widowControl/>
              <w:rPr>
                <w:rFonts w:ascii="Calibri" w:hAnsi="Calibri"/>
                <w:snapToGrid/>
                <w:color w:val="000000"/>
                <w:sz w:val="22"/>
                <w:szCs w:val="22"/>
              </w:rPr>
            </w:pPr>
            <w:r w:rsidRPr="006E6D63">
              <w:rPr>
                <w:rFonts w:ascii="Calibri" w:hAnsi="Calibri"/>
                <w:snapToGrid/>
                <w:color w:val="000000"/>
                <w:sz w:val="22"/>
                <w:szCs w:val="22"/>
              </w:rPr>
              <w:t>TOLEDO TELEPHONE CO</w:t>
            </w:r>
          </w:p>
        </w:tc>
        <w:tc>
          <w:tcPr>
            <w:tcW w:w="1940" w:type="dxa"/>
            <w:tcBorders>
              <w:top w:val="nil"/>
              <w:left w:val="nil"/>
              <w:bottom w:val="nil"/>
              <w:right w:val="nil"/>
            </w:tcBorders>
            <w:shd w:val="clear" w:color="auto" w:fill="auto"/>
            <w:noWrap/>
            <w:vAlign w:val="bottom"/>
            <w:hideMark/>
          </w:tcPr>
          <w:p w:rsidR="006E6D63" w:rsidRPr="006E6D63" w:rsidRDefault="006E6D63" w:rsidP="006E6D63">
            <w:pPr>
              <w:widowControl/>
              <w:jc w:val="center"/>
              <w:rPr>
                <w:rFonts w:ascii="Calibri" w:hAnsi="Calibri"/>
                <w:snapToGrid/>
                <w:color w:val="000000"/>
                <w:sz w:val="22"/>
                <w:szCs w:val="22"/>
              </w:rPr>
            </w:pPr>
            <w:r w:rsidRPr="006E6D63">
              <w:rPr>
                <w:rFonts w:ascii="Calibri" w:hAnsi="Calibri"/>
                <w:snapToGrid/>
                <w:color w:val="000000"/>
                <w:sz w:val="22"/>
                <w:szCs w:val="22"/>
              </w:rPr>
              <w:t xml:space="preserve">$29,832 </w:t>
            </w:r>
          </w:p>
        </w:tc>
      </w:tr>
      <w:tr w:rsidR="006E6D63" w:rsidRPr="006E6D63" w:rsidTr="006E6D63">
        <w:trPr>
          <w:trHeight w:val="300"/>
          <w:jc w:val="center"/>
        </w:trPr>
        <w:tc>
          <w:tcPr>
            <w:tcW w:w="2800" w:type="dxa"/>
            <w:tcBorders>
              <w:top w:val="nil"/>
              <w:left w:val="nil"/>
              <w:bottom w:val="nil"/>
              <w:right w:val="nil"/>
            </w:tcBorders>
            <w:shd w:val="clear" w:color="auto" w:fill="auto"/>
            <w:noWrap/>
            <w:vAlign w:val="bottom"/>
            <w:hideMark/>
          </w:tcPr>
          <w:p w:rsidR="006E6D63" w:rsidRPr="006E6D63" w:rsidRDefault="006E6D63" w:rsidP="006E6D63">
            <w:pPr>
              <w:widowControl/>
              <w:rPr>
                <w:rFonts w:ascii="Calibri" w:hAnsi="Calibri"/>
                <w:snapToGrid/>
                <w:color w:val="000000"/>
                <w:sz w:val="22"/>
                <w:szCs w:val="22"/>
              </w:rPr>
            </w:pPr>
            <w:r w:rsidRPr="006E6D63">
              <w:rPr>
                <w:rFonts w:ascii="Calibri" w:hAnsi="Calibri"/>
                <w:snapToGrid/>
                <w:color w:val="000000"/>
                <w:sz w:val="22"/>
                <w:szCs w:val="22"/>
              </w:rPr>
              <w:t>WESTERN WAHKIAKUM</w:t>
            </w:r>
          </w:p>
        </w:tc>
        <w:tc>
          <w:tcPr>
            <w:tcW w:w="1940" w:type="dxa"/>
            <w:tcBorders>
              <w:top w:val="nil"/>
              <w:left w:val="nil"/>
              <w:bottom w:val="nil"/>
              <w:right w:val="nil"/>
            </w:tcBorders>
            <w:shd w:val="clear" w:color="auto" w:fill="auto"/>
            <w:noWrap/>
            <w:vAlign w:val="bottom"/>
            <w:hideMark/>
          </w:tcPr>
          <w:p w:rsidR="006E6D63" w:rsidRPr="006E6D63" w:rsidRDefault="006E6D63" w:rsidP="006E6D63">
            <w:pPr>
              <w:widowControl/>
              <w:jc w:val="center"/>
              <w:rPr>
                <w:rFonts w:ascii="Calibri" w:hAnsi="Calibri"/>
                <w:snapToGrid/>
                <w:color w:val="000000"/>
                <w:sz w:val="22"/>
                <w:szCs w:val="22"/>
              </w:rPr>
            </w:pPr>
            <w:r w:rsidRPr="006E6D63">
              <w:rPr>
                <w:rFonts w:ascii="Calibri" w:hAnsi="Calibri"/>
                <w:snapToGrid/>
                <w:color w:val="000000"/>
                <w:sz w:val="22"/>
                <w:szCs w:val="22"/>
              </w:rPr>
              <w:t xml:space="preserve">$31,999 </w:t>
            </w:r>
          </w:p>
        </w:tc>
      </w:tr>
      <w:tr w:rsidR="006E6D63" w:rsidRPr="006E6D63" w:rsidTr="006E6D63">
        <w:trPr>
          <w:trHeight w:val="300"/>
          <w:jc w:val="center"/>
        </w:trPr>
        <w:tc>
          <w:tcPr>
            <w:tcW w:w="2800" w:type="dxa"/>
            <w:tcBorders>
              <w:top w:val="nil"/>
              <w:left w:val="nil"/>
              <w:bottom w:val="nil"/>
              <w:right w:val="nil"/>
            </w:tcBorders>
            <w:shd w:val="clear" w:color="auto" w:fill="auto"/>
            <w:noWrap/>
            <w:vAlign w:val="bottom"/>
            <w:hideMark/>
          </w:tcPr>
          <w:p w:rsidR="006E6D63" w:rsidRPr="006E6D63" w:rsidRDefault="006E6D63" w:rsidP="006E6D63">
            <w:pPr>
              <w:widowControl/>
              <w:rPr>
                <w:rFonts w:ascii="Calibri" w:hAnsi="Calibri"/>
                <w:snapToGrid/>
                <w:color w:val="000000"/>
                <w:sz w:val="22"/>
                <w:szCs w:val="22"/>
              </w:rPr>
            </w:pPr>
            <w:r w:rsidRPr="006E6D63">
              <w:rPr>
                <w:rFonts w:ascii="Calibri" w:hAnsi="Calibri"/>
                <w:snapToGrid/>
                <w:color w:val="000000"/>
                <w:sz w:val="22"/>
                <w:szCs w:val="22"/>
              </w:rPr>
              <w:t>WHIDBEY TEL CO.</w:t>
            </w:r>
          </w:p>
        </w:tc>
        <w:tc>
          <w:tcPr>
            <w:tcW w:w="1940" w:type="dxa"/>
            <w:tcBorders>
              <w:top w:val="nil"/>
              <w:left w:val="nil"/>
              <w:bottom w:val="nil"/>
              <w:right w:val="nil"/>
            </w:tcBorders>
            <w:shd w:val="clear" w:color="auto" w:fill="auto"/>
            <w:noWrap/>
            <w:vAlign w:val="bottom"/>
            <w:hideMark/>
          </w:tcPr>
          <w:p w:rsidR="006E6D63" w:rsidRPr="006E6D63" w:rsidRDefault="006E6D63" w:rsidP="006E6D63">
            <w:pPr>
              <w:widowControl/>
              <w:jc w:val="center"/>
              <w:rPr>
                <w:rFonts w:ascii="Calibri" w:hAnsi="Calibri"/>
                <w:snapToGrid/>
                <w:color w:val="000000"/>
                <w:sz w:val="22"/>
                <w:szCs w:val="22"/>
              </w:rPr>
            </w:pPr>
            <w:r w:rsidRPr="006E6D63">
              <w:rPr>
                <w:rFonts w:ascii="Calibri" w:hAnsi="Calibri"/>
                <w:snapToGrid/>
                <w:color w:val="000000"/>
                <w:sz w:val="22"/>
                <w:szCs w:val="22"/>
              </w:rPr>
              <w:t xml:space="preserve">$11,561 </w:t>
            </w:r>
          </w:p>
        </w:tc>
      </w:tr>
      <w:tr w:rsidR="006E6D63" w:rsidRPr="006E6D63" w:rsidTr="006E6D63">
        <w:trPr>
          <w:trHeight w:val="300"/>
          <w:jc w:val="center"/>
        </w:trPr>
        <w:tc>
          <w:tcPr>
            <w:tcW w:w="2800" w:type="dxa"/>
            <w:tcBorders>
              <w:top w:val="nil"/>
              <w:left w:val="nil"/>
              <w:bottom w:val="nil"/>
              <w:right w:val="nil"/>
            </w:tcBorders>
            <w:shd w:val="clear" w:color="auto" w:fill="auto"/>
            <w:noWrap/>
            <w:vAlign w:val="bottom"/>
            <w:hideMark/>
          </w:tcPr>
          <w:p w:rsidR="006E6D63" w:rsidRPr="006E6D63" w:rsidRDefault="006E6D63" w:rsidP="006E6D63">
            <w:pPr>
              <w:widowControl/>
              <w:rPr>
                <w:rFonts w:ascii="Calibri" w:hAnsi="Calibri"/>
                <w:snapToGrid/>
                <w:color w:val="000000"/>
                <w:sz w:val="22"/>
                <w:szCs w:val="22"/>
              </w:rPr>
            </w:pPr>
          </w:p>
        </w:tc>
        <w:tc>
          <w:tcPr>
            <w:tcW w:w="1940" w:type="dxa"/>
            <w:tcBorders>
              <w:top w:val="nil"/>
              <w:left w:val="nil"/>
              <w:bottom w:val="nil"/>
              <w:right w:val="nil"/>
            </w:tcBorders>
            <w:shd w:val="clear" w:color="auto" w:fill="auto"/>
            <w:noWrap/>
            <w:vAlign w:val="bottom"/>
            <w:hideMark/>
          </w:tcPr>
          <w:p w:rsidR="006E6D63" w:rsidRPr="006E6D63" w:rsidRDefault="006E6D63" w:rsidP="006E6D63">
            <w:pPr>
              <w:widowControl/>
              <w:rPr>
                <w:rFonts w:ascii="Calibri" w:hAnsi="Calibri"/>
                <w:snapToGrid/>
                <w:color w:val="000000"/>
                <w:sz w:val="22"/>
                <w:szCs w:val="22"/>
              </w:rPr>
            </w:pPr>
          </w:p>
        </w:tc>
      </w:tr>
    </w:tbl>
    <w:p w:rsidR="00C60294" w:rsidRDefault="00C60294" w:rsidP="00C60294">
      <w:pPr>
        <w:jc w:val="center"/>
      </w:pPr>
    </w:p>
    <w:p w:rsidR="001A3D67" w:rsidRDefault="001A3D67" w:rsidP="003F59A2"/>
    <w:p w:rsidR="00794C4B" w:rsidRDefault="006063CF" w:rsidP="003F59A2">
      <w:r>
        <w:t xml:space="preserve">While this investment </w:t>
      </w:r>
      <w:r w:rsidR="00B83388">
        <w:t>cap</w:t>
      </w:r>
      <w:r>
        <w:t xml:space="preserve"> is quite generous for some very low density a</w:t>
      </w:r>
      <w:r w:rsidR="0063643C">
        <w:t xml:space="preserve">reas, it does mean the FCC </w:t>
      </w:r>
      <w:r w:rsidR="00916B3A">
        <w:t>sees</w:t>
      </w:r>
      <w:r w:rsidR="0063643C">
        <w:t xml:space="preserve"> </w:t>
      </w:r>
      <w:r w:rsidR="00B83388">
        <w:t xml:space="preserve">that there is </w:t>
      </w:r>
      <w:r w:rsidR="0063643C">
        <w:t xml:space="preserve">a limit on what an </w:t>
      </w:r>
      <w:proofErr w:type="spellStart"/>
      <w:r w:rsidR="0063643C">
        <w:t>ETC</w:t>
      </w:r>
      <w:proofErr w:type="spellEnd"/>
      <w:r w:rsidR="0063643C">
        <w:t xml:space="preserve"> should spend to provide </w:t>
      </w:r>
      <w:r w:rsidR="00916B3A">
        <w:t>service</w:t>
      </w:r>
      <w:r w:rsidR="0063643C">
        <w:t xml:space="preserve">.  </w:t>
      </w:r>
    </w:p>
    <w:p w:rsidR="002E6693" w:rsidRDefault="002E6693" w:rsidP="003F59A2"/>
    <w:p w:rsidR="00B61DB2" w:rsidRDefault="00794C4B" w:rsidP="003F59A2">
      <w:r>
        <w:lastRenderedPageBreak/>
        <w:tab/>
      </w:r>
      <w:r w:rsidR="00B61DB2">
        <w:t>For A-CAM companies, there is also a per location limitation that is included in the A-CAM mechanism.</w:t>
      </w:r>
      <w:r w:rsidRPr="00A71591">
        <w:rPr>
          <w:rStyle w:val="FootnoteReference"/>
          <w:vertAlign w:val="superscript"/>
        </w:rPr>
        <w:footnoteReference w:id="8"/>
      </w:r>
      <w:r w:rsidR="00B61DB2">
        <w:t xml:space="preserve">  Recognizing that the A-CAM mechanism is primarily </w:t>
      </w:r>
      <w:r w:rsidR="005E29A8">
        <w:t>focused on extending broadband service, it is still interesting that the FCC has said that there are some locations that are too expensive to serve as a supported location.</w:t>
      </w:r>
      <w:r w:rsidR="00EE22B1">
        <w:t xml:space="preserve">  </w:t>
      </w:r>
    </w:p>
    <w:p w:rsidR="00EE22B1" w:rsidRDefault="00EE22B1" w:rsidP="003F59A2"/>
    <w:p w:rsidR="00EE22B1" w:rsidRDefault="00EE22B1" w:rsidP="003F59A2">
      <w:r>
        <w:tab/>
        <w:t>In addition, the way the A-CAM mechanism works is that a company has a certain number of locations where it has to extend broadband service at 25/3, a certain number of locations where it has provide service</w:t>
      </w:r>
      <w:bookmarkStart w:id="0" w:name="_GoBack"/>
      <w:bookmarkEnd w:id="0"/>
      <w:r>
        <w:t xml:space="preserve"> at 10/1 and </w:t>
      </w:r>
      <w:r w:rsidR="00314540">
        <w:t xml:space="preserve">a </w:t>
      </w:r>
      <w:r w:rsidR="005D77CD">
        <w:t>certain</w:t>
      </w:r>
      <w:r w:rsidR="00314540">
        <w:t xml:space="preserve"> number that must be served at 4/1.  After </w:t>
      </w:r>
      <w:r w:rsidR="00F42062">
        <w:t>that</w:t>
      </w:r>
      <w:r w:rsidR="00314540">
        <w:t xml:space="preserve"> there is</w:t>
      </w:r>
      <w:r>
        <w:t xml:space="preserve"> an obligation to provide service upon "reasonable request" at a 4/1 level</w:t>
      </w:r>
      <w:r w:rsidR="004D0656">
        <w:t xml:space="preserve"> </w:t>
      </w:r>
      <w:r w:rsidR="00314540">
        <w:t xml:space="preserve">for a specified number of locations.  The </w:t>
      </w:r>
      <w:proofErr w:type="spellStart"/>
      <w:r w:rsidR="00314540">
        <w:t>ETC</w:t>
      </w:r>
      <w:proofErr w:type="spellEnd"/>
      <w:r w:rsidR="00314540">
        <w:t xml:space="preserve"> obligation </w:t>
      </w:r>
      <w:r w:rsidR="00F42062">
        <w:t>under</w:t>
      </w:r>
      <w:r w:rsidR="00314540">
        <w:t xml:space="preserve"> </w:t>
      </w:r>
      <w:r w:rsidR="00F42062">
        <w:t>A</w:t>
      </w:r>
      <w:r w:rsidR="00314540">
        <w:t xml:space="preserve">-CAM </w:t>
      </w:r>
      <w:r w:rsidR="008E3786">
        <w:t>ends at that level</w:t>
      </w:r>
      <w:r>
        <w:t xml:space="preserve">.  The FCC has not defined what constitutes </w:t>
      </w:r>
      <w:r w:rsidR="00987298">
        <w:t>a "</w:t>
      </w:r>
      <w:r>
        <w:t>reasonable request.</w:t>
      </w:r>
      <w:r w:rsidR="00987298">
        <w:t>"</w:t>
      </w:r>
      <w:r>
        <w:t xml:space="preserve">  However, it is logical to assume that if the cost of </w:t>
      </w:r>
      <w:r w:rsidR="003B60B9">
        <w:t>the location exceeds the FCC's benchmark, the request would not be viewed as a reasonable request.</w:t>
      </w:r>
    </w:p>
    <w:p w:rsidR="003B60B9" w:rsidRDefault="003B60B9" w:rsidP="003F59A2"/>
    <w:p w:rsidR="003B60B9" w:rsidRDefault="003B60B9" w:rsidP="003F59A2">
      <w:r>
        <w:tab/>
        <w:t>The A-CAM company obligation is somewhat similar, although not identical, to the obligation price cap companies undertake when they agree to receive CAF II funding.  There are a certain number of locations that have to be served at certain levels and there is a per location cap on what can be included in the analysis.</w:t>
      </w:r>
    </w:p>
    <w:p w:rsidR="003B60B9" w:rsidRDefault="003B60B9" w:rsidP="003F59A2"/>
    <w:p w:rsidR="001E2A57" w:rsidRDefault="003B60B9" w:rsidP="003F59A2">
      <w:r>
        <w:tab/>
      </w:r>
      <w:r w:rsidR="0063643C">
        <w:t>It is also important to consider the role of</w:t>
      </w:r>
      <w:r>
        <w:t xml:space="preserve"> the State </w:t>
      </w:r>
      <w:r w:rsidR="004443AC">
        <w:t xml:space="preserve">Universal Service </w:t>
      </w:r>
      <w:r>
        <w:t>Program</w:t>
      </w:r>
      <w:r w:rsidR="00CC152D">
        <w:t xml:space="preserve"> ("State Program").  T</w:t>
      </w:r>
      <w:r w:rsidR="009555D8">
        <w:t>hose</w:t>
      </w:r>
      <w:r w:rsidR="00AF63F3">
        <w:t xml:space="preserve"> companies </w:t>
      </w:r>
      <w:r w:rsidR="009555D8">
        <w:t xml:space="preserve">that receive support under the State Program </w:t>
      </w:r>
      <w:r w:rsidR="00B5774E">
        <w:t xml:space="preserve">use those funds, along with other moneys, to ensure that </w:t>
      </w:r>
      <w:r w:rsidR="004443AC">
        <w:t xml:space="preserve">basic telecommunications </w:t>
      </w:r>
      <w:r w:rsidR="00B5774E">
        <w:t xml:space="preserve">services </w:t>
      </w:r>
      <w:r w:rsidR="00EC0633">
        <w:t xml:space="preserve">are </w:t>
      </w:r>
      <w:r w:rsidR="00B5774E">
        <w:t xml:space="preserve">provided at a reasonable price to the customers. </w:t>
      </w:r>
      <w:r w:rsidR="00AF63F3">
        <w:t xml:space="preserve"> See, RCW 80.36.650(3) which describes one of the purposes of the State Program as preventing rate instability and RCW 80.36.650(4) which talks about reasonable rates.  </w:t>
      </w:r>
      <w:r w:rsidR="00CC152D">
        <w:t>Besides promoting rate stability, f</w:t>
      </w:r>
      <w:r w:rsidR="00AF63F3">
        <w:t>unds from the State Program are used by some recipients</w:t>
      </w:r>
      <w:r w:rsidR="002E6693">
        <w:t>,</w:t>
      </w:r>
      <w:r w:rsidR="00AF63F3">
        <w:t xml:space="preserve"> in conjunction with </w:t>
      </w:r>
      <w:r w:rsidR="00466F4A">
        <w:t>disbursements</w:t>
      </w:r>
      <w:r w:rsidR="00CC152D">
        <w:t xml:space="preserve"> from </w:t>
      </w:r>
      <w:r w:rsidR="00042BE1">
        <w:t>other</w:t>
      </w:r>
      <w:r w:rsidR="00AF63F3">
        <w:t xml:space="preserve"> programs</w:t>
      </w:r>
      <w:r w:rsidR="00250133">
        <w:t>,</w:t>
      </w:r>
      <w:r w:rsidR="00AF63F3">
        <w:t xml:space="preserve"> to enhance service to customers.</w:t>
      </w:r>
    </w:p>
    <w:p w:rsidR="001E2A57" w:rsidRDefault="001E2A57" w:rsidP="003F59A2"/>
    <w:p w:rsidR="00B5774E" w:rsidRDefault="001E2A57" w:rsidP="003F59A2">
      <w:r>
        <w:tab/>
      </w:r>
      <w:r w:rsidR="00CE1239">
        <w:t xml:space="preserve">For the moment, WITA's members seek to provide service to anyone within the </w:t>
      </w:r>
      <w:r w:rsidR="00CB03D9">
        <w:t xml:space="preserve">company's </w:t>
      </w:r>
      <w:r w:rsidR="00CE1239">
        <w:t xml:space="preserve">service area that requests service.  WITA's </w:t>
      </w:r>
      <w:proofErr w:type="gramStart"/>
      <w:r w:rsidR="00CE1239">
        <w:t>members</w:t>
      </w:r>
      <w:proofErr w:type="gramEnd"/>
      <w:r w:rsidR="00CE1239">
        <w:t xml:space="preserve"> </w:t>
      </w:r>
      <w:r w:rsidR="009555D8">
        <w:t>hope</w:t>
      </w:r>
      <w:r w:rsidR="00CE1239">
        <w:t xml:space="preserve"> that will be true in the future, although economic realities may taint that picture at some point in time.</w:t>
      </w:r>
      <w:r w:rsidR="00A402CE">
        <w:t xml:space="preserve">  Given the caps that are on the federal mechanisms and given the uncertain future of the State Program</w:t>
      </w:r>
      <w:r w:rsidR="00916B3A">
        <w:t>,</w:t>
      </w:r>
      <w:r w:rsidRPr="001E2A57">
        <w:rPr>
          <w:rStyle w:val="FootnoteReference"/>
          <w:vertAlign w:val="superscript"/>
        </w:rPr>
        <w:footnoteReference w:id="9"/>
      </w:r>
      <w:r w:rsidR="00A402CE">
        <w:t xml:space="preserve"> it is not clear what the future will hold for the ability of companies to provide service to all persons who request service.</w:t>
      </w:r>
    </w:p>
    <w:p w:rsidR="00CE1239" w:rsidRDefault="00CE1239" w:rsidP="003F59A2"/>
    <w:p w:rsidR="00CE1239" w:rsidRDefault="00CE1239" w:rsidP="003F59A2">
      <w:r>
        <w:tab/>
        <w:t xml:space="preserve">What all of the </w:t>
      </w:r>
      <w:r w:rsidR="00847C2E">
        <w:t xml:space="preserve">foregoing discussion is meant to </w:t>
      </w:r>
      <w:r w:rsidR="001E2A57">
        <w:t>convey</w:t>
      </w:r>
      <w:r w:rsidR="00847C2E">
        <w:t xml:space="preserve"> is that this is a very complicated area.  It is an area in which it would be very difficult for the Commission to craft a rule that would apply to every company in every situation.  </w:t>
      </w:r>
      <w:r w:rsidR="008A6F61">
        <w:t>WITA asks that the Commissi</w:t>
      </w:r>
      <w:r w:rsidR="00AF12F5">
        <w:t>on continue to</w:t>
      </w:r>
      <w:r w:rsidR="008A6F61">
        <w:t xml:space="preserve"> deal with these</w:t>
      </w:r>
      <w:r w:rsidR="00B71A6E">
        <w:t xml:space="preserve"> carrier</w:t>
      </w:r>
      <w:r w:rsidR="00E347C8">
        <w:t>s</w:t>
      </w:r>
      <w:r w:rsidR="00B71A6E">
        <w:t xml:space="preserve"> of last resort </w:t>
      </w:r>
      <w:r w:rsidR="008A6F61">
        <w:t xml:space="preserve">issues on a case by case basis, rather than establishing a rule </w:t>
      </w:r>
      <w:r w:rsidR="008A6F61">
        <w:lastRenderedPageBreak/>
        <w:t xml:space="preserve">that </w:t>
      </w:r>
      <w:r w:rsidR="004443AC">
        <w:t>may</w:t>
      </w:r>
      <w:r w:rsidR="008A6F61">
        <w:t xml:space="preserve"> </w:t>
      </w:r>
      <w:r w:rsidR="004443AC">
        <w:t xml:space="preserve">unduly </w:t>
      </w:r>
      <w:r w:rsidR="008A6F61">
        <w:t>complicate matters</w:t>
      </w:r>
      <w:r w:rsidR="00BD326E">
        <w:t>.</w:t>
      </w:r>
    </w:p>
    <w:p w:rsidR="00BD326E" w:rsidRDefault="00BD326E" w:rsidP="00BD326E">
      <w:pPr>
        <w:jc w:val="center"/>
      </w:pPr>
      <w:r>
        <w:t>Question Two</w:t>
      </w:r>
    </w:p>
    <w:p w:rsidR="00BD326E" w:rsidRDefault="00BD326E" w:rsidP="00BD326E">
      <w:pPr>
        <w:jc w:val="center"/>
      </w:pPr>
    </w:p>
    <w:p w:rsidR="00BD326E" w:rsidRDefault="00BD326E" w:rsidP="00BD326E">
      <w:r>
        <w:tab/>
        <w:t xml:space="preserve">Question </w:t>
      </w:r>
      <w:r w:rsidR="00E8307F">
        <w:t>T</w:t>
      </w:r>
      <w:r>
        <w:t xml:space="preserve">wo asks what constitutes a carrier of last resort and </w:t>
      </w:r>
      <w:r w:rsidR="00E8307F">
        <w:t>whether</w:t>
      </w:r>
      <w:r>
        <w:t xml:space="preserve"> the Commission </w:t>
      </w:r>
      <w:r w:rsidR="00446939">
        <w:t xml:space="preserve">should </w:t>
      </w:r>
      <w:r>
        <w:t xml:space="preserve">designate </w:t>
      </w:r>
      <w:r w:rsidR="00E8307F">
        <w:t>"</w:t>
      </w:r>
      <w:r>
        <w:t>a carrier of last resort in each LEC's service territory.</w:t>
      </w:r>
      <w:r w:rsidR="00E8307F">
        <w:t>"</w:t>
      </w:r>
      <w:r w:rsidR="008658A1" w:rsidRPr="0015330F">
        <w:rPr>
          <w:rStyle w:val="FootnoteReference"/>
          <w:vertAlign w:val="superscript"/>
        </w:rPr>
        <w:footnoteReference w:id="10"/>
      </w:r>
      <w:r w:rsidRPr="0015330F">
        <w:rPr>
          <w:vertAlign w:val="superscript"/>
        </w:rPr>
        <w:t xml:space="preserve"> </w:t>
      </w:r>
      <w:r>
        <w:t xml:space="preserve"> </w:t>
      </w:r>
      <w:r w:rsidR="0015330F">
        <w:t>To WITA's view</w:t>
      </w:r>
      <w:r w:rsidR="00AF12F5">
        <w:t>,</w:t>
      </w:r>
      <w:r w:rsidR="0015330F">
        <w:t xml:space="preserve"> a</w:t>
      </w:r>
      <w:r>
        <w:t xml:space="preserve"> carrier of last resort is a carrier who is there to provide service if there </w:t>
      </w:r>
      <w:r w:rsidR="008E3786">
        <w:t>is</w:t>
      </w:r>
      <w:r>
        <w:t xml:space="preserve"> no other option</w:t>
      </w:r>
      <w:r w:rsidR="003C5FC0">
        <w:t xml:space="preserve">.  The </w:t>
      </w:r>
      <w:r w:rsidR="008658A1">
        <w:t xml:space="preserve">extent or nature of a </w:t>
      </w:r>
      <w:r w:rsidR="003C5FC0">
        <w:t>carrier of last resort</w:t>
      </w:r>
      <w:r w:rsidR="0015330F">
        <w:t>'s</w:t>
      </w:r>
      <w:r w:rsidR="003C5FC0">
        <w:t xml:space="preserve"> obligations should be read in the context of "reasonable entitlement" language contained in RCW 80.36.090, and in the context of the availability of federal and state support programs</w:t>
      </w:r>
      <w:r w:rsidR="00FA12B3">
        <w:t xml:space="preserve"> that enable the provision of such service.</w:t>
      </w:r>
      <w:r w:rsidR="0015330F">
        <w:t xml:space="preserve">  See the </w:t>
      </w:r>
      <w:r w:rsidR="00420543">
        <w:t xml:space="preserve">discussion </w:t>
      </w:r>
      <w:r w:rsidR="00AF12F5">
        <w:t>of this situation under</w:t>
      </w:r>
      <w:r w:rsidR="00420543">
        <w:t xml:space="preserve"> Question One.</w:t>
      </w:r>
      <w:r w:rsidR="00137A8B">
        <w:t xml:space="preserve"> </w:t>
      </w:r>
    </w:p>
    <w:p w:rsidR="00FA12B3" w:rsidRDefault="00FA12B3" w:rsidP="00BD326E"/>
    <w:p w:rsidR="00FA12B3" w:rsidRDefault="00FA12B3" w:rsidP="00BD326E">
      <w:r>
        <w:tab/>
        <w:t>WITA does not believe that the Commission needs to designate a carrier of last resort in each service territory or establish criteria or other factors to make such a designation.</w:t>
      </w:r>
    </w:p>
    <w:p w:rsidR="00FA12B3" w:rsidRDefault="00FA12B3" w:rsidP="00BD326E"/>
    <w:p w:rsidR="00FA12B3" w:rsidRDefault="00FA12B3" w:rsidP="00FA12B3">
      <w:pPr>
        <w:jc w:val="center"/>
      </w:pPr>
      <w:r>
        <w:t>Question Three</w:t>
      </w:r>
    </w:p>
    <w:p w:rsidR="00FA12B3" w:rsidRDefault="00FA12B3" w:rsidP="00FA12B3">
      <w:pPr>
        <w:jc w:val="center"/>
      </w:pPr>
    </w:p>
    <w:p w:rsidR="00FA12B3" w:rsidRDefault="00FA12B3" w:rsidP="00FA12B3">
      <w:r>
        <w:tab/>
      </w:r>
      <w:r w:rsidR="00AA0238">
        <w:t xml:space="preserve">This question asks whether there are any populated areas in Washington in which a local exchange company is the only source of reliable basic local telecommunications service.  The answer to this question is yes.  There are areas within </w:t>
      </w:r>
      <w:r w:rsidR="00446939">
        <w:t>some</w:t>
      </w:r>
      <w:r w:rsidR="00AA0238">
        <w:t xml:space="preserve"> of the exchanges served by WITA members where cellular service is either not available or</w:t>
      </w:r>
      <w:r w:rsidR="006B407B">
        <w:t xml:space="preserve"> of</w:t>
      </w:r>
      <w:r w:rsidR="00AA0238">
        <w:t xml:space="preserve"> insufficient</w:t>
      </w:r>
      <w:r w:rsidR="006B407B">
        <w:t xml:space="preserve"> </w:t>
      </w:r>
      <w:r w:rsidR="00AF12F5">
        <w:t xml:space="preserve">signal </w:t>
      </w:r>
      <w:r w:rsidR="006B407B">
        <w:t xml:space="preserve">strength to be viewed as reliable basic </w:t>
      </w:r>
      <w:r w:rsidR="00137A8B">
        <w:t xml:space="preserve">telecommunications </w:t>
      </w:r>
      <w:r w:rsidR="006B407B">
        <w:t xml:space="preserve">service.  Nor does it appear that under current </w:t>
      </w:r>
      <w:r w:rsidR="00137A8B">
        <w:t>technology</w:t>
      </w:r>
      <w:r w:rsidR="006B407B">
        <w:t xml:space="preserve"> the satellite serv</w:t>
      </w:r>
      <w:r w:rsidR="00D879DC">
        <w:t>ices that are available would meet that need in every part of the state.  Even if there are not ongoing latency problems with satellite service, line</w:t>
      </w:r>
      <w:r w:rsidR="00137A8B">
        <w:t>-</w:t>
      </w:r>
      <w:r w:rsidR="00D879DC">
        <w:t>of</w:t>
      </w:r>
      <w:r w:rsidR="00137A8B">
        <w:t>-</w:t>
      </w:r>
      <w:r w:rsidR="00D879DC">
        <w:t xml:space="preserve">site issues and bad weather issues raise the question on the extent to which satellite service is a reliable basic </w:t>
      </w:r>
      <w:r w:rsidR="00137A8B">
        <w:t xml:space="preserve">telecommunications </w:t>
      </w:r>
      <w:r w:rsidR="00D879DC">
        <w:t xml:space="preserve">service.  </w:t>
      </w:r>
    </w:p>
    <w:p w:rsidR="00D879DC" w:rsidRDefault="00D879DC" w:rsidP="00FA12B3"/>
    <w:p w:rsidR="00D879DC" w:rsidRDefault="00D879DC" w:rsidP="00FA12B3">
      <w:r>
        <w:tab/>
        <w:t xml:space="preserve">WITA wants to be clear that there are not huge areas.  However, there are still some </w:t>
      </w:r>
      <w:r w:rsidR="000101F3">
        <w:t xml:space="preserve">areas </w:t>
      </w:r>
      <w:r>
        <w:t>today</w:t>
      </w:r>
      <w:r w:rsidR="000101F3">
        <w:t xml:space="preserve"> where WITA members are the only available option.</w:t>
      </w:r>
      <w:r w:rsidR="000101F3" w:rsidRPr="00A4298E">
        <w:rPr>
          <w:rStyle w:val="FootnoteReference"/>
          <w:vertAlign w:val="superscript"/>
        </w:rPr>
        <w:footnoteReference w:id="11"/>
      </w:r>
      <w:r w:rsidR="00A4298E">
        <w:t xml:space="preserve">  </w:t>
      </w:r>
    </w:p>
    <w:p w:rsidR="00A4298E" w:rsidRDefault="00A4298E" w:rsidP="00FA12B3"/>
    <w:p w:rsidR="00A4298E" w:rsidRDefault="00A4298E" w:rsidP="00A4298E">
      <w:pPr>
        <w:jc w:val="center"/>
      </w:pPr>
      <w:r>
        <w:t>Question Four</w:t>
      </w:r>
    </w:p>
    <w:p w:rsidR="00A4298E" w:rsidRDefault="00A4298E" w:rsidP="00A4298E">
      <w:pPr>
        <w:jc w:val="center"/>
      </w:pPr>
    </w:p>
    <w:p w:rsidR="00A4298E" w:rsidRDefault="00A4298E" w:rsidP="00A4298E">
      <w:r>
        <w:tab/>
        <w:t xml:space="preserve">In </w:t>
      </w:r>
      <w:r w:rsidR="0034435D">
        <w:t>Q</w:t>
      </w:r>
      <w:r>
        <w:t xml:space="preserve">uestion </w:t>
      </w:r>
      <w:r w:rsidR="0034435D">
        <w:t>F</w:t>
      </w:r>
      <w:r>
        <w:t xml:space="preserve">our, the Commission asks a series of questions about the existing line extension rule set out in WAC 480-120-071.  In essence, the Commission is asking whether the existing rule works or whether it should </w:t>
      </w:r>
      <w:r w:rsidR="00B71A6E">
        <w:t xml:space="preserve">be </w:t>
      </w:r>
      <w:r>
        <w:t>amended in some fashion.</w:t>
      </w:r>
    </w:p>
    <w:p w:rsidR="0034435D" w:rsidRDefault="0034435D" w:rsidP="00A4298E"/>
    <w:p w:rsidR="00A4298E" w:rsidRDefault="00A4298E" w:rsidP="00A4298E">
      <w:r>
        <w:tab/>
        <w:t>WITA's members do not see a need to</w:t>
      </w:r>
      <w:r w:rsidR="00C171F1">
        <w:t xml:space="preserve"> revise WAC 480-120-071.  The thousand foot service extension has been long accepted and the companies have planned based on that standard.  </w:t>
      </w:r>
    </w:p>
    <w:p w:rsidR="00F85DFE" w:rsidRDefault="00F85DFE" w:rsidP="00A4298E"/>
    <w:p w:rsidR="00F85DFE" w:rsidRDefault="00F85DFE" w:rsidP="00A4298E">
      <w:r>
        <w:tab/>
      </w:r>
      <w:r w:rsidR="0034435D">
        <w:t>In addition, the</w:t>
      </w:r>
      <w:r>
        <w:t xml:space="preserve"> balance in the rule between providing a line extension to individual home owners and those where service is being installed as part of a larger development is a good balance that has worked in the past and should continue</w:t>
      </w:r>
      <w:r w:rsidR="000F26EB">
        <w:t xml:space="preserve"> in the future.</w:t>
      </w:r>
    </w:p>
    <w:p w:rsidR="000F26EB" w:rsidRDefault="000F26EB" w:rsidP="00A4298E"/>
    <w:p w:rsidR="000F26EB" w:rsidRDefault="000F26EB" w:rsidP="00A4298E">
      <w:r>
        <w:tab/>
        <w:t xml:space="preserve">The Commission </w:t>
      </w:r>
      <w:r w:rsidR="0034435D">
        <w:t xml:space="preserve">also </w:t>
      </w:r>
      <w:r>
        <w:t>asks whether additional record keeping should be required related to WAC 480-120-071, and</w:t>
      </w:r>
      <w:r w:rsidR="0034435D">
        <w:t>,</w:t>
      </w:r>
      <w:r>
        <w:t xml:space="preserve"> in particular</w:t>
      </w:r>
      <w:r w:rsidR="0054265E">
        <w:t>,</w:t>
      </w:r>
      <w:r>
        <w:t xml:space="preserve"> related to denials of request for residential basic service.  WITA does not see a need for additional</w:t>
      </w:r>
      <w:r w:rsidR="00854760">
        <w:t xml:space="preserve"> record keeping.  In an era of increasing customer choice and competitive </w:t>
      </w:r>
      <w:r w:rsidR="00A5786E">
        <w:t>entry,</w:t>
      </w:r>
      <w:r w:rsidR="00854760">
        <w:t xml:space="preserve"> the Commission should </w:t>
      </w:r>
      <w:r w:rsidR="0065498A">
        <w:t xml:space="preserve">not </w:t>
      </w:r>
      <w:r w:rsidR="00854760">
        <w:t>impose increased record keeping</w:t>
      </w:r>
      <w:r w:rsidR="00A5786E">
        <w:t>,</w:t>
      </w:r>
      <w:r w:rsidR="00854760">
        <w:t xml:space="preserve"> and the </w:t>
      </w:r>
      <w:r w:rsidR="00320643">
        <w:t xml:space="preserve">attendant costs, on one segment of the industry (wireline LECs) that it does not have the authority to impose on other segments (wireless carriers and VoIP providers) </w:t>
      </w:r>
      <w:r w:rsidR="0065498A" w:rsidRPr="0065498A">
        <w:t>unless</w:t>
      </w:r>
      <w:r w:rsidR="00320643">
        <w:t xml:space="preserve"> it is </w:t>
      </w:r>
      <w:r w:rsidR="0054193B">
        <w:t>f</w:t>
      </w:r>
      <w:r w:rsidR="00320643">
        <w:t>ound to be absolutely necessary to do so.</w:t>
      </w:r>
      <w:r w:rsidR="00B66BED">
        <w:t xml:space="preserve">  WITA does not believe that is the case in this instance.</w:t>
      </w:r>
    </w:p>
    <w:p w:rsidR="00B66BED" w:rsidRDefault="00B66BED" w:rsidP="00A4298E"/>
    <w:p w:rsidR="00B66BED" w:rsidRDefault="00B66BED" w:rsidP="00B66BED">
      <w:pPr>
        <w:jc w:val="center"/>
      </w:pPr>
      <w:r>
        <w:t>Question Five</w:t>
      </w:r>
    </w:p>
    <w:p w:rsidR="00B66BED" w:rsidRDefault="00B66BED" w:rsidP="00B66BED">
      <w:pPr>
        <w:jc w:val="center"/>
      </w:pPr>
    </w:p>
    <w:p w:rsidR="00B66BED" w:rsidRDefault="00B66BED" w:rsidP="00B66BED">
      <w:r>
        <w:tab/>
        <w:t xml:space="preserve">Under </w:t>
      </w:r>
      <w:r w:rsidR="0054193B">
        <w:t>Q</w:t>
      </w:r>
      <w:r>
        <w:t xml:space="preserve">uestion </w:t>
      </w:r>
      <w:r w:rsidR="0054193B">
        <w:t>F</w:t>
      </w:r>
      <w:r>
        <w:t xml:space="preserve">ive, the Commission is asking whether there </w:t>
      </w:r>
      <w:proofErr w:type="gramStart"/>
      <w:r>
        <w:t>are</w:t>
      </w:r>
      <w:proofErr w:type="gramEnd"/>
      <w:r>
        <w:t xml:space="preserve"> any other rules that need to be modified or repealed related to obligation to provide service.  WITA is not aware of any other rules on this</w:t>
      </w:r>
      <w:r w:rsidR="005E23A2">
        <w:t xml:space="preserve"> subject that are in need of modification or repeal.</w:t>
      </w:r>
    </w:p>
    <w:p w:rsidR="005E23A2" w:rsidRDefault="005E23A2" w:rsidP="00B66BED"/>
    <w:p w:rsidR="00E60AEB" w:rsidRDefault="005E23A2" w:rsidP="00CB1E19">
      <w:r>
        <w:tab/>
        <w:t>Thank you for the opportunity to comment.  WITA looks forward to participating in the workshop on January 7, 2019.</w:t>
      </w:r>
      <w:r w:rsidR="00595F92">
        <w:tab/>
      </w:r>
    </w:p>
    <w:p w:rsidR="007A0CBB" w:rsidRDefault="007A0CBB" w:rsidP="00912B21"/>
    <w:p w:rsidR="00595F92" w:rsidRDefault="00595F92" w:rsidP="00912B21">
      <w:r>
        <w:tab/>
      </w:r>
      <w:r>
        <w:tab/>
      </w:r>
      <w:r>
        <w:tab/>
      </w:r>
      <w:r>
        <w:tab/>
      </w:r>
      <w:r>
        <w:tab/>
      </w:r>
      <w:r>
        <w:tab/>
      </w:r>
      <w:r>
        <w:tab/>
        <w:t>Sincerely,</w:t>
      </w:r>
    </w:p>
    <w:p w:rsidR="00595F92" w:rsidRDefault="00595F92" w:rsidP="00595F92"/>
    <w:p w:rsidR="00595F92" w:rsidRDefault="00595F92" w:rsidP="00595F92"/>
    <w:p w:rsidR="00595F92" w:rsidRDefault="00595F92" w:rsidP="00595F92"/>
    <w:p w:rsidR="00595F92" w:rsidRDefault="00595F92" w:rsidP="00595F92">
      <w:r>
        <w:tab/>
      </w:r>
      <w:r>
        <w:tab/>
      </w:r>
      <w:r>
        <w:tab/>
      </w:r>
      <w:r>
        <w:tab/>
      </w:r>
      <w:r>
        <w:tab/>
      </w:r>
      <w:r>
        <w:tab/>
      </w:r>
      <w:r>
        <w:tab/>
        <w:t>RICHARD A. FINNIGAN</w:t>
      </w:r>
    </w:p>
    <w:p w:rsidR="00595F92" w:rsidRDefault="00595F92" w:rsidP="00595F92"/>
    <w:p w:rsidR="00595F92" w:rsidRDefault="00595F92" w:rsidP="00595F92">
      <w:r>
        <w:t>RAF/cs</w:t>
      </w:r>
    </w:p>
    <w:p w:rsidR="00595F92" w:rsidRDefault="00595F92" w:rsidP="00595F92">
      <w:pPr>
        <w:rPr>
          <w:lang w:val="it-IT"/>
        </w:rPr>
      </w:pPr>
    </w:p>
    <w:p w:rsidR="00595F92" w:rsidRDefault="00595F92" w:rsidP="00595F92">
      <w:pPr>
        <w:tabs>
          <w:tab w:val="left" w:pos="-1440"/>
        </w:tabs>
        <w:rPr>
          <w:lang w:val="it-IT"/>
        </w:rPr>
      </w:pPr>
      <w:r>
        <w:rPr>
          <w:lang w:val="it-IT"/>
        </w:rPr>
        <w:t>cc:</w:t>
      </w:r>
      <w:r>
        <w:rPr>
          <w:lang w:val="it-IT"/>
        </w:rPr>
        <w:tab/>
        <w:t>Client (via e-mail)</w:t>
      </w:r>
      <w:r>
        <w:rPr>
          <w:lang w:val="it-IT"/>
        </w:rPr>
        <w:tab/>
      </w:r>
    </w:p>
    <w:p w:rsidR="00595F92" w:rsidRDefault="00595F92" w:rsidP="00595F92"/>
    <w:p w:rsidR="00480442" w:rsidRPr="00586A6D" w:rsidRDefault="00480442" w:rsidP="00595F92"/>
    <w:sectPr w:rsidR="00480442" w:rsidRPr="00586A6D" w:rsidSect="00F90F55">
      <w:headerReference w:type="default" r:id="rId9"/>
      <w:footerReference w:type="even" r:id="rId10"/>
      <w:footerReference w:type="default" r:id="rId11"/>
      <w:endnotePr>
        <w:numFmt w:val="decimal"/>
      </w:endnotePr>
      <w:pgSz w:w="12240" w:h="15840" w:code="1"/>
      <w:pgMar w:top="1296" w:right="1440" w:bottom="1296"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D91" w:rsidRDefault="00BA5D91">
      <w:r>
        <w:separator/>
      </w:r>
    </w:p>
  </w:endnote>
  <w:endnote w:type="continuationSeparator" w:id="0">
    <w:p w:rsidR="00BA5D91" w:rsidRDefault="00BA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D91" w:rsidRDefault="00BA5D91">
      <w:r>
        <w:separator/>
      </w:r>
    </w:p>
  </w:footnote>
  <w:footnote w:type="continuationSeparator" w:id="0">
    <w:p w:rsidR="00BA5D91" w:rsidRDefault="00BA5D91">
      <w:r>
        <w:continuationSeparator/>
      </w:r>
    </w:p>
  </w:footnote>
  <w:footnote w:id="1">
    <w:p w:rsidR="00EC3F52" w:rsidRDefault="00EC3F52">
      <w:pPr>
        <w:pStyle w:val="FootnoteText"/>
      </w:pPr>
      <w:r w:rsidRPr="00A55F2F">
        <w:rPr>
          <w:rStyle w:val="FootnoteReference"/>
          <w:vertAlign w:val="superscript"/>
        </w:rPr>
        <w:footnoteRef/>
      </w:r>
      <w:r w:rsidRPr="00A55F2F">
        <w:rPr>
          <w:vertAlign w:val="superscript"/>
        </w:rPr>
        <w:t xml:space="preserve"> </w:t>
      </w:r>
      <w:r w:rsidRPr="00232633">
        <w:rPr>
          <w:u w:val="single"/>
        </w:rPr>
        <w:t>See</w:t>
      </w:r>
      <w:r>
        <w:t xml:space="preserve">, </w:t>
      </w:r>
      <w:r w:rsidRPr="00232633">
        <w:rPr>
          <w:u w:val="single"/>
        </w:rPr>
        <w:t xml:space="preserve">Washington Utilities and Transportation Commission </w:t>
      </w:r>
      <w:r w:rsidR="00232633" w:rsidRPr="00232633">
        <w:rPr>
          <w:u w:val="single"/>
        </w:rPr>
        <w:t>v.</w:t>
      </w:r>
      <w:r w:rsidRPr="00232633">
        <w:rPr>
          <w:u w:val="single"/>
        </w:rPr>
        <w:t xml:space="preserve"> Q</w:t>
      </w:r>
      <w:r w:rsidR="00E76047">
        <w:rPr>
          <w:u w:val="single"/>
        </w:rPr>
        <w:t>w</w:t>
      </w:r>
      <w:r w:rsidRPr="00232633">
        <w:rPr>
          <w:u w:val="single"/>
        </w:rPr>
        <w:t>est Corporation d/b/a C</w:t>
      </w:r>
      <w:r w:rsidR="00A55F2F" w:rsidRPr="00232633">
        <w:rPr>
          <w:u w:val="single"/>
        </w:rPr>
        <w:t>e</w:t>
      </w:r>
      <w:r w:rsidRPr="00232633">
        <w:rPr>
          <w:u w:val="single"/>
        </w:rPr>
        <w:t>nturyLink</w:t>
      </w:r>
      <w:r w:rsidR="00A55F2F" w:rsidRPr="00232633">
        <w:rPr>
          <w:u w:val="single"/>
        </w:rPr>
        <w:t xml:space="preserve"> QC</w:t>
      </w:r>
      <w:r w:rsidR="00A55F2F">
        <w:t>, Docket UT-171082, Order 03 (August 23, 2018).</w:t>
      </w:r>
    </w:p>
  </w:footnote>
  <w:footnote w:id="2">
    <w:p w:rsidR="00C0507E" w:rsidRDefault="00C0507E">
      <w:pPr>
        <w:pStyle w:val="FootnoteText"/>
      </w:pPr>
      <w:r w:rsidRPr="00F10495">
        <w:rPr>
          <w:rStyle w:val="FootnoteReference"/>
          <w:vertAlign w:val="superscript"/>
        </w:rPr>
        <w:footnoteRef/>
      </w:r>
      <w:r>
        <w:t xml:space="preserve"> Alternative</w:t>
      </w:r>
      <w:r w:rsidR="0083425B">
        <w:t>-</w:t>
      </w:r>
      <w:r>
        <w:t xml:space="preserve">Connect America Cost Model.  </w:t>
      </w:r>
      <w:r w:rsidRPr="0081458B">
        <w:rPr>
          <w:u w:val="single"/>
        </w:rPr>
        <w:t>See</w:t>
      </w:r>
      <w:r w:rsidRPr="000876D1">
        <w:t xml:space="preserve">, </w:t>
      </w:r>
      <w:r w:rsidRPr="0081458B">
        <w:rPr>
          <w:u w:val="single"/>
        </w:rPr>
        <w:t>e.g.</w:t>
      </w:r>
      <w:r w:rsidR="007E5BE3">
        <w:t>,</w:t>
      </w:r>
      <w:r w:rsidR="0081458B">
        <w:t xml:space="preserve"> </w:t>
      </w:r>
      <w:r w:rsidR="00ED7778" w:rsidRPr="007259B1">
        <w:rPr>
          <w:u w:val="single"/>
        </w:rPr>
        <w:t xml:space="preserve">In the Matter of Connect America Fund, </w:t>
      </w:r>
      <w:proofErr w:type="spellStart"/>
      <w:r w:rsidR="00ED7778" w:rsidRPr="007259B1">
        <w:rPr>
          <w:u w:val="single"/>
        </w:rPr>
        <w:t>ETC</w:t>
      </w:r>
      <w:proofErr w:type="spellEnd"/>
      <w:r w:rsidR="00ED7778" w:rsidRPr="007259B1">
        <w:rPr>
          <w:u w:val="single"/>
        </w:rPr>
        <w:t xml:space="preserve"> Annual Reports and Certification, Developing a Unified Intercarrier Compensation</w:t>
      </w:r>
      <w:r w:rsidR="007259B1" w:rsidRPr="007259B1">
        <w:rPr>
          <w:u w:val="single"/>
        </w:rPr>
        <w:t xml:space="preserve"> Regime</w:t>
      </w:r>
      <w:r w:rsidR="00ED7778">
        <w:t xml:space="preserve">, </w:t>
      </w:r>
      <w:r w:rsidR="007E5BE3">
        <w:t xml:space="preserve">WC Docket No. 10-90, WC Docket No. 14-58, CC Docket No. 01-92, </w:t>
      </w:r>
      <w:r w:rsidR="0081458B" w:rsidRPr="007259B1">
        <w:rPr>
          <w:u w:val="single"/>
        </w:rPr>
        <w:t>Rate-of-Return Clarification Order</w:t>
      </w:r>
      <w:r w:rsidR="0081458B">
        <w:t xml:space="preserve">, </w:t>
      </w:r>
      <w:r w:rsidR="007E5BE3">
        <w:t>DA 16-661 (June 15, 2016).</w:t>
      </w:r>
    </w:p>
  </w:footnote>
  <w:footnote w:id="3">
    <w:p w:rsidR="00F64AAF" w:rsidRDefault="00F64AAF" w:rsidP="00F64AAF">
      <w:pPr>
        <w:pStyle w:val="FootnoteText"/>
      </w:pPr>
      <w:r w:rsidRPr="00925B68">
        <w:rPr>
          <w:rStyle w:val="FootnoteReference"/>
          <w:vertAlign w:val="superscript"/>
        </w:rPr>
        <w:footnoteRef/>
      </w:r>
      <w:r>
        <w:t xml:space="preserve"> This situation is even more complicated in that some of these remaining companies are moving away from high cost support to </w:t>
      </w:r>
      <w:proofErr w:type="spellStart"/>
      <w:r>
        <w:t>CBOL</w:t>
      </w:r>
      <w:proofErr w:type="spellEnd"/>
      <w:r w:rsidR="000A21F6">
        <w:t xml:space="preserve"> (Customer – Broadband Only Lines)</w:t>
      </w:r>
      <w:r>
        <w:t xml:space="preserve"> support for broadband only lines which moves the </w:t>
      </w:r>
      <w:r w:rsidR="000A21F6">
        <w:t xml:space="preserve">loop </w:t>
      </w:r>
      <w:r>
        <w:t>expenses entirely into the interstate jurisdiction for that particular service.</w:t>
      </w:r>
    </w:p>
  </w:footnote>
  <w:footnote w:id="4">
    <w:p w:rsidR="002B6D8D" w:rsidRDefault="002B6D8D">
      <w:pPr>
        <w:pStyle w:val="FootnoteText"/>
      </w:pPr>
      <w:r w:rsidRPr="002B6D8D">
        <w:rPr>
          <w:rStyle w:val="FootnoteReference"/>
          <w:vertAlign w:val="superscript"/>
        </w:rPr>
        <w:footnoteRef/>
      </w:r>
      <w:r w:rsidRPr="002B6D8D">
        <w:rPr>
          <w:vertAlign w:val="superscript"/>
        </w:rPr>
        <w:t xml:space="preserve"> </w:t>
      </w:r>
      <w:r w:rsidR="001E6601" w:rsidRPr="00794C4B">
        <w:rPr>
          <w:u w:val="single"/>
        </w:rPr>
        <w:t>See</w:t>
      </w:r>
      <w:r w:rsidR="001E6601">
        <w:t>, Dockets UT</w:t>
      </w:r>
      <w:r w:rsidR="00CB4614">
        <w:t>-180642, UT-180643, UT-180645, UT-180646, UT-180649,</w:t>
      </w:r>
      <w:r w:rsidR="00794C4B">
        <w:t xml:space="preserve"> UT-180650, UT-180651, UT-180655, UT-180656, UT-180658, UT-180659, UT-180660, UT-180665 and UT-180670.</w:t>
      </w:r>
    </w:p>
  </w:footnote>
  <w:footnote w:id="5">
    <w:p w:rsidR="007259B1" w:rsidRDefault="007259B1">
      <w:pPr>
        <w:pStyle w:val="FootnoteText"/>
      </w:pPr>
      <w:r w:rsidRPr="00B90B7D">
        <w:rPr>
          <w:rStyle w:val="FootnoteReference"/>
          <w:vertAlign w:val="superscript"/>
        </w:rPr>
        <w:footnoteRef/>
      </w:r>
      <w:r>
        <w:t xml:space="preserve"> This cap does not apply to companies on the A-CAM mechanism or price cap companies.</w:t>
      </w:r>
    </w:p>
  </w:footnote>
  <w:footnote w:id="6">
    <w:p w:rsidR="000A5E7A" w:rsidRDefault="000A5E7A">
      <w:pPr>
        <w:pStyle w:val="FootnoteText"/>
      </w:pPr>
      <w:r w:rsidRPr="000A5E7A">
        <w:rPr>
          <w:rStyle w:val="FootnoteReference"/>
          <w:vertAlign w:val="superscript"/>
        </w:rPr>
        <w:footnoteRef/>
      </w:r>
      <w:r>
        <w:t xml:space="preserve"> </w:t>
      </w:r>
      <w:r w:rsidR="00346A07" w:rsidRPr="007259B1">
        <w:rPr>
          <w:u w:val="single"/>
        </w:rPr>
        <w:t xml:space="preserve">In the Matter of Connect America Fund, </w:t>
      </w:r>
      <w:proofErr w:type="spellStart"/>
      <w:r w:rsidR="00346A07" w:rsidRPr="007259B1">
        <w:rPr>
          <w:u w:val="single"/>
        </w:rPr>
        <w:t>ETC</w:t>
      </w:r>
      <w:proofErr w:type="spellEnd"/>
      <w:r w:rsidR="00346A07" w:rsidRPr="007259B1">
        <w:rPr>
          <w:u w:val="single"/>
        </w:rPr>
        <w:t xml:space="preserve"> Annual Reports and Certification, Developing a Unified Intercarrier Compensation Regime</w:t>
      </w:r>
      <w:r w:rsidR="00346A07">
        <w:t xml:space="preserve">, WC Docket No. 10-90, WC Docket No. 14-58, CC Docket No. 01-92, </w:t>
      </w:r>
      <w:r w:rsidR="00346A07" w:rsidRPr="00243832">
        <w:rPr>
          <w:u w:val="single"/>
        </w:rPr>
        <w:t>Report and Order, Order and Order on Reconsideration and Further Notice of Proposed Rulemaking</w:t>
      </w:r>
      <w:r w:rsidR="00243832">
        <w:t xml:space="preserve"> ("</w:t>
      </w:r>
      <w:r w:rsidR="00243832" w:rsidRPr="0083425B">
        <w:rPr>
          <w:u w:val="single"/>
        </w:rPr>
        <w:t>Rate-of-Return Reform Order</w:t>
      </w:r>
      <w:r w:rsidR="00243832">
        <w:t>"), FCC 16-33 (Released March 30, 2016)</w:t>
      </w:r>
      <w:r>
        <w:t>.</w:t>
      </w:r>
    </w:p>
  </w:footnote>
  <w:footnote w:id="7">
    <w:p w:rsidR="00055CDA" w:rsidRDefault="00055CDA">
      <w:pPr>
        <w:pStyle w:val="FootnoteText"/>
      </w:pPr>
      <w:r w:rsidRPr="00055CDA">
        <w:rPr>
          <w:rStyle w:val="FootnoteReference"/>
          <w:vertAlign w:val="superscript"/>
        </w:rPr>
        <w:footnoteRef/>
      </w:r>
      <w:r w:rsidRPr="00055CDA">
        <w:rPr>
          <w:vertAlign w:val="superscript"/>
        </w:rPr>
        <w:t xml:space="preserve"> </w:t>
      </w:r>
      <w:r w:rsidRPr="00B83388">
        <w:rPr>
          <w:snapToGrid/>
          <w:color w:val="000000"/>
        </w:rPr>
        <w:t>This calculation is based on 2017 Year End Data.</w:t>
      </w:r>
    </w:p>
  </w:footnote>
  <w:footnote w:id="8">
    <w:p w:rsidR="00794C4B" w:rsidRDefault="00794C4B">
      <w:pPr>
        <w:pStyle w:val="FootnoteText"/>
      </w:pPr>
      <w:r w:rsidRPr="00A71591">
        <w:rPr>
          <w:rStyle w:val="FootnoteReference"/>
          <w:vertAlign w:val="superscript"/>
        </w:rPr>
        <w:footnoteRef/>
      </w:r>
      <w:r>
        <w:t xml:space="preserve"> </w:t>
      </w:r>
      <w:r w:rsidRPr="00A71591">
        <w:rPr>
          <w:u w:val="single"/>
        </w:rPr>
        <w:t>See</w:t>
      </w:r>
      <w:r>
        <w:t xml:space="preserve">, </w:t>
      </w:r>
      <w:r w:rsidRPr="002E6693">
        <w:rPr>
          <w:u w:val="single"/>
        </w:rPr>
        <w:t>e.g.</w:t>
      </w:r>
      <w:r>
        <w:t>, the discussion of A-CAM in the Rate-of-Return Reform Order</w:t>
      </w:r>
      <w:r w:rsidR="00397078">
        <w:t xml:space="preserve"> beginning at </w:t>
      </w:r>
      <w:r w:rsidR="00A71591">
        <w:t>P</w:t>
      </w:r>
      <w:r w:rsidR="00397078">
        <w:t>aragraph 36.</w:t>
      </w:r>
    </w:p>
  </w:footnote>
  <w:footnote w:id="9">
    <w:p w:rsidR="001E2A57" w:rsidRDefault="001E2A57">
      <w:pPr>
        <w:pStyle w:val="FootnoteText"/>
      </w:pPr>
      <w:r w:rsidRPr="001E2A57">
        <w:rPr>
          <w:rStyle w:val="FootnoteReference"/>
          <w:vertAlign w:val="superscript"/>
        </w:rPr>
        <w:footnoteRef/>
      </w:r>
      <w:r>
        <w:t xml:space="preserve"> The State Program </w:t>
      </w:r>
      <w:r w:rsidR="00CB03D9">
        <w:t xml:space="preserve">funding </w:t>
      </w:r>
      <w:r>
        <w:t xml:space="preserve">expires </w:t>
      </w:r>
      <w:r w:rsidR="00CB03D9">
        <w:t>with the 2018-</w:t>
      </w:r>
      <w:r>
        <w:t>2019</w:t>
      </w:r>
      <w:r w:rsidR="00CB03D9">
        <w:t xml:space="preserve"> funding period</w:t>
      </w:r>
      <w:r>
        <w:t xml:space="preserve">.  It is expected that legislation to extend the State Program </w:t>
      </w:r>
      <w:r w:rsidR="00446939">
        <w:t xml:space="preserve">will be </w:t>
      </w:r>
      <w:r>
        <w:t>introduced during the 2019 legislative session.</w:t>
      </w:r>
    </w:p>
  </w:footnote>
  <w:footnote w:id="10">
    <w:p w:rsidR="008658A1" w:rsidRDefault="008658A1">
      <w:pPr>
        <w:pStyle w:val="FootnoteText"/>
      </w:pPr>
      <w:r w:rsidRPr="0015330F">
        <w:rPr>
          <w:rStyle w:val="FootnoteReference"/>
          <w:vertAlign w:val="superscript"/>
        </w:rPr>
        <w:footnoteRef/>
      </w:r>
      <w:r>
        <w:t xml:space="preserve"> Presumably, the Commission's reference is to incumbent local exchange carrier</w:t>
      </w:r>
      <w:r w:rsidR="00DE3A4F">
        <w:t>s</w:t>
      </w:r>
      <w:r>
        <w:t xml:space="preserve"> (</w:t>
      </w:r>
      <w:proofErr w:type="spellStart"/>
      <w:r>
        <w:t>ILEC</w:t>
      </w:r>
      <w:proofErr w:type="spellEnd"/>
      <w:r>
        <w:t xml:space="preserve">) service territory.  </w:t>
      </w:r>
      <w:r w:rsidR="00CA37D6">
        <w:t>Competitive local exchange carriers do not have a designated service territory.</w:t>
      </w:r>
    </w:p>
  </w:footnote>
  <w:footnote w:id="11">
    <w:p w:rsidR="000101F3" w:rsidRDefault="000101F3">
      <w:pPr>
        <w:pStyle w:val="FootnoteText"/>
      </w:pPr>
      <w:r w:rsidRPr="00A4298E">
        <w:rPr>
          <w:rStyle w:val="FootnoteReference"/>
          <w:vertAlign w:val="superscript"/>
        </w:rPr>
        <w:footnoteRef/>
      </w:r>
      <w:r w:rsidRPr="00A4298E">
        <w:rPr>
          <w:vertAlign w:val="superscript"/>
        </w:rPr>
        <w:t xml:space="preserve"> </w:t>
      </w:r>
      <w:r w:rsidR="00A4298E">
        <w:t xml:space="preserve">WITA does not purport that </w:t>
      </w:r>
      <w:r w:rsidR="00AF12F5">
        <w:t>this</w:t>
      </w:r>
      <w:r w:rsidR="00A4298E">
        <w:t xml:space="preserve"> statement is a general statement</w:t>
      </w:r>
      <w:r w:rsidR="00A5786E">
        <w:t xml:space="preserve"> applicable to all providers</w:t>
      </w:r>
      <w:r w:rsidR="004B65DF">
        <w:t xml:space="preserve">.  </w:t>
      </w:r>
      <w:r w:rsidR="00A5786E">
        <w:t>WITA</w:t>
      </w:r>
      <w:r w:rsidR="00A4298E">
        <w:t xml:space="preserve"> </w:t>
      </w:r>
      <w:r w:rsidR="00446939">
        <w:t>does not have the information</w:t>
      </w:r>
      <w:r w:rsidR="00A4298E">
        <w:t xml:space="preserve"> </w:t>
      </w:r>
      <w:r w:rsidR="00A5786E">
        <w:t>in</w:t>
      </w:r>
      <w:r w:rsidR="00B71A6E">
        <w:t xml:space="preserve"> </w:t>
      </w:r>
      <w:r w:rsidR="00A5786E">
        <w:t xml:space="preserve">sufficient detail </w:t>
      </w:r>
      <w:r w:rsidR="00A4298E">
        <w:t>of the area</w:t>
      </w:r>
      <w:r w:rsidR="00A5786E">
        <w:t>s</w:t>
      </w:r>
      <w:r w:rsidR="00A4298E">
        <w:t xml:space="preserve"> served by CenturyLink and Frontier</w:t>
      </w:r>
      <w:r w:rsidR="00042BE1">
        <w:t xml:space="preserve"> to make a broader comment</w:t>
      </w:r>
      <w:r w:rsidR="00A4298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613F64" w:rsidRDefault="005E23A2" w:rsidP="00736E61">
    <w:pPr>
      <w:rPr>
        <w:szCs w:val="24"/>
      </w:rPr>
    </w:pPr>
    <w:r>
      <w:rPr>
        <w:szCs w:val="24"/>
      </w:rPr>
      <w:t>Mark Johnson</w:t>
    </w:r>
    <w:r w:rsidR="009D2394" w:rsidRPr="00613F64">
      <w:rPr>
        <w:szCs w:val="24"/>
      </w:rPr>
      <w:t xml:space="preserve"> </w:t>
    </w:r>
  </w:p>
  <w:p w:rsidR="005F4339" w:rsidRPr="00613F64" w:rsidRDefault="005E23A2" w:rsidP="0030167C">
    <w:pPr>
      <w:pStyle w:val="Header"/>
    </w:pPr>
    <w:r>
      <w:t>December 7, 2018</w:t>
    </w:r>
  </w:p>
  <w:p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F42062">
      <w:rPr>
        <w:noProof/>
      </w:rPr>
      <w:t>6</w:t>
    </w:r>
    <w:r w:rsidRPr="00613F64">
      <w:fldChar w:fldCharType="end"/>
    </w:r>
    <w:r w:rsidRPr="00613F64">
      <w:t xml:space="preserve"> of </w:t>
    </w:r>
    <w:fldSimple w:instr=" NUMPAGES ">
      <w:r w:rsidR="00F42062">
        <w:rPr>
          <w:noProof/>
        </w:rPr>
        <w:t>6</w:t>
      </w:r>
    </w:fldSimple>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07EA0"/>
    <w:rsid w:val="000101F3"/>
    <w:rsid w:val="000152BC"/>
    <w:rsid w:val="00016530"/>
    <w:rsid w:val="0002088A"/>
    <w:rsid w:val="00020C74"/>
    <w:rsid w:val="00027D07"/>
    <w:rsid w:val="00036174"/>
    <w:rsid w:val="00042BE1"/>
    <w:rsid w:val="00046423"/>
    <w:rsid w:val="0005503F"/>
    <w:rsid w:val="00055CDA"/>
    <w:rsid w:val="000573B3"/>
    <w:rsid w:val="00063593"/>
    <w:rsid w:val="00063EA2"/>
    <w:rsid w:val="0006479E"/>
    <w:rsid w:val="00067220"/>
    <w:rsid w:val="000779C2"/>
    <w:rsid w:val="000843B2"/>
    <w:rsid w:val="00087002"/>
    <w:rsid w:val="000872D9"/>
    <w:rsid w:val="000876D1"/>
    <w:rsid w:val="00094DAC"/>
    <w:rsid w:val="00096166"/>
    <w:rsid w:val="000A1B3E"/>
    <w:rsid w:val="000A1D16"/>
    <w:rsid w:val="000A21F6"/>
    <w:rsid w:val="000A5E7A"/>
    <w:rsid w:val="000B2699"/>
    <w:rsid w:val="000C088C"/>
    <w:rsid w:val="000C3D6C"/>
    <w:rsid w:val="000D2C2E"/>
    <w:rsid w:val="000D45FA"/>
    <w:rsid w:val="000D4A67"/>
    <w:rsid w:val="000D53BC"/>
    <w:rsid w:val="000D7CDB"/>
    <w:rsid w:val="000E01AD"/>
    <w:rsid w:val="000E57EA"/>
    <w:rsid w:val="000E6DCE"/>
    <w:rsid w:val="000F1000"/>
    <w:rsid w:val="000F18D7"/>
    <w:rsid w:val="000F26EB"/>
    <w:rsid w:val="000F3830"/>
    <w:rsid w:val="00100B68"/>
    <w:rsid w:val="001072EA"/>
    <w:rsid w:val="0011069C"/>
    <w:rsid w:val="00115509"/>
    <w:rsid w:val="00123E60"/>
    <w:rsid w:val="00130A40"/>
    <w:rsid w:val="00130DF3"/>
    <w:rsid w:val="00137A8B"/>
    <w:rsid w:val="001405D9"/>
    <w:rsid w:val="001462A1"/>
    <w:rsid w:val="001471F5"/>
    <w:rsid w:val="001517E0"/>
    <w:rsid w:val="0015330F"/>
    <w:rsid w:val="00154CF5"/>
    <w:rsid w:val="0015712B"/>
    <w:rsid w:val="00162078"/>
    <w:rsid w:val="00163710"/>
    <w:rsid w:val="001657F7"/>
    <w:rsid w:val="0016634F"/>
    <w:rsid w:val="00170130"/>
    <w:rsid w:val="00173FA9"/>
    <w:rsid w:val="00175166"/>
    <w:rsid w:val="001856A8"/>
    <w:rsid w:val="001A31E7"/>
    <w:rsid w:val="001A3D67"/>
    <w:rsid w:val="001B2A08"/>
    <w:rsid w:val="001B6D68"/>
    <w:rsid w:val="001D4320"/>
    <w:rsid w:val="001D776C"/>
    <w:rsid w:val="001E0BAC"/>
    <w:rsid w:val="001E2A57"/>
    <w:rsid w:val="001E46E9"/>
    <w:rsid w:val="001E6601"/>
    <w:rsid w:val="001F0795"/>
    <w:rsid w:val="001F33DB"/>
    <w:rsid w:val="001F3815"/>
    <w:rsid w:val="001F3B13"/>
    <w:rsid w:val="00220A62"/>
    <w:rsid w:val="00221C24"/>
    <w:rsid w:val="00231027"/>
    <w:rsid w:val="00232633"/>
    <w:rsid w:val="0023324E"/>
    <w:rsid w:val="0023770E"/>
    <w:rsid w:val="002410D9"/>
    <w:rsid w:val="002429C6"/>
    <w:rsid w:val="00243832"/>
    <w:rsid w:val="00243FDB"/>
    <w:rsid w:val="00250133"/>
    <w:rsid w:val="002506F0"/>
    <w:rsid w:val="002515E3"/>
    <w:rsid w:val="0025794F"/>
    <w:rsid w:val="00261620"/>
    <w:rsid w:val="002660D7"/>
    <w:rsid w:val="00282065"/>
    <w:rsid w:val="0028658F"/>
    <w:rsid w:val="00286E00"/>
    <w:rsid w:val="002903FD"/>
    <w:rsid w:val="0029349C"/>
    <w:rsid w:val="00295764"/>
    <w:rsid w:val="00297B87"/>
    <w:rsid w:val="002A440D"/>
    <w:rsid w:val="002A57D0"/>
    <w:rsid w:val="002A7E84"/>
    <w:rsid w:val="002B14A7"/>
    <w:rsid w:val="002B20EA"/>
    <w:rsid w:val="002B45B6"/>
    <w:rsid w:val="002B6D8D"/>
    <w:rsid w:val="002C000D"/>
    <w:rsid w:val="002C3BFF"/>
    <w:rsid w:val="002D29E0"/>
    <w:rsid w:val="002D29EF"/>
    <w:rsid w:val="002D2D26"/>
    <w:rsid w:val="002D4D0D"/>
    <w:rsid w:val="002E6693"/>
    <w:rsid w:val="002F0E0B"/>
    <w:rsid w:val="002F1C1E"/>
    <w:rsid w:val="0030167C"/>
    <w:rsid w:val="0030252F"/>
    <w:rsid w:val="00312B04"/>
    <w:rsid w:val="00314540"/>
    <w:rsid w:val="00315BEC"/>
    <w:rsid w:val="00317348"/>
    <w:rsid w:val="003204B0"/>
    <w:rsid w:val="00320643"/>
    <w:rsid w:val="00324441"/>
    <w:rsid w:val="00325F5A"/>
    <w:rsid w:val="00326DB8"/>
    <w:rsid w:val="00327D96"/>
    <w:rsid w:val="00330212"/>
    <w:rsid w:val="0033241E"/>
    <w:rsid w:val="00335DEF"/>
    <w:rsid w:val="00344354"/>
    <w:rsid w:val="0034435D"/>
    <w:rsid w:val="00344FC3"/>
    <w:rsid w:val="00346A07"/>
    <w:rsid w:val="0035143C"/>
    <w:rsid w:val="00352A61"/>
    <w:rsid w:val="0035315D"/>
    <w:rsid w:val="003556BC"/>
    <w:rsid w:val="003657FC"/>
    <w:rsid w:val="003744BF"/>
    <w:rsid w:val="003750C2"/>
    <w:rsid w:val="00377BBF"/>
    <w:rsid w:val="00377FF3"/>
    <w:rsid w:val="00380DEC"/>
    <w:rsid w:val="00382FC9"/>
    <w:rsid w:val="00393BDF"/>
    <w:rsid w:val="00397078"/>
    <w:rsid w:val="003A0F91"/>
    <w:rsid w:val="003A56BE"/>
    <w:rsid w:val="003A5D17"/>
    <w:rsid w:val="003B1E2D"/>
    <w:rsid w:val="003B3711"/>
    <w:rsid w:val="003B60B9"/>
    <w:rsid w:val="003C23D9"/>
    <w:rsid w:val="003C35D4"/>
    <w:rsid w:val="003C3EB4"/>
    <w:rsid w:val="003C5FC0"/>
    <w:rsid w:val="003D1FEB"/>
    <w:rsid w:val="003D266D"/>
    <w:rsid w:val="003D4643"/>
    <w:rsid w:val="003D533D"/>
    <w:rsid w:val="003E1A6E"/>
    <w:rsid w:val="003E3410"/>
    <w:rsid w:val="003E5DC4"/>
    <w:rsid w:val="003E7110"/>
    <w:rsid w:val="003F10ED"/>
    <w:rsid w:val="003F233F"/>
    <w:rsid w:val="003F2DB3"/>
    <w:rsid w:val="003F2E3F"/>
    <w:rsid w:val="003F3697"/>
    <w:rsid w:val="003F42EE"/>
    <w:rsid w:val="003F59A2"/>
    <w:rsid w:val="003F61FD"/>
    <w:rsid w:val="003F699F"/>
    <w:rsid w:val="0040524F"/>
    <w:rsid w:val="00411115"/>
    <w:rsid w:val="0041377D"/>
    <w:rsid w:val="00413914"/>
    <w:rsid w:val="00415685"/>
    <w:rsid w:val="00420543"/>
    <w:rsid w:val="00420FC5"/>
    <w:rsid w:val="00421A99"/>
    <w:rsid w:val="004225D5"/>
    <w:rsid w:val="00426E87"/>
    <w:rsid w:val="0043070F"/>
    <w:rsid w:val="00430B4F"/>
    <w:rsid w:val="00431A42"/>
    <w:rsid w:val="00434715"/>
    <w:rsid w:val="00436784"/>
    <w:rsid w:val="004443AC"/>
    <w:rsid w:val="00444D8B"/>
    <w:rsid w:val="004464AD"/>
    <w:rsid w:val="00446939"/>
    <w:rsid w:val="00447C27"/>
    <w:rsid w:val="0045301D"/>
    <w:rsid w:val="004603A8"/>
    <w:rsid w:val="004663A7"/>
    <w:rsid w:val="00466F4A"/>
    <w:rsid w:val="00472891"/>
    <w:rsid w:val="00476EF6"/>
    <w:rsid w:val="00480442"/>
    <w:rsid w:val="00487197"/>
    <w:rsid w:val="004A3145"/>
    <w:rsid w:val="004B1DF8"/>
    <w:rsid w:val="004B4504"/>
    <w:rsid w:val="004B65DF"/>
    <w:rsid w:val="004C270D"/>
    <w:rsid w:val="004D0656"/>
    <w:rsid w:val="004D0FAE"/>
    <w:rsid w:val="004D1136"/>
    <w:rsid w:val="004D1209"/>
    <w:rsid w:val="004D40BD"/>
    <w:rsid w:val="004E298D"/>
    <w:rsid w:val="004E7879"/>
    <w:rsid w:val="004F2534"/>
    <w:rsid w:val="005002D2"/>
    <w:rsid w:val="0050293A"/>
    <w:rsid w:val="0050468E"/>
    <w:rsid w:val="00504DAF"/>
    <w:rsid w:val="00504F9A"/>
    <w:rsid w:val="00506807"/>
    <w:rsid w:val="0051606A"/>
    <w:rsid w:val="00523CE3"/>
    <w:rsid w:val="005267A5"/>
    <w:rsid w:val="00534317"/>
    <w:rsid w:val="00540FA9"/>
    <w:rsid w:val="0054193B"/>
    <w:rsid w:val="0054265E"/>
    <w:rsid w:val="0054731F"/>
    <w:rsid w:val="0054766B"/>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4B6B"/>
    <w:rsid w:val="005B756B"/>
    <w:rsid w:val="005C2BDB"/>
    <w:rsid w:val="005C38AB"/>
    <w:rsid w:val="005D05A5"/>
    <w:rsid w:val="005D2020"/>
    <w:rsid w:val="005D64A8"/>
    <w:rsid w:val="005D77CD"/>
    <w:rsid w:val="005E08BF"/>
    <w:rsid w:val="005E23A2"/>
    <w:rsid w:val="005E29A8"/>
    <w:rsid w:val="005E78A2"/>
    <w:rsid w:val="005F4339"/>
    <w:rsid w:val="00602C94"/>
    <w:rsid w:val="00603DD8"/>
    <w:rsid w:val="006063CF"/>
    <w:rsid w:val="00607FA2"/>
    <w:rsid w:val="006102A6"/>
    <w:rsid w:val="00613878"/>
    <w:rsid w:val="00613F64"/>
    <w:rsid w:val="00615E1E"/>
    <w:rsid w:val="006214E1"/>
    <w:rsid w:val="00625428"/>
    <w:rsid w:val="00627127"/>
    <w:rsid w:val="00631AAF"/>
    <w:rsid w:val="0063643C"/>
    <w:rsid w:val="00636B8E"/>
    <w:rsid w:val="00644E2F"/>
    <w:rsid w:val="006459CC"/>
    <w:rsid w:val="0065498A"/>
    <w:rsid w:val="00656B08"/>
    <w:rsid w:val="00656D4E"/>
    <w:rsid w:val="0066421A"/>
    <w:rsid w:val="006662AA"/>
    <w:rsid w:val="00674462"/>
    <w:rsid w:val="00684ACD"/>
    <w:rsid w:val="00685A57"/>
    <w:rsid w:val="0068609C"/>
    <w:rsid w:val="00687BBA"/>
    <w:rsid w:val="00693B03"/>
    <w:rsid w:val="006A1460"/>
    <w:rsid w:val="006A367A"/>
    <w:rsid w:val="006A5852"/>
    <w:rsid w:val="006A6F94"/>
    <w:rsid w:val="006A71F4"/>
    <w:rsid w:val="006B407B"/>
    <w:rsid w:val="006C7495"/>
    <w:rsid w:val="006C78E8"/>
    <w:rsid w:val="006C799E"/>
    <w:rsid w:val="006C7ACD"/>
    <w:rsid w:val="006D1A78"/>
    <w:rsid w:val="006D6990"/>
    <w:rsid w:val="006D7515"/>
    <w:rsid w:val="006E05CD"/>
    <w:rsid w:val="006E5C76"/>
    <w:rsid w:val="006E6D63"/>
    <w:rsid w:val="006F2002"/>
    <w:rsid w:val="006F40A3"/>
    <w:rsid w:val="006F4BC6"/>
    <w:rsid w:val="006F59CA"/>
    <w:rsid w:val="006F6621"/>
    <w:rsid w:val="006F6B10"/>
    <w:rsid w:val="0070131A"/>
    <w:rsid w:val="00716737"/>
    <w:rsid w:val="00717514"/>
    <w:rsid w:val="007259B1"/>
    <w:rsid w:val="007310B2"/>
    <w:rsid w:val="00731557"/>
    <w:rsid w:val="00736E61"/>
    <w:rsid w:val="00751D35"/>
    <w:rsid w:val="00762BDF"/>
    <w:rsid w:val="00771A58"/>
    <w:rsid w:val="007720EF"/>
    <w:rsid w:val="0077499A"/>
    <w:rsid w:val="00780588"/>
    <w:rsid w:val="007806E8"/>
    <w:rsid w:val="007841DA"/>
    <w:rsid w:val="007937FC"/>
    <w:rsid w:val="007941FC"/>
    <w:rsid w:val="007948FD"/>
    <w:rsid w:val="00794C4B"/>
    <w:rsid w:val="007A0CBB"/>
    <w:rsid w:val="007A2ED1"/>
    <w:rsid w:val="007A634A"/>
    <w:rsid w:val="007A6F13"/>
    <w:rsid w:val="007B27D3"/>
    <w:rsid w:val="007B2A46"/>
    <w:rsid w:val="007B60AD"/>
    <w:rsid w:val="007B70D0"/>
    <w:rsid w:val="007C1C71"/>
    <w:rsid w:val="007C2406"/>
    <w:rsid w:val="007C50F8"/>
    <w:rsid w:val="007D2FF8"/>
    <w:rsid w:val="007D556B"/>
    <w:rsid w:val="007E151B"/>
    <w:rsid w:val="007E5BE3"/>
    <w:rsid w:val="00801EC3"/>
    <w:rsid w:val="00806FAC"/>
    <w:rsid w:val="00807894"/>
    <w:rsid w:val="00811043"/>
    <w:rsid w:val="0081458B"/>
    <w:rsid w:val="00816304"/>
    <w:rsid w:val="0083202B"/>
    <w:rsid w:val="00833B23"/>
    <w:rsid w:val="0083425B"/>
    <w:rsid w:val="00844934"/>
    <w:rsid w:val="00845461"/>
    <w:rsid w:val="00847C2E"/>
    <w:rsid w:val="00854760"/>
    <w:rsid w:val="0086000D"/>
    <w:rsid w:val="00860737"/>
    <w:rsid w:val="00865064"/>
    <w:rsid w:val="00865066"/>
    <w:rsid w:val="008658A1"/>
    <w:rsid w:val="0087760F"/>
    <w:rsid w:val="0088613B"/>
    <w:rsid w:val="00894F7D"/>
    <w:rsid w:val="008A6F61"/>
    <w:rsid w:val="008B5127"/>
    <w:rsid w:val="008C0B36"/>
    <w:rsid w:val="008C228A"/>
    <w:rsid w:val="008C706B"/>
    <w:rsid w:val="008C7674"/>
    <w:rsid w:val="008D2CDF"/>
    <w:rsid w:val="008E0304"/>
    <w:rsid w:val="008E2995"/>
    <w:rsid w:val="008E3786"/>
    <w:rsid w:val="008E71CD"/>
    <w:rsid w:val="008F14C4"/>
    <w:rsid w:val="008F7F47"/>
    <w:rsid w:val="00905EFD"/>
    <w:rsid w:val="00910EB0"/>
    <w:rsid w:val="00912B21"/>
    <w:rsid w:val="00916B3A"/>
    <w:rsid w:val="00921C8F"/>
    <w:rsid w:val="00922DD6"/>
    <w:rsid w:val="00922F9E"/>
    <w:rsid w:val="00925B68"/>
    <w:rsid w:val="00926BC9"/>
    <w:rsid w:val="00935046"/>
    <w:rsid w:val="00935109"/>
    <w:rsid w:val="00935F43"/>
    <w:rsid w:val="009403D9"/>
    <w:rsid w:val="00942154"/>
    <w:rsid w:val="0094238F"/>
    <w:rsid w:val="0094347F"/>
    <w:rsid w:val="00945937"/>
    <w:rsid w:val="0094596F"/>
    <w:rsid w:val="00945C68"/>
    <w:rsid w:val="0095107E"/>
    <w:rsid w:val="009555D8"/>
    <w:rsid w:val="0096150F"/>
    <w:rsid w:val="00981CB9"/>
    <w:rsid w:val="00987298"/>
    <w:rsid w:val="00987F55"/>
    <w:rsid w:val="009908F0"/>
    <w:rsid w:val="00992D62"/>
    <w:rsid w:val="00995265"/>
    <w:rsid w:val="00995C7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02CE"/>
    <w:rsid w:val="00A423C2"/>
    <w:rsid w:val="00A4298E"/>
    <w:rsid w:val="00A43A22"/>
    <w:rsid w:val="00A532A0"/>
    <w:rsid w:val="00A55F2F"/>
    <w:rsid w:val="00A5619B"/>
    <w:rsid w:val="00A5786E"/>
    <w:rsid w:val="00A64074"/>
    <w:rsid w:val="00A71591"/>
    <w:rsid w:val="00A740BB"/>
    <w:rsid w:val="00A82B19"/>
    <w:rsid w:val="00A97EA3"/>
    <w:rsid w:val="00AA0238"/>
    <w:rsid w:val="00AA0A59"/>
    <w:rsid w:val="00AB2A9E"/>
    <w:rsid w:val="00AB2C32"/>
    <w:rsid w:val="00AC076F"/>
    <w:rsid w:val="00AC1319"/>
    <w:rsid w:val="00AC5017"/>
    <w:rsid w:val="00AC7CFD"/>
    <w:rsid w:val="00AE2140"/>
    <w:rsid w:val="00AE6252"/>
    <w:rsid w:val="00AF0657"/>
    <w:rsid w:val="00AF12F5"/>
    <w:rsid w:val="00AF3195"/>
    <w:rsid w:val="00AF63F3"/>
    <w:rsid w:val="00AF69F9"/>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74E"/>
    <w:rsid w:val="00B57A5B"/>
    <w:rsid w:val="00B61DB2"/>
    <w:rsid w:val="00B66BED"/>
    <w:rsid w:val="00B70E47"/>
    <w:rsid w:val="00B71A6E"/>
    <w:rsid w:val="00B739F5"/>
    <w:rsid w:val="00B74C55"/>
    <w:rsid w:val="00B83388"/>
    <w:rsid w:val="00B844A7"/>
    <w:rsid w:val="00B8457C"/>
    <w:rsid w:val="00B90B7D"/>
    <w:rsid w:val="00B928FF"/>
    <w:rsid w:val="00B95A5F"/>
    <w:rsid w:val="00BA4175"/>
    <w:rsid w:val="00BA5D91"/>
    <w:rsid w:val="00BB0166"/>
    <w:rsid w:val="00BB7EE1"/>
    <w:rsid w:val="00BC1A4D"/>
    <w:rsid w:val="00BC5D76"/>
    <w:rsid w:val="00BD326E"/>
    <w:rsid w:val="00BE04C9"/>
    <w:rsid w:val="00BE28A7"/>
    <w:rsid w:val="00BE5404"/>
    <w:rsid w:val="00BF1541"/>
    <w:rsid w:val="00BF47C5"/>
    <w:rsid w:val="00C0507E"/>
    <w:rsid w:val="00C05BFA"/>
    <w:rsid w:val="00C070AF"/>
    <w:rsid w:val="00C13D28"/>
    <w:rsid w:val="00C171F1"/>
    <w:rsid w:val="00C407B0"/>
    <w:rsid w:val="00C40D39"/>
    <w:rsid w:val="00C40F48"/>
    <w:rsid w:val="00C41253"/>
    <w:rsid w:val="00C53523"/>
    <w:rsid w:val="00C60294"/>
    <w:rsid w:val="00C612BB"/>
    <w:rsid w:val="00C64466"/>
    <w:rsid w:val="00C73EC0"/>
    <w:rsid w:val="00C757EF"/>
    <w:rsid w:val="00C77A2C"/>
    <w:rsid w:val="00C80F8B"/>
    <w:rsid w:val="00C82D21"/>
    <w:rsid w:val="00C83418"/>
    <w:rsid w:val="00C85865"/>
    <w:rsid w:val="00C9078F"/>
    <w:rsid w:val="00C918DC"/>
    <w:rsid w:val="00C91CA6"/>
    <w:rsid w:val="00C92F6D"/>
    <w:rsid w:val="00C93C7B"/>
    <w:rsid w:val="00C97762"/>
    <w:rsid w:val="00CA1C3E"/>
    <w:rsid w:val="00CA37D6"/>
    <w:rsid w:val="00CA5587"/>
    <w:rsid w:val="00CB03D9"/>
    <w:rsid w:val="00CB0744"/>
    <w:rsid w:val="00CB1E19"/>
    <w:rsid w:val="00CB4614"/>
    <w:rsid w:val="00CB7485"/>
    <w:rsid w:val="00CC152D"/>
    <w:rsid w:val="00CC2821"/>
    <w:rsid w:val="00CC3869"/>
    <w:rsid w:val="00CC3BD5"/>
    <w:rsid w:val="00CC483C"/>
    <w:rsid w:val="00CC7034"/>
    <w:rsid w:val="00CD3FE1"/>
    <w:rsid w:val="00CD4E77"/>
    <w:rsid w:val="00CE060E"/>
    <w:rsid w:val="00CE0B1D"/>
    <w:rsid w:val="00CE1239"/>
    <w:rsid w:val="00CF4961"/>
    <w:rsid w:val="00D0198D"/>
    <w:rsid w:val="00D13DDE"/>
    <w:rsid w:val="00D14087"/>
    <w:rsid w:val="00D20641"/>
    <w:rsid w:val="00D22D75"/>
    <w:rsid w:val="00D27DCD"/>
    <w:rsid w:val="00D32CB6"/>
    <w:rsid w:val="00D50248"/>
    <w:rsid w:val="00D51BBF"/>
    <w:rsid w:val="00D56DFD"/>
    <w:rsid w:val="00D600D1"/>
    <w:rsid w:val="00D60741"/>
    <w:rsid w:val="00D62D90"/>
    <w:rsid w:val="00D646EB"/>
    <w:rsid w:val="00D7137D"/>
    <w:rsid w:val="00D753E5"/>
    <w:rsid w:val="00D879DC"/>
    <w:rsid w:val="00D926E9"/>
    <w:rsid w:val="00D97115"/>
    <w:rsid w:val="00DA2E0A"/>
    <w:rsid w:val="00DA5A32"/>
    <w:rsid w:val="00DA6463"/>
    <w:rsid w:val="00DB0FE6"/>
    <w:rsid w:val="00DC0680"/>
    <w:rsid w:val="00DC0D1C"/>
    <w:rsid w:val="00DC2285"/>
    <w:rsid w:val="00DC7121"/>
    <w:rsid w:val="00DE0170"/>
    <w:rsid w:val="00DE3A4F"/>
    <w:rsid w:val="00DE4F1F"/>
    <w:rsid w:val="00E12D78"/>
    <w:rsid w:val="00E20D30"/>
    <w:rsid w:val="00E20D6C"/>
    <w:rsid w:val="00E27946"/>
    <w:rsid w:val="00E347C8"/>
    <w:rsid w:val="00E424B0"/>
    <w:rsid w:val="00E47F3C"/>
    <w:rsid w:val="00E515F6"/>
    <w:rsid w:val="00E531D6"/>
    <w:rsid w:val="00E54AFD"/>
    <w:rsid w:val="00E54EC9"/>
    <w:rsid w:val="00E60AEB"/>
    <w:rsid w:val="00E6338A"/>
    <w:rsid w:val="00E65BD6"/>
    <w:rsid w:val="00E7309E"/>
    <w:rsid w:val="00E74957"/>
    <w:rsid w:val="00E76047"/>
    <w:rsid w:val="00E765C0"/>
    <w:rsid w:val="00E81357"/>
    <w:rsid w:val="00E8307F"/>
    <w:rsid w:val="00E858E9"/>
    <w:rsid w:val="00EA4D7B"/>
    <w:rsid w:val="00EB1C5A"/>
    <w:rsid w:val="00EB1D16"/>
    <w:rsid w:val="00EB445D"/>
    <w:rsid w:val="00EB4554"/>
    <w:rsid w:val="00EB48D0"/>
    <w:rsid w:val="00EB772D"/>
    <w:rsid w:val="00EC0633"/>
    <w:rsid w:val="00EC3F52"/>
    <w:rsid w:val="00EC49D3"/>
    <w:rsid w:val="00EC6C8A"/>
    <w:rsid w:val="00ED7778"/>
    <w:rsid w:val="00EE22B1"/>
    <w:rsid w:val="00EE4F27"/>
    <w:rsid w:val="00EE641D"/>
    <w:rsid w:val="00EF0E4B"/>
    <w:rsid w:val="00EF178B"/>
    <w:rsid w:val="00EF1ED3"/>
    <w:rsid w:val="00EF3372"/>
    <w:rsid w:val="00EF6D8D"/>
    <w:rsid w:val="00F01393"/>
    <w:rsid w:val="00F10495"/>
    <w:rsid w:val="00F10A6B"/>
    <w:rsid w:val="00F1165E"/>
    <w:rsid w:val="00F159BD"/>
    <w:rsid w:val="00F1716F"/>
    <w:rsid w:val="00F17B3A"/>
    <w:rsid w:val="00F21E7E"/>
    <w:rsid w:val="00F25F65"/>
    <w:rsid w:val="00F27403"/>
    <w:rsid w:val="00F36789"/>
    <w:rsid w:val="00F42062"/>
    <w:rsid w:val="00F45EB8"/>
    <w:rsid w:val="00F52197"/>
    <w:rsid w:val="00F57552"/>
    <w:rsid w:val="00F57C34"/>
    <w:rsid w:val="00F6142D"/>
    <w:rsid w:val="00F64716"/>
    <w:rsid w:val="00F64AAF"/>
    <w:rsid w:val="00F70273"/>
    <w:rsid w:val="00F804E2"/>
    <w:rsid w:val="00F80F26"/>
    <w:rsid w:val="00F82C28"/>
    <w:rsid w:val="00F85DFE"/>
    <w:rsid w:val="00F908E0"/>
    <w:rsid w:val="00F90F55"/>
    <w:rsid w:val="00F9573B"/>
    <w:rsid w:val="00F9714D"/>
    <w:rsid w:val="00FA10C6"/>
    <w:rsid w:val="00FA1297"/>
    <w:rsid w:val="00FA12B3"/>
    <w:rsid w:val="00FA2953"/>
    <w:rsid w:val="00FA5C7C"/>
    <w:rsid w:val="00FB2605"/>
    <w:rsid w:val="00FC1E7A"/>
    <w:rsid w:val="00FC69EE"/>
    <w:rsid w:val="00FD60CA"/>
    <w:rsid w:val="00FD6CDD"/>
    <w:rsid w:val="00FE0036"/>
    <w:rsid w:val="00FE2438"/>
    <w:rsid w:val="00FE49F0"/>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543519484">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48557613">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2018-10-02T07:00:00+00:00</OpenedDate>
    <SignificantOrder xmlns="dc463f71-b30c-4ab2-9473-d307f9d35888">false</SignificantOrder>
    <Date1 xmlns="dc463f71-b30c-4ab2-9473-d307f9d35888">2018-12-07T08:00:00+00:00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180831</DocketNumber>
    <DelegatedOrder xmlns="dc463f71-b30c-4ab2-9473-d307f9d35888">false</Delegated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B7AC32A1FF6F4DBCBE9855DC8B4839" ma:contentTypeVersion="76" ma:contentTypeDescription="" ma:contentTypeScope="" ma:versionID="7b6537b6835d9317408388cfa7bace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73B2A-AE7A-4874-AB83-C0A74D79C4B1}">
  <ds:schemaRefs>
    <ds:schemaRef ds:uri="http://schemas.openxmlformats.org/officeDocument/2006/bibliography"/>
  </ds:schemaRefs>
</ds:datastoreItem>
</file>

<file path=customXml/itemProps2.xml><?xml version="1.0" encoding="utf-8"?>
<ds:datastoreItem xmlns:ds="http://schemas.openxmlformats.org/officeDocument/2006/customXml" ds:itemID="{24AC7A93-C0DF-49AB-8A9D-DC07A021256B}"/>
</file>

<file path=customXml/itemProps3.xml><?xml version="1.0" encoding="utf-8"?>
<ds:datastoreItem xmlns:ds="http://schemas.openxmlformats.org/officeDocument/2006/customXml" ds:itemID="{1C325225-564D-44B1-B9E6-FE481A43FD6A}"/>
</file>

<file path=customXml/itemProps4.xml><?xml version="1.0" encoding="utf-8"?>
<ds:datastoreItem xmlns:ds="http://schemas.openxmlformats.org/officeDocument/2006/customXml" ds:itemID="{EC1972CE-E886-4404-9AAE-621A780B8ECC}"/>
</file>

<file path=customXml/itemProps5.xml><?xml version="1.0" encoding="utf-8"?>
<ds:datastoreItem xmlns:ds="http://schemas.openxmlformats.org/officeDocument/2006/customXml" ds:itemID="{2024EFD5-0C1B-45E6-BCAE-3EED830DA1D7}"/>
</file>

<file path=docProps/app.xml><?xml version="1.0" encoding="utf-8"?>
<Properties xmlns="http://schemas.openxmlformats.org/officeDocument/2006/extended-properties" xmlns:vt="http://schemas.openxmlformats.org/officeDocument/2006/docPropsVTypes">
  <Template>Normal</Template>
  <TotalTime>349</TotalTime>
  <Pages>6</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Richard Finnigan</cp:lastModifiedBy>
  <cp:revision>36</cp:revision>
  <cp:lastPrinted>2018-11-19T17:52:00Z</cp:lastPrinted>
  <dcterms:created xsi:type="dcterms:W3CDTF">2018-10-31T17:26:00Z</dcterms:created>
  <dcterms:modified xsi:type="dcterms:W3CDTF">2018-11-19T17:53:00Z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0x0101006E56B4D1795A2E4DB2F0B01679ED314A0011B7AC32A1FF6F4DBCBE9855DC8B4839</vt:lpwstr>
  </property>
  <property fmtid="{D5CDD505-2E9C-101B-9397-08002B2CF9AE}" pid="3" name="_docset_NoMedatataSyncRequired">
    <vt:lpwstr>False</vt:lpwstr>
  </property>
  <property fmtid="{D5CDD505-2E9C-101B-9397-08002B2CF9AE}" pid="4" name="IsEFSEC">
    <vt:bool>false</vt:bool>
  </property>
</Properties>
</file>