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6044E" w14:textId="3E319974" w:rsidR="006E3B58" w:rsidRDefault="00154718" w:rsidP="00BE5610">
      <w:bookmarkStart w:id="0" w:name="_GoBack"/>
      <w:bookmarkEnd w:id="0"/>
      <w:r w:rsidRPr="00EB4CE3">
        <w:t xml:space="preserve">Agenda Date: </w:t>
      </w:r>
      <w:r w:rsidRPr="00EB4CE3">
        <w:tab/>
      </w:r>
      <w:r w:rsidRPr="00EB4CE3">
        <w:tab/>
      </w:r>
      <w:r w:rsidR="00F52FA8">
        <w:t xml:space="preserve">December </w:t>
      </w:r>
      <w:r w:rsidR="00643545">
        <w:t>1</w:t>
      </w:r>
      <w:r w:rsidR="00F52FA8">
        <w:t>4</w:t>
      </w:r>
      <w:r w:rsidR="0030657A">
        <w:t xml:space="preserve">, </w:t>
      </w:r>
      <w:r w:rsidR="00917277">
        <w:t>2017</w:t>
      </w:r>
    </w:p>
    <w:p w14:paraId="7276044F" w14:textId="7919FA70" w:rsidR="00154718" w:rsidRDefault="00154718" w:rsidP="00BE5610">
      <w:r w:rsidRPr="00EB4CE3">
        <w:t>Item Number:</w:t>
      </w:r>
      <w:r w:rsidRPr="00EB4CE3">
        <w:tab/>
      </w:r>
      <w:r w:rsidRPr="00EB4CE3">
        <w:tab/>
      </w:r>
      <w:r w:rsidR="005E4264" w:rsidRPr="0031064B">
        <w:t>A</w:t>
      </w:r>
      <w:r w:rsidR="00CA1CBC">
        <w:t>1</w:t>
      </w:r>
    </w:p>
    <w:p w14:paraId="72760450" w14:textId="77777777" w:rsidR="006E3B58" w:rsidRPr="00EB4CE3" w:rsidRDefault="006E3B58" w:rsidP="00BE5610"/>
    <w:p w14:paraId="72760451" w14:textId="428043F5" w:rsidR="00154718" w:rsidRPr="00E7198A" w:rsidRDefault="00154718" w:rsidP="00BE5610">
      <w:pPr>
        <w:rPr>
          <w:b/>
        </w:rPr>
      </w:pPr>
      <w:r w:rsidRPr="00E7198A">
        <w:rPr>
          <w:b/>
        </w:rPr>
        <w:t xml:space="preserve">Docket: </w:t>
      </w:r>
      <w:r w:rsidRPr="00E7198A">
        <w:rPr>
          <w:b/>
        </w:rPr>
        <w:tab/>
      </w:r>
      <w:r w:rsidRPr="00E7198A">
        <w:rPr>
          <w:b/>
        </w:rPr>
        <w:tab/>
        <w:t>UW-</w:t>
      </w:r>
      <w:r w:rsidR="00F52FA8">
        <w:rPr>
          <w:b/>
        </w:rPr>
        <w:t>171106</w:t>
      </w:r>
    </w:p>
    <w:p w14:paraId="72760452" w14:textId="3E560AF1" w:rsidR="00154718" w:rsidRPr="00EB4CE3" w:rsidRDefault="00A41C23" w:rsidP="00BE5610">
      <w:r w:rsidRPr="00EB4CE3">
        <w:t>Company Name:</w:t>
      </w:r>
      <w:r w:rsidRPr="00EB4CE3">
        <w:tab/>
      </w:r>
      <w:r w:rsidR="00022396">
        <w:t>Thunder Ridge Water Co.</w:t>
      </w:r>
      <w:r w:rsidR="00BE2965">
        <w:t>, Inc.</w:t>
      </w:r>
    </w:p>
    <w:p w14:paraId="72760453" w14:textId="77777777" w:rsidR="00154718" w:rsidRPr="00EB4CE3" w:rsidRDefault="00154718" w:rsidP="00BE5610"/>
    <w:p w14:paraId="72760454" w14:textId="4888D19D" w:rsidR="00917BBA" w:rsidRDefault="00065256" w:rsidP="00917BBA">
      <w:r>
        <w:t xml:space="preserve">Staff: </w:t>
      </w:r>
      <w:r>
        <w:tab/>
      </w:r>
      <w:r>
        <w:tab/>
      </w:r>
      <w:r>
        <w:tab/>
      </w:r>
      <w:r w:rsidR="00022396">
        <w:t>Greg Hammond</w:t>
      </w:r>
      <w:r w:rsidR="00917BBA" w:rsidRPr="00EB4CE3">
        <w:t>, Regulatory Analyst</w:t>
      </w:r>
    </w:p>
    <w:p w14:paraId="72760455" w14:textId="528A3FF1" w:rsidR="00065256" w:rsidRPr="00EB4CE3" w:rsidRDefault="00917BBA" w:rsidP="00065256">
      <w:r>
        <w:tab/>
      </w:r>
      <w:r>
        <w:tab/>
      </w:r>
      <w:r>
        <w:tab/>
      </w:r>
      <w:r w:rsidR="00165DBD" w:rsidRPr="00CC134E">
        <w:t>John Cupp</w:t>
      </w:r>
      <w:r w:rsidR="00626A8A" w:rsidRPr="00CC134E">
        <w:t>,</w:t>
      </w:r>
      <w:r w:rsidR="00626A8A" w:rsidRPr="005D4356">
        <w:t xml:space="preserve"> </w:t>
      </w:r>
      <w:r w:rsidR="00065256" w:rsidRPr="00EB4CE3">
        <w:t xml:space="preserve">Consumer Protection </w:t>
      </w:r>
    </w:p>
    <w:p w14:paraId="72760456" w14:textId="77777777" w:rsidR="00154718" w:rsidRDefault="00626A8A" w:rsidP="00BE5610">
      <w:r w:rsidRPr="005D4356">
        <w:tab/>
      </w:r>
      <w:r w:rsidRPr="005D4356">
        <w:tab/>
      </w:r>
      <w:r w:rsidRPr="005D4356">
        <w:tab/>
      </w:r>
    </w:p>
    <w:p w14:paraId="72760457" w14:textId="77777777" w:rsidR="00154718" w:rsidRDefault="00154718" w:rsidP="00B44955">
      <w:pPr>
        <w:rPr>
          <w:b/>
          <w:u w:val="single"/>
        </w:rPr>
      </w:pPr>
      <w:r w:rsidRPr="00B44955">
        <w:rPr>
          <w:b/>
          <w:u w:val="single"/>
        </w:rPr>
        <w:t>Recommendation</w:t>
      </w:r>
    </w:p>
    <w:p w14:paraId="4E9AC8D6" w14:textId="77777777" w:rsidR="00E81EB3" w:rsidRPr="00B44955" w:rsidRDefault="00E81EB3" w:rsidP="00B44955">
      <w:pPr>
        <w:rPr>
          <w:b/>
          <w:u w:val="single"/>
        </w:rPr>
      </w:pPr>
    </w:p>
    <w:p w14:paraId="72760458" w14:textId="56D9DFE0" w:rsidR="00BC18B9" w:rsidRPr="00917277" w:rsidRDefault="004B5565" w:rsidP="004B5565">
      <w:r w:rsidRPr="00B60E0C">
        <w:t xml:space="preserve">Take no action, thereby allowing the tariff </w:t>
      </w:r>
      <w:r w:rsidR="00CF2F3E">
        <w:t>pages</w:t>
      </w:r>
      <w:r w:rsidRPr="00B60E0C">
        <w:t xml:space="preserve"> filed by </w:t>
      </w:r>
      <w:r w:rsidR="00022396">
        <w:t>Thunder Ridge Water Co.</w:t>
      </w:r>
      <w:r>
        <w:t>, Inc</w:t>
      </w:r>
      <w:r w:rsidR="00BE2965">
        <w:t>. o</w:t>
      </w:r>
      <w:r w:rsidR="00022396">
        <w:t>n November 3</w:t>
      </w:r>
      <w:r w:rsidR="008A71DF">
        <w:t>, 2017</w:t>
      </w:r>
      <w:r w:rsidR="00642356">
        <w:t>,</w:t>
      </w:r>
      <w:r w:rsidR="008A71DF">
        <w:t xml:space="preserve"> and revised on </w:t>
      </w:r>
      <w:r w:rsidR="00022396" w:rsidRPr="00B121FA">
        <w:t>December</w:t>
      </w:r>
      <w:r w:rsidR="008A71DF" w:rsidRPr="00B121FA">
        <w:t xml:space="preserve"> </w:t>
      </w:r>
      <w:r w:rsidR="00B121FA" w:rsidRPr="00B121FA">
        <w:t>5</w:t>
      </w:r>
      <w:r w:rsidR="008A71DF" w:rsidRPr="00B121FA">
        <w:t>, 2017,</w:t>
      </w:r>
      <w:r w:rsidR="00F5301F" w:rsidRPr="00B121FA">
        <w:t xml:space="preserve"> to</w:t>
      </w:r>
      <w:r w:rsidR="00F5301F">
        <w:t xml:space="preserve"> become effective </w:t>
      </w:r>
      <w:r w:rsidR="00022396">
        <w:t>December 15</w:t>
      </w:r>
      <w:r w:rsidRPr="00B60E0C">
        <w:t>, 201</w:t>
      </w:r>
      <w:r>
        <w:t>7</w:t>
      </w:r>
      <w:r w:rsidRPr="00B60E0C">
        <w:t>, by operation of law.</w:t>
      </w:r>
      <w:r w:rsidR="00917277">
        <w:t xml:space="preserve"> </w:t>
      </w:r>
    </w:p>
    <w:p w14:paraId="72760459" w14:textId="77777777" w:rsidR="004D7E01" w:rsidRPr="000A643C" w:rsidRDefault="006E3B58" w:rsidP="00B44955">
      <w:pPr>
        <w:rPr>
          <w:sz w:val="22"/>
        </w:rPr>
      </w:pPr>
      <w:r w:rsidRPr="000A643C">
        <w:rPr>
          <w:sz w:val="22"/>
        </w:rPr>
        <w:t xml:space="preserve"> </w:t>
      </w:r>
    </w:p>
    <w:p w14:paraId="7276045A" w14:textId="77777777" w:rsidR="00154718" w:rsidRDefault="00154718" w:rsidP="00B44955">
      <w:pPr>
        <w:rPr>
          <w:b/>
          <w:u w:val="single"/>
        </w:rPr>
      </w:pPr>
      <w:r w:rsidRPr="00B44955">
        <w:rPr>
          <w:b/>
          <w:u w:val="single"/>
        </w:rPr>
        <w:t>Discussion</w:t>
      </w:r>
    </w:p>
    <w:p w14:paraId="2317A0B2" w14:textId="77777777" w:rsidR="00E81EB3" w:rsidRPr="00B44955" w:rsidRDefault="00E81EB3" w:rsidP="00B44955">
      <w:pPr>
        <w:rPr>
          <w:b/>
          <w:u w:val="single"/>
        </w:rPr>
      </w:pPr>
    </w:p>
    <w:p w14:paraId="0AF7C30D" w14:textId="499A0F6C" w:rsidR="00F5301F" w:rsidRDefault="00DD65A6" w:rsidP="00F5301F">
      <w:r w:rsidRPr="000A643C">
        <w:t xml:space="preserve">On </w:t>
      </w:r>
      <w:r w:rsidR="003603C8">
        <w:t>November 3</w:t>
      </w:r>
      <w:r w:rsidR="00910B20" w:rsidRPr="000A643C">
        <w:t xml:space="preserve">, </w:t>
      </w:r>
      <w:r w:rsidR="00917277" w:rsidRPr="000A643C">
        <w:t>201</w:t>
      </w:r>
      <w:r w:rsidR="00917BBA">
        <w:t>7</w:t>
      </w:r>
      <w:r w:rsidRPr="000A643C">
        <w:t xml:space="preserve">, </w:t>
      </w:r>
      <w:r w:rsidR="003603C8">
        <w:t xml:space="preserve">Thunder Ridge Water Co., Inc. </w:t>
      </w:r>
      <w:r>
        <w:t>(</w:t>
      </w:r>
      <w:r w:rsidR="003603C8">
        <w:t>Thunder Ridge</w:t>
      </w:r>
      <w:r>
        <w:t xml:space="preserve"> or company</w:t>
      </w:r>
      <w:r w:rsidR="00A201C0">
        <w:t>)</w:t>
      </w:r>
      <w:r w:rsidR="00D0403B">
        <w:t>,</w:t>
      </w:r>
      <w:r w:rsidR="00A201C0">
        <w:t xml:space="preserve"> </w:t>
      </w:r>
      <w:r w:rsidR="0068242A" w:rsidRPr="002E6A01">
        <w:t>filed with the Utilities and</w:t>
      </w:r>
      <w:r w:rsidR="0068242A">
        <w:t xml:space="preserve"> Transportation Commission (commissi</w:t>
      </w:r>
      <w:r w:rsidR="0068242A" w:rsidRPr="004B5565">
        <w:t xml:space="preserve">on) </w:t>
      </w:r>
      <w:r w:rsidR="00F5301F">
        <w:t xml:space="preserve">a tariff revision that would increase monthly water rates </w:t>
      </w:r>
      <w:r w:rsidR="008A71DF">
        <w:t>and revenues by approximately $</w:t>
      </w:r>
      <w:r w:rsidR="00C627C8">
        <w:t>37,5</w:t>
      </w:r>
      <w:r w:rsidR="003603C8" w:rsidRPr="003603C8">
        <w:t>00</w:t>
      </w:r>
      <w:r w:rsidR="009C06C8">
        <w:t xml:space="preserve"> </w:t>
      </w:r>
      <w:r w:rsidR="008A71DF" w:rsidRPr="00C627C8">
        <w:t>annually (</w:t>
      </w:r>
      <w:r w:rsidR="003603C8" w:rsidRPr="00C627C8">
        <w:t>77</w:t>
      </w:r>
      <w:r w:rsidR="000C4EB0" w:rsidRPr="00C627C8">
        <w:t>.2</w:t>
      </w:r>
      <w:r w:rsidR="00F5301F" w:rsidRPr="00C627C8">
        <w:t xml:space="preserve"> percent</w:t>
      </w:r>
      <w:r w:rsidR="00F5301F">
        <w:t xml:space="preserve">). </w:t>
      </w:r>
      <w:r w:rsidR="0061665D">
        <w:t xml:space="preserve">Staff and the company have agreed on a lower increase of </w:t>
      </w:r>
      <w:r w:rsidR="0061665D" w:rsidRPr="00986E7E">
        <w:t xml:space="preserve">approximately </w:t>
      </w:r>
      <w:r w:rsidR="00637352" w:rsidRPr="00986E7E">
        <w:t>$</w:t>
      </w:r>
      <w:r w:rsidR="003603C8" w:rsidRPr="00986E7E">
        <w:t>14</w:t>
      </w:r>
      <w:r w:rsidR="00986E7E" w:rsidRPr="00986E7E">
        <w:t>,500 (29.9</w:t>
      </w:r>
      <w:r w:rsidR="0061665D" w:rsidRPr="00986E7E">
        <w:t xml:space="preserve"> percent</w:t>
      </w:r>
      <w:r w:rsidR="0061665D">
        <w:t>)</w:t>
      </w:r>
      <w:r w:rsidR="00637352">
        <w:t xml:space="preserve"> </w:t>
      </w:r>
      <w:r w:rsidR="003603C8">
        <w:t xml:space="preserve">in </w:t>
      </w:r>
      <w:r w:rsidR="00637352">
        <w:t>annual revenue</w:t>
      </w:r>
      <w:r w:rsidR="00F5301F">
        <w:t xml:space="preserve">. The company serves </w:t>
      </w:r>
      <w:r w:rsidR="003603C8">
        <w:t xml:space="preserve">132 </w:t>
      </w:r>
      <w:r w:rsidR="00F5301F" w:rsidRPr="007A37C2">
        <w:t xml:space="preserve">customers </w:t>
      </w:r>
      <w:r w:rsidR="000B46AF">
        <w:t xml:space="preserve">on Camano Island, </w:t>
      </w:r>
      <w:r w:rsidR="00013E50">
        <w:t xml:space="preserve">in </w:t>
      </w:r>
      <w:r w:rsidR="003603C8">
        <w:t>Island County</w:t>
      </w:r>
      <w:r w:rsidR="00F5301F">
        <w:t>. The</w:t>
      </w:r>
      <w:r w:rsidR="003603C8">
        <w:t xml:space="preserve"> proposed effective date is December</w:t>
      </w:r>
      <w:r w:rsidR="00F5301F">
        <w:t xml:space="preserve"> 1</w:t>
      </w:r>
      <w:r w:rsidR="003603C8">
        <w:t>5</w:t>
      </w:r>
      <w:r w:rsidR="00F5301F">
        <w:t>, 2017. The company</w:t>
      </w:r>
      <w:r w:rsidR="00CC134E">
        <w:t xml:space="preserve"> has</w:t>
      </w:r>
      <w:r w:rsidR="008F67FC">
        <w:t xml:space="preserve"> </w:t>
      </w:r>
      <w:r w:rsidR="00CC134E">
        <w:t>not</w:t>
      </w:r>
      <w:r w:rsidR="008F67FC">
        <w:t xml:space="preserve"> </w:t>
      </w:r>
      <w:r w:rsidR="00CC134E">
        <w:t>increased its rates since it</w:t>
      </w:r>
      <w:r w:rsidR="00A20BF6">
        <w:t>s initial tariff was filed with the commission in 2007</w:t>
      </w:r>
      <w:r w:rsidR="00CC134E">
        <w:t>.</w:t>
      </w:r>
    </w:p>
    <w:p w14:paraId="7276045C" w14:textId="77777777" w:rsidR="0038287D" w:rsidRDefault="0038287D" w:rsidP="00B44955">
      <w:pPr>
        <w:rPr>
          <w:rFonts w:eastAsia="Times New Roman"/>
          <w:lang w:bidi="ar-SA"/>
        </w:rPr>
      </w:pPr>
    </w:p>
    <w:p w14:paraId="612D10D2" w14:textId="6D1DEE62" w:rsidR="00FC2AA6" w:rsidRDefault="00CC134E" w:rsidP="00DD2D5D">
      <w:pPr>
        <w:rPr>
          <w:rFonts w:eastAsia="Times New Roman"/>
          <w:lang w:bidi="ar-SA"/>
        </w:rPr>
      </w:pPr>
      <w:r>
        <w:rPr>
          <w:rFonts w:eastAsia="Times New Roman"/>
          <w:lang w:bidi="ar-SA"/>
        </w:rPr>
        <w:t>This rate increase is</w:t>
      </w:r>
      <w:r w:rsidR="003405F0">
        <w:rPr>
          <w:rFonts w:eastAsia="Times New Roman"/>
          <w:lang w:bidi="ar-SA"/>
        </w:rPr>
        <w:t xml:space="preserve"> mainly</w:t>
      </w:r>
      <w:r>
        <w:rPr>
          <w:rFonts w:eastAsia="Times New Roman"/>
          <w:lang w:bidi="ar-SA"/>
        </w:rPr>
        <w:t xml:space="preserve"> prompted by investment in meter</w:t>
      </w:r>
      <w:r w:rsidR="003405F0">
        <w:rPr>
          <w:rFonts w:eastAsia="Times New Roman"/>
          <w:lang w:bidi="ar-SA"/>
        </w:rPr>
        <w:t>ing</w:t>
      </w:r>
      <w:r w:rsidR="00C05E8C">
        <w:rPr>
          <w:rFonts w:eastAsia="Times New Roman"/>
          <w:lang w:bidi="ar-SA"/>
        </w:rPr>
        <w:t xml:space="preserve"> infrastructure</w:t>
      </w:r>
      <w:r>
        <w:rPr>
          <w:rFonts w:eastAsia="Times New Roman"/>
          <w:lang w:bidi="ar-SA"/>
        </w:rPr>
        <w:t xml:space="preserve"> and the</w:t>
      </w:r>
      <w:r w:rsidR="00C05E8C">
        <w:rPr>
          <w:rFonts w:eastAsia="Times New Roman"/>
          <w:lang w:bidi="ar-SA"/>
        </w:rPr>
        <w:t xml:space="preserve"> </w:t>
      </w:r>
      <w:r w:rsidR="001F453C">
        <w:rPr>
          <w:rFonts w:eastAsia="Times New Roman"/>
          <w:lang w:bidi="ar-SA"/>
        </w:rPr>
        <w:t>additional costs</w:t>
      </w:r>
      <w:r w:rsidR="00C05E8C">
        <w:rPr>
          <w:rFonts w:eastAsia="Times New Roman"/>
          <w:lang w:bidi="ar-SA"/>
        </w:rPr>
        <w:t xml:space="preserve"> associated with</w:t>
      </w:r>
      <w:r>
        <w:rPr>
          <w:rFonts w:eastAsia="Times New Roman"/>
          <w:lang w:bidi="ar-SA"/>
        </w:rPr>
        <w:t xml:space="preserve"> meter reading, which is now required by the Washington State Department of Health. Additionally, the company has seen growth in its operating expenses, including electricity, testing, and maintenance expenses.</w:t>
      </w:r>
    </w:p>
    <w:p w14:paraId="6F178AA6" w14:textId="77777777" w:rsidR="00CC134E" w:rsidRDefault="00CC134E" w:rsidP="00DD2D5D">
      <w:pPr>
        <w:rPr>
          <w:rFonts w:eastAsia="Times New Roman"/>
          <w:highlight w:val="yellow"/>
          <w:lang w:bidi="ar-SA"/>
        </w:rPr>
      </w:pPr>
    </w:p>
    <w:p w14:paraId="752EFCCF" w14:textId="46469A1E" w:rsidR="00CC134E" w:rsidRDefault="003405F0" w:rsidP="00DD2D5D">
      <w:pPr>
        <w:rPr>
          <w:rFonts w:eastAsia="Times New Roman"/>
          <w:lang w:bidi="ar-SA"/>
        </w:rPr>
      </w:pPr>
      <w:r w:rsidRPr="003405F0">
        <w:rPr>
          <w:rFonts w:eastAsia="Times New Roman"/>
          <w:lang w:bidi="ar-SA"/>
        </w:rPr>
        <w:t xml:space="preserve">Under the company’s </w:t>
      </w:r>
      <w:r>
        <w:rPr>
          <w:rFonts w:eastAsia="Times New Roman"/>
          <w:lang w:bidi="ar-SA"/>
        </w:rPr>
        <w:t xml:space="preserve">current rate structure, the usage allowance and usage block rates were set extremely high, with the usage allowance </w:t>
      </w:r>
      <w:r w:rsidR="00672B18">
        <w:rPr>
          <w:rFonts w:eastAsia="Times New Roman"/>
          <w:lang w:bidi="ar-SA"/>
        </w:rPr>
        <w:t xml:space="preserve">(10,000 gallons) </w:t>
      </w:r>
      <w:r>
        <w:rPr>
          <w:rFonts w:eastAsia="Times New Roman"/>
          <w:lang w:bidi="ar-SA"/>
        </w:rPr>
        <w:t>being almost double the average customer’s monthly usage</w:t>
      </w:r>
      <w:r w:rsidR="00672B18">
        <w:rPr>
          <w:rFonts w:eastAsia="Times New Roman"/>
          <w:lang w:bidi="ar-SA"/>
        </w:rPr>
        <w:t xml:space="preserve"> (5,394 gallons)</w:t>
      </w:r>
      <w:r>
        <w:rPr>
          <w:rFonts w:eastAsia="Times New Roman"/>
          <w:lang w:bidi="ar-SA"/>
        </w:rPr>
        <w:t>. This meant the vast majority of customers paid only the base rate in the past. The revised rates bring the usage blocks down to be more in line with the actual usage data reported by the company. This will help to encourage conservation and will spread the costs more appropriately to the higher users.</w:t>
      </w:r>
    </w:p>
    <w:p w14:paraId="2E28F7CB" w14:textId="77777777" w:rsidR="003405F0" w:rsidRDefault="003405F0" w:rsidP="00DD2D5D">
      <w:pPr>
        <w:rPr>
          <w:rFonts w:eastAsia="Times New Roman"/>
          <w:lang w:bidi="ar-SA"/>
        </w:rPr>
      </w:pPr>
    </w:p>
    <w:p w14:paraId="74B6FC3D" w14:textId="210D3D82" w:rsidR="003405F0" w:rsidRPr="003405F0" w:rsidRDefault="00C05E8C" w:rsidP="00DD2D5D">
      <w:pPr>
        <w:rPr>
          <w:rFonts w:eastAsia="Times New Roman"/>
          <w:lang w:bidi="ar-SA"/>
        </w:rPr>
      </w:pPr>
      <w:r>
        <w:rPr>
          <w:rFonts w:eastAsia="Times New Roman"/>
          <w:lang w:bidi="ar-SA"/>
        </w:rPr>
        <w:t xml:space="preserve">The difference in </w:t>
      </w:r>
      <w:r w:rsidR="003405F0">
        <w:rPr>
          <w:rFonts w:eastAsia="Times New Roman"/>
          <w:lang w:bidi="ar-SA"/>
        </w:rPr>
        <w:t>revenue requirement</w:t>
      </w:r>
      <w:r>
        <w:rPr>
          <w:rFonts w:eastAsia="Times New Roman"/>
          <w:lang w:bidi="ar-SA"/>
        </w:rPr>
        <w:t>s</w:t>
      </w:r>
      <w:r w:rsidR="003405F0">
        <w:rPr>
          <w:rFonts w:eastAsia="Times New Roman"/>
          <w:lang w:bidi="ar-SA"/>
        </w:rPr>
        <w:t xml:space="preserve"> from the initial</w:t>
      </w:r>
      <w:r w:rsidR="0031064B">
        <w:rPr>
          <w:rFonts w:eastAsia="Times New Roman"/>
          <w:lang w:bidi="ar-SA"/>
        </w:rPr>
        <w:t>ly</w:t>
      </w:r>
      <w:r w:rsidR="003405F0">
        <w:rPr>
          <w:rFonts w:eastAsia="Times New Roman"/>
          <w:lang w:bidi="ar-SA"/>
        </w:rPr>
        <w:t xml:space="preserve"> proposed to the revised rates is primarily due to the recognition of Contributions in Aid of </w:t>
      </w:r>
      <w:r w:rsidR="001F453C">
        <w:rPr>
          <w:rFonts w:eastAsia="Times New Roman"/>
          <w:lang w:bidi="ar-SA"/>
        </w:rPr>
        <w:t>Construction</w:t>
      </w:r>
      <w:r w:rsidR="003405F0">
        <w:rPr>
          <w:rFonts w:eastAsia="Times New Roman"/>
          <w:lang w:bidi="ar-SA"/>
        </w:rPr>
        <w:t xml:space="preserve"> (CIAC)</w:t>
      </w:r>
      <w:r w:rsidR="00906387">
        <w:rPr>
          <w:rFonts w:eastAsia="Times New Roman"/>
          <w:lang w:bidi="ar-SA"/>
        </w:rPr>
        <w:t xml:space="preserve">, in the form of facilities charges received from customers. This CIAC offsets the </w:t>
      </w:r>
      <w:r w:rsidR="001F0AE7">
        <w:rPr>
          <w:rFonts w:eastAsia="Times New Roman"/>
          <w:lang w:bidi="ar-SA"/>
        </w:rPr>
        <w:t>c</w:t>
      </w:r>
      <w:r w:rsidR="00906387">
        <w:rPr>
          <w:rFonts w:eastAsia="Times New Roman"/>
          <w:lang w:bidi="ar-SA"/>
        </w:rPr>
        <w:t>ompany’s rate base, resulting in a lower revenue requirem</w:t>
      </w:r>
      <w:r>
        <w:rPr>
          <w:rFonts w:eastAsia="Times New Roman"/>
          <w:lang w:bidi="ar-SA"/>
        </w:rPr>
        <w:t>ent than what was initially</w:t>
      </w:r>
      <w:r w:rsidR="00672B18">
        <w:rPr>
          <w:rFonts w:eastAsia="Times New Roman"/>
          <w:lang w:bidi="ar-SA"/>
        </w:rPr>
        <w:t xml:space="preserve"> requested</w:t>
      </w:r>
      <w:r w:rsidR="00906387">
        <w:rPr>
          <w:rFonts w:eastAsia="Times New Roman"/>
          <w:lang w:bidi="ar-SA"/>
        </w:rPr>
        <w:t>.</w:t>
      </w:r>
      <w:r w:rsidR="003405F0">
        <w:rPr>
          <w:rFonts w:eastAsia="Times New Roman"/>
          <w:lang w:bidi="ar-SA"/>
        </w:rPr>
        <w:t xml:space="preserve"> </w:t>
      </w:r>
    </w:p>
    <w:p w14:paraId="1EAD4762" w14:textId="77777777" w:rsidR="0061665D" w:rsidRDefault="0061665D" w:rsidP="00DD2D5D"/>
    <w:p w14:paraId="07B7CBBE" w14:textId="2DF744EB" w:rsidR="00CD6BB4" w:rsidRDefault="003D2B9A" w:rsidP="00DD2D5D">
      <w:r>
        <w:t>A comparison of the current</w:t>
      </w:r>
      <w:r w:rsidR="0061665D">
        <w:t>,</w:t>
      </w:r>
      <w:r>
        <w:t xml:space="preserve"> company proposed</w:t>
      </w:r>
      <w:r w:rsidR="0061665D">
        <w:t>,</w:t>
      </w:r>
      <w:r>
        <w:t xml:space="preserve"> and staff </w:t>
      </w:r>
      <w:r w:rsidR="00164EAD">
        <w:t>revised</w:t>
      </w:r>
      <w:r>
        <w:t xml:space="preserve"> </w:t>
      </w:r>
      <w:r w:rsidR="005B2899">
        <w:t xml:space="preserve">rates, as well as </w:t>
      </w:r>
      <w:r w:rsidR="0059620F">
        <w:t xml:space="preserve">a customer bill comparison are </w:t>
      </w:r>
      <w:r w:rsidR="001F453C">
        <w:t xml:space="preserve">shown </w:t>
      </w:r>
      <w:r w:rsidR="0059620F">
        <w:t>below</w:t>
      </w:r>
      <w:r>
        <w:t>.</w:t>
      </w:r>
    </w:p>
    <w:p w14:paraId="5D56B435" w14:textId="77777777" w:rsidR="00C05E8C" w:rsidRDefault="00C05E8C" w:rsidP="00DD2D5D"/>
    <w:p w14:paraId="624C2E7E" w14:textId="77777777" w:rsidR="00C05E8C" w:rsidRDefault="00C05E8C" w:rsidP="00DD2D5D"/>
    <w:p w14:paraId="1FA07E6D" w14:textId="77777777" w:rsidR="00C05E8C" w:rsidRDefault="00C05E8C" w:rsidP="00DD2D5D"/>
    <w:p w14:paraId="72760461" w14:textId="77777777" w:rsidR="00065256" w:rsidRPr="000A643C" w:rsidRDefault="00065256" w:rsidP="00B44955"/>
    <w:p w14:paraId="72760462" w14:textId="7A1F3808" w:rsidR="00581FE0" w:rsidRDefault="00E70D53" w:rsidP="0031064B">
      <w:pPr>
        <w:ind w:left="720" w:hanging="720"/>
        <w:jc w:val="center"/>
        <w:rPr>
          <w:b/>
          <w:u w:val="single"/>
        </w:rPr>
      </w:pPr>
      <w:r w:rsidRPr="00B44955">
        <w:rPr>
          <w:b/>
          <w:u w:val="single"/>
        </w:rPr>
        <w:lastRenderedPageBreak/>
        <w:t>Rate Co</w:t>
      </w:r>
      <w:r w:rsidR="006268C8">
        <w:rPr>
          <w:b/>
          <w:u w:val="single"/>
        </w:rPr>
        <w:t>mparison</w:t>
      </w:r>
    </w:p>
    <w:p w14:paraId="72760464" w14:textId="77777777" w:rsidR="00CA3026" w:rsidRDefault="00CA3026" w:rsidP="00B44955"/>
    <w:p w14:paraId="2B4B95F3" w14:textId="77777777" w:rsidR="00C91AB9" w:rsidRDefault="00C91AB9" w:rsidP="00B44955">
      <w:pPr>
        <w:rPr>
          <w:rFonts w:eastAsia="Times New Roman"/>
          <w:sz w:val="20"/>
          <w:szCs w:val="20"/>
          <w:lang w:bidi="ar-SA"/>
        </w:rPr>
      </w:pPr>
    </w:p>
    <w:tbl>
      <w:tblPr>
        <w:tblW w:w="8620" w:type="dxa"/>
        <w:tblLook w:val="04A0" w:firstRow="1" w:lastRow="0" w:firstColumn="1" w:lastColumn="0" w:noHBand="0" w:noVBand="1"/>
      </w:tblPr>
      <w:tblGrid>
        <w:gridCol w:w="960"/>
        <w:gridCol w:w="1200"/>
        <w:gridCol w:w="2380"/>
        <w:gridCol w:w="2020"/>
        <w:gridCol w:w="2060"/>
      </w:tblGrid>
      <w:tr w:rsidR="00C94165" w:rsidRPr="00C94165" w14:paraId="1E2400E2" w14:textId="77777777" w:rsidTr="00C94165">
        <w:trPr>
          <w:trHeight w:val="315"/>
        </w:trPr>
        <w:tc>
          <w:tcPr>
            <w:tcW w:w="960" w:type="dxa"/>
            <w:tcBorders>
              <w:top w:val="nil"/>
              <w:left w:val="nil"/>
              <w:bottom w:val="nil"/>
              <w:right w:val="nil"/>
            </w:tcBorders>
            <w:shd w:val="clear" w:color="auto" w:fill="auto"/>
            <w:noWrap/>
            <w:vAlign w:val="bottom"/>
            <w:hideMark/>
          </w:tcPr>
          <w:p w14:paraId="4769406E" w14:textId="77777777" w:rsidR="00C94165" w:rsidRPr="00C94165" w:rsidRDefault="00C94165" w:rsidP="00C94165">
            <w:pPr>
              <w:rPr>
                <w:rFonts w:eastAsia="Times New Roman"/>
                <w:sz w:val="20"/>
                <w:szCs w:val="20"/>
                <w:lang w:bidi="ar-SA"/>
              </w:rPr>
            </w:pPr>
          </w:p>
        </w:tc>
        <w:tc>
          <w:tcPr>
            <w:tcW w:w="1200" w:type="dxa"/>
            <w:tcBorders>
              <w:top w:val="nil"/>
              <w:left w:val="nil"/>
              <w:bottom w:val="nil"/>
              <w:right w:val="nil"/>
            </w:tcBorders>
            <w:shd w:val="clear" w:color="auto" w:fill="auto"/>
            <w:noWrap/>
            <w:vAlign w:val="bottom"/>
            <w:hideMark/>
          </w:tcPr>
          <w:p w14:paraId="2BD98551" w14:textId="77777777" w:rsidR="00C94165" w:rsidRPr="00C94165" w:rsidRDefault="00C94165" w:rsidP="00C94165">
            <w:pPr>
              <w:rPr>
                <w:rFonts w:eastAsia="Times New Roman"/>
                <w:sz w:val="20"/>
                <w:szCs w:val="20"/>
                <w:lang w:bidi="ar-SA"/>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4798"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Current Rates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7B383E2"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Proposed Rates</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6CD763FE"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Revised Rates</w:t>
            </w:r>
          </w:p>
        </w:tc>
      </w:tr>
      <w:tr w:rsidR="00C94165" w:rsidRPr="00C94165" w14:paraId="6C9A508D" w14:textId="77777777" w:rsidTr="00C94165">
        <w:trPr>
          <w:trHeight w:val="315"/>
        </w:trPr>
        <w:tc>
          <w:tcPr>
            <w:tcW w:w="216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642B072"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Usage Allowance</w:t>
            </w:r>
          </w:p>
        </w:tc>
        <w:tc>
          <w:tcPr>
            <w:tcW w:w="2380" w:type="dxa"/>
            <w:tcBorders>
              <w:top w:val="nil"/>
              <w:left w:val="nil"/>
              <w:bottom w:val="single" w:sz="4" w:space="0" w:color="auto"/>
              <w:right w:val="single" w:sz="4" w:space="0" w:color="auto"/>
            </w:tcBorders>
            <w:shd w:val="clear" w:color="auto" w:fill="auto"/>
            <w:noWrap/>
            <w:vAlign w:val="center"/>
            <w:hideMark/>
          </w:tcPr>
          <w:p w14:paraId="2777F728"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10,000 gal.</w:t>
            </w:r>
          </w:p>
        </w:tc>
        <w:tc>
          <w:tcPr>
            <w:tcW w:w="2020" w:type="dxa"/>
            <w:tcBorders>
              <w:top w:val="nil"/>
              <w:left w:val="nil"/>
              <w:bottom w:val="single" w:sz="4" w:space="0" w:color="auto"/>
              <w:right w:val="single" w:sz="4" w:space="0" w:color="auto"/>
            </w:tcBorders>
            <w:shd w:val="clear" w:color="auto" w:fill="auto"/>
            <w:noWrap/>
            <w:vAlign w:val="center"/>
            <w:hideMark/>
          </w:tcPr>
          <w:p w14:paraId="40518908"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0 gal.</w:t>
            </w:r>
          </w:p>
        </w:tc>
        <w:tc>
          <w:tcPr>
            <w:tcW w:w="2060" w:type="dxa"/>
            <w:tcBorders>
              <w:top w:val="nil"/>
              <w:left w:val="nil"/>
              <w:bottom w:val="single" w:sz="4" w:space="0" w:color="auto"/>
              <w:right w:val="single" w:sz="4" w:space="0" w:color="auto"/>
            </w:tcBorders>
            <w:shd w:val="clear" w:color="auto" w:fill="auto"/>
            <w:noWrap/>
            <w:vAlign w:val="center"/>
            <w:hideMark/>
          </w:tcPr>
          <w:p w14:paraId="1302C709"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0 gal.</w:t>
            </w:r>
          </w:p>
        </w:tc>
      </w:tr>
      <w:tr w:rsidR="00C94165" w:rsidRPr="00C94165" w14:paraId="3207681C" w14:textId="77777777" w:rsidTr="00C94165">
        <w:trPr>
          <w:trHeight w:val="315"/>
        </w:trPr>
        <w:tc>
          <w:tcPr>
            <w:tcW w:w="216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7111879"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Base Rate</w:t>
            </w:r>
          </w:p>
        </w:tc>
        <w:tc>
          <w:tcPr>
            <w:tcW w:w="2380" w:type="dxa"/>
            <w:tcBorders>
              <w:top w:val="nil"/>
              <w:left w:val="nil"/>
              <w:bottom w:val="single" w:sz="4" w:space="0" w:color="auto"/>
              <w:right w:val="single" w:sz="4" w:space="0" w:color="auto"/>
            </w:tcBorders>
            <w:shd w:val="clear" w:color="auto" w:fill="auto"/>
            <w:noWrap/>
            <w:vAlign w:val="center"/>
            <w:hideMark/>
          </w:tcPr>
          <w:p w14:paraId="65E4BF7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$30.00 </w:t>
            </w:r>
          </w:p>
        </w:tc>
        <w:tc>
          <w:tcPr>
            <w:tcW w:w="2020" w:type="dxa"/>
            <w:tcBorders>
              <w:top w:val="nil"/>
              <w:left w:val="nil"/>
              <w:bottom w:val="single" w:sz="4" w:space="0" w:color="auto"/>
              <w:right w:val="single" w:sz="4" w:space="0" w:color="auto"/>
            </w:tcBorders>
            <w:shd w:val="clear" w:color="auto" w:fill="auto"/>
            <w:noWrap/>
            <w:vAlign w:val="center"/>
            <w:hideMark/>
          </w:tcPr>
          <w:p w14:paraId="1392D6AF"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$35.00 </w:t>
            </w:r>
          </w:p>
        </w:tc>
        <w:tc>
          <w:tcPr>
            <w:tcW w:w="2060" w:type="dxa"/>
            <w:tcBorders>
              <w:top w:val="nil"/>
              <w:left w:val="nil"/>
              <w:bottom w:val="single" w:sz="4" w:space="0" w:color="auto"/>
              <w:right w:val="single" w:sz="4" w:space="0" w:color="auto"/>
            </w:tcBorders>
            <w:shd w:val="clear" w:color="auto" w:fill="auto"/>
            <w:noWrap/>
            <w:vAlign w:val="center"/>
            <w:hideMark/>
          </w:tcPr>
          <w:p w14:paraId="0342BADD"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$32.00 </w:t>
            </w:r>
          </w:p>
        </w:tc>
      </w:tr>
      <w:tr w:rsidR="00C94165" w:rsidRPr="00C94165" w14:paraId="1D7F0588" w14:textId="77777777" w:rsidTr="00C94165">
        <w:trPr>
          <w:trHeight w:val="315"/>
        </w:trPr>
        <w:tc>
          <w:tcPr>
            <w:tcW w:w="9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131BA03"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Block 1</w:t>
            </w:r>
          </w:p>
        </w:tc>
        <w:tc>
          <w:tcPr>
            <w:tcW w:w="1200" w:type="dxa"/>
            <w:tcBorders>
              <w:top w:val="nil"/>
              <w:left w:val="nil"/>
              <w:bottom w:val="single" w:sz="4" w:space="0" w:color="auto"/>
              <w:right w:val="single" w:sz="4" w:space="0" w:color="auto"/>
            </w:tcBorders>
            <w:shd w:val="clear" w:color="000000" w:fill="F2F2F2"/>
            <w:noWrap/>
            <w:vAlign w:val="bottom"/>
            <w:hideMark/>
          </w:tcPr>
          <w:p w14:paraId="4BB9ECA4"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Usage</w:t>
            </w:r>
          </w:p>
        </w:tc>
        <w:tc>
          <w:tcPr>
            <w:tcW w:w="2380" w:type="dxa"/>
            <w:tcBorders>
              <w:top w:val="nil"/>
              <w:left w:val="nil"/>
              <w:bottom w:val="single" w:sz="4" w:space="0" w:color="auto"/>
              <w:right w:val="single" w:sz="4" w:space="0" w:color="auto"/>
            </w:tcBorders>
            <w:shd w:val="clear" w:color="auto" w:fill="auto"/>
            <w:noWrap/>
            <w:vAlign w:val="center"/>
            <w:hideMark/>
          </w:tcPr>
          <w:p w14:paraId="36B82A78"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10,001 - 15,000 gal.</w:t>
            </w:r>
          </w:p>
        </w:tc>
        <w:tc>
          <w:tcPr>
            <w:tcW w:w="2020" w:type="dxa"/>
            <w:tcBorders>
              <w:top w:val="nil"/>
              <w:left w:val="nil"/>
              <w:bottom w:val="single" w:sz="4" w:space="0" w:color="auto"/>
              <w:right w:val="single" w:sz="4" w:space="0" w:color="auto"/>
            </w:tcBorders>
            <w:shd w:val="clear" w:color="auto" w:fill="auto"/>
            <w:noWrap/>
            <w:vAlign w:val="center"/>
            <w:hideMark/>
          </w:tcPr>
          <w:p w14:paraId="5241FDBB"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0 - 3,800 gal.</w:t>
            </w:r>
          </w:p>
        </w:tc>
        <w:tc>
          <w:tcPr>
            <w:tcW w:w="2060" w:type="dxa"/>
            <w:tcBorders>
              <w:top w:val="nil"/>
              <w:left w:val="nil"/>
              <w:bottom w:val="single" w:sz="4" w:space="0" w:color="auto"/>
              <w:right w:val="single" w:sz="4" w:space="0" w:color="auto"/>
            </w:tcBorders>
            <w:shd w:val="clear" w:color="auto" w:fill="auto"/>
            <w:noWrap/>
            <w:vAlign w:val="center"/>
            <w:hideMark/>
          </w:tcPr>
          <w:p w14:paraId="48AFDB5B"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0 - 3,800 gal.</w:t>
            </w:r>
          </w:p>
        </w:tc>
      </w:tr>
      <w:tr w:rsidR="00C94165" w:rsidRPr="00C94165" w14:paraId="5F804493" w14:textId="77777777" w:rsidTr="00C94165">
        <w:trPr>
          <w:trHeight w:val="630"/>
        </w:trPr>
        <w:tc>
          <w:tcPr>
            <w:tcW w:w="960" w:type="dxa"/>
            <w:vMerge/>
            <w:tcBorders>
              <w:top w:val="nil"/>
              <w:left w:val="single" w:sz="4" w:space="0" w:color="auto"/>
              <w:bottom w:val="single" w:sz="4" w:space="0" w:color="auto"/>
              <w:right w:val="single" w:sz="4" w:space="0" w:color="auto"/>
            </w:tcBorders>
            <w:vAlign w:val="center"/>
            <w:hideMark/>
          </w:tcPr>
          <w:p w14:paraId="2D03F339" w14:textId="77777777" w:rsidR="00C94165" w:rsidRPr="00C94165" w:rsidRDefault="00C94165" w:rsidP="00C94165">
            <w:pPr>
              <w:rPr>
                <w:rFonts w:eastAsia="Times New Roman"/>
                <w:b/>
                <w:bCs/>
                <w:color w:val="000000"/>
                <w:lang w:bidi="ar-SA"/>
              </w:rPr>
            </w:pPr>
          </w:p>
        </w:tc>
        <w:tc>
          <w:tcPr>
            <w:tcW w:w="1200" w:type="dxa"/>
            <w:tcBorders>
              <w:top w:val="nil"/>
              <w:left w:val="nil"/>
              <w:bottom w:val="single" w:sz="4" w:space="0" w:color="auto"/>
              <w:right w:val="single" w:sz="4" w:space="0" w:color="auto"/>
            </w:tcBorders>
            <w:shd w:val="clear" w:color="000000" w:fill="F2F2F2"/>
            <w:vAlign w:val="bottom"/>
            <w:hideMark/>
          </w:tcPr>
          <w:p w14:paraId="0B9689C2"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Rate Per 1,000 gal.</w:t>
            </w:r>
          </w:p>
        </w:tc>
        <w:tc>
          <w:tcPr>
            <w:tcW w:w="2380" w:type="dxa"/>
            <w:tcBorders>
              <w:top w:val="nil"/>
              <w:left w:val="nil"/>
              <w:bottom w:val="single" w:sz="4" w:space="0" w:color="auto"/>
              <w:right w:val="single" w:sz="4" w:space="0" w:color="auto"/>
            </w:tcBorders>
            <w:shd w:val="clear" w:color="auto" w:fill="auto"/>
            <w:noWrap/>
            <w:vAlign w:val="center"/>
            <w:hideMark/>
          </w:tcPr>
          <w:p w14:paraId="292F85D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$2.80 </w:t>
            </w:r>
          </w:p>
        </w:tc>
        <w:tc>
          <w:tcPr>
            <w:tcW w:w="2020" w:type="dxa"/>
            <w:tcBorders>
              <w:top w:val="nil"/>
              <w:left w:val="nil"/>
              <w:bottom w:val="single" w:sz="4" w:space="0" w:color="auto"/>
              <w:right w:val="single" w:sz="4" w:space="0" w:color="auto"/>
            </w:tcBorders>
            <w:shd w:val="clear" w:color="auto" w:fill="auto"/>
            <w:noWrap/>
            <w:vAlign w:val="center"/>
            <w:hideMark/>
          </w:tcPr>
          <w:p w14:paraId="1F2F0D1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$3.80 </w:t>
            </w:r>
          </w:p>
        </w:tc>
        <w:tc>
          <w:tcPr>
            <w:tcW w:w="2060" w:type="dxa"/>
            <w:tcBorders>
              <w:top w:val="nil"/>
              <w:left w:val="nil"/>
              <w:bottom w:val="single" w:sz="4" w:space="0" w:color="auto"/>
              <w:right w:val="single" w:sz="4" w:space="0" w:color="auto"/>
            </w:tcBorders>
            <w:shd w:val="clear" w:color="auto" w:fill="auto"/>
            <w:noWrap/>
            <w:vAlign w:val="center"/>
            <w:hideMark/>
          </w:tcPr>
          <w:p w14:paraId="6B16A9E2"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$1.00 </w:t>
            </w:r>
          </w:p>
        </w:tc>
      </w:tr>
      <w:tr w:rsidR="00C94165" w:rsidRPr="00C94165" w14:paraId="01EFBD7E" w14:textId="77777777" w:rsidTr="00C94165">
        <w:trPr>
          <w:trHeight w:val="315"/>
        </w:trPr>
        <w:tc>
          <w:tcPr>
            <w:tcW w:w="9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6D3B6CF"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Block 2</w:t>
            </w:r>
          </w:p>
        </w:tc>
        <w:tc>
          <w:tcPr>
            <w:tcW w:w="1200" w:type="dxa"/>
            <w:tcBorders>
              <w:top w:val="nil"/>
              <w:left w:val="nil"/>
              <w:bottom w:val="single" w:sz="4" w:space="0" w:color="auto"/>
              <w:right w:val="single" w:sz="4" w:space="0" w:color="auto"/>
            </w:tcBorders>
            <w:shd w:val="clear" w:color="000000" w:fill="F2F2F2"/>
            <w:noWrap/>
            <w:vAlign w:val="bottom"/>
            <w:hideMark/>
          </w:tcPr>
          <w:p w14:paraId="13190343"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Usage</w:t>
            </w:r>
          </w:p>
        </w:tc>
        <w:tc>
          <w:tcPr>
            <w:tcW w:w="2380" w:type="dxa"/>
            <w:tcBorders>
              <w:top w:val="nil"/>
              <w:left w:val="nil"/>
              <w:bottom w:val="single" w:sz="4" w:space="0" w:color="auto"/>
              <w:right w:val="single" w:sz="4" w:space="0" w:color="auto"/>
            </w:tcBorders>
            <w:shd w:val="clear" w:color="auto" w:fill="auto"/>
            <w:noWrap/>
            <w:vAlign w:val="center"/>
            <w:hideMark/>
          </w:tcPr>
          <w:p w14:paraId="419ECF92"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15,001 - 22,500 gal.</w:t>
            </w:r>
          </w:p>
        </w:tc>
        <w:tc>
          <w:tcPr>
            <w:tcW w:w="2020" w:type="dxa"/>
            <w:tcBorders>
              <w:top w:val="nil"/>
              <w:left w:val="nil"/>
              <w:bottom w:val="single" w:sz="4" w:space="0" w:color="auto"/>
              <w:right w:val="single" w:sz="4" w:space="0" w:color="auto"/>
            </w:tcBorders>
            <w:shd w:val="clear" w:color="auto" w:fill="auto"/>
            <w:noWrap/>
            <w:vAlign w:val="center"/>
            <w:hideMark/>
          </w:tcPr>
          <w:p w14:paraId="048DF0A8"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3,801 - 7,000 gal.</w:t>
            </w:r>
          </w:p>
        </w:tc>
        <w:tc>
          <w:tcPr>
            <w:tcW w:w="2060" w:type="dxa"/>
            <w:tcBorders>
              <w:top w:val="nil"/>
              <w:left w:val="nil"/>
              <w:bottom w:val="single" w:sz="4" w:space="0" w:color="auto"/>
              <w:right w:val="single" w:sz="4" w:space="0" w:color="auto"/>
            </w:tcBorders>
            <w:shd w:val="clear" w:color="auto" w:fill="auto"/>
            <w:noWrap/>
            <w:vAlign w:val="center"/>
            <w:hideMark/>
          </w:tcPr>
          <w:p w14:paraId="5455FDA0"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3,801 - 7,000 gal.</w:t>
            </w:r>
          </w:p>
        </w:tc>
      </w:tr>
      <w:tr w:rsidR="00C94165" w:rsidRPr="00C94165" w14:paraId="782D9BB2" w14:textId="77777777" w:rsidTr="00C94165">
        <w:trPr>
          <w:trHeight w:val="630"/>
        </w:trPr>
        <w:tc>
          <w:tcPr>
            <w:tcW w:w="960" w:type="dxa"/>
            <w:vMerge/>
            <w:tcBorders>
              <w:top w:val="nil"/>
              <w:left w:val="single" w:sz="4" w:space="0" w:color="auto"/>
              <w:bottom w:val="single" w:sz="4" w:space="0" w:color="auto"/>
              <w:right w:val="single" w:sz="4" w:space="0" w:color="auto"/>
            </w:tcBorders>
            <w:vAlign w:val="center"/>
            <w:hideMark/>
          </w:tcPr>
          <w:p w14:paraId="6545407F" w14:textId="77777777" w:rsidR="00C94165" w:rsidRPr="00C94165" w:rsidRDefault="00C94165" w:rsidP="00C94165">
            <w:pPr>
              <w:rPr>
                <w:rFonts w:eastAsia="Times New Roman"/>
                <w:b/>
                <w:bCs/>
                <w:color w:val="000000"/>
                <w:lang w:bidi="ar-SA"/>
              </w:rPr>
            </w:pPr>
          </w:p>
        </w:tc>
        <w:tc>
          <w:tcPr>
            <w:tcW w:w="1200" w:type="dxa"/>
            <w:tcBorders>
              <w:top w:val="nil"/>
              <w:left w:val="nil"/>
              <w:bottom w:val="single" w:sz="4" w:space="0" w:color="auto"/>
              <w:right w:val="single" w:sz="4" w:space="0" w:color="auto"/>
            </w:tcBorders>
            <w:shd w:val="clear" w:color="000000" w:fill="F2F2F2"/>
            <w:vAlign w:val="bottom"/>
            <w:hideMark/>
          </w:tcPr>
          <w:p w14:paraId="2CC82B0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Rate Per 1,000 gal.</w:t>
            </w:r>
          </w:p>
        </w:tc>
        <w:tc>
          <w:tcPr>
            <w:tcW w:w="2380" w:type="dxa"/>
            <w:tcBorders>
              <w:top w:val="nil"/>
              <w:left w:val="nil"/>
              <w:bottom w:val="single" w:sz="4" w:space="0" w:color="auto"/>
              <w:right w:val="single" w:sz="4" w:space="0" w:color="auto"/>
            </w:tcBorders>
            <w:shd w:val="clear" w:color="auto" w:fill="auto"/>
            <w:noWrap/>
            <w:vAlign w:val="center"/>
            <w:hideMark/>
          </w:tcPr>
          <w:p w14:paraId="16282CD9"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$3.20 </w:t>
            </w:r>
          </w:p>
        </w:tc>
        <w:tc>
          <w:tcPr>
            <w:tcW w:w="2020" w:type="dxa"/>
            <w:tcBorders>
              <w:top w:val="nil"/>
              <w:left w:val="nil"/>
              <w:bottom w:val="single" w:sz="4" w:space="0" w:color="auto"/>
              <w:right w:val="single" w:sz="4" w:space="0" w:color="auto"/>
            </w:tcBorders>
            <w:shd w:val="clear" w:color="auto" w:fill="auto"/>
            <w:noWrap/>
            <w:vAlign w:val="center"/>
            <w:hideMark/>
          </w:tcPr>
          <w:p w14:paraId="1E4D513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$4.40 </w:t>
            </w:r>
          </w:p>
        </w:tc>
        <w:tc>
          <w:tcPr>
            <w:tcW w:w="2060" w:type="dxa"/>
            <w:tcBorders>
              <w:top w:val="nil"/>
              <w:left w:val="nil"/>
              <w:bottom w:val="single" w:sz="4" w:space="0" w:color="auto"/>
              <w:right w:val="single" w:sz="4" w:space="0" w:color="auto"/>
            </w:tcBorders>
            <w:shd w:val="clear" w:color="auto" w:fill="auto"/>
            <w:noWrap/>
            <w:vAlign w:val="center"/>
            <w:hideMark/>
          </w:tcPr>
          <w:p w14:paraId="17321A74"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$2.50 </w:t>
            </w:r>
          </w:p>
        </w:tc>
      </w:tr>
      <w:tr w:rsidR="00C94165" w:rsidRPr="00C94165" w14:paraId="2A867ECF" w14:textId="77777777" w:rsidTr="00C94165">
        <w:trPr>
          <w:trHeight w:val="315"/>
        </w:trPr>
        <w:tc>
          <w:tcPr>
            <w:tcW w:w="9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8BAE76A"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Block 3</w:t>
            </w:r>
          </w:p>
        </w:tc>
        <w:tc>
          <w:tcPr>
            <w:tcW w:w="1200" w:type="dxa"/>
            <w:tcBorders>
              <w:top w:val="nil"/>
              <w:left w:val="nil"/>
              <w:bottom w:val="single" w:sz="4" w:space="0" w:color="auto"/>
              <w:right w:val="single" w:sz="4" w:space="0" w:color="auto"/>
            </w:tcBorders>
            <w:shd w:val="clear" w:color="000000" w:fill="F2F2F2"/>
            <w:noWrap/>
            <w:vAlign w:val="bottom"/>
            <w:hideMark/>
          </w:tcPr>
          <w:p w14:paraId="054C88C8"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Usage</w:t>
            </w:r>
          </w:p>
        </w:tc>
        <w:tc>
          <w:tcPr>
            <w:tcW w:w="2380" w:type="dxa"/>
            <w:tcBorders>
              <w:top w:val="nil"/>
              <w:left w:val="nil"/>
              <w:bottom w:val="single" w:sz="4" w:space="0" w:color="auto"/>
              <w:right w:val="single" w:sz="4" w:space="0" w:color="auto"/>
            </w:tcBorders>
            <w:shd w:val="clear" w:color="auto" w:fill="auto"/>
            <w:noWrap/>
            <w:vAlign w:val="center"/>
            <w:hideMark/>
          </w:tcPr>
          <w:p w14:paraId="642807C4"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Over 22,500 gal.</w:t>
            </w:r>
          </w:p>
        </w:tc>
        <w:tc>
          <w:tcPr>
            <w:tcW w:w="2020" w:type="dxa"/>
            <w:tcBorders>
              <w:top w:val="nil"/>
              <w:left w:val="nil"/>
              <w:bottom w:val="single" w:sz="4" w:space="0" w:color="auto"/>
              <w:right w:val="single" w:sz="4" w:space="0" w:color="auto"/>
            </w:tcBorders>
            <w:shd w:val="clear" w:color="auto" w:fill="auto"/>
            <w:noWrap/>
            <w:vAlign w:val="center"/>
            <w:hideMark/>
          </w:tcPr>
          <w:p w14:paraId="6EBEE35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Over 7,000 gal.</w:t>
            </w:r>
          </w:p>
        </w:tc>
        <w:tc>
          <w:tcPr>
            <w:tcW w:w="2060" w:type="dxa"/>
            <w:tcBorders>
              <w:top w:val="nil"/>
              <w:left w:val="nil"/>
              <w:bottom w:val="single" w:sz="4" w:space="0" w:color="auto"/>
              <w:right w:val="single" w:sz="4" w:space="0" w:color="auto"/>
            </w:tcBorders>
            <w:shd w:val="clear" w:color="auto" w:fill="auto"/>
            <w:noWrap/>
            <w:vAlign w:val="center"/>
            <w:hideMark/>
          </w:tcPr>
          <w:p w14:paraId="2C25359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Over 7,000 gal.</w:t>
            </w:r>
          </w:p>
        </w:tc>
      </w:tr>
      <w:tr w:rsidR="00C94165" w:rsidRPr="00C94165" w14:paraId="4DEF8ED6" w14:textId="77777777" w:rsidTr="00C94165">
        <w:trPr>
          <w:trHeight w:val="630"/>
        </w:trPr>
        <w:tc>
          <w:tcPr>
            <w:tcW w:w="960" w:type="dxa"/>
            <w:vMerge/>
            <w:tcBorders>
              <w:top w:val="nil"/>
              <w:left w:val="single" w:sz="4" w:space="0" w:color="auto"/>
              <w:bottom w:val="single" w:sz="4" w:space="0" w:color="auto"/>
              <w:right w:val="single" w:sz="4" w:space="0" w:color="auto"/>
            </w:tcBorders>
            <w:vAlign w:val="center"/>
            <w:hideMark/>
          </w:tcPr>
          <w:p w14:paraId="04BB9C93" w14:textId="77777777" w:rsidR="00C94165" w:rsidRPr="00C94165" w:rsidRDefault="00C94165" w:rsidP="00C94165">
            <w:pPr>
              <w:rPr>
                <w:rFonts w:eastAsia="Times New Roman"/>
                <w:b/>
                <w:bCs/>
                <w:color w:val="000000"/>
                <w:lang w:bidi="ar-SA"/>
              </w:rPr>
            </w:pPr>
          </w:p>
        </w:tc>
        <w:tc>
          <w:tcPr>
            <w:tcW w:w="1200" w:type="dxa"/>
            <w:tcBorders>
              <w:top w:val="nil"/>
              <w:left w:val="nil"/>
              <w:bottom w:val="single" w:sz="4" w:space="0" w:color="auto"/>
              <w:right w:val="single" w:sz="4" w:space="0" w:color="auto"/>
            </w:tcBorders>
            <w:shd w:val="clear" w:color="000000" w:fill="F2F2F2"/>
            <w:vAlign w:val="bottom"/>
            <w:hideMark/>
          </w:tcPr>
          <w:p w14:paraId="2C7270EC"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Rate Per 1,000 gal.</w:t>
            </w:r>
          </w:p>
        </w:tc>
        <w:tc>
          <w:tcPr>
            <w:tcW w:w="2380" w:type="dxa"/>
            <w:tcBorders>
              <w:top w:val="nil"/>
              <w:left w:val="nil"/>
              <w:bottom w:val="single" w:sz="4" w:space="0" w:color="auto"/>
              <w:right w:val="single" w:sz="4" w:space="0" w:color="auto"/>
            </w:tcBorders>
            <w:shd w:val="clear" w:color="auto" w:fill="auto"/>
            <w:noWrap/>
            <w:vAlign w:val="center"/>
            <w:hideMark/>
          </w:tcPr>
          <w:p w14:paraId="3D62C615"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$3.60 </w:t>
            </w:r>
          </w:p>
        </w:tc>
        <w:tc>
          <w:tcPr>
            <w:tcW w:w="2020" w:type="dxa"/>
            <w:tcBorders>
              <w:top w:val="nil"/>
              <w:left w:val="nil"/>
              <w:bottom w:val="single" w:sz="4" w:space="0" w:color="auto"/>
              <w:right w:val="single" w:sz="4" w:space="0" w:color="auto"/>
            </w:tcBorders>
            <w:shd w:val="clear" w:color="auto" w:fill="auto"/>
            <w:noWrap/>
            <w:vAlign w:val="center"/>
            <w:hideMark/>
          </w:tcPr>
          <w:p w14:paraId="1155DDE3"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$5.00 </w:t>
            </w:r>
          </w:p>
        </w:tc>
        <w:tc>
          <w:tcPr>
            <w:tcW w:w="2060" w:type="dxa"/>
            <w:tcBorders>
              <w:top w:val="nil"/>
              <w:left w:val="nil"/>
              <w:bottom w:val="single" w:sz="4" w:space="0" w:color="auto"/>
              <w:right w:val="single" w:sz="4" w:space="0" w:color="auto"/>
            </w:tcBorders>
            <w:shd w:val="clear" w:color="auto" w:fill="auto"/>
            <w:noWrap/>
            <w:vAlign w:val="center"/>
            <w:hideMark/>
          </w:tcPr>
          <w:p w14:paraId="262E012B" w14:textId="77777777" w:rsidR="00C94165" w:rsidRPr="00C94165" w:rsidRDefault="00C94165" w:rsidP="00C94165">
            <w:pPr>
              <w:jc w:val="center"/>
              <w:rPr>
                <w:rFonts w:eastAsia="Times New Roman"/>
                <w:color w:val="000000"/>
                <w:lang w:bidi="ar-SA"/>
              </w:rPr>
            </w:pPr>
            <w:r w:rsidRPr="00C94165">
              <w:rPr>
                <w:rFonts w:eastAsia="Times New Roman"/>
                <w:color w:val="000000"/>
                <w:lang w:bidi="ar-SA"/>
              </w:rPr>
              <w:t xml:space="preserve">$4.00 </w:t>
            </w:r>
          </w:p>
        </w:tc>
      </w:tr>
    </w:tbl>
    <w:p w14:paraId="01222B21" w14:textId="77777777" w:rsidR="00672B18" w:rsidRDefault="00672B18" w:rsidP="00164EAD">
      <w:pPr>
        <w:jc w:val="center"/>
        <w:rPr>
          <w:rFonts w:eastAsia="Times New Roman"/>
          <w:b/>
          <w:u w:val="single"/>
          <w:lang w:bidi="ar-SA"/>
        </w:rPr>
      </w:pPr>
    </w:p>
    <w:p w14:paraId="147FC511" w14:textId="77777777" w:rsidR="00672B18" w:rsidRDefault="00672B18" w:rsidP="00C94165">
      <w:pPr>
        <w:rPr>
          <w:rFonts w:eastAsia="Times New Roman"/>
          <w:b/>
          <w:u w:val="single"/>
          <w:lang w:bidi="ar-SA"/>
        </w:rPr>
      </w:pPr>
    </w:p>
    <w:p w14:paraId="4AF03302" w14:textId="762EEC0A" w:rsidR="00164EAD" w:rsidRPr="00164EAD" w:rsidRDefault="00672B18" w:rsidP="00164EAD">
      <w:pPr>
        <w:jc w:val="center"/>
        <w:rPr>
          <w:rFonts w:eastAsia="Times New Roman"/>
          <w:b/>
          <w:u w:val="single"/>
          <w:lang w:bidi="ar-SA"/>
        </w:rPr>
      </w:pPr>
      <w:r>
        <w:rPr>
          <w:rFonts w:eastAsia="Times New Roman"/>
          <w:b/>
          <w:u w:val="single"/>
          <w:lang w:bidi="ar-SA"/>
        </w:rPr>
        <w:t xml:space="preserve">Monthly </w:t>
      </w:r>
      <w:r w:rsidR="00164EAD" w:rsidRPr="00164EAD">
        <w:rPr>
          <w:rFonts w:eastAsia="Times New Roman"/>
          <w:b/>
          <w:u w:val="single"/>
          <w:lang w:bidi="ar-SA"/>
        </w:rPr>
        <w:t>Bill Comparison</w:t>
      </w:r>
    </w:p>
    <w:p w14:paraId="4AE8D46D" w14:textId="77777777" w:rsidR="0017222A" w:rsidRDefault="0017222A" w:rsidP="00B44955">
      <w:pPr>
        <w:rPr>
          <w:rFonts w:eastAsia="Times New Roman"/>
          <w:sz w:val="20"/>
          <w:szCs w:val="20"/>
          <w:lang w:bidi="ar-SA"/>
        </w:rPr>
      </w:pPr>
    </w:p>
    <w:tbl>
      <w:tblPr>
        <w:tblW w:w="8640" w:type="dxa"/>
        <w:tblLook w:val="04A0" w:firstRow="1" w:lastRow="0" w:firstColumn="1" w:lastColumn="0" w:noHBand="0" w:noVBand="1"/>
      </w:tblPr>
      <w:tblGrid>
        <w:gridCol w:w="2250"/>
        <w:gridCol w:w="2250"/>
        <w:gridCol w:w="2070"/>
        <w:gridCol w:w="2070"/>
      </w:tblGrid>
      <w:tr w:rsidR="00C94165" w:rsidRPr="00C94165" w14:paraId="4755080F" w14:textId="77777777" w:rsidTr="00C62CA7">
        <w:trPr>
          <w:trHeight w:val="315"/>
        </w:trPr>
        <w:tc>
          <w:tcPr>
            <w:tcW w:w="2250" w:type="dxa"/>
            <w:tcBorders>
              <w:top w:val="nil"/>
              <w:left w:val="nil"/>
              <w:bottom w:val="nil"/>
              <w:right w:val="nil"/>
            </w:tcBorders>
            <w:shd w:val="clear" w:color="auto" w:fill="auto"/>
            <w:noWrap/>
            <w:vAlign w:val="bottom"/>
            <w:hideMark/>
          </w:tcPr>
          <w:p w14:paraId="4D1E00A6" w14:textId="77777777" w:rsidR="00C94165" w:rsidRPr="00C94165" w:rsidRDefault="00C94165" w:rsidP="00C94165">
            <w:pPr>
              <w:rPr>
                <w:rFonts w:eastAsia="Times New Roman"/>
                <w:sz w:val="20"/>
                <w:szCs w:val="20"/>
                <w:lang w:bidi="ar-SA"/>
              </w:rPr>
            </w:pPr>
          </w:p>
        </w:tc>
        <w:tc>
          <w:tcPr>
            <w:tcW w:w="639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0BD0C6"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Average Customer Bill (Average Usage of 5,349 Gal.)</w:t>
            </w:r>
          </w:p>
        </w:tc>
      </w:tr>
      <w:tr w:rsidR="00C62CA7" w:rsidRPr="00C94165" w14:paraId="72ECD45F" w14:textId="77777777" w:rsidTr="00C62CA7">
        <w:trPr>
          <w:trHeight w:val="315"/>
        </w:trPr>
        <w:tc>
          <w:tcPr>
            <w:tcW w:w="2250" w:type="dxa"/>
            <w:tcBorders>
              <w:top w:val="nil"/>
              <w:left w:val="nil"/>
              <w:bottom w:val="nil"/>
              <w:right w:val="nil"/>
            </w:tcBorders>
            <w:shd w:val="clear" w:color="auto" w:fill="auto"/>
            <w:noWrap/>
            <w:vAlign w:val="bottom"/>
            <w:hideMark/>
          </w:tcPr>
          <w:p w14:paraId="2422EFE8" w14:textId="77777777" w:rsidR="00C94165" w:rsidRPr="00C94165" w:rsidRDefault="00C94165" w:rsidP="00C94165">
            <w:pPr>
              <w:jc w:val="center"/>
              <w:rPr>
                <w:rFonts w:eastAsia="Times New Roman"/>
                <w:b/>
                <w:bCs/>
                <w:color w:val="000000"/>
                <w:lang w:bidi="ar-SA"/>
              </w:rPr>
            </w:pPr>
          </w:p>
        </w:tc>
        <w:tc>
          <w:tcPr>
            <w:tcW w:w="2250" w:type="dxa"/>
            <w:tcBorders>
              <w:top w:val="nil"/>
              <w:left w:val="single" w:sz="4" w:space="0" w:color="auto"/>
              <w:bottom w:val="single" w:sz="4" w:space="0" w:color="auto"/>
              <w:right w:val="single" w:sz="4" w:space="0" w:color="auto"/>
            </w:tcBorders>
            <w:shd w:val="clear" w:color="000000" w:fill="F2F2F2"/>
            <w:noWrap/>
            <w:vAlign w:val="bottom"/>
            <w:hideMark/>
          </w:tcPr>
          <w:p w14:paraId="6B5A638E"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Base Rate</w:t>
            </w:r>
          </w:p>
        </w:tc>
        <w:tc>
          <w:tcPr>
            <w:tcW w:w="2070" w:type="dxa"/>
            <w:tcBorders>
              <w:top w:val="nil"/>
              <w:left w:val="nil"/>
              <w:bottom w:val="single" w:sz="4" w:space="0" w:color="auto"/>
              <w:right w:val="single" w:sz="4" w:space="0" w:color="auto"/>
            </w:tcBorders>
            <w:shd w:val="clear" w:color="000000" w:fill="F2F2F2"/>
            <w:noWrap/>
            <w:vAlign w:val="bottom"/>
            <w:hideMark/>
          </w:tcPr>
          <w:p w14:paraId="05AA3B58"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Usage Charges</w:t>
            </w:r>
          </w:p>
        </w:tc>
        <w:tc>
          <w:tcPr>
            <w:tcW w:w="2070" w:type="dxa"/>
            <w:tcBorders>
              <w:top w:val="nil"/>
              <w:left w:val="nil"/>
              <w:bottom w:val="single" w:sz="4" w:space="0" w:color="auto"/>
              <w:right w:val="single" w:sz="4" w:space="0" w:color="auto"/>
            </w:tcBorders>
            <w:shd w:val="clear" w:color="000000" w:fill="F2F2F2"/>
            <w:noWrap/>
            <w:vAlign w:val="bottom"/>
            <w:hideMark/>
          </w:tcPr>
          <w:p w14:paraId="6EB36313" w14:textId="77777777" w:rsidR="00C94165" w:rsidRPr="00C94165" w:rsidRDefault="00C94165" w:rsidP="00C94165">
            <w:pPr>
              <w:jc w:val="center"/>
              <w:rPr>
                <w:rFonts w:eastAsia="Times New Roman"/>
                <w:b/>
                <w:bCs/>
                <w:color w:val="000000"/>
                <w:lang w:bidi="ar-SA"/>
              </w:rPr>
            </w:pPr>
            <w:r w:rsidRPr="00C94165">
              <w:rPr>
                <w:rFonts w:eastAsia="Times New Roman"/>
                <w:b/>
                <w:bCs/>
                <w:color w:val="000000"/>
                <w:lang w:bidi="ar-SA"/>
              </w:rPr>
              <w:t>Total Bill</w:t>
            </w:r>
          </w:p>
        </w:tc>
      </w:tr>
      <w:tr w:rsidR="00C94165" w:rsidRPr="00C94165" w14:paraId="1E4A202C" w14:textId="77777777" w:rsidTr="00C62CA7">
        <w:trPr>
          <w:trHeight w:val="31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461D" w14:textId="77777777" w:rsidR="00C94165" w:rsidRPr="00C94165" w:rsidRDefault="00C94165" w:rsidP="00C94165">
            <w:pPr>
              <w:rPr>
                <w:rFonts w:eastAsia="Times New Roman"/>
                <w:b/>
                <w:bCs/>
                <w:color w:val="000000"/>
                <w:lang w:bidi="ar-SA"/>
              </w:rPr>
            </w:pPr>
            <w:r w:rsidRPr="00C94165">
              <w:rPr>
                <w:rFonts w:eastAsia="Times New Roman"/>
                <w:b/>
                <w:bCs/>
                <w:color w:val="000000"/>
                <w:lang w:bidi="ar-SA"/>
              </w:rPr>
              <w:t>Current Rates</w:t>
            </w:r>
          </w:p>
        </w:tc>
        <w:tc>
          <w:tcPr>
            <w:tcW w:w="2250" w:type="dxa"/>
            <w:tcBorders>
              <w:top w:val="nil"/>
              <w:left w:val="nil"/>
              <w:bottom w:val="single" w:sz="4" w:space="0" w:color="auto"/>
              <w:right w:val="single" w:sz="4" w:space="0" w:color="auto"/>
            </w:tcBorders>
            <w:shd w:val="clear" w:color="auto" w:fill="auto"/>
            <w:noWrap/>
            <w:vAlign w:val="bottom"/>
            <w:hideMark/>
          </w:tcPr>
          <w:p w14:paraId="403A74EB"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30.00 </w:t>
            </w:r>
          </w:p>
        </w:tc>
        <w:tc>
          <w:tcPr>
            <w:tcW w:w="2070" w:type="dxa"/>
            <w:tcBorders>
              <w:top w:val="nil"/>
              <w:left w:val="nil"/>
              <w:bottom w:val="single" w:sz="4" w:space="0" w:color="auto"/>
              <w:right w:val="single" w:sz="4" w:space="0" w:color="auto"/>
            </w:tcBorders>
            <w:shd w:val="clear" w:color="auto" w:fill="auto"/>
            <w:noWrap/>
            <w:vAlign w:val="bottom"/>
            <w:hideMark/>
          </w:tcPr>
          <w:p w14:paraId="1DA41F90"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   </w:t>
            </w:r>
          </w:p>
        </w:tc>
        <w:tc>
          <w:tcPr>
            <w:tcW w:w="2070" w:type="dxa"/>
            <w:tcBorders>
              <w:top w:val="nil"/>
              <w:left w:val="nil"/>
              <w:bottom w:val="single" w:sz="4" w:space="0" w:color="auto"/>
              <w:right w:val="single" w:sz="4" w:space="0" w:color="auto"/>
            </w:tcBorders>
            <w:shd w:val="clear" w:color="auto" w:fill="auto"/>
            <w:noWrap/>
            <w:vAlign w:val="bottom"/>
            <w:hideMark/>
          </w:tcPr>
          <w:p w14:paraId="3C5B86AB"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30.00 </w:t>
            </w:r>
          </w:p>
        </w:tc>
      </w:tr>
      <w:tr w:rsidR="00C94165" w:rsidRPr="00C94165" w14:paraId="13046D8E" w14:textId="77777777" w:rsidTr="00C62CA7">
        <w:trPr>
          <w:trHeight w:val="31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1CC0E77E" w14:textId="2FCE9A23" w:rsidR="00C94165" w:rsidRPr="00C94165" w:rsidRDefault="00C94165" w:rsidP="00C94165">
            <w:pPr>
              <w:rPr>
                <w:rFonts w:eastAsia="Times New Roman"/>
                <w:b/>
                <w:bCs/>
                <w:color w:val="000000"/>
                <w:lang w:bidi="ar-SA"/>
              </w:rPr>
            </w:pPr>
            <w:r w:rsidRPr="00C94165">
              <w:rPr>
                <w:rFonts w:eastAsia="Times New Roman"/>
                <w:b/>
                <w:bCs/>
                <w:color w:val="000000"/>
                <w:lang w:bidi="ar-SA"/>
              </w:rPr>
              <w:t>Proposed Rates</w:t>
            </w:r>
          </w:p>
        </w:tc>
        <w:tc>
          <w:tcPr>
            <w:tcW w:w="2250" w:type="dxa"/>
            <w:tcBorders>
              <w:top w:val="nil"/>
              <w:left w:val="nil"/>
              <w:bottom w:val="single" w:sz="4" w:space="0" w:color="auto"/>
              <w:right w:val="single" w:sz="4" w:space="0" w:color="auto"/>
            </w:tcBorders>
            <w:shd w:val="clear" w:color="auto" w:fill="auto"/>
            <w:noWrap/>
            <w:vAlign w:val="bottom"/>
            <w:hideMark/>
          </w:tcPr>
          <w:p w14:paraId="2F7D8665"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35.00 </w:t>
            </w:r>
          </w:p>
        </w:tc>
        <w:tc>
          <w:tcPr>
            <w:tcW w:w="2070" w:type="dxa"/>
            <w:tcBorders>
              <w:top w:val="nil"/>
              <w:left w:val="nil"/>
              <w:bottom w:val="single" w:sz="4" w:space="0" w:color="auto"/>
              <w:right w:val="single" w:sz="4" w:space="0" w:color="auto"/>
            </w:tcBorders>
            <w:shd w:val="clear" w:color="auto" w:fill="auto"/>
            <w:noWrap/>
            <w:vAlign w:val="bottom"/>
            <w:hideMark/>
          </w:tcPr>
          <w:p w14:paraId="7D999E50"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19.23 </w:t>
            </w:r>
          </w:p>
        </w:tc>
        <w:tc>
          <w:tcPr>
            <w:tcW w:w="2070" w:type="dxa"/>
            <w:tcBorders>
              <w:top w:val="nil"/>
              <w:left w:val="nil"/>
              <w:bottom w:val="single" w:sz="4" w:space="0" w:color="auto"/>
              <w:right w:val="single" w:sz="4" w:space="0" w:color="auto"/>
            </w:tcBorders>
            <w:shd w:val="clear" w:color="auto" w:fill="auto"/>
            <w:noWrap/>
            <w:vAlign w:val="bottom"/>
            <w:hideMark/>
          </w:tcPr>
          <w:p w14:paraId="095B6A29"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54.23 </w:t>
            </w:r>
          </w:p>
        </w:tc>
      </w:tr>
      <w:tr w:rsidR="00C94165" w:rsidRPr="00C94165" w14:paraId="1C964B01" w14:textId="77777777" w:rsidTr="00C62CA7">
        <w:trPr>
          <w:trHeight w:val="31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2BEB9F14" w14:textId="23FBF726" w:rsidR="00C94165" w:rsidRPr="00C94165" w:rsidRDefault="00C94165" w:rsidP="00C94165">
            <w:pPr>
              <w:rPr>
                <w:rFonts w:eastAsia="Times New Roman"/>
                <w:b/>
                <w:bCs/>
                <w:color w:val="000000"/>
                <w:lang w:bidi="ar-SA"/>
              </w:rPr>
            </w:pPr>
            <w:r w:rsidRPr="00C94165">
              <w:rPr>
                <w:rFonts w:eastAsia="Times New Roman"/>
                <w:b/>
                <w:bCs/>
                <w:color w:val="000000"/>
                <w:lang w:bidi="ar-SA"/>
              </w:rPr>
              <w:t>Revised Rates</w:t>
            </w:r>
          </w:p>
        </w:tc>
        <w:tc>
          <w:tcPr>
            <w:tcW w:w="2250" w:type="dxa"/>
            <w:tcBorders>
              <w:top w:val="nil"/>
              <w:left w:val="nil"/>
              <w:bottom w:val="single" w:sz="4" w:space="0" w:color="auto"/>
              <w:right w:val="single" w:sz="4" w:space="0" w:color="auto"/>
            </w:tcBorders>
            <w:shd w:val="clear" w:color="auto" w:fill="auto"/>
            <w:noWrap/>
            <w:vAlign w:val="bottom"/>
            <w:hideMark/>
          </w:tcPr>
          <w:p w14:paraId="0942887A"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32.00 </w:t>
            </w:r>
          </w:p>
        </w:tc>
        <w:tc>
          <w:tcPr>
            <w:tcW w:w="2070" w:type="dxa"/>
            <w:tcBorders>
              <w:top w:val="nil"/>
              <w:left w:val="nil"/>
              <w:bottom w:val="single" w:sz="4" w:space="0" w:color="auto"/>
              <w:right w:val="single" w:sz="4" w:space="0" w:color="auto"/>
            </w:tcBorders>
            <w:shd w:val="clear" w:color="auto" w:fill="auto"/>
            <w:noWrap/>
            <w:vAlign w:val="bottom"/>
            <w:hideMark/>
          </w:tcPr>
          <w:p w14:paraId="587A6B5D"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8.23 </w:t>
            </w:r>
          </w:p>
        </w:tc>
        <w:tc>
          <w:tcPr>
            <w:tcW w:w="2070" w:type="dxa"/>
            <w:tcBorders>
              <w:top w:val="nil"/>
              <w:left w:val="nil"/>
              <w:bottom w:val="single" w:sz="4" w:space="0" w:color="auto"/>
              <w:right w:val="single" w:sz="4" w:space="0" w:color="auto"/>
            </w:tcBorders>
            <w:shd w:val="clear" w:color="auto" w:fill="auto"/>
            <w:noWrap/>
            <w:vAlign w:val="bottom"/>
            <w:hideMark/>
          </w:tcPr>
          <w:p w14:paraId="6B75ADB8" w14:textId="77777777" w:rsidR="00C94165" w:rsidRPr="00C94165" w:rsidRDefault="00C94165" w:rsidP="00C94165">
            <w:pPr>
              <w:rPr>
                <w:rFonts w:eastAsia="Times New Roman"/>
                <w:color w:val="000000"/>
                <w:lang w:bidi="ar-SA"/>
              </w:rPr>
            </w:pPr>
            <w:r w:rsidRPr="00C94165">
              <w:rPr>
                <w:rFonts w:eastAsia="Times New Roman"/>
                <w:color w:val="000000"/>
                <w:lang w:bidi="ar-SA"/>
              </w:rPr>
              <w:t xml:space="preserve"> $                40.23 </w:t>
            </w:r>
          </w:p>
        </w:tc>
      </w:tr>
    </w:tbl>
    <w:p w14:paraId="402348CE" w14:textId="77777777" w:rsidR="00F8237C" w:rsidRDefault="00F8237C" w:rsidP="00B44955">
      <w:pPr>
        <w:rPr>
          <w:rFonts w:eastAsia="Times New Roman"/>
          <w:b/>
          <w:u w:val="single"/>
          <w:lang w:bidi="ar-SA"/>
        </w:rPr>
      </w:pPr>
    </w:p>
    <w:p w14:paraId="3F2DCB14" w14:textId="77777777" w:rsidR="00966A58" w:rsidRDefault="00966A58" w:rsidP="00B44955">
      <w:pPr>
        <w:rPr>
          <w:rFonts w:eastAsia="Times New Roman"/>
          <w:b/>
          <w:u w:val="single"/>
          <w:lang w:bidi="ar-SA"/>
        </w:rPr>
      </w:pPr>
    </w:p>
    <w:p w14:paraId="2CE528E1" w14:textId="4F7208F0" w:rsidR="00164EAD" w:rsidRDefault="002976F9" w:rsidP="00B44955">
      <w:pPr>
        <w:rPr>
          <w:rFonts w:eastAsia="Times New Roman"/>
          <w:b/>
          <w:u w:val="single"/>
          <w:lang w:bidi="ar-SA"/>
        </w:rPr>
      </w:pPr>
      <w:r>
        <w:rPr>
          <w:rFonts w:eastAsia="Times New Roman"/>
          <w:b/>
          <w:u w:val="single"/>
          <w:lang w:bidi="ar-SA"/>
        </w:rPr>
        <w:t>Comment Summary</w:t>
      </w:r>
    </w:p>
    <w:p w14:paraId="363CF4A0" w14:textId="77777777" w:rsidR="00DF2307" w:rsidRDefault="00DF2307" w:rsidP="00B44955">
      <w:pPr>
        <w:rPr>
          <w:rFonts w:eastAsia="Times New Roman"/>
          <w:highlight w:val="yellow"/>
          <w:lang w:bidi="ar-SA"/>
        </w:rPr>
      </w:pPr>
    </w:p>
    <w:p w14:paraId="0C27980D" w14:textId="77777777" w:rsidR="00F96540" w:rsidRDefault="00F96540" w:rsidP="00F96540">
      <w:r>
        <w:rPr>
          <w:color w:val="000000"/>
        </w:rPr>
        <w:t xml:space="preserve">On Oct. 27, 2017, the company notified its customers by mail of the proposed rate increase. Customers were notified that they may access relevant documents about this rate increase on the </w:t>
      </w:r>
      <w:r w:rsidRPr="00EF6FA1">
        <w:rPr>
          <w:color w:val="000000"/>
        </w:rPr>
        <w:t>commission</w:t>
      </w:r>
      <w:r>
        <w:rPr>
          <w:rFonts w:eastAsia="Tahoma"/>
          <w:color w:val="000000"/>
        </w:rPr>
        <w:t>’</w:t>
      </w:r>
      <w:r w:rsidRPr="00EF6FA1">
        <w:rPr>
          <w:color w:val="000000"/>
        </w:rPr>
        <w:t>s</w:t>
      </w:r>
      <w:r>
        <w:rPr>
          <w:color w:val="000000"/>
        </w:rPr>
        <w:t xml:space="preserve"> website, and that they may contact John Cupp at 1-888-333-9882 or john.cupp@utc.wa.gov with questions or concerns. Staff received 11 consumer comments, all opposed to the proposed rate increase.</w:t>
      </w:r>
    </w:p>
    <w:p w14:paraId="6600DEF2" w14:textId="77777777" w:rsidR="00F96540" w:rsidRDefault="00F96540" w:rsidP="00F96540"/>
    <w:p w14:paraId="4A75DAE8" w14:textId="77777777" w:rsidR="00F96540" w:rsidRDefault="00F96540" w:rsidP="00F96540">
      <w:r>
        <w:rPr>
          <w:b/>
          <w:color w:val="000000"/>
        </w:rPr>
        <w:t>General Comments</w:t>
      </w:r>
    </w:p>
    <w:p w14:paraId="265BCCD3" w14:textId="4F043035" w:rsidR="00F96540" w:rsidRDefault="00F96540" w:rsidP="00F96540">
      <w:pPr>
        <w:numPr>
          <w:ilvl w:val="0"/>
          <w:numId w:val="23"/>
        </w:numPr>
        <w:ind w:left="720" w:hanging="360"/>
      </w:pPr>
      <w:r w:rsidRPr="00CF104E">
        <w:rPr>
          <w:color w:val="000000"/>
        </w:rPr>
        <w:t xml:space="preserve">Nearly all </w:t>
      </w:r>
      <w:r>
        <w:rPr>
          <w:color w:val="000000"/>
        </w:rPr>
        <w:t xml:space="preserve">11 </w:t>
      </w:r>
      <w:r w:rsidRPr="00CF104E">
        <w:rPr>
          <w:color w:val="000000"/>
        </w:rPr>
        <w:t>commenters expressed concern that the proposed rates are excessive. Four of the commenters said the company serves many fixed-income customers</w:t>
      </w:r>
      <w:r>
        <w:rPr>
          <w:color w:val="000000"/>
        </w:rPr>
        <w:t xml:space="preserve"> on Camano Island</w:t>
      </w:r>
      <w:r w:rsidRPr="00CF104E">
        <w:rPr>
          <w:color w:val="000000"/>
        </w:rPr>
        <w:t xml:space="preserve">. </w:t>
      </w:r>
    </w:p>
    <w:p w14:paraId="2ACD8CA0" w14:textId="77777777" w:rsidR="00F96540" w:rsidRDefault="00F96540" w:rsidP="00F96540">
      <w:pPr>
        <w:ind w:left="719"/>
        <w:rPr>
          <w:b/>
          <w:color w:val="000000"/>
        </w:rPr>
      </w:pPr>
    </w:p>
    <w:p w14:paraId="717D1060" w14:textId="77777777" w:rsidR="001F0AE7" w:rsidRDefault="001F0AE7" w:rsidP="00F96540">
      <w:pPr>
        <w:ind w:left="719"/>
        <w:rPr>
          <w:b/>
          <w:color w:val="000000"/>
        </w:rPr>
      </w:pPr>
    </w:p>
    <w:p w14:paraId="65EA2C2F" w14:textId="77777777" w:rsidR="001F0AE7" w:rsidRDefault="001F0AE7" w:rsidP="00F96540">
      <w:pPr>
        <w:ind w:left="719"/>
        <w:rPr>
          <w:b/>
          <w:color w:val="000000"/>
        </w:rPr>
      </w:pPr>
    </w:p>
    <w:p w14:paraId="2A98A507" w14:textId="77777777" w:rsidR="00F96540" w:rsidRDefault="00F96540" w:rsidP="00F96540">
      <w:pPr>
        <w:ind w:left="719"/>
      </w:pPr>
      <w:r>
        <w:rPr>
          <w:b/>
          <w:color w:val="000000"/>
        </w:rPr>
        <w:lastRenderedPageBreak/>
        <w:t>Staff Response</w:t>
      </w:r>
    </w:p>
    <w:p w14:paraId="3CFFBB49" w14:textId="0E7AE413" w:rsidR="00F96540" w:rsidRDefault="00F96540" w:rsidP="00F96540">
      <w:pPr>
        <w:ind w:left="719"/>
      </w:pPr>
      <w:r w:rsidRPr="00BC7C82">
        <w:t>The customers were advised that state law requires rates to be fair, just, reasonable</w:t>
      </w:r>
      <w:r w:rsidR="001F0AE7">
        <w:t>,</w:t>
      </w:r>
      <w:r w:rsidRPr="00BC7C82">
        <w:t xml:space="preserve"> and sufficient to allow the company to recover reasonable operating expenses and the opportunity to earn a reasonable return on its investment. Regulatory staff reviews filings to ensure that all rates and fees </w:t>
      </w:r>
      <w:r>
        <w:t xml:space="preserve">meet this standard. </w:t>
      </w:r>
    </w:p>
    <w:p w14:paraId="39C0ACC5" w14:textId="77777777" w:rsidR="00F96540" w:rsidRDefault="00F96540" w:rsidP="00F96540">
      <w:pPr>
        <w:ind w:left="719"/>
        <w:rPr>
          <w:b/>
          <w:color w:val="000000"/>
        </w:rPr>
      </w:pPr>
    </w:p>
    <w:p w14:paraId="2FB0E5D2" w14:textId="77777777" w:rsidR="00F96540" w:rsidRDefault="00F96540" w:rsidP="00F96540">
      <w:r>
        <w:rPr>
          <w:b/>
          <w:color w:val="000000"/>
        </w:rPr>
        <w:t>Service Quality</w:t>
      </w:r>
    </w:p>
    <w:p w14:paraId="306D847A" w14:textId="77777777" w:rsidR="00F96540" w:rsidRPr="00F835B5" w:rsidRDefault="00F96540" w:rsidP="00F96540">
      <w:pPr>
        <w:numPr>
          <w:ilvl w:val="0"/>
          <w:numId w:val="23"/>
        </w:numPr>
        <w:ind w:left="720" w:hanging="360"/>
      </w:pPr>
      <w:r w:rsidRPr="00F835B5">
        <w:rPr>
          <w:color w:val="000000"/>
        </w:rPr>
        <w:t>Two commenters also expressed concern that there is no backup pump, and the system is</w:t>
      </w:r>
      <w:r>
        <w:rPr>
          <w:color w:val="000000"/>
        </w:rPr>
        <w:t xml:space="preserve"> not</w:t>
      </w:r>
      <w:r w:rsidRPr="00F835B5">
        <w:rPr>
          <w:color w:val="000000"/>
        </w:rPr>
        <w:t xml:space="preserve"> capable of operating up to capacity. </w:t>
      </w:r>
    </w:p>
    <w:p w14:paraId="74801854" w14:textId="77777777" w:rsidR="00F96540" w:rsidRDefault="00F96540" w:rsidP="00F96540">
      <w:pPr>
        <w:ind w:left="360"/>
      </w:pPr>
    </w:p>
    <w:p w14:paraId="713250D0" w14:textId="77777777" w:rsidR="00F96540" w:rsidRDefault="00F96540" w:rsidP="00F96540">
      <w:pPr>
        <w:ind w:left="719"/>
      </w:pPr>
      <w:r>
        <w:rPr>
          <w:b/>
          <w:color w:val="000000"/>
        </w:rPr>
        <w:t>Staff Response</w:t>
      </w:r>
    </w:p>
    <w:p w14:paraId="325336F8" w14:textId="77777777" w:rsidR="00F96540" w:rsidRDefault="00F96540" w:rsidP="00F96540">
      <w:pPr>
        <w:ind w:left="719"/>
      </w:pPr>
      <w:r>
        <w:rPr>
          <w:color w:val="000000"/>
        </w:rPr>
        <w:t>Staff explained it is aware the system needs some improvements, and is working with the company on these issues; including how to fund the project. These improvements are not addressed in this rate case.</w:t>
      </w:r>
    </w:p>
    <w:p w14:paraId="3D70A83A" w14:textId="77777777" w:rsidR="00F96540" w:rsidRDefault="00F96540" w:rsidP="00F96540">
      <w:pPr>
        <w:ind w:left="719"/>
      </w:pPr>
    </w:p>
    <w:p w14:paraId="25F294A2" w14:textId="77777777" w:rsidR="00F96540" w:rsidRDefault="00F96540" w:rsidP="00F96540">
      <w:r>
        <w:rPr>
          <w:b/>
          <w:color w:val="000000"/>
        </w:rPr>
        <w:t>Filing Documents and Methodology</w:t>
      </w:r>
    </w:p>
    <w:p w14:paraId="663CE357" w14:textId="77777777" w:rsidR="00F96540" w:rsidRDefault="00F96540" w:rsidP="00F96540">
      <w:pPr>
        <w:numPr>
          <w:ilvl w:val="0"/>
          <w:numId w:val="23"/>
        </w:numPr>
        <w:ind w:left="720" w:hanging="360"/>
      </w:pPr>
      <w:r>
        <w:rPr>
          <w:color w:val="000000"/>
        </w:rPr>
        <w:t>Three customers mentioned the usage blocks show high rates for small usage allowances. Two customers feel the base rate is too high.</w:t>
      </w:r>
    </w:p>
    <w:p w14:paraId="48EA6E4D" w14:textId="77777777" w:rsidR="00F96540" w:rsidRDefault="00F96540" w:rsidP="00F96540"/>
    <w:p w14:paraId="649656D0" w14:textId="77777777" w:rsidR="00F96540" w:rsidRDefault="00F96540" w:rsidP="00F96540">
      <w:pPr>
        <w:ind w:left="719"/>
      </w:pPr>
      <w:r>
        <w:rPr>
          <w:b/>
          <w:color w:val="000000"/>
        </w:rPr>
        <w:t>Staff Response</w:t>
      </w:r>
    </w:p>
    <w:p w14:paraId="768D5768" w14:textId="1B8C53F1" w:rsidR="00F96540" w:rsidRDefault="00F96540" w:rsidP="00F96540">
      <w:pPr>
        <w:ind w:left="719"/>
      </w:pPr>
      <w:r w:rsidRPr="00BC7C82">
        <w:t xml:space="preserve">Regulatory staff reviews filings to ensure that all rates and fees </w:t>
      </w:r>
      <w:r>
        <w:t>fit the fair, just</w:t>
      </w:r>
      <w:r w:rsidR="001F0AE7">
        <w:t>,</w:t>
      </w:r>
      <w:r>
        <w:t xml:space="preserve"> and reasonable standard</w:t>
      </w:r>
      <w:r w:rsidRPr="00BC7C82">
        <w:t>.</w:t>
      </w:r>
    </w:p>
    <w:p w14:paraId="6E5DFFB9" w14:textId="77777777" w:rsidR="00164EAD" w:rsidRDefault="00164EAD" w:rsidP="00B44955"/>
    <w:p w14:paraId="042A8DEB" w14:textId="77777777" w:rsidR="002D5898" w:rsidRPr="00581FE0" w:rsidRDefault="002D5898" w:rsidP="00B44955">
      <w:pPr>
        <w:rPr>
          <w:rFonts w:eastAsia="Times New Roman"/>
          <w:sz w:val="20"/>
          <w:szCs w:val="20"/>
          <w:lang w:bidi="ar-SA"/>
        </w:rPr>
      </w:pPr>
    </w:p>
    <w:p w14:paraId="75E98275" w14:textId="77777777" w:rsidR="004B5565" w:rsidRPr="00141895" w:rsidRDefault="004B5565" w:rsidP="004B5565">
      <w:pPr>
        <w:rPr>
          <w:b/>
          <w:u w:val="single"/>
        </w:rPr>
      </w:pPr>
      <w:r w:rsidRPr="00141895">
        <w:rPr>
          <w:b/>
          <w:u w:val="single"/>
        </w:rPr>
        <w:t>Recommendation</w:t>
      </w:r>
    </w:p>
    <w:p w14:paraId="1A3EC4A8" w14:textId="77777777" w:rsidR="004B5565" w:rsidRDefault="004B5565" w:rsidP="004B5565"/>
    <w:p w14:paraId="3978CCC1" w14:textId="44006F59" w:rsidR="00931DD3" w:rsidRPr="00917277" w:rsidRDefault="00931DD3" w:rsidP="00931DD3">
      <w:r w:rsidRPr="00B60E0C">
        <w:t xml:space="preserve">Take no action, thereby allowing the tariff </w:t>
      </w:r>
      <w:r>
        <w:t>pages</w:t>
      </w:r>
      <w:r w:rsidRPr="00B60E0C">
        <w:t xml:space="preserve"> filed by </w:t>
      </w:r>
      <w:r>
        <w:t xml:space="preserve">Thunder Ridge Water Co., Inc. on November 3, 2017, and </w:t>
      </w:r>
      <w:r w:rsidRPr="00B121FA">
        <w:t xml:space="preserve">revised on December </w:t>
      </w:r>
      <w:r w:rsidR="00B121FA" w:rsidRPr="00B121FA">
        <w:t>5</w:t>
      </w:r>
      <w:r w:rsidRPr="00B121FA">
        <w:t>, 2017, to become</w:t>
      </w:r>
      <w:r>
        <w:t xml:space="preserve"> effective December 15</w:t>
      </w:r>
      <w:r w:rsidRPr="00B60E0C">
        <w:t>, 201</w:t>
      </w:r>
      <w:r>
        <w:t>7</w:t>
      </w:r>
      <w:r w:rsidRPr="00B60E0C">
        <w:t>, by operation of law.</w:t>
      </w:r>
      <w:r>
        <w:t xml:space="preserve"> </w:t>
      </w:r>
    </w:p>
    <w:p w14:paraId="0C70258C" w14:textId="77777777" w:rsidR="003D2B9A" w:rsidRDefault="003D2B9A" w:rsidP="004B5565"/>
    <w:p w14:paraId="36783353" w14:textId="77777777" w:rsidR="0029507B" w:rsidRDefault="0029507B" w:rsidP="0029507B">
      <w:pPr>
        <w:rPr>
          <w:rFonts w:eastAsiaTheme="minorHAnsi"/>
          <w:lang w:bidi="ar-SA"/>
        </w:rPr>
      </w:pPr>
    </w:p>
    <w:sectPr w:rsidR="0029507B" w:rsidSect="00642356">
      <w:headerReference w:type="default" r:id="rId12"/>
      <w:pgSz w:w="12240" w:h="15840"/>
      <w:pgMar w:top="1122" w:right="1440" w:bottom="1440" w:left="144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C5CD8" w14:textId="77777777" w:rsidR="008E1B7A" w:rsidRDefault="008E1B7A" w:rsidP="00BE5610">
      <w:r>
        <w:separator/>
      </w:r>
    </w:p>
  </w:endnote>
  <w:endnote w:type="continuationSeparator" w:id="0">
    <w:p w14:paraId="6C9227C0" w14:textId="77777777" w:rsidR="008E1B7A" w:rsidRDefault="008E1B7A" w:rsidP="00BE5610">
      <w:r>
        <w:continuationSeparator/>
      </w:r>
    </w:p>
  </w:endnote>
  <w:endnote w:type="continuationNotice" w:id="1">
    <w:p w14:paraId="6B0DB3A0" w14:textId="77777777" w:rsidR="008E1B7A" w:rsidRDefault="008E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15BD" w14:textId="77777777" w:rsidR="008E1B7A" w:rsidRDefault="008E1B7A" w:rsidP="00BE5610">
      <w:r>
        <w:separator/>
      </w:r>
    </w:p>
  </w:footnote>
  <w:footnote w:type="continuationSeparator" w:id="0">
    <w:p w14:paraId="3022264B" w14:textId="77777777" w:rsidR="008E1B7A" w:rsidRDefault="008E1B7A" w:rsidP="00BE5610">
      <w:r>
        <w:continuationSeparator/>
      </w:r>
    </w:p>
  </w:footnote>
  <w:footnote w:type="continuationNotice" w:id="1">
    <w:p w14:paraId="5D18FCB4" w14:textId="77777777" w:rsidR="008E1B7A" w:rsidRDefault="008E1B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0483" w14:textId="57803C18" w:rsidR="008D4B4D" w:rsidRPr="00A17748" w:rsidRDefault="008D4B4D" w:rsidP="00BE5610">
    <w:pPr>
      <w:pStyle w:val="Header"/>
      <w:rPr>
        <w:sz w:val="20"/>
        <w:szCs w:val="20"/>
      </w:rPr>
    </w:pPr>
    <w:r w:rsidRPr="00A17748">
      <w:rPr>
        <w:sz w:val="20"/>
        <w:szCs w:val="20"/>
      </w:rPr>
      <w:t>Docket UW-</w:t>
    </w:r>
    <w:r w:rsidR="00931DD3">
      <w:rPr>
        <w:sz w:val="20"/>
        <w:szCs w:val="20"/>
      </w:rPr>
      <w:t>171106</w:t>
    </w:r>
  </w:p>
  <w:p w14:paraId="72760484" w14:textId="2A676CFE" w:rsidR="008D4B4D" w:rsidRPr="00A17748" w:rsidRDefault="008F67FC" w:rsidP="00BE5610">
    <w:pPr>
      <w:pStyle w:val="Header"/>
      <w:rPr>
        <w:sz w:val="20"/>
        <w:szCs w:val="20"/>
      </w:rPr>
    </w:pPr>
    <w:r>
      <w:rPr>
        <w:sz w:val="20"/>
        <w:szCs w:val="20"/>
      </w:rPr>
      <w:t>December</w:t>
    </w:r>
    <w:r w:rsidR="003D2B9A">
      <w:rPr>
        <w:sz w:val="20"/>
        <w:szCs w:val="20"/>
      </w:rPr>
      <w:t xml:space="preserve"> </w:t>
    </w:r>
    <w:r w:rsidR="00643545">
      <w:rPr>
        <w:sz w:val="20"/>
        <w:szCs w:val="20"/>
      </w:rPr>
      <w:t>1</w:t>
    </w:r>
    <w:r>
      <w:rPr>
        <w:sz w:val="20"/>
        <w:szCs w:val="20"/>
      </w:rPr>
      <w:t>4</w:t>
    </w:r>
    <w:r w:rsidR="0078439D">
      <w:rPr>
        <w:sz w:val="20"/>
        <w:szCs w:val="20"/>
      </w:rPr>
      <w:t xml:space="preserve">, </w:t>
    </w:r>
    <w:r w:rsidR="00EF51C4">
      <w:rPr>
        <w:sz w:val="20"/>
        <w:szCs w:val="20"/>
      </w:rPr>
      <w:t>2017</w:t>
    </w:r>
  </w:p>
  <w:p w14:paraId="72760485" w14:textId="77777777" w:rsidR="008D4B4D" w:rsidRPr="00A17748" w:rsidRDefault="008D4B4D" w:rsidP="00BE5610">
    <w:pPr>
      <w:pStyle w:val="Header"/>
      <w:rPr>
        <w:sz w:val="20"/>
        <w:szCs w:val="20"/>
      </w:rPr>
    </w:pPr>
    <w:r w:rsidRPr="00A17748">
      <w:rPr>
        <w:sz w:val="20"/>
        <w:szCs w:val="20"/>
      </w:rPr>
      <w:t xml:space="preserve">Page </w:t>
    </w:r>
    <w:r w:rsidR="001F4A6E" w:rsidRPr="00A17748">
      <w:rPr>
        <w:sz w:val="20"/>
        <w:szCs w:val="20"/>
      </w:rPr>
      <w:fldChar w:fldCharType="begin"/>
    </w:r>
    <w:r w:rsidR="00F56C47" w:rsidRPr="00A17748">
      <w:rPr>
        <w:sz w:val="20"/>
        <w:szCs w:val="20"/>
      </w:rPr>
      <w:instrText xml:space="preserve"> PAGE   \* MERGEFORMAT </w:instrText>
    </w:r>
    <w:r w:rsidR="001F4A6E" w:rsidRPr="00A17748">
      <w:rPr>
        <w:sz w:val="20"/>
        <w:szCs w:val="20"/>
      </w:rPr>
      <w:fldChar w:fldCharType="separate"/>
    </w:r>
    <w:r w:rsidR="003F5698">
      <w:rPr>
        <w:noProof/>
        <w:sz w:val="20"/>
        <w:szCs w:val="20"/>
      </w:rPr>
      <w:t>2</w:t>
    </w:r>
    <w:r w:rsidR="001F4A6E" w:rsidRPr="00A17748">
      <w:rPr>
        <w:sz w:val="20"/>
        <w:szCs w:val="20"/>
      </w:rPr>
      <w:fldChar w:fldCharType="end"/>
    </w:r>
  </w:p>
  <w:p w14:paraId="72760486" w14:textId="77777777" w:rsidR="00A17748" w:rsidRPr="003B700C" w:rsidRDefault="00A17748" w:rsidP="00BE5610">
    <w:pPr>
      <w:pStyle w:val="Header"/>
    </w:pPr>
  </w:p>
  <w:p w14:paraId="72760487" w14:textId="77777777" w:rsidR="008D4B4D" w:rsidRDefault="008D4B4D"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67D"/>
    <w:multiLevelType w:val="hybridMultilevel"/>
    <w:tmpl w:val="3FA63780"/>
    <w:lvl w:ilvl="0" w:tplc="7400AD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87CE9"/>
    <w:multiLevelType w:val="hybridMultilevel"/>
    <w:tmpl w:val="EC7C070A"/>
    <w:lvl w:ilvl="0" w:tplc="D03E976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C508B"/>
    <w:multiLevelType w:val="hybridMultilevel"/>
    <w:tmpl w:val="C2EEC3EC"/>
    <w:lvl w:ilvl="0" w:tplc="A9C80A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3161A4"/>
    <w:multiLevelType w:val="hybridMultilevel"/>
    <w:tmpl w:val="169A5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927B57"/>
    <w:multiLevelType w:val="hybridMultilevel"/>
    <w:tmpl w:val="A1EC5620"/>
    <w:lvl w:ilvl="0" w:tplc="A13E3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777A514C"/>
    <w:multiLevelType w:val="hybridMultilevel"/>
    <w:tmpl w:val="36640DBC"/>
    <w:lvl w:ilvl="0" w:tplc="BABC50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6"/>
  </w:num>
  <w:num w:numId="5">
    <w:abstractNumId w:val="2"/>
  </w:num>
  <w:num w:numId="6">
    <w:abstractNumId w:val="5"/>
  </w:num>
  <w:num w:numId="7">
    <w:abstractNumId w:val="10"/>
  </w:num>
  <w:num w:numId="8">
    <w:abstractNumId w:val="1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8"/>
  </w:num>
  <w:num w:numId="20">
    <w:abstractNumId w:val="19"/>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hideSpellingErrors/>
  <w:hideGrammaticalErrors/>
  <w:defaultTabStop w:val="720"/>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2F08"/>
    <w:rsid w:val="00004AFC"/>
    <w:rsid w:val="00005828"/>
    <w:rsid w:val="00013E50"/>
    <w:rsid w:val="00015DD8"/>
    <w:rsid w:val="00022396"/>
    <w:rsid w:val="000279E2"/>
    <w:rsid w:val="00027B07"/>
    <w:rsid w:val="0003714D"/>
    <w:rsid w:val="000420E9"/>
    <w:rsid w:val="000458AC"/>
    <w:rsid w:val="00053628"/>
    <w:rsid w:val="00054CC9"/>
    <w:rsid w:val="00055945"/>
    <w:rsid w:val="000625B1"/>
    <w:rsid w:val="0006481C"/>
    <w:rsid w:val="00065256"/>
    <w:rsid w:val="00066C40"/>
    <w:rsid w:val="0006708E"/>
    <w:rsid w:val="00075E51"/>
    <w:rsid w:val="0008268C"/>
    <w:rsid w:val="00082892"/>
    <w:rsid w:val="00083D7B"/>
    <w:rsid w:val="000908F4"/>
    <w:rsid w:val="000909CD"/>
    <w:rsid w:val="00097E35"/>
    <w:rsid w:val="000A56E6"/>
    <w:rsid w:val="000A643C"/>
    <w:rsid w:val="000B0C16"/>
    <w:rsid w:val="000B0CFD"/>
    <w:rsid w:val="000B46AF"/>
    <w:rsid w:val="000B5CBF"/>
    <w:rsid w:val="000C2481"/>
    <w:rsid w:val="000C2588"/>
    <w:rsid w:val="000C2F30"/>
    <w:rsid w:val="000C3D4F"/>
    <w:rsid w:val="000C4EB0"/>
    <w:rsid w:val="000D01D2"/>
    <w:rsid w:val="000D3B16"/>
    <w:rsid w:val="000D3CE0"/>
    <w:rsid w:val="000D6DAF"/>
    <w:rsid w:val="000D706D"/>
    <w:rsid w:val="000E640C"/>
    <w:rsid w:val="000E714E"/>
    <w:rsid w:val="000F29ED"/>
    <w:rsid w:val="00104189"/>
    <w:rsid w:val="00107827"/>
    <w:rsid w:val="00111EF9"/>
    <w:rsid w:val="00114B3D"/>
    <w:rsid w:val="00123700"/>
    <w:rsid w:val="00126930"/>
    <w:rsid w:val="0013089B"/>
    <w:rsid w:val="00130B3D"/>
    <w:rsid w:val="00136DD9"/>
    <w:rsid w:val="00140589"/>
    <w:rsid w:val="00141434"/>
    <w:rsid w:val="001423FE"/>
    <w:rsid w:val="00142B36"/>
    <w:rsid w:val="00143CDB"/>
    <w:rsid w:val="001463B2"/>
    <w:rsid w:val="0014659D"/>
    <w:rsid w:val="00154718"/>
    <w:rsid w:val="00155851"/>
    <w:rsid w:val="001603B0"/>
    <w:rsid w:val="0016055D"/>
    <w:rsid w:val="00160BF0"/>
    <w:rsid w:val="0016348F"/>
    <w:rsid w:val="00164EAD"/>
    <w:rsid w:val="0016545B"/>
    <w:rsid w:val="00165DBD"/>
    <w:rsid w:val="001663A6"/>
    <w:rsid w:val="00167054"/>
    <w:rsid w:val="00171102"/>
    <w:rsid w:val="0017222A"/>
    <w:rsid w:val="00173A9E"/>
    <w:rsid w:val="00173F60"/>
    <w:rsid w:val="00177491"/>
    <w:rsid w:val="00177CFA"/>
    <w:rsid w:val="001834A3"/>
    <w:rsid w:val="00184003"/>
    <w:rsid w:val="00187E0D"/>
    <w:rsid w:val="00190825"/>
    <w:rsid w:val="0019761A"/>
    <w:rsid w:val="001A096F"/>
    <w:rsid w:val="001A0A16"/>
    <w:rsid w:val="001B3770"/>
    <w:rsid w:val="001C2AF9"/>
    <w:rsid w:val="001C5AB1"/>
    <w:rsid w:val="001C7DFD"/>
    <w:rsid w:val="001D0EF3"/>
    <w:rsid w:val="001D2A48"/>
    <w:rsid w:val="001D3109"/>
    <w:rsid w:val="001D6D33"/>
    <w:rsid w:val="001D6EF4"/>
    <w:rsid w:val="001E0047"/>
    <w:rsid w:val="001E0702"/>
    <w:rsid w:val="001E1BE5"/>
    <w:rsid w:val="001E741D"/>
    <w:rsid w:val="001F0AE7"/>
    <w:rsid w:val="001F30F9"/>
    <w:rsid w:val="001F3D7A"/>
    <w:rsid w:val="001F453C"/>
    <w:rsid w:val="001F465E"/>
    <w:rsid w:val="001F4A6E"/>
    <w:rsid w:val="001F68E6"/>
    <w:rsid w:val="00201D7C"/>
    <w:rsid w:val="002027E0"/>
    <w:rsid w:val="0021363E"/>
    <w:rsid w:val="0021491D"/>
    <w:rsid w:val="0022116C"/>
    <w:rsid w:val="002218EF"/>
    <w:rsid w:val="00226657"/>
    <w:rsid w:val="0022668E"/>
    <w:rsid w:val="002277F9"/>
    <w:rsid w:val="00227DC0"/>
    <w:rsid w:val="00241236"/>
    <w:rsid w:val="00241B80"/>
    <w:rsid w:val="00244A84"/>
    <w:rsid w:val="002469F5"/>
    <w:rsid w:val="002500F3"/>
    <w:rsid w:val="00251E71"/>
    <w:rsid w:val="00260D57"/>
    <w:rsid w:val="002622A8"/>
    <w:rsid w:val="002721F0"/>
    <w:rsid w:val="0027477E"/>
    <w:rsid w:val="00283AD9"/>
    <w:rsid w:val="00285152"/>
    <w:rsid w:val="002863C0"/>
    <w:rsid w:val="00291958"/>
    <w:rsid w:val="00292F9A"/>
    <w:rsid w:val="00294AE3"/>
    <w:rsid w:val="0029507B"/>
    <w:rsid w:val="00295745"/>
    <w:rsid w:val="002976F9"/>
    <w:rsid w:val="002A152F"/>
    <w:rsid w:val="002A70D7"/>
    <w:rsid w:val="002B5724"/>
    <w:rsid w:val="002C039A"/>
    <w:rsid w:val="002C6110"/>
    <w:rsid w:val="002D49F9"/>
    <w:rsid w:val="002D5898"/>
    <w:rsid w:val="002E50C7"/>
    <w:rsid w:val="002F4971"/>
    <w:rsid w:val="002F70BE"/>
    <w:rsid w:val="00300789"/>
    <w:rsid w:val="00300D92"/>
    <w:rsid w:val="003037CA"/>
    <w:rsid w:val="00305C35"/>
    <w:rsid w:val="0030657A"/>
    <w:rsid w:val="0031064B"/>
    <w:rsid w:val="003129A3"/>
    <w:rsid w:val="003135DB"/>
    <w:rsid w:val="003212A2"/>
    <w:rsid w:val="003219B9"/>
    <w:rsid w:val="00324289"/>
    <w:rsid w:val="00330C32"/>
    <w:rsid w:val="003317D9"/>
    <w:rsid w:val="00333221"/>
    <w:rsid w:val="00334A7C"/>
    <w:rsid w:val="00337C05"/>
    <w:rsid w:val="003405F0"/>
    <w:rsid w:val="003409B8"/>
    <w:rsid w:val="00340C02"/>
    <w:rsid w:val="00346012"/>
    <w:rsid w:val="0035154C"/>
    <w:rsid w:val="00355EE9"/>
    <w:rsid w:val="00355F2E"/>
    <w:rsid w:val="003603C8"/>
    <w:rsid w:val="00360656"/>
    <w:rsid w:val="00366898"/>
    <w:rsid w:val="00367ED5"/>
    <w:rsid w:val="00371BF2"/>
    <w:rsid w:val="0037375E"/>
    <w:rsid w:val="00375440"/>
    <w:rsid w:val="00377CD3"/>
    <w:rsid w:val="0038287D"/>
    <w:rsid w:val="00385F54"/>
    <w:rsid w:val="00392579"/>
    <w:rsid w:val="00396F67"/>
    <w:rsid w:val="003A0DCE"/>
    <w:rsid w:val="003A16AC"/>
    <w:rsid w:val="003A3028"/>
    <w:rsid w:val="003A4DE7"/>
    <w:rsid w:val="003A78F8"/>
    <w:rsid w:val="003B03D7"/>
    <w:rsid w:val="003B3419"/>
    <w:rsid w:val="003B4D1C"/>
    <w:rsid w:val="003B69E6"/>
    <w:rsid w:val="003B700C"/>
    <w:rsid w:val="003C166B"/>
    <w:rsid w:val="003C16E8"/>
    <w:rsid w:val="003C4EB8"/>
    <w:rsid w:val="003D1E26"/>
    <w:rsid w:val="003D2276"/>
    <w:rsid w:val="003D25A3"/>
    <w:rsid w:val="003D2B9A"/>
    <w:rsid w:val="003D3029"/>
    <w:rsid w:val="003D717F"/>
    <w:rsid w:val="003E6D45"/>
    <w:rsid w:val="003F0972"/>
    <w:rsid w:val="003F3880"/>
    <w:rsid w:val="003F4466"/>
    <w:rsid w:val="003F5698"/>
    <w:rsid w:val="00405F3D"/>
    <w:rsid w:val="00411F64"/>
    <w:rsid w:val="00424794"/>
    <w:rsid w:val="004340AA"/>
    <w:rsid w:val="004409F5"/>
    <w:rsid w:val="004456FB"/>
    <w:rsid w:val="0044609C"/>
    <w:rsid w:val="00450175"/>
    <w:rsid w:val="00450267"/>
    <w:rsid w:val="00451AF9"/>
    <w:rsid w:val="0045370F"/>
    <w:rsid w:val="00453B71"/>
    <w:rsid w:val="00455301"/>
    <w:rsid w:val="00460C58"/>
    <w:rsid w:val="00464C42"/>
    <w:rsid w:val="00466174"/>
    <w:rsid w:val="0046632D"/>
    <w:rsid w:val="00471ABB"/>
    <w:rsid w:val="00472DF2"/>
    <w:rsid w:val="004730C8"/>
    <w:rsid w:val="00473F57"/>
    <w:rsid w:val="00482338"/>
    <w:rsid w:val="004838E1"/>
    <w:rsid w:val="00485723"/>
    <w:rsid w:val="00495B71"/>
    <w:rsid w:val="00496744"/>
    <w:rsid w:val="00497530"/>
    <w:rsid w:val="004A1CB5"/>
    <w:rsid w:val="004A5C6A"/>
    <w:rsid w:val="004A691E"/>
    <w:rsid w:val="004A6CE2"/>
    <w:rsid w:val="004A7EA7"/>
    <w:rsid w:val="004B0CA7"/>
    <w:rsid w:val="004B5565"/>
    <w:rsid w:val="004C5605"/>
    <w:rsid w:val="004C6977"/>
    <w:rsid w:val="004D4EF6"/>
    <w:rsid w:val="004D5E19"/>
    <w:rsid w:val="004D7C89"/>
    <w:rsid w:val="004D7E01"/>
    <w:rsid w:val="004E0141"/>
    <w:rsid w:val="004E589D"/>
    <w:rsid w:val="004F009E"/>
    <w:rsid w:val="004F14A6"/>
    <w:rsid w:val="00504DB9"/>
    <w:rsid w:val="005131DE"/>
    <w:rsid w:val="00524BCD"/>
    <w:rsid w:val="0052757D"/>
    <w:rsid w:val="00527CF8"/>
    <w:rsid w:val="00532ADB"/>
    <w:rsid w:val="00533DBE"/>
    <w:rsid w:val="00544DDE"/>
    <w:rsid w:val="00545974"/>
    <w:rsid w:val="00552600"/>
    <w:rsid w:val="005561C1"/>
    <w:rsid w:val="0056400F"/>
    <w:rsid w:val="00566EF4"/>
    <w:rsid w:val="0056751B"/>
    <w:rsid w:val="0057047C"/>
    <w:rsid w:val="00581FE0"/>
    <w:rsid w:val="00585C41"/>
    <w:rsid w:val="00587A2D"/>
    <w:rsid w:val="00591D1D"/>
    <w:rsid w:val="00595023"/>
    <w:rsid w:val="0059620F"/>
    <w:rsid w:val="00596FF6"/>
    <w:rsid w:val="00597882"/>
    <w:rsid w:val="005A1499"/>
    <w:rsid w:val="005A6C74"/>
    <w:rsid w:val="005B2899"/>
    <w:rsid w:val="005B4C72"/>
    <w:rsid w:val="005B537A"/>
    <w:rsid w:val="005C15D1"/>
    <w:rsid w:val="005D4356"/>
    <w:rsid w:val="005D4CA4"/>
    <w:rsid w:val="005D7925"/>
    <w:rsid w:val="005E4264"/>
    <w:rsid w:val="005F0112"/>
    <w:rsid w:val="005F04C1"/>
    <w:rsid w:val="005F51F2"/>
    <w:rsid w:val="005F609C"/>
    <w:rsid w:val="005F7033"/>
    <w:rsid w:val="00601832"/>
    <w:rsid w:val="00602797"/>
    <w:rsid w:val="00602EC3"/>
    <w:rsid w:val="00607292"/>
    <w:rsid w:val="00615FD6"/>
    <w:rsid w:val="0061665D"/>
    <w:rsid w:val="00616813"/>
    <w:rsid w:val="006173EB"/>
    <w:rsid w:val="0062191D"/>
    <w:rsid w:val="0062474A"/>
    <w:rsid w:val="00626264"/>
    <w:rsid w:val="006268C8"/>
    <w:rsid w:val="00626A8A"/>
    <w:rsid w:val="006308C7"/>
    <w:rsid w:val="00631A0F"/>
    <w:rsid w:val="00631C8E"/>
    <w:rsid w:val="0063234F"/>
    <w:rsid w:val="00637352"/>
    <w:rsid w:val="0063793C"/>
    <w:rsid w:val="00641A44"/>
    <w:rsid w:val="00642356"/>
    <w:rsid w:val="00642AC3"/>
    <w:rsid w:val="00643545"/>
    <w:rsid w:val="006449EA"/>
    <w:rsid w:val="00645A0C"/>
    <w:rsid w:val="00645DC8"/>
    <w:rsid w:val="00647ECD"/>
    <w:rsid w:val="00654D5A"/>
    <w:rsid w:val="006615D9"/>
    <w:rsid w:val="00661F4F"/>
    <w:rsid w:val="00663104"/>
    <w:rsid w:val="006700B0"/>
    <w:rsid w:val="00670AAC"/>
    <w:rsid w:val="00671E46"/>
    <w:rsid w:val="00672B18"/>
    <w:rsid w:val="00672F7B"/>
    <w:rsid w:val="0068242A"/>
    <w:rsid w:val="00683780"/>
    <w:rsid w:val="0068432F"/>
    <w:rsid w:val="00684C49"/>
    <w:rsid w:val="00695625"/>
    <w:rsid w:val="00695B48"/>
    <w:rsid w:val="006A021F"/>
    <w:rsid w:val="006A41EE"/>
    <w:rsid w:val="006A4895"/>
    <w:rsid w:val="006A54E9"/>
    <w:rsid w:val="006B2FFF"/>
    <w:rsid w:val="006B3DFE"/>
    <w:rsid w:val="006B4513"/>
    <w:rsid w:val="006B495A"/>
    <w:rsid w:val="006B51B8"/>
    <w:rsid w:val="006B6D42"/>
    <w:rsid w:val="006B795B"/>
    <w:rsid w:val="006C013C"/>
    <w:rsid w:val="006C3712"/>
    <w:rsid w:val="006C714F"/>
    <w:rsid w:val="006D15C2"/>
    <w:rsid w:val="006D22CE"/>
    <w:rsid w:val="006D2A44"/>
    <w:rsid w:val="006D30F3"/>
    <w:rsid w:val="006D52E1"/>
    <w:rsid w:val="006E2736"/>
    <w:rsid w:val="006E3B58"/>
    <w:rsid w:val="006F72CD"/>
    <w:rsid w:val="006F7E63"/>
    <w:rsid w:val="00703161"/>
    <w:rsid w:val="00703A93"/>
    <w:rsid w:val="00705164"/>
    <w:rsid w:val="0071402F"/>
    <w:rsid w:val="00717A8C"/>
    <w:rsid w:val="007228E4"/>
    <w:rsid w:val="00723480"/>
    <w:rsid w:val="007261E5"/>
    <w:rsid w:val="00727992"/>
    <w:rsid w:val="007335C6"/>
    <w:rsid w:val="00734BC8"/>
    <w:rsid w:val="007429F3"/>
    <w:rsid w:val="00746397"/>
    <w:rsid w:val="00747F34"/>
    <w:rsid w:val="00751B5E"/>
    <w:rsid w:val="00754ED6"/>
    <w:rsid w:val="00760A01"/>
    <w:rsid w:val="0076679B"/>
    <w:rsid w:val="00767BDD"/>
    <w:rsid w:val="00772F17"/>
    <w:rsid w:val="00773CAD"/>
    <w:rsid w:val="00774275"/>
    <w:rsid w:val="00775F4A"/>
    <w:rsid w:val="0078439D"/>
    <w:rsid w:val="00790302"/>
    <w:rsid w:val="007913E9"/>
    <w:rsid w:val="00795585"/>
    <w:rsid w:val="0079709F"/>
    <w:rsid w:val="007A0BDB"/>
    <w:rsid w:val="007A529A"/>
    <w:rsid w:val="007C141D"/>
    <w:rsid w:val="007D10B9"/>
    <w:rsid w:val="007D188F"/>
    <w:rsid w:val="007D1BE6"/>
    <w:rsid w:val="007D716D"/>
    <w:rsid w:val="007E5B2C"/>
    <w:rsid w:val="007E71A3"/>
    <w:rsid w:val="007F26EF"/>
    <w:rsid w:val="007F2AE2"/>
    <w:rsid w:val="007F70C8"/>
    <w:rsid w:val="0080117F"/>
    <w:rsid w:val="008020A5"/>
    <w:rsid w:val="0080580F"/>
    <w:rsid w:val="008111DE"/>
    <w:rsid w:val="008165AD"/>
    <w:rsid w:val="00816612"/>
    <w:rsid w:val="00825773"/>
    <w:rsid w:val="00826C0C"/>
    <w:rsid w:val="00826F11"/>
    <w:rsid w:val="00827BE3"/>
    <w:rsid w:val="00832CE0"/>
    <w:rsid w:val="00841DF9"/>
    <w:rsid w:val="00845826"/>
    <w:rsid w:val="00853B63"/>
    <w:rsid w:val="0085598E"/>
    <w:rsid w:val="00861389"/>
    <w:rsid w:val="008630EA"/>
    <w:rsid w:val="00863543"/>
    <w:rsid w:val="0087483A"/>
    <w:rsid w:val="00877282"/>
    <w:rsid w:val="00886E84"/>
    <w:rsid w:val="008871CF"/>
    <w:rsid w:val="008A350E"/>
    <w:rsid w:val="008A6176"/>
    <w:rsid w:val="008A6E88"/>
    <w:rsid w:val="008A71DF"/>
    <w:rsid w:val="008B479D"/>
    <w:rsid w:val="008B4AA0"/>
    <w:rsid w:val="008C168F"/>
    <w:rsid w:val="008C1E17"/>
    <w:rsid w:val="008C26CE"/>
    <w:rsid w:val="008D0AAC"/>
    <w:rsid w:val="008D4B4D"/>
    <w:rsid w:val="008E1B7A"/>
    <w:rsid w:val="008F67FC"/>
    <w:rsid w:val="008F7696"/>
    <w:rsid w:val="00901675"/>
    <w:rsid w:val="00901E60"/>
    <w:rsid w:val="00903F29"/>
    <w:rsid w:val="00904BBD"/>
    <w:rsid w:val="00906056"/>
    <w:rsid w:val="00906387"/>
    <w:rsid w:val="00910B20"/>
    <w:rsid w:val="009111D0"/>
    <w:rsid w:val="00914216"/>
    <w:rsid w:val="00915BD4"/>
    <w:rsid w:val="00917277"/>
    <w:rsid w:val="00917BBA"/>
    <w:rsid w:val="009203CC"/>
    <w:rsid w:val="009206A2"/>
    <w:rsid w:val="0092572C"/>
    <w:rsid w:val="009270B9"/>
    <w:rsid w:val="0093048B"/>
    <w:rsid w:val="00931DD3"/>
    <w:rsid w:val="00935AF2"/>
    <w:rsid w:val="00966A58"/>
    <w:rsid w:val="00972F4A"/>
    <w:rsid w:val="00973FDF"/>
    <w:rsid w:val="009768A1"/>
    <w:rsid w:val="00983416"/>
    <w:rsid w:val="00984AEE"/>
    <w:rsid w:val="00986E7E"/>
    <w:rsid w:val="00992790"/>
    <w:rsid w:val="009A6C76"/>
    <w:rsid w:val="009B2F83"/>
    <w:rsid w:val="009B5DCE"/>
    <w:rsid w:val="009B677C"/>
    <w:rsid w:val="009B696D"/>
    <w:rsid w:val="009C06C8"/>
    <w:rsid w:val="009D109C"/>
    <w:rsid w:val="009E17E7"/>
    <w:rsid w:val="009E4F48"/>
    <w:rsid w:val="009F44F7"/>
    <w:rsid w:val="009F5CF7"/>
    <w:rsid w:val="00A04699"/>
    <w:rsid w:val="00A0517C"/>
    <w:rsid w:val="00A05E08"/>
    <w:rsid w:val="00A10E54"/>
    <w:rsid w:val="00A17748"/>
    <w:rsid w:val="00A201C0"/>
    <w:rsid w:val="00A20BF6"/>
    <w:rsid w:val="00A26FD3"/>
    <w:rsid w:val="00A2758F"/>
    <w:rsid w:val="00A3239F"/>
    <w:rsid w:val="00A41C23"/>
    <w:rsid w:val="00A42E8D"/>
    <w:rsid w:val="00A5145E"/>
    <w:rsid w:val="00A52858"/>
    <w:rsid w:val="00A6009F"/>
    <w:rsid w:val="00A616A5"/>
    <w:rsid w:val="00A61D96"/>
    <w:rsid w:val="00A6683D"/>
    <w:rsid w:val="00A67402"/>
    <w:rsid w:val="00A7048A"/>
    <w:rsid w:val="00A70E29"/>
    <w:rsid w:val="00A726C4"/>
    <w:rsid w:val="00A73C46"/>
    <w:rsid w:val="00A7437D"/>
    <w:rsid w:val="00A745CB"/>
    <w:rsid w:val="00A8090E"/>
    <w:rsid w:val="00A822CA"/>
    <w:rsid w:val="00A82D8E"/>
    <w:rsid w:val="00A84C2A"/>
    <w:rsid w:val="00A84F18"/>
    <w:rsid w:val="00A85688"/>
    <w:rsid w:val="00A86F90"/>
    <w:rsid w:val="00A8749C"/>
    <w:rsid w:val="00A902E8"/>
    <w:rsid w:val="00A92D83"/>
    <w:rsid w:val="00AA2A99"/>
    <w:rsid w:val="00AB7892"/>
    <w:rsid w:val="00AC5977"/>
    <w:rsid w:val="00AC6F3A"/>
    <w:rsid w:val="00AD0897"/>
    <w:rsid w:val="00AD15DE"/>
    <w:rsid w:val="00AD3312"/>
    <w:rsid w:val="00AD3DD8"/>
    <w:rsid w:val="00AD4B87"/>
    <w:rsid w:val="00AD542F"/>
    <w:rsid w:val="00AE0900"/>
    <w:rsid w:val="00AF1D42"/>
    <w:rsid w:val="00AF4059"/>
    <w:rsid w:val="00AF5800"/>
    <w:rsid w:val="00B00171"/>
    <w:rsid w:val="00B03361"/>
    <w:rsid w:val="00B07013"/>
    <w:rsid w:val="00B121FA"/>
    <w:rsid w:val="00B13041"/>
    <w:rsid w:val="00B2676D"/>
    <w:rsid w:val="00B3307B"/>
    <w:rsid w:val="00B34845"/>
    <w:rsid w:val="00B35380"/>
    <w:rsid w:val="00B360DD"/>
    <w:rsid w:val="00B3651B"/>
    <w:rsid w:val="00B42AD0"/>
    <w:rsid w:val="00B44955"/>
    <w:rsid w:val="00B44C58"/>
    <w:rsid w:val="00B451F0"/>
    <w:rsid w:val="00B45CF2"/>
    <w:rsid w:val="00B46D34"/>
    <w:rsid w:val="00B52021"/>
    <w:rsid w:val="00B5220D"/>
    <w:rsid w:val="00B5241C"/>
    <w:rsid w:val="00B55CD3"/>
    <w:rsid w:val="00B56E98"/>
    <w:rsid w:val="00B603AA"/>
    <w:rsid w:val="00B639FC"/>
    <w:rsid w:val="00B71DC1"/>
    <w:rsid w:val="00B71DE5"/>
    <w:rsid w:val="00B73DAA"/>
    <w:rsid w:val="00B843C9"/>
    <w:rsid w:val="00B84E56"/>
    <w:rsid w:val="00B93246"/>
    <w:rsid w:val="00B97113"/>
    <w:rsid w:val="00B97C0F"/>
    <w:rsid w:val="00BA0EB0"/>
    <w:rsid w:val="00BB2331"/>
    <w:rsid w:val="00BC18B9"/>
    <w:rsid w:val="00BC605E"/>
    <w:rsid w:val="00BD16DB"/>
    <w:rsid w:val="00BD1C60"/>
    <w:rsid w:val="00BD7F1F"/>
    <w:rsid w:val="00BE2965"/>
    <w:rsid w:val="00BE5610"/>
    <w:rsid w:val="00BE7B4A"/>
    <w:rsid w:val="00BF2510"/>
    <w:rsid w:val="00C011D5"/>
    <w:rsid w:val="00C03AA9"/>
    <w:rsid w:val="00C03D67"/>
    <w:rsid w:val="00C04FF5"/>
    <w:rsid w:val="00C05B5E"/>
    <w:rsid w:val="00C05E8C"/>
    <w:rsid w:val="00C0624C"/>
    <w:rsid w:val="00C062C0"/>
    <w:rsid w:val="00C07C24"/>
    <w:rsid w:val="00C10361"/>
    <w:rsid w:val="00C272A0"/>
    <w:rsid w:val="00C3573E"/>
    <w:rsid w:val="00C36001"/>
    <w:rsid w:val="00C36D30"/>
    <w:rsid w:val="00C40231"/>
    <w:rsid w:val="00C412C5"/>
    <w:rsid w:val="00C41B31"/>
    <w:rsid w:val="00C42A41"/>
    <w:rsid w:val="00C46208"/>
    <w:rsid w:val="00C500B7"/>
    <w:rsid w:val="00C627C8"/>
    <w:rsid w:val="00C62CA7"/>
    <w:rsid w:val="00C647EB"/>
    <w:rsid w:val="00C67C47"/>
    <w:rsid w:val="00C71EF8"/>
    <w:rsid w:val="00C753C6"/>
    <w:rsid w:val="00C76AE6"/>
    <w:rsid w:val="00C81151"/>
    <w:rsid w:val="00C91AB9"/>
    <w:rsid w:val="00C92705"/>
    <w:rsid w:val="00C9274A"/>
    <w:rsid w:val="00C94165"/>
    <w:rsid w:val="00CA1CBC"/>
    <w:rsid w:val="00CA22AF"/>
    <w:rsid w:val="00CA3026"/>
    <w:rsid w:val="00CA50F7"/>
    <w:rsid w:val="00CA6007"/>
    <w:rsid w:val="00CC134E"/>
    <w:rsid w:val="00CC4FE2"/>
    <w:rsid w:val="00CD43F1"/>
    <w:rsid w:val="00CD6BB4"/>
    <w:rsid w:val="00CD758B"/>
    <w:rsid w:val="00CF1AA4"/>
    <w:rsid w:val="00CF2F3E"/>
    <w:rsid w:val="00CF517B"/>
    <w:rsid w:val="00CF66D8"/>
    <w:rsid w:val="00D00B3A"/>
    <w:rsid w:val="00D0403B"/>
    <w:rsid w:val="00D108C7"/>
    <w:rsid w:val="00D12988"/>
    <w:rsid w:val="00D12B32"/>
    <w:rsid w:val="00D27BE1"/>
    <w:rsid w:val="00D31072"/>
    <w:rsid w:val="00D33FD2"/>
    <w:rsid w:val="00D3762B"/>
    <w:rsid w:val="00D4026A"/>
    <w:rsid w:val="00D428DD"/>
    <w:rsid w:val="00D44D58"/>
    <w:rsid w:val="00D47789"/>
    <w:rsid w:val="00D53F2F"/>
    <w:rsid w:val="00D57235"/>
    <w:rsid w:val="00D6344E"/>
    <w:rsid w:val="00D64963"/>
    <w:rsid w:val="00D65C0A"/>
    <w:rsid w:val="00D662D4"/>
    <w:rsid w:val="00D70105"/>
    <w:rsid w:val="00D731A6"/>
    <w:rsid w:val="00D7596F"/>
    <w:rsid w:val="00D7659F"/>
    <w:rsid w:val="00D77A03"/>
    <w:rsid w:val="00D878E4"/>
    <w:rsid w:val="00D9391D"/>
    <w:rsid w:val="00D93EFD"/>
    <w:rsid w:val="00D96246"/>
    <w:rsid w:val="00D96F9A"/>
    <w:rsid w:val="00DA1B86"/>
    <w:rsid w:val="00DA4527"/>
    <w:rsid w:val="00DA7589"/>
    <w:rsid w:val="00DB145D"/>
    <w:rsid w:val="00DB2C3F"/>
    <w:rsid w:val="00DB3767"/>
    <w:rsid w:val="00DD2A47"/>
    <w:rsid w:val="00DD2D5D"/>
    <w:rsid w:val="00DD65A6"/>
    <w:rsid w:val="00DD6714"/>
    <w:rsid w:val="00DD7A9B"/>
    <w:rsid w:val="00DF2307"/>
    <w:rsid w:val="00DF28C4"/>
    <w:rsid w:val="00DF38A5"/>
    <w:rsid w:val="00E0109D"/>
    <w:rsid w:val="00E02017"/>
    <w:rsid w:val="00E06BAA"/>
    <w:rsid w:val="00E1796B"/>
    <w:rsid w:val="00E21E65"/>
    <w:rsid w:val="00E224D1"/>
    <w:rsid w:val="00E254C9"/>
    <w:rsid w:val="00E256DF"/>
    <w:rsid w:val="00E26DE6"/>
    <w:rsid w:val="00E35CB7"/>
    <w:rsid w:val="00E35D9D"/>
    <w:rsid w:val="00E37996"/>
    <w:rsid w:val="00E456CF"/>
    <w:rsid w:val="00E50A27"/>
    <w:rsid w:val="00E53B48"/>
    <w:rsid w:val="00E57AB2"/>
    <w:rsid w:val="00E60353"/>
    <w:rsid w:val="00E63501"/>
    <w:rsid w:val="00E6726B"/>
    <w:rsid w:val="00E70D53"/>
    <w:rsid w:val="00E7198A"/>
    <w:rsid w:val="00E81EB3"/>
    <w:rsid w:val="00E8562C"/>
    <w:rsid w:val="00E864B6"/>
    <w:rsid w:val="00E941B2"/>
    <w:rsid w:val="00E9696F"/>
    <w:rsid w:val="00E96BCC"/>
    <w:rsid w:val="00EA4A60"/>
    <w:rsid w:val="00EA52A5"/>
    <w:rsid w:val="00EB23E8"/>
    <w:rsid w:val="00EB3A93"/>
    <w:rsid w:val="00EB41E4"/>
    <w:rsid w:val="00EB4CE3"/>
    <w:rsid w:val="00EB6042"/>
    <w:rsid w:val="00EC0680"/>
    <w:rsid w:val="00EC3B3F"/>
    <w:rsid w:val="00EC4599"/>
    <w:rsid w:val="00EC5118"/>
    <w:rsid w:val="00ED2310"/>
    <w:rsid w:val="00ED3FED"/>
    <w:rsid w:val="00ED4CC8"/>
    <w:rsid w:val="00EE0291"/>
    <w:rsid w:val="00EE6798"/>
    <w:rsid w:val="00EE7659"/>
    <w:rsid w:val="00EF4141"/>
    <w:rsid w:val="00EF436B"/>
    <w:rsid w:val="00EF51C4"/>
    <w:rsid w:val="00F00111"/>
    <w:rsid w:val="00F00561"/>
    <w:rsid w:val="00F148CB"/>
    <w:rsid w:val="00F167E4"/>
    <w:rsid w:val="00F16ABA"/>
    <w:rsid w:val="00F21B68"/>
    <w:rsid w:val="00F27C98"/>
    <w:rsid w:val="00F3018E"/>
    <w:rsid w:val="00F32FEE"/>
    <w:rsid w:val="00F330AF"/>
    <w:rsid w:val="00F35DB6"/>
    <w:rsid w:val="00F35FBC"/>
    <w:rsid w:val="00F40EE9"/>
    <w:rsid w:val="00F435A5"/>
    <w:rsid w:val="00F469A1"/>
    <w:rsid w:val="00F469E5"/>
    <w:rsid w:val="00F5180A"/>
    <w:rsid w:val="00F52FA8"/>
    <w:rsid w:val="00F5301F"/>
    <w:rsid w:val="00F541D0"/>
    <w:rsid w:val="00F55C37"/>
    <w:rsid w:val="00F55FEE"/>
    <w:rsid w:val="00F56C47"/>
    <w:rsid w:val="00F609BF"/>
    <w:rsid w:val="00F67C41"/>
    <w:rsid w:val="00F700D9"/>
    <w:rsid w:val="00F70C22"/>
    <w:rsid w:val="00F72BDE"/>
    <w:rsid w:val="00F76684"/>
    <w:rsid w:val="00F8237C"/>
    <w:rsid w:val="00F8306C"/>
    <w:rsid w:val="00F84928"/>
    <w:rsid w:val="00F854D6"/>
    <w:rsid w:val="00F87B48"/>
    <w:rsid w:val="00F87E83"/>
    <w:rsid w:val="00F90612"/>
    <w:rsid w:val="00F90779"/>
    <w:rsid w:val="00F92193"/>
    <w:rsid w:val="00F93D9C"/>
    <w:rsid w:val="00F96540"/>
    <w:rsid w:val="00F96ED4"/>
    <w:rsid w:val="00FA0C0C"/>
    <w:rsid w:val="00FA572A"/>
    <w:rsid w:val="00FA609D"/>
    <w:rsid w:val="00FB29B1"/>
    <w:rsid w:val="00FB741F"/>
    <w:rsid w:val="00FC239F"/>
    <w:rsid w:val="00FC2AA6"/>
    <w:rsid w:val="00FD1034"/>
    <w:rsid w:val="00FE2453"/>
    <w:rsid w:val="00FE4417"/>
    <w:rsid w:val="00FE5559"/>
    <w:rsid w:val="00FE5608"/>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76044E"/>
  <w15:docId w15:val="{AFF078F7-0BDD-41C2-921E-38D32C0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1F68E6"/>
    <w:rPr>
      <w:sz w:val="20"/>
      <w:szCs w:val="20"/>
    </w:rPr>
  </w:style>
  <w:style w:type="character" w:customStyle="1" w:styleId="FootnoteTextChar">
    <w:name w:val="Footnote Text Char"/>
    <w:basedOn w:val="DefaultParagraphFont"/>
    <w:link w:val="FootnoteText"/>
    <w:uiPriority w:val="99"/>
    <w:semiHidden/>
    <w:rsid w:val="001F68E6"/>
    <w:rPr>
      <w:rFonts w:ascii="Times New Roman" w:hAnsi="Times New Roman"/>
      <w:lang w:bidi="en-US"/>
    </w:rPr>
  </w:style>
  <w:style w:type="character" w:styleId="FootnoteReference">
    <w:name w:val="footnote reference"/>
    <w:basedOn w:val="DefaultParagraphFont"/>
    <w:uiPriority w:val="99"/>
    <w:semiHidden/>
    <w:unhideWhenUsed/>
    <w:rsid w:val="001F6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0011">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304094074">
      <w:bodyDiv w:val="1"/>
      <w:marLeft w:val="0"/>
      <w:marRight w:val="0"/>
      <w:marTop w:val="0"/>
      <w:marBottom w:val="0"/>
      <w:divBdr>
        <w:top w:val="none" w:sz="0" w:space="0" w:color="auto"/>
        <w:left w:val="none" w:sz="0" w:space="0" w:color="auto"/>
        <w:bottom w:val="none" w:sz="0" w:space="0" w:color="auto"/>
        <w:right w:val="none" w:sz="0" w:space="0" w:color="auto"/>
      </w:divBdr>
    </w:div>
    <w:div w:id="694616758">
      <w:bodyDiv w:val="1"/>
      <w:marLeft w:val="0"/>
      <w:marRight w:val="0"/>
      <w:marTop w:val="0"/>
      <w:marBottom w:val="0"/>
      <w:divBdr>
        <w:top w:val="none" w:sz="0" w:space="0" w:color="auto"/>
        <w:left w:val="none" w:sz="0" w:space="0" w:color="auto"/>
        <w:bottom w:val="none" w:sz="0" w:space="0" w:color="auto"/>
        <w:right w:val="none" w:sz="0" w:space="0" w:color="auto"/>
      </w:divBdr>
    </w:div>
    <w:div w:id="767115072">
      <w:bodyDiv w:val="1"/>
      <w:marLeft w:val="0"/>
      <w:marRight w:val="0"/>
      <w:marTop w:val="0"/>
      <w:marBottom w:val="0"/>
      <w:divBdr>
        <w:top w:val="none" w:sz="0" w:space="0" w:color="auto"/>
        <w:left w:val="none" w:sz="0" w:space="0" w:color="auto"/>
        <w:bottom w:val="none" w:sz="0" w:space="0" w:color="auto"/>
        <w:right w:val="none" w:sz="0" w:space="0" w:color="auto"/>
      </w:divBdr>
    </w:div>
    <w:div w:id="852189306">
      <w:bodyDiv w:val="1"/>
      <w:marLeft w:val="0"/>
      <w:marRight w:val="0"/>
      <w:marTop w:val="0"/>
      <w:marBottom w:val="0"/>
      <w:divBdr>
        <w:top w:val="none" w:sz="0" w:space="0" w:color="auto"/>
        <w:left w:val="none" w:sz="0" w:space="0" w:color="auto"/>
        <w:bottom w:val="none" w:sz="0" w:space="0" w:color="auto"/>
        <w:right w:val="none" w:sz="0" w:space="0" w:color="auto"/>
      </w:divBdr>
    </w:div>
    <w:div w:id="894318037">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056735202">
      <w:bodyDiv w:val="1"/>
      <w:marLeft w:val="0"/>
      <w:marRight w:val="0"/>
      <w:marTop w:val="0"/>
      <w:marBottom w:val="0"/>
      <w:divBdr>
        <w:top w:val="none" w:sz="0" w:space="0" w:color="auto"/>
        <w:left w:val="none" w:sz="0" w:space="0" w:color="auto"/>
        <w:bottom w:val="none" w:sz="0" w:space="0" w:color="auto"/>
        <w:right w:val="none" w:sz="0" w:space="0" w:color="auto"/>
      </w:divBdr>
    </w:div>
    <w:div w:id="1145584761">
      <w:bodyDiv w:val="1"/>
      <w:marLeft w:val="0"/>
      <w:marRight w:val="0"/>
      <w:marTop w:val="0"/>
      <w:marBottom w:val="0"/>
      <w:divBdr>
        <w:top w:val="none" w:sz="0" w:space="0" w:color="auto"/>
        <w:left w:val="none" w:sz="0" w:space="0" w:color="auto"/>
        <w:bottom w:val="none" w:sz="0" w:space="0" w:color="auto"/>
        <w:right w:val="none" w:sz="0" w:space="0" w:color="auto"/>
      </w:divBdr>
    </w:div>
    <w:div w:id="1270316267">
      <w:bodyDiv w:val="1"/>
      <w:marLeft w:val="0"/>
      <w:marRight w:val="0"/>
      <w:marTop w:val="0"/>
      <w:marBottom w:val="0"/>
      <w:divBdr>
        <w:top w:val="none" w:sz="0" w:space="0" w:color="auto"/>
        <w:left w:val="none" w:sz="0" w:space="0" w:color="auto"/>
        <w:bottom w:val="none" w:sz="0" w:space="0" w:color="auto"/>
        <w:right w:val="none" w:sz="0" w:space="0" w:color="auto"/>
      </w:divBdr>
    </w:div>
    <w:div w:id="1376079044">
      <w:bodyDiv w:val="1"/>
      <w:marLeft w:val="0"/>
      <w:marRight w:val="0"/>
      <w:marTop w:val="0"/>
      <w:marBottom w:val="0"/>
      <w:divBdr>
        <w:top w:val="none" w:sz="0" w:space="0" w:color="auto"/>
        <w:left w:val="none" w:sz="0" w:space="0" w:color="auto"/>
        <w:bottom w:val="none" w:sz="0" w:space="0" w:color="auto"/>
        <w:right w:val="none" w:sz="0" w:space="0" w:color="auto"/>
      </w:divBdr>
    </w:div>
    <w:div w:id="1544487887">
      <w:bodyDiv w:val="1"/>
      <w:marLeft w:val="0"/>
      <w:marRight w:val="0"/>
      <w:marTop w:val="0"/>
      <w:marBottom w:val="0"/>
      <w:divBdr>
        <w:top w:val="none" w:sz="0" w:space="0" w:color="auto"/>
        <w:left w:val="none" w:sz="0" w:space="0" w:color="auto"/>
        <w:bottom w:val="none" w:sz="0" w:space="0" w:color="auto"/>
        <w:right w:val="none" w:sz="0" w:space="0" w:color="auto"/>
      </w:divBdr>
    </w:div>
    <w:div w:id="21121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C2EAC11B222246A6F99479E39E0DF5" ma:contentTypeVersion="104" ma:contentTypeDescription="" ma:contentTypeScope="" ma:versionID="eba189677479e059a5dc9b6941c28d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2017-11-03T07:00:00+00:00</OpenedDate>
    <Date1 xmlns="dc463f71-b30c-4ab2-9473-d307f9d35888">2017-12-14T08:00:00+00:00</Date1>
    <IsDocumentOrder xmlns="dc463f71-b30c-4ab2-9473-d307f9d35888">false</IsDocumentOrder>
    <IsHighlyConfidential xmlns="dc463f71-b30c-4ab2-9473-d307f9d35888">false</IsHighlyConfidential>
    <CaseCompanyNames xmlns="dc463f71-b30c-4ab2-9473-d307f9d35888">Thunder Ridge Water Co., Inc.</CaseCompanyNames>
    <Nickname xmlns="http://schemas.microsoft.com/sharepoint/v3" xsi:nil="true"/>
    <DocketNumber xmlns="dc463f71-b30c-4ab2-9473-d307f9d35888">171106</DocketNumber>
    <DelegatedOrder xmlns="dc463f71-b30c-4ab2-9473-d307f9d35888">false</DelegatedOrder>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5B89C35-4DB2-4B11-863A-E32F1BC314F6}">
  <ds:schemaRefs>
    <ds:schemaRef ds:uri="http://schemas.microsoft.com/sharepoint/v3/contenttype/forms"/>
  </ds:schemaRefs>
</ds:datastoreItem>
</file>

<file path=customXml/itemProps2.xml><?xml version="1.0" encoding="utf-8"?>
<ds:datastoreItem xmlns:ds="http://schemas.openxmlformats.org/officeDocument/2006/customXml" ds:itemID="{69A2B954-FF01-4AC3-A890-9CD4ADD13D9B}">
  <ds:schemaRefs>
    <ds:schemaRef ds:uri="http://schemas.microsoft.com/office/2006/metadata/longProperties"/>
  </ds:schemaRefs>
</ds:datastoreItem>
</file>

<file path=customXml/itemProps3.xml><?xml version="1.0" encoding="utf-8"?>
<ds:datastoreItem xmlns:ds="http://schemas.openxmlformats.org/officeDocument/2006/customXml" ds:itemID="{4954A339-76DA-48C0-9BFB-95FEB1DBE9B4}"/>
</file>

<file path=customXml/itemProps4.xml><?xml version="1.0" encoding="utf-8"?>
<ds:datastoreItem xmlns:ds="http://schemas.openxmlformats.org/officeDocument/2006/customXml" ds:itemID="{45227816-F000-4174-9D2D-0767F5EBBD00}">
  <ds:schemaRefs>
    <ds:schemaRef ds:uri="http://purl.org/dc/dcmitype/"/>
    <ds:schemaRef ds:uri="ADBD1999-B2F5-475D-8642-96C18099A221"/>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751276d0-61bc-4dad-b75c-21dfd12630ad"/>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D666711-836E-43CB-AE04-4B63240DCAF7}">
  <ds:schemaRefs>
    <ds:schemaRef ds:uri="http://schemas.openxmlformats.org/officeDocument/2006/bibliography"/>
  </ds:schemaRefs>
</ds:datastoreItem>
</file>

<file path=customXml/itemProps6.xml><?xml version="1.0" encoding="utf-8"?>
<ds:datastoreItem xmlns:ds="http://schemas.openxmlformats.org/officeDocument/2006/customXml" ds:itemID="{CF9F9C84-D3AB-4DE2-A3A3-E428813B5E6F}"/>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UW-171106 Memo 01</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UW-171106 Memo 01</dc:title>
  <dc:creator>JWard</dc:creator>
  <cp:lastModifiedBy>Wyse, Lisa (UTC)</cp:lastModifiedBy>
  <cp:revision>2</cp:revision>
  <cp:lastPrinted>2017-01-03T15:33:00Z</cp:lastPrinted>
  <dcterms:created xsi:type="dcterms:W3CDTF">2017-12-12T00:39:00Z</dcterms:created>
  <dcterms:modified xsi:type="dcterms:W3CDTF">2017-12-12T00:39:00Z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0x0101006E56B4D1795A2E4DB2F0B01679ED314A002DC2EAC11B222246A6F99479E39E0DF5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y fmtid="{D5CDD505-2E9C-101B-9397-08002B2CF9AE}" pid="8" name="ItemID">
    <vt:lpwstr>A02</vt:lpwstr>
  </property>
  <property fmtid="{D5CDD505-2E9C-101B-9397-08002B2CF9AE}" pid="9" name="AD Review Date">
    <vt:lpwstr>12/5/2017</vt:lpwstr>
  </property>
  <property fmtid="{D5CDD505-2E9C-101B-9397-08002B2CF9AE}" pid="10" name="ADR">
    <vt:bool>true</vt:bool>
  </property>
  <property fmtid="{D5CDD505-2E9C-101B-9397-08002B2CF9AE}" pid="11" name="IsEFSEC">
    <vt:bool>false</vt:bool>
  </property>
</Properties>
</file>