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78D840" w14:textId="77777777" w:rsidR="000A1236" w:rsidRPr="00C923D6" w:rsidRDefault="000A1236">
      <w:pPr>
        <w:pStyle w:val="BodyText"/>
        <w:rPr>
          <w:b/>
          <w:bCs/>
        </w:rPr>
      </w:pPr>
      <w:bookmarkStart w:id="0" w:name="_GoBack"/>
      <w:bookmarkEnd w:id="0"/>
      <w:r w:rsidRPr="00C923D6">
        <w:rPr>
          <w:b/>
          <w:bCs/>
        </w:rPr>
        <w:t xml:space="preserve">BEFORE THE </w:t>
      </w:r>
      <w:smartTag w:uri="urn:schemas-microsoft-com:office:smarttags" w:element="City">
        <w:smartTag w:uri="urn:schemas-microsoft-com:office:smarttags" w:element="PlaceName">
          <w:r w:rsidRPr="00C923D6">
            <w:rPr>
              <w:b/>
              <w:bCs/>
            </w:rPr>
            <w:t>WASHINGTON</w:t>
          </w:r>
        </w:smartTag>
        <w:r w:rsidRPr="00C923D6">
          <w:rPr>
            <w:b/>
            <w:bCs/>
          </w:rPr>
          <w:t xml:space="preserve"> </w:t>
        </w:r>
        <w:smartTag w:uri="urn:schemas-microsoft-com:office:smarttags" w:element="PlaceType">
          <w:r w:rsidRPr="00C923D6">
            <w:rPr>
              <w:b/>
              <w:bCs/>
            </w:rPr>
            <w:t>STATE</w:t>
          </w:r>
        </w:smartTag>
      </w:smartTag>
    </w:p>
    <w:p w14:paraId="720CF3F3" w14:textId="7237AF0C" w:rsidR="000A1236" w:rsidRDefault="000A1236">
      <w:pPr>
        <w:pStyle w:val="BodyText"/>
        <w:rPr>
          <w:b/>
          <w:bCs/>
        </w:rPr>
      </w:pPr>
      <w:r w:rsidRPr="00C923D6">
        <w:rPr>
          <w:b/>
          <w:bCs/>
        </w:rPr>
        <w:t xml:space="preserve">UTILITIES AND TRANSPORTATION </w:t>
      </w:r>
      <w:r w:rsidR="00553F0E">
        <w:rPr>
          <w:b/>
          <w:bCs/>
        </w:rPr>
        <w:t>COMMISSION</w:t>
      </w:r>
    </w:p>
    <w:p w14:paraId="75F7B646" w14:textId="77777777" w:rsidR="004652F0" w:rsidRPr="00C923D6" w:rsidRDefault="004652F0">
      <w:pPr>
        <w:pStyle w:val="BodyText"/>
        <w:rPr>
          <w:b/>
          <w:bCs/>
        </w:rPr>
      </w:pPr>
    </w:p>
    <w:p w14:paraId="3B188527" w14:textId="77777777" w:rsidR="000A1236" w:rsidRPr="00C923D6" w:rsidRDefault="000A1236">
      <w:pPr>
        <w:jc w:val="center"/>
      </w:pPr>
    </w:p>
    <w:tbl>
      <w:tblPr>
        <w:tblW w:w="8991" w:type="dxa"/>
        <w:tblCellMar>
          <w:left w:w="115" w:type="dxa"/>
          <w:right w:w="115" w:type="dxa"/>
        </w:tblCellMar>
        <w:tblLook w:val="0000" w:firstRow="0" w:lastRow="0" w:firstColumn="0" w:lastColumn="0" w:noHBand="0" w:noVBand="0"/>
      </w:tblPr>
      <w:tblGrid>
        <w:gridCol w:w="4410"/>
        <w:gridCol w:w="486"/>
        <w:gridCol w:w="4095"/>
      </w:tblGrid>
      <w:tr w:rsidR="000A1236" w:rsidRPr="00C923D6" w14:paraId="6C8A9369" w14:textId="77777777" w:rsidTr="00553F0E">
        <w:tc>
          <w:tcPr>
            <w:tcW w:w="4410" w:type="dxa"/>
            <w:tcBorders>
              <w:bottom w:val="single" w:sz="4" w:space="0" w:color="auto"/>
              <w:right w:val="single" w:sz="4" w:space="0" w:color="auto"/>
            </w:tcBorders>
          </w:tcPr>
          <w:p w14:paraId="36B90E66" w14:textId="77777777" w:rsidR="000A1236" w:rsidRPr="004652F0" w:rsidRDefault="000A1236">
            <w:pPr>
              <w:pStyle w:val="Header"/>
              <w:tabs>
                <w:tab w:val="clear" w:pos="4320"/>
                <w:tab w:val="clear" w:pos="8640"/>
              </w:tabs>
            </w:pPr>
            <w:r w:rsidRPr="004652F0">
              <w:t xml:space="preserve">In the Matter of the Petition of </w:t>
            </w:r>
          </w:p>
          <w:p w14:paraId="746A21BD" w14:textId="77777777" w:rsidR="000A1236" w:rsidRPr="004652F0" w:rsidRDefault="000A1236"/>
          <w:p w14:paraId="269D42D4" w14:textId="1E5E4703" w:rsidR="007308FD" w:rsidRPr="004652F0" w:rsidRDefault="00985CFF" w:rsidP="00D75862">
            <w:r w:rsidRPr="004652F0">
              <w:t xml:space="preserve">PUGET SOUND ENERGY, </w:t>
            </w:r>
          </w:p>
          <w:p w14:paraId="7A197988" w14:textId="5302680B" w:rsidR="000A1236" w:rsidRPr="004652F0" w:rsidRDefault="000A1236"/>
          <w:p w14:paraId="3E58514A" w14:textId="77777777" w:rsidR="000A1236" w:rsidRPr="004652F0" w:rsidRDefault="000A1236" w:rsidP="00057BB3">
            <w:pPr>
              <w:jc w:val="center"/>
            </w:pPr>
            <w:r w:rsidRPr="004652F0">
              <w:t>Petitioner,</w:t>
            </w:r>
          </w:p>
          <w:p w14:paraId="5D335986" w14:textId="77777777" w:rsidR="000A1236" w:rsidRPr="004652F0" w:rsidRDefault="000A1236"/>
          <w:p w14:paraId="15FE5B20" w14:textId="52876519" w:rsidR="004652F0" w:rsidRDefault="00407309" w:rsidP="00407309">
            <w:pPr>
              <w:ind w:right="-274"/>
              <w:rPr>
                <w:szCs w:val="23"/>
              </w:rPr>
            </w:pPr>
            <w:r w:rsidRPr="004652F0">
              <w:rPr>
                <w:szCs w:val="23"/>
              </w:rPr>
              <w:t xml:space="preserve">For an Accounting Order Authorizing the Deferral of Fixed Production Costs Previously Recovered in </w:t>
            </w:r>
            <w:r w:rsidR="004652F0">
              <w:rPr>
                <w:szCs w:val="23"/>
              </w:rPr>
              <w:t>PSE</w:t>
            </w:r>
            <w:r w:rsidR="00553F0E">
              <w:rPr>
                <w:szCs w:val="23"/>
              </w:rPr>
              <w:t>’</w:t>
            </w:r>
            <w:r w:rsidR="004652F0">
              <w:rPr>
                <w:szCs w:val="23"/>
              </w:rPr>
              <w:t xml:space="preserve">s </w:t>
            </w:r>
            <w:r w:rsidRPr="004652F0">
              <w:rPr>
                <w:szCs w:val="23"/>
              </w:rPr>
              <w:t xml:space="preserve">Power </w:t>
            </w:r>
          </w:p>
          <w:p w14:paraId="59FA8E40" w14:textId="77777777" w:rsidR="00407309" w:rsidRPr="004652F0" w:rsidRDefault="00407309" w:rsidP="00407309">
            <w:pPr>
              <w:ind w:right="-274"/>
              <w:rPr>
                <w:szCs w:val="23"/>
              </w:rPr>
            </w:pPr>
            <w:r w:rsidRPr="004652F0">
              <w:rPr>
                <w:szCs w:val="23"/>
              </w:rPr>
              <w:t xml:space="preserve">Cost Adjustment Mechanism </w:t>
            </w:r>
          </w:p>
          <w:p w14:paraId="7C300CDB" w14:textId="77777777" w:rsidR="000A1236" w:rsidRPr="004652F0" w:rsidRDefault="000A1236" w:rsidP="004652F0">
            <w:pPr>
              <w:spacing w:after="120"/>
              <w:ind w:right="-274"/>
            </w:pPr>
          </w:p>
        </w:tc>
        <w:tc>
          <w:tcPr>
            <w:tcW w:w="486" w:type="dxa"/>
            <w:tcBorders>
              <w:left w:val="single" w:sz="4" w:space="0" w:color="auto"/>
            </w:tcBorders>
          </w:tcPr>
          <w:p w14:paraId="5A6A2511" w14:textId="77777777" w:rsidR="000A1236" w:rsidRPr="00C923D6" w:rsidRDefault="000A1236">
            <w:pPr>
              <w:jc w:val="center"/>
            </w:pPr>
          </w:p>
        </w:tc>
        <w:tc>
          <w:tcPr>
            <w:tcW w:w="4095" w:type="dxa"/>
          </w:tcPr>
          <w:p w14:paraId="351CF297" w14:textId="57863740" w:rsidR="000A1236" w:rsidRPr="00C923D6" w:rsidRDefault="00491C72">
            <w:r>
              <w:t>DOCKET</w:t>
            </w:r>
            <w:r w:rsidR="00AC1794">
              <w:t xml:space="preserve"> </w:t>
            </w:r>
            <w:r w:rsidR="00E53E92">
              <w:t>UE-16</w:t>
            </w:r>
            <w:r w:rsidR="009526A0">
              <w:t>1</w:t>
            </w:r>
            <w:r w:rsidR="00A86644">
              <w:t>1</w:t>
            </w:r>
            <w:r w:rsidR="009526A0">
              <w:t>12</w:t>
            </w:r>
          </w:p>
          <w:p w14:paraId="32935689" w14:textId="77777777" w:rsidR="000A1236" w:rsidRPr="00C923D6" w:rsidRDefault="000A1236"/>
          <w:p w14:paraId="596B8AC7" w14:textId="46AF8B77" w:rsidR="000A1236" w:rsidRPr="00C923D6" w:rsidRDefault="00491C72">
            <w:r>
              <w:t>ORDER</w:t>
            </w:r>
            <w:r w:rsidR="000A1236" w:rsidRPr="00C923D6">
              <w:t xml:space="preserve"> </w:t>
            </w:r>
            <w:r w:rsidR="00E53E92">
              <w:t>01</w:t>
            </w:r>
          </w:p>
          <w:p w14:paraId="0DB7D94D" w14:textId="77777777" w:rsidR="000A1236" w:rsidRPr="00C923D6" w:rsidRDefault="000A1236">
            <w:pPr>
              <w:rPr>
                <w:b/>
                <w:bCs/>
              </w:rPr>
            </w:pPr>
          </w:p>
          <w:p w14:paraId="61180CC1" w14:textId="77777777" w:rsidR="00830CD8" w:rsidRDefault="00830CD8" w:rsidP="00830CD8">
            <w:pPr>
              <w:pStyle w:val="Default"/>
            </w:pPr>
          </w:p>
          <w:tbl>
            <w:tblPr>
              <w:tblW w:w="0" w:type="auto"/>
              <w:tblBorders>
                <w:top w:val="nil"/>
                <w:left w:val="nil"/>
                <w:bottom w:val="nil"/>
                <w:right w:val="nil"/>
              </w:tblBorders>
              <w:tblLook w:val="0000" w:firstRow="0" w:lastRow="0" w:firstColumn="0" w:lastColumn="0" w:noHBand="0" w:noVBand="0"/>
            </w:tblPr>
            <w:tblGrid>
              <w:gridCol w:w="3865"/>
            </w:tblGrid>
            <w:tr w:rsidR="00830CD8" w14:paraId="1D3F807B" w14:textId="77777777">
              <w:trPr>
                <w:trHeight w:val="385"/>
              </w:trPr>
              <w:tc>
                <w:tcPr>
                  <w:tcW w:w="0" w:type="auto"/>
                </w:tcPr>
                <w:p w14:paraId="72AE2146" w14:textId="77777777" w:rsidR="00830CD8" w:rsidRDefault="00830CD8" w:rsidP="00961707">
                  <w:pPr>
                    <w:pStyle w:val="Default"/>
                    <w:ind w:left="-96"/>
                    <w:rPr>
                      <w:sz w:val="23"/>
                      <w:szCs w:val="23"/>
                    </w:rPr>
                  </w:pPr>
                  <w:r>
                    <w:rPr>
                      <w:sz w:val="23"/>
                      <w:szCs w:val="23"/>
                    </w:rPr>
                    <w:t xml:space="preserve">ORDER </w:t>
                  </w:r>
                  <w:r w:rsidR="009526A0">
                    <w:rPr>
                      <w:sz w:val="23"/>
                      <w:szCs w:val="23"/>
                    </w:rPr>
                    <w:t>GRANTING</w:t>
                  </w:r>
                  <w:r>
                    <w:rPr>
                      <w:sz w:val="23"/>
                      <w:szCs w:val="23"/>
                    </w:rPr>
                    <w:t xml:space="preserve"> </w:t>
                  </w:r>
                  <w:r w:rsidR="009526A0">
                    <w:rPr>
                      <w:sz w:val="23"/>
                      <w:szCs w:val="23"/>
                    </w:rPr>
                    <w:t xml:space="preserve">ACCOUNTING </w:t>
                  </w:r>
                  <w:r>
                    <w:rPr>
                      <w:sz w:val="23"/>
                      <w:szCs w:val="23"/>
                    </w:rPr>
                    <w:t>P</w:t>
                  </w:r>
                  <w:r w:rsidR="009526A0">
                    <w:rPr>
                      <w:sz w:val="23"/>
                      <w:szCs w:val="23"/>
                    </w:rPr>
                    <w:t xml:space="preserve">ETITION </w:t>
                  </w:r>
                </w:p>
              </w:tc>
            </w:tr>
          </w:tbl>
          <w:p w14:paraId="2830A083" w14:textId="77777777" w:rsidR="000A1236" w:rsidRPr="00C923D6" w:rsidRDefault="000A1236">
            <w:pPr>
              <w:pStyle w:val="Header"/>
              <w:tabs>
                <w:tab w:val="clear" w:pos="4320"/>
                <w:tab w:val="clear" w:pos="8640"/>
              </w:tabs>
            </w:pPr>
          </w:p>
        </w:tc>
      </w:tr>
    </w:tbl>
    <w:p w14:paraId="1B460A79" w14:textId="77777777" w:rsidR="000A1236" w:rsidRPr="00C923D6" w:rsidRDefault="000A1236">
      <w:pPr>
        <w:jc w:val="center"/>
      </w:pPr>
    </w:p>
    <w:p w14:paraId="690C8A03" w14:textId="77777777" w:rsidR="000A1236" w:rsidRPr="00C923D6" w:rsidRDefault="000A1236">
      <w:pPr>
        <w:pStyle w:val="Heading1"/>
        <w:spacing w:line="288" w:lineRule="auto"/>
      </w:pPr>
      <w:r w:rsidRPr="00C923D6">
        <w:t>BACKGROUND</w:t>
      </w:r>
    </w:p>
    <w:p w14:paraId="21178EED" w14:textId="77777777" w:rsidR="000A1236" w:rsidRPr="00C923D6" w:rsidRDefault="000A1236">
      <w:pPr>
        <w:spacing w:line="288" w:lineRule="auto"/>
        <w:jc w:val="center"/>
      </w:pPr>
    </w:p>
    <w:p w14:paraId="1FD2DAEA" w14:textId="2BFF00FF" w:rsidR="00831DAF" w:rsidRDefault="00815F74" w:rsidP="00815F74">
      <w:pPr>
        <w:numPr>
          <w:ilvl w:val="0"/>
          <w:numId w:val="1"/>
        </w:numPr>
        <w:spacing w:line="288" w:lineRule="auto"/>
      </w:pPr>
      <w:r w:rsidRPr="00C923D6">
        <w:t>On</w:t>
      </w:r>
      <w:r>
        <w:t xml:space="preserve"> September 30, 2016</w:t>
      </w:r>
      <w:r w:rsidRPr="00C923D6">
        <w:t>,</w:t>
      </w:r>
      <w:r w:rsidRPr="005175C1">
        <w:rPr>
          <w:b/>
          <w:bCs/>
        </w:rPr>
        <w:t xml:space="preserve"> </w:t>
      </w:r>
      <w:r w:rsidRPr="005175C1">
        <w:rPr>
          <w:bCs/>
        </w:rPr>
        <w:t xml:space="preserve">Puget Sound Energy </w:t>
      </w:r>
      <w:r w:rsidRPr="00C923D6">
        <w:t>(</w:t>
      </w:r>
      <w:r>
        <w:t>PSE or Company</w:t>
      </w:r>
      <w:r w:rsidRPr="00C923D6">
        <w:t>)</w:t>
      </w:r>
      <w:r w:rsidRPr="005175C1">
        <w:rPr>
          <w:b/>
          <w:bCs/>
        </w:rPr>
        <w:t xml:space="preserve"> </w:t>
      </w:r>
      <w:r>
        <w:t xml:space="preserve">filed with the </w:t>
      </w:r>
      <w:r w:rsidRPr="00C923D6">
        <w:t xml:space="preserve">Washington Utilities and Transportation </w:t>
      </w:r>
      <w:r w:rsidR="00553F0E">
        <w:t>Commission</w:t>
      </w:r>
      <w:r w:rsidRPr="00C923D6">
        <w:t xml:space="preserve"> </w:t>
      </w:r>
      <w:r>
        <w:t>(</w:t>
      </w:r>
      <w:r w:rsidR="00553F0E">
        <w:t>Commission</w:t>
      </w:r>
      <w:r>
        <w:t xml:space="preserve">) a petition requesting an </w:t>
      </w:r>
      <w:r w:rsidRPr="0052040E">
        <w:t>acco</w:t>
      </w:r>
      <w:r>
        <w:t xml:space="preserve">unting order </w:t>
      </w:r>
      <w:r w:rsidR="00F04E56">
        <w:t xml:space="preserve">(Petition), which would </w:t>
      </w:r>
      <w:r>
        <w:t xml:space="preserve">allow the Company to </w:t>
      </w:r>
      <w:r w:rsidRPr="0052040E">
        <w:t xml:space="preserve">defer </w:t>
      </w:r>
      <w:r>
        <w:t>revenue variances</w:t>
      </w:r>
      <w:r w:rsidR="00F04E56">
        <w:rPr>
          <w:rStyle w:val="FootnoteReference"/>
        </w:rPr>
        <w:footnoteReference w:id="2"/>
      </w:r>
      <w:r>
        <w:t xml:space="preserve"> associated with its recovery of its </w:t>
      </w:r>
      <w:r w:rsidRPr="0052040E">
        <w:t>fixed production related costs</w:t>
      </w:r>
      <w:r w:rsidR="00FA587B">
        <w:t>,</w:t>
      </w:r>
      <w:r w:rsidRPr="0052040E">
        <w:t xml:space="preserve"> </w:t>
      </w:r>
      <w:r>
        <w:t xml:space="preserve">which are due to be </w:t>
      </w:r>
      <w:r w:rsidRPr="0052040E">
        <w:t>remov</w:t>
      </w:r>
      <w:r>
        <w:t>ed</w:t>
      </w:r>
      <w:r w:rsidRPr="0052040E">
        <w:t xml:space="preserve"> from PSE</w:t>
      </w:r>
      <w:r w:rsidR="00553F0E">
        <w:t>’</w:t>
      </w:r>
      <w:r w:rsidRPr="0052040E">
        <w:t xml:space="preserve">s Power Cost Adjustment (PCA) </w:t>
      </w:r>
      <w:r w:rsidR="003866B0" w:rsidRPr="0052040E">
        <w:t xml:space="preserve">mechanism </w:t>
      </w:r>
      <w:r w:rsidRPr="0052040E">
        <w:t xml:space="preserve">beginning </w:t>
      </w:r>
      <w:r w:rsidR="00B61E9F">
        <w:t xml:space="preserve">  </w:t>
      </w:r>
      <w:r w:rsidRPr="0052040E">
        <w:t>January 1, 2017</w:t>
      </w:r>
      <w:r>
        <w:t>.</w:t>
      </w:r>
      <w:r w:rsidR="00885300">
        <w:rPr>
          <w:rStyle w:val="FootnoteReference"/>
        </w:rPr>
        <w:footnoteReference w:id="3"/>
      </w:r>
      <w:r w:rsidR="00885300">
        <w:t xml:space="preserve"> </w:t>
      </w:r>
      <w:r w:rsidR="00073237">
        <w:t xml:space="preserve">The deferral period </w:t>
      </w:r>
      <w:r w:rsidR="00C10C9B">
        <w:t>would commence on</w:t>
      </w:r>
      <w:r w:rsidR="00073237">
        <w:t xml:space="preserve"> January 1, 2017. </w:t>
      </w:r>
    </w:p>
    <w:p w14:paraId="7724FB0D" w14:textId="77777777" w:rsidR="00831DAF" w:rsidRDefault="00815F74" w:rsidP="00831DAF">
      <w:pPr>
        <w:spacing w:line="288" w:lineRule="auto"/>
        <w:ind w:left="-720"/>
      </w:pPr>
      <w:r>
        <w:t xml:space="preserve">  </w:t>
      </w:r>
    </w:p>
    <w:p w14:paraId="60C01CD4" w14:textId="5601EDFA" w:rsidR="00C10C9B" w:rsidRDefault="00C10C9B" w:rsidP="00815F74">
      <w:pPr>
        <w:numPr>
          <w:ilvl w:val="0"/>
          <w:numId w:val="1"/>
        </w:numPr>
        <w:spacing w:line="288" w:lineRule="auto"/>
      </w:pPr>
      <w:r>
        <w:t xml:space="preserve">On August 7, 2015, the </w:t>
      </w:r>
      <w:r w:rsidR="00553F0E">
        <w:t>Commission</w:t>
      </w:r>
      <w:r>
        <w:t xml:space="preserve"> approved a </w:t>
      </w:r>
      <w:r w:rsidR="00815F74">
        <w:t>settlement</w:t>
      </w:r>
      <w:r w:rsidR="00FA587B">
        <w:t xml:space="preserve"> agreement</w:t>
      </w:r>
      <w:r w:rsidR="00815F74">
        <w:t xml:space="preserve"> in Docket UE-130617</w:t>
      </w:r>
      <w:r>
        <w:t xml:space="preserve"> </w:t>
      </w:r>
      <w:r>
        <w:rPr>
          <w:i/>
        </w:rPr>
        <w:t>et al</w:t>
      </w:r>
      <w:r w:rsidR="00815F74">
        <w:t xml:space="preserve"> (Order 11)</w:t>
      </w:r>
      <w:r w:rsidR="00F04E56">
        <w:t>, which incorporated changes to PSE</w:t>
      </w:r>
      <w:r w:rsidR="00553F0E">
        <w:t>’</w:t>
      </w:r>
      <w:r w:rsidR="00F04E56">
        <w:t>s PCA</w:t>
      </w:r>
      <w:r>
        <w:t xml:space="preserve"> and</w:t>
      </w:r>
      <w:r w:rsidR="00815F74">
        <w:t xml:space="preserve"> specified that PSE may file </w:t>
      </w:r>
      <w:r>
        <w:t xml:space="preserve">an accounting </w:t>
      </w:r>
      <w:r w:rsidR="00815F74">
        <w:t xml:space="preserve"> petition</w:t>
      </w:r>
      <w:r>
        <w:t>:</w:t>
      </w:r>
    </w:p>
    <w:p w14:paraId="451EDBA3" w14:textId="77777777" w:rsidR="00C10C9B" w:rsidRDefault="00C10C9B" w:rsidP="000D5C6F">
      <w:pPr>
        <w:pStyle w:val="ListParagraph"/>
      </w:pPr>
    </w:p>
    <w:p w14:paraId="4BDCE843" w14:textId="6B5AA23B" w:rsidR="000A644B" w:rsidRDefault="00C10C9B" w:rsidP="000D5C6F">
      <w:pPr>
        <w:spacing w:line="288" w:lineRule="auto"/>
        <w:ind w:left="360"/>
      </w:pPr>
      <w:r>
        <w:t>deferring revenue variances in Fixed Production Costs between January 1, 2017, when Fixed Production Costs are removed from the PCA per this Settlement, and March 1, 2017, when rates from the general rate case become effective and Fixed Production Costs are placed in the decoupling mechanism, if PSE</w:t>
      </w:r>
      <w:r w:rsidR="00553F0E">
        <w:t>’</w:t>
      </w:r>
      <w:r>
        <w:t>s decoupling program continues.</w:t>
      </w:r>
      <w:r w:rsidR="00A637FC">
        <w:rPr>
          <w:rStyle w:val="FootnoteReference"/>
        </w:rPr>
        <w:footnoteReference w:id="4"/>
      </w:r>
      <w:r>
        <w:t xml:space="preserve"> </w:t>
      </w:r>
    </w:p>
    <w:p w14:paraId="74C72954" w14:textId="77777777" w:rsidR="000A644B" w:rsidRDefault="000A644B" w:rsidP="000A644B">
      <w:pPr>
        <w:spacing w:line="288" w:lineRule="auto"/>
      </w:pPr>
    </w:p>
    <w:p w14:paraId="1789774D" w14:textId="1AF8B128" w:rsidR="00B13F6F" w:rsidRPr="00B13F6F" w:rsidRDefault="00A637FC" w:rsidP="000A644B">
      <w:pPr>
        <w:numPr>
          <w:ilvl w:val="0"/>
          <w:numId w:val="1"/>
        </w:numPr>
        <w:spacing w:line="288" w:lineRule="auto"/>
      </w:pPr>
      <w:r>
        <w:t xml:space="preserve">On June 25, 2013, the </w:t>
      </w:r>
      <w:r w:rsidR="00553F0E">
        <w:t>Commission</w:t>
      </w:r>
      <w:r>
        <w:t xml:space="preserve"> entered Order 07 in Docket UE-121697 </w:t>
      </w:r>
      <w:r>
        <w:rPr>
          <w:i/>
        </w:rPr>
        <w:t>et al,</w:t>
      </w:r>
      <w:r>
        <w:t xml:space="preserve"> approving a multi-year rate plan in which PSE would file its next general rate case no sooner than April 1, 2015, and no later than April 1, 2016.</w:t>
      </w:r>
      <w:r>
        <w:rPr>
          <w:rStyle w:val="FootnoteReference"/>
        </w:rPr>
        <w:footnoteReference w:id="5"/>
      </w:r>
      <w:r>
        <w:t xml:space="preserve"> </w:t>
      </w:r>
      <w:r w:rsidR="00B06CBC" w:rsidRPr="00395412">
        <w:t xml:space="preserve">On March 9, 2016, PSE, </w:t>
      </w:r>
      <w:r w:rsidR="005619B4">
        <w:t xml:space="preserve">the </w:t>
      </w:r>
      <w:r w:rsidR="00553F0E">
        <w:t>Commission’</w:t>
      </w:r>
      <w:r w:rsidR="003866B0">
        <w:t>s</w:t>
      </w:r>
      <w:r w:rsidR="00B06CBC" w:rsidRPr="00395412">
        <w:t xml:space="preserve"> </w:t>
      </w:r>
      <w:r w:rsidR="00F04E56">
        <w:t>r</w:t>
      </w:r>
      <w:r w:rsidR="00F04E56" w:rsidRPr="00395412">
        <w:t xml:space="preserve">egulatory </w:t>
      </w:r>
      <w:r w:rsidR="00553F0E">
        <w:t>Staff</w:t>
      </w:r>
      <w:r w:rsidR="00B06CBC" w:rsidRPr="00395412">
        <w:t>, the Public Counsel Unit of</w:t>
      </w:r>
      <w:r>
        <w:t xml:space="preserve"> the Office of Attorney General,</w:t>
      </w:r>
      <w:r w:rsidR="00B06CBC" w:rsidRPr="00395412">
        <w:t xml:space="preserve"> Industrial Customers of Northwest Utilities, Northwest Industrial Gas Users, The Energy Project, NW Energy Coalition, Federal Executive Agencies</w:t>
      </w:r>
      <w:r w:rsidR="003866B0">
        <w:t>,</w:t>
      </w:r>
      <w:r w:rsidR="00B06CBC" w:rsidRPr="00395412">
        <w:t xml:space="preserve"> and the Sierra Club (collectively</w:t>
      </w:r>
      <w:r w:rsidR="003866B0">
        <w:t>,</w:t>
      </w:r>
      <w:r w:rsidR="00B06CBC" w:rsidRPr="00395412">
        <w:t xml:space="preserve"> Joint Petitioners), filed </w:t>
      </w:r>
      <w:r w:rsidR="003866B0">
        <w:t xml:space="preserve">a </w:t>
      </w:r>
      <w:r w:rsidR="00B06CBC" w:rsidRPr="00395412">
        <w:t xml:space="preserve">Joint Petition to Modify </w:t>
      </w:r>
      <w:r w:rsidR="00B06CBC">
        <w:t>O</w:t>
      </w:r>
      <w:r w:rsidR="00B06CBC" w:rsidRPr="00395412">
        <w:t>rder 07</w:t>
      </w:r>
      <w:r w:rsidR="003866B0">
        <w:t>,</w:t>
      </w:r>
      <w:r w:rsidR="00B06CBC" w:rsidRPr="00395412">
        <w:t xml:space="preserve"> </w:t>
      </w:r>
      <w:r w:rsidR="00B06CBC">
        <w:t xml:space="preserve">requesting an extension to </w:t>
      </w:r>
      <w:r w:rsidR="00B06CBC" w:rsidRPr="00395412">
        <w:t xml:space="preserve">the date by which PSE must file a general rate case until </w:t>
      </w:r>
      <w:r w:rsidR="00B06CBC">
        <w:t>January 17, 2017.</w:t>
      </w:r>
      <w:r>
        <w:rPr>
          <w:rStyle w:val="FootnoteReference"/>
        </w:rPr>
        <w:footnoteReference w:id="6"/>
      </w:r>
      <w:r w:rsidR="00D61527">
        <w:rPr>
          <w:color w:val="000000"/>
        </w:rPr>
        <w:t xml:space="preserve"> </w:t>
      </w:r>
    </w:p>
    <w:p w14:paraId="0FB27B26" w14:textId="77777777" w:rsidR="00B13F6F" w:rsidRDefault="00B13F6F" w:rsidP="00B13F6F">
      <w:pPr>
        <w:pStyle w:val="ListParagraph"/>
        <w:rPr>
          <w:color w:val="000000"/>
        </w:rPr>
      </w:pPr>
    </w:p>
    <w:p w14:paraId="4D2B20CB" w14:textId="11FF55B0" w:rsidR="009F3DAC" w:rsidRPr="009F3DAC" w:rsidRDefault="00D61527" w:rsidP="000A644B">
      <w:pPr>
        <w:numPr>
          <w:ilvl w:val="0"/>
          <w:numId w:val="1"/>
        </w:numPr>
        <w:spacing w:line="288" w:lineRule="auto"/>
      </w:pPr>
      <w:r>
        <w:rPr>
          <w:color w:val="000000"/>
        </w:rPr>
        <w:t xml:space="preserve">On March 17, 2016, the </w:t>
      </w:r>
      <w:r w:rsidR="00553F0E">
        <w:rPr>
          <w:color w:val="000000"/>
        </w:rPr>
        <w:t>Commission</w:t>
      </w:r>
      <w:r>
        <w:rPr>
          <w:color w:val="000000"/>
        </w:rPr>
        <w:t xml:space="preserve"> granted the relief requested by the Joint Peti</w:t>
      </w:r>
      <w:r w:rsidR="008D2E60">
        <w:rPr>
          <w:color w:val="000000"/>
        </w:rPr>
        <w:t>ti</w:t>
      </w:r>
      <w:r>
        <w:rPr>
          <w:color w:val="000000"/>
        </w:rPr>
        <w:t>oners</w:t>
      </w:r>
      <w:r w:rsidR="008D2E60">
        <w:rPr>
          <w:color w:val="000000"/>
        </w:rPr>
        <w:t>,</w:t>
      </w:r>
      <w:r w:rsidR="003177EB">
        <w:rPr>
          <w:color w:val="000000"/>
        </w:rPr>
        <w:t xml:space="preserve"> enabling PSE to file this petition.</w:t>
      </w:r>
      <w:r w:rsidR="003643CD" w:rsidRPr="009F3DAC">
        <w:rPr>
          <w:color w:val="000000"/>
        </w:rPr>
        <w:t xml:space="preserve"> </w:t>
      </w:r>
    </w:p>
    <w:p w14:paraId="0A95EA3C" w14:textId="77777777" w:rsidR="00B52506" w:rsidRDefault="00B52506" w:rsidP="00B52506">
      <w:pPr>
        <w:spacing w:line="264" w:lineRule="auto"/>
        <w:ind w:left="-720"/>
        <w:jc w:val="center"/>
        <w:rPr>
          <w:b/>
          <w:sz w:val="25"/>
          <w:szCs w:val="25"/>
        </w:rPr>
      </w:pPr>
    </w:p>
    <w:p w14:paraId="3447B526" w14:textId="77777777" w:rsidR="00B52506" w:rsidRDefault="00B52506" w:rsidP="00B52506">
      <w:pPr>
        <w:pStyle w:val="Heading1"/>
        <w:spacing w:line="288" w:lineRule="auto"/>
      </w:pPr>
      <w:r w:rsidRPr="00B52506">
        <w:t>DISCUSSION AND DECISION</w:t>
      </w:r>
    </w:p>
    <w:p w14:paraId="3DFD32DE" w14:textId="77777777" w:rsidR="00B52506" w:rsidRPr="00B52506" w:rsidRDefault="00B52506" w:rsidP="00B52506"/>
    <w:p w14:paraId="3595541A" w14:textId="5743AB2C" w:rsidR="00A637FC" w:rsidRPr="00A637FC" w:rsidRDefault="00B52506" w:rsidP="000A644B">
      <w:pPr>
        <w:numPr>
          <w:ilvl w:val="0"/>
          <w:numId w:val="1"/>
        </w:numPr>
        <w:spacing w:line="288" w:lineRule="auto"/>
        <w:rPr>
          <w:color w:val="000000"/>
        </w:rPr>
      </w:pPr>
      <w:r w:rsidRPr="00645667">
        <w:rPr>
          <w:color w:val="000000"/>
        </w:rPr>
        <w:t xml:space="preserve">We </w:t>
      </w:r>
      <w:r w:rsidR="00C63E78">
        <w:rPr>
          <w:color w:val="000000"/>
        </w:rPr>
        <w:t>approve PSE</w:t>
      </w:r>
      <w:r w:rsidR="00553F0E">
        <w:rPr>
          <w:color w:val="000000"/>
        </w:rPr>
        <w:t>’</w:t>
      </w:r>
      <w:r w:rsidR="00C63E78">
        <w:rPr>
          <w:color w:val="000000"/>
        </w:rPr>
        <w:t xml:space="preserve">s accounting petition and </w:t>
      </w:r>
      <w:r w:rsidRPr="00645667">
        <w:rPr>
          <w:color w:val="000000"/>
        </w:rPr>
        <w:t xml:space="preserve">authorize </w:t>
      </w:r>
      <w:r w:rsidR="00C63E78">
        <w:rPr>
          <w:color w:val="000000"/>
        </w:rPr>
        <w:t>the Company</w:t>
      </w:r>
      <w:r w:rsidRPr="00645667">
        <w:rPr>
          <w:color w:val="000000"/>
        </w:rPr>
        <w:t xml:space="preserve"> to defer the revenue variances associated with the collection of fixed production </w:t>
      </w:r>
      <w:r w:rsidR="00645667">
        <w:rPr>
          <w:color w:val="000000"/>
        </w:rPr>
        <w:t xml:space="preserve">related </w:t>
      </w:r>
      <w:r w:rsidRPr="00645667">
        <w:rPr>
          <w:color w:val="000000"/>
        </w:rPr>
        <w:t>costs</w:t>
      </w:r>
      <w:r w:rsidR="008D2E60" w:rsidRPr="00645667">
        <w:rPr>
          <w:color w:val="000000"/>
        </w:rPr>
        <w:t xml:space="preserve"> </w:t>
      </w:r>
      <w:r w:rsidR="00286262">
        <w:rPr>
          <w:color w:val="000000"/>
        </w:rPr>
        <w:t xml:space="preserve">along with any </w:t>
      </w:r>
      <w:r w:rsidR="008D2E60" w:rsidRPr="00645667">
        <w:rPr>
          <w:color w:val="000000"/>
        </w:rPr>
        <w:t>accrued interest,</w:t>
      </w:r>
      <w:r w:rsidRPr="00645667">
        <w:rPr>
          <w:color w:val="000000"/>
        </w:rPr>
        <w:t xml:space="preserve"> </w:t>
      </w:r>
      <w:r w:rsidR="00A637FC">
        <w:rPr>
          <w:color w:val="000000"/>
        </w:rPr>
        <w:t>beginning</w:t>
      </w:r>
      <w:r w:rsidR="00D13B6B" w:rsidRPr="00645667">
        <w:rPr>
          <w:color w:val="000000"/>
        </w:rPr>
        <w:t xml:space="preserve"> January 1, 2017</w:t>
      </w:r>
      <w:r w:rsidR="00A637FC">
        <w:rPr>
          <w:color w:val="000000"/>
        </w:rPr>
        <w:t xml:space="preserve">, until the </w:t>
      </w:r>
      <w:r w:rsidR="00553F0E">
        <w:rPr>
          <w:color w:val="000000"/>
        </w:rPr>
        <w:t>Commission</w:t>
      </w:r>
      <w:r w:rsidR="00A637FC">
        <w:rPr>
          <w:color w:val="000000"/>
        </w:rPr>
        <w:t xml:space="preserve"> establishes new rates for the Company in PSE</w:t>
      </w:r>
      <w:r w:rsidR="00553F0E">
        <w:rPr>
          <w:color w:val="000000"/>
        </w:rPr>
        <w:t>’</w:t>
      </w:r>
      <w:r w:rsidR="00A637FC">
        <w:rPr>
          <w:color w:val="000000"/>
        </w:rPr>
        <w:t>s next general rate case.</w:t>
      </w:r>
      <w:r w:rsidR="00645667" w:rsidRPr="00645667">
        <w:rPr>
          <w:color w:val="000000"/>
        </w:rPr>
        <w:t xml:space="preserve"> </w:t>
      </w:r>
      <w:r w:rsidR="006057D7" w:rsidRPr="00645667">
        <w:rPr>
          <w:color w:val="000000"/>
        </w:rPr>
        <w:t xml:space="preserve">The deferral account will </w:t>
      </w:r>
      <w:r w:rsidR="00645667">
        <w:rPr>
          <w:color w:val="000000"/>
        </w:rPr>
        <w:t xml:space="preserve">track the monthly difference in actual revenue collected </w:t>
      </w:r>
      <w:r w:rsidR="00BA6AFF">
        <w:rPr>
          <w:color w:val="000000"/>
        </w:rPr>
        <w:t xml:space="preserve">compared to the amount of </w:t>
      </w:r>
      <w:r w:rsidR="008A588A">
        <w:rPr>
          <w:color w:val="000000"/>
        </w:rPr>
        <w:t xml:space="preserve">revenue </w:t>
      </w:r>
      <w:r w:rsidR="00BA6AFF">
        <w:rPr>
          <w:color w:val="000000"/>
        </w:rPr>
        <w:t xml:space="preserve">estimated  using forecasted loads. </w:t>
      </w:r>
      <w:r w:rsidR="00D13B6B">
        <w:t xml:space="preserve">The deferral of these variances protects both the </w:t>
      </w:r>
      <w:r w:rsidR="008A588A">
        <w:t>C</w:t>
      </w:r>
      <w:r w:rsidR="00D13B6B">
        <w:t>ompany and ratepayers from possible over</w:t>
      </w:r>
      <w:r w:rsidR="00A67701">
        <w:t>-</w:t>
      </w:r>
      <w:r w:rsidR="00D13B6B">
        <w:t xml:space="preserve"> or under</w:t>
      </w:r>
      <w:r w:rsidR="00A67701">
        <w:t>-</w:t>
      </w:r>
      <w:r w:rsidR="00D13B6B">
        <w:t xml:space="preserve">collection of the authorized amount of fixed production </w:t>
      </w:r>
      <w:r w:rsidR="00BA6AFF">
        <w:t xml:space="preserve">related </w:t>
      </w:r>
      <w:r w:rsidR="00D13B6B">
        <w:t>costs</w:t>
      </w:r>
      <w:r w:rsidR="00763CDD">
        <w:t xml:space="preserve"> </w:t>
      </w:r>
      <w:r w:rsidR="00BA6AFF">
        <w:t xml:space="preserve">currently in rates </w:t>
      </w:r>
      <w:r w:rsidR="00763CDD">
        <w:t>and is therefore in the public interest.</w:t>
      </w:r>
      <w:r w:rsidR="00D13B6B">
        <w:t xml:space="preserve">  </w:t>
      </w:r>
    </w:p>
    <w:p w14:paraId="3CC84109" w14:textId="77777777" w:rsidR="009F3DAC" w:rsidRPr="00A637FC" w:rsidRDefault="00D13B6B" w:rsidP="00A637FC">
      <w:pPr>
        <w:spacing w:line="288" w:lineRule="auto"/>
        <w:rPr>
          <w:color w:val="000000"/>
        </w:rPr>
      </w:pPr>
      <w:r>
        <w:t xml:space="preserve">  </w:t>
      </w:r>
    </w:p>
    <w:p w14:paraId="6973DD12" w14:textId="77777777" w:rsidR="00A637FC" w:rsidRPr="00645667" w:rsidRDefault="00A5633B" w:rsidP="000A644B">
      <w:pPr>
        <w:numPr>
          <w:ilvl w:val="0"/>
          <w:numId w:val="1"/>
        </w:numPr>
        <w:spacing w:line="288" w:lineRule="auto"/>
        <w:rPr>
          <w:color w:val="000000"/>
        </w:rPr>
      </w:pPr>
      <w:r>
        <w:rPr>
          <w:color w:val="000000"/>
        </w:rPr>
        <w:t xml:space="preserve">We note that the settlement agreement approved in Order 11 in Docket UE-130617 </w:t>
      </w:r>
      <w:r>
        <w:rPr>
          <w:i/>
          <w:color w:val="000000"/>
        </w:rPr>
        <w:t>et al</w:t>
      </w:r>
      <w:r>
        <w:rPr>
          <w:color w:val="000000"/>
        </w:rPr>
        <w:t xml:space="preserve"> and paragraph 15 of Order 11 still reference the previously-anticipated rate effective date </w:t>
      </w:r>
      <w:r>
        <w:rPr>
          <w:color w:val="000000"/>
        </w:rPr>
        <w:lastRenderedPageBreak/>
        <w:t xml:space="preserve">of March 1, 2017. We encourage the parties to file a joint motion in that adjudicative proceeding requesting modification of that date in the settlement agreement and Order 11 to reflect the extension of the multi-year rate plan in Docket UE-121697 </w:t>
      </w:r>
      <w:r>
        <w:rPr>
          <w:i/>
          <w:color w:val="000000"/>
        </w:rPr>
        <w:t>et al.</w:t>
      </w:r>
    </w:p>
    <w:p w14:paraId="1CF4DD79" w14:textId="77777777" w:rsidR="000A1236" w:rsidRPr="00C923D6" w:rsidRDefault="000A1236">
      <w:pPr>
        <w:pStyle w:val="Heading1"/>
        <w:spacing w:line="288" w:lineRule="auto"/>
      </w:pPr>
    </w:p>
    <w:p w14:paraId="78E12DF1" w14:textId="77777777" w:rsidR="000A1236" w:rsidRPr="00C923D6" w:rsidRDefault="000A1236">
      <w:pPr>
        <w:pStyle w:val="Heading1"/>
        <w:spacing w:line="288" w:lineRule="auto"/>
      </w:pPr>
      <w:r w:rsidRPr="00C923D6">
        <w:t>FINDINGS AND CONCLUSIONS</w:t>
      </w:r>
    </w:p>
    <w:p w14:paraId="71AC5F39" w14:textId="77777777" w:rsidR="000A1236" w:rsidRPr="00C923D6" w:rsidRDefault="000A1236">
      <w:pPr>
        <w:spacing w:line="288" w:lineRule="auto"/>
        <w:ind w:left="-1080"/>
      </w:pPr>
    </w:p>
    <w:p w14:paraId="7CCE0477" w14:textId="65DDD83B" w:rsidR="000A1236" w:rsidRPr="00C923D6" w:rsidRDefault="000A1236" w:rsidP="00A5633B">
      <w:pPr>
        <w:numPr>
          <w:ilvl w:val="0"/>
          <w:numId w:val="1"/>
        </w:numPr>
        <w:tabs>
          <w:tab w:val="left" w:pos="0"/>
          <w:tab w:val="num" w:pos="720"/>
        </w:tabs>
        <w:spacing w:line="288" w:lineRule="auto"/>
        <w:ind w:left="720" w:hanging="1440"/>
        <w:rPr>
          <w:i/>
          <w:iCs/>
        </w:rPr>
      </w:pPr>
      <w:r w:rsidRPr="00C923D6">
        <w:t>(1)</w:t>
      </w:r>
      <w:r w:rsidRPr="00C923D6">
        <w:tab/>
        <w:t xml:space="preserve">The Washington Utilities and Transportation </w:t>
      </w:r>
      <w:r w:rsidR="00553F0E">
        <w:t>Commission</w:t>
      </w:r>
      <w:r w:rsidRPr="00C923D6">
        <w:t xml:space="preserve"> is an agency of the </w:t>
      </w:r>
      <w:r w:rsidR="007308FD">
        <w:t>S</w:t>
      </w:r>
      <w:r w:rsidRPr="00C923D6">
        <w:t xml:space="preserve">tate of Washington vested by statute with the authority to regulate </w:t>
      </w:r>
      <w:r w:rsidR="00C40733">
        <w:t xml:space="preserve">the </w:t>
      </w:r>
      <w:r w:rsidRPr="00C923D6">
        <w:t xml:space="preserve">rates, rules, regulations, practices, accounts, securities, transfers of </w:t>
      </w:r>
      <w:r w:rsidR="00C979BD">
        <w:t>property</w:t>
      </w:r>
      <w:r w:rsidR="008246C9">
        <w:t xml:space="preserve"> and affiliated interest</w:t>
      </w:r>
      <w:r w:rsidR="00560A2A">
        <w:t>s</w:t>
      </w:r>
      <w:r w:rsidR="008246C9">
        <w:t xml:space="preserve"> of </w:t>
      </w:r>
      <w:r w:rsidRPr="00C923D6">
        <w:t xml:space="preserve">public service companies, including </w:t>
      </w:r>
      <w:r w:rsidR="00E53E92">
        <w:t>electric</w:t>
      </w:r>
      <w:r w:rsidRPr="00C923D6">
        <w:rPr>
          <w:b/>
          <w:bCs/>
        </w:rPr>
        <w:t xml:space="preserve"> </w:t>
      </w:r>
      <w:r w:rsidRPr="00C923D6">
        <w:t xml:space="preserve">companies.  </w:t>
      </w:r>
      <w:r w:rsidRPr="00CE3384">
        <w:rPr>
          <w:iCs/>
        </w:rPr>
        <w:t>RCW 80.</w:t>
      </w:r>
      <w:r w:rsidRPr="00CE3384">
        <w:t>01</w:t>
      </w:r>
      <w:r w:rsidRPr="00CE3384">
        <w:rPr>
          <w:iCs/>
        </w:rPr>
        <w:t>.040</w:t>
      </w:r>
      <w:r w:rsidR="000B2415" w:rsidRPr="00633612">
        <w:rPr>
          <w:iCs/>
        </w:rPr>
        <w:t>,</w:t>
      </w:r>
      <w:r w:rsidRPr="00633612">
        <w:rPr>
          <w:iCs/>
        </w:rPr>
        <w:t xml:space="preserve"> </w:t>
      </w:r>
      <w:r w:rsidR="005579E7" w:rsidRPr="00CE3384">
        <w:rPr>
          <w:iCs/>
        </w:rPr>
        <w:t xml:space="preserve">RCW </w:t>
      </w:r>
      <w:r w:rsidRPr="00CE3384">
        <w:rPr>
          <w:iCs/>
        </w:rPr>
        <w:t>80.04</w:t>
      </w:r>
      <w:r w:rsidR="000B2415" w:rsidRPr="00633612">
        <w:rPr>
          <w:iCs/>
        </w:rPr>
        <w:t>,</w:t>
      </w:r>
      <w:r w:rsidR="005579E7" w:rsidRPr="00633612">
        <w:rPr>
          <w:iCs/>
        </w:rPr>
        <w:t xml:space="preserve"> </w:t>
      </w:r>
      <w:r w:rsidR="005579E7" w:rsidRPr="00CE3384">
        <w:rPr>
          <w:iCs/>
        </w:rPr>
        <w:t>RCW</w:t>
      </w:r>
      <w:r w:rsidR="000B2415" w:rsidRPr="00CE3384">
        <w:rPr>
          <w:iCs/>
        </w:rPr>
        <w:t xml:space="preserve"> 80.08</w:t>
      </w:r>
      <w:r w:rsidR="00156783" w:rsidRPr="00633612">
        <w:rPr>
          <w:iCs/>
        </w:rPr>
        <w:t>,</w:t>
      </w:r>
      <w:r w:rsidR="005579E7" w:rsidRPr="00633612">
        <w:rPr>
          <w:iCs/>
        </w:rPr>
        <w:t xml:space="preserve"> </w:t>
      </w:r>
      <w:r w:rsidR="005579E7" w:rsidRPr="00CE3384">
        <w:rPr>
          <w:iCs/>
        </w:rPr>
        <w:t xml:space="preserve">RCW </w:t>
      </w:r>
      <w:r w:rsidR="000B2415" w:rsidRPr="00CE3384">
        <w:rPr>
          <w:iCs/>
        </w:rPr>
        <w:t>80.12</w:t>
      </w:r>
      <w:r w:rsidR="00156783" w:rsidRPr="00633612">
        <w:rPr>
          <w:iCs/>
        </w:rPr>
        <w:t xml:space="preserve">, </w:t>
      </w:r>
      <w:r w:rsidR="008246C9" w:rsidRPr="00CE3384">
        <w:rPr>
          <w:iCs/>
        </w:rPr>
        <w:t>RCW 80.16</w:t>
      </w:r>
      <w:r w:rsidR="008246C9" w:rsidRPr="00633612">
        <w:rPr>
          <w:iCs/>
        </w:rPr>
        <w:t xml:space="preserve"> </w:t>
      </w:r>
      <w:r w:rsidR="00156783" w:rsidRPr="00633612">
        <w:rPr>
          <w:iCs/>
        </w:rPr>
        <w:t>and</w:t>
      </w:r>
      <w:r w:rsidR="00C979BD" w:rsidRPr="00633612">
        <w:rPr>
          <w:iCs/>
        </w:rPr>
        <w:t xml:space="preserve"> </w:t>
      </w:r>
      <w:r w:rsidR="00156783" w:rsidRPr="00CE3384">
        <w:rPr>
          <w:iCs/>
        </w:rPr>
        <w:t>RCW 80.28</w:t>
      </w:r>
      <w:r w:rsidR="005579E7">
        <w:rPr>
          <w:i/>
          <w:iCs/>
        </w:rPr>
        <w:t>.</w:t>
      </w:r>
      <w:r w:rsidR="00AC1794">
        <w:rPr>
          <w:i/>
          <w:iCs/>
        </w:rPr>
        <w:t xml:space="preserve">  </w:t>
      </w:r>
    </w:p>
    <w:p w14:paraId="068E45B1" w14:textId="77777777" w:rsidR="000A1236" w:rsidRPr="00C923D6" w:rsidRDefault="000A1236">
      <w:pPr>
        <w:spacing w:line="288" w:lineRule="auto"/>
      </w:pPr>
    </w:p>
    <w:p w14:paraId="1B143F8A" w14:textId="19D90695" w:rsidR="000A1236" w:rsidRPr="00C923D6" w:rsidRDefault="000A1236" w:rsidP="00A5633B">
      <w:pPr>
        <w:numPr>
          <w:ilvl w:val="0"/>
          <w:numId w:val="1"/>
        </w:numPr>
        <w:tabs>
          <w:tab w:val="left" w:pos="0"/>
          <w:tab w:val="num" w:pos="720"/>
        </w:tabs>
        <w:spacing w:line="288" w:lineRule="auto"/>
        <w:ind w:left="720" w:hanging="1440"/>
      </w:pPr>
      <w:r w:rsidRPr="00C923D6">
        <w:t>(2)</w:t>
      </w:r>
      <w:r w:rsidRPr="00C923D6">
        <w:tab/>
      </w:r>
      <w:r w:rsidR="00E53E92">
        <w:t>PSE</w:t>
      </w:r>
      <w:r w:rsidR="00845BCE">
        <w:t xml:space="preserve"> </w:t>
      </w:r>
      <w:r w:rsidRPr="00C923D6">
        <w:t xml:space="preserve">is </w:t>
      </w:r>
      <w:r w:rsidR="00E53E92">
        <w:rPr>
          <w:noProof/>
        </w:rPr>
        <w:t>an electric</w:t>
      </w:r>
      <w:r w:rsidRPr="00C923D6">
        <w:t xml:space="preserve"> company and a public service company subject to </w:t>
      </w:r>
      <w:r w:rsidR="00553F0E">
        <w:t>Commission</w:t>
      </w:r>
      <w:r w:rsidR="004E41FF">
        <w:t xml:space="preserve"> </w:t>
      </w:r>
      <w:r w:rsidRPr="00C923D6">
        <w:t>jurisdiction.</w:t>
      </w:r>
    </w:p>
    <w:p w14:paraId="72D6595C" w14:textId="77777777" w:rsidR="000A1236" w:rsidRPr="00C923D6" w:rsidRDefault="000A1236">
      <w:pPr>
        <w:spacing w:line="288" w:lineRule="auto"/>
      </w:pPr>
    </w:p>
    <w:p w14:paraId="242F2286" w14:textId="6D1118A3" w:rsidR="000A1236" w:rsidRPr="00C923D6" w:rsidRDefault="000A1236" w:rsidP="00A5633B">
      <w:pPr>
        <w:numPr>
          <w:ilvl w:val="0"/>
          <w:numId w:val="1"/>
        </w:numPr>
        <w:tabs>
          <w:tab w:val="left" w:pos="0"/>
          <w:tab w:val="num" w:pos="720"/>
        </w:tabs>
        <w:spacing w:line="288" w:lineRule="auto"/>
        <w:ind w:left="720" w:hanging="1440"/>
      </w:pPr>
      <w:r w:rsidRPr="00C923D6">
        <w:t>(3)</w:t>
      </w:r>
      <w:r w:rsidRPr="00C923D6">
        <w:tab/>
      </w:r>
      <w:r w:rsidRPr="00CE3384">
        <w:t>WAC 480-07-370</w:t>
      </w:r>
      <w:r w:rsidR="00F23EAE" w:rsidRPr="00CE3384">
        <w:t>(1)</w:t>
      </w:r>
      <w:r w:rsidRPr="00CE3384">
        <w:t>(b)</w:t>
      </w:r>
      <w:r w:rsidRPr="00C923D6">
        <w:t>, allows companies to file petition</w:t>
      </w:r>
      <w:r w:rsidR="004E41FF">
        <w:t>s</w:t>
      </w:r>
      <w:r w:rsidRPr="00C923D6">
        <w:t xml:space="preserve"> including that for which </w:t>
      </w:r>
      <w:r w:rsidR="00E53E92">
        <w:t>PSE</w:t>
      </w:r>
      <w:r w:rsidRPr="00C923D6">
        <w:rPr>
          <w:b/>
          <w:bCs/>
        </w:rPr>
        <w:t xml:space="preserve"> </w:t>
      </w:r>
      <w:r w:rsidRPr="00C923D6">
        <w:t>seeks approval.</w:t>
      </w:r>
    </w:p>
    <w:p w14:paraId="3F4C2B26" w14:textId="77777777" w:rsidR="000A1236" w:rsidRPr="00C923D6" w:rsidRDefault="000A1236">
      <w:pPr>
        <w:spacing w:line="288" w:lineRule="auto"/>
      </w:pPr>
    </w:p>
    <w:p w14:paraId="68201AAF" w14:textId="6D7F07A1" w:rsidR="000A1236" w:rsidRPr="003C2211" w:rsidRDefault="000A1236" w:rsidP="00A5633B">
      <w:pPr>
        <w:numPr>
          <w:ilvl w:val="0"/>
          <w:numId w:val="1"/>
        </w:numPr>
        <w:tabs>
          <w:tab w:val="left" w:pos="0"/>
          <w:tab w:val="num" w:pos="720"/>
        </w:tabs>
        <w:spacing w:line="288" w:lineRule="auto"/>
        <w:ind w:left="720" w:hanging="1440"/>
      </w:pPr>
      <w:r w:rsidRPr="00C923D6">
        <w:t>(4)</w:t>
      </w:r>
      <w:r w:rsidRPr="00C923D6">
        <w:tab/>
      </w:r>
      <w:r w:rsidR="00553F0E">
        <w:t>Staff</w:t>
      </w:r>
      <w:r w:rsidRPr="00C923D6">
        <w:t xml:space="preserve"> has reviewed the petition</w:t>
      </w:r>
      <w:r w:rsidR="007E617D">
        <w:t xml:space="preserve"> </w:t>
      </w:r>
      <w:r w:rsidRPr="00C923D6">
        <w:t xml:space="preserve">in Docket </w:t>
      </w:r>
      <w:r w:rsidR="00E53E92">
        <w:t>UE-16</w:t>
      </w:r>
      <w:r w:rsidR="00DC6608">
        <w:t>1112</w:t>
      </w:r>
      <w:r w:rsidR="0098479C" w:rsidRPr="00C923D6">
        <w:t xml:space="preserve"> </w:t>
      </w:r>
      <w:r w:rsidRPr="00C923D6">
        <w:t>including</w:t>
      </w:r>
      <w:r w:rsidR="007E617D" w:rsidRPr="007E617D">
        <w:t xml:space="preserve"> related</w:t>
      </w:r>
      <w:r w:rsidRPr="00C923D6">
        <w:t xml:space="preserve"> </w:t>
      </w:r>
      <w:r w:rsidR="007E617D">
        <w:t xml:space="preserve">testimonies, exhibits, and </w:t>
      </w:r>
      <w:r w:rsidRPr="00C923D6">
        <w:t>work</w:t>
      </w:r>
      <w:r w:rsidR="00DA0056">
        <w:t xml:space="preserve"> </w:t>
      </w:r>
      <w:r w:rsidRPr="00C923D6">
        <w:t xml:space="preserve">papers.  </w:t>
      </w:r>
    </w:p>
    <w:p w14:paraId="32AC8929" w14:textId="77777777" w:rsidR="000A1236" w:rsidRPr="003C2211" w:rsidRDefault="000A1236">
      <w:pPr>
        <w:spacing w:line="288" w:lineRule="auto"/>
      </w:pPr>
    </w:p>
    <w:p w14:paraId="2016BEB7" w14:textId="29BE0158" w:rsidR="000A1236" w:rsidRPr="00C923D6" w:rsidRDefault="000A1236" w:rsidP="00A5633B">
      <w:pPr>
        <w:numPr>
          <w:ilvl w:val="0"/>
          <w:numId w:val="1"/>
        </w:numPr>
        <w:tabs>
          <w:tab w:val="left" w:pos="0"/>
          <w:tab w:val="num" w:pos="720"/>
        </w:tabs>
        <w:spacing w:line="288" w:lineRule="auto"/>
        <w:ind w:left="720" w:hanging="1440"/>
      </w:pPr>
      <w:r w:rsidRPr="00C923D6">
        <w:t>(</w:t>
      </w:r>
      <w:r w:rsidR="00A20FB6">
        <w:t>5</w:t>
      </w:r>
      <w:r w:rsidRPr="00C923D6">
        <w:t>)</w:t>
      </w:r>
      <w:r w:rsidRPr="00C923D6">
        <w:tab/>
        <w:t xml:space="preserve">This matter </w:t>
      </w:r>
      <w:r w:rsidR="00045705">
        <w:t>came</w:t>
      </w:r>
      <w:r w:rsidRPr="00C923D6">
        <w:t xml:space="preserve"> before the </w:t>
      </w:r>
      <w:r w:rsidR="00553F0E">
        <w:t>Commission</w:t>
      </w:r>
      <w:r w:rsidRPr="00C923D6">
        <w:t xml:space="preserve"> at its regularly scheduled meeting on</w:t>
      </w:r>
      <w:r w:rsidR="00AC1794">
        <w:t xml:space="preserve"> </w:t>
      </w:r>
      <w:r w:rsidR="00DC6608">
        <w:t>November 10</w:t>
      </w:r>
      <w:r w:rsidR="0068552C">
        <w:t>, 201</w:t>
      </w:r>
      <w:r w:rsidR="001B1D10">
        <w:t>6</w:t>
      </w:r>
      <w:r w:rsidR="003C2211">
        <w:t>.</w:t>
      </w:r>
    </w:p>
    <w:p w14:paraId="239F3DA3" w14:textId="77777777" w:rsidR="000A1236" w:rsidRPr="00C923D6" w:rsidRDefault="000A1236">
      <w:pPr>
        <w:spacing w:line="288" w:lineRule="auto"/>
      </w:pPr>
    </w:p>
    <w:p w14:paraId="2F0C50CF" w14:textId="18FA91E1" w:rsidR="000A1236" w:rsidRDefault="000A1236" w:rsidP="00A5633B">
      <w:pPr>
        <w:numPr>
          <w:ilvl w:val="0"/>
          <w:numId w:val="1"/>
        </w:numPr>
        <w:tabs>
          <w:tab w:val="left" w:pos="0"/>
          <w:tab w:val="num" w:pos="720"/>
        </w:tabs>
        <w:spacing w:line="288" w:lineRule="auto"/>
        <w:ind w:left="720" w:hanging="1440"/>
      </w:pPr>
      <w:r w:rsidRPr="00C923D6">
        <w:t>(</w:t>
      </w:r>
      <w:r w:rsidR="00A20FB6">
        <w:t>6</w:t>
      </w:r>
      <w:r w:rsidRPr="00C923D6">
        <w:t>)</w:t>
      </w:r>
      <w:r w:rsidRPr="00C923D6">
        <w:tab/>
        <w:t xml:space="preserve">After </w:t>
      </w:r>
      <w:r w:rsidR="00103788">
        <w:t>reviewing</w:t>
      </w:r>
      <w:r w:rsidR="003C2211">
        <w:t xml:space="preserve"> </w:t>
      </w:r>
      <w:r w:rsidR="00E53E92">
        <w:t>PSE</w:t>
      </w:r>
      <w:r w:rsidR="00553F0E">
        <w:t>’</w:t>
      </w:r>
      <w:r w:rsidR="00045705">
        <w:t>s</w:t>
      </w:r>
      <w:r w:rsidR="00045705" w:rsidRPr="000918ED">
        <w:rPr>
          <w:b/>
          <w:bCs/>
        </w:rPr>
        <w:t xml:space="preserve"> </w:t>
      </w:r>
      <w:r w:rsidR="00C63E78" w:rsidRPr="00C63E78">
        <w:rPr>
          <w:bCs/>
        </w:rPr>
        <w:t>accounting</w:t>
      </w:r>
      <w:r w:rsidR="00C63E78">
        <w:rPr>
          <w:b/>
          <w:bCs/>
        </w:rPr>
        <w:t xml:space="preserve"> </w:t>
      </w:r>
      <w:r w:rsidRPr="00C923D6">
        <w:t>petition filed in Docket</w:t>
      </w:r>
      <w:r w:rsidR="00AA0301">
        <w:t xml:space="preserve"> </w:t>
      </w:r>
      <w:r w:rsidR="00E53E92">
        <w:t>UE-16</w:t>
      </w:r>
      <w:r w:rsidR="000918ED">
        <w:t>1112</w:t>
      </w:r>
      <w:r w:rsidR="00985CFF">
        <w:t>,</w:t>
      </w:r>
      <w:r w:rsidRPr="00C923D6">
        <w:t xml:space="preserve"> and giving due consideration to all relevant matters and for good cause shown, the </w:t>
      </w:r>
      <w:r w:rsidR="00553F0E">
        <w:t>Commission</w:t>
      </w:r>
      <w:r w:rsidRPr="00C923D6">
        <w:t xml:space="preserve"> finds that the Petition </w:t>
      </w:r>
      <w:r w:rsidR="003C2D7D">
        <w:t xml:space="preserve">seeking </w:t>
      </w:r>
      <w:r w:rsidR="00E82BC5">
        <w:t xml:space="preserve">a </w:t>
      </w:r>
      <w:r w:rsidR="000918ED">
        <w:t>deferral of fixed production costs</w:t>
      </w:r>
      <w:r w:rsidR="00A67701">
        <w:t xml:space="preserve"> revenue variances</w:t>
      </w:r>
      <w:r w:rsidR="000918ED">
        <w:t xml:space="preserve"> previously recovered in PSE</w:t>
      </w:r>
      <w:r w:rsidR="00553F0E">
        <w:t>’</w:t>
      </w:r>
      <w:r w:rsidR="000918ED">
        <w:t xml:space="preserve">s Power Cost Adjustment Mechanism </w:t>
      </w:r>
      <w:r w:rsidRPr="00C923D6">
        <w:t xml:space="preserve">should be </w:t>
      </w:r>
      <w:r w:rsidR="001E31D2">
        <w:t>granted</w:t>
      </w:r>
      <w:r w:rsidRPr="00C923D6">
        <w:t>.</w:t>
      </w:r>
    </w:p>
    <w:p w14:paraId="0684F0B1" w14:textId="77777777" w:rsidR="000B55B9" w:rsidRDefault="000B55B9" w:rsidP="000B55B9">
      <w:pPr>
        <w:pStyle w:val="ListParagraph"/>
      </w:pPr>
    </w:p>
    <w:p w14:paraId="17529B42" w14:textId="4B89CBF2" w:rsidR="000A1236" w:rsidRPr="00553F0E" w:rsidRDefault="000A1236" w:rsidP="00553F0E">
      <w:pPr>
        <w:jc w:val="center"/>
        <w:rPr>
          <w:b/>
        </w:rPr>
      </w:pPr>
      <w:r w:rsidRPr="00553F0E">
        <w:rPr>
          <w:b/>
        </w:rPr>
        <w:t>O</w:t>
      </w:r>
      <w:r w:rsidR="000B2415" w:rsidRPr="00553F0E">
        <w:rPr>
          <w:b/>
        </w:rPr>
        <w:t xml:space="preserve"> </w:t>
      </w:r>
      <w:r w:rsidRPr="00553F0E">
        <w:rPr>
          <w:b/>
        </w:rPr>
        <w:t>R</w:t>
      </w:r>
      <w:r w:rsidR="000B2415" w:rsidRPr="00553F0E">
        <w:rPr>
          <w:b/>
        </w:rPr>
        <w:t xml:space="preserve"> </w:t>
      </w:r>
      <w:r w:rsidRPr="00553F0E">
        <w:rPr>
          <w:b/>
        </w:rPr>
        <w:t>D</w:t>
      </w:r>
      <w:r w:rsidR="000B2415" w:rsidRPr="00553F0E">
        <w:rPr>
          <w:b/>
        </w:rPr>
        <w:t xml:space="preserve"> </w:t>
      </w:r>
      <w:r w:rsidRPr="00553F0E">
        <w:rPr>
          <w:b/>
        </w:rPr>
        <w:t>E</w:t>
      </w:r>
      <w:r w:rsidR="000B2415" w:rsidRPr="00553F0E">
        <w:rPr>
          <w:b/>
        </w:rPr>
        <w:t xml:space="preserve"> </w:t>
      </w:r>
      <w:r w:rsidRPr="00553F0E">
        <w:rPr>
          <w:b/>
        </w:rPr>
        <w:t>R</w:t>
      </w:r>
    </w:p>
    <w:p w14:paraId="571AFDFB" w14:textId="77777777" w:rsidR="000A1236" w:rsidRPr="00C923D6" w:rsidRDefault="000A1236"/>
    <w:p w14:paraId="418E5934" w14:textId="29C4AED3" w:rsidR="000A1236" w:rsidRPr="004E41FF" w:rsidRDefault="000A1236">
      <w:pPr>
        <w:spacing w:line="288" w:lineRule="auto"/>
        <w:rPr>
          <w:b/>
        </w:rPr>
      </w:pPr>
      <w:r w:rsidRPr="004E41FF">
        <w:rPr>
          <w:b/>
        </w:rPr>
        <w:t xml:space="preserve">THE </w:t>
      </w:r>
      <w:r w:rsidR="00553F0E">
        <w:rPr>
          <w:b/>
        </w:rPr>
        <w:t>COMMISSION</w:t>
      </w:r>
      <w:r w:rsidRPr="004E41FF">
        <w:rPr>
          <w:b/>
        </w:rPr>
        <w:t xml:space="preserve"> ORDERS:</w:t>
      </w:r>
    </w:p>
    <w:p w14:paraId="0D0103A0" w14:textId="77777777" w:rsidR="000A1236" w:rsidRPr="00C923D6" w:rsidRDefault="000A1236">
      <w:pPr>
        <w:spacing w:line="288" w:lineRule="auto"/>
      </w:pPr>
    </w:p>
    <w:p w14:paraId="7AF4BB88" w14:textId="6250D39B" w:rsidR="00E82BC5" w:rsidRDefault="000A1236" w:rsidP="00A5633B">
      <w:pPr>
        <w:numPr>
          <w:ilvl w:val="0"/>
          <w:numId w:val="1"/>
        </w:numPr>
        <w:tabs>
          <w:tab w:val="left" w:pos="0"/>
          <w:tab w:val="num" w:pos="720"/>
        </w:tabs>
        <w:spacing w:line="288" w:lineRule="auto"/>
        <w:ind w:left="720" w:hanging="1440"/>
      </w:pPr>
      <w:r w:rsidRPr="00C923D6">
        <w:t>(1)</w:t>
      </w:r>
      <w:r w:rsidRPr="00C923D6">
        <w:tab/>
      </w:r>
      <w:r w:rsidR="003C2D7D">
        <w:t xml:space="preserve">The </w:t>
      </w:r>
      <w:r w:rsidR="00553F0E">
        <w:t>Commission</w:t>
      </w:r>
      <w:r w:rsidR="003C2D7D">
        <w:t xml:space="preserve"> grants the </w:t>
      </w:r>
      <w:r w:rsidR="00C63E78">
        <w:t xml:space="preserve">accounting </w:t>
      </w:r>
      <w:r w:rsidR="003C2D7D">
        <w:t xml:space="preserve">petition of </w:t>
      </w:r>
      <w:r w:rsidR="00985CFF">
        <w:t>Puget Sound Energy</w:t>
      </w:r>
      <w:r w:rsidR="00C63E78">
        <w:t xml:space="preserve"> filed September 30, 2016. </w:t>
      </w:r>
      <w:r w:rsidR="003C2D7D">
        <w:t xml:space="preserve"> </w:t>
      </w:r>
    </w:p>
    <w:p w14:paraId="5D4A34A8" w14:textId="77777777" w:rsidR="00C63E78" w:rsidRDefault="00C63E78" w:rsidP="00C63E78">
      <w:pPr>
        <w:spacing w:line="288" w:lineRule="auto"/>
        <w:ind w:left="720"/>
      </w:pPr>
    </w:p>
    <w:p w14:paraId="55B4D4CB" w14:textId="70D5F5CC" w:rsidR="00C63E78" w:rsidRDefault="00C63E78" w:rsidP="00A5633B">
      <w:pPr>
        <w:numPr>
          <w:ilvl w:val="0"/>
          <w:numId w:val="1"/>
        </w:numPr>
        <w:tabs>
          <w:tab w:val="left" w:pos="0"/>
          <w:tab w:val="num" w:pos="720"/>
        </w:tabs>
        <w:spacing w:line="288" w:lineRule="auto"/>
        <w:ind w:left="720" w:hanging="1440"/>
      </w:pPr>
      <w:r>
        <w:t>(2)</w:t>
      </w:r>
      <w:r>
        <w:tab/>
        <w:t>P</w:t>
      </w:r>
      <w:r w:rsidR="00553F0E">
        <w:t>uget Sound Energy</w:t>
      </w:r>
      <w:r>
        <w:t xml:space="preserve"> is authorized to establish a deferral account for the revenue variances associated with fixed production costs previously recovered in P</w:t>
      </w:r>
      <w:r w:rsidR="00553F0E">
        <w:t>uget Sound Energy’</w:t>
      </w:r>
      <w:r>
        <w:t>s Power Cost Adjustment Mechanism, beginning January 1, 2017</w:t>
      </w:r>
      <w:r w:rsidR="00B61E9F">
        <w:t>.</w:t>
      </w:r>
    </w:p>
    <w:p w14:paraId="19CB4945" w14:textId="77777777" w:rsidR="00E82BC5" w:rsidRDefault="00E82BC5" w:rsidP="00E82BC5">
      <w:pPr>
        <w:spacing w:line="288" w:lineRule="auto"/>
        <w:ind w:left="-720"/>
      </w:pPr>
    </w:p>
    <w:p w14:paraId="26C68F18" w14:textId="1C6DF1F6" w:rsidR="000A1236" w:rsidRDefault="00E82BC5" w:rsidP="00B873DC">
      <w:pPr>
        <w:numPr>
          <w:ilvl w:val="0"/>
          <w:numId w:val="1"/>
        </w:numPr>
        <w:tabs>
          <w:tab w:val="left" w:pos="0"/>
          <w:tab w:val="num" w:pos="720"/>
        </w:tabs>
        <w:spacing w:line="288" w:lineRule="auto"/>
        <w:ind w:left="720" w:hanging="1440"/>
      </w:pPr>
      <w:r>
        <w:t>(</w:t>
      </w:r>
      <w:r w:rsidR="00C63E78">
        <w:t>3</w:t>
      </w:r>
      <w:r>
        <w:t>)</w:t>
      </w:r>
      <w:r>
        <w:tab/>
      </w:r>
      <w:r w:rsidR="003C2270">
        <w:t>This Order shall not</w:t>
      </w:r>
      <w:r w:rsidR="000A1236" w:rsidRPr="00C923D6">
        <w:t xml:space="preserve"> affect the </w:t>
      </w:r>
      <w:r w:rsidR="00553F0E">
        <w:t>Commission’</w:t>
      </w:r>
      <w:r w:rsidR="003C2270">
        <w:t xml:space="preserve">s </w:t>
      </w:r>
      <w:r w:rsidR="000A1236" w:rsidRPr="00C923D6">
        <w:t>authority over rates, services, accounts, valuations, estima</w:t>
      </w:r>
      <w:r w:rsidR="003C2270">
        <w:t>tes, or determination of costs</w:t>
      </w:r>
      <w:r w:rsidR="00537A6E">
        <w:t xml:space="preserve">, </w:t>
      </w:r>
      <w:r w:rsidR="00210528">
        <w:t xml:space="preserve">on </w:t>
      </w:r>
      <w:r w:rsidR="003C2270">
        <w:t xml:space="preserve">any matters </w:t>
      </w:r>
      <w:r w:rsidR="000A1236" w:rsidRPr="00C923D6">
        <w:t>that may come before it</w:t>
      </w:r>
      <w:r w:rsidR="00537A6E">
        <w:t xml:space="preserve">. </w:t>
      </w:r>
      <w:r w:rsidR="00210528">
        <w:t xml:space="preserve">Nor shall this Order </w:t>
      </w:r>
      <w:r w:rsidR="000A1236" w:rsidRPr="00C923D6">
        <w:t xml:space="preserve">be construed </w:t>
      </w:r>
      <w:r w:rsidR="00210528">
        <w:t xml:space="preserve">as </w:t>
      </w:r>
      <w:r w:rsidR="00537A6E">
        <w:t>an agreement</w:t>
      </w:r>
      <w:r w:rsidR="00AD405A">
        <w:t xml:space="preserve"> to</w:t>
      </w:r>
      <w:r w:rsidR="000A1236" w:rsidRPr="00C923D6">
        <w:t xml:space="preserve"> any estimate or determination of costs</w:t>
      </w:r>
      <w:r w:rsidR="00537A6E">
        <w:t>, or any valuation of property</w:t>
      </w:r>
      <w:r w:rsidR="000A1236" w:rsidRPr="00C923D6">
        <w:t xml:space="preserve"> claimed or asserted.</w:t>
      </w:r>
    </w:p>
    <w:p w14:paraId="2A6C59F2" w14:textId="77777777" w:rsidR="00491C72" w:rsidRDefault="00491C72" w:rsidP="00491C72">
      <w:pPr>
        <w:spacing w:line="288" w:lineRule="auto"/>
      </w:pPr>
    </w:p>
    <w:p w14:paraId="19C364AB" w14:textId="2703D428" w:rsidR="000A1236" w:rsidRPr="00C923D6" w:rsidRDefault="003C2D7D" w:rsidP="00A5633B">
      <w:pPr>
        <w:numPr>
          <w:ilvl w:val="0"/>
          <w:numId w:val="1"/>
        </w:numPr>
        <w:tabs>
          <w:tab w:val="left" w:pos="0"/>
          <w:tab w:val="num" w:pos="720"/>
        </w:tabs>
        <w:spacing w:line="288" w:lineRule="auto"/>
        <w:ind w:left="720" w:hanging="1440"/>
      </w:pPr>
      <w:r>
        <w:t>(</w:t>
      </w:r>
      <w:r w:rsidR="00C63E78">
        <w:t>4</w:t>
      </w:r>
      <w:r w:rsidR="000A1236" w:rsidRPr="00C923D6">
        <w:t>)</w:t>
      </w:r>
      <w:r w:rsidR="000A1236" w:rsidRPr="00C923D6">
        <w:tab/>
        <w:t xml:space="preserve">The </w:t>
      </w:r>
      <w:r w:rsidR="00553F0E">
        <w:t>Commission</w:t>
      </w:r>
      <w:r w:rsidR="000A1236" w:rsidRPr="00C923D6">
        <w:t xml:space="preserve"> retains jurisdiction over the subject matter and </w:t>
      </w:r>
      <w:r w:rsidR="00985CFF">
        <w:t xml:space="preserve">Puget Sound Energy, </w:t>
      </w:r>
      <w:r w:rsidR="000A1236" w:rsidRPr="00C923D6">
        <w:t>to effectuate the provisions of this Order.</w:t>
      </w:r>
    </w:p>
    <w:p w14:paraId="77F9C018" w14:textId="77777777" w:rsidR="003C2D7D" w:rsidRDefault="003C2D7D">
      <w:pPr>
        <w:spacing w:line="288" w:lineRule="auto"/>
      </w:pPr>
    </w:p>
    <w:p w14:paraId="434B5FF7" w14:textId="5A502ACF" w:rsidR="003C2270" w:rsidRDefault="000A1236">
      <w:pPr>
        <w:spacing w:line="288" w:lineRule="auto"/>
      </w:pPr>
      <w:r w:rsidRPr="00C923D6">
        <w:t xml:space="preserve">The </w:t>
      </w:r>
      <w:r w:rsidR="00553F0E">
        <w:t>Commission</w:t>
      </w:r>
      <w:r w:rsidRPr="00C923D6">
        <w:t>ers, having determined this Order to be consistent with th</w:t>
      </w:r>
      <w:r w:rsidR="00D37AE6">
        <w:t>e public interest, directed the</w:t>
      </w:r>
      <w:r w:rsidR="004E41FF">
        <w:t xml:space="preserve"> </w:t>
      </w:r>
      <w:r w:rsidRPr="00C923D6">
        <w:t>Secretary to enter this Order.</w:t>
      </w:r>
    </w:p>
    <w:p w14:paraId="3DAD5B53" w14:textId="77777777" w:rsidR="003C2270" w:rsidRDefault="003C2270">
      <w:pPr>
        <w:spacing w:line="288" w:lineRule="auto"/>
      </w:pPr>
    </w:p>
    <w:p w14:paraId="3E955BC4" w14:textId="77777777" w:rsidR="0071623F" w:rsidRPr="002E6DDC" w:rsidRDefault="0071623F" w:rsidP="0071623F">
      <w:pPr>
        <w:spacing w:line="288" w:lineRule="auto"/>
      </w:pPr>
      <w:r w:rsidRPr="002E6DDC">
        <w:t xml:space="preserve">Dated at Olympia, Washington, and effective </w:t>
      </w:r>
      <w:r>
        <w:t>November 10</w:t>
      </w:r>
      <w:r w:rsidRPr="002E6DDC">
        <w:t>, 201</w:t>
      </w:r>
      <w:r>
        <w:t>7</w:t>
      </w:r>
      <w:r w:rsidRPr="002E6DDC">
        <w:t>.</w:t>
      </w:r>
    </w:p>
    <w:p w14:paraId="02EE352A" w14:textId="77777777" w:rsidR="0071623F" w:rsidRPr="002E6DDC" w:rsidRDefault="0071623F" w:rsidP="0071623F">
      <w:pPr>
        <w:pStyle w:val="Header"/>
        <w:tabs>
          <w:tab w:val="clear" w:pos="4320"/>
          <w:tab w:val="clear" w:pos="8640"/>
        </w:tabs>
        <w:spacing w:line="288" w:lineRule="auto"/>
      </w:pPr>
    </w:p>
    <w:p w14:paraId="077A4043" w14:textId="6D38F537" w:rsidR="0071623F" w:rsidRPr="002E6DDC" w:rsidRDefault="0071623F" w:rsidP="0071623F">
      <w:pPr>
        <w:spacing w:line="288" w:lineRule="auto"/>
        <w:jc w:val="center"/>
      </w:pPr>
      <w:r w:rsidRPr="002E6DDC">
        <w:t xml:space="preserve">WASHINGTON UTILITIES AND TRANSPORTATION </w:t>
      </w:r>
      <w:r w:rsidR="00553F0E">
        <w:t>COMMISSION</w:t>
      </w:r>
      <w:r w:rsidRPr="002E6DDC">
        <w:tab/>
      </w:r>
    </w:p>
    <w:p w14:paraId="78000010" w14:textId="77777777" w:rsidR="0071623F" w:rsidRPr="002E6DDC" w:rsidRDefault="0071623F" w:rsidP="0071623F">
      <w:pPr>
        <w:spacing w:line="288" w:lineRule="auto"/>
        <w:ind w:firstLine="4320"/>
        <w:jc w:val="both"/>
      </w:pPr>
    </w:p>
    <w:p w14:paraId="330F5FB6" w14:textId="77777777" w:rsidR="0071623F" w:rsidRPr="002E6DDC" w:rsidRDefault="0071623F" w:rsidP="0071623F">
      <w:pPr>
        <w:spacing w:line="288" w:lineRule="auto"/>
        <w:ind w:firstLine="4320"/>
        <w:jc w:val="both"/>
      </w:pPr>
    </w:p>
    <w:p w14:paraId="6FD7A80C" w14:textId="77777777" w:rsidR="0071623F" w:rsidRPr="002E6DDC" w:rsidRDefault="0071623F" w:rsidP="0071623F">
      <w:pPr>
        <w:spacing w:line="288" w:lineRule="auto"/>
        <w:ind w:firstLine="4320"/>
        <w:jc w:val="both"/>
      </w:pPr>
    </w:p>
    <w:p w14:paraId="3F56D9E2" w14:textId="77777777" w:rsidR="0071623F" w:rsidRPr="002E6DDC" w:rsidRDefault="0071623F" w:rsidP="0071623F">
      <w:pPr>
        <w:spacing w:line="288" w:lineRule="auto"/>
        <w:ind w:firstLine="4320"/>
        <w:jc w:val="both"/>
      </w:pPr>
      <w:r w:rsidRPr="002E6DDC">
        <w:t>DAVID W. DANNER, Chairman</w:t>
      </w:r>
    </w:p>
    <w:p w14:paraId="01F180F5" w14:textId="77777777" w:rsidR="0071623F" w:rsidRPr="002E6DDC" w:rsidRDefault="0071623F" w:rsidP="0071623F">
      <w:pPr>
        <w:spacing w:line="288" w:lineRule="auto"/>
        <w:jc w:val="center"/>
      </w:pPr>
    </w:p>
    <w:p w14:paraId="28ECDFEB" w14:textId="77777777" w:rsidR="0071623F" w:rsidRPr="002E6DDC" w:rsidRDefault="0071623F" w:rsidP="0071623F">
      <w:pPr>
        <w:spacing w:line="288" w:lineRule="auto"/>
        <w:jc w:val="center"/>
      </w:pPr>
    </w:p>
    <w:p w14:paraId="2256F498" w14:textId="77777777" w:rsidR="0071623F" w:rsidRPr="002E6DDC" w:rsidRDefault="0071623F" w:rsidP="0071623F">
      <w:pPr>
        <w:spacing w:line="288" w:lineRule="auto"/>
        <w:jc w:val="center"/>
      </w:pPr>
    </w:p>
    <w:p w14:paraId="7CF23ADD" w14:textId="2DB37835" w:rsidR="0071623F" w:rsidRPr="002E6DDC" w:rsidRDefault="0071623F" w:rsidP="0071623F">
      <w:pPr>
        <w:spacing w:line="288" w:lineRule="auto"/>
      </w:pPr>
      <w:r w:rsidRPr="002E6DDC">
        <w:tab/>
      </w:r>
      <w:r w:rsidRPr="002E6DDC">
        <w:tab/>
      </w:r>
      <w:r w:rsidRPr="002E6DDC">
        <w:tab/>
      </w:r>
      <w:r w:rsidRPr="002E6DDC">
        <w:tab/>
      </w:r>
      <w:r w:rsidRPr="002E6DDC">
        <w:tab/>
      </w:r>
      <w:r w:rsidRPr="002E6DDC">
        <w:tab/>
        <w:t xml:space="preserve">PHILIP B. JONES, </w:t>
      </w:r>
      <w:r w:rsidR="00553F0E">
        <w:t>Commission</w:t>
      </w:r>
      <w:r w:rsidRPr="002E6DDC">
        <w:t>er</w:t>
      </w:r>
    </w:p>
    <w:p w14:paraId="73C933B5" w14:textId="77777777" w:rsidR="0071623F" w:rsidRPr="002E6DDC" w:rsidRDefault="0071623F" w:rsidP="0071623F">
      <w:pPr>
        <w:spacing w:line="288" w:lineRule="auto"/>
        <w:jc w:val="center"/>
      </w:pPr>
    </w:p>
    <w:p w14:paraId="08D197AD" w14:textId="77777777" w:rsidR="0071623F" w:rsidRPr="002E6DDC" w:rsidRDefault="0071623F" w:rsidP="0071623F">
      <w:pPr>
        <w:spacing w:line="288" w:lineRule="auto"/>
        <w:jc w:val="center"/>
      </w:pPr>
    </w:p>
    <w:p w14:paraId="6BB47121" w14:textId="77777777" w:rsidR="0071623F" w:rsidRPr="002E6DDC" w:rsidRDefault="0071623F" w:rsidP="0071623F">
      <w:pPr>
        <w:spacing w:line="288" w:lineRule="auto"/>
        <w:jc w:val="center"/>
      </w:pPr>
    </w:p>
    <w:p w14:paraId="0465026B" w14:textId="0061DFFB" w:rsidR="0071623F" w:rsidRDefault="0071623F" w:rsidP="0071623F">
      <w:pPr>
        <w:spacing w:line="288" w:lineRule="auto"/>
      </w:pPr>
      <w:r w:rsidRPr="002E6DDC">
        <w:tab/>
      </w:r>
      <w:r w:rsidRPr="002E6DDC">
        <w:tab/>
      </w:r>
      <w:r w:rsidRPr="002E6DDC">
        <w:tab/>
      </w:r>
      <w:r w:rsidRPr="002E6DDC">
        <w:tab/>
      </w:r>
      <w:r w:rsidRPr="002E6DDC">
        <w:tab/>
      </w:r>
      <w:r w:rsidRPr="002E6DDC">
        <w:tab/>
        <w:t xml:space="preserve">ANN E. RENDAHL, </w:t>
      </w:r>
      <w:r w:rsidR="00553F0E">
        <w:t>Commission</w:t>
      </w:r>
      <w:r w:rsidRPr="002E6DDC">
        <w:t>er</w:t>
      </w:r>
    </w:p>
    <w:sectPr w:rsidR="0071623F" w:rsidSect="00553F0E">
      <w:headerReference w:type="default" r:id="rId12"/>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EE0CD2" w14:textId="77777777" w:rsidR="002650D3" w:rsidRDefault="002650D3">
      <w:r>
        <w:separator/>
      </w:r>
    </w:p>
  </w:endnote>
  <w:endnote w:type="continuationSeparator" w:id="0">
    <w:p w14:paraId="73544B90" w14:textId="77777777" w:rsidR="002650D3" w:rsidRDefault="002650D3">
      <w:r>
        <w:continuationSeparator/>
      </w:r>
    </w:p>
  </w:endnote>
  <w:endnote w:type="continuationNotice" w:id="1">
    <w:p w14:paraId="5211907F" w14:textId="77777777" w:rsidR="002650D3" w:rsidRDefault="002650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9F87E2" w14:textId="77777777" w:rsidR="002650D3" w:rsidRDefault="002650D3">
      <w:r>
        <w:separator/>
      </w:r>
    </w:p>
  </w:footnote>
  <w:footnote w:type="continuationSeparator" w:id="0">
    <w:p w14:paraId="7D871A8D" w14:textId="77777777" w:rsidR="002650D3" w:rsidRDefault="002650D3">
      <w:r>
        <w:continuationSeparator/>
      </w:r>
    </w:p>
  </w:footnote>
  <w:footnote w:type="continuationNotice" w:id="1">
    <w:p w14:paraId="3A3E7350" w14:textId="77777777" w:rsidR="002650D3" w:rsidRDefault="002650D3"/>
  </w:footnote>
  <w:footnote w:id="2">
    <w:p w14:paraId="34C8A04F" w14:textId="77777777" w:rsidR="00F04E56" w:rsidRDefault="00F04E56" w:rsidP="000A644B">
      <w:pPr>
        <w:pStyle w:val="FootnoteText"/>
        <w:tabs>
          <w:tab w:val="center" w:pos="4320"/>
        </w:tabs>
      </w:pPr>
      <w:r>
        <w:rPr>
          <w:rStyle w:val="FootnoteReference"/>
        </w:rPr>
        <w:footnoteRef/>
      </w:r>
      <w:r>
        <w:t xml:space="preserve"> Both over- and under-collection.</w:t>
      </w:r>
      <w:r w:rsidR="000A644B">
        <w:tab/>
      </w:r>
    </w:p>
  </w:footnote>
  <w:footnote w:id="3">
    <w:p w14:paraId="1FE94B05" w14:textId="72DD4AA6" w:rsidR="00885300" w:rsidRDefault="00885300" w:rsidP="00885300">
      <w:pPr>
        <w:pStyle w:val="FootnoteText"/>
      </w:pPr>
      <w:r>
        <w:rPr>
          <w:rStyle w:val="FootnoteReference"/>
        </w:rPr>
        <w:footnoteRef/>
      </w:r>
      <w:r>
        <w:t xml:space="preserve">  In Docket UE-161135, PSE filed its limited update to its Power Cost Baseline Rate. In that filing, PSE calculates separate Power Cost Baseline Rates for both its variable and fixed production related costs. The deferral will use the fixed production related cost baseline in UE-161135 of $25.871 per MWH. The deferral amount is calculated monthly by subtracting the product of the fixed production related cost baseline multiplied by forecast loads from this same baseline</w:t>
      </w:r>
      <w:r w:rsidR="00553F0E">
        <w:t xml:space="preserve"> multiplied by actual loads. </w:t>
      </w:r>
    </w:p>
  </w:footnote>
  <w:footnote w:id="4">
    <w:p w14:paraId="0FBAC7A0" w14:textId="77777777" w:rsidR="00A637FC" w:rsidRDefault="00A637FC">
      <w:pPr>
        <w:pStyle w:val="FootnoteText"/>
      </w:pPr>
      <w:r>
        <w:rPr>
          <w:rStyle w:val="FootnoteReference"/>
        </w:rPr>
        <w:footnoteRef/>
      </w:r>
      <w:r>
        <w:t xml:space="preserve"> </w:t>
      </w:r>
      <w:r w:rsidRPr="00E46026">
        <w:rPr>
          <w:i/>
        </w:rPr>
        <w:t>WUTC v. Puget Sound Energy, Inc.</w:t>
      </w:r>
      <w:r w:rsidRPr="00E46026">
        <w:t>,</w:t>
      </w:r>
      <w:r>
        <w:t xml:space="preserve"> Dockets UE-130617 </w:t>
      </w:r>
      <w:r>
        <w:rPr>
          <w:i/>
        </w:rPr>
        <w:t>et al</w:t>
      </w:r>
      <w:r w:rsidRPr="004311AB">
        <w:t>,</w:t>
      </w:r>
      <w:r>
        <w:rPr>
          <w:i/>
        </w:rPr>
        <w:t xml:space="preserve"> </w:t>
      </w:r>
      <w:r>
        <w:t xml:space="preserve">Order 11, ¶ 15 (August 7, 2015) and Appendix A to Order 11 – Settlement Stipulation, ¶ 9, Section F, Item 4. </w:t>
      </w:r>
      <w:r w:rsidRPr="000A644B">
        <w:t>It was anticipated at the time Order 11 was issued that the disposition of any deferral balance for the two-month period would also be addressed in the Company’s next general rate case.</w:t>
      </w:r>
      <w:r>
        <w:t xml:space="preserve"> It was agreed among the settling parties that the interest rate on any deferred customer surcharges or refunds will continue for the PCA per current policy. Staff has proposed, and the Company agrees to apply the FERC Interest Rate to the </w:t>
      </w:r>
      <w:r w:rsidRPr="000C19F1">
        <w:t>revenue variances (both over</w:t>
      </w:r>
      <w:r>
        <w:t>-</w:t>
      </w:r>
      <w:r w:rsidRPr="000C19F1">
        <w:t xml:space="preserve"> and under</w:t>
      </w:r>
      <w:r>
        <w:t>-</w:t>
      </w:r>
      <w:r w:rsidRPr="000C19F1">
        <w:t xml:space="preserve">collection) associated with its recovery of its fixed production related costs </w:t>
      </w:r>
      <w:r>
        <w:t>in order to be consistent with both the PCA and the Company’s existing Decoupling Mechanism.</w:t>
      </w:r>
    </w:p>
  </w:footnote>
  <w:footnote w:id="5">
    <w:p w14:paraId="0B88FF33" w14:textId="77777777" w:rsidR="00A637FC" w:rsidRDefault="00A637FC">
      <w:pPr>
        <w:pStyle w:val="FootnoteText"/>
      </w:pPr>
      <w:r>
        <w:rPr>
          <w:rStyle w:val="FootnoteReference"/>
        </w:rPr>
        <w:footnoteRef/>
      </w:r>
      <w:r>
        <w:t xml:space="preserve"> </w:t>
      </w:r>
      <w:r>
        <w:rPr>
          <w:i/>
        </w:rPr>
        <w:t>WUTC v. Puget Sound Energy,</w:t>
      </w:r>
      <w:r>
        <w:t xml:space="preserve"> Dockets UE-121697 </w:t>
      </w:r>
      <w:r>
        <w:rPr>
          <w:i/>
        </w:rPr>
        <w:t>et al</w:t>
      </w:r>
      <w:r>
        <w:t>, Order 07, ¶ 9 (June 25, 2013).</w:t>
      </w:r>
    </w:p>
  </w:footnote>
  <w:footnote w:id="6">
    <w:p w14:paraId="21B2F23D" w14:textId="77777777" w:rsidR="00A637FC" w:rsidRDefault="00A637FC">
      <w:pPr>
        <w:pStyle w:val="FootnoteText"/>
      </w:pPr>
      <w:r>
        <w:rPr>
          <w:rStyle w:val="FootnoteReference"/>
        </w:rPr>
        <w:footnoteRef/>
      </w:r>
      <w:r>
        <w:t xml:space="preserve"> </w:t>
      </w:r>
      <w:r w:rsidRPr="00A637FC">
        <w:t xml:space="preserve">The Joint Petitioners also agreed </w:t>
      </w:r>
      <w:r w:rsidRPr="00A637FC">
        <w:rPr>
          <w:color w:val="000000"/>
        </w:rPr>
        <w:t xml:space="preserve">to support an amendment to Order 11 </w:t>
      </w:r>
      <w:r>
        <w:rPr>
          <w:color w:val="000000"/>
        </w:rPr>
        <w:t xml:space="preserve">in Docket UE-130617 </w:t>
      </w:r>
      <w:r>
        <w:rPr>
          <w:i/>
          <w:color w:val="000000"/>
        </w:rPr>
        <w:t xml:space="preserve">et </w:t>
      </w:r>
      <w:r w:rsidRPr="00A637FC">
        <w:rPr>
          <w:color w:val="000000"/>
        </w:rPr>
        <w:t>al</w:t>
      </w:r>
      <w:r>
        <w:rPr>
          <w:color w:val="000000"/>
        </w:rPr>
        <w:t xml:space="preserve"> </w:t>
      </w:r>
      <w:r w:rsidRPr="00A637FC">
        <w:rPr>
          <w:color w:val="000000"/>
        </w:rPr>
        <w:t>for the purposes of extending the deferral period in recognition of the new date by which PSE must file its next general rate case and when new rates are expected to take effect.</w:t>
      </w:r>
      <w:r>
        <w:rPr>
          <w:color w:val="000000"/>
        </w:rPr>
        <w:t xml:space="preserve"> </w:t>
      </w:r>
      <w:r>
        <w:t>UE-121697, Joint Petition to Modify Order 07, ¶ 8, Item 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CAD6C" w14:textId="206B10E9" w:rsidR="00A25E7E" w:rsidRPr="00A748CC" w:rsidRDefault="00A25E7E" w:rsidP="00553F0E">
    <w:pPr>
      <w:pStyle w:val="Header"/>
      <w:tabs>
        <w:tab w:val="left" w:pos="4320"/>
        <w:tab w:val="right" w:pos="8190"/>
        <w:tab w:val="left" w:pos="8640"/>
      </w:tabs>
      <w:rPr>
        <w:rStyle w:val="PageNumber"/>
        <w:b/>
        <w:sz w:val="20"/>
      </w:rPr>
    </w:pPr>
    <w:r w:rsidRPr="00A748CC">
      <w:rPr>
        <w:b/>
        <w:sz w:val="20"/>
      </w:rPr>
      <w:t>DOCKET</w:t>
    </w:r>
    <w:r w:rsidR="00E53E92">
      <w:rPr>
        <w:b/>
        <w:sz w:val="20"/>
      </w:rPr>
      <w:t xml:space="preserve"> UE-16</w:t>
    </w:r>
    <w:r w:rsidR="0007271C">
      <w:rPr>
        <w:b/>
        <w:sz w:val="20"/>
      </w:rPr>
      <w:t>1112</w:t>
    </w:r>
    <w:r w:rsidR="00553F0E">
      <w:rPr>
        <w:b/>
        <w:sz w:val="20"/>
      </w:rPr>
      <w:tab/>
    </w:r>
    <w:r w:rsidRPr="00A748CC">
      <w:rPr>
        <w:b/>
        <w:sz w:val="20"/>
      </w:rPr>
      <w:tab/>
      <w:t xml:space="preserve">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3D1E30">
      <w:rPr>
        <w:rStyle w:val="PageNumber"/>
        <w:b/>
        <w:noProof/>
        <w:sz w:val="20"/>
      </w:rPr>
      <w:t>4</w:t>
    </w:r>
    <w:r w:rsidRPr="00A748CC">
      <w:rPr>
        <w:rStyle w:val="PageNumber"/>
        <w:b/>
        <w:sz w:val="20"/>
      </w:rPr>
      <w:fldChar w:fldCharType="end"/>
    </w:r>
  </w:p>
  <w:p w14:paraId="4225DFE7" w14:textId="63915342" w:rsidR="00A25E7E" w:rsidRPr="0050337D" w:rsidRDefault="00A25E7E" w:rsidP="00D842FB">
    <w:pPr>
      <w:pStyle w:val="Header"/>
      <w:tabs>
        <w:tab w:val="left" w:pos="7000"/>
      </w:tabs>
      <w:rPr>
        <w:rStyle w:val="PageNumber"/>
        <w:sz w:val="20"/>
      </w:rPr>
    </w:pPr>
    <w:r w:rsidRPr="00A748CC">
      <w:rPr>
        <w:rStyle w:val="PageNumber"/>
        <w:b/>
        <w:sz w:val="20"/>
      </w:rPr>
      <w:t xml:space="preserve">ORDER </w:t>
    </w:r>
    <w:r w:rsidR="00E53E92" w:rsidRPr="00E53E92">
      <w:rPr>
        <w:b/>
        <w:sz w:val="20"/>
      </w:rPr>
      <w:t>01</w:t>
    </w:r>
  </w:p>
  <w:p w14:paraId="420B6853" w14:textId="77777777" w:rsidR="00A25E7E" w:rsidRPr="00C923D6" w:rsidRDefault="00A25E7E">
    <w:pPr>
      <w:pStyle w:val="Header"/>
      <w:rPr>
        <w:rStyle w:val="PageNumber"/>
        <w:sz w:val="20"/>
      </w:rPr>
    </w:pPr>
  </w:p>
  <w:p w14:paraId="4AAE15F6" w14:textId="77777777" w:rsidR="00A25E7E" w:rsidRPr="00C923D6" w:rsidRDefault="00A25E7E">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502E9C"/>
    <w:multiLevelType w:val="hybridMultilevel"/>
    <w:tmpl w:val="AD74CB60"/>
    <w:lvl w:ilvl="0" w:tplc="65ACE1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F361CF9"/>
    <w:multiLevelType w:val="hybridMultilevel"/>
    <w:tmpl w:val="954E6EEE"/>
    <w:lvl w:ilvl="0" w:tplc="5194F5D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AD6978"/>
    <w:multiLevelType w:val="hybridMultilevel"/>
    <w:tmpl w:val="FE1C39C2"/>
    <w:lvl w:ilvl="0" w:tplc="EF1CA70C">
      <w:start w:val="1"/>
      <w:numFmt w:val="decimal"/>
      <w:lvlText w:val="%1"/>
      <w:lvlJc w:val="right"/>
      <w:pPr>
        <w:tabs>
          <w:tab w:val="num" w:pos="0"/>
        </w:tabs>
        <w:ind w:left="0" w:hanging="720"/>
      </w:pPr>
      <w:rPr>
        <w:rFonts w:hint="default"/>
        <w:b w:val="0"/>
        <w:i/>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6C91CF4"/>
    <w:multiLevelType w:val="hybridMultilevel"/>
    <w:tmpl w:val="4F169814"/>
    <w:lvl w:ilvl="0" w:tplc="F1F867DE">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9E7708"/>
    <w:multiLevelType w:val="hybridMultilevel"/>
    <w:tmpl w:val="6CD80A7C"/>
    <w:lvl w:ilvl="0" w:tplc="AC70D5B2">
      <w:start w:val="1"/>
      <w:numFmt w:val="decimal"/>
      <w:lvlText w:val="%1"/>
      <w:lvlJc w:val="left"/>
      <w:pPr>
        <w:tabs>
          <w:tab w:val="num" w:pos="0"/>
        </w:tabs>
        <w:ind w:left="0" w:hanging="720"/>
      </w:pPr>
      <w:rPr>
        <w:rFonts w:hint="default"/>
        <w:b w:val="0"/>
        <w:i/>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BAA"/>
    <w:rsid w:val="00002219"/>
    <w:rsid w:val="00004874"/>
    <w:rsid w:val="00020192"/>
    <w:rsid w:val="00023700"/>
    <w:rsid w:val="00042596"/>
    <w:rsid w:val="00045705"/>
    <w:rsid w:val="000505D0"/>
    <w:rsid w:val="00050C2A"/>
    <w:rsid w:val="00055FC7"/>
    <w:rsid w:val="00057A10"/>
    <w:rsid w:val="00057BB3"/>
    <w:rsid w:val="00066053"/>
    <w:rsid w:val="0007271C"/>
    <w:rsid w:val="00073237"/>
    <w:rsid w:val="000918ED"/>
    <w:rsid w:val="00093DF3"/>
    <w:rsid w:val="000A001B"/>
    <w:rsid w:val="000A1236"/>
    <w:rsid w:val="000A644B"/>
    <w:rsid w:val="000B0976"/>
    <w:rsid w:val="000B2415"/>
    <w:rsid w:val="000B4E4D"/>
    <w:rsid w:val="000B55B9"/>
    <w:rsid w:val="000B6AB3"/>
    <w:rsid w:val="000C0449"/>
    <w:rsid w:val="000C19F1"/>
    <w:rsid w:val="000D17F0"/>
    <w:rsid w:val="000D5C6F"/>
    <w:rsid w:val="000E0FD7"/>
    <w:rsid w:val="000F7644"/>
    <w:rsid w:val="00103788"/>
    <w:rsid w:val="001204DB"/>
    <w:rsid w:val="001223E6"/>
    <w:rsid w:val="00126911"/>
    <w:rsid w:val="00135E17"/>
    <w:rsid w:val="00136123"/>
    <w:rsid w:val="00137B5D"/>
    <w:rsid w:val="001514F7"/>
    <w:rsid w:val="00156783"/>
    <w:rsid w:val="00174F7F"/>
    <w:rsid w:val="00182FF3"/>
    <w:rsid w:val="00191FEF"/>
    <w:rsid w:val="001A2CF4"/>
    <w:rsid w:val="001A301B"/>
    <w:rsid w:val="001B0C85"/>
    <w:rsid w:val="001B1D10"/>
    <w:rsid w:val="001B4E39"/>
    <w:rsid w:val="001B6FF6"/>
    <w:rsid w:val="001C6A45"/>
    <w:rsid w:val="001D0337"/>
    <w:rsid w:val="001D2387"/>
    <w:rsid w:val="001E31D2"/>
    <w:rsid w:val="001F3B92"/>
    <w:rsid w:val="001F49EF"/>
    <w:rsid w:val="00207E0A"/>
    <w:rsid w:val="00210528"/>
    <w:rsid w:val="0021226A"/>
    <w:rsid w:val="0021323F"/>
    <w:rsid w:val="00217507"/>
    <w:rsid w:val="00222868"/>
    <w:rsid w:val="00232789"/>
    <w:rsid w:val="0024449F"/>
    <w:rsid w:val="00256D8F"/>
    <w:rsid w:val="002650D3"/>
    <w:rsid w:val="00267B11"/>
    <w:rsid w:val="002735BC"/>
    <w:rsid w:val="00274420"/>
    <w:rsid w:val="00286262"/>
    <w:rsid w:val="002A288F"/>
    <w:rsid w:val="002A35AF"/>
    <w:rsid w:val="002A368B"/>
    <w:rsid w:val="002A391C"/>
    <w:rsid w:val="002C1DB0"/>
    <w:rsid w:val="002C29B2"/>
    <w:rsid w:val="002F3985"/>
    <w:rsid w:val="00304BB0"/>
    <w:rsid w:val="003177EB"/>
    <w:rsid w:val="0032411E"/>
    <w:rsid w:val="003402D3"/>
    <w:rsid w:val="00345D1B"/>
    <w:rsid w:val="003643CD"/>
    <w:rsid w:val="003714CB"/>
    <w:rsid w:val="00371BAA"/>
    <w:rsid w:val="0037648A"/>
    <w:rsid w:val="003866B0"/>
    <w:rsid w:val="003919D4"/>
    <w:rsid w:val="0039391E"/>
    <w:rsid w:val="00395412"/>
    <w:rsid w:val="00396B31"/>
    <w:rsid w:val="0039735B"/>
    <w:rsid w:val="003A7A25"/>
    <w:rsid w:val="003C2211"/>
    <w:rsid w:val="003C2270"/>
    <w:rsid w:val="003C2D7D"/>
    <w:rsid w:val="003C57E7"/>
    <w:rsid w:val="003D03E5"/>
    <w:rsid w:val="003D1E30"/>
    <w:rsid w:val="003E027C"/>
    <w:rsid w:val="003E4067"/>
    <w:rsid w:val="003F4F3D"/>
    <w:rsid w:val="003F5B91"/>
    <w:rsid w:val="003F66EA"/>
    <w:rsid w:val="0040179C"/>
    <w:rsid w:val="00404FBE"/>
    <w:rsid w:val="00407309"/>
    <w:rsid w:val="00410754"/>
    <w:rsid w:val="00415F5F"/>
    <w:rsid w:val="00420751"/>
    <w:rsid w:val="004311AB"/>
    <w:rsid w:val="0043185D"/>
    <w:rsid w:val="00435481"/>
    <w:rsid w:val="004376D1"/>
    <w:rsid w:val="00446310"/>
    <w:rsid w:val="00450D46"/>
    <w:rsid w:val="00462879"/>
    <w:rsid w:val="004652F0"/>
    <w:rsid w:val="00485E55"/>
    <w:rsid w:val="004906C8"/>
    <w:rsid w:val="00491C72"/>
    <w:rsid w:val="004937DF"/>
    <w:rsid w:val="004953AB"/>
    <w:rsid w:val="004A3043"/>
    <w:rsid w:val="004A73D5"/>
    <w:rsid w:val="004B634B"/>
    <w:rsid w:val="004D4848"/>
    <w:rsid w:val="004D79E7"/>
    <w:rsid w:val="004E41FF"/>
    <w:rsid w:val="004E5060"/>
    <w:rsid w:val="004E5CF8"/>
    <w:rsid w:val="004E7207"/>
    <w:rsid w:val="004F08FE"/>
    <w:rsid w:val="00512EC6"/>
    <w:rsid w:val="00516910"/>
    <w:rsid w:val="005175C1"/>
    <w:rsid w:val="0052040E"/>
    <w:rsid w:val="005225CE"/>
    <w:rsid w:val="00525321"/>
    <w:rsid w:val="00537A6E"/>
    <w:rsid w:val="00552400"/>
    <w:rsid w:val="00553F0E"/>
    <w:rsid w:val="005579E7"/>
    <w:rsid w:val="00560A2A"/>
    <w:rsid w:val="005619B4"/>
    <w:rsid w:val="00565BDA"/>
    <w:rsid w:val="00572F55"/>
    <w:rsid w:val="00576C1F"/>
    <w:rsid w:val="005822E6"/>
    <w:rsid w:val="005856BD"/>
    <w:rsid w:val="005A0FF8"/>
    <w:rsid w:val="005A1E76"/>
    <w:rsid w:val="005A20A8"/>
    <w:rsid w:val="005A6028"/>
    <w:rsid w:val="005A7795"/>
    <w:rsid w:val="005B34FC"/>
    <w:rsid w:val="005E58A8"/>
    <w:rsid w:val="005F19AA"/>
    <w:rsid w:val="00605504"/>
    <w:rsid w:val="006057D7"/>
    <w:rsid w:val="00610193"/>
    <w:rsid w:val="00622D76"/>
    <w:rsid w:val="006262B3"/>
    <w:rsid w:val="00633612"/>
    <w:rsid w:val="006366AA"/>
    <w:rsid w:val="00645667"/>
    <w:rsid w:val="006503D8"/>
    <w:rsid w:val="006641CB"/>
    <w:rsid w:val="0067304B"/>
    <w:rsid w:val="00681739"/>
    <w:rsid w:val="0068552C"/>
    <w:rsid w:val="006C4048"/>
    <w:rsid w:val="006C5F51"/>
    <w:rsid w:val="007060C9"/>
    <w:rsid w:val="00706D7A"/>
    <w:rsid w:val="007071CA"/>
    <w:rsid w:val="007079C7"/>
    <w:rsid w:val="007133EB"/>
    <w:rsid w:val="007147E9"/>
    <w:rsid w:val="0071623F"/>
    <w:rsid w:val="007308FD"/>
    <w:rsid w:val="00735025"/>
    <w:rsid w:val="007416A7"/>
    <w:rsid w:val="007454F4"/>
    <w:rsid w:val="00747B65"/>
    <w:rsid w:val="00750359"/>
    <w:rsid w:val="00751022"/>
    <w:rsid w:val="0075646F"/>
    <w:rsid w:val="0076326D"/>
    <w:rsid w:val="00763CDD"/>
    <w:rsid w:val="00771135"/>
    <w:rsid w:val="00774551"/>
    <w:rsid w:val="0078424F"/>
    <w:rsid w:val="00794F1A"/>
    <w:rsid w:val="007C2F00"/>
    <w:rsid w:val="007C7590"/>
    <w:rsid w:val="007D4C59"/>
    <w:rsid w:val="007D62FB"/>
    <w:rsid w:val="007E6159"/>
    <w:rsid w:val="007E617D"/>
    <w:rsid w:val="007F0676"/>
    <w:rsid w:val="007F6B85"/>
    <w:rsid w:val="008058E8"/>
    <w:rsid w:val="0080664E"/>
    <w:rsid w:val="00815F74"/>
    <w:rsid w:val="00823311"/>
    <w:rsid w:val="008246C9"/>
    <w:rsid w:val="00825728"/>
    <w:rsid w:val="00830CD8"/>
    <w:rsid w:val="00830EB3"/>
    <w:rsid w:val="00831DAF"/>
    <w:rsid w:val="00840ABC"/>
    <w:rsid w:val="00845BCE"/>
    <w:rsid w:val="00863616"/>
    <w:rsid w:val="008667F4"/>
    <w:rsid w:val="00874AC3"/>
    <w:rsid w:val="00885300"/>
    <w:rsid w:val="00887761"/>
    <w:rsid w:val="008A0E05"/>
    <w:rsid w:val="008A2103"/>
    <w:rsid w:val="008A588A"/>
    <w:rsid w:val="008A5BDE"/>
    <w:rsid w:val="008A75BB"/>
    <w:rsid w:val="008B1C11"/>
    <w:rsid w:val="008B6F84"/>
    <w:rsid w:val="008C30D5"/>
    <w:rsid w:val="008C3B19"/>
    <w:rsid w:val="008D2E60"/>
    <w:rsid w:val="008D35E6"/>
    <w:rsid w:val="008D36E0"/>
    <w:rsid w:val="008F66CE"/>
    <w:rsid w:val="008F6CAA"/>
    <w:rsid w:val="00902095"/>
    <w:rsid w:val="00910F80"/>
    <w:rsid w:val="0091776C"/>
    <w:rsid w:val="00922662"/>
    <w:rsid w:val="0092543D"/>
    <w:rsid w:val="00940E71"/>
    <w:rsid w:val="00942B9D"/>
    <w:rsid w:val="009526A0"/>
    <w:rsid w:val="00953BAB"/>
    <w:rsid w:val="00961389"/>
    <w:rsid w:val="00961707"/>
    <w:rsid w:val="00962FF8"/>
    <w:rsid w:val="00964400"/>
    <w:rsid w:val="009713F3"/>
    <w:rsid w:val="00973CBA"/>
    <w:rsid w:val="00982DA9"/>
    <w:rsid w:val="0098479C"/>
    <w:rsid w:val="00985ADC"/>
    <w:rsid w:val="00985CFF"/>
    <w:rsid w:val="0099241D"/>
    <w:rsid w:val="009A1B2E"/>
    <w:rsid w:val="009A6039"/>
    <w:rsid w:val="009B3E4E"/>
    <w:rsid w:val="009B4574"/>
    <w:rsid w:val="009D5E0A"/>
    <w:rsid w:val="009E6003"/>
    <w:rsid w:val="009F2201"/>
    <w:rsid w:val="009F3DAC"/>
    <w:rsid w:val="00A14580"/>
    <w:rsid w:val="00A20FB6"/>
    <w:rsid w:val="00A2131C"/>
    <w:rsid w:val="00A25E7E"/>
    <w:rsid w:val="00A26911"/>
    <w:rsid w:val="00A32948"/>
    <w:rsid w:val="00A34118"/>
    <w:rsid w:val="00A3599C"/>
    <w:rsid w:val="00A4134E"/>
    <w:rsid w:val="00A5633B"/>
    <w:rsid w:val="00A637FC"/>
    <w:rsid w:val="00A6402D"/>
    <w:rsid w:val="00A67701"/>
    <w:rsid w:val="00A86644"/>
    <w:rsid w:val="00A92E80"/>
    <w:rsid w:val="00AA0301"/>
    <w:rsid w:val="00AA39DE"/>
    <w:rsid w:val="00AB7B6C"/>
    <w:rsid w:val="00AC1498"/>
    <w:rsid w:val="00AC1794"/>
    <w:rsid w:val="00AD405A"/>
    <w:rsid w:val="00AF0A77"/>
    <w:rsid w:val="00AF101F"/>
    <w:rsid w:val="00AF4DF1"/>
    <w:rsid w:val="00B01357"/>
    <w:rsid w:val="00B019A8"/>
    <w:rsid w:val="00B06CBC"/>
    <w:rsid w:val="00B13F6F"/>
    <w:rsid w:val="00B2434A"/>
    <w:rsid w:val="00B3189F"/>
    <w:rsid w:val="00B501D4"/>
    <w:rsid w:val="00B52506"/>
    <w:rsid w:val="00B53EF5"/>
    <w:rsid w:val="00B61E9F"/>
    <w:rsid w:val="00B6202B"/>
    <w:rsid w:val="00B6218F"/>
    <w:rsid w:val="00B7132A"/>
    <w:rsid w:val="00B8121A"/>
    <w:rsid w:val="00B83308"/>
    <w:rsid w:val="00BA18BD"/>
    <w:rsid w:val="00BA627E"/>
    <w:rsid w:val="00BA6AFF"/>
    <w:rsid w:val="00BB029B"/>
    <w:rsid w:val="00BB6594"/>
    <w:rsid w:val="00BD5323"/>
    <w:rsid w:val="00BD6086"/>
    <w:rsid w:val="00BE0B6D"/>
    <w:rsid w:val="00C10C9B"/>
    <w:rsid w:val="00C13FE9"/>
    <w:rsid w:val="00C30E16"/>
    <w:rsid w:val="00C3324E"/>
    <w:rsid w:val="00C40733"/>
    <w:rsid w:val="00C54B4E"/>
    <w:rsid w:val="00C622F6"/>
    <w:rsid w:val="00C63E78"/>
    <w:rsid w:val="00C65B5C"/>
    <w:rsid w:val="00C87791"/>
    <w:rsid w:val="00C923D6"/>
    <w:rsid w:val="00C979BD"/>
    <w:rsid w:val="00CA2714"/>
    <w:rsid w:val="00CB5B09"/>
    <w:rsid w:val="00CD75FE"/>
    <w:rsid w:val="00CE3384"/>
    <w:rsid w:val="00D014BD"/>
    <w:rsid w:val="00D058D4"/>
    <w:rsid w:val="00D07438"/>
    <w:rsid w:val="00D13849"/>
    <w:rsid w:val="00D13B6B"/>
    <w:rsid w:val="00D22907"/>
    <w:rsid w:val="00D24B6B"/>
    <w:rsid w:val="00D27171"/>
    <w:rsid w:val="00D27BAB"/>
    <w:rsid w:val="00D30CD1"/>
    <w:rsid w:val="00D31294"/>
    <w:rsid w:val="00D37AE6"/>
    <w:rsid w:val="00D40008"/>
    <w:rsid w:val="00D4721F"/>
    <w:rsid w:val="00D5498E"/>
    <w:rsid w:val="00D566F5"/>
    <w:rsid w:val="00D61527"/>
    <w:rsid w:val="00D73A1A"/>
    <w:rsid w:val="00D73C3E"/>
    <w:rsid w:val="00D75862"/>
    <w:rsid w:val="00D8358F"/>
    <w:rsid w:val="00D842FB"/>
    <w:rsid w:val="00D91AB3"/>
    <w:rsid w:val="00D938E7"/>
    <w:rsid w:val="00DA0056"/>
    <w:rsid w:val="00DC6608"/>
    <w:rsid w:val="00DD4D85"/>
    <w:rsid w:val="00DD589F"/>
    <w:rsid w:val="00E0171D"/>
    <w:rsid w:val="00E02724"/>
    <w:rsid w:val="00E03F92"/>
    <w:rsid w:val="00E27AD8"/>
    <w:rsid w:val="00E36BC8"/>
    <w:rsid w:val="00E429A7"/>
    <w:rsid w:val="00E4535C"/>
    <w:rsid w:val="00E4683D"/>
    <w:rsid w:val="00E53E92"/>
    <w:rsid w:val="00E67931"/>
    <w:rsid w:val="00E72BF5"/>
    <w:rsid w:val="00E75CC8"/>
    <w:rsid w:val="00E77A92"/>
    <w:rsid w:val="00E82BC5"/>
    <w:rsid w:val="00E8335A"/>
    <w:rsid w:val="00E839E1"/>
    <w:rsid w:val="00E8568C"/>
    <w:rsid w:val="00E96775"/>
    <w:rsid w:val="00EA53E6"/>
    <w:rsid w:val="00EB5CE4"/>
    <w:rsid w:val="00EC2C6B"/>
    <w:rsid w:val="00EE45BE"/>
    <w:rsid w:val="00EE6A09"/>
    <w:rsid w:val="00EF1B81"/>
    <w:rsid w:val="00F01F5E"/>
    <w:rsid w:val="00F03613"/>
    <w:rsid w:val="00F04E56"/>
    <w:rsid w:val="00F23378"/>
    <w:rsid w:val="00F23EAE"/>
    <w:rsid w:val="00F353C2"/>
    <w:rsid w:val="00F53956"/>
    <w:rsid w:val="00F54B0B"/>
    <w:rsid w:val="00F67A75"/>
    <w:rsid w:val="00F75266"/>
    <w:rsid w:val="00F85C03"/>
    <w:rsid w:val="00F911E1"/>
    <w:rsid w:val="00FA1C42"/>
    <w:rsid w:val="00FA309A"/>
    <w:rsid w:val="00FA3639"/>
    <w:rsid w:val="00FA587B"/>
    <w:rsid w:val="00FC0341"/>
    <w:rsid w:val="00FC27F2"/>
    <w:rsid w:val="00FC28FC"/>
    <w:rsid w:val="00FC2988"/>
    <w:rsid w:val="00FC2E4B"/>
    <w:rsid w:val="00FC743E"/>
    <w:rsid w:val="00FE1FAF"/>
    <w:rsid w:val="00FE2919"/>
    <w:rsid w:val="00FE3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4337"/>
    <o:shapelayout v:ext="edit">
      <o:idmap v:ext="edit" data="1"/>
    </o:shapelayout>
  </w:shapeDefaults>
  <w:decimalSymbol w:val="."/>
  <w:listSeparator w:val=","/>
  <w14:docId w14:val="0C7C80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FAF"/>
    <w:rPr>
      <w:sz w:val="24"/>
      <w:szCs w:val="24"/>
    </w:rPr>
  </w:style>
  <w:style w:type="paragraph" w:styleId="Heading1">
    <w:name w:val="heading 1"/>
    <w:basedOn w:val="Normal"/>
    <w:next w:val="Normal"/>
    <w:qFormat/>
    <w:rsid w:val="00FE1FAF"/>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FAF"/>
    <w:pPr>
      <w:jc w:val="center"/>
    </w:pPr>
  </w:style>
  <w:style w:type="paragraph" w:styleId="Header">
    <w:name w:val="header"/>
    <w:basedOn w:val="Normal"/>
    <w:link w:val="HeaderChar"/>
    <w:uiPriority w:val="99"/>
    <w:rsid w:val="00FE1FAF"/>
    <w:pPr>
      <w:tabs>
        <w:tab w:val="center" w:pos="4320"/>
        <w:tab w:val="right" w:pos="8640"/>
      </w:tabs>
    </w:pPr>
  </w:style>
  <w:style w:type="paragraph" w:styleId="Footer">
    <w:name w:val="footer"/>
    <w:basedOn w:val="Normal"/>
    <w:rsid w:val="00FE1FAF"/>
    <w:pPr>
      <w:tabs>
        <w:tab w:val="center" w:pos="4320"/>
        <w:tab w:val="right" w:pos="8640"/>
      </w:tabs>
    </w:pPr>
  </w:style>
  <w:style w:type="character" w:styleId="PageNumber">
    <w:name w:val="page number"/>
    <w:basedOn w:val="DefaultParagraphFont"/>
    <w:rsid w:val="00FE1FAF"/>
  </w:style>
  <w:style w:type="paragraph" w:customStyle="1" w:styleId="Findings">
    <w:name w:val="Findings"/>
    <w:basedOn w:val="Normal"/>
    <w:rsid w:val="00FE1FAF"/>
  </w:style>
  <w:style w:type="paragraph" w:styleId="BalloonText">
    <w:name w:val="Balloon Text"/>
    <w:basedOn w:val="Normal"/>
    <w:semiHidden/>
    <w:rsid w:val="004E41FF"/>
    <w:rPr>
      <w:rFonts w:ascii="Tahoma" w:hAnsi="Tahoma" w:cs="Tahoma"/>
      <w:sz w:val="16"/>
      <w:szCs w:val="16"/>
    </w:rPr>
  </w:style>
  <w:style w:type="character" w:styleId="Hyperlink">
    <w:name w:val="Hyperlink"/>
    <w:rsid w:val="00F75266"/>
    <w:rPr>
      <w:color w:val="0000FF"/>
      <w:u w:val="none"/>
    </w:rPr>
  </w:style>
  <w:style w:type="character" w:styleId="FollowedHyperlink">
    <w:name w:val="FollowedHyperlink"/>
    <w:rsid w:val="00F75266"/>
    <w:rPr>
      <w:color w:val="800080"/>
      <w:u w:val="none"/>
    </w:rPr>
  </w:style>
  <w:style w:type="paragraph" w:styleId="FootnoteText">
    <w:name w:val="footnote text"/>
    <w:basedOn w:val="Normal"/>
    <w:link w:val="FootnoteTextChar"/>
    <w:rsid w:val="00961389"/>
    <w:rPr>
      <w:sz w:val="20"/>
      <w:szCs w:val="20"/>
    </w:rPr>
  </w:style>
  <w:style w:type="character" w:customStyle="1" w:styleId="FootnoteTextChar">
    <w:name w:val="Footnote Text Char"/>
    <w:basedOn w:val="DefaultParagraphFont"/>
    <w:link w:val="FootnoteText"/>
    <w:uiPriority w:val="99"/>
    <w:rsid w:val="00961389"/>
  </w:style>
  <w:style w:type="character" w:styleId="FootnoteReference">
    <w:name w:val="footnote reference"/>
    <w:rsid w:val="00961389"/>
    <w:rPr>
      <w:vertAlign w:val="superscript"/>
    </w:rPr>
  </w:style>
  <w:style w:type="paragraph" w:customStyle="1" w:styleId="Default">
    <w:name w:val="Default"/>
    <w:rsid w:val="00830CD8"/>
    <w:pPr>
      <w:autoSpaceDE w:val="0"/>
      <w:autoSpaceDN w:val="0"/>
      <w:adjustRightInd w:val="0"/>
    </w:pPr>
    <w:rPr>
      <w:color w:val="000000"/>
      <w:sz w:val="24"/>
      <w:szCs w:val="24"/>
    </w:rPr>
  </w:style>
  <w:style w:type="paragraph" w:styleId="ListParagraph">
    <w:name w:val="List Paragraph"/>
    <w:basedOn w:val="Normal"/>
    <w:uiPriority w:val="34"/>
    <w:qFormat/>
    <w:rsid w:val="00633612"/>
    <w:pPr>
      <w:ind w:left="720"/>
    </w:pPr>
  </w:style>
  <w:style w:type="character" w:customStyle="1" w:styleId="HeaderChar">
    <w:name w:val="Header Char"/>
    <w:link w:val="Header"/>
    <w:uiPriority w:val="99"/>
    <w:rsid w:val="0071623F"/>
    <w:rPr>
      <w:sz w:val="24"/>
      <w:szCs w:val="24"/>
    </w:rPr>
  </w:style>
  <w:style w:type="character" w:styleId="CommentReference">
    <w:name w:val="annotation reference"/>
    <w:basedOn w:val="DefaultParagraphFont"/>
    <w:rsid w:val="008D2E60"/>
    <w:rPr>
      <w:sz w:val="16"/>
      <w:szCs w:val="16"/>
    </w:rPr>
  </w:style>
  <w:style w:type="paragraph" w:styleId="CommentText">
    <w:name w:val="annotation text"/>
    <w:basedOn w:val="Normal"/>
    <w:link w:val="CommentTextChar"/>
    <w:rsid w:val="008D2E60"/>
    <w:rPr>
      <w:sz w:val="20"/>
      <w:szCs w:val="20"/>
    </w:rPr>
  </w:style>
  <w:style w:type="character" w:customStyle="1" w:styleId="CommentTextChar">
    <w:name w:val="Comment Text Char"/>
    <w:basedOn w:val="DefaultParagraphFont"/>
    <w:link w:val="CommentText"/>
    <w:rsid w:val="008D2E60"/>
  </w:style>
  <w:style w:type="paragraph" w:styleId="CommentSubject">
    <w:name w:val="annotation subject"/>
    <w:basedOn w:val="CommentText"/>
    <w:next w:val="CommentText"/>
    <w:link w:val="CommentSubjectChar"/>
    <w:rsid w:val="008D2E60"/>
    <w:rPr>
      <w:b/>
      <w:bCs/>
    </w:rPr>
  </w:style>
  <w:style w:type="character" w:customStyle="1" w:styleId="CommentSubjectChar">
    <w:name w:val="Comment Subject Char"/>
    <w:basedOn w:val="CommentTextChar"/>
    <w:link w:val="CommentSubject"/>
    <w:rsid w:val="008D2E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2016-09-30T07:00:00+00:00</OpenedDate>
    <Date1 xmlns="dc463f71-b30c-4ab2-9473-d307f9d35888">2016-11-10T08:00:00+00:00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161112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012EE8584904C4897CD07B1F86E1EC4" ma:contentTypeVersion="104" ma:contentTypeDescription="" ma:contentTypeScope="" ma:versionID="bb8b2c19e02cf6d60a2381dba6e0465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C540F14-0CFD-4416-9DF2-0B378B9545FC}">
  <ds:schemaRefs>
    <ds:schemaRef ds:uri="http://schemas.openxmlformats.org/package/2006/metadata/core-properties"/>
    <ds:schemaRef ds:uri="http://purl.org/dc/terms/"/>
    <ds:schemaRef ds:uri="http://schemas.microsoft.com/office/2006/documentManagement/types"/>
    <ds:schemaRef ds:uri="http://www.w3.org/XML/1998/namespace"/>
    <ds:schemaRef ds:uri="http://purl.org/dc/dcmitype/"/>
    <ds:schemaRef ds:uri="751276d0-61bc-4dad-b75c-21dfd12630ad"/>
    <ds:schemaRef ds:uri="http://schemas.microsoft.com/office/infopath/2007/PartnerControls"/>
    <ds:schemaRef ds:uri="6CBF17BB-32BF-4210-B88D-9EAFDDF24BBA"/>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FFAD0807-DC8F-4BCF-B057-7EA9F36EEF81}"/>
</file>

<file path=customXml/itemProps3.xml><?xml version="1.0" encoding="utf-8"?>
<ds:datastoreItem xmlns:ds="http://schemas.openxmlformats.org/officeDocument/2006/customXml" ds:itemID="{85774A36-4EA3-4F47-A055-8094F8D604F4}">
  <ds:schemaRefs>
    <ds:schemaRef ds:uri="http://schemas.microsoft.com/office/2006/metadata/longProperties"/>
  </ds:schemaRefs>
</ds:datastoreItem>
</file>

<file path=customXml/itemProps4.xml><?xml version="1.0" encoding="utf-8"?>
<ds:datastoreItem xmlns:ds="http://schemas.openxmlformats.org/officeDocument/2006/customXml" ds:itemID="{54DE5D95-50C8-48DE-ABFA-6B068B0EE0E7}">
  <ds:schemaRefs>
    <ds:schemaRef ds:uri="http://schemas.microsoft.com/sharepoint/v3/contenttype/forms"/>
  </ds:schemaRefs>
</ds:datastoreItem>
</file>

<file path=customXml/itemProps5.xml><?xml version="1.0" encoding="utf-8"?>
<ds:datastoreItem xmlns:ds="http://schemas.openxmlformats.org/officeDocument/2006/customXml" ds:itemID="{F11E7DEE-FFC3-4041-AEBC-60DE8389B120}">
  <ds:schemaRefs>
    <ds:schemaRef ds:uri="http://schemas.openxmlformats.org/officeDocument/2006/bibliography"/>
  </ds:schemaRefs>
</ds:datastoreItem>
</file>

<file path=customXml/itemProps6.xml><?xml version="1.0" encoding="utf-8"?>
<ds:datastoreItem xmlns:ds="http://schemas.openxmlformats.org/officeDocument/2006/customXml" ds:itemID="{01492EC3-D9A1-4042-AA9D-0C1F7DC3323F}"/>
</file>

<file path=docProps/app.xml><?xml version="1.0" encoding="utf-8"?>
<Properties xmlns="http://schemas.openxmlformats.org/officeDocument/2006/extended-properties" xmlns:vt="http://schemas.openxmlformats.org/officeDocument/2006/docPropsVTypes">
  <Template>Normal</Template>
  <TotalTime>0</TotalTime>
  <Pages>4</Pages>
  <Words>872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UE-161112</vt:lpstr>
    </vt:vector>
  </TitlesOfParts>
  <LinksUpToDate>false</LinksUpToDate>
  <CharactersWithSpaces>5722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UE-161112</dc:title>
  <dc:subject/>
  <dc:creator/>
  <cp:keywords/>
  <cp:lastModifiedBy/>
  <cp:revision>1</cp:revision>
  <dcterms:created xsi:type="dcterms:W3CDTF">2016-11-10T00:04:00Z</dcterms:created>
  <dcterms:modified xsi:type="dcterms:W3CDTF">2016-11-10T00:04:00Z</dcterms:modified>
  <cp:category>Generic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0x0101006E56B4D1795A2E4DB2F0B01679ED314A008012EE8584904C4897CD07B1F86E1EC4</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ontentType">
    <vt:lpwstr>Document</vt:lpwstr>
  </property>
  <property fmtid="{D5CDD505-2E9C-101B-9397-08002B2CF9AE}" pid="7" name="DocumentSetType">
    <vt:lpwstr>Final Order</vt:lpwstr>
  </property>
  <property fmtid="{D5CDD505-2E9C-101B-9397-08002B2CF9AE}" pid="8" name="IsDocumentOrder">
    <vt:lpwstr>1</vt:lpwstr>
  </property>
  <property fmtid="{D5CDD505-2E9C-101B-9397-08002B2CF9AE}" pid="9" name="IsHighlyConfidential">
    <vt:lpwstr>0</vt:lpwstr>
  </property>
  <property fmtid="{D5CDD505-2E9C-101B-9397-08002B2CF9AE}" pid="10" name="IsConfidential">
    <vt:lpwstr>0</vt:lpwstr>
  </property>
  <property fmtid="{D5CDD505-2E9C-101B-9397-08002B2CF9AE}" pid="11" name="DocketNumber">
    <vt:lpwstr>130471</vt:lpwstr>
  </property>
  <property fmtid="{D5CDD505-2E9C-101B-9397-08002B2CF9AE}" pid="12" name="Date1">
    <vt:lpwstr>2013-10-30T00:00:00Z</vt:lpwstr>
  </property>
  <property fmtid="{D5CDD505-2E9C-101B-9397-08002B2CF9AE}" pid="13" name="CaseType">
    <vt:lpwstr>Petition</vt:lpwstr>
  </property>
  <property fmtid="{D5CDD505-2E9C-101B-9397-08002B2CF9AE}" pid="14" name="OpenedDate">
    <vt:lpwstr>2013-03-29T00:00:00Z</vt:lpwstr>
  </property>
  <property fmtid="{D5CDD505-2E9C-101B-9397-08002B2CF9AE}" pid="15" name="Prefix">
    <vt:lpwstr>UE</vt:lpwstr>
  </property>
  <property fmtid="{D5CDD505-2E9C-101B-9397-08002B2CF9AE}" pid="16" name="CaseCompanyNames">
    <vt:lpwstr>Puget Sound Energy</vt:lpwstr>
  </property>
  <property fmtid="{D5CDD505-2E9C-101B-9397-08002B2CF9AE}" pid="17" name="IndustryCode">
    <vt:lpwstr>140</vt:lpwstr>
  </property>
  <property fmtid="{D5CDD505-2E9C-101B-9397-08002B2CF9AE}" pid="18" name="CaseStatus">
    <vt:lpwstr>Closed</vt:lpwstr>
  </property>
  <property fmtid="{D5CDD505-2E9C-101B-9397-08002B2CF9AE}" pid="19" name="_docset_NoMedatataSyncRequired">
    <vt:lpwstr>False</vt:lpwstr>
  </property>
  <property fmtid="{D5CDD505-2E9C-101B-9397-08002B2CF9AE}" pid="20" name="AgendaOrder">
    <vt:lpwstr>0</vt:lpwstr>
  </property>
  <property fmtid="{D5CDD505-2E9C-101B-9397-08002B2CF9AE}" pid="21" name="DelegatedOrder">
    <vt:lpwstr>0</vt:lpwstr>
  </property>
</Properties>
</file>