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4F3" w:rsidRDefault="004E14F3" w:rsidP="004E14F3">
      <w:pPr>
        <w:pStyle w:val="Header"/>
        <w:rPr>
          <w:rFonts w:ascii="Univers (W1)" w:hAnsi="Univers (W1)"/>
          <w:b/>
          <w:sz w:val="17"/>
        </w:rPr>
      </w:pPr>
      <w:r>
        <w:rPr>
          <w:rFonts w:ascii="Univers (W1)" w:hAnsi="Univers (W1)"/>
          <w:b/>
          <w:sz w:val="17"/>
        </w:rPr>
        <w:t>CENTURYLINK</w:t>
      </w:r>
      <w:r w:rsidR="000C1696">
        <w:rPr>
          <w:rFonts w:ascii="Univers (W1)" w:hAnsi="Univers (W1)"/>
          <w:b/>
          <w:sz w:val="17"/>
        </w:rPr>
        <w:tab/>
      </w:r>
      <w:r w:rsidR="000C1696">
        <w:rPr>
          <w:rFonts w:ascii="Univers (W1)" w:hAnsi="Univers (W1)"/>
          <w:b/>
          <w:sz w:val="17"/>
        </w:rPr>
        <w:tab/>
      </w:r>
    </w:p>
    <w:p w:rsidR="004E14F3" w:rsidRDefault="004E14F3" w:rsidP="001D5E8A">
      <w:pPr>
        <w:pStyle w:val="Header"/>
        <w:tabs>
          <w:tab w:val="clear" w:pos="4320"/>
          <w:tab w:val="clear" w:pos="8640"/>
          <w:tab w:val="left" w:pos="7602"/>
        </w:tabs>
        <w:rPr>
          <w:rFonts w:ascii="Univers (W1)" w:hAnsi="Univers (W1)"/>
          <w:sz w:val="13"/>
        </w:rPr>
      </w:pPr>
      <w:r>
        <w:rPr>
          <w:rFonts w:ascii="Univers (W1)" w:hAnsi="Univers (W1)"/>
          <w:sz w:val="13"/>
        </w:rPr>
        <w:t>1600 7th Avenue, Room 1506</w:t>
      </w:r>
      <w:r w:rsidR="001D5E8A">
        <w:rPr>
          <w:rFonts w:ascii="Univers (W1)" w:hAnsi="Univers (W1)"/>
          <w:sz w:val="13"/>
        </w:rPr>
        <w:tab/>
      </w:r>
    </w:p>
    <w:p w:rsidR="004E14F3" w:rsidRDefault="004E14F3" w:rsidP="004E14F3">
      <w:pPr>
        <w:pStyle w:val="Header"/>
        <w:rPr>
          <w:rFonts w:ascii="Univers (W1)" w:hAnsi="Univers (W1)"/>
          <w:sz w:val="13"/>
        </w:rPr>
      </w:pPr>
      <w:r>
        <w:rPr>
          <w:rFonts w:ascii="Univers (W1)" w:hAnsi="Univers (W1)"/>
          <w:sz w:val="13"/>
        </w:rPr>
        <w:t>Seattle, Washington  98191</w:t>
      </w:r>
    </w:p>
    <w:p w:rsidR="004E14F3" w:rsidRDefault="00B54E64" w:rsidP="004E14F3">
      <w:pPr>
        <w:pStyle w:val="Header"/>
        <w:rPr>
          <w:rFonts w:ascii="Univers (W1)" w:hAnsi="Univers (W1)"/>
          <w:sz w:val="13"/>
        </w:rPr>
      </w:pPr>
      <w:r>
        <w:rPr>
          <w:rFonts w:ascii="Univers (W1)" w:hAnsi="Univers (W1)"/>
          <w:sz w:val="13"/>
        </w:rPr>
        <w:t>(206) 345-6224</w:t>
      </w:r>
    </w:p>
    <w:p w:rsidR="004E14F3" w:rsidRDefault="004E14F3" w:rsidP="004E14F3">
      <w:pPr>
        <w:pStyle w:val="Header"/>
        <w:rPr>
          <w:rFonts w:ascii="Univers (W1)" w:hAnsi="Univers (W1)"/>
          <w:sz w:val="13"/>
        </w:rPr>
      </w:pPr>
      <w:r>
        <w:rPr>
          <w:rFonts w:ascii="Univers (W1)" w:hAnsi="Univers (W1)"/>
          <w:sz w:val="13"/>
        </w:rPr>
        <w:t>Facsimile (206) 343-4040</w:t>
      </w:r>
    </w:p>
    <w:p w:rsidR="004E14F3" w:rsidRDefault="004E14F3" w:rsidP="004E14F3">
      <w:pPr>
        <w:pStyle w:val="Header"/>
        <w:rPr>
          <w:rFonts w:ascii="Univers (W1)" w:hAnsi="Univers (W1)"/>
          <w:sz w:val="13"/>
        </w:rPr>
      </w:pPr>
    </w:p>
    <w:p w:rsidR="00031C32" w:rsidRDefault="00031C32" w:rsidP="00031C32">
      <w:pPr>
        <w:pStyle w:val="Header"/>
        <w:rPr>
          <w:rFonts w:ascii="Univers (W1)" w:hAnsi="Univers (W1)"/>
          <w:b/>
          <w:sz w:val="17"/>
        </w:rPr>
      </w:pPr>
      <w:r>
        <w:rPr>
          <w:rFonts w:ascii="Univers (W1)" w:hAnsi="Univers (W1)"/>
          <w:b/>
          <w:sz w:val="17"/>
        </w:rPr>
        <w:t>Philip E. Grate</w:t>
      </w:r>
    </w:p>
    <w:p w:rsidR="00031C32" w:rsidRDefault="00031C32" w:rsidP="00031C32">
      <w:pPr>
        <w:pStyle w:val="Header"/>
        <w:rPr>
          <w:rFonts w:ascii="Univers (W1)" w:hAnsi="Univers (W1)"/>
          <w:noProof/>
          <w:sz w:val="13"/>
        </w:rPr>
      </w:pPr>
      <w:r>
        <w:rPr>
          <w:rFonts w:ascii="Univers (W1)" w:hAnsi="Univers (W1)"/>
          <w:noProof/>
          <w:sz w:val="13"/>
        </w:rPr>
        <w:t>State Regulatory Affairs Director</w:t>
      </w:r>
    </w:p>
    <w:p w:rsidR="00031C32" w:rsidRDefault="00031C32" w:rsidP="00031C32">
      <w:pPr>
        <w:pStyle w:val="Header"/>
        <w:rPr>
          <w:rFonts w:ascii="Univers (W1)" w:hAnsi="Univers (W1)"/>
          <w:noProof/>
          <w:sz w:val="13"/>
        </w:rPr>
      </w:pPr>
      <w:r>
        <w:rPr>
          <w:rFonts w:ascii="Univers (W1)" w:hAnsi="Univers (W1)"/>
          <w:noProof/>
          <w:sz w:val="13"/>
        </w:rPr>
        <w:t>Public Policy</w:t>
      </w:r>
    </w:p>
    <w:p w:rsidR="004E14F3" w:rsidRPr="00206845" w:rsidRDefault="004E14F3" w:rsidP="00E44126">
      <w:pPr>
        <w:rPr>
          <w:rFonts w:ascii="Times" w:hAnsi="Times"/>
        </w:rPr>
      </w:pPr>
    </w:p>
    <w:p w:rsidR="00443B7E" w:rsidRPr="00206845" w:rsidRDefault="00596F9B" w:rsidP="00E44126">
      <w:pPr>
        <w:pStyle w:val="2ndlineAttA"/>
        <w:tabs>
          <w:tab w:val="clear" w:pos="1260"/>
          <w:tab w:val="clear" w:pos="3860"/>
          <w:tab w:val="clear" w:pos="6840"/>
          <w:tab w:val="clear" w:pos="8000"/>
        </w:tabs>
      </w:pPr>
      <w:r>
        <w:t>July</w:t>
      </w:r>
      <w:r w:rsidR="00E01719">
        <w:t xml:space="preserve"> </w:t>
      </w:r>
      <w:r w:rsidR="00031C32">
        <w:t>22</w:t>
      </w:r>
      <w:r w:rsidR="00A954EA">
        <w:t xml:space="preserve">, </w:t>
      </w:r>
      <w:r w:rsidR="001E2168">
        <w:t>2016</w:t>
      </w:r>
    </w:p>
    <w:p w:rsidR="00443B7E" w:rsidRDefault="00443B7E" w:rsidP="00E44126">
      <w:pPr>
        <w:pStyle w:val="2ndlineAttA"/>
        <w:tabs>
          <w:tab w:val="clear" w:pos="1260"/>
          <w:tab w:val="clear" w:pos="3860"/>
          <w:tab w:val="clear" w:pos="6840"/>
          <w:tab w:val="clear" w:pos="8000"/>
        </w:tabs>
      </w:pPr>
    </w:p>
    <w:p w:rsidR="00443B7E" w:rsidRPr="004E14F3" w:rsidRDefault="005E6242" w:rsidP="004E14F3">
      <w:pPr>
        <w:pStyle w:val="2ndlineAttA"/>
        <w:tabs>
          <w:tab w:val="clear" w:pos="1260"/>
          <w:tab w:val="clear" w:pos="3860"/>
          <w:tab w:val="clear" w:pos="6840"/>
          <w:tab w:val="clear" w:pos="8000"/>
        </w:tabs>
        <w:jc w:val="right"/>
        <w:rPr>
          <w:i/>
        </w:rPr>
      </w:pPr>
      <w:r w:rsidRPr="004E14F3">
        <w:rPr>
          <w:i/>
        </w:rPr>
        <w:t xml:space="preserve">Via web portal and </w:t>
      </w:r>
    </w:p>
    <w:p w:rsidR="00443B7E" w:rsidRPr="004E14F3" w:rsidRDefault="005E6242" w:rsidP="004E14F3">
      <w:pPr>
        <w:pStyle w:val="2ndlineAttA"/>
        <w:tabs>
          <w:tab w:val="clear" w:pos="1260"/>
          <w:tab w:val="clear" w:pos="3860"/>
          <w:tab w:val="clear" w:pos="6840"/>
          <w:tab w:val="clear" w:pos="8000"/>
        </w:tabs>
        <w:jc w:val="right"/>
        <w:rPr>
          <w:i/>
        </w:rPr>
      </w:pPr>
      <w:r w:rsidRPr="004E14F3">
        <w:rPr>
          <w:i/>
        </w:rPr>
        <w:t>Overnight Mail</w:t>
      </w:r>
    </w:p>
    <w:p w:rsidR="00E44126" w:rsidRDefault="00E44126" w:rsidP="00E44126">
      <w:pPr>
        <w:pStyle w:val="2ndlineAttA"/>
        <w:tabs>
          <w:tab w:val="clear" w:pos="1260"/>
          <w:tab w:val="clear" w:pos="3860"/>
          <w:tab w:val="clear" w:pos="6840"/>
          <w:tab w:val="clear" w:pos="8000"/>
        </w:tabs>
      </w:pPr>
    </w:p>
    <w:p w:rsidR="004E14F3" w:rsidRPr="00206845" w:rsidRDefault="004E14F3" w:rsidP="00E44126">
      <w:pPr>
        <w:pStyle w:val="2ndlineAttA"/>
        <w:tabs>
          <w:tab w:val="clear" w:pos="1260"/>
          <w:tab w:val="clear" w:pos="3860"/>
          <w:tab w:val="clear" w:pos="6840"/>
          <w:tab w:val="clear" w:pos="8000"/>
        </w:tabs>
      </w:pPr>
    </w:p>
    <w:p w:rsidR="00443B7E" w:rsidRPr="00206845" w:rsidRDefault="005E6242" w:rsidP="00E44126">
      <w:pPr>
        <w:pStyle w:val="2ndlineAttA"/>
        <w:tabs>
          <w:tab w:val="clear" w:pos="1260"/>
          <w:tab w:val="clear" w:pos="3860"/>
          <w:tab w:val="clear" w:pos="6840"/>
          <w:tab w:val="clear" w:pos="8000"/>
        </w:tabs>
      </w:pPr>
      <w:r w:rsidRPr="00206845">
        <w:t xml:space="preserve">Mr. </w:t>
      </w:r>
      <w:r w:rsidR="00206845" w:rsidRPr="00206845">
        <w:t>Steve V. King</w:t>
      </w:r>
    </w:p>
    <w:p w:rsidR="00443B7E" w:rsidRPr="00206845" w:rsidRDefault="00370E2F" w:rsidP="00E44126">
      <w:pPr>
        <w:pStyle w:val="2ndlineAttA"/>
        <w:tabs>
          <w:tab w:val="clear" w:pos="1260"/>
          <w:tab w:val="clear" w:pos="3860"/>
          <w:tab w:val="clear" w:pos="6840"/>
          <w:tab w:val="clear" w:pos="8000"/>
        </w:tabs>
      </w:pPr>
      <w:r>
        <w:t>Executive Director &amp; Secretary</w:t>
      </w:r>
    </w:p>
    <w:p w:rsidR="00443B7E" w:rsidRPr="00206845" w:rsidRDefault="005E6242" w:rsidP="00E44126">
      <w:pPr>
        <w:pStyle w:val="2ndlineAttA"/>
        <w:tabs>
          <w:tab w:val="clear" w:pos="1260"/>
          <w:tab w:val="clear" w:pos="3860"/>
          <w:tab w:val="clear" w:pos="6840"/>
          <w:tab w:val="clear" w:pos="8000"/>
        </w:tabs>
      </w:pPr>
      <w:r w:rsidRPr="00206845">
        <w:t>Washington Utilities and</w:t>
      </w:r>
      <w:r w:rsidR="00370E2F">
        <w:t xml:space="preserve"> </w:t>
      </w:r>
      <w:r w:rsidRPr="00206845">
        <w:t>Transportation Commission</w:t>
      </w:r>
    </w:p>
    <w:p w:rsidR="00443B7E" w:rsidRPr="00206845" w:rsidRDefault="005E6242" w:rsidP="00E44126">
      <w:pPr>
        <w:pStyle w:val="2ndlineAttA"/>
        <w:tabs>
          <w:tab w:val="clear" w:pos="1260"/>
          <w:tab w:val="clear" w:pos="3860"/>
          <w:tab w:val="clear" w:pos="6840"/>
          <w:tab w:val="clear" w:pos="8000"/>
        </w:tabs>
      </w:pPr>
      <w:r w:rsidRPr="00206845">
        <w:t>1300 S. Evergreen Park Dr. S.W.</w:t>
      </w:r>
    </w:p>
    <w:p w:rsidR="00443B7E" w:rsidRPr="00206845" w:rsidRDefault="005E6242" w:rsidP="00E44126">
      <w:pPr>
        <w:pStyle w:val="2ndlineAttA"/>
        <w:tabs>
          <w:tab w:val="clear" w:pos="1260"/>
          <w:tab w:val="clear" w:pos="3860"/>
          <w:tab w:val="clear" w:pos="6840"/>
          <w:tab w:val="clear" w:pos="8000"/>
        </w:tabs>
      </w:pPr>
      <w:r w:rsidRPr="00206845">
        <w:t>Olympia, Washington 98504-7250</w:t>
      </w:r>
    </w:p>
    <w:p w:rsidR="00443B7E" w:rsidRPr="00206845" w:rsidRDefault="00443B7E" w:rsidP="00E44126">
      <w:pPr>
        <w:pStyle w:val="2ndlineAttA"/>
        <w:tabs>
          <w:tab w:val="clear" w:pos="1260"/>
          <w:tab w:val="clear" w:pos="3860"/>
          <w:tab w:val="clear" w:pos="6840"/>
          <w:tab w:val="clear" w:pos="8000"/>
        </w:tabs>
      </w:pPr>
    </w:p>
    <w:p w:rsidR="004E14F3" w:rsidRDefault="000F50FB" w:rsidP="000F50FB">
      <w:pPr>
        <w:pStyle w:val="2ndlineAttA"/>
        <w:tabs>
          <w:tab w:val="clear" w:pos="1260"/>
          <w:tab w:val="clear" w:pos="3860"/>
          <w:tab w:val="clear" w:pos="6840"/>
          <w:tab w:val="clear" w:pos="8000"/>
          <w:tab w:val="left" w:pos="720"/>
        </w:tabs>
        <w:ind w:left="1440" w:right="720" w:hanging="1440"/>
        <w:rPr>
          <w:b/>
        </w:rPr>
      </w:pPr>
      <w:r>
        <w:rPr>
          <w:b/>
        </w:rPr>
        <w:tab/>
      </w:r>
      <w:r w:rsidR="00E44126" w:rsidRPr="001C12EE">
        <w:rPr>
          <w:b/>
        </w:rPr>
        <w:t>Re:</w:t>
      </w:r>
      <w:r>
        <w:rPr>
          <w:b/>
        </w:rPr>
        <w:tab/>
      </w:r>
      <w:r w:rsidR="00206845" w:rsidRPr="00E44126">
        <w:rPr>
          <w:b/>
        </w:rPr>
        <w:t>201</w:t>
      </w:r>
      <w:r w:rsidR="001E2168">
        <w:rPr>
          <w:b/>
        </w:rPr>
        <w:t>6</w:t>
      </w:r>
      <w:r w:rsidR="00206845" w:rsidRPr="00E44126">
        <w:rPr>
          <w:b/>
        </w:rPr>
        <w:t xml:space="preserve"> </w:t>
      </w:r>
      <w:r w:rsidR="004E14F3">
        <w:rPr>
          <w:b/>
        </w:rPr>
        <w:t>ETC Certification</w:t>
      </w:r>
    </w:p>
    <w:p w:rsidR="00B51A4A" w:rsidRPr="00E44126" w:rsidRDefault="000F50FB" w:rsidP="000F50FB">
      <w:pPr>
        <w:pStyle w:val="2ndlineAttA"/>
        <w:tabs>
          <w:tab w:val="clear" w:pos="1260"/>
          <w:tab w:val="clear" w:pos="3860"/>
          <w:tab w:val="clear" w:pos="6840"/>
          <w:tab w:val="clear" w:pos="8000"/>
          <w:tab w:val="left" w:pos="720"/>
        </w:tabs>
        <w:ind w:left="1440" w:right="720" w:hanging="1440"/>
        <w:rPr>
          <w:b/>
          <w:bCs/>
          <w:i/>
          <w:iCs/>
        </w:rPr>
      </w:pPr>
      <w:r>
        <w:rPr>
          <w:b/>
        </w:rPr>
        <w:tab/>
      </w:r>
      <w:r w:rsidR="004E14F3">
        <w:rPr>
          <w:b/>
        </w:rPr>
        <w:tab/>
      </w:r>
      <w:r w:rsidR="005E6242" w:rsidRPr="00E44126">
        <w:rPr>
          <w:b/>
        </w:rPr>
        <w:t xml:space="preserve">CenturyLink’s </w:t>
      </w:r>
      <w:r w:rsidR="00206845" w:rsidRPr="00E44126">
        <w:rPr>
          <w:b/>
        </w:rPr>
        <w:t>201</w:t>
      </w:r>
      <w:r w:rsidR="001E2168">
        <w:rPr>
          <w:b/>
        </w:rPr>
        <w:t>6</w:t>
      </w:r>
      <w:r w:rsidR="00206845" w:rsidRPr="00E44126">
        <w:rPr>
          <w:b/>
        </w:rPr>
        <w:t xml:space="preserve"> </w:t>
      </w:r>
      <w:r w:rsidR="005E6242" w:rsidRPr="00E44126">
        <w:rPr>
          <w:b/>
        </w:rPr>
        <w:t>ETC Certification Report</w:t>
      </w:r>
      <w:r w:rsidR="004E14F3">
        <w:rPr>
          <w:b/>
        </w:rPr>
        <w:t>,</w:t>
      </w:r>
      <w:r w:rsidR="005E6242" w:rsidRPr="00E44126">
        <w:rPr>
          <w:b/>
        </w:rPr>
        <w:t xml:space="preserve"> and Plan for Universal Service Support Expenditures in Accordan</w:t>
      </w:r>
      <w:r w:rsidR="004E14F3">
        <w:rPr>
          <w:b/>
        </w:rPr>
        <w:t>ce with WAC 480-123-070, and WAC </w:t>
      </w:r>
      <w:r w:rsidR="005E6242" w:rsidRPr="00E44126">
        <w:rPr>
          <w:b/>
        </w:rPr>
        <w:t xml:space="preserve">480-123-080  </w:t>
      </w:r>
    </w:p>
    <w:p w:rsidR="00B51A4A" w:rsidRPr="00206845" w:rsidRDefault="00B51A4A" w:rsidP="00E44126">
      <w:pPr>
        <w:pStyle w:val="2ndlineAttA"/>
        <w:tabs>
          <w:tab w:val="clear" w:pos="1260"/>
          <w:tab w:val="clear" w:pos="3860"/>
          <w:tab w:val="clear" w:pos="6840"/>
          <w:tab w:val="clear" w:pos="8000"/>
        </w:tabs>
      </w:pPr>
    </w:p>
    <w:p w:rsidR="00B51A4A" w:rsidRPr="00206845" w:rsidRDefault="00B51A4A" w:rsidP="00E44126">
      <w:pPr>
        <w:pStyle w:val="2ndlineAttA"/>
        <w:tabs>
          <w:tab w:val="clear" w:pos="1260"/>
          <w:tab w:val="clear" w:pos="3860"/>
          <w:tab w:val="clear" w:pos="6840"/>
          <w:tab w:val="clear" w:pos="8000"/>
        </w:tabs>
      </w:pPr>
    </w:p>
    <w:p w:rsidR="00B51A4A" w:rsidRPr="00206845" w:rsidRDefault="005E6242" w:rsidP="00E44126">
      <w:pPr>
        <w:pStyle w:val="2ndlineAttA"/>
        <w:tabs>
          <w:tab w:val="clear" w:pos="1260"/>
          <w:tab w:val="clear" w:pos="3860"/>
          <w:tab w:val="clear" w:pos="6840"/>
          <w:tab w:val="clear" w:pos="8000"/>
        </w:tabs>
      </w:pPr>
      <w:r w:rsidRPr="00206845">
        <w:t xml:space="preserve">Dear Mr. </w:t>
      </w:r>
      <w:r w:rsidR="00206845" w:rsidRPr="00206845">
        <w:t>King</w:t>
      </w:r>
      <w:r w:rsidRPr="00206845">
        <w:t>,</w:t>
      </w:r>
    </w:p>
    <w:p w:rsidR="00B51A4A" w:rsidRPr="00206845" w:rsidRDefault="00B51A4A" w:rsidP="00E44126">
      <w:pPr>
        <w:pStyle w:val="2ndlineAttA"/>
        <w:tabs>
          <w:tab w:val="clear" w:pos="1260"/>
          <w:tab w:val="clear" w:pos="3860"/>
          <w:tab w:val="clear" w:pos="6840"/>
          <w:tab w:val="clear" w:pos="8000"/>
        </w:tabs>
      </w:pPr>
    </w:p>
    <w:p w:rsidR="00B51A4A" w:rsidRDefault="005E6242" w:rsidP="00E44126">
      <w:pPr>
        <w:pStyle w:val="2ndlineAttA"/>
        <w:tabs>
          <w:tab w:val="clear" w:pos="1260"/>
          <w:tab w:val="clear" w:pos="3860"/>
          <w:tab w:val="clear" w:pos="6840"/>
          <w:tab w:val="clear" w:pos="8000"/>
        </w:tabs>
      </w:pPr>
      <w:r w:rsidRPr="00206845">
        <w:t>In response to the requirements of WAC 480-123-070</w:t>
      </w:r>
      <w:r w:rsidR="00E44126">
        <w:t>,</w:t>
      </w:r>
      <w:r w:rsidRPr="00206845">
        <w:t xml:space="preserve"> </w:t>
      </w:r>
      <w:r w:rsidRPr="00E44126">
        <w:t>Annual Certifications and Reports</w:t>
      </w:r>
      <w:r w:rsidR="00E44126">
        <w:t>,</w:t>
      </w:r>
      <w:r w:rsidRPr="00206845">
        <w:t xml:space="preserve"> and WAC 480-123-080</w:t>
      </w:r>
      <w:r w:rsidR="00E44126">
        <w:t>,</w:t>
      </w:r>
      <w:r w:rsidRPr="00206845">
        <w:t xml:space="preserve"> </w:t>
      </w:r>
      <w:r w:rsidRPr="00E44126">
        <w:t>Annual Plan for Universal Service Support Expenditures</w:t>
      </w:r>
      <w:r w:rsidRPr="00206845">
        <w:rPr>
          <w:b/>
          <w:bCs/>
        </w:rPr>
        <w:t xml:space="preserve">, </w:t>
      </w:r>
      <w:r w:rsidRPr="00206845">
        <w:t>CenturyLink QC (“CenturyLink”) provides the following information.  For ease of reading, CenturyLink will list each of the requirements under the rules followed by its response.</w:t>
      </w:r>
    </w:p>
    <w:p w:rsidR="009042A8" w:rsidRDefault="009042A8" w:rsidP="00E44126">
      <w:pPr>
        <w:pStyle w:val="2ndlineAttA"/>
        <w:tabs>
          <w:tab w:val="clear" w:pos="1260"/>
          <w:tab w:val="clear" w:pos="3860"/>
          <w:tab w:val="clear" w:pos="6840"/>
          <w:tab w:val="clear" w:pos="8000"/>
        </w:tabs>
      </w:pPr>
    </w:p>
    <w:p w:rsidR="009042A8" w:rsidRPr="00206845" w:rsidRDefault="009042A8" w:rsidP="00E44126">
      <w:pPr>
        <w:pStyle w:val="2ndlineAttA"/>
        <w:tabs>
          <w:tab w:val="clear" w:pos="1260"/>
          <w:tab w:val="clear" w:pos="3860"/>
          <w:tab w:val="clear" w:pos="6840"/>
          <w:tab w:val="clear" w:pos="8000"/>
        </w:tabs>
      </w:pPr>
      <w:r w:rsidRPr="009042A8">
        <w:t>The Company also requests that the attachments ent</w:t>
      </w:r>
      <w:r>
        <w:t xml:space="preserve">itled </w:t>
      </w:r>
      <w:r w:rsidRPr="009042A8">
        <w:t xml:space="preserve">“CONFIDENTIAL EXHIBIT D”, and “CONFIDENTIAL EXHIBIT E” be treated as confidential.  The schedules contain information that is quite detailed as to type of equipment, location, and cost.  Therefore, the Company claims that the information on the schedules is confidential under </w:t>
      </w:r>
      <w:r w:rsidR="00915F4F">
        <w:t xml:space="preserve">WAC 480-07-160 and </w:t>
      </w:r>
      <w:r w:rsidRPr="009042A8">
        <w:t>RCW 80.04.095 in that it constitutes valuable commercial information in the form of network configuration, design, and financial information.</w:t>
      </w:r>
    </w:p>
    <w:p w:rsidR="004538E6" w:rsidRPr="00206845" w:rsidRDefault="004538E6" w:rsidP="00E44126">
      <w:pPr>
        <w:pStyle w:val="2ndlineAttA"/>
        <w:tabs>
          <w:tab w:val="clear" w:pos="1260"/>
          <w:tab w:val="clear" w:pos="3860"/>
          <w:tab w:val="clear" w:pos="6840"/>
          <w:tab w:val="clear" w:pos="8000"/>
        </w:tabs>
      </w:pPr>
    </w:p>
    <w:p w:rsidR="004E14F3" w:rsidRDefault="005E6242" w:rsidP="00537FAD">
      <w:pPr>
        <w:rPr>
          <w:b/>
          <w:bCs/>
        </w:rPr>
      </w:pPr>
      <w:r w:rsidRPr="00206845">
        <w:rPr>
          <w:b/>
          <w:bCs/>
        </w:rPr>
        <w:t>WAC 480-123-070 Annual Certifications and Reports</w:t>
      </w:r>
      <w:r w:rsidR="00537FAD">
        <w:rPr>
          <w:b/>
          <w:bCs/>
        </w:rPr>
        <w:t>.</w:t>
      </w:r>
    </w:p>
    <w:p w:rsidR="004E14F3" w:rsidRDefault="004E14F3" w:rsidP="00537FAD">
      <w:pPr>
        <w:rPr>
          <w:b/>
          <w:bCs/>
        </w:rPr>
      </w:pPr>
    </w:p>
    <w:p w:rsidR="004538E6" w:rsidRPr="00206845" w:rsidRDefault="00B00B76" w:rsidP="00537FAD">
      <w:r>
        <w:t xml:space="preserve">Not later than July </w:t>
      </w:r>
      <w:r w:rsidR="005E6242" w:rsidRPr="00206845">
        <w:t>1 of each year, every ETC that receives federal support from any category in the federal high-cost fund must certify or report as described in this section.  The certifications and reports are for activity related to Washington State in the period January 1</w:t>
      </w:r>
      <w:r w:rsidR="00AF5DD1">
        <w:rPr>
          <w:vertAlign w:val="superscript"/>
        </w:rPr>
        <w:t>st</w:t>
      </w:r>
      <w:r w:rsidR="005E6242" w:rsidRPr="00206845">
        <w:t xml:space="preserve"> through December 31</w:t>
      </w:r>
      <w:r w:rsidR="00AF5DD1" w:rsidRPr="00AF5DD1">
        <w:rPr>
          <w:vertAlign w:val="superscript"/>
        </w:rPr>
        <w:t>st</w:t>
      </w:r>
      <w:r w:rsidR="00AF5DD1">
        <w:t xml:space="preserve"> </w:t>
      </w:r>
      <w:r w:rsidR="005E6242" w:rsidRPr="00206845">
        <w:t xml:space="preserve">of the previous year.  A company officer must submit the certifications in the manner required by </w:t>
      </w:r>
      <w:r w:rsidR="005E6242" w:rsidRPr="00A954EA">
        <w:t>RCW 9A.72.085</w:t>
      </w:r>
      <w:r w:rsidR="005E6242" w:rsidRPr="00206845">
        <w:t>.</w:t>
      </w:r>
    </w:p>
    <w:p w:rsidR="00B51A4A" w:rsidRPr="00206845" w:rsidRDefault="00B51A4A" w:rsidP="00E44126">
      <w:pPr>
        <w:pStyle w:val="2ndlineAttA"/>
        <w:tabs>
          <w:tab w:val="clear" w:pos="1260"/>
          <w:tab w:val="clear" w:pos="3860"/>
          <w:tab w:val="clear" w:pos="6840"/>
          <w:tab w:val="clear" w:pos="8000"/>
        </w:tabs>
        <w:rPr>
          <w:b/>
          <w:bCs/>
        </w:rPr>
      </w:pPr>
    </w:p>
    <w:p w:rsidR="00A912E4" w:rsidRDefault="00537FAD" w:rsidP="00537FAD">
      <w:pPr>
        <w:pStyle w:val="2ndlineAttA"/>
        <w:tabs>
          <w:tab w:val="clear" w:pos="1260"/>
          <w:tab w:val="clear" w:pos="3860"/>
          <w:tab w:val="clear" w:pos="6840"/>
          <w:tab w:val="clear" w:pos="8000"/>
        </w:tabs>
        <w:ind w:left="720" w:hanging="720"/>
      </w:pPr>
      <w:r>
        <w:rPr>
          <w:b/>
          <w:bCs/>
        </w:rPr>
        <w:tab/>
      </w:r>
      <w:r w:rsidR="00443B7E">
        <w:rPr>
          <w:b/>
          <w:bCs/>
        </w:rPr>
        <w:t>Response:</w:t>
      </w:r>
      <w:r w:rsidR="00443B7E">
        <w:t xml:space="preserve">  The declaration</w:t>
      </w:r>
      <w:r w:rsidR="007E2EC2">
        <w:t>s</w:t>
      </w:r>
      <w:r w:rsidR="00443B7E">
        <w:t xml:space="preserve"> </w:t>
      </w:r>
      <w:r w:rsidR="00443B7E" w:rsidRPr="00BB02BE">
        <w:t>of</w:t>
      </w:r>
      <w:r w:rsidR="005530F4" w:rsidRPr="00BB02BE">
        <w:t xml:space="preserve"> a</w:t>
      </w:r>
      <w:r w:rsidR="00443B7E" w:rsidRPr="00BB02BE">
        <w:t xml:space="preserve"> </w:t>
      </w:r>
      <w:r w:rsidR="000602D0" w:rsidRPr="00BB02BE">
        <w:t xml:space="preserve">CenturyLink </w:t>
      </w:r>
      <w:r w:rsidR="00443B7E" w:rsidRPr="00BB02BE">
        <w:t xml:space="preserve">officer certifying </w:t>
      </w:r>
      <w:r w:rsidR="00B4582E" w:rsidRPr="00BB02BE">
        <w:t xml:space="preserve">to </w:t>
      </w:r>
      <w:r w:rsidR="00443B7E" w:rsidRPr="00BB02BE">
        <w:t xml:space="preserve">the data contained in this filing are in </w:t>
      </w:r>
      <w:r w:rsidR="004A56CE" w:rsidRPr="00BB02BE">
        <w:t>Attachment A</w:t>
      </w:r>
      <w:r w:rsidR="005530F4" w:rsidRPr="00BB02BE">
        <w:t>.</w:t>
      </w:r>
      <w:r w:rsidR="000602D0">
        <w:t xml:space="preserve"> </w:t>
      </w:r>
    </w:p>
    <w:p w:rsidR="00A912E4" w:rsidRDefault="00A912E4" w:rsidP="00E44126">
      <w:pPr>
        <w:pStyle w:val="2ndlineAttA"/>
        <w:tabs>
          <w:tab w:val="clear" w:pos="1260"/>
          <w:tab w:val="clear" w:pos="3860"/>
          <w:tab w:val="clear" w:pos="6840"/>
          <w:tab w:val="clear" w:pos="8000"/>
        </w:tabs>
        <w:ind w:left="720"/>
      </w:pPr>
    </w:p>
    <w:p w:rsidR="004538E6" w:rsidRDefault="004538E6" w:rsidP="00E44126"/>
    <w:p w:rsidR="004538E6" w:rsidRDefault="00537FAD" w:rsidP="00537FAD">
      <w:pPr>
        <w:rPr>
          <w:b/>
          <w:bCs/>
        </w:rPr>
      </w:pPr>
      <w:r>
        <w:rPr>
          <w:b/>
        </w:rPr>
        <w:tab/>
      </w:r>
      <w:r w:rsidR="00443B7E" w:rsidRPr="00537FAD">
        <w:rPr>
          <w:b/>
        </w:rPr>
        <w:t>(1)</w:t>
      </w:r>
      <w:r>
        <w:tab/>
      </w:r>
      <w:r w:rsidR="00443B7E">
        <w:rPr>
          <w:b/>
          <w:bCs/>
        </w:rPr>
        <w:t>Report on use of federal funds and benefits to customers.</w:t>
      </w:r>
    </w:p>
    <w:p w:rsidR="005E6894" w:rsidRDefault="005E6894" w:rsidP="00537FAD"/>
    <w:p w:rsidR="001D567D" w:rsidRDefault="001D567D" w:rsidP="001D567D">
      <w:pPr>
        <w:pStyle w:val="ListParagraph"/>
        <w:numPr>
          <w:ilvl w:val="0"/>
          <w:numId w:val="2"/>
        </w:numPr>
        <w:tabs>
          <w:tab w:val="left" w:pos="720"/>
        </w:tabs>
      </w:pPr>
      <w:r>
        <w:t>The report must provide a substantive description of investments made and expenses paid with support from the federal high-cost fund.</w:t>
      </w:r>
    </w:p>
    <w:p w:rsidR="001D567D" w:rsidRDefault="001D567D" w:rsidP="001D567D">
      <w:pPr>
        <w:tabs>
          <w:tab w:val="left" w:pos="720"/>
        </w:tabs>
      </w:pPr>
    </w:p>
    <w:p w:rsidR="001D567D" w:rsidRDefault="001D567D" w:rsidP="001D567D">
      <w:pPr>
        <w:tabs>
          <w:tab w:val="left" w:pos="720"/>
        </w:tabs>
        <w:ind w:left="1800"/>
      </w:pPr>
      <w:r>
        <w:t>The report must include the company’s gross capital expenditures and operating expenses made with federal high-cost support received by the ETC in the preceding calendar year along with a description of major projects and affected exchanges.  A rate of return wireline ETC must also include a copy of its NECA-1 report for the preceding calendar year.</w:t>
      </w:r>
      <w:r>
        <w:tab/>
      </w:r>
    </w:p>
    <w:p w:rsidR="004538E6" w:rsidRDefault="00443B7E" w:rsidP="001D567D">
      <w:pPr>
        <w:pStyle w:val="ListParagraph"/>
        <w:tabs>
          <w:tab w:val="left" w:pos="720"/>
        </w:tabs>
        <w:ind w:left="1800"/>
      </w:pPr>
      <w:r>
        <w:tab/>
      </w:r>
    </w:p>
    <w:p w:rsidR="008D7BFD" w:rsidRDefault="001D567D" w:rsidP="00537FAD">
      <w:pPr>
        <w:tabs>
          <w:tab w:val="left" w:pos="720"/>
        </w:tabs>
        <w:ind w:left="1440" w:hanging="1440"/>
      </w:pPr>
      <w:r>
        <w:tab/>
      </w:r>
      <w:r>
        <w:tab/>
      </w:r>
      <w:r w:rsidR="00443B7E" w:rsidRPr="008D7BFD">
        <w:rPr>
          <w:b/>
          <w:bCs/>
        </w:rPr>
        <w:t>Response:</w:t>
      </w:r>
      <w:r w:rsidR="00443B7E" w:rsidRPr="008D7BFD">
        <w:t xml:space="preserve">   </w:t>
      </w:r>
      <w:r w:rsidR="000055C6" w:rsidRPr="008D7BFD">
        <w:t>CenturyLink QC certif</w:t>
      </w:r>
      <w:r w:rsidR="00580CEB">
        <w:t>ies</w:t>
      </w:r>
      <w:r w:rsidR="000055C6" w:rsidRPr="008D7BFD">
        <w:t xml:space="preserve"> that </w:t>
      </w:r>
      <w:r w:rsidR="00FE7BFE" w:rsidRPr="008D7BFD">
        <w:t>high-cost support</w:t>
      </w:r>
      <w:r w:rsidR="000055C6" w:rsidRPr="008D7BFD">
        <w:t xml:space="preserve"> funds </w:t>
      </w:r>
      <w:r w:rsidR="00580CEB">
        <w:t>received by CenturyLink QC during the 201</w:t>
      </w:r>
      <w:r w:rsidR="00837956">
        <w:t>5</w:t>
      </w:r>
      <w:r w:rsidR="00580CEB">
        <w:t xml:space="preserve"> calendar year </w:t>
      </w:r>
      <w:r w:rsidR="000055C6" w:rsidRPr="008D7BFD">
        <w:t xml:space="preserve">were used only for the provision, maintenance and upgrading of facilities and services for which the support was intended (See Attachment A).  </w:t>
      </w:r>
    </w:p>
    <w:p w:rsidR="00537FAD" w:rsidRDefault="00537FAD" w:rsidP="00537FAD">
      <w:pPr>
        <w:tabs>
          <w:tab w:val="left" w:pos="720"/>
        </w:tabs>
        <w:ind w:left="1440" w:hanging="1440"/>
      </w:pPr>
    </w:p>
    <w:p w:rsidR="00580CEB" w:rsidRDefault="00537FAD" w:rsidP="00537FAD">
      <w:pPr>
        <w:tabs>
          <w:tab w:val="left" w:pos="720"/>
        </w:tabs>
        <w:ind w:left="1440" w:hanging="1440"/>
      </w:pPr>
      <w:r>
        <w:tab/>
      </w:r>
      <w:r>
        <w:tab/>
      </w:r>
      <w:r w:rsidR="00580CEB">
        <w:t>During the calendar year 201</w:t>
      </w:r>
      <w:r w:rsidR="00837956">
        <w:t>5</w:t>
      </w:r>
      <w:r w:rsidR="00580CEB">
        <w:t xml:space="preserve">, </w:t>
      </w:r>
      <w:r w:rsidR="00580CEB" w:rsidRPr="008D7BFD">
        <w:t>CenturyLink accepted</w:t>
      </w:r>
      <w:r w:rsidR="00580CEB">
        <w:t xml:space="preserve"> a total of </w:t>
      </w:r>
      <w:r w:rsidR="00532CB5">
        <w:t xml:space="preserve">approximately </w:t>
      </w:r>
      <w:r w:rsidR="00580CEB" w:rsidRPr="002A285F">
        <w:t>$</w:t>
      </w:r>
      <w:r w:rsidR="001E2168">
        <w:t>24</w:t>
      </w:r>
      <w:r w:rsidR="00532CB5">
        <w:t>.</w:t>
      </w:r>
      <w:r w:rsidR="001E2168">
        <w:t>4</w:t>
      </w:r>
      <w:r w:rsidR="00532CB5">
        <w:t>M of</w:t>
      </w:r>
      <w:r w:rsidR="00A954EA">
        <w:t xml:space="preserve"> </w:t>
      </w:r>
      <w:r w:rsidR="00580CEB" w:rsidRPr="008D7BFD">
        <w:t>high-cost</w:t>
      </w:r>
      <w:r w:rsidR="001E2168">
        <w:t>/CAF II</w:t>
      </w:r>
      <w:r w:rsidR="00837956">
        <w:t xml:space="preserve"> support on a statewide basis</w:t>
      </w:r>
      <w:r w:rsidR="00532CB5">
        <w:t>, of which approximately $10.2M is attributable to CenturyLink QC Washington</w:t>
      </w:r>
      <w:r w:rsidR="00580CEB">
        <w:t xml:space="preserve">.  </w:t>
      </w:r>
      <w:r w:rsidR="00580CEB" w:rsidRPr="00580CEB">
        <w:t>Attachment B</w:t>
      </w:r>
      <w:r w:rsidR="00580CEB">
        <w:t xml:space="preserve"> is a copy of the </w:t>
      </w:r>
      <w:r w:rsidR="00532CB5">
        <w:t>final adopted support offer from the FCC</w:t>
      </w:r>
      <w:r w:rsidR="00580CEB">
        <w:t>.</w:t>
      </w:r>
    </w:p>
    <w:p w:rsidR="00537FAD" w:rsidRDefault="00537FAD" w:rsidP="00AD1D38">
      <w:pPr>
        <w:tabs>
          <w:tab w:val="left" w:pos="720"/>
        </w:tabs>
        <w:ind w:left="1440" w:hanging="1440"/>
        <w:jc w:val="right"/>
      </w:pPr>
    </w:p>
    <w:p w:rsidR="00C15341" w:rsidRDefault="00537FAD" w:rsidP="00537FAD">
      <w:pPr>
        <w:tabs>
          <w:tab w:val="left" w:pos="720"/>
        </w:tabs>
        <w:ind w:left="1440" w:hanging="1440"/>
      </w:pPr>
      <w:r>
        <w:tab/>
      </w:r>
      <w:r>
        <w:tab/>
      </w:r>
      <w:r w:rsidR="004A56CE" w:rsidRPr="00C15341">
        <w:t xml:space="preserve">CenturyLink QC’s </w:t>
      </w:r>
      <w:r w:rsidR="00C15341" w:rsidRPr="00C15341">
        <w:t>201</w:t>
      </w:r>
      <w:r w:rsidR="00837956">
        <w:t>5</w:t>
      </w:r>
      <w:r w:rsidR="00C15341" w:rsidRPr="00C15341">
        <w:t xml:space="preserve"> statewide network capital investments totaled </w:t>
      </w:r>
      <w:r w:rsidR="00532CB5">
        <w:t xml:space="preserve">approximately </w:t>
      </w:r>
      <w:r w:rsidR="00DC12A6" w:rsidRPr="00DC12A6">
        <w:rPr>
          <w:shd w:val="clear" w:color="auto" w:fill="000000" w:themeFill="text1"/>
        </w:rPr>
        <w:t xml:space="preserve"> </w:t>
      </w:r>
      <w:r w:rsidR="00DC12A6">
        <w:rPr>
          <w:shd w:val="clear" w:color="auto" w:fill="000000" w:themeFill="text1"/>
        </w:rPr>
        <w:t xml:space="preserve">   </w:t>
      </w:r>
      <w:r w:rsidR="00DC12A6" w:rsidRPr="00DC12A6">
        <w:rPr>
          <w:shd w:val="clear" w:color="auto" w:fill="000000" w:themeFill="text1"/>
        </w:rPr>
        <w:t xml:space="preserve">     </w:t>
      </w:r>
      <w:r w:rsidR="00A954EA">
        <w:t>.</w:t>
      </w:r>
      <w:r w:rsidR="00561354">
        <w:t xml:space="preserve"> </w:t>
      </w:r>
      <w:r w:rsidR="000055C6" w:rsidRPr="00C15341">
        <w:t xml:space="preserve">  Total </w:t>
      </w:r>
      <w:r w:rsidR="00532CB5">
        <w:t xml:space="preserve">supported operating </w:t>
      </w:r>
      <w:r w:rsidR="000055C6" w:rsidRPr="00C15341">
        <w:t xml:space="preserve">expenses (excluding access expense) in Washington for </w:t>
      </w:r>
      <w:r w:rsidR="00C15341" w:rsidRPr="00C15341">
        <w:t>201</w:t>
      </w:r>
      <w:r w:rsidR="00837956">
        <w:t>5</w:t>
      </w:r>
      <w:r w:rsidR="00C15341" w:rsidRPr="00C15341">
        <w:t xml:space="preserve"> totaled </w:t>
      </w:r>
      <w:r w:rsidR="00532CB5">
        <w:t xml:space="preserve">approximately </w:t>
      </w:r>
      <w:r w:rsidR="00DC12A6" w:rsidRPr="00DC12A6">
        <w:rPr>
          <w:shd w:val="clear" w:color="auto" w:fill="000000" w:themeFill="text1"/>
        </w:rPr>
        <w:t xml:space="preserve">           </w:t>
      </w:r>
      <w:r w:rsidR="00DC12A6">
        <w:t xml:space="preserve"> </w:t>
      </w:r>
      <w:r w:rsidR="00C15341" w:rsidRPr="002B7DD5">
        <w:t>.</w:t>
      </w:r>
      <w:r w:rsidR="00C15341" w:rsidRPr="008F6103">
        <w:t xml:space="preserve">  </w:t>
      </w:r>
      <w:r w:rsidR="00C15341" w:rsidRPr="00C15341">
        <w:t xml:space="preserve">As such, CenturyLink QC’s actual capital expenditures and </w:t>
      </w:r>
      <w:r w:rsidR="00532CB5">
        <w:t>supported operating</w:t>
      </w:r>
      <w:r w:rsidR="00C15341" w:rsidRPr="00C15341">
        <w:t xml:space="preserve"> expenses</w:t>
      </w:r>
      <w:r w:rsidR="00C15341">
        <w:t xml:space="preserve"> totaled</w:t>
      </w:r>
      <w:r w:rsidR="00561354">
        <w:t xml:space="preserve"> </w:t>
      </w:r>
      <w:r w:rsidR="00532CB5">
        <w:t xml:space="preserve">approximately </w:t>
      </w:r>
      <w:r w:rsidR="00DC12A6" w:rsidRPr="00DC12A6">
        <w:rPr>
          <w:shd w:val="clear" w:color="auto" w:fill="000000" w:themeFill="text1"/>
        </w:rPr>
        <w:t xml:space="preserve">         </w:t>
      </w:r>
      <w:r w:rsidR="009A38B9">
        <w:t xml:space="preserve"> </w:t>
      </w:r>
      <w:r w:rsidR="00C15341" w:rsidRPr="008D7BFD">
        <w:t>during the certification period</w:t>
      </w:r>
      <w:r w:rsidR="009042A8">
        <w:t>. This</w:t>
      </w:r>
      <w:r w:rsidR="00C15341" w:rsidRPr="008D7BFD">
        <w:t xml:space="preserve"> significantly exceed</w:t>
      </w:r>
      <w:r w:rsidR="009042A8">
        <w:t>ed</w:t>
      </w:r>
      <w:r w:rsidR="00C15341" w:rsidRPr="008D7BFD">
        <w:t xml:space="preserve"> the high-cost</w:t>
      </w:r>
      <w:r w:rsidR="00406089">
        <w:t>/CAF II</w:t>
      </w:r>
      <w:r w:rsidR="00C15341" w:rsidRPr="008D7BFD">
        <w:t xml:space="preserve"> support received.  </w:t>
      </w:r>
    </w:p>
    <w:p w:rsidR="00537FAD" w:rsidRDefault="00537FAD" w:rsidP="00537FAD">
      <w:pPr>
        <w:tabs>
          <w:tab w:val="left" w:pos="720"/>
        </w:tabs>
        <w:ind w:left="1440" w:hanging="1440"/>
      </w:pPr>
    </w:p>
    <w:p w:rsidR="004538E6" w:rsidRDefault="00537FAD" w:rsidP="00537FAD">
      <w:pPr>
        <w:tabs>
          <w:tab w:val="left" w:pos="720"/>
        </w:tabs>
        <w:ind w:left="1440" w:hanging="1440"/>
      </w:pPr>
      <w:r>
        <w:tab/>
      </w:r>
      <w:r>
        <w:tab/>
      </w:r>
      <w:r w:rsidR="00443B7E">
        <w:t xml:space="preserve">(b) </w:t>
      </w:r>
      <w:r>
        <w:t xml:space="preserve"> </w:t>
      </w:r>
      <w:r w:rsidR="00443B7E">
        <w:t>Every ETC must provide a substantive description of the benefits to consumers that resulted from the investments and expenses reported pursuant to (a) of this subsection.</w:t>
      </w:r>
    </w:p>
    <w:p w:rsidR="00537FAD" w:rsidRDefault="00537FAD" w:rsidP="00537FAD">
      <w:pPr>
        <w:tabs>
          <w:tab w:val="left" w:pos="720"/>
        </w:tabs>
        <w:ind w:left="1440" w:hanging="1440"/>
      </w:pPr>
    </w:p>
    <w:p w:rsidR="00B51A4A" w:rsidRDefault="00537FAD" w:rsidP="00537FAD">
      <w:pPr>
        <w:tabs>
          <w:tab w:val="left" w:pos="720"/>
        </w:tabs>
        <w:ind w:left="1440" w:hanging="1440"/>
      </w:pPr>
      <w:r>
        <w:tab/>
      </w:r>
      <w:r>
        <w:tab/>
      </w:r>
      <w:r w:rsidR="00B51A4A">
        <w:rPr>
          <w:b/>
          <w:bCs/>
        </w:rPr>
        <w:t xml:space="preserve">Response:  </w:t>
      </w:r>
      <w:r w:rsidR="00710BC5" w:rsidRPr="004538E6">
        <w:t xml:space="preserve">CenturyLink QC made substantial investments </w:t>
      </w:r>
      <w:r w:rsidR="00710BC5">
        <w:t>during the calendar year 201</w:t>
      </w:r>
      <w:r w:rsidR="00837956">
        <w:t>5</w:t>
      </w:r>
      <w:r w:rsidR="00710BC5">
        <w:t xml:space="preserve"> as well as </w:t>
      </w:r>
      <w:r w:rsidR="00710BC5" w:rsidRPr="004538E6">
        <w:t>over the p</w:t>
      </w:r>
      <w:r w:rsidR="00710BC5">
        <w:t>revious</w:t>
      </w:r>
      <w:r w:rsidR="00710BC5" w:rsidRPr="004538E6">
        <w:t xml:space="preserve"> several years that allow it to provide </w:t>
      </w:r>
      <w:r w:rsidR="00710BC5">
        <w:t>reliable and robust</w:t>
      </w:r>
      <w:r w:rsidR="00710BC5" w:rsidRPr="004538E6">
        <w:t xml:space="preserve"> telecommunication service</w:t>
      </w:r>
      <w:r w:rsidR="00710BC5">
        <w:t>s</w:t>
      </w:r>
      <w:r w:rsidR="00710BC5" w:rsidRPr="004538E6">
        <w:t xml:space="preserve"> to its customers</w:t>
      </w:r>
      <w:r w:rsidR="00580CEB">
        <w:t>.</w:t>
      </w:r>
      <w:r w:rsidR="00710BC5">
        <w:t xml:space="preserve">  </w:t>
      </w:r>
      <w:r w:rsidR="00B51A4A">
        <w:t xml:space="preserve">Through the expenditure of </w:t>
      </w:r>
      <w:r w:rsidR="00B4582E">
        <w:t xml:space="preserve">Federal HighCost Support </w:t>
      </w:r>
      <w:r w:rsidR="00B51A4A">
        <w:t>funds, CenturyLink</w:t>
      </w:r>
      <w:r w:rsidR="004538E6" w:rsidRPr="004538E6">
        <w:t xml:space="preserve"> QC was able to continue to provide services at a level that meets the </w:t>
      </w:r>
      <w:r w:rsidR="004538E6" w:rsidRPr="004538E6">
        <w:lastRenderedPageBreak/>
        <w:t xml:space="preserve">requirements of 47 U.S.C. §254 </w:t>
      </w:r>
      <w:r w:rsidR="00580CEB">
        <w:t>with the intent of</w:t>
      </w:r>
      <w:r w:rsidR="00580CEB" w:rsidRPr="004538E6">
        <w:t xml:space="preserve"> </w:t>
      </w:r>
      <w:r w:rsidR="004538E6" w:rsidRPr="004538E6">
        <w:t xml:space="preserve">providing high quality telecommunication </w:t>
      </w:r>
      <w:r w:rsidR="004538E6" w:rsidRPr="008F6103">
        <w:t xml:space="preserve">services to customers in the service areas for which it receives </w:t>
      </w:r>
      <w:r w:rsidR="00580CEB" w:rsidRPr="008F6103">
        <w:t>high</w:t>
      </w:r>
      <w:r w:rsidR="00580CEB">
        <w:t>-</w:t>
      </w:r>
      <w:r w:rsidR="00B4582E" w:rsidRPr="008F6103">
        <w:t xml:space="preserve">cost </w:t>
      </w:r>
      <w:r w:rsidR="004538E6" w:rsidRPr="008F6103">
        <w:t xml:space="preserve">support.  </w:t>
      </w:r>
      <w:r w:rsidR="00961F98" w:rsidRPr="00961F98">
        <w:t>Additionally, in accordance with FCC 11-161, the USF Transformation Order, CenturyLink QC is expanding its data network, enabling more customers access to quality high speed data services.</w:t>
      </w:r>
      <w:r w:rsidR="00443B7E">
        <w:t xml:space="preserve">  </w:t>
      </w:r>
    </w:p>
    <w:p w:rsidR="00537FAD" w:rsidRDefault="00537FAD" w:rsidP="00537FAD">
      <w:pPr>
        <w:tabs>
          <w:tab w:val="left" w:pos="720"/>
        </w:tabs>
        <w:ind w:left="1440" w:hanging="1440"/>
      </w:pPr>
    </w:p>
    <w:p w:rsidR="00537FAD" w:rsidRDefault="00537FAD" w:rsidP="00537FAD">
      <w:pPr>
        <w:tabs>
          <w:tab w:val="left" w:pos="720"/>
        </w:tabs>
        <w:ind w:left="1440" w:hanging="1440"/>
      </w:pPr>
      <w:r>
        <w:tab/>
      </w:r>
      <w:r w:rsidRPr="00537FAD">
        <w:rPr>
          <w:b/>
        </w:rPr>
        <w:t>(2)</w:t>
      </w:r>
      <w:r w:rsidRPr="00537FAD">
        <w:rPr>
          <w:b/>
        </w:rPr>
        <w:tab/>
        <w:t>L</w:t>
      </w:r>
      <w:r w:rsidR="005E6242" w:rsidRPr="00B4582E">
        <w:rPr>
          <w:b/>
          <w:bCs/>
        </w:rPr>
        <w:t>ocal service outage report.</w:t>
      </w:r>
      <w:r w:rsidR="005E6242" w:rsidRPr="00B4582E">
        <w:t xml:space="preserve">  </w:t>
      </w:r>
    </w:p>
    <w:p w:rsidR="00537FAD" w:rsidRDefault="00537FAD" w:rsidP="00537FAD">
      <w:pPr>
        <w:tabs>
          <w:tab w:val="left" w:pos="720"/>
        </w:tabs>
        <w:ind w:left="1440" w:hanging="1440"/>
      </w:pPr>
    </w:p>
    <w:p w:rsidR="004538E6" w:rsidRDefault="00537FAD" w:rsidP="00537FAD">
      <w:pPr>
        <w:tabs>
          <w:tab w:val="left" w:pos="720"/>
        </w:tabs>
        <w:ind w:left="1440" w:hanging="1440"/>
      </w:pPr>
      <w:r>
        <w:tab/>
      </w:r>
      <w:r>
        <w:tab/>
      </w:r>
      <w:r w:rsidR="005E6242" w:rsidRPr="00B4582E">
        <w:t xml:space="preserve">(a) The </w:t>
      </w:r>
      <w:r w:rsidR="0033632B">
        <w:t>report must include detailed information on any outage in the service area (during the prior calendar year) of at least thirty minutes in duration in which the ETC owns, operates, leases, or otherwise utilizes facilities, that potentially affect:</w:t>
      </w:r>
    </w:p>
    <w:p w:rsidR="00537FAD" w:rsidRDefault="00537FAD" w:rsidP="00537FAD">
      <w:pPr>
        <w:tabs>
          <w:tab w:val="left" w:pos="720"/>
        </w:tabs>
        <w:ind w:left="1440" w:hanging="1440"/>
      </w:pPr>
    </w:p>
    <w:p w:rsidR="004538E6" w:rsidRDefault="0033632B" w:rsidP="0033632B">
      <w:pPr>
        <w:pStyle w:val="ListParagraph"/>
        <w:numPr>
          <w:ilvl w:val="0"/>
          <w:numId w:val="3"/>
        </w:numPr>
        <w:tabs>
          <w:tab w:val="left" w:pos="720"/>
          <w:tab w:val="left" w:pos="2520"/>
        </w:tabs>
      </w:pPr>
      <w:r>
        <w:t>At least ten percent of the end users; or</w:t>
      </w:r>
    </w:p>
    <w:p w:rsidR="0033632B" w:rsidRDefault="0033632B" w:rsidP="0033632B">
      <w:pPr>
        <w:pStyle w:val="ListParagraph"/>
        <w:numPr>
          <w:ilvl w:val="0"/>
          <w:numId w:val="3"/>
        </w:numPr>
        <w:tabs>
          <w:tab w:val="left" w:pos="720"/>
        </w:tabs>
        <w:ind w:left="2520" w:hanging="360"/>
      </w:pPr>
      <w:r>
        <w:t>A 911 special facility, as defined in 47 C.F.R. Sec. 4.5(e).</w:t>
      </w:r>
    </w:p>
    <w:p w:rsidR="00537FAD" w:rsidRDefault="00537FAD" w:rsidP="00537FAD">
      <w:pPr>
        <w:tabs>
          <w:tab w:val="left" w:pos="720"/>
        </w:tabs>
        <w:ind w:left="1440" w:hanging="1440"/>
      </w:pPr>
    </w:p>
    <w:p w:rsidR="004538E6" w:rsidRDefault="0033632B" w:rsidP="0033632B">
      <w:pPr>
        <w:pStyle w:val="ListParagraph"/>
        <w:numPr>
          <w:ilvl w:val="0"/>
          <w:numId w:val="2"/>
        </w:numPr>
        <w:tabs>
          <w:tab w:val="left" w:pos="720"/>
        </w:tabs>
      </w:pPr>
      <w:r>
        <w:t>Specifically, the eligible telecommunications carrier’s annual report must include information detailing:</w:t>
      </w:r>
    </w:p>
    <w:p w:rsidR="0033632B" w:rsidRDefault="0033632B" w:rsidP="0033632B">
      <w:pPr>
        <w:pStyle w:val="ListParagraph"/>
        <w:numPr>
          <w:ilvl w:val="2"/>
          <w:numId w:val="2"/>
        </w:numPr>
        <w:tabs>
          <w:tab w:val="left" w:pos="720"/>
        </w:tabs>
        <w:ind w:left="2520" w:hanging="90"/>
      </w:pPr>
      <w:r>
        <w:t>The date and time of onset and duration of the outage;</w:t>
      </w:r>
    </w:p>
    <w:p w:rsidR="0033632B" w:rsidRDefault="0033632B" w:rsidP="0033632B">
      <w:pPr>
        <w:pStyle w:val="ListParagraph"/>
        <w:numPr>
          <w:ilvl w:val="2"/>
          <w:numId w:val="2"/>
        </w:numPr>
        <w:tabs>
          <w:tab w:val="left" w:pos="720"/>
          <w:tab w:val="left" w:pos="2430"/>
        </w:tabs>
        <w:ind w:left="2520" w:hanging="90"/>
      </w:pPr>
      <w:r>
        <w:t xml:space="preserve">  A brief description of the outage and its resolution;</w:t>
      </w:r>
    </w:p>
    <w:p w:rsidR="0033632B" w:rsidRDefault="0033632B" w:rsidP="0033632B">
      <w:pPr>
        <w:pStyle w:val="ListParagraph"/>
        <w:numPr>
          <w:ilvl w:val="2"/>
          <w:numId w:val="2"/>
        </w:numPr>
        <w:tabs>
          <w:tab w:val="left" w:pos="720"/>
        </w:tabs>
        <w:ind w:left="2520" w:hanging="90"/>
      </w:pPr>
      <w:r>
        <w:t>The particular services affected;</w:t>
      </w:r>
    </w:p>
    <w:p w:rsidR="0033632B" w:rsidRDefault="0033632B" w:rsidP="0033632B">
      <w:pPr>
        <w:pStyle w:val="ListParagraph"/>
        <w:numPr>
          <w:ilvl w:val="2"/>
          <w:numId w:val="2"/>
        </w:numPr>
        <w:tabs>
          <w:tab w:val="left" w:pos="720"/>
        </w:tabs>
        <w:ind w:left="2520" w:hanging="90"/>
      </w:pPr>
      <w:r>
        <w:t>The geographic areas affected by the outage;</w:t>
      </w:r>
    </w:p>
    <w:p w:rsidR="0033632B" w:rsidRDefault="0033632B" w:rsidP="0033632B">
      <w:pPr>
        <w:pStyle w:val="ListParagraph"/>
        <w:numPr>
          <w:ilvl w:val="2"/>
          <w:numId w:val="2"/>
        </w:numPr>
        <w:tabs>
          <w:tab w:val="left" w:pos="720"/>
        </w:tabs>
        <w:ind w:left="2520" w:hanging="90"/>
      </w:pPr>
      <w:r>
        <w:t>Steps taken to prevent a similar situation in the future; and</w:t>
      </w:r>
    </w:p>
    <w:p w:rsidR="0033632B" w:rsidRDefault="0033632B" w:rsidP="0033632B">
      <w:pPr>
        <w:pStyle w:val="ListParagraph"/>
        <w:numPr>
          <w:ilvl w:val="2"/>
          <w:numId w:val="2"/>
        </w:numPr>
        <w:tabs>
          <w:tab w:val="left" w:pos="720"/>
        </w:tabs>
        <w:ind w:left="2520" w:hanging="90"/>
      </w:pPr>
      <w:r>
        <w:t>The number of customers affected.</w:t>
      </w:r>
    </w:p>
    <w:p w:rsidR="0033632B" w:rsidRDefault="0033632B" w:rsidP="0033632B">
      <w:pPr>
        <w:pStyle w:val="ListParagraph"/>
        <w:tabs>
          <w:tab w:val="left" w:pos="720"/>
        </w:tabs>
        <w:ind w:left="2520"/>
      </w:pPr>
    </w:p>
    <w:p w:rsidR="00B51A4A" w:rsidRDefault="00537FAD" w:rsidP="00537FAD">
      <w:pPr>
        <w:tabs>
          <w:tab w:val="left" w:pos="720"/>
        </w:tabs>
        <w:ind w:left="1440" w:hanging="1440"/>
      </w:pPr>
      <w:r>
        <w:tab/>
      </w:r>
      <w:r>
        <w:tab/>
      </w:r>
      <w:r w:rsidR="005E6242" w:rsidRPr="00AF5DD1">
        <w:rPr>
          <w:b/>
          <w:bCs/>
        </w:rPr>
        <w:t xml:space="preserve">Response:  </w:t>
      </w:r>
      <w:r w:rsidR="005E6242" w:rsidRPr="00AF5DD1">
        <w:t>CenturyLink QC is exempt from this requirements as it is subject to WACs 480-120-412 and 480-120-439(5).</w:t>
      </w:r>
    </w:p>
    <w:p w:rsidR="00537FAD" w:rsidRDefault="00537FAD" w:rsidP="00537FAD">
      <w:pPr>
        <w:tabs>
          <w:tab w:val="left" w:pos="720"/>
        </w:tabs>
        <w:ind w:left="1440" w:hanging="1440"/>
      </w:pPr>
    </w:p>
    <w:p w:rsidR="00537FAD" w:rsidRDefault="00537FAD" w:rsidP="00537FAD">
      <w:pPr>
        <w:tabs>
          <w:tab w:val="left" w:pos="720"/>
        </w:tabs>
        <w:ind w:left="1440" w:hanging="1440"/>
      </w:pPr>
      <w:r>
        <w:tab/>
      </w:r>
      <w:r>
        <w:rPr>
          <w:b/>
        </w:rPr>
        <w:t>(3)</w:t>
      </w:r>
      <w:r>
        <w:rPr>
          <w:b/>
        </w:rPr>
        <w:tab/>
      </w:r>
      <w:r w:rsidR="005E6242" w:rsidRPr="00B4582E">
        <w:rPr>
          <w:b/>
          <w:bCs/>
        </w:rPr>
        <w:t>Report on failure to provide service.</w:t>
      </w:r>
      <w:r w:rsidR="005E6242" w:rsidRPr="00B4582E">
        <w:t xml:space="preserve">  </w:t>
      </w:r>
    </w:p>
    <w:p w:rsidR="00537FAD" w:rsidRDefault="00537FAD" w:rsidP="00537FAD">
      <w:pPr>
        <w:tabs>
          <w:tab w:val="left" w:pos="720"/>
        </w:tabs>
        <w:ind w:left="1440" w:hanging="1440"/>
      </w:pPr>
    </w:p>
    <w:p w:rsidR="004538E6" w:rsidRDefault="00537FAD" w:rsidP="00537FAD">
      <w:pPr>
        <w:tabs>
          <w:tab w:val="left" w:pos="720"/>
        </w:tabs>
        <w:ind w:left="1440" w:hanging="1440"/>
      </w:pPr>
      <w:r>
        <w:tab/>
      </w:r>
      <w:r>
        <w:tab/>
      </w:r>
      <w:r w:rsidR="005E6242" w:rsidRPr="00B4582E">
        <w:t xml:space="preserve">The report must include the number of requests for service from </w:t>
      </w:r>
      <w:r w:rsidR="00E01F07">
        <w:t xml:space="preserve">potential customers </w:t>
      </w:r>
      <w:r w:rsidR="005E6242" w:rsidRPr="00B4582E">
        <w:t xml:space="preserve">within its designated service area that were unfulfilled </w:t>
      </w:r>
      <w:r w:rsidR="00E01F07">
        <w:t>during</w:t>
      </w:r>
      <w:r w:rsidR="005E6242" w:rsidRPr="00B4582E">
        <w:t xml:space="preserve"> the </w:t>
      </w:r>
      <w:r w:rsidR="00E01F07">
        <w:t>prior calendar year</w:t>
      </w:r>
      <w:r w:rsidR="005E6242" w:rsidRPr="00B4582E">
        <w:t xml:space="preserve">.  The ETC must also detail how it attempted to provide service to those </w:t>
      </w:r>
      <w:r w:rsidR="00E01F07">
        <w:t>potential customers</w:t>
      </w:r>
      <w:r w:rsidR="005E6242" w:rsidRPr="00B4582E">
        <w:t>.</w:t>
      </w:r>
    </w:p>
    <w:p w:rsidR="00537FAD" w:rsidRDefault="00537FAD" w:rsidP="00537FAD">
      <w:pPr>
        <w:tabs>
          <w:tab w:val="left" w:pos="720"/>
        </w:tabs>
        <w:ind w:left="1440" w:hanging="1440"/>
      </w:pPr>
    </w:p>
    <w:p w:rsidR="00B51A4A" w:rsidRDefault="00537FAD" w:rsidP="00537FAD">
      <w:pPr>
        <w:tabs>
          <w:tab w:val="left" w:pos="720"/>
        </w:tabs>
        <w:ind w:left="1440" w:hanging="1440"/>
      </w:pPr>
      <w:r>
        <w:tab/>
      </w:r>
      <w:r>
        <w:tab/>
      </w:r>
      <w:r w:rsidR="005E6242" w:rsidRPr="00AF5DD1">
        <w:rPr>
          <w:b/>
          <w:bCs/>
        </w:rPr>
        <w:t xml:space="preserve">Response:  </w:t>
      </w:r>
      <w:r w:rsidR="005E6242" w:rsidRPr="00AF5DD1">
        <w:t>CenturyLink QC is exempt from this requirements as it is subject to WAC 480-120-439(5).</w:t>
      </w:r>
    </w:p>
    <w:p w:rsidR="00537FAD" w:rsidRDefault="00537FAD" w:rsidP="00537FAD">
      <w:pPr>
        <w:tabs>
          <w:tab w:val="left" w:pos="720"/>
        </w:tabs>
        <w:ind w:left="1440" w:hanging="1440"/>
      </w:pPr>
    </w:p>
    <w:p w:rsidR="00CF12D8" w:rsidRDefault="00537FAD" w:rsidP="00CF12D8">
      <w:pPr>
        <w:keepNext/>
        <w:keepLines/>
        <w:tabs>
          <w:tab w:val="left" w:pos="720"/>
        </w:tabs>
        <w:ind w:left="1440" w:hanging="1440"/>
      </w:pPr>
      <w:r>
        <w:tab/>
      </w:r>
      <w:r w:rsidR="005E6242" w:rsidRPr="00CF12D8">
        <w:rPr>
          <w:b/>
        </w:rPr>
        <w:t>(4)</w:t>
      </w:r>
      <w:r w:rsidR="00CF12D8">
        <w:rPr>
          <w:b/>
        </w:rPr>
        <w:tab/>
      </w:r>
      <w:r w:rsidR="005E6242" w:rsidRPr="00B4582E">
        <w:rPr>
          <w:b/>
          <w:bCs/>
        </w:rPr>
        <w:t xml:space="preserve">Report on complaints per one thousand </w:t>
      </w:r>
      <w:r w:rsidR="00D9256C">
        <w:rPr>
          <w:b/>
          <w:bCs/>
        </w:rPr>
        <w:t>connections (fixed or mobile)</w:t>
      </w:r>
      <w:r w:rsidR="005E6242" w:rsidRPr="00B4582E">
        <w:rPr>
          <w:b/>
          <w:bCs/>
        </w:rPr>
        <w:t>.</w:t>
      </w:r>
      <w:r w:rsidR="005E6242" w:rsidRPr="00B4582E">
        <w:t xml:space="preserve">  </w:t>
      </w:r>
    </w:p>
    <w:p w:rsidR="00CF12D8" w:rsidRDefault="00CF12D8" w:rsidP="00CF12D8">
      <w:pPr>
        <w:keepNext/>
        <w:keepLines/>
        <w:tabs>
          <w:tab w:val="left" w:pos="720"/>
        </w:tabs>
        <w:ind w:left="1440" w:hanging="1440"/>
      </w:pPr>
    </w:p>
    <w:p w:rsidR="004538E6" w:rsidRDefault="00CF12D8" w:rsidP="00CF12D8">
      <w:pPr>
        <w:keepNext/>
        <w:keepLines/>
        <w:tabs>
          <w:tab w:val="left" w:pos="720"/>
        </w:tabs>
        <w:ind w:left="1440" w:hanging="1440"/>
      </w:pPr>
      <w:r>
        <w:tab/>
      </w:r>
      <w:r>
        <w:tab/>
      </w:r>
      <w:r w:rsidR="005E6242" w:rsidRPr="00B4582E">
        <w:t>The report must provide separate totals for the number of complaints that the ETC's customers made to the Fede</w:t>
      </w:r>
      <w:r w:rsidR="00D9256C">
        <w:t xml:space="preserve">ral Communications Commission and </w:t>
      </w:r>
      <w:r w:rsidR="005E6242" w:rsidRPr="00B4582E">
        <w:t xml:space="preserve">the consumer protection division of the office of the attorney general of Washington.  </w:t>
      </w:r>
      <w:r w:rsidR="00D9256C">
        <w:t>The ETC must also report the number of consumer complaints in each general category (for example, billing disputes, service quality).</w:t>
      </w:r>
    </w:p>
    <w:p w:rsidR="00CF12D8" w:rsidRDefault="00CF12D8" w:rsidP="00CF12D8">
      <w:pPr>
        <w:tabs>
          <w:tab w:val="left" w:pos="720"/>
        </w:tabs>
        <w:ind w:left="1440" w:hanging="1440"/>
      </w:pPr>
    </w:p>
    <w:p w:rsidR="00B51A4A" w:rsidRDefault="00CF12D8" w:rsidP="00CF12D8">
      <w:pPr>
        <w:tabs>
          <w:tab w:val="left" w:pos="720"/>
        </w:tabs>
        <w:ind w:left="1440" w:hanging="1440"/>
      </w:pPr>
      <w:r>
        <w:tab/>
      </w:r>
      <w:r>
        <w:tab/>
      </w:r>
      <w:r w:rsidR="005E6242" w:rsidRPr="00B4582E">
        <w:rPr>
          <w:b/>
          <w:bCs/>
        </w:rPr>
        <w:t xml:space="preserve">Response:  </w:t>
      </w:r>
      <w:r w:rsidR="005E6242" w:rsidRPr="0061506D">
        <w:t xml:space="preserve">Attachment </w:t>
      </w:r>
      <w:r w:rsidR="008D7BFD">
        <w:t>C</w:t>
      </w:r>
      <w:r w:rsidR="008D7BFD" w:rsidRPr="00B4582E">
        <w:t xml:space="preserve"> </w:t>
      </w:r>
      <w:r w:rsidR="005E6242" w:rsidRPr="00B4582E">
        <w:t xml:space="preserve">provides </w:t>
      </w:r>
      <w:r w:rsidR="00102CA7">
        <w:t>information on customer</w:t>
      </w:r>
      <w:r w:rsidR="005E6242" w:rsidRPr="00B4582E">
        <w:t xml:space="preserve"> complaints to the FCC and to the Consumer protection division of the attorney gen</w:t>
      </w:r>
      <w:r w:rsidR="0052585D">
        <w:t xml:space="preserve">eral of Washington </w:t>
      </w:r>
      <w:r w:rsidR="0030495C">
        <w:t>for</w:t>
      </w:r>
      <w:r w:rsidR="005E6242" w:rsidRPr="00B4582E">
        <w:t xml:space="preserve"> </w:t>
      </w:r>
      <w:r w:rsidR="00B4582E" w:rsidRPr="00B4582E">
        <w:t>201</w:t>
      </w:r>
      <w:r w:rsidR="00837956">
        <w:t>5</w:t>
      </w:r>
      <w:r w:rsidR="005E6242" w:rsidRPr="00B4582E">
        <w:t>.  The complaint categories include billing, call handling, commitment/interval, held order, installation, repair, treatment, and other.</w:t>
      </w:r>
      <w:r w:rsidR="005E6242" w:rsidRPr="00B4582E">
        <w:rPr>
          <w:b/>
          <w:i/>
        </w:rPr>
        <w:t xml:space="preserve"> </w:t>
      </w:r>
      <w:r w:rsidR="00544CBD" w:rsidRPr="00544CBD">
        <w:t>Furthermore</w:t>
      </w:r>
      <w:r w:rsidR="00544CBD" w:rsidRPr="0061506D">
        <w:t>,</w:t>
      </w:r>
      <w:r w:rsidR="00544CBD" w:rsidRPr="0061506D">
        <w:rPr>
          <w:b/>
          <w:i/>
        </w:rPr>
        <w:t xml:space="preserve"> </w:t>
      </w:r>
      <w:r w:rsidR="00102CA7" w:rsidRPr="0061506D">
        <w:t xml:space="preserve">Attachment </w:t>
      </w:r>
      <w:r w:rsidR="008D7BFD" w:rsidRPr="0061506D">
        <w:t>C</w:t>
      </w:r>
      <w:r w:rsidR="008D7BFD" w:rsidRPr="00B4582E">
        <w:t xml:space="preserve"> </w:t>
      </w:r>
      <w:r w:rsidR="00102CA7" w:rsidRPr="00B4582E">
        <w:t xml:space="preserve">provides a breakdown of </w:t>
      </w:r>
      <w:r w:rsidR="00544CBD">
        <w:t xml:space="preserve">all </w:t>
      </w:r>
      <w:r w:rsidR="00102CA7" w:rsidRPr="00B4582E">
        <w:t>its 201</w:t>
      </w:r>
      <w:r w:rsidR="00837956">
        <w:t>5</w:t>
      </w:r>
      <w:r w:rsidR="00102CA7" w:rsidRPr="00B4582E">
        <w:t xml:space="preserve"> complaints regard</w:t>
      </w:r>
      <w:r w:rsidR="00BB02BE">
        <w:t>less of</w:t>
      </w:r>
      <w:r w:rsidR="00102CA7" w:rsidRPr="00B4582E">
        <w:t xml:space="preserve"> whether the</w:t>
      </w:r>
      <w:r w:rsidR="00544CBD">
        <w:t xml:space="preserve">y were </w:t>
      </w:r>
      <w:r w:rsidR="00102CA7" w:rsidRPr="00B4582E">
        <w:t>complaint</w:t>
      </w:r>
      <w:r w:rsidR="00544CBD">
        <w:t>s</w:t>
      </w:r>
      <w:r w:rsidR="00B07CEA">
        <w:t xml:space="preserve"> </w:t>
      </w:r>
      <w:r w:rsidR="00102CA7" w:rsidRPr="00B4582E">
        <w:t xml:space="preserve">for a supported service or for other services not supported by </w:t>
      </w:r>
      <w:r w:rsidR="00102CA7">
        <w:t>high cost</w:t>
      </w:r>
      <w:r w:rsidR="00102CA7" w:rsidRPr="00B4582E">
        <w:t xml:space="preserve"> funding.   </w:t>
      </w:r>
    </w:p>
    <w:p w:rsidR="00CF12D8" w:rsidRDefault="00CF12D8" w:rsidP="00CF12D8">
      <w:pPr>
        <w:tabs>
          <w:tab w:val="left" w:pos="720"/>
        </w:tabs>
        <w:ind w:left="1440" w:hanging="1440"/>
      </w:pPr>
    </w:p>
    <w:p w:rsidR="00B51A4A" w:rsidRDefault="00CF12D8" w:rsidP="00CF12D8">
      <w:pPr>
        <w:tabs>
          <w:tab w:val="left" w:pos="720"/>
        </w:tabs>
        <w:ind w:left="1440" w:hanging="1440"/>
      </w:pPr>
      <w:r>
        <w:tab/>
      </w:r>
      <w:r>
        <w:tab/>
      </w:r>
      <w:r w:rsidR="005E6242" w:rsidRPr="00B4582E">
        <w:t xml:space="preserve">CenturyLink QC’s efforts to resolve complaints for all complaint categories are based on the following process:   </w:t>
      </w:r>
    </w:p>
    <w:p w:rsidR="00CF12D8" w:rsidRDefault="00CF12D8" w:rsidP="00CF12D8">
      <w:pPr>
        <w:tabs>
          <w:tab w:val="left" w:pos="720"/>
        </w:tabs>
        <w:ind w:left="1440" w:hanging="1440"/>
      </w:pPr>
    </w:p>
    <w:p w:rsidR="004538E6" w:rsidRDefault="00CF12D8" w:rsidP="00CF12D8">
      <w:pPr>
        <w:tabs>
          <w:tab w:val="left" w:pos="720"/>
          <w:tab w:val="left" w:pos="1800"/>
        </w:tabs>
        <w:spacing w:after="120"/>
        <w:ind w:left="1440" w:hanging="1440"/>
      </w:pPr>
      <w:r>
        <w:tab/>
      </w:r>
      <w:r>
        <w:tab/>
      </w:r>
      <w:r w:rsidR="005E6242" w:rsidRPr="00B4582E">
        <w:t>-</w:t>
      </w:r>
      <w:r w:rsidR="005E6242" w:rsidRPr="00B4582E">
        <w:tab/>
        <w:t>Review the complaint to determine the nature of the problem</w:t>
      </w:r>
    </w:p>
    <w:p w:rsidR="00B51A4A" w:rsidRDefault="00CF12D8" w:rsidP="00CF12D8">
      <w:pPr>
        <w:tabs>
          <w:tab w:val="left" w:pos="720"/>
          <w:tab w:val="left" w:pos="1800"/>
        </w:tabs>
        <w:spacing w:after="120"/>
        <w:ind w:left="1440" w:hanging="1440"/>
      </w:pPr>
      <w:r>
        <w:tab/>
      </w:r>
      <w:r>
        <w:tab/>
      </w:r>
      <w:r w:rsidR="005E6242" w:rsidRPr="00B4582E">
        <w:t>-</w:t>
      </w:r>
      <w:r w:rsidR="005E6242" w:rsidRPr="00B4582E">
        <w:tab/>
        <w:t>Review CenturyLink QC’s records/data to substantiate the claim</w:t>
      </w:r>
    </w:p>
    <w:p w:rsidR="00B51A4A" w:rsidRDefault="00CF12D8" w:rsidP="00CF12D8">
      <w:pPr>
        <w:tabs>
          <w:tab w:val="left" w:pos="720"/>
          <w:tab w:val="left" w:pos="1440"/>
          <w:tab w:val="left" w:pos="1800"/>
        </w:tabs>
        <w:spacing w:after="120"/>
        <w:ind w:left="1800" w:hanging="1800"/>
      </w:pPr>
      <w:r>
        <w:tab/>
      </w:r>
      <w:r>
        <w:tab/>
      </w:r>
      <w:r w:rsidR="005E6242" w:rsidRPr="00B4582E">
        <w:t>-</w:t>
      </w:r>
      <w:r w:rsidR="005E6242" w:rsidRPr="00B4582E">
        <w:tab/>
        <w:t>Determine if CenturyLink QC’s practices, which may have led to the complaint, are in accord with applicable statutes and rules</w:t>
      </w:r>
    </w:p>
    <w:p w:rsidR="00B51A4A" w:rsidRDefault="00CF12D8" w:rsidP="00CF12D8">
      <w:pPr>
        <w:tabs>
          <w:tab w:val="left" w:pos="720"/>
          <w:tab w:val="left" w:pos="1440"/>
          <w:tab w:val="left" w:pos="1800"/>
        </w:tabs>
        <w:spacing w:after="120"/>
        <w:ind w:left="1800" w:hanging="1800"/>
      </w:pPr>
      <w:r>
        <w:tab/>
      </w:r>
      <w:r>
        <w:tab/>
      </w:r>
      <w:r w:rsidR="005E6242" w:rsidRPr="00B4582E">
        <w:t>-</w:t>
      </w:r>
      <w:r w:rsidR="005E6242" w:rsidRPr="00B4582E">
        <w:tab/>
        <w:t>If CenturyLink QC determines that its actions/practices that led to the complaint are in accord with applicable statutes and rules, it will provide substantiation for its claim to the investigating agency</w:t>
      </w:r>
    </w:p>
    <w:p w:rsidR="00B51A4A" w:rsidRDefault="00CF12D8" w:rsidP="00CF12D8">
      <w:pPr>
        <w:tabs>
          <w:tab w:val="left" w:pos="720"/>
          <w:tab w:val="left" w:pos="1440"/>
          <w:tab w:val="left" w:pos="1800"/>
        </w:tabs>
        <w:spacing w:after="120"/>
        <w:ind w:left="1800" w:hanging="1800"/>
      </w:pPr>
      <w:r>
        <w:tab/>
      </w:r>
      <w:r>
        <w:tab/>
      </w:r>
      <w:r w:rsidR="005E6242" w:rsidRPr="00B4582E">
        <w:t>-</w:t>
      </w:r>
      <w:r w:rsidR="005E6242" w:rsidRPr="00B4582E">
        <w:tab/>
        <w:t xml:space="preserve">If CenturyLink QC determines that its actions/practices that led to the complaint are not in accord with applicable statutes and practices, it will attempt to resolve the problem (i.e., service credits, service repair, etc.)    </w:t>
      </w:r>
    </w:p>
    <w:p w:rsidR="00B51A4A" w:rsidRDefault="00CF12D8" w:rsidP="00CF12D8">
      <w:pPr>
        <w:tabs>
          <w:tab w:val="left" w:pos="720"/>
          <w:tab w:val="left" w:pos="1440"/>
          <w:tab w:val="left" w:pos="1800"/>
        </w:tabs>
        <w:spacing w:after="120"/>
        <w:ind w:left="1800" w:hanging="1800"/>
      </w:pPr>
      <w:r>
        <w:tab/>
      </w:r>
      <w:r>
        <w:tab/>
      </w:r>
      <w:r w:rsidR="005E6242" w:rsidRPr="00B4582E">
        <w:t>-</w:t>
      </w:r>
      <w:r w:rsidR="005E6242" w:rsidRPr="00B4582E">
        <w:tab/>
        <w:t xml:space="preserve">If CenturyLink QC determines that its actions/practices that led to the complaint are not in accord with applicable statutes and practices, and it is a systemic problem, it will notify the appropriate CenturyLink QC business/operation unit to take corrective action to fix the deficient or defective systems or processes.     </w:t>
      </w:r>
    </w:p>
    <w:p w:rsidR="00B51A4A" w:rsidRPr="00B4582E" w:rsidRDefault="00CF12D8" w:rsidP="00CF12D8">
      <w:pPr>
        <w:tabs>
          <w:tab w:val="left" w:pos="720"/>
          <w:tab w:val="left" w:pos="1440"/>
          <w:tab w:val="left" w:pos="1800"/>
        </w:tabs>
        <w:ind w:left="1800" w:hanging="1800"/>
      </w:pPr>
      <w:r>
        <w:tab/>
      </w:r>
      <w:r>
        <w:tab/>
      </w:r>
      <w:r w:rsidR="005E6242" w:rsidRPr="00B4582E">
        <w:t>-</w:t>
      </w:r>
      <w:r w:rsidR="005E6242" w:rsidRPr="00B4582E">
        <w:tab/>
        <w:t>In any event, CenturyLink QC always works closely with the regulating agencies to quickly resolve customer’s service-affecting issues.</w:t>
      </w:r>
    </w:p>
    <w:p w:rsidR="00443B7E" w:rsidRPr="00B4582E" w:rsidRDefault="00443B7E" w:rsidP="00537FAD">
      <w:pPr>
        <w:pStyle w:val="msonospacing0"/>
      </w:pPr>
    </w:p>
    <w:p w:rsidR="00CF12D8" w:rsidRDefault="00CF12D8" w:rsidP="00CF12D8">
      <w:pPr>
        <w:keepNext/>
        <w:keepLines/>
        <w:tabs>
          <w:tab w:val="left" w:pos="720"/>
        </w:tabs>
        <w:ind w:left="1440" w:hanging="1440"/>
      </w:pPr>
      <w:r>
        <w:tab/>
      </w:r>
      <w:r>
        <w:rPr>
          <w:b/>
        </w:rPr>
        <w:t>(5)</w:t>
      </w:r>
      <w:r>
        <w:rPr>
          <w:b/>
        </w:rPr>
        <w:tab/>
      </w:r>
      <w:r w:rsidR="005E6242" w:rsidRPr="00B4582E">
        <w:rPr>
          <w:b/>
          <w:bCs/>
        </w:rPr>
        <w:t>Certification of compliance with applicable service quality standards.</w:t>
      </w:r>
      <w:r w:rsidR="005E6242" w:rsidRPr="00B4582E">
        <w:t xml:space="preserve">  </w:t>
      </w:r>
    </w:p>
    <w:p w:rsidR="00CF12D8" w:rsidRDefault="00CF12D8" w:rsidP="00CF12D8">
      <w:pPr>
        <w:keepNext/>
        <w:keepLines/>
        <w:tabs>
          <w:tab w:val="left" w:pos="720"/>
        </w:tabs>
        <w:ind w:left="1440" w:hanging="1440"/>
      </w:pPr>
    </w:p>
    <w:p w:rsidR="00B51A4A" w:rsidRDefault="00CF12D8" w:rsidP="00CF12D8">
      <w:pPr>
        <w:keepNext/>
        <w:keepLines/>
        <w:tabs>
          <w:tab w:val="left" w:pos="720"/>
        </w:tabs>
        <w:ind w:left="1440" w:hanging="1440"/>
      </w:pPr>
      <w:r>
        <w:tab/>
      </w:r>
      <w:r>
        <w:tab/>
      </w:r>
      <w:r w:rsidR="005E6242" w:rsidRPr="00B4582E">
        <w:t>Certify that it met substantially the applicable service quality standard found in WAC 480-123-030 (1)(h).</w:t>
      </w:r>
    </w:p>
    <w:p w:rsidR="00CF12D8" w:rsidRDefault="00CF12D8" w:rsidP="00CF12D8">
      <w:pPr>
        <w:tabs>
          <w:tab w:val="left" w:pos="720"/>
        </w:tabs>
        <w:ind w:left="1440" w:hanging="1440"/>
      </w:pPr>
    </w:p>
    <w:p w:rsidR="00B51A4A" w:rsidRDefault="00CF12D8" w:rsidP="00CF12D8">
      <w:pPr>
        <w:tabs>
          <w:tab w:val="left" w:pos="720"/>
        </w:tabs>
        <w:ind w:left="1440" w:hanging="1440"/>
      </w:pPr>
      <w:r>
        <w:tab/>
      </w:r>
      <w:r>
        <w:tab/>
      </w:r>
      <w:r w:rsidR="005E6242" w:rsidRPr="00B4582E">
        <w:rPr>
          <w:b/>
          <w:bCs/>
        </w:rPr>
        <w:t xml:space="preserve">Response:  </w:t>
      </w:r>
      <w:r w:rsidR="005E6242" w:rsidRPr="00B4582E">
        <w:rPr>
          <w:bCs/>
        </w:rPr>
        <w:t>For the calendar year 201</w:t>
      </w:r>
      <w:r w:rsidR="00837956">
        <w:rPr>
          <w:bCs/>
        </w:rPr>
        <w:t>5</w:t>
      </w:r>
      <w:r w:rsidR="005E6242" w:rsidRPr="00B4582E">
        <w:rPr>
          <w:bCs/>
        </w:rPr>
        <w:t>,</w:t>
      </w:r>
      <w:r w:rsidR="00B4582E">
        <w:rPr>
          <w:b/>
          <w:bCs/>
        </w:rPr>
        <w:t xml:space="preserve"> </w:t>
      </w:r>
      <w:r w:rsidR="005E6242" w:rsidRPr="00B4582E">
        <w:t xml:space="preserve">CenturyLink QC certifies that it substantially met the applicable service quality standards found in WAC 480-123-030 (1)(h).  CenturyLink QC’s officer certification for this </w:t>
      </w:r>
      <w:r w:rsidR="005E6242" w:rsidRPr="0061506D">
        <w:t>section is in Attachment A.</w:t>
      </w:r>
    </w:p>
    <w:p w:rsidR="00CF12D8" w:rsidRDefault="00CF12D8" w:rsidP="00CF12D8">
      <w:pPr>
        <w:tabs>
          <w:tab w:val="left" w:pos="720"/>
        </w:tabs>
        <w:ind w:left="1440" w:hanging="1440"/>
      </w:pPr>
    </w:p>
    <w:p w:rsidR="00CF12D8" w:rsidRDefault="00CF12D8" w:rsidP="00CF12D8">
      <w:pPr>
        <w:tabs>
          <w:tab w:val="left" w:pos="720"/>
        </w:tabs>
        <w:ind w:left="1440" w:hanging="1440"/>
      </w:pPr>
      <w:r>
        <w:tab/>
      </w:r>
      <w:r w:rsidR="005E6242" w:rsidRPr="00CF12D8">
        <w:rPr>
          <w:b/>
        </w:rPr>
        <w:t>(6)</w:t>
      </w:r>
      <w:r>
        <w:rPr>
          <w:b/>
        </w:rPr>
        <w:tab/>
      </w:r>
      <w:r w:rsidR="005E6242" w:rsidRPr="00B4582E">
        <w:rPr>
          <w:b/>
          <w:bCs/>
        </w:rPr>
        <w:t>Certification of ability to function in emergency situations.</w:t>
      </w:r>
    </w:p>
    <w:p w:rsidR="00CF12D8" w:rsidRDefault="00CF12D8" w:rsidP="00CF12D8">
      <w:pPr>
        <w:tabs>
          <w:tab w:val="left" w:pos="720"/>
        </w:tabs>
        <w:ind w:left="1440" w:hanging="1440"/>
      </w:pPr>
    </w:p>
    <w:p w:rsidR="00B51A4A" w:rsidRDefault="00CF12D8" w:rsidP="00CF12D8">
      <w:pPr>
        <w:tabs>
          <w:tab w:val="left" w:pos="720"/>
        </w:tabs>
        <w:ind w:left="1440" w:hanging="1440"/>
      </w:pPr>
      <w:r>
        <w:tab/>
      </w:r>
      <w:r>
        <w:tab/>
      </w:r>
      <w:r w:rsidR="005E6242" w:rsidRPr="00B4582E">
        <w:t>Certify that it had the ability to function in emergency situations based on continued adherence to the standards found in WAC 480-123-030 (1)(g).</w:t>
      </w:r>
    </w:p>
    <w:p w:rsidR="00CF12D8" w:rsidRDefault="00CF12D8" w:rsidP="00CF12D8">
      <w:pPr>
        <w:tabs>
          <w:tab w:val="left" w:pos="720"/>
        </w:tabs>
        <w:ind w:left="1440" w:hanging="1440"/>
      </w:pPr>
    </w:p>
    <w:p w:rsidR="00B51A4A" w:rsidRDefault="00CF12D8" w:rsidP="00CF12D8">
      <w:pPr>
        <w:tabs>
          <w:tab w:val="left" w:pos="720"/>
        </w:tabs>
        <w:ind w:left="1440" w:hanging="1440"/>
      </w:pPr>
      <w:r>
        <w:tab/>
      </w:r>
      <w:r>
        <w:tab/>
      </w:r>
      <w:r w:rsidR="005E6242" w:rsidRPr="00B4582E">
        <w:rPr>
          <w:b/>
          <w:bCs/>
        </w:rPr>
        <w:t xml:space="preserve">Response:  </w:t>
      </w:r>
      <w:r w:rsidR="005E6242" w:rsidRPr="00B4582E">
        <w:t xml:space="preserve">CenturyLink QC certifies that in </w:t>
      </w:r>
      <w:r w:rsidR="00B4582E" w:rsidRPr="00B4582E">
        <w:t>201</w:t>
      </w:r>
      <w:r w:rsidR="00837956">
        <w:t>5</w:t>
      </w:r>
      <w:r w:rsidR="00B4582E" w:rsidRPr="00B4582E">
        <w:t xml:space="preserve"> </w:t>
      </w:r>
      <w:r w:rsidR="005E6242" w:rsidRPr="00B4582E">
        <w:t xml:space="preserve">it had the ability to function in emergency situations based on continued adherence to the standards found in WAC 480-123-030 (1)(g).  CenturyLink QC’s officer certification for this section is </w:t>
      </w:r>
      <w:r w:rsidR="005E6242" w:rsidRPr="0061506D">
        <w:t>in Attachment A.</w:t>
      </w:r>
    </w:p>
    <w:p w:rsidR="00CF12D8" w:rsidRDefault="00CF12D8" w:rsidP="00CF12D8">
      <w:pPr>
        <w:tabs>
          <w:tab w:val="left" w:pos="720"/>
        </w:tabs>
        <w:ind w:left="1440" w:hanging="1440"/>
      </w:pPr>
    </w:p>
    <w:p w:rsidR="00CF12D8" w:rsidRDefault="00CF12D8" w:rsidP="00CF12D8">
      <w:pPr>
        <w:tabs>
          <w:tab w:val="left" w:pos="720"/>
        </w:tabs>
        <w:ind w:left="1440" w:hanging="1440"/>
      </w:pPr>
      <w:r>
        <w:tab/>
      </w:r>
      <w:r w:rsidR="005E6242" w:rsidRPr="00CF12D8">
        <w:rPr>
          <w:b/>
        </w:rPr>
        <w:t>(7)</w:t>
      </w:r>
      <w:r>
        <w:rPr>
          <w:b/>
        </w:rPr>
        <w:tab/>
      </w:r>
      <w:r w:rsidR="005E6242" w:rsidRPr="00B4582E">
        <w:rPr>
          <w:b/>
          <w:bCs/>
        </w:rPr>
        <w:t>Advertising certification, including advertisement on Indian reservations.</w:t>
      </w:r>
    </w:p>
    <w:p w:rsidR="00CF12D8" w:rsidRDefault="00CF12D8" w:rsidP="00CF12D8">
      <w:pPr>
        <w:tabs>
          <w:tab w:val="left" w:pos="720"/>
        </w:tabs>
        <w:ind w:left="1440" w:hanging="1440"/>
      </w:pPr>
    </w:p>
    <w:p w:rsidR="00B51A4A" w:rsidRDefault="00CF12D8" w:rsidP="00CF12D8">
      <w:pPr>
        <w:tabs>
          <w:tab w:val="left" w:pos="720"/>
        </w:tabs>
        <w:ind w:left="1440" w:hanging="1440"/>
      </w:pPr>
      <w:r>
        <w:tab/>
      </w:r>
      <w:r>
        <w:tab/>
      </w:r>
      <w:r w:rsidR="005E6242" w:rsidRPr="00B4582E">
        <w:t>Certify it has publicized the availability of its applicable telephone assistance programs, such as Lifeline, in a manner reasonably designed to reach those likely to qualify for service, including residents of federally recognized Indian reservations within the ETC's designated service area.  Such publicity should include advertisements likely to reach those who are not current customers of the ETC within its designated service area.</w:t>
      </w:r>
    </w:p>
    <w:p w:rsidR="00CF12D8" w:rsidRDefault="00CF12D8" w:rsidP="00CF12D8">
      <w:pPr>
        <w:tabs>
          <w:tab w:val="left" w:pos="720"/>
        </w:tabs>
        <w:ind w:left="1440" w:hanging="1440"/>
      </w:pPr>
    </w:p>
    <w:p w:rsidR="00B51A4A" w:rsidRDefault="00CF12D8" w:rsidP="00CF12D8">
      <w:pPr>
        <w:tabs>
          <w:tab w:val="left" w:pos="720"/>
        </w:tabs>
        <w:ind w:left="1440" w:hanging="1440"/>
      </w:pPr>
      <w:r>
        <w:tab/>
      </w:r>
      <w:r>
        <w:tab/>
      </w:r>
      <w:r w:rsidR="005E6242" w:rsidRPr="00B4582E">
        <w:rPr>
          <w:b/>
          <w:bCs/>
        </w:rPr>
        <w:t xml:space="preserve">Response:  </w:t>
      </w:r>
      <w:r w:rsidR="005E6242" w:rsidRPr="00B4582E">
        <w:t xml:space="preserve">CenturyLink QC certifies that it has publicized the availability of its </w:t>
      </w:r>
      <w:r w:rsidR="005E6242" w:rsidRPr="0061506D">
        <w:t>applicable telephone assistance programs, CenturyLink QC’s officer certification for this section is in Attachment A.</w:t>
      </w:r>
    </w:p>
    <w:p w:rsidR="005C4701" w:rsidRDefault="005C4701" w:rsidP="00CF12D8">
      <w:pPr>
        <w:tabs>
          <w:tab w:val="left" w:pos="720"/>
        </w:tabs>
        <w:ind w:left="1440" w:hanging="1440"/>
      </w:pPr>
    </w:p>
    <w:p w:rsidR="005C4701" w:rsidRDefault="005C4701" w:rsidP="00CF12D8">
      <w:pPr>
        <w:tabs>
          <w:tab w:val="left" w:pos="720"/>
        </w:tabs>
        <w:ind w:left="1440" w:hanging="1440"/>
      </w:pPr>
      <w:r>
        <w:rPr>
          <w:b/>
        </w:rPr>
        <w:tab/>
      </w:r>
      <w:r w:rsidRPr="00CF12D8">
        <w:rPr>
          <w:b/>
        </w:rPr>
        <w:t>(</w:t>
      </w:r>
      <w:r>
        <w:rPr>
          <w:b/>
        </w:rPr>
        <w:t>8</w:t>
      </w:r>
      <w:r w:rsidRPr="00CF12D8">
        <w:rPr>
          <w:b/>
        </w:rPr>
        <w:t>)</w:t>
      </w:r>
      <w:r>
        <w:rPr>
          <w:b/>
        </w:rPr>
        <w:tab/>
      </w:r>
      <w:r>
        <w:rPr>
          <w:b/>
          <w:bCs/>
        </w:rPr>
        <w:t>Report filing alternatives.</w:t>
      </w:r>
    </w:p>
    <w:p w:rsidR="005C4701" w:rsidRDefault="005C4701" w:rsidP="00CF12D8">
      <w:pPr>
        <w:tabs>
          <w:tab w:val="left" w:pos="720"/>
        </w:tabs>
        <w:ind w:left="1440" w:hanging="1440"/>
      </w:pPr>
      <w:r>
        <w:tab/>
      </w:r>
      <w:r>
        <w:tab/>
      </w:r>
      <w:r>
        <w:tab/>
      </w:r>
    </w:p>
    <w:p w:rsidR="005C4701" w:rsidRDefault="005C4701" w:rsidP="00CF12D8">
      <w:pPr>
        <w:tabs>
          <w:tab w:val="left" w:pos="720"/>
        </w:tabs>
        <w:ind w:left="1440" w:hanging="1440"/>
      </w:pPr>
      <w:r>
        <w:tab/>
      </w:r>
      <w:r>
        <w:tab/>
        <w:t>To the extent the company has filed a report with a federal agency that provides the data requested by the commission, the company can refer to that docket number and the date the information was filed with the commission</w:t>
      </w:r>
      <w:r w:rsidR="00465707">
        <w:t>.</w:t>
      </w:r>
    </w:p>
    <w:p w:rsidR="00CF12D8" w:rsidRDefault="00CF12D8" w:rsidP="00CF12D8">
      <w:pPr>
        <w:tabs>
          <w:tab w:val="left" w:pos="720"/>
        </w:tabs>
        <w:ind w:left="1440" w:hanging="1440"/>
      </w:pPr>
    </w:p>
    <w:p w:rsidR="00565732" w:rsidRPr="00565732" w:rsidRDefault="00565732" w:rsidP="00CF12D8">
      <w:pPr>
        <w:tabs>
          <w:tab w:val="left" w:pos="720"/>
        </w:tabs>
        <w:ind w:left="1440" w:hanging="1440"/>
        <w:rPr>
          <w:b/>
        </w:rPr>
      </w:pPr>
      <w:r>
        <w:tab/>
      </w:r>
      <w:r>
        <w:tab/>
      </w:r>
      <w:r w:rsidRPr="00565732">
        <w:rPr>
          <w:b/>
        </w:rPr>
        <w:t>Response</w:t>
      </w:r>
      <w:r>
        <w:rPr>
          <w:b/>
        </w:rPr>
        <w:t>:</w:t>
      </w:r>
      <w:r w:rsidR="001C12EE">
        <w:rPr>
          <w:b/>
        </w:rPr>
        <w:t xml:space="preserve">  </w:t>
      </w:r>
      <w:r w:rsidR="00E01719">
        <w:t>The</w:t>
      </w:r>
      <w:r w:rsidR="00E01719" w:rsidRPr="00E01719">
        <w:t xml:space="preserve"> data and certifications required by 47 C.F.R. </w:t>
      </w:r>
      <w:r w:rsidR="00E01719">
        <w:t>§54.313 and</w:t>
      </w:r>
      <w:r w:rsidR="00E01719" w:rsidRPr="00E01719">
        <w:t xml:space="preserve"> </w:t>
      </w:r>
      <w:r w:rsidR="00E01719">
        <w:t>§54.422 (Form 481) were</w:t>
      </w:r>
      <w:r w:rsidR="00E01719" w:rsidRPr="00E01719">
        <w:t xml:space="preserve"> filed with the FCC and a copy of that filing was submitted to the Washington Utilities &amp; Transportation Commission</w:t>
      </w:r>
      <w:r w:rsidR="00837956">
        <w:t>.</w:t>
      </w:r>
    </w:p>
    <w:p w:rsidR="00565732" w:rsidRDefault="00565732" w:rsidP="00CF12D8">
      <w:pPr>
        <w:tabs>
          <w:tab w:val="left" w:pos="720"/>
        </w:tabs>
        <w:ind w:left="1440" w:hanging="1440"/>
      </w:pPr>
    </w:p>
    <w:p w:rsidR="00250AF7" w:rsidRDefault="00CF12D8" w:rsidP="00CF12D8">
      <w:pPr>
        <w:tabs>
          <w:tab w:val="left" w:pos="720"/>
        </w:tabs>
        <w:ind w:left="1440" w:hanging="1440"/>
      </w:pPr>
      <w:r>
        <w:rPr>
          <w:b/>
          <w:bCs/>
        </w:rPr>
        <w:t xml:space="preserve">WAC </w:t>
      </w:r>
      <w:r w:rsidR="00443B7E">
        <w:rPr>
          <w:b/>
          <w:bCs/>
        </w:rPr>
        <w:t>480-123-080</w:t>
      </w:r>
      <w:r>
        <w:rPr>
          <w:b/>
          <w:bCs/>
        </w:rPr>
        <w:t xml:space="preserve"> Annual</w:t>
      </w:r>
      <w:r w:rsidR="00443B7E">
        <w:rPr>
          <w:b/>
          <w:bCs/>
        </w:rPr>
        <w:t xml:space="preserve"> plan for universal service support expenditures.</w:t>
      </w:r>
    </w:p>
    <w:p w:rsidR="00CF12D8" w:rsidRDefault="00CF12D8" w:rsidP="00CF12D8">
      <w:pPr>
        <w:tabs>
          <w:tab w:val="left" w:pos="720"/>
        </w:tabs>
        <w:ind w:left="1440" w:hanging="1440"/>
      </w:pPr>
    </w:p>
    <w:p w:rsidR="0059612D" w:rsidRDefault="00443B7E" w:rsidP="00E15BC7">
      <w:r>
        <w:t>(1)</w:t>
      </w:r>
      <w:r w:rsidR="00CF12D8">
        <w:t xml:space="preserve"> </w:t>
      </w:r>
      <w:r w:rsidR="00E15BC7">
        <w:t xml:space="preserve"> Not later than July </w:t>
      </w:r>
      <w:r>
        <w:t>1</w:t>
      </w:r>
      <w:r w:rsidR="00E15BC7" w:rsidRPr="00E15BC7">
        <w:rPr>
          <w:vertAlign w:val="superscript"/>
        </w:rPr>
        <w:t>st</w:t>
      </w:r>
      <w:r w:rsidR="00E15BC7">
        <w:t xml:space="preserve"> </w:t>
      </w:r>
      <w:r>
        <w:t>of each year, every ETC that receives federal support from any category in the feder</w:t>
      </w:r>
      <w:r w:rsidR="00E15BC7">
        <w:t>al high-cost fund must report t</w:t>
      </w:r>
      <w:r>
        <w:t>he planned use of federal support related to Washington state t</w:t>
      </w:r>
      <w:r w:rsidR="00F56122">
        <w:t xml:space="preserve">hat will be received during the </w:t>
      </w:r>
      <w:r w:rsidR="00E15BC7" w:rsidRPr="00F56122">
        <w:t>coming calendar year.  The report must include the company’s planned gross capital expenditures and operating expenses made with federal high-cost support received by the ETC for the coming calendar year along with the description of major projects and affected exchanges.</w:t>
      </w:r>
    </w:p>
    <w:p w:rsidR="004E14F3" w:rsidRDefault="004E14F3" w:rsidP="004E14F3">
      <w:pPr>
        <w:ind w:left="720" w:hanging="720"/>
      </w:pPr>
    </w:p>
    <w:p w:rsidR="004538E6" w:rsidRDefault="00443B7E" w:rsidP="004E14F3">
      <w:r>
        <w:t>(2) The report must include a substantive plan of the investments and expenditures to be made with federal support and a substantive description of how those investments and expenditures will benefit customers.</w:t>
      </w:r>
    </w:p>
    <w:p w:rsidR="004E14F3" w:rsidRDefault="004E14F3" w:rsidP="004E14F3"/>
    <w:p w:rsidR="009042A8" w:rsidRPr="009042A8" w:rsidRDefault="004E14F3" w:rsidP="009042A8">
      <w:pPr>
        <w:ind w:left="720" w:hanging="720"/>
        <w:rPr>
          <w:szCs w:val="22"/>
        </w:rPr>
      </w:pPr>
      <w:r>
        <w:tab/>
      </w:r>
      <w:r w:rsidR="004538E6" w:rsidRPr="004538E6">
        <w:rPr>
          <w:b/>
          <w:bCs/>
        </w:rPr>
        <w:t xml:space="preserve">Response: </w:t>
      </w:r>
      <w:r w:rsidR="004538E6" w:rsidRPr="00646809">
        <w:rPr>
          <w:bCs/>
        </w:rPr>
        <w:t xml:space="preserve"> </w:t>
      </w:r>
      <w:r w:rsidR="009042A8">
        <w:rPr>
          <w:bCs/>
        </w:rPr>
        <w:t xml:space="preserve">See </w:t>
      </w:r>
      <w:r w:rsidR="009042A8" w:rsidRPr="009042A8">
        <w:rPr>
          <w:szCs w:val="22"/>
        </w:rPr>
        <w:t xml:space="preserve">Confidential Exhibit D </w:t>
      </w:r>
      <w:r w:rsidR="009042A8">
        <w:rPr>
          <w:szCs w:val="22"/>
        </w:rPr>
        <w:t xml:space="preserve">and </w:t>
      </w:r>
      <w:r w:rsidR="0052585D">
        <w:rPr>
          <w:szCs w:val="22"/>
        </w:rPr>
        <w:t xml:space="preserve">Confidential Exhibit E </w:t>
      </w:r>
      <w:r w:rsidR="009042A8" w:rsidRPr="009042A8">
        <w:rPr>
          <w:szCs w:val="22"/>
        </w:rPr>
        <w:t>indicat</w:t>
      </w:r>
      <w:r w:rsidR="0052585D">
        <w:rPr>
          <w:szCs w:val="22"/>
        </w:rPr>
        <w:t>ing</w:t>
      </w:r>
      <w:r w:rsidR="009042A8">
        <w:rPr>
          <w:szCs w:val="22"/>
        </w:rPr>
        <w:t xml:space="preserve"> the C</w:t>
      </w:r>
      <w:r w:rsidR="009042A8" w:rsidRPr="009042A8">
        <w:rPr>
          <w:szCs w:val="22"/>
        </w:rPr>
        <w:t xml:space="preserve">ompany’s use of federal </w:t>
      </w:r>
      <w:r w:rsidR="0052585D">
        <w:rPr>
          <w:szCs w:val="22"/>
        </w:rPr>
        <w:t xml:space="preserve">high-cost universal service </w:t>
      </w:r>
      <w:r w:rsidR="009042A8" w:rsidRPr="009042A8">
        <w:rPr>
          <w:szCs w:val="22"/>
        </w:rPr>
        <w:t>support</w:t>
      </w:r>
      <w:r w:rsidR="009042A8">
        <w:rPr>
          <w:szCs w:val="22"/>
        </w:rPr>
        <w:t xml:space="preserve"> received to</w:t>
      </w:r>
      <w:r w:rsidR="009042A8" w:rsidRPr="009042A8">
        <w:rPr>
          <w:szCs w:val="22"/>
        </w:rPr>
        <w:t xml:space="preserve"> sustain and improve network capacity and reliability.  This network capacity and reliability is essential to providing the level of service anticipated in 47 U.S.C. 254 and therefore benefits consumers.</w:t>
      </w:r>
    </w:p>
    <w:p w:rsidR="009042A8" w:rsidRPr="009042A8" w:rsidRDefault="009042A8" w:rsidP="009042A8">
      <w:pPr>
        <w:ind w:left="720" w:hanging="720"/>
        <w:rPr>
          <w:szCs w:val="22"/>
        </w:rPr>
      </w:pPr>
    </w:p>
    <w:p w:rsidR="0052585D" w:rsidRDefault="004E14F3" w:rsidP="004E14F3">
      <w:pPr>
        <w:ind w:left="720" w:hanging="720"/>
      </w:pPr>
      <w:r>
        <w:rPr>
          <w:szCs w:val="22"/>
        </w:rPr>
        <w:tab/>
      </w:r>
      <w:r w:rsidR="00B76676">
        <w:rPr>
          <w:szCs w:val="22"/>
        </w:rPr>
        <w:t>To the extent that CenturyLink does receive</w:t>
      </w:r>
      <w:r w:rsidR="0052585D">
        <w:rPr>
          <w:szCs w:val="22"/>
        </w:rPr>
        <w:t xml:space="preserve"> federal</w:t>
      </w:r>
      <w:r w:rsidR="00B76676">
        <w:rPr>
          <w:szCs w:val="22"/>
        </w:rPr>
        <w:t xml:space="preserve"> high-cost support for the period in question, it will be used to provide services at a level that meets the requirements of </w:t>
      </w:r>
      <w:r w:rsidR="00CF12D8">
        <w:t>47</w:t>
      </w:r>
      <w:r>
        <w:t xml:space="preserve"> </w:t>
      </w:r>
      <w:r w:rsidR="00B76676" w:rsidRPr="0061506D">
        <w:t>U.S.C.</w:t>
      </w:r>
      <w:r>
        <w:t xml:space="preserve"> </w:t>
      </w:r>
      <w:r w:rsidR="00B76676" w:rsidRPr="0061506D">
        <w:t>§</w:t>
      </w:r>
      <w:r>
        <w:t xml:space="preserve"> </w:t>
      </w:r>
      <w:r w:rsidR="00B76676" w:rsidRPr="0061506D">
        <w:t xml:space="preserve">254 addressing the delivery of high quality telecommunication services to customers in the service areas for which it receives said high-cost support.  </w:t>
      </w:r>
    </w:p>
    <w:p w:rsidR="004E14F3" w:rsidRDefault="004E14F3" w:rsidP="004E14F3">
      <w:pPr>
        <w:ind w:left="720" w:hanging="720"/>
      </w:pPr>
    </w:p>
    <w:p w:rsidR="00596F9B" w:rsidRDefault="00596F9B" w:rsidP="00596F9B">
      <w:r w:rsidRPr="00596F9B">
        <w:t>Pursuant to WAC 480-123-060, WAC 480-123-070</w:t>
      </w:r>
      <w:r>
        <w:t xml:space="preserve"> and WAC 480-13-080, </w:t>
      </w:r>
      <w:r w:rsidRPr="00596F9B">
        <w:t>CenturyLink QC (“CenturyLink”) hereby requests that the Washingt</w:t>
      </w:r>
      <w:r w:rsidR="009E0CAE">
        <w:t xml:space="preserve">on Utilities and Transportation </w:t>
      </w:r>
      <w:r w:rsidRPr="00596F9B">
        <w:t>Commission certify that the Company has met the requirements of 47 C</w:t>
      </w:r>
      <w:r w:rsidR="009E0CAE">
        <w:t xml:space="preserve">.F.R. §54.314 for </w:t>
      </w:r>
      <w:r w:rsidRPr="00596F9B">
        <w:t>eligibility for continued receipt of federal high-cost funds.</w:t>
      </w:r>
    </w:p>
    <w:p w:rsidR="00596F9B" w:rsidRDefault="00596F9B" w:rsidP="004E14F3">
      <w:pPr>
        <w:ind w:left="720" w:hanging="720"/>
      </w:pPr>
    </w:p>
    <w:p w:rsidR="00596F9B" w:rsidRDefault="00596F9B" w:rsidP="004E14F3">
      <w:pPr>
        <w:ind w:left="720" w:hanging="720"/>
      </w:pPr>
    </w:p>
    <w:p w:rsidR="00961F98" w:rsidRDefault="00443B7E" w:rsidP="00CF12D8">
      <w:pPr>
        <w:autoSpaceDE w:val="0"/>
        <w:autoSpaceDN w:val="0"/>
        <w:adjustRightInd w:val="0"/>
        <w:rPr>
          <w:rFonts w:ascii="TimesNewRoman" w:hAnsi="TimesNewRoman" w:cs="TimesNewRoman"/>
        </w:rPr>
      </w:pPr>
      <w:r>
        <w:rPr>
          <w:rFonts w:ascii="TimesNewRoman" w:hAnsi="TimesNewRoman" w:cs="TimesNewRoman"/>
        </w:rPr>
        <w:t>Sincerely,</w:t>
      </w:r>
    </w:p>
    <w:p w:rsidR="00443B7E" w:rsidRDefault="00443B7E" w:rsidP="00CF12D8">
      <w:pPr>
        <w:autoSpaceDE w:val="0"/>
        <w:autoSpaceDN w:val="0"/>
        <w:adjustRightInd w:val="0"/>
        <w:rPr>
          <w:rFonts w:ascii="TimesNewRoman" w:hAnsi="TimesNewRoman" w:cs="TimesNewRoman"/>
        </w:rPr>
      </w:pPr>
    </w:p>
    <w:p w:rsidR="00443B7E" w:rsidRDefault="00443B7E" w:rsidP="00CF12D8">
      <w:pPr>
        <w:autoSpaceDE w:val="0"/>
        <w:autoSpaceDN w:val="0"/>
        <w:adjustRightInd w:val="0"/>
        <w:rPr>
          <w:rFonts w:ascii="TimesNewRoman" w:hAnsi="TimesNewRoman" w:cs="TimesNewRoman"/>
        </w:rPr>
      </w:pPr>
    </w:p>
    <w:p w:rsidR="00443B7E" w:rsidRDefault="00443B7E" w:rsidP="00CF12D8">
      <w:pPr>
        <w:autoSpaceDE w:val="0"/>
        <w:autoSpaceDN w:val="0"/>
        <w:adjustRightInd w:val="0"/>
        <w:rPr>
          <w:rFonts w:ascii="TimesNewRoman" w:hAnsi="TimesNewRoman" w:cs="TimesNewRoman"/>
        </w:rPr>
      </w:pPr>
    </w:p>
    <w:p w:rsidR="00961F98" w:rsidRDefault="00031C32" w:rsidP="00CF12D8">
      <w:pPr>
        <w:autoSpaceDE w:val="0"/>
        <w:autoSpaceDN w:val="0"/>
        <w:adjustRightInd w:val="0"/>
        <w:rPr>
          <w:rFonts w:ascii="TimesNewRoman" w:hAnsi="TimesNewRoman" w:cs="TimesNewRoman"/>
        </w:rPr>
      </w:pPr>
      <w:r>
        <w:rPr>
          <w:rFonts w:ascii="TimesNewRoman" w:hAnsi="TimesNewRoman" w:cs="TimesNewRoman"/>
        </w:rPr>
        <w:t>Philip E. Grate</w:t>
      </w:r>
    </w:p>
    <w:p w:rsidR="00443B7E" w:rsidRDefault="00443B7E" w:rsidP="00E44126"/>
    <w:p w:rsidR="00CF12D8" w:rsidRPr="00CF12D8" w:rsidRDefault="0060569A" w:rsidP="00E44126">
      <w:pPr>
        <w:rPr>
          <w:sz w:val="20"/>
          <w:szCs w:val="20"/>
        </w:rPr>
      </w:pPr>
      <w:r>
        <w:rPr>
          <w:sz w:val="20"/>
          <w:szCs w:val="20"/>
        </w:rPr>
        <w:t>PEG/</w:t>
      </w:r>
      <w:proofErr w:type="spellStart"/>
      <w:r>
        <w:rPr>
          <w:sz w:val="20"/>
          <w:szCs w:val="20"/>
        </w:rPr>
        <w:t>mer</w:t>
      </w:r>
      <w:proofErr w:type="spellEnd"/>
    </w:p>
    <w:p w:rsidR="00CF12D8" w:rsidRPr="0020493D" w:rsidRDefault="004E14F3" w:rsidP="00E44126">
      <w:pPr>
        <w:rPr>
          <w:rStyle w:val="Emphasis"/>
        </w:rPr>
      </w:pPr>
      <w:r>
        <w:t>Attachments</w:t>
      </w:r>
    </w:p>
    <w:sectPr w:rsidR="00CF12D8" w:rsidRPr="0020493D" w:rsidSect="00681B7A">
      <w:headerReference w:type="default" r:id="rId8"/>
      <w:footerReference w:type="default" r:id="rId9"/>
      <w:footerReference w:type="first" r:id="rId10"/>
      <w:pgSz w:w="12240" w:h="15840" w:code="1"/>
      <w:pgMar w:top="1440" w:right="1800" w:bottom="1440" w:left="1800" w:header="720" w:footer="720" w:gutter="0"/>
      <w:paperSrc w:first="258" w:other="25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80A" w:rsidRDefault="00F7580A">
      <w:r>
        <w:separator/>
      </w:r>
    </w:p>
  </w:endnote>
  <w:endnote w:type="continuationSeparator" w:id="0">
    <w:p w:rsidR="00F7580A" w:rsidRDefault="00F758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956" w:rsidRPr="000F50FB" w:rsidRDefault="00837956" w:rsidP="000F50FB">
    <w:pPr>
      <w:pStyle w:val="Footer"/>
      <w:jc w:val="center"/>
      <w:rPr>
        <w:b/>
        <w:smallCaps/>
      </w:rPr>
    </w:pPr>
    <w:r w:rsidRPr="000F50FB">
      <w:rPr>
        <w:b/>
        <w:smallCaps/>
      </w:rPr>
      <w:t>Confidential Pursuant to WAC 480-07-160</w:t>
    </w:r>
    <w:r w:rsidR="0052585D">
      <w:rPr>
        <w:b/>
        <w:smallCaps/>
      </w:rPr>
      <w:t xml:space="preserve"> &amp; RCW 80.04.095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956" w:rsidRPr="000F50FB" w:rsidRDefault="00837956" w:rsidP="000F50FB">
    <w:pPr>
      <w:pStyle w:val="Footer"/>
      <w:jc w:val="center"/>
      <w:rPr>
        <w:b/>
        <w:smallCaps/>
      </w:rPr>
    </w:pPr>
    <w:r w:rsidRPr="000F50FB">
      <w:rPr>
        <w:b/>
        <w:smallCaps/>
      </w:rPr>
      <w:t>Confidential Pursuant to WAC 480-07-160</w:t>
    </w:r>
    <w:r w:rsidR="00915F4F">
      <w:rPr>
        <w:b/>
        <w:smallCaps/>
      </w:rPr>
      <w:t xml:space="preserve"> &amp; RCW 80.04.095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80A" w:rsidRDefault="00F7580A">
      <w:r>
        <w:separator/>
      </w:r>
    </w:p>
  </w:footnote>
  <w:footnote w:type="continuationSeparator" w:id="0">
    <w:p w:rsidR="00F7580A" w:rsidRDefault="00F758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956" w:rsidRDefault="00837956">
    <w:pPr>
      <w:pStyle w:val="Header"/>
    </w:pPr>
    <w:r>
      <w:t>Mr. Steve V. King</w:t>
    </w:r>
  </w:p>
  <w:p w:rsidR="00837956" w:rsidRDefault="007E7076">
    <w:pPr>
      <w:pStyle w:val="Header"/>
    </w:pPr>
    <w:r>
      <w:t>Ju</w:t>
    </w:r>
    <w:r w:rsidR="00596F9B">
      <w:t>ly</w:t>
    </w:r>
    <w:r>
      <w:t xml:space="preserve"> </w:t>
    </w:r>
    <w:r w:rsidR="00031C32">
      <w:t>22</w:t>
    </w:r>
    <w:r w:rsidR="00837956">
      <w:t>, 2016</w:t>
    </w:r>
  </w:p>
  <w:p w:rsidR="00837956" w:rsidRDefault="00837956">
    <w:pPr>
      <w:pStyle w:val="Header"/>
      <w:rPr>
        <w:rStyle w:val="PageNumber"/>
      </w:rPr>
    </w:pPr>
    <w:r>
      <w:t xml:space="preserve">Page </w:t>
    </w:r>
    <w:r w:rsidR="00897973">
      <w:rPr>
        <w:rStyle w:val="PageNumber"/>
      </w:rPr>
      <w:fldChar w:fldCharType="begin"/>
    </w:r>
    <w:r>
      <w:rPr>
        <w:rStyle w:val="PageNumber"/>
      </w:rPr>
      <w:instrText xml:space="preserve"> PAGE </w:instrText>
    </w:r>
    <w:r w:rsidR="00897973">
      <w:rPr>
        <w:rStyle w:val="PageNumber"/>
      </w:rPr>
      <w:fldChar w:fldCharType="separate"/>
    </w:r>
    <w:r w:rsidR="004705C4">
      <w:rPr>
        <w:rStyle w:val="PageNumber"/>
        <w:noProof/>
      </w:rPr>
      <w:t>6</w:t>
    </w:r>
    <w:r w:rsidR="00897973">
      <w:rPr>
        <w:rStyle w:val="PageNumber"/>
      </w:rPr>
      <w:fldChar w:fldCharType="end"/>
    </w:r>
  </w:p>
  <w:p w:rsidR="00837956" w:rsidRDefault="00837956">
    <w:pPr>
      <w:pStyle w:val="Header"/>
    </w:pPr>
  </w:p>
  <w:p w:rsidR="00837956" w:rsidRDefault="008379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25DA8"/>
    <w:multiLevelType w:val="hybridMultilevel"/>
    <w:tmpl w:val="DE829FB4"/>
    <w:lvl w:ilvl="0" w:tplc="92AE9BE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3E755084"/>
    <w:multiLevelType w:val="hybridMultilevel"/>
    <w:tmpl w:val="84ECDDB2"/>
    <w:lvl w:ilvl="0" w:tplc="7F78BBB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B4EC41C8">
      <w:start w:val="1"/>
      <w:numFmt w:val="lowerRoman"/>
      <w:lvlText w:val="(%3)"/>
      <w:lvlJc w:val="right"/>
      <w:pPr>
        <w:ind w:left="3240" w:hanging="180"/>
      </w:pPr>
      <w:rPr>
        <w:rFonts w:ascii="Times New Roman" w:eastAsia="Times New Roman" w:hAnsi="Times New Roman" w:cs="Times New Roman"/>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58C55B3"/>
    <w:multiLevelType w:val="hybridMultilevel"/>
    <w:tmpl w:val="36F26476"/>
    <w:lvl w:ilvl="0" w:tplc="3222BB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0004"/>
  <w:defaultTabStop w:val="720"/>
  <w:characterSpacingControl w:val="doNotCompress"/>
  <w:footnotePr>
    <w:footnote w:id="-1"/>
    <w:footnote w:id="0"/>
  </w:footnotePr>
  <w:endnotePr>
    <w:endnote w:id="-1"/>
    <w:endnote w:id="0"/>
  </w:endnotePr>
  <w:compat/>
  <w:rsids>
    <w:rsidRoot w:val="007006AE"/>
    <w:rsid w:val="000055C6"/>
    <w:rsid w:val="00011416"/>
    <w:rsid w:val="00031C32"/>
    <w:rsid w:val="00050465"/>
    <w:rsid w:val="0005712E"/>
    <w:rsid w:val="000602D0"/>
    <w:rsid w:val="00072D52"/>
    <w:rsid w:val="00073E5E"/>
    <w:rsid w:val="0008412A"/>
    <w:rsid w:val="00091438"/>
    <w:rsid w:val="00097727"/>
    <w:rsid w:val="000C1696"/>
    <w:rsid w:val="000C30C4"/>
    <w:rsid w:val="000D5044"/>
    <w:rsid w:val="000E141E"/>
    <w:rsid w:val="000E34EE"/>
    <w:rsid w:val="000F3018"/>
    <w:rsid w:val="000F50FB"/>
    <w:rsid w:val="00102CA7"/>
    <w:rsid w:val="0014224A"/>
    <w:rsid w:val="00184EFB"/>
    <w:rsid w:val="001863DF"/>
    <w:rsid w:val="001868EC"/>
    <w:rsid w:val="001C0BBA"/>
    <w:rsid w:val="001C12EE"/>
    <w:rsid w:val="001C5424"/>
    <w:rsid w:val="001D567D"/>
    <w:rsid w:val="001D5E8A"/>
    <w:rsid w:val="001D6FF4"/>
    <w:rsid w:val="001E2168"/>
    <w:rsid w:val="0020493D"/>
    <w:rsid w:val="00206845"/>
    <w:rsid w:val="0021679E"/>
    <w:rsid w:val="00233C02"/>
    <w:rsid w:val="00242A03"/>
    <w:rsid w:val="00250AF7"/>
    <w:rsid w:val="00271D91"/>
    <w:rsid w:val="0028154D"/>
    <w:rsid w:val="002937F5"/>
    <w:rsid w:val="00295B54"/>
    <w:rsid w:val="002A285F"/>
    <w:rsid w:val="002A7BF6"/>
    <w:rsid w:val="002B7DD5"/>
    <w:rsid w:val="002D1E71"/>
    <w:rsid w:val="002E5FFC"/>
    <w:rsid w:val="0030495C"/>
    <w:rsid w:val="0033632B"/>
    <w:rsid w:val="0036068B"/>
    <w:rsid w:val="00370E2F"/>
    <w:rsid w:val="0037637F"/>
    <w:rsid w:val="003A523A"/>
    <w:rsid w:val="003D28CD"/>
    <w:rsid w:val="003F37DF"/>
    <w:rsid w:val="003F5CAD"/>
    <w:rsid w:val="00402A7D"/>
    <w:rsid w:val="00406089"/>
    <w:rsid w:val="00413135"/>
    <w:rsid w:val="004159BA"/>
    <w:rsid w:val="004305E5"/>
    <w:rsid w:val="00431ADA"/>
    <w:rsid w:val="00433E96"/>
    <w:rsid w:val="00434252"/>
    <w:rsid w:val="00443B7E"/>
    <w:rsid w:val="004538E6"/>
    <w:rsid w:val="00465707"/>
    <w:rsid w:val="004705C4"/>
    <w:rsid w:val="004715E0"/>
    <w:rsid w:val="004A56CE"/>
    <w:rsid w:val="004A6820"/>
    <w:rsid w:val="004B0AFC"/>
    <w:rsid w:val="004E14F3"/>
    <w:rsid w:val="004E362E"/>
    <w:rsid w:val="004E4F1F"/>
    <w:rsid w:val="0050321C"/>
    <w:rsid w:val="0052585D"/>
    <w:rsid w:val="00532CB5"/>
    <w:rsid w:val="00533B11"/>
    <w:rsid w:val="00537FAD"/>
    <w:rsid w:val="00544CBD"/>
    <w:rsid w:val="005530F4"/>
    <w:rsid w:val="00561354"/>
    <w:rsid w:val="00565732"/>
    <w:rsid w:val="00580CEB"/>
    <w:rsid w:val="005818BC"/>
    <w:rsid w:val="0059612D"/>
    <w:rsid w:val="00596F9B"/>
    <w:rsid w:val="005C4701"/>
    <w:rsid w:val="005E6242"/>
    <w:rsid w:val="005E6894"/>
    <w:rsid w:val="005F2534"/>
    <w:rsid w:val="0060569A"/>
    <w:rsid w:val="0061506D"/>
    <w:rsid w:val="00615D35"/>
    <w:rsid w:val="006273BC"/>
    <w:rsid w:val="00646809"/>
    <w:rsid w:val="00654011"/>
    <w:rsid w:val="00681B7A"/>
    <w:rsid w:val="006B02D9"/>
    <w:rsid w:val="006F2824"/>
    <w:rsid w:val="007006AE"/>
    <w:rsid w:val="00710BC5"/>
    <w:rsid w:val="00733BCC"/>
    <w:rsid w:val="007410E4"/>
    <w:rsid w:val="00743774"/>
    <w:rsid w:val="0075038A"/>
    <w:rsid w:val="00752D0D"/>
    <w:rsid w:val="00766B33"/>
    <w:rsid w:val="00774C4E"/>
    <w:rsid w:val="007C1EFD"/>
    <w:rsid w:val="007E2EC2"/>
    <w:rsid w:val="007E7076"/>
    <w:rsid w:val="00837956"/>
    <w:rsid w:val="00842BE6"/>
    <w:rsid w:val="0084431C"/>
    <w:rsid w:val="00870DE8"/>
    <w:rsid w:val="00874637"/>
    <w:rsid w:val="00883F0F"/>
    <w:rsid w:val="00897973"/>
    <w:rsid w:val="008A0E5F"/>
    <w:rsid w:val="008D7BFD"/>
    <w:rsid w:val="008F6103"/>
    <w:rsid w:val="009042A8"/>
    <w:rsid w:val="00915F4F"/>
    <w:rsid w:val="00926438"/>
    <w:rsid w:val="00933DEB"/>
    <w:rsid w:val="00961F98"/>
    <w:rsid w:val="00975852"/>
    <w:rsid w:val="00975C11"/>
    <w:rsid w:val="0098282F"/>
    <w:rsid w:val="009A38B9"/>
    <w:rsid w:val="009C6C46"/>
    <w:rsid w:val="009D7A0F"/>
    <w:rsid w:val="009E0CAE"/>
    <w:rsid w:val="009E5A6E"/>
    <w:rsid w:val="00A0000A"/>
    <w:rsid w:val="00A17DB5"/>
    <w:rsid w:val="00A24714"/>
    <w:rsid w:val="00A324A3"/>
    <w:rsid w:val="00A348D7"/>
    <w:rsid w:val="00A418D5"/>
    <w:rsid w:val="00A435D6"/>
    <w:rsid w:val="00A44403"/>
    <w:rsid w:val="00A700C3"/>
    <w:rsid w:val="00A7074B"/>
    <w:rsid w:val="00A912E4"/>
    <w:rsid w:val="00A91D25"/>
    <w:rsid w:val="00A954EA"/>
    <w:rsid w:val="00AD1D38"/>
    <w:rsid w:val="00AF564E"/>
    <w:rsid w:val="00AF5DD1"/>
    <w:rsid w:val="00B00B76"/>
    <w:rsid w:val="00B05899"/>
    <w:rsid w:val="00B07CEA"/>
    <w:rsid w:val="00B1307E"/>
    <w:rsid w:val="00B241A9"/>
    <w:rsid w:val="00B4582E"/>
    <w:rsid w:val="00B51A4A"/>
    <w:rsid w:val="00B54E64"/>
    <w:rsid w:val="00B76676"/>
    <w:rsid w:val="00B870E8"/>
    <w:rsid w:val="00BB02BE"/>
    <w:rsid w:val="00BD08C4"/>
    <w:rsid w:val="00BD4EFC"/>
    <w:rsid w:val="00BD7538"/>
    <w:rsid w:val="00C15341"/>
    <w:rsid w:val="00C204C4"/>
    <w:rsid w:val="00C377FF"/>
    <w:rsid w:val="00C64F8D"/>
    <w:rsid w:val="00C72FC0"/>
    <w:rsid w:val="00C75B3C"/>
    <w:rsid w:val="00C84DE8"/>
    <w:rsid w:val="00CB2C79"/>
    <w:rsid w:val="00CB62DB"/>
    <w:rsid w:val="00CC19AF"/>
    <w:rsid w:val="00CC3BB2"/>
    <w:rsid w:val="00CE64A3"/>
    <w:rsid w:val="00CE64D2"/>
    <w:rsid w:val="00CF12D8"/>
    <w:rsid w:val="00D06373"/>
    <w:rsid w:val="00D16202"/>
    <w:rsid w:val="00D302DC"/>
    <w:rsid w:val="00D3384F"/>
    <w:rsid w:val="00D4206A"/>
    <w:rsid w:val="00D43993"/>
    <w:rsid w:val="00D44B7A"/>
    <w:rsid w:val="00D577DB"/>
    <w:rsid w:val="00D85929"/>
    <w:rsid w:val="00D9256C"/>
    <w:rsid w:val="00DA122F"/>
    <w:rsid w:val="00DC12A6"/>
    <w:rsid w:val="00DD2211"/>
    <w:rsid w:val="00DF757F"/>
    <w:rsid w:val="00E01719"/>
    <w:rsid w:val="00E01F07"/>
    <w:rsid w:val="00E15BC7"/>
    <w:rsid w:val="00E16315"/>
    <w:rsid w:val="00E21D3D"/>
    <w:rsid w:val="00E44126"/>
    <w:rsid w:val="00E44AF4"/>
    <w:rsid w:val="00E510FC"/>
    <w:rsid w:val="00E529FC"/>
    <w:rsid w:val="00E63134"/>
    <w:rsid w:val="00E64754"/>
    <w:rsid w:val="00EE137B"/>
    <w:rsid w:val="00F56122"/>
    <w:rsid w:val="00F7580A"/>
    <w:rsid w:val="00F81A15"/>
    <w:rsid w:val="00F90410"/>
    <w:rsid w:val="00F91229"/>
    <w:rsid w:val="00FA180C"/>
    <w:rsid w:val="00FA78A3"/>
    <w:rsid w:val="00FC6CD6"/>
    <w:rsid w:val="00FE1010"/>
    <w:rsid w:val="00FE7BFE"/>
    <w:rsid w:val="00FF2C7D"/>
    <w:rsid w:val="00FF5A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1B7A"/>
    <w:rPr>
      <w:sz w:val="24"/>
      <w:szCs w:val="24"/>
    </w:rPr>
  </w:style>
  <w:style w:type="paragraph" w:styleId="Heading1">
    <w:name w:val="heading 1"/>
    <w:basedOn w:val="Normal"/>
    <w:next w:val="Normal"/>
    <w:qFormat/>
    <w:rsid w:val="00681B7A"/>
    <w:pPr>
      <w:keepNext/>
      <w:outlineLvl w:val="0"/>
    </w:pPr>
    <w:rPr>
      <w:rFonts w:ascii="Times" w:hAnsi="Times"/>
      <w:vanish/>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basedOn w:val="Normal"/>
    <w:rsid w:val="00681B7A"/>
  </w:style>
  <w:style w:type="paragraph" w:styleId="BalloonText">
    <w:name w:val="Balloon Text"/>
    <w:basedOn w:val="Normal"/>
    <w:semiHidden/>
    <w:rsid w:val="00681B7A"/>
    <w:rPr>
      <w:rFonts w:ascii="Tahoma" w:hAnsi="Tahoma" w:cs="Tahoma"/>
      <w:sz w:val="16"/>
      <w:szCs w:val="16"/>
    </w:rPr>
  </w:style>
  <w:style w:type="paragraph" w:styleId="Header">
    <w:name w:val="header"/>
    <w:basedOn w:val="Normal"/>
    <w:link w:val="HeaderChar"/>
    <w:rsid w:val="00681B7A"/>
    <w:pPr>
      <w:tabs>
        <w:tab w:val="center" w:pos="4320"/>
        <w:tab w:val="right" w:pos="8640"/>
      </w:tabs>
    </w:pPr>
  </w:style>
  <w:style w:type="paragraph" w:styleId="Footer">
    <w:name w:val="footer"/>
    <w:basedOn w:val="Normal"/>
    <w:rsid w:val="00681B7A"/>
    <w:pPr>
      <w:tabs>
        <w:tab w:val="center" w:pos="4320"/>
        <w:tab w:val="right" w:pos="8640"/>
      </w:tabs>
    </w:pPr>
  </w:style>
  <w:style w:type="character" w:styleId="PageNumber">
    <w:name w:val="page number"/>
    <w:basedOn w:val="DefaultParagraphFont"/>
    <w:rsid w:val="00681B7A"/>
  </w:style>
  <w:style w:type="paragraph" w:customStyle="1" w:styleId="2ndlineAttA">
    <w:name w:val="2nd line Att. A"/>
    <w:basedOn w:val="Normal"/>
    <w:rsid w:val="00681B7A"/>
    <w:pPr>
      <w:tabs>
        <w:tab w:val="left" w:pos="1260"/>
        <w:tab w:val="left" w:pos="3860"/>
        <w:tab w:val="left" w:pos="6840"/>
        <w:tab w:val="left" w:pos="8000"/>
      </w:tabs>
    </w:pPr>
    <w:rPr>
      <w:rFonts w:ascii="Times" w:hAnsi="Times"/>
      <w:szCs w:val="20"/>
    </w:rPr>
  </w:style>
  <w:style w:type="character" w:styleId="FootnoteReference">
    <w:name w:val="footnote reference"/>
    <w:basedOn w:val="DefaultParagraphFont"/>
    <w:semiHidden/>
    <w:rsid w:val="00681B7A"/>
    <w:rPr>
      <w:vertAlign w:val="superscript"/>
    </w:rPr>
  </w:style>
  <w:style w:type="paragraph" w:styleId="BlockText">
    <w:name w:val="Block Text"/>
    <w:basedOn w:val="Normal"/>
    <w:rsid w:val="00681B7A"/>
    <w:pPr>
      <w:spacing w:after="120"/>
      <w:ind w:left="720" w:right="720"/>
    </w:pPr>
  </w:style>
  <w:style w:type="paragraph" w:customStyle="1" w:styleId="StyleBlockTextBold">
    <w:name w:val="Style Block Text + Bold"/>
    <w:basedOn w:val="BlockText"/>
    <w:rsid w:val="00681B7A"/>
    <w:pPr>
      <w:ind w:left="432" w:right="432"/>
    </w:pPr>
    <w:rPr>
      <w:b/>
      <w:bCs/>
    </w:rPr>
  </w:style>
  <w:style w:type="paragraph" w:styleId="ListParagraph">
    <w:name w:val="List Paragraph"/>
    <w:basedOn w:val="Normal"/>
    <w:uiPriority w:val="34"/>
    <w:qFormat/>
    <w:rsid w:val="005E6894"/>
    <w:pPr>
      <w:ind w:left="720"/>
      <w:contextualSpacing/>
    </w:pPr>
  </w:style>
  <w:style w:type="character" w:customStyle="1" w:styleId="HeaderChar">
    <w:name w:val="Header Char"/>
    <w:basedOn w:val="DefaultParagraphFont"/>
    <w:link w:val="Header"/>
    <w:rsid w:val="004E14F3"/>
    <w:rPr>
      <w:sz w:val="24"/>
      <w:szCs w:val="24"/>
    </w:rPr>
  </w:style>
  <w:style w:type="character" w:styleId="Emphasis">
    <w:name w:val="Emphasis"/>
    <w:basedOn w:val="DefaultParagraphFont"/>
    <w:qFormat/>
    <w:rsid w:val="0020493D"/>
    <w:rPr>
      <w:i/>
      <w:iCs/>
    </w:rPr>
  </w:style>
</w:styles>
</file>

<file path=word/webSettings.xml><?xml version="1.0" encoding="utf-8"?>
<w:webSettings xmlns:r="http://schemas.openxmlformats.org/officeDocument/2006/relationships" xmlns:w="http://schemas.openxmlformats.org/wordprocessingml/2006/main">
  <w:divs>
    <w:div w:id="294527305">
      <w:bodyDiv w:val="1"/>
      <w:marLeft w:val="0"/>
      <w:marRight w:val="0"/>
      <w:marTop w:val="0"/>
      <w:marBottom w:val="0"/>
      <w:divBdr>
        <w:top w:val="none" w:sz="0" w:space="0" w:color="auto"/>
        <w:left w:val="none" w:sz="0" w:space="0" w:color="auto"/>
        <w:bottom w:val="none" w:sz="0" w:space="0" w:color="auto"/>
        <w:right w:val="none" w:sz="0" w:space="0" w:color="auto"/>
      </w:divBdr>
    </w:div>
    <w:div w:id="730545655">
      <w:bodyDiv w:val="1"/>
      <w:marLeft w:val="0"/>
      <w:marRight w:val="0"/>
      <w:marTop w:val="0"/>
      <w:marBottom w:val="0"/>
      <w:divBdr>
        <w:top w:val="none" w:sz="0" w:space="0" w:color="auto"/>
        <w:left w:val="none" w:sz="0" w:space="0" w:color="auto"/>
        <w:bottom w:val="none" w:sz="0" w:space="0" w:color="auto"/>
        <w:right w:val="none" w:sz="0" w:space="0" w:color="auto"/>
      </w:divBdr>
    </w:div>
    <w:div w:id="863637195">
      <w:bodyDiv w:val="1"/>
      <w:marLeft w:val="0"/>
      <w:marRight w:val="0"/>
      <w:marTop w:val="0"/>
      <w:marBottom w:val="0"/>
      <w:divBdr>
        <w:top w:val="none" w:sz="0" w:space="0" w:color="auto"/>
        <w:left w:val="none" w:sz="0" w:space="0" w:color="auto"/>
        <w:bottom w:val="none" w:sz="0" w:space="0" w:color="auto"/>
        <w:right w:val="none" w:sz="0" w:space="0" w:color="auto"/>
      </w:divBdr>
    </w:div>
    <w:div w:id="1413504855">
      <w:bodyDiv w:val="1"/>
      <w:marLeft w:val="0"/>
      <w:marRight w:val="0"/>
      <w:marTop w:val="0"/>
      <w:marBottom w:val="0"/>
      <w:divBdr>
        <w:top w:val="none" w:sz="0" w:space="0" w:color="auto"/>
        <w:left w:val="none" w:sz="0" w:space="0" w:color="auto"/>
        <w:bottom w:val="none" w:sz="0" w:space="0" w:color="auto"/>
        <w:right w:val="none" w:sz="0" w:space="0" w:color="auto"/>
      </w:divBdr>
    </w:div>
    <w:div w:id="1448499370">
      <w:bodyDiv w:val="1"/>
      <w:marLeft w:val="0"/>
      <w:marRight w:val="0"/>
      <w:marTop w:val="0"/>
      <w:marBottom w:val="0"/>
      <w:divBdr>
        <w:top w:val="none" w:sz="0" w:space="0" w:color="auto"/>
        <w:left w:val="none" w:sz="0" w:space="0" w:color="auto"/>
        <w:bottom w:val="none" w:sz="0" w:space="0" w:color="auto"/>
        <w:right w:val="none" w:sz="0" w:space="0" w:color="auto"/>
      </w:divBdr>
    </w:div>
    <w:div w:id="155978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1AF534F21171B4984596CB99710C1E4" ma:contentTypeVersion="104" ma:contentTypeDescription="" ma:contentTypeScope="" ma:versionID="3dd8e58ef7daa8ac2a758341208d46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2016-06-30T07:00:00+00:00</OpenedDate>
    <Date1 xmlns="dc463f71-b30c-4ab2-9473-d307f9d35888">2016-07-22T07:00:00+00:00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160868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E5CE2F6-526D-45C9-A7B8-71A9BC267A0E}"/>
</file>

<file path=customXml/itemProps2.xml><?xml version="1.0" encoding="utf-8"?>
<ds:datastoreItem xmlns:ds="http://schemas.openxmlformats.org/officeDocument/2006/customXml" ds:itemID="{77B9485E-7569-4AD2-8589-92CF5B2B6A10}"/>
</file>

<file path=customXml/itemProps3.xml><?xml version="1.0" encoding="utf-8"?>
<ds:datastoreItem xmlns:ds="http://schemas.openxmlformats.org/officeDocument/2006/customXml" ds:itemID="{D050D5AF-654E-40AD-875C-8C161ADDE18B}"/>
</file>

<file path=customXml/itemProps4.xml><?xml version="1.0" encoding="utf-8"?>
<ds:datastoreItem xmlns:ds="http://schemas.openxmlformats.org/officeDocument/2006/customXml" ds:itemID="{529753B2-1A22-4A99-BD95-6473844C44C0}"/>
</file>

<file path=customXml/itemProps5.xml><?xml version="1.0" encoding="utf-8"?>
<ds:datastoreItem xmlns:ds="http://schemas.openxmlformats.org/officeDocument/2006/customXml" ds:itemID="{6B7AC6A0-D935-4178-861A-2E79A3F1DD04}"/>
</file>

<file path=docProps/app.xml><?xml version="1.0" encoding="utf-8"?>
<Properties xmlns="http://schemas.openxmlformats.org/officeDocument/2006/extended-properties" xmlns:vt="http://schemas.openxmlformats.org/officeDocument/2006/docPropsVTypes">
  <Template>Normal.dotm</Template>
  <TotalTime>1</TotalTime>
  <Pages>6</Pages>
  <Words>1767</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Docket No</vt:lpstr>
    </vt:vector>
  </TitlesOfParts>
  <Company>Qwest</Company>
  <LinksUpToDate>false</LinksUpToDate>
  <CharactersWithSpaces>12015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Docket No</dc:title>
  <dc:creator>Mark Reynolds</dc:creator>
  <cp:lastModifiedBy>CenturyLink Employee</cp:lastModifiedBy>
  <cp:revision>2</cp:revision>
  <cp:lastPrinted>2016-07-22T16:52:00Z</cp:lastPrinted>
  <dcterms:created xsi:type="dcterms:W3CDTF">2016-07-22T18:15:00Z</dcterms:created>
  <dcterms:modified xsi:type="dcterms:W3CDTF">2016-07-22T18:15:00Z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0x0101006E56B4D1795A2E4DB2F0B01679ED314A00A1AF534F21171B4984596CB99710C1E4</vt:lpwstr>
  </property>
  <property fmtid="{D5CDD505-2E9C-101B-9397-08002B2CF9AE}" pid="3" name="_docset_NoMedatataSyncRequired">
    <vt:lpwstr>False</vt:lpwstr>
  </property>
</Properties>
</file>