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3244B024" w:rsidR="00D06108" w:rsidRPr="00401D3C" w:rsidRDefault="00B07C0A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KARST STAGE,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6052090D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B07C0A">
              <w:t>TE-160705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2861B02F" w:rsidR="00D8495A" w:rsidRPr="00D2094F" w:rsidRDefault="00D8495A" w:rsidP="00010B3D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C52DDA">
      <w:pPr>
        <w:pStyle w:val="Heading1"/>
      </w:pPr>
      <w:r w:rsidRPr="00C52DDA">
        <w:t>BACKGROUND</w:t>
      </w:r>
    </w:p>
    <w:p w14:paraId="70A613C6" w14:textId="1620982B" w:rsidR="00D06108" w:rsidRPr="00012344" w:rsidRDefault="00D06108" w:rsidP="00C52DD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2AB94419" w:rsidR="00D06108" w:rsidRPr="00401D3C" w:rsidRDefault="00B07C0A" w:rsidP="00C52DD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Karst Stage, Inc.</w:t>
      </w:r>
      <w:r w:rsidR="0067685E">
        <w:rPr>
          <w:bCs/>
        </w:rPr>
        <w:t xml:space="preserve"> (</w:t>
      </w:r>
      <w:r>
        <w:rPr>
          <w:bCs/>
        </w:rPr>
        <w:t>Karst Stage</w:t>
      </w:r>
      <w:r w:rsidR="00010B3D">
        <w:rPr>
          <w:bCs/>
        </w:rPr>
        <w:t xml:space="preserve"> or </w:t>
      </w:r>
      <w:r w:rsidR="00D06108">
        <w:rPr>
          <w:bCs/>
        </w:rPr>
        <w:t xml:space="preserve">Company) </w:t>
      </w:r>
      <w:r w:rsidR="00010B3D">
        <w:rPr>
          <w:bCs/>
        </w:rPr>
        <w:t xml:space="preserve">filed an incomplete </w:t>
      </w:r>
      <w:r w:rsidR="00D06108">
        <w:rPr>
          <w:bCs/>
        </w:rPr>
        <w:t xml:space="preserve">annual report on </w:t>
      </w:r>
      <w:r>
        <w:rPr>
          <w:bCs/>
        </w:rPr>
        <w:t>March 30</w:t>
      </w:r>
      <w:r w:rsidR="00D06108">
        <w:rPr>
          <w:bCs/>
        </w:rPr>
        <w:t xml:space="preserve">, 2016, and </w:t>
      </w:r>
      <w:r w:rsidR="00010B3D">
        <w:rPr>
          <w:bCs/>
        </w:rPr>
        <w:t>did not mak</w:t>
      </w:r>
      <w:r w:rsidR="00D06108">
        <w:rPr>
          <w:bCs/>
        </w:rPr>
        <w:t xml:space="preserve">e </w:t>
      </w:r>
      <w:r w:rsidR="00010B3D">
        <w:rPr>
          <w:bCs/>
        </w:rPr>
        <w:t>a complete</w:t>
      </w:r>
      <w:r w:rsidR="00D06108">
        <w:rPr>
          <w:bCs/>
        </w:rPr>
        <w:t xml:space="preserve"> filing by May 16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 w:rsidR="0073298E">
        <w:rPr>
          <w:bCs/>
        </w:rPr>
        <w:t>0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Karst Stage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</w:t>
      </w:r>
      <w:r w:rsidR="00D06108" w:rsidRPr="00C52DDA">
        <w:rPr>
          <w:bCs/>
        </w:rPr>
        <w:t>May</w:t>
      </w:r>
      <w:r w:rsidR="00D06108" w:rsidRPr="00401D3C">
        <w:rPr>
          <w:rStyle w:val="CommentReference"/>
          <w:sz w:val="24"/>
          <w:szCs w:val="24"/>
        </w:rPr>
        <w:t xml:space="preserve">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654CD664" w14:textId="58529DEC" w:rsidR="00E6794F" w:rsidRDefault="00D06108" w:rsidP="00C52DD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5C1DD7">
        <w:t xml:space="preserve">June </w:t>
      </w:r>
      <w:r w:rsidR="00010B3D">
        <w:t>2</w:t>
      </w:r>
      <w:r w:rsidR="00B07C0A">
        <w:t>8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B07C0A">
        <w:rPr>
          <w:bCs/>
        </w:rPr>
        <w:t>Karst Stage</w:t>
      </w:r>
      <w:r>
        <w:t xml:space="preserve"> </w:t>
      </w:r>
      <w:r w:rsidR="00010B3D">
        <w:t xml:space="preserve">filed a complete annual report. On </w:t>
      </w:r>
      <w:r w:rsidR="00B07C0A">
        <w:t>July 1</w:t>
      </w:r>
      <w:r w:rsidR="00010B3D">
        <w:t xml:space="preserve">, </w:t>
      </w:r>
      <w:r w:rsidR="00B07C0A">
        <w:rPr>
          <w:bCs/>
        </w:rPr>
        <w:t>Karst Stage</w:t>
      </w:r>
      <w:r w:rsidR="00010B3D">
        <w:t xml:space="preserve"> </w:t>
      </w:r>
      <w:r w:rsidRPr="00401D3C">
        <w:t>responded to the Commission’s penalty assessment</w:t>
      </w:r>
      <w:r w:rsidR="00010B3D">
        <w:t xml:space="preserve"> and requested </w:t>
      </w:r>
      <w:r w:rsidRPr="00401D3C">
        <w:t>mitigation based on the written information provided</w:t>
      </w:r>
      <w:r>
        <w:t xml:space="preserve">. </w:t>
      </w:r>
      <w:r w:rsidR="00B07C0A">
        <w:t xml:space="preserve">In its response, the Company states, “I believe Karst Stage is being unduly punished for an infraction in our 2015 annual report for the following reasons. Our </w:t>
      </w:r>
      <w:r w:rsidR="00B07C0A" w:rsidRPr="00C52DDA">
        <w:rPr>
          <w:bCs/>
        </w:rPr>
        <w:t>report</w:t>
      </w:r>
      <w:r w:rsidR="00B07C0A">
        <w:t xml:space="preserve"> was filed on time and received by your dept. on March 30</w:t>
      </w:r>
      <w:r w:rsidR="00B07C0A" w:rsidRPr="00B07C0A">
        <w:rPr>
          <w:vertAlign w:val="superscript"/>
        </w:rPr>
        <w:t>th</w:t>
      </w:r>
      <w:r w:rsidR="00B07C0A">
        <w:t xml:space="preserve"> along with our regulatory fee. All spaces were filled out except the correct UBI # and our interstate mileage. Your office attempted to contact me by email to address the oversights, which I appreciate but your request went right into my junk mail and was deleted. If I would have received this email or </w:t>
      </w:r>
      <w:r w:rsidR="00B12178">
        <w:t>even</w:t>
      </w:r>
      <w:r w:rsidR="00B07C0A">
        <w:t xml:space="preserve"> just a phone call I could have easily corrected the problem and avoided this $1,000 fine.”</w:t>
      </w:r>
    </w:p>
    <w:p w14:paraId="5EEDDC34" w14:textId="586D1E5C" w:rsidR="005C1DD7" w:rsidRPr="00401D3C" w:rsidRDefault="005C1DD7" w:rsidP="00C52DD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July </w:t>
      </w:r>
      <w:r w:rsidR="0073298E">
        <w:t>1</w:t>
      </w:r>
      <w:r w:rsidR="00B07C0A">
        <w:t>8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 xml:space="preserve">taff (Staff) filed a response recommending </w:t>
      </w:r>
      <w:r w:rsidR="00010B3D">
        <w:t>the Commission grant the Company’s request for mitigation</w:t>
      </w:r>
      <w:r w:rsidR="00D06108" w:rsidRPr="00401D3C">
        <w:t xml:space="preserve"> because the C</w:t>
      </w:r>
      <w:r w:rsidR="00D06108">
        <w:t>ompany</w:t>
      </w:r>
      <w:r w:rsidR="00B07C0A">
        <w:t xml:space="preserve"> attempted to file its annual </w:t>
      </w:r>
      <w:r w:rsidR="00B07C0A" w:rsidRPr="00C52DDA">
        <w:rPr>
          <w:bCs/>
        </w:rPr>
        <w:t>report</w:t>
      </w:r>
      <w:r w:rsidR="00B07C0A">
        <w:t xml:space="preserve"> well before the deadline and</w:t>
      </w:r>
      <w:r w:rsidR="00D06108">
        <w:t xml:space="preserve"> has </w:t>
      </w:r>
      <w:r w:rsidR="00D06108" w:rsidRPr="00401D3C">
        <w:t xml:space="preserve">no prior violations of </w:t>
      </w:r>
      <w:r w:rsidR="0067685E">
        <w:t>WAC 480-30-071.</w:t>
      </w:r>
    </w:p>
    <w:p w14:paraId="0A8E3A04" w14:textId="77777777" w:rsidR="00D06108" w:rsidRPr="00401D3C" w:rsidRDefault="00D06108" w:rsidP="00C52DDA">
      <w:pPr>
        <w:pStyle w:val="Heading1"/>
      </w:pPr>
      <w:r w:rsidRPr="00401D3C">
        <w:lastRenderedPageBreak/>
        <w:t>DISCUSSION</w:t>
      </w:r>
    </w:p>
    <w:p w14:paraId="789124B7" w14:textId="71DA26A3" w:rsidR="00D06108" w:rsidRDefault="00E6794F" w:rsidP="00C52DD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A665DD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complying with their legal obligations, and the Company should have </w:t>
      </w:r>
      <w:r>
        <w:t xml:space="preserve">ensured its report was </w:t>
      </w:r>
      <w:r w:rsidR="00010B3D">
        <w:t>complete when it was originally filed</w:t>
      </w:r>
      <w:r w:rsidR="00C52DDA">
        <w:t xml:space="preserve">. </w:t>
      </w:r>
    </w:p>
    <w:p w14:paraId="733A85ED" w14:textId="0618F86B" w:rsidR="00D06108" w:rsidRPr="00725A2B" w:rsidRDefault="00D06108" w:rsidP="00C52DD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B07C0A">
        <w:rPr>
          <w:bCs/>
        </w:rPr>
        <w:t>Karst Stage</w:t>
      </w:r>
      <w:r w:rsidR="00010B3D">
        <w:t xml:space="preserve"> timely paid its regulatory fee, made a good faith effort to file its annual report by the due date, and</w:t>
      </w:r>
      <w:r w:rsidR="0073298E">
        <w:t xml:space="preserve"> has since</w:t>
      </w:r>
      <w:r>
        <w:t xml:space="preserve"> </w:t>
      </w:r>
      <w:r w:rsidR="00364B64">
        <w:t>corrected the violation</w:t>
      </w:r>
      <w:r>
        <w:t xml:space="preserve"> by filing </w:t>
      </w:r>
      <w:r w:rsidR="00010B3D">
        <w:t xml:space="preserve">a complete </w:t>
      </w:r>
      <w:r>
        <w:t>report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E6794F">
        <w:rPr>
          <w:bCs/>
        </w:rPr>
        <w:t>480-30-071</w:t>
      </w:r>
      <w:r w:rsidR="007177AB">
        <w:rPr>
          <w:bCs/>
        </w:rPr>
        <w:t xml:space="preserve"> since it became regulated in </w:t>
      </w:r>
      <w:r w:rsidR="00010B3D">
        <w:rPr>
          <w:bCs/>
        </w:rPr>
        <w:t>2</w:t>
      </w:r>
      <w:r w:rsidR="00B07C0A">
        <w:rPr>
          <w:bCs/>
        </w:rPr>
        <w:t>014</w:t>
      </w:r>
      <w:r w:rsidR="007177AB" w:rsidRPr="00A665DD">
        <w:t xml:space="preserve">. In light of these factors, the Commission will exercise its discretion to </w:t>
      </w:r>
      <w:r w:rsidR="00010B3D">
        <w:t>grant full mitigation of the penalty.</w:t>
      </w:r>
    </w:p>
    <w:p w14:paraId="14999D92" w14:textId="77777777" w:rsidR="00D06108" w:rsidRPr="00401D3C" w:rsidRDefault="00D06108" w:rsidP="00C52DDA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C52DDA">
      <w:pPr>
        <w:spacing w:after="240" w:line="288" w:lineRule="auto"/>
      </w:pPr>
      <w:r w:rsidRPr="00401D3C">
        <w:t xml:space="preserve">THE COMMISSION ORDERS: </w:t>
      </w:r>
    </w:p>
    <w:p w14:paraId="3AB66E6C" w14:textId="4D4FDC91" w:rsidR="00D06108" w:rsidRPr="00401D3C" w:rsidRDefault="00D06108" w:rsidP="00C52DD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B07C0A">
        <w:rPr>
          <w:bCs/>
        </w:rPr>
        <w:t>Karst Stage, Inc.’s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="00010B3D">
        <w:t xml:space="preserve"> penalty is GRANTED</w:t>
      </w:r>
      <w:r w:rsidRPr="00401D3C">
        <w:t xml:space="preserve">.  </w:t>
      </w:r>
    </w:p>
    <w:p w14:paraId="1FCB9D69" w14:textId="3F1B78A4" w:rsidR="00D06108" w:rsidRDefault="00D06108" w:rsidP="00C52DD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(2)</w:t>
      </w:r>
      <w:r w:rsidRPr="00401D3C">
        <w:tab/>
      </w:r>
      <w:r w:rsidR="00010B3D">
        <w:t>No penalty is due.</w:t>
      </w:r>
    </w:p>
    <w:p w14:paraId="1CF33852" w14:textId="77777777" w:rsidR="00D06108" w:rsidRPr="00401D3C" w:rsidRDefault="00D06108" w:rsidP="00C52DDA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35D09873" w:rsidR="00D06108" w:rsidRPr="00401D3C" w:rsidRDefault="00D06108" w:rsidP="00C52DDA">
      <w:pPr>
        <w:spacing w:after="240" w:line="288" w:lineRule="auto"/>
      </w:pPr>
      <w:r w:rsidRPr="00401D3C">
        <w:t xml:space="preserve">DATED at Olympia, Washington, and effective </w:t>
      </w:r>
      <w:r w:rsidR="0073298E">
        <w:t xml:space="preserve">August </w:t>
      </w:r>
      <w:r w:rsidR="005E2202">
        <w:t>10</w:t>
      </w:r>
      <w:r>
        <w:t>, 2016</w:t>
      </w:r>
      <w:r w:rsidRPr="00401D3C">
        <w:t>.</w:t>
      </w:r>
    </w:p>
    <w:p w14:paraId="5BD1665A" w14:textId="77777777" w:rsidR="00D06108" w:rsidRPr="00401D3C" w:rsidRDefault="00D06108" w:rsidP="00C52DDA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5B42E33A" w:rsidR="00D06108" w:rsidRPr="00401D3C" w:rsidRDefault="00D06108" w:rsidP="00C52DDA">
      <w:pPr>
        <w:spacing w:line="288" w:lineRule="auto"/>
        <w:ind w:left="4320"/>
      </w:pPr>
      <w:r w:rsidRPr="00401D3C">
        <w:t>STEVEN V. KING</w:t>
      </w:r>
      <w:r w:rsidR="00C52DDA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lastRenderedPageBreak/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A7E88" w14:textId="77777777" w:rsidR="00895816" w:rsidRDefault="00895816" w:rsidP="00D8495A">
      <w:r>
        <w:separator/>
      </w:r>
    </w:p>
  </w:endnote>
  <w:endnote w:type="continuationSeparator" w:id="0">
    <w:p w14:paraId="6DFAC5D6" w14:textId="77777777" w:rsidR="00895816" w:rsidRDefault="00895816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A6E3D" w14:textId="77777777" w:rsidR="00BF45CB" w:rsidRDefault="00BF4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2527F" w14:textId="77777777" w:rsidR="00BF45CB" w:rsidRDefault="00BF45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854AC" w14:textId="77777777" w:rsidR="00895816" w:rsidRDefault="00895816" w:rsidP="00D8495A">
      <w:r>
        <w:separator/>
      </w:r>
    </w:p>
  </w:footnote>
  <w:footnote w:type="continuationSeparator" w:id="0">
    <w:p w14:paraId="5BA12E48" w14:textId="77777777" w:rsidR="00895816" w:rsidRDefault="00895816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8352C" w14:textId="77777777" w:rsidR="00BF45CB" w:rsidRDefault="00BF45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2387128B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1DD7">
      <w:rPr>
        <w:b/>
        <w:bCs/>
        <w:sz w:val="20"/>
      </w:rPr>
      <w:t>TE-160</w:t>
    </w:r>
    <w:r w:rsidR="00B07C0A">
      <w:rPr>
        <w:b/>
        <w:bCs/>
        <w:sz w:val="20"/>
      </w:rPr>
      <w:t>705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BF45CB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BF45CB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5BBBEF8E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BF45CB">
      <w:t>Service Date: August 10</w:t>
    </w:r>
    <w:bookmarkStart w:id="0" w:name="_GoBack"/>
    <w:bookmarkEnd w:id="0"/>
    <w:r w:rsidR="00C52DDA"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10B3D"/>
    <w:rsid w:val="000218E0"/>
    <w:rsid w:val="00022571"/>
    <w:rsid w:val="000325AB"/>
    <w:rsid w:val="000342A8"/>
    <w:rsid w:val="00082958"/>
    <w:rsid w:val="00095A50"/>
    <w:rsid w:val="000C3D49"/>
    <w:rsid w:val="000E640C"/>
    <w:rsid w:val="000F0AF4"/>
    <w:rsid w:val="001023DC"/>
    <w:rsid w:val="00127E3D"/>
    <w:rsid w:val="001431ED"/>
    <w:rsid w:val="00150C5A"/>
    <w:rsid w:val="00184767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976C5"/>
    <w:rsid w:val="002B0980"/>
    <w:rsid w:val="002C039A"/>
    <w:rsid w:val="002D32B7"/>
    <w:rsid w:val="002D4709"/>
    <w:rsid w:val="00303B37"/>
    <w:rsid w:val="00360890"/>
    <w:rsid w:val="00364B64"/>
    <w:rsid w:val="00366187"/>
    <w:rsid w:val="0038014A"/>
    <w:rsid w:val="003B3420"/>
    <w:rsid w:val="003E329D"/>
    <w:rsid w:val="003E5D6F"/>
    <w:rsid w:val="00413942"/>
    <w:rsid w:val="00443FE3"/>
    <w:rsid w:val="0048646C"/>
    <w:rsid w:val="004A3890"/>
    <w:rsid w:val="004B22B7"/>
    <w:rsid w:val="004B4557"/>
    <w:rsid w:val="004D163E"/>
    <w:rsid w:val="00512420"/>
    <w:rsid w:val="00552600"/>
    <w:rsid w:val="005A6C74"/>
    <w:rsid w:val="005B0C0C"/>
    <w:rsid w:val="005C1DD7"/>
    <w:rsid w:val="005C70B9"/>
    <w:rsid w:val="005E1CC2"/>
    <w:rsid w:val="005E2202"/>
    <w:rsid w:val="00606618"/>
    <w:rsid w:val="006216CC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3298E"/>
    <w:rsid w:val="00762332"/>
    <w:rsid w:val="007B7AD2"/>
    <w:rsid w:val="00870622"/>
    <w:rsid w:val="00874F82"/>
    <w:rsid w:val="00895816"/>
    <w:rsid w:val="008A0338"/>
    <w:rsid w:val="008B1CCC"/>
    <w:rsid w:val="00912BB8"/>
    <w:rsid w:val="00971767"/>
    <w:rsid w:val="009776BD"/>
    <w:rsid w:val="009827D3"/>
    <w:rsid w:val="009A13D3"/>
    <w:rsid w:val="009C5D62"/>
    <w:rsid w:val="00A46518"/>
    <w:rsid w:val="00A754BC"/>
    <w:rsid w:val="00A84C2A"/>
    <w:rsid w:val="00A939A9"/>
    <w:rsid w:val="00AD3312"/>
    <w:rsid w:val="00AE273E"/>
    <w:rsid w:val="00B074C3"/>
    <w:rsid w:val="00B07C0A"/>
    <w:rsid w:val="00B12178"/>
    <w:rsid w:val="00B13041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BF45CB"/>
    <w:rsid w:val="00C11BEF"/>
    <w:rsid w:val="00C528A4"/>
    <w:rsid w:val="00C52DDA"/>
    <w:rsid w:val="00C6277B"/>
    <w:rsid w:val="00C62C52"/>
    <w:rsid w:val="00C65E5B"/>
    <w:rsid w:val="00C809F5"/>
    <w:rsid w:val="00C9305D"/>
    <w:rsid w:val="00CB501C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D16B8"/>
    <w:rsid w:val="00EE30D9"/>
    <w:rsid w:val="00EE39AB"/>
    <w:rsid w:val="00EF0ADE"/>
    <w:rsid w:val="00F006A1"/>
    <w:rsid w:val="00F0602F"/>
    <w:rsid w:val="00F21B68"/>
    <w:rsid w:val="00F522F7"/>
    <w:rsid w:val="00F70074"/>
    <w:rsid w:val="00F9296C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DDA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DDA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2016-08-10T07:00:00+00:00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Karst Stage Inc.</CaseCompanyNames>
    <DocketNumber xmlns="dc463f71-b30c-4ab2-9473-d307f9d35888">160705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039561329B9D4FB0AE7AAF46FEE5EA" ma:contentTypeVersion="104" ma:contentTypeDescription="" ma:contentTypeScope="" ma:versionID="09badfb2ddc26190c191b7de07176f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7EA4B-1F62-4A08-A4FB-37E0C940E19D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3D179F86-C4CC-416C-8ED7-65702F57A915}"/>
</file>

<file path=customXml/itemProps5.xml><?xml version="1.0" encoding="utf-8"?>
<ds:datastoreItem xmlns:ds="http://schemas.openxmlformats.org/officeDocument/2006/customXml" ds:itemID="{E941F5EE-0241-4489-B1F8-37AA7774F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Pearson, Rayne (UTC)</dc:creator>
  <cp:keywords/>
  <dc:description/>
  <cp:lastModifiedBy>Doyle, Paige (UTC)</cp:lastModifiedBy>
  <cp:revision>3</cp:revision>
  <cp:lastPrinted>2016-08-09T21:27:00Z</cp:lastPrinted>
  <dcterms:created xsi:type="dcterms:W3CDTF">2016-08-09T21:28:00Z</dcterms:created>
  <dcterms:modified xsi:type="dcterms:W3CDTF">2016-08-09T21:33:00Z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0x0101006E56B4D1795A2E4DB2F0B01679ED314A00B4039561329B9D4FB0AE7AAF46FEE5EA</vt:lpwstr>
  </property>
  <property fmtid="{D5CDD505-2E9C-101B-9397-08002B2CF9AE}" pid="3" name="_docset_NoMedatataSyncRequired">
    <vt:lpwstr>False</vt:lpwstr>
  </property>
</Properties>
</file>