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09C4C9ED" w:rsidR="00D06108" w:rsidRPr="00401D3C" w:rsidRDefault="00C278D7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ABC MOVERS SEATTLE</w:t>
            </w:r>
            <w:r w:rsidR="000C2C80">
              <w:rPr>
                <w:bCs/>
              </w:rPr>
              <w:t>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78497DE4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C278D7">
              <w:t>TV-160610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D06108">
      <w:pPr>
        <w:spacing w:line="288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5A56767" w:rsidR="00D06108" w:rsidRPr="00012344" w:rsidRDefault="00D06108" w:rsidP="00A01546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371D49">
        <w:rPr>
          <w:bCs/>
        </w:rPr>
        <w:t>household goods carriers</w:t>
      </w:r>
      <w:r w:rsidR="00371D49" w:rsidRPr="00012344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36BD43B0" w:rsidR="00D06108" w:rsidRPr="00401D3C" w:rsidRDefault="00C278D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ABC Movers Seattle</w:t>
      </w:r>
      <w:r w:rsidR="000C2C80">
        <w:rPr>
          <w:bCs/>
        </w:rPr>
        <w:t>, LLC</w:t>
      </w:r>
      <w:r w:rsidR="0067685E">
        <w:rPr>
          <w:bCs/>
        </w:rPr>
        <w:t xml:space="preserve"> </w:t>
      </w:r>
      <w:r w:rsidR="00FE2679">
        <w:rPr>
          <w:bCs/>
        </w:rPr>
        <w:t>(</w:t>
      </w:r>
      <w:r>
        <w:rPr>
          <w:bCs/>
        </w:rPr>
        <w:t xml:space="preserve">ABC Movers </w:t>
      </w:r>
      <w:r w:rsidR="00D06108">
        <w:rPr>
          <w:bCs/>
        </w:rPr>
        <w:t>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8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ABC Movers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654CD664" w14:textId="588E2720" w:rsidR="00E6794F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C278D7">
        <w:t>August 19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C278D7">
        <w:rPr>
          <w:bCs/>
        </w:rPr>
        <w:t xml:space="preserve">ABC Movers paid the required regulatory fee. Also on August 19, ABC Movers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="00AC2087">
        <w:t xml:space="preserve"> mitigation of the penalty</w:t>
      </w:r>
      <w:r>
        <w:t xml:space="preserve">. </w:t>
      </w:r>
      <w:r w:rsidR="00C278D7">
        <w:t>The Company did not include a written explanation with its request.</w:t>
      </w:r>
      <w:r w:rsidR="00371D49">
        <w:t xml:space="preserve"> </w:t>
      </w:r>
    </w:p>
    <w:p w14:paraId="2F3AA485" w14:textId="77777777" w:rsidR="00C278D7" w:rsidRDefault="00C278D7" w:rsidP="00C278D7">
      <w:pPr>
        <w:pStyle w:val="ListParagraph"/>
      </w:pPr>
    </w:p>
    <w:p w14:paraId="6E9397FD" w14:textId="5BA18941" w:rsidR="00C278D7" w:rsidRDefault="00C278D7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September 1, 2016, </w:t>
      </w:r>
      <w:r>
        <w:rPr>
          <w:bCs/>
        </w:rPr>
        <w:t>ABC Movers filed a complete annual report.</w:t>
      </w:r>
    </w:p>
    <w:p w14:paraId="08424DE0" w14:textId="77777777" w:rsidR="00E6794F" w:rsidRDefault="00E6794F" w:rsidP="000C2C80"/>
    <w:p w14:paraId="5EEDDC34" w14:textId="129CB7D5" w:rsidR="005C1DD7" w:rsidRPr="00401D3C" w:rsidRDefault="00C278D7" w:rsidP="0067685E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>On September 2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</w:t>
      </w:r>
      <w:r>
        <w:t>. Although the Company failed to respond to the penalty assessment withi</w:t>
      </w:r>
      <w:r w:rsidR="00AC2087">
        <w:t xml:space="preserve">n 15 days of receipt and failed to </w:t>
      </w:r>
      <w:r>
        <w:t xml:space="preserve">provide a written explanation </w:t>
      </w:r>
      <w:r w:rsidR="00AC2087">
        <w:t xml:space="preserve">as required, Staff </w:t>
      </w:r>
      <w:r>
        <w:t>recommends the Commission grant the Company’s request for mitigation, in part</w:t>
      </w:r>
      <w:r w:rsidR="00D06108">
        <w:t>,</w:t>
      </w:r>
      <w:r w:rsidR="00D06108" w:rsidRPr="00401D3C">
        <w:t xml:space="preserve"> because the C</w:t>
      </w:r>
      <w:r w:rsidR="00D06108">
        <w:t xml:space="preserve">ompany has </w:t>
      </w:r>
      <w:r w:rsidR="00FE2679">
        <w:t>been active since 20</w:t>
      </w:r>
      <w:r w:rsidR="000C2C80">
        <w:t>14</w:t>
      </w:r>
      <w:r w:rsidR="00FE2679">
        <w:t xml:space="preserve"> and has </w:t>
      </w:r>
      <w:r w:rsidR="00D06108" w:rsidRPr="00401D3C">
        <w:t xml:space="preserve">no prior violations of </w:t>
      </w:r>
      <w:r w:rsidR="0067685E">
        <w:t>WAC</w:t>
      </w:r>
      <w:r w:rsidR="00371D49">
        <w:t xml:space="preserve"> 480-15-480.</w:t>
      </w:r>
    </w:p>
    <w:p w14:paraId="2202CA30" w14:textId="77777777" w:rsidR="00A01546" w:rsidRDefault="00A01546" w:rsidP="00D06108">
      <w:pPr>
        <w:tabs>
          <w:tab w:val="left" w:pos="720"/>
        </w:tabs>
        <w:spacing w:line="288" w:lineRule="auto"/>
        <w:ind w:left="720"/>
        <w:jc w:val="center"/>
        <w:rPr>
          <w:b/>
        </w:rPr>
      </w:pPr>
    </w:p>
    <w:p w14:paraId="0A8E3A04" w14:textId="77777777" w:rsidR="00D06108" w:rsidRPr="00401D3C" w:rsidRDefault="00D06108" w:rsidP="00A01546">
      <w:pPr>
        <w:tabs>
          <w:tab w:val="left" w:pos="720"/>
        </w:tabs>
        <w:spacing w:before="240" w:line="288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6A9930AD" w:rsidR="00D06108" w:rsidRDefault="00371D49" w:rsidP="00A01546">
      <w:pPr>
        <w:numPr>
          <w:ilvl w:val="0"/>
          <w:numId w:val="3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rPr>
          <w:bCs/>
        </w:rPr>
        <w:t xml:space="preserve">WAC </w:t>
      </w:r>
      <w:r w:rsidRPr="00012344">
        <w:rPr>
          <w:bCs/>
        </w:rPr>
        <w:t>480-</w:t>
      </w:r>
      <w:r>
        <w:rPr>
          <w:bCs/>
        </w:rPr>
        <w:t>15</w:t>
      </w:r>
      <w:r w:rsidRPr="00012344">
        <w:rPr>
          <w:bCs/>
        </w:rPr>
        <w:t>-</w:t>
      </w:r>
      <w:r>
        <w:rPr>
          <w:bCs/>
        </w:rPr>
        <w:t xml:space="preserve">480 </w:t>
      </w:r>
      <w:r w:rsidRPr="00401D3C">
        <w:rPr>
          <w:bCs/>
        </w:rPr>
        <w:t xml:space="preserve">requires </w:t>
      </w:r>
      <w:r>
        <w:rPr>
          <w:bCs/>
        </w:rPr>
        <w:t>household good carriers</w:t>
      </w:r>
      <w:r w:rsidRPr="00401D3C">
        <w:t xml:space="preserve"> to file annual reports and pay regulatory fees by May 1 of each year</w:t>
      </w:r>
      <w:r>
        <w:t>, or the first business day thereafter</w:t>
      </w:r>
      <w:r w:rsidRPr="00401D3C">
        <w:t xml:space="preserve">. </w:t>
      </w:r>
      <w:r w:rsidR="00E6794F" w:rsidRPr="00A665DD">
        <w:t xml:space="preserve">Companies are responsible for complying with their legal obligations, and the Company should have </w:t>
      </w:r>
      <w:r w:rsidR="00C271FF">
        <w:t xml:space="preserve">ensured its report was </w:t>
      </w:r>
      <w:r w:rsidR="00E6794F">
        <w:t>filed</w:t>
      </w:r>
      <w:r w:rsidR="00C271FF">
        <w:t xml:space="preserve"> by the due date</w:t>
      </w:r>
      <w:r w:rsidR="00A01546">
        <w:t>.</w:t>
      </w:r>
    </w:p>
    <w:p w14:paraId="451FA8BD" w14:textId="77777777" w:rsidR="00A01546" w:rsidRDefault="00A01546" w:rsidP="00A01546">
      <w:pPr>
        <w:tabs>
          <w:tab w:val="left" w:pos="0"/>
        </w:tabs>
        <w:spacing w:line="288" w:lineRule="auto"/>
      </w:pPr>
    </w:p>
    <w:p w14:paraId="733A85ED" w14:textId="63D746E8" w:rsidR="00D06108" w:rsidRPr="00725A2B" w:rsidRDefault="00D06108" w:rsidP="00A01546">
      <w:pPr>
        <w:numPr>
          <w:ilvl w:val="0"/>
          <w:numId w:val="3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05083A">
        <w:rPr>
          <w:bCs/>
        </w:rPr>
        <w:t xml:space="preserve">ABC Movers has since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9F092A">
        <w:rPr>
          <w:bCs/>
        </w:rPr>
        <w:t xml:space="preserve">480-15-480 </w:t>
      </w:r>
      <w:r w:rsidR="007177AB">
        <w:rPr>
          <w:bCs/>
        </w:rPr>
        <w:t>since it became regulated in 20</w:t>
      </w:r>
      <w:r w:rsidR="000C2C80">
        <w:rPr>
          <w:bCs/>
        </w:rPr>
        <w:t>14</w:t>
      </w:r>
      <w:r w:rsidR="007177AB" w:rsidRPr="00A665DD">
        <w:t xml:space="preserve">. </w:t>
      </w:r>
      <w:r w:rsidR="000C2C80">
        <w:t>Although the Company has a relatively brief history of compliance</w:t>
      </w:r>
      <w:r w:rsidR="0005083A">
        <w:t xml:space="preserve"> and did not provide any explanation for its late filing</w:t>
      </w:r>
      <w:r w:rsidR="000C2C80">
        <w:t>, we have routinely granted mitigation for first-time violations</w:t>
      </w:r>
      <w:r w:rsidR="007177AB">
        <w:t xml:space="preserve">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A01546">
      <w:pPr>
        <w:spacing w:before="240" w:line="288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492F580C" w:rsidR="00D06108" w:rsidRPr="00401D3C" w:rsidRDefault="00A01546" w:rsidP="00D06108">
      <w:pPr>
        <w:spacing w:line="288" w:lineRule="auto"/>
      </w:pPr>
      <w:r>
        <w:t>THE COMMISSION ORDERS: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35150690" w:rsidR="00D06108" w:rsidRPr="00401D3C" w:rsidRDefault="00D06108" w:rsidP="00A01546">
      <w:pPr>
        <w:numPr>
          <w:ilvl w:val="0"/>
          <w:numId w:val="3"/>
        </w:numPr>
        <w:tabs>
          <w:tab w:val="clear" w:pos="1080"/>
          <w:tab w:val="left" w:pos="0"/>
        </w:tabs>
        <w:spacing w:line="264" w:lineRule="auto"/>
        <w:ind w:left="720" w:hanging="1440"/>
      </w:pPr>
      <w:r w:rsidRPr="00401D3C">
        <w:t>(1)</w:t>
      </w:r>
      <w:r w:rsidRPr="00401D3C">
        <w:tab/>
      </w:r>
      <w:r w:rsidR="0005083A">
        <w:rPr>
          <w:bCs/>
        </w:rPr>
        <w:t>ABC Movers Seattle</w:t>
      </w:r>
      <w:r w:rsidR="00371D49">
        <w:rPr>
          <w:bCs/>
        </w:rPr>
        <w:t xml:space="preserve">, </w:t>
      </w:r>
      <w:r w:rsidR="000C2C80">
        <w:rPr>
          <w:bCs/>
        </w:rPr>
        <w:t>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="00A01546">
        <w:t>.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4765229D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05083A">
        <w:t>September 2</w:t>
      </w:r>
      <w:r w:rsidR="00512374">
        <w:t>1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A01546">
      <w:pPr>
        <w:numPr>
          <w:ilvl w:val="0"/>
          <w:numId w:val="3"/>
        </w:numPr>
        <w:tabs>
          <w:tab w:val="clear" w:pos="1080"/>
          <w:tab w:val="left" w:pos="0"/>
        </w:tabs>
        <w:spacing w:line="264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74971000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05083A">
        <w:t xml:space="preserve">September </w:t>
      </w:r>
      <w:r w:rsidR="00512374">
        <w:t>7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3171D24A" w14:textId="77777777" w:rsidR="00D06108" w:rsidRDefault="00D06108" w:rsidP="00A01546">
      <w:pPr>
        <w:spacing w:line="288" w:lineRule="auto"/>
      </w:pPr>
    </w:p>
    <w:p w14:paraId="66EC759C" w14:textId="77777777" w:rsidR="00A01546" w:rsidRPr="00401D3C" w:rsidRDefault="00A01546" w:rsidP="00A01546">
      <w:pPr>
        <w:spacing w:line="288" w:lineRule="auto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4848F4C8" w:rsidR="00D06108" w:rsidRPr="00401D3C" w:rsidRDefault="00A01546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posted on the Co</w:t>
      </w:r>
      <w:r>
        <w:rPr>
          <w:b/>
          <w:bCs/>
        </w:rPr>
        <w:t>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A0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D74FD" w14:textId="77777777" w:rsidR="00691A81" w:rsidRDefault="00691A81" w:rsidP="00D8495A">
      <w:r>
        <w:separator/>
      </w:r>
    </w:p>
  </w:endnote>
  <w:endnote w:type="continuationSeparator" w:id="0">
    <w:p w14:paraId="118D93E6" w14:textId="77777777" w:rsidR="00691A81" w:rsidRDefault="00691A81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110F" w14:textId="77777777" w:rsidR="007F19F9" w:rsidRDefault="007F19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78319" w14:textId="77777777" w:rsidR="007F19F9" w:rsidRDefault="007F19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7B74F" w14:textId="77777777" w:rsidR="00691A81" w:rsidRDefault="00691A81" w:rsidP="00D8495A">
      <w:r>
        <w:separator/>
      </w:r>
    </w:p>
  </w:footnote>
  <w:footnote w:type="continuationSeparator" w:id="0">
    <w:p w14:paraId="4FFAF752" w14:textId="77777777" w:rsidR="00691A81" w:rsidRDefault="00691A81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DB00" w14:textId="77777777" w:rsidR="007F19F9" w:rsidRDefault="007F1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6DEDFB48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05083A">
      <w:rPr>
        <w:b/>
        <w:bCs/>
        <w:sz w:val="20"/>
      </w:rPr>
      <w:t>TV-160610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2" w14:textId="34748569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4ACD0760" w:rsidR="00975152" w:rsidRPr="007F19F9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bookmarkStart w:id="0" w:name="_GoBack"/>
    <w:r w:rsidR="007F19F9" w:rsidRPr="007F19F9">
      <w:rPr>
        <w:sz w:val="22"/>
        <w:szCs w:val="22"/>
      </w:rPr>
      <w:t>Service Date: September 7, 2016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26FDD"/>
    <w:rsid w:val="000325AB"/>
    <w:rsid w:val="000342A8"/>
    <w:rsid w:val="0005083A"/>
    <w:rsid w:val="00082958"/>
    <w:rsid w:val="00095A50"/>
    <w:rsid w:val="000C2C80"/>
    <w:rsid w:val="000C3D49"/>
    <w:rsid w:val="000E640C"/>
    <w:rsid w:val="000F0AF4"/>
    <w:rsid w:val="000F707E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55A32"/>
    <w:rsid w:val="00360890"/>
    <w:rsid w:val="00364B64"/>
    <w:rsid w:val="00366187"/>
    <w:rsid w:val="00371D49"/>
    <w:rsid w:val="0038014A"/>
    <w:rsid w:val="003E0E8E"/>
    <w:rsid w:val="003E329D"/>
    <w:rsid w:val="003E5D6F"/>
    <w:rsid w:val="003F7F17"/>
    <w:rsid w:val="00413942"/>
    <w:rsid w:val="00443FE3"/>
    <w:rsid w:val="0048646C"/>
    <w:rsid w:val="004A3890"/>
    <w:rsid w:val="004B22B7"/>
    <w:rsid w:val="004B4B21"/>
    <w:rsid w:val="004D163E"/>
    <w:rsid w:val="004D195D"/>
    <w:rsid w:val="00505B2E"/>
    <w:rsid w:val="00512374"/>
    <w:rsid w:val="00512420"/>
    <w:rsid w:val="00552600"/>
    <w:rsid w:val="005901B6"/>
    <w:rsid w:val="005A6C74"/>
    <w:rsid w:val="005B0C0C"/>
    <w:rsid w:val="005B1F3D"/>
    <w:rsid w:val="005C1DD7"/>
    <w:rsid w:val="005C70B9"/>
    <w:rsid w:val="005E1CC2"/>
    <w:rsid w:val="00606618"/>
    <w:rsid w:val="006216CC"/>
    <w:rsid w:val="00655D1E"/>
    <w:rsid w:val="006627E8"/>
    <w:rsid w:val="00672F7B"/>
    <w:rsid w:val="0067685E"/>
    <w:rsid w:val="00680787"/>
    <w:rsid w:val="00686B4A"/>
    <w:rsid w:val="00691A81"/>
    <w:rsid w:val="006A0DC5"/>
    <w:rsid w:val="006A41EE"/>
    <w:rsid w:val="006B2EF6"/>
    <w:rsid w:val="006C2ACC"/>
    <w:rsid w:val="006E4264"/>
    <w:rsid w:val="006F691E"/>
    <w:rsid w:val="00702042"/>
    <w:rsid w:val="007177AB"/>
    <w:rsid w:val="0072368A"/>
    <w:rsid w:val="00762332"/>
    <w:rsid w:val="007B7AD2"/>
    <w:rsid w:val="007F19F9"/>
    <w:rsid w:val="00870622"/>
    <w:rsid w:val="00874F82"/>
    <w:rsid w:val="008A0338"/>
    <w:rsid w:val="008A274E"/>
    <w:rsid w:val="008B1CCC"/>
    <w:rsid w:val="00912BB8"/>
    <w:rsid w:val="009776BD"/>
    <w:rsid w:val="009827D3"/>
    <w:rsid w:val="009A13D3"/>
    <w:rsid w:val="009C5D62"/>
    <w:rsid w:val="009F092A"/>
    <w:rsid w:val="00A01546"/>
    <w:rsid w:val="00A46518"/>
    <w:rsid w:val="00A754BC"/>
    <w:rsid w:val="00A84C2A"/>
    <w:rsid w:val="00A939A9"/>
    <w:rsid w:val="00AC2087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07486"/>
    <w:rsid w:val="00C271FF"/>
    <w:rsid w:val="00C278D7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6857"/>
    <w:rsid w:val="00DD2A47"/>
    <w:rsid w:val="00DE203F"/>
    <w:rsid w:val="00DF0281"/>
    <w:rsid w:val="00E246E7"/>
    <w:rsid w:val="00E33589"/>
    <w:rsid w:val="00E55A73"/>
    <w:rsid w:val="00E6794F"/>
    <w:rsid w:val="00E76657"/>
    <w:rsid w:val="00EB1DDF"/>
    <w:rsid w:val="00EC15B3"/>
    <w:rsid w:val="00ED588A"/>
    <w:rsid w:val="00EE30D9"/>
    <w:rsid w:val="00EE39AB"/>
    <w:rsid w:val="00EF0ADE"/>
    <w:rsid w:val="00F006A1"/>
    <w:rsid w:val="00F01A79"/>
    <w:rsid w:val="00F21B68"/>
    <w:rsid w:val="00F522F7"/>
    <w:rsid w:val="00F70074"/>
    <w:rsid w:val="00F9296C"/>
    <w:rsid w:val="00FE2679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FEB8797BC72D48BC4067227462EBAD" ma:contentTypeVersion="104" ma:contentTypeDescription="" ma:contentTypeScope="" ma:versionID="b48ff7a21c50107e059b098223d6a1e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2016-09-07T07:00:00+00:00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ABC Movers Seattle, LLC</CaseCompanyNames>
    <DocketNumber xmlns="dc463f71-b30c-4ab2-9473-d307f9d35888">160610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C6212F8-CBFC-4473-9B7D-8AB1D2C7B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5E3DB-075C-468A-9A5B-94C45FF8F331}"/>
</file>

<file path=customXml/itemProps3.xml><?xml version="1.0" encoding="utf-8"?>
<ds:datastoreItem xmlns:ds="http://schemas.openxmlformats.org/officeDocument/2006/customXml" ds:itemID="{50D9855B-5027-4546-986A-92CB57B40812}"/>
</file>

<file path=customXml/itemProps4.xml><?xml version="1.0" encoding="utf-8"?>
<ds:datastoreItem xmlns:ds="http://schemas.openxmlformats.org/officeDocument/2006/customXml" ds:itemID="{F416CDE7-522E-49ED-9AD6-3E4F84ADEBF1}"/>
</file>

<file path=customXml/itemProps5.xml><?xml version="1.0" encoding="utf-8"?>
<ds:datastoreItem xmlns:ds="http://schemas.openxmlformats.org/officeDocument/2006/customXml" ds:itemID="{BF44F38D-5393-4D88-9223-B52E35EB7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01, Order Granting Mitigation to $250</dc:title>
  <dc:subject/>
  <dc:creator/>
  <cp:keywords/>
  <dc:description/>
  <cp:lastModifiedBy/>
  <cp:revision>1</cp:revision>
  <dcterms:created xsi:type="dcterms:W3CDTF">2016-09-07T16:52:00Z</dcterms:created>
  <dcterms:modified xsi:type="dcterms:W3CDTF">2016-09-07T16:52:00Z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0x0101006E56B4D1795A2E4DB2F0B01679ED314A003BFEB8797BC72D48BC4067227462EBAD</vt:lpwstr>
  </property>
  <property fmtid="{D5CDD505-2E9C-101B-9397-08002B2CF9AE}" pid="3" name="_docset_NoMedatataSyncRequired">
    <vt:lpwstr>False</vt:lpwstr>
  </property>
</Properties>
</file>