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72A16FC9" w14:textId="0E324191" w:rsidR="00CB0163" w:rsidRPr="00CB1237" w:rsidRDefault="00CB0163" w:rsidP="00CB0163">
            <w:pPr>
              <w:spacing w:line="264" w:lineRule="auto"/>
            </w:pPr>
            <w:r w:rsidRPr="00CB1237">
              <w:t xml:space="preserve">In </w:t>
            </w:r>
            <w:r w:rsidR="00B571B3" w:rsidRPr="00CB1237">
              <w:t>the Matter of a Penalty Assessment Against</w:t>
            </w:r>
          </w:p>
          <w:p w14:paraId="364A5FCA" w14:textId="77777777" w:rsidR="00CB0163" w:rsidRPr="00CB1237" w:rsidRDefault="00CB0163" w:rsidP="00CB0163">
            <w:pPr>
              <w:spacing w:line="264" w:lineRule="auto"/>
            </w:pPr>
          </w:p>
          <w:p w14:paraId="5E49A644" w14:textId="60399176" w:rsidR="00CB0163" w:rsidRPr="00CB1237" w:rsidRDefault="009C5A75" w:rsidP="00CB0163">
            <w:pPr>
              <w:spacing w:line="264" w:lineRule="auto"/>
            </w:pPr>
            <w:r>
              <w:t>TTAP CONSTRUCTION SERVICES, LLC</w:t>
            </w:r>
          </w:p>
          <w:p w14:paraId="437FB58C" w14:textId="77777777" w:rsidR="00CB0163" w:rsidRPr="00CB1237" w:rsidRDefault="00CB0163" w:rsidP="00CB0163">
            <w:pPr>
              <w:spacing w:line="264" w:lineRule="auto"/>
            </w:pPr>
          </w:p>
          <w:p w14:paraId="7D0B0760" w14:textId="08D54ED4" w:rsidR="00B1027E" w:rsidRPr="00CB1237" w:rsidRDefault="00B571B3" w:rsidP="005C4436">
            <w:pPr>
              <w:spacing w:line="288" w:lineRule="auto"/>
            </w:pPr>
            <w:r w:rsidRPr="00CB1237">
              <w:t>in the amount of $10,000</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61F47D10" w:rsidR="00B1027E" w:rsidRPr="00CB1237" w:rsidRDefault="00B1027E" w:rsidP="00B1027E">
      <w:pPr>
        <w:spacing w:line="288" w:lineRule="auto"/>
      </w:pPr>
      <w:r w:rsidRPr="00CB1237">
        <w:t xml:space="preserve">DOCKET </w:t>
      </w:r>
      <w:r w:rsidR="00B571B3" w:rsidRPr="00CB1237">
        <w:rPr>
          <w:bCs/>
        </w:rPr>
        <w:t>DG-160</w:t>
      </w:r>
      <w:r w:rsidR="009C5A75">
        <w:rPr>
          <w:bCs/>
        </w:rPr>
        <w:t>247</w:t>
      </w:r>
    </w:p>
    <w:p w14:paraId="2F6774FE" w14:textId="77777777" w:rsidR="00B1027E" w:rsidRPr="00CB1237" w:rsidRDefault="00B1027E" w:rsidP="00B1027E">
      <w:pPr>
        <w:spacing w:line="288" w:lineRule="auto"/>
      </w:pPr>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p>
    <w:p w14:paraId="688283C0" w14:textId="3977D50F" w:rsidR="00B1027E" w:rsidRPr="00CB1237" w:rsidRDefault="00B1027E" w:rsidP="00B1027E">
      <w:pPr>
        <w:spacing w:line="288" w:lineRule="auto"/>
      </w:pPr>
      <w:r w:rsidRPr="00CB1237">
        <w:t xml:space="preserve">ORDER </w:t>
      </w:r>
      <w:r w:rsidR="00B571B3" w:rsidRPr="00CB1237">
        <w:t>DENYING MITIGATION</w:t>
      </w:r>
      <w:r w:rsidRPr="00CB1237">
        <w:t xml:space="preserve"> </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466474">
      <w:pPr>
        <w:pStyle w:val="Heading1"/>
      </w:pPr>
      <w:r w:rsidRPr="00466474">
        <w:t>BACKGROUND</w:t>
      </w:r>
    </w:p>
    <w:p w14:paraId="72DCA0C9" w14:textId="5A88C544" w:rsidR="00CB0163" w:rsidRPr="00CB1237" w:rsidRDefault="00CB0163" w:rsidP="00466474">
      <w:pPr>
        <w:pStyle w:val="NoSpacing"/>
        <w:numPr>
          <w:ilvl w:val="0"/>
          <w:numId w:val="8"/>
        </w:numPr>
        <w:spacing w:after="240" w:line="264" w:lineRule="auto"/>
        <w:ind w:left="0" w:hanging="720"/>
        <w:rPr>
          <w:rFonts w:ascii="Times New Roman" w:hAnsi="Times New Roman"/>
          <w:sz w:val="24"/>
          <w:szCs w:val="24"/>
        </w:rPr>
      </w:pPr>
      <w:r w:rsidRPr="00CB1237">
        <w:rPr>
          <w:rFonts w:ascii="Times New Roman" w:hAnsi="Times New Roman"/>
          <w:sz w:val="24"/>
          <w:szCs w:val="24"/>
        </w:rPr>
        <w:t xml:space="preserve">On </w:t>
      </w:r>
      <w:r w:rsidR="00B571B3" w:rsidRPr="00CB1237">
        <w:rPr>
          <w:rFonts w:ascii="Times New Roman" w:hAnsi="Times New Roman"/>
          <w:sz w:val="24"/>
          <w:szCs w:val="24"/>
        </w:rPr>
        <w:t xml:space="preserve">May </w:t>
      </w:r>
      <w:r w:rsidR="009C5A75">
        <w:rPr>
          <w:rFonts w:ascii="Times New Roman" w:hAnsi="Times New Roman"/>
          <w:sz w:val="24"/>
          <w:szCs w:val="24"/>
        </w:rPr>
        <w:t>2</w:t>
      </w:r>
      <w:r w:rsidRPr="00CB1237">
        <w:rPr>
          <w:rFonts w:ascii="Times New Roman" w:hAnsi="Times New Roman"/>
          <w:sz w:val="24"/>
          <w:szCs w:val="24"/>
        </w:rPr>
        <w:t xml:space="preserve">, 2016, </w:t>
      </w:r>
      <w:r w:rsidR="00B571B3" w:rsidRPr="00CB1237">
        <w:rPr>
          <w:rFonts w:ascii="Times New Roman" w:hAnsi="Times New Roman"/>
          <w:sz w:val="24"/>
          <w:szCs w:val="24"/>
        </w:rPr>
        <w:t>the Washington Utilities and Transportation Commission (Commission) issued Penalty Assessment DG-160</w:t>
      </w:r>
      <w:r w:rsidR="009C5A75">
        <w:rPr>
          <w:rFonts w:ascii="Times New Roman" w:hAnsi="Times New Roman"/>
          <w:sz w:val="24"/>
          <w:szCs w:val="24"/>
        </w:rPr>
        <w:t>247</w:t>
      </w:r>
      <w:r w:rsidR="00B571B3" w:rsidRPr="00CB1237">
        <w:rPr>
          <w:rFonts w:ascii="Times New Roman" w:hAnsi="Times New Roman"/>
          <w:sz w:val="24"/>
          <w:szCs w:val="24"/>
        </w:rPr>
        <w:t xml:space="preserve"> against </w:t>
      </w:r>
      <w:r w:rsidR="009C5A75">
        <w:rPr>
          <w:rFonts w:ascii="Times New Roman" w:hAnsi="Times New Roman"/>
          <w:sz w:val="24"/>
          <w:szCs w:val="24"/>
        </w:rPr>
        <w:t xml:space="preserve">TTap Construction Services, LLC </w:t>
      </w:r>
      <w:r w:rsidR="00B571B3" w:rsidRPr="00CB1237">
        <w:rPr>
          <w:rFonts w:ascii="Times New Roman" w:hAnsi="Times New Roman"/>
          <w:sz w:val="24"/>
          <w:szCs w:val="24"/>
        </w:rPr>
        <w:t>(</w:t>
      </w:r>
      <w:r w:rsidR="009C5A75">
        <w:rPr>
          <w:rFonts w:ascii="Times New Roman" w:hAnsi="Times New Roman"/>
          <w:sz w:val="24"/>
          <w:szCs w:val="24"/>
        </w:rPr>
        <w:t>TTap</w:t>
      </w:r>
      <w:r w:rsidR="00B571B3" w:rsidRPr="00CB1237">
        <w:rPr>
          <w:rFonts w:ascii="Times New Roman" w:hAnsi="Times New Roman"/>
          <w:sz w:val="24"/>
          <w:szCs w:val="24"/>
        </w:rPr>
        <w:t xml:space="preserve"> </w:t>
      </w:r>
      <w:r w:rsidR="009C5A75">
        <w:rPr>
          <w:rFonts w:ascii="Times New Roman" w:hAnsi="Times New Roman"/>
          <w:sz w:val="24"/>
          <w:szCs w:val="24"/>
        </w:rPr>
        <w:t xml:space="preserve">Construction </w:t>
      </w:r>
      <w:r w:rsidR="00B571B3" w:rsidRPr="00CB1237">
        <w:rPr>
          <w:rFonts w:ascii="Times New Roman" w:hAnsi="Times New Roman"/>
          <w:sz w:val="24"/>
          <w:szCs w:val="24"/>
        </w:rPr>
        <w:t xml:space="preserve">or Company) in the amount of $1,000, alleging one violation of RCW 19.122.030(1)(a) for failing to request a </w:t>
      </w:r>
      <w:r w:rsidR="00D61266">
        <w:rPr>
          <w:rFonts w:ascii="Times New Roman" w:hAnsi="Times New Roman"/>
          <w:sz w:val="24"/>
          <w:szCs w:val="24"/>
        </w:rPr>
        <w:t>utility locate</w:t>
      </w:r>
      <w:r w:rsidR="00B571B3" w:rsidRPr="00CB1237">
        <w:rPr>
          <w:rFonts w:ascii="Times New Roman" w:hAnsi="Times New Roman"/>
          <w:sz w:val="24"/>
          <w:szCs w:val="24"/>
        </w:rPr>
        <w:t xml:space="preserve"> prior to performing an excavation</w:t>
      </w:r>
      <w:r w:rsidR="00432DFB">
        <w:rPr>
          <w:rFonts w:ascii="Times New Roman" w:hAnsi="Times New Roman"/>
          <w:sz w:val="24"/>
          <w:szCs w:val="24"/>
        </w:rPr>
        <w:t xml:space="preserve"> on </w:t>
      </w:r>
      <w:r w:rsidR="009C5A75">
        <w:rPr>
          <w:rFonts w:ascii="Times New Roman" w:hAnsi="Times New Roman"/>
          <w:sz w:val="24"/>
          <w:szCs w:val="24"/>
        </w:rPr>
        <w:t>July 27</w:t>
      </w:r>
      <w:r w:rsidR="00432DFB">
        <w:rPr>
          <w:rFonts w:ascii="Times New Roman" w:hAnsi="Times New Roman"/>
          <w:sz w:val="24"/>
          <w:szCs w:val="24"/>
        </w:rPr>
        <w:t>, 2015</w:t>
      </w:r>
      <w:r w:rsidR="00B571B3" w:rsidRPr="00CB1237">
        <w:rPr>
          <w:rFonts w:ascii="Times New Roman" w:hAnsi="Times New Roman"/>
          <w:sz w:val="24"/>
          <w:szCs w:val="24"/>
        </w:rPr>
        <w:t>.</w:t>
      </w:r>
    </w:p>
    <w:p w14:paraId="15113BDA" w14:textId="4C049DDD" w:rsidR="00CB0163" w:rsidRPr="00CB1237" w:rsidRDefault="00CB0163" w:rsidP="00466474">
      <w:pPr>
        <w:pStyle w:val="NoSpacing"/>
        <w:numPr>
          <w:ilvl w:val="0"/>
          <w:numId w:val="8"/>
        </w:numPr>
        <w:spacing w:after="240" w:line="264" w:lineRule="auto"/>
        <w:ind w:left="0" w:hanging="720"/>
        <w:rPr>
          <w:rFonts w:ascii="Times New Roman" w:hAnsi="Times New Roman"/>
          <w:sz w:val="24"/>
          <w:szCs w:val="24"/>
        </w:rPr>
      </w:pPr>
      <w:r w:rsidRPr="009C5A75">
        <w:rPr>
          <w:rFonts w:ascii="Times New Roman" w:hAnsi="Times New Roman"/>
          <w:sz w:val="24"/>
          <w:szCs w:val="24"/>
        </w:rPr>
        <w:t xml:space="preserve">On </w:t>
      </w:r>
      <w:r w:rsidR="009C5A75" w:rsidRPr="009C5A75">
        <w:rPr>
          <w:rFonts w:ascii="Times New Roman" w:hAnsi="Times New Roman"/>
          <w:sz w:val="24"/>
          <w:szCs w:val="24"/>
        </w:rPr>
        <w:t>May 1</w:t>
      </w:r>
      <w:r w:rsidR="00B571B3" w:rsidRPr="009C5A75">
        <w:rPr>
          <w:rFonts w:ascii="Times New Roman" w:hAnsi="Times New Roman"/>
          <w:sz w:val="24"/>
          <w:szCs w:val="24"/>
        </w:rPr>
        <w:t>7</w:t>
      </w:r>
      <w:r w:rsidR="00645D41" w:rsidRPr="009C5A75">
        <w:rPr>
          <w:rFonts w:ascii="Times New Roman" w:hAnsi="Times New Roman"/>
          <w:sz w:val="24"/>
          <w:szCs w:val="24"/>
        </w:rPr>
        <w:t>, 2016</w:t>
      </w:r>
      <w:r w:rsidRPr="009C5A75">
        <w:rPr>
          <w:rFonts w:ascii="Times New Roman" w:hAnsi="Times New Roman"/>
          <w:sz w:val="24"/>
          <w:szCs w:val="24"/>
        </w:rPr>
        <w:t xml:space="preserve">, </w:t>
      </w:r>
      <w:r w:rsidR="009C5A75" w:rsidRPr="009C5A75">
        <w:rPr>
          <w:rFonts w:ascii="Times New Roman" w:hAnsi="Times New Roman"/>
          <w:sz w:val="24"/>
          <w:szCs w:val="24"/>
        </w:rPr>
        <w:t xml:space="preserve">TTap </w:t>
      </w:r>
      <w:r w:rsidR="009C5A75">
        <w:rPr>
          <w:rFonts w:ascii="Times New Roman" w:hAnsi="Times New Roman"/>
          <w:sz w:val="24"/>
          <w:szCs w:val="24"/>
        </w:rPr>
        <w:t>Construction</w:t>
      </w:r>
      <w:r w:rsidR="00B571B3" w:rsidRPr="009C5A75">
        <w:rPr>
          <w:rFonts w:ascii="Times New Roman" w:hAnsi="Times New Roman"/>
          <w:sz w:val="24"/>
          <w:szCs w:val="24"/>
        </w:rPr>
        <w:t xml:space="preserve"> filed </w:t>
      </w:r>
      <w:r w:rsidR="009C5A75" w:rsidRPr="009C5A75">
        <w:rPr>
          <w:rFonts w:ascii="Times New Roman" w:hAnsi="Times New Roman"/>
          <w:sz w:val="24"/>
          <w:szCs w:val="24"/>
        </w:rPr>
        <w:t>an application for mitigation, admitting the violations and requesting a decision based on the written information provided</w:t>
      </w:r>
      <w:r w:rsidR="00B571B3" w:rsidRPr="009C5A75">
        <w:rPr>
          <w:rFonts w:ascii="Times New Roman" w:hAnsi="Times New Roman"/>
          <w:sz w:val="24"/>
          <w:szCs w:val="24"/>
        </w:rPr>
        <w:t>.</w:t>
      </w:r>
      <w:r w:rsidR="00B571B3" w:rsidRPr="00CB1237">
        <w:rPr>
          <w:rFonts w:ascii="Times New Roman" w:hAnsi="Times New Roman"/>
          <w:sz w:val="24"/>
          <w:szCs w:val="24"/>
        </w:rPr>
        <w:t xml:space="preserve"> </w:t>
      </w:r>
      <w:r w:rsidR="009C5A75">
        <w:rPr>
          <w:rFonts w:ascii="Times New Roman" w:hAnsi="Times New Roman"/>
          <w:sz w:val="24"/>
          <w:szCs w:val="24"/>
        </w:rPr>
        <w:t>TTap Construction provided the following explanation for the violation: “Because TTap Construction had installed utilities at that location prior, they knew the gas line was there and thought the risk of hitting the gas line was low. A new employee started the same day of the incident, therefore he was not as familiar with the job site which led to him damaging the pipeline.”</w:t>
      </w:r>
    </w:p>
    <w:p w14:paraId="53C8E7EB" w14:textId="68291128" w:rsidR="00CB0163" w:rsidRPr="00CB1237" w:rsidRDefault="009C5A75" w:rsidP="00466474">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bCs/>
          <w:sz w:val="24"/>
          <w:szCs w:val="24"/>
        </w:rPr>
        <w:t xml:space="preserve">On July 7, 2016, </w:t>
      </w:r>
      <w:r w:rsidRPr="009C5A75">
        <w:rPr>
          <w:rFonts w:ascii="Times New Roman" w:hAnsi="Times New Roman"/>
          <w:sz w:val="24"/>
          <w:szCs w:val="24"/>
        </w:rPr>
        <w:t>Commission staff (Staff) filed a response recommending the Commission deny the Company’s request for mitigation.</w:t>
      </w:r>
      <w:r>
        <w:rPr>
          <w:rFonts w:ascii="Times New Roman" w:hAnsi="Times New Roman"/>
          <w:bCs/>
          <w:sz w:val="24"/>
          <w:szCs w:val="24"/>
        </w:rPr>
        <w:t xml:space="preserve"> In its response, Staff explained that TTap Construction was excavating to install water services in a newly constructed residential neighborhood when it damaged a gas line owned by Cascade Natural Gas Corporation. The Company failed to request a utility locate prior to excavation. As a result of the damage, five nearby homes were evacuated. Staff noted that the Company </w:t>
      </w:r>
      <w:r w:rsidR="00D613F9">
        <w:rPr>
          <w:rFonts w:ascii="Times New Roman" w:hAnsi="Times New Roman"/>
          <w:bCs/>
          <w:sz w:val="24"/>
          <w:szCs w:val="24"/>
        </w:rPr>
        <w:t>failed to</w:t>
      </w:r>
      <w:r>
        <w:rPr>
          <w:rFonts w:ascii="Times New Roman" w:hAnsi="Times New Roman"/>
          <w:bCs/>
          <w:sz w:val="24"/>
          <w:szCs w:val="24"/>
        </w:rPr>
        <w:t xml:space="preserve"> introduce any new information that warrant</w:t>
      </w:r>
      <w:r w:rsidR="00D613F9">
        <w:rPr>
          <w:rFonts w:ascii="Times New Roman" w:hAnsi="Times New Roman"/>
          <w:bCs/>
          <w:sz w:val="24"/>
          <w:szCs w:val="24"/>
        </w:rPr>
        <w:t>s</w:t>
      </w:r>
      <w:r>
        <w:rPr>
          <w:rFonts w:ascii="Times New Roman" w:hAnsi="Times New Roman"/>
          <w:bCs/>
          <w:sz w:val="24"/>
          <w:szCs w:val="24"/>
        </w:rPr>
        <w:t xml:space="preserve"> a penalty reduction. </w:t>
      </w:r>
    </w:p>
    <w:p w14:paraId="5D760F17" w14:textId="77777777" w:rsidR="00CB0163" w:rsidRPr="00CB1237" w:rsidRDefault="00CB0163" w:rsidP="00466474">
      <w:pPr>
        <w:pStyle w:val="Heading1"/>
      </w:pPr>
      <w:r w:rsidRPr="00CB1237">
        <w:t>DISCUSSION AND DECISION</w:t>
      </w:r>
    </w:p>
    <w:p w14:paraId="0B3E4C62" w14:textId="0A841EA0" w:rsidR="00A6493D" w:rsidRPr="00CB1237" w:rsidRDefault="00CB1237" w:rsidP="00466474">
      <w:pPr>
        <w:pStyle w:val="NoSpacing"/>
        <w:numPr>
          <w:ilvl w:val="0"/>
          <w:numId w:val="8"/>
        </w:numPr>
        <w:spacing w:after="240" w:line="264" w:lineRule="auto"/>
        <w:ind w:left="0" w:hanging="720"/>
        <w:rPr>
          <w:rFonts w:ascii="Times New Roman" w:hAnsi="Times New Roman"/>
          <w:sz w:val="24"/>
          <w:szCs w:val="24"/>
        </w:rPr>
      </w:pPr>
      <w:r w:rsidRPr="00CB1237">
        <w:rPr>
          <w:rFonts w:ascii="Times New Roman" w:hAnsi="Times New Roman"/>
          <w:sz w:val="24"/>
          <w:szCs w:val="24"/>
        </w:rPr>
        <w:t xml:space="preserve">RCW 19.122.030(1)(a) </w:t>
      </w:r>
      <w:r w:rsidR="00432DFB">
        <w:rPr>
          <w:rFonts w:ascii="Times New Roman" w:hAnsi="Times New Roman"/>
          <w:sz w:val="24"/>
          <w:szCs w:val="24"/>
        </w:rPr>
        <w:t>requires excavators to “</w:t>
      </w:r>
      <w:r w:rsidRPr="00CB1237">
        <w:rPr>
          <w:rFonts w:ascii="Times New Roman" w:hAnsi="Times New Roman"/>
          <w:sz w:val="24"/>
          <w:szCs w:val="24"/>
        </w:rPr>
        <w:t xml:space="preserve">mark the boundary of the excavation area with white paint applied on the ground of the worksite, then provide notice of the scheduled commencement of excavation to all facility operators through a one-number locator service.” Further, an excavator is prohibited from excavating “until all known facility operators have marked or provided information regarding underground </w:t>
      </w:r>
      <w:r w:rsidRPr="00CB1237">
        <w:rPr>
          <w:rFonts w:ascii="Times New Roman" w:hAnsi="Times New Roman"/>
          <w:sz w:val="24"/>
          <w:szCs w:val="24"/>
        </w:rPr>
        <w:lastRenderedPageBreak/>
        <w:t>facilities.”</w:t>
      </w:r>
      <w:r w:rsidRPr="00CB1237">
        <w:rPr>
          <w:rStyle w:val="FootnoteReference"/>
          <w:rFonts w:ascii="Times New Roman" w:hAnsi="Times New Roman"/>
          <w:sz w:val="24"/>
          <w:szCs w:val="24"/>
        </w:rPr>
        <w:footnoteReference w:id="1"/>
      </w:r>
      <w:r w:rsidR="00432DFB">
        <w:rPr>
          <w:rFonts w:ascii="Times New Roman" w:hAnsi="Times New Roman"/>
          <w:sz w:val="24"/>
          <w:szCs w:val="24"/>
        </w:rPr>
        <w:t xml:space="preserve"> Excavators who violate these</w:t>
      </w:r>
      <w:r w:rsidRPr="00CB1237">
        <w:rPr>
          <w:rFonts w:ascii="Times New Roman" w:hAnsi="Times New Roman"/>
          <w:sz w:val="24"/>
          <w:szCs w:val="24"/>
        </w:rPr>
        <w:t xml:space="preserve"> provisions are subject to penalties </w:t>
      </w:r>
      <w:r w:rsidR="00432DFB">
        <w:rPr>
          <w:rFonts w:ascii="Times New Roman" w:hAnsi="Times New Roman"/>
          <w:sz w:val="24"/>
          <w:szCs w:val="24"/>
        </w:rPr>
        <w:t>of up to $10,000 per violation.</w:t>
      </w:r>
      <w:r w:rsidR="00687222" w:rsidRPr="00687222">
        <w:rPr>
          <w:rStyle w:val="FootnoteReference"/>
          <w:rFonts w:ascii="Times New Roman" w:hAnsi="Times New Roman"/>
          <w:sz w:val="25"/>
          <w:szCs w:val="25"/>
        </w:rPr>
        <w:t xml:space="preserve"> </w:t>
      </w:r>
      <w:r w:rsidR="00687222">
        <w:rPr>
          <w:rStyle w:val="FootnoteReference"/>
          <w:rFonts w:ascii="Times New Roman" w:hAnsi="Times New Roman"/>
          <w:sz w:val="25"/>
          <w:szCs w:val="25"/>
        </w:rPr>
        <w:footnoteReference w:id="2"/>
      </w:r>
      <w:r w:rsidR="00432DFB" w:rsidRPr="00687222">
        <w:rPr>
          <w:rFonts w:ascii="Times New Roman" w:hAnsi="Times New Roman"/>
          <w:sz w:val="24"/>
          <w:szCs w:val="24"/>
        </w:rPr>
        <w:t xml:space="preserve"> </w:t>
      </w:r>
    </w:p>
    <w:p w14:paraId="7B41B237" w14:textId="0997939B" w:rsidR="000631B2" w:rsidRDefault="00687222" w:rsidP="00466474">
      <w:pPr>
        <w:pStyle w:val="NoSpacing"/>
        <w:numPr>
          <w:ilvl w:val="0"/>
          <w:numId w:val="8"/>
        </w:numPr>
        <w:spacing w:after="240" w:line="264" w:lineRule="auto"/>
        <w:ind w:left="0" w:hanging="720"/>
        <w:rPr>
          <w:rFonts w:ascii="Times New Roman" w:hAnsi="Times New Roman"/>
          <w:sz w:val="24"/>
          <w:szCs w:val="24"/>
        </w:rPr>
      </w:pPr>
      <w:r w:rsidRPr="00687222">
        <w:rPr>
          <w:rFonts w:ascii="Times New Roman" w:hAnsi="Times New Roman"/>
          <w:sz w:val="24"/>
          <w:szCs w:val="24"/>
        </w:rPr>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687222">
        <w:rPr>
          <w:rFonts w:ascii="Times New Roman" w:hAnsi="Times New Roman"/>
          <w:sz w:val="24"/>
          <w:szCs w:val="24"/>
          <w:vertAlign w:val="superscript"/>
        </w:rPr>
        <w:footnoteReference w:id="3"/>
      </w:r>
    </w:p>
    <w:p w14:paraId="4555A891" w14:textId="06E1B200" w:rsidR="0093236E" w:rsidRPr="00F94498" w:rsidRDefault="00D61266" w:rsidP="00466474">
      <w:pPr>
        <w:pStyle w:val="NoSpacing"/>
        <w:numPr>
          <w:ilvl w:val="0"/>
          <w:numId w:val="8"/>
        </w:numPr>
        <w:spacing w:after="240" w:line="264" w:lineRule="auto"/>
        <w:ind w:left="0" w:hanging="720"/>
        <w:rPr>
          <w:rFonts w:ascii="Times New Roman" w:hAnsi="Times New Roman"/>
          <w:sz w:val="24"/>
          <w:szCs w:val="24"/>
        </w:rPr>
      </w:pPr>
      <w:r w:rsidRPr="00F94498">
        <w:rPr>
          <w:rFonts w:ascii="Times New Roman" w:hAnsi="Times New Roman"/>
          <w:sz w:val="24"/>
          <w:szCs w:val="24"/>
        </w:rPr>
        <w:t>Here, t</w:t>
      </w:r>
      <w:r w:rsidR="000631B2" w:rsidRPr="00F94498">
        <w:rPr>
          <w:rFonts w:ascii="Times New Roman" w:hAnsi="Times New Roman"/>
          <w:sz w:val="24"/>
          <w:szCs w:val="24"/>
        </w:rPr>
        <w:t xml:space="preserve">he Company did not introduce any new information that would warrant </w:t>
      </w:r>
      <w:r w:rsidR="00AC387A" w:rsidRPr="00F94498">
        <w:rPr>
          <w:rFonts w:ascii="Times New Roman" w:hAnsi="Times New Roman"/>
          <w:sz w:val="24"/>
          <w:szCs w:val="24"/>
        </w:rPr>
        <w:t>mitigation</w:t>
      </w:r>
      <w:r w:rsidRPr="00F94498">
        <w:rPr>
          <w:rFonts w:ascii="Times New Roman" w:hAnsi="Times New Roman"/>
          <w:sz w:val="24"/>
          <w:szCs w:val="24"/>
        </w:rPr>
        <w:t xml:space="preserve"> of the penalty</w:t>
      </w:r>
      <w:r w:rsidR="000631B2" w:rsidRPr="00F94498">
        <w:rPr>
          <w:rFonts w:ascii="Times New Roman" w:hAnsi="Times New Roman"/>
          <w:sz w:val="24"/>
          <w:szCs w:val="24"/>
        </w:rPr>
        <w:t xml:space="preserve">. </w:t>
      </w:r>
      <w:r w:rsidR="0093236E" w:rsidRPr="00F94498">
        <w:rPr>
          <w:rFonts w:ascii="Times New Roman" w:hAnsi="Times New Roman"/>
          <w:bCs/>
          <w:sz w:val="24"/>
          <w:szCs w:val="24"/>
        </w:rPr>
        <w:t xml:space="preserve">Companies that dig without first obtaining an underground utility locate </w:t>
      </w:r>
      <w:r w:rsidR="00A8212C" w:rsidRPr="00F94498">
        <w:rPr>
          <w:rFonts w:ascii="Times New Roman" w:hAnsi="Times New Roman"/>
          <w:bCs/>
          <w:sz w:val="24"/>
          <w:szCs w:val="24"/>
        </w:rPr>
        <w:t>put</w:t>
      </w:r>
      <w:r w:rsidR="0093236E" w:rsidRPr="00F94498">
        <w:rPr>
          <w:rFonts w:ascii="Times New Roman" w:hAnsi="Times New Roman"/>
          <w:bCs/>
          <w:sz w:val="24"/>
          <w:szCs w:val="24"/>
        </w:rPr>
        <w:t xml:space="preserve"> their employees, the public, and the facility operator’s employees at risk. The damage incident at issue could have resulted in a fire or an explosion. </w:t>
      </w:r>
      <w:r w:rsidR="00D613F9">
        <w:rPr>
          <w:rFonts w:ascii="Times New Roman" w:hAnsi="Times New Roman"/>
          <w:bCs/>
          <w:sz w:val="24"/>
          <w:szCs w:val="24"/>
        </w:rPr>
        <w:t xml:space="preserve">The Company should have obtained a utility locate regardless of whether it believed its employees knew the location of the recently-installed gas lines. </w:t>
      </w:r>
      <w:r w:rsidR="000631B2" w:rsidRPr="00F94498">
        <w:rPr>
          <w:rFonts w:ascii="Times New Roman" w:hAnsi="Times New Roman"/>
          <w:sz w:val="24"/>
          <w:szCs w:val="24"/>
        </w:rPr>
        <w:t xml:space="preserve">Accordingly, we find that the </w:t>
      </w:r>
      <w:r w:rsidR="00F94498" w:rsidRPr="00F94498">
        <w:rPr>
          <w:rFonts w:ascii="Times New Roman" w:hAnsi="Times New Roman"/>
          <w:sz w:val="24"/>
          <w:szCs w:val="24"/>
        </w:rPr>
        <w:t>penalty is appropriate in light of the circumstances,</w:t>
      </w:r>
      <w:r w:rsidR="000631B2" w:rsidRPr="00F94498">
        <w:rPr>
          <w:rFonts w:ascii="Times New Roman" w:hAnsi="Times New Roman"/>
          <w:sz w:val="24"/>
          <w:szCs w:val="24"/>
        </w:rPr>
        <w:t xml:space="preserve"> and </w:t>
      </w:r>
      <w:r w:rsidR="00002402" w:rsidRPr="00F94498">
        <w:rPr>
          <w:rFonts w:ascii="Times New Roman" w:hAnsi="Times New Roman"/>
          <w:sz w:val="24"/>
          <w:szCs w:val="24"/>
        </w:rPr>
        <w:t xml:space="preserve">conclude that the </w:t>
      </w:r>
      <w:r w:rsidR="000631B2" w:rsidRPr="00F94498">
        <w:rPr>
          <w:rFonts w:ascii="Times New Roman" w:hAnsi="Times New Roman"/>
          <w:sz w:val="24"/>
          <w:szCs w:val="24"/>
        </w:rPr>
        <w:t>Company’s request for mitigation</w:t>
      </w:r>
      <w:r w:rsidR="00002402" w:rsidRPr="00F94498">
        <w:rPr>
          <w:rFonts w:ascii="Times New Roman" w:hAnsi="Times New Roman"/>
          <w:sz w:val="24"/>
          <w:szCs w:val="24"/>
        </w:rPr>
        <w:t xml:space="preserve"> should be denied</w:t>
      </w:r>
      <w:r w:rsidR="000631B2" w:rsidRPr="00F94498">
        <w:rPr>
          <w:rFonts w:ascii="Times New Roman" w:hAnsi="Times New Roman"/>
          <w:sz w:val="24"/>
          <w:szCs w:val="24"/>
        </w:rPr>
        <w:t xml:space="preserve">. </w:t>
      </w:r>
    </w:p>
    <w:p w14:paraId="681228EE" w14:textId="77777777" w:rsidR="00CB0163" w:rsidRPr="00CB1237" w:rsidRDefault="00CB0163" w:rsidP="00466474">
      <w:pPr>
        <w:pStyle w:val="Heading1"/>
      </w:pPr>
      <w:r w:rsidRPr="00CB1237">
        <w:t>ORDER</w:t>
      </w:r>
    </w:p>
    <w:p w14:paraId="2AD9756E" w14:textId="77777777" w:rsidR="00CB0163" w:rsidRPr="00CB1237" w:rsidRDefault="00CB0163" w:rsidP="00466474">
      <w:pPr>
        <w:spacing w:after="240" w:line="264" w:lineRule="auto"/>
      </w:pPr>
      <w:r w:rsidRPr="00CB1237">
        <w:t>THE COMMISSION ORDERS THAT:</w:t>
      </w:r>
    </w:p>
    <w:p w14:paraId="4A7E08EC" w14:textId="7BC0B292" w:rsidR="00CB0163" w:rsidRPr="00CB1237" w:rsidRDefault="00EB34C8" w:rsidP="00466474">
      <w:pPr>
        <w:pStyle w:val="NoSpacing"/>
        <w:numPr>
          <w:ilvl w:val="0"/>
          <w:numId w:val="8"/>
        </w:numPr>
        <w:spacing w:after="240" w:line="264" w:lineRule="auto"/>
        <w:ind w:left="0" w:hanging="720"/>
        <w:rPr>
          <w:rFonts w:ascii="Times New Roman" w:hAnsi="Times New Roman"/>
          <w:sz w:val="24"/>
          <w:szCs w:val="24"/>
        </w:rPr>
      </w:pPr>
      <w:r w:rsidRPr="00CB1237">
        <w:rPr>
          <w:rFonts w:ascii="Times New Roman" w:hAnsi="Times New Roman"/>
          <w:sz w:val="24"/>
          <w:szCs w:val="24"/>
        </w:rPr>
        <w:t>(1)</w:t>
      </w:r>
      <w:r w:rsidRPr="00CB1237">
        <w:rPr>
          <w:rFonts w:ascii="Times New Roman" w:hAnsi="Times New Roman"/>
          <w:sz w:val="24"/>
          <w:szCs w:val="24"/>
        </w:rPr>
        <w:tab/>
      </w:r>
      <w:r w:rsidR="00F94498">
        <w:rPr>
          <w:rFonts w:ascii="Times New Roman" w:hAnsi="Times New Roman"/>
          <w:sz w:val="24"/>
          <w:szCs w:val="24"/>
        </w:rPr>
        <w:t>TTap Construction</w:t>
      </w:r>
      <w:r w:rsidR="00D613F9">
        <w:rPr>
          <w:rFonts w:ascii="Times New Roman" w:hAnsi="Times New Roman"/>
          <w:sz w:val="24"/>
          <w:szCs w:val="24"/>
        </w:rPr>
        <w:t xml:space="preserve"> Services</w:t>
      </w:r>
      <w:r w:rsidR="00F94498">
        <w:rPr>
          <w:rFonts w:ascii="Times New Roman" w:hAnsi="Times New Roman"/>
          <w:sz w:val="24"/>
          <w:szCs w:val="24"/>
        </w:rPr>
        <w:t>, LLC’s</w:t>
      </w:r>
      <w:r w:rsidR="005A3029" w:rsidRPr="00CB1237">
        <w:rPr>
          <w:rFonts w:ascii="Times New Roman" w:hAnsi="Times New Roman"/>
          <w:sz w:val="24"/>
          <w:szCs w:val="24"/>
        </w:rPr>
        <w:t xml:space="preserve"> request for mitigation is DENIED. </w:t>
      </w:r>
    </w:p>
    <w:p w14:paraId="40B7CC27" w14:textId="1B1DD6D1" w:rsidR="00EB34C8" w:rsidRPr="00CB1237" w:rsidRDefault="00EB34C8" w:rsidP="00466474">
      <w:pPr>
        <w:pStyle w:val="NoSpacing"/>
        <w:numPr>
          <w:ilvl w:val="0"/>
          <w:numId w:val="8"/>
        </w:numPr>
        <w:spacing w:after="240" w:line="264" w:lineRule="auto"/>
        <w:ind w:left="0" w:hanging="720"/>
        <w:rPr>
          <w:rFonts w:ascii="Times New Roman" w:hAnsi="Times New Roman"/>
          <w:sz w:val="24"/>
          <w:szCs w:val="24"/>
        </w:rPr>
      </w:pPr>
      <w:r w:rsidRPr="00CB1237">
        <w:rPr>
          <w:rFonts w:ascii="Times New Roman" w:hAnsi="Times New Roman"/>
          <w:sz w:val="24"/>
          <w:szCs w:val="24"/>
        </w:rPr>
        <w:t>(2)</w:t>
      </w:r>
      <w:r w:rsidRPr="00CB1237">
        <w:rPr>
          <w:rFonts w:ascii="Times New Roman" w:hAnsi="Times New Roman"/>
          <w:sz w:val="24"/>
          <w:szCs w:val="24"/>
        </w:rPr>
        <w:tab/>
      </w:r>
      <w:r w:rsidR="00F94498">
        <w:rPr>
          <w:rFonts w:ascii="Times New Roman" w:hAnsi="Times New Roman"/>
          <w:sz w:val="24"/>
          <w:szCs w:val="24"/>
        </w:rPr>
        <w:t>The $1,000 penalty is due and payable no later than July 27, 2016</w:t>
      </w:r>
      <w:r w:rsidRPr="00CB1237">
        <w:rPr>
          <w:rFonts w:ascii="Times New Roman" w:hAnsi="Times New Roman"/>
          <w:sz w:val="24"/>
          <w:szCs w:val="24"/>
        </w:rPr>
        <w:t>.</w:t>
      </w:r>
    </w:p>
    <w:p w14:paraId="2290B464" w14:textId="795749CC" w:rsidR="00CB0163" w:rsidRPr="00CB1237" w:rsidRDefault="00CB0163" w:rsidP="00466474">
      <w:pPr>
        <w:spacing w:after="240" w:line="264" w:lineRule="auto"/>
        <w:ind w:hanging="720"/>
      </w:pPr>
      <w:r w:rsidRPr="00CB1237">
        <w:t xml:space="preserve">DATED at Olympia, Washington, and effective </w:t>
      </w:r>
      <w:r w:rsidR="00F94498">
        <w:t>July 13</w:t>
      </w:r>
      <w:r w:rsidR="0026116F" w:rsidRPr="00CB1237">
        <w:t>, 2016</w:t>
      </w:r>
      <w:r w:rsidRPr="00CB1237">
        <w:t>.</w:t>
      </w:r>
    </w:p>
    <w:p w14:paraId="55C3CB5A" w14:textId="77777777" w:rsidR="00CB0163" w:rsidRPr="00CB1237" w:rsidRDefault="00CB0163" w:rsidP="00466474">
      <w:pPr>
        <w:spacing w:after="720" w:line="264" w:lineRule="auto"/>
        <w:jc w:val="center"/>
      </w:pPr>
      <w:r w:rsidRPr="00CB1237">
        <w:t>WASHINGTON UTILITIES AND TRANSPORTATION COMMISSION</w:t>
      </w:r>
    </w:p>
    <w:p w14:paraId="053AC1E0" w14:textId="6EFD3480" w:rsidR="00AE2AB3" w:rsidRPr="007F5EDF" w:rsidRDefault="00AE2AB3" w:rsidP="00466474">
      <w:pPr>
        <w:spacing w:line="288" w:lineRule="auto"/>
        <w:ind w:left="4320"/>
      </w:pPr>
      <w:r w:rsidRPr="007F5EDF">
        <w:t>STEVEN V. KING</w:t>
      </w:r>
      <w:r w:rsidR="00466474">
        <w:br/>
      </w:r>
      <w:r w:rsidRPr="007F5EDF">
        <w:t>Executive Director and Secretary</w:t>
      </w:r>
    </w:p>
    <w:p w14:paraId="3A2C7422" w14:textId="77777777" w:rsidR="00AE2AB3" w:rsidRPr="007F5EDF" w:rsidRDefault="00AE2AB3" w:rsidP="00AE2AB3">
      <w:pPr>
        <w:spacing w:line="288" w:lineRule="auto"/>
      </w:pPr>
    </w:p>
    <w:p w14:paraId="56701A50" w14:textId="77777777" w:rsidR="00AE2AB3" w:rsidRPr="007F5EDF" w:rsidRDefault="00AE2AB3" w:rsidP="00AE2AB3">
      <w:pPr>
        <w:spacing w:line="288" w:lineRule="auto"/>
      </w:pPr>
    </w:p>
    <w:p w14:paraId="25AE405D" w14:textId="69A65333" w:rsidR="00AE2AB3" w:rsidRPr="007F5EDF" w:rsidRDefault="00AE2AB3" w:rsidP="00AE2AB3">
      <w:pPr>
        <w:spacing w:line="288" w:lineRule="auto"/>
        <w:rPr>
          <w:b/>
          <w:bCs/>
        </w:rPr>
      </w:pPr>
      <w:r w:rsidRPr="007F5EDF">
        <w:rPr>
          <w:b/>
        </w:rPr>
        <w:lastRenderedPageBreak/>
        <w:t>NOTICE TO PARTIES:  This is an order delegated to the Exe</w:t>
      </w:r>
      <w:r w:rsidR="00466474">
        <w:rPr>
          <w:b/>
        </w:rPr>
        <w:t xml:space="preserve">cutive Secretary for decision. </w:t>
      </w:r>
      <w:r w:rsidRPr="007F5EDF">
        <w:rPr>
          <w:b/>
        </w:rPr>
        <w:t xml:space="preserve">As authorized in WAC 480-07-904(3), you </w:t>
      </w:r>
      <w:r w:rsidRPr="007F5EDF">
        <w:rPr>
          <w:b/>
          <w:bCs/>
        </w:rPr>
        <w:t>must file any request for Commission review of this order no later than 14 days after the date the decision is posted on the Co</w:t>
      </w:r>
      <w:r w:rsidR="00466474">
        <w:rPr>
          <w:b/>
          <w:bCs/>
        </w:rPr>
        <w:t>mmission’s website.</w:t>
      </w:r>
    </w:p>
    <w:sectPr w:rsidR="00AE2AB3" w:rsidRPr="007F5EDF"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26CB9" w14:textId="77777777" w:rsidR="00A57D27" w:rsidRDefault="00A57D27">
      <w:r>
        <w:separator/>
      </w:r>
    </w:p>
  </w:endnote>
  <w:endnote w:type="continuationSeparator" w:id="0">
    <w:p w14:paraId="5FCFD846" w14:textId="77777777" w:rsidR="00A57D27" w:rsidRDefault="00A5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42EC" w14:textId="77777777" w:rsidR="00AB0E31" w:rsidRDefault="00AB0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0457" w14:textId="77777777" w:rsidR="00AB0E31" w:rsidRDefault="00AB0E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DA5FC" w14:textId="77777777" w:rsidR="00AB0E31" w:rsidRDefault="00AB0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6FB1B" w14:textId="77777777" w:rsidR="00A57D27" w:rsidRDefault="00A57D27">
      <w:r>
        <w:separator/>
      </w:r>
    </w:p>
  </w:footnote>
  <w:footnote w:type="continuationSeparator" w:id="0">
    <w:p w14:paraId="2EC48E4B" w14:textId="77777777" w:rsidR="00A57D27" w:rsidRDefault="00A57D27">
      <w:r>
        <w:continuationSeparator/>
      </w:r>
    </w:p>
  </w:footnote>
  <w:footnote w:id="1">
    <w:p w14:paraId="5732839B" w14:textId="77777777" w:rsidR="00CB1237" w:rsidRPr="00FA59FF" w:rsidRDefault="00CB1237" w:rsidP="00CB1237">
      <w:pPr>
        <w:pStyle w:val="FootnoteText"/>
        <w:spacing w:after="120"/>
        <w:rPr>
          <w:sz w:val="22"/>
          <w:szCs w:val="22"/>
        </w:rPr>
      </w:pPr>
      <w:r w:rsidRPr="00FA59FF">
        <w:rPr>
          <w:rStyle w:val="FootnoteReference"/>
          <w:sz w:val="22"/>
          <w:szCs w:val="22"/>
        </w:rPr>
        <w:footnoteRef/>
      </w:r>
      <w:r w:rsidRPr="00FA59FF">
        <w:rPr>
          <w:sz w:val="22"/>
          <w:szCs w:val="22"/>
        </w:rPr>
        <w:t xml:space="preserve"> RCW 19.122.030(5).</w:t>
      </w:r>
    </w:p>
  </w:footnote>
  <w:footnote w:id="2">
    <w:p w14:paraId="62E45C71" w14:textId="77777777" w:rsidR="00687222" w:rsidRPr="00FA59FF" w:rsidRDefault="00687222" w:rsidP="00687222">
      <w:pPr>
        <w:pStyle w:val="FootnoteText"/>
        <w:spacing w:after="120"/>
        <w:rPr>
          <w:sz w:val="22"/>
          <w:szCs w:val="22"/>
        </w:rPr>
      </w:pPr>
      <w:r w:rsidRPr="00FA59FF">
        <w:rPr>
          <w:rStyle w:val="FootnoteReference"/>
          <w:sz w:val="22"/>
          <w:szCs w:val="22"/>
        </w:rPr>
        <w:footnoteRef/>
      </w:r>
      <w:r w:rsidRPr="00FA59FF">
        <w:rPr>
          <w:sz w:val="22"/>
          <w:szCs w:val="22"/>
        </w:rPr>
        <w:t xml:space="preserve"> RCW 19.122.055(1)(a).</w:t>
      </w:r>
    </w:p>
  </w:footnote>
  <w:footnote w:id="3">
    <w:p w14:paraId="51069AA2" w14:textId="77777777" w:rsidR="00687222" w:rsidRDefault="00687222" w:rsidP="00687222">
      <w:pPr>
        <w:pStyle w:val="FootnoteText"/>
      </w:pPr>
      <w:r w:rsidRPr="00FA59FF">
        <w:rPr>
          <w:rStyle w:val="FootnoteReference"/>
          <w:sz w:val="22"/>
          <w:szCs w:val="22"/>
        </w:rPr>
        <w:footnoteRef/>
      </w:r>
      <w:r w:rsidRPr="00FA59FF">
        <w:rPr>
          <w:sz w:val="22"/>
          <w:szCs w:val="22"/>
        </w:rPr>
        <w:t xml:space="preserve"> Docket A-120061, Enforcement Policy for the Washington Utilities and Transportation Commission (January 7, 2013) at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742F" w14:textId="77777777" w:rsidR="00AB0E31" w:rsidRDefault="00AB0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1830822E"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5A3029">
      <w:rPr>
        <w:b/>
        <w:bCs/>
        <w:sz w:val="20"/>
        <w:szCs w:val="20"/>
      </w:rPr>
      <w:t>DG-160</w:t>
    </w:r>
    <w:r w:rsidR="00F71A45">
      <w:rPr>
        <w:b/>
        <w:bCs/>
        <w:sz w:val="20"/>
        <w:szCs w:val="20"/>
      </w:rPr>
      <w:t>247</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AB0E31">
      <w:rPr>
        <w:rStyle w:val="PageNumber"/>
        <w:b/>
        <w:bCs/>
        <w:noProof/>
        <w:sz w:val="20"/>
        <w:szCs w:val="20"/>
      </w:rPr>
      <w:t>3</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3BC07" w14:textId="42FDCDB1" w:rsidR="00AB0E31" w:rsidRDefault="00AB0E31" w:rsidP="00AB0E31">
    <w:pPr>
      <w:pStyle w:val="Header"/>
      <w:jc w:val="right"/>
    </w:pPr>
    <w:r>
      <w:t>Service Date: July 13,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F0649"/>
    <w:rsid w:val="001007E1"/>
    <w:rsid w:val="00101D97"/>
    <w:rsid w:val="00103960"/>
    <w:rsid w:val="00111219"/>
    <w:rsid w:val="00111B07"/>
    <w:rsid w:val="00112B93"/>
    <w:rsid w:val="001155A4"/>
    <w:rsid w:val="001155D2"/>
    <w:rsid w:val="00117299"/>
    <w:rsid w:val="00117333"/>
    <w:rsid w:val="001179CD"/>
    <w:rsid w:val="00120913"/>
    <w:rsid w:val="0012204A"/>
    <w:rsid w:val="0012548B"/>
    <w:rsid w:val="00126995"/>
    <w:rsid w:val="00127197"/>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2BA"/>
    <w:rsid w:val="00203697"/>
    <w:rsid w:val="002061ED"/>
    <w:rsid w:val="00212C4A"/>
    <w:rsid w:val="0021739D"/>
    <w:rsid w:val="00217765"/>
    <w:rsid w:val="00223687"/>
    <w:rsid w:val="002258B1"/>
    <w:rsid w:val="00225BA3"/>
    <w:rsid w:val="00226090"/>
    <w:rsid w:val="002260E1"/>
    <w:rsid w:val="00227F07"/>
    <w:rsid w:val="00230FD0"/>
    <w:rsid w:val="00233D02"/>
    <w:rsid w:val="002376DA"/>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728F6"/>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5415"/>
    <w:rsid w:val="002D54E7"/>
    <w:rsid w:val="002E1E12"/>
    <w:rsid w:val="002E3C80"/>
    <w:rsid w:val="002E59AC"/>
    <w:rsid w:val="002E6663"/>
    <w:rsid w:val="002F169B"/>
    <w:rsid w:val="002F698C"/>
    <w:rsid w:val="002F6D84"/>
    <w:rsid w:val="002F71C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332A6"/>
    <w:rsid w:val="00334224"/>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66474"/>
    <w:rsid w:val="004734A9"/>
    <w:rsid w:val="00475E8F"/>
    <w:rsid w:val="00482044"/>
    <w:rsid w:val="004878BC"/>
    <w:rsid w:val="00490617"/>
    <w:rsid w:val="004906A3"/>
    <w:rsid w:val="00491D29"/>
    <w:rsid w:val="00496AC5"/>
    <w:rsid w:val="00497055"/>
    <w:rsid w:val="00497641"/>
    <w:rsid w:val="00497C39"/>
    <w:rsid w:val="00497D18"/>
    <w:rsid w:val="004A11F3"/>
    <w:rsid w:val="004A1A6D"/>
    <w:rsid w:val="004A3E2A"/>
    <w:rsid w:val="004A74A6"/>
    <w:rsid w:val="004B28AD"/>
    <w:rsid w:val="004B4BCD"/>
    <w:rsid w:val="004C0175"/>
    <w:rsid w:val="004C1D79"/>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599F"/>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6DC"/>
    <w:rsid w:val="00674144"/>
    <w:rsid w:val="00675C9A"/>
    <w:rsid w:val="00683212"/>
    <w:rsid w:val="00683BD2"/>
    <w:rsid w:val="00683D80"/>
    <w:rsid w:val="00684895"/>
    <w:rsid w:val="00687222"/>
    <w:rsid w:val="0069127E"/>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656"/>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87ECB"/>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5CF8"/>
    <w:rsid w:val="007B74DA"/>
    <w:rsid w:val="007C042F"/>
    <w:rsid w:val="007C1AF6"/>
    <w:rsid w:val="007D1ED9"/>
    <w:rsid w:val="007D1F57"/>
    <w:rsid w:val="007D348E"/>
    <w:rsid w:val="007E43FB"/>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47786"/>
    <w:rsid w:val="00850B99"/>
    <w:rsid w:val="00852803"/>
    <w:rsid w:val="00854DC8"/>
    <w:rsid w:val="008554A7"/>
    <w:rsid w:val="00857E91"/>
    <w:rsid w:val="00860038"/>
    <w:rsid w:val="00860E1F"/>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20F9"/>
    <w:rsid w:val="008F39D6"/>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52A55"/>
    <w:rsid w:val="009603B2"/>
    <w:rsid w:val="009621E7"/>
    <w:rsid w:val="00962A64"/>
    <w:rsid w:val="00962EFB"/>
    <w:rsid w:val="00964F36"/>
    <w:rsid w:val="00967B6B"/>
    <w:rsid w:val="009732C4"/>
    <w:rsid w:val="00974895"/>
    <w:rsid w:val="00977283"/>
    <w:rsid w:val="00980C17"/>
    <w:rsid w:val="00981531"/>
    <w:rsid w:val="0098271D"/>
    <w:rsid w:val="00982CA8"/>
    <w:rsid w:val="009839F8"/>
    <w:rsid w:val="0098573E"/>
    <w:rsid w:val="00992ED9"/>
    <w:rsid w:val="0099456C"/>
    <w:rsid w:val="009946AD"/>
    <w:rsid w:val="0099595F"/>
    <w:rsid w:val="00996773"/>
    <w:rsid w:val="0099740E"/>
    <w:rsid w:val="009A1B9B"/>
    <w:rsid w:val="009A3C28"/>
    <w:rsid w:val="009B1AB0"/>
    <w:rsid w:val="009B4ABC"/>
    <w:rsid w:val="009B4C93"/>
    <w:rsid w:val="009C0FDC"/>
    <w:rsid w:val="009C37F4"/>
    <w:rsid w:val="009C5A75"/>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40ACE"/>
    <w:rsid w:val="00A40D0F"/>
    <w:rsid w:val="00A423ED"/>
    <w:rsid w:val="00A42493"/>
    <w:rsid w:val="00A432A7"/>
    <w:rsid w:val="00A445FF"/>
    <w:rsid w:val="00A502B4"/>
    <w:rsid w:val="00A55C3E"/>
    <w:rsid w:val="00A57D27"/>
    <w:rsid w:val="00A60CCC"/>
    <w:rsid w:val="00A6168F"/>
    <w:rsid w:val="00A6192B"/>
    <w:rsid w:val="00A61B61"/>
    <w:rsid w:val="00A61EDE"/>
    <w:rsid w:val="00A6493D"/>
    <w:rsid w:val="00A70786"/>
    <w:rsid w:val="00A71D58"/>
    <w:rsid w:val="00A721F6"/>
    <w:rsid w:val="00A7478B"/>
    <w:rsid w:val="00A754B7"/>
    <w:rsid w:val="00A75C9C"/>
    <w:rsid w:val="00A8212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0E31"/>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AB3"/>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3989"/>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72A1"/>
    <w:rsid w:val="00B97D0B"/>
    <w:rsid w:val="00BA22B1"/>
    <w:rsid w:val="00BA610A"/>
    <w:rsid w:val="00BA702B"/>
    <w:rsid w:val="00BB03CF"/>
    <w:rsid w:val="00BB104F"/>
    <w:rsid w:val="00BB11EE"/>
    <w:rsid w:val="00BB1728"/>
    <w:rsid w:val="00BB1E9B"/>
    <w:rsid w:val="00BB2383"/>
    <w:rsid w:val="00BB255F"/>
    <w:rsid w:val="00BC15F7"/>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41F20"/>
    <w:rsid w:val="00C424A7"/>
    <w:rsid w:val="00C425BC"/>
    <w:rsid w:val="00C43731"/>
    <w:rsid w:val="00C44ACA"/>
    <w:rsid w:val="00C466A8"/>
    <w:rsid w:val="00C5166B"/>
    <w:rsid w:val="00C55C49"/>
    <w:rsid w:val="00C567A3"/>
    <w:rsid w:val="00C633CB"/>
    <w:rsid w:val="00C63B4B"/>
    <w:rsid w:val="00C71783"/>
    <w:rsid w:val="00C76F7C"/>
    <w:rsid w:val="00C81906"/>
    <w:rsid w:val="00C829A5"/>
    <w:rsid w:val="00C831B2"/>
    <w:rsid w:val="00C837DB"/>
    <w:rsid w:val="00C84737"/>
    <w:rsid w:val="00C8612F"/>
    <w:rsid w:val="00C92A52"/>
    <w:rsid w:val="00C94AC0"/>
    <w:rsid w:val="00CA0EC2"/>
    <w:rsid w:val="00CA18D9"/>
    <w:rsid w:val="00CA364C"/>
    <w:rsid w:val="00CB0163"/>
    <w:rsid w:val="00CB0263"/>
    <w:rsid w:val="00CB1237"/>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26A9"/>
    <w:rsid w:val="00D5334A"/>
    <w:rsid w:val="00D53B98"/>
    <w:rsid w:val="00D600A4"/>
    <w:rsid w:val="00D61266"/>
    <w:rsid w:val="00D613F9"/>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5A3"/>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7915"/>
    <w:rsid w:val="00EB03FA"/>
    <w:rsid w:val="00EB34C8"/>
    <w:rsid w:val="00EB5624"/>
    <w:rsid w:val="00EC1EF2"/>
    <w:rsid w:val="00EC408E"/>
    <w:rsid w:val="00EC5535"/>
    <w:rsid w:val="00ED0C7E"/>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A45"/>
    <w:rsid w:val="00F71EAB"/>
    <w:rsid w:val="00F73A62"/>
    <w:rsid w:val="00F80B51"/>
    <w:rsid w:val="00F86941"/>
    <w:rsid w:val="00F929AB"/>
    <w:rsid w:val="00F94498"/>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466474"/>
    <w:pPr>
      <w:keepNext/>
      <w:spacing w:after="240" w:line="264" w:lineRule="auto"/>
      <w:ind w:left="-360"/>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2016-02-26T08:00:00+00:00</OpenedDate>
    <Date1 xmlns="dc463f71-b30c-4ab2-9473-d307f9d35888">2016-07-13T07:00:00+00:00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160247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2C4012EA6D64680437BCCFF96BAF2" ma:contentTypeVersion="104" ma:contentTypeDescription="" ma:contentTypeScope="" ma:versionID="33a3a41043c58cef87e496c934144e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FBCFD-242A-4D4D-B95A-C3D560CFB36A}"/>
</file>

<file path=customXml/itemProps2.xml><?xml version="1.0" encoding="utf-8"?>
<ds:datastoreItem xmlns:ds="http://schemas.openxmlformats.org/officeDocument/2006/customXml" ds:itemID="{2186032A-070E-4927-8854-E124C1100B85}"/>
</file>

<file path=customXml/itemProps3.xml><?xml version="1.0" encoding="utf-8"?>
<ds:datastoreItem xmlns:ds="http://schemas.openxmlformats.org/officeDocument/2006/customXml" ds:itemID="{E5AD7563-AD16-4587-8AF5-959F530D8118}"/>
</file>

<file path=customXml/itemProps4.xml><?xml version="1.0" encoding="utf-8"?>
<ds:datastoreItem xmlns:ds="http://schemas.openxmlformats.org/officeDocument/2006/customXml" ds:itemID="{7DA3124F-DF10-4A2E-8D45-75F9CD650C72}"/>
</file>

<file path=customXml/itemProps5.xml><?xml version="1.0" encoding="utf-8"?>
<ds:datastoreItem xmlns:ds="http://schemas.openxmlformats.org/officeDocument/2006/customXml" ds:itemID="{AB9F3C41-F3A8-4E22-9264-02DB64BA190F}"/>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3304</Characters>
  <Application>Microsoft Office Word</Application>
  <DocSecurity>0</DocSecurity>
  <Lines>27</Lines>
  <Paragraphs>7</Paragraphs>
  <ScaleCrop>false</ScaleCrop>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Mitigation </dc:title>
  <dc:subject/>
  <dc:creator/>
  <cp:keywords/>
  <cp:lastModifiedBy/>
  <cp:revision>1</cp:revision>
  <dcterms:created xsi:type="dcterms:W3CDTF">2016-07-13T15:39:00Z</dcterms:created>
  <dcterms:modified xsi:type="dcterms:W3CDTF">2016-07-13T15:42:00Z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0x0101006E56B4D1795A2E4DB2F0B01679ED314A001EF2C4012EA6D64680437BCCFF96BAF2</vt:lpwstr>
  </property>
  <property fmtid="{D5CDD505-2E9C-101B-9397-08002B2CF9AE}" pid="3" name="_docset_NoMedatataSyncRequired">
    <vt:lpwstr>False</vt:lpwstr>
  </property>
</Properties>
</file>