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54E5A" w14:textId="7EA8F289" w:rsidR="00357665" w:rsidRPr="00040AB6" w:rsidRDefault="00357665" w:rsidP="00AD09B3">
      <w:pPr>
        <w:spacing w:after="0" w:line="240" w:lineRule="auto"/>
        <w:jc w:val="center"/>
        <w:rPr>
          <w:rFonts w:asciiTheme="minorHAnsi" w:hAnsiTheme="minorHAnsi"/>
          <w:sz w:val="52"/>
          <w:szCs w:val="52"/>
        </w:rPr>
      </w:pPr>
      <w:bookmarkStart w:id="0" w:name="_GoBack"/>
      <w:bookmarkEnd w:id="0"/>
      <w:r w:rsidRPr="00040AB6">
        <w:rPr>
          <w:rFonts w:asciiTheme="minorHAnsi" w:hAnsiTheme="minorHAnsi"/>
          <w:sz w:val="52"/>
          <w:szCs w:val="52"/>
        </w:rPr>
        <w:t xml:space="preserve">NW Natural’s </w:t>
      </w:r>
      <w:r w:rsidR="006606E5" w:rsidRPr="00040AB6">
        <w:rPr>
          <w:rFonts w:asciiTheme="minorHAnsi" w:hAnsiTheme="minorHAnsi"/>
          <w:sz w:val="52"/>
          <w:szCs w:val="52"/>
        </w:rPr>
        <w:t>201</w:t>
      </w:r>
      <w:r w:rsidR="006606E5">
        <w:rPr>
          <w:rFonts w:asciiTheme="minorHAnsi" w:hAnsiTheme="minorHAnsi"/>
          <w:sz w:val="52"/>
          <w:szCs w:val="52"/>
        </w:rPr>
        <w:t>6</w:t>
      </w:r>
      <w:r w:rsidR="006606E5" w:rsidRPr="00040AB6">
        <w:rPr>
          <w:rFonts w:asciiTheme="minorHAnsi" w:hAnsiTheme="minorHAnsi"/>
          <w:sz w:val="52"/>
          <w:szCs w:val="52"/>
        </w:rPr>
        <w:t xml:space="preserve"> </w:t>
      </w:r>
    </w:p>
    <w:p w14:paraId="53FB84D2" w14:textId="77777777" w:rsidR="00357665" w:rsidRPr="00040AB6" w:rsidRDefault="00357665" w:rsidP="00AD09B3">
      <w:pPr>
        <w:spacing w:after="0" w:line="240" w:lineRule="auto"/>
        <w:jc w:val="center"/>
        <w:rPr>
          <w:rFonts w:asciiTheme="minorHAnsi" w:hAnsiTheme="minorHAnsi"/>
          <w:sz w:val="52"/>
          <w:szCs w:val="52"/>
        </w:rPr>
      </w:pPr>
      <w:r w:rsidRPr="00040AB6">
        <w:rPr>
          <w:rFonts w:asciiTheme="minorHAnsi" w:hAnsiTheme="minorHAnsi"/>
          <w:sz w:val="52"/>
          <w:szCs w:val="52"/>
        </w:rPr>
        <w:t>Energy Efficiency Plan</w:t>
      </w:r>
    </w:p>
    <w:p w14:paraId="732359FB" w14:textId="77777777" w:rsidR="00357665" w:rsidRPr="00040AB6" w:rsidRDefault="00357665" w:rsidP="00B12B90">
      <w:pPr>
        <w:rPr>
          <w:rFonts w:asciiTheme="minorHAnsi" w:hAnsiTheme="minorHAnsi"/>
          <w:sz w:val="32"/>
          <w:szCs w:val="32"/>
        </w:rPr>
      </w:pPr>
    </w:p>
    <w:p w14:paraId="2E3FEF64" w14:textId="77777777" w:rsidR="00357665" w:rsidRPr="00040AB6" w:rsidRDefault="00357665" w:rsidP="00EB0FF1">
      <w:pPr>
        <w:pStyle w:val="ListParagraph"/>
        <w:numPr>
          <w:ilvl w:val="0"/>
          <w:numId w:val="9"/>
        </w:numPr>
        <w:spacing w:after="0"/>
        <w:ind w:left="720"/>
        <w:rPr>
          <w:rFonts w:asciiTheme="minorHAnsi" w:hAnsiTheme="minorHAnsi"/>
          <w:sz w:val="32"/>
          <w:szCs w:val="32"/>
        </w:rPr>
      </w:pPr>
      <w:r w:rsidRPr="00040AB6">
        <w:rPr>
          <w:rFonts w:asciiTheme="minorHAnsi" w:hAnsiTheme="minorHAnsi"/>
          <w:sz w:val="32"/>
          <w:szCs w:val="32"/>
        </w:rPr>
        <w:t>Background</w:t>
      </w:r>
    </w:p>
    <w:p w14:paraId="65CF96E2" w14:textId="326D5D25" w:rsidR="00357665" w:rsidRPr="00040AB6" w:rsidRDefault="00357665" w:rsidP="00EB0FF1">
      <w:pPr>
        <w:pStyle w:val="ListParagraph"/>
        <w:spacing w:after="0" w:line="240" w:lineRule="auto"/>
        <w:rPr>
          <w:rFonts w:asciiTheme="minorHAnsi" w:hAnsiTheme="minorHAnsi"/>
          <w:sz w:val="24"/>
          <w:szCs w:val="24"/>
        </w:rPr>
      </w:pPr>
      <w:r w:rsidRPr="00040AB6">
        <w:rPr>
          <w:rFonts w:asciiTheme="minorHAnsi" w:hAnsiTheme="minorHAnsi"/>
          <w:sz w:val="24"/>
          <w:szCs w:val="24"/>
        </w:rPr>
        <w:t>Northwest Natural, dba NW Natural (“NW Natural” or Company”), began offering its current energy efficiency programs to Washington customers on October 1, 2009.  The Washington Utilities and Transportation Commission’s (</w:t>
      </w:r>
      <w:r w:rsidR="00FE0DD2" w:rsidRPr="00040AB6">
        <w:rPr>
          <w:rFonts w:asciiTheme="minorHAnsi" w:hAnsiTheme="minorHAnsi"/>
          <w:sz w:val="24"/>
          <w:szCs w:val="24"/>
        </w:rPr>
        <w:t>“</w:t>
      </w:r>
      <w:r w:rsidRPr="00040AB6">
        <w:rPr>
          <w:rFonts w:asciiTheme="minorHAnsi" w:hAnsiTheme="minorHAnsi"/>
          <w:sz w:val="24"/>
          <w:szCs w:val="24"/>
        </w:rPr>
        <w:t>WUTC’s</w:t>
      </w:r>
      <w:r w:rsidR="00FE0DD2" w:rsidRPr="00040AB6">
        <w:rPr>
          <w:rFonts w:asciiTheme="minorHAnsi" w:hAnsiTheme="minorHAnsi"/>
          <w:sz w:val="24"/>
          <w:szCs w:val="24"/>
        </w:rPr>
        <w:t>”</w:t>
      </w:r>
      <w:r w:rsidRPr="00040AB6">
        <w:rPr>
          <w:rFonts w:asciiTheme="minorHAnsi" w:hAnsiTheme="minorHAnsi"/>
          <w:sz w:val="24"/>
          <w:szCs w:val="24"/>
        </w:rPr>
        <w:t>) Order No. 04 in the Company’s 2008 rate case, docketed as UG-080546, directed NW Natural to create and begin offering a program.</w:t>
      </w:r>
    </w:p>
    <w:p w14:paraId="67DC47D9" w14:textId="77777777" w:rsidR="00357665" w:rsidRPr="00040AB6" w:rsidRDefault="00357665" w:rsidP="00B12B90">
      <w:pPr>
        <w:pStyle w:val="ListParagraph"/>
        <w:spacing w:after="0" w:line="240" w:lineRule="auto"/>
        <w:ind w:hanging="720"/>
        <w:rPr>
          <w:rFonts w:asciiTheme="minorHAnsi" w:hAnsiTheme="minorHAnsi"/>
          <w:sz w:val="24"/>
          <w:szCs w:val="24"/>
        </w:rPr>
      </w:pPr>
    </w:p>
    <w:p w14:paraId="08BD3151" w14:textId="77777777" w:rsidR="00357665" w:rsidRPr="00040AB6" w:rsidRDefault="00357665" w:rsidP="00B12B90">
      <w:pPr>
        <w:pStyle w:val="ListParagraph"/>
        <w:numPr>
          <w:ilvl w:val="0"/>
          <w:numId w:val="9"/>
        </w:numPr>
        <w:spacing w:after="0" w:line="240" w:lineRule="auto"/>
        <w:ind w:left="720"/>
        <w:rPr>
          <w:rFonts w:asciiTheme="minorHAnsi" w:hAnsiTheme="minorHAnsi"/>
          <w:sz w:val="32"/>
          <w:szCs w:val="32"/>
        </w:rPr>
      </w:pPr>
      <w:r w:rsidRPr="00040AB6">
        <w:rPr>
          <w:rFonts w:asciiTheme="minorHAnsi" w:hAnsiTheme="minorHAnsi"/>
          <w:sz w:val="32"/>
          <w:szCs w:val="32"/>
        </w:rPr>
        <w:t>Oversight</w:t>
      </w:r>
    </w:p>
    <w:p w14:paraId="5D19AFF7" w14:textId="77777777" w:rsidR="00357665" w:rsidRPr="00040AB6" w:rsidRDefault="00357665" w:rsidP="000F51D9">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NW Natural’s energy efficiency programs were developed and continue to evolve under the direction and oversight of the Energy Efficiency Advisory Group (“EEAG”) which is comprised of interested parties to the Company’s 2008 rate case.  The EEAG includes representatives from NW Natural, Energy Trust of Oregon (“Energy Trust”), WUTC Staff, Public Counsel, Northwest Industrial Gas Users (“NWIGU”), The Energy Project, and NW Energy Coalition. </w:t>
      </w:r>
    </w:p>
    <w:p w14:paraId="3D8071C5" w14:textId="77777777" w:rsidR="00357665" w:rsidRPr="00040AB6" w:rsidRDefault="00357665" w:rsidP="00B12B90">
      <w:pPr>
        <w:pStyle w:val="ListParagraph"/>
        <w:spacing w:after="0" w:line="240" w:lineRule="auto"/>
        <w:ind w:hanging="720"/>
        <w:rPr>
          <w:rFonts w:asciiTheme="minorHAnsi" w:hAnsiTheme="minorHAnsi"/>
          <w:sz w:val="24"/>
          <w:szCs w:val="24"/>
        </w:rPr>
      </w:pPr>
    </w:p>
    <w:p w14:paraId="039960A5" w14:textId="77777777" w:rsidR="00357665" w:rsidRPr="00040AB6" w:rsidRDefault="00357665" w:rsidP="00B12B90">
      <w:pPr>
        <w:pStyle w:val="ListParagraph"/>
        <w:numPr>
          <w:ilvl w:val="0"/>
          <w:numId w:val="9"/>
        </w:numPr>
        <w:spacing w:after="0" w:line="240" w:lineRule="auto"/>
        <w:ind w:left="720"/>
        <w:rPr>
          <w:rFonts w:asciiTheme="minorHAnsi" w:hAnsiTheme="minorHAnsi"/>
          <w:sz w:val="32"/>
          <w:szCs w:val="32"/>
        </w:rPr>
      </w:pPr>
      <w:r w:rsidRPr="00040AB6">
        <w:rPr>
          <w:rFonts w:asciiTheme="minorHAnsi" w:hAnsiTheme="minorHAnsi"/>
          <w:sz w:val="32"/>
          <w:szCs w:val="32"/>
        </w:rPr>
        <w:t>Program Administration</w:t>
      </w:r>
    </w:p>
    <w:p w14:paraId="2E1D57C2" w14:textId="77777777" w:rsidR="00357665" w:rsidRPr="00040AB6" w:rsidRDefault="00357665" w:rsidP="00B12B90">
      <w:pPr>
        <w:spacing w:after="0" w:line="240" w:lineRule="auto"/>
        <w:ind w:left="720"/>
        <w:rPr>
          <w:rFonts w:asciiTheme="minorHAnsi" w:hAnsiTheme="minorHAnsi"/>
          <w:sz w:val="24"/>
          <w:szCs w:val="24"/>
        </w:rPr>
      </w:pPr>
      <w:r w:rsidRPr="00040AB6">
        <w:rPr>
          <w:rFonts w:asciiTheme="minorHAnsi" w:hAnsiTheme="minorHAnsi"/>
          <w:sz w:val="24"/>
          <w:szCs w:val="24"/>
        </w:rPr>
        <w:t>NW Natural’s general energy efficiency programs are administered by the Energy Trust, which is an independent, nonprofit organization dedicated to helping utility customers save electric and gas energy.  Energy Trust was formed in 2002 in response to Oregon legislation that restructured electric utilities</w:t>
      </w:r>
      <w:r w:rsidRPr="00040AB6">
        <w:rPr>
          <w:rStyle w:val="FootnoteReference"/>
          <w:rFonts w:asciiTheme="minorHAnsi" w:hAnsiTheme="minorHAnsi"/>
          <w:sz w:val="24"/>
          <w:szCs w:val="24"/>
        </w:rPr>
        <w:footnoteReference w:id="2"/>
      </w:r>
      <w:r w:rsidRPr="00040AB6">
        <w:rPr>
          <w:rFonts w:asciiTheme="minorHAnsi" w:hAnsiTheme="minorHAnsi"/>
          <w:sz w:val="24"/>
          <w:szCs w:val="24"/>
        </w:rPr>
        <w:t xml:space="preserve"> for multiple reasons including allowing non-residential customers to purchase their electricity from providers other than the utility and reassigning the responsibility for demand side management from utility operations to Energy Trust.  </w:t>
      </w:r>
    </w:p>
    <w:p w14:paraId="36BC81B2" w14:textId="77777777" w:rsidR="00357665" w:rsidRPr="00040AB6" w:rsidRDefault="00357665" w:rsidP="001E306E">
      <w:pPr>
        <w:spacing w:after="0" w:line="240" w:lineRule="auto"/>
        <w:ind w:left="720"/>
        <w:rPr>
          <w:rFonts w:asciiTheme="minorHAnsi" w:hAnsiTheme="minorHAnsi"/>
          <w:sz w:val="24"/>
          <w:szCs w:val="24"/>
        </w:rPr>
      </w:pPr>
    </w:p>
    <w:p w14:paraId="78C869CB" w14:textId="77777777" w:rsidR="00357665" w:rsidRPr="00040AB6" w:rsidRDefault="00357665" w:rsidP="001E306E">
      <w:pPr>
        <w:spacing w:after="0" w:line="240" w:lineRule="auto"/>
        <w:ind w:left="720"/>
        <w:rPr>
          <w:rFonts w:asciiTheme="minorHAnsi" w:hAnsiTheme="minorHAnsi"/>
          <w:sz w:val="24"/>
          <w:szCs w:val="24"/>
        </w:rPr>
      </w:pPr>
      <w:r w:rsidRPr="00040AB6">
        <w:rPr>
          <w:rFonts w:asciiTheme="minorHAnsi" w:hAnsiTheme="minorHAnsi"/>
          <w:sz w:val="24"/>
          <w:szCs w:val="24"/>
        </w:rPr>
        <w:t xml:space="preserve">NW Natural began using Energy Trust as the delivery arm for its Oregon energy efficiency program in 2003.  Since NW Natural’s Washington service territory is contiguous with its Oregon territory, it made sense to have Energy Trust extend the boundaries of the Oregon program offerings into Washington.  </w:t>
      </w:r>
    </w:p>
    <w:p w14:paraId="3B8F92AC" w14:textId="77777777" w:rsidR="00357665" w:rsidRPr="00040AB6" w:rsidRDefault="00357665" w:rsidP="001E306E">
      <w:pPr>
        <w:spacing w:after="0" w:line="240" w:lineRule="auto"/>
        <w:ind w:left="720"/>
        <w:rPr>
          <w:rFonts w:asciiTheme="minorHAnsi" w:hAnsiTheme="minorHAnsi"/>
          <w:sz w:val="24"/>
          <w:szCs w:val="24"/>
        </w:rPr>
      </w:pPr>
    </w:p>
    <w:p w14:paraId="0DFAA921" w14:textId="77777777" w:rsidR="00357665" w:rsidRPr="00040AB6" w:rsidRDefault="00357665" w:rsidP="001E306E">
      <w:pPr>
        <w:spacing w:after="0" w:line="240" w:lineRule="auto"/>
        <w:ind w:left="720"/>
        <w:rPr>
          <w:rFonts w:asciiTheme="minorHAnsi" w:hAnsiTheme="minorHAnsi"/>
          <w:sz w:val="24"/>
          <w:szCs w:val="24"/>
        </w:rPr>
      </w:pPr>
      <w:r w:rsidRPr="00040AB6">
        <w:rPr>
          <w:rFonts w:asciiTheme="minorHAnsi" w:hAnsiTheme="minorHAnsi"/>
          <w:sz w:val="24"/>
          <w:szCs w:val="24"/>
        </w:rPr>
        <w:t xml:space="preserve">As agreed to in UG-080546, Energy Trust administered the Company’s program for one pilot year.  During this time, the EEAG monitored the program’s performance and assessed whether Energy Trust should be the ongoing program administrator.  On May 25, 2011, NW Natural made a compliance filing in UG-080546 wherein it stated the </w:t>
      </w:r>
      <w:r w:rsidRPr="00040AB6">
        <w:rPr>
          <w:rFonts w:asciiTheme="minorHAnsi" w:hAnsiTheme="minorHAnsi"/>
          <w:sz w:val="24"/>
          <w:szCs w:val="24"/>
        </w:rPr>
        <w:lastRenderedPageBreak/>
        <w:t xml:space="preserve">EEAG’s opinion to allow Energy Trust to continue administering NW Natural’s energy efficiency programs in Washington. On June 8, 2011, Public Counsel separately filed a letter supporting this decision.  </w:t>
      </w:r>
    </w:p>
    <w:p w14:paraId="643705E4" w14:textId="77777777" w:rsidR="00357665" w:rsidRPr="00040AB6" w:rsidRDefault="00357665" w:rsidP="00BF2975">
      <w:pPr>
        <w:spacing w:after="0" w:line="240" w:lineRule="auto"/>
        <w:ind w:left="1080"/>
        <w:rPr>
          <w:rFonts w:asciiTheme="minorHAnsi" w:hAnsiTheme="minorHAnsi"/>
          <w:sz w:val="24"/>
          <w:szCs w:val="24"/>
        </w:rPr>
      </w:pPr>
    </w:p>
    <w:p w14:paraId="2DE9F0CB" w14:textId="289B1328" w:rsidR="00357665" w:rsidRPr="00040AB6" w:rsidRDefault="00357665" w:rsidP="00BF2975">
      <w:pPr>
        <w:spacing w:after="0" w:line="240" w:lineRule="auto"/>
        <w:ind w:left="720"/>
        <w:rPr>
          <w:rFonts w:asciiTheme="minorHAnsi" w:hAnsiTheme="minorHAnsi"/>
          <w:sz w:val="24"/>
          <w:szCs w:val="24"/>
        </w:rPr>
      </w:pPr>
      <w:r w:rsidRPr="00040AB6">
        <w:rPr>
          <w:rFonts w:asciiTheme="minorHAnsi" w:hAnsiTheme="minorHAnsi"/>
          <w:sz w:val="24"/>
          <w:szCs w:val="24"/>
        </w:rPr>
        <w:t>NW Natural’s Washington Low Income Energy Efficiency Program (</w:t>
      </w:r>
      <w:r w:rsidR="00FE0DD2" w:rsidRPr="00040AB6">
        <w:rPr>
          <w:rFonts w:asciiTheme="minorHAnsi" w:hAnsiTheme="minorHAnsi"/>
          <w:sz w:val="24"/>
          <w:szCs w:val="24"/>
        </w:rPr>
        <w:t>“</w:t>
      </w:r>
      <w:r w:rsidRPr="00040AB6">
        <w:rPr>
          <w:rFonts w:asciiTheme="minorHAnsi" w:hAnsiTheme="minorHAnsi"/>
          <w:sz w:val="24"/>
          <w:szCs w:val="24"/>
        </w:rPr>
        <w:t>WA-LIEE</w:t>
      </w:r>
      <w:r w:rsidR="00FE0DD2" w:rsidRPr="00040AB6">
        <w:rPr>
          <w:rFonts w:asciiTheme="minorHAnsi" w:hAnsiTheme="minorHAnsi"/>
          <w:sz w:val="24"/>
          <w:szCs w:val="24"/>
        </w:rPr>
        <w:t>”</w:t>
      </w:r>
      <w:r w:rsidRPr="00040AB6">
        <w:rPr>
          <w:rFonts w:asciiTheme="minorHAnsi" w:hAnsiTheme="minorHAnsi"/>
          <w:sz w:val="24"/>
          <w:szCs w:val="24"/>
        </w:rPr>
        <w:t xml:space="preserve">) is administered by Clark County Community Action Agency, </w:t>
      </w:r>
      <w:r w:rsidR="00D85227">
        <w:rPr>
          <w:rFonts w:asciiTheme="minorHAnsi" w:hAnsiTheme="minorHAnsi"/>
          <w:sz w:val="24"/>
          <w:szCs w:val="24"/>
        </w:rPr>
        <w:t xml:space="preserve">and Washington Gorge Action Programs serving </w:t>
      </w:r>
      <w:r w:rsidRPr="00040AB6">
        <w:rPr>
          <w:rFonts w:asciiTheme="minorHAnsi" w:hAnsiTheme="minorHAnsi"/>
          <w:sz w:val="24"/>
          <w:szCs w:val="24"/>
        </w:rPr>
        <w:t>Klickitat</w:t>
      </w:r>
      <w:r w:rsidR="00D85227">
        <w:rPr>
          <w:rFonts w:asciiTheme="minorHAnsi" w:hAnsiTheme="minorHAnsi"/>
          <w:sz w:val="24"/>
          <w:szCs w:val="24"/>
        </w:rPr>
        <w:t xml:space="preserve"> and Skamania</w:t>
      </w:r>
      <w:r w:rsidRPr="00040AB6">
        <w:rPr>
          <w:rFonts w:asciiTheme="minorHAnsi" w:hAnsiTheme="minorHAnsi"/>
          <w:sz w:val="24"/>
          <w:szCs w:val="24"/>
        </w:rPr>
        <w:t xml:space="preserve"> Count</w:t>
      </w:r>
      <w:r w:rsidR="00D85227">
        <w:rPr>
          <w:rFonts w:asciiTheme="minorHAnsi" w:hAnsiTheme="minorHAnsi"/>
          <w:sz w:val="24"/>
          <w:szCs w:val="24"/>
        </w:rPr>
        <w:t>ies.</w:t>
      </w:r>
      <w:r w:rsidRPr="00040AB6">
        <w:rPr>
          <w:rFonts w:asciiTheme="minorHAnsi" w:hAnsiTheme="minorHAnsi"/>
          <w:sz w:val="24"/>
          <w:szCs w:val="24"/>
        </w:rPr>
        <w:t xml:space="preserve"> </w:t>
      </w:r>
    </w:p>
    <w:p w14:paraId="02C763FB" w14:textId="77777777" w:rsidR="00357665" w:rsidRPr="00040AB6" w:rsidRDefault="00357665" w:rsidP="00BF2975">
      <w:pPr>
        <w:spacing w:after="0" w:line="240" w:lineRule="auto"/>
        <w:ind w:left="720"/>
        <w:rPr>
          <w:rFonts w:asciiTheme="minorHAnsi" w:hAnsiTheme="minorHAnsi"/>
          <w:sz w:val="24"/>
          <w:szCs w:val="24"/>
        </w:rPr>
      </w:pPr>
    </w:p>
    <w:p w14:paraId="36534B8E" w14:textId="77777777" w:rsidR="00357665" w:rsidRPr="00040AB6" w:rsidRDefault="00357665" w:rsidP="00EB0FF1">
      <w:pPr>
        <w:pStyle w:val="ListParagraph"/>
        <w:numPr>
          <w:ilvl w:val="0"/>
          <w:numId w:val="9"/>
        </w:numPr>
        <w:spacing w:after="0" w:line="240" w:lineRule="auto"/>
        <w:ind w:left="720"/>
        <w:rPr>
          <w:rFonts w:asciiTheme="minorHAnsi" w:hAnsiTheme="minorHAnsi"/>
          <w:sz w:val="32"/>
          <w:szCs w:val="32"/>
        </w:rPr>
      </w:pPr>
      <w:r w:rsidRPr="00040AB6">
        <w:rPr>
          <w:rFonts w:asciiTheme="minorHAnsi" w:hAnsiTheme="minorHAnsi"/>
          <w:sz w:val="32"/>
          <w:szCs w:val="32"/>
        </w:rPr>
        <w:t>Programs Offered</w:t>
      </w:r>
    </w:p>
    <w:p w14:paraId="34866958" w14:textId="77777777" w:rsidR="00357665" w:rsidRPr="00040AB6" w:rsidRDefault="00357665" w:rsidP="00EB0FF1">
      <w:pPr>
        <w:pStyle w:val="ListParagraph"/>
        <w:spacing w:after="0" w:line="240" w:lineRule="auto"/>
        <w:rPr>
          <w:rFonts w:asciiTheme="minorHAnsi" w:hAnsiTheme="minorHAnsi"/>
          <w:sz w:val="24"/>
          <w:szCs w:val="24"/>
        </w:rPr>
      </w:pPr>
      <w:r w:rsidRPr="00040AB6">
        <w:rPr>
          <w:rFonts w:asciiTheme="minorHAnsi" w:hAnsiTheme="minorHAnsi"/>
          <w:sz w:val="24"/>
          <w:szCs w:val="24"/>
        </w:rPr>
        <w:t>NW Natural offers the following general energy efficiency programs:</w:t>
      </w:r>
    </w:p>
    <w:p w14:paraId="23842EE2" w14:textId="77777777" w:rsidR="00357665" w:rsidRPr="00040AB6" w:rsidRDefault="00357665" w:rsidP="00626123">
      <w:pPr>
        <w:pStyle w:val="ListParagraph"/>
        <w:spacing w:after="0" w:line="240" w:lineRule="auto"/>
        <w:rPr>
          <w:rFonts w:asciiTheme="minorHAnsi" w:hAnsiTheme="minorHAnsi"/>
          <w:sz w:val="24"/>
          <w:szCs w:val="24"/>
        </w:rPr>
      </w:pPr>
    </w:p>
    <w:p w14:paraId="21076CBE" w14:textId="19C8AB27" w:rsidR="00357665" w:rsidRPr="00040AB6" w:rsidRDefault="00DB35BF" w:rsidP="00DC426E">
      <w:pPr>
        <w:pStyle w:val="ListParagraph"/>
        <w:tabs>
          <w:tab w:val="left" w:pos="720"/>
        </w:tabs>
        <w:spacing w:after="0" w:line="240" w:lineRule="auto"/>
        <w:ind w:left="1440"/>
        <w:rPr>
          <w:rFonts w:asciiTheme="minorHAnsi" w:hAnsiTheme="minorHAnsi"/>
          <w:sz w:val="24"/>
          <w:szCs w:val="24"/>
        </w:rPr>
      </w:pPr>
      <w:r>
        <w:rPr>
          <w:rFonts w:asciiTheme="minorHAnsi" w:hAnsiTheme="minorHAnsi"/>
          <w:sz w:val="24"/>
          <w:szCs w:val="24"/>
          <w:u w:val="single"/>
        </w:rPr>
        <w:t>Existing Homes</w:t>
      </w:r>
      <w:r w:rsidRPr="00040AB6">
        <w:rPr>
          <w:rFonts w:asciiTheme="minorHAnsi" w:hAnsiTheme="minorHAnsi"/>
          <w:sz w:val="24"/>
          <w:szCs w:val="24"/>
        </w:rPr>
        <w:t xml:space="preserve"> </w:t>
      </w:r>
      <w:r w:rsidR="00357665" w:rsidRPr="00040AB6">
        <w:rPr>
          <w:rFonts w:asciiTheme="minorHAnsi" w:hAnsiTheme="minorHAnsi"/>
          <w:sz w:val="24"/>
          <w:szCs w:val="24"/>
        </w:rPr>
        <w:t>– Residential customers with gas heated homes are offered home energy reviews wherein an energy consultant identifies</w:t>
      </w:r>
      <w:r w:rsidR="003A45ED">
        <w:rPr>
          <w:rFonts w:asciiTheme="minorHAnsi" w:hAnsiTheme="minorHAnsi"/>
          <w:sz w:val="24"/>
          <w:szCs w:val="24"/>
        </w:rPr>
        <w:t xml:space="preserve"> incented and qualifying</w:t>
      </w:r>
      <w:r w:rsidR="00357665" w:rsidRPr="00040AB6">
        <w:rPr>
          <w:rFonts w:asciiTheme="minorHAnsi" w:hAnsiTheme="minorHAnsi"/>
          <w:sz w:val="24"/>
          <w:szCs w:val="24"/>
        </w:rPr>
        <w:t xml:space="preserve"> </w:t>
      </w:r>
      <w:r w:rsidR="00053991">
        <w:rPr>
          <w:rFonts w:asciiTheme="minorHAnsi" w:hAnsiTheme="minorHAnsi"/>
          <w:sz w:val="24"/>
          <w:szCs w:val="24"/>
        </w:rPr>
        <w:t xml:space="preserve">insulation and weatherization </w:t>
      </w:r>
      <w:r w:rsidR="00357665" w:rsidRPr="00040AB6">
        <w:rPr>
          <w:rFonts w:asciiTheme="minorHAnsi" w:hAnsiTheme="minorHAnsi"/>
          <w:sz w:val="24"/>
          <w:szCs w:val="24"/>
        </w:rPr>
        <w:t>measures that could be installed to improve the efficiency</w:t>
      </w:r>
      <w:r w:rsidR="00C54531" w:rsidRPr="00040AB6">
        <w:rPr>
          <w:rFonts w:asciiTheme="minorHAnsi" w:hAnsiTheme="minorHAnsi"/>
          <w:sz w:val="24"/>
          <w:szCs w:val="24"/>
        </w:rPr>
        <w:t xml:space="preserve"> of the customer’s home</w:t>
      </w:r>
      <w:r w:rsidR="00357665" w:rsidRPr="00040AB6">
        <w:rPr>
          <w:rFonts w:asciiTheme="minorHAnsi" w:hAnsiTheme="minorHAnsi"/>
          <w:sz w:val="24"/>
          <w:szCs w:val="24"/>
        </w:rPr>
        <w:t xml:space="preserve">.  </w:t>
      </w:r>
      <w:r>
        <w:rPr>
          <w:rFonts w:asciiTheme="minorHAnsi" w:hAnsiTheme="minorHAnsi"/>
          <w:sz w:val="24"/>
          <w:szCs w:val="24"/>
        </w:rPr>
        <w:t xml:space="preserve">Incentives are provided for cost-effective weatherization measures and </w:t>
      </w:r>
      <w:r w:rsidR="00357665" w:rsidRPr="00040AB6">
        <w:rPr>
          <w:rFonts w:asciiTheme="minorHAnsi" w:hAnsiTheme="minorHAnsi"/>
          <w:sz w:val="24"/>
          <w:szCs w:val="24"/>
        </w:rPr>
        <w:t xml:space="preserve">certain efficient gas appliances.  </w:t>
      </w:r>
      <w:r w:rsidR="00C54531" w:rsidRPr="00040AB6">
        <w:rPr>
          <w:rFonts w:asciiTheme="minorHAnsi" w:hAnsiTheme="minorHAnsi"/>
          <w:sz w:val="24"/>
          <w:szCs w:val="24"/>
        </w:rPr>
        <w:t xml:space="preserve">The Company also offers </w:t>
      </w:r>
      <w:r w:rsidR="00BA20BF">
        <w:rPr>
          <w:rFonts w:asciiTheme="minorHAnsi" w:hAnsiTheme="minorHAnsi"/>
          <w:sz w:val="24"/>
          <w:szCs w:val="24"/>
        </w:rPr>
        <w:t>O</w:t>
      </w:r>
      <w:r w:rsidR="00BA20BF" w:rsidRPr="00040AB6">
        <w:rPr>
          <w:rFonts w:asciiTheme="minorHAnsi" w:hAnsiTheme="minorHAnsi"/>
          <w:sz w:val="24"/>
          <w:szCs w:val="24"/>
        </w:rPr>
        <w:t>n</w:t>
      </w:r>
      <w:r w:rsidR="00C54531" w:rsidRPr="00040AB6">
        <w:rPr>
          <w:rFonts w:asciiTheme="minorHAnsi" w:hAnsiTheme="minorHAnsi"/>
          <w:sz w:val="24"/>
          <w:szCs w:val="24"/>
        </w:rPr>
        <w:t>-the-</w:t>
      </w:r>
      <w:r w:rsidR="00BA20BF">
        <w:rPr>
          <w:rFonts w:asciiTheme="minorHAnsi" w:hAnsiTheme="minorHAnsi"/>
          <w:sz w:val="24"/>
          <w:szCs w:val="24"/>
        </w:rPr>
        <w:t>B</w:t>
      </w:r>
      <w:r w:rsidR="00BA20BF" w:rsidRPr="00040AB6">
        <w:rPr>
          <w:rFonts w:asciiTheme="minorHAnsi" w:hAnsiTheme="minorHAnsi"/>
          <w:sz w:val="24"/>
          <w:szCs w:val="24"/>
        </w:rPr>
        <w:t xml:space="preserve">ill </w:t>
      </w:r>
      <w:r w:rsidR="00BA20BF">
        <w:rPr>
          <w:rFonts w:asciiTheme="minorHAnsi" w:hAnsiTheme="minorHAnsi"/>
          <w:sz w:val="24"/>
          <w:szCs w:val="24"/>
        </w:rPr>
        <w:t>R</w:t>
      </w:r>
      <w:r w:rsidR="00BA20BF" w:rsidRPr="00040AB6">
        <w:rPr>
          <w:rFonts w:asciiTheme="minorHAnsi" w:hAnsiTheme="minorHAnsi"/>
          <w:sz w:val="24"/>
          <w:szCs w:val="24"/>
        </w:rPr>
        <w:t xml:space="preserve">epayment </w:t>
      </w:r>
      <w:r w:rsidR="00BA20BF">
        <w:rPr>
          <w:rFonts w:asciiTheme="minorHAnsi" w:hAnsiTheme="minorHAnsi"/>
          <w:sz w:val="24"/>
          <w:szCs w:val="24"/>
        </w:rPr>
        <w:t>S</w:t>
      </w:r>
      <w:r w:rsidR="00BA20BF" w:rsidRPr="00040AB6">
        <w:rPr>
          <w:rFonts w:asciiTheme="minorHAnsi" w:hAnsiTheme="minorHAnsi"/>
          <w:sz w:val="24"/>
          <w:szCs w:val="24"/>
        </w:rPr>
        <w:t xml:space="preserve">ervices </w:t>
      </w:r>
      <w:r w:rsidR="00C54531" w:rsidRPr="00040AB6">
        <w:rPr>
          <w:rFonts w:asciiTheme="minorHAnsi" w:hAnsiTheme="minorHAnsi"/>
          <w:sz w:val="24"/>
          <w:szCs w:val="24"/>
        </w:rPr>
        <w:t xml:space="preserve">for loans offered by Craft3 for the purpose of installing </w:t>
      </w:r>
      <w:r w:rsidR="007203D3">
        <w:rPr>
          <w:rFonts w:asciiTheme="minorHAnsi" w:hAnsiTheme="minorHAnsi"/>
          <w:sz w:val="24"/>
          <w:szCs w:val="24"/>
        </w:rPr>
        <w:t xml:space="preserve">qualifying </w:t>
      </w:r>
      <w:r w:rsidR="00C54531" w:rsidRPr="00040AB6">
        <w:rPr>
          <w:rFonts w:asciiTheme="minorHAnsi" w:hAnsiTheme="minorHAnsi"/>
          <w:sz w:val="24"/>
          <w:szCs w:val="24"/>
        </w:rPr>
        <w:t>energy efficiency measures</w:t>
      </w:r>
      <w:r w:rsidR="00D85227">
        <w:rPr>
          <w:rFonts w:asciiTheme="minorHAnsi" w:hAnsiTheme="minorHAnsi"/>
          <w:sz w:val="24"/>
          <w:szCs w:val="24"/>
        </w:rPr>
        <w:t>.</w:t>
      </w:r>
      <w:r w:rsidR="00FB7BFD">
        <w:rPr>
          <w:rFonts w:asciiTheme="minorHAnsi" w:hAnsiTheme="minorHAnsi"/>
          <w:sz w:val="24"/>
          <w:szCs w:val="24"/>
        </w:rPr>
        <w:t xml:space="preserve"> </w:t>
      </w:r>
    </w:p>
    <w:p w14:paraId="34E38A4B" w14:textId="77777777" w:rsidR="00357665" w:rsidRPr="00040AB6" w:rsidRDefault="00357665" w:rsidP="00DC426E">
      <w:pPr>
        <w:pStyle w:val="ListParagraph"/>
        <w:tabs>
          <w:tab w:val="left" w:pos="720"/>
        </w:tabs>
        <w:spacing w:after="0" w:line="240" w:lineRule="auto"/>
        <w:ind w:left="1440"/>
        <w:rPr>
          <w:rFonts w:asciiTheme="minorHAnsi" w:hAnsiTheme="minorHAnsi"/>
          <w:sz w:val="24"/>
          <w:szCs w:val="24"/>
        </w:rPr>
      </w:pPr>
    </w:p>
    <w:p w14:paraId="183D2DD9" w14:textId="515F5BA2" w:rsidR="00357665" w:rsidRPr="00040AB6" w:rsidRDefault="00357665" w:rsidP="00DC426E">
      <w:pPr>
        <w:pStyle w:val="ListParagraph"/>
        <w:tabs>
          <w:tab w:val="left" w:pos="720"/>
        </w:tabs>
        <w:spacing w:after="0" w:line="240" w:lineRule="auto"/>
        <w:ind w:left="1440"/>
        <w:rPr>
          <w:rFonts w:asciiTheme="minorHAnsi" w:hAnsiTheme="minorHAnsi"/>
          <w:sz w:val="24"/>
          <w:szCs w:val="24"/>
        </w:rPr>
      </w:pPr>
      <w:r w:rsidRPr="00040AB6">
        <w:rPr>
          <w:rFonts w:asciiTheme="minorHAnsi" w:hAnsiTheme="minorHAnsi"/>
          <w:sz w:val="24"/>
          <w:szCs w:val="24"/>
          <w:u w:val="single"/>
        </w:rPr>
        <w:t>New Homes</w:t>
      </w:r>
      <w:r w:rsidRPr="00040AB6">
        <w:rPr>
          <w:rFonts w:asciiTheme="minorHAnsi" w:hAnsiTheme="minorHAnsi"/>
          <w:sz w:val="24"/>
          <w:szCs w:val="24"/>
        </w:rPr>
        <w:t xml:space="preserve"> – The New Homes program encourages builders to construct homes to an energy efficiency standard that is</w:t>
      </w:r>
      <w:r w:rsidR="00DB35BF">
        <w:rPr>
          <w:rFonts w:asciiTheme="minorHAnsi" w:hAnsiTheme="minorHAnsi"/>
          <w:sz w:val="24"/>
          <w:szCs w:val="24"/>
        </w:rPr>
        <w:t xml:space="preserve"> at least 10%</w:t>
      </w:r>
      <w:r w:rsidRPr="00040AB6">
        <w:rPr>
          <w:rFonts w:asciiTheme="minorHAnsi" w:hAnsiTheme="minorHAnsi"/>
          <w:sz w:val="24"/>
          <w:szCs w:val="24"/>
        </w:rPr>
        <w:t xml:space="preserve"> better than Washington building code.  </w:t>
      </w:r>
      <w:r w:rsidR="00FB7BFD" w:rsidRPr="005C21F8">
        <w:rPr>
          <w:rFonts w:asciiTheme="minorHAnsi" w:hAnsiTheme="minorHAnsi"/>
          <w:sz w:val="24"/>
          <w:szCs w:val="24"/>
        </w:rPr>
        <w:t>In 2016</w:t>
      </w:r>
      <w:r w:rsidR="0073162D" w:rsidRPr="005C21F8">
        <w:rPr>
          <w:rFonts w:asciiTheme="minorHAnsi" w:hAnsiTheme="minorHAnsi"/>
          <w:sz w:val="24"/>
          <w:szCs w:val="24"/>
        </w:rPr>
        <w:t>, Energy Trust will be providing an energy performance score (</w:t>
      </w:r>
      <w:r w:rsidR="00FB7BFD" w:rsidRPr="005C21F8">
        <w:rPr>
          <w:sz w:val="24"/>
          <w:szCs w:val="24"/>
        </w:rPr>
        <w:t>EPS</w:t>
      </w:r>
      <w:r w:rsidR="0073162D" w:rsidRPr="005C21F8">
        <w:rPr>
          <w:sz w:val="24"/>
          <w:szCs w:val="24"/>
        </w:rPr>
        <w:t xml:space="preserve">) </w:t>
      </w:r>
      <w:r w:rsidR="00FB7BFD" w:rsidRPr="005C21F8">
        <w:rPr>
          <w:sz w:val="24"/>
          <w:szCs w:val="24"/>
        </w:rPr>
        <w:t xml:space="preserve">that rates the efficiency of a home and measures it against similar-sized homes in </w:t>
      </w:r>
      <w:r w:rsidR="0073162D" w:rsidRPr="005C21F8">
        <w:rPr>
          <w:sz w:val="24"/>
          <w:szCs w:val="24"/>
        </w:rPr>
        <w:t>Washington</w:t>
      </w:r>
      <w:r w:rsidR="00FB7BFD" w:rsidRPr="005C21F8">
        <w:rPr>
          <w:sz w:val="24"/>
          <w:szCs w:val="24"/>
        </w:rPr>
        <w:t>.</w:t>
      </w:r>
      <w:r w:rsidR="007203D3" w:rsidRPr="007203D3">
        <w:rPr>
          <w:rFonts w:asciiTheme="minorHAnsi" w:hAnsiTheme="minorHAnsi"/>
          <w:sz w:val="24"/>
          <w:szCs w:val="24"/>
        </w:rPr>
        <w:t xml:space="preserve"> </w:t>
      </w:r>
      <w:r w:rsidR="007203D3" w:rsidRPr="00040AB6">
        <w:rPr>
          <w:rFonts w:asciiTheme="minorHAnsi" w:hAnsiTheme="minorHAnsi"/>
          <w:sz w:val="24"/>
          <w:szCs w:val="24"/>
        </w:rPr>
        <w:t xml:space="preserve">Qualifying homes must </w:t>
      </w:r>
      <w:r w:rsidR="007203D3">
        <w:rPr>
          <w:rFonts w:asciiTheme="minorHAnsi" w:hAnsiTheme="minorHAnsi"/>
          <w:sz w:val="24"/>
          <w:szCs w:val="24"/>
        </w:rPr>
        <w:t xml:space="preserve">also </w:t>
      </w:r>
      <w:r w:rsidR="007203D3" w:rsidRPr="00040AB6">
        <w:rPr>
          <w:rFonts w:asciiTheme="minorHAnsi" w:hAnsiTheme="minorHAnsi"/>
          <w:sz w:val="24"/>
          <w:szCs w:val="24"/>
        </w:rPr>
        <w:t>meet</w:t>
      </w:r>
      <w:r w:rsidR="007203D3">
        <w:rPr>
          <w:rFonts w:asciiTheme="minorHAnsi" w:hAnsiTheme="minorHAnsi"/>
          <w:sz w:val="24"/>
          <w:szCs w:val="24"/>
        </w:rPr>
        <w:t xml:space="preserve"> </w:t>
      </w:r>
      <w:r w:rsidR="009753D1">
        <w:rPr>
          <w:rFonts w:asciiTheme="minorHAnsi" w:hAnsiTheme="minorHAnsi"/>
          <w:sz w:val="24"/>
          <w:szCs w:val="24"/>
        </w:rPr>
        <w:t xml:space="preserve">new construction </w:t>
      </w:r>
      <w:r w:rsidR="007203D3">
        <w:rPr>
          <w:rFonts w:asciiTheme="minorHAnsi" w:hAnsiTheme="minorHAnsi"/>
          <w:sz w:val="24"/>
          <w:szCs w:val="24"/>
        </w:rPr>
        <w:t>Best Practice</w:t>
      </w:r>
      <w:r w:rsidR="007203D3" w:rsidRPr="00040AB6">
        <w:rPr>
          <w:rFonts w:asciiTheme="minorHAnsi" w:hAnsiTheme="minorHAnsi"/>
          <w:sz w:val="24"/>
          <w:szCs w:val="24"/>
        </w:rPr>
        <w:t xml:space="preserve"> criteria established</w:t>
      </w:r>
      <w:r w:rsidR="007203D3">
        <w:rPr>
          <w:rFonts w:asciiTheme="minorHAnsi" w:hAnsiTheme="minorHAnsi"/>
          <w:sz w:val="24"/>
          <w:szCs w:val="24"/>
        </w:rPr>
        <w:t xml:space="preserve"> by the New Homes Program</w:t>
      </w:r>
      <w:r w:rsidR="007203D3" w:rsidRPr="00040AB6">
        <w:rPr>
          <w:rFonts w:asciiTheme="minorHAnsi" w:hAnsiTheme="minorHAnsi"/>
          <w:sz w:val="24"/>
          <w:szCs w:val="24"/>
        </w:rPr>
        <w:t>.</w:t>
      </w:r>
      <w:r w:rsidR="007203D3">
        <w:rPr>
          <w:rFonts w:asciiTheme="minorHAnsi" w:hAnsiTheme="minorHAnsi"/>
          <w:sz w:val="24"/>
          <w:szCs w:val="24"/>
        </w:rPr>
        <w:t xml:space="preserve"> </w:t>
      </w:r>
      <w:r w:rsidR="007203D3" w:rsidRPr="005847CA">
        <w:rPr>
          <w:rFonts w:asciiTheme="minorHAnsi" w:hAnsiTheme="minorHAnsi"/>
          <w:sz w:val="24"/>
          <w:szCs w:val="24"/>
        </w:rPr>
        <w:t xml:space="preserve">The compliance of all homes is verified </w:t>
      </w:r>
      <w:r w:rsidR="009753D1" w:rsidRPr="005847CA">
        <w:rPr>
          <w:rFonts w:asciiTheme="minorHAnsi" w:hAnsiTheme="minorHAnsi"/>
          <w:sz w:val="24"/>
          <w:szCs w:val="24"/>
        </w:rPr>
        <w:t>through an inspection process and u</w:t>
      </w:r>
      <w:r w:rsidR="007203D3" w:rsidRPr="005847CA">
        <w:rPr>
          <w:rFonts w:asciiTheme="minorHAnsi" w:hAnsiTheme="minorHAnsi"/>
          <w:sz w:val="24"/>
          <w:szCs w:val="24"/>
        </w:rPr>
        <w:t>pon completion homes are issued an EPS.</w:t>
      </w:r>
    </w:p>
    <w:p w14:paraId="7E14A60F" w14:textId="77777777" w:rsidR="00357665" w:rsidRPr="00040AB6" w:rsidRDefault="00357665" w:rsidP="00DC426E">
      <w:pPr>
        <w:pStyle w:val="ListParagraph"/>
        <w:tabs>
          <w:tab w:val="left" w:pos="720"/>
        </w:tabs>
        <w:spacing w:after="0" w:line="240" w:lineRule="auto"/>
        <w:ind w:left="1440"/>
        <w:rPr>
          <w:rFonts w:asciiTheme="minorHAnsi" w:hAnsiTheme="minorHAnsi"/>
        </w:rPr>
      </w:pPr>
    </w:p>
    <w:p w14:paraId="7933918B" w14:textId="77777777" w:rsidR="00357665" w:rsidRPr="00040AB6" w:rsidRDefault="00357665" w:rsidP="00DC426E">
      <w:pPr>
        <w:pStyle w:val="ListParagraph"/>
        <w:tabs>
          <w:tab w:val="left" w:pos="720"/>
        </w:tabs>
        <w:spacing w:after="0" w:line="240" w:lineRule="auto"/>
        <w:ind w:left="1440"/>
        <w:rPr>
          <w:rFonts w:asciiTheme="minorHAnsi" w:hAnsiTheme="minorHAnsi"/>
          <w:sz w:val="24"/>
          <w:szCs w:val="24"/>
        </w:rPr>
      </w:pPr>
      <w:r w:rsidRPr="00040AB6">
        <w:rPr>
          <w:rFonts w:asciiTheme="minorHAnsi" w:hAnsiTheme="minorHAnsi"/>
          <w:sz w:val="24"/>
          <w:szCs w:val="24"/>
          <w:u w:val="single"/>
        </w:rPr>
        <w:t>Commercial</w:t>
      </w:r>
      <w:r w:rsidRPr="00040AB6">
        <w:rPr>
          <w:rFonts w:asciiTheme="minorHAnsi" w:hAnsiTheme="minorHAnsi"/>
          <w:sz w:val="24"/>
          <w:szCs w:val="24"/>
        </w:rPr>
        <w:t xml:space="preserve"> – Commercial customers are offered incentives for prescriptive </w:t>
      </w:r>
      <w:r w:rsidR="00DB35BF">
        <w:rPr>
          <w:rFonts w:asciiTheme="minorHAnsi" w:hAnsiTheme="minorHAnsi"/>
          <w:sz w:val="24"/>
          <w:szCs w:val="24"/>
        </w:rPr>
        <w:t xml:space="preserve">weatherization and </w:t>
      </w:r>
      <w:r w:rsidRPr="00040AB6">
        <w:rPr>
          <w:rFonts w:asciiTheme="minorHAnsi" w:hAnsiTheme="minorHAnsi"/>
          <w:sz w:val="24"/>
          <w:szCs w:val="24"/>
        </w:rPr>
        <w:t xml:space="preserve">efficient gas appliance installations, as well as efficient installations unique to the customer’s facilities that are identified in a custom study. </w:t>
      </w:r>
    </w:p>
    <w:p w14:paraId="4A638AB1" w14:textId="77777777" w:rsidR="00357665" w:rsidRPr="00040AB6" w:rsidRDefault="00357665" w:rsidP="00626123">
      <w:pPr>
        <w:pStyle w:val="ListParagraph"/>
        <w:spacing w:after="0" w:line="240" w:lineRule="auto"/>
        <w:rPr>
          <w:rFonts w:asciiTheme="minorHAnsi" w:hAnsiTheme="minorHAnsi"/>
          <w:sz w:val="24"/>
          <w:szCs w:val="24"/>
        </w:rPr>
      </w:pPr>
    </w:p>
    <w:p w14:paraId="67CC7241" w14:textId="7B2C9A24" w:rsidR="00357665" w:rsidRPr="00040AB6" w:rsidRDefault="00357665" w:rsidP="00764461">
      <w:pPr>
        <w:tabs>
          <w:tab w:val="left" w:pos="1440"/>
        </w:tabs>
        <w:spacing w:after="0" w:line="240" w:lineRule="auto"/>
        <w:ind w:left="720"/>
        <w:rPr>
          <w:rFonts w:asciiTheme="minorHAnsi" w:hAnsiTheme="minorHAnsi"/>
          <w:sz w:val="24"/>
          <w:szCs w:val="24"/>
        </w:rPr>
      </w:pPr>
      <w:r w:rsidRPr="00040AB6">
        <w:rPr>
          <w:rFonts w:asciiTheme="minorHAnsi" w:hAnsiTheme="minorHAnsi"/>
          <w:sz w:val="24"/>
          <w:szCs w:val="24"/>
        </w:rPr>
        <w:t>Specific measure offerings</w:t>
      </w:r>
      <w:r w:rsidR="0045325A">
        <w:rPr>
          <w:rFonts w:asciiTheme="minorHAnsi" w:hAnsiTheme="minorHAnsi"/>
          <w:sz w:val="24"/>
          <w:szCs w:val="24"/>
        </w:rPr>
        <w:t xml:space="preserve"> and details</w:t>
      </w:r>
      <w:r w:rsidRPr="00040AB6">
        <w:rPr>
          <w:rFonts w:asciiTheme="minorHAnsi" w:hAnsiTheme="minorHAnsi"/>
          <w:sz w:val="24"/>
          <w:szCs w:val="24"/>
        </w:rPr>
        <w:t xml:space="preserve"> are as listed</w:t>
      </w:r>
      <w:r w:rsidR="00676821" w:rsidRPr="00040AB6">
        <w:rPr>
          <w:rFonts w:asciiTheme="minorHAnsi" w:hAnsiTheme="minorHAnsi"/>
          <w:sz w:val="24"/>
          <w:szCs w:val="24"/>
        </w:rPr>
        <w:t xml:space="preserve"> in </w:t>
      </w:r>
      <w:r w:rsidR="00BD7B19">
        <w:rPr>
          <w:rFonts w:asciiTheme="minorHAnsi" w:hAnsiTheme="minorHAnsi"/>
          <w:sz w:val="24"/>
          <w:szCs w:val="24"/>
        </w:rPr>
        <w:t xml:space="preserve">Appendix </w:t>
      </w:r>
      <w:r w:rsidR="00676821" w:rsidRPr="00040AB6">
        <w:rPr>
          <w:rFonts w:asciiTheme="minorHAnsi" w:hAnsiTheme="minorHAnsi"/>
          <w:sz w:val="24"/>
          <w:szCs w:val="24"/>
        </w:rPr>
        <w:t xml:space="preserve">A </w:t>
      </w:r>
      <w:r w:rsidR="0045325A">
        <w:rPr>
          <w:rFonts w:asciiTheme="minorHAnsi" w:hAnsiTheme="minorHAnsi"/>
          <w:sz w:val="24"/>
          <w:szCs w:val="24"/>
        </w:rPr>
        <w:t xml:space="preserve">and </w:t>
      </w:r>
      <w:r w:rsidR="00BD7B19">
        <w:rPr>
          <w:rFonts w:asciiTheme="minorHAnsi" w:hAnsiTheme="minorHAnsi"/>
          <w:sz w:val="24"/>
          <w:szCs w:val="24"/>
        </w:rPr>
        <w:t>Appendix</w:t>
      </w:r>
      <w:r w:rsidR="0045325A">
        <w:rPr>
          <w:rFonts w:asciiTheme="minorHAnsi" w:hAnsiTheme="minorHAnsi"/>
          <w:sz w:val="24"/>
          <w:szCs w:val="24"/>
        </w:rPr>
        <w:t xml:space="preserve"> B </w:t>
      </w:r>
      <w:r w:rsidR="00676821" w:rsidRPr="00040AB6">
        <w:rPr>
          <w:rFonts w:asciiTheme="minorHAnsi" w:hAnsiTheme="minorHAnsi"/>
          <w:sz w:val="24"/>
          <w:szCs w:val="24"/>
        </w:rPr>
        <w:t>to this Plan</w:t>
      </w:r>
      <w:r w:rsidR="00106C2C" w:rsidRPr="00040AB6">
        <w:rPr>
          <w:rFonts w:asciiTheme="minorHAnsi" w:hAnsiTheme="minorHAnsi"/>
          <w:sz w:val="24"/>
          <w:szCs w:val="24"/>
        </w:rPr>
        <w:t>.</w:t>
      </w:r>
    </w:p>
    <w:p w14:paraId="29480C2B" w14:textId="77777777" w:rsidR="00357665" w:rsidRDefault="00357665" w:rsidP="00764461">
      <w:pPr>
        <w:tabs>
          <w:tab w:val="left" w:pos="1440"/>
        </w:tabs>
        <w:spacing w:after="0" w:line="240" w:lineRule="auto"/>
        <w:ind w:left="720"/>
        <w:rPr>
          <w:rFonts w:asciiTheme="minorHAnsi" w:hAnsiTheme="minorHAnsi"/>
          <w:sz w:val="24"/>
          <w:szCs w:val="24"/>
        </w:rPr>
      </w:pPr>
    </w:p>
    <w:p w14:paraId="2B83A015" w14:textId="04333372" w:rsidR="00E9708E" w:rsidRPr="00E9708E" w:rsidRDefault="00E9708E" w:rsidP="00764461">
      <w:pPr>
        <w:tabs>
          <w:tab w:val="left" w:pos="1440"/>
        </w:tabs>
        <w:spacing w:after="0" w:line="240" w:lineRule="auto"/>
        <w:ind w:left="720"/>
        <w:rPr>
          <w:rFonts w:asciiTheme="minorHAnsi" w:hAnsiTheme="minorHAnsi"/>
          <w:sz w:val="24"/>
          <w:szCs w:val="24"/>
          <w:u w:val="single"/>
        </w:rPr>
      </w:pPr>
      <w:r w:rsidRPr="00E9708E">
        <w:rPr>
          <w:rFonts w:asciiTheme="minorHAnsi" w:hAnsiTheme="minorHAnsi"/>
          <w:sz w:val="24"/>
          <w:szCs w:val="24"/>
          <w:u w:val="single"/>
        </w:rPr>
        <w:t>WA-LIEE</w:t>
      </w:r>
    </w:p>
    <w:p w14:paraId="4C079E52" w14:textId="75FCAE9E" w:rsidR="00357665" w:rsidRDefault="00357665" w:rsidP="00764461">
      <w:pPr>
        <w:tabs>
          <w:tab w:val="left" w:pos="1440"/>
        </w:tabs>
        <w:spacing w:after="0" w:line="240" w:lineRule="auto"/>
        <w:ind w:left="720"/>
        <w:rPr>
          <w:rFonts w:asciiTheme="minorHAnsi" w:hAnsiTheme="minorHAnsi"/>
          <w:sz w:val="24"/>
          <w:szCs w:val="24"/>
        </w:rPr>
      </w:pPr>
      <w:r w:rsidRPr="00040AB6">
        <w:rPr>
          <w:rFonts w:asciiTheme="minorHAnsi" w:hAnsiTheme="minorHAnsi"/>
          <w:sz w:val="24"/>
          <w:szCs w:val="24"/>
        </w:rPr>
        <w:t xml:space="preserve">Under NW Natural’s low income energy efficiency program, agencies administering the program leverage other funding sources with WA-LIEE dollars to provide whole-house weatherization services to qualifying customers.  Program details are available in the Company’s Schedule I, “Washington Low Income Energy Efficiency Program (WA-LIEE).” </w:t>
      </w:r>
    </w:p>
    <w:p w14:paraId="3AA3734D" w14:textId="77777777" w:rsidR="00E9708E" w:rsidRDefault="00E9708E" w:rsidP="00764461">
      <w:pPr>
        <w:tabs>
          <w:tab w:val="left" w:pos="1440"/>
        </w:tabs>
        <w:spacing w:after="0" w:line="240" w:lineRule="auto"/>
        <w:ind w:left="720"/>
        <w:rPr>
          <w:rFonts w:asciiTheme="minorHAnsi" w:hAnsiTheme="minorHAnsi"/>
          <w:sz w:val="24"/>
          <w:szCs w:val="24"/>
        </w:rPr>
      </w:pPr>
    </w:p>
    <w:p w14:paraId="25981D57" w14:textId="77777777" w:rsidR="00E9708E" w:rsidRPr="00E9708E" w:rsidRDefault="00E9708E" w:rsidP="009D5794">
      <w:pPr>
        <w:ind w:left="720"/>
        <w:rPr>
          <w:rFonts w:asciiTheme="minorHAnsi" w:eastAsiaTheme="minorHAnsi" w:hAnsiTheme="minorHAnsi" w:cstheme="minorBidi"/>
          <w:sz w:val="24"/>
          <w:szCs w:val="24"/>
        </w:rPr>
      </w:pPr>
      <w:r w:rsidRPr="00E9708E">
        <w:rPr>
          <w:rFonts w:asciiTheme="minorHAnsi" w:eastAsiaTheme="minorHAnsi" w:hAnsiTheme="minorHAnsi" w:cstheme="minorBidi"/>
          <w:sz w:val="24"/>
          <w:szCs w:val="24"/>
        </w:rPr>
        <w:lastRenderedPageBreak/>
        <w:t xml:space="preserve">To increase the success of the WA-LIEE Program in 2016, the following revisions have been made: </w:t>
      </w:r>
    </w:p>
    <w:p w14:paraId="57AA5B49" w14:textId="77777777" w:rsidR="00E9708E" w:rsidRPr="00E9708E" w:rsidRDefault="00E9708E" w:rsidP="00E9708E">
      <w:pPr>
        <w:numPr>
          <w:ilvl w:val="0"/>
          <w:numId w:val="38"/>
        </w:numPr>
        <w:spacing w:after="0" w:line="240" w:lineRule="auto"/>
        <w:contextualSpacing/>
        <w:rPr>
          <w:rFonts w:asciiTheme="minorHAnsi" w:eastAsiaTheme="minorHAnsi" w:hAnsiTheme="minorHAnsi" w:cstheme="minorBidi"/>
          <w:sz w:val="24"/>
          <w:szCs w:val="24"/>
        </w:rPr>
      </w:pPr>
      <w:r w:rsidRPr="00E9708E">
        <w:rPr>
          <w:rFonts w:asciiTheme="minorHAnsi" w:eastAsiaTheme="minorHAnsi" w:hAnsiTheme="minorHAnsi" w:cstheme="minorBidi"/>
          <w:b/>
          <w:sz w:val="24"/>
          <w:szCs w:val="24"/>
        </w:rPr>
        <w:t>Customer qualifications:</w:t>
      </w:r>
      <w:r w:rsidRPr="00E9708E">
        <w:rPr>
          <w:rFonts w:asciiTheme="minorHAnsi" w:eastAsiaTheme="minorHAnsi" w:hAnsiTheme="minorHAnsi" w:cstheme="minorBidi"/>
          <w:sz w:val="24"/>
          <w:szCs w:val="24"/>
        </w:rPr>
        <w:t xml:space="preserve"> The stipulation requiring a customer’s dwelling be built before 1991 has been removed. While building code increased the insulation requirements that year, floor insulation is often not installed properly and therefore these newer homes still benefit by weatherization services.  </w:t>
      </w:r>
    </w:p>
    <w:p w14:paraId="3D7CE0B4" w14:textId="32D01139" w:rsidR="00E9708E" w:rsidRPr="00E9708E" w:rsidRDefault="00E9708E" w:rsidP="00E9708E">
      <w:pPr>
        <w:numPr>
          <w:ilvl w:val="0"/>
          <w:numId w:val="38"/>
        </w:numPr>
        <w:contextualSpacing/>
        <w:rPr>
          <w:rFonts w:asciiTheme="minorHAnsi" w:eastAsiaTheme="minorHAnsi" w:hAnsiTheme="minorHAnsi" w:cstheme="minorBidi"/>
          <w:sz w:val="24"/>
          <w:szCs w:val="24"/>
        </w:rPr>
      </w:pPr>
      <w:r w:rsidRPr="00E9708E">
        <w:rPr>
          <w:rFonts w:asciiTheme="minorHAnsi" w:eastAsiaTheme="minorHAnsi" w:hAnsiTheme="minorHAnsi" w:cstheme="minorBidi"/>
          <w:b/>
          <w:sz w:val="24"/>
          <w:szCs w:val="24"/>
        </w:rPr>
        <w:t>Inclusion of customer outreach:</w:t>
      </w:r>
      <w:r w:rsidRPr="00E9708E">
        <w:rPr>
          <w:rFonts w:asciiTheme="minorHAnsi" w:eastAsiaTheme="minorHAnsi" w:hAnsiTheme="minorHAnsi" w:cstheme="minorBidi"/>
          <w:sz w:val="24"/>
          <w:szCs w:val="24"/>
        </w:rPr>
        <w:t xml:space="preserve"> In order to drive greater participation in WA</w:t>
      </w:r>
      <w:r w:rsidR="0097483E">
        <w:rPr>
          <w:rFonts w:asciiTheme="minorHAnsi" w:eastAsiaTheme="minorHAnsi" w:hAnsiTheme="minorHAnsi" w:cstheme="minorBidi"/>
          <w:sz w:val="24"/>
          <w:szCs w:val="24"/>
        </w:rPr>
        <w:t>-</w:t>
      </w:r>
      <w:r w:rsidRPr="00E9708E">
        <w:rPr>
          <w:rFonts w:asciiTheme="minorHAnsi" w:eastAsiaTheme="minorHAnsi" w:hAnsiTheme="minorHAnsi" w:cstheme="minorBidi"/>
          <w:sz w:val="24"/>
          <w:szCs w:val="24"/>
        </w:rPr>
        <w:t>LIEE, program funding of up to $11,000 is available</w:t>
      </w:r>
      <w:r w:rsidR="009D5794">
        <w:rPr>
          <w:rFonts w:asciiTheme="minorHAnsi" w:eastAsiaTheme="minorHAnsi" w:hAnsiTheme="minorHAnsi" w:cstheme="minorBidi"/>
          <w:sz w:val="24"/>
          <w:szCs w:val="24"/>
        </w:rPr>
        <w:t xml:space="preserve"> for the 2016 program year only</w:t>
      </w:r>
      <w:r w:rsidRPr="00E9708E">
        <w:rPr>
          <w:rFonts w:asciiTheme="minorHAnsi" w:eastAsiaTheme="minorHAnsi" w:hAnsiTheme="minorHAnsi" w:cstheme="minorBidi"/>
          <w:sz w:val="24"/>
          <w:szCs w:val="24"/>
        </w:rPr>
        <w:t xml:space="preserve"> for a social media campaign geo-targeted to the greater Clark County area and segmented for audience groups that meet the low-income profile and live in homes heated with natural gas. Details on the Social Media Outreach Prop</w:t>
      </w:r>
      <w:r w:rsidR="00BD1A74">
        <w:rPr>
          <w:rFonts w:asciiTheme="minorHAnsi" w:eastAsiaTheme="minorHAnsi" w:hAnsiTheme="minorHAnsi" w:cstheme="minorBidi"/>
          <w:sz w:val="24"/>
          <w:szCs w:val="24"/>
        </w:rPr>
        <w:t xml:space="preserve">osal can be found in </w:t>
      </w:r>
      <w:r w:rsidR="00BD7B19">
        <w:rPr>
          <w:rFonts w:asciiTheme="minorHAnsi" w:eastAsiaTheme="minorHAnsi" w:hAnsiTheme="minorHAnsi" w:cstheme="minorBidi"/>
          <w:sz w:val="24"/>
          <w:szCs w:val="24"/>
        </w:rPr>
        <w:t>Appendix</w:t>
      </w:r>
      <w:r w:rsidR="00BD1A74">
        <w:rPr>
          <w:rFonts w:asciiTheme="minorHAnsi" w:eastAsiaTheme="minorHAnsi" w:hAnsiTheme="minorHAnsi" w:cstheme="minorBidi"/>
          <w:sz w:val="24"/>
          <w:szCs w:val="24"/>
        </w:rPr>
        <w:t xml:space="preserve"> </w:t>
      </w:r>
      <w:r w:rsidR="00BD1A74">
        <w:rPr>
          <w:rFonts w:eastAsiaTheme="minorHAnsi"/>
        </w:rPr>
        <w:t>C</w:t>
      </w:r>
      <w:r w:rsidRPr="00E9708E">
        <w:rPr>
          <w:rFonts w:asciiTheme="minorHAnsi" w:eastAsiaTheme="minorHAnsi" w:hAnsiTheme="minorHAnsi" w:cstheme="minorBidi"/>
          <w:sz w:val="24"/>
          <w:szCs w:val="24"/>
        </w:rPr>
        <w:t>.</w:t>
      </w:r>
    </w:p>
    <w:p w14:paraId="7AC5236B" w14:textId="206FE81B" w:rsidR="00E9708E" w:rsidRPr="00E9708E" w:rsidRDefault="00E9708E" w:rsidP="00E9708E">
      <w:pPr>
        <w:numPr>
          <w:ilvl w:val="0"/>
          <w:numId w:val="38"/>
        </w:numPr>
        <w:contextualSpacing/>
        <w:rPr>
          <w:rFonts w:asciiTheme="minorHAnsi" w:eastAsiaTheme="minorHAnsi" w:hAnsiTheme="minorHAnsi" w:cstheme="minorBidi"/>
          <w:sz w:val="24"/>
          <w:szCs w:val="24"/>
        </w:rPr>
      </w:pPr>
      <w:r w:rsidRPr="00E9708E">
        <w:rPr>
          <w:rFonts w:asciiTheme="minorHAnsi" w:eastAsiaTheme="minorHAnsi" w:hAnsiTheme="minorHAnsi" w:cstheme="minorBidi"/>
          <w:b/>
          <w:sz w:val="24"/>
          <w:szCs w:val="24"/>
        </w:rPr>
        <w:t>Sufficiency of NW Natural program admin</w:t>
      </w:r>
      <w:r>
        <w:rPr>
          <w:rFonts w:asciiTheme="minorHAnsi" w:eastAsiaTheme="minorHAnsi" w:hAnsiTheme="minorHAnsi" w:cstheme="minorBidi"/>
          <w:b/>
          <w:sz w:val="24"/>
          <w:szCs w:val="24"/>
        </w:rPr>
        <w:t>istration</w:t>
      </w:r>
      <w:r w:rsidRPr="00E9708E">
        <w:rPr>
          <w:rFonts w:asciiTheme="minorHAnsi" w:eastAsiaTheme="minorHAnsi" w:hAnsiTheme="minorHAnsi" w:cstheme="minorBidi"/>
          <w:b/>
          <w:sz w:val="24"/>
          <w:szCs w:val="24"/>
        </w:rPr>
        <w:t>:</w:t>
      </w:r>
      <w:r w:rsidRPr="00E9708E">
        <w:rPr>
          <w:rFonts w:asciiTheme="minorHAnsi" w:eastAsiaTheme="minorHAnsi" w:hAnsiTheme="minorHAnsi" w:cstheme="minorBidi"/>
          <w:sz w:val="24"/>
          <w:szCs w:val="24"/>
        </w:rPr>
        <w:t xml:space="preserve"> </w:t>
      </w:r>
      <w:r w:rsidR="009D5794">
        <w:rPr>
          <w:rFonts w:asciiTheme="minorHAnsi" w:eastAsiaTheme="minorHAnsi" w:hAnsiTheme="minorHAnsi" w:cstheme="minorBidi"/>
          <w:sz w:val="24"/>
          <w:szCs w:val="24"/>
        </w:rPr>
        <w:t xml:space="preserve">For the 2016 program year only, </w:t>
      </w:r>
      <w:r w:rsidRPr="00E9708E">
        <w:rPr>
          <w:rFonts w:asciiTheme="minorHAnsi" w:eastAsiaTheme="minorHAnsi" w:hAnsiTheme="minorHAnsi" w:cstheme="minorBidi"/>
          <w:sz w:val="24"/>
          <w:szCs w:val="24"/>
        </w:rPr>
        <w:t>NW Natural’s actual program administration costs will be reimbursed</w:t>
      </w:r>
      <w:r w:rsidR="009D5794">
        <w:rPr>
          <w:rFonts w:asciiTheme="minorHAnsi" w:eastAsiaTheme="minorHAnsi" w:hAnsiTheme="minorHAnsi" w:cstheme="minorBidi"/>
          <w:sz w:val="24"/>
          <w:szCs w:val="24"/>
        </w:rPr>
        <w:t xml:space="preserve"> up to $7,700</w:t>
      </w:r>
      <w:r w:rsidRPr="00E9708E">
        <w:rPr>
          <w:rFonts w:asciiTheme="minorHAnsi" w:eastAsiaTheme="minorHAnsi" w:hAnsiTheme="minorHAnsi" w:cstheme="minorBidi"/>
          <w:sz w:val="24"/>
          <w:szCs w:val="24"/>
        </w:rPr>
        <w:t>. Previously program administration costs were limited to 5% of the total funds distributed during the Program Year. This equates to less than $4,000 over the past three years and less than $2,000 in 2015 which is insufficient to administer a robust program. An increase in program administration will allow staff to provide additional focus on increasing program participation.</w:t>
      </w:r>
      <w:r w:rsidR="009D5794">
        <w:rPr>
          <w:rFonts w:asciiTheme="minorHAnsi" w:eastAsiaTheme="minorHAnsi" w:hAnsiTheme="minorHAnsi" w:cstheme="minorBidi"/>
          <w:sz w:val="24"/>
          <w:szCs w:val="24"/>
        </w:rPr>
        <w:t xml:space="preserve"> The Company will include a report of actual administrative costs in the WA</w:t>
      </w:r>
      <w:r w:rsidR="003F0E70">
        <w:rPr>
          <w:rFonts w:asciiTheme="minorHAnsi" w:eastAsiaTheme="minorHAnsi" w:hAnsiTheme="minorHAnsi" w:cstheme="minorBidi"/>
          <w:sz w:val="24"/>
          <w:szCs w:val="24"/>
        </w:rPr>
        <w:t>-</w:t>
      </w:r>
      <w:r w:rsidR="009D5794">
        <w:rPr>
          <w:rFonts w:asciiTheme="minorHAnsi" w:eastAsiaTheme="minorHAnsi" w:hAnsiTheme="minorHAnsi" w:cstheme="minorBidi"/>
          <w:sz w:val="24"/>
          <w:szCs w:val="24"/>
        </w:rPr>
        <w:t xml:space="preserve">LIEE end of program year report. </w:t>
      </w:r>
      <w:r w:rsidRPr="00E9708E">
        <w:rPr>
          <w:rFonts w:asciiTheme="minorHAnsi" w:eastAsiaTheme="minorHAnsi" w:hAnsiTheme="minorHAnsi" w:cstheme="minorBidi"/>
          <w:sz w:val="24"/>
          <w:szCs w:val="24"/>
        </w:rPr>
        <w:t xml:space="preserve"> </w:t>
      </w:r>
    </w:p>
    <w:p w14:paraId="2864297B" w14:textId="543B9EC2" w:rsidR="00E9708E" w:rsidRPr="00E9708E" w:rsidRDefault="00E9708E" w:rsidP="009D5794">
      <w:pPr>
        <w:numPr>
          <w:ilvl w:val="0"/>
          <w:numId w:val="38"/>
        </w:numPr>
        <w:contextualSpacing/>
        <w:rPr>
          <w:rFonts w:asciiTheme="minorHAnsi" w:eastAsiaTheme="minorHAnsi" w:hAnsiTheme="minorHAnsi" w:cstheme="minorBidi"/>
          <w:sz w:val="24"/>
          <w:szCs w:val="24"/>
        </w:rPr>
      </w:pPr>
      <w:r w:rsidRPr="00E9708E">
        <w:rPr>
          <w:rFonts w:asciiTheme="minorHAnsi" w:eastAsiaTheme="minorHAnsi" w:hAnsiTheme="minorHAnsi" w:cstheme="minorBidi"/>
          <w:b/>
          <w:sz w:val="24"/>
          <w:szCs w:val="24"/>
        </w:rPr>
        <w:t xml:space="preserve">Increase of per unit cap: </w:t>
      </w:r>
      <w:r w:rsidRPr="00E9708E">
        <w:rPr>
          <w:rFonts w:asciiTheme="minorHAnsi" w:eastAsiaTheme="minorHAnsi" w:hAnsiTheme="minorHAnsi" w:cstheme="minorBidi"/>
          <w:sz w:val="24"/>
          <w:szCs w:val="24"/>
        </w:rPr>
        <w:t xml:space="preserve">The maximum rebate amount per home has been increased to the greater of $5,000 or the average total installed cost of measures as reported by the Agencies for the prior program year. Previously agencies were reimbursed the greater of $3,500 or an amount equal to ninety percent (90%) of the average total installed cost of measures as reported by the Agencies for the prior program year. </w:t>
      </w:r>
      <w:r w:rsidR="005F2857">
        <w:rPr>
          <w:rFonts w:asciiTheme="minorHAnsi" w:eastAsiaTheme="minorHAnsi" w:hAnsiTheme="minorHAnsi" w:cstheme="minorBidi"/>
          <w:sz w:val="24"/>
          <w:szCs w:val="24"/>
        </w:rPr>
        <w:t>W</w:t>
      </w:r>
      <w:r w:rsidR="003F0E70">
        <w:rPr>
          <w:rFonts w:asciiTheme="minorHAnsi" w:eastAsiaTheme="minorHAnsi" w:hAnsiTheme="minorHAnsi" w:cstheme="minorBidi"/>
          <w:sz w:val="24"/>
          <w:szCs w:val="24"/>
        </w:rPr>
        <w:t xml:space="preserve">e recommend increasing the WA-LIEE contribution from ninety percent (90%) of job costs (up to the cap) to 100% of job costs (up to the same cap). </w:t>
      </w:r>
      <w:r w:rsidRPr="00E9708E">
        <w:rPr>
          <w:rFonts w:asciiTheme="minorHAnsi" w:eastAsiaTheme="minorHAnsi" w:hAnsiTheme="minorHAnsi" w:cstheme="minorBidi"/>
          <w:sz w:val="24"/>
          <w:szCs w:val="24"/>
        </w:rPr>
        <w:t>WA</w:t>
      </w:r>
      <w:r>
        <w:rPr>
          <w:rFonts w:asciiTheme="minorHAnsi" w:eastAsiaTheme="minorHAnsi" w:hAnsiTheme="minorHAnsi" w:cstheme="minorBidi"/>
          <w:sz w:val="24"/>
          <w:szCs w:val="24"/>
        </w:rPr>
        <w:t>-</w:t>
      </w:r>
      <w:r w:rsidRPr="00E9708E">
        <w:rPr>
          <w:rFonts w:asciiTheme="minorHAnsi" w:eastAsiaTheme="minorHAnsi" w:hAnsiTheme="minorHAnsi" w:cstheme="minorBidi"/>
          <w:sz w:val="24"/>
          <w:szCs w:val="24"/>
        </w:rPr>
        <w:t xml:space="preserve">LIEE previously paid </w:t>
      </w:r>
      <w:r>
        <w:rPr>
          <w:rFonts w:asciiTheme="minorHAnsi" w:eastAsiaTheme="minorHAnsi" w:hAnsiTheme="minorHAnsi" w:cstheme="minorBidi"/>
          <w:sz w:val="24"/>
          <w:szCs w:val="24"/>
        </w:rPr>
        <w:t>ninety percent (</w:t>
      </w:r>
      <w:r w:rsidRPr="00E9708E">
        <w:rPr>
          <w:rFonts w:asciiTheme="minorHAnsi" w:eastAsiaTheme="minorHAnsi" w:hAnsiTheme="minorHAnsi" w:cstheme="minorBidi"/>
          <w:sz w:val="24"/>
          <w:szCs w:val="24"/>
        </w:rPr>
        <w:t>90%</w:t>
      </w:r>
      <w:r>
        <w:rPr>
          <w:rFonts w:asciiTheme="minorHAnsi" w:eastAsiaTheme="minorHAnsi" w:hAnsiTheme="minorHAnsi" w:cstheme="minorBidi"/>
          <w:sz w:val="24"/>
          <w:szCs w:val="24"/>
        </w:rPr>
        <w:t>)</w:t>
      </w:r>
      <w:r w:rsidRPr="00E9708E">
        <w:rPr>
          <w:rFonts w:asciiTheme="minorHAnsi" w:eastAsiaTheme="minorHAnsi" w:hAnsiTheme="minorHAnsi" w:cstheme="minorBidi"/>
          <w:sz w:val="24"/>
          <w:szCs w:val="24"/>
        </w:rPr>
        <w:t xml:space="preserve"> of job costs up to the cap which was an inconsistent method with the other Washington low income utility programs. Since most jobs exceed the cap, this has very little financial impact. For jobs completed in 2015 to date, the impact would have been $1,200, or 5% of weatherization reimbursements. </w:t>
      </w:r>
      <w:r w:rsidR="003F0E70" w:rsidRPr="00E9708E">
        <w:rPr>
          <w:rFonts w:asciiTheme="minorHAnsi" w:eastAsiaTheme="minorHAnsi" w:hAnsiTheme="minorHAnsi" w:cstheme="minorBidi"/>
          <w:sz w:val="24"/>
          <w:szCs w:val="24"/>
        </w:rPr>
        <w:t>Th</w:t>
      </w:r>
      <w:r w:rsidR="003F0E70">
        <w:rPr>
          <w:rFonts w:asciiTheme="minorHAnsi" w:eastAsiaTheme="minorHAnsi" w:hAnsiTheme="minorHAnsi" w:cstheme="minorBidi"/>
          <w:sz w:val="24"/>
          <w:szCs w:val="24"/>
        </w:rPr>
        <w:t xml:space="preserve">ese changes </w:t>
      </w:r>
      <w:r w:rsidR="003F0E70" w:rsidRPr="00E9708E">
        <w:rPr>
          <w:rFonts w:asciiTheme="minorHAnsi" w:eastAsiaTheme="minorHAnsi" w:hAnsiTheme="minorHAnsi" w:cstheme="minorBidi"/>
          <w:sz w:val="24"/>
          <w:szCs w:val="24"/>
        </w:rPr>
        <w:t>will help create better alignment between actual job costs and reimbursed cost</w:t>
      </w:r>
      <w:r w:rsidR="003F0E70">
        <w:rPr>
          <w:rFonts w:asciiTheme="minorHAnsi" w:eastAsiaTheme="minorHAnsi" w:hAnsiTheme="minorHAnsi" w:cstheme="minorBidi"/>
          <w:sz w:val="24"/>
          <w:szCs w:val="24"/>
        </w:rPr>
        <w:t>,</w:t>
      </w:r>
      <w:r w:rsidR="003F0E70" w:rsidRPr="00E9708E">
        <w:rPr>
          <w:rFonts w:asciiTheme="minorHAnsi" w:eastAsiaTheme="minorHAnsi" w:hAnsiTheme="minorHAnsi" w:cstheme="minorBidi"/>
          <w:sz w:val="24"/>
          <w:szCs w:val="24"/>
        </w:rPr>
        <w:t xml:space="preserve"> which is expected to increase program performance.</w:t>
      </w:r>
    </w:p>
    <w:p w14:paraId="5B517B51" w14:textId="77777777" w:rsidR="00357665" w:rsidRPr="00637F8E" w:rsidRDefault="00357665" w:rsidP="00626123">
      <w:pPr>
        <w:pStyle w:val="ListParagraph"/>
        <w:spacing w:after="0" w:line="240" w:lineRule="auto"/>
        <w:rPr>
          <w:rFonts w:asciiTheme="minorHAnsi" w:hAnsiTheme="minorHAnsi"/>
          <w:sz w:val="16"/>
          <w:szCs w:val="16"/>
        </w:rPr>
      </w:pPr>
    </w:p>
    <w:p w14:paraId="5FF4AFDC" w14:textId="77777777" w:rsidR="00822685" w:rsidRPr="00040AB6" w:rsidRDefault="00357665" w:rsidP="00FC75F5">
      <w:pPr>
        <w:tabs>
          <w:tab w:val="left" w:pos="720"/>
        </w:tabs>
        <w:spacing w:after="0" w:line="240" w:lineRule="auto"/>
        <w:rPr>
          <w:rFonts w:asciiTheme="minorHAnsi" w:hAnsiTheme="minorHAnsi"/>
          <w:sz w:val="32"/>
          <w:szCs w:val="32"/>
        </w:rPr>
      </w:pPr>
      <w:r w:rsidRPr="00040AB6">
        <w:rPr>
          <w:rFonts w:asciiTheme="minorHAnsi" w:hAnsiTheme="minorHAnsi"/>
          <w:sz w:val="32"/>
          <w:szCs w:val="32"/>
        </w:rPr>
        <w:t xml:space="preserve">V.      </w:t>
      </w:r>
      <w:r w:rsidR="00822685" w:rsidRPr="00040AB6">
        <w:rPr>
          <w:rFonts w:asciiTheme="minorHAnsi" w:hAnsiTheme="minorHAnsi"/>
          <w:sz w:val="32"/>
          <w:szCs w:val="32"/>
        </w:rPr>
        <w:t>Cost Effectiveness Standard</w:t>
      </w:r>
    </w:p>
    <w:p w14:paraId="580DDD04" w14:textId="15978C7F" w:rsidR="00C31476" w:rsidRDefault="00C31476" w:rsidP="00E9708E">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 xml:space="preserve">The goal of </w:t>
      </w:r>
      <w:r w:rsidR="00822685" w:rsidRPr="00040AB6">
        <w:rPr>
          <w:rFonts w:asciiTheme="minorHAnsi" w:hAnsiTheme="minorHAnsi"/>
          <w:sz w:val="24"/>
          <w:szCs w:val="24"/>
        </w:rPr>
        <w:t xml:space="preserve">NW Natural’s portfolio of residential, new homes, and commercial </w:t>
      </w:r>
      <w:r w:rsidRPr="00040AB6">
        <w:rPr>
          <w:rFonts w:asciiTheme="minorHAnsi" w:hAnsiTheme="minorHAnsi"/>
          <w:sz w:val="24"/>
          <w:szCs w:val="24"/>
        </w:rPr>
        <w:t xml:space="preserve">energy efficiency </w:t>
      </w:r>
      <w:r w:rsidR="00822685" w:rsidRPr="00040AB6">
        <w:rPr>
          <w:rFonts w:asciiTheme="minorHAnsi" w:hAnsiTheme="minorHAnsi"/>
          <w:sz w:val="24"/>
          <w:szCs w:val="24"/>
        </w:rPr>
        <w:t xml:space="preserve">programs </w:t>
      </w:r>
      <w:r w:rsidRPr="00040AB6">
        <w:rPr>
          <w:rFonts w:asciiTheme="minorHAnsi" w:hAnsiTheme="minorHAnsi"/>
          <w:sz w:val="24"/>
          <w:szCs w:val="24"/>
        </w:rPr>
        <w:t>is to acquire cost-effective gas therm savings. The portfolio of programs offered through the Energy Trust will be deemed cost-effective if</w:t>
      </w:r>
      <w:r w:rsidR="00B94D22">
        <w:rPr>
          <w:rFonts w:asciiTheme="minorHAnsi" w:hAnsiTheme="minorHAnsi"/>
          <w:sz w:val="24"/>
          <w:szCs w:val="24"/>
        </w:rPr>
        <w:t>,</w:t>
      </w:r>
      <w:r w:rsidRPr="00040AB6">
        <w:rPr>
          <w:rFonts w:asciiTheme="minorHAnsi" w:hAnsiTheme="minorHAnsi"/>
          <w:sz w:val="24"/>
          <w:szCs w:val="24"/>
        </w:rPr>
        <w:t xml:space="preserve"> at the end </w:t>
      </w:r>
      <w:r w:rsidRPr="00040AB6">
        <w:rPr>
          <w:rFonts w:asciiTheme="minorHAnsi" w:hAnsiTheme="minorHAnsi"/>
          <w:sz w:val="24"/>
          <w:szCs w:val="24"/>
        </w:rPr>
        <w:lastRenderedPageBreak/>
        <w:t>of the program year</w:t>
      </w:r>
      <w:r w:rsidR="00B94D22">
        <w:rPr>
          <w:rFonts w:asciiTheme="minorHAnsi" w:hAnsiTheme="minorHAnsi"/>
          <w:sz w:val="24"/>
          <w:szCs w:val="24"/>
        </w:rPr>
        <w:t>,</w:t>
      </w:r>
      <w:r w:rsidRPr="00040AB6">
        <w:rPr>
          <w:rFonts w:asciiTheme="minorHAnsi" w:hAnsiTheme="minorHAnsi"/>
          <w:sz w:val="24"/>
          <w:szCs w:val="24"/>
        </w:rPr>
        <w:t xml:space="preserve"> the program portfolio passes the Utility Cost </w:t>
      </w:r>
      <w:r w:rsidR="00D85227">
        <w:rPr>
          <w:rFonts w:asciiTheme="minorHAnsi" w:hAnsiTheme="minorHAnsi"/>
          <w:sz w:val="24"/>
          <w:szCs w:val="24"/>
        </w:rPr>
        <w:t xml:space="preserve">Test </w:t>
      </w:r>
      <w:r w:rsidRPr="00040AB6">
        <w:rPr>
          <w:rFonts w:asciiTheme="minorHAnsi" w:hAnsiTheme="minorHAnsi"/>
          <w:sz w:val="24"/>
          <w:szCs w:val="24"/>
        </w:rPr>
        <w:t>(UCT) by having a benefit to cost ratio of one or more.  The UCT is defined as follows:</w:t>
      </w:r>
    </w:p>
    <w:p w14:paraId="053D23EA" w14:textId="77777777" w:rsidR="000109AC" w:rsidRPr="00040AB6" w:rsidRDefault="000109AC" w:rsidP="00E9708E">
      <w:pPr>
        <w:pStyle w:val="BodyText"/>
        <w:widowControl/>
        <w:tabs>
          <w:tab w:val="left" w:pos="9720"/>
        </w:tabs>
        <w:ind w:left="720"/>
      </w:pPr>
    </w:p>
    <w:p w14:paraId="26E4C2AA" w14:textId="1392206F" w:rsidR="00C31476" w:rsidRPr="00040AB6" w:rsidRDefault="00C31476" w:rsidP="008431AD">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The UCT measures the present value of the energy savings </w:t>
      </w:r>
      <w:r w:rsidR="00137135" w:rsidRPr="00040AB6">
        <w:rPr>
          <w:rFonts w:asciiTheme="minorHAnsi" w:hAnsiTheme="minorHAnsi"/>
          <w:sz w:val="24"/>
          <w:szCs w:val="24"/>
        </w:rPr>
        <w:t>in relation to</w:t>
      </w:r>
      <w:r w:rsidRPr="00040AB6">
        <w:rPr>
          <w:rFonts w:asciiTheme="minorHAnsi" w:hAnsiTheme="minorHAnsi"/>
          <w:sz w:val="24"/>
          <w:szCs w:val="24"/>
        </w:rPr>
        <w:t xml:space="preserve"> the net costs incurred by the program, including incentive costs and excluding any net costs incurred by the participant.  The UCT is </w:t>
      </w:r>
      <w:r w:rsidR="0045187F">
        <w:rPr>
          <w:rFonts w:asciiTheme="minorHAnsi" w:hAnsiTheme="minorHAnsi"/>
          <w:sz w:val="24"/>
          <w:szCs w:val="24"/>
        </w:rPr>
        <w:t>b</w:t>
      </w:r>
      <w:r w:rsidR="0045187F" w:rsidRPr="00040AB6">
        <w:rPr>
          <w:rFonts w:asciiTheme="minorHAnsi" w:hAnsiTheme="minorHAnsi"/>
          <w:sz w:val="24"/>
          <w:szCs w:val="24"/>
        </w:rPr>
        <w:t xml:space="preserve">enefits </w:t>
      </w:r>
      <w:r w:rsidRPr="00040AB6">
        <w:rPr>
          <w:rFonts w:asciiTheme="minorHAnsi" w:hAnsiTheme="minorHAnsi"/>
          <w:sz w:val="24"/>
          <w:szCs w:val="24"/>
        </w:rPr>
        <w:t xml:space="preserve">divided by </w:t>
      </w:r>
      <w:r w:rsidR="0045187F">
        <w:rPr>
          <w:rFonts w:asciiTheme="minorHAnsi" w:hAnsiTheme="minorHAnsi"/>
          <w:sz w:val="24"/>
          <w:szCs w:val="24"/>
        </w:rPr>
        <w:t>c</w:t>
      </w:r>
      <w:r w:rsidR="0045187F" w:rsidRPr="00040AB6">
        <w:rPr>
          <w:rFonts w:asciiTheme="minorHAnsi" w:hAnsiTheme="minorHAnsi"/>
          <w:sz w:val="24"/>
          <w:szCs w:val="24"/>
        </w:rPr>
        <w:t xml:space="preserve">osts </w:t>
      </w:r>
      <w:r w:rsidRPr="00040AB6">
        <w:rPr>
          <w:rFonts w:asciiTheme="minorHAnsi" w:hAnsiTheme="minorHAnsi"/>
          <w:sz w:val="24"/>
          <w:szCs w:val="24"/>
        </w:rPr>
        <w:t>where each is defined as follows:</w:t>
      </w:r>
    </w:p>
    <w:p w14:paraId="310CAFED" w14:textId="77777777" w:rsidR="00C31476" w:rsidRPr="00040AB6" w:rsidRDefault="00C31476" w:rsidP="00C31476">
      <w:pPr>
        <w:tabs>
          <w:tab w:val="num" w:pos="1080"/>
          <w:tab w:val="left" w:pos="9720"/>
        </w:tabs>
        <w:autoSpaceDE w:val="0"/>
        <w:autoSpaceDN w:val="0"/>
        <w:adjustRightInd w:val="0"/>
        <w:spacing w:after="0" w:line="240" w:lineRule="auto"/>
        <w:ind w:left="1080"/>
        <w:rPr>
          <w:rFonts w:asciiTheme="minorHAnsi" w:hAnsiTheme="minorHAnsi"/>
          <w:sz w:val="24"/>
          <w:szCs w:val="24"/>
        </w:rPr>
      </w:pPr>
    </w:p>
    <w:p w14:paraId="4EC5EB77" w14:textId="77777777" w:rsidR="00C31476" w:rsidRPr="00040AB6" w:rsidRDefault="001D659E" w:rsidP="001D659E">
      <w:pPr>
        <w:tabs>
          <w:tab w:val="left" w:pos="9720"/>
        </w:tabs>
        <w:spacing w:after="0" w:line="240" w:lineRule="auto"/>
        <w:ind w:left="720"/>
        <w:outlineLvl w:val="0"/>
        <w:rPr>
          <w:rFonts w:asciiTheme="minorHAnsi" w:hAnsiTheme="minorHAnsi"/>
          <w:sz w:val="24"/>
          <w:szCs w:val="24"/>
        </w:rPr>
      </w:pPr>
      <w:r w:rsidRPr="00040AB6">
        <w:rPr>
          <w:rFonts w:asciiTheme="minorHAnsi" w:hAnsiTheme="minorHAnsi"/>
          <w:sz w:val="24"/>
          <w:szCs w:val="24"/>
        </w:rPr>
        <w:t>UCT</w:t>
      </w:r>
      <w:r w:rsidR="00C31476" w:rsidRPr="00040AB6">
        <w:rPr>
          <w:rFonts w:asciiTheme="minorHAnsi" w:hAnsiTheme="minorHAnsi"/>
          <w:sz w:val="24"/>
          <w:szCs w:val="24"/>
        </w:rPr>
        <w:t xml:space="preserve"> </w:t>
      </w:r>
      <w:r w:rsidR="00C31476" w:rsidRPr="00040AB6">
        <w:rPr>
          <w:rFonts w:asciiTheme="minorHAnsi" w:hAnsiTheme="minorHAnsi"/>
          <w:b/>
          <w:sz w:val="24"/>
          <w:szCs w:val="24"/>
        </w:rPr>
        <w:t>Benefits</w:t>
      </w:r>
      <w:r w:rsidR="00C31476" w:rsidRPr="00040AB6">
        <w:rPr>
          <w:rFonts w:asciiTheme="minorHAnsi" w:hAnsiTheme="minorHAnsi"/>
          <w:sz w:val="24"/>
          <w:szCs w:val="24"/>
        </w:rPr>
        <w:t xml:space="preserve"> are:</w:t>
      </w:r>
    </w:p>
    <w:p w14:paraId="19E7224E" w14:textId="77777777" w:rsidR="008431AD" w:rsidRPr="00040AB6" w:rsidRDefault="00C31476" w:rsidP="008431AD">
      <w:pPr>
        <w:pStyle w:val="ListParagraph"/>
        <w:numPr>
          <w:ilvl w:val="0"/>
          <w:numId w:val="20"/>
        </w:numPr>
        <w:tabs>
          <w:tab w:val="left" w:pos="1440"/>
          <w:tab w:val="left" w:pos="9720"/>
        </w:tabs>
        <w:autoSpaceDE w:val="0"/>
        <w:autoSpaceDN w:val="0"/>
        <w:adjustRightInd w:val="0"/>
        <w:spacing w:after="0" w:line="240" w:lineRule="auto"/>
        <w:rPr>
          <w:rFonts w:asciiTheme="minorHAnsi" w:hAnsiTheme="minorHAnsi"/>
          <w:sz w:val="24"/>
          <w:szCs w:val="24"/>
        </w:rPr>
      </w:pPr>
      <w:r w:rsidRPr="00040AB6">
        <w:rPr>
          <w:rFonts w:asciiTheme="minorHAnsi" w:hAnsiTheme="minorHAnsi"/>
          <w:sz w:val="24"/>
          <w:szCs w:val="24"/>
        </w:rPr>
        <w:t>The value of gas energy saved based on the Company’s avoided costs</w:t>
      </w:r>
      <w:r w:rsidR="008431AD" w:rsidRPr="00040AB6">
        <w:rPr>
          <w:rFonts w:asciiTheme="minorHAnsi" w:hAnsiTheme="minorHAnsi"/>
          <w:sz w:val="24"/>
          <w:szCs w:val="24"/>
        </w:rPr>
        <w:t>.  The Company’s avoided costs include the following values:</w:t>
      </w:r>
    </w:p>
    <w:p w14:paraId="6953917C" w14:textId="178708CF" w:rsidR="008431AD" w:rsidRPr="00122F13" w:rsidRDefault="008431AD" w:rsidP="000109AC">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r>
      <w:r w:rsidRPr="004B67E4">
        <w:rPr>
          <w:rFonts w:asciiTheme="minorHAnsi" w:hAnsiTheme="minorHAnsi"/>
          <w:sz w:val="24"/>
          <w:szCs w:val="24"/>
        </w:rPr>
        <w:t xml:space="preserve">The long term gas price forecast compiled from a consultant’s </w:t>
      </w:r>
      <w:r w:rsidR="00092C5B" w:rsidRPr="004B67E4">
        <w:rPr>
          <w:rFonts w:asciiTheme="minorHAnsi" w:hAnsiTheme="minorHAnsi"/>
          <w:sz w:val="24"/>
          <w:szCs w:val="24"/>
        </w:rPr>
        <w:t xml:space="preserve">carbon policy embedded </w:t>
      </w:r>
      <w:r w:rsidRPr="004B67E4">
        <w:rPr>
          <w:rFonts w:asciiTheme="minorHAnsi" w:hAnsiTheme="minorHAnsi"/>
          <w:sz w:val="24"/>
          <w:szCs w:val="24"/>
        </w:rPr>
        <w:t>gas price forecast;</w:t>
      </w:r>
    </w:p>
    <w:p w14:paraId="460128B3" w14:textId="2A5774F7" w:rsidR="008431AD" w:rsidRPr="001D65C7" w:rsidRDefault="008431AD" w:rsidP="008431AD">
      <w:pPr>
        <w:autoSpaceDE w:val="0"/>
        <w:autoSpaceDN w:val="0"/>
        <w:spacing w:after="0" w:line="240" w:lineRule="auto"/>
        <w:ind w:left="1620" w:hanging="540"/>
        <w:rPr>
          <w:rFonts w:asciiTheme="minorHAnsi" w:hAnsiTheme="minorHAnsi"/>
          <w:sz w:val="24"/>
          <w:szCs w:val="24"/>
        </w:rPr>
      </w:pPr>
      <w:r w:rsidRPr="002F795F">
        <w:rPr>
          <w:rFonts w:asciiTheme="minorHAnsi" w:hAnsiTheme="minorHAnsi"/>
          <w:sz w:val="24"/>
          <w:szCs w:val="24"/>
        </w:rPr>
        <w:t xml:space="preserve">• </w:t>
      </w:r>
      <w:r w:rsidRPr="002F795F">
        <w:rPr>
          <w:rFonts w:asciiTheme="minorHAnsi" w:hAnsiTheme="minorHAnsi"/>
          <w:sz w:val="24"/>
          <w:szCs w:val="24"/>
        </w:rPr>
        <w:tab/>
        <w:t>Gas storage carrying costs for inventory;</w:t>
      </w:r>
    </w:p>
    <w:p w14:paraId="2968BBFB" w14:textId="6A41C17B" w:rsidR="005847CA" w:rsidRPr="00E9708E" w:rsidRDefault="008431AD" w:rsidP="008431AD">
      <w:pPr>
        <w:autoSpaceDE w:val="0"/>
        <w:autoSpaceDN w:val="0"/>
        <w:spacing w:after="0" w:line="240" w:lineRule="auto"/>
        <w:ind w:left="1620" w:hanging="540"/>
        <w:rPr>
          <w:rFonts w:asciiTheme="minorHAnsi" w:hAnsiTheme="minorHAnsi"/>
          <w:sz w:val="24"/>
          <w:szCs w:val="24"/>
        </w:rPr>
      </w:pPr>
      <w:r w:rsidRPr="001D65C7">
        <w:rPr>
          <w:rFonts w:asciiTheme="minorHAnsi" w:hAnsiTheme="minorHAnsi"/>
          <w:sz w:val="24"/>
          <w:szCs w:val="24"/>
        </w:rPr>
        <w:t xml:space="preserve">• </w:t>
      </w:r>
      <w:r w:rsidRPr="001D65C7">
        <w:rPr>
          <w:rFonts w:asciiTheme="minorHAnsi" w:hAnsiTheme="minorHAnsi"/>
          <w:sz w:val="24"/>
          <w:szCs w:val="24"/>
        </w:rPr>
        <w:tab/>
        <w:t xml:space="preserve">Upstream variable transmission costs; </w:t>
      </w:r>
    </w:p>
    <w:p w14:paraId="29324E91" w14:textId="77777777" w:rsidR="005847CA" w:rsidRPr="00E9708E" w:rsidRDefault="005847CA" w:rsidP="005008C6">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E9708E">
        <w:rPr>
          <w:rFonts w:asciiTheme="minorHAnsi" w:hAnsiTheme="minorHAnsi"/>
          <w:sz w:val="24"/>
          <w:szCs w:val="24"/>
        </w:rPr>
        <w:t>Incremental system capacity costs;</w:t>
      </w:r>
    </w:p>
    <w:p w14:paraId="321F2416" w14:textId="335D5973" w:rsidR="000109AC" w:rsidRDefault="005847CA" w:rsidP="000109AC">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BD1A74">
        <w:rPr>
          <w:rFonts w:asciiTheme="minorHAnsi" w:hAnsiTheme="minorHAnsi"/>
          <w:sz w:val="24"/>
          <w:szCs w:val="24"/>
        </w:rPr>
        <w:t xml:space="preserve">Incremental system distribution costs; </w:t>
      </w:r>
      <w:r w:rsidR="000109AC">
        <w:rPr>
          <w:rFonts w:asciiTheme="minorHAnsi" w:hAnsiTheme="minorHAnsi"/>
          <w:sz w:val="24"/>
          <w:szCs w:val="24"/>
        </w:rPr>
        <w:t>and</w:t>
      </w:r>
    </w:p>
    <w:p w14:paraId="0C120DBB" w14:textId="0EFFA5CD" w:rsidR="005847CA" w:rsidRPr="000109AC" w:rsidRDefault="005847CA" w:rsidP="000109AC">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0109AC">
        <w:rPr>
          <w:rFonts w:asciiTheme="minorHAnsi" w:hAnsiTheme="minorHAnsi"/>
          <w:sz w:val="24"/>
          <w:szCs w:val="24"/>
        </w:rPr>
        <w:t>The hedge value of DSM</w:t>
      </w:r>
      <w:r w:rsidR="000109AC">
        <w:rPr>
          <w:rFonts w:asciiTheme="minorHAnsi" w:hAnsiTheme="minorHAnsi"/>
          <w:sz w:val="24"/>
          <w:szCs w:val="24"/>
        </w:rPr>
        <w:t>.</w:t>
      </w:r>
      <w:r w:rsidRPr="000109AC" w:rsidDel="005847CA">
        <w:rPr>
          <w:rFonts w:asciiTheme="minorHAnsi" w:hAnsiTheme="minorHAnsi"/>
          <w:sz w:val="24"/>
          <w:szCs w:val="24"/>
        </w:rPr>
        <w:t xml:space="preserve"> </w:t>
      </w:r>
    </w:p>
    <w:p w14:paraId="660EB1B4" w14:textId="77777777" w:rsidR="00C31476" w:rsidRPr="00040AB6" w:rsidRDefault="00C31476" w:rsidP="001D659E">
      <w:pPr>
        <w:tabs>
          <w:tab w:val="left" w:pos="1440"/>
          <w:tab w:val="left" w:pos="9720"/>
        </w:tabs>
        <w:autoSpaceDE w:val="0"/>
        <w:autoSpaceDN w:val="0"/>
        <w:adjustRightInd w:val="0"/>
        <w:spacing w:after="0" w:line="240" w:lineRule="auto"/>
        <w:ind w:left="990" w:hanging="270"/>
        <w:rPr>
          <w:rFonts w:asciiTheme="minorHAnsi" w:hAnsiTheme="minorHAnsi"/>
          <w:sz w:val="24"/>
          <w:szCs w:val="24"/>
        </w:rPr>
      </w:pPr>
      <w:r w:rsidRPr="00040AB6">
        <w:rPr>
          <w:rFonts w:asciiTheme="minorHAnsi" w:hAnsiTheme="minorHAnsi"/>
          <w:sz w:val="24"/>
          <w:szCs w:val="24"/>
        </w:rPr>
        <w:t>2.  The 10% credit for the benefits of conservation in addressing risk and uncertainty as well as unquantified environmental benefits</w:t>
      </w:r>
      <w:r w:rsidR="008431AD" w:rsidRPr="00040AB6">
        <w:rPr>
          <w:rFonts w:asciiTheme="minorHAnsi" w:hAnsiTheme="minorHAnsi"/>
          <w:sz w:val="24"/>
          <w:szCs w:val="24"/>
        </w:rPr>
        <w:t>.</w:t>
      </w:r>
    </w:p>
    <w:p w14:paraId="5CC4441E"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p>
    <w:p w14:paraId="70762B28" w14:textId="77777777" w:rsidR="00C31476" w:rsidRPr="00040AB6" w:rsidRDefault="001D659E"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UCT</w:t>
      </w:r>
      <w:r w:rsidR="00C31476" w:rsidRPr="00040AB6">
        <w:rPr>
          <w:rFonts w:asciiTheme="minorHAnsi" w:hAnsiTheme="minorHAnsi"/>
          <w:sz w:val="24"/>
          <w:szCs w:val="24"/>
        </w:rPr>
        <w:t xml:space="preserve"> </w:t>
      </w:r>
      <w:r w:rsidR="00C31476" w:rsidRPr="00040AB6">
        <w:rPr>
          <w:rFonts w:asciiTheme="minorHAnsi" w:hAnsiTheme="minorHAnsi"/>
          <w:b/>
          <w:sz w:val="24"/>
          <w:szCs w:val="24"/>
        </w:rPr>
        <w:t>Costs</w:t>
      </w:r>
      <w:r w:rsidR="00C31476" w:rsidRPr="00040AB6">
        <w:rPr>
          <w:rFonts w:asciiTheme="minorHAnsi" w:hAnsiTheme="minorHAnsi"/>
          <w:sz w:val="24"/>
          <w:szCs w:val="24"/>
        </w:rPr>
        <w:t xml:space="preserve"> </w:t>
      </w:r>
      <w:r w:rsidRPr="00040AB6">
        <w:rPr>
          <w:rFonts w:asciiTheme="minorHAnsi" w:hAnsiTheme="minorHAnsi"/>
          <w:sz w:val="24"/>
          <w:szCs w:val="24"/>
        </w:rPr>
        <w:t>are</w:t>
      </w:r>
      <w:r w:rsidR="00C31476" w:rsidRPr="00040AB6">
        <w:rPr>
          <w:rFonts w:asciiTheme="minorHAnsi" w:hAnsiTheme="minorHAnsi"/>
          <w:sz w:val="24"/>
          <w:szCs w:val="24"/>
        </w:rPr>
        <w:t xml:space="preserve">: </w:t>
      </w:r>
    </w:p>
    <w:p w14:paraId="00628BD4"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1.  Incentives paid to the participant</w:t>
      </w:r>
      <w:r w:rsidR="001D659E" w:rsidRPr="00040AB6">
        <w:rPr>
          <w:rFonts w:asciiTheme="minorHAnsi" w:hAnsiTheme="minorHAnsi"/>
          <w:sz w:val="24"/>
          <w:szCs w:val="24"/>
        </w:rPr>
        <w:t>;</w:t>
      </w:r>
    </w:p>
    <w:p w14:paraId="5F9B05E0"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2.  Administrative costs</w:t>
      </w:r>
      <w:r w:rsidR="001D659E" w:rsidRPr="00040AB6">
        <w:rPr>
          <w:rFonts w:asciiTheme="minorHAnsi" w:hAnsiTheme="minorHAnsi"/>
          <w:sz w:val="24"/>
          <w:szCs w:val="24"/>
        </w:rPr>
        <w:t>; and</w:t>
      </w:r>
    </w:p>
    <w:p w14:paraId="593D559D" w14:textId="77777777" w:rsidR="00C31476" w:rsidRPr="00040AB6" w:rsidRDefault="00C31476" w:rsidP="001D659E">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3.  </w:t>
      </w:r>
      <w:r w:rsidR="001D659E" w:rsidRPr="00040AB6">
        <w:rPr>
          <w:rFonts w:asciiTheme="minorHAnsi" w:hAnsiTheme="minorHAnsi"/>
          <w:sz w:val="24"/>
          <w:szCs w:val="24"/>
        </w:rPr>
        <w:t>Evaluation, verification, and monitoring.</w:t>
      </w:r>
    </w:p>
    <w:p w14:paraId="210A5E33" w14:textId="77777777" w:rsidR="00C31476" w:rsidRPr="00040AB6" w:rsidRDefault="00C31476" w:rsidP="008431AD">
      <w:pPr>
        <w:tabs>
          <w:tab w:val="left" w:pos="9720"/>
        </w:tabs>
        <w:spacing w:after="0" w:line="240" w:lineRule="auto"/>
        <w:ind w:left="720"/>
        <w:rPr>
          <w:rFonts w:asciiTheme="minorHAnsi" w:hAnsiTheme="minorHAnsi"/>
          <w:sz w:val="24"/>
          <w:szCs w:val="24"/>
        </w:rPr>
      </w:pPr>
    </w:p>
    <w:p w14:paraId="25CC8F2A" w14:textId="2C25182D" w:rsidR="001D659E" w:rsidRPr="00040AB6" w:rsidRDefault="001D659E" w:rsidP="008431AD">
      <w:pPr>
        <w:tabs>
          <w:tab w:val="left" w:pos="9720"/>
        </w:tabs>
        <w:spacing w:after="0" w:line="240" w:lineRule="auto"/>
        <w:ind w:left="720"/>
        <w:rPr>
          <w:rFonts w:asciiTheme="minorHAnsi" w:hAnsiTheme="minorHAnsi"/>
          <w:sz w:val="24"/>
          <w:szCs w:val="24"/>
        </w:rPr>
      </w:pPr>
      <w:r w:rsidRPr="00040AB6">
        <w:rPr>
          <w:rFonts w:asciiTheme="minorHAnsi" w:hAnsiTheme="minorHAnsi"/>
          <w:sz w:val="24"/>
          <w:szCs w:val="24"/>
        </w:rPr>
        <w:t xml:space="preserve">The Company will continue to monitor and report how </w:t>
      </w:r>
      <w:r w:rsidR="0045187F">
        <w:rPr>
          <w:rFonts w:asciiTheme="minorHAnsi" w:hAnsiTheme="minorHAnsi"/>
          <w:sz w:val="24"/>
          <w:szCs w:val="24"/>
        </w:rPr>
        <w:t xml:space="preserve">the </w:t>
      </w:r>
      <w:r w:rsidRPr="00040AB6">
        <w:rPr>
          <w:rFonts w:asciiTheme="minorHAnsi" w:hAnsiTheme="minorHAnsi"/>
          <w:sz w:val="24"/>
          <w:szCs w:val="24"/>
        </w:rPr>
        <w:t>portfolio fa</w:t>
      </w:r>
      <w:r w:rsidR="000109AC">
        <w:rPr>
          <w:rFonts w:asciiTheme="minorHAnsi" w:hAnsiTheme="minorHAnsi"/>
          <w:sz w:val="24"/>
          <w:szCs w:val="24"/>
        </w:rPr>
        <w:t>res</w:t>
      </w:r>
      <w:r w:rsidRPr="00040AB6">
        <w:rPr>
          <w:rFonts w:asciiTheme="minorHAnsi" w:hAnsiTheme="minorHAnsi"/>
          <w:sz w:val="24"/>
          <w:szCs w:val="24"/>
        </w:rPr>
        <w:t xml:space="preserve"> using the Total Resource Cost (TRC)</w:t>
      </w:r>
      <w:r w:rsidR="00092C5B">
        <w:rPr>
          <w:rFonts w:asciiTheme="minorHAnsi" w:hAnsiTheme="minorHAnsi"/>
          <w:sz w:val="24"/>
          <w:szCs w:val="24"/>
        </w:rPr>
        <w:t xml:space="preserve"> Test</w:t>
      </w:r>
      <w:r w:rsidRPr="00040AB6">
        <w:rPr>
          <w:rFonts w:asciiTheme="minorHAnsi" w:hAnsiTheme="minorHAnsi"/>
          <w:sz w:val="24"/>
          <w:szCs w:val="24"/>
        </w:rPr>
        <w:t xml:space="preserve">, which is </w:t>
      </w:r>
      <w:r w:rsidR="005720E9" w:rsidRPr="00040AB6">
        <w:rPr>
          <w:rFonts w:asciiTheme="minorHAnsi" w:hAnsiTheme="minorHAnsi"/>
          <w:sz w:val="24"/>
          <w:szCs w:val="24"/>
        </w:rPr>
        <w:t>benefits</w:t>
      </w:r>
      <w:r w:rsidRPr="00040AB6">
        <w:rPr>
          <w:rFonts w:asciiTheme="minorHAnsi" w:hAnsiTheme="minorHAnsi"/>
          <w:sz w:val="24"/>
          <w:szCs w:val="24"/>
        </w:rPr>
        <w:t xml:space="preserve"> divided by </w:t>
      </w:r>
      <w:r w:rsidR="005720E9" w:rsidRPr="00040AB6">
        <w:rPr>
          <w:rFonts w:asciiTheme="minorHAnsi" w:hAnsiTheme="minorHAnsi"/>
          <w:sz w:val="24"/>
          <w:szCs w:val="24"/>
        </w:rPr>
        <w:t>costs</w:t>
      </w:r>
      <w:r w:rsidRPr="00040AB6">
        <w:rPr>
          <w:rFonts w:asciiTheme="minorHAnsi" w:hAnsiTheme="minorHAnsi"/>
          <w:sz w:val="24"/>
          <w:szCs w:val="24"/>
        </w:rPr>
        <w:t xml:space="preserve"> when each is defined as follows:</w:t>
      </w:r>
    </w:p>
    <w:p w14:paraId="339D006C" w14:textId="77777777" w:rsidR="001D659E" w:rsidRPr="00040AB6" w:rsidRDefault="001D659E" w:rsidP="005A39B1">
      <w:pPr>
        <w:tabs>
          <w:tab w:val="left" w:pos="9720"/>
        </w:tabs>
        <w:spacing w:after="0" w:line="240" w:lineRule="auto"/>
        <w:ind w:left="1080"/>
        <w:rPr>
          <w:rFonts w:asciiTheme="minorHAnsi" w:hAnsiTheme="minorHAnsi"/>
          <w:sz w:val="24"/>
          <w:szCs w:val="24"/>
        </w:rPr>
      </w:pPr>
    </w:p>
    <w:p w14:paraId="2925F19F" w14:textId="168466BA" w:rsidR="005A39B1" w:rsidRPr="00040AB6" w:rsidRDefault="001D659E" w:rsidP="008431AD">
      <w:pPr>
        <w:tabs>
          <w:tab w:val="left" w:pos="9720"/>
        </w:tabs>
        <w:spacing w:after="0" w:line="240" w:lineRule="auto"/>
        <w:ind w:left="720"/>
        <w:outlineLvl w:val="0"/>
        <w:rPr>
          <w:rFonts w:asciiTheme="minorHAnsi" w:hAnsiTheme="minorHAnsi"/>
          <w:sz w:val="24"/>
          <w:szCs w:val="24"/>
        </w:rPr>
      </w:pPr>
      <w:r w:rsidRPr="00040AB6">
        <w:rPr>
          <w:rFonts w:asciiTheme="minorHAnsi" w:hAnsiTheme="minorHAnsi"/>
          <w:sz w:val="24"/>
          <w:szCs w:val="24"/>
        </w:rPr>
        <w:t>TRC</w:t>
      </w:r>
      <w:r w:rsidR="00C31476" w:rsidRPr="00040AB6">
        <w:rPr>
          <w:rFonts w:asciiTheme="minorHAnsi" w:hAnsiTheme="minorHAnsi"/>
          <w:sz w:val="24"/>
          <w:szCs w:val="24"/>
        </w:rPr>
        <w:t xml:space="preserve"> </w:t>
      </w:r>
      <w:r w:rsidR="00C31476" w:rsidRPr="00040AB6">
        <w:rPr>
          <w:rFonts w:asciiTheme="minorHAnsi" w:hAnsiTheme="minorHAnsi"/>
          <w:b/>
          <w:sz w:val="24"/>
          <w:szCs w:val="24"/>
        </w:rPr>
        <w:t xml:space="preserve">Benefits </w:t>
      </w:r>
      <w:r w:rsidR="00C31476" w:rsidRPr="00040AB6">
        <w:rPr>
          <w:rFonts w:asciiTheme="minorHAnsi" w:hAnsiTheme="minorHAnsi"/>
          <w:sz w:val="24"/>
          <w:szCs w:val="24"/>
        </w:rPr>
        <w:t>include</w:t>
      </w:r>
      <w:r w:rsidR="00A05B15">
        <w:rPr>
          <w:rFonts w:asciiTheme="minorHAnsi" w:hAnsiTheme="minorHAnsi"/>
          <w:sz w:val="24"/>
          <w:szCs w:val="24"/>
        </w:rPr>
        <w:t>:</w:t>
      </w:r>
      <w:r w:rsidR="00C31476" w:rsidRPr="00040AB6">
        <w:rPr>
          <w:rFonts w:asciiTheme="minorHAnsi" w:hAnsiTheme="minorHAnsi"/>
          <w:sz w:val="24"/>
          <w:szCs w:val="24"/>
        </w:rPr>
        <w:tab/>
      </w:r>
    </w:p>
    <w:p w14:paraId="2FB3380E" w14:textId="77777777" w:rsidR="005A39B1" w:rsidRPr="00040AB6" w:rsidRDefault="005A39B1" w:rsidP="005A39B1">
      <w:pPr>
        <w:pStyle w:val="ListParagraph"/>
        <w:numPr>
          <w:ilvl w:val="0"/>
          <w:numId w:val="22"/>
        </w:numPr>
        <w:tabs>
          <w:tab w:val="left" w:pos="1440"/>
          <w:tab w:val="left" w:pos="9720"/>
        </w:tabs>
        <w:autoSpaceDE w:val="0"/>
        <w:autoSpaceDN w:val="0"/>
        <w:adjustRightInd w:val="0"/>
        <w:spacing w:after="0" w:line="240" w:lineRule="auto"/>
        <w:rPr>
          <w:rFonts w:asciiTheme="minorHAnsi" w:hAnsiTheme="minorHAnsi"/>
          <w:sz w:val="24"/>
          <w:szCs w:val="24"/>
        </w:rPr>
      </w:pPr>
      <w:r w:rsidRPr="00040AB6">
        <w:rPr>
          <w:rFonts w:asciiTheme="minorHAnsi" w:hAnsiTheme="minorHAnsi"/>
          <w:sz w:val="24"/>
          <w:szCs w:val="24"/>
        </w:rPr>
        <w:t>The value of gas energy saved based on the Company’s avoided costs.  The Company’s avoided costs include the following values:</w:t>
      </w:r>
    </w:p>
    <w:p w14:paraId="315D3182" w14:textId="292762AC" w:rsidR="005A39B1" w:rsidRPr="00122F13" w:rsidRDefault="005A39B1" w:rsidP="000109AC">
      <w:pPr>
        <w:autoSpaceDE w:val="0"/>
        <w:autoSpaceDN w:val="0"/>
        <w:spacing w:after="0" w:line="240" w:lineRule="auto"/>
        <w:ind w:left="1620" w:hanging="540"/>
        <w:rPr>
          <w:rFonts w:asciiTheme="minorHAnsi" w:hAnsiTheme="minorHAnsi"/>
          <w:sz w:val="24"/>
          <w:szCs w:val="24"/>
        </w:rPr>
      </w:pPr>
      <w:r w:rsidRPr="00040AB6">
        <w:rPr>
          <w:rFonts w:asciiTheme="minorHAnsi" w:hAnsiTheme="minorHAnsi"/>
          <w:sz w:val="24"/>
          <w:szCs w:val="24"/>
        </w:rPr>
        <w:t xml:space="preserve">• </w:t>
      </w:r>
      <w:r w:rsidRPr="00040AB6">
        <w:rPr>
          <w:rFonts w:asciiTheme="minorHAnsi" w:hAnsiTheme="minorHAnsi"/>
          <w:sz w:val="24"/>
          <w:szCs w:val="24"/>
        </w:rPr>
        <w:tab/>
      </w:r>
      <w:r w:rsidRPr="004B67E4">
        <w:rPr>
          <w:rFonts w:asciiTheme="minorHAnsi" w:hAnsiTheme="minorHAnsi"/>
          <w:sz w:val="24"/>
          <w:szCs w:val="24"/>
        </w:rPr>
        <w:t xml:space="preserve">The long term gas price forecast compiled from a consultant’s </w:t>
      </w:r>
      <w:r w:rsidR="00092C5B" w:rsidRPr="004B67E4">
        <w:rPr>
          <w:rFonts w:asciiTheme="minorHAnsi" w:hAnsiTheme="minorHAnsi"/>
          <w:sz w:val="24"/>
          <w:szCs w:val="24"/>
        </w:rPr>
        <w:t xml:space="preserve">carbon policy embedded </w:t>
      </w:r>
      <w:r w:rsidRPr="004B67E4">
        <w:rPr>
          <w:rFonts w:asciiTheme="minorHAnsi" w:hAnsiTheme="minorHAnsi"/>
          <w:sz w:val="24"/>
          <w:szCs w:val="24"/>
        </w:rPr>
        <w:t>gas price forecast;</w:t>
      </w:r>
    </w:p>
    <w:p w14:paraId="5F4109B6" w14:textId="77777777" w:rsidR="005A39B1" w:rsidRPr="002F795F" w:rsidRDefault="005A39B1" w:rsidP="005A39B1">
      <w:pPr>
        <w:autoSpaceDE w:val="0"/>
        <w:autoSpaceDN w:val="0"/>
        <w:spacing w:after="0" w:line="240" w:lineRule="auto"/>
        <w:ind w:left="1620" w:hanging="540"/>
        <w:rPr>
          <w:rFonts w:asciiTheme="minorHAnsi" w:hAnsiTheme="minorHAnsi"/>
          <w:sz w:val="24"/>
          <w:szCs w:val="24"/>
        </w:rPr>
      </w:pPr>
      <w:r w:rsidRPr="002F795F">
        <w:rPr>
          <w:rFonts w:asciiTheme="minorHAnsi" w:hAnsiTheme="minorHAnsi"/>
          <w:sz w:val="24"/>
          <w:szCs w:val="24"/>
        </w:rPr>
        <w:t xml:space="preserve">• </w:t>
      </w:r>
      <w:r w:rsidRPr="002F795F">
        <w:rPr>
          <w:rFonts w:asciiTheme="minorHAnsi" w:hAnsiTheme="minorHAnsi"/>
          <w:sz w:val="24"/>
          <w:szCs w:val="24"/>
        </w:rPr>
        <w:tab/>
        <w:t>Gas storage carrying costs for inventory;</w:t>
      </w:r>
    </w:p>
    <w:p w14:paraId="5D1E81E1" w14:textId="2775835A" w:rsidR="005A39B1" w:rsidRPr="001D65C7" w:rsidRDefault="005A39B1" w:rsidP="005A39B1">
      <w:pPr>
        <w:autoSpaceDE w:val="0"/>
        <w:autoSpaceDN w:val="0"/>
        <w:spacing w:after="0" w:line="240" w:lineRule="auto"/>
        <w:ind w:left="1620" w:hanging="540"/>
        <w:rPr>
          <w:rFonts w:asciiTheme="minorHAnsi" w:hAnsiTheme="minorHAnsi"/>
          <w:sz w:val="24"/>
          <w:szCs w:val="24"/>
        </w:rPr>
      </w:pPr>
      <w:r w:rsidRPr="001D65C7">
        <w:rPr>
          <w:rFonts w:asciiTheme="minorHAnsi" w:hAnsiTheme="minorHAnsi"/>
          <w:sz w:val="24"/>
          <w:szCs w:val="24"/>
        </w:rPr>
        <w:t xml:space="preserve">• </w:t>
      </w:r>
      <w:r w:rsidRPr="001D65C7">
        <w:rPr>
          <w:rFonts w:asciiTheme="minorHAnsi" w:hAnsiTheme="minorHAnsi"/>
          <w:sz w:val="24"/>
          <w:szCs w:val="24"/>
        </w:rPr>
        <w:tab/>
        <w:t xml:space="preserve">Upstream variable transmission costs; </w:t>
      </w:r>
    </w:p>
    <w:p w14:paraId="3B659C44" w14:textId="77777777" w:rsidR="005008C6" w:rsidRPr="00E9708E" w:rsidRDefault="005008C6" w:rsidP="005008C6">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E9708E">
        <w:rPr>
          <w:rFonts w:asciiTheme="minorHAnsi" w:hAnsiTheme="minorHAnsi"/>
          <w:sz w:val="24"/>
          <w:szCs w:val="24"/>
        </w:rPr>
        <w:t>Incremental system capacity costs;</w:t>
      </w:r>
    </w:p>
    <w:p w14:paraId="45089A06" w14:textId="77777777" w:rsidR="005008C6" w:rsidRPr="00BD1A74" w:rsidRDefault="005008C6" w:rsidP="005C21F8">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BD1A74">
        <w:rPr>
          <w:rFonts w:asciiTheme="minorHAnsi" w:hAnsiTheme="minorHAnsi"/>
          <w:sz w:val="24"/>
          <w:szCs w:val="24"/>
        </w:rPr>
        <w:t>Incremental system distribution costs; and</w:t>
      </w:r>
    </w:p>
    <w:p w14:paraId="76696AC1" w14:textId="3869A251" w:rsidR="005A39B1" w:rsidRPr="000109AC" w:rsidRDefault="005008C6" w:rsidP="000109AC">
      <w:pPr>
        <w:pStyle w:val="ListParagraph"/>
        <w:numPr>
          <w:ilvl w:val="0"/>
          <w:numId w:val="26"/>
        </w:numPr>
        <w:autoSpaceDE w:val="0"/>
        <w:autoSpaceDN w:val="0"/>
        <w:spacing w:after="0" w:line="240" w:lineRule="auto"/>
        <w:ind w:left="1620" w:hanging="540"/>
        <w:rPr>
          <w:rFonts w:asciiTheme="minorHAnsi" w:hAnsiTheme="minorHAnsi"/>
          <w:sz w:val="24"/>
          <w:szCs w:val="24"/>
        </w:rPr>
      </w:pPr>
      <w:r w:rsidRPr="00BD1A74">
        <w:rPr>
          <w:rFonts w:asciiTheme="minorHAnsi" w:hAnsiTheme="minorHAnsi"/>
          <w:sz w:val="24"/>
          <w:szCs w:val="24"/>
        </w:rPr>
        <w:t>The hedge value of DSM</w:t>
      </w:r>
      <w:r w:rsidR="000109AC">
        <w:rPr>
          <w:rFonts w:asciiTheme="minorHAnsi" w:hAnsiTheme="minorHAnsi"/>
          <w:sz w:val="24"/>
          <w:szCs w:val="24"/>
        </w:rPr>
        <w:t>.</w:t>
      </w:r>
    </w:p>
    <w:p w14:paraId="45315C08" w14:textId="77777777" w:rsidR="00C31476" w:rsidRPr="00040AB6" w:rsidRDefault="00C31476" w:rsidP="008431AD">
      <w:pPr>
        <w:tabs>
          <w:tab w:val="left" w:pos="990"/>
          <w:tab w:val="left" w:pos="9720"/>
        </w:tabs>
        <w:autoSpaceDE w:val="0"/>
        <w:autoSpaceDN w:val="0"/>
        <w:adjustRightInd w:val="0"/>
        <w:spacing w:after="0" w:line="240" w:lineRule="auto"/>
        <w:ind w:left="1080" w:hanging="360"/>
        <w:rPr>
          <w:rFonts w:asciiTheme="minorHAnsi" w:hAnsiTheme="minorHAnsi"/>
          <w:sz w:val="24"/>
          <w:szCs w:val="24"/>
        </w:rPr>
      </w:pPr>
      <w:r w:rsidRPr="00040AB6">
        <w:rPr>
          <w:rFonts w:asciiTheme="minorHAnsi" w:hAnsiTheme="minorHAnsi"/>
          <w:sz w:val="24"/>
          <w:szCs w:val="24"/>
        </w:rPr>
        <w:t xml:space="preserve">2.  </w:t>
      </w:r>
      <w:r w:rsidR="001D659E" w:rsidRPr="00040AB6">
        <w:rPr>
          <w:rFonts w:asciiTheme="minorHAnsi" w:hAnsiTheme="minorHAnsi"/>
          <w:sz w:val="24"/>
          <w:szCs w:val="24"/>
        </w:rPr>
        <w:tab/>
      </w:r>
      <w:r w:rsidRPr="00040AB6">
        <w:rPr>
          <w:rFonts w:asciiTheme="minorHAnsi" w:hAnsiTheme="minorHAnsi"/>
          <w:sz w:val="24"/>
          <w:szCs w:val="24"/>
        </w:rPr>
        <w:t>Non-energy benefits as quantified by a reasonable and practical method</w:t>
      </w:r>
      <w:r w:rsidR="001D659E" w:rsidRPr="00040AB6">
        <w:rPr>
          <w:rFonts w:asciiTheme="minorHAnsi" w:hAnsiTheme="minorHAnsi"/>
          <w:sz w:val="24"/>
          <w:szCs w:val="24"/>
        </w:rPr>
        <w:t>;</w:t>
      </w:r>
      <w:r w:rsidR="008431AD" w:rsidRPr="00040AB6">
        <w:rPr>
          <w:rFonts w:asciiTheme="minorHAnsi" w:hAnsiTheme="minorHAnsi"/>
          <w:sz w:val="24"/>
          <w:szCs w:val="24"/>
        </w:rPr>
        <w:t xml:space="preserve"> and</w:t>
      </w:r>
    </w:p>
    <w:p w14:paraId="11A48ABB" w14:textId="77777777" w:rsidR="00C31476" w:rsidRPr="00040AB6" w:rsidRDefault="00C31476" w:rsidP="008431AD">
      <w:pPr>
        <w:tabs>
          <w:tab w:val="left" w:pos="990"/>
          <w:tab w:val="left" w:pos="9720"/>
        </w:tabs>
        <w:autoSpaceDE w:val="0"/>
        <w:autoSpaceDN w:val="0"/>
        <w:adjustRightInd w:val="0"/>
        <w:spacing w:after="0" w:line="240" w:lineRule="auto"/>
        <w:ind w:left="1080" w:hanging="360"/>
        <w:rPr>
          <w:rFonts w:asciiTheme="minorHAnsi" w:hAnsiTheme="minorHAnsi"/>
          <w:sz w:val="24"/>
          <w:szCs w:val="24"/>
        </w:rPr>
      </w:pPr>
      <w:r w:rsidRPr="00040AB6">
        <w:rPr>
          <w:rFonts w:asciiTheme="minorHAnsi" w:hAnsiTheme="minorHAnsi"/>
          <w:sz w:val="24"/>
          <w:szCs w:val="24"/>
        </w:rPr>
        <w:t xml:space="preserve">3.  </w:t>
      </w:r>
      <w:r w:rsidR="001D659E" w:rsidRPr="00040AB6">
        <w:rPr>
          <w:rFonts w:asciiTheme="minorHAnsi" w:hAnsiTheme="minorHAnsi"/>
          <w:sz w:val="24"/>
          <w:szCs w:val="24"/>
        </w:rPr>
        <w:tab/>
        <w:t>The 10% credit for the benefits of conservation in addressing risk and uncertainty as well as unquantified environmental benefits</w:t>
      </w:r>
      <w:r w:rsidR="008431AD" w:rsidRPr="00040AB6">
        <w:rPr>
          <w:rFonts w:asciiTheme="minorHAnsi" w:hAnsiTheme="minorHAnsi"/>
          <w:sz w:val="24"/>
          <w:szCs w:val="24"/>
        </w:rPr>
        <w:t>.</w:t>
      </w:r>
    </w:p>
    <w:p w14:paraId="50A0A399" w14:textId="77777777" w:rsidR="00C31476" w:rsidRPr="00040AB6" w:rsidRDefault="00EB0E8F" w:rsidP="008431AD">
      <w:pPr>
        <w:tabs>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lastRenderedPageBreak/>
        <w:t>TRC</w:t>
      </w:r>
      <w:r w:rsidR="001D659E" w:rsidRPr="00040AB6">
        <w:rPr>
          <w:rFonts w:asciiTheme="minorHAnsi" w:hAnsiTheme="minorHAnsi"/>
          <w:sz w:val="24"/>
          <w:szCs w:val="24"/>
        </w:rPr>
        <w:t xml:space="preserve"> </w:t>
      </w:r>
      <w:r w:rsidR="001D659E" w:rsidRPr="00040AB6">
        <w:rPr>
          <w:rFonts w:asciiTheme="minorHAnsi" w:hAnsiTheme="minorHAnsi"/>
          <w:b/>
          <w:sz w:val="24"/>
          <w:szCs w:val="24"/>
        </w:rPr>
        <w:t xml:space="preserve">Costs </w:t>
      </w:r>
      <w:r w:rsidR="008431AD" w:rsidRPr="00040AB6">
        <w:rPr>
          <w:rFonts w:asciiTheme="minorHAnsi" w:hAnsiTheme="minorHAnsi"/>
          <w:sz w:val="24"/>
          <w:szCs w:val="24"/>
        </w:rPr>
        <w:t>are</w:t>
      </w:r>
      <w:r w:rsidR="00C31476" w:rsidRPr="00040AB6">
        <w:rPr>
          <w:rFonts w:asciiTheme="minorHAnsi" w:hAnsiTheme="minorHAnsi"/>
          <w:sz w:val="24"/>
          <w:szCs w:val="24"/>
        </w:rPr>
        <w:t xml:space="preserve">: </w:t>
      </w:r>
    </w:p>
    <w:p w14:paraId="3DB10012" w14:textId="77777777" w:rsidR="00C31476" w:rsidRPr="00040AB6" w:rsidRDefault="00C31476" w:rsidP="008431AD">
      <w:pPr>
        <w:tabs>
          <w:tab w:val="left" w:pos="1080"/>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1. </w:t>
      </w:r>
      <w:r w:rsidR="00854330" w:rsidRPr="00040AB6">
        <w:rPr>
          <w:rFonts w:asciiTheme="minorHAnsi" w:hAnsiTheme="minorHAnsi"/>
          <w:sz w:val="24"/>
          <w:szCs w:val="24"/>
        </w:rPr>
        <w:tab/>
      </w:r>
      <w:r w:rsidRPr="00040AB6">
        <w:rPr>
          <w:rFonts w:asciiTheme="minorHAnsi" w:hAnsiTheme="minorHAnsi"/>
          <w:sz w:val="24"/>
          <w:szCs w:val="24"/>
        </w:rPr>
        <w:t>Incentives paid to the participant</w:t>
      </w:r>
      <w:r w:rsidR="001D659E" w:rsidRPr="00040AB6">
        <w:rPr>
          <w:rFonts w:asciiTheme="minorHAnsi" w:hAnsiTheme="minorHAnsi"/>
          <w:sz w:val="24"/>
          <w:szCs w:val="24"/>
        </w:rPr>
        <w:t xml:space="preserve">; </w:t>
      </w:r>
    </w:p>
    <w:p w14:paraId="4A5C8410" w14:textId="77777777" w:rsidR="00C31476" w:rsidRPr="00040AB6" w:rsidRDefault="00C31476" w:rsidP="008431AD">
      <w:pPr>
        <w:tabs>
          <w:tab w:val="left" w:pos="1080"/>
          <w:tab w:val="left" w:pos="9720"/>
        </w:tabs>
        <w:autoSpaceDE w:val="0"/>
        <w:autoSpaceDN w:val="0"/>
        <w:adjustRightInd w:val="0"/>
        <w:spacing w:after="0" w:line="240" w:lineRule="auto"/>
        <w:ind w:left="720"/>
        <w:rPr>
          <w:rFonts w:asciiTheme="minorHAnsi" w:hAnsiTheme="minorHAnsi"/>
          <w:sz w:val="24"/>
          <w:szCs w:val="24"/>
        </w:rPr>
      </w:pPr>
      <w:r w:rsidRPr="00040AB6">
        <w:rPr>
          <w:rFonts w:asciiTheme="minorHAnsi" w:hAnsiTheme="minorHAnsi"/>
          <w:sz w:val="24"/>
          <w:szCs w:val="24"/>
        </w:rPr>
        <w:t xml:space="preserve">2. </w:t>
      </w:r>
      <w:r w:rsidR="00854330" w:rsidRPr="00040AB6">
        <w:rPr>
          <w:rFonts w:asciiTheme="minorHAnsi" w:hAnsiTheme="minorHAnsi"/>
          <w:sz w:val="24"/>
          <w:szCs w:val="24"/>
        </w:rPr>
        <w:tab/>
      </w:r>
      <w:r w:rsidRPr="00040AB6">
        <w:rPr>
          <w:rFonts w:asciiTheme="minorHAnsi" w:hAnsiTheme="minorHAnsi"/>
          <w:sz w:val="24"/>
          <w:szCs w:val="24"/>
        </w:rPr>
        <w:t>Administrative costs</w:t>
      </w:r>
      <w:r w:rsidR="001D659E" w:rsidRPr="00040AB6">
        <w:rPr>
          <w:rFonts w:asciiTheme="minorHAnsi" w:hAnsiTheme="minorHAnsi"/>
          <w:sz w:val="24"/>
          <w:szCs w:val="24"/>
        </w:rPr>
        <w:t xml:space="preserve">; </w:t>
      </w:r>
    </w:p>
    <w:p w14:paraId="5A432544" w14:textId="77777777" w:rsidR="00C31476" w:rsidRPr="00040AB6" w:rsidRDefault="00C31476" w:rsidP="008431AD">
      <w:pPr>
        <w:tabs>
          <w:tab w:val="left" w:pos="1080"/>
          <w:tab w:val="left" w:pos="9720"/>
        </w:tabs>
        <w:autoSpaceDE w:val="0"/>
        <w:autoSpaceDN w:val="0"/>
        <w:adjustRightInd w:val="0"/>
        <w:spacing w:after="0" w:line="240" w:lineRule="auto"/>
        <w:ind w:left="1080" w:hanging="360"/>
        <w:rPr>
          <w:rFonts w:asciiTheme="minorHAnsi" w:hAnsiTheme="minorHAnsi"/>
          <w:sz w:val="24"/>
          <w:szCs w:val="24"/>
        </w:rPr>
      </w:pPr>
      <w:r w:rsidRPr="00040AB6">
        <w:rPr>
          <w:rFonts w:asciiTheme="minorHAnsi" w:hAnsiTheme="minorHAnsi"/>
          <w:sz w:val="24"/>
          <w:szCs w:val="24"/>
        </w:rPr>
        <w:t xml:space="preserve">3. </w:t>
      </w:r>
      <w:r w:rsidR="00854330" w:rsidRPr="00040AB6">
        <w:rPr>
          <w:rFonts w:asciiTheme="minorHAnsi" w:hAnsiTheme="minorHAnsi"/>
          <w:sz w:val="24"/>
          <w:szCs w:val="24"/>
        </w:rPr>
        <w:tab/>
      </w:r>
      <w:r w:rsidR="001D659E" w:rsidRPr="00040AB6">
        <w:rPr>
          <w:rFonts w:asciiTheme="minorHAnsi" w:hAnsiTheme="minorHAnsi"/>
          <w:sz w:val="24"/>
          <w:szCs w:val="24"/>
        </w:rPr>
        <w:t>Evaluation, verification, and monitoring; and</w:t>
      </w:r>
    </w:p>
    <w:p w14:paraId="5CF9782B" w14:textId="77777777" w:rsidR="00C31476" w:rsidRPr="00040AB6" w:rsidRDefault="00C31476" w:rsidP="008431AD">
      <w:pPr>
        <w:tabs>
          <w:tab w:val="left" w:pos="1080"/>
          <w:tab w:val="left" w:pos="9720"/>
        </w:tabs>
        <w:autoSpaceDE w:val="0"/>
        <w:autoSpaceDN w:val="0"/>
        <w:adjustRightInd w:val="0"/>
        <w:spacing w:after="0" w:line="240" w:lineRule="auto"/>
        <w:ind w:left="1080" w:hanging="360"/>
        <w:rPr>
          <w:rFonts w:asciiTheme="minorHAnsi" w:hAnsiTheme="minorHAnsi"/>
          <w:sz w:val="24"/>
          <w:szCs w:val="24"/>
        </w:rPr>
      </w:pPr>
      <w:r w:rsidRPr="00040AB6">
        <w:rPr>
          <w:rFonts w:asciiTheme="minorHAnsi" w:hAnsiTheme="minorHAnsi"/>
          <w:sz w:val="24"/>
          <w:szCs w:val="24"/>
        </w:rPr>
        <w:t xml:space="preserve">4. </w:t>
      </w:r>
      <w:r w:rsidR="00854330" w:rsidRPr="00040AB6">
        <w:rPr>
          <w:rFonts w:asciiTheme="minorHAnsi" w:hAnsiTheme="minorHAnsi"/>
          <w:sz w:val="24"/>
          <w:szCs w:val="24"/>
        </w:rPr>
        <w:tab/>
      </w:r>
      <w:r w:rsidRPr="00040AB6">
        <w:rPr>
          <w:rFonts w:asciiTheme="minorHAnsi" w:hAnsiTheme="minorHAnsi"/>
          <w:sz w:val="24"/>
          <w:szCs w:val="24"/>
        </w:rPr>
        <w:t>The participant’s remaining out-of-pocket costs for the installed cost of the measures after incentives and Federal tax credits.</w:t>
      </w:r>
    </w:p>
    <w:p w14:paraId="52B82431" w14:textId="77777777" w:rsidR="00B94D22" w:rsidRPr="00040AB6" w:rsidRDefault="00B94D22" w:rsidP="008536DA">
      <w:pPr>
        <w:tabs>
          <w:tab w:val="num" w:pos="360"/>
          <w:tab w:val="left" w:pos="9720"/>
        </w:tabs>
        <w:autoSpaceDE w:val="0"/>
        <w:autoSpaceDN w:val="0"/>
        <w:adjustRightInd w:val="0"/>
        <w:spacing w:after="0" w:line="240" w:lineRule="auto"/>
        <w:rPr>
          <w:rFonts w:asciiTheme="minorHAnsi" w:hAnsiTheme="minorHAnsi"/>
          <w:sz w:val="24"/>
          <w:szCs w:val="24"/>
        </w:rPr>
      </w:pPr>
    </w:p>
    <w:p w14:paraId="7D513C92" w14:textId="77777777" w:rsidR="00C31476" w:rsidRPr="00040AB6" w:rsidRDefault="00C31476" w:rsidP="00C31476">
      <w:pPr>
        <w:pStyle w:val="BodyText"/>
        <w:widowControl/>
        <w:tabs>
          <w:tab w:val="left" w:pos="9720"/>
        </w:tabs>
        <w:ind w:left="720"/>
        <w:rPr>
          <w:rFonts w:asciiTheme="minorHAnsi" w:hAnsiTheme="minorHAnsi"/>
          <w:sz w:val="24"/>
          <w:szCs w:val="24"/>
          <w:u w:val="single"/>
        </w:rPr>
      </w:pPr>
      <w:r w:rsidRPr="00040AB6">
        <w:rPr>
          <w:rFonts w:asciiTheme="minorHAnsi" w:hAnsiTheme="minorHAnsi"/>
          <w:sz w:val="24"/>
          <w:szCs w:val="24"/>
          <w:u w:val="single"/>
        </w:rPr>
        <w:t>L</w:t>
      </w:r>
      <w:r w:rsidR="00106C2C" w:rsidRPr="00040AB6">
        <w:rPr>
          <w:rFonts w:asciiTheme="minorHAnsi" w:hAnsiTheme="minorHAnsi"/>
          <w:sz w:val="24"/>
          <w:szCs w:val="24"/>
          <w:u w:val="single"/>
        </w:rPr>
        <w:t>evelized Cost Metric</w:t>
      </w:r>
    </w:p>
    <w:p w14:paraId="308DA5E6" w14:textId="7065B7F9" w:rsidR="00C31476" w:rsidRPr="00040AB6" w:rsidRDefault="00C31476" w:rsidP="00C31476">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 xml:space="preserve">The portfolio of measures promoted through the program will also meet </w:t>
      </w:r>
      <w:r w:rsidR="00EB0E8F" w:rsidRPr="00040AB6">
        <w:rPr>
          <w:rFonts w:asciiTheme="minorHAnsi" w:hAnsiTheme="minorHAnsi"/>
          <w:sz w:val="24"/>
          <w:szCs w:val="24"/>
        </w:rPr>
        <w:t>and report on a</w:t>
      </w:r>
      <w:r w:rsidRPr="00040AB6">
        <w:rPr>
          <w:rFonts w:asciiTheme="minorHAnsi" w:hAnsiTheme="minorHAnsi"/>
          <w:sz w:val="24"/>
          <w:szCs w:val="24"/>
        </w:rPr>
        <w:t xml:space="preserve"> Levelized Cost metric, which is determined as follows:</w:t>
      </w:r>
    </w:p>
    <w:p w14:paraId="452241F2" w14:textId="77777777" w:rsidR="00C31476" w:rsidRPr="00040AB6" w:rsidRDefault="00C31476" w:rsidP="00C31476">
      <w:pPr>
        <w:pStyle w:val="BodyText"/>
        <w:widowControl/>
        <w:tabs>
          <w:tab w:val="left" w:pos="9720"/>
        </w:tabs>
        <w:ind w:left="720"/>
        <w:rPr>
          <w:rFonts w:asciiTheme="minorHAnsi" w:hAnsiTheme="minorHAnsi"/>
          <w:sz w:val="24"/>
          <w:szCs w:val="24"/>
        </w:rPr>
      </w:pPr>
      <w:r w:rsidRPr="00040AB6">
        <w:rPr>
          <w:rFonts w:asciiTheme="minorHAnsi" w:hAnsiTheme="minorHAnsi"/>
          <w:sz w:val="24"/>
          <w:szCs w:val="24"/>
        </w:rPr>
        <w:t xml:space="preserve"> </w:t>
      </w:r>
    </w:p>
    <w:p w14:paraId="4E48AF23" w14:textId="77777777" w:rsidR="00C31476" w:rsidRPr="00040AB6" w:rsidRDefault="00C31476" w:rsidP="00C31476">
      <w:pPr>
        <w:tabs>
          <w:tab w:val="left" w:pos="9720"/>
        </w:tabs>
        <w:autoSpaceDE w:val="0"/>
        <w:autoSpaceDN w:val="0"/>
        <w:adjustRightInd w:val="0"/>
        <w:ind w:left="720"/>
        <w:rPr>
          <w:rFonts w:asciiTheme="minorHAnsi" w:hAnsiTheme="minorHAnsi"/>
          <w:sz w:val="24"/>
          <w:szCs w:val="24"/>
        </w:rPr>
      </w:pPr>
      <w:r w:rsidRPr="00040AB6">
        <w:rPr>
          <w:rFonts w:asciiTheme="minorHAnsi" w:hAnsiTheme="minorHAnsi"/>
          <w:sz w:val="24"/>
          <w:szCs w:val="24"/>
        </w:rPr>
        <w:t xml:space="preserve">The levelized cost is the present value of the total </w:t>
      </w:r>
      <w:r w:rsidR="00B94D22">
        <w:rPr>
          <w:rFonts w:asciiTheme="minorHAnsi" w:hAnsiTheme="minorHAnsi"/>
          <w:sz w:val="24"/>
          <w:szCs w:val="24"/>
        </w:rPr>
        <w:t xml:space="preserve">net </w:t>
      </w:r>
      <w:r w:rsidRPr="00040AB6">
        <w:rPr>
          <w:rFonts w:asciiTheme="minorHAnsi" w:hAnsiTheme="minorHAnsi"/>
          <w:sz w:val="24"/>
          <w:szCs w:val="24"/>
        </w:rPr>
        <w:t xml:space="preserve">cost of a measure over its economic life, converted to equal annual payments.  The levelized cost calculation starts with the incremental capital cost of a given measure or package of measures.  The total cost is amortized over an estimated measure lifetime using the discount rate established in the Company’s most current IRP.  The annual net measure cost is then divided by the annual net energy savings (therms) from the measure application (again relative to a standard technology) to produce the levelized cost estimate in dollars per therm saved, as illustrated in the following formula. </w:t>
      </w:r>
    </w:p>
    <w:p w14:paraId="5573C3D4" w14:textId="77777777" w:rsidR="00C31476" w:rsidRPr="00040AB6" w:rsidRDefault="00C31476" w:rsidP="00C31476">
      <w:pPr>
        <w:tabs>
          <w:tab w:val="left" w:pos="1710"/>
          <w:tab w:val="left" w:pos="9720"/>
        </w:tabs>
        <w:autoSpaceDE w:val="0"/>
        <w:autoSpaceDN w:val="0"/>
        <w:adjustRightInd w:val="0"/>
        <w:ind w:left="720"/>
        <w:rPr>
          <w:rFonts w:asciiTheme="minorHAnsi" w:hAnsiTheme="minorHAnsi"/>
          <w:sz w:val="24"/>
          <w:szCs w:val="24"/>
        </w:rPr>
      </w:pPr>
      <w:r w:rsidRPr="00040AB6">
        <w:rPr>
          <w:rFonts w:asciiTheme="minorHAnsi" w:hAnsiTheme="minorHAnsi"/>
          <w:sz w:val="24"/>
          <w:szCs w:val="24"/>
        </w:rPr>
        <w:object w:dxaOrig="4099" w:dyaOrig="700" w14:anchorId="04700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pt;height:31.8pt" o:ole="">
            <v:imagedata r:id="rId13" o:title=""/>
          </v:shape>
          <o:OLEObject Type="Embed" ProgID="Equation.3" ShapeID="_x0000_i1025" DrawAspect="Content" ObjectID="_1511698511" r:id="rId14"/>
        </w:object>
      </w:r>
    </w:p>
    <w:p w14:paraId="552C8E5B" w14:textId="51A46DD6" w:rsidR="00822685" w:rsidRPr="00040AB6" w:rsidRDefault="00C31476" w:rsidP="005A39B1">
      <w:pPr>
        <w:ind w:left="720"/>
        <w:rPr>
          <w:rFonts w:asciiTheme="minorHAnsi" w:hAnsiTheme="minorHAnsi"/>
          <w:sz w:val="24"/>
          <w:szCs w:val="24"/>
        </w:rPr>
      </w:pPr>
      <w:r w:rsidRPr="00040AB6">
        <w:rPr>
          <w:rFonts w:asciiTheme="minorHAnsi" w:hAnsiTheme="minorHAnsi"/>
          <w:sz w:val="24"/>
          <w:szCs w:val="24"/>
        </w:rPr>
        <w:t>The levelized cost of an energy efficiency measure is cost-effective if it is less than the average levelized costs of other supply-side options.  A cost-effective threshold is established in the Company’s most current IRP and further refined through the BCR test.</w:t>
      </w:r>
    </w:p>
    <w:p w14:paraId="295E19F1" w14:textId="594485A1" w:rsidR="00822685" w:rsidRPr="004B67E4" w:rsidRDefault="00182EF4" w:rsidP="00FC75F5">
      <w:pPr>
        <w:tabs>
          <w:tab w:val="left" w:pos="720"/>
        </w:tabs>
        <w:spacing w:after="0" w:line="240" w:lineRule="auto"/>
        <w:rPr>
          <w:rFonts w:asciiTheme="minorHAnsi" w:hAnsiTheme="minorHAnsi"/>
          <w:sz w:val="24"/>
          <w:szCs w:val="24"/>
          <w:u w:val="single"/>
        </w:rPr>
      </w:pPr>
      <w:r>
        <w:rPr>
          <w:rFonts w:asciiTheme="minorHAnsi" w:hAnsiTheme="minorHAnsi"/>
          <w:sz w:val="24"/>
          <w:szCs w:val="24"/>
        </w:rPr>
        <w:tab/>
      </w:r>
      <w:r w:rsidRPr="004B67E4">
        <w:rPr>
          <w:rFonts w:asciiTheme="minorHAnsi" w:hAnsiTheme="minorHAnsi"/>
          <w:sz w:val="24"/>
          <w:szCs w:val="24"/>
          <w:u w:val="single"/>
        </w:rPr>
        <w:t>Avoided Cost</w:t>
      </w:r>
    </w:p>
    <w:p w14:paraId="73EB8112" w14:textId="77777777" w:rsidR="00182EF4" w:rsidRPr="000A65B2" w:rsidRDefault="00182EF4" w:rsidP="00182EF4">
      <w:pPr>
        <w:ind w:left="720"/>
        <w:rPr>
          <w:sz w:val="24"/>
          <w:szCs w:val="24"/>
        </w:rPr>
      </w:pPr>
      <w:r w:rsidRPr="004B67E4">
        <w:rPr>
          <w:sz w:val="24"/>
          <w:szCs w:val="24"/>
        </w:rPr>
        <w:t xml:space="preserve">Energy Trust has always used an Energy Trust avoided cost, which is a weighted blend of avoided cost values from NW Natural and the other gas company in the Energy Trust territory, Cascade Natural Gas. Each company’s avoided cost, weighted average cost of capital, </w:t>
      </w:r>
      <w:r w:rsidRPr="000A65B2">
        <w:rPr>
          <w:sz w:val="24"/>
          <w:szCs w:val="24"/>
        </w:rPr>
        <w:t xml:space="preserve">and inflation assumptions are weighted by the percent of revenue each company represents. The 10% Conservation Act adder and a premium value are then applied. Avoided costs previously provided to Energy Trust by NW Natural were system-wide and covered both Oregon and Washington. </w:t>
      </w:r>
    </w:p>
    <w:p w14:paraId="2CC38DDF" w14:textId="4DBB67DA" w:rsidR="00182EF4" w:rsidRPr="00843CD5" w:rsidRDefault="00182EF4" w:rsidP="00182EF4">
      <w:pPr>
        <w:ind w:left="720"/>
        <w:rPr>
          <w:sz w:val="24"/>
          <w:szCs w:val="24"/>
        </w:rPr>
      </w:pPr>
      <w:r w:rsidRPr="002F795F">
        <w:rPr>
          <w:sz w:val="24"/>
          <w:szCs w:val="24"/>
        </w:rPr>
        <w:t>As a condition of acknowledgment of the 2014 NW Natural Integrated Resource Plan (IRP), the WUTC requested NW Natural to work with the IRP Technical Working Group to correct deficiencies in the avoided cost calculation and file and</w:t>
      </w:r>
      <w:r w:rsidRPr="00843CD5">
        <w:rPr>
          <w:sz w:val="24"/>
          <w:szCs w:val="24"/>
        </w:rPr>
        <w:t xml:space="preserve"> updated cost in the 2016 Energy Efficiency Plan. The avoided cost calculation from the 2014 IRP included a </w:t>
      </w:r>
      <w:r w:rsidRPr="00843CD5">
        <w:rPr>
          <w:sz w:val="24"/>
          <w:szCs w:val="24"/>
        </w:rPr>
        <w:lastRenderedPageBreak/>
        <w:t>commodity cost</w:t>
      </w:r>
      <w:r w:rsidR="00843CD5">
        <w:rPr>
          <w:sz w:val="24"/>
          <w:szCs w:val="24"/>
        </w:rPr>
        <w:t>, but</w:t>
      </w:r>
      <w:r w:rsidRPr="00843CD5">
        <w:rPr>
          <w:sz w:val="24"/>
          <w:szCs w:val="24"/>
        </w:rPr>
        <w:t xml:space="preserve"> did not account for the capacity value of any transmission and distribution projects. </w:t>
      </w:r>
    </w:p>
    <w:p w14:paraId="652660ED" w14:textId="44B6E022" w:rsidR="00182EF4" w:rsidRPr="004B67E4" w:rsidRDefault="00182EF4" w:rsidP="00182EF4">
      <w:pPr>
        <w:ind w:left="720"/>
        <w:rPr>
          <w:sz w:val="24"/>
          <w:szCs w:val="24"/>
        </w:rPr>
      </w:pPr>
      <w:r w:rsidRPr="001D65C7">
        <w:rPr>
          <w:sz w:val="24"/>
          <w:szCs w:val="24"/>
        </w:rPr>
        <w:t xml:space="preserve">NW Natural updated the avoided cost calculation </w:t>
      </w:r>
      <w:r w:rsidR="002335A4" w:rsidRPr="004B67E4">
        <w:rPr>
          <w:sz w:val="24"/>
          <w:szCs w:val="24"/>
        </w:rPr>
        <w:t xml:space="preserve">with a new natural gas price forecast and </w:t>
      </w:r>
      <w:r w:rsidRPr="004B67E4">
        <w:rPr>
          <w:sz w:val="24"/>
          <w:szCs w:val="24"/>
        </w:rPr>
        <w:t xml:space="preserve">to capture the hedge value of demand side management (DSM) as well as supply and distribution </w:t>
      </w:r>
      <w:r w:rsidR="007274FB" w:rsidRPr="004B67E4">
        <w:rPr>
          <w:sz w:val="24"/>
          <w:szCs w:val="24"/>
        </w:rPr>
        <w:t>capacity</w:t>
      </w:r>
      <w:r w:rsidRPr="004B67E4">
        <w:rPr>
          <w:sz w:val="24"/>
          <w:szCs w:val="24"/>
        </w:rPr>
        <w:t xml:space="preserve"> avoided costs.  This calculation is reflective of the avoided cost calculation that will be proposed</w:t>
      </w:r>
      <w:r w:rsidRPr="000A65B2">
        <w:rPr>
          <w:sz w:val="24"/>
          <w:szCs w:val="24"/>
        </w:rPr>
        <w:t xml:space="preserve"> to the Technical Working Group during the 2016 IRP process. Energy Trust updated the NW Natural 2016 Energy Efficiency program to reflect the updated NW Natural avoided cost calculation. A memo summarizing the results of this update can be found in </w:t>
      </w:r>
      <w:r w:rsidR="00BD7B19">
        <w:rPr>
          <w:sz w:val="24"/>
          <w:szCs w:val="24"/>
        </w:rPr>
        <w:t>Appendix</w:t>
      </w:r>
      <w:r w:rsidRPr="000A65B2">
        <w:rPr>
          <w:sz w:val="24"/>
          <w:szCs w:val="24"/>
        </w:rPr>
        <w:t xml:space="preserve"> </w:t>
      </w:r>
      <w:r w:rsidR="00BD1A74">
        <w:rPr>
          <w:sz w:val="24"/>
          <w:szCs w:val="24"/>
        </w:rPr>
        <w:t>D</w:t>
      </w:r>
      <w:r w:rsidRPr="000A65B2">
        <w:rPr>
          <w:sz w:val="24"/>
          <w:szCs w:val="24"/>
        </w:rPr>
        <w:t xml:space="preserve">. The updated avoided cost did not change the existing 2016 program measures or budget as </w:t>
      </w:r>
      <w:r w:rsidR="002335A4" w:rsidRPr="004B67E4">
        <w:rPr>
          <w:sz w:val="24"/>
          <w:szCs w:val="24"/>
        </w:rPr>
        <w:t>natural gas prices have fallen significantly and the</w:t>
      </w:r>
      <w:r w:rsidRPr="004B67E4">
        <w:rPr>
          <w:sz w:val="24"/>
          <w:szCs w:val="24"/>
        </w:rPr>
        <w:t xml:space="preserve"> lower </w:t>
      </w:r>
      <w:r w:rsidR="002335A4" w:rsidRPr="004B67E4">
        <w:rPr>
          <w:sz w:val="24"/>
          <w:szCs w:val="24"/>
        </w:rPr>
        <w:t>commodity cost</w:t>
      </w:r>
      <w:r w:rsidRPr="004B67E4">
        <w:rPr>
          <w:sz w:val="24"/>
          <w:szCs w:val="24"/>
        </w:rPr>
        <w:t xml:space="preserve"> nearly </w:t>
      </w:r>
      <w:r w:rsidR="00843CD5">
        <w:rPr>
          <w:sz w:val="24"/>
          <w:szCs w:val="24"/>
        </w:rPr>
        <w:t>completely offset</w:t>
      </w:r>
      <w:r w:rsidRPr="004B67E4">
        <w:rPr>
          <w:sz w:val="24"/>
          <w:szCs w:val="24"/>
        </w:rPr>
        <w:t xml:space="preserve"> the increase in the avoided cost due to the addition of the hedge value of DSM and supply and distribution cap</w:t>
      </w:r>
      <w:r w:rsidR="007274FB" w:rsidRPr="004B67E4">
        <w:rPr>
          <w:sz w:val="24"/>
          <w:szCs w:val="24"/>
        </w:rPr>
        <w:t>acity</w:t>
      </w:r>
      <w:r w:rsidRPr="004B67E4">
        <w:rPr>
          <w:sz w:val="24"/>
          <w:szCs w:val="24"/>
        </w:rPr>
        <w:t xml:space="preserve"> avoided costs. NW Natural is continuing to work with Ene</w:t>
      </w:r>
      <w:r w:rsidR="002335A4" w:rsidRPr="004B67E4">
        <w:rPr>
          <w:sz w:val="24"/>
          <w:szCs w:val="24"/>
        </w:rPr>
        <w:t>rgy Trust to further improve this</w:t>
      </w:r>
      <w:r w:rsidRPr="004B67E4">
        <w:rPr>
          <w:sz w:val="24"/>
          <w:szCs w:val="24"/>
        </w:rPr>
        <w:t xml:space="preserve"> calculation which will then be vetted</w:t>
      </w:r>
      <w:r w:rsidR="004B67E4">
        <w:rPr>
          <w:sz w:val="24"/>
          <w:szCs w:val="24"/>
        </w:rPr>
        <w:t xml:space="preserve"> during the Technical Working Group process for the Company’s 2016 IRP.</w:t>
      </w:r>
      <w:r w:rsidRPr="004B67E4">
        <w:rPr>
          <w:sz w:val="24"/>
          <w:szCs w:val="24"/>
        </w:rPr>
        <w:t xml:space="preserve">     </w:t>
      </w:r>
    </w:p>
    <w:p w14:paraId="0C6157CA" w14:textId="0FE884EA" w:rsidR="00182EF4" w:rsidRPr="000A65B2" w:rsidRDefault="00182EF4" w:rsidP="00182EF4">
      <w:pPr>
        <w:ind w:left="720"/>
        <w:rPr>
          <w:sz w:val="24"/>
          <w:szCs w:val="24"/>
        </w:rPr>
      </w:pPr>
      <w:r w:rsidRPr="000A65B2">
        <w:rPr>
          <w:sz w:val="24"/>
          <w:szCs w:val="24"/>
        </w:rPr>
        <w:t>Following this avoided cost update, WUTC Staff requested an additional analysis reflecting the impact that using the 2014 IRP avoided cost with the addition of the</w:t>
      </w:r>
      <w:r w:rsidR="007274FB" w:rsidRPr="004B67E4">
        <w:rPr>
          <w:sz w:val="24"/>
          <w:szCs w:val="24"/>
        </w:rPr>
        <w:t xml:space="preserve"> supply and distribution capacity</w:t>
      </w:r>
      <w:r w:rsidRPr="004B67E4">
        <w:rPr>
          <w:sz w:val="24"/>
          <w:szCs w:val="24"/>
        </w:rPr>
        <w:t xml:space="preserve"> avoided costs would have on the 2016 program measures and budget. Energy Trust completed a review of the 2016 program with this methodology and the results of the analysis can be found in </w:t>
      </w:r>
      <w:r w:rsidR="00BD7B19">
        <w:rPr>
          <w:sz w:val="24"/>
          <w:szCs w:val="24"/>
        </w:rPr>
        <w:t>Appendix</w:t>
      </w:r>
      <w:r w:rsidRPr="004B67E4">
        <w:rPr>
          <w:sz w:val="24"/>
          <w:szCs w:val="24"/>
        </w:rPr>
        <w:t xml:space="preserve"> </w:t>
      </w:r>
      <w:r w:rsidR="00BD1A74">
        <w:rPr>
          <w:sz w:val="24"/>
          <w:szCs w:val="24"/>
        </w:rPr>
        <w:t>E</w:t>
      </w:r>
      <w:r w:rsidRPr="004B67E4">
        <w:rPr>
          <w:sz w:val="24"/>
          <w:szCs w:val="24"/>
        </w:rPr>
        <w:t>.  Overall the analysis sh</w:t>
      </w:r>
      <w:r w:rsidR="002335A4" w:rsidRPr="004B67E4">
        <w:rPr>
          <w:sz w:val="24"/>
          <w:szCs w:val="24"/>
        </w:rPr>
        <w:t>owed that a bonus would be extended</w:t>
      </w:r>
      <w:r w:rsidRPr="004B67E4">
        <w:rPr>
          <w:sz w:val="24"/>
          <w:szCs w:val="24"/>
        </w:rPr>
        <w:t xml:space="preserve"> </w:t>
      </w:r>
      <w:r w:rsidR="002335A4" w:rsidRPr="004B67E4">
        <w:rPr>
          <w:sz w:val="24"/>
          <w:szCs w:val="24"/>
        </w:rPr>
        <w:t>in</w:t>
      </w:r>
      <w:r w:rsidRPr="004B67E4">
        <w:rPr>
          <w:sz w:val="24"/>
          <w:szCs w:val="24"/>
        </w:rPr>
        <w:t xml:space="preserve"> the residential program for 95% +AFUE furnaces in the fall of 2016 and bonuses would be available for three commercial measures. The increased budget impact of this avoided cost methodology was $15,295, which only impacted the residential program. The cos</w:t>
      </w:r>
      <w:r w:rsidRPr="000A65B2">
        <w:rPr>
          <w:sz w:val="24"/>
          <w:szCs w:val="24"/>
        </w:rPr>
        <w:t xml:space="preserve">t of the commercial bonuses were not expected to increase the budget as the new avoided costs would allow the program to run a more cost effective effort and savings would be easier to achieve. </w:t>
      </w:r>
    </w:p>
    <w:p w14:paraId="5BDD1297" w14:textId="6117E7D0" w:rsidR="00182EF4" w:rsidRPr="000A65B2" w:rsidRDefault="00182EF4" w:rsidP="00182EF4">
      <w:pPr>
        <w:ind w:left="720"/>
        <w:rPr>
          <w:sz w:val="24"/>
          <w:szCs w:val="24"/>
        </w:rPr>
      </w:pPr>
      <w:r w:rsidRPr="000A65B2">
        <w:rPr>
          <w:sz w:val="24"/>
          <w:szCs w:val="24"/>
        </w:rPr>
        <w:t>NW Natural believes that Energy Trust’s analysis of the WUTC Staff request to understand the impacts of the 2014 IRP avoided cost with the addition of the</w:t>
      </w:r>
      <w:r w:rsidR="007274FB" w:rsidRPr="004B67E4">
        <w:rPr>
          <w:sz w:val="24"/>
          <w:szCs w:val="24"/>
        </w:rPr>
        <w:t xml:space="preserve"> supply and distribution capacity</w:t>
      </w:r>
      <w:r w:rsidRPr="004B67E4">
        <w:rPr>
          <w:sz w:val="24"/>
          <w:szCs w:val="24"/>
        </w:rPr>
        <w:t xml:space="preserve"> avoided costs was valuable</w:t>
      </w:r>
      <w:r w:rsidR="001D65C7">
        <w:rPr>
          <w:sz w:val="24"/>
          <w:szCs w:val="24"/>
        </w:rPr>
        <w:t xml:space="preserve"> because it may be representative of NW Natural’s future avoided cost should gas prices increase up to the levels that existed in the 2014 avoided cost analysis</w:t>
      </w:r>
      <w:r w:rsidRPr="004B67E4">
        <w:rPr>
          <w:sz w:val="24"/>
          <w:szCs w:val="24"/>
        </w:rPr>
        <w:t>. From that analysis it was apparent that continuing the furnace bonus in the fall of 2016 would provid</w:t>
      </w:r>
      <w:r w:rsidRPr="000A65B2">
        <w:rPr>
          <w:sz w:val="24"/>
          <w:szCs w:val="24"/>
        </w:rPr>
        <w:t xml:space="preserve">e a more consistent program throughout 2016 and it would allow for additional therm savings to recover savings for measures that had previously been included in the 2016 budget </w:t>
      </w:r>
      <w:r w:rsidR="008E3885" w:rsidRPr="004B67E4">
        <w:rPr>
          <w:sz w:val="24"/>
          <w:szCs w:val="24"/>
        </w:rPr>
        <w:t>planning</w:t>
      </w:r>
      <w:r w:rsidRPr="004B67E4">
        <w:rPr>
          <w:sz w:val="24"/>
          <w:szCs w:val="24"/>
        </w:rPr>
        <w:t xml:space="preserve"> and had since been removed from the program due to no longer being cos</w:t>
      </w:r>
      <w:r w:rsidRPr="000A65B2">
        <w:rPr>
          <w:sz w:val="24"/>
          <w:szCs w:val="24"/>
        </w:rPr>
        <w:t xml:space="preserve">t effective. </w:t>
      </w:r>
    </w:p>
    <w:p w14:paraId="4B1F073E" w14:textId="40EC4ADA" w:rsidR="00182EF4" w:rsidRPr="006B3EB3" w:rsidRDefault="00182EF4" w:rsidP="00182EF4">
      <w:pPr>
        <w:ind w:left="720"/>
        <w:rPr>
          <w:sz w:val="24"/>
          <w:szCs w:val="24"/>
        </w:rPr>
      </w:pPr>
      <w:r w:rsidRPr="000A65B2">
        <w:rPr>
          <w:sz w:val="24"/>
          <w:szCs w:val="24"/>
        </w:rPr>
        <w:lastRenderedPageBreak/>
        <w:t>For the 2016 E</w:t>
      </w:r>
      <w:r w:rsidR="008E3885" w:rsidRPr="004B67E4">
        <w:rPr>
          <w:sz w:val="24"/>
          <w:szCs w:val="24"/>
        </w:rPr>
        <w:t>E Plan, NW Natural chose to use</w:t>
      </w:r>
      <w:r w:rsidRPr="004B67E4">
        <w:rPr>
          <w:sz w:val="24"/>
          <w:szCs w:val="24"/>
        </w:rPr>
        <w:t xml:space="preserve"> the updated avoided cost calculation including the</w:t>
      </w:r>
      <w:r w:rsidR="008E3885" w:rsidRPr="005D4315">
        <w:rPr>
          <w:sz w:val="24"/>
          <w:szCs w:val="24"/>
        </w:rPr>
        <w:t xml:space="preserve"> new natural gas price forecast,</w:t>
      </w:r>
      <w:r w:rsidRPr="004B67E4">
        <w:rPr>
          <w:sz w:val="24"/>
          <w:szCs w:val="24"/>
        </w:rPr>
        <w:t xml:space="preserve"> hedge value of DSM</w:t>
      </w:r>
      <w:r w:rsidR="008E3885" w:rsidRPr="005D4315">
        <w:rPr>
          <w:sz w:val="24"/>
          <w:szCs w:val="24"/>
        </w:rPr>
        <w:t xml:space="preserve">, and </w:t>
      </w:r>
      <w:r w:rsidRPr="004B67E4">
        <w:rPr>
          <w:sz w:val="24"/>
          <w:szCs w:val="24"/>
        </w:rPr>
        <w:t>supp</w:t>
      </w:r>
      <w:r w:rsidR="007274FB" w:rsidRPr="005D4315">
        <w:rPr>
          <w:sz w:val="24"/>
          <w:szCs w:val="24"/>
        </w:rPr>
        <w:t>ly and distribution capacity</w:t>
      </w:r>
      <w:r w:rsidRPr="004B67E4">
        <w:rPr>
          <w:sz w:val="24"/>
          <w:szCs w:val="24"/>
        </w:rPr>
        <w:t xml:space="preserve"> avoided costs. Of the three avoided costs evaluated during the 2016 program planning process, this calculation is most closely aligned to the avoided cost calculation that will be proposed to the Technical Working Group and</w:t>
      </w:r>
      <w:r w:rsidR="008E3885" w:rsidRPr="005D4315">
        <w:rPr>
          <w:sz w:val="24"/>
          <w:szCs w:val="24"/>
        </w:rPr>
        <w:t xml:space="preserve"> </w:t>
      </w:r>
      <w:r w:rsidRPr="004B67E4">
        <w:rPr>
          <w:sz w:val="24"/>
          <w:szCs w:val="24"/>
        </w:rPr>
        <w:t xml:space="preserve">it most accurately reflects the true avoided cost for Washington customers. As a result </w:t>
      </w:r>
      <w:r w:rsidRPr="000A65B2">
        <w:rPr>
          <w:sz w:val="24"/>
          <w:szCs w:val="24"/>
        </w:rPr>
        <w:t xml:space="preserve">of the additional analysis completed by Energy Trust and requested by WUTC Staff, </w:t>
      </w:r>
      <w:r w:rsidR="001D65C7">
        <w:rPr>
          <w:sz w:val="24"/>
          <w:szCs w:val="24"/>
        </w:rPr>
        <w:t xml:space="preserve">however, </w:t>
      </w:r>
      <w:r w:rsidRPr="000A65B2">
        <w:rPr>
          <w:sz w:val="24"/>
          <w:szCs w:val="24"/>
        </w:rPr>
        <w:t xml:space="preserve">NW Natural will also be adding an extended bonus for the 95% +AFUE furnace in the fall of 2016 where the bonus </w:t>
      </w:r>
      <w:r w:rsidR="001D65C7">
        <w:rPr>
          <w:sz w:val="24"/>
          <w:szCs w:val="24"/>
        </w:rPr>
        <w:t>otherwise</w:t>
      </w:r>
      <w:r w:rsidRPr="000A65B2">
        <w:rPr>
          <w:sz w:val="24"/>
          <w:szCs w:val="24"/>
        </w:rPr>
        <w:t xml:space="preserve"> would have ended in May 2016.</w:t>
      </w:r>
      <w:r w:rsidRPr="006B3EB3">
        <w:rPr>
          <w:sz w:val="24"/>
          <w:szCs w:val="24"/>
        </w:rPr>
        <w:t xml:space="preserve"> </w:t>
      </w:r>
    </w:p>
    <w:p w14:paraId="3DE870C8" w14:textId="77777777" w:rsidR="00182EF4" w:rsidRPr="00637F8E" w:rsidRDefault="00182EF4" w:rsidP="00FC75F5">
      <w:pPr>
        <w:tabs>
          <w:tab w:val="left" w:pos="720"/>
        </w:tabs>
        <w:spacing w:after="0" w:line="240" w:lineRule="auto"/>
        <w:rPr>
          <w:rFonts w:asciiTheme="minorHAnsi" w:hAnsiTheme="minorHAnsi"/>
          <w:sz w:val="16"/>
          <w:szCs w:val="16"/>
        </w:rPr>
      </w:pPr>
    </w:p>
    <w:p w14:paraId="1A160713" w14:textId="16FB9EE0" w:rsidR="00357665" w:rsidRPr="00040AB6" w:rsidRDefault="00C628A6" w:rsidP="00FC75F5">
      <w:pPr>
        <w:tabs>
          <w:tab w:val="left" w:pos="720"/>
        </w:tabs>
        <w:spacing w:after="0" w:line="240" w:lineRule="auto"/>
        <w:rPr>
          <w:rFonts w:asciiTheme="minorHAnsi" w:hAnsiTheme="minorHAnsi"/>
          <w:sz w:val="44"/>
          <w:szCs w:val="44"/>
        </w:rPr>
      </w:pPr>
      <w:r w:rsidRPr="00040AB6">
        <w:rPr>
          <w:rFonts w:asciiTheme="minorHAnsi" w:hAnsiTheme="minorHAnsi"/>
          <w:sz w:val="32"/>
          <w:szCs w:val="32"/>
        </w:rPr>
        <w:t xml:space="preserve">VI. </w:t>
      </w:r>
      <w:r w:rsidRPr="00040AB6">
        <w:rPr>
          <w:rFonts w:asciiTheme="minorHAnsi" w:hAnsiTheme="minorHAnsi"/>
          <w:sz w:val="32"/>
          <w:szCs w:val="32"/>
        </w:rPr>
        <w:tab/>
      </w:r>
      <w:r w:rsidR="00357665" w:rsidRPr="00040AB6">
        <w:rPr>
          <w:rFonts w:asciiTheme="minorHAnsi" w:hAnsiTheme="minorHAnsi"/>
          <w:sz w:val="32"/>
          <w:szCs w:val="32"/>
        </w:rPr>
        <w:t xml:space="preserve">Program Evaluation, Monitoring and Verification </w:t>
      </w:r>
    </w:p>
    <w:p w14:paraId="5A1A132E" w14:textId="77777777" w:rsidR="00FA7971" w:rsidRPr="00040AB6" w:rsidRDefault="00357665" w:rsidP="00FC75F5">
      <w:pPr>
        <w:tabs>
          <w:tab w:val="left" w:pos="720"/>
        </w:tabs>
        <w:spacing w:after="0" w:line="240" w:lineRule="auto"/>
        <w:rPr>
          <w:rFonts w:asciiTheme="minorHAnsi" w:hAnsiTheme="minorHAnsi" w:cs="Calibri"/>
          <w:sz w:val="24"/>
          <w:szCs w:val="24"/>
        </w:rPr>
      </w:pPr>
      <w:r w:rsidRPr="00040AB6">
        <w:rPr>
          <w:rFonts w:asciiTheme="minorHAnsi" w:hAnsiTheme="minorHAnsi" w:cs="Calibri"/>
          <w:sz w:val="24"/>
          <w:szCs w:val="24"/>
        </w:rPr>
        <w:tab/>
      </w:r>
    </w:p>
    <w:p w14:paraId="355EBD27" w14:textId="77777777" w:rsidR="00357665" w:rsidRPr="00040AB6" w:rsidRDefault="00FA7971" w:rsidP="00FC75F5">
      <w:pPr>
        <w:tabs>
          <w:tab w:val="left" w:pos="720"/>
        </w:tabs>
        <w:spacing w:after="0" w:line="240" w:lineRule="auto"/>
        <w:rPr>
          <w:rFonts w:asciiTheme="minorHAnsi" w:hAnsiTheme="minorHAnsi" w:cs="Calibri"/>
          <w:sz w:val="24"/>
          <w:szCs w:val="24"/>
          <w:u w:val="single"/>
        </w:rPr>
      </w:pPr>
      <w:r w:rsidRPr="00040AB6">
        <w:rPr>
          <w:rFonts w:asciiTheme="minorHAnsi" w:hAnsiTheme="minorHAnsi" w:cs="Calibri"/>
          <w:sz w:val="24"/>
          <w:szCs w:val="24"/>
        </w:rPr>
        <w:tab/>
      </w:r>
      <w:r w:rsidR="00357665" w:rsidRPr="00040AB6">
        <w:rPr>
          <w:rFonts w:asciiTheme="minorHAnsi" w:hAnsiTheme="minorHAnsi" w:cs="Calibri"/>
          <w:sz w:val="24"/>
          <w:szCs w:val="24"/>
          <w:u w:val="single"/>
        </w:rPr>
        <w:t>Impact Evaluations</w:t>
      </w:r>
    </w:p>
    <w:p w14:paraId="0E8B5B29" w14:textId="249B8103" w:rsidR="00106C2C" w:rsidRPr="00040AB6" w:rsidRDefault="00B94D22" w:rsidP="00C54531">
      <w:pPr>
        <w:tabs>
          <w:tab w:val="center" w:pos="720"/>
        </w:tabs>
        <w:spacing w:after="0" w:line="240" w:lineRule="auto"/>
        <w:ind w:left="720"/>
        <w:rPr>
          <w:rFonts w:asciiTheme="minorHAnsi" w:hAnsiTheme="minorHAnsi" w:cs="Calibri"/>
          <w:sz w:val="24"/>
          <w:szCs w:val="24"/>
        </w:rPr>
      </w:pPr>
      <w:r>
        <w:rPr>
          <w:rFonts w:asciiTheme="minorHAnsi" w:hAnsiTheme="minorHAnsi" w:cs="Calibri"/>
          <w:sz w:val="24"/>
          <w:szCs w:val="24"/>
        </w:rPr>
        <w:t xml:space="preserve">Annual savings are reported based on the deemed, gross savings, for each measure. </w:t>
      </w:r>
      <w:r w:rsidR="00357665" w:rsidRPr="00040AB6">
        <w:rPr>
          <w:rFonts w:asciiTheme="minorHAnsi" w:hAnsiTheme="minorHAnsi" w:cs="Calibri"/>
          <w:sz w:val="24"/>
          <w:szCs w:val="24"/>
        </w:rPr>
        <w:t xml:space="preserve">The deemed savings used </w:t>
      </w:r>
      <w:r>
        <w:rPr>
          <w:rFonts w:asciiTheme="minorHAnsi" w:hAnsiTheme="minorHAnsi" w:cs="Calibri"/>
          <w:sz w:val="24"/>
          <w:szCs w:val="24"/>
        </w:rPr>
        <w:t>is</w:t>
      </w:r>
      <w:r w:rsidR="00357665" w:rsidRPr="00040AB6">
        <w:rPr>
          <w:rFonts w:asciiTheme="minorHAnsi" w:hAnsiTheme="minorHAnsi" w:cs="Calibri"/>
          <w:sz w:val="24"/>
          <w:szCs w:val="24"/>
        </w:rPr>
        <w:t xml:space="preserve"> consistent with the most current impact studies performed on the programs that  Energy Trust delivers in Oregon until impact evaluations include results from the </w:t>
      </w:r>
      <w:r w:rsidR="00FE0DD2" w:rsidRPr="00040AB6">
        <w:rPr>
          <w:rFonts w:asciiTheme="minorHAnsi" w:hAnsiTheme="minorHAnsi" w:cs="Calibri"/>
          <w:sz w:val="24"/>
          <w:szCs w:val="24"/>
        </w:rPr>
        <w:t xml:space="preserve">Washington-delivered programs. </w:t>
      </w:r>
      <w:r w:rsidR="00357665" w:rsidRPr="00040AB6">
        <w:rPr>
          <w:rFonts w:asciiTheme="minorHAnsi" w:hAnsiTheme="minorHAnsi" w:cs="Calibri"/>
          <w:sz w:val="24"/>
          <w:szCs w:val="24"/>
        </w:rPr>
        <w:t xml:space="preserve"> The Energy Trust performs the impact study wherein they analyze customers’ energy usage data before and after a measure </w:t>
      </w:r>
      <w:r w:rsidR="00FE0DD2" w:rsidRPr="00040AB6">
        <w:rPr>
          <w:rFonts w:asciiTheme="minorHAnsi" w:hAnsiTheme="minorHAnsi" w:cs="Calibri"/>
          <w:sz w:val="24"/>
          <w:szCs w:val="24"/>
        </w:rPr>
        <w:t>i</w:t>
      </w:r>
      <w:r w:rsidR="00357665" w:rsidRPr="00040AB6">
        <w:rPr>
          <w:rFonts w:asciiTheme="minorHAnsi" w:hAnsiTheme="minorHAnsi" w:cs="Calibri"/>
          <w:sz w:val="24"/>
          <w:szCs w:val="24"/>
        </w:rPr>
        <w:t xml:space="preserve">s installed.  </w:t>
      </w:r>
      <w:r w:rsidR="00FE0DD2" w:rsidRPr="00040AB6">
        <w:rPr>
          <w:rFonts w:asciiTheme="minorHAnsi" w:hAnsiTheme="minorHAnsi" w:cs="Calibri"/>
          <w:sz w:val="24"/>
          <w:szCs w:val="24"/>
        </w:rPr>
        <w:t xml:space="preserve">The </w:t>
      </w:r>
      <w:r w:rsidR="00FE0DD2" w:rsidRPr="00040AB6">
        <w:rPr>
          <w:rFonts w:asciiTheme="minorHAnsi" w:hAnsiTheme="minorHAnsi"/>
          <w:sz w:val="24"/>
          <w:szCs w:val="24"/>
        </w:rPr>
        <w:t>savings from a</w:t>
      </w:r>
      <w:r w:rsidR="000A1DFE" w:rsidRPr="00040AB6">
        <w:rPr>
          <w:rFonts w:asciiTheme="minorHAnsi" w:hAnsiTheme="minorHAnsi"/>
          <w:sz w:val="24"/>
          <w:szCs w:val="24"/>
        </w:rPr>
        <w:t xml:space="preserve">ll </w:t>
      </w:r>
      <w:r w:rsidR="00FE0DD2" w:rsidRPr="00040AB6">
        <w:rPr>
          <w:rFonts w:asciiTheme="minorHAnsi" w:hAnsiTheme="minorHAnsi"/>
          <w:sz w:val="24"/>
          <w:szCs w:val="24"/>
        </w:rPr>
        <w:t xml:space="preserve">measures </w:t>
      </w:r>
      <w:r w:rsidR="000A1DFE" w:rsidRPr="00040AB6">
        <w:rPr>
          <w:rFonts w:asciiTheme="minorHAnsi" w:hAnsiTheme="minorHAnsi"/>
          <w:sz w:val="24"/>
          <w:szCs w:val="24"/>
        </w:rPr>
        <w:t xml:space="preserve">are analyzed annually unless sample sizes </w:t>
      </w:r>
      <w:r>
        <w:rPr>
          <w:rFonts w:asciiTheme="minorHAnsi" w:hAnsiTheme="minorHAnsi"/>
          <w:sz w:val="24"/>
          <w:szCs w:val="24"/>
        </w:rPr>
        <w:t>(</w:t>
      </w:r>
      <w:r w:rsidR="000A1DFE" w:rsidRPr="00040AB6">
        <w:rPr>
          <w:rFonts w:asciiTheme="minorHAnsi" w:hAnsiTheme="minorHAnsi"/>
          <w:sz w:val="24"/>
          <w:szCs w:val="24"/>
        </w:rPr>
        <w:t>based on participation rates</w:t>
      </w:r>
      <w:r>
        <w:rPr>
          <w:rFonts w:asciiTheme="minorHAnsi" w:hAnsiTheme="minorHAnsi"/>
          <w:sz w:val="24"/>
          <w:szCs w:val="24"/>
        </w:rPr>
        <w:t>)</w:t>
      </w:r>
      <w:r w:rsidR="000A1DFE" w:rsidRPr="00040AB6">
        <w:rPr>
          <w:rFonts w:asciiTheme="minorHAnsi" w:hAnsiTheme="minorHAnsi"/>
          <w:sz w:val="24"/>
          <w:szCs w:val="24"/>
        </w:rPr>
        <w:t xml:space="preserve"> are not statistically significant.  </w:t>
      </w:r>
      <w:r w:rsidR="00FE0DD2" w:rsidRPr="00040AB6">
        <w:rPr>
          <w:rFonts w:asciiTheme="minorHAnsi" w:hAnsiTheme="minorHAnsi"/>
          <w:sz w:val="24"/>
          <w:szCs w:val="24"/>
        </w:rPr>
        <w:t xml:space="preserve">From </w:t>
      </w:r>
      <w:r w:rsidR="00357665" w:rsidRPr="00040AB6">
        <w:rPr>
          <w:rFonts w:asciiTheme="minorHAnsi" w:hAnsiTheme="minorHAnsi"/>
          <w:sz w:val="24"/>
          <w:szCs w:val="24"/>
        </w:rPr>
        <w:t>th</w:t>
      </w:r>
      <w:r w:rsidR="00FE0DD2" w:rsidRPr="00040AB6">
        <w:rPr>
          <w:rFonts w:asciiTheme="minorHAnsi" w:hAnsiTheme="minorHAnsi"/>
          <w:sz w:val="24"/>
          <w:szCs w:val="24"/>
        </w:rPr>
        <w:t>e impact evaluation</w:t>
      </w:r>
      <w:r w:rsidR="00357665" w:rsidRPr="00040AB6">
        <w:rPr>
          <w:rFonts w:asciiTheme="minorHAnsi" w:hAnsiTheme="minorHAnsi"/>
          <w:sz w:val="24"/>
          <w:szCs w:val="24"/>
        </w:rPr>
        <w:t>, the</w:t>
      </w:r>
      <w:r w:rsidR="000A1DFE" w:rsidRPr="00040AB6">
        <w:rPr>
          <w:rFonts w:asciiTheme="minorHAnsi" w:hAnsiTheme="minorHAnsi"/>
          <w:sz w:val="24"/>
          <w:szCs w:val="24"/>
        </w:rPr>
        <w:t xml:space="preserve"> Energy Trust is </w:t>
      </w:r>
      <w:r w:rsidR="00357665" w:rsidRPr="00040AB6">
        <w:rPr>
          <w:rFonts w:asciiTheme="minorHAnsi" w:hAnsiTheme="minorHAnsi"/>
          <w:sz w:val="24"/>
          <w:szCs w:val="24"/>
        </w:rPr>
        <w:t xml:space="preserve">able to determine if average savings are consistent with deemed savings.  If they are not, the deemed savings are “trued-up” </w:t>
      </w:r>
      <w:r w:rsidR="000A1DFE" w:rsidRPr="00040AB6">
        <w:rPr>
          <w:rFonts w:asciiTheme="minorHAnsi" w:hAnsiTheme="minorHAnsi"/>
          <w:sz w:val="24"/>
          <w:szCs w:val="24"/>
        </w:rPr>
        <w:t xml:space="preserve">once annually </w:t>
      </w:r>
      <w:r w:rsidR="00357665" w:rsidRPr="00040AB6">
        <w:rPr>
          <w:rFonts w:asciiTheme="minorHAnsi" w:hAnsiTheme="minorHAnsi"/>
          <w:sz w:val="24"/>
          <w:szCs w:val="24"/>
        </w:rPr>
        <w:t xml:space="preserve">to reflect the findings.  </w:t>
      </w:r>
      <w:r w:rsidR="000A1DFE" w:rsidRPr="00040AB6">
        <w:rPr>
          <w:rFonts w:asciiTheme="minorHAnsi" w:hAnsiTheme="minorHAnsi"/>
          <w:sz w:val="24"/>
          <w:szCs w:val="24"/>
        </w:rPr>
        <w:t xml:space="preserve">A link to the annual true up report as well as </w:t>
      </w:r>
      <w:r w:rsidR="00FE0DD2" w:rsidRPr="00040AB6">
        <w:rPr>
          <w:rFonts w:asciiTheme="minorHAnsi" w:hAnsiTheme="minorHAnsi"/>
          <w:sz w:val="24"/>
          <w:szCs w:val="24"/>
        </w:rPr>
        <w:t xml:space="preserve">a short summary of the results </w:t>
      </w:r>
      <w:r w:rsidR="000A1DFE" w:rsidRPr="00040AB6">
        <w:rPr>
          <w:rFonts w:asciiTheme="minorHAnsi" w:hAnsiTheme="minorHAnsi"/>
          <w:sz w:val="24"/>
          <w:szCs w:val="24"/>
        </w:rPr>
        <w:t>will be provided in the quarterly report following the report’s release.</w:t>
      </w:r>
      <w:r w:rsidR="000A1DFE" w:rsidRPr="00040AB6">
        <w:rPr>
          <w:rFonts w:asciiTheme="minorHAnsi" w:hAnsiTheme="minorHAnsi" w:cs="Calibri"/>
          <w:sz w:val="24"/>
          <w:szCs w:val="24"/>
        </w:rPr>
        <w:t xml:space="preserve"> </w:t>
      </w:r>
    </w:p>
    <w:p w14:paraId="707A4F39" w14:textId="77777777" w:rsidR="00106C2C" w:rsidRPr="00040AB6" w:rsidRDefault="00106C2C" w:rsidP="00C54531">
      <w:pPr>
        <w:spacing w:after="0" w:line="240" w:lineRule="auto"/>
        <w:rPr>
          <w:rFonts w:asciiTheme="minorHAnsi" w:hAnsiTheme="minorHAnsi" w:cs="Calibri"/>
          <w:sz w:val="24"/>
          <w:szCs w:val="24"/>
        </w:rPr>
      </w:pPr>
    </w:p>
    <w:p w14:paraId="1F3E330C" w14:textId="77777777" w:rsidR="00357665" w:rsidRPr="00040AB6" w:rsidRDefault="00357665" w:rsidP="00C54531">
      <w:pPr>
        <w:pStyle w:val="ListParagraph"/>
        <w:spacing w:after="0" w:line="240" w:lineRule="auto"/>
        <w:rPr>
          <w:rFonts w:asciiTheme="minorHAnsi" w:hAnsiTheme="minorHAnsi" w:cs="Calibri"/>
          <w:sz w:val="24"/>
          <w:szCs w:val="24"/>
          <w:u w:val="single"/>
        </w:rPr>
      </w:pPr>
      <w:r w:rsidRPr="00040AB6">
        <w:rPr>
          <w:rFonts w:asciiTheme="minorHAnsi" w:hAnsiTheme="minorHAnsi" w:cs="Calibri"/>
          <w:sz w:val="24"/>
          <w:szCs w:val="24"/>
          <w:u w:val="single"/>
        </w:rPr>
        <w:t>Process Evaluations</w:t>
      </w:r>
    </w:p>
    <w:p w14:paraId="682D6030" w14:textId="77777777" w:rsidR="009C3D0A" w:rsidRDefault="00357665" w:rsidP="009C3D0A">
      <w:pPr>
        <w:tabs>
          <w:tab w:val="center" w:pos="720"/>
        </w:tabs>
        <w:spacing w:after="0" w:line="240" w:lineRule="auto"/>
        <w:ind w:left="720"/>
        <w:rPr>
          <w:rFonts w:asciiTheme="minorHAnsi" w:hAnsiTheme="minorHAnsi"/>
          <w:sz w:val="24"/>
          <w:szCs w:val="24"/>
        </w:rPr>
      </w:pPr>
      <w:r w:rsidRPr="00040AB6">
        <w:rPr>
          <w:rFonts w:asciiTheme="minorHAnsi" w:hAnsiTheme="minorHAnsi"/>
          <w:sz w:val="24"/>
          <w:szCs w:val="24"/>
        </w:rPr>
        <w:t xml:space="preserve">Besides impact evaluations, the Energy Trust </w:t>
      </w:r>
      <w:r w:rsidR="0061226F" w:rsidRPr="00040AB6">
        <w:rPr>
          <w:rFonts w:asciiTheme="minorHAnsi" w:hAnsiTheme="minorHAnsi"/>
          <w:sz w:val="24"/>
          <w:szCs w:val="24"/>
        </w:rPr>
        <w:t xml:space="preserve">contracts with </w:t>
      </w:r>
      <w:r w:rsidRPr="00040AB6">
        <w:rPr>
          <w:rFonts w:asciiTheme="minorHAnsi" w:hAnsiTheme="minorHAnsi"/>
          <w:sz w:val="24"/>
          <w:szCs w:val="24"/>
        </w:rPr>
        <w:t>a third party to perform a process evaluation on all general energy efficiency programs offered</w:t>
      </w:r>
      <w:r w:rsidR="0061226F" w:rsidRPr="00040AB6">
        <w:rPr>
          <w:rFonts w:asciiTheme="minorHAnsi" w:hAnsiTheme="minorHAnsi"/>
          <w:sz w:val="24"/>
          <w:szCs w:val="24"/>
        </w:rPr>
        <w:t>, typically on an annual basis</w:t>
      </w:r>
      <w:r w:rsidRPr="00040AB6">
        <w:rPr>
          <w:rFonts w:asciiTheme="minorHAnsi" w:hAnsiTheme="minorHAnsi"/>
          <w:sz w:val="24"/>
          <w:szCs w:val="24"/>
        </w:rPr>
        <w:t xml:space="preserve">.  The third party studies and reports on the processes employed for each program.  Study results are available on the Energy Trust’s website:  </w:t>
      </w:r>
      <w:r w:rsidR="006E130D" w:rsidRPr="00040AB6">
        <w:rPr>
          <w:rFonts w:asciiTheme="minorHAnsi" w:hAnsiTheme="minorHAnsi"/>
          <w:sz w:val="24"/>
          <w:szCs w:val="24"/>
        </w:rPr>
        <w:t>www.energytrust.org</w:t>
      </w:r>
      <w:r w:rsidRPr="00040AB6">
        <w:rPr>
          <w:rFonts w:asciiTheme="minorHAnsi" w:hAnsiTheme="minorHAnsi"/>
          <w:sz w:val="24"/>
          <w:szCs w:val="24"/>
        </w:rPr>
        <w:t>.</w:t>
      </w:r>
      <w:r w:rsidR="000A1DFE" w:rsidRPr="00040AB6">
        <w:rPr>
          <w:rFonts w:asciiTheme="minorHAnsi" w:hAnsiTheme="minorHAnsi"/>
          <w:sz w:val="24"/>
          <w:szCs w:val="24"/>
        </w:rPr>
        <w:t xml:space="preserve">  A link to the annual process evaluation</w:t>
      </w:r>
      <w:r w:rsidR="00B94D22">
        <w:rPr>
          <w:rFonts w:asciiTheme="minorHAnsi" w:hAnsiTheme="minorHAnsi"/>
          <w:sz w:val="24"/>
          <w:szCs w:val="24"/>
        </w:rPr>
        <w:t>,</w:t>
      </w:r>
      <w:r w:rsidR="000A1DFE" w:rsidRPr="00040AB6">
        <w:rPr>
          <w:rFonts w:asciiTheme="minorHAnsi" w:hAnsiTheme="minorHAnsi"/>
          <w:sz w:val="24"/>
          <w:szCs w:val="24"/>
        </w:rPr>
        <w:t xml:space="preserve"> as well as </w:t>
      </w:r>
      <w:r w:rsidR="00FE0DD2" w:rsidRPr="00040AB6">
        <w:rPr>
          <w:rFonts w:asciiTheme="minorHAnsi" w:hAnsiTheme="minorHAnsi"/>
          <w:sz w:val="24"/>
          <w:szCs w:val="24"/>
        </w:rPr>
        <w:t>a short summary of the results</w:t>
      </w:r>
      <w:r w:rsidR="00B94D22">
        <w:rPr>
          <w:rFonts w:asciiTheme="minorHAnsi" w:hAnsiTheme="minorHAnsi"/>
          <w:sz w:val="24"/>
          <w:szCs w:val="24"/>
        </w:rPr>
        <w:t>,</w:t>
      </w:r>
      <w:r w:rsidR="000A1DFE" w:rsidRPr="00040AB6">
        <w:rPr>
          <w:rFonts w:asciiTheme="minorHAnsi" w:hAnsiTheme="minorHAnsi"/>
          <w:sz w:val="24"/>
          <w:szCs w:val="24"/>
        </w:rPr>
        <w:t xml:space="preserve"> will be provided in the quarterly report following the report’s release. </w:t>
      </w:r>
    </w:p>
    <w:p w14:paraId="586A7E7A" w14:textId="77777777" w:rsidR="009C3D0A" w:rsidRDefault="009C3D0A" w:rsidP="009C3D0A">
      <w:pPr>
        <w:tabs>
          <w:tab w:val="center" w:pos="720"/>
        </w:tabs>
        <w:spacing w:after="0" w:line="240" w:lineRule="auto"/>
        <w:ind w:left="720"/>
        <w:rPr>
          <w:rFonts w:asciiTheme="minorHAnsi" w:hAnsiTheme="minorHAnsi"/>
          <w:sz w:val="24"/>
          <w:szCs w:val="24"/>
        </w:rPr>
      </w:pPr>
    </w:p>
    <w:p w14:paraId="0420DF89" w14:textId="4F628C52" w:rsidR="00357665" w:rsidRPr="000A65B2" w:rsidRDefault="00357665" w:rsidP="005D52D2">
      <w:pPr>
        <w:pStyle w:val="ListParagraph"/>
        <w:numPr>
          <w:ilvl w:val="0"/>
          <w:numId w:val="33"/>
        </w:numPr>
        <w:tabs>
          <w:tab w:val="left" w:pos="720"/>
        </w:tabs>
        <w:spacing w:after="0" w:line="240" w:lineRule="auto"/>
        <w:ind w:hanging="1080"/>
        <w:rPr>
          <w:rFonts w:asciiTheme="minorHAnsi" w:hAnsiTheme="minorHAnsi"/>
          <w:sz w:val="32"/>
          <w:szCs w:val="32"/>
        </w:rPr>
      </w:pPr>
      <w:r w:rsidRPr="000A65B2">
        <w:rPr>
          <w:rFonts w:asciiTheme="minorHAnsi" w:hAnsiTheme="minorHAnsi"/>
          <w:sz w:val="32"/>
          <w:szCs w:val="32"/>
        </w:rPr>
        <w:t>Process for Program Changes</w:t>
      </w:r>
    </w:p>
    <w:p w14:paraId="7C2C3CD1" w14:textId="4C95D5CD" w:rsidR="00357665" w:rsidRPr="00040AB6" w:rsidRDefault="00357665" w:rsidP="00E5636B">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NW Natural will file to revise </w:t>
      </w:r>
      <w:r w:rsidR="00BD7B19">
        <w:rPr>
          <w:rFonts w:asciiTheme="minorHAnsi" w:hAnsiTheme="minorHAnsi"/>
          <w:sz w:val="24"/>
          <w:szCs w:val="24"/>
        </w:rPr>
        <w:t xml:space="preserve">Appendix </w:t>
      </w:r>
      <w:r w:rsidR="00676821" w:rsidRPr="00040AB6">
        <w:rPr>
          <w:rFonts w:asciiTheme="minorHAnsi" w:hAnsiTheme="minorHAnsi"/>
          <w:sz w:val="24"/>
          <w:szCs w:val="24"/>
        </w:rPr>
        <w:t>A of its Energy Efficiency Plan</w:t>
      </w:r>
      <w:r w:rsidRPr="00040AB6">
        <w:rPr>
          <w:rFonts w:asciiTheme="minorHAnsi" w:hAnsiTheme="minorHAnsi"/>
          <w:sz w:val="24"/>
          <w:szCs w:val="24"/>
        </w:rPr>
        <w:t xml:space="preserve"> when it plans to add, change</w:t>
      </w:r>
      <w:r w:rsidR="00FE0DD2" w:rsidRPr="00040AB6">
        <w:rPr>
          <w:rFonts w:asciiTheme="minorHAnsi" w:hAnsiTheme="minorHAnsi"/>
          <w:sz w:val="24"/>
          <w:szCs w:val="24"/>
        </w:rPr>
        <w:t>,</w:t>
      </w:r>
      <w:r w:rsidRPr="00040AB6">
        <w:rPr>
          <w:rFonts w:asciiTheme="minorHAnsi" w:hAnsiTheme="minorHAnsi"/>
          <w:sz w:val="24"/>
          <w:szCs w:val="24"/>
        </w:rPr>
        <w:t xml:space="preserve"> or remove a long- term incentive offering.  </w:t>
      </w:r>
      <w:r w:rsidR="00676821" w:rsidRPr="00040AB6">
        <w:rPr>
          <w:rFonts w:asciiTheme="minorHAnsi" w:hAnsiTheme="minorHAnsi"/>
          <w:sz w:val="24"/>
          <w:szCs w:val="24"/>
        </w:rPr>
        <w:t xml:space="preserve">Every year the Company will consider if </w:t>
      </w:r>
      <w:r w:rsidRPr="00040AB6">
        <w:rPr>
          <w:rFonts w:asciiTheme="minorHAnsi" w:hAnsiTheme="minorHAnsi"/>
          <w:sz w:val="24"/>
          <w:szCs w:val="24"/>
        </w:rPr>
        <w:t xml:space="preserve">program year changes are </w:t>
      </w:r>
      <w:r w:rsidR="00676821" w:rsidRPr="00040AB6">
        <w:rPr>
          <w:rFonts w:asciiTheme="minorHAnsi" w:hAnsiTheme="minorHAnsi"/>
          <w:sz w:val="24"/>
          <w:szCs w:val="24"/>
        </w:rPr>
        <w:t>needed.  If they are</w:t>
      </w:r>
      <w:r w:rsidRPr="00040AB6">
        <w:rPr>
          <w:rFonts w:asciiTheme="minorHAnsi" w:hAnsiTheme="minorHAnsi"/>
          <w:sz w:val="24"/>
          <w:szCs w:val="24"/>
        </w:rPr>
        <w:t>, the Company will</w:t>
      </w:r>
      <w:r w:rsidR="00676821" w:rsidRPr="00040AB6">
        <w:rPr>
          <w:rFonts w:asciiTheme="minorHAnsi" w:hAnsiTheme="minorHAnsi"/>
          <w:sz w:val="24"/>
          <w:szCs w:val="24"/>
        </w:rPr>
        <w:t xml:space="preserve"> revise its EE Plan</w:t>
      </w:r>
      <w:r w:rsidRPr="00040AB6">
        <w:rPr>
          <w:rFonts w:asciiTheme="minorHAnsi" w:hAnsiTheme="minorHAnsi"/>
          <w:sz w:val="24"/>
          <w:szCs w:val="24"/>
        </w:rPr>
        <w:t xml:space="preserve"> to make requested program modifications when it makes its annual advice filing, submitted no later than December 1, to revise the performance metrics</w:t>
      </w:r>
      <w:r w:rsidR="00676821" w:rsidRPr="00040AB6">
        <w:rPr>
          <w:rFonts w:asciiTheme="minorHAnsi" w:hAnsiTheme="minorHAnsi"/>
          <w:sz w:val="24"/>
          <w:szCs w:val="24"/>
        </w:rPr>
        <w:t xml:space="preserve"> and budget that are also</w:t>
      </w:r>
      <w:r w:rsidRPr="00040AB6">
        <w:rPr>
          <w:rFonts w:asciiTheme="minorHAnsi" w:hAnsiTheme="minorHAnsi"/>
          <w:sz w:val="24"/>
          <w:szCs w:val="24"/>
        </w:rPr>
        <w:t xml:space="preserve"> included in the Plan.  This does not preclude the Company from filing to revise </w:t>
      </w:r>
      <w:r w:rsidRPr="00040AB6">
        <w:rPr>
          <w:rFonts w:asciiTheme="minorHAnsi" w:hAnsiTheme="minorHAnsi"/>
          <w:sz w:val="24"/>
          <w:szCs w:val="24"/>
        </w:rPr>
        <w:lastRenderedPageBreak/>
        <w:t>Schedule G or its EE Plan at any time during the year.  Advice filings revising or adding measures will include:</w:t>
      </w:r>
    </w:p>
    <w:p w14:paraId="48262B04" w14:textId="77777777" w:rsidR="00357665" w:rsidRPr="00040AB6" w:rsidRDefault="00357665" w:rsidP="00E5636B">
      <w:pPr>
        <w:pStyle w:val="ListParagraph"/>
        <w:spacing w:after="0" w:line="240" w:lineRule="auto"/>
        <w:rPr>
          <w:rFonts w:asciiTheme="minorHAnsi" w:hAnsiTheme="minorHAnsi"/>
          <w:sz w:val="24"/>
          <w:szCs w:val="24"/>
        </w:rPr>
      </w:pPr>
    </w:p>
    <w:p w14:paraId="7B4D137D" w14:textId="77777777" w:rsidR="00357665" w:rsidRPr="00040AB6" w:rsidRDefault="00357665" w:rsidP="002B3884">
      <w:pPr>
        <w:pStyle w:val="ListParagraph"/>
        <w:numPr>
          <w:ilvl w:val="0"/>
          <w:numId w:val="12"/>
        </w:numPr>
        <w:tabs>
          <w:tab w:val="left" w:pos="2160"/>
        </w:tabs>
        <w:spacing w:after="0" w:line="240" w:lineRule="auto"/>
        <w:ind w:left="2160" w:hanging="720"/>
        <w:rPr>
          <w:rFonts w:asciiTheme="minorHAnsi" w:hAnsiTheme="minorHAnsi"/>
          <w:sz w:val="24"/>
          <w:szCs w:val="24"/>
        </w:rPr>
      </w:pPr>
      <w:r w:rsidRPr="00040AB6">
        <w:rPr>
          <w:rFonts w:asciiTheme="minorHAnsi" w:hAnsiTheme="minorHAnsi"/>
          <w:sz w:val="24"/>
          <w:szCs w:val="24"/>
        </w:rPr>
        <w:t xml:space="preserve">A benefit cost ratio (“BCR”) calculator demonstrating the measure’s life, measure cost, the quantifiable non-energy benefits, the utility system benefits and the societal BCR; and </w:t>
      </w:r>
    </w:p>
    <w:p w14:paraId="56F196D9" w14:textId="77777777" w:rsidR="00676821" w:rsidRPr="00040AB6" w:rsidRDefault="00676821" w:rsidP="002B3884">
      <w:pPr>
        <w:pStyle w:val="ListParagraph"/>
        <w:tabs>
          <w:tab w:val="left" w:pos="2160"/>
        </w:tabs>
        <w:spacing w:after="0" w:line="240" w:lineRule="auto"/>
        <w:ind w:left="1800"/>
        <w:rPr>
          <w:rFonts w:asciiTheme="minorHAnsi" w:hAnsiTheme="minorHAnsi"/>
          <w:sz w:val="24"/>
          <w:szCs w:val="24"/>
        </w:rPr>
      </w:pPr>
    </w:p>
    <w:p w14:paraId="0D34E72A" w14:textId="77777777" w:rsidR="00357665" w:rsidRPr="00040AB6" w:rsidRDefault="000E1BC9" w:rsidP="004D1E3F">
      <w:pPr>
        <w:pStyle w:val="ListParagraph"/>
        <w:numPr>
          <w:ilvl w:val="0"/>
          <w:numId w:val="12"/>
        </w:numPr>
        <w:tabs>
          <w:tab w:val="left" w:pos="2160"/>
        </w:tabs>
        <w:spacing w:after="0" w:line="240" w:lineRule="auto"/>
        <w:ind w:left="2160" w:hanging="720"/>
        <w:rPr>
          <w:rFonts w:asciiTheme="minorHAnsi" w:hAnsiTheme="minorHAnsi"/>
          <w:sz w:val="24"/>
          <w:szCs w:val="24"/>
        </w:rPr>
      </w:pPr>
      <w:r w:rsidRPr="00040AB6">
        <w:rPr>
          <w:rFonts w:asciiTheme="minorHAnsi" w:hAnsiTheme="minorHAnsi"/>
          <w:sz w:val="24"/>
          <w:szCs w:val="24"/>
        </w:rPr>
        <w:t>For new measures, a</w:t>
      </w:r>
      <w:r w:rsidR="00357665" w:rsidRPr="00040AB6">
        <w:rPr>
          <w:rFonts w:asciiTheme="minorHAnsi" w:hAnsiTheme="minorHAnsi"/>
          <w:sz w:val="24"/>
          <w:szCs w:val="24"/>
        </w:rPr>
        <w:t xml:space="preserve"> blessing memo which refers to an in-house Energy Trust document that summarizes the vetting of a measure before it is introduced as a program offering.  The EEAG will be given the opportunity to review all tariff filings before they are filed.  The Company will generally give the EEAG ten business days to review a draft filing.  The EEAG’s review process will not be less than five business days.  </w:t>
      </w:r>
    </w:p>
    <w:p w14:paraId="4194F20D" w14:textId="77777777" w:rsidR="00676821" w:rsidRPr="00040AB6" w:rsidRDefault="00676821" w:rsidP="002B3884">
      <w:pPr>
        <w:pStyle w:val="ListParagraph"/>
        <w:tabs>
          <w:tab w:val="left" w:pos="2160"/>
        </w:tabs>
        <w:spacing w:after="0" w:line="240" w:lineRule="auto"/>
        <w:ind w:left="1800"/>
        <w:rPr>
          <w:rFonts w:asciiTheme="minorHAnsi" w:hAnsiTheme="minorHAnsi"/>
          <w:sz w:val="24"/>
          <w:szCs w:val="24"/>
        </w:rPr>
      </w:pPr>
    </w:p>
    <w:p w14:paraId="0A16B49E" w14:textId="77777777" w:rsidR="00357665" w:rsidRPr="00040AB6" w:rsidRDefault="00357665" w:rsidP="00676821">
      <w:pPr>
        <w:pStyle w:val="ListParagraph"/>
        <w:tabs>
          <w:tab w:val="left" w:pos="2160"/>
        </w:tabs>
        <w:spacing w:after="0" w:line="240" w:lineRule="auto"/>
        <w:ind w:left="2160" w:hanging="720"/>
        <w:rPr>
          <w:rFonts w:asciiTheme="minorHAnsi" w:hAnsiTheme="minorHAnsi"/>
          <w:sz w:val="24"/>
          <w:szCs w:val="24"/>
        </w:rPr>
      </w:pPr>
      <w:r w:rsidRPr="00040AB6">
        <w:rPr>
          <w:rFonts w:asciiTheme="minorHAnsi" w:hAnsiTheme="minorHAnsi"/>
          <w:sz w:val="24"/>
          <w:szCs w:val="24"/>
        </w:rPr>
        <w:t>3)</w:t>
      </w:r>
      <w:r w:rsidR="00676821" w:rsidRPr="00040AB6">
        <w:rPr>
          <w:rFonts w:asciiTheme="minorHAnsi" w:hAnsiTheme="minorHAnsi"/>
          <w:sz w:val="24"/>
          <w:szCs w:val="24"/>
        </w:rPr>
        <w:tab/>
      </w:r>
      <w:r w:rsidRPr="00040AB6">
        <w:rPr>
          <w:rFonts w:asciiTheme="minorHAnsi" w:hAnsiTheme="minorHAnsi"/>
          <w:sz w:val="24"/>
          <w:szCs w:val="24"/>
        </w:rPr>
        <w:t>New programs</w:t>
      </w:r>
      <w:r w:rsidR="00FE0DD2" w:rsidRPr="00040AB6">
        <w:rPr>
          <w:rFonts w:asciiTheme="minorHAnsi" w:hAnsiTheme="minorHAnsi"/>
          <w:sz w:val="24"/>
          <w:szCs w:val="24"/>
        </w:rPr>
        <w:t xml:space="preserve"> proposed mid-cycle</w:t>
      </w:r>
      <w:r w:rsidRPr="00040AB6">
        <w:rPr>
          <w:rFonts w:asciiTheme="minorHAnsi" w:hAnsiTheme="minorHAnsi"/>
          <w:sz w:val="24"/>
          <w:szCs w:val="24"/>
        </w:rPr>
        <w:t xml:space="preserve"> will include a program-specific plan addressing the possible need for program-specific metrics.</w:t>
      </w:r>
    </w:p>
    <w:p w14:paraId="241BC759" w14:textId="77777777" w:rsidR="00357665" w:rsidRPr="00040AB6" w:rsidRDefault="00357665" w:rsidP="00BE4A87">
      <w:pPr>
        <w:pStyle w:val="ListParagraph"/>
        <w:spacing w:after="0" w:line="240" w:lineRule="auto"/>
        <w:ind w:left="1440"/>
        <w:rPr>
          <w:rFonts w:asciiTheme="minorHAnsi" w:hAnsiTheme="minorHAnsi"/>
          <w:sz w:val="24"/>
          <w:szCs w:val="24"/>
        </w:rPr>
      </w:pPr>
    </w:p>
    <w:p w14:paraId="58BB72C7" w14:textId="77777777" w:rsidR="00357665" w:rsidRPr="00040AB6" w:rsidRDefault="00FE0DD2" w:rsidP="00FE0DD2">
      <w:pPr>
        <w:spacing w:after="0" w:line="240" w:lineRule="auto"/>
        <w:ind w:left="720"/>
        <w:rPr>
          <w:rFonts w:asciiTheme="minorHAnsi" w:hAnsiTheme="minorHAnsi"/>
          <w:sz w:val="24"/>
          <w:szCs w:val="24"/>
        </w:rPr>
      </w:pPr>
      <w:r w:rsidRPr="00040AB6">
        <w:rPr>
          <w:rFonts w:asciiTheme="minorHAnsi" w:hAnsiTheme="minorHAnsi"/>
          <w:sz w:val="24"/>
          <w:szCs w:val="24"/>
        </w:rPr>
        <w:t>Please note that not all a</w:t>
      </w:r>
      <w:r w:rsidR="00357665" w:rsidRPr="00040AB6">
        <w:rPr>
          <w:rFonts w:asciiTheme="minorHAnsi" w:hAnsiTheme="minorHAnsi"/>
          <w:sz w:val="24"/>
          <w:szCs w:val="24"/>
        </w:rPr>
        <w:t xml:space="preserve">dvice </w:t>
      </w:r>
      <w:r w:rsidRPr="00040AB6">
        <w:rPr>
          <w:rFonts w:asciiTheme="minorHAnsi" w:hAnsiTheme="minorHAnsi"/>
          <w:sz w:val="24"/>
          <w:szCs w:val="24"/>
        </w:rPr>
        <w:t>f</w:t>
      </w:r>
      <w:r w:rsidR="00357665" w:rsidRPr="00040AB6">
        <w:rPr>
          <w:rFonts w:asciiTheme="minorHAnsi" w:hAnsiTheme="minorHAnsi"/>
          <w:sz w:val="24"/>
          <w:szCs w:val="24"/>
        </w:rPr>
        <w:t xml:space="preserve">ilings must include the EE Plan.  The EE Plan will only be included when it is being revised. </w:t>
      </w:r>
    </w:p>
    <w:p w14:paraId="2A2F2724" w14:textId="77777777" w:rsidR="00357665" w:rsidRPr="00040AB6" w:rsidRDefault="00357665" w:rsidP="00E5636B">
      <w:pPr>
        <w:pStyle w:val="ListParagraph"/>
        <w:spacing w:after="0" w:line="240" w:lineRule="auto"/>
        <w:rPr>
          <w:rFonts w:asciiTheme="minorHAnsi" w:hAnsiTheme="minorHAnsi"/>
          <w:sz w:val="24"/>
          <w:szCs w:val="24"/>
        </w:rPr>
      </w:pPr>
    </w:p>
    <w:p w14:paraId="2DF1ECC0" w14:textId="176AF77F" w:rsidR="00106C2C" w:rsidRDefault="00357665" w:rsidP="000109AC">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The Company will work to resolve issues with EEAG members before filing.  If the EEAG cannot completely recommend approval of a filing, the Company may still choose to make the filing with the WUTC with the understanding that EEAG members may intervene in that public proceeding.  </w:t>
      </w:r>
    </w:p>
    <w:p w14:paraId="4CF96A2C" w14:textId="77777777" w:rsidR="000109AC" w:rsidRPr="00637F8E" w:rsidRDefault="000109AC" w:rsidP="000109AC">
      <w:pPr>
        <w:pStyle w:val="ListParagraph"/>
        <w:spacing w:after="0" w:line="240" w:lineRule="auto"/>
        <w:rPr>
          <w:rFonts w:asciiTheme="minorHAnsi" w:hAnsiTheme="minorHAnsi"/>
          <w:sz w:val="24"/>
          <w:szCs w:val="24"/>
        </w:rPr>
      </w:pPr>
    </w:p>
    <w:p w14:paraId="3514584B" w14:textId="350D2E9C" w:rsidR="00357665" w:rsidRPr="000A65B2" w:rsidRDefault="000A65B2" w:rsidP="00122F13">
      <w:pPr>
        <w:spacing w:after="0" w:line="240" w:lineRule="auto"/>
        <w:rPr>
          <w:rFonts w:asciiTheme="minorHAnsi" w:hAnsiTheme="minorHAnsi"/>
          <w:sz w:val="32"/>
          <w:szCs w:val="32"/>
        </w:rPr>
      </w:pPr>
      <w:r>
        <w:rPr>
          <w:rFonts w:asciiTheme="minorHAnsi" w:hAnsiTheme="minorHAnsi"/>
          <w:sz w:val="32"/>
          <w:szCs w:val="32"/>
        </w:rPr>
        <w:t xml:space="preserve">VIII. </w:t>
      </w:r>
      <w:r w:rsidR="00122F13">
        <w:rPr>
          <w:rFonts w:asciiTheme="minorHAnsi" w:hAnsiTheme="minorHAnsi"/>
          <w:sz w:val="32"/>
          <w:szCs w:val="32"/>
        </w:rPr>
        <w:tab/>
      </w:r>
      <w:r w:rsidR="00357665" w:rsidRPr="000A65B2">
        <w:rPr>
          <w:rFonts w:asciiTheme="minorHAnsi" w:hAnsiTheme="minorHAnsi"/>
          <w:sz w:val="32"/>
          <w:szCs w:val="32"/>
        </w:rPr>
        <w:t>Annual Schedule for Program Planning</w:t>
      </w:r>
    </w:p>
    <w:p w14:paraId="688C0737" w14:textId="77777777" w:rsidR="00357665" w:rsidRPr="00040AB6" w:rsidRDefault="00357665" w:rsidP="001F07EE">
      <w:pPr>
        <w:pStyle w:val="ListParagraph"/>
        <w:spacing w:after="0" w:line="240" w:lineRule="auto"/>
        <w:rPr>
          <w:rFonts w:asciiTheme="minorHAnsi" w:hAnsiTheme="minorHAnsi"/>
          <w:sz w:val="24"/>
          <w:szCs w:val="24"/>
        </w:rPr>
      </w:pPr>
      <w:r w:rsidRPr="00040AB6">
        <w:rPr>
          <w:rFonts w:asciiTheme="minorHAnsi" w:hAnsiTheme="minorHAnsi"/>
          <w:sz w:val="24"/>
          <w:szCs w:val="24"/>
        </w:rPr>
        <w:t>By November 15 of each year, the Company will provide the EEAG with the following proposals for the next program year, which will subsequently be filed with the WUTC in a new docket that will contain all the required reporting for the calendar year, including a link to the Purchased Gas Adjustment (PGA) filing wherein program costs are recovered:</w:t>
      </w:r>
    </w:p>
    <w:p w14:paraId="5EFDBE3E" w14:textId="77777777" w:rsidR="00357665" w:rsidRPr="00040AB6" w:rsidRDefault="00357665" w:rsidP="001F07EE">
      <w:pPr>
        <w:pStyle w:val="ListParagraph"/>
        <w:spacing w:after="0" w:line="240" w:lineRule="auto"/>
        <w:ind w:left="1440"/>
        <w:rPr>
          <w:rFonts w:asciiTheme="minorHAnsi" w:hAnsiTheme="minorHAnsi"/>
          <w:sz w:val="24"/>
          <w:szCs w:val="24"/>
          <w:u w:val="single"/>
        </w:rPr>
      </w:pPr>
    </w:p>
    <w:p w14:paraId="477834A1"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u w:val="single"/>
        </w:rPr>
        <w:t>Budget</w:t>
      </w:r>
    </w:p>
    <w:p w14:paraId="6987D1BD"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 xml:space="preserve">The Company will provide a total estimated program budget for the next calendar year.  The budget will present expected expenditures by program and customer class. </w:t>
      </w:r>
    </w:p>
    <w:p w14:paraId="1A8623EB" w14:textId="77777777" w:rsidR="00357665" w:rsidRPr="00040AB6" w:rsidRDefault="00357665" w:rsidP="001F07EE">
      <w:pPr>
        <w:pStyle w:val="ListParagraph"/>
        <w:spacing w:after="0" w:line="240" w:lineRule="auto"/>
        <w:ind w:left="1440"/>
        <w:rPr>
          <w:rFonts w:asciiTheme="minorHAnsi" w:hAnsiTheme="minorHAnsi"/>
          <w:sz w:val="24"/>
          <w:szCs w:val="24"/>
        </w:rPr>
      </w:pPr>
    </w:p>
    <w:p w14:paraId="271CA333" w14:textId="77777777" w:rsidR="00357665" w:rsidRPr="00040AB6" w:rsidRDefault="00357665" w:rsidP="004873B8">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 xml:space="preserve">Please note that this budget forecast will be based on the best information available at the time.  As the year progresses, budgeted dollars may be reallocated among various programs or new offerings that are approved by the WUTC.  </w:t>
      </w:r>
    </w:p>
    <w:p w14:paraId="10AD912E" w14:textId="77777777" w:rsidR="00357665" w:rsidRPr="00040AB6" w:rsidRDefault="00357665" w:rsidP="004873B8">
      <w:pPr>
        <w:spacing w:after="0" w:line="240" w:lineRule="auto"/>
        <w:rPr>
          <w:rFonts w:asciiTheme="minorHAnsi" w:hAnsiTheme="minorHAnsi"/>
          <w:sz w:val="24"/>
          <w:szCs w:val="24"/>
        </w:rPr>
      </w:pPr>
    </w:p>
    <w:p w14:paraId="213C2589" w14:textId="77777777" w:rsidR="00637F8E" w:rsidRDefault="00637F8E" w:rsidP="004873B8">
      <w:pPr>
        <w:pStyle w:val="ListParagraph"/>
        <w:spacing w:after="0" w:line="240" w:lineRule="auto"/>
        <w:ind w:left="1440"/>
        <w:rPr>
          <w:rFonts w:asciiTheme="minorHAnsi" w:hAnsiTheme="minorHAnsi"/>
          <w:sz w:val="24"/>
          <w:szCs w:val="24"/>
          <w:u w:val="single"/>
        </w:rPr>
      </w:pPr>
    </w:p>
    <w:p w14:paraId="6DA74748" w14:textId="77777777" w:rsidR="00357665" w:rsidRPr="00040AB6" w:rsidRDefault="00357665" w:rsidP="004873B8">
      <w:pPr>
        <w:pStyle w:val="ListParagraph"/>
        <w:spacing w:after="0" w:line="240" w:lineRule="auto"/>
        <w:ind w:left="1440"/>
        <w:rPr>
          <w:rFonts w:asciiTheme="minorHAnsi" w:hAnsiTheme="minorHAnsi"/>
          <w:sz w:val="24"/>
          <w:szCs w:val="24"/>
          <w:u w:val="single"/>
        </w:rPr>
      </w:pPr>
      <w:r w:rsidRPr="00040AB6">
        <w:rPr>
          <w:rFonts w:asciiTheme="minorHAnsi" w:hAnsiTheme="minorHAnsi"/>
          <w:sz w:val="24"/>
          <w:szCs w:val="24"/>
          <w:u w:val="single"/>
        </w:rPr>
        <w:lastRenderedPageBreak/>
        <w:t>Funding Schedule</w:t>
      </w:r>
    </w:p>
    <w:p w14:paraId="4566907D" w14:textId="7CB120A2"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 xml:space="preserve">A funding schedule is a contractually-agreed-to timeline between NW Natural and Energy Trust wherewith NW Natural will provide Energy Trust the necessary </w:t>
      </w:r>
      <w:r w:rsidR="00C21507">
        <w:rPr>
          <w:rFonts w:asciiTheme="minorHAnsi" w:hAnsiTheme="minorHAnsi"/>
          <w:sz w:val="24"/>
          <w:szCs w:val="24"/>
        </w:rPr>
        <w:t xml:space="preserve">funding </w:t>
      </w:r>
      <w:r w:rsidRPr="00040AB6">
        <w:rPr>
          <w:rFonts w:asciiTheme="minorHAnsi" w:hAnsiTheme="minorHAnsi"/>
          <w:sz w:val="24"/>
          <w:szCs w:val="24"/>
        </w:rPr>
        <w:t xml:space="preserve">for program administration and delivery.  The amounts dispersed to the Energy Trust in one year are the sum of all funds needed for that program year determined by subtracting any unspent or uncommitted funds previously dispersed to the Energy Trust for the Washington program from the total forecasted budget.  </w:t>
      </w:r>
    </w:p>
    <w:p w14:paraId="0AC1E4A7" w14:textId="77777777" w:rsidR="00357665" w:rsidRPr="00040AB6" w:rsidRDefault="00357665" w:rsidP="001F07EE">
      <w:pPr>
        <w:pStyle w:val="ListParagraph"/>
        <w:spacing w:after="0" w:line="240" w:lineRule="auto"/>
        <w:ind w:left="1440"/>
        <w:rPr>
          <w:rFonts w:asciiTheme="minorHAnsi" w:hAnsiTheme="minorHAnsi"/>
          <w:sz w:val="24"/>
          <w:szCs w:val="24"/>
        </w:rPr>
      </w:pPr>
    </w:p>
    <w:p w14:paraId="4B6D9AF5" w14:textId="77777777" w:rsidR="00357665" w:rsidRPr="00040AB6" w:rsidRDefault="00357665" w:rsidP="001F07EE">
      <w:pPr>
        <w:pStyle w:val="ListParagraph"/>
        <w:spacing w:after="0" w:line="240" w:lineRule="auto"/>
        <w:ind w:left="1440"/>
        <w:rPr>
          <w:rFonts w:asciiTheme="minorHAnsi" w:hAnsiTheme="minorHAnsi"/>
          <w:sz w:val="24"/>
          <w:szCs w:val="24"/>
          <w:u w:val="single"/>
        </w:rPr>
      </w:pPr>
      <w:r w:rsidRPr="00040AB6">
        <w:rPr>
          <w:rFonts w:asciiTheme="minorHAnsi" w:hAnsiTheme="minorHAnsi"/>
          <w:sz w:val="24"/>
          <w:szCs w:val="24"/>
          <w:u w:val="single"/>
        </w:rPr>
        <w:t>Metrics</w:t>
      </w:r>
    </w:p>
    <w:p w14:paraId="46DE7D00"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The Company will propose performance metrics that will address the following:</w:t>
      </w:r>
    </w:p>
    <w:p w14:paraId="606E343A" w14:textId="77777777" w:rsidR="00357665" w:rsidRPr="00637F8E" w:rsidRDefault="00357665" w:rsidP="001F07EE">
      <w:pPr>
        <w:pStyle w:val="ListParagraph"/>
        <w:spacing w:after="0" w:line="240" w:lineRule="auto"/>
        <w:ind w:left="1440"/>
        <w:rPr>
          <w:rFonts w:asciiTheme="minorHAnsi" w:hAnsiTheme="minorHAnsi"/>
          <w:sz w:val="20"/>
          <w:szCs w:val="20"/>
        </w:rPr>
      </w:pPr>
    </w:p>
    <w:p w14:paraId="7ED67CFE"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Total program costs</w:t>
      </w:r>
    </w:p>
    <w:p w14:paraId="05861A02"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Projected therm savings consistent with most recent IRP</w:t>
      </w:r>
    </w:p>
    <w:p w14:paraId="04A06A6A"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Average levelized cost for measures</w:t>
      </w:r>
    </w:p>
    <w:p w14:paraId="191F1404"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A ceiling for average cost per therm</w:t>
      </w:r>
    </w:p>
    <w:p w14:paraId="584F9712" w14:textId="77777777" w:rsidR="00357665" w:rsidRPr="00040AB6" w:rsidRDefault="00357665" w:rsidP="001F07EE">
      <w:pPr>
        <w:numPr>
          <w:ilvl w:val="0"/>
          <w:numId w:val="2"/>
        </w:numPr>
        <w:spacing w:after="0" w:line="240" w:lineRule="auto"/>
        <w:ind w:left="1800"/>
        <w:rPr>
          <w:rFonts w:asciiTheme="minorHAnsi" w:hAnsiTheme="minorHAnsi"/>
          <w:sz w:val="24"/>
          <w:szCs w:val="24"/>
        </w:rPr>
      </w:pPr>
      <w:r w:rsidRPr="00040AB6">
        <w:rPr>
          <w:rFonts w:asciiTheme="minorHAnsi" w:hAnsiTheme="minorHAnsi"/>
          <w:sz w:val="24"/>
          <w:szCs w:val="24"/>
        </w:rPr>
        <w:t>Projected homes to be weatherized in the WA-LIEE program</w:t>
      </w:r>
    </w:p>
    <w:p w14:paraId="00638188" w14:textId="77777777" w:rsidR="00357665" w:rsidRPr="00040AB6" w:rsidRDefault="00357665" w:rsidP="001F07EE">
      <w:pPr>
        <w:spacing w:after="0" w:line="240" w:lineRule="auto"/>
        <w:ind w:left="1440"/>
        <w:rPr>
          <w:rFonts w:asciiTheme="minorHAnsi" w:hAnsiTheme="minorHAnsi"/>
          <w:sz w:val="24"/>
          <w:szCs w:val="24"/>
        </w:rPr>
      </w:pPr>
    </w:p>
    <w:p w14:paraId="046CF8C8" w14:textId="77777777" w:rsidR="00357665" w:rsidRPr="00040AB6" w:rsidRDefault="00357665" w:rsidP="001F07EE">
      <w:pPr>
        <w:spacing w:after="0" w:line="240" w:lineRule="auto"/>
        <w:ind w:left="1440"/>
        <w:rPr>
          <w:rFonts w:asciiTheme="minorHAnsi" w:hAnsiTheme="minorHAnsi"/>
          <w:sz w:val="24"/>
          <w:szCs w:val="24"/>
        </w:rPr>
      </w:pPr>
      <w:r w:rsidRPr="00040AB6">
        <w:rPr>
          <w:rFonts w:asciiTheme="minorHAnsi" w:hAnsiTheme="minorHAnsi"/>
          <w:sz w:val="24"/>
          <w:szCs w:val="24"/>
        </w:rPr>
        <w:t>The Company expects that Utility Cost</w:t>
      </w:r>
      <w:r w:rsidR="00C21507">
        <w:rPr>
          <w:rFonts w:asciiTheme="minorHAnsi" w:hAnsiTheme="minorHAnsi"/>
          <w:sz w:val="24"/>
          <w:szCs w:val="24"/>
        </w:rPr>
        <w:t xml:space="preserve"> Test</w:t>
      </w:r>
      <w:r w:rsidRPr="00040AB6">
        <w:rPr>
          <w:rFonts w:asciiTheme="minorHAnsi" w:hAnsiTheme="minorHAnsi"/>
          <w:sz w:val="24"/>
          <w:szCs w:val="24"/>
        </w:rPr>
        <w:t xml:space="preserve"> (UC</w:t>
      </w:r>
      <w:r w:rsidR="00C21507">
        <w:rPr>
          <w:rFonts w:asciiTheme="minorHAnsi" w:hAnsiTheme="minorHAnsi"/>
          <w:sz w:val="24"/>
          <w:szCs w:val="24"/>
        </w:rPr>
        <w:t>T</w:t>
      </w:r>
      <w:r w:rsidRPr="00040AB6">
        <w:rPr>
          <w:rFonts w:asciiTheme="minorHAnsi" w:hAnsiTheme="minorHAnsi"/>
          <w:sz w:val="24"/>
          <w:szCs w:val="24"/>
        </w:rPr>
        <w:t>) at the portfolio level should</w:t>
      </w:r>
      <w:r w:rsidR="00C21507">
        <w:rPr>
          <w:rFonts w:asciiTheme="minorHAnsi" w:hAnsiTheme="minorHAnsi"/>
          <w:sz w:val="24"/>
          <w:szCs w:val="24"/>
        </w:rPr>
        <w:t xml:space="preserve"> </w:t>
      </w:r>
      <w:r w:rsidRPr="00040AB6">
        <w:rPr>
          <w:rFonts w:asciiTheme="minorHAnsi" w:hAnsiTheme="minorHAnsi"/>
          <w:sz w:val="24"/>
          <w:szCs w:val="24"/>
        </w:rPr>
        <w:t>be greater than 1.0 and will report compliance to this on an annual basis.</w:t>
      </w:r>
      <w:r w:rsidR="00C54531" w:rsidRPr="00040AB6">
        <w:rPr>
          <w:rFonts w:asciiTheme="minorHAnsi" w:hAnsiTheme="minorHAnsi"/>
          <w:sz w:val="24"/>
          <w:szCs w:val="24"/>
        </w:rPr>
        <w:t xml:space="preserve"> The Company will also report on the portfolio TRC.</w:t>
      </w:r>
    </w:p>
    <w:p w14:paraId="6390B0E0" w14:textId="77777777" w:rsidR="00357665" w:rsidRPr="00040AB6" w:rsidRDefault="00357665" w:rsidP="001F07EE">
      <w:pPr>
        <w:spacing w:after="0" w:line="240" w:lineRule="auto"/>
        <w:ind w:left="1440"/>
        <w:rPr>
          <w:rFonts w:asciiTheme="minorHAnsi" w:hAnsiTheme="minorHAnsi"/>
          <w:sz w:val="24"/>
          <w:szCs w:val="24"/>
        </w:rPr>
      </w:pPr>
    </w:p>
    <w:p w14:paraId="40DE6DA2" w14:textId="77777777" w:rsidR="00357665" w:rsidRPr="00040AB6" w:rsidRDefault="00357665" w:rsidP="001F07EE">
      <w:pPr>
        <w:spacing w:after="0" w:line="240" w:lineRule="auto"/>
        <w:ind w:left="1440"/>
        <w:rPr>
          <w:rFonts w:asciiTheme="minorHAnsi" w:hAnsiTheme="minorHAnsi"/>
          <w:sz w:val="24"/>
          <w:szCs w:val="24"/>
        </w:rPr>
      </w:pPr>
      <w:r w:rsidRPr="00040AB6">
        <w:rPr>
          <w:rFonts w:asciiTheme="minorHAnsi" w:hAnsiTheme="minorHAnsi"/>
          <w:sz w:val="24"/>
          <w:szCs w:val="24"/>
        </w:rPr>
        <w:t xml:space="preserve">The Company will come to agreement with the EEAG on the next year’s budget and performance metrics before making a tariff filing with the WUTC to modify this plan so that it incorporates the next year’s projected costs and metrics accordingly.  This filing will be made annually not later than December 1 for a January 1 effective date. </w:t>
      </w:r>
    </w:p>
    <w:p w14:paraId="3020B4E5" w14:textId="77777777" w:rsidR="00357665" w:rsidRPr="00040AB6" w:rsidRDefault="00357665" w:rsidP="001F07EE">
      <w:pPr>
        <w:pStyle w:val="ListParagraph"/>
        <w:spacing w:after="0" w:line="240" w:lineRule="auto"/>
        <w:ind w:left="1440"/>
        <w:rPr>
          <w:rFonts w:asciiTheme="minorHAnsi" w:hAnsiTheme="minorHAnsi"/>
          <w:sz w:val="24"/>
          <w:szCs w:val="24"/>
        </w:rPr>
      </w:pPr>
    </w:p>
    <w:p w14:paraId="71C8953F" w14:textId="77777777" w:rsidR="00357665" w:rsidRPr="00040AB6" w:rsidRDefault="00357665" w:rsidP="001F07EE">
      <w:pPr>
        <w:pStyle w:val="ListParagraph"/>
        <w:spacing w:after="0" w:line="240" w:lineRule="auto"/>
        <w:ind w:left="1440"/>
        <w:rPr>
          <w:rFonts w:asciiTheme="minorHAnsi" w:hAnsiTheme="minorHAnsi"/>
          <w:sz w:val="24"/>
          <w:szCs w:val="24"/>
        </w:rPr>
      </w:pPr>
      <w:r w:rsidRPr="00040AB6">
        <w:rPr>
          <w:rFonts w:asciiTheme="minorHAnsi" w:hAnsiTheme="minorHAnsi"/>
          <w:sz w:val="24"/>
          <w:szCs w:val="24"/>
        </w:rPr>
        <w:t>Generally, milestones for the program year will be as follows:</w:t>
      </w:r>
    </w:p>
    <w:p w14:paraId="37128CD8" w14:textId="77777777" w:rsidR="00357665" w:rsidRPr="00637F8E" w:rsidRDefault="00357665" w:rsidP="001F07EE">
      <w:pPr>
        <w:pStyle w:val="ListParagraph"/>
        <w:spacing w:after="0" w:line="240" w:lineRule="auto"/>
        <w:ind w:left="1440"/>
        <w:rPr>
          <w:rFonts w:asciiTheme="minorHAnsi" w:hAnsiTheme="minorHAnsi"/>
          <w:sz w:val="24"/>
          <w:szCs w:val="24"/>
          <w:u w:val="single"/>
        </w:rPr>
      </w:pPr>
    </w:p>
    <w:tbl>
      <w:tblPr>
        <w:tblW w:w="91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6353"/>
      </w:tblGrid>
      <w:tr w:rsidR="00357665" w:rsidRPr="00040AB6" w14:paraId="142F2776" w14:textId="77777777" w:rsidTr="004873B8">
        <w:tc>
          <w:tcPr>
            <w:tcW w:w="9198" w:type="dxa"/>
            <w:gridSpan w:val="2"/>
          </w:tcPr>
          <w:p w14:paraId="5DB21727" w14:textId="77777777" w:rsidR="00357665" w:rsidRPr="005D4315" w:rsidRDefault="00357665" w:rsidP="005D4315">
            <w:pPr>
              <w:tabs>
                <w:tab w:val="left" w:pos="720"/>
              </w:tabs>
              <w:spacing w:after="0" w:line="240" w:lineRule="auto"/>
              <w:ind w:left="720" w:hanging="720"/>
              <w:rPr>
                <w:rFonts w:asciiTheme="minorHAnsi" w:hAnsiTheme="minorHAnsi"/>
                <w:b/>
                <w:sz w:val="24"/>
                <w:szCs w:val="24"/>
              </w:rPr>
            </w:pPr>
            <w:r w:rsidRPr="005D4315">
              <w:rPr>
                <w:rFonts w:asciiTheme="minorHAnsi" w:hAnsiTheme="minorHAnsi"/>
                <w:b/>
                <w:sz w:val="24"/>
                <w:szCs w:val="24"/>
              </w:rPr>
              <w:t>Program Year Schedule</w:t>
            </w:r>
          </w:p>
        </w:tc>
      </w:tr>
      <w:tr w:rsidR="00357665" w:rsidRPr="00040AB6" w14:paraId="5A22A45D" w14:textId="77777777" w:rsidTr="004873B8">
        <w:tc>
          <w:tcPr>
            <w:tcW w:w="2845" w:type="dxa"/>
          </w:tcPr>
          <w:p w14:paraId="700989BE"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January 1</w:t>
            </w:r>
          </w:p>
        </w:tc>
        <w:tc>
          <w:tcPr>
            <w:tcW w:w="6353" w:type="dxa"/>
          </w:tcPr>
          <w:p w14:paraId="38F640D9"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Start of program year</w:t>
            </w:r>
          </w:p>
        </w:tc>
      </w:tr>
      <w:tr w:rsidR="00357665" w:rsidRPr="00040AB6" w14:paraId="67B1DD08" w14:textId="77777777" w:rsidTr="00637F8E">
        <w:trPr>
          <w:trHeight w:val="305"/>
        </w:trPr>
        <w:tc>
          <w:tcPr>
            <w:tcW w:w="2845" w:type="dxa"/>
          </w:tcPr>
          <w:p w14:paraId="7E087453"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April 25</w:t>
            </w:r>
          </w:p>
        </w:tc>
        <w:tc>
          <w:tcPr>
            <w:tcW w:w="6353" w:type="dxa"/>
          </w:tcPr>
          <w:p w14:paraId="773C8471" w14:textId="687AE5D6" w:rsidR="00357665" w:rsidRPr="00040AB6" w:rsidRDefault="00357665" w:rsidP="00637F8E">
            <w:pPr>
              <w:tabs>
                <w:tab w:val="left" w:pos="492"/>
              </w:tabs>
              <w:spacing w:after="0" w:line="240" w:lineRule="auto"/>
              <w:ind w:left="12"/>
              <w:rPr>
                <w:rFonts w:asciiTheme="minorHAnsi" w:hAnsiTheme="minorHAnsi"/>
                <w:sz w:val="24"/>
                <w:szCs w:val="24"/>
              </w:rPr>
            </w:pPr>
            <w:r w:rsidRPr="00040AB6">
              <w:rPr>
                <w:rFonts w:asciiTheme="minorHAnsi" w:hAnsiTheme="minorHAnsi"/>
                <w:sz w:val="24"/>
                <w:szCs w:val="24"/>
              </w:rPr>
              <w:t>Annual report for previous program year</w:t>
            </w:r>
            <w:r w:rsidR="006C5306" w:rsidRPr="00040AB6">
              <w:rPr>
                <w:rFonts w:asciiTheme="minorHAnsi" w:hAnsiTheme="minorHAnsi"/>
                <w:sz w:val="24"/>
                <w:szCs w:val="24"/>
              </w:rPr>
              <w:t xml:space="preserve"> is filed.</w:t>
            </w:r>
          </w:p>
        </w:tc>
      </w:tr>
      <w:tr w:rsidR="00357665" w:rsidRPr="00040AB6" w14:paraId="1F06730B" w14:textId="77777777" w:rsidTr="004873B8">
        <w:tc>
          <w:tcPr>
            <w:tcW w:w="2845" w:type="dxa"/>
          </w:tcPr>
          <w:p w14:paraId="2D797105"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May 25</w:t>
            </w:r>
          </w:p>
        </w:tc>
        <w:tc>
          <w:tcPr>
            <w:tcW w:w="6353" w:type="dxa"/>
          </w:tcPr>
          <w:p w14:paraId="26F1A2FC"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Q1 report on January 1 through  March 31 of current year</w:t>
            </w:r>
          </w:p>
        </w:tc>
      </w:tr>
      <w:tr w:rsidR="00357665" w:rsidRPr="00040AB6" w14:paraId="49E1BCC6" w14:textId="77777777" w:rsidTr="004873B8">
        <w:tc>
          <w:tcPr>
            <w:tcW w:w="2845" w:type="dxa"/>
          </w:tcPr>
          <w:p w14:paraId="55782A23"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August 25</w:t>
            </w:r>
          </w:p>
        </w:tc>
        <w:tc>
          <w:tcPr>
            <w:tcW w:w="6353" w:type="dxa"/>
          </w:tcPr>
          <w:p w14:paraId="7DF562F1"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Q2 report on April 1 through June 30 and YTD</w:t>
            </w:r>
          </w:p>
        </w:tc>
      </w:tr>
      <w:tr w:rsidR="00357665" w:rsidRPr="00040AB6" w14:paraId="58BD6BE3" w14:textId="77777777" w:rsidTr="004873B8">
        <w:tc>
          <w:tcPr>
            <w:tcW w:w="2845" w:type="dxa"/>
          </w:tcPr>
          <w:p w14:paraId="7413D044"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October 1</w:t>
            </w:r>
          </w:p>
        </w:tc>
        <w:tc>
          <w:tcPr>
            <w:tcW w:w="6353" w:type="dxa"/>
          </w:tcPr>
          <w:p w14:paraId="3729C6D3" w14:textId="77777777" w:rsidR="00357665" w:rsidRPr="00040AB6" w:rsidRDefault="00E2128A" w:rsidP="00E2128A">
            <w:pPr>
              <w:tabs>
                <w:tab w:val="left" w:pos="720"/>
              </w:tabs>
              <w:spacing w:after="0" w:line="240" w:lineRule="auto"/>
              <w:rPr>
                <w:rFonts w:asciiTheme="minorHAnsi" w:hAnsiTheme="minorHAnsi"/>
                <w:sz w:val="24"/>
                <w:szCs w:val="24"/>
              </w:rPr>
            </w:pPr>
            <w:r w:rsidRPr="00040AB6">
              <w:rPr>
                <w:rFonts w:asciiTheme="minorHAnsi" w:hAnsiTheme="minorHAnsi"/>
                <w:sz w:val="24"/>
                <w:szCs w:val="24"/>
              </w:rPr>
              <w:t>Tariff filing submitted for program cost recovery.</w:t>
            </w:r>
          </w:p>
        </w:tc>
      </w:tr>
      <w:tr w:rsidR="00E2128A" w:rsidRPr="00040AB6" w14:paraId="59433ABC" w14:textId="77777777" w:rsidTr="004873B8">
        <w:tc>
          <w:tcPr>
            <w:tcW w:w="2845" w:type="dxa"/>
          </w:tcPr>
          <w:p w14:paraId="75E0B821" w14:textId="77777777" w:rsidR="00E2128A" w:rsidRPr="00040AB6" w:rsidRDefault="00E2128A"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November 1</w:t>
            </w:r>
          </w:p>
        </w:tc>
        <w:tc>
          <w:tcPr>
            <w:tcW w:w="6353" w:type="dxa"/>
          </w:tcPr>
          <w:p w14:paraId="4904D3EE" w14:textId="77777777" w:rsidR="00E2128A" w:rsidRPr="00040AB6" w:rsidDel="00E2128A" w:rsidRDefault="00E2128A" w:rsidP="00E2128A">
            <w:pPr>
              <w:tabs>
                <w:tab w:val="left" w:pos="720"/>
              </w:tabs>
              <w:spacing w:after="0" w:line="240" w:lineRule="auto"/>
              <w:rPr>
                <w:rFonts w:asciiTheme="minorHAnsi" w:hAnsiTheme="minorHAnsi"/>
                <w:sz w:val="24"/>
                <w:szCs w:val="24"/>
              </w:rPr>
            </w:pPr>
            <w:r w:rsidRPr="00040AB6">
              <w:rPr>
                <w:rFonts w:asciiTheme="minorHAnsi" w:hAnsiTheme="minorHAnsi"/>
                <w:sz w:val="24"/>
                <w:szCs w:val="24"/>
              </w:rPr>
              <w:t>Requested effective date of program cost recovery filing.</w:t>
            </w:r>
          </w:p>
        </w:tc>
      </w:tr>
      <w:tr w:rsidR="00357665" w:rsidRPr="00040AB6" w14:paraId="0230C5E1" w14:textId="77777777" w:rsidTr="004873B8">
        <w:tc>
          <w:tcPr>
            <w:tcW w:w="2845" w:type="dxa"/>
          </w:tcPr>
          <w:p w14:paraId="03312002"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November 15</w:t>
            </w:r>
          </w:p>
        </w:tc>
        <w:tc>
          <w:tcPr>
            <w:tcW w:w="6353" w:type="dxa"/>
          </w:tcPr>
          <w:p w14:paraId="0EA59AD0" w14:textId="77777777" w:rsidR="00357665" w:rsidRPr="00040AB6" w:rsidRDefault="00357665" w:rsidP="00A879A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Share next year’s budget range, funding schedule, and proposed performance metrics with EEAG no later than this date</w:t>
            </w:r>
          </w:p>
        </w:tc>
      </w:tr>
      <w:tr w:rsidR="00357665" w:rsidRPr="00040AB6" w14:paraId="1AB58606" w14:textId="77777777" w:rsidTr="004873B8">
        <w:tc>
          <w:tcPr>
            <w:tcW w:w="2845" w:type="dxa"/>
          </w:tcPr>
          <w:p w14:paraId="24240894" w14:textId="77777777" w:rsidR="00357665" w:rsidRPr="00040AB6" w:rsidRDefault="00357665" w:rsidP="00A05B15">
            <w:pPr>
              <w:tabs>
                <w:tab w:val="left" w:pos="720"/>
              </w:tabs>
              <w:spacing w:after="0" w:line="240" w:lineRule="auto"/>
              <w:rPr>
                <w:rFonts w:asciiTheme="minorHAnsi" w:hAnsiTheme="minorHAnsi"/>
                <w:sz w:val="24"/>
                <w:szCs w:val="24"/>
              </w:rPr>
            </w:pPr>
            <w:r w:rsidRPr="00040AB6">
              <w:rPr>
                <w:rFonts w:asciiTheme="minorHAnsi" w:hAnsiTheme="minorHAnsi"/>
                <w:sz w:val="24"/>
                <w:szCs w:val="24"/>
              </w:rPr>
              <w:t>November 25</w:t>
            </w:r>
          </w:p>
        </w:tc>
        <w:tc>
          <w:tcPr>
            <w:tcW w:w="6353" w:type="dxa"/>
          </w:tcPr>
          <w:p w14:paraId="1569E652"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Q3 report on July 1 through September 30 and YTD</w:t>
            </w:r>
          </w:p>
        </w:tc>
      </w:tr>
      <w:tr w:rsidR="00357665" w:rsidRPr="00040AB6" w14:paraId="42B425BC" w14:textId="77777777" w:rsidTr="004873B8">
        <w:tc>
          <w:tcPr>
            <w:tcW w:w="2845" w:type="dxa"/>
          </w:tcPr>
          <w:p w14:paraId="40E34A6E"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December 1</w:t>
            </w:r>
          </w:p>
        </w:tc>
        <w:tc>
          <w:tcPr>
            <w:tcW w:w="6353" w:type="dxa"/>
          </w:tcPr>
          <w:p w14:paraId="6AAB24EA"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Latest date to file EE Plan for next program year</w:t>
            </w:r>
          </w:p>
        </w:tc>
      </w:tr>
      <w:tr w:rsidR="00357665" w:rsidRPr="00040AB6" w14:paraId="2B5C5713" w14:textId="77777777" w:rsidTr="004873B8">
        <w:tc>
          <w:tcPr>
            <w:tcW w:w="2845" w:type="dxa"/>
          </w:tcPr>
          <w:p w14:paraId="14187963"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January 1</w:t>
            </w:r>
          </w:p>
        </w:tc>
        <w:tc>
          <w:tcPr>
            <w:tcW w:w="6353" w:type="dxa"/>
          </w:tcPr>
          <w:p w14:paraId="09F58783" w14:textId="77777777" w:rsidR="00357665" w:rsidRPr="00040AB6" w:rsidRDefault="00357665" w:rsidP="00500691">
            <w:pPr>
              <w:tabs>
                <w:tab w:val="left" w:pos="720"/>
              </w:tabs>
              <w:spacing w:after="0" w:line="240" w:lineRule="auto"/>
              <w:rPr>
                <w:rFonts w:asciiTheme="minorHAnsi" w:hAnsiTheme="minorHAnsi"/>
                <w:sz w:val="24"/>
                <w:szCs w:val="24"/>
              </w:rPr>
            </w:pPr>
            <w:r w:rsidRPr="00040AB6">
              <w:rPr>
                <w:rFonts w:asciiTheme="minorHAnsi" w:hAnsiTheme="minorHAnsi"/>
                <w:sz w:val="24"/>
                <w:szCs w:val="24"/>
              </w:rPr>
              <w:t>Start of next program year; new EE Plan effective</w:t>
            </w:r>
          </w:p>
        </w:tc>
      </w:tr>
    </w:tbl>
    <w:p w14:paraId="10854D5F" w14:textId="77777777" w:rsidR="00357665" w:rsidRPr="00040AB6" w:rsidRDefault="00357665" w:rsidP="00E5636B">
      <w:pPr>
        <w:pStyle w:val="ListParagraph"/>
        <w:spacing w:after="0" w:line="240" w:lineRule="auto"/>
        <w:rPr>
          <w:rFonts w:asciiTheme="minorHAnsi" w:hAnsiTheme="minorHAnsi"/>
          <w:sz w:val="32"/>
          <w:szCs w:val="32"/>
        </w:rPr>
      </w:pPr>
    </w:p>
    <w:p w14:paraId="64F5E457" w14:textId="55C1D3F6" w:rsidR="00357665" w:rsidRPr="000A65B2" w:rsidRDefault="000A65B2" w:rsidP="00122F13">
      <w:pPr>
        <w:pStyle w:val="ListParagraph"/>
        <w:spacing w:after="0" w:line="240" w:lineRule="auto"/>
        <w:ind w:left="0"/>
        <w:rPr>
          <w:rFonts w:asciiTheme="minorHAnsi" w:hAnsiTheme="minorHAnsi"/>
          <w:sz w:val="32"/>
          <w:szCs w:val="32"/>
        </w:rPr>
      </w:pPr>
      <w:r>
        <w:rPr>
          <w:rFonts w:asciiTheme="minorHAnsi" w:hAnsiTheme="minorHAnsi"/>
          <w:sz w:val="32"/>
          <w:szCs w:val="32"/>
        </w:rPr>
        <w:t xml:space="preserve">IX. </w:t>
      </w:r>
      <w:r w:rsidR="00122F13">
        <w:rPr>
          <w:rFonts w:asciiTheme="minorHAnsi" w:hAnsiTheme="minorHAnsi"/>
          <w:sz w:val="32"/>
          <w:szCs w:val="32"/>
        </w:rPr>
        <w:tab/>
      </w:r>
      <w:r w:rsidR="00357665" w:rsidRPr="000A65B2">
        <w:rPr>
          <w:rFonts w:asciiTheme="minorHAnsi" w:hAnsiTheme="minorHAnsi"/>
          <w:sz w:val="32"/>
          <w:szCs w:val="32"/>
        </w:rPr>
        <w:t>Reporting</w:t>
      </w:r>
    </w:p>
    <w:p w14:paraId="4845CB9A" w14:textId="77777777" w:rsidR="00357665" w:rsidRPr="00040AB6" w:rsidRDefault="00DC7F29" w:rsidP="000245F6">
      <w:pPr>
        <w:pStyle w:val="ListParagraph"/>
        <w:rPr>
          <w:rFonts w:asciiTheme="minorHAnsi" w:hAnsiTheme="minorHAnsi"/>
          <w:sz w:val="24"/>
          <w:szCs w:val="24"/>
        </w:rPr>
      </w:pPr>
      <w:r w:rsidRPr="00040AB6">
        <w:rPr>
          <w:rFonts w:asciiTheme="minorHAnsi" w:hAnsiTheme="minorHAnsi"/>
          <w:sz w:val="24"/>
          <w:szCs w:val="24"/>
        </w:rPr>
        <w:t>The Company will file a</w:t>
      </w:r>
      <w:r w:rsidR="00357665" w:rsidRPr="00040AB6">
        <w:rPr>
          <w:rFonts w:asciiTheme="minorHAnsi" w:hAnsiTheme="minorHAnsi"/>
          <w:sz w:val="24"/>
          <w:szCs w:val="24"/>
        </w:rPr>
        <w:t xml:space="preserve">ll required reporting with the WUTC in the docket established for the current program year.  </w:t>
      </w:r>
    </w:p>
    <w:p w14:paraId="38A09F4C" w14:textId="77777777" w:rsidR="00357665" w:rsidRPr="00040AB6" w:rsidRDefault="00357665" w:rsidP="000245F6">
      <w:pPr>
        <w:pStyle w:val="ListParagraph"/>
        <w:rPr>
          <w:rFonts w:asciiTheme="minorHAnsi" w:hAnsiTheme="minorHAnsi"/>
          <w:sz w:val="24"/>
          <w:szCs w:val="24"/>
          <w:u w:val="single"/>
        </w:rPr>
      </w:pPr>
    </w:p>
    <w:p w14:paraId="050C03F9" w14:textId="77777777" w:rsidR="00357665" w:rsidRPr="00040AB6" w:rsidRDefault="00357665" w:rsidP="000245F6">
      <w:pPr>
        <w:pStyle w:val="ListParagraph"/>
        <w:rPr>
          <w:rFonts w:asciiTheme="minorHAnsi" w:hAnsiTheme="minorHAnsi"/>
          <w:sz w:val="24"/>
          <w:szCs w:val="24"/>
          <w:u w:val="single"/>
        </w:rPr>
      </w:pPr>
      <w:r w:rsidRPr="00040AB6">
        <w:rPr>
          <w:rFonts w:asciiTheme="minorHAnsi" w:hAnsiTheme="minorHAnsi"/>
          <w:sz w:val="24"/>
          <w:szCs w:val="24"/>
          <w:u w:val="single"/>
        </w:rPr>
        <w:t>Quarterly</w:t>
      </w:r>
    </w:p>
    <w:p w14:paraId="3901275F" w14:textId="77777777" w:rsidR="00357665" w:rsidRPr="00040AB6" w:rsidRDefault="00357665" w:rsidP="000245F6">
      <w:pPr>
        <w:pStyle w:val="ListParagraph"/>
        <w:rPr>
          <w:rFonts w:asciiTheme="minorHAnsi" w:hAnsiTheme="minorHAnsi"/>
          <w:sz w:val="24"/>
          <w:szCs w:val="24"/>
        </w:rPr>
      </w:pPr>
      <w:r w:rsidRPr="00040AB6">
        <w:rPr>
          <w:rFonts w:asciiTheme="minorHAnsi" w:hAnsiTheme="minorHAnsi"/>
          <w:sz w:val="24"/>
          <w:szCs w:val="24"/>
        </w:rPr>
        <w:t>The Company will report on its program on a calendar year basis.  Quarterly reports will be provided to the EEAG and filed with the WUTC on the following schedule:</w:t>
      </w:r>
    </w:p>
    <w:p w14:paraId="7C503F06" w14:textId="77777777" w:rsidR="00357665" w:rsidRPr="00040AB6" w:rsidRDefault="00357665" w:rsidP="008A7584">
      <w:pPr>
        <w:pStyle w:val="ListParagraph"/>
        <w:ind w:left="1440"/>
        <w:rPr>
          <w:rFonts w:asciiTheme="minorHAnsi" w:hAnsiTheme="minorHAnsi"/>
          <w:sz w:val="24"/>
          <w:szCs w:val="24"/>
        </w:rPr>
      </w:pPr>
      <w:r w:rsidRPr="00040AB6">
        <w:rPr>
          <w:rFonts w:asciiTheme="minorHAnsi" w:hAnsiTheme="minorHAnsi"/>
          <w:sz w:val="24"/>
          <w:szCs w:val="24"/>
        </w:rPr>
        <w:t>1Q – May 25</w:t>
      </w:r>
    </w:p>
    <w:p w14:paraId="2D8ECF61" w14:textId="77777777" w:rsidR="00357665" w:rsidRPr="00040AB6" w:rsidRDefault="00357665" w:rsidP="008A7584">
      <w:pPr>
        <w:pStyle w:val="ListParagraph"/>
        <w:ind w:left="1440"/>
        <w:rPr>
          <w:rFonts w:asciiTheme="minorHAnsi" w:hAnsiTheme="minorHAnsi"/>
          <w:sz w:val="24"/>
          <w:szCs w:val="24"/>
        </w:rPr>
      </w:pPr>
      <w:r w:rsidRPr="00040AB6">
        <w:rPr>
          <w:rFonts w:asciiTheme="minorHAnsi" w:hAnsiTheme="minorHAnsi"/>
          <w:sz w:val="24"/>
          <w:szCs w:val="24"/>
        </w:rPr>
        <w:t>2Q – August 25</w:t>
      </w:r>
    </w:p>
    <w:p w14:paraId="5AB67C00" w14:textId="77777777" w:rsidR="00A879A1" w:rsidRPr="00040AB6" w:rsidRDefault="00357665" w:rsidP="00A879A1">
      <w:pPr>
        <w:pStyle w:val="ListParagraph"/>
        <w:ind w:left="1440"/>
        <w:rPr>
          <w:rFonts w:asciiTheme="minorHAnsi" w:hAnsiTheme="minorHAnsi"/>
          <w:sz w:val="24"/>
          <w:szCs w:val="24"/>
        </w:rPr>
      </w:pPr>
      <w:r w:rsidRPr="00040AB6">
        <w:rPr>
          <w:rFonts w:asciiTheme="minorHAnsi" w:hAnsiTheme="minorHAnsi"/>
          <w:sz w:val="24"/>
          <w:szCs w:val="24"/>
        </w:rPr>
        <w:t>3Q – November 25</w:t>
      </w:r>
    </w:p>
    <w:p w14:paraId="25BFFBF2" w14:textId="77777777" w:rsidR="00357665" w:rsidRPr="00040AB6" w:rsidRDefault="00357665" w:rsidP="008A7584">
      <w:pPr>
        <w:pStyle w:val="ListParagraph"/>
        <w:ind w:left="1440"/>
        <w:rPr>
          <w:rFonts w:asciiTheme="minorHAnsi" w:hAnsiTheme="minorHAnsi"/>
          <w:sz w:val="24"/>
          <w:szCs w:val="24"/>
        </w:rPr>
      </w:pPr>
    </w:p>
    <w:p w14:paraId="513134A0" w14:textId="77777777" w:rsidR="00357665" w:rsidRPr="00040AB6" w:rsidRDefault="00357665" w:rsidP="000245F6">
      <w:pPr>
        <w:pStyle w:val="ListParagraph"/>
        <w:rPr>
          <w:rFonts w:asciiTheme="minorHAnsi" w:hAnsiTheme="minorHAnsi"/>
          <w:sz w:val="24"/>
          <w:szCs w:val="24"/>
          <w:u w:val="single"/>
        </w:rPr>
      </w:pPr>
      <w:r w:rsidRPr="00040AB6">
        <w:rPr>
          <w:rFonts w:asciiTheme="minorHAnsi" w:hAnsiTheme="minorHAnsi"/>
          <w:sz w:val="24"/>
          <w:szCs w:val="24"/>
          <w:u w:val="single"/>
        </w:rPr>
        <w:t>Annual</w:t>
      </w:r>
    </w:p>
    <w:p w14:paraId="67BCC36D" w14:textId="77777777" w:rsidR="00357665" w:rsidRPr="00040AB6" w:rsidRDefault="00357665" w:rsidP="008A7584">
      <w:pPr>
        <w:pStyle w:val="ListParagraph"/>
        <w:rPr>
          <w:rFonts w:asciiTheme="minorHAnsi" w:hAnsiTheme="minorHAnsi"/>
          <w:sz w:val="24"/>
          <w:szCs w:val="24"/>
        </w:rPr>
      </w:pPr>
      <w:r w:rsidRPr="00040AB6">
        <w:rPr>
          <w:rFonts w:asciiTheme="minorHAnsi" w:hAnsiTheme="minorHAnsi"/>
          <w:sz w:val="24"/>
          <w:szCs w:val="24"/>
        </w:rPr>
        <w:t>An annual report will be due annually for the previous year by April 25</w:t>
      </w:r>
      <w:r w:rsidRPr="00040AB6">
        <w:rPr>
          <w:rFonts w:asciiTheme="minorHAnsi" w:hAnsiTheme="minorHAnsi"/>
          <w:sz w:val="24"/>
          <w:szCs w:val="24"/>
          <w:vertAlign w:val="superscript"/>
        </w:rPr>
        <w:t>th</w:t>
      </w:r>
      <w:r w:rsidRPr="00040AB6">
        <w:rPr>
          <w:rFonts w:asciiTheme="minorHAnsi" w:hAnsiTheme="minorHAnsi"/>
          <w:sz w:val="24"/>
          <w:szCs w:val="24"/>
        </w:rPr>
        <w:t xml:space="preserve">. </w:t>
      </w:r>
    </w:p>
    <w:p w14:paraId="4FA21C9D" w14:textId="77777777" w:rsidR="004D1E3F" w:rsidRPr="00040AB6" w:rsidRDefault="00357665" w:rsidP="00E16413">
      <w:pPr>
        <w:spacing w:after="0" w:line="240" w:lineRule="auto"/>
        <w:ind w:firstLine="720"/>
        <w:rPr>
          <w:rFonts w:asciiTheme="minorHAnsi" w:hAnsiTheme="minorHAnsi"/>
          <w:sz w:val="24"/>
          <w:szCs w:val="24"/>
          <w:u w:val="single"/>
        </w:rPr>
      </w:pPr>
      <w:r w:rsidRPr="00040AB6">
        <w:rPr>
          <w:rFonts w:asciiTheme="minorHAnsi" w:hAnsiTheme="minorHAnsi"/>
          <w:sz w:val="24"/>
          <w:szCs w:val="24"/>
          <w:u w:val="single"/>
        </w:rPr>
        <w:t>EEAG Review</w:t>
      </w:r>
    </w:p>
    <w:p w14:paraId="1930A215" w14:textId="0D59E44D" w:rsidR="00357665" w:rsidRPr="00040AB6" w:rsidRDefault="00357665" w:rsidP="00E16413">
      <w:pPr>
        <w:spacing w:after="0" w:line="240" w:lineRule="auto"/>
        <w:ind w:left="720"/>
        <w:rPr>
          <w:rFonts w:asciiTheme="minorHAnsi" w:hAnsiTheme="minorHAnsi"/>
          <w:sz w:val="24"/>
          <w:szCs w:val="24"/>
        </w:rPr>
      </w:pPr>
      <w:r w:rsidRPr="00040AB6">
        <w:rPr>
          <w:rFonts w:asciiTheme="minorHAnsi" w:hAnsiTheme="minorHAnsi"/>
          <w:sz w:val="24"/>
          <w:szCs w:val="24"/>
        </w:rPr>
        <w:t xml:space="preserve">The EEAG will meet either in person or by teleconference to review </w:t>
      </w:r>
      <w:r w:rsidR="00CB32EA" w:rsidRPr="00040AB6">
        <w:rPr>
          <w:rFonts w:asciiTheme="minorHAnsi" w:hAnsiTheme="minorHAnsi"/>
          <w:sz w:val="24"/>
          <w:szCs w:val="24"/>
        </w:rPr>
        <w:t>the</w:t>
      </w:r>
      <w:r w:rsidRPr="00040AB6">
        <w:rPr>
          <w:rFonts w:asciiTheme="minorHAnsi" w:hAnsiTheme="minorHAnsi"/>
          <w:sz w:val="24"/>
          <w:szCs w:val="24"/>
        </w:rPr>
        <w:t xml:space="preserve"> annual report</w:t>
      </w:r>
      <w:r w:rsidR="00CB32EA" w:rsidRPr="00040AB6">
        <w:rPr>
          <w:rFonts w:asciiTheme="minorHAnsi" w:hAnsiTheme="minorHAnsi"/>
          <w:sz w:val="24"/>
          <w:szCs w:val="24"/>
        </w:rPr>
        <w:t xml:space="preserve"> and as requested</w:t>
      </w:r>
      <w:r w:rsidR="00C21507">
        <w:rPr>
          <w:rFonts w:asciiTheme="minorHAnsi" w:hAnsiTheme="minorHAnsi"/>
          <w:sz w:val="24"/>
          <w:szCs w:val="24"/>
        </w:rPr>
        <w:t xml:space="preserve"> if additional meetings are needed</w:t>
      </w:r>
      <w:r w:rsidRPr="00040AB6">
        <w:rPr>
          <w:rFonts w:asciiTheme="minorHAnsi" w:hAnsiTheme="minorHAnsi"/>
          <w:sz w:val="24"/>
          <w:szCs w:val="24"/>
        </w:rPr>
        <w:t>.</w:t>
      </w:r>
    </w:p>
    <w:p w14:paraId="79C6BA72" w14:textId="77777777" w:rsidR="00357665" w:rsidRPr="00040AB6" w:rsidRDefault="00357665" w:rsidP="008A7584">
      <w:pPr>
        <w:pStyle w:val="ListParagraph"/>
        <w:spacing w:after="0" w:line="240" w:lineRule="auto"/>
        <w:rPr>
          <w:rFonts w:asciiTheme="minorHAnsi" w:hAnsiTheme="minorHAnsi"/>
          <w:sz w:val="24"/>
          <w:szCs w:val="24"/>
        </w:rPr>
      </w:pPr>
    </w:p>
    <w:p w14:paraId="57EB97CE" w14:textId="77777777" w:rsidR="00357665" w:rsidRPr="00040AB6" w:rsidRDefault="00357665" w:rsidP="008A7584">
      <w:pPr>
        <w:pStyle w:val="ListParagraph"/>
        <w:spacing w:after="0" w:line="240" w:lineRule="auto"/>
        <w:rPr>
          <w:rFonts w:asciiTheme="minorHAnsi" w:hAnsiTheme="minorHAnsi"/>
          <w:sz w:val="24"/>
          <w:szCs w:val="24"/>
          <w:u w:val="single"/>
        </w:rPr>
      </w:pPr>
      <w:r w:rsidRPr="00040AB6">
        <w:rPr>
          <w:rFonts w:asciiTheme="minorHAnsi" w:hAnsiTheme="minorHAnsi"/>
          <w:sz w:val="24"/>
          <w:szCs w:val="24"/>
          <w:u w:val="single"/>
        </w:rPr>
        <w:t>Content of Reports</w:t>
      </w:r>
    </w:p>
    <w:p w14:paraId="042BA55D" w14:textId="77777777" w:rsidR="00357665" w:rsidRPr="00040AB6" w:rsidRDefault="00357665" w:rsidP="008A7584">
      <w:pPr>
        <w:pStyle w:val="ListParagraph"/>
        <w:spacing w:after="0" w:line="240" w:lineRule="auto"/>
        <w:rPr>
          <w:rFonts w:asciiTheme="minorHAnsi" w:hAnsiTheme="minorHAnsi"/>
          <w:sz w:val="24"/>
          <w:szCs w:val="24"/>
        </w:rPr>
      </w:pPr>
      <w:r w:rsidRPr="00040AB6">
        <w:rPr>
          <w:rFonts w:asciiTheme="minorHAnsi" w:hAnsiTheme="minorHAnsi"/>
          <w:sz w:val="24"/>
          <w:szCs w:val="24"/>
        </w:rPr>
        <w:t>The quarterly reports will include</w:t>
      </w:r>
    </w:p>
    <w:p w14:paraId="19738700" w14:textId="77777777" w:rsidR="00357665" w:rsidRPr="00040AB6" w:rsidRDefault="00357665"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Quarterly progress toward annual program metrics</w:t>
      </w:r>
    </w:p>
    <w:p w14:paraId="000ED6E8" w14:textId="77777777" w:rsidR="00357665" w:rsidRPr="00040AB6" w:rsidRDefault="00357665"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A breakdown of costs by program and customer sector</w:t>
      </w:r>
    </w:p>
    <w:p w14:paraId="545735D5" w14:textId="77777777" w:rsidR="00357665" w:rsidRPr="00040AB6" w:rsidRDefault="00357665"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A reporting on percentage of program costs spent on customer incentives</w:t>
      </w:r>
    </w:p>
    <w:p w14:paraId="30B90506" w14:textId="77777777" w:rsidR="00357665" w:rsidRPr="00040AB6" w:rsidRDefault="00357665"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The funding received to date</w:t>
      </w:r>
    </w:p>
    <w:p w14:paraId="450273B9" w14:textId="77777777" w:rsidR="005B4B2B" w:rsidRPr="00040AB6" w:rsidRDefault="005B4B2B"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Energy payback estimator site traffic statistics</w:t>
      </w:r>
      <w:r w:rsidRPr="00040AB6">
        <w:rPr>
          <w:rFonts w:asciiTheme="minorHAnsi" w:hAnsiTheme="minorHAnsi" w:cstheme="minorHAnsi"/>
          <w:sz w:val="24"/>
          <w:szCs w:val="24"/>
        </w:rPr>
        <w:t xml:space="preserve"> both in aggregate and by geography, detailing the volume of visits to the URL</w:t>
      </w:r>
    </w:p>
    <w:p w14:paraId="0A1E510F" w14:textId="34DA219F" w:rsidR="00C54531" w:rsidRPr="00040AB6" w:rsidRDefault="009C3D0A" w:rsidP="000A65B2">
      <w:pPr>
        <w:pStyle w:val="ListParagraph"/>
        <w:numPr>
          <w:ilvl w:val="3"/>
          <w:numId w:val="29"/>
        </w:numPr>
        <w:spacing w:after="0" w:line="240" w:lineRule="auto"/>
        <w:ind w:left="1980" w:hanging="540"/>
        <w:rPr>
          <w:rFonts w:asciiTheme="minorHAnsi" w:hAnsiTheme="minorHAnsi"/>
          <w:sz w:val="24"/>
          <w:szCs w:val="24"/>
        </w:rPr>
      </w:pPr>
      <w:r>
        <w:rPr>
          <w:rFonts w:asciiTheme="minorHAnsi" w:hAnsiTheme="minorHAnsi"/>
          <w:sz w:val="24"/>
          <w:szCs w:val="24"/>
        </w:rPr>
        <w:t>A status report on Northwest Energy Efficiency Alliance (</w:t>
      </w:r>
      <w:r w:rsidR="00C54531" w:rsidRPr="00040AB6">
        <w:rPr>
          <w:rFonts w:asciiTheme="minorHAnsi" w:hAnsiTheme="minorHAnsi"/>
          <w:sz w:val="24"/>
          <w:szCs w:val="24"/>
        </w:rPr>
        <w:t>NEEA</w:t>
      </w:r>
      <w:r>
        <w:rPr>
          <w:rFonts w:asciiTheme="minorHAnsi" w:hAnsiTheme="minorHAnsi"/>
          <w:sz w:val="24"/>
          <w:szCs w:val="24"/>
        </w:rPr>
        <w:t>)</w:t>
      </w:r>
      <w:r w:rsidR="00C54531" w:rsidRPr="00040AB6">
        <w:rPr>
          <w:rFonts w:asciiTheme="minorHAnsi" w:hAnsiTheme="minorHAnsi"/>
          <w:sz w:val="24"/>
          <w:szCs w:val="24"/>
        </w:rPr>
        <w:t>, market transformation efforts, spending, and activity</w:t>
      </w:r>
    </w:p>
    <w:p w14:paraId="48185F8D" w14:textId="77777777" w:rsidR="00C54531" w:rsidRPr="00040AB6" w:rsidRDefault="00C54531"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The 2Q report will include a report on the Company’s mid-year transactional review of the Energy Trust’s expenses</w:t>
      </w:r>
    </w:p>
    <w:p w14:paraId="6A16796A" w14:textId="77777777" w:rsidR="00357665" w:rsidRPr="00040AB6" w:rsidRDefault="00357665" w:rsidP="000A65B2">
      <w:pPr>
        <w:pStyle w:val="ListParagraph"/>
        <w:numPr>
          <w:ilvl w:val="3"/>
          <w:numId w:val="29"/>
        </w:numPr>
        <w:spacing w:after="0" w:line="240" w:lineRule="auto"/>
        <w:ind w:left="1980" w:hanging="540"/>
        <w:rPr>
          <w:rFonts w:asciiTheme="minorHAnsi" w:hAnsiTheme="minorHAnsi"/>
          <w:sz w:val="24"/>
          <w:szCs w:val="24"/>
        </w:rPr>
      </w:pPr>
      <w:r w:rsidRPr="00040AB6">
        <w:rPr>
          <w:rFonts w:asciiTheme="minorHAnsi" w:hAnsiTheme="minorHAnsi"/>
          <w:sz w:val="24"/>
          <w:szCs w:val="24"/>
        </w:rPr>
        <w:t xml:space="preserve">The 2Q report will include a 6 month check in on WA-LIEE </w:t>
      </w:r>
    </w:p>
    <w:p w14:paraId="25D96D0E" w14:textId="77777777" w:rsidR="000A65B2" w:rsidRDefault="00357665" w:rsidP="00276FB5">
      <w:pPr>
        <w:pStyle w:val="ListParagraph"/>
        <w:numPr>
          <w:ilvl w:val="0"/>
          <w:numId w:val="34"/>
        </w:numPr>
        <w:spacing w:after="0" w:line="240" w:lineRule="auto"/>
        <w:ind w:left="2340"/>
        <w:rPr>
          <w:rFonts w:asciiTheme="minorHAnsi" w:hAnsiTheme="minorHAnsi"/>
          <w:sz w:val="24"/>
          <w:szCs w:val="24"/>
        </w:rPr>
      </w:pPr>
      <w:r w:rsidRPr="000A65B2">
        <w:rPr>
          <w:rFonts w:asciiTheme="minorHAnsi" w:hAnsiTheme="minorHAnsi"/>
          <w:sz w:val="24"/>
          <w:szCs w:val="24"/>
        </w:rPr>
        <w:t xml:space="preserve">program year costs, </w:t>
      </w:r>
    </w:p>
    <w:p w14:paraId="20277C86" w14:textId="77777777" w:rsidR="000A65B2" w:rsidRDefault="000A65B2" w:rsidP="00276FB5">
      <w:pPr>
        <w:pStyle w:val="ListParagraph"/>
        <w:numPr>
          <w:ilvl w:val="0"/>
          <w:numId w:val="34"/>
        </w:numPr>
        <w:spacing w:after="0" w:line="240" w:lineRule="auto"/>
        <w:ind w:left="2340"/>
        <w:rPr>
          <w:rFonts w:asciiTheme="minorHAnsi" w:hAnsiTheme="minorHAnsi"/>
          <w:sz w:val="24"/>
          <w:szCs w:val="24"/>
        </w:rPr>
      </w:pPr>
      <w:r>
        <w:rPr>
          <w:rFonts w:asciiTheme="minorHAnsi" w:hAnsiTheme="minorHAnsi"/>
          <w:sz w:val="24"/>
          <w:szCs w:val="24"/>
        </w:rPr>
        <w:t>homes served,</w:t>
      </w:r>
    </w:p>
    <w:p w14:paraId="04B20CFE" w14:textId="77777777" w:rsidR="00276FB5" w:rsidRDefault="00357665" w:rsidP="00276FB5">
      <w:pPr>
        <w:pStyle w:val="ListParagraph"/>
        <w:numPr>
          <w:ilvl w:val="0"/>
          <w:numId w:val="34"/>
        </w:numPr>
        <w:spacing w:after="0" w:line="240" w:lineRule="auto"/>
        <w:ind w:left="2340"/>
        <w:rPr>
          <w:rFonts w:asciiTheme="minorHAnsi" w:hAnsiTheme="minorHAnsi"/>
          <w:sz w:val="24"/>
          <w:szCs w:val="24"/>
        </w:rPr>
      </w:pPr>
      <w:r w:rsidRPr="000A65B2">
        <w:rPr>
          <w:rFonts w:asciiTheme="minorHAnsi" w:hAnsiTheme="minorHAnsi"/>
          <w:sz w:val="24"/>
          <w:szCs w:val="24"/>
        </w:rPr>
        <w:t xml:space="preserve">estimated total therms saved per home, and </w:t>
      </w:r>
    </w:p>
    <w:p w14:paraId="1C5658DF" w14:textId="77777777" w:rsidR="00276FB5" w:rsidRDefault="00D558E9" w:rsidP="00276FB5">
      <w:pPr>
        <w:pStyle w:val="ListParagraph"/>
        <w:numPr>
          <w:ilvl w:val="0"/>
          <w:numId w:val="34"/>
        </w:numPr>
        <w:spacing w:after="0" w:line="240" w:lineRule="auto"/>
        <w:ind w:left="2340"/>
        <w:rPr>
          <w:rFonts w:asciiTheme="minorHAnsi" w:hAnsiTheme="minorHAnsi"/>
          <w:sz w:val="24"/>
          <w:szCs w:val="24"/>
        </w:rPr>
      </w:pPr>
      <w:r w:rsidRPr="00276FB5">
        <w:rPr>
          <w:rFonts w:asciiTheme="minorHAnsi" w:hAnsiTheme="minorHAnsi"/>
          <w:sz w:val="24"/>
          <w:szCs w:val="24"/>
        </w:rPr>
        <w:t>total therm savings to-date</w:t>
      </w:r>
      <w:r w:rsidR="008B1D58" w:rsidRPr="00276FB5">
        <w:rPr>
          <w:rFonts w:asciiTheme="minorHAnsi" w:hAnsiTheme="minorHAnsi"/>
          <w:sz w:val="24"/>
          <w:szCs w:val="24"/>
        </w:rPr>
        <w:t xml:space="preserve"> </w:t>
      </w:r>
    </w:p>
    <w:p w14:paraId="3D249F82" w14:textId="62192E2F" w:rsidR="00062D10" w:rsidRPr="00276FB5" w:rsidRDefault="00D558E9" w:rsidP="00276FB5">
      <w:pPr>
        <w:pStyle w:val="ListParagraph"/>
        <w:numPr>
          <w:ilvl w:val="3"/>
          <w:numId w:val="29"/>
        </w:numPr>
        <w:spacing w:after="0" w:line="240" w:lineRule="auto"/>
        <w:ind w:left="1980" w:hanging="540"/>
        <w:rPr>
          <w:rFonts w:asciiTheme="minorHAnsi" w:hAnsiTheme="minorHAnsi"/>
          <w:sz w:val="24"/>
          <w:szCs w:val="24"/>
        </w:rPr>
      </w:pPr>
      <w:r w:rsidRPr="00276FB5">
        <w:rPr>
          <w:rFonts w:asciiTheme="minorHAnsi" w:hAnsiTheme="minorHAnsi"/>
          <w:sz w:val="24"/>
          <w:szCs w:val="24"/>
        </w:rPr>
        <w:t>The quarterly report following the annual release of the impact and process report will include a link to that report and a short summary of the findings</w:t>
      </w:r>
    </w:p>
    <w:p w14:paraId="41081E82" w14:textId="77777777" w:rsidR="00357665" w:rsidRPr="00040AB6" w:rsidRDefault="00357665" w:rsidP="008A7584">
      <w:pPr>
        <w:pStyle w:val="ListParagraph"/>
        <w:spacing w:after="0" w:line="240" w:lineRule="auto"/>
        <w:rPr>
          <w:rFonts w:asciiTheme="minorHAnsi" w:hAnsiTheme="minorHAnsi"/>
          <w:sz w:val="24"/>
          <w:szCs w:val="24"/>
        </w:rPr>
      </w:pPr>
    </w:p>
    <w:p w14:paraId="6F874AB9" w14:textId="77777777" w:rsidR="00357665" w:rsidRPr="00040AB6" w:rsidRDefault="00357665" w:rsidP="008A7584">
      <w:pPr>
        <w:pStyle w:val="ListParagraph"/>
        <w:spacing w:after="0" w:line="240" w:lineRule="auto"/>
        <w:rPr>
          <w:rFonts w:asciiTheme="minorHAnsi" w:hAnsiTheme="minorHAnsi"/>
          <w:sz w:val="24"/>
          <w:szCs w:val="24"/>
        </w:rPr>
      </w:pPr>
      <w:r w:rsidRPr="00040AB6">
        <w:rPr>
          <w:rFonts w:asciiTheme="minorHAnsi" w:hAnsiTheme="minorHAnsi"/>
          <w:sz w:val="24"/>
          <w:szCs w:val="24"/>
        </w:rPr>
        <w:t>The annual report will include the following:</w:t>
      </w:r>
    </w:p>
    <w:p w14:paraId="344A91D2" w14:textId="77777777" w:rsidR="00357665" w:rsidRPr="00040AB6" w:rsidRDefault="00357665"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lastRenderedPageBreak/>
        <w:t>Budget compared to actual results by program</w:t>
      </w:r>
    </w:p>
    <w:p w14:paraId="2BC8ED72" w14:textId="6D95A42C" w:rsidR="00AC3991" w:rsidRPr="00040AB6" w:rsidRDefault="00357665" w:rsidP="000A65B2">
      <w:pPr>
        <w:pStyle w:val="ListParagraph"/>
        <w:numPr>
          <w:ilvl w:val="0"/>
          <w:numId w:val="32"/>
        </w:numPr>
        <w:tabs>
          <w:tab w:val="left" w:pos="1980"/>
          <w:tab w:val="left" w:pos="216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Cost-effectiveness calculations on a program by program and total portfolio basis</w:t>
      </w:r>
      <w:r w:rsidR="00AC3991" w:rsidRPr="00040AB6">
        <w:rPr>
          <w:rFonts w:asciiTheme="minorHAnsi" w:hAnsiTheme="minorHAnsi"/>
          <w:sz w:val="24"/>
          <w:szCs w:val="24"/>
        </w:rPr>
        <w:t xml:space="preserve">. Total </w:t>
      </w:r>
      <w:r w:rsidR="00A05B15">
        <w:rPr>
          <w:rFonts w:asciiTheme="minorHAnsi" w:hAnsiTheme="minorHAnsi"/>
          <w:sz w:val="24"/>
          <w:szCs w:val="24"/>
        </w:rPr>
        <w:t>p</w:t>
      </w:r>
      <w:r w:rsidR="00A05B15" w:rsidRPr="00040AB6">
        <w:rPr>
          <w:rFonts w:asciiTheme="minorHAnsi" w:hAnsiTheme="minorHAnsi"/>
          <w:sz w:val="24"/>
          <w:szCs w:val="24"/>
        </w:rPr>
        <w:t xml:space="preserve">ortfolio </w:t>
      </w:r>
      <w:r w:rsidR="00AC3991" w:rsidRPr="00040AB6">
        <w:rPr>
          <w:rFonts w:asciiTheme="minorHAnsi" w:hAnsiTheme="minorHAnsi"/>
          <w:sz w:val="24"/>
          <w:szCs w:val="24"/>
        </w:rPr>
        <w:t xml:space="preserve">means all residential and commercial programs. </w:t>
      </w:r>
    </w:p>
    <w:p w14:paraId="564A052E" w14:textId="77777777" w:rsidR="00357665" w:rsidRPr="00040AB6" w:rsidRDefault="00AC3991"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Cost-effectiveness calculations of the total portfolio plus NEEA expenses</w:t>
      </w:r>
    </w:p>
    <w:p w14:paraId="70B59C96" w14:textId="77777777" w:rsidR="00357665" w:rsidRPr="00040AB6" w:rsidRDefault="00357665"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 xml:space="preserve">Measure level participation (units installed and savings) under each program </w:t>
      </w:r>
    </w:p>
    <w:p w14:paraId="02450F65" w14:textId="77777777" w:rsidR="00357665" w:rsidRPr="00040AB6" w:rsidRDefault="00357665"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 xml:space="preserve">Reporting on achievement of metrics </w:t>
      </w:r>
    </w:p>
    <w:p w14:paraId="2E6C548F" w14:textId="77777777" w:rsidR="005B4B2B" w:rsidRPr="00040AB6" w:rsidRDefault="005B4B2B"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Energy payback estimator site traffic statistics</w:t>
      </w:r>
      <w:r w:rsidRPr="00040AB6">
        <w:rPr>
          <w:rFonts w:asciiTheme="minorHAnsi" w:hAnsiTheme="minorHAnsi" w:cstheme="minorHAnsi"/>
          <w:sz w:val="24"/>
          <w:szCs w:val="24"/>
        </w:rPr>
        <w:t xml:space="preserve"> both in aggregate and by geography, detailing the volume of visits to the URL</w:t>
      </w:r>
    </w:p>
    <w:p w14:paraId="0CF4B4A4" w14:textId="77777777" w:rsidR="00C54531" w:rsidRPr="00040AB6" w:rsidRDefault="00C54531" w:rsidP="000A65B2">
      <w:pPr>
        <w:pStyle w:val="ListParagraph"/>
        <w:numPr>
          <w:ilvl w:val="3"/>
          <w:numId w:val="32"/>
        </w:numPr>
        <w:tabs>
          <w:tab w:val="left" w:pos="1980"/>
        </w:tabs>
        <w:spacing w:after="0" w:line="240" w:lineRule="auto"/>
        <w:ind w:left="1980" w:hanging="540"/>
        <w:rPr>
          <w:rFonts w:asciiTheme="minorHAnsi" w:hAnsiTheme="minorHAnsi"/>
          <w:sz w:val="24"/>
          <w:szCs w:val="24"/>
        </w:rPr>
      </w:pPr>
      <w:r w:rsidRPr="00040AB6">
        <w:rPr>
          <w:rFonts w:asciiTheme="minorHAnsi" w:hAnsiTheme="minorHAnsi"/>
          <w:sz w:val="24"/>
          <w:szCs w:val="24"/>
        </w:rPr>
        <w:t>A status report on NEEA, market transformation efforts, spending, and activity</w:t>
      </w:r>
    </w:p>
    <w:p w14:paraId="22C2B505" w14:textId="77777777" w:rsidR="00C54531" w:rsidRPr="00040AB6" w:rsidRDefault="00C54531"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An overview of the Company’s year-end review of Energy Trust transactions.</w:t>
      </w:r>
    </w:p>
    <w:p w14:paraId="22A7588F" w14:textId="77777777" w:rsidR="00357665" w:rsidRPr="00040AB6" w:rsidRDefault="00357665"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Evaluation results (if performed)</w:t>
      </w:r>
    </w:p>
    <w:p w14:paraId="08FD3454" w14:textId="77777777" w:rsidR="00357665" w:rsidRPr="00040AB6" w:rsidRDefault="00357665" w:rsidP="000A65B2">
      <w:pPr>
        <w:pStyle w:val="ListParagraph"/>
        <w:numPr>
          <w:ilvl w:val="0"/>
          <w:numId w:val="32"/>
        </w:numPr>
        <w:tabs>
          <w:tab w:val="left" w:pos="1980"/>
        </w:tabs>
        <w:spacing w:after="0" w:line="240" w:lineRule="auto"/>
        <w:ind w:left="1980" w:hanging="540"/>
        <w:rPr>
          <w:rFonts w:asciiTheme="minorHAnsi" w:hAnsiTheme="minorHAnsi"/>
          <w:sz w:val="24"/>
          <w:szCs w:val="24"/>
          <w:u w:val="single"/>
        </w:rPr>
      </w:pPr>
      <w:r w:rsidRPr="00040AB6">
        <w:rPr>
          <w:rFonts w:asciiTheme="minorHAnsi" w:hAnsiTheme="minorHAnsi"/>
          <w:sz w:val="24"/>
          <w:szCs w:val="24"/>
        </w:rPr>
        <w:t>WA-LIEE program results including:</w:t>
      </w:r>
    </w:p>
    <w:p w14:paraId="74CD2DD7" w14:textId="484256D5" w:rsidR="00357665" w:rsidRPr="00040AB6" w:rsidRDefault="00637F8E" w:rsidP="000A65B2">
      <w:pPr>
        <w:pStyle w:val="ListParagraph"/>
        <w:numPr>
          <w:ilvl w:val="2"/>
          <w:numId w:val="5"/>
        </w:numPr>
        <w:spacing w:after="0" w:line="240" w:lineRule="auto"/>
        <w:ind w:leftChars="818" w:left="1800" w:firstLineChars="75" w:firstLine="180"/>
        <w:rPr>
          <w:rFonts w:asciiTheme="minorHAnsi" w:hAnsiTheme="minorHAnsi"/>
          <w:sz w:val="24"/>
          <w:szCs w:val="24"/>
          <w:u w:val="single"/>
        </w:rPr>
      </w:pPr>
      <w:r>
        <w:rPr>
          <w:rFonts w:asciiTheme="minorHAnsi" w:hAnsiTheme="minorHAnsi"/>
          <w:sz w:val="24"/>
          <w:szCs w:val="24"/>
        </w:rPr>
        <w:t xml:space="preserve"> </w:t>
      </w:r>
      <w:r w:rsidR="00357665" w:rsidRPr="00040AB6">
        <w:rPr>
          <w:rFonts w:asciiTheme="minorHAnsi" w:hAnsiTheme="minorHAnsi"/>
          <w:sz w:val="24"/>
          <w:szCs w:val="24"/>
        </w:rPr>
        <w:t>total program year costs</w:t>
      </w:r>
    </w:p>
    <w:p w14:paraId="7E647B33" w14:textId="22C539D4" w:rsidR="00357665" w:rsidRPr="00040AB6" w:rsidRDefault="00637F8E" w:rsidP="000A65B2">
      <w:pPr>
        <w:pStyle w:val="ListParagraph"/>
        <w:numPr>
          <w:ilvl w:val="2"/>
          <w:numId w:val="5"/>
        </w:numPr>
        <w:spacing w:after="0" w:line="240" w:lineRule="auto"/>
        <w:ind w:leftChars="818" w:left="1800" w:firstLineChars="75" w:firstLine="180"/>
        <w:rPr>
          <w:rFonts w:asciiTheme="minorHAnsi" w:hAnsiTheme="minorHAnsi"/>
          <w:sz w:val="24"/>
          <w:szCs w:val="24"/>
          <w:u w:val="single"/>
        </w:rPr>
      </w:pPr>
      <w:r>
        <w:rPr>
          <w:rFonts w:asciiTheme="minorHAnsi" w:hAnsiTheme="minorHAnsi"/>
          <w:sz w:val="24"/>
          <w:szCs w:val="24"/>
        </w:rPr>
        <w:t xml:space="preserve"> </w:t>
      </w:r>
      <w:r w:rsidR="00357665" w:rsidRPr="00040AB6">
        <w:rPr>
          <w:rFonts w:asciiTheme="minorHAnsi" w:hAnsiTheme="minorHAnsi"/>
          <w:sz w:val="24"/>
          <w:szCs w:val="24"/>
        </w:rPr>
        <w:t>homes served</w:t>
      </w:r>
    </w:p>
    <w:p w14:paraId="6FD75B85" w14:textId="27E4FBAF" w:rsidR="00357665" w:rsidRPr="00040AB6" w:rsidRDefault="00637F8E" w:rsidP="000A65B2">
      <w:pPr>
        <w:pStyle w:val="ListParagraph"/>
        <w:numPr>
          <w:ilvl w:val="2"/>
          <w:numId w:val="5"/>
        </w:numPr>
        <w:spacing w:after="0" w:line="240" w:lineRule="auto"/>
        <w:ind w:leftChars="818" w:left="1800" w:firstLineChars="75" w:firstLine="180"/>
        <w:rPr>
          <w:rFonts w:asciiTheme="minorHAnsi" w:hAnsiTheme="minorHAnsi"/>
          <w:sz w:val="24"/>
          <w:szCs w:val="24"/>
          <w:u w:val="single"/>
        </w:rPr>
      </w:pPr>
      <w:r>
        <w:rPr>
          <w:rFonts w:asciiTheme="minorHAnsi" w:hAnsiTheme="minorHAnsi"/>
          <w:sz w:val="24"/>
          <w:szCs w:val="24"/>
        </w:rPr>
        <w:t xml:space="preserve"> </w:t>
      </w:r>
      <w:r w:rsidR="00357665" w:rsidRPr="00040AB6">
        <w:rPr>
          <w:rFonts w:asciiTheme="minorHAnsi" w:hAnsiTheme="minorHAnsi"/>
          <w:sz w:val="24"/>
          <w:szCs w:val="24"/>
        </w:rPr>
        <w:t xml:space="preserve">estimated total therm savings, and </w:t>
      </w:r>
    </w:p>
    <w:p w14:paraId="33DEF13B" w14:textId="46948F3E" w:rsidR="00357665" w:rsidRPr="00040AB6" w:rsidRDefault="00637F8E" w:rsidP="000A65B2">
      <w:pPr>
        <w:pStyle w:val="ListParagraph"/>
        <w:numPr>
          <w:ilvl w:val="2"/>
          <w:numId w:val="5"/>
        </w:numPr>
        <w:ind w:leftChars="818" w:left="1800" w:firstLineChars="75" w:firstLine="180"/>
        <w:rPr>
          <w:rFonts w:asciiTheme="minorHAnsi" w:hAnsiTheme="minorHAnsi"/>
          <w:sz w:val="24"/>
          <w:szCs w:val="24"/>
          <w:u w:val="single"/>
        </w:rPr>
      </w:pPr>
      <w:r>
        <w:rPr>
          <w:rFonts w:asciiTheme="minorHAnsi" w:hAnsiTheme="minorHAnsi"/>
          <w:sz w:val="24"/>
          <w:szCs w:val="24"/>
        </w:rPr>
        <w:t xml:space="preserve"> </w:t>
      </w:r>
      <w:r w:rsidR="00357665" w:rsidRPr="00040AB6">
        <w:rPr>
          <w:rFonts w:asciiTheme="minorHAnsi" w:hAnsiTheme="minorHAnsi"/>
          <w:sz w:val="24"/>
          <w:szCs w:val="24"/>
        </w:rPr>
        <w:t xml:space="preserve">average therms saved per home </w:t>
      </w:r>
    </w:p>
    <w:p w14:paraId="0AD93E47" w14:textId="77777777" w:rsidR="00357665" w:rsidRPr="00040AB6" w:rsidRDefault="00357665" w:rsidP="0020795C">
      <w:pPr>
        <w:pStyle w:val="ListParagraph"/>
        <w:ind w:left="1800"/>
        <w:rPr>
          <w:rFonts w:asciiTheme="minorHAnsi" w:hAnsiTheme="minorHAnsi"/>
          <w:sz w:val="24"/>
          <w:szCs w:val="24"/>
          <w:u w:val="single"/>
        </w:rPr>
      </w:pPr>
    </w:p>
    <w:p w14:paraId="4B36D51A" w14:textId="383A8DD7" w:rsidR="00357665" w:rsidRPr="00122F13" w:rsidRDefault="00E92871" w:rsidP="00122F13">
      <w:pPr>
        <w:pStyle w:val="ListParagraph"/>
        <w:numPr>
          <w:ilvl w:val="0"/>
          <w:numId w:val="37"/>
        </w:numPr>
        <w:spacing w:after="0" w:line="240" w:lineRule="auto"/>
        <w:ind w:left="720"/>
        <w:rPr>
          <w:rFonts w:asciiTheme="minorHAnsi" w:hAnsiTheme="minorHAnsi"/>
          <w:sz w:val="32"/>
          <w:szCs w:val="32"/>
        </w:rPr>
      </w:pPr>
      <w:r w:rsidRPr="00122F13">
        <w:rPr>
          <w:rFonts w:asciiTheme="minorHAnsi" w:hAnsiTheme="minorHAnsi"/>
          <w:sz w:val="32"/>
          <w:szCs w:val="32"/>
        </w:rPr>
        <w:t>Annual Program Budget</w:t>
      </w:r>
    </w:p>
    <w:p w14:paraId="7DA4C594" w14:textId="77777777" w:rsidR="000B26EB" w:rsidRDefault="000B26EB" w:rsidP="00BF2975">
      <w:pPr>
        <w:spacing w:after="0" w:line="240" w:lineRule="auto"/>
        <w:ind w:left="720"/>
        <w:rPr>
          <w:rFonts w:asciiTheme="minorHAnsi" w:hAnsiTheme="minorHAnsi"/>
          <w:sz w:val="24"/>
          <w:szCs w:val="24"/>
          <w:u w:val="single"/>
        </w:rPr>
      </w:pPr>
    </w:p>
    <w:p w14:paraId="119A1FD7" w14:textId="77777777" w:rsidR="00676821" w:rsidRPr="00040AB6" w:rsidRDefault="00676821" w:rsidP="00BF2975">
      <w:pPr>
        <w:spacing w:after="0" w:line="240" w:lineRule="auto"/>
        <w:ind w:left="720"/>
        <w:rPr>
          <w:rFonts w:asciiTheme="minorHAnsi" w:hAnsiTheme="minorHAnsi"/>
          <w:sz w:val="24"/>
          <w:szCs w:val="24"/>
          <w:u w:val="single"/>
        </w:rPr>
      </w:pPr>
      <w:r w:rsidRPr="00040AB6">
        <w:rPr>
          <w:rFonts w:asciiTheme="minorHAnsi" w:hAnsiTheme="minorHAnsi"/>
          <w:sz w:val="24"/>
          <w:szCs w:val="24"/>
          <w:u w:val="single"/>
        </w:rPr>
        <w:t>Budgets</w:t>
      </w:r>
    </w:p>
    <w:p w14:paraId="60C422F7" w14:textId="77777777" w:rsidR="00357665" w:rsidRPr="00040AB6" w:rsidRDefault="00357665" w:rsidP="00BF2975">
      <w:pPr>
        <w:spacing w:after="0" w:line="240" w:lineRule="auto"/>
        <w:ind w:left="720"/>
        <w:rPr>
          <w:rFonts w:asciiTheme="minorHAnsi" w:hAnsiTheme="minorHAnsi"/>
          <w:sz w:val="24"/>
          <w:szCs w:val="24"/>
        </w:rPr>
      </w:pPr>
      <w:r w:rsidRPr="00040AB6">
        <w:rPr>
          <w:rFonts w:asciiTheme="minorHAnsi" w:hAnsiTheme="minorHAnsi"/>
          <w:sz w:val="24"/>
          <w:szCs w:val="24"/>
        </w:rPr>
        <w:t xml:space="preserve">Forecasted program costs </w:t>
      </w:r>
      <w:r w:rsidR="004D1E3F" w:rsidRPr="00040AB6">
        <w:rPr>
          <w:rFonts w:asciiTheme="minorHAnsi" w:hAnsiTheme="minorHAnsi"/>
          <w:sz w:val="24"/>
          <w:szCs w:val="24"/>
        </w:rPr>
        <w:t xml:space="preserve">for the next calendar year </w:t>
      </w:r>
      <w:r w:rsidRPr="00040AB6">
        <w:rPr>
          <w:rFonts w:asciiTheme="minorHAnsi" w:hAnsiTheme="minorHAnsi"/>
          <w:sz w:val="24"/>
          <w:szCs w:val="24"/>
        </w:rPr>
        <w:t xml:space="preserve">will be reviewed </w:t>
      </w:r>
      <w:r w:rsidR="004D1E3F" w:rsidRPr="00040AB6">
        <w:rPr>
          <w:rFonts w:asciiTheme="minorHAnsi" w:hAnsiTheme="minorHAnsi"/>
          <w:sz w:val="24"/>
          <w:szCs w:val="24"/>
        </w:rPr>
        <w:t>annually</w:t>
      </w:r>
      <w:r w:rsidRPr="00040AB6">
        <w:rPr>
          <w:rFonts w:asciiTheme="minorHAnsi" w:hAnsiTheme="minorHAnsi"/>
          <w:sz w:val="24"/>
          <w:szCs w:val="24"/>
        </w:rPr>
        <w:t xml:space="preserve"> in November when metrics are </w:t>
      </w:r>
      <w:r w:rsidR="004D1E3F" w:rsidRPr="00040AB6">
        <w:rPr>
          <w:rFonts w:asciiTheme="minorHAnsi" w:hAnsiTheme="minorHAnsi"/>
          <w:sz w:val="24"/>
          <w:szCs w:val="24"/>
        </w:rPr>
        <w:t xml:space="preserve">also </w:t>
      </w:r>
      <w:r w:rsidRPr="00040AB6">
        <w:rPr>
          <w:rFonts w:asciiTheme="minorHAnsi" w:hAnsiTheme="minorHAnsi"/>
          <w:sz w:val="24"/>
          <w:szCs w:val="24"/>
        </w:rPr>
        <w:t xml:space="preserve">proposed for the following program year.  </w:t>
      </w:r>
    </w:p>
    <w:p w14:paraId="154651D3" w14:textId="77777777" w:rsidR="000B26EB" w:rsidRDefault="000B26EB" w:rsidP="000B26EB">
      <w:pPr>
        <w:spacing w:after="0" w:line="240" w:lineRule="auto"/>
        <w:ind w:firstLine="720"/>
        <w:rPr>
          <w:rFonts w:asciiTheme="minorHAnsi" w:hAnsiTheme="minorHAnsi"/>
          <w:sz w:val="24"/>
          <w:szCs w:val="24"/>
          <w:u w:val="single"/>
        </w:rPr>
      </w:pPr>
    </w:p>
    <w:p w14:paraId="0BCA03D0" w14:textId="7617A65E" w:rsidR="00676821" w:rsidRPr="000B26EB" w:rsidRDefault="00676821" w:rsidP="000B26EB">
      <w:pPr>
        <w:spacing w:after="0" w:line="240" w:lineRule="auto"/>
        <w:ind w:firstLine="720"/>
        <w:rPr>
          <w:rFonts w:asciiTheme="minorHAnsi" w:hAnsiTheme="minorHAnsi"/>
          <w:sz w:val="24"/>
          <w:szCs w:val="24"/>
        </w:rPr>
      </w:pPr>
      <w:r w:rsidRPr="00040AB6">
        <w:rPr>
          <w:rFonts w:asciiTheme="minorHAnsi" w:hAnsiTheme="minorHAnsi"/>
          <w:sz w:val="24"/>
          <w:szCs w:val="24"/>
          <w:u w:val="single"/>
        </w:rPr>
        <w:t>Actual Costs</w:t>
      </w:r>
    </w:p>
    <w:p w14:paraId="6000FD14" w14:textId="77777777" w:rsidR="00357665" w:rsidRPr="00040AB6" w:rsidRDefault="00357665" w:rsidP="00BF2975">
      <w:pPr>
        <w:spacing w:after="0" w:line="240" w:lineRule="auto"/>
        <w:ind w:left="720"/>
        <w:rPr>
          <w:rFonts w:asciiTheme="minorHAnsi" w:hAnsiTheme="minorHAnsi"/>
          <w:sz w:val="24"/>
          <w:szCs w:val="24"/>
        </w:rPr>
      </w:pPr>
      <w:r w:rsidRPr="00040AB6">
        <w:rPr>
          <w:rFonts w:asciiTheme="minorHAnsi" w:hAnsiTheme="minorHAnsi"/>
          <w:sz w:val="24"/>
          <w:szCs w:val="24"/>
        </w:rPr>
        <w:t xml:space="preserve">Each year, the Company will file its annual report by April 25 which will detail costs and acquisitions for the previous program year.  This filing will trigger the EEAG’s review of general energy efficiency and WA-LIEE program costs.  </w:t>
      </w:r>
    </w:p>
    <w:p w14:paraId="20F9E326" w14:textId="77777777" w:rsidR="00357665" w:rsidRPr="00040AB6" w:rsidRDefault="00357665" w:rsidP="00BF2975">
      <w:pPr>
        <w:spacing w:after="0" w:line="240" w:lineRule="auto"/>
        <w:ind w:left="720"/>
        <w:rPr>
          <w:rFonts w:asciiTheme="minorHAnsi" w:hAnsiTheme="minorHAnsi"/>
          <w:sz w:val="24"/>
          <w:szCs w:val="24"/>
        </w:rPr>
      </w:pPr>
    </w:p>
    <w:p w14:paraId="2D8BFE73" w14:textId="61E25FFE" w:rsidR="00E172E4" w:rsidRPr="00122F13" w:rsidRDefault="00357665" w:rsidP="00122F13">
      <w:pPr>
        <w:pStyle w:val="ListParagraph"/>
        <w:numPr>
          <w:ilvl w:val="0"/>
          <w:numId w:val="37"/>
        </w:numPr>
        <w:tabs>
          <w:tab w:val="left" w:pos="720"/>
        </w:tabs>
        <w:spacing w:after="0" w:line="240" w:lineRule="auto"/>
        <w:ind w:hanging="1080"/>
        <w:rPr>
          <w:rFonts w:asciiTheme="minorHAnsi" w:hAnsiTheme="minorHAnsi"/>
          <w:sz w:val="32"/>
          <w:szCs w:val="32"/>
        </w:rPr>
      </w:pPr>
      <w:r w:rsidRPr="00122F13">
        <w:rPr>
          <w:rFonts w:asciiTheme="minorHAnsi" w:hAnsiTheme="minorHAnsi"/>
          <w:sz w:val="32"/>
          <w:szCs w:val="32"/>
        </w:rPr>
        <w:t>Cost Recovery</w:t>
      </w:r>
    </w:p>
    <w:p w14:paraId="6EAD4CDA" w14:textId="5BB9561B" w:rsidR="00E92871" w:rsidRPr="00040AB6" w:rsidRDefault="00357665" w:rsidP="00E172E4">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Energy Efficiency and WA-LIEE program costs </w:t>
      </w:r>
      <w:r w:rsidR="006C5306" w:rsidRPr="00040AB6">
        <w:rPr>
          <w:rFonts w:asciiTheme="minorHAnsi" w:hAnsiTheme="minorHAnsi"/>
          <w:sz w:val="24"/>
          <w:szCs w:val="24"/>
        </w:rPr>
        <w:t>are</w:t>
      </w:r>
      <w:r w:rsidRPr="00040AB6">
        <w:rPr>
          <w:rFonts w:asciiTheme="minorHAnsi" w:hAnsiTheme="minorHAnsi"/>
          <w:sz w:val="24"/>
          <w:szCs w:val="24"/>
        </w:rPr>
        <w:t xml:space="preserve"> deferred and later amortized for recovery</w:t>
      </w:r>
      <w:r w:rsidR="00F25BC2" w:rsidRPr="00040AB6">
        <w:rPr>
          <w:rFonts w:asciiTheme="minorHAnsi" w:hAnsiTheme="minorHAnsi"/>
          <w:sz w:val="24"/>
          <w:szCs w:val="24"/>
        </w:rPr>
        <w:t xml:space="preserve"> from applicable customers on an equal cents per margin basis as established annually in the</w:t>
      </w:r>
      <w:r w:rsidR="004D1E3F" w:rsidRPr="00040AB6">
        <w:rPr>
          <w:rFonts w:asciiTheme="minorHAnsi" w:hAnsiTheme="minorHAnsi"/>
          <w:sz w:val="24"/>
          <w:szCs w:val="24"/>
        </w:rPr>
        <w:t xml:space="preserve"> temporary rate</w:t>
      </w:r>
      <w:r w:rsidR="00F25BC2" w:rsidRPr="00040AB6">
        <w:rPr>
          <w:rFonts w:asciiTheme="minorHAnsi" w:hAnsiTheme="minorHAnsi"/>
          <w:sz w:val="24"/>
          <w:szCs w:val="24"/>
        </w:rPr>
        <w:t xml:space="preserve"> adjustments, Schedules 215 and 230, respectively.  </w:t>
      </w:r>
      <w:r w:rsidR="00C21507">
        <w:rPr>
          <w:rFonts w:asciiTheme="minorHAnsi" w:hAnsiTheme="minorHAnsi"/>
          <w:sz w:val="24"/>
          <w:szCs w:val="24"/>
        </w:rPr>
        <w:t>The</w:t>
      </w:r>
      <w:r w:rsidR="00F25BC2" w:rsidRPr="00040AB6">
        <w:rPr>
          <w:rFonts w:asciiTheme="minorHAnsi" w:hAnsiTheme="minorHAnsi"/>
          <w:sz w:val="24"/>
          <w:szCs w:val="24"/>
        </w:rPr>
        <w:t xml:space="preserve"> Company will </w:t>
      </w:r>
      <w:r w:rsidR="00084FE6" w:rsidRPr="00040AB6">
        <w:rPr>
          <w:rFonts w:asciiTheme="minorHAnsi" w:hAnsiTheme="minorHAnsi"/>
          <w:sz w:val="24"/>
          <w:szCs w:val="24"/>
        </w:rPr>
        <w:t>annually submit</w:t>
      </w:r>
      <w:r w:rsidR="00E92871" w:rsidRPr="00040AB6">
        <w:rPr>
          <w:rFonts w:asciiTheme="minorHAnsi" w:hAnsiTheme="minorHAnsi"/>
          <w:sz w:val="24"/>
          <w:szCs w:val="24"/>
        </w:rPr>
        <w:t xml:space="preserve"> a stand-alone filing</w:t>
      </w:r>
      <w:r w:rsidR="00084FE6" w:rsidRPr="00040AB6">
        <w:rPr>
          <w:rFonts w:asciiTheme="minorHAnsi" w:hAnsiTheme="minorHAnsi"/>
          <w:sz w:val="24"/>
          <w:szCs w:val="24"/>
        </w:rPr>
        <w:t xml:space="preserve"> concurrent with its PGA filing, for cost recovery of </w:t>
      </w:r>
      <w:r w:rsidR="001078A0" w:rsidRPr="00040AB6">
        <w:rPr>
          <w:rFonts w:asciiTheme="minorHAnsi" w:hAnsiTheme="minorHAnsi"/>
          <w:sz w:val="24"/>
          <w:szCs w:val="24"/>
        </w:rPr>
        <w:t xml:space="preserve">its </w:t>
      </w:r>
      <w:r w:rsidR="00084FE6" w:rsidRPr="00040AB6">
        <w:rPr>
          <w:rFonts w:asciiTheme="minorHAnsi" w:hAnsiTheme="minorHAnsi"/>
          <w:sz w:val="24"/>
          <w:szCs w:val="24"/>
        </w:rPr>
        <w:t>energy efficiency program expenses for the prior calendar year</w:t>
      </w:r>
      <w:r w:rsidRPr="00040AB6">
        <w:rPr>
          <w:rFonts w:asciiTheme="minorHAnsi" w:hAnsiTheme="minorHAnsi"/>
          <w:sz w:val="24"/>
          <w:szCs w:val="24"/>
        </w:rPr>
        <w:t xml:space="preserve">.  </w:t>
      </w:r>
      <w:r w:rsidR="00084FE6" w:rsidRPr="00040AB6">
        <w:rPr>
          <w:rFonts w:asciiTheme="minorHAnsi" w:hAnsiTheme="minorHAnsi"/>
          <w:sz w:val="24"/>
          <w:szCs w:val="24"/>
        </w:rPr>
        <w:t>That annual filing will</w:t>
      </w:r>
      <w:r w:rsidR="00E92871" w:rsidRPr="00040AB6">
        <w:rPr>
          <w:rFonts w:asciiTheme="minorHAnsi" w:hAnsiTheme="minorHAnsi"/>
          <w:sz w:val="24"/>
          <w:szCs w:val="24"/>
        </w:rPr>
        <w:t xml:space="preserve"> include the following information:</w:t>
      </w:r>
    </w:p>
    <w:p w14:paraId="096A478D" w14:textId="77777777" w:rsidR="001078A0" w:rsidRPr="00040AB6" w:rsidRDefault="001078A0" w:rsidP="00E172E4">
      <w:pPr>
        <w:pStyle w:val="ListParagraph"/>
        <w:spacing w:after="0" w:line="240" w:lineRule="auto"/>
        <w:rPr>
          <w:rFonts w:asciiTheme="minorHAnsi" w:hAnsiTheme="minorHAnsi"/>
          <w:sz w:val="24"/>
          <w:szCs w:val="24"/>
        </w:rPr>
      </w:pPr>
    </w:p>
    <w:p w14:paraId="4D47A58B" w14:textId="77777777" w:rsidR="00FA06CC" w:rsidRPr="00040AB6" w:rsidRDefault="00FA06CC"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 xml:space="preserve">Background on the Company’s </w:t>
      </w:r>
      <w:r w:rsidR="00E35E77" w:rsidRPr="00040AB6">
        <w:rPr>
          <w:rFonts w:asciiTheme="minorHAnsi" w:hAnsiTheme="minorHAnsi"/>
          <w:sz w:val="24"/>
          <w:szCs w:val="24"/>
        </w:rPr>
        <w:t xml:space="preserve">energy efficiency </w:t>
      </w:r>
      <w:r w:rsidRPr="00040AB6">
        <w:rPr>
          <w:rFonts w:asciiTheme="minorHAnsi" w:hAnsiTheme="minorHAnsi"/>
          <w:sz w:val="24"/>
          <w:szCs w:val="24"/>
        </w:rPr>
        <w:t xml:space="preserve">programs and </w:t>
      </w:r>
      <w:r w:rsidR="00E35E77" w:rsidRPr="00040AB6">
        <w:rPr>
          <w:rFonts w:asciiTheme="minorHAnsi" w:hAnsiTheme="minorHAnsi"/>
          <w:sz w:val="24"/>
          <w:szCs w:val="24"/>
        </w:rPr>
        <w:t>cost recovery</w:t>
      </w:r>
    </w:p>
    <w:p w14:paraId="50A69D9C" w14:textId="0E806757" w:rsidR="00DE4408" w:rsidRPr="00040AB6" w:rsidRDefault="00DE4408"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lastRenderedPageBreak/>
        <w:t>A copy of the prior program year</w:t>
      </w:r>
      <w:r w:rsidR="00E35E77" w:rsidRPr="00040AB6">
        <w:rPr>
          <w:rFonts w:asciiTheme="minorHAnsi" w:hAnsiTheme="minorHAnsi"/>
          <w:sz w:val="24"/>
          <w:szCs w:val="24"/>
        </w:rPr>
        <w:t>’s</w:t>
      </w:r>
      <w:r w:rsidRPr="00040AB6">
        <w:rPr>
          <w:rFonts w:asciiTheme="minorHAnsi" w:hAnsiTheme="minorHAnsi"/>
          <w:sz w:val="24"/>
          <w:szCs w:val="24"/>
        </w:rPr>
        <w:t xml:space="preserve"> </w:t>
      </w:r>
      <w:r w:rsidR="00035E11">
        <w:rPr>
          <w:rFonts w:asciiTheme="minorHAnsi" w:hAnsiTheme="minorHAnsi"/>
          <w:sz w:val="24"/>
          <w:szCs w:val="24"/>
        </w:rPr>
        <w:t>a</w:t>
      </w:r>
      <w:r w:rsidRPr="00040AB6">
        <w:rPr>
          <w:rFonts w:asciiTheme="minorHAnsi" w:hAnsiTheme="minorHAnsi"/>
          <w:sz w:val="24"/>
          <w:szCs w:val="24"/>
        </w:rPr>
        <w:t xml:space="preserve">nnual </w:t>
      </w:r>
      <w:r w:rsidR="00035E11">
        <w:rPr>
          <w:rFonts w:asciiTheme="minorHAnsi" w:hAnsiTheme="minorHAnsi"/>
          <w:sz w:val="24"/>
          <w:szCs w:val="24"/>
        </w:rPr>
        <w:t>r</w:t>
      </w:r>
      <w:r w:rsidR="00035E11" w:rsidRPr="00040AB6">
        <w:rPr>
          <w:rFonts w:asciiTheme="minorHAnsi" w:hAnsiTheme="minorHAnsi"/>
          <w:sz w:val="24"/>
          <w:szCs w:val="24"/>
        </w:rPr>
        <w:t xml:space="preserve">eport </w:t>
      </w:r>
      <w:r w:rsidRPr="00040AB6">
        <w:rPr>
          <w:rFonts w:asciiTheme="minorHAnsi" w:hAnsiTheme="minorHAnsi"/>
          <w:sz w:val="24"/>
          <w:szCs w:val="24"/>
        </w:rPr>
        <w:t xml:space="preserve">which will include </w:t>
      </w:r>
      <w:r w:rsidR="00E35E77" w:rsidRPr="00040AB6">
        <w:rPr>
          <w:rFonts w:asciiTheme="minorHAnsi" w:hAnsiTheme="minorHAnsi"/>
          <w:sz w:val="24"/>
          <w:szCs w:val="24"/>
        </w:rPr>
        <w:t>detail</w:t>
      </w:r>
      <w:r w:rsidRPr="00040AB6">
        <w:rPr>
          <w:rFonts w:asciiTheme="minorHAnsi" w:hAnsiTheme="minorHAnsi"/>
          <w:sz w:val="24"/>
          <w:szCs w:val="24"/>
        </w:rPr>
        <w:t xml:space="preserve"> on the achievement of performance metrics</w:t>
      </w:r>
      <w:r w:rsidR="00C21507">
        <w:rPr>
          <w:rFonts w:asciiTheme="minorHAnsi" w:hAnsiTheme="minorHAnsi"/>
          <w:sz w:val="24"/>
          <w:szCs w:val="24"/>
        </w:rPr>
        <w:t>,</w:t>
      </w:r>
      <w:r w:rsidR="00E35E77" w:rsidRPr="00040AB6">
        <w:rPr>
          <w:rFonts w:asciiTheme="minorHAnsi" w:hAnsiTheme="minorHAnsi"/>
          <w:sz w:val="24"/>
          <w:szCs w:val="24"/>
        </w:rPr>
        <w:t xml:space="preserve"> </w:t>
      </w:r>
      <w:r w:rsidR="000946C0" w:rsidRPr="00040AB6">
        <w:rPr>
          <w:rFonts w:asciiTheme="minorHAnsi" w:hAnsiTheme="minorHAnsi"/>
          <w:sz w:val="24"/>
          <w:szCs w:val="24"/>
        </w:rPr>
        <w:t xml:space="preserve">the </w:t>
      </w:r>
      <w:r w:rsidR="00E35E77" w:rsidRPr="00040AB6">
        <w:rPr>
          <w:rFonts w:asciiTheme="minorHAnsi" w:hAnsiTheme="minorHAnsi"/>
          <w:sz w:val="24"/>
          <w:szCs w:val="24"/>
        </w:rPr>
        <w:t>forecasted budget</w:t>
      </w:r>
      <w:r w:rsidR="000946C0" w:rsidRPr="00040AB6">
        <w:rPr>
          <w:rFonts w:asciiTheme="minorHAnsi" w:hAnsiTheme="minorHAnsi"/>
          <w:sz w:val="24"/>
          <w:szCs w:val="24"/>
        </w:rPr>
        <w:t xml:space="preserve"> for that year</w:t>
      </w:r>
      <w:r w:rsidR="00E35E77" w:rsidRPr="00040AB6">
        <w:rPr>
          <w:rFonts w:asciiTheme="minorHAnsi" w:hAnsiTheme="minorHAnsi"/>
          <w:sz w:val="24"/>
          <w:szCs w:val="24"/>
        </w:rPr>
        <w:t xml:space="preserve"> and actual expenditures</w:t>
      </w:r>
    </w:p>
    <w:p w14:paraId="22F95AE4" w14:textId="77777777" w:rsidR="00BE7265" w:rsidRPr="00040AB6" w:rsidRDefault="00BE7265"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The total dollar amount the Company is seeking to recover</w:t>
      </w:r>
    </w:p>
    <w:p w14:paraId="5320A1E9" w14:textId="6F091F89" w:rsidR="00BE7265" w:rsidRPr="00040AB6" w:rsidRDefault="00BE7265" w:rsidP="00BE7265">
      <w:pPr>
        <w:pStyle w:val="NormalWeb"/>
        <w:numPr>
          <w:ilvl w:val="0"/>
          <w:numId w:val="15"/>
        </w:numPr>
        <w:ind w:left="1440"/>
        <w:rPr>
          <w:rFonts w:asciiTheme="minorHAnsi" w:hAnsiTheme="minorHAnsi" w:cs="Calibri"/>
        </w:rPr>
      </w:pPr>
      <w:r w:rsidRPr="00040AB6">
        <w:rPr>
          <w:rFonts w:asciiTheme="minorHAnsi" w:hAnsiTheme="minorHAnsi" w:cs="Calibri"/>
        </w:rPr>
        <w:t xml:space="preserve">The total incremental dollar impact that the proposed rate change will have </w:t>
      </w:r>
      <w:r w:rsidR="00814D49" w:rsidRPr="00040AB6">
        <w:rPr>
          <w:rFonts w:asciiTheme="minorHAnsi" w:hAnsiTheme="minorHAnsi" w:cs="Calibri"/>
        </w:rPr>
        <w:t>on average</w:t>
      </w:r>
      <w:r w:rsidRPr="00040AB6">
        <w:rPr>
          <w:rFonts w:asciiTheme="minorHAnsi" w:hAnsiTheme="minorHAnsi" w:cs="Calibri"/>
        </w:rPr>
        <w:t xml:space="preserve"> residential and commercial customer monthly bills</w:t>
      </w:r>
      <w:r w:rsidRPr="00040AB6">
        <w:rPr>
          <w:rFonts w:asciiTheme="minorHAnsi" w:hAnsiTheme="minorHAnsi"/>
        </w:rPr>
        <w:t xml:space="preserve"> </w:t>
      </w:r>
    </w:p>
    <w:p w14:paraId="25F0539E" w14:textId="4C0BCE0B" w:rsidR="00FA06CC" w:rsidRPr="00040AB6" w:rsidRDefault="00BE7265"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Total a</w:t>
      </w:r>
      <w:r w:rsidR="00DE4408" w:rsidRPr="00040AB6">
        <w:rPr>
          <w:rFonts w:asciiTheme="minorHAnsi" w:hAnsiTheme="minorHAnsi"/>
          <w:sz w:val="24"/>
          <w:szCs w:val="24"/>
        </w:rPr>
        <w:t>verage m</w:t>
      </w:r>
      <w:r w:rsidR="00FA06CC" w:rsidRPr="00040AB6">
        <w:rPr>
          <w:rFonts w:asciiTheme="minorHAnsi" w:hAnsiTheme="minorHAnsi"/>
          <w:sz w:val="24"/>
          <w:szCs w:val="24"/>
        </w:rPr>
        <w:t>onthly bill of proposed rate for</w:t>
      </w:r>
      <w:r w:rsidR="00DE4408" w:rsidRPr="00040AB6">
        <w:rPr>
          <w:rFonts w:asciiTheme="minorHAnsi" w:hAnsiTheme="minorHAnsi"/>
          <w:sz w:val="24"/>
          <w:szCs w:val="24"/>
        </w:rPr>
        <w:t xml:space="preserve"> applicable</w:t>
      </w:r>
      <w:r w:rsidR="00FA06CC" w:rsidRPr="00040AB6">
        <w:rPr>
          <w:rFonts w:asciiTheme="minorHAnsi" w:hAnsiTheme="minorHAnsi"/>
          <w:sz w:val="24"/>
          <w:szCs w:val="24"/>
        </w:rPr>
        <w:t xml:space="preserve"> </w:t>
      </w:r>
      <w:r w:rsidR="00DE4408" w:rsidRPr="00040AB6">
        <w:rPr>
          <w:rFonts w:asciiTheme="minorHAnsi" w:hAnsiTheme="minorHAnsi"/>
          <w:sz w:val="24"/>
          <w:szCs w:val="24"/>
        </w:rPr>
        <w:t>customers</w:t>
      </w:r>
    </w:p>
    <w:p w14:paraId="0FC4A46D" w14:textId="7BEC5ED3" w:rsidR="00FA06CC" w:rsidRPr="00040AB6" w:rsidRDefault="00FA06CC" w:rsidP="00F25BC2">
      <w:pPr>
        <w:pStyle w:val="ListParagraph"/>
        <w:numPr>
          <w:ilvl w:val="0"/>
          <w:numId w:val="15"/>
        </w:numPr>
        <w:spacing w:after="0" w:line="240" w:lineRule="auto"/>
        <w:ind w:left="1440"/>
        <w:contextualSpacing w:val="0"/>
        <w:rPr>
          <w:rFonts w:asciiTheme="minorHAnsi" w:hAnsiTheme="minorHAnsi"/>
          <w:sz w:val="24"/>
          <w:szCs w:val="24"/>
        </w:rPr>
      </w:pPr>
      <w:r w:rsidRPr="00040AB6">
        <w:rPr>
          <w:rFonts w:asciiTheme="minorHAnsi" w:hAnsiTheme="minorHAnsi"/>
          <w:sz w:val="24"/>
          <w:szCs w:val="24"/>
        </w:rPr>
        <w:t>Work</w:t>
      </w:r>
      <w:r w:rsidR="00E35E77" w:rsidRPr="00040AB6">
        <w:rPr>
          <w:rFonts w:asciiTheme="minorHAnsi" w:hAnsiTheme="minorHAnsi"/>
          <w:sz w:val="24"/>
          <w:szCs w:val="24"/>
        </w:rPr>
        <w:t xml:space="preserve"> </w:t>
      </w:r>
      <w:r w:rsidRPr="00040AB6">
        <w:rPr>
          <w:rFonts w:asciiTheme="minorHAnsi" w:hAnsiTheme="minorHAnsi"/>
          <w:sz w:val="24"/>
          <w:szCs w:val="24"/>
        </w:rPr>
        <w:t xml:space="preserve">papers demonstrating the analysis behind the collection rate </w:t>
      </w:r>
    </w:p>
    <w:p w14:paraId="05E49CC7" w14:textId="77777777" w:rsidR="00357665" w:rsidRPr="00040AB6" w:rsidRDefault="00357665" w:rsidP="00BF2975">
      <w:pPr>
        <w:spacing w:after="0" w:line="240" w:lineRule="auto"/>
        <w:ind w:left="720"/>
        <w:rPr>
          <w:rFonts w:asciiTheme="minorHAnsi" w:hAnsiTheme="minorHAnsi"/>
          <w:sz w:val="24"/>
          <w:szCs w:val="24"/>
        </w:rPr>
      </w:pPr>
    </w:p>
    <w:p w14:paraId="155E403B" w14:textId="23EF6D60" w:rsidR="00E92871" w:rsidRPr="00040AB6" w:rsidRDefault="00D90EBA" w:rsidP="000B26EB">
      <w:pPr>
        <w:ind w:left="720"/>
        <w:rPr>
          <w:rFonts w:asciiTheme="minorHAnsi" w:hAnsiTheme="minorHAnsi"/>
          <w:sz w:val="24"/>
          <w:szCs w:val="24"/>
        </w:rPr>
      </w:pPr>
      <w:r w:rsidRPr="00040AB6">
        <w:rPr>
          <w:rFonts w:asciiTheme="minorHAnsi" w:hAnsiTheme="minorHAnsi"/>
          <w:sz w:val="24"/>
          <w:szCs w:val="24"/>
        </w:rPr>
        <w:t>T</w:t>
      </w:r>
      <w:r w:rsidR="00E92871" w:rsidRPr="00040AB6">
        <w:rPr>
          <w:rFonts w:asciiTheme="minorHAnsi" w:hAnsiTheme="minorHAnsi"/>
          <w:sz w:val="24"/>
          <w:szCs w:val="24"/>
        </w:rPr>
        <w:t xml:space="preserve">he Company </w:t>
      </w:r>
      <w:r w:rsidRPr="00040AB6">
        <w:rPr>
          <w:rFonts w:asciiTheme="minorHAnsi" w:hAnsiTheme="minorHAnsi"/>
          <w:sz w:val="24"/>
          <w:szCs w:val="24"/>
        </w:rPr>
        <w:t>also includes a</w:t>
      </w:r>
      <w:r w:rsidR="00E92871" w:rsidRPr="00040AB6">
        <w:rPr>
          <w:rFonts w:asciiTheme="minorHAnsi" w:hAnsiTheme="minorHAnsi"/>
          <w:sz w:val="24"/>
          <w:szCs w:val="24"/>
        </w:rPr>
        <w:t xml:space="preserve"> message on applicable </w:t>
      </w:r>
      <w:r w:rsidR="00035E11">
        <w:rPr>
          <w:rFonts w:asciiTheme="minorHAnsi" w:hAnsiTheme="minorHAnsi"/>
          <w:sz w:val="24"/>
          <w:szCs w:val="24"/>
        </w:rPr>
        <w:t>c</w:t>
      </w:r>
      <w:r w:rsidR="00E92871" w:rsidRPr="00040AB6">
        <w:rPr>
          <w:rFonts w:asciiTheme="minorHAnsi" w:hAnsiTheme="minorHAnsi"/>
          <w:sz w:val="24"/>
          <w:szCs w:val="24"/>
        </w:rPr>
        <w:t xml:space="preserve">ustomers’ monthly bills </w:t>
      </w:r>
      <w:r w:rsidR="00E91352" w:rsidRPr="00040AB6">
        <w:rPr>
          <w:rFonts w:asciiTheme="minorHAnsi" w:hAnsiTheme="minorHAnsi"/>
          <w:sz w:val="24"/>
          <w:szCs w:val="24"/>
        </w:rPr>
        <w:t xml:space="preserve">stating </w:t>
      </w:r>
      <w:r w:rsidR="00622178" w:rsidRPr="00040AB6">
        <w:rPr>
          <w:rFonts w:asciiTheme="minorHAnsi" w:hAnsiTheme="minorHAnsi"/>
          <w:sz w:val="24"/>
          <w:szCs w:val="24"/>
        </w:rPr>
        <w:t>how much of their current monthly bill</w:t>
      </w:r>
      <w:r w:rsidR="00177605" w:rsidRPr="00040AB6">
        <w:rPr>
          <w:rFonts w:asciiTheme="minorHAnsi" w:hAnsiTheme="minorHAnsi"/>
          <w:sz w:val="24"/>
          <w:szCs w:val="24"/>
        </w:rPr>
        <w:t xml:space="preserve"> </w:t>
      </w:r>
      <w:r w:rsidR="00622178" w:rsidRPr="00040AB6">
        <w:rPr>
          <w:rFonts w:asciiTheme="minorHAnsi" w:hAnsiTheme="minorHAnsi"/>
          <w:sz w:val="24"/>
          <w:szCs w:val="24"/>
        </w:rPr>
        <w:t>represents costs collected to pay for the</w:t>
      </w:r>
      <w:r w:rsidR="00C76326" w:rsidRPr="00040AB6">
        <w:rPr>
          <w:rFonts w:asciiTheme="minorHAnsi" w:hAnsiTheme="minorHAnsi"/>
          <w:sz w:val="24"/>
          <w:szCs w:val="24"/>
        </w:rPr>
        <w:t xml:space="preserve"> </w:t>
      </w:r>
      <w:r w:rsidR="00622178" w:rsidRPr="00040AB6">
        <w:rPr>
          <w:rFonts w:asciiTheme="minorHAnsi" w:hAnsiTheme="minorHAnsi"/>
          <w:sz w:val="24"/>
          <w:szCs w:val="24"/>
        </w:rPr>
        <w:t>r</w:t>
      </w:r>
      <w:r w:rsidR="00177605" w:rsidRPr="00040AB6">
        <w:rPr>
          <w:rFonts w:asciiTheme="minorHAnsi" w:hAnsiTheme="minorHAnsi"/>
          <w:sz w:val="24"/>
          <w:szCs w:val="24"/>
        </w:rPr>
        <w:t xml:space="preserve">esidential </w:t>
      </w:r>
      <w:r w:rsidR="00622178" w:rsidRPr="00040AB6">
        <w:rPr>
          <w:rFonts w:asciiTheme="minorHAnsi" w:hAnsiTheme="minorHAnsi"/>
          <w:sz w:val="24"/>
          <w:szCs w:val="24"/>
        </w:rPr>
        <w:t xml:space="preserve">and commercial </w:t>
      </w:r>
      <w:r w:rsidR="00177605" w:rsidRPr="00040AB6">
        <w:rPr>
          <w:rFonts w:asciiTheme="minorHAnsi" w:hAnsiTheme="minorHAnsi"/>
          <w:sz w:val="24"/>
          <w:szCs w:val="24"/>
        </w:rPr>
        <w:t xml:space="preserve">energy efficiency programs. </w:t>
      </w:r>
      <w:r w:rsidR="00622178" w:rsidRPr="00040AB6">
        <w:rPr>
          <w:rFonts w:asciiTheme="minorHAnsi" w:hAnsiTheme="minorHAnsi"/>
          <w:sz w:val="24"/>
          <w:szCs w:val="24"/>
        </w:rPr>
        <w:t xml:space="preserve"> </w:t>
      </w:r>
    </w:p>
    <w:p w14:paraId="5BD2E429" w14:textId="076E92C8" w:rsidR="00357665" w:rsidRPr="00040AB6" w:rsidRDefault="00EA2A1F" w:rsidP="00122F13">
      <w:pPr>
        <w:pStyle w:val="ListParagraph"/>
        <w:numPr>
          <w:ilvl w:val="0"/>
          <w:numId w:val="37"/>
        </w:numPr>
        <w:spacing w:after="0" w:line="240" w:lineRule="auto"/>
        <w:ind w:left="720"/>
        <w:rPr>
          <w:rFonts w:asciiTheme="minorHAnsi" w:hAnsiTheme="minorHAnsi"/>
          <w:sz w:val="32"/>
          <w:szCs w:val="32"/>
        </w:rPr>
      </w:pPr>
      <w:r w:rsidRPr="00040AB6">
        <w:rPr>
          <w:rFonts w:asciiTheme="minorHAnsi" w:hAnsiTheme="minorHAnsi"/>
          <w:sz w:val="32"/>
          <w:szCs w:val="32"/>
        </w:rPr>
        <w:t>201</w:t>
      </w:r>
      <w:r w:rsidR="00A87A83">
        <w:rPr>
          <w:rFonts w:asciiTheme="minorHAnsi" w:hAnsiTheme="minorHAnsi"/>
          <w:sz w:val="32"/>
          <w:szCs w:val="32"/>
        </w:rPr>
        <w:t>6</w:t>
      </w:r>
      <w:r w:rsidRPr="00040AB6">
        <w:rPr>
          <w:rFonts w:asciiTheme="minorHAnsi" w:hAnsiTheme="minorHAnsi"/>
          <w:sz w:val="32"/>
          <w:szCs w:val="32"/>
        </w:rPr>
        <w:t xml:space="preserve"> </w:t>
      </w:r>
      <w:r w:rsidR="00357665" w:rsidRPr="00040AB6">
        <w:rPr>
          <w:rFonts w:asciiTheme="minorHAnsi" w:hAnsiTheme="minorHAnsi"/>
          <w:sz w:val="32"/>
          <w:szCs w:val="32"/>
        </w:rPr>
        <w:t>Performance Metrics</w:t>
      </w:r>
    </w:p>
    <w:p w14:paraId="4487D2BC" w14:textId="3801B11D" w:rsidR="00357665" w:rsidRPr="00040AB6" w:rsidRDefault="00357665" w:rsidP="003A1FAE">
      <w:pPr>
        <w:ind w:left="720"/>
        <w:rPr>
          <w:rFonts w:asciiTheme="minorHAnsi" w:hAnsiTheme="minorHAnsi" w:cs="Calibri"/>
          <w:sz w:val="24"/>
          <w:szCs w:val="24"/>
        </w:rPr>
      </w:pPr>
      <w:r w:rsidRPr="00040AB6">
        <w:rPr>
          <w:rFonts w:asciiTheme="minorHAnsi" w:hAnsiTheme="minorHAnsi" w:cs="Calibri"/>
          <w:sz w:val="24"/>
          <w:szCs w:val="24"/>
        </w:rPr>
        <w:t xml:space="preserve">Below are the </w:t>
      </w:r>
      <w:r w:rsidR="00035E11" w:rsidRPr="00040AB6">
        <w:rPr>
          <w:rFonts w:asciiTheme="minorHAnsi" w:hAnsiTheme="minorHAnsi" w:cs="Calibri"/>
          <w:sz w:val="24"/>
          <w:szCs w:val="24"/>
        </w:rPr>
        <w:t>201</w:t>
      </w:r>
      <w:r w:rsidR="00035E11">
        <w:rPr>
          <w:rFonts w:asciiTheme="minorHAnsi" w:hAnsiTheme="minorHAnsi" w:cs="Calibri"/>
          <w:sz w:val="24"/>
          <w:szCs w:val="24"/>
        </w:rPr>
        <w:t>6</w:t>
      </w:r>
      <w:r w:rsidR="00035E11" w:rsidRPr="00040AB6">
        <w:rPr>
          <w:rFonts w:asciiTheme="minorHAnsi" w:hAnsiTheme="minorHAnsi" w:cs="Calibri"/>
          <w:sz w:val="24"/>
          <w:szCs w:val="24"/>
        </w:rPr>
        <w:t xml:space="preserve"> </w:t>
      </w:r>
      <w:r w:rsidRPr="00040AB6">
        <w:rPr>
          <w:rFonts w:asciiTheme="minorHAnsi" w:hAnsiTheme="minorHAnsi" w:cs="Calibri"/>
          <w:sz w:val="24"/>
          <w:szCs w:val="24"/>
        </w:rPr>
        <w:t>program metrics.  Each metric is followed by a statement explaining how it was determined.</w:t>
      </w:r>
    </w:p>
    <w:p w14:paraId="29AC47F8" w14:textId="24D50891" w:rsidR="00357665" w:rsidRPr="005F6B35" w:rsidRDefault="00357665" w:rsidP="00E16413">
      <w:pPr>
        <w:numPr>
          <w:ilvl w:val="0"/>
          <w:numId w:val="2"/>
        </w:numPr>
        <w:spacing w:after="0" w:line="240" w:lineRule="auto"/>
        <w:ind w:left="1080"/>
        <w:rPr>
          <w:rFonts w:asciiTheme="minorHAnsi" w:hAnsiTheme="minorHAnsi" w:cs="Calibri"/>
          <w:sz w:val="24"/>
          <w:szCs w:val="24"/>
        </w:rPr>
      </w:pPr>
      <w:bookmarkStart w:id="1" w:name="OLE_LINK37"/>
      <w:bookmarkStart w:id="2" w:name="OLE_LINK38"/>
      <w:r w:rsidRPr="00040AB6">
        <w:rPr>
          <w:rFonts w:asciiTheme="minorHAnsi" w:hAnsiTheme="minorHAnsi" w:cs="Calibri"/>
          <w:sz w:val="24"/>
          <w:szCs w:val="24"/>
        </w:rPr>
        <w:t>Total</w:t>
      </w:r>
      <w:r w:rsidR="002668F1" w:rsidRPr="00040AB6">
        <w:rPr>
          <w:rFonts w:asciiTheme="minorHAnsi" w:hAnsiTheme="minorHAnsi" w:cs="Calibri"/>
          <w:sz w:val="24"/>
          <w:szCs w:val="24"/>
        </w:rPr>
        <w:t xml:space="preserve"> residential and commercial </w:t>
      </w:r>
      <w:r w:rsidRPr="00040AB6">
        <w:rPr>
          <w:rFonts w:asciiTheme="minorHAnsi" w:hAnsiTheme="minorHAnsi" w:cs="Calibri"/>
          <w:sz w:val="24"/>
          <w:szCs w:val="24"/>
        </w:rPr>
        <w:t>program costs</w:t>
      </w:r>
      <w:r w:rsidR="00B01965" w:rsidRPr="00040AB6">
        <w:rPr>
          <w:rFonts w:asciiTheme="minorHAnsi" w:hAnsiTheme="minorHAnsi" w:cs="Calibri"/>
          <w:sz w:val="24"/>
          <w:szCs w:val="24"/>
        </w:rPr>
        <w:t>, including NEEA gas efficiency market transformation,</w:t>
      </w:r>
      <w:r w:rsidRPr="00040AB6">
        <w:rPr>
          <w:rFonts w:asciiTheme="minorHAnsi" w:hAnsiTheme="minorHAnsi" w:cs="Calibri"/>
          <w:sz w:val="24"/>
          <w:szCs w:val="24"/>
        </w:rPr>
        <w:t xml:space="preserve"> will be </w:t>
      </w:r>
      <w:r w:rsidRPr="005F6B35">
        <w:rPr>
          <w:rFonts w:asciiTheme="minorHAnsi" w:hAnsiTheme="minorHAnsi" w:cs="Calibri"/>
          <w:sz w:val="24"/>
          <w:szCs w:val="24"/>
        </w:rPr>
        <w:t>between</w:t>
      </w:r>
      <w:r w:rsidR="00EF6A4C" w:rsidRPr="005F6B35">
        <w:rPr>
          <w:rFonts w:asciiTheme="minorHAnsi" w:hAnsiTheme="minorHAnsi" w:cs="Calibri"/>
          <w:sz w:val="24"/>
          <w:szCs w:val="24"/>
        </w:rPr>
        <w:t xml:space="preserve"> </w:t>
      </w:r>
      <w:r w:rsidR="00870A4C" w:rsidRPr="005F6B35">
        <w:rPr>
          <w:rFonts w:asciiTheme="minorHAnsi" w:hAnsiTheme="minorHAnsi" w:cs="Calibri"/>
          <w:sz w:val="24"/>
          <w:szCs w:val="24"/>
        </w:rPr>
        <w:t>$</w:t>
      </w:r>
      <w:r w:rsidR="008921E9" w:rsidRPr="005F6B35">
        <w:rPr>
          <w:rFonts w:asciiTheme="minorHAnsi" w:hAnsiTheme="minorHAnsi" w:cs="Calibri"/>
          <w:sz w:val="24"/>
          <w:szCs w:val="24"/>
        </w:rPr>
        <w:t>1,4</w:t>
      </w:r>
      <w:r w:rsidR="005F6B35" w:rsidRPr="005F6B35">
        <w:rPr>
          <w:rFonts w:asciiTheme="minorHAnsi" w:hAnsiTheme="minorHAnsi" w:cs="Calibri"/>
          <w:sz w:val="24"/>
          <w:szCs w:val="24"/>
        </w:rPr>
        <w:t>41</w:t>
      </w:r>
      <w:r w:rsidR="008921E9" w:rsidRPr="005F6B35">
        <w:rPr>
          <w:rFonts w:asciiTheme="minorHAnsi" w:hAnsiTheme="minorHAnsi" w:cs="Calibri"/>
          <w:sz w:val="24"/>
          <w:szCs w:val="24"/>
        </w:rPr>
        <w:t>,</w:t>
      </w:r>
      <w:r w:rsidR="00517355" w:rsidRPr="005F6B35">
        <w:rPr>
          <w:rFonts w:asciiTheme="minorHAnsi" w:hAnsiTheme="minorHAnsi" w:cs="Calibri"/>
          <w:sz w:val="24"/>
          <w:szCs w:val="24"/>
        </w:rPr>
        <w:t>2</w:t>
      </w:r>
      <w:r w:rsidR="005F6B35" w:rsidRPr="005F6B35">
        <w:rPr>
          <w:rFonts w:asciiTheme="minorHAnsi" w:hAnsiTheme="minorHAnsi" w:cs="Calibri"/>
          <w:sz w:val="24"/>
          <w:szCs w:val="24"/>
        </w:rPr>
        <w:t>1</w:t>
      </w:r>
      <w:r w:rsidR="00A12F86">
        <w:rPr>
          <w:rFonts w:asciiTheme="minorHAnsi" w:hAnsiTheme="minorHAnsi" w:cs="Calibri"/>
          <w:sz w:val="24"/>
          <w:szCs w:val="24"/>
        </w:rPr>
        <w:t>8</w:t>
      </w:r>
      <w:r w:rsidR="00870A4C" w:rsidRPr="005F6B35">
        <w:rPr>
          <w:rFonts w:asciiTheme="minorHAnsi" w:hAnsiTheme="minorHAnsi" w:cs="Calibri"/>
          <w:sz w:val="24"/>
          <w:szCs w:val="24"/>
        </w:rPr>
        <w:t xml:space="preserve"> and $</w:t>
      </w:r>
      <w:r w:rsidR="008921E9" w:rsidRPr="005F6B35">
        <w:rPr>
          <w:rFonts w:asciiTheme="minorHAnsi" w:hAnsiTheme="minorHAnsi" w:cs="Calibri"/>
          <w:sz w:val="24"/>
          <w:szCs w:val="24"/>
        </w:rPr>
        <w:t>1,</w:t>
      </w:r>
      <w:r w:rsidR="005F6B35" w:rsidRPr="005F6B35">
        <w:rPr>
          <w:rFonts w:asciiTheme="minorHAnsi" w:hAnsiTheme="minorHAnsi" w:cs="Calibri"/>
          <w:sz w:val="24"/>
          <w:szCs w:val="24"/>
        </w:rPr>
        <w:t>695</w:t>
      </w:r>
      <w:r w:rsidR="008921E9" w:rsidRPr="005F6B35">
        <w:rPr>
          <w:rFonts w:asciiTheme="minorHAnsi" w:hAnsiTheme="minorHAnsi" w:cs="Calibri"/>
          <w:sz w:val="24"/>
          <w:szCs w:val="24"/>
        </w:rPr>
        <w:t>,</w:t>
      </w:r>
      <w:r w:rsidR="00517355" w:rsidRPr="005F6B35">
        <w:rPr>
          <w:rFonts w:asciiTheme="minorHAnsi" w:hAnsiTheme="minorHAnsi" w:cs="Calibri"/>
          <w:sz w:val="24"/>
          <w:szCs w:val="24"/>
        </w:rPr>
        <w:t>551</w:t>
      </w:r>
      <w:r w:rsidR="008921E9" w:rsidRPr="005F6B35">
        <w:rPr>
          <w:rFonts w:asciiTheme="minorHAnsi" w:hAnsiTheme="minorHAnsi" w:cs="Calibri"/>
          <w:sz w:val="24"/>
          <w:szCs w:val="24"/>
        </w:rPr>
        <w:t>.</w:t>
      </w:r>
      <w:r w:rsidR="00B01965" w:rsidRPr="005F6B35">
        <w:rPr>
          <w:rFonts w:asciiTheme="minorHAnsi" w:hAnsiTheme="minorHAnsi" w:cs="Calibri"/>
          <w:sz w:val="24"/>
          <w:szCs w:val="24"/>
        </w:rPr>
        <w:t xml:space="preserve"> </w:t>
      </w:r>
      <w:r w:rsidR="00614BC3" w:rsidRPr="005F6B35">
        <w:rPr>
          <w:rFonts w:asciiTheme="minorHAnsi" w:hAnsiTheme="minorHAnsi" w:cs="Calibri"/>
          <w:sz w:val="24"/>
          <w:szCs w:val="24"/>
        </w:rPr>
        <w:t xml:space="preserve"> </w:t>
      </w:r>
    </w:p>
    <w:p w14:paraId="5151CE7C" w14:textId="77777777" w:rsidR="00357665" w:rsidRPr="00040AB6" w:rsidRDefault="00357665" w:rsidP="001A5A0B">
      <w:pPr>
        <w:spacing w:after="0" w:line="240" w:lineRule="auto"/>
        <w:ind w:left="1440"/>
        <w:rPr>
          <w:rFonts w:asciiTheme="minorHAnsi" w:hAnsiTheme="minorHAnsi" w:cs="Calibri"/>
          <w:sz w:val="24"/>
          <w:szCs w:val="24"/>
        </w:rPr>
      </w:pPr>
    </w:p>
    <w:p w14:paraId="4A6B3946" w14:textId="77777777" w:rsidR="00357665" w:rsidRPr="00040AB6" w:rsidRDefault="00357665" w:rsidP="0047136B">
      <w:pPr>
        <w:spacing w:after="0" w:line="240" w:lineRule="auto"/>
        <w:ind w:left="720"/>
        <w:rPr>
          <w:rFonts w:asciiTheme="minorHAnsi" w:hAnsiTheme="minorHAnsi" w:cs="Calibri"/>
          <w:i/>
          <w:sz w:val="24"/>
          <w:szCs w:val="24"/>
        </w:rPr>
      </w:pPr>
      <w:r w:rsidRPr="00040AB6">
        <w:rPr>
          <w:rFonts w:asciiTheme="minorHAnsi" w:hAnsiTheme="minorHAnsi" w:cs="Calibri"/>
          <w:i/>
          <w:sz w:val="24"/>
          <w:szCs w:val="24"/>
        </w:rPr>
        <w:t xml:space="preserve">The total costs for this metric correlate to the range of costs estimated to achieve all cost effective therms for the programs being offered as determined in the Company’s </w:t>
      </w:r>
      <w:r w:rsidR="00D558E9" w:rsidRPr="00677E81">
        <w:rPr>
          <w:rFonts w:asciiTheme="minorHAnsi" w:hAnsiTheme="minorHAnsi" w:cs="Calibri"/>
          <w:i/>
          <w:sz w:val="24"/>
          <w:szCs w:val="24"/>
        </w:rPr>
        <w:t>2014</w:t>
      </w:r>
      <w:r w:rsidRPr="00040AB6">
        <w:rPr>
          <w:rFonts w:asciiTheme="minorHAnsi" w:hAnsiTheme="minorHAnsi" w:cs="Calibri"/>
          <w:i/>
          <w:sz w:val="24"/>
          <w:szCs w:val="24"/>
        </w:rPr>
        <w:t xml:space="preserve"> Integrated Resource Plan (“IRP”)</w:t>
      </w:r>
      <w:r w:rsidR="006E130D" w:rsidRPr="00040AB6">
        <w:rPr>
          <w:rFonts w:asciiTheme="minorHAnsi" w:hAnsiTheme="minorHAnsi" w:cs="Calibri"/>
          <w:i/>
          <w:sz w:val="24"/>
          <w:szCs w:val="24"/>
        </w:rPr>
        <w:t>.</w:t>
      </w:r>
    </w:p>
    <w:p w14:paraId="0E80FE2F" w14:textId="77777777" w:rsidR="00357665" w:rsidRPr="00040AB6" w:rsidRDefault="00357665" w:rsidP="001A5A0B">
      <w:pPr>
        <w:spacing w:after="0" w:line="240" w:lineRule="auto"/>
        <w:rPr>
          <w:rFonts w:asciiTheme="minorHAnsi" w:hAnsiTheme="minorHAnsi" w:cs="Calibri"/>
          <w:sz w:val="24"/>
          <w:szCs w:val="24"/>
        </w:rPr>
      </w:pPr>
    </w:p>
    <w:p w14:paraId="05A41D0E" w14:textId="4065155E" w:rsidR="00357665" w:rsidRDefault="00357665" w:rsidP="00E16413">
      <w:pPr>
        <w:numPr>
          <w:ilvl w:val="0"/>
          <w:numId w:val="2"/>
        </w:numPr>
        <w:spacing w:after="0" w:line="240" w:lineRule="auto"/>
        <w:ind w:left="1080"/>
        <w:rPr>
          <w:rFonts w:asciiTheme="minorHAnsi" w:hAnsiTheme="minorHAnsi" w:cs="Calibri"/>
          <w:sz w:val="24"/>
          <w:szCs w:val="24"/>
        </w:rPr>
      </w:pPr>
      <w:r w:rsidRPr="00040AB6">
        <w:rPr>
          <w:rFonts w:asciiTheme="minorHAnsi" w:hAnsiTheme="minorHAnsi" w:cs="Calibri"/>
          <w:sz w:val="24"/>
          <w:szCs w:val="24"/>
        </w:rPr>
        <w:t xml:space="preserve">Therms saved </w:t>
      </w:r>
      <w:r w:rsidR="00585F3E" w:rsidRPr="00040AB6">
        <w:rPr>
          <w:rFonts w:asciiTheme="minorHAnsi" w:hAnsiTheme="minorHAnsi" w:cs="Calibri"/>
          <w:sz w:val="24"/>
          <w:szCs w:val="24"/>
        </w:rPr>
        <w:t xml:space="preserve">for the residential and commercial program </w:t>
      </w:r>
      <w:r w:rsidRPr="00040AB6">
        <w:rPr>
          <w:rFonts w:asciiTheme="minorHAnsi" w:hAnsiTheme="minorHAnsi" w:cs="Calibri"/>
          <w:sz w:val="24"/>
          <w:szCs w:val="24"/>
        </w:rPr>
        <w:t xml:space="preserve">will be between </w:t>
      </w:r>
      <w:r w:rsidR="008921E9">
        <w:rPr>
          <w:rFonts w:asciiTheme="minorHAnsi" w:hAnsiTheme="minorHAnsi" w:cs="Calibri"/>
          <w:sz w:val="24"/>
          <w:szCs w:val="24"/>
        </w:rPr>
        <w:t>223,706</w:t>
      </w:r>
      <w:r w:rsidR="00A770B5" w:rsidRPr="005F49DF">
        <w:rPr>
          <w:rFonts w:asciiTheme="minorHAnsi" w:hAnsiTheme="minorHAnsi" w:cs="Calibri"/>
          <w:sz w:val="24"/>
          <w:szCs w:val="24"/>
        </w:rPr>
        <w:t xml:space="preserve"> </w:t>
      </w:r>
      <w:r w:rsidR="00870A4C" w:rsidRPr="005F49DF">
        <w:rPr>
          <w:rFonts w:asciiTheme="minorHAnsi" w:hAnsiTheme="minorHAnsi" w:cs="Calibri"/>
          <w:sz w:val="24"/>
          <w:szCs w:val="24"/>
        </w:rPr>
        <w:t>and</w:t>
      </w:r>
      <w:r w:rsidR="00517355">
        <w:rPr>
          <w:rFonts w:asciiTheme="minorHAnsi" w:hAnsiTheme="minorHAnsi" w:cs="Calibri"/>
          <w:sz w:val="24"/>
          <w:szCs w:val="24"/>
        </w:rPr>
        <w:t xml:space="preserve"> </w:t>
      </w:r>
      <w:r w:rsidR="008921E9">
        <w:rPr>
          <w:rFonts w:asciiTheme="minorHAnsi" w:hAnsiTheme="minorHAnsi" w:cs="Calibri"/>
          <w:sz w:val="24"/>
          <w:szCs w:val="24"/>
        </w:rPr>
        <w:t>263,184</w:t>
      </w:r>
      <w:r w:rsidR="00870A4C" w:rsidRPr="005F49DF">
        <w:rPr>
          <w:rFonts w:asciiTheme="minorHAnsi" w:hAnsiTheme="minorHAnsi" w:cs="Calibri"/>
          <w:sz w:val="24"/>
          <w:szCs w:val="24"/>
        </w:rPr>
        <w:t>.</w:t>
      </w:r>
      <w:r w:rsidR="002B31D3" w:rsidRPr="00040AB6">
        <w:rPr>
          <w:rFonts w:asciiTheme="minorHAnsi" w:hAnsiTheme="minorHAnsi" w:cs="Calibri"/>
          <w:sz w:val="24"/>
          <w:szCs w:val="24"/>
        </w:rPr>
        <w:t xml:space="preserve"> Including</w:t>
      </w:r>
      <w:r w:rsidR="003324F5" w:rsidRPr="00040AB6">
        <w:rPr>
          <w:rFonts w:asciiTheme="minorHAnsi" w:hAnsiTheme="minorHAnsi" w:cs="Calibri"/>
          <w:sz w:val="24"/>
          <w:szCs w:val="24"/>
        </w:rPr>
        <w:t xml:space="preserve"> WA</w:t>
      </w:r>
      <w:r w:rsidR="0097483E">
        <w:rPr>
          <w:rFonts w:asciiTheme="minorHAnsi" w:hAnsiTheme="minorHAnsi" w:cs="Calibri"/>
          <w:sz w:val="24"/>
          <w:szCs w:val="24"/>
        </w:rPr>
        <w:t>-</w:t>
      </w:r>
      <w:r w:rsidR="003324F5" w:rsidRPr="00040AB6">
        <w:rPr>
          <w:rFonts w:asciiTheme="minorHAnsi" w:hAnsiTheme="minorHAnsi" w:cs="Calibri"/>
          <w:sz w:val="24"/>
          <w:szCs w:val="24"/>
        </w:rPr>
        <w:t xml:space="preserve">LIEE, therm savings </w:t>
      </w:r>
      <w:r w:rsidR="00D90EBA" w:rsidRPr="00040AB6">
        <w:rPr>
          <w:rFonts w:asciiTheme="minorHAnsi" w:hAnsiTheme="minorHAnsi" w:cs="Calibri"/>
          <w:sz w:val="24"/>
          <w:szCs w:val="24"/>
        </w:rPr>
        <w:t xml:space="preserve">targets for the total portfolio </w:t>
      </w:r>
      <w:r w:rsidR="003324F5" w:rsidRPr="00040AB6">
        <w:rPr>
          <w:rFonts w:asciiTheme="minorHAnsi" w:hAnsiTheme="minorHAnsi" w:cs="Calibri"/>
          <w:sz w:val="24"/>
          <w:szCs w:val="24"/>
        </w:rPr>
        <w:t xml:space="preserve">will be </w:t>
      </w:r>
      <w:r w:rsidR="00D90EBA" w:rsidRPr="00040AB6">
        <w:rPr>
          <w:rFonts w:asciiTheme="minorHAnsi" w:hAnsiTheme="minorHAnsi" w:cs="Calibri"/>
          <w:sz w:val="24"/>
          <w:szCs w:val="24"/>
        </w:rPr>
        <w:t xml:space="preserve">between </w:t>
      </w:r>
      <w:r w:rsidR="008921E9">
        <w:rPr>
          <w:rFonts w:asciiTheme="minorHAnsi" w:hAnsiTheme="minorHAnsi" w:cs="Calibri"/>
          <w:sz w:val="24"/>
          <w:szCs w:val="24"/>
        </w:rPr>
        <w:t>228,851</w:t>
      </w:r>
      <w:r w:rsidR="00870A4C" w:rsidRPr="008536DA">
        <w:rPr>
          <w:rFonts w:asciiTheme="minorHAnsi" w:hAnsiTheme="minorHAnsi" w:cs="Calibri"/>
          <w:sz w:val="24"/>
          <w:szCs w:val="24"/>
        </w:rPr>
        <w:t xml:space="preserve"> and</w:t>
      </w:r>
      <w:r w:rsidR="008921E9">
        <w:rPr>
          <w:rFonts w:asciiTheme="minorHAnsi" w:hAnsiTheme="minorHAnsi" w:cs="Calibri"/>
          <w:sz w:val="24"/>
          <w:szCs w:val="24"/>
        </w:rPr>
        <w:t xml:space="preserve"> 271,759</w:t>
      </w:r>
      <w:r w:rsidR="00870A4C" w:rsidRPr="008536DA">
        <w:rPr>
          <w:rFonts w:asciiTheme="minorHAnsi" w:hAnsiTheme="minorHAnsi" w:cs="Calibri"/>
          <w:sz w:val="24"/>
          <w:szCs w:val="24"/>
        </w:rPr>
        <w:t>.</w:t>
      </w:r>
    </w:p>
    <w:p w14:paraId="15467ACD" w14:textId="77777777" w:rsidR="00517355" w:rsidRPr="008536DA" w:rsidRDefault="00517355" w:rsidP="00517355">
      <w:pPr>
        <w:spacing w:after="0" w:line="240" w:lineRule="auto"/>
        <w:ind w:left="720"/>
        <w:rPr>
          <w:rFonts w:asciiTheme="minorHAnsi" w:hAnsiTheme="minorHAnsi" w:cs="Calibri"/>
          <w:sz w:val="24"/>
          <w:szCs w:val="24"/>
        </w:rPr>
      </w:pPr>
    </w:p>
    <w:tbl>
      <w:tblPr>
        <w:tblStyle w:val="TableGrid"/>
        <w:tblW w:w="0" w:type="auto"/>
        <w:jc w:val="center"/>
        <w:tblInd w:w="1440" w:type="dxa"/>
        <w:tblLook w:val="04A0" w:firstRow="1" w:lastRow="0" w:firstColumn="1" w:lastColumn="0" w:noHBand="0" w:noVBand="1"/>
      </w:tblPr>
      <w:tblGrid>
        <w:gridCol w:w="2178"/>
        <w:gridCol w:w="1800"/>
        <w:gridCol w:w="1877"/>
      </w:tblGrid>
      <w:tr w:rsidR="00637D58" w14:paraId="584E12FF" w14:textId="77777777" w:rsidTr="002D585F">
        <w:trPr>
          <w:jc w:val="center"/>
        </w:trPr>
        <w:tc>
          <w:tcPr>
            <w:tcW w:w="2178" w:type="dxa"/>
          </w:tcPr>
          <w:p w14:paraId="585A6044" w14:textId="300BE9FB" w:rsidR="00637D58" w:rsidRPr="00517355" w:rsidRDefault="00637D58" w:rsidP="001A5A0B">
            <w:pPr>
              <w:spacing w:after="0" w:line="240" w:lineRule="auto"/>
              <w:rPr>
                <w:rFonts w:asciiTheme="minorHAnsi" w:hAnsiTheme="minorHAnsi" w:cs="Calibri"/>
                <w:b/>
                <w:sz w:val="24"/>
                <w:szCs w:val="24"/>
              </w:rPr>
            </w:pPr>
            <w:r w:rsidRPr="00517355">
              <w:rPr>
                <w:rFonts w:asciiTheme="minorHAnsi" w:hAnsiTheme="minorHAnsi" w:cs="Calibri"/>
                <w:b/>
                <w:sz w:val="24"/>
                <w:szCs w:val="24"/>
              </w:rPr>
              <w:t>Range</w:t>
            </w:r>
          </w:p>
        </w:tc>
        <w:tc>
          <w:tcPr>
            <w:tcW w:w="1800" w:type="dxa"/>
          </w:tcPr>
          <w:p w14:paraId="1E2BEEAA" w14:textId="614B88EE" w:rsidR="00637D58" w:rsidRPr="002D585F" w:rsidRDefault="00637D58" w:rsidP="002D585F">
            <w:pPr>
              <w:spacing w:after="0" w:line="240" w:lineRule="auto"/>
              <w:jc w:val="center"/>
              <w:rPr>
                <w:rFonts w:asciiTheme="minorHAnsi" w:hAnsiTheme="minorHAnsi" w:cs="Calibri"/>
                <w:b/>
                <w:sz w:val="24"/>
                <w:szCs w:val="24"/>
              </w:rPr>
            </w:pPr>
            <w:r w:rsidRPr="002D585F">
              <w:rPr>
                <w:rFonts w:asciiTheme="minorHAnsi" w:hAnsiTheme="minorHAnsi" w:cs="Calibri"/>
                <w:b/>
                <w:sz w:val="24"/>
                <w:szCs w:val="24"/>
              </w:rPr>
              <w:t>Low</w:t>
            </w:r>
          </w:p>
        </w:tc>
        <w:tc>
          <w:tcPr>
            <w:tcW w:w="1877" w:type="dxa"/>
          </w:tcPr>
          <w:p w14:paraId="166FC10F" w14:textId="2A78E65A" w:rsidR="00637D58" w:rsidRPr="002D585F" w:rsidRDefault="00637D58" w:rsidP="002D585F">
            <w:pPr>
              <w:spacing w:after="0" w:line="240" w:lineRule="auto"/>
              <w:jc w:val="center"/>
              <w:rPr>
                <w:rFonts w:asciiTheme="minorHAnsi" w:hAnsiTheme="minorHAnsi" w:cs="Calibri"/>
                <w:b/>
                <w:sz w:val="24"/>
                <w:szCs w:val="24"/>
              </w:rPr>
            </w:pPr>
            <w:r w:rsidRPr="002D585F">
              <w:rPr>
                <w:rFonts w:asciiTheme="minorHAnsi" w:hAnsiTheme="minorHAnsi" w:cs="Calibri"/>
                <w:b/>
                <w:sz w:val="24"/>
                <w:szCs w:val="24"/>
              </w:rPr>
              <w:t>High</w:t>
            </w:r>
          </w:p>
        </w:tc>
      </w:tr>
      <w:tr w:rsidR="00637D58" w14:paraId="5C5A2863" w14:textId="77777777" w:rsidTr="002D585F">
        <w:trPr>
          <w:jc w:val="center"/>
        </w:trPr>
        <w:tc>
          <w:tcPr>
            <w:tcW w:w="2178" w:type="dxa"/>
          </w:tcPr>
          <w:p w14:paraId="463BA378" w14:textId="563016EA" w:rsidR="00637D58" w:rsidRPr="00517355" w:rsidRDefault="00517355" w:rsidP="001A5A0B">
            <w:pPr>
              <w:spacing w:after="0" w:line="240" w:lineRule="auto"/>
              <w:rPr>
                <w:rFonts w:asciiTheme="minorHAnsi" w:hAnsiTheme="minorHAnsi" w:cs="Calibri"/>
                <w:b/>
                <w:sz w:val="24"/>
                <w:szCs w:val="24"/>
              </w:rPr>
            </w:pPr>
            <w:r w:rsidRPr="00517355">
              <w:rPr>
                <w:rFonts w:asciiTheme="minorHAnsi" w:hAnsiTheme="minorHAnsi" w:cs="Calibri"/>
                <w:b/>
                <w:sz w:val="24"/>
                <w:szCs w:val="24"/>
              </w:rPr>
              <w:t>Commercial</w:t>
            </w:r>
          </w:p>
        </w:tc>
        <w:tc>
          <w:tcPr>
            <w:tcW w:w="1800" w:type="dxa"/>
          </w:tcPr>
          <w:p w14:paraId="78FAFC78" w14:textId="60732B50" w:rsidR="00637D58" w:rsidRPr="003B72DD" w:rsidRDefault="00637D58" w:rsidP="001A5A0B">
            <w:pPr>
              <w:spacing w:after="0" w:line="240" w:lineRule="auto"/>
              <w:rPr>
                <w:rFonts w:asciiTheme="minorHAnsi" w:hAnsiTheme="minorHAnsi" w:cs="Calibri"/>
                <w:b/>
                <w:sz w:val="24"/>
                <w:szCs w:val="24"/>
              </w:rPr>
            </w:pPr>
          </w:p>
        </w:tc>
        <w:tc>
          <w:tcPr>
            <w:tcW w:w="1877" w:type="dxa"/>
          </w:tcPr>
          <w:p w14:paraId="4FB48B8B" w14:textId="77777777" w:rsidR="00637D58" w:rsidRDefault="00637D58" w:rsidP="001A5A0B">
            <w:pPr>
              <w:spacing w:after="0" w:line="240" w:lineRule="auto"/>
              <w:rPr>
                <w:rFonts w:asciiTheme="minorHAnsi" w:hAnsiTheme="minorHAnsi" w:cs="Calibri"/>
                <w:sz w:val="24"/>
                <w:szCs w:val="24"/>
              </w:rPr>
            </w:pPr>
          </w:p>
        </w:tc>
      </w:tr>
      <w:tr w:rsidR="00637D58" w14:paraId="7E79658D" w14:textId="77777777" w:rsidTr="002D585F">
        <w:trPr>
          <w:jc w:val="center"/>
        </w:trPr>
        <w:tc>
          <w:tcPr>
            <w:tcW w:w="2178" w:type="dxa"/>
          </w:tcPr>
          <w:p w14:paraId="09CC5674" w14:textId="0E5EA882" w:rsidR="00637D58" w:rsidRPr="00517355" w:rsidRDefault="00517355" w:rsidP="001A5A0B">
            <w:pPr>
              <w:spacing w:after="0" w:line="240" w:lineRule="auto"/>
              <w:rPr>
                <w:rFonts w:asciiTheme="minorHAnsi" w:hAnsiTheme="minorHAnsi" w:cs="Calibri"/>
                <w:sz w:val="24"/>
                <w:szCs w:val="24"/>
              </w:rPr>
            </w:pPr>
            <w:r w:rsidRPr="00517355">
              <w:rPr>
                <w:rFonts w:asciiTheme="minorHAnsi" w:hAnsiTheme="minorHAnsi" w:cs="Calibri"/>
                <w:sz w:val="24"/>
                <w:szCs w:val="24"/>
              </w:rPr>
              <w:t>Retrofit</w:t>
            </w:r>
          </w:p>
        </w:tc>
        <w:tc>
          <w:tcPr>
            <w:tcW w:w="1800" w:type="dxa"/>
          </w:tcPr>
          <w:p w14:paraId="7F1D569C" w14:textId="23B6D0E8" w:rsidR="00637D58" w:rsidRPr="002D585F" w:rsidRDefault="002D585F" w:rsidP="002D585F">
            <w:pPr>
              <w:spacing w:after="0" w:line="240" w:lineRule="auto"/>
              <w:jc w:val="right"/>
              <w:rPr>
                <w:rFonts w:asciiTheme="minorHAnsi" w:hAnsiTheme="minorHAnsi" w:cs="Calibri"/>
                <w:sz w:val="24"/>
                <w:szCs w:val="24"/>
              </w:rPr>
            </w:pPr>
            <w:r w:rsidRPr="002D585F">
              <w:rPr>
                <w:rFonts w:asciiTheme="minorHAnsi" w:hAnsiTheme="minorHAnsi" w:cs="Calibri"/>
                <w:sz w:val="24"/>
                <w:szCs w:val="24"/>
              </w:rPr>
              <w:t>128,398</w:t>
            </w:r>
          </w:p>
        </w:tc>
        <w:tc>
          <w:tcPr>
            <w:tcW w:w="1877" w:type="dxa"/>
          </w:tcPr>
          <w:p w14:paraId="2390A0E6" w14:textId="6E47CF01" w:rsidR="00637D58" w:rsidRPr="002D585F" w:rsidRDefault="00F81527" w:rsidP="002D585F">
            <w:pPr>
              <w:spacing w:after="0" w:line="240" w:lineRule="auto"/>
              <w:jc w:val="right"/>
              <w:rPr>
                <w:rFonts w:asciiTheme="minorHAnsi" w:hAnsiTheme="minorHAnsi" w:cs="Calibri"/>
                <w:sz w:val="24"/>
                <w:szCs w:val="24"/>
              </w:rPr>
            </w:pPr>
            <w:r w:rsidRPr="002D585F">
              <w:rPr>
                <w:rFonts w:asciiTheme="minorHAnsi" w:hAnsiTheme="minorHAnsi" w:cs="Calibri"/>
                <w:sz w:val="24"/>
                <w:szCs w:val="24"/>
              </w:rPr>
              <w:t>151,056</w:t>
            </w:r>
          </w:p>
        </w:tc>
      </w:tr>
      <w:tr w:rsidR="00637D58" w14:paraId="7DF498DA" w14:textId="77777777" w:rsidTr="002D585F">
        <w:trPr>
          <w:jc w:val="center"/>
        </w:trPr>
        <w:tc>
          <w:tcPr>
            <w:tcW w:w="2178" w:type="dxa"/>
          </w:tcPr>
          <w:p w14:paraId="1239D5CD" w14:textId="0DEBEE8B" w:rsidR="00637D58" w:rsidRPr="00517355" w:rsidRDefault="00517355" w:rsidP="001A5A0B">
            <w:pPr>
              <w:spacing w:after="0" w:line="240" w:lineRule="auto"/>
              <w:rPr>
                <w:rFonts w:asciiTheme="minorHAnsi" w:hAnsiTheme="minorHAnsi" w:cs="Calibri"/>
                <w:b/>
                <w:sz w:val="24"/>
                <w:szCs w:val="24"/>
              </w:rPr>
            </w:pPr>
            <w:r w:rsidRPr="00517355">
              <w:rPr>
                <w:rFonts w:asciiTheme="minorHAnsi" w:hAnsiTheme="minorHAnsi" w:cs="Calibri"/>
                <w:b/>
                <w:sz w:val="24"/>
                <w:szCs w:val="24"/>
              </w:rPr>
              <w:t>Residential</w:t>
            </w:r>
          </w:p>
        </w:tc>
        <w:tc>
          <w:tcPr>
            <w:tcW w:w="1800" w:type="dxa"/>
          </w:tcPr>
          <w:p w14:paraId="4FCBCB73" w14:textId="3D517CB8" w:rsidR="00637D58" w:rsidRPr="002D585F" w:rsidRDefault="00637D58" w:rsidP="002D585F">
            <w:pPr>
              <w:spacing w:after="0" w:line="240" w:lineRule="auto"/>
              <w:jc w:val="right"/>
              <w:rPr>
                <w:rFonts w:asciiTheme="minorHAnsi" w:hAnsiTheme="minorHAnsi" w:cs="Calibri"/>
                <w:sz w:val="24"/>
                <w:szCs w:val="24"/>
              </w:rPr>
            </w:pPr>
          </w:p>
        </w:tc>
        <w:tc>
          <w:tcPr>
            <w:tcW w:w="1877" w:type="dxa"/>
          </w:tcPr>
          <w:p w14:paraId="5848DA89" w14:textId="77777777" w:rsidR="00637D58" w:rsidRPr="002D585F" w:rsidRDefault="00637D58" w:rsidP="002D585F">
            <w:pPr>
              <w:spacing w:after="0" w:line="240" w:lineRule="auto"/>
              <w:jc w:val="right"/>
              <w:rPr>
                <w:rFonts w:asciiTheme="minorHAnsi" w:hAnsiTheme="minorHAnsi" w:cs="Calibri"/>
                <w:sz w:val="24"/>
                <w:szCs w:val="24"/>
              </w:rPr>
            </w:pPr>
          </w:p>
        </w:tc>
      </w:tr>
      <w:tr w:rsidR="00637D58" w14:paraId="0DDF78E4" w14:textId="77777777" w:rsidTr="002D585F">
        <w:trPr>
          <w:jc w:val="center"/>
        </w:trPr>
        <w:tc>
          <w:tcPr>
            <w:tcW w:w="2178" w:type="dxa"/>
          </w:tcPr>
          <w:p w14:paraId="2B98D04B" w14:textId="7A2A84D1" w:rsidR="00637D58" w:rsidRPr="00517355" w:rsidRDefault="00517355" w:rsidP="001A5A0B">
            <w:pPr>
              <w:spacing w:after="0" w:line="240" w:lineRule="auto"/>
              <w:rPr>
                <w:rFonts w:asciiTheme="minorHAnsi" w:hAnsiTheme="minorHAnsi" w:cs="Calibri"/>
                <w:sz w:val="24"/>
                <w:szCs w:val="24"/>
              </w:rPr>
            </w:pPr>
            <w:r w:rsidRPr="00517355">
              <w:rPr>
                <w:rFonts w:asciiTheme="minorHAnsi" w:hAnsiTheme="minorHAnsi" w:cs="Calibri"/>
                <w:sz w:val="24"/>
                <w:szCs w:val="24"/>
              </w:rPr>
              <w:t>Retrofit</w:t>
            </w:r>
          </w:p>
        </w:tc>
        <w:tc>
          <w:tcPr>
            <w:tcW w:w="1800" w:type="dxa"/>
          </w:tcPr>
          <w:p w14:paraId="207B92B5" w14:textId="74380222" w:rsidR="00637D58" w:rsidRPr="002D585F" w:rsidRDefault="002D585F" w:rsidP="002D585F">
            <w:pPr>
              <w:spacing w:after="0" w:line="240" w:lineRule="auto"/>
              <w:jc w:val="right"/>
              <w:rPr>
                <w:rFonts w:asciiTheme="minorHAnsi" w:hAnsiTheme="minorHAnsi" w:cs="Calibri"/>
                <w:sz w:val="24"/>
                <w:szCs w:val="24"/>
              </w:rPr>
            </w:pPr>
            <w:r w:rsidRPr="002D585F">
              <w:rPr>
                <w:rFonts w:asciiTheme="minorHAnsi" w:hAnsiTheme="minorHAnsi" w:cs="Calibri"/>
                <w:sz w:val="24"/>
                <w:szCs w:val="24"/>
              </w:rPr>
              <w:t>46,796</w:t>
            </w:r>
          </w:p>
        </w:tc>
        <w:tc>
          <w:tcPr>
            <w:tcW w:w="1877" w:type="dxa"/>
          </w:tcPr>
          <w:p w14:paraId="3FB7EBD7" w14:textId="13FD5F8A" w:rsidR="00637D58" w:rsidRPr="002D585F" w:rsidRDefault="00F81527" w:rsidP="002D585F">
            <w:pPr>
              <w:spacing w:after="0" w:line="240" w:lineRule="auto"/>
              <w:jc w:val="right"/>
              <w:rPr>
                <w:rFonts w:asciiTheme="minorHAnsi" w:hAnsiTheme="minorHAnsi" w:cs="Calibri"/>
                <w:sz w:val="24"/>
                <w:szCs w:val="24"/>
              </w:rPr>
            </w:pPr>
            <w:r w:rsidRPr="002D585F">
              <w:rPr>
                <w:rFonts w:asciiTheme="minorHAnsi" w:hAnsiTheme="minorHAnsi" w:cs="Calibri"/>
                <w:sz w:val="24"/>
                <w:szCs w:val="24"/>
              </w:rPr>
              <w:t>55,054</w:t>
            </w:r>
          </w:p>
        </w:tc>
      </w:tr>
      <w:tr w:rsidR="00637D58" w14:paraId="600A0F61" w14:textId="77777777" w:rsidTr="002D585F">
        <w:trPr>
          <w:jc w:val="center"/>
        </w:trPr>
        <w:tc>
          <w:tcPr>
            <w:tcW w:w="2178" w:type="dxa"/>
          </w:tcPr>
          <w:p w14:paraId="512D77E0" w14:textId="4C364E4B" w:rsidR="00637D58" w:rsidRPr="00517355" w:rsidRDefault="00517355" w:rsidP="001A5A0B">
            <w:pPr>
              <w:spacing w:after="0" w:line="240" w:lineRule="auto"/>
              <w:rPr>
                <w:rFonts w:asciiTheme="minorHAnsi" w:hAnsiTheme="minorHAnsi" w:cs="Calibri"/>
                <w:sz w:val="24"/>
                <w:szCs w:val="24"/>
              </w:rPr>
            </w:pPr>
            <w:r w:rsidRPr="00517355">
              <w:rPr>
                <w:rFonts w:asciiTheme="minorHAnsi" w:hAnsiTheme="minorHAnsi" w:cs="Calibri"/>
                <w:sz w:val="24"/>
                <w:szCs w:val="24"/>
              </w:rPr>
              <w:t>New Homes</w:t>
            </w:r>
          </w:p>
        </w:tc>
        <w:tc>
          <w:tcPr>
            <w:tcW w:w="1800" w:type="dxa"/>
          </w:tcPr>
          <w:p w14:paraId="585CBD4A" w14:textId="76FA1D03" w:rsidR="00637D58" w:rsidRPr="002D585F" w:rsidRDefault="002D585F" w:rsidP="002D585F">
            <w:pPr>
              <w:spacing w:after="0" w:line="240" w:lineRule="auto"/>
              <w:jc w:val="right"/>
              <w:rPr>
                <w:rFonts w:asciiTheme="minorHAnsi" w:hAnsiTheme="minorHAnsi" w:cs="Calibri"/>
                <w:sz w:val="24"/>
                <w:szCs w:val="24"/>
              </w:rPr>
            </w:pPr>
            <w:r w:rsidRPr="002D585F">
              <w:rPr>
                <w:rFonts w:asciiTheme="minorHAnsi" w:hAnsiTheme="minorHAnsi" w:cs="Calibri"/>
                <w:sz w:val="24"/>
                <w:szCs w:val="24"/>
              </w:rPr>
              <w:t>48,513</w:t>
            </w:r>
          </w:p>
        </w:tc>
        <w:tc>
          <w:tcPr>
            <w:tcW w:w="1877" w:type="dxa"/>
          </w:tcPr>
          <w:p w14:paraId="78D6B5D1" w14:textId="197366E4" w:rsidR="00637D58" w:rsidRPr="002D585F" w:rsidRDefault="00F81527" w:rsidP="002D585F">
            <w:pPr>
              <w:spacing w:after="0" w:line="240" w:lineRule="auto"/>
              <w:jc w:val="right"/>
              <w:rPr>
                <w:rFonts w:asciiTheme="minorHAnsi" w:hAnsiTheme="minorHAnsi" w:cs="Calibri"/>
                <w:sz w:val="24"/>
                <w:szCs w:val="24"/>
              </w:rPr>
            </w:pPr>
            <w:r w:rsidRPr="002D585F">
              <w:rPr>
                <w:rFonts w:asciiTheme="minorHAnsi" w:hAnsiTheme="minorHAnsi" w:cs="Calibri"/>
                <w:sz w:val="24"/>
                <w:szCs w:val="24"/>
              </w:rPr>
              <w:t>57,074</w:t>
            </w:r>
          </w:p>
        </w:tc>
      </w:tr>
      <w:tr w:rsidR="00517355" w14:paraId="2F92FE41" w14:textId="77777777" w:rsidTr="002D585F">
        <w:trPr>
          <w:jc w:val="center"/>
        </w:trPr>
        <w:tc>
          <w:tcPr>
            <w:tcW w:w="2178" w:type="dxa"/>
          </w:tcPr>
          <w:p w14:paraId="3FFCA6E7" w14:textId="35B6885F" w:rsidR="00517355" w:rsidRPr="00517355" w:rsidRDefault="00517355" w:rsidP="001A5A0B">
            <w:pPr>
              <w:spacing w:after="0" w:line="240" w:lineRule="auto"/>
              <w:rPr>
                <w:rFonts w:asciiTheme="minorHAnsi" w:hAnsiTheme="minorHAnsi" w:cs="Calibri"/>
                <w:b/>
                <w:sz w:val="24"/>
                <w:szCs w:val="24"/>
              </w:rPr>
            </w:pPr>
            <w:r w:rsidRPr="00517355">
              <w:rPr>
                <w:rFonts w:asciiTheme="minorHAnsi" w:hAnsiTheme="minorHAnsi" w:cs="Calibri"/>
                <w:b/>
                <w:sz w:val="24"/>
                <w:szCs w:val="24"/>
              </w:rPr>
              <w:t>WA</w:t>
            </w:r>
            <w:r w:rsidR="0097483E">
              <w:rPr>
                <w:rFonts w:asciiTheme="minorHAnsi" w:hAnsiTheme="minorHAnsi" w:cs="Calibri"/>
                <w:b/>
                <w:sz w:val="24"/>
                <w:szCs w:val="24"/>
              </w:rPr>
              <w:t>-</w:t>
            </w:r>
            <w:r w:rsidRPr="00517355">
              <w:rPr>
                <w:rFonts w:asciiTheme="minorHAnsi" w:hAnsiTheme="minorHAnsi" w:cs="Calibri"/>
                <w:b/>
                <w:sz w:val="24"/>
                <w:szCs w:val="24"/>
              </w:rPr>
              <w:t>LIEE</w:t>
            </w:r>
          </w:p>
        </w:tc>
        <w:tc>
          <w:tcPr>
            <w:tcW w:w="1800" w:type="dxa"/>
          </w:tcPr>
          <w:p w14:paraId="5A9BBEDD" w14:textId="5872C325" w:rsidR="00517355" w:rsidRPr="002D585F" w:rsidRDefault="00517355" w:rsidP="002D585F">
            <w:pPr>
              <w:spacing w:after="0" w:line="240" w:lineRule="auto"/>
              <w:jc w:val="right"/>
              <w:rPr>
                <w:rFonts w:asciiTheme="minorHAnsi" w:hAnsiTheme="minorHAnsi" w:cs="Calibri"/>
                <w:sz w:val="24"/>
                <w:szCs w:val="24"/>
              </w:rPr>
            </w:pPr>
            <w:r w:rsidRPr="002D585F">
              <w:rPr>
                <w:rFonts w:asciiTheme="minorHAnsi" w:hAnsiTheme="minorHAnsi" w:cs="Calibri"/>
                <w:sz w:val="24"/>
                <w:szCs w:val="24"/>
              </w:rPr>
              <w:t>5,145</w:t>
            </w:r>
          </w:p>
        </w:tc>
        <w:tc>
          <w:tcPr>
            <w:tcW w:w="1877" w:type="dxa"/>
          </w:tcPr>
          <w:p w14:paraId="23F6010C" w14:textId="1079897F" w:rsidR="00517355" w:rsidRPr="002D585F" w:rsidRDefault="00517355" w:rsidP="002D585F">
            <w:pPr>
              <w:spacing w:after="0" w:line="240" w:lineRule="auto"/>
              <w:jc w:val="right"/>
              <w:rPr>
                <w:rFonts w:asciiTheme="minorHAnsi" w:hAnsiTheme="minorHAnsi" w:cs="Calibri"/>
                <w:sz w:val="24"/>
                <w:szCs w:val="24"/>
              </w:rPr>
            </w:pPr>
            <w:r w:rsidRPr="002D585F">
              <w:rPr>
                <w:rFonts w:asciiTheme="minorHAnsi" w:hAnsiTheme="minorHAnsi" w:cs="Calibri"/>
                <w:sz w:val="24"/>
                <w:szCs w:val="24"/>
              </w:rPr>
              <w:t>8,575</w:t>
            </w:r>
          </w:p>
        </w:tc>
      </w:tr>
      <w:tr w:rsidR="00517355" w14:paraId="2E60152A" w14:textId="77777777" w:rsidTr="002D585F">
        <w:trPr>
          <w:jc w:val="center"/>
        </w:trPr>
        <w:tc>
          <w:tcPr>
            <w:tcW w:w="2178" w:type="dxa"/>
          </w:tcPr>
          <w:p w14:paraId="538E2369" w14:textId="5612128E" w:rsidR="00517355" w:rsidRPr="00517355" w:rsidRDefault="00517355" w:rsidP="001A5A0B">
            <w:pPr>
              <w:spacing w:after="0" w:line="240" w:lineRule="auto"/>
              <w:rPr>
                <w:rFonts w:asciiTheme="minorHAnsi" w:hAnsiTheme="minorHAnsi" w:cs="Calibri"/>
                <w:b/>
                <w:sz w:val="24"/>
                <w:szCs w:val="24"/>
              </w:rPr>
            </w:pPr>
            <w:r w:rsidRPr="00517355">
              <w:rPr>
                <w:rFonts w:asciiTheme="minorHAnsi" w:hAnsiTheme="minorHAnsi" w:cs="Calibri"/>
                <w:b/>
                <w:sz w:val="24"/>
                <w:szCs w:val="24"/>
              </w:rPr>
              <w:t>Total</w:t>
            </w:r>
          </w:p>
        </w:tc>
        <w:tc>
          <w:tcPr>
            <w:tcW w:w="1800" w:type="dxa"/>
          </w:tcPr>
          <w:p w14:paraId="0EF15A66" w14:textId="4E4BF827" w:rsidR="00517355" w:rsidRPr="002D585F" w:rsidRDefault="002D585F" w:rsidP="002D585F">
            <w:pPr>
              <w:spacing w:after="0" w:line="240" w:lineRule="auto"/>
              <w:jc w:val="right"/>
              <w:rPr>
                <w:rFonts w:asciiTheme="minorHAnsi" w:hAnsiTheme="minorHAnsi" w:cs="Calibri"/>
                <w:b/>
                <w:sz w:val="24"/>
                <w:szCs w:val="24"/>
              </w:rPr>
            </w:pPr>
            <w:r w:rsidRPr="002D585F">
              <w:rPr>
                <w:rFonts w:asciiTheme="minorHAnsi" w:hAnsiTheme="minorHAnsi" w:cs="Calibri"/>
                <w:b/>
                <w:sz w:val="24"/>
                <w:szCs w:val="24"/>
              </w:rPr>
              <w:t>228,851</w:t>
            </w:r>
          </w:p>
        </w:tc>
        <w:tc>
          <w:tcPr>
            <w:tcW w:w="1877" w:type="dxa"/>
          </w:tcPr>
          <w:p w14:paraId="5C25BA11" w14:textId="7B1530B2" w:rsidR="00517355" w:rsidRPr="002D585F" w:rsidRDefault="002D585F" w:rsidP="002D585F">
            <w:pPr>
              <w:spacing w:after="0" w:line="240" w:lineRule="auto"/>
              <w:jc w:val="right"/>
              <w:rPr>
                <w:rFonts w:asciiTheme="minorHAnsi" w:hAnsiTheme="minorHAnsi" w:cs="Calibri"/>
                <w:b/>
                <w:sz w:val="24"/>
                <w:szCs w:val="24"/>
              </w:rPr>
            </w:pPr>
            <w:r w:rsidRPr="002D585F">
              <w:rPr>
                <w:rFonts w:asciiTheme="minorHAnsi" w:hAnsiTheme="minorHAnsi" w:cs="Calibri"/>
                <w:b/>
                <w:sz w:val="24"/>
                <w:szCs w:val="24"/>
              </w:rPr>
              <w:t>271,759</w:t>
            </w:r>
          </w:p>
        </w:tc>
      </w:tr>
    </w:tbl>
    <w:p w14:paraId="03FB5C9C" w14:textId="77777777" w:rsidR="00357665" w:rsidRPr="00040AB6" w:rsidRDefault="00357665" w:rsidP="001A5A0B">
      <w:pPr>
        <w:spacing w:after="0" w:line="240" w:lineRule="auto"/>
        <w:ind w:left="1440"/>
        <w:rPr>
          <w:rFonts w:asciiTheme="minorHAnsi" w:hAnsiTheme="minorHAnsi" w:cs="Calibri"/>
          <w:sz w:val="24"/>
          <w:szCs w:val="24"/>
        </w:rPr>
      </w:pPr>
    </w:p>
    <w:p w14:paraId="5D1C7AD4" w14:textId="77777777" w:rsidR="00357665" w:rsidRPr="00040AB6" w:rsidRDefault="00357665" w:rsidP="0047136B">
      <w:pPr>
        <w:spacing w:after="0" w:line="240" w:lineRule="auto"/>
        <w:ind w:left="720"/>
        <w:rPr>
          <w:rFonts w:asciiTheme="minorHAnsi" w:hAnsiTheme="minorHAnsi" w:cs="Calibri"/>
          <w:i/>
          <w:sz w:val="24"/>
          <w:szCs w:val="24"/>
        </w:rPr>
      </w:pPr>
      <w:r w:rsidRPr="00040AB6">
        <w:rPr>
          <w:rFonts w:asciiTheme="minorHAnsi" w:hAnsiTheme="minorHAnsi" w:cs="Calibri"/>
          <w:i/>
          <w:sz w:val="24"/>
          <w:szCs w:val="24"/>
        </w:rPr>
        <w:t xml:space="preserve">The program’s primary goal is to meet system demand with the least cost conservation as required per WAC 480-90-238(1).  The therm savings target is aligned with the demand-side management targets for the programs offered as identified in the Company’s </w:t>
      </w:r>
      <w:r w:rsidR="00D558E9" w:rsidRPr="00677E81">
        <w:rPr>
          <w:rFonts w:asciiTheme="minorHAnsi" w:hAnsiTheme="minorHAnsi" w:cs="Calibri"/>
          <w:i/>
          <w:sz w:val="24"/>
          <w:szCs w:val="24"/>
        </w:rPr>
        <w:t>2014</w:t>
      </w:r>
      <w:r w:rsidR="008431AD" w:rsidRPr="00040AB6">
        <w:rPr>
          <w:rFonts w:asciiTheme="minorHAnsi" w:hAnsiTheme="minorHAnsi" w:cs="Calibri"/>
          <w:i/>
          <w:sz w:val="24"/>
          <w:szCs w:val="24"/>
        </w:rPr>
        <w:t xml:space="preserve"> </w:t>
      </w:r>
      <w:r w:rsidR="00DC7F29" w:rsidRPr="00040AB6">
        <w:rPr>
          <w:rFonts w:asciiTheme="minorHAnsi" w:hAnsiTheme="minorHAnsi" w:cs="Calibri"/>
          <w:i/>
          <w:sz w:val="24"/>
          <w:szCs w:val="24"/>
        </w:rPr>
        <w:t>Modified</w:t>
      </w:r>
      <w:r w:rsidRPr="00040AB6">
        <w:rPr>
          <w:rFonts w:asciiTheme="minorHAnsi" w:hAnsiTheme="minorHAnsi" w:cs="Calibri"/>
          <w:i/>
          <w:sz w:val="24"/>
          <w:szCs w:val="24"/>
        </w:rPr>
        <w:t xml:space="preserve"> IRP.  </w:t>
      </w:r>
    </w:p>
    <w:p w14:paraId="28A0ECA9" w14:textId="77777777" w:rsidR="00357665" w:rsidRPr="00040AB6" w:rsidRDefault="00357665" w:rsidP="00544A5B">
      <w:pPr>
        <w:spacing w:after="0" w:line="240" w:lineRule="auto"/>
        <w:rPr>
          <w:rFonts w:asciiTheme="minorHAnsi" w:hAnsiTheme="minorHAnsi" w:cs="Calibri"/>
          <w:sz w:val="24"/>
          <w:szCs w:val="24"/>
        </w:rPr>
      </w:pPr>
    </w:p>
    <w:p w14:paraId="40A3DA79" w14:textId="77777777" w:rsidR="00357665" w:rsidRPr="00040AB6" w:rsidRDefault="00357665" w:rsidP="003B1874">
      <w:pPr>
        <w:numPr>
          <w:ilvl w:val="0"/>
          <w:numId w:val="2"/>
        </w:numPr>
        <w:spacing w:after="0" w:line="240" w:lineRule="auto"/>
        <w:ind w:left="1440"/>
        <w:rPr>
          <w:rFonts w:asciiTheme="minorHAnsi" w:hAnsiTheme="minorHAnsi" w:cs="Calibri"/>
          <w:sz w:val="24"/>
          <w:szCs w:val="24"/>
        </w:rPr>
      </w:pPr>
      <w:r w:rsidRPr="00040AB6">
        <w:rPr>
          <w:rFonts w:asciiTheme="minorHAnsi" w:hAnsiTheme="minorHAnsi" w:cs="Calibri"/>
          <w:sz w:val="24"/>
          <w:szCs w:val="24"/>
        </w:rPr>
        <w:lastRenderedPageBreak/>
        <w:t>Average levelized cost for</w:t>
      </w:r>
      <w:r w:rsidR="00C50E0F" w:rsidRPr="00040AB6">
        <w:rPr>
          <w:rFonts w:asciiTheme="minorHAnsi" w:hAnsiTheme="minorHAnsi" w:cs="Calibri"/>
          <w:sz w:val="24"/>
          <w:szCs w:val="24"/>
        </w:rPr>
        <w:t xml:space="preserve"> </w:t>
      </w:r>
      <w:r w:rsidR="00381BD8" w:rsidRPr="00040AB6">
        <w:rPr>
          <w:rFonts w:asciiTheme="minorHAnsi" w:hAnsiTheme="minorHAnsi" w:cs="Calibri"/>
          <w:sz w:val="24"/>
          <w:szCs w:val="24"/>
        </w:rPr>
        <w:t xml:space="preserve">the </w:t>
      </w:r>
      <w:r w:rsidR="00C50E0F" w:rsidRPr="00040AB6">
        <w:rPr>
          <w:rFonts w:asciiTheme="minorHAnsi" w:hAnsiTheme="minorHAnsi" w:cs="Calibri"/>
          <w:sz w:val="24"/>
          <w:szCs w:val="24"/>
        </w:rPr>
        <w:t>portfolio of</w:t>
      </w:r>
      <w:r w:rsidRPr="00040AB6">
        <w:rPr>
          <w:rFonts w:asciiTheme="minorHAnsi" w:hAnsiTheme="minorHAnsi" w:cs="Calibri"/>
          <w:sz w:val="24"/>
          <w:szCs w:val="24"/>
        </w:rPr>
        <w:t xml:space="preserve"> measures</w:t>
      </w:r>
      <w:r w:rsidR="00381BD8" w:rsidRPr="00040AB6">
        <w:rPr>
          <w:rFonts w:asciiTheme="minorHAnsi" w:hAnsiTheme="minorHAnsi" w:cs="Calibri"/>
          <w:sz w:val="24"/>
          <w:szCs w:val="24"/>
        </w:rPr>
        <w:t xml:space="preserve"> will</w:t>
      </w:r>
      <w:r w:rsidRPr="00040AB6">
        <w:rPr>
          <w:rFonts w:asciiTheme="minorHAnsi" w:hAnsiTheme="minorHAnsi" w:cs="Calibri"/>
          <w:sz w:val="24"/>
          <w:szCs w:val="24"/>
        </w:rPr>
        <w:t xml:space="preserve"> not exceed $0.65 per therm</w:t>
      </w:r>
    </w:p>
    <w:p w14:paraId="69012DF2" w14:textId="77777777" w:rsidR="00357665" w:rsidRPr="00040AB6" w:rsidRDefault="00357665" w:rsidP="003B1874">
      <w:pPr>
        <w:spacing w:after="0" w:line="240" w:lineRule="auto"/>
        <w:ind w:left="1440"/>
        <w:rPr>
          <w:rFonts w:asciiTheme="minorHAnsi" w:hAnsiTheme="minorHAnsi" w:cs="Calibri"/>
          <w:sz w:val="24"/>
          <w:szCs w:val="24"/>
        </w:rPr>
      </w:pPr>
    </w:p>
    <w:p w14:paraId="6D4C7C85" w14:textId="77777777" w:rsidR="00357665" w:rsidRPr="00040AB6" w:rsidRDefault="00D558E9" w:rsidP="0047136B">
      <w:pPr>
        <w:spacing w:after="0" w:line="240" w:lineRule="auto"/>
        <w:ind w:left="720"/>
        <w:rPr>
          <w:rFonts w:asciiTheme="minorHAnsi" w:hAnsiTheme="minorHAnsi" w:cs="Calibri"/>
          <w:i/>
          <w:sz w:val="24"/>
          <w:szCs w:val="24"/>
        </w:rPr>
      </w:pPr>
      <w:r w:rsidRPr="00677E81">
        <w:rPr>
          <w:rFonts w:asciiTheme="minorHAnsi" w:hAnsiTheme="minorHAnsi" w:cs="Calibri"/>
          <w:i/>
          <w:sz w:val="24"/>
          <w:szCs w:val="24"/>
        </w:rPr>
        <w:t>This metric is unchanged from last year.</w:t>
      </w:r>
      <w:r w:rsidR="002668F1" w:rsidRPr="00040AB6">
        <w:rPr>
          <w:rFonts w:asciiTheme="minorHAnsi" w:hAnsiTheme="minorHAnsi" w:cs="Calibri"/>
          <w:i/>
          <w:sz w:val="24"/>
          <w:szCs w:val="24"/>
        </w:rPr>
        <w:t xml:space="preserve">  </w:t>
      </w:r>
      <w:r w:rsidR="00814D49" w:rsidRPr="00040AB6">
        <w:rPr>
          <w:rFonts w:asciiTheme="minorHAnsi" w:hAnsiTheme="minorHAnsi" w:cs="Calibri"/>
          <w:i/>
          <w:sz w:val="24"/>
          <w:szCs w:val="24"/>
        </w:rPr>
        <w:t>The profile of NW Natural Washington service territory makes it harder to reduce the averaged levelized cost per therm than it would be in an area with more industrial customers since therm savings are acquired more cost effectively for bigger customers than for residential customers.</w:t>
      </w:r>
      <w:r w:rsidR="00203657" w:rsidRPr="00040AB6">
        <w:rPr>
          <w:rFonts w:asciiTheme="minorHAnsi" w:hAnsiTheme="minorHAnsi" w:cs="Calibri"/>
          <w:i/>
          <w:sz w:val="24"/>
          <w:szCs w:val="24"/>
        </w:rPr>
        <w:t xml:space="preserve">  </w:t>
      </w:r>
    </w:p>
    <w:p w14:paraId="2A51F1D4" w14:textId="77777777" w:rsidR="00357665" w:rsidRPr="00040AB6" w:rsidRDefault="00357665" w:rsidP="00544A5B">
      <w:pPr>
        <w:spacing w:after="0" w:line="240" w:lineRule="auto"/>
        <w:rPr>
          <w:rFonts w:asciiTheme="minorHAnsi" w:hAnsiTheme="minorHAnsi" w:cs="Calibri"/>
          <w:sz w:val="24"/>
          <w:szCs w:val="24"/>
        </w:rPr>
      </w:pPr>
    </w:p>
    <w:p w14:paraId="24B72111" w14:textId="77777777" w:rsidR="00357665" w:rsidRPr="00040AB6" w:rsidRDefault="00106C2C" w:rsidP="001A5A0B">
      <w:pPr>
        <w:numPr>
          <w:ilvl w:val="0"/>
          <w:numId w:val="2"/>
        </w:numPr>
        <w:spacing w:after="0" w:line="240" w:lineRule="auto"/>
        <w:ind w:left="1440"/>
        <w:rPr>
          <w:rFonts w:asciiTheme="minorHAnsi" w:hAnsiTheme="minorHAnsi" w:cs="Calibri"/>
          <w:sz w:val="24"/>
          <w:szCs w:val="24"/>
        </w:rPr>
      </w:pPr>
      <w:r w:rsidRPr="00040AB6">
        <w:rPr>
          <w:rFonts w:asciiTheme="minorHAnsi" w:hAnsiTheme="minorHAnsi" w:cs="Calibri"/>
          <w:sz w:val="24"/>
          <w:szCs w:val="24"/>
        </w:rPr>
        <w:t>First-</w:t>
      </w:r>
      <w:r w:rsidR="00357665" w:rsidRPr="00040AB6">
        <w:rPr>
          <w:rFonts w:asciiTheme="minorHAnsi" w:hAnsiTheme="minorHAnsi" w:cs="Calibri"/>
          <w:sz w:val="24"/>
          <w:szCs w:val="24"/>
        </w:rPr>
        <w:t>y</w:t>
      </w:r>
      <w:r w:rsidR="002668F1" w:rsidRPr="00040AB6">
        <w:rPr>
          <w:rFonts w:asciiTheme="minorHAnsi" w:hAnsiTheme="minorHAnsi" w:cs="Calibri"/>
          <w:sz w:val="24"/>
          <w:szCs w:val="24"/>
        </w:rPr>
        <w:t xml:space="preserve">ear therms will cost less than </w:t>
      </w:r>
      <w:r w:rsidR="00D528F5" w:rsidRPr="00040AB6">
        <w:rPr>
          <w:rFonts w:asciiTheme="minorHAnsi" w:hAnsiTheme="minorHAnsi" w:cs="Calibri"/>
          <w:sz w:val="24"/>
          <w:szCs w:val="24"/>
        </w:rPr>
        <w:t>$</w:t>
      </w:r>
      <w:r w:rsidR="00D558E9" w:rsidRPr="00677E81">
        <w:rPr>
          <w:rFonts w:asciiTheme="minorHAnsi" w:hAnsiTheme="minorHAnsi" w:cs="Calibri"/>
          <w:sz w:val="24"/>
          <w:szCs w:val="24"/>
        </w:rPr>
        <w:t>6.50</w:t>
      </w:r>
      <w:r w:rsidR="00D528F5" w:rsidRPr="00040AB6">
        <w:rPr>
          <w:rFonts w:asciiTheme="minorHAnsi" w:hAnsiTheme="minorHAnsi" w:cs="Calibri"/>
          <w:sz w:val="24"/>
          <w:szCs w:val="24"/>
        </w:rPr>
        <w:t xml:space="preserve"> </w:t>
      </w:r>
      <w:r w:rsidR="00357665" w:rsidRPr="00040AB6">
        <w:rPr>
          <w:rFonts w:asciiTheme="minorHAnsi" w:hAnsiTheme="minorHAnsi" w:cs="Calibri"/>
          <w:sz w:val="24"/>
          <w:szCs w:val="24"/>
        </w:rPr>
        <w:t xml:space="preserve">per therm </w:t>
      </w:r>
    </w:p>
    <w:p w14:paraId="207C54DB" w14:textId="77777777" w:rsidR="00357665" w:rsidRPr="00040AB6" w:rsidRDefault="00357665" w:rsidP="001A5A0B">
      <w:pPr>
        <w:spacing w:after="0" w:line="240" w:lineRule="auto"/>
        <w:ind w:left="1440"/>
        <w:rPr>
          <w:rFonts w:asciiTheme="minorHAnsi" w:hAnsiTheme="minorHAnsi" w:cs="Calibri"/>
          <w:sz w:val="24"/>
          <w:szCs w:val="24"/>
        </w:rPr>
      </w:pPr>
    </w:p>
    <w:p w14:paraId="5CD01A91" w14:textId="2787EF6D" w:rsidR="00357665" w:rsidRPr="00040AB6" w:rsidRDefault="00357665" w:rsidP="0047136B">
      <w:pPr>
        <w:tabs>
          <w:tab w:val="left" w:pos="720"/>
        </w:tabs>
        <w:spacing w:after="0" w:line="240" w:lineRule="auto"/>
        <w:ind w:left="720"/>
        <w:rPr>
          <w:rFonts w:asciiTheme="minorHAnsi" w:hAnsiTheme="minorHAnsi" w:cs="Calibri"/>
          <w:sz w:val="24"/>
          <w:szCs w:val="24"/>
        </w:rPr>
      </w:pPr>
      <w:r w:rsidRPr="00040AB6">
        <w:rPr>
          <w:rFonts w:asciiTheme="minorHAnsi" w:hAnsiTheme="minorHAnsi" w:cs="Calibri"/>
          <w:i/>
          <w:sz w:val="24"/>
          <w:szCs w:val="24"/>
        </w:rPr>
        <w:t xml:space="preserve">This metric </w:t>
      </w:r>
      <w:r w:rsidR="00203657" w:rsidRPr="00040AB6">
        <w:rPr>
          <w:rFonts w:asciiTheme="minorHAnsi" w:hAnsiTheme="minorHAnsi" w:cs="Calibri"/>
          <w:i/>
          <w:sz w:val="24"/>
          <w:szCs w:val="24"/>
        </w:rPr>
        <w:t xml:space="preserve">remains unchanged from </w:t>
      </w:r>
      <w:r w:rsidR="00EA2A1F" w:rsidRPr="00040AB6">
        <w:rPr>
          <w:rFonts w:asciiTheme="minorHAnsi" w:hAnsiTheme="minorHAnsi" w:cs="Calibri"/>
          <w:i/>
          <w:sz w:val="24"/>
          <w:szCs w:val="24"/>
        </w:rPr>
        <w:t>2013</w:t>
      </w:r>
      <w:r w:rsidR="00035E11">
        <w:rPr>
          <w:rFonts w:asciiTheme="minorHAnsi" w:hAnsiTheme="minorHAnsi" w:cs="Calibri"/>
          <w:i/>
          <w:sz w:val="24"/>
          <w:szCs w:val="24"/>
        </w:rPr>
        <w:t>,</w:t>
      </w:r>
      <w:r w:rsidR="00A87A83">
        <w:rPr>
          <w:rFonts w:asciiTheme="minorHAnsi" w:hAnsiTheme="minorHAnsi" w:cs="Calibri"/>
          <w:i/>
          <w:sz w:val="24"/>
          <w:szCs w:val="24"/>
        </w:rPr>
        <w:t xml:space="preserve"> </w:t>
      </w:r>
      <w:r w:rsidR="00EA2A1F" w:rsidRPr="00040AB6">
        <w:rPr>
          <w:rFonts w:asciiTheme="minorHAnsi" w:hAnsiTheme="minorHAnsi" w:cs="Calibri"/>
          <w:i/>
          <w:sz w:val="24"/>
          <w:szCs w:val="24"/>
        </w:rPr>
        <w:t>2014</w:t>
      </w:r>
      <w:r w:rsidR="00035E11">
        <w:rPr>
          <w:rFonts w:asciiTheme="minorHAnsi" w:hAnsiTheme="minorHAnsi" w:cs="Calibri"/>
          <w:i/>
          <w:sz w:val="24"/>
          <w:szCs w:val="24"/>
        </w:rPr>
        <w:t>, and 2015</w:t>
      </w:r>
      <w:r w:rsidR="00EA2A1F" w:rsidRPr="00040AB6">
        <w:rPr>
          <w:rFonts w:asciiTheme="minorHAnsi" w:hAnsiTheme="minorHAnsi" w:cs="Calibri"/>
          <w:i/>
          <w:sz w:val="24"/>
          <w:szCs w:val="24"/>
        </w:rPr>
        <w:t>.</w:t>
      </w:r>
      <w:r w:rsidR="00EA2A1F" w:rsidRPr="00040AB6">
        <w:rPr>
          <w:rFonts w:asciiTheme="minorHAnsi" w:hAnsiTheme="minorHAnsi" w:cs="Calibri"/>
          <w:sz w:val="24"/>
          <w:szCs w:val="24"/>
        </w:rPr>
        <w:t xml:space="preserve">  </w:t>
      </w:r>
    </w:p>
    <w:p w14:paraId="369811AE" w14:textId="77777777" w:rsidR="00357665" w:rsidRPr="00040AB6" w:rsidRDefault="00357665" w:rsidP="001A5A0B">
      <w:pPr>
        <w:spacing w:after="0" w:line="240" w:lineRule="auto"/>
        <w:rPr>
          <w:rFonts w:asciiTheme="minorHAnsi" w:hAnsiTheme="minorHAnsi" w:cs="Calibri"/>
          <w:sz w:val="24"/>
          <w:szCs w:val="24"/>
        </w:rPr>
      </w:pPr>
    </w:p>
    <w:p w14:paraId="02EB145C" w14:textId="77777777" w:rsidR="00357665" w:rsidRPr="00040AB6" w:rsidRDefault="00854330" w:rsidP="00913254">
      <w:pPr>
        <w:numPr>
          <w:ilvl w:val="0"/>
          <w:numId w:val="2"/>
        </w:numPr>
        <w:spacing w:after="0" w:line="240" w:lineRule="auto"/>
        <w:ind w:left="1440"/>
        <w:rPr>
          <w:rFonts w:asciiTheme="minorHAnsi" w:hAnsiTheme="minorHAnsi" w:cs="Calibri"/>
          <w:sz w:val="24"/>
          <w:szCs w:val="24"/>
        </w:rPr>
      </w:pPr>
      <w:r w:rsidRPr="00040AB6">
        <w:rPr>
          <w:rFonts w:asciiTheme="minorHAnsi" w:hAnsiTheme="minorHAnsi" w:cs="Calibri"/>
          <w:sz w:val="24"/>
          <w:szCs w:val="24"/>
        </w:rPr>
        <w:t>The UCT</w:t>
      </w:r>
      <w:r w:rsidR="00357665" w:rsidRPr="00040AB6">
        <w:rPr>
          <w:rFonts w:asciiTheme="minorHAnsi" w:hAnsiTheme="minorHAnsi" w:cs="Calibri"/>
          <w:sz w:val="24"/>
          <w:szCs w:val="24"/>
        </w:rPr>
        <w:t xml:space="preserve"> at the portfolio level </w:t>
      </w:r>
      <w:r w:rsidRPr="00040AB6">
        <w:rPr>
          <w:rFonts w:asciiTheme="minorHAnsi" w:hAnsiTheme="minorHAnsi" w:cs="Calibri"/>
          <w:sz w:val="24"/>
          <w:szCs w:val="24"/>
        </w:rPr>
        <w:t xml:space="preserve">is </w:t>
      </w:r>
      <w:r w:rsidR="00357665" w:rsidRPr="00040AB6">
        <w:rPr>
          <w:rFonts w:asciiTheme="minorHAnsi" w:hAnsiTheme="minorHAnsi" w:cs="Calibri"/>
          <w:sz w:val="24"/>
          <w:szCs w:val="24"/>
        </w:rPr>
        <w:t>greater than 1.0</w:t>
      </w:r>
    </w:p>
    <w:p w14:paraId="0F78C03A" w14:textId="77777777" w:rsidR="00544A5B" w:rsidRPr="00040AB6" w:rsidRDefault="00544A5B" w:rsidP="00544A5B">
      <w:pPr>
        <w:spacing w:after="0" w:line="240" w:lineRule="auto"/>
        <w:ind w:left="1440"/>
        <w:rPr>
          <w:rFonts w:asciiTheme="minorHAnsi" w:hAnsiTheme="minorHAnsi" w:cs="Calibri"/>
          <w:sz w:val="24"/>
          <w:szCs w:val="24"/>
        </w:rPr>
      </w:pPr>
    </w:p>
    <w:bookmarkEnd w:id="1"/>
    <w:bookmarkEnd w:id="2"/>
    <w:p w14:paraId="26732A65" w14:textId="77777777" w:rsidR="00357665" w:rsidRPr="00040AB6" w:rsidRDefault="00357665" w:rsidP="0047136B">
      <w:pPr>
        <w:ind w:left="720"/>
        <w:rPr>
          <w:rFonts w:asciiTheme="minorHAnsi" w:hAnsiTheme="minorHAnsi" w:cs="Calibri"/>
          <w:i/>
          <w:sz w:val="24"/>
          <w:szCs w:val="24"/>
        </w:rPr>
      </w:pPr>
      <w:r w:rsidRPr="00040AB6">
        <w:rPr>
          <w:rFonts w:asciiTheme="minorHAnsi" w:hAnsiTheme="minorHAnsi" w:cs="Calibri"/>
          <w:i/>
          <w:sz w:val="24"/>
          <w:szCs w:val="24"/>
        </w:rPr>
        <w:t>The UC</w:t>
      </w:r>
      <w:r w:rsidR="00E2534C" w:rsidRPr="00040AB6">
        <w:rPr>
          <w:rFonts w:asciiTheme="minorHAnsi" w:hAnsiTheme="minorHAnsi" w:cs="Calibri"/>
          <w:i/>
          <w:sz w:val="24"/>
          <w:szCs w:val="24"/>
        </w:rPr>
        <w:t>T</w:t>
      </w:r>
      <w:r w:rsidRPr="00040AB6">
        <w:rPr>
          <w:rFonts w:asciiTheme="minorHAnsi" w:hAnsiTheme="minorHAnsi" w:cs="Calibri"/>
          <w:i/>
          <w:sz w:val="24"/>
          <w:szCs w:val="24"/>
        </w:rPr>
        <w:t xml:space="preserve"> shall be calculated as prescribed in Schedule G.  A value greater than 1.0 demonstrates that the benefits received are greater than the costs.  This test is applied at </w:t>
      </w:r>
      <w:r w:rsidR="00E2534C" w:rsidRPr="00040AB6">
        <w:rPr>
          <w:rFonts w:asciiTheme="minorHAnsi" w:hAnsiTheme="minorHAnsi" w:cs="Calibri"/>
          <w:i/>
          <w:sz w:val="24"/>
          <w:szCs w:val="24"/>
        </w:rPr>
        <w:t xml:space="preserve">the portfolio level.  </w:t>
      </w:r>
    </w:p>
    <w:p w14:paraId="2B2E2D73" w14:textId="24F8F95F" w:rsidR="00357665" w:rsidRPr="00040AB6" w:rsidRDefault="00357665" w:rsidP="00F74A9E">
      <w:pPr>
        <w:ind w:left="720"/>
        <w:rPr>
          <w:rFonts w:asciiTheme="minorHAnsi" w:hAnsiTheme="minorHAnsi" w:cs="Calibri"/>
          <w:sz w:val="24"/>
          <w:szCs w:val="24"/>
          <w:u w:val="single"/>
        </w:rPr>
      </w:pPr>
      <w:bookmarkStart w:id="3" w:name="OLE_LINK19"/>
      <w:bookmarkStart w:id="4" w:name="OLE_LINK20"/>
      <w:r w:rsidRPr="00040AB6">
        <w:rPr>
          <w:rFonts w:asciiTheme="minorHAnsi" w:hAnsiTheme="minorHAnsi" w:cs="Calibri"/>
          <w:sz w:val="24"/>
          <w:szCs w:val="24"/>
          <w:u w:val="single"/>
        </w:rPr>
        <w:t xml:space="preserve">Schedule I, Washington Low Income Energy Efficiency (WA-LIEE) </w:t>
      </w:r>
      <w:r w:rsidR="00EA2A1F" w:rsidRPr="00040AB6">
        <w:rPr>
          <w:rFonts w:asciiTheme="minorHAnsi" w:hAnsiTheme="minorHAnsi" w:cs="Calibri"/>
          <w:sz w:val="24"/>
          <w:szCs w:val="24"/>
          <w:u w:val="single"/>
        </w:rPr>
        <w:t>201</w:t>
      </w:r>
      <w:r w:rsidR="00A87A83">
        <w:rPr>
          <w:rFonts w:asciiTheme="minorHAnsi" w:hAnsiTheme="minorHAnsi" w:cs="Calibri"/>
          <w:sz w:val="24"/>
          <w:szCs w:val="24"/>
          <w:u w:val="single"/>
        </w:rPr>
        <w:t>6</w:t>
      </w:r>
      <w:r w:rsidR="00EA2A1F" w:rsidRPr="00040AB6">
        <w:rPr>
          <w:rFonts w:asciiTheme="minorHAnsi" w:hAnsiTheme="minorHAnsi" w:cs="Calibri"/>
          <w:sz w:val="24"/>
          <w:szCs w:val="24"/>
          <w:u w:val="single"/>
        </w:rPr>
        <w:t xml:space="preserve"> </w:t>
      </w:r>
      <w:r w:rsidRPr="00040AB6">
        <w:rPr>
          <w:rFonts w:asciiTheme="minorHAnsi" w:hAnsiTheme="minorHAnsi" w:cs="Calibri"/>
          <w:sz w:val="24"/>
          <w:szCs w:val="24"/>
          <w:u w:val="single"/>
        </w:rPr>
        <w:t>Performance Targets</w:t>
      </w:r>
    </w:p>
    <w:p w14:paraId="25925691" w14:textId="133BFB1A" w:rsidR="00FF40CC" w:rsidRPr="00040AB6" w:rsidRDefault="00357665" w:rsidP="00F74A9E">
      <w:pPr>
        <w:ind w:left="720"/>
        <w:rPr>
          <w:rFonts w:asciiTheme="minorHAnsi" w:hAnsiTheme="minorHAnsi" w:cs="Calibri"/>
          <w:i/>
          <w:sz w:val="24"/>
          <w:szCs w:val="24"/>
        </w:rPr>
      </w:pPr>
      <w:r w:rsidRPr="00040AB6">
        <w:rPr>
          <w:rFonts w:asciiTheme="minorHAnsi" w:hAnsiTheme="minorHAnsi" w:cs="Calibri"/>
          <w:i/>
          <w:sz w:val="24"/>
          <w:szCs w:val="24"/>
        </w:rPr>
        <w:t xml:space="preserve">In </w:t>
      </w:r>
      <w:r w:rsidR="00035E11" w:rsidRPr="00040AB6">
        <w:rPr>
          <w:rFonts w:asciiTheme="minorHAnsi" w:hAnsiTheme="minorHAnsi" w:cs="Calibri"/>
          <w:i/>
          <w:sz w:val="24"/>
          <w:szCs w:val="24"/>
        </w:rPr>
        <w:t>201</w:t>
      </w:r>
      <w:r w:rsidR="00035E11">
        <w:rPr>
          <w:rFonts w:asciiTheme="minorHAnsi" w:hAnsiTheme="minorHAnsi" w:cs="Calibri"/>
          <w:i/>
          <w:sz w:val="24"/>
          <w:szCs w:val="24"/>
        </w:rPr>
        <w:t>6</w:t>
      </w:r>
      <w:r w:rsidRPr="00040AB6">
        <w:rPr>
          <w:rFonts w:asciiTheme="minorHAnsi" w:hAnsiTheme="minorHAnsi" w:cs="Calibri"/>
          <w:i/>
          <w:sz w:val="24"/>
          <w:szCs w:val="24"/>
        </w:rPr>
        <w:t>, the WA-LIEE pro</w:t>
      </w:r>
      <w:r w:rsidR="00F25BC2" w:rsidRPr="00040AB6">
        <w:rPr>
          <w:rFonts w:asciiTheme="minorHAnsi" w:hAnsiTheme="minorHAnsi" w:cs="Calibri"/>
          <w:i/>
          <w:sz w:val="24"/>
          <w:szCs w:val="24"/>
        </w:rPr>
        <w:t xml:space="preserve">gram will strive to weatherize </w:t>
      </w:r>
      <w:r w:rsidR="00A770B5">
        <w:rPr>
          <w:rFonts w:asciiTheme="minorHAnsi" w:hAnsiTheme="minorHAnsi" w:cs="Calibri"/>
          <w:i/>
          <w:sz w:val="24"/>
          <w:szCs w:val="24"/>
        </w:rPr>
        <w:t>15-</w:t>
      </w:r>
      <w:r w:rsidR="006315B0">
        <w:rPr>
          <w:rFonts w:asciiTheme="minorHAnsi" w:hAnsiTheme="minorHAnsi" w:cs="Calibri"/>
          <w:i/>
          <w:sz w:val="24"/>
          <w:szCs w:val="24"/>
        </w:rPr>
        <w:t>2</w:t>
      </w:r>
      <w:r w:rsidR="00A770B5">
        <w:rPr>
          <w:rFonts w:asciiTheme="minorHAnsi" w:hAnsiTheme="minorHAnsi" w:cs="Calibri"/>
          <w:i/>
          <w:sz w:val="24"/>
          <w:szCs w:val="24"/>
        </w:rPr>
        <w:t>5</w:t>
      </w:r>
      <w:r w:rsidR="00CB32EA" w:rsidRPr="00040AB6">
        <w:rPr>
          <w:rFonts w:asciiTheme="minorHAnsi" w:hAnsiTheme="minorHAnsi" w:cs="Calibri"/>
          <w:i/>
          <w:sz w:val="24"/>
          <w:szCs w:val="24"/>
        </w:rPr>
        <w:t xml:space="preserve"> </w:t>
      </w:r>
      <w:r w:rsidRPr="00040AB6">
        <w:rPr>
          <w:rFonts w:asciiTheme="minorHAnsi" w:hAnsiTheme="minorHAnsi" w:cs="Calibri"/>
          <w:i/>
          <w:sz w:val="24"/>
          <w:szCs w:val="24"/>
        </w:rPr>
        <w:t>homes for a cost of</w:t>
      </w:r>
      <w:r w:rsidR="00CB32EA" w:rsidRPr="00040AB6">
        <w:rPr>
          <w:rFonts w:asciiTheme="minorHAnsi" w:hAnsiTheme="minorHAnsi" w:cs="Calibri"/>
          <w:i/>
          <w:sz w:val="24"/>
          <w:szCs w:val="24"/>
        </w:rPr>
        <w:t xml:space="preserve"> </w:t>
      </w:r>
      <w:r w:rsidR="00870A4C" w:rsidRPr="007E4263">
        <w:rPr>
          <w:rFonts w:asciiTheme="minorHAnsi" w:hAnsiTheme="minorHAnsi" w:cs="Calibri"/>
          <w:i/>
          <w:sz w:val="24"/>
          <w:szCs w:val="24"/>
        </w:rPr>
        <w:t>$</w:t>
      </w:r>
      <w:r w:rsidR="008921E9">
        <w:rPr>
          <w:rFonts w:asciiTheme="minorHAnsi" w:hAnsiTheme="minorHAnsi" w:cs="Calibri"/>
          <w:i/>
          <w:sz w:val="24"/>
          <w:szCs w:val="24"/>
        </w:rPr>
        <w:t>96,300</w:t>
      </w:r>
      <w:r w:rsidR="00A770B5" w:rsidRPr="007E4263">
        <w:rPr>
          <w:rFonts w:asciiTheme="minorHAnsi" w:hAnsiTheme="minorHAnsi" w:cs="Calibri"/>
          <w:i/>
          <w:sz w:val="24"/>
          <w:szCs w:val="24"/>
        </w:rPr>
        <w:t xml:space="preserve"> </w:t>
      </w:r>
      <w:r w:rsidR="00870A4C" w:rsidRPr="007E4263">
        <w:rPr>
          <w:rFonts w:asciiTheme="minorHAnsi" w:hAnsiTheme="minorHAnsi" w:cs="Calibri"/>
          <w:i/>
          <w:sz w:val="24"/>
          <w:szCs w:val="24"/>
        </w:rPr>
        <w:t>to $</w:t>
      </w:r>
      <w:r w:rsidR="008921E9">
        <w:rPr>
          <w:rFonts w:asciiTheme="minorHAnsi" w:hAnsiTheme="minorHAnsi" w:cs="Calibri"/>
          <w:i/>
          <w:sz w:val="24"/>
          <w:szCs w:val="24"/>
        </w:rPr>
        <w:t>160,500</w:t>
      </w:r>
      <w:r w:rsidRPr="00040AB6">
        <w:rPr>
          <w:rFonts w:asciiTheme="minorHAnsi" w:hAnsiTheme="minorHAnsi" w:cs="Calibri"/>
          <w:i/>
          <w:sz w:val="24"/>
          <w:szCs w:val="24"/>
        </w:rPr>
        <w:t xml:space="preserve">. Assumptions are as provided </w:t>
      </w:r>
      <w:r w:rsidR="005E1B95">
        <w:rPr>
          <w:rFonts w:asciiTheme="minorHAnsi" w:hAnsiTheme="minorHAnsi" w:cs="Calibri"/>
          <w:i/>
          <w:sz w:val="24"/>
          <w:szCs w:val="24"/>
        </w:rPr>
        <w:t>in the following table:</w:t>
      </w:r>
      <w:r w:rsidRPr="00040AB6">
        <w:rPr>
          <w:rFonts w:asciiTheme="minorHAnsi" w:hAnsiTheme="minorHAnsi" w:cs="Calibri"/>
          <w:i/>
          <w:sz w:val="24"/>
          <w:szCs w:val="24"/>
        </w:rPr>
        <w:t xml:space="preserve"> </w:t>
      </w:r>
    </w:p>
    <w:p w14:paraId="7A0FBE95" w14:textId="32187F6D" w:rsidR="00357665" w:rsidRPr="00040AB6" w:rsidRDefault="00357665" w:rsidP="0038164D">
      <w:pPr>
        <w:spacing w:after="0" w:line="240" w:lineRule="auto"/>
        <w:ind w:firstLine="720"/>
        <w:rPr>
          <w:rFonts w:asciiTheme="minorHAnsi" w:hAnsiTheme="minorHAnsi" w:cs="Calibri"/>
          <w:b/>
        </w:rPr>
      </w:pPr>
      <w:r w:rsidRPr="00040AB6">
        <w:rPr>
          <w:rFonts w:asciiTheme="minorHAnsi" w:hAnsiTheme="minorHAnsi" w:cs="Calibri"/>
          <w:b/>
        </w:rPr>
        <w:t xml:space="preserve">WA-LIEE </w:t>
      </w:r>
      <w:r w:rsidR="00035E11" w:rsidRPr="00040AB6">
        <w:rPr>
          <w:rFonts w:asciiTheme="minorHAnsi" w:hAnsiTheme="minorHAnsi" w:cs="Calibri"/>
          <w:b/>
        </w:rPr>
        <w:t>201</w:t>
      </w:r>
      <w:r w:rsidR="00035E11">
        <w:rPr>
          <w:rFonts w:asciiTheme="minorHAnsi" w:hAnsiTheme="minorHAnsi" w:cs="Calibri"/>
          <w:b/>
        </w:rPr>
        <w:t>6</w:t>
      </w:r>
      <w:r w:rsidR="00035E11" w:rsidRPr="00040AB6">
        <w:rPr>
          <w:rFonts w:asciiTheme="minorHAnsi" w:hAnsiTheme="minorHAnsi" w:cs="Calibri"/>
          <w:b/>
        </w:rPr>
        <w:t xml:space="preserve"> </w:t>
      </w:r>
      <w:r w:rsidRPr="00040AB6">
        <w:rPr>
          <w:rFonts w:asciiTheme="minorHAnsi" w:hAnsiTheme="minorHAnsi" w:cs="Calibri"/>
          <w:b/>
        </w:rPr>
        <w:t>Performance Targets</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0"/>
        <w:gridCol w:w="2082"/>
      </w:tblGrid>
      <w:tr w:rsidR="00CB32EA" w:rsidRPr="00A87A83" w14:paraId="5A74223E" w14:textId="77777777" w:rsidTr="00FF2CB2">
        <w:trPr>
          <w:trHeight w:val="400"/>
        </w:trPr>
        <w:tc>
          <w:tcPr>
            <w:tcW w:w="4530" w:type="dxa"/>
            <w:vAlign w:val="center"/>
          </w:tcPr>
          <w:p w14:paraId="490F4607" w14:textId="77777777" w:rsidR="00CB32EA" w:rsidRPr="007E4263" w:rsidRDefault="00870A4C" w:rsidP="00570966">
            <w:pPr>
              <w:spacing w:after="0" w:line="240" w:lineRule="auto"/>
              <w:rPr>
                <w:rFonts w:asciiTheme="minorHAnsi" w:hAnsiTheme="minorHAnsi" w:cs="Calibri"/>
              </w:rPr>
            </w:pPr>
            <w:r w:rsidRPr="007E4263">
              <w:rPr>
                <w:rFonts w:asciiTheme="minorHAnsi" w:hAnsiTheme="minorHAnsi" w:cs="Calibri"/>
              </w:rPr>
              <w:t>Estimated homes served</w:t>
            </w:r>
          </w:p>
        </w:tc>
        <w:tc>
          <w:tcPr>
            <w:tcW w:w="2082" w:type="dxa"/>
            <w:vAlign w:val="center"/>
          </w:tcPr>
          <w:p w14:paraId="69FE4399" w14:textId="01163FB7" w:rsidR="00CB32EA" w:rsidRPr="007E4263" w:rsidRDefault="00A770B5" w:rsidP="00A770B5">
            <w:pPr>
              <w:spacing w:after="0" w:line="240" w:lineRule="auto"/>
              <w:jc w:val="center"/>
              <w:rPr>
                <w:rFonts w:asciiTheme="minorHAnsi" w:hAnsiTheme="minorHAnsi" w:cs="Calibri"/>
              </w:rPr>
            </w:pPr>
            <w:r w:rsidRPr="007E4263">
              <w:rPr>
                <w:rFonts w:asciiTheme="minorHAnsi" w:hAnsiTheme="minorHAnsi" w:cs="Calibri"/>
              </w:rPr>
              <w:t>15-</w:t>
            </w:r>
            <w:r w:rsidR="00BC45BB" w:rsidRPr="007E4263">
              <w:rPr>
                <w:rFonts w:asciiTheme="minorHAnsi" w:hAnsiTheme="minorHAnsi" w:cs="Calibri"/>
              </w:rPr>
              <w:t>2</w:t>
            </w:r>
            <w:r w:rsidRPr="007E4263">
              <w:rPr>
                <w:rFonts w:asciiTheme="minorHAnsi" w:hAnsiTheme="minorHAnsi" w:cs="Calibri"/>
              </w:rPr>
              <w:t>5</w:t>
            </w:r>
          </w:p>
        </w:tc>
      </w:tr>
      <w:tr w:rsidR="00CB32EA" w:rsidRPr="00A87A83" w14:paraId="1D6E2E0E" w14:textId="77777777" w:rsidTr="00FF2CB2">
        <w:trPr>
          <w:trHeight w:val="400"/>
        </w:trPr>
        <w:tc>
          <w:tcPr>
            <w:tcW w:w="4530" w:type="dxa"/>
            <w:vAlign w:val="center"/>
          </w:tcPr>
          <w:p w14:paraId="34528050" w14:textId="77777777" w:rsidR="00CB32EA" w:rsidRPr="007E4263" w:rsidRDefault="00870A4C" w:rsidP="00500691">
            <w:pPr>
              <w:spacing w:after="0" w:line="240" w:lineRule="auto"/>
              <w:rPr>
                <w:rFonts w:asciiTheme="minorHAnsi" w:hAnsiTheme="minorHAnsi" w:cs="Calibri"/>
              </w:rPr>
            </w:pPr>
            <w:r w:rsidRPr="007E4263">
              <w:rPr>
                <w:rFonts w:asciiTheme="minorHAnsi" w:hAnsiTheme="minorHAnsi" w:cs="Calibri"/>
              </w:rPr>
              <w:t>Estimated Average Cost of Incentives per home</w:t>
            </w:r>
          </w:p>
        </w:tc>
        <w:tc>
          <w:tcPr>
            <w:tcW w:w="2082" w:type="dxa"/>
            <w:vAlign w:val="center"/>
          </w:tcPr>
          <w:p w14:paraId="5C114418" w14:textId="5792D762" w:rsidR="00CB32EA" w:rsidRPr="007E4263" w:rsidRDefault="00870A4C" w:rsidP="002F795F">
            <w:pPr>
              <w:spacing w:after="0" w:line="240" w:lineRule="auto"/>
              <w:jc w:val="center"/>
              <w:rPr>
                <w:rFonts w:asciiTheme="minorHAnsi" w:hAnsiTheme="minorHAnsi" w:cs="Calibri"/>
              </w:rPr>
            </w:pPr>
            <w:r w:rsidRPr="007E4263">
              <w:rPr>
                <w:rFonts w:asciiTheme="minorHAnsi" w:hAnsiTheme="minorHAnsi" w:cs="Calibri"/>
              </w:rPr>
              <w:t>$</w:t>
            </w:r>
            <w:r w:rsidR="006315B0" w:rsidRPr="007E4263">
              <w:rPr>
                <w:rFonts w:asciiTheme="minorHAnsi" w:hAnsiTheme="minorHAnsi" w:cs="Calibri"/>
              </w:rPr>
              <w:t>5,</w:t>
            </w:r>
            <w:r w:rsidR="002F795F">
              <w:rPr>
                <w:rFonts w:asciiTheme="minorHAnsi" w:hAnsiTheme="minorHAnsi" w:cs="Calibri"/>
              </w:rPr>
              <w:t>2</w:t>
            </w:r>
            <w:r w:rsidR="002F795F" w:rsidRPr="007E4263">
              <w:rPr>
                <w:rFonts w:asciiTheme="minorHAnsi" w:hAnsiTheme="minorHAnsi" w:cs="Calibri"/>
              </w:rPr>
              <w:t>00</w:t>
            </w:r>
          </w:p>
        </w:tc>
      </w:tr>
      <w:tr w:rsidR="00CB32EA" w:rsidRPr="00A87A83" w14:paraId="3D2008AC" w14:textId="77777777" w:rsidTr="00FF2CB2">
        <w:trPr>
          <w:trHeight w:val="400"/>
        </w:trPr>
        <w:tc>
          <w:tcPr>
            <w:tcW w:w="4530" w:type="dxa"/>
            <w:vAlign w:val="center"/>
          </w:tcPr>
          <w:p w14:paraId="26E980B1" w14:textId="426B8BC6" w:rsidR="00CB32EA" w:rsidRPr="007E4263" w:rsidRDefault="00870A4C" w:rsidP="0038164D">
            <w:pPr>
              <w:spacing w:after="0" w:line="240" w:lineRule="auto"/>
              <w:rPr>
                <w:rFonts w:asciiTheme="minorHAnsi" w:hAnsiTheme="minorHAnsi" w:cs="Calibri"/>
              </w:rPr>
            </w:pPr>
            <w:r w:rsidRPr="007E4263">
              <w:rPr>
                <w:rFonts w:asciiTheme="minorHAnsi" w:hAnsiTheme="minorHAnsi" w:cs="Calibri"/>
              </w:rPr>
              <w:t>Maximum Cost per home ($</w:t>
            </w:r>
            <w:r w:rsidR="006315B0" w:rsidRPr="007E4263">
              <w:rPr>
                <w:rFonts w:asciiTheme="minorHAnsi" w:hAnsiTheme="minorHAnsi" w:cs="Calibri"/>
              </w:rPr>
              <w:t>5,</w:t>
            </w:r>
            <w:r w:rsidR="0038164D">
              <w:rPr>
                <w:rFonts w:asciiTheme="minorHAnsi" w:hAnsiTheme="minorHAnsi" w:cs="Calibri"/>
              </w:rPr>
              <w:t>2</w:t>
            </w:r>
            <w:r w:rsidR="006315B0" w:rsidRPr="007E4263">
              <w:rPr>
                <w:rFonts w:asciiTheme="minorHAnsi" w:hAnsiTheme="minorHAnsi" w:cs="Calibri"/>
              </w:rPr>
              <w:t>00</w:t>
            </w:r>
            <w:r w:rsidRPr="007E4263">
              <w:rPr>
                <w:rFonts w:asciiTheme="minorHAnsi" w:hAnsiTheme="minorHAnsi" w:cs="Calibri"/>
              </w:rPr>
              <w:t xml:space="preserve"> incentives + $440 health, safety and repairs and $</w:t>
            </w:r>
            <w:r w:rsidR="0038164D">
              <w:rPr>
                <w:rFonts w:asciiTheme="minorHAnsi" w:hAnsiTheme="minorHAnsi" w:cs="Calibri"/>
              </w:rPr>
              <w:t>780</w:t>
            </w:r>
            <w:r w:rsidR="006315B0" w:rsidRPr="007E4263">
              <w:rPr>
                <w:rFonts w:asciiTheme="minorHAnsi" w:hAnsiTheme="minorHAnsi" w:cs="Calibri"/>
              </w:rPr>
              <w:t xml:space="preserve"> </w:t>
            </w:r>
            <w:r w:rsidRPr="007E4263">
              <w:rPr>
                <w:rFonts w:asciiTheme="minorHAnsi" w:hAnsiTheme="minorHAnsi" w:cs="Calibri"/>
              </w:rPr>
              <w:t>administration costs)</w:t>
            </w:r>
          </w:p>
        </w:tc>
        <w:tc>
          <w:tcPr>
            <w:tcW w:w="2082" w:type="dxa"/>
            <w:vAlign w:val="center"/>
          </w:tcPr>
          <w:p w14:paraId="66FAC337" w14:textId="1B2FA814" w:rsidR="00CB32EA" w:rsidRPr="007E4263" w:rsidRDefault="00870A4C" w:rsidP="002F795F">
            <w:pPr>
              <w:tabs>
                <w:tab w:val="center" w:pos="4680"/>
                <w:tab w:val="right" w:pos="9360"/>
              </w:tabs>
              <w:spacing w:after="0" w:line="240" w:lineRule="auto"/>
              <w:jc w:val="center"/>
              <w:rPr>
                <w:rFonts w:asciiTheme="minorHAnsi" w:hAnsiTheme="minorHAnsi" w:cs="Calibri"/>
              </w:rPr>
            </w:pPr>
            <w:r w:rsidRPr="007E4263">
              <w:rPr>
                <w:rFonts w:asciiTheme="minorHAnsi" w:hAnsiTheme="minorHAnsi" w:cs="Calibri"/>
              </w:rPr>
              <w:t>$</w:t>
            </w:r>
            <w:r w:rsidR="00BC45BB" w:rsidRPr="007E4263">
              <w:rPr>
                <w:rFonts w:asciiTheme="minorHAnsi" w:hAnsiTheme="minorHAnsi" w:cs="Calibri"/>
              </w:rPr>
              <w:t>6,</w:t>
            </w:r>
            <w:r w:rsidR="002F795F">
              <w:rPr>
                <w:rFonts w:asciiTheme="minorHAnsi" w:hAnsiTheme="minorHAnsi" w:cs="Calibri"/>
              </w:rPr>
              <w:t>420</w:t>
            </w:r>
          </w:p>
        </w:tc>
      </w:tr>
      <w:tr w:rsidR="00CB32EA" w:rsidRPr="00A87A83" w14:paraId="427F0472" w14:textId="77777777" w:rsidTr="00FF2CB2">
        <w:trPr>
          <w:trHeight w:val="400"/>
        </w:trPr>
        <w:tc>
          <w:tcPr>
            <w:tcW w:w="4530" w:type="dxa"/>
            <w:vAlign w:val="center"/>
          </w:tcPr>
          <w:p w14:paraId="10F97359" w14:textId="77777777" w:rsidR="00CB32EA" w:rsidRPr="007E4263" w:rsidRDefault="00870A4C" w:rsidP="00570966">
            <w:pPr>
              <w:tabs>
                <w:tab w:val="center" w:pos="4680"/>
                <w:tab w:val="right" w:pos="9360"/>
              </w:tabs>
              <w:spacing w:after="0" w:line="240" w:lineRule="auto"/>
              <w:rPr>
                <w:rFonts w:asciiTheme="minorHAnsi" w:hAnsiTheme="minorHAnsi" w:cs="Calibri"/>
              </w:rPr>
            </w:pPr>
            <w:r w:rsidRPr="007E4263">
              <w:rPr>
                <w:rFonts w:asciiTheme="minorHAnsi" w:hAnsiTheme="minorHAnsi" w:cs="Calibri"/>
              </w:rPr>
              <w:t>Maximum cost based on estimated homes served</w:t>
            </w:r>
          </w:p>
        </w:tc>
        <w:tc>
          <w:tcPr>
            <w:tcW w:w="2082" w:type="dxa"/>
            <w:vAlign w:val="center"/>
          </w:tcPr>
          <w:p w14:paraId="4CCACE09" w14:textId="5EA2505E" w:rsidR="00C671A4" w:rsidRPr="007E4263" w:rsidRDefault="00870A4C" w:rsidP="00C32BC6">
            <w:pPr>
              <w:tabs>
                <w:tab w:val="center" w:pos="4680"/>
                <w:tab w:val="right" w:pos="9360"/>
              </w:tabs>
              <w:spacing w:after="0" w:line="240" w:lineRule="auto"/>
              <w:jc w:val="center"/>
              <w:rPr>
                <w:rFonts w:asciiTheme="minorHAnsi" w:hAnsiTheme="minorHAnsi"/>
                <w:color w:val="000000"/>
              </w:rPr>
            </w:pPr>
            <w:r w:rsidRPr="007E4263">
              <w:rPr>
                <w:rFonts w:asciiTheme="minorHAnsi" w:hAnsiTheme="minorHAnsi" w:cs="Calibri"/>
              </w:rPr>
              <w:t>$</w:t>
            </w:r>
            <w:r w:rsidR="002F795F">
              <w:rPr>
                <w:rFonts w:asciiTheme="minorHAnsi" w:hAnsiTheme="minorHAnsi" w:cs="Calibri"/>
              </w:rPr>
              <w:t>96,300</w:t>
            </w:r>
            <w:r w:rsidR="00A770B5" w:rsidRPr="007E4263">
              <w:rPr>
                <w:rFonts w:asciiTheme="minorHAnsi" w:hAnsiTheme="minorHAnsi" w:cs="Calibri"/>
              </w:rPr>
              <w:t xml:space="preserve"> to </w:t>
            </w:r>
            <w:r w:rsidR="00CC7E1E" w:rsidRPr="007E4263">
              <w:rPr>
                <w:rFonts w:asciiTheme="minorHAnsi" w:hAnsiTheme="minorHAnsi" w:cs="Calibri"/>
              </w:rPr>
              <w:t>$</w:t>
            </w:r>
            <w:r w:rsidR="002F795F">
              <w:rPr>
                <w:rFonts w:asciiTheme="minorHAnsi" w:hAnsiTheme="minorHAnsi" w:cs="Calibri"/>
              </w:rPr>
              <w:t>160,500</w:t>
            </w:r>
          </w:p>
          <w:p w14:paraId="1B4F0BA9" w14:textId="77777777" w:rsidR="00CB32EA" w:rsidRPr="007E4263" w:rsidRDefault="00CB32EA" w:rsidP="00510B95">
            <w:pPr>
              <w:spacing w:after="0" w:line="240" w:lineRule="auto"/>
              <w:jc w:val="center"/>
              <w:rPr>
                <w:rFonts w:asciiTheme="minorHAnsi" w:hAnsiTheme="minorHAnsi" w:cs="Calibri"/>
              </w:rPr>
            </w:pPr>
          </w:p>
        </w:tc>
      </w:tr>
      <w:tr w:rsidR="00CB32EA" w:rsidRPr="00A87A83" w14:paraId="6B619D1A" w14:textId="77777777" w:rsidTr="00FF2CB2">
        <w:trPr>
          <w:trHeight w:val="400"/>
        </w:trPr>
        <w:tc>
          <w:tcPr>
            <w:tcW w:w="4530" w:type="dxa"/>
            <w:vAlign w:val="center"/>
          </w:tcPr>
          <w:p w14:paraId="1DDA7025" w14:textId="77777777" w:rsidR="00CB32EA" w:rsidRPr="005F49DF" w:rsidRDefault="00870A4C" w:rsidP="00500691">
            <w:pPr>
              <w:spacing w:after="0" w:line="240" w:lineRule="auto"/>
              <w:rPr>
                <w:rFonts w:asciiTheme="minorHAnsi" w:hAnsiTheme="minorHAnsi" w:cs="Calibri"/>
              </w:rPr>
            </w:pPr>
            <w:r w:rsidRPr="005F49DF">
              <w:rPr>
                <w:rFonts w:asciiTheme="minorHAnsi" w:hAnsiTheme="minorHAnsi" w:cs="Calibri"/>
              </w:rPr>
              <w:t>Estimated therms saved per home</w:t>
            </w:r>
          </w:p>
        </w:tc>
        <w:tc>
          <w:tcPr>
            <w:tcW w:w="2082" w:type="dxa"/>
            <w:vAlign w:val="center"/>
          </w:tcPr>
          <w:p w14:paraId="600CF00A" w14:textId="13F216FE" w:rsidR="00CB32EA" w:rsidRPr="005F49DF" w:rsidRDefault="002F795F" w:rsidP="00500691">
            <w:pPr>
              <w:spacing w:after="0" w:line="240" w:lineRule="auto"/>
              <w:jc w:val="center"/>
              <w:rPr>
                <w:rFonts w:asciiTheme="minorHAnsi" w:hAnsiTheme="minorHAnsi" w:cs="Calibri"/>
              </w:rPr>
            </w:pPr>
            <w:r>
              <w:rPr>
                <w:rFonts w:asciiTheme="minorHAnsi" w:hAnsiTheme="minorHAnsi" w:cs="Calibri"/>
              </w:rPr>
              <w:t>343</w:t>
            </w:r>
          </w:p>
        </w:tc>
      </w:tr>
      <w:tr w:rsidR="00CB32EA" w:rsidRPr="00040AB6" w14:paraId="7D508816" w14:textId="77777777" w:rsidTr="00FF2CB2">
        <w:trPr>
          <w:trHeight w:val="400"/>
        </w:trPr>
        <w:tc>
          <w:tcPr>
            <w:tcW w:w="4530" w:type="dxa"/>
            <w:vAlign w:val="center"/>
          </w:tcPr>
          <w:p w14:paraId="1AD4D6C0" w14:textId="77777777" w:rsidR="00CB32EA" w:rsidRPr="005F49DF" w:rsidRDefault="00870A4C" w:rsidP="00570966">
            <w:pPr>
              <w:spacing w:after="0" w:line="240" w:lineRule="auto"/>
              <w:rPr>
                <w:rFonts w:asciiTheme="minorHAnsi" w:hAnsiTheme="minorHAnsi" w:cs="Calibri"/>
              </w:rPr>
            </w:pPr>
            <w:r w:rsidRPr="005F49DF">
              <w:rPr>
                <w:rFonts w:asciiTheme="minorHAnsi" w:hAnsiTheme="minorHAnsi" w:cs="Calibri"/>
              </w:rPr>
              <w:t>Total estimated therms saved</w:t>
            </w:r>
          </w:p>
        </w:tc>
        <w:tc>
          <w:tcPr>
            <w:tcW w:w="2082" w:type="dxa"/>
            <w:vAlign w:val="center"/>
          </w:tcPr>
          <w:p w14:paraId="723F313B" w14:textId="72C60771" w:rsidR="00CB32EA" w:rsidRPr="00E02920" w:rsidRDefault="002F795F" w:rsidP="002F795F">
            <w:pPr>
              <w:spacing w:after="0" w:line="240" w:lineRule="auto"/>
              <w:jc w:val="center"/>
              <w:rPr>
                <w:rFonts w:asciiTheme="minorHAnsi" w:hAnsiTheme="minorHAnsi" w:cs="Calibri"/>
              </w:rPr>
            </w:pPr>
            <w:r>
              <w:rPr>
                <w:rFonts w:asciiTheme="minorHAnsi" w:hAnsiTheme="minorHAnsi" w:cs="Calibri"/>
              </w:rPr>
              <w:t>5,145</w:t>
            </w:r>
            <w:r w:rsidR="00A770B5" w:rsidRPr="005F49DF">
              <w:rPr>
                <w:rFonts w:asciiTheme="minorHAnsi" w:hAnsiTheme="minorHAnsi" w:cs="Calibri"/>
              </w:rPr>
              <w:t xml:space="preserve"> </w:t>
            </w:r>
            <w:r w:rsidR="00870A4C" w:rsidRPr="005F49DF">
              <w:rPr>
                <w:rFonts w:asciiTheme="minorHAnsi" w:hAnsiTheme="minorHAnsi" w:cs="Calibri"/>
              </w:rPr>
              <w:t xml:space="preserve">to </w:t>
            </w:r>
            <w:r>
              <w:rPr>
                <w:rFonts w:asciiTheme="minorHAnsi" w:hAnsiTheme="minorHAnsi" w:cs="Calibri"/>
              </w:rPr>
              <w:t>8,575</w:t>
            </w:r>
          </w:p>
        </w:tc>
      </w:tr>
    </w:tbl>
    <w:p w14:paraId="1581A450" w14:textId="77777777" w:rsidR="00510B95" w:rsidRPr="00040AB6" w:rsidRDefault="00510B95" w:rsidP="003A1FAE">
      <w:pPr>
        <w:rPr>
          <w:rFonts w:asciiTheme="minorHAnsi" w:hAnsiTheme="minorHAnsi" w:cs="Arial"/>
          <w:sz w:val="24"/>
          <w:szCs w:val="24"/>
        </w:rPr>
      </w:pPr>
    </w:p>
    <w:bookmarkEnd w:id="3"/>
    <w:bookmarkEnd w:id="4"/>
    <w:p w14:paraId="29894F54" w14:textId="10E85CD1" w:rsidR="00357665" w:rsidRPr="005F49DF" w:rsidRDefault="00870A4C" w:rsidP="00122F13">
      <w:pPr>
        <w:pStyle w:val="ListParagraph"/>
        <w:numPr>
          <w:ilvl w:val="0"/>
          <w:numId w:val="37"/>
        </w:numPr>
        <w:spacing w:after="0" w:line="240" w:lineRule="auto"/>
        <w:ind w:left="720"/>
        <w:rPr>
          <w:rFonts w:asciiTheme="minorHAnsi" w:hAnsiTheme="minorHAnsi"/>
          <w:sz w:val="32"/>
          <w:szCs w:val="32"/>
        </w:rPr>
      </w:pPr>
      <w:r w:rsidRPr="005F49DF">
        <w:rPr>
          <w:rFonts w:asciiTheme="minorHAnsi" w:hAnsiTheme="minorHAnsi"/>
          <w:sz w:val="32"/>
          <w:szCs w:val="32"/>
        </w:rPr>
        <w:t>201</w:t>
      </w:r>
      <w:r w:rsidR="00035E11" w:rsidRPr="005F49DF">
        <w:rPr>
          <w:rFonts w:asciiTheme="minorHAnsi" w:hAnsiTheme="minorHAnsi"/>
          <w:sz w:val="32"/>
          <w:szCs w:val="32"/>
        </w:rPr>
        <w:t>6</w:t>
      </w:r>
      <w:r w:rsidRPr="005F49DF">
        <w:rPr>
          <w:rFonts w:asciiTheme="minorHAnsi" w:hAnsiTheme="minorHAnsi"/>
          <w:sz w:val="32"/>
          <w:szCs w:val="32"/>
        </w:rPr>
        <w:t xml:space="preserve"> Budget and Funding Schedule</w:t>
      </w:r>
    </w:p>
    <w:p w14:paraId="26C6CF7C" w14:textId="2CA7C28E" w:rsidR="00476E02" w:rsidRPr="0038164D" w:rsidRDefault="00336934" w:rsidP="0038164D">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Below is the </w:t>
      </w:r>
      <w:r w:rsidR="00EA2A1F" w:rsidRPr="00040AB6">
        <w:rPr>
          <w:rFonts w:asciiTheme="minorHAnsi" w:hAnsiTheme="minorHAnsi"/>
          <w:sz w:val="24"/>
          <w:szCs w:val="24"/>
        </w:rPr>
        <w:t>201</w:t>
      </w:r>
      <w:r w:rsidR="0038164D">
        <w:rPr>
          <w:rFonts w:asciiTheme="minorHAnsi" w:hAnsiTheme="minorHAnsi"/>
          <w:sz w:val="24"/>
          <w:szCs w:val="24"/>
        </w:rPr>
        <w:t>6</w:t>
      </w:r>
      <w:r w:rsidR="00EA2A1F" w:rsidRPr="00040AB6">
        <w:rPr>
          <w:rFonts w:asciiTheme="minorHAnsi" w:hAnsiTheme="minorHAnsi"/>
          <w:sz w:val="24"/>
          <w:szCs w:val="24"/>
        </w:rPr>
        <w:t xml:space="preserve"> </w:t>
      </w:r>
      <w:r w:rsidR="00476E02" w:rsidRPr="00040AB6">
        <w:rPr>
          <w:rFonts w:asciiTheme="minorHAnsi" w:hAnsiTheme="minorHAnsi"/>
          <w:sz w:val="24"/>
          <w:szCs w:val="24"/>
        </w:rPr>
        <w:t>budget for the residential and commercial energy efficiency programs</w:t>
      </w:r>
      <w:r w:rsidR="003E3683" w:rsidRPr="00040AB6">
        <w:rPr>
          <w:rFonts w:asciiTheme="minorHAnsi" w:hAnsiTheme="minorHAnsi"/>
          <w:sz w:val="24"/>
          <w:szCs w:val="24"/>
        </w:rPr>
        <w:t>, NEEA gas market transformation</w:t>
      </w:r>
      <w:r w:rsidR="002A7E24" w:rsidRPr="00040AB6">
        <w:rPr>
          <w:rFonts w:asciiTheme="minorHAnsi" w:hAnsiTheme="minorHAnsi"/>
          <w:sz w:val="24"/>
          <w:szCs w:val="24"/>
        </w:rPr>
        <w:t>,</w:t>
      </w:r>
      <w:r w:rsidR="003E3683" w:rsidRPr="00040AB6">
        <w:rPr>
          <w:rFonts w:asciiTheme="minorHAnsi" w:hAnsiTheme="minorHAnsi"/>
          <w:sz w:val="24"/>
          <w:szCs w:val="24"/>
        </w:rPr>
        <w:t xml:space="preserve"> </w:t>
      </w:r>
      <w:r w:rsidR="00476E02" w:rsidRPr="00040AB6">
        <w:rPr>
          <w:rFonts w:asciiTheme="minorHAnsi" w:hAnsiTheme="minorHAnsi"/>
          <w:sz w:val="24"/>
          <w:szCs w:val="24"/>
        </w:rPr>
        <w:t>and the WA-LIEE program.</w:t>
      </w:r>
      <w:r w:rsidR="00F2499C">
        <w:rPr>
          <w:rFonts w:asciiTheme="minorHAnsi" w:hAnsiTheme="minorHAnsi"/>
          <w:sz w:val="24"/>
          <w:szCs w:val="24"/>
        </w:rPr>
        <w:t xml:space="preserve"> This budget includes the </w:t>
      </w:r>
      <w:r w:rsidR="00F2499C" w:rsidRPr="008320C8">
        <w:rPr>
          <w:rFonts w:asciiTheme="minorHAnsi" w:hAnsiTheme="minorHAnsi"/>
          <w:sz w:val="24"/>
          <w:szCs w:val="24"/>
        </w:rPr>
        <w:t>addition of the</w:t>
      </w:r>
      <w:r w:rsidR="00992A5B">
        <w:rPr>
          <w:rFonts w:asciiTheme="minorHAnsi" w:hAnsiTheme="minorHAnsi"/>
          <w:sz w:val="24"/>
          <w:szCs w:val="24"/>
        </w:rPr>
        <w:t xml:space="preserve"> residential</w:t>
      </w:r>
      <w:r w:rsidR="00F2499C" w:rsidRPr="008320C8">
        <w:rPr>
          <w:rFonts w:asciiTheme="minorHAnsi" w:hAnsiTheme="minorHAnsi"/>
          <w:sz w:val="24"/>
          <w:szCs w:val="24"/>
        </w:rPr>
        <w:t xml:space="preserve"> gas furnace bonus discovered as part of the WUTC Staff</w:t>
      </w:r>
      <w:r w:rsidR="00A87361">
        <w:rPr>
          <w:rFonts w:asciiTheme="minorHAnsi" w:hAnsiTheme="minorHAnsi"/>
          <w:sz w:val="24"/>
          <w:szCs w:val="24"/>
        </w:rPr>
        <w:t xml:space="preserve">’s </w:t>
      </w:r>
      <w:r w:rsidR="00A87361" w:rsidRPr="00A87361">
        <w:rPr>
          <w:rFonts w:asciiTheme="minorHAnsi" w:hAnsiTheme="minorHAnsi"/>
          <w:sz w:val="24"/>
          <w:szCs w:val="24"/>
        </w:rPr>
        <w:t>a</w:t>
      </w:r>
      <w:r w:rsidR="00F2499C" w:rsidRPr="00A87361">
        <w:rPr>
          <w:rFonts w:asciiTheme="minorHAnsi" w:hAnsiTheme="minorHAnsi"/>
          <w:sz w:val="24"/>
          <w:szCs w:val="24"/>
        </w:rPr>
        <w:t xml:space="preserve">voided </w:t>
      </w:r>
      <w:r w:rsidR="00A87361" w:rsidRPr="00A87361">
        <w:rPr>
          <w:rFonts w:asciiTheme="minorHAnsi" w:hAnsiTheme="minorHAnsi"/>
          <w:sz w:val="24"/>
          <w:szCs w:val="24"/>
        </w:rPr>
        <w:t>c</w:t>
      </w:r>
      <w:r w:rsidR="00F2499C" w:rsidRPr="00A87361">
        <w:rPr>
          <w:rFonts w:asciiTheme="minorHAnsi" w:hAnsiTheme="minorHAnsi"/>
          <w:sz w:val="24"/>
          <w:szCs w:val="24"/>
        </w:rPr>
        <w:t xml:space="preserve">ost analysis request. </w:t>
      </w:r>
      <w:r w:rsidR="008320C8" w:rsidRPr="00A87361">
        <w:rPr>
          <w:rFonts w:asciiTheme="minorHAnsi" w:hAnsiTheme="minorHAnsi"/>
          <w:sz w:val="24"/>
          <w:szCs w:val="24"/>
        </w:rPr>
        <w:t xml:space="preserve">The </w:t>
      </w:r>
      <w:r w:rsidR="008320C8" w:rsidRPr="008320C8">
        <w:rPr>
          <w:rFonts w:asciiTheme="minorHAnsi" w:hAnsiTheme="minorHAnsi"/>
          <w:sz w:val="24"/>
          <w:szCs w:val="24"/>
        </w:rPr>
        <w:t xml:space="preserve">budget includes </w:t>
      </w:r>
      <w:r w:rsidR="00F2499C" w:rsidRPr="008320C8">
        <w:rPr>
          <w:rFonts w:asciiTheme="minorHAnsi" w:hAnsiTheme="minorHAnsi"/>
          <w:sz w:val="24"/>
          <w:szCs w:val="24"/>
        </w:rPr>
        <w:t>Energy Trust administrative costs</w:t>
      </w:r>
      <w:r w:rsidR="008320C8" w:rsidRPr="008320C8">
        <w:rPr>
          <w:rFonts w:asciiTheme="minorHAnsi" w:hAnsiTheme="minorHAnsi"/>
          <w:sz w:val="24"/>
          <w:szCs w:val="24"/>
        </w:rPr>
        <w:t>,</w:t>
      </w:r>
      <w:r w:rsidR="00F2499C" w:rsidRPr="008320C8">
        <w:rPr>
          <w:rFonts w:asciiTheme="minorHAnsi" w:hAnsiTheme="minorHAnsi"/>
          <w:sz w:val="24"/>
          <w:szCs w:val="24"/>
        </w:rPr>
        <w:t xml:space="preserve"> but </w:t>
      </w:r>
      <w:r w:rsidR="00A87361">
        <w:rPr>
          <w:rFonts w:asciiTheme="minorHAnsi" w:hAnsiTheme="minorHAnsi"/>
          <w:sz w:val="24"/>
          <w:szCs w:val="24"/>
        </w:rPr>
        <w:t>does not include</w:t>
      </w:r>
      <w:r w:rsidR="00F2499C" w:rsidRPr="008320C8">
        <w:rPr>
          <w:rFonts w:asciiTheme="minorHAnsi" w:hAnsiTheme="minorHAnsi"/>
          <w:sz w:val="24"/>
          <w:szCs w:val="24"/>
        </w:rPr>
        <w:t xml:space="preserve"> NW Natural administrative costs. </w:t>
      </w:r>
      <w:r w:rsidR="008320C8" w:rsidRPr="008320C8">
        <w:rPr>
          <w:rFonts w:asciiTheme="minorHAnsi" w:hAnsiTheme="minorHAnsi"/>
          <w:sz w:val="24"/>
          <w:szCs w:val="24"/>
        </w:rPr>
        <w:t xml:space="preserve">On-the-Bill </w:t>
      </w:r>
      <w:r w:rsidR="008320C8" w:rsidRPr="008320C8">
        <w:rPr>
          <w:rFonts w:asciiTheme="minorHAnsi" w:hAnsiTheme="minorHAnsi"/>
          <w:sz w:val="24"/>
          <w:szCs w:val="24"/>
        </w:rPr>
        <w:lastRenderedPageBreak/>
        <w:t>Repayment</w:t>
      </w:r>
      <w:r w:rsidR="00242088" w:rsidRPr="008320C8">
        <w:rPr>
          <w:rFonts w:asciiTheme="minorHAnsi" w:hAnsiTheme="minorHAnsi"/>
          <w:sz w:val="24"/>
          <w:szCs w:val="24"/>
        </w:rPr>
        <w:t xml:space="preserve"> </w:t>
      </w:r>
      <w:r w:rsidR="008320C8" w:rsidRPr="008320C8">
        <w:rPr>
          <w:rFonts w:asciiTheme="minorHAnsi" w:hAnsiTheme="minorHAnsi"/>
          <w:sz w:val="24"/>
          <w:szCs w:val="24"/>
        </w:rPr>
        <w:t xml:space="preserve">Service </w:t>
      </w:r>
      <w:r w:rsidR="00242088" w:rsidRPr="008320C8">
        <w:rPr>
          <w:rFonts w:asciiTheme="minorHAnsi" w:hAnsiTheme="minorHAnsi"/>
          <w:sz w:val="24"/>
          <w:szCs w:val="24"/>
        </w:rPr>
        <w:t xml:space="preserve">costs are not included in the </w:t>
      </w:r>
      <w:r w:rsidR="00F2499C" w:rsidRPr="008320C8">
        <w:rPr>
          <w:rFonts w:asciiTheme="minorHAnsi" w:hAnsiTheme="minorHAnsi"/>
          <w:sz w:val="24"/>
          <w:szCs w:val="24"/>
        </w:rPr>
        <w:t xml:space="preserve">budget </w:t>
      </w:r>
      <w:r w:rsidR="00242088" w:rsidRPr="008320C8">
        <w:rPr>
          <w:rFonts w:asciiTheme="minorHAnsi" w:hAnsiTheme="minorHAnsi"/>
          <w:sz w:val="24"/>
          <w:szCs w:val="24"/>
        </w:rPr>
        <w:t xml:space="preserve">while </w:t>
      </w:r>
      <w:r w:rsidR="00F2499C" w:rsidRPr="008320C8">
        <w:rPr>
          <w:rFonts w:asciiTheme="minorHAnsi" w:hAnsiTheme="minorHAnsi"/>
          <w:sz w:val="24"/>
          <w:szCs w:val="24"/>
        </w:rPr>
        <w:t xml:space="preserve">some </w:t>
      </w:r>
      <w:r w:rsidR="008320C8" w:rsidRPr="008320C8">
        <w:rPr>
          <w:rFonts w:asciiTheme="minorHAnsi" w:hAnsiTheme="minorHAnsi"/>
          <w:sz w:val="24"/>
          <w:szCs w:val="24"/>
        </w:rPr>
        <w:t xml:space="preserve">Energy Trust </w:t>
      </w:r>
      <w:r w:rsidR="00F2499C" w:rsidRPr="008320C8">
        <w:rPr>
          <w:rFonts w:asciiTheme="minorHAnsi" w:hAnsiTheme="minorHAnsi"/>
          <w:sz w:val="24"/>
          <w:szCs w:val="24"/>
        </w:rPr>
        <w:t>administrative time may be spent on the loan program.</w:t>
      </w:r>
      <w:r w:rsidR="00476E02" w:rsidRPr="008320C8">
        <w:rPr>
          <w:rFonts w:asciiTheme="minorHAnsi" w:hAnsiTheme="minorHAnsi"/>
          <w:sz w:val="24"/>
          <w:szCs w:val="24"/>
        </w:rPr>
        <w:t xml:space="preserve">  </w:t>
      </w:r>
    </w:p>
    <w:p w14:paraId="34127F7F" w14:textId="77777777" w:rsidR="00614BC3" w:rsidRPr="00040AB6" w:rsidRDefault="00614BC3" w:rsidP="003A1FAE">
      <w:pPr>
        <w:pStyle w:val="ListParagraph"/>
        <w:spacing w:after="0" w:line="240" w:lineRule="auto"/>
        <w:rPr>
          <w:rFonts w:asciiTheme="minorHAnsi" w:hAnsiTheme="minorHAnsi"/>
          <w:sz w:val="24"/>
          <w:szCs w:val="24"/>
        </w:rPr>
      </w:pPr>
    </w:p>
    <w:tbl>
      <w:tblPr>
        <w:tblW w:w="5760" w:type="dxa"/>
        <w:tblInd w:w="828" w:type="dxa"/>
        <w:tblLook w:val="04A0" w:firstRow="1" w:lastRow="0" w:firstColumn="1" w:lastColumn="0" w:noHBand="0" w:noVBand="1"/>
      </w:tblPr>
      <w:tblGrid>
        <w:gridCol w:w="1960"/>
        <w:gridCol w:w="1420"/>
        <w:gridCol w:w="2380"/>
      </w:tblGrid>
      <w:tr w:rsidR="002B22E3" w:rsidRPr="00040AB6" w14:paraId="362AA7BB" w14:textId="77777777" w:rsidTr="001C4B7A">
        <w:trPr>
          <w:trHeight w:val="300"/>
        </w:trPr>
        <w:tc>
          <w:tcPr>
            <w:tcW w:w="1960" w:type="dxa"/>
            <w:tcBorders>
              <w:top w:val="single" w:sz="4" w:space="0" w:color="auto"/>
              <w:left w:val="single" w:sz="4" w:space="0" w:color="auto"/>
              <w:bottom w:val="nil"/>
              <w:right w:val="single" w:sz="4" w:space="0" w:color="auto"/>
            </w:tcBorders>
            <w:shd w:val="clear" w:color="auto" w:fill="auto"/>
            <w:vAlign w:val="bottom"/>
            <w:hideMark/>
          </w:tcPr>
          <w:p w14:paraId="44B1EE7F"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Range</w:t>
            </w:r>
          </w:p>
        </w:tc>
        <w:tc>
          <w:tcPr>
            <w:tcW w:w="1420" w:type="dxa"/>
            <w:tcBorders>
              <w:top w:val="single" w:sz="4" w:space="0" w:color="auto"/>
              <w:left w:val="nil"/>
              <w:bottom w:val="nil"/>
              <w:right w:val="single" w:sz="4" w:space="0" w:color="auto"/>
            </w:tcBorders>
            <w:shd w:val="clear" w:color="auto" w:fill="auto"/>
            <w:vAlign w:val="bottom"/>
            <w:hideMark/>
          </w:tcPr>
          <w:p w14:paraId="79176349"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Low</w:t>
            </w:r>
          </w:p>
        </w:tc>
        <w:tc>
          <w:tcPr>
            <w:tcW w:w="2380" w:type="dxa"/>
            <w:tcBorders>
              <w:top w:val="single" w:sz="4" w:space="0" w:color="auto"/>
              <w:left w:val="nil"/>
              <w:bottom w:val="nil"/>
              <w:right w:val="single" w:sz="4" w:space="0" w:color="auto"/>
            </w:tcBorders>
            <w:shd w:val="clear" w:color="auto" w:fill="auto"/>
            <w:vAlign w:val="bottom"/>
            <w:hideMark/>
          </w:tcPr>
          <w:p w14:paraId="1148EFF8"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High</w:t>
            </w:r>
          </w:p>
        </w:tc>
      </w:tr>
      <w:tr w:rsidR="002B22E3" w:rsidRPr="00040AB6" w14:paraId="0355EE5B" w14:textId="77777777" w:rsidTr="001C4B7A">
        <w:trPr>
          <w:trHeight w:val="300"/>
        </w:trPr>
        <w:tc>
          <w:tcPr>
            <w:tcW w:w="1960" w:type="dxa"/>
            <w:tcBorders>
              <w:top w:val="single" w:sz="4" w:space="0" w:color="auto"/>
              <w:left w:val="single" w:sz="4" w:space="0" w:color="auto"/>
              <w:bottom w:val="single" w:sz="4" w:space="0" w:color="auto"/>
              <w:right w:val="nil"/>
            </w:tcBorders>
            <w:shd w:val="clear" w:color="auto" w:fill="auto"/>
            <w:vAlign w:val="bottom"/>
            <w:hideMark/>
          </w:tcPr>
          <w:p w14:paraId="1D7171F9"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Commercial</w:t>
            </w:r>
          </w:p>
        </w:tc>
        <w:tc>
          <w:tcPr>
            <w:tcW w:w="1420" w:type="dxa"/>
            <w:tcBorders>
              <w:top w:val="single" w:sz="4" w:space="0" w:color="auto"/>
              <w:left w:val="nil"/>
              <w:bottom w:val="single" w:sz="4" w:space="0" w:color="auto"/>
              <w:right w:val="nil"/>
            </w:tcBorders>
            <w:shd w:val="clear" w:color="auto" w:fill="auto"/>
            <w:vAlign w:val="bottom"/>
            <w:hideMark/>
          </w:tcPr>
          <w:p w14:paraId="242E2A69"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1A1DC687"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 </w:t>
            </w:r>
          </w:p>
        </w:tc>
      </w:tr>
      <w:tr w:rsidR="002B22E3" w:rsidRPr="00040AB6" w14:paraId="59CF1440" w14:textId="77777777" w:rsidTr="001C4B7A">
        <w:trPr>
          <w:trHeight w:val="300"/>
        </w:trPr>
        <w:tc>
          <w:tcPr>
            <w:tcW w:w="1960" w:type="dxa"/>
            <w:tcBorders>
              <w:top w:val="nil"/>
              <w:left w:val="single" w:sz="4" w:space="0" w:color="auto"/>
              <w:bottom w:val="nil"/>
              <w:right w:val="single" w:sz="4" w:space="0" w:color="auto"/>
            </w:tcBorders>
            <w:shd w:val="clear" w:color="auto" w:fill="auto"/>
            <w:vAlign w:val="bottom"/>
            <w:hideMark/>
          </w:tcPr>
          <w:p w14:paraId="12A5CD36"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Retrofit</w:t>
            </w:r>
          </w:p>
        </w:tc>
        <w:tc>
          <w:tcPr>
            <w:tcW w:w="1420" w:type="dxa"/>
            <w:tcBorders>
              <w:top w:val="nil"/>
              <w:left w:val="nil"/>
              <w:bottom w:val="nil"/>
              <w:right w:val="single" w:sz="4" w:space="0" w:color="auto"/>
            </w:tcBorders>
            <w:shd w:val="clear" w:color="auto" w:fill="auto"/>
            <w:vAlign w:val="bottom"/>
            <w:hideMark/>
          </w:tcPr>
          <w:p w14:paraId="7DBE5446" w14:textId="4514AFAB" w:rsidR="002B22E3" w:rsidRPr="00A12F86" w:rsidRDefault="002B22E3" w:rsidP="005F6B35">
            <w:pPr>
              <w:spacing w:after="0" w:line="240" w:lineRule="auto"/>
              <w:jc w:val="right"/>
              <w:rPr>
                <w:rFonts w:asciiTheme="minorHAnsi" w:hAnsiTheme="minorHAnsi"/>
              </w:rPr>
            </w:pPr>
            <w:r w:rsidRPr="00A12F86">
              <w:rPr>
                <w:rFonts w:asciiTheme="minorHAnsi" w:hAnsiTheme="minorHAnsi"/>
              </w:rPr>
              <w:t>$</w:t>
            </w:r>
            <w:r w:rsidR="005F6B35" w:rsidRPr="00A12F86">
              <w:rPr>
                <w:rFonts w:asciiTheme="minorHAnsi" w:hAnsiTheme="minorHAnsi"/>
              </w:rPr>
              <w:t>598</w:t>
            </w:r>
            <w:r w:rsidR="004912A0" w:rsidRPr="00A12F86">
              <w:rPr>
                <w:rFonts w:asciiTheme="minorHAnsi" w:hAnsiTheme="minorHAnsi"/>
              </w:rPr>
              <w:t>,</w:t>
            </w:r>
            <w:r w:rsidR="005F6B35" w:rsidRPr="00A12F86">
              <w:rPr>
                <w:rFonts w:asciiTheme="minorHAnsi" w:hAnsiTheme="minorHAnsi"/>
              </w:rPr>
              <w:t>085</w:t>
            </w:r>
          </w:p>
        </w:tc>
        <w:tc>
          <w:tcPr>
            <w:tcW w:w="2380" w:type="dxa"/>
            <w:tcBorders>
              <w:top w:val="nil"/>
              <w:left w:val="nil"/>
              <w:bottom w:val="nil"/>
              <w:right w:val="single" w:sz="4" w:space="0" w:color="auto"/>
            </w:tcBorders>
            <w:shd w:val="clear" w:color="auto" w:fill="auto"/>
            <w:vAlign w:val="bottom"/>
            <w:hideMark/>
          </w:tcPr>
          <w:p w14:paraId="09B40276" w14:textId="0A8A753A" w:rsidR="002B22E3" w:rsidRPr="00A12F86" w:rsidRDefault="002B22E3" w:rsidP="00A12F86">
            <w:pPr>
              <w:spacing w:after="0" w:line="240" w:lineRule="auto"/>
              <w:jc w:val="right"/>
              <w:rPr>
                <w:rFonts w:asciiTheme="minorHAnsi" w:hAnsiTheme="minorHAnsi"/>
              </w:rPr>
            </w:pPr>
            <w:r w:rsidRPr="00A12F86">
              <w:rPr>
                <w:rFonts w:asciiTheme="minorHAnsi" w:hAnsiTheme="minorHAnsi"/>
              </w:rPr>
              <w:t>$</w:t>
            </w:r>
            <w:r w:rsidR="004912A0" w:rsidRPr="00A12F86">
              <w:rPr>
                <w:rFonts w:asciiTheme="minorHAnsi" w:hAnsiTheme="minorHAnsi"/>
              </w:rPr>
              <w:t>7</w:t>
            </w:r>
            <w:r w:rsidR="00A12F86" w:rsidRPr="00A12F86">
              <w:rPr>
                <w:rFonts w:asciiTheme="minorHAnsi" w:hAnsiTheme="minorHAnsi"/>
              </w:rPr>
              <w:t>03</w:t>
            </w:r>
            <w:r w:rsidR="004912A0" w:rsidRPr="00A12F86">
              <w:rPr>
                <w:rFonts w:asciiTheme="minorHAnsi" w:hAnsiTheme="minorHAnsi"/>
              </w:rPr>
              <w:t>,</w:t>
            </w:r>
            <w:r w:rsidR="00F81527" w:rsidRPr="00A12F86">
              <w:rPr>
                <w:rFonts w:asciiTheme="minorHAnsi" w:hAnsiTheme="minorHAnsi"/>
              </w:rPr>
              <w:t>629</w:t>
            </w:r>
          </w:p>
        </w:tc>
      </w:tr>
      <w:tr w:rsidR="002B22E3" w:rsidRPr="00040AB6" w14:paraId="71F9DE8F" w14:textId="77777777" w:rsidTr="001C4B7A">
        <w:trPr>
          <w:trHeight w:val="300"/>
        </w:trPr>
        <w:tc>
          <w:tcPr>
            <w:tcW w:w="1960" w:type="dxa"/>
            <w:tcBorders>
              <w:top w:val="single" w:sz="4" w:space="0" w:color="auto"/>
              <w:left w:val="single" w:sz="4" w:space="0" w:color="auto"/>
              <w:bottom w:val="single" w:sz="4" w:space="0" w:color="auto"/>
              <w:right w:val="nil"/>
            </w:tcBorders>
            <w:shd w:val="clear" w:color="auto" w:fill="auto"/>
            <w:vAlign w:val="bottom"/>
            <w:hideMark/>
          </w:tcPr>
          <w:p w14:paraId="7848BB9B"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Residential</w:t>
            </w:r>
          </w:p>
        </w:tc>
        <w:tc>
          <w:tcPr>
            <w:tcW w:w="1420" w:type="dxa"/>
            <w:tcBorders>
              <w:top w:val="single" w:sz="4" w:space="0" w:color="auto"/>
              <w:left w:val="nil"/>
              <w:bottom w:val="single" w:sz="4" w:space="0" w:color="auto"/>
              <w:right w:val="nil"/>
            </w:tcBorders>
            <w:shd w:val="clear" w:color="auto" w:fill="auto"/>
            <w:vAlign w:val="bottom"/>
            <w:hideMark/>
          </w:tcPr>
          <w:p w14:paraId="195219C7" w14:textId="77777777" w:rsidR="002B22E3" w:rsidRPr="00A12F86" w:rsidRDefault="002B22E3" w:rsidP="002B22E3">
            <w:pPr>
              <w:spacing w:after="0" w:line="240" w:lineRule="auto"/>
              <w:rPr>
                <w:rFonts w:asciiTheme="minorHAnsi" w:hAnsiTheme="minorHAnsi"/>
              </w:rPr>
            </w:pPr>
            <w:r w:rsidRPr="00A12F86">
              <w:rPr>
                <w:rFonts w:asciiTheme="minorHAnsi" w:hAnsiTheme="minorHAnsi"/>
              </w:rPr>
              <w:t>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7DB3B37E" w14:textId="77777777" w:rsidR="002B22E3" w:rsidRPr="00A12F86" w:rsidRDefault="002B22E3" w:rsidP="002B22E3">
            <w:pPr>
              <w:spacing w:after="0" w:line="240" w:lineRule="auto"/>
              <w:rPr>
                <w:rFonts w:asciiTheme="minorHAnsi" w:hAnsiTheme="minorHAnsi"/>
              </w:rPr>
            </w:pPr>
            <w:r w:rsidRPr="00A12F86">
              <w:rPr>
                <w:rFonts w:asciiTheme="minorHAnsi" w:hAnsiTheme="minorHAnsi"/>
              </w:rPr>
              <w:t> </w:t>
            </w:r>
          </w:p>
        </w:tc>
      </w:tr>
      <w:tr w:rsidR="002B22E3" w:rsidRPr="00040AB6" w14:paraId="1B499267" w14:textId="77777777" w:rsidTr="001C4B7A">
        <w:trPr>
          <w:trHeight w:val="300"/>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19DC0279"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Retrofit</w:t>
            </w:r>
          </w:p>
        </w:tc>
        <w:tc>
          <w:tcPr>
            <w:tcW w:w="1420" w:type="dxa"/>
            <w:tcBorders>
              <w:top w:val="nil"/>
              <w:left w:val="nil"/>
              <w:bottom w:val="single" w:sz="4" w:space="0" w:color="auto"/>
              <w:right w:val="single" w:sz="4" w:space="0" w:color="auto"/>
            </w:tcBorders>
            <w:shd w:val="clear" w:color="auto" w:fill="auto"/>
            <w:vAlign w:val="bottom"/>
            <w:hideMark/>
          </w:tcPr>
          <w:p w14:paraId="28578C70" w14:textId="7207AD85" w:rsidR="002B22E3" w:rsidRPr="00A12F86" w:rsidRDefault="002B22E3" w:rsidP="005F6B35">
            <w:pPr>
              <w:spacing w:after="0" w:line="240" w:lineRule="auto"/>
              <w:jc w:val="right"/>
              <w:rPr>
                <w:rFonts w:asciiTheme="minorHAnsi" w:hAnsiTheme="minorHAnsi"/>
              </w:rPr>
            </w:pPr>
            <w:r w:rsidRPr="00A12F86">
              <w:rPr>
                <w:rFonts w:asciiTheme="minorHAnsi" w:hAnsiTheme="minorHAnsi"/>
              </w:rPr>
              <w:t>$</w:t>
            </w:r>
            <w:r w:rsidR="00F81527" w:rsidRPr="00A12F86">
              <w:rPr>
                <w:rFonts w:asciiTheme="minorHAnsi" w:hAnsiTheme="minorHAnsi"/>
              </w:rPr>
              <w:t>4</w:t>
            </w:r>
            <w:r w:rsidR="005F6B35" w:rsidRPr="00A12F86">
              <w:rPr>
                <w:rFonts w:asciiTheme="minorHAnsi" w:hAnsiTheme="minorHAnsi"/>
              </w:rPr>
              <w:t>15</w:t>
            </w:r>
            <w:r w:rsidR="00F81527" w:rsidRPr="00A12F86">
              <w:rPr>
                <w:rFonts w:asciiTheme="minorHAnsi" w:hAnsiTheme="minorHAnsi"/>
              </w:rPr>
              <w:t>,</w:t>
            </w:r>
            <w:r w:rsidR="005F6B35" w:rsidRPr="00A12F86">
              <w:rPr>
                <w:rFonts w:asciiTheme="minorHAnsi" w:hAnsiTheme="minorHAnsi"/>
              </w:rPr>
              <w:t>173</w:t>
            </w:r>
          </w:p>
        </w:tc>
        <w:tc>
          <w:tcPr>
            <w:tcW w:w="2380" w:type="dxa"/>
            <w:tcBorders>
              <w:top w:val="nil"/>
              <w:left w:val="nil"/>
              <w:bottom w:val="single" w:sz="4" w:space="0" w:color="auto"/>
              <w:right w:val="single" w:sz="4" w:space="0" w:color="auto"/>
            </w:tcBorders>
            <w:shd w:val="clear" w:color="auto" w:fill="auto"/>
            <w:vAlign w:val="bottom"/>
            <w:hideMark/>
          </w:tcPr>
          <w:p w14:paraId="41B36C2B" w14:textId="468C4CB8" w:rsidR="002B22E3" w:rsidRPr="00A12F86" w:rsidRDefault="002B22E3" w:rsidP="00A12F86">
            <w:pPr>
              <w:spacing w:after="0" w:line="240" w:lineRule="auto"/>
              <w:jc w:val="right"/>
              <w:rPr>
                <w:rFonts w:asciiTheme="minorHAnsi" w:hAnsiTheme="minorHAnsi"/>
              </w:rPr>
            </w:pPr>
            <w:r w:rsidRPr="00A12F86">
              <w:rPr>
                <w:rFonts w:asciiTheme="minorHAnsi" w:hAnsiTheme="minorHAnsi"/>
              </w:rPr>
              <w:t>$</w:t>
            </w:r>
            <w:r w:rsidR="00F81527" w:rsidRPr="00A12F86">
              <w:rPr>
                <w:rFonts w:asciiTheme="minorHAnsi" w:hAnsiTheme="minorHAnsi"/>
              </w:rPr>
              <w:t>4</w:t>
            </w:r>
            <w:r w:rsidR="00A12F86" w:rsidRPr="00A12F86">
              <w:rPr>
                <w:rFonts w:asciiTheme="minorHAnsi" w:hAnsiTheme="minorHAnsi"/>
              </w:rPr>
              <w:t>88</w:t>
            </w:r>
            <w:r w:rsidR="00F81527" w:rsidRPr="00A12F86">
              <w:rPr>
                <w:rFonts w:asciiTheme="minorHAnsi" w:hAnsiTheme="minorHAnsi"/>
              </w:rPr>
              <w:t>,</w:t>
            </w:r>
            <w:r w:rsidR="00A12F86" w:rsidRPr="00A12F86">
              <w:rPr>
                <w:rFonts w:asciiTheme="minorHAnsi" w:hAnsiTheme="minorHAnsi"/>
              </w:rPr>
              <w:t>439</w:t>
            </w:r>
          </w:p>
        </w:tc>
      </w:tr>
      <w:tr w:rsidR="002B22E3" w:rsidRPr="00040AB6" w14:paraId="7E5A13C6" w14:textId="77777777" w:rsidTr="001C4B7A">
        <w:trPr>
          <w:trHeight w:val="300"/>
        </w:trPr>
        <w:tc>
          <w:tcPr>
            <w:tcW w:w="1960" w:type="dxa"/>
            <w:tcBorders>
              <w:top w:val="nil"/>
              <w:left w:val="single" w:sz="4" w:space="0" w:color="auto"/>
              <w:bottom w:val="nil"/>
              <w:right w:val="single" w:sz="4" w:space="0" w:color="auto"/>
            </w:tcBorders>
            <w:shd w:val="clear" w:color="auto" w:fill="auto"/>
            <w:vAlign w:val="bottom"/>
            <w:hideMark/>
          </w:tcPr>
          <w:p w14:paraId="708238A8" w14:textId="77777777"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New Homes</w:t>
            </w:r>
          </w:p>
        </w:tc>
        <w:tc>
          <w:tcPr>
            <w:tcW w:w="1420" w:type="dxa"/>
            <w:tcBorders>
              <w:top w:val="nil"/>
              <w:left w:val="nil"/>
              <w:bottom w:val="nil"/>
              <w:right w:val="single" w:sz="4" w:space="0" w:color="auto"/>
            </w:tcBorders>
            <w:shd w:val="clear" w:color="auto" w:fill="auto"/>
            <w:vAlign w:val="bottom"/>
            <w:hideMark/>
          </w:tcPr>
          <w:p w14:paraId="4EC46A8F" w14:textId="2B265B51" w:rsidR="002B22E3" w:rsidRPr="00A12F86" w:rsidRDefault="002B22E3" w:rsidP="005F6B35">
            <w:pPr>
              <w:spacing w:after="0" w:line="240" w:lineRule="auto"/>
              <w:jc w:val="right"/>
              <w:rPr>
                <w:rFonts w:asciiTheme="minorHAnsi" w:hAnsiTheme="minorHAnsi"/>
              </w:rPr>
            </w:pPr>
            <w:r w:rsidRPr="00A12F86">
              <w:rPr>
                <w:rFonts w:asciiTheme="minorHAnsi" w:hAnsiTheme="minorHAnsi"/>
              </w:rPr>
              <w:t>$</w:t>
            </w:r>
            <w:r w:rsidR="005F6B35" w:rsidRPr="00A12F86">
              <w:rPr>
                <w:rFonts w:asciiTheme="minorHAnsi" w:hAnsiTheme="minorHAnsi"/>
              </w:rPr>
              <w:t>347</w:t>
            </w:r>
            <w:r w:rsidR="008921E9" w:rsidRPr="00A12F86">
              <w:rPr>
                <w:rFonts w:asciiTheme="minorHAnsi" w:hAnsiTheme="minorHAnsi"/>
              </w:rPr>
              <w:t>,</w:t>
            </w:r>
            <w:r w:rsidR="005F6B35" w:rsidRPr="00A12F86">
              <w:rPr>
                <w:rFonts w:asciiTheme="minorHAnsi" w:hAnsiTheme="minorHAnsi"/>
              </w:rPr>
              <w:t>947</w:t>
            </w:r>
          </w:p>
        </w:tc>
        <w:tc>
          <w:tcPr>
            <w:tcW w:w="2380" w:type="dxa"/>
            <w:tcBorders>
              <w:top w:val="nil"/>
              <w:left w:val="nil"/>
              <w:bottom w:val="nil"/>
              <w:right w:val="single" w:sz="4" w:space="0" w:color="auto"/>
            </w:tcBorders>
            <w:shd w:val="clear" w:color="auto" w:fill="auto"/>
            <w:vAlign w:val="bottom"/>
            <w:hideMark/>
          </w:tcPr>
          <w:p w14:paraId="6038CE95" w14:textId="63CF6C5D" w:rsidR="002B22E3" w:rsidRPr="00A12F86" w:rsidRDefault="002B22E3" w:rsidP="00A12F86">
            <w:pPr>
              <w:spacing w:after="0" w:line="240" w:lineRule="auto"/>
              <w:jc w:val="right"/>
              <w:rPr>
                <w:rFonts w:asciiTheme="minorHAnsi" w:hAnsiTheme="minorHAnsi"/>
              </w:rPr>
            </w:pPr>
            <w:r w:rsidRPr="00A12F86">
              <w:rPr>
                <w:rFonts w:asciiTheme="minorHAnsi" w:hAnsiTheme="minorHAnsi"/>
              </w:rPr>
              <w:t>$</w:t>
            </w:r>
            <w:r w:rsidR="00F81527" w:rsidRPr="00A12F86">
              <w:rPr>
                <w:rFonts w:asciiTheme="minorHAnsi" w:hAnsiTheme="minorHAnsi"/>
              </w:rPr>
              <w:t>4</w:t>
            </w:r>
            <w:r w:rsidR="00A12F86" w:rsidRPr="00A12F86">
              <w:rPr>
                <w:rFonts w:asciiTheme="minorHAnsi" w:hAnsiTheme="minorHAnsi"/>
              </w:rPr>
              <w:t>09</w:t>
            </w:r>
            <w:r w:rsidR="00F81527" w:rsidRPr="00A12F86">
              <w:rPr>
                <w:rFonts w:asciiTheme="minorHAnsi" w:hAnsiTheme="minorHAnsi"/>
              </w:rPr>
              <w:t>,349</w:t>
            </w:r>
          </w:p>
        </w:tc>
      </w:tr>
      <w:tr w:rsidR="002B22E3" w:rsidRPr="00040AB6" w14:paraId="1F4240EB" w14:textId="77777777" w:rsidTr="001C4B7A">
        <w:trPr>
          <w:trHeight w:val="300"/>
        </w:trPr>
        <w:tc>
          <w:tcPr>
            <w:tcW w:w="1960" w:type="dxa"/>
            <w:tcBorders>
              <w:top w:val="single" w:sz="4" w:space="0" w:color="auto"/>
              <w:left w:val="single" w:sz="4" w:space="0" w:color="auto"/>
              <w:bottom w:val="nil"/>
              <w:right w:val="nil"/>
            </w:tcBorders>
            <w:shd w:val="clear" w:color="auto" w:fill="auto"/>
            <w:vAlign w:val="bottom"/>
            <w:hideMark/>
          </w:tcPr>
          <w:p w14:paraId="60B5977A" w14:textId="77777777" w:rsidR="002B22E3" w:rsidRPr="00040AB6" w:rsidRDefault="002B22E3" w:rsidP="002B22E3">
            <w:pPr>
              <w:spacing w:after="0" w:line="240" w:lineRule="auto"/>
              <w:rPr>
                <w:rFonts w:asciiTheme="minorHAnsi" w:hAnsiTheme="minorHAnsi"/>
                <w:b/>
                <w:bCs/>
                <w:color w:val="000000"/>
              </w:rPr>
            </w:pPr>
            <w:r w:rsidRPr="00040AB6">
              <w:rPr>
                <w:rFonts w:asciiTheme="minorHAnsi" w:hAnsiTheme="minorHAnsi"/>
                <w:b/>
                <w:bCs/>
                <w:color w:val="000000"/>
              </w:rPr>
              <w:t>NEEA</w:t>
            </w:r>
          </w:p>
        </w:tc>
        <w:tc>
          <w:tcPr>
            <w:tcW w:w="1420" w:type="dxa"/>
            <w:tcBorders>
              <w:top w:val="single" w:sz="4" w:space="0" w:color="auto"/>
              <w:left w:val="nil"/>
              <w:bottom w:val="nil"/>
              <w:right w:val="nil"/>
            </w:tcBorders>
            <w:shd w:val="clear" w:color="auto" w:fill="auto"/>
            <w:vAlign w:val="bottom"/>
            <w:hideMark/>
          </w:tcPr>
          <w:p w14:paraId="31810999" w14:textId="77777777" w:rsidR="002B22E3" w:rsidRPr="00A12F86" w:rsidRDefault="002B22E3" w:rsidP="002B22E3">
            <w:pPr>
              <w:spacing w:after="0" w:line="240" w:lineRule="auto"/>
              <w:rPr>
                <w:rFonts w:asciiTheme="minorHAnsi" w:hAnsiTheme="minorHAnsi"/>
              </w:rPr>
            </w:pPr>
            <w:r w:rsidRPr="00A12F86">
              <w:rPr>
                <w:rFonts w:asciiTheme="minorHAnsi" w:hAnsiTheme="minorHAnsi"/>
              </w:rPr>
              <w:t> </w:t>
            </w:r>
          </w:p>
        </w:tc>
        <w:tc>
          <w:tcPr>
            <w:tcW w:w="2380" w:type="dxa"/>
            <w:tcBorders>
              <w:top w:val="single" w:sz="4" w:space="0" w:color="auto"/>
              <w:left w:val="nil"/>
              <w:bottom w:val="nil"/>
              <w:right w:val="single" w:sz="4" w:space="0" w:color="auto"/>
            </w:tcBorders>
            <w:shd w:val="clear" w:color="auto" w:fill="auto"/>
            <w:vAlign w:val="bottom"/>
            <w:hideMark/>
          </w:tcPr>
          <w:p w14:paraId="3E5A0A19" w14:textId="77777777" w:rsidR="002B22E3" w:rsidRPr="00A12F86" w:rsidRDefault="002B22E3" w:rsidP="002B22E3">
            <w:pPr>
              <w:spacing w:after="0" w:line="240" w:lineRule="auto"/>
              <w:rPr>
                <w:rFonts w:asciiTheme="minorHAnsi" w:hAnsiTheme="minorHAnsi"/>
              </w:rPr>
            </w:pPr>
            <w:r w:rsidRPr="00A12F86">
              <w:rPr>
                <w:rFonts w:asciiTheme="minorHAnsi" w:hAnsiTheme="minorHAnsi"/>
              </w:rPr>
              <w:t> </w:t>
            </w:r>
          </w:p>
        </w:tc>
      </w:tr>
      <w:tr w:rsidR="002B22E3" w:rsidRPr="00040AB6" w14:paraId="50DEAAE3" w14:textId="77777777" w:rsidTr="001C4B7A">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1370F" w14:textId="6E1DDAD5" w:rsidR="002B22E3" w:rsidRPr="00040AB6" w:rsidRDefault="002B22E3" w:rsidP="002B22E3">
            <w:pPr>
              <w:spacing w:after="0" w:line="240" w:lineRule="auto"/>
              <w:rPr>
                <w:rFonts w:asciiTheme="minorHAnsi" w:hAnsiTheme="minorHAnsi"/>
                <w:color w:val="000000"/>
              </w:rPr>
            </w:pPr>
            <w:r w:rsidRPr="00040AB6">
              <w:rPr>
                <w:rFonts w:asciiTheme="minorHAnsi" w:hAnsiTheme="minorHAnsi"/>
                <w:color w:val="000000"/>
              </w:rPr>
              <w:t>NEEA</w:t>
            </w:r>
            <w:r w:rsidR="005E1B95">
              <w:rPr>
                <w:rFonts w:asciiTheme="minorHAnsi" w:hAnsiTheme="minorHAnsi"/>
                <w:color w:val="000000"/>
              </w:rPr>
              <w:t xml:space="preserve"> Pilot Program</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4E6A236C" w14:textId="1A7C2F5C" w:rsidR="002B22E3" w:rsidRPr="00A12F86" w:rsidRDefault="002B22E3" w:rsidP="00F81527">
            <w:pPr>
              <w:spacing w:after="0" w:line="240" w:lineRule="auto"/>
              <w:jc w:val="right"/>
              <w:rPr>
                <w:rFonts w:asciiTheme="minorHAnsi" w:hAnsiTheme="minorHAnsi"/>
              </w:rPr>
            </w:pPr>
            <w:r w:rsidRPr="00A12F86">
              <w:rPr>
                <w:rFonts w:asciiTheme="minorHAnsi" w:hAnsiTheme="minorHAnsi"/>
              </w:rPr>
              <w:t>$</w:t>
            </w:r>
            <w:r w:rsidR="00F81527" w:rsidRPr="00A12F86">
              <w:rPr>
                <w:rFonts w:asciiTheme="minorHAnsi" w:hAnsiTheme="minorHAnsi"/>
              </w:rPr>
              <w:t>80,014</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58DDD26E" w14:textId="51DDF189" w:rsidR="002B22E3" w:rsidRPr="00A12F86" w:rsidRDefault="002B22E3" w:rsidP="008921E9">
            <w:pPr>
              <w:spacing w:after="0" w:line="240" w:lineRule="auto"/>
              <w:jc w:val="right"/>
              <w:rPr>
                <w:rFonts w:asciiTheme="minorHAnsi" w:hAnsiTheme="minorHAnsi"/>
              </w:rPr>
            </w:pPr>
            <w:r w:rsidRPr="00A12F86">
              <w:rPr>
                <w:rFonts w:asciiTheme="minorHAnsi" w:hAnsiTheme="minorHAnsi"/>
              </w:rPr>
              <w:t>$</w:t>
            </w:r>
            <w:r w:rsidR="00F81527" w:rsidRPr="00A12F86">
              <w:rPr>
                <w:rFonts w:asciiTheme="minorHAnsi" w:hAnsiTheme="minorHAnsi"/>
              </w:rPr>
              <w:t>94,134</w:t>
            </w:r>
          </w:p>
        </w:tc>
      </w:tr>
      <w:tr w:rsidR="004D4857" w:rsidRPr="00040AB6" w14:paraId="501384D7" w14:textId="77777777" w:rsidTr="001C4B7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57CC2AD" w14:textId="30C60206" w:rsidR="004D4857" w:rsidRPr="005D4315" w:rsidRDefault="004D4857" w:rsidP="002B22E3">
            <w:pPr>
              <w:spacing w:after="0" w:line="240" w:lineRule="auto"/>
              <w:rPr>
                <w:rFonts w:asciiTheme="minorHAnsi" w:hAnsiTheme="minorHAnsi"/>
                <w:b/>
                <w:color w:val="000000"/>
              </w:rPr>
            </w:pPr>
            <w:r w:rsidRPr="005D4315">
              <w:rPr>
                <w:rFonts w:asciiTheme="minorHAnsi" w:hAnsiTheme="minorHAnsi"/>
                <w:b/>
                <w:color w:val="000000"/>
              </w:rPr>
              <w:t>WA</w:t>
            </w:r>
            <w:r w:rsidR="0097483E">
              <w:rPr>
                <w:rFonts w:asciiTheme="minorHAnsi" w:hAnsiTheme="minorHAnsi"/>
                <w:b/>
                <w:color w:val="000000"/>
              </w:rPr>
              <w:t>-</w:t>
            </w:r>
            <w:r w:rsidRPr="005D4315">
              <w:rPr>
                <w:rFonts w:asciiTheme="minorHAnsi" w:hAnsiTheme="minorHAnsi"/>
                <w:b/>
                <w:color w:val="000000"/>
              </w:rPr>
              <w:t>LIEE</w:t>
            </w:r>
          </w:p>
        </w:tc>
        <w:tc>
          <w:tcPr>
            <w:tcW w:w="1420" w:type="dxa"/>
            <w:tcBorders>
              <w:top w:val="nil"/>
              <w:left w:val="nil"/>
              <w:bottom w:val="single" w:sz="4" w:space="0" w:color="auto"/>
              <w:right w:val="single" w:sz="4" w:space="0" w:color="auto"/>
            </w:tcBorders>
            <w:shd w:val="clear" w:color="auto" w:fill="auto"/>
            <w:noWrap/>
            <w:vAlign w:val="bottom"/>
            <w:hideMark/>
          </w:tcPr>
          <w:p w14:paraId="3E451FF2" w14:textId="0ACC3506" w:rsidR="004D4857" w:rsidRPr="00A12F86" w:rsidRDefault="004D4857" w:rsidP="00BD1A74">
            <w:pPr>
              <w:spacing w:after="0" w:line="240" w:lineRule="auto"/>
              <w:jc w:val="right"/>
              <w:rPr>
                <w:rFonts w:asciiTheme="minorHAnsi" w:hAnsiTheme="minorHAnsi"/>
              </w:rPr>
            </w:pPr>
            <w:r w:rsidRPr="00A12F86">
              <w:rPr>
                <w:rFonts w:asciiTheme="minorHAnsi" w:hAnsiTheme="minorHAnsi"/>
              </w:rPr>
              <w:t>$</w:t>
            </w:r>
            <w:r w:rsidR="00BD1A74" w:rsidRPr="00A12F86">
              <w:rPr>
                <w:rFonts w:asciiTheme="minorHAnsi" w:hAnsiTheme="minorHAnsi"/>
              </w:rPr>
              <w:t>96,300</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7CE74A1F" w14:textId="762DCD2E" w:rsidR="004D4857" w:rsidRPr="00A12F86" w:rsidRDefault="004D4857" w:rsidP="00BD1A74">
            <w:pPr>
              <w:spacing w:after="0" w:line="240" w:lineRule="auto"/>
              <w:jc w:val="right"/>
              <w:rPr>
                <w:rFonts w:asciiTheme="minorHAnsi" w:hAnsiTheme="minorHAnsi"/>
              </w:rPr>
            </w:pPr>
            <w:r w:rsidRPr="00A12F86">
              <w:rPr>
                <w:rFonts w:asciiTheme="minorHAnsi" w:hAnsiTheme="minorHAnsi"/>
              </w:rPr>
              <w:t>$</w:t>
            </w:r>
            <w:r w:rsidR="00BD1A74" w:rsidRPr="00A12F86">
              <w:rPr>
                <w:rFonts w:asciiTheme="minorHAnsi" w:hAnsiTheme="minorHAnsi"/>
              </w:rPr>
              <w:t>160,500</w:t>
            </w:r>
          </w:p>
        </w:tc>
      </w:tr>
      <w:tr w:rsidR="004D4857" w:rsidRPr="00040AB6" w14:paraId="46295603" w14:textId="77777777" w:rsidTr="001C4B7A">
        <w:trPr>
          <w:trHeight w:val="315"/>
        </w:trPr>
        <w:tc>
          <w:tcPr>
            <w:tcW w:w="1960" w:type="dxa"/>
            <w:tcBorders>
              <w:top w:val="nil"/>
              <w:left w:val="single" w:sz="8" w:space="0" w:color="auto"/>
              <w:bottom w:val="single" w:sz="8" w:space="0" w:color="auto"/>
              <w:right w:val="single" w:sz="4" w:space="0" w:color="auto"/>
            </w:tcBorders>
            <w:shd w:val="clear" w:color="auto" w:fill="auto"/>
            <w:vAlign w:val="bottom"/>
            <w:hideMark/>
          </w:tcPr>
          <w:p w14:paraId="17DC166E" w14:textId="77777777" w:rsidR="004D4857" w:rsidRPr="00040AB6" w:rsidRDefault="004D4857" w:rsidP="002B22E3">
            <w:pPr>
              <w:spacing w:after="0" w:line="240" w:lineRule="auto"/>
              <w:rPr>
                <w:rFonts w:asciiTheme="minorHAnsi" w:hAnsiTheme="minorHAnsi"/>
                <w:color w:val="000000"/>
              </w:rPr>
            </w:pPr>
            <w:r w:rsidRPr="00040AB6">
              <w:rPr>
                <w:rFonts w:asciiTheme="minorHAnsi" w:hAnsiTheme="minorHAnsi"/>
                <w:color w:val="000000"/>
              </w:rPr>
              <w:t>Total</w:t>
            </w:r>
          </w:p>
        </w:tc>
        <w:tc>
          <w:tcPr>
            <w:tcW w:w="1420" w:type="dxa"/>
            <w:tcBorders>
              <w:top w:val="nil"/>
              <w:left w:val="nil"/>
              <w:bottom w:val="single" w:sz="8" w:space="0" w:color="auto"/>
              <w:right w:val="single" w:sz="4" w:space="0" w:color="auto"/>
            </w:tcBorders>
            <w:shd w:val="clear" w:color="auto" w:fill="auto"/>
            <w:noWrap/>
            <w:vAlign w:val="bottom"/>
            <w:hideMark/>
          </w:tcPr>
          <w:p w14:paraId="71554A22" w14:textId="099ED052" w:rsidR="004D4857" w:rsidRPr="00A12F86" w:rsidRDefault="004D4857" w:rsidP="00A12F86">
            <w:pPr>
              <w:spacing w:after="0" w:line="240" w:lineRule="auto"/>
              <w:jc w:val="right"/>
              <w:rPr>
                <w:rFonts w:asciiTheme="minorHAnsi" w:hAnsiTheme="minorHAnsi"/>
              </w:rPr>
            </w:pPr>
            <w:r w:rsidRPr="00A12F86">
              <w:rPr>
                <w:rFonts w:asciiTheme="minorHAnsi" w:hAnsiTheme="minorHAnsi"/>
              </w:rPr>
              <w:t>$</w:t>
            </w:r>
            <w:r w:rsidR="00F81527" w:rsidRPr="00A12F86">
              <w:rPr>
                <w:rFonts w:asciiTheme="minorHAnsi" w:hAnsiTheme="minorHAnsi"/>
              </w:rPr>
              <w:t>1,5</w:t>
            </w:r>
            <w:r w:rsidR="00A12F86" w:rsidRPr="00A12F86">
              <w:rPr>
                <w:rFonts w:asciiTheme="minorHAnsi" w:hAnsiTheme="minorHAnsi"/>
              </w:rPr>
              <w:t>37</w:t>
            </w:r>
            <w:r w:rsidR="008921E9" w:rsidRPr="00A12F86">
              <w:rPr>
                <w:rFonts w:asciiTheme="minorHAnsi" w:hAnsiTheme="minorHAnsi"/>
              </w:rPr>
              <w:t>,</w:t>
            </w:r>
            <w:r w:rsidR="00F81527" w:rsidRPr="00A12F86">
              <w:rPr>
                <w:rFonts w:asciiTheme="minorHAnsi" w:hAnsiTheme="minorHAnsi"/>
              </w:rPr>
              <w:t>5</w:t>
            </w:r>
            <w:r w:rsidR="00A12F86" w:rsidRPr="00A12F86">
              <w:rPr>
                <w:rFonts w:asciiTheme="minorHAnsi" w:hAnsiTheme="minorHAnsi"/>
              </w:rPr>
              <w:t>1</w:t>
            </w:r>
            <w:r w:rsidR="00A12F86">
              <w:rPr>
                <w:rFonts w:asciiTheme="minorHAnsi" w:hAnsiTheme="minorHAnsi"/>
              </w:rPr>
              <w:t>8</w:t>
            </w:r>
            <w:r w:rsidRPr="00A12F86">
              <w:rPr>
                <w:rFonts w:asciiTheme="minorHAnsi" w:hAnsiTheme="minorHAnsi"/>
              </w:rPr>
              <w:t xml:space="preserve"> </w:t>
            </w:r>
          </w:p>
        </w:tc>
        <w:tc>
          <w:tcPr>
            <w:tcW w:w="2380" w:type="dxa"/>
            <w:tcBorders>
              <w:top w:val="nil"/>
              <w:left w:val="nil"/>
              <w:bottom w:val="single" w:sz="8" w:space="0" w:color="auto"/>
              <w:right w:val="single" w:sz="8" w:space="0" w:color="auto"/>
            </w:tcBorders>
            <w:shd w:val="clear" w:color="auto" w:fill="auto"/>
            <w:noWrap/>
            <w:vAlign w:val="bottom"/>
            <w:hideMark/>
          </w:tcPr>
          <w:p w14:paraId="7009E1D3" w14:textId="73729667" w:rsidR="004D4857" w:rsidRPr="00A12F86" w:rsidRDefault="004D4857" w:rsidP="00A12F86">
            <w:pPr>
              <w:spacing w:after="0" w:line="240" w:lineRule="auto"/>
              <w:jc w:val="right"/>
              <w:rPr>
                <w:rFonts w:asciiTheme="minorHAnsi" w:hAnsiTheme="minorHAnsi"/>
              </w:rPr>
            </w:pPr>
            <w:r w:rsidRPr="00A12F86">
              <w:rPr>
                <w:rFonts w:asciiTheme="minorHAnsi" w:hAnsiTheme="minorHAnsi"/>
              </w:rPr>
              <w:t>$</w:t>
            </w:r>
            <w:r w:rsidR="00F81527" w:rsidRPr="00A12F86">
              <w:rPr>
                <w:rFonts w:asciiTheme="minorHAnsi" w:hAnsiTheme="minorHAnsi"/>
              </w:rPr>
              <w:t>1,8</w:t>
            </w:r>
            <w:r w:rsidR="00A12F86" w:rsidRPr="00A12F86">
              <w:rPr>
                <w:rFonts w:asciiTheme="minorHAnsi" w:hAnsiTheme="minorHAnsi"/>
              </w:rPr>
              <w:t>56</w:t>
            </w:r>
            <w:r w:rsidR="00F81527" w:rsidRPr="00A12F86">
              <w:rPr>
                <w:rFonts w:asciiTheme="minorHAnsi" w:hAnsiTheme="minorHAnsi"/>
              </w:rPr>
              <w:t>,051</w:t>
            </w:r>
            <w:r w:rsidRPr="00A12F86">
              <w:rPr>
                <w:rFonts w:asciiTheme="minorHAnsi" w:hAnsiTheme="minorHAnsi"/>
              </w:rPr>
              <w:t xml:space="preserve"> </w:t>
            </w:r>
          </w:p>
        </w:tc>
      </w:tr>
    </w:tbl>
    <w:p w14:paraId="3AD57C65" w14:textId="77777777" w:rsidR="00614BC3" w:rsidRPr="00040AB6" w:rsidRDefault="00614BC3" w:rsidP="003A1FAE">
      <w:pPr>
        <w:pStyle w:val="ListParagraph"/>
        <w:spacing w:after="0" w:line="240" w:lineRule="auto"/>
        <w:rPr>
          <w:rFonts w:asciiTheme="minorHAnsi" w:hAnsiTheme="minorHAnsi"/>
          <w:sz w:val="24"/>
          <w:szCs w:val="24"/>
        </w:rPr>
      </w:pPr>
    </w:p>
    <w:p w14:paraId="2B11F739" w14:textId="00ED1F40" w:rsidR="00136FF5" w:rsidRPr="00040AB6" w:rsidRDefault="00136FF5" w:rsidP="00136FF5">
      <w:pPr>
        <w:pStyle w:val="ListParagraph"/>
        <w:spacing w:after="0" w:line="240" w:lineRule="auto"/>
        <w:rPr>
          <w:rFonts w:asciiTheme="minorHAnsi" w:hAnsiTheme="minorHAnsi"/>
          <w:sz w:val="24"/>
          <w:szCs w:val="24"/>
        </w:rPr>
      </w:pPr>
      <w:r w:rsidRPr="00040AB6">
        <w:rPr>
          <w:rFonts w:asciiTheme="minorHAnsi" w:hAnsiTheme="minorHAnsi"/>
          <w:sz w:val="24"/>
          <w:szCs w:val="24"/>
        </w:rPr>
        <w:t xml:space="preserve">Funding Schedule:  As of </w:t>
      </w:r>
      <w:r w:rsidR="008921E9">
        <w:rPr>
          <w:rFonts w:asciiTheme="minorHAnsi" w:hAnsiTheme="minorHAnsi"/>
          <w:sz w:val="24"/>
          <w:szCs w:val="24"/>
        </w:rPr>
        <w:t>December</w:t>
      </w:r>
      <w:r w:rsidR="008921E9" w:rsidRPr="00040AB6">
        <w:rPr>
          <w:rFonts w:asciiTheme="minorHAnsi" w:hAnsiTheme="minorHAnsi"/>
          <w:sz w:val="24"/>
          <w:szCs w:val="24"/>
        </w:rPr>
        <w:t xml:space="preserve"> </w:t>
      </w:r>
      <w:r w:rsidR="009C3EDF" w:rsidRPr="00040AB6">
        <w:rPr>
          <w:rFonts w:asciiTheme="minorHAnsi" w:hAnsiTheme="minorHAnsi"/>
          <w:sz w:val="24"/>
          <w:szCs w:val="24"/>
        </w:rPr>
        <w:t>201</w:t>
      </w:r>
      <w:r w:rsidR="00E2534C" w:rsidRPr="00040AB6">
        <w:rPr>
          <w:rFonts w:asciiTheme="minorHAnsi" w:hAnsiTheme="minorHAnsi"/>
          <w:sz w:val="24"/>
          <w:szCs w:val="24"/>
        </w:rPr>
        <w:t>5</w:t>
      </w:r>
      <w:r w:rsidRPr="00040AB6">
        <w:rPr>
          <w:rFonts w:asciiTheme="minorHAnsi" w:hAnsiTheme="minorHAnsi"/>
          <w:sz w:val="24"/>
          <w:szCs w:val="24"/>
        </w:rPr>
        <w:t xml:space="preserve">, the Company and Energy Trust have not executed a contract to define the </w:t>
      </w:r>
      <w:r w:rsidR="00E2534C" w:rsidRPr="00040AB6">
        <w:rPr>
          <w:rFonts w:asciiTheme="minorHAnsi" w:hAnsiTheme="minorHAnsi"/>
          <w:sz w:val="24"/>
          <w:szCs w:val="24"/>
        </w:rPr>
        <w:t>201</w:t>
      </w:r>
      <w:r w:rsidR="00A87A83">
        <w:rPr>
          <w:rFonts w:asciiTheme="minorHAnsi" w:hAnsiTheme="minorHAnsi"/>
          <w:sz w:val="24"/>
          <w:szCs w:val="24"/>
        </w:rPr>
        <w:t>6</w:t>
      </w:r>
      <w:r w:rsidR="00E2534C" w:rsidRPr="00040AB6">
        <w:rPr>
          <w:rFonts w:asciiTheme="minorHAnsi" w:hAnsiTheme="minorHAnsi"/>
          <w:sz w:val="24"/>
          <w:szCs w:val="24"/>
        </w:rPr>
        <w:t xml:space="preserve"> </w:t>
      </w:r>
      <w:r w:rsidRPr="00040AB6">
        <w:rPr>
          <w:rFonts w:asciiTheme="minorHAnsi" w:hAnsiTheme="minorHAnsi"/>
          <w:sz w:val="24"/>
          <w:szCs w:val="24"/>
        </w:rPr>
        <w:t xml:space="preserve">funding schedule but parties expect the funding schedule will mirror what was done in </w:t>
      </w:r>
      <w:r w:rsidR="00E2534C" w:rsidRPr="00040AB6">
        <w:rPr>
          <w:rFonts w:asciiTheme="minorHAnsi" w:hAnsiTheme="minorHAnsi"/>
          <w:sz w:val="24"/>
          <w:szCs w:val="24"/>
        </w:rPr>
        <w:t>prior years</w:t>
      </w:r>
      <w:r w:rsidR="00D72844" w:rsidRPr="00040AB6">
        <w:rPr>
          <w:rFonts w:asciiTheme="minorHAnsi" w:hAnsiTheme="minorHAnsi"/>
          <w:sz w:val="24"/>
          <w:szCs w:val="24"/>
        </w:rPr>
        <w:t xml:space="preserve">, </w:t>
      </w:r>
      <w:r w:rsidRPr="00040AB6">
        <w:rPr>
          <w:rFonts w:asciiTheme="minorHAnsi" w:hAnsiTheme="minorHAnsi"/>
          <w:sz w:val="24"/>
          <w:szCs w:val="24"/>
        </w:rPr>
        <w:t xml:space="preserve">which was that 50% of budgeted need was provided to Energy Trust on March 1 and the remaining 50% was provided on October 1.  </w:t>
      </w:r>
    </w:p>
    <w:p w14:paraId="6B4618F3" w14:textId="77777777" w:rsidR="00097823" w:rsidRPr="00040AB6" w:rsidRDefault="00097823">
      <w:pPr>
        <w:spacing w:after="0" w:line="240" w:lineRule="auto"/>
        <w:rPr>
          <w:rFonts w:asciiTheme="minorHAnsi" w:hAnsiTheme="minorHAnsi"/>
          <w:sz w:val="24"/>
          <w:szCs w:val="24"/>
        </w:rPr>
      </w:pPr>
    </w:p>
    <w:p w14:paraId="7B381AE9" w14:textId="0A386315" w:rsidR="00D57E7F" w:rsidRDefault="00D57E7F" w:rsidP="00122F13">
      <w:pPr>
        <w:pStyle w:val="ListParagraph"/>
        <w:numPr>
          <w:ilvl w:val="0"/>
          <w:numId w:val="37"/>
        </w:numPr>
        <w:spacing w:after="0" w:line="240" w:lineRule="auto"/>
        <w:ind w:left="720"/>
        <w:rPr>
          <w:rFonts w:asciiTheme="minorHAnsi" w:hAnsiTheme="minorHAnsi"/>
          <w:sz w:val="32"/>
          <w:szCs w:val="32"/>
        </w:rPr>
      </w:pPr>
      <w:r w:rsidRPr="00040AB6">
        <w:rPr>
          <w:rFonts w:asciiTheme="minorHAnsi" w:hAnsiTheme="minorHAnsi"/>
          <w:sz w:val="32"/>
          <w:szCs w:val="32"/>
        </w:rPr>
        <w:t>Gas Market Transformation</w:t>
      </w:r>
      <w:r w:rsidR="00A42FA1" w:rsidRPr="00040AB6">
        <w:rPr>
          <w:rFonts w:asciiTheme="minorHAnsi" w:hAnsiTheme="minorHAnsi"/>
          <w:sz w:val="32"/>
          <w:szCs w:val="32"/>
        </w:rPr>
        <w:t xml:space="preserve">, </w:t>
      </w:r>
      <w:r w:rsidR="00145ABB">
        <w:rPr>
          <w:rFonts w:asciiTheme="minorHAnsi" w:hAnsiTheme="minorHAnsi"/>
          <w:sz w:val="32"/>
          <w:szCs w:val="32"/>
        </w:rPr>
        <w:t>Second</w:t>
      </w:r>
      <w:r w:rsidR="00145ABB" w:rsidRPr="00040AB6">
        <w:rPr>
          <w:rFonts w:asciiTheme="minorHAnsi" w:hAnsiTheme="minorHAnsi"/>
          <w:sz w:val="32"/>
          <w:szCs w:val="32"/>
        </w:rPr>
        <w:t xml:space="preserve"> </w:t>
      </w:r>
      <w:r w:rsidR="00A42FA1" w:rsidRPr="00040AB6">
        <w:rPr>
          <w:rFonts w:asciiTheme="minorHAnsi" w:hAnsiTheme="minorHAnsi"/>
          <w:sz w:val="32"/>
          <w:szCs w:val="32"/>
        </w:rPr>
        <w:t>Year</w:t>
      </w:r>
      <w:r w:rsidRPr="00040AB6">
        <w:rPr>
          <w:rFonts w:asciiTheme="minorHAnsi" w:hAnsiTheme="minorHAnsi"/>
          <w:sz w:val="32"/>
          <w:szCs w:val="32"/>
        </w:rPr>
        <w:t xml:space="preserve"> Pilot</w:t>
      </w:r>
    </w:p>
    <w:p w14:paraId="326D4792" w14:textId="77777777" w:rsidR="00062D10" w:rsidRDefault="00062D10" w:rsidP="00677E81">
      <w:pPr>
        <w:pStyle w:val="ListParagraph"/>
        <w:spacing w:after="0" w:line="240" w:lineRule="auto"/>
        <w:rPr>
          <w:rFonts w:asciiTheme="minorHAnsi" w:hAnsiTheme="minorHAnsi"/>
          <w:sz w:val="32"/>
          <w:szCs w:val="32"/>
        </w:rPr>
      </w:pPr>
    </w:p>
    <w:p w14:paraId="255F674F" w14:textId="1F914FD4" w:rsidR="00A42FA1" w:rsidRPr="00867618" w:rsidRDefault="00A42FA1" w:rsidP="00035E11">
      <w:pPr>
        <w:rPr>
          <w:rFonts w:asciiTheme="minorHAnsi" w:hAnsiTheme="minorHAnsi"/>
          <w:sz w:val="24"/>
          <w:szCs w:val="24"/>
        </w:rPr>
      </w:pPr>
      <w:r w:rsidRPr="00867618">
        <w:rPr>
          <w:rFonts w:asciiTheme="minorHAnsi" w:hAnsiTheme="minorHAnsi"/>
          <w:sz w:val="24"/>
          <w:szCs w:val="24"/>
        </w:rPr>
        <w:t xml:space="preserve">NW Natural will </w:t>
      </w:r>
      <w:r w:rsidR="00677E81" w:rsidRPr="00867618">
        <w:rPr>
          <w:rFonts w:asciiTheme="minorHAnsi" w:hAnsiTheme="minorHAnsi"/>
          <w:sz w:val="24"/>
          <w:szCs w:val="24"/>
        </w:rPr>
        <w:t xml:space="preserve">continue its </w:t>
      </w:r>
      <w:r w:rsidRPr="00867618">
        <w:rPr>
          <w:rFonts w:asciiTheme="minorHAnsi" w:hAnsiTheme="minorHAnsi"/>
          <w:sz w:val="24"/>
          <w:szCs w:val="24"/>
        </w:rPr>
        <w:t>participat</w:t>
      </w:r>
      <w:r w:rsidR="00677E81" w:rsidRPr="00867618">
        <w:rPr>
          <w:rFonts w:asciiTheme="minorHAnsi" w:hAnsiTheme="minorHAnsi"/>
          <w:sz w:val="24"/>
          <w:szCs w:val="24"/>
        </w:rPr>
        <w:t>ion</w:t>
      </w:r>
      <w:r w:rsidRPr="00867618">
        <w:rPr>
          <w:rFonts w:asciiTheme="minorHAnsi" w:hAnsiTheme="minorHAnsi"/>
          <w:sz w:val="24"/>
          <w:szCs w:val="24"/>
        </w:rPr>
        <w:t xml:space="preserve"> in </w:t>
      </w:r>
      <w:r w:rsidR="00677E81" w:rsidRPr="00867618">
        <w:rPr>
          <w:rFonts w:asciiTheme="minorHAnsi" w:hAnsiTheme="minorHAnsi"/>
          <w:sz w:val="24"/>
          <w:szCs w:val="24"/>
        </w:rPr>
        <w:t>the</w:t>
      </w:r>
      <w:r w:rsidR="008B1D58">
        <w:rPr>
          <w:rFonts w:asciiTheme="minorHAnsi" w:hAnsiTheme="minorHAnsi"/>
          <w:sz w:val="24"/>
          <w:szCs w:val="24"/>
        </w:rPr>
        <w:t xml:space="preserve"> </w:t>
      </w:r>
      <w:r w:rsidRPr="00867618">
        <w:rPr>
          <w:rFonts w:asciiTheme="minorHAnsi" w:hAnsiTheme="minorHAnsi"/>
          <w:sz w:val="24"/>
          <w:szCs w:val="24"/>
        </w:rPr>
        <w:t>regional gas market transformation initiative lead by the Northwest Energy Efficiency Alliance</w:t>
      </w:r>
      <w:r w:rsidR="002A7E24" w:rsidRPr="00867618">
        <w:rPr>
          <w:rFonts w:asciiTheme="minorHAnsi" w:hAnsiTheme="minorHAnsi"/>
          <w:sz w:val="24"/>
          <w:szCs w:val="24"/>
        </w:rPr>
        <w:t xml:space="preserve"> (NEEA)</w:t>
      </w:r>
      <w:r w:rsidR="00677E81" w:rsidRPr="00867618">
        <w:rPr>
          <w:rFonts w:asciiTheme="minorHAnsi" w:hAnsiTheme="minorHAnsi"/>
          <w:sz w:val="24"/>
          <w:szCs w:val="24"/>
        </w:rPr>
        <w:t xml:space="preserve"> for the second year in 2016</w:t>
      </w:r>
      <w:r w:rsidRPr="00867618">
        <w:rPr>
          <w:rFonts w:asciiTheme="minorHAnsi" w:hAnsiTheme="minorHAnsi"/>
          <w:sz w:val="24"/>
          <w:szCs w:val="24"/>
        </w:rPr>
        <w:t>. The Company view</w:t>
      </w:r>
      <w:r w:rsidR="002A7E24" w:rsidRPr="00867618">
        <w:rPr>
          <w:rFonts w:asciiTheme="minorHAnsi" w:hAnsiTheme="minorHAnsi"/>
          <w:sz w:val="24"/>
          <w:szCs w:val="24"/>
        </w:rPr>
        <w:t>s</w:t>
      </w:r>
      <w:r w:rsidRPr="00867618">
        <w:rPr>
          <w:rFonts w:asciiTheme="minorHAnsi" w:hAnsiTheme="minorHAnsi"/>
          <w:sz w:val="24"/>
          <w:szCs w:val="24"/>
        </w:rPr>
        <w:t xml:space="preserve"> such activities as a necessary investment in the future of gas d</w:t>
      </w:r>
      <w:r w:rsidR="002A7E24" w:rsidRPr="00867618">
        <w:rPr>
          <w:rFonts w:asciiTheme="minorHAnsi" w:hAnsiTheme="minorHAnsi"/>
          <w:sz w:val="24"/>
          <w:szCs w:val="24"/>
        </w:rPr>
        <w:t>emand side management (DSM)</w:t>
      </w:r>
      <w:r w:rsidRPr="00867618">
        <w:rPr>
          <w:rFonts w:asciiTheme="minorHAnsi" w:hAnsiTheme="minorHAnsi"/>
          <w:sz w:val="24"/>
          <w:szCs w:val="24"/>
        </w:rPr>
        <w:t xml:space="preserve"> as an enduring component of regional power planning.  NEEA’s primary work on behalf of the Pacific Northwest is focused on two strategic goals 1) bring energy efficient emerging </w:t>
      </w:r>
      <w:r w:rsidR="002A7E24" w:rsidRPr="00867618">
        <w:rPr>
          <w:rFonts w:asciiTheme="minorHAnsi" w:hAnsiTheme="minorHAnsi"/>
          <w:sz w:val="24"/>
          <w:szCs w:val="24"/>
        </w:rPr>
        <w:t xml:space="preserve">gas </w:t>
      </w:r>
      <w:r w:rsidRPr="00867618">
        <w:rPr>
          <w:rFonts w:asciiTheme="minorHAnsi" w:hAnsiTheme="minorHAnsi"/>
          <w:sz w:val="24"/>
          <w:szCs w:val="24"/>
        </w:rPr>
        <w:t xml:space="preserve">technologies to market, and 2) create the market conditions that will accelerate and sustain the market adoption of energy efficient emerging </w:t>
      </w:r>
      <w:r w:rsidR="00A87A83" w:rsidRPr="00867618">
        <w:rPr>
          <w:rFonts w:asciiTheme="minorHAnsi" w:hAnsiTheme="minorHAnsi"/>
          <w:sz w:val="24"/>
          <w:szCs w:val="24"/>
        </w:rPr>
        <w:t xml:space="preserve">gas </w:t>
      </w:r>
      <w:r w:rsidRPr="00867618">
        <w:rPr>
          <w:rFonts w:asciiTheme="minorHAnsi" w:hAnsiTheme="minorHAnsi"/>
          <w:sz w:val="24"/>
          <w:szCs w:val="24"/>
        </w:rPr>
        <w:t>technologies. NEEA uses a stage-gate approach to manag</w:t>
      </w:r>
      <w:r w:rsidR="00A87A83" w:rsidRPr="00867618">
        <w:rPr>
          <w:rFonts w:asciiTheme="minorHAnsi" w:hAnsiTheme="minorHAnsi"/>
          <w:sz w:val="24"/>
          <w:szCs w:val="24"/>
        </w:rPr>
        <w:t>e</w:t>
      </w:r>
      <w:r w:rsidRPr="00867618">
        <w:rPr>
          <w:rFonts w:asciiTheme="minorHAnsi" w:hAnsiTheme="minorHAnsi"/>
          <w:sz w:val="24"/>
          <w:szCs w:val="24"/>
        </w:rPr>
        <w:t xml:space="preserve"> its work.</w:t>
      </w:r>
      <w:r w:rsidR="002A7E24" w:rsidRPr="00867618">
        <w:rPr>
          <w:rFonts w:asciiTheme="minorHAnsi" w:hAnsiTheme="minorHAnsi"/>
          <w:sz w:val="24"/>
          <w:szCs w:val="24"/>
        </w:rPr>
        <w:t xml:space="preserve"> Below</w:t>
      </w:r>
      <w:r w:rsidRPr="00867618">
        <w:rPr>
          <w:rFonts w:asciiTheme="minorHAnsi" w:hAnsiTheme="minorHAnsi"/>
          <w:sz w:val="24"/>
          <w:szCs w:val="24"/>
        </w:rPr>
        <w:t xml:space="preserve"> are the six phases that a technology would go through to fully achieve the two goals and result in a sustained market change that</w:t>
      </w:r>
      <w:r w:rsidR="002A7E24" w:rsidRPr="00867618">
        <w:rPr>
          <w:rFonts w:asciiTheme="minorHAnsi" w:hAnsiTheme="minorHAnsi"/>
          <w:sz w:val="24"/>
          <w:szCs w:val="24"/>
        </w:rPr>
        <w:t xml:space="preserve"> provides gas </w:t>
      </w:r>
      <w:r w:rsidRPr="00867618">
        <w:rPr>
          <w:rFonts w:asciiTheme="minorHAnsi" w:hAnsiTheme="minorHAnsi"/>
          <w:sz w:val="24"/>
          <w:szCs w:val="24"/>
        </w:rPr>
        <w:t>savings.</w:t>
      </w:r>
    </w:p>
    <w:p w14:paraId="580B0F2D" w14:textId="77777777" w:rsidR="00A42FA1" w:rsidRPr="00040AB6" w:rsidRDefault="00A42FA1" w:rsidP="00A42FA1">
      <w:pPr>
        <w:spacing w:after="0" w:line="240" w:lineRule="auto"/>
        <w:rPr>
          <w:rFonts w:asciiTheme="minorHAnsi" w:hAnsiTheme="minorHAnsi"/>
          <w:sz w:val="24"/>
          <w:szCs w:val="24"/>
        </w:rPr>
      </w:pPr>
    </w:p>
    <w:p w14:paraId="3B520425" w14:textId="77777777" w:rsidR="00BD7243" w:rsidRPr="00040AB6" w:rsidRDefault="00D57E7F">
      <w:pPr>
        <w:spacing w:after="0" w:line="240" w:lineRule="auto"/>
        <w:rPr>
          <w:rFonts w:asciiTheme="minorHAnsi" w:hAnsiTheme="minorHAnsi"/>
          <w:sz w:val="32"/>
          <w:szCs w:val="32"/>
        </w:rPr>
      </w:pPr>
      <w:r w:rsidRPr="00040AB6">
        <w:rPr>
          <w:rFonts w:asciiTheme="minorHAnsi" w:hAnsiTheme="minorHAnsi"/>
          <w:noProof/>
        </w:rPr>
        <w:drawing>
          <wp:inline distT="0" distB="0" distL="0" distR="0" wp14:anchorId="593BD832" wp14:editId="67E1D339">
            <wp:extent cx="5943600" cy="1086234"/>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086234"/>
                    </a:xfrm>
                    <a:prstGeom prst="rect">
                      <a:avLst/>
                    </a:prstGeom>
                    <a:noFill/>
                    <a:ln w="6350">
                      <a:solidFill>
                        <a:schemeClr val="tx1"/>
                      </a:solidFill>
                    </a:ln>
                  </pic:spPr>
                </pic:pic>
              </a:graphicData>
            </a:graphic>
          </wp:inline>
        </w:drawing>
      </w:r>
    </w:p>
    <w:p w14:paraId="5475CE44" w14:textId="77777777" w:rsidR="00A42FA1" w:rsidRPr="00040AB6" w:rsidRDefault="00A42FA1" w:rsidP="00A42FA1">
      <w:pPr>
        <w:rPr>
          <w:rFonts w:asciiTheme="minorHAnsi" w:hAnsiTheme="minorHAnsi"/>
        </w:rPr>
      </w:pPr>
    </w:p>
    <w:p w14:paraId="4676E3D7" w14:textId="77777777" w:rsidR="00A42FA1" w:rsidRPr="00410276" w:rsidRDefault="00A42FA1" w:rsidP="00A42FA1">
      <w:pPr>
        <w:rPr>
          <w:rFonts w:asciiTheme="minorHAnsi" w:hAnsiTheme="minorHAnsi"/>
          <w:sz w:val="24"/>
          <w:szCs w:val="24"/>
        </w:rPr>
      </w:pPr>
      <w:r w:rsidRPr="00410276">
        <w:rPr>
          <w:rFonts w:asciiTheme="minorHAnsi" w:hAnsiTheme="minorHAnsi"/>
          <w:sz w:val="24"/>
          <w:szCs w:val="24"/>
        </w:rPr>
        <w:t>Prior to the market development phase, NEEA works on</w:t>
      </w:r>
      <w:r w:rsidR="00677E81" w:rsidRPr="00410276">
        <w:rPr>
          <w:rFonts w:asciiTheme="minorHAnsi" w:hAnsiTheme="minorHAnsi"/>
          <w:sz w:val="24"/>
          <w:szCs w:val="24"/>
        </w:rPr>
        <w:t>:</w:t>
      </w:r>
      <w:r w:rsidRPr="00410276">
        <w:rPr>
          <w:rFonts w:asciiTheme="minorHAnsi" w:hAnsiTheme="minorHAnsi"/>
          <w:sz w:val="24"/>
          <w:szCs w:val="24"/>
        </w:rPr>
        <w:t xml:space="preserve"> </w:t>
      </w:r>
    </w:p>
    <w:p w14:paraId="5A0F807A" w14:textId="77777777" w:rsidR="00A42FA1" w:rsidRPr="00410276" w:rsidRDefault="00A42FA1" w:rsidP="00A42FA1">
      <w:pPr>
        <w:pStyle w:val="ListParagraph"/>
        <w:numPr>
          <w:ilvl w:val="0"/>
          <w:numId w:val="23"/>
        </w:numPr>
        <w:rPr>
          <w:rFonts w:asciiTheme="minorHAnsi" w:hAnsiTheme="minorHAnsi"/>
          <w:b/>
          <w:i/>
          <w:sz w:val="24"/>
          <w:szCs w:val="24"/>
        </w:rPr>
      </w:pPr>
      <w:r w:rsidRPr="00410276">
        <w:rPr>
          <w:rFonts w:asciiTheme="minorHAnsi" w:hAnsiTheme="minorHAnsi"/>
          <w:sz w:val="24"/>
          <w:szCs w:val="24"/>
        </w:rPr>
        <w:t xml:space="preserve">Scanning for new technologies (shown in the graphic above as “scanning and concept identifications”), </w:t>
      </w:r>
    </w:p>
    <w:p w14:paraId="1FC0AC34" w14:textId="77777777" w:rsidR="00A42FA1" w:rsidRPr="00410276" w:rsidRDefault="00A42FA1" w:rsidP="00A42FA1">
      <w:pPr>
        <w:pStyle w:val="ListParagraph"/>
        <w:numPr>
          <w:ilvl w:val="0"/>
          <w:numId w:val="23"/>
        </w:numPr>
        <w:rPr>
          <w:rFonts w:asciiTheme="minorHAnsi" w:hAnsiTheme="minorHAnsi"/>
          <w:b/>
          <w:i/>
          <w:sz w:val="24"/>
          <w:szCs w:val="24"/>
        </w:rPr>
      </w:pPr>
      <w:r w:rsidRPr="00410276">
        <w:rPr>
          <w:rFonts w:asciiTheme="minorHAnsi" w:hAnsiTheme="minorHAnsi"/>
          <w:sz w:val="24"/>
          <w:szCs w:val="24"/>
        </w:rPr>
        <w:t xml:space="preserve">Researching and assessing both the market and technology conditions and </w:t>
      </w:r>
      <w:r w:rsidR="00A87A83" w:rsidRPr="00410276">
        <w:rPr>
          <w:rFonts w:asciiTheme="minorHAnsi" w:hAnsiTheme="minorHAnsi"/>
          <w:sz w:val="24"/>
          <w:szCs w:val="24"/>
        </w:rPr>
        <w:t xml:space="preserve">savings </w:t>
      </w:r>
      <w:r w:rsidRPr="00410276">
        <w:rPr>
          <w:rFonts w:asciiTheme="minorHAnsi" w:hAnsiTheme="minorHAnsi"/>
          <w:sz w:val="24"/>
          <w:szCs w:val="24"/>
        </w:rPr>
        <w:t xml:space="preserve">potential (through the concept opportunity assessment and market and product assessment stages), </w:t>
      </w:r>
    </w:p>
    <w:p w14:paraId="3D9AFF3D" w14:textId="77777777" w:rsidR="00A42FA1" w:rsidRPr="00410276" w:rsidRDefault="00A42FA1" w:rsidP="00A42FA1">
      <w:pPr>
        <w:pStyle w:val="ListParagraph"/>
        <w:numPr>
          <w:ilvl w:val="0"/>
          <w:numId w:val="23"/>
        </w:numPr>
        <w:rPr>
          <w:rFonts w:asciiTheme="minorHAnsi" w:hAnsiTheme="minorHAnsi"/>
          <w:b/>
          <w:i/>
          <w:sz w:val="24"/>
          <w:szCs w:val="24"/>
        </w:rPr>
      </w:pPr>
      <w:r w:rsidRPr="00410276">
        <w:rPr>
          <w:rFonts w:asciiTheme="minorHAnsi" w:hAnsiTheme="minorHAnsi"/>
          <w:sz w:val="24"/>
          <w:szCs w:val="24"/>
        </w:rPr>
        <w:t xml:space="preserve">Developing and testing the market intervention strategy for the technology and developing cost effectiveness models which produce long term cost effectiveness metrics and energy savings forecasts (both part of strategy testing and finalization). </w:t>
      </w:r>
    </w:p>
    <w:p w14:paraId="7E3E9169" w14:textId="7C505D4E" w:rsidR="00AC3991" w:rsidRPr="00410276" w:rsidRDefault="00A42FA1" w:rsidP="005159E2">
      <w:pPr>
        <w:rPr>
          <w:rFonts w:asciiTheme="minorHAnsi" w:hAnsiTheme="minorHAnsi"/>
          <w:sz w:val="24"/>
          <w:szCs w:val="24"/>
        </w:rPr>
      </w:pPr>
      <w:r w:rsidRPr="00410276">
        <w:rPr>
          <w:rFonts w:asciiTheme="minorHAnsi" w:hAnsiTheme="minorHAnsi"/>
          <w:sz w:val="24"/>
          <w:szCs w:val="24"/>
        </w:rPr>
        <w:t xml:space="preserve">The purpose of these phases is </w:t>
      </w:r>
      <w:r w:rsidR="00DB408A" w:rsidRPr="00410276">
        <w:rPr>
          <w:rFonts w:asciiTheme="minorHAnsi" w:hAnsiTheme="minorHAnsi"/>
          <w:sz w:val="24"/>
          <w:szCs w:val="24"/>
        </w:rPr>
        <w:t>to develop</w:t>
      </w:r>
      <w:r w:rsidRPr="00410276">
        <w:rPr>
          <w:rFonts w:asciiTheme="minorHAnsi" w:hAnsiTheme="minorHAnsi"/>
          <w:sz w:val="24"/>
          <w:szCs w:val="24"/>
        </w:rPr>
        <w:t xml:space="preserve"> additional efficiency measures</w:t>
      </w:r>
      <w:r w:rsidR="002B14B9" w:rsidRPr="00410276">
        <w:rPr>
          <w:rFonts w:asciiTheme="minorHAnsi" w:hAnsiTheme="minorHAnsi"/>
          <w:sz w:val="24"/>
          <w:szCs w:val="24"/>
        </w:rPr>
        <w:t xml:space="preserve"> </w:t>
      </w:r>
      <w:r w:rsidRPr="00410276">
        <w:rPr>
          <w:rFonts w:asciiTheme="minorHAnsi" w:hAnsiTheme="minorHAnsi"/>
          <w:sz w:val="24"/>
          <w:szCs w:val="24"/>
        </w:rPr>
        <w:t xml:space="preserve">and strategies </w:t>
      </w:r>
      <w:r w:rsidR="002B14B9" w:rsidRPr="00410276">
        <w:rPr>
          <w:rFonts w:asciiTheme="minorHAnsi" w:hAnsiTheme="minorHAnsi"/>
          <w:sz w:val="24"/>
          <w:szCs w:val="24"/>
        </w:rPr>
        <w:t xml:space="preserve">over the long-term that will further the </w:t>
      </w:r>
      <w:r w:rsidRPr="00410276">
        <w:rPr>
          <w:rFonts w:asciiTheme="minorHAnsi" w:hAnsiTheme="minorHAnsi"/>
          <w:sz w:val="24"/>
          <w:szCs w:val="24"/>
        </w:rPr>
        <w:t>cost-effective</w:t>
      </w:r>
      <w:r w:rsidR="002B14B9" w:rsidRPr="00410276">
        <w:rPr>
          <w:rFonts w:asciiTheme="minorHAnsi" w:hAnsiTheme="minorHAnsi"/>
          <w:sz w:val="24"/>
          <w:szCs w:val="24"/>
        </w:rPr>
        <w:t>ness and</w:t>
      </w:r>
      <w:r w:rsidRPr="00410276">
        <w:rPr>
          <w:rFonts w:asciiTheme="minorHAnsi" w:hAnsiTheme="minorHAnsi"/>
          <w:sz w:val="24"/>
          <w:szCs w:val="24"/>
        </w:rPr>
        <w:t xml:space="preserve"> reliab</w:t>
      </w:r>
      <w:r w:rsidR="002B14B9" w:rsidRPr="00410276">
        <w:rPr>
          <w:rFonts w:asciiTheme="minorHAnsi" w:hAnsiTheme="minorHAnsi"/>
          <w:sz w:val="24"/>
          <w:szCs w:val="24"/>
        </w:rPr>
        <w:t xml:space="preserve">ility of savings and programs by </w:t>
      </w:r>
      <w:r w:rsidR="005159E2" w:rsidRPr="00410276">
        <w:rPr>
          <w:rFonts w:asciiTheme="minorHAnsi" w:hAnsiTheme="minorHAnsi"/>
          <w:sz w:val="24"/>
          <w:szCs w:val="24"/>
        </w:rPr>
        <w:t>acquir</w:t>
      </w:r>
      <w:r w:rsidR="002B14B9" w:rsidRPr="00410276">
        <w:rPr>
          <w:rFonts w:asciiTheme="minorHAnsi" w:hAnsiTheme="minorHAnsi"/>
          <w:sz w:val="24"/>
          <w:szCs w:val="24"/>
        </w:rPr>
        <w:t>ing</w:t>
      </w:r>
      <w:r w:rsidR="005159E2" w:rsidRPr="00410276">
        <w:rPr>
          <w:rFonts w:asciiTheme="minorHAnsi" w:hAnsiTheme="minorHAnsi"/>
          <w:sz w:val="24"/>
          <w:szCs w:val="24"/>
        </w:rPr>
        <w:t xml:space="preserve"> savings at</w:t>
      </w:r>
      <w:r w:rsidR="002B14B9" w:rsidRPr="00410276">
        <w:rPr>
          <w:rFonts w:asciiTheme="minorHAnsi" w:hAnsiTheme="minorHAnsi"/>
          <w:sz w:val="24"/>
          <w:szCs w:val="24"/>
        </w:rPr>
        <w:t xml:space="preserve"> market</w:t>
      </w:r>
      <w:r w:rsidR="005159E2" w:rsidRPr="00410276">
        <w:rPr>
          <w:rFonts w:asciiTheme="minorHAnsi" w:hAnsiTheme="minorHAnsi"/>
          <w:sz w:val="24"/>
          <w:szCs w:val="24"/>
        </w:rPr>
        <w:t xml:space="preserve"> scale</w:t>
      </w:r>
      <w:r w:rsidR="008B1D58">
        <w:rPr>
          <w:rFonts w:asciiTheme="minorHAnsi" w:hAnsiTheme="minorHAnsi"/>
          <w:sz w:val="24"/>
          <w:szCs w:val="24"/>
        </w:rPr>
        <w:t>.</w:t>
      </w:r>
      <w:r w:rsidR="002B14B9" w:rsidRPr="00410276">
        <w:rPr>
          <w:rFonts w:asciiTheme="minorHAnsi" w:hAnsiTheme="minorHAnsi"/>
          <w:sz w:val="24"/>
          <w:szCs w:val="24"/>
        </w:rPr>
        <w:t xml:space="preserve"> </w:t>
      </w:r>
      <w:r w:rsidRPr="00410276">
        <w:rPr>
          <w:rFonts w:asciiTheme="minorHAnsi" w:hAnsiTheme="minorHAnsi"/>
          <w:sz w:val="24"/>
          <w:szCs w:val="24"/>
        </w:rPr>
        <w:t>At each stage, the assessment of the potential for lon</w:t>
      </w:r>
      <w:r w:rsidR="005159E2" w:rsidRPr="00410276">
        <w:rPr>
          <w:rFonts w:asciiTheme="minorHAnsi" w:hAnsiTheme="minorHAnsi"/>
          <w:sz w:val="24"/>
          <w:szCs w:val="24"/>
        </w:rPr>
        <w:t>g-term cost-effective savings is</w:t>
      </w:r>
      <w:r w:rsidRPr="00410276">
        <w:rPr>
          <w:rFonts w:asciiTheme="minorHAnsi" w:hAnsiTheme="minorHAnsi"/>
          <w:sz w:val="24"/>
          <w:szCs w:val="24"/>
        </w:rPr>
        <w:t xml:space="preserve"> refined</w:t>
      </w:r>
      <w:r w:rsidRPr="00410276">
        <w:rPr>
          <w:rFonts w:asciiTheme="minorHAnsi" w:hAnsiTheme="minorHAnsi"/>
          <w:b/>
          <w:sz w:val="24"/>
          <w:szCs w:val="24"/>
        </w:rPr>
        <w:t>.</w:t>
      </w:r>
      <w:r w:rsidR="005159E2" w:rsidRPr="00410276">
        <w:rPr>
          <w:rFonts w:asciiTheme="minorHAnsi" w:hAnsiTheme="minorHAnsi"/>
          <w:b/>
          <w:sz w:val="24"/>
          <w:szCs w:val="24"/>
        </w:rPr>
        <w:t xml:space="preserve"> </w:t>
      </w:r>
      <w:r w:rsidR="005159E2" w:rsidRPr="00410276">
        <w:rPr>
          <w:rFonts w:asciiTheme="minorHAnsi" w:hAnsiTheme="minorHAnsi"/>
          <w:sz w:val="24"/>
          <w:szCs w:val="24"/>
        </w:rPr>
        <w:t xml:space="preserve">NEEA does not typically forecast savings associated with these earlier phases. These first four phases are where most of the activity will be in the early years of the NEEA gas collaborative.  Significant savings begin </w:t>
      </w:r>
      <w:r w:rsidR="00A87A83" w:rsidRPr="00410276">
        <w:rPr>
          <w:rFonts w:asciiTheme="minorHAnsi" w:hAnsiTheme="minorHAnsi"/>
          <w:sz w:val="24"/>
          <w:szCs w:val="24"/>
        </w:rPr>
        <w:t>in the fifth</w:t>
      </w:r>
      <w:r w:rsidR="00AC3991" w:rsidRPr="00410276">
        <w:rPr>
          <w:rFonts w:asciiTheme="minorHAnsi" w:hAnsiTheme="minorHAnsi"/>
          <w:sz w:val="24"/>
          <w:szCs w:val="24"/>
        </w:rPr>
        <w:t xml:space="preserve"> stage.  </w:t>
      </w:r>
    </w:p>
    <w:p w14:paraId="415D6992" w14:textId="77777777" w:rsidR="00023D3D" w:rsidRDefault="00023D3D" w:rsidP="005159E2">
      <w:pPr>
        <w:rPr>
          <w:rFonts w:asciiTheme="minorHAnsi" w:hAnsiTheme="minorHAnsi"/>
          <w:sz w:val="24"/>
          <w:szCs w:val="24"/>
        </w:rPr>
      </w:pPr>
      <w:r w:rsidRPr="00410276">
        <w:rPr>
          <w:rFonts w:asciiTheme="minorHAnsi" w:hAnsiTheme="minorHAnsi"/>
          <w:sz w:val="24"/>
          <w:szCs w:val="24"/>
        </w:rPr>
        <w:t xml:space="preserve">The Company is not including the costs invested in gas market transformation </w:t>
      </w:r>
      <w:r w:rsidR="00D63C79" w:rsidRPr="00410276">
        <w:rPr>
          <w:rFonts w:asciiTheme="minorHAnsi" w:hAnsiTheme="minorHAnsi"/>
          <w:sz w:val="24"/>
          <w:szCs w:val="24"/>
        </w:rPr>
        <w:t>in the analysis it performs when reporting on its 2015 and 2016 cost effective performance metrics.  For 2017, the Company will discuss with the EEAG whether or not keeping these costs out of its cost effectiveness analysi</w:t>
      </w:r>
      <w:r w:rsidR="00BD7A19" w:rsidRPr="00410276">
        <w:rPr>
          <w:rFonts w:asciiTheme="minorHAnsi" w:hAnsiTheme="minorHAnsi"/>
          <w:sz w:val="24"/>
          <w:szCs w:val="24"/>
        </w:rPr>
        <w:t xml:space="preserve">s continues to be appropriate. </w:t>
      </w:r>
      <w:r w:rsidR="003B221B" w:rsidRPr="00410276">
        <w:rPr>
          <w:rFonts w:asciiTheme="minorHAnsi" w:hAnsiTheme="minorHAnsi"/>
          <w:sz w:val="24"/>
          <w:szCs w:val="24"/>
        </w:rPr>
        <w:t>The Company acknowledges that this practice of excluding market transformation costs from its cost effectiveness analysis for at least a two-year period of time i</w:t>
      </w:r>
      <w:r w:rsidR="00BD7A19" w:rsidRPr="00410276">
        <w:rPr>
          <w:rFonts w:asciiTheme="minorHAnsi" w:hAnsiTheme="minorHAnsi"/>
          <w:sz w:val="24"/>
          <w:szCs w:val="24"/>
        </w:rPr>
        <w:t xml:space="preserve">s in no way precedent setting, and </w:t>
      </w:r>
      <w:r w:rsidR="003B221B" w:rsidRPr="00410276">
        <w:rPr>
          <w:rFonts w:asciiTheme="minorHAnsi" w:hAnsiTheme="minorHAnsi"/>
          <w:sz w:val="24"/>
          <w:szCs w:val="24"/>
        </w:rPr>
        <w:t xml:space="preserve">should the Company make any future requests for the unique treatment of costs, such requests will be evaluated by the EEAG on a case-by-case basis.  </w:t>
      </w:r>
      <w:r w:rsidRPr="00410276">
        <w:rPr>
          <w:rFonts w:asciiTheme="minorHAnsi" w:hAnsiTheme="minorHAnsi"/>
          <w:sz w:val="24"/>
          <w:szCs w:val="24"/>
        </w:rPr>
        <w:t xml:space="preserve"> </w:t>
      </w:r>
    </w:p>
    <w:p w14:paraId="4E3C0706" w14:textId="1F05EABE" w:rsidR="00175DBA" w:rsidRPr="00410276" w:rsidRDefault="00175DBA" w:rsidP="005159E2">
      <w:pPr>
        <w:rPr>
          <w:rFonts w:asciiTheme="minorHAnsi" w:hAnsiTheme="minorHAnsi"/>
          <w:sz w:val="24"/>
          <w:szCs w:val="24"/>
        </w:rPr>
      </w:pPr>
      <w:r>
        <w:rPr>
          <w:rFonts w:asciiTheme="minorHAnsi" w:hAnsiTheme="minorHAnsi"/>
          <w:sz w:val="24"/>
          <w:szCs w:val="24"/>
        </w:rPr>
        <w:t>The increase in</w:t>
      </w:r>
      <w:r w:rsidRPr="00175DBA">
        <w:rPr>
          <w:rFonts w:asciiTheme="minorHAnsi" w:hAnsiTheme="minorHAnsi"/>
          <w:sz w:val="24"/>
          <w:szCs w:val="24"/>
        </w:rPr>
        <w:t xml:space="preserve"> the NEEA budget from</w:t>
      </w:r>
      <w:r w:rsidRPr="00E259B4">
        <w:rPr>
          <w:rFonts w:asciiTheme="minorHAnsi" w:hAnsiTheme="minorHAnsi"/>
          <w:sz w:val="24"/>
          <w:szCs w:val="24"/>
        </w:rPr>
        <w:t xml:space="preserve"> $5</w:t>
      </w:r>
      <w:r w:rsidR="00E259B4" w:rsidRPr="00E259B4">
        <w:rPr>
          <w:rFonts w:asciiTheme="minorHAnsi" w:hAnsiTheme="minorHAnsi"/>
          <w:sz w:val="24"/>
          <w:szCs w:val="24"/>
        </w:rPr>
        <w:t>2</w:t>
      </w:r>
      <w:r w:rsidRPr="00E259B4">
        <w:rPr>
          <w:rFonts w:asciiTheme="minorHAnsi" w:hAnsiTheme="minorHAnsi"/>
          <w:sz w:val="24"/>
          <w:szCs w:val="24"/>
        </w:rPr>
        <w:t>,</w:t>
      </w:r>
      <w:r w:rsidR="00E259B4" w:rsidRPr="00E259B4">
        <w:rPr>
          <w:rFonts w:asciiTheme="minorHAnsi" w:hAnsiTheme="minorHAnsi"/>
          <w:sz w:val="24"/>
          <w:szCs w:val="24"/>
        </w:rPr>
        <w:t>075</w:t>
      </w:r>
      <w:r w:rsidRPr="00E259B4">
        <w:rPr>
          <w:rFonts w:asciiTheme="minorHAnsi" w:hAnsiTheme="minorHAnsi"/>
          <w:sz w:val="24"/>
          <w:szCs w:val="24"/>
        </w:rPr>
        <w:t xml:space="preserve"> i</w:t>
      </w:r>
      <w:r w:rsidRPr="00175DBA">
        <w:rPr>
          <w:rFonts w:asciiTheme="minorHAnsi" w:hAnsiTheme="minorHAnsi"/>
          <w:sz w:val="24"/>
          <w:szCs w:val="24"/>
        </w:rPr>
        <w:t>n 2015 to $94,134 in 2016 is due to increasing market research for hearth products,</w:t>
      </w:r>
      <w:r w:rsidR="00CB6727">
        <w:rPr>
          <w:rFonts w:asciiTheme="minorHAnsi" w:hAnsiTheme="minorHAnsi"/>
          <w:sz w:val="24"/>
          <w:szCs w:val="24"/>
        </w:rPr>
        <w:t xml:space="preserve"> a shift in timing of c</w:t>
      </w:r>
      <w:r w:rsidRPr="00175DBA">
        <w:rPr>
          <w:rFonts w:asciiTheme="minorHAnsi" w:hAnsiTheme="minorHAnsi"/>
          <w:sz w:val="24"/>
          <w:szCs w:val="24"/>
        </w:rPr>
        <w:t>ombi</w:t>
      </w:r>
      <w:r w:rsidR="00CB6727">
        <w:rPr>
          <w:rFonts w:asciiTheme="minorHAnsi" w:hAnsiTheme="minorHAnsi"/>
          <w:sz w:val="24"/>
          <w:szCs w:val="24"/>
        </w:rPr>
        <w:t xml:space="preserve">nation space and water heating </w:t>
      </w:r>
      <w:r w:rsidRPr="00175DBA">
        <w:rPr>
          <w:rFonts w:asciiTheme="minorHAnsi" w:hAnsiTheme="minorHAnsi"/>
          <w:sz w:val="24"/>
          <w:szCs w:val="24"/>
        </w:rPr>
        <w:t xml:space="preserve">system work, and acceleration of rooftop HVAC </w:t>
      </w:r>
      <w:r w:rsidR="00E259B4">
        <w:rPr>
          <w:rFonts w:asciiTheme="minorHAnsi" w:hAnsiTheme="minorHAnsi"/>
          <w:sz w:val="24"/>
          <w:szCs w:val="24"/>
        </w:rPr>
        <w:t>work</w:t>
      </w:r>
      <w:r w:rsidRPr="00175DBA">
        <w:rPr>
          <w:rFonts w:asciiTheme="minorHAnsi" w:hAnsiTheme="minorHAnsi"/>
          <w:sz w:val="24"/>
          <w:szCs w:val="24"/>
        </w:rPr>
        <w:t xml:space="preserve">. </w:t>
      </w:r>
      <w:r>
        <w:rPr>
          <w:rFonts w:asciiTheme="minorHAnsi" w:hAnsiTheme="minorHAnsi"/>
          <w:color w:val="FF0000"/>
          <w:sz w:val="24"/>
          <w:szCs w:val="24"/>
        </w:rPr>
        <w:t xml:space="preserve"> </w:t>
      </w:r>
    </w:p>
    <w:p w14:paraId="4032F62B" w14:textId="415721EF" w:rsidR="00E90D90" w:rsidRDefault="00D558E9">
      <w:pPr>
        <w:spacing w:after="0" w:line="240" w:lineRule="auto"/>
        <w:rPr>
          <w:rFonts w:asciiTheme="minorHAnsi" w:hAnsiTheme="minorHAnsi" w:cs="Arial"/>
          <w:bCs/>
          <w:sz w:val="32"/>
          <w:szCs w:val="32"/>
        </w:rPr>
      </w:pPr>
      <w:r w:rsidRPr="00410276">
        <w:rPr>
          <w:rFonts w:asciiTheme="minorHAnsi" w:hAnsiTheme="minorHAnsi" w:cs="Arial"/>
          <w:bCs/>
          <w:sz w:val="32"/>
          <w:szCs w:val="32"/>
        </w:rPr>
        <w:t>XV</w:t>
      </w:r>
      <w:r w:rsidR="00D57E7F" w:rsidRPr="00410276">
        <w:rPr>
          <w:rFonts w:asciiTheme="minorHAnsi" w:hAnsiTheme="minorHAnsi" w:cs="Arial"/>
          <w:bCs/>
          <w:sz w:val="32"/>
          <w:szCs w:val="32"/>
        </w:rPr>
        <w:t xml:space="preserve">. </w:t>
      </w:r>
      <w:r w:rsidR="00DB408A" w:rsidRPr="00410276">
        <w:rPr>
          <w:rFonts w:asciiTheme="minorHAnsi" w:hAnsiTheme="minorHAnsi" w:cs="Arial"/>
          <w:bCs/>
          <w:sz w:val="32"/>
          <w:szCs w:val="32"/>
        </w:rPr>
        <w:tab/>
      </w:r>
      <w:r w:rsidRPr="00410276">
        <w:rPr>
          <w:rFonts w:asciiTheme="minorHAnsi" w:hAnsiTheme="minorHAnsi" w:cs="Arial"/>
          <w:bCs/>
          <w:sz w:val="32"/>
          <w:szCs w:val="32"/>
        </w:rPr>
        <w:t>R</w:t>
      </w:r>
      <w:r w:rsidR="00035E11" w:rsidRPr="00410276">
        <w:rPr>
          <w:rFonts w:asciiTheme="minorHAnsi" w:hAnsiTheme="minorHAnsi" w:cs="Arial"/>
          <w:bCs/>
          <w:sz w:val="32"/>
          <w:szCs w:val="32"/>
        </w:rPr>
        <w:t>esidential Loan</w:t>
      </w:r>
      <w:r w:rsidR="00677E81" w:rsidRPr="00410276">
        <w:rPr>
          <w:rFonts w:asciiTheme="minorHAnsi" w:hAnsiTheme="minorHAnsi" w:cs="Arial"/>
          <w:bCs/>
          <w:sz w:val="32"/>
          <w:szCs w:val="32"/>
        </w:rPr>
        <w:t>s and</w:t>
      </w:r>
      <w:r w:rsidR="00035E11" w:rsidRPr="00410276">
        <w:rPr>
          <w:rFonts w:asciiTheme="minorHAnsi" w:hAnsiTheme="minorHAnsi" w:cs="Arial"/>
          <w:bCs/>
          <w:sz w:val="32"/>
          <w:szCs w:val="32"/>
        </w:rPr>
        <w:t xml:space="preserve"> On-The-Bill Repayment Services</w:t>
      </w:r>
    </w:p>
    <w:p w14:paraId="47592116" w14:textId="77777777" w:rsidR="008B1D58" w:rsidRPr="00632779" w:rsidRDefault="008B1D58">
      <w:pPr>
        <w:spacing w:after="0" w:line="240" w:lineRule="auto"/>
        <w:rPr>
          <w:rFonts w:asciiTheme="minorHAnsi" w:hAnsiTheme="minorHAnsi" w:cs="Arial"/>
          <w:b/>
          <w:bCs/>
          <w:sz w:val="24"/>
          <w:szCs w:val="24"/>
          <w:u w:val="single"/>
        </w:rPr>
      </w:pPr>
    </w:p>
    <w:p w14:paraId="7E1A96B9" w14:textId="057096E8" w:rsidR="00E90D90" w:rsidRPr="00410276" w:rsidRDefault="00C42309">
      <w:pPr>
        <w:spacing w:after="0" w:line="240" w:lineRule="auto"/>
        <w:rPr>
          <w:rFonts w:asciiTheme="minorHAnsi" w:hAnsiTheme="minorHAnsi" w:cs="Arial"/>
          <w:b/>
          <w:bCs/>
          <w:sz w:val="24"/>
          <w:szCs w:val="24"/>
          <w:u w:val="single"/>
        </w:rPr>
      </w:pPr>
      <w:r w:rsidRPr="00410276">
        <w:rPr>
          <w:rFonts w:asciiTheme="minorHAnsi" w:hAnsiTheme="minorHAnsi" w:cs="Arial"/>
          <w:b/>
          <w:bCs/>
          <w:sz w:val="24"/>
          <w:szCs w:val="24"/>
          <w:u w:val="single"/>
        </w:rPr>
        <w:t>Description</w:t>
      </w:r>
      <w:r w:rsidR="004E6EDA" w:rsidRPr="00410276">
        <w:rPr>
          <w:rFonts w:asciiTheme="minorHAnsi" w:hAnsiTheme="minorHAnsi" w:cs="Arial"/>
          <w:b/>
          <w:bCs/>
          <w:sz w:val="24"/>
          <w:szCs w:val="24"/>
          <w:u w:val="single"/>
        </w:rPr>
        <w:t xml:space="preserve"> of On</w:t>
      </w:r>
      <w:r w:rsidR="00035E11" w:rsidRPr="00410276">
        <w:rPr>
          <w:rFonts w:asciiTheme="minorHAnsi" w:hAnsiTheme="minorHAnsi" w:cs="Arial"/>
          <w:b/>
          <w:bCs/>
          <w:sz w:val="24"/>
          <w:szCs w:val="24"/>
          <w:u w:val="single"/>
        </w:rPr>
        <w:t>-</w:t>
      </w:r>
      <w:r w:rsidR="004E6EDA" w:rsidRPr="00410276">
        <w:rPr>
          <w:rFonts w:asciiTheme="minorHAnsi" w:hAnsiTheme="minorHAnsi" w:cs="Arial"/>
          <w:b/>
          <w:bCs/>
          <w:sz w:val="24"/>
          <w:szCs w:val="24"/>
          <w:u w:val="single"/>
        </w:rPr>
        <w:t>the</w:t>
      </w:r>
      <w:r w:rsidR="00035E11" w:rsidRPr="00410276">
        <w:rPr>
          <w:rFonts w:asciiTheme="minorHAnsi" w:hAnsiTheme="minorHAnsi" w:cs="Arial"/>
          <w:b/>
          <w:bCs/>
          <w:sz w:val="24"/>
          <w:szCs w:val="24"/>
          <w:u w:val="single"/>
        </w:rPr>
        <w:t>-</w:t>
      </w:r>
      <w:r w:rsidR="004E6EDA" w:rsidRPr="00410276">
        <w:rPr>
          <w:rFonts w:asciiTheme="minorHAnsi" w:hAnsiTheme="minorHAnsi" w:cs="Arial"/>
          <w:b/>
          <w:bCs/>
          <w:sz w:val="24"/>
          <w:szCs w:val="24"/>
          <w:u w:val="single"/>
        </w:rPr>
        <w:t>Bill Repayment Services</w:t>
      </w:r>
    </w:p>
    <w:p w14:paraId="5D1545DE" w14:textId="799AEBE8" w:rsidR="00943698" w:rsidRPr="00410276" w:rsidRDefault="001C693F" w:rsidP="00BC45BB">
      <w:pPr>
        <w:spacing w:after="0"/>
        <w:rPr>
          <w:rFonts w:asciiTheme="minorHAnsi" w:hAnsiTheme="minorHAnsi"/>
          <w:sz w:val="24"/>
          <w:szCs w:val="24"/>
        </w:rPr>
      </w:pPr>
      <w:r w:rsidRPr="00410276">
        <w:rPr>
          <w:rFonts w:asciiTheme="minorHAnsi" w:hAnsiTheme="minorHAnsi"/>
          <w:sz w:val="24"/>
          <w:szCs w:val="24"/>
        </w:rPr>
        <w:t xml:space="preserve">NW Natural will assist in marketing a </w:t>
      </w:r>
      <w:r w:rsidR="00B01965" w:rsidRPr="00410276">
        <w:rPr>
          <w:rFonts w:asciiTheme="minorHAnsi" w:hAnsiTheme="minorHAnsi"/>
          <w:sz w:val="24"/>
          <w:szCs w:val="24"/>
        </w:rPr>
        <w:t>low-interest, unsecured financing offer</w:t>
      </w:r>
      <w:r w:rsidRPr="00410276">
        <w:rPr>
          <w:rFonts w:asciiTheme="minorHAnsi" w:hAnsiTheme="minorHAnsi"/>
          <w:sz w:val="24"/>
          <w:szCs w:val="24"/>
        </w:rPr>
        <w:t xml:space="preserve"> to residential homeowners who heat their homes with gas heat.  </w:t>
      </w:r>
      <w:r w:rsidR="00B01965" w:rsidRPr="00410276">
        <w:rPr>
          <w:rFonts w:asciiTheme="minorHAnsi" w:hAnsiTheme="minorHAnsi"/>
          <w:sz w:val="24"/>
          <w:szCs w:val="24"/>
        </w:rPr>
        <w:t xml:space="preserve">The program lender </w:t>
      </w:r>
      <w:r w:rsidR="003F7CDA" w:rsidRPr="00410276">
        <w:rPr>
          <w:rFonts w:asciiTheme="minorHAnsi" w:hAnsiTheme="minorHAnsi"/>
          <w:sz w:val="24"/>
          <w:szCs w:val="24"/>
        </w:rPr>
        <w:t xml:space="preserve">will </w:t>
      </w:r>
      <w:r w:rsidR="00B01965" w:rsidRPr="00410276">
        <w:rPr>
          <w:rFonts w:asciiTheme="minorHAnsi" w:hAnsiTheme="minorHAnsi"/>
          <w:sz w:val="24"/>
          <w:szCs w:val="24"/>
        </w:rPr>
        <w:t>originate</w:t>
      </w:r>
      <w:r w:rsidR="003F7CDA" w:rsidRPr="00410276">
        <w:rPr>
          <w:rFonts w:asciiTheme="minorHAnsi" w:hAnsiTheme="minorHAnsi"/>
          <w:sz w:val="24"/>
          <w:szCs w:val="24"/>
        </w:rPr>
        <w:t xml:space="preserve"> loans granted </w:t>
      </w:r>
      <w:r w:rsidRPr="00410276">
        <w:rPr>
          <w:rFonts w:asciiTheme="minorHAnsi" w:hAnsiTheme="minorHAnsi"/>
          <w:sz w:val="24"/>
          <w:szCs w:val="24"/>
        </w:rPr>
        <w:t xml:space="preserve">for the purposes of installing </w:t>
      </w:r>
      <w:r w:rsidR="006F60EB" w:rsidRPr="00410276">
        <w:rPr>
          <w:rFonts w:asciiTheme="minorHAnsi" w:hAnsiTheme="minorHAnsi"/>
          <w:sz w:val="24"/>
          <w:szCs w:val="24"/>
        </w:rPr>
        <w:t xml:space="preserve">conservation and </w:t>
      </w:r>
      <w:r w:rsidRPr="00410276">
        <w:rPr>
          <w:rFonts w:asciiTheme="minorHAnsi" w:hAnsiTheme="minorHAnsi"/>
          <w:sz w:val="24"/>
          <w:szCs w:val="24"/>
        </w:rPr>
        <w:t>energy efficiency measures incented by the existing homes program, and the Company</w:t>
      </w:r>
      <w:r w:rsidR="003F7CDA" w:rsidRPr="00410276">
        <w:rPr>
          <w:rFonts w:asciiTheme="minorHAnsi" w:hAnsiTheme="minorHAnsi"/>
          <w:sz w:val="24"/>
          <w:szCs w:val="24"/>
        </w:rPr>
        <w:t xml:space="preserve"> will </w:t>
      </w:r>
      <w:r w:rsidRPr="00410276">
        <w:rPr>
          <w:rFonts w:asciiTheme="minorHAnsi" w:hAnsiTheme="minorHAnsi"/>
          <w:sz w:val="24"/>
          <w:szCs w:val="24"/>
        </w:rPr>
        <w:t>provide billing and remittance services to</w:t>
      </w:r>
      <w:r w:rsidR="00B01965" w:rsidRPr="00410276">
        <w:rPr>
          <w:rFonts w:asciiTheme="minorHAnsi" w:hAnsiTheme="minorHAnsi"/>
          <w:sz w:val="24"/>
          <w:szCs w:val="24"/>
        </w:rPr>
        <w:t xml:space="preserve"> </w:t>
      </w:r>
      <w:r w:rsidR="00B01965" w:rsidRPr="00410276">
        <w:rPr>
          <w:rFonts w:asciiTheme="minorHAnsi" w:hAnsiTheme="minorHAnsi"/>
          <w:sz w:val="24"/>
          <w:szCs w:val="24"/>
        </w:rPr>
        <w:lastRenderedPageBreak/>
        <w:t xml:space="preserve">the program lender </w:t>
      </w:r>
      <w:r w:rsidRPr="00410276">
        <w:rPr>
          <w:rFonts w:asciiTheme="minorHAnsi" w:hAnsiTheme="minorHAnsi"/>
          <w:sz w:val="24"/>
          <w:szCs w:val="24"/>
        </w:rPr>
        <w:t xml:space="preserve">by placing the loan repayment fee on the customers’ monthly gas bill.  </w:t>
      </w:r>
      <w:r w:rsidR="003F7CDA" w:rsidRPr="00410276">
        <w:rPr>
          <w:rFonts w:asciiTheme="minorHAnsi" w:hAnsiTheme="minorHAnsi"/>
          <w:sz w:val="24"/>
          <w:szCs w:val="24"/>
        </w:rPr>
        <w:t xml:space="preserve">Customers who obtain a loan with </w:t>
      </w:r>
      <w:r w:rsidR="00BA20BF" w:rsidRPr="00410276">
        <w:rPr>
          <w:rFonts w:asciiTheme="minorHAnsi" w:hAnsiTheme="minorHAnsi"/>
          <w:sz w:val="24"/>
          <w:szCs w:val="24"/>
        </w:rPr>
        <w:t>On-</w:t>
      </w:r>
      <w:r w:rsidR="003F7CDA" w:rsidRPr="00410276">
        <w:rPr>
          <w:rFonts w:asciiTheme="minorHAnsi" w:hAnsiTheme="minorHAnsi"/>
          <w:sz w:val="24"/>
          <w:szCs w:val="24"/>
        </w:rPr>
        <w:t>the</w:t>
      </w:r>
      <w:r w:rsidR="00BA20BF" w:rsidRPr="00410276">
        <w:rPr>
          <w:rFonts w:asciiTheme="minorHAnsi" w:hAnsiTheme="minorHAnsi"/>
          <w:sz w:val="24"/>
          <w:szCs w:val="24"/>
        </w:rPr>
        <w:t>-B</w:t>
      </w:r>
      <w:r w:rsidR="003F7CDA" w:rsidRPr="00410276">
        <w:rPr>
          <w:rFonts w:asciiTheme="minorHAnsi" w:hAnsiTheme="minorHAnsi"/>
          <w:sz w:val="24"/>
          <w:szCs w:val="24"/>
        </w:rPr>
        <w:t xml:space="preserve">ill </w:t>
      </w:r>
      <w:r w:rsidR="00BA20BF" w:rsidRPr="00410276">
        <w:rPr>
          <w:rFonts w:asciiTheme="minorHAnsi" w:hAnsiTheme="minorHAnsi"/>
          <w:sz w:val="24"/>
          <w:szCs w:val="24"/>
        </w:rPr>
        <w:t xml:space="preserve">Repayment Services </w:t>
      </w:r>
      <w:r w:rsidR="003F7CDA" w:rsidRPr="00410276">
        <w:rPr>
          <w:rFonts w:asciiTheme="minorHAnsi" w:hAnsiTheme="minorHAnsi"/>
          <w:sz w:val="24"/>
          <w:szCs w:val="24"/>
        </w:rPr>
        <w:t>will receive a loan repayment charge</w:t>
      </w:r>
      <w:r w:rsidR="004E6EDA" w:rsidRPr="00410276">
        <w:rPr>
          <w:rFonts w:asciiTheme="minorHAnsi" w:hAnsiTheme="minorHAnsi"/>
          <w:sz w:val="24"/>
          <w:szCs w:val="24"/>
        </w:rPr>
        <w:t xml:space="preserve"> separately itemized as “Energy Upgrade Loan” </w:t>
      </w:r>
      <w:r w:rsidR="003F7CDA" w:rsidRPr="00410276">
        <w:rPr>
          <w:rFonts w:asciiTheme="minorHAnsi" w:hAnsiTheme="minorHAnsi"/>
          <w:sz w:val="24"/>
          <w:szCs w:val="24"/>
        </w:rPr>
        <w:t>on their monthly bill for natural gas service for the term of the loan or until the loan has been paid off, transferred</w:t>
      </w:r>
      <w:r w:rsidR="006F60EB" w:rsidRPr="00410276">
        <w:rPr>
          <w:rFonts w:asciiTheme="minorHAnsi" w:hAnsiTheme="minorHAnsi"/>
          <w:sz w:val="24"/>
          <w:szCs w:val="24"/>
        </w:rPr>
        <w:t>,</w:t>
      </w:r>
      <w:r w:rsidR="003F7CDA" w:rsidRPr="00410276">
        <w:rPr>
          <w:rFonts w:asciiTheme="minorHAnsi" w:hAnsiTheme="minorHAnsi"/>
          <w:sz w:val="24"/>
          <w:szCs w:val="24"/>
        </w:rPr>
        <w:t xml:space="preserve"> or other</w:t>
      </w:r>
      <w:r w:rsidR="004E6EDA" w:rsidRPr="00410276">
        <w:rPr>
          <w:rFonts w:asciiTheme="minorHAnsi" w:hAnsiTheme="minorHAnsi"/>
          <w:sz w:val="24"/>
          <w:szCs w:val="24"/>
        </w:rPr>
        <w:t xml:space="preserve">wise discharged or removed from the bill in accordance </w:t>
      </w:r>
      <w:r w:rsidR="006F60EB" w:rsidRPr="00410276">
        <w:rPr>
          <w:rFonts w:asciiTheme="minorHAnsi" w:hAnsiTheme="minorHAnsi"/>
          <w:sz w:val="24"/>
          <w:szCs w:val="24"/>
        </w:rPr>
        <w:t xml:space="preserve">with the </w:t>
      </w:r>
      <w:r w:rsidR="004E6EDA" w:rsidRPr="00410276">
        <w:rPr>
          <w:rFonts w:asciiTheme="minorHAnsi" w:hAnsiTheme="minorHAnsi"/>
          <w:sz w:val="24"/>
          <w:szCs w:val="24"/>
        </w:rPr>
        <w:t xml:space="preserve">terms and conditions of the </w:t>
      </w:r>
      <w:r w:rsidR="00EB58D9" w:rsidRPr="00410276">
        <w:rPr>
          <w:rFonts w:asciiTheme="minorHAnsi" w:hAnsiTheme="minorHAnsi"/>
          <w:sz w:val="24"/>
          <w:szCs w:val="24"/>
        </w:rPr>
        <w:t xml:space="preserve">Company’s service agreement with Energy Trust, who will </w:t>
      </w:r>
      <w:r w:rsidR="006C06C1" w:rsidRPr="00410276">
        <w:rPr>
          <w:rFonts w:asciiTheme="minorHAnsi" w:hAnsiTheme="minorHAnsi"/>
          <w:sz w:val="24"/>
          <w:szCs w:val="24"/>
        </w:rPr>
        <w:t>manage the</w:t>
      </w:r>
      <w:r w:rsidR="00DE520A" w:rsidRPr="00410276">
        <w:rPr>
          <w:rFonts w:asciiTheme="minorHAnsi" w:hAnsiTheme="minorHAnsi"/>
          <w:sz w:val="24"/>
          <w:szCs w:val="24"/>
        </w:rPr>
        <w:t xml:space="preserve"> coordination of activities between the</w:t>
      </w:r>
      <w:r w:rsidR="006C06C1" w:rsidRPr="00410276">
        <w:rPr>
          <w:rFonts w:asciiTheme="minorHAnsi" w:hAnsiTheme="minorHAnsi"/>
          <w:sz w:val="24"/>
          <w:szCs w:val="24"/>
        </w:rPr>
        <w:t xml:space="preserve"> program lender</w:t>
      </w:r>
      <w:r w:rsidR="00DE520A" w:rsidRPr="00410276">
        <w:rPr>
          <w:rFonts w:asciiTheme="minorHAnsi" w:hAnsiTheme="minorHAnsi"/>
          <w:sz w:val="24"/>
          <w:szCs w:val="24"/>
        </w:rPr>
        <w:t xml:space="preserve">, the program management contractor, and the </w:t>
      </w:r>
      <w:r w:rsidR="006F60EB" w:rsidRPr="00410276">
        <w:rPr>
          <w:rFonts w:asciiTheme="minorHAnsi" w:hAnsiTheme="minorHAnsi"/>
          <w:sz w:val="24"/>
          <w:szCs w:val="24"/>
        </w:rPr>
        <w:t>C</w:t>
      </w:r>
      <w:r w:rsidR="00DE520A" w:rsidRPr="00410276">
        <w:rPr>
          <w:rFonts w:asciiTheme="minorHAnsi" w:hAnsiTheme="minorHAnsi"/>
          <w:sz w:val="24"/>
          <w:szCs w:val="24"/>
        </w:rPr>
        <w:t xml:space="preserve">ompany. </w:t>
      </w:r>
      <w:r w:rsidR="006C06C1" w:rsidRPr="00410276">
        <w:rPr>
          <w:rFonts w:asciiTheme="minorHAnsi" w:hAnsiTheme="minorHAnsi"/>
          <w:sz w:val="24"/>
          <w:szCs w:val="24"/>
        </w:rPr>
        <w:t xml:space="preserve">  </w:t>
      </w:r>
    </w:p>
    <w:p w14:paraId="14264FDC" w14:textId="77777777" w:rsidR="00EB58D9" w:rsidRPr="00410276" w:rsidRDefault="00EB58D9">
      <w:pPr>
        <w:spacing w:after="0" w:line="240" w:lineRule="auto"/>
        <w:rPr>
          <w:rFonts w:asciiTheme="minorHAnsi" w:hAnsiTheme="minorHAnsi"/>
          <w:sz w:val="24"/>
          <w:szCs w:val="24"/>
        </w:rPr>
      </w:pPr>
    </w:p>
    <w:p w14:paraId="1CD26837" w14:textId="77777777" w:rsidR="001C693F" w:rsidRPr="00410276" w:rsidRDefault="00DE520A">
      <w:pPr>
        <w:spacing w:after="0" w:line="240" w:lineRule="auto"/>
        <w:rPr>
          <w:rFonts w:asciiTheme="minorHAnsi" w:hAnsiTheme="minorHAnsi"/>
          <w:b/>
          <w:sz w:val="24"/>
          <w:szCs w:val="24"/>
          <w:u w:val="single"/>
        </w:rPr>
      </w:pPr>
      <w:r w:rsidRPr="00410276">
        <w:rPr>
          <w:rFonts w:asciiTheme="minorHAnsi" w:hAnsiTheme="minorHAnsi"/>
          <w:b/>
          <w:sz w:val="24"/>
          <w:szCs w:val="24"/>
          <w:u w:val="single"/>
        </w:rPr>
        <w:t xml:space="preserve">Program </w:t>
      </w:r>
      <w:r w:rsidR="004E6EDA" w:rsidRPr="00410276">
        <w:rPr>
          <w:rFonts w:asciiTheme="minorHAnsi" w:hAnsiTheme="minorHAnsi"/>
          <w:b/>
          <w:sz w:val="24"/>
          <w:szCs w:val="24"/>
          <w:u w:val="single"/>
        </w:rPr>
        <w:t>Lender</w:t>
      </w:r>
    </w:p>
    <w:p w14:paraId="4EF4CFC9" w14:textId="1B6FC223" w:rsidR="00943698" w:rsidRPr="00410276" w:rsidRDefault="001C693F" w:rsidP="00BC45BB">
      <w:pPr>
        <w:spacing w:after="0"/>
        <w:rPr>
          <w:rFonts w:asciiTheme="minorHAnsi" w:hAnsiTheme="minorHAnsi"/>
          <w:sz w:val="24"/>
          <w:szCs w:val="24"/>
        </w:rPr>
      </w:pPr>
      <w:r w:rsidRPr="00410276">
        <w:rPr>
          <w:rFonts w:asciiTheme="minorHAnsi" w:hAnsiTheme="minorHAnsi"/>
          <w:sz w:val="24"/>
          <w:szCs w:val="24"/>
        </w:rPr>
        <w:t xml:space="preserve">Craft3, a non-profit community development financial institution (CDFI) lender, </w:t>
      </w:r>
      <w:r w:rsidR="00DE520A" w:rsidRPr="00410276">
        <w:rPr>
          <w:rFonts w:asciiTheme="minorHAnsi" w:hAnsiTheme="minorHAnsi"/>
          <w:sz w:val="24"/>
          <w:szCs w:val="24"/>
        </w:rPr>
        <w:t xml:space="preserve">will act as the program lender, under the terms and conditions of a service agreement with Energy Trust. Craft3 </w:t>
      </w:r>
      <w:r w:rsidRPr="00410276">
        <w:rPr>
          <w:rFonts w:asciiTheme="minorHAnsi" w:hAnsiTheme="minorHAnsi"/>
          <w:sz w:val="24"/>
          <w:szCs w:val="24"/>
        </w:rPr>
        <w:t>received a grant from the State Of Washington’s Clean Energy Revolving Loan Fund</w:t>
      </w:r>
      <w:r w:rsidR="00DC379A" w:rsidRPr="00410276">
        <w:rPr>
          <w:rStyle w:val="FootnoteReference"/>
          <w:rFonts w:asciiTheme="minorHAnsi" w:hAnsiTheme="minorHAnsi"/>
          <w:sz w:val="24"/>
          <w:szCs w:val="24"/>
        </w:rPr>
        <w:footnoteReference w:id="3"/>
      </w:r>
      <w:r w:rsidRPr="00410276">
        <w:rPr>
          <w:rFonts w:asciiTheme="minorHAnsi" w:hAnsiTheme="minorHAnsi"/>
          <w:sz w:val="24"/>
          <w:szCs w:val="24"/>
        </w:rPr>
        <w:t xml:space="preserve"> for the purpose of providing financing to </w:t>
      </w:r>
      <w:r w:rsidR="00A415B4" w:rsidRPr="00410276">
        <w:rPr>
          <w:rFonts w:asciiTheme="minorHAnsi" w:hAnsiTheme="minorHAnsi"/>
          <w:sz w:val="24"/>
          <w:szCs w:val="24"/>
        </w:rPr>
        <w:t xml:space="preserve">Washington residents for the purpose of installing energy efficiency measures. </w:t>
      </w:r>
      <w:r w:rsidR="00DE520A" w:rsidRPr="00410276">
        <w:rPr>
          <w:rFonts w:asciiTheme="minorHAnsi" w:hAnsiTheme="minorHAnsi"/>
          <w:sz w:val="24"/>
          <w:szCs w:val="24"/>
        </w:rPr>
        <w:t>The intent of this offering is to facilitate the acquisition of cost</w:t>
      </w:r>
      <w:r w:rsidR="00BA3C0F" w:rsidRPr="00410276">
        <w:rPr>
          <w:rFonts w:asciiTheme="minorHAnsi" w:hAnsiTheme="minorHAnsi"/>
          <w:sz w:val="24"/>
          <w:szCs w:val="24"/>
        </w:rPr>
        <w:t>-</w:t>
      </w:r>
      <w:r w:rsidR="00DE520A" w:rsidRPr="00410276">
        <w:rPr>
          <w:rFonts w:asciiTheme="minorHAnsi" w:hAnsiTheme="minorHAnsi"/>
          <w:sz w:val="24"/>
          <w:szCs w:val="24"/>
        </w:rPr>
        <w:t xml:space="preserve">effective natural gas savings while extending the benefit of the State Of Washington’s Clean Energy Revolving Loan Fund to natural gas ratepayers in Southwest Washington. </w:t>
      </w:r>
    </w:p>
    <w:p w14:paraId="20D428A4" w14:textId="77777777" w:rsidR="001C693F" w:rsidRPr="00410276" w:rsidRDefault="001C693F">
      <w:pPr>
        <w:spacing w:after="0" w:line="240" w:lineRule="auto"/>
        <w:rPr>
          <w:rFonts w:asciiTheme="minorHAnsi" w:hAnsiTheme="minorHAnsi"/>
          <w:sz w:val="24"/>
          <w:szCs w:val="24"/>
        </w:rPr>
      </w:pPr>
    </w:p>
    <w:p w14:paraId="0627CE29" w14:textId="77777777" w:rsidR="008C5FE3" w:rsidRPr="00410276" w:rsidRDefault="003F7CDA">
      <w:pPr>
        <w:spacing w:after="0" w:line="240" w:lineRule="auto"/>
        <w:rPr>
          <w:rFonts w:asciiTheme="minorHAnsi" w:hAnsiTheme="minorHAnsi" w:cs="Arial"/>
          <w:b/>
          <w:bCs/>
          <w:sz w:val="24"/>
          <w:szCs w:val="24"/>
          <w:u w:val="single"/>
        </w:rPr>
      </w:pPr>
      <w:r w:rsidRPr="00410276">
        <w:rPr>
          <w:rFonts w:asciiTheme="minorHAnsi" w:hAnsiTheme="minorHAnsi" w:cs="Arial"/>
          <w:b/>
          <w:bCs/>
          <w:sz w:val="24"/>
          <w:szCs w:val="24"/>
          <w:u w:val="single"/>
        </w:rPr>
        <w:t>L</w:t>
      </w:r>
      <w:r w:rsidR="004E6EDA" w:rsidRPr="00410276">
        <w:rPr>
          <w:rFonts w:asciiTheme="minorHAnsi" w:hAnsiTheme="minorHAnsi" w:cs="Arial"/>
          <w:b/>
          <w:bCs/>
          <w:sz w:val="24"/>
          <w:szCs w:val="24"/>
          <w:u w:val="single"/>
        </w:rPr>
        <w:t>oan</w:t>
      </w:r>
    </w:p>
    <w:p w14:paraId="401C9F4F" w14:textId="7B2F1FF2" w:rsidR="00BD7243" w:rsidRPr="00410276" w:rsidRDefault="004E6EDA">
      <w:pPr>
        <w:spacing w:after="0" w:line="240" w:lineRule="auto"/>
        <w:rPr>
          <w:rFonts w:asciiTheme="minorHAnsi" w:hAnsiTheme="minorHAnsi"/>
          <w:sz w:val="24"/>
          <w:szCs w:val="24"/>
        </w:rPr>
      </w:pPr>
      <w:r w:rsidRPr="00410276">
        <w:rPr>
          <w:rFonts w:asciiTheme="minorHAnsi" w:hAnsiTheme="minorHAnsi"/>
          <w:sz w:val="24"/>
          <w:szCs w:val="24"/>
        </w:rPr>
        <w:t>The l</w:t>
      </w:r>
      <w:r w:rsidR="001C693F" w:rsidRPr="00410276">
        <w:rPr>
          <w:rFonts w:asciiTheme="minorHAnsi" w:hAnsiTheme="minorHAnsi"/>
          <w:sz w:val="24"/>
          <w:szCs w:val="24"/>
        </w:rPr>
        <w:t xml:space="preserve">oan offerings through Craft3 </w:t>
      </w:r>
      <w:r w:rsidRPr="00410276">
        <w:rPr>
          <w:rFonts w:asciiTheme="minorHAnsi" w:hAnsiTheme="minorHAnsi"/>
          <w:sz w:val="24"/>
          <w:szCs w:val="24"/>
        </w:rPr>
        <w:t xml:space="preserve">that will qualify for </w:t>
      </w:r>
      <w:r w:rsidR="00BA20BF" w:rsidRPr="00410276">
        <w:rPr>
          <w:rFonts w:asciiTheme="minorHAnsi" w:hAnsiTheme="minorHAnsi"/>
          <w:sz w:val="24"/>
          <w:szCs w:val="24"/>
        </w:rPr>
        <w:t>On</w:t>
      </w:r>
      <w:r w:rsidRPr="00410276">
        <w:rPr>
          <w:rFonts w:asciiTheme="minorHAnsi" w:hAnsiTheme="minorHAnsi"/>
          <w:sz w:val="24"/>
          <w:szCs w:val="24"/>
        </w:rPr>
        <w:t>-the-</w:t>
      </w:r>
      <w:r w:rsidR="00BA20BF" w:rsidRPr="00410276">
        <w:rPr>
          <w:rFonts w:asciiTheme="minorHAnsi" w:hAnsiTheme="minorHAnsi"/>
          <w:sz w:val="24"/>
          <w:szCs w:val="24"/>
        </w:rPr>
        <w:t>B</w:t>
      </w:r>
      <w:r w:rsidRPr="00410276">
        <w:rPr>
          <w:rFonts w:asciiTheme="minorHAnsi" w:hAnsiTheme="minorHAnsi"/>
          <w:sz w:val="24"/>
          <w:szCs w:val="24"/>
        </w:rPr>
        <w:t xml:space="preserve">ill </w:t>
      </w:r>
      <w:r w:rsidR="00BA20BF" w:rsidRPr="00410276">
        <w:rPr>
          <w:rFonts w:asciiTheme="minorHAnsi" w:hAnsiTheme="minorHAnsi"/>
          <w:sz w:val="24"/>
          <w:szCs w:val="24"/>
        </w:rPr>
        <w:t xml:space="preserve">Repayment Services </w:t>
      </w:r>
      <w:r w:rsidRPr="00410276">
        <w:rPr>
          <w:rFonts w:asciiTheme="minorHAnsi" w:hAnsiTheme="minorHAnsi"/>
          <w:sz w:val="24"/>
          <w:szCs w:val="24"/>
        </w:rPr>
        <w:t xml:space="preserve">must </w:t>
      </w:r>
      <w:r w:rsidR="003F7CDA" w:rsidRPr="00410276">
        <w:rPr>
          <w:rFonts w:asciiTheme="minorHAnsi" w:hAnsiTheme="minorHAnsi"/>
          <w:sz w:val="24"/>
          <w:szCs w:val="24"/>
        </w:rPr>
        <w:t xml:space="preserve">fit the following parameters: </w:t>
      </w:r>
    </w:p>
    <w:p w14:paraId="25187E2E" w14:textId="77777777" w:rsidR="004E6EDA" w:rsidRPr="00410276" w:rsidRDefault="004E6EDA" w:rsidP="001C693F">
      <w:pPr>
        <w:pStyle w:val="ListParagraph"/>
        <w:numPr>
          <w:ilvl w:val="0"/>
          <w:numId w:val="18"/>
        </w:numPr>
        <w:rPr>
          <w:rFonts w:asciiTheme="minorHAnsi" w:hAnsiTheme="minorHAnsi"/>
          <w:sz w:val="24"/>
          <w:szCs w:val="24"/>
        </w:rPr>
      </w:pPr>
      <w:r w:rsidRPr="00410276">
        <w:rPr>
          <w:rFonts w:asciiTheme="minorHAnsi" w:hAnsiTheme="minorHAnsi"/>
          <w:sz w:val="24"/>
          <w:szCs w:val="24"/>
        </w:rPr>
        <w:t xml:space="preserve">Loans must be granted to residential homeowners who use natural gas as their primary heating fuel. </w:t>
      </w:r>
    </w:p>
    <w:p w14:paraId="37AD7471" w14:textId="77777777" w:rsidR="004E6EDA" w:rsidRPr="00410276" w:rsidRDefault="004E6EDA" w:rsidP="001C693F">
      <w:pPr>
        <w:pStyle w:val="ListParagraph"/>
        <w:numPr>
          <w:ilvl w:val="0"/>
          <w:numId w:val="18"/>
        </w:numPr>
        <w:rPr>
          <w:rFonts w:asciiTheme="minorHAnsi" w:hAnsiTheme="minorHAnsi"/>
          <w:sz w:val="24"/>
          <w:szCs w:val="24"/>
        </w:rPr>
      </w:pPr>
      <w:r w:rsidRPr="00410276">
        <w:rPr>
          <w:rFonts w:asciiTheme="minorHAnsi" w:hAnsiTheme="minorHAnsi"/>
          <w:sz w:val="24"/>
          <w:szCs w:val="24"/>
        </w:rPr>
        <w:t xml:space="preserve">Loan amounts must be used to install </w:t>
      </w:r>
      <w:r w:rsidR="006F60EB" w:rsidRPr="00410276">
        <w:rPr>
          <w:rFonts w:asciiTheme="minorHAnsi" w:hAnsiTheme="minorHAnsi"/>
          <w:sz w:val="24"/>
          <w:szCs w:val="24"/>
        </w:rPr>
        <w:t xml:space="preserve">conservation and </w:t>
      </w:r>
      <w:r w:rsidRPr="00410276">
        <w:rPr>
          <w:rFonts w:asciiTheme="minorHAnsi" w:hAnsiTheme="minorHAnsi"/>
          <w:sz w:val="24"/>
          <w:szCs w:val="24"/>
        </w:rPr>
        <w:t>energy efficient measures incented under NW Natural’s existing homes program.</w:t>
      </w:r>
    </w:p>
    <w:p w14:paraId="30FDCA17" w14:textId="77777777" w:rsidR="000C2008" w:rsidRPr="00410276" w:rsidRDefault="000C2008" w:rsidP="001C693F">
      <w:pPr>
        <w:pStyle w:val="ListParagraph"/>
        <w:numPr>
          <w:ilvl w:val="0"/>
          <w:numId w:val="18"/>
        </w:numPr>
        <w:rPr>
          <w:rFonts w:asciiTheme="minorHAnsi" w:hAnsiTheme="minorHAnsi"/>
          <w:sz w:val="24"/>
          <w:szCs w:val="24"/>
        </w:rPr>
      </w:pPr>
      <w:r w:rsidRPr="00410276">
        <w:rPr>
          <w:rFonts w:asciiTheme="minorHAnsi" w:hAnsiTheme="minorHAnsi"/>
          <w:sz w:val="24"/>
          <w:szCs w:val="24"/>
        </w:rPr>
        <w:t>Loan Amount:</w:t>
      </w:r>
    </w:p>
    <w:p w14:paraId="133E9EC3" w14:textId="59E987B7" w:rsidR="000C2008" w:rsidRPr="00410276" w:rsidRDefault="000C2008" w:rsidP="000C2008">
      <w:pPr>
        <w:pStyle w:val="ListParagraph"/>
        <w:numPr>
          <w:ilvl w:val="1"/>
          <w:numId w:val="18"/>
        </w:numPr>
        <w:rPr>
          <w:rFonts w:asciiTheme="minorHAnsi" w:hAnsiTheme="minorHAnsi"/>
          <w:sz w:val="24"/>
          <w:szCs w:val="24"/>
        </w:rPr>
      </w:pPr>
      <w:r w:rsidRPr="00410276">
        <w:rPr>
          <w:rFonts w:asciiTheme="minorHAnsi" w:hAnsiTheme="minorHAnsi"/>
          <w:sz w:val="24"/>
          <w:szCs w:val="24"/>
        </w:rPr>
        <w:t>Loan amounts must be no less than $2</w:t>
      </w:r>
      <w:r w:rsidR="00BA20BF" w:rsidRPr="00410276">
        <w:rPr>
          <w:rFonts w:asciiTheme="minorHAnsi" w:hAnsiTheme="minorHAnsi"/>
          <w:sz w:val="24"/>
          <w:szCs w:val="24"/>
        </w:rPr>
        <w:t>,</w:t>
      </w:r>
      <w:r w:rsidRPr="00410276">
        <w:rPr>
          <w:rFonts w:asciiTheme="minorHAnsi" w:hAnsiTheme="minorHAnsi"/>
          <w:sz w:val="24"/>
          <w:szCs w:val="24"/>
        </w:rPr>
        <w:t>500 and no more than $15,000.</w:t>
      </w:r>
    </w:p>
    <w:p w14:paraId="645D607A" w14:textId="77777777" w:rsidR="001C693F" w:rsidRPr="00410276" w:rsidRDefault="004E6EDA" w:rsidP="001C693F">
      <w:pPr>
        <w:pStyle w:val="ListParagraph"/>
        <w:numPr>
          <w:ilvl w:val="0"/>
          <w:numId w:val="18"/>
        </w:numPr>
        <w:rPr>
          <w:rFonts w:asciiTheme="minorHAnsi" w:hAnsiTheme="minorHAnsi"/>
          <w:sz w:val="24"/>
          <w:szCs w:val="24"/>
        </w:rPr>
      </w:pPr>
      <w:r w:rsidRPr="00410276">
        <w:rPr>
          <w:rFonts w:asciiTheme="minorHAnsi" w:hAnsiTheme="minorHAnsi"/>
          <w:sz w:val="24"/>
          <w:szCs w:val="24"/>
        </w:rPr>
        <w:t>Term of loan:</w:t>
      </w:r>
    </w:p>
    <w:p w14:paraId="6D4B06A7" w14:textId="77777777" w:rsidR="001C693F" w:rsidRPr="00410276" w:rsidRDefault="001C693F" w:rsidP="001C693F">
      <w:pPr>
        <w:pStyle w:val="ListParagraph"/>
        <w:numPr>
          <w:ilvl w:val="1"/>
          <w:numId w:val="18"/>
        </w:numPr>
        <w:rPr>
          <w:rFonts w:asciiTheme="minorHAnsi" w:hAnsiTheme="minorHAnsi"/>
          <w:sz w:val="24"/>
          <w:szCs w:val="24"/>
        </w:rPr>
      </w:pPr>
      <w:r w:rsidRPr="00410276">
        <w:rPr>
          <w:rFonts w:asciiTheme="minorHAnsi" w:hAnsiTheme="minorHAnsi"/>
          <w:sz w:val="24"/>
          <w:szCs w:val="24"/>
        </w:rPr>
        <w:t>Loans up to $7</w:t>
      </w:r>
      <w:r w:rsidR="00BA20BF" w:rsidRPr="00410276">
        <w:rPr>
          <w:rFonts w:asciiTheme="minorHAnsi" w:hAnsiTheme="minorHAnsi"/>
          <w:sz w:val="24"/>
          <w:szCs w:val="24"/>
        </w:rPr>
        <w:t>,</w:t>
      </w:r>
      <w:r w:rsidRPr="00410276">
        <w:rPr>
          <w:rFonts w:asciiTheme="minorHAnsi" w:hAnsiTheme="minorHAnsi"/>
          <w:sz w:val="24"/>
          <w:szCs w:val="24"/>
        </w:rPr>
        <w:t xml:space="preserve">500 to have a max term of 7 years, </w:t>
      </w:r>
    </w:p>
    <w:p w14:paraId="724B28CE" w14:textId="57FF0266" w:rsidR="001C693F" w:rsidRPr="00410276" w:rsidRDefault="001C693F" w:rsidP="001C693F">
      <w:pPr>
        <w:pStyle w:val="ListParagraph"/>
        <w:numPr>
          <w:ilvl w:val="1"/>
          <w:numId w:val="18"/>
        </w:numPr>
        <w:rPr>
          <w:rFonts w:asciiTheme="minorHAnsi" w:hAnsiTheme="minorHAnsi"/>
          <w:sz w:val="24"/>
          <w:szCs w:val="24"/>
        </w:rPr>
      </w:pPr>
      <w:r w:rsidRPr="00410276">
        <w:rPr>
          <w:rFonts w:asciiTheme="minorHAnsi" w:hAnsiTheme="minorHAnsi"/>
          <w:sz w:val="24"/>
          <w:szCs w:val="24"/>
        </w:rPr>
        <w:t>Loans between $7</w:t>
      </w:r>
      <w:r w:rsidR="00BA20BF" w:rsidRPr="00410276">
        <w:rPr>
          <w:rFonts w:asciiTheme="minorHAnsi" w:hAnsiTheme="minorHAnsi"/>
          <w:sz w:val="24"/>
          <w:szCs w:val="24"/>
        </w:rPr>
        <w:t>,</w:t>
      </w:r>
      <w:r w:rsidRPr="00410276">
        <w:rPr>
          <w:rFonts w:asciiTheme="minorHAnsi" w:hAnsiTheme="minorHAnsi"/>
          <w:sz w:val="24"/>
          <w:szCs w:val="24"/>
        </w:rPr>
        <w:t xml:space="preserve">500-$15,000 up to 15 years. </w:t>
      </w:r>
    </w:p>
    <w:p w14:paraId="486955A8" w14:textId="77777777" w:rsidR="001C693F" w:rsidRPr="00410276" w:rsidRDefault="001817A0" w:rsidP="001C693F">
      <w:pPr>
        <w:pStyle w:val="ListParagraph"/>
        <w:numPr>
          <w:ilvl w:val="0"/>
          <w:numId w:val="18"/>
        </w:numPr>
        <w:rPr>
          <w:rFonts w:asciiTheme="minorHAnsi" w:hAnsiTheme="minorHAnsi"/>
          <w:sz w:val="24"/>
          <w:szCs w:val="24"/>
        </w:rPr>
      </w:pPr>
      <w:r w:rsidRPr="00410276">
        <w:rPr>
          <w:rFonts w:asciiTheme="minorHAnsi" w:hAnsiTheme="minorHAnsi"/>
          <w:sz w:val="24"/>
          <w:szCs w:val="24"/>
        </w:rPr>
        <w:t xml:space="preserve">The program will launch with a fixed interest rate at 4.49%. Contingent on market conditions, Craft3 may at a later date revise the </w:t>
      </w:r>
      <w:r w:rsidR="006F60EB" w:rsidRPr="00410276">
        <w:rPr>
          <w:rFonts w:asciiTheme="minorHAnsi" w:hAnsiTheme="minorHAnsi"/>
          <w:sz w:val="24"/>
          <w:szCs w:val="24"/>
        </w:rPr>
        <w:t xml:space="preserve">interest rate </w:t>
      </w:r>
      <w:r w:rsidRPr="00410276">
        <w:rPr>
          <w:rFonts w:asciiTheme="minorHAnsi" w:hAnsiTheme="minorHAnsi"/>
          <w:sz w:val="24"/>
          <w:szCs w:val="24"/>
        </w:rPr>
        <w:t>offer for future customers, not to exceed 5.49%. Under all circumstances rates will be fixed, and consistent for any qualifying customer.</w:t>
      </w:r>
    </w:p>
    <w:p w14:paraId="0C07DA63" w14:textId="77777777" w:rsidR="008C5FE3" w:rsidRPr="00410276" w:rsidRDefault="008C5FE3" w:rsidP="001C693F">
      <w:pPr>
        <w:pStyle w:val="ListParagraph"/>
        <w:numPr>
          <w:ilvl w:val="0"/>
          <w:numId w:val="18"/>
        </w:numPr>
        <w:rPr>
          <w:rFonts w:asciiTheme="minorHAnsi" w:hAnsiTheme="minorHAnsi"/>
          <w:sz w:val="24"/>
          <w:szCs w:val="24"/>
        </w:rPr>
      </w:pPr>
      <w:r w:rsidRPr="00410276">
        <w:rPr>
          <w:rFonts w:asciiTheme="minorHAnsi" w:hAnsiTheme="minorHAnsi"/>
          <w:sz w:val="24"/>
          <w:szCs w:val="24"/>
        </w:rPr>
        <w:t xml:space="preserve">Loans will be unsecured. </w:t>
      </w:r>
    </w:p>
    <w:p w14:paraId="2451BEF7" w14:textId="77777777" w:rsidR="003E169E" w:rsidRPr="00410276" w:rsidRDefault="008C5FE3" w:rsidP="003E169E">
      <w:pPr>
        <w:pStyle w:val="ListParagraph"/>
        <w:numPr>
          <w:ilvl w:val="0"/>
          <w:numId w:val="18"/>
        </w:numPr>
        <w:rPr>
          <w:rFonts w:asciiTheme="minorHAnsi" w:hAnsiTheme="minorHAnsi"/>
          <w:sz w:val="24"/>
          <w:szCs w:val="24"/>
        </w:rPr>
      </w:pPr>
      <w:r w:rsidRPr="00410276">
        <w:rPr>
          <w:rFonts w:asciiTheme="minorHAnsi" w:hAnsiTheme="minorHAnsi"/>
          <w:sz w:val="24"/>
          <w:szCs w:val="24"/>
        </w:rPr>
        <w:t xml:space="preserve">No penalty for early repayment. </w:t>
      </w:r>
    </w:p>
    <w:p w14:paraId="6F17C9A4" w14:textId="6D0BDE64" w:rsidR="003E169E" w:rsidRPr="00410276" w:rsidRDefault="003E169E" w:rsidP="003E169E">
      <w:pPr>
        <w:pStyle w:val="ListParagraph"/>
        <w:numPr>
          <w:ilvl w:val="0"/>
          <w:numId w:val="18"/>
        </w:numPr>
        <w:rPr>
          <w:rFonts w:asciiTheme="minorHAnsi" w:hAnsiTheme="minorHAnsi"/>
          <w:sz w:val="24"/>
          <w:szCs w:val="24"/>
        </w:rPr>
      </w:pPr>
      <w:r w:rsidRPr="00410276">
        <w:rPr>
          <w:rFonts w:asciiTheme="minorHAnsi" w:hAnsiTheme="minorHAnsi"/>
          <w:sz w:val="24"/>
          <w:szCs w:val="24"/>
        </w:rPr>
        <w:lastRenderedPageBreak/>
        <w:t>Craft3 may assess a financing fee of $100 for loans between $2</w:t>
      </w:r>
      <w:r w:rsidR="00BA20BF" w:rsidRPr="00410276">
        <w:rPr>
          <w:rFonts w:asciiTheme="minorHAnsi" w:hAnsiTheme="minorHAnsi"/>
          <w:sz w:val="24"/>
          <w:szCs w:val="24"/>
        </w:rPr>
        <w:t>,</w:t>
      </w:r>
      <w:r w:rsidRPr="00410276">
        <w:rPr>
          <w:rFonts w:asciiTheme="minorHAnsi" w:hAnsiTheme="minorHAnsi"/>
          <w:sz w:val="24"/>
          <w:szCs w:val="24"/>
        </w:rPr>
        <w:t>500-$7</w:t>
      </w:r>
      <w:r w:rsidR="00BA20BF" w:rsidRPr="00410276">
        <w:rPr>
          <w:rFonts w:asciiTheme="minorHAnsi" w:hAnsiTheme="minorHAnsi"/>
          <w:sz w:val="24"/>
          <w:szCs w:val="24"/>
        </w:rPr>
        <w:t>,</w:t>
      </w:r>
      <w:r w:rsidRPr="00410276">
        <w:rPr>
          <w:rFonts w:asciiTheme="minorHAnsi" w:hAnsiTheme="minorHAnsi"/>
          <w:sz w:val="24"/>
          <w:szCs w:val="24"/>
        </w:rPr>
        <w:t xml:space="preserve">500, $200 </w:t>
      </w:r>
      <w:r w:rsidR="001817A0" w:rsidRPr="00410276">
        <w:rPr>
          <w:rFonts w:asciiTheme="minorHAnsi" w:hAnsiTheme="minorHAnsi"/>
          <w:sz w:val="24"/>
          <w:szCs w:val="24"/>
        </w:rPr>
        <w:t xml:space="preserve">for loans </w:t>
      </w:r>
      <w:r w:rsidRPr="00410276">
        <w:rPr>
          <w:rFonts w:asciiTheme="minorHAnsi" w:hAnsiTheme="minorHAnsi"/>
          <w:sz w:val="24"/>
          <w:szCs w:val="24"/>
        </w:rPr>
        <w:t>between $7</w:t>
      </w:r>
      <w:r w:rsidR="00BA20BF" w:rsidRPr="00410276">
        <w:rPr>
          <w:rFonts w:asciiTheme="minorHAnsi" w:hAnsiTheme="minorHAnsi"/>
          <w:sz w:val="24"/>
          <w:szCs w:val="24"/>
        </w:rPr>
        <w:t>,</w:t>
      </w:r>
      <w:r w:rsidRPr="00410276">
        <w:rPr>
          <w:rFonts w:asciiTheme="minorHAnsi" w:hAnsiTheme="minorHAnsi"/>
          <w:sz w:val="24"/>
          <w:szCs w:val="24"/>
        </w:rPr>
        <w:t>500-$15,000</w:t>
      </w:r>
    </w:p>
    <w:p w14:paraId="7E9F9674" w14:textId="77777777" w:rsidR="004923AD" w:rsidRPr="00410276" w:rsidRDefault="003E169E" w:rsidP="004923AD">
      <w:pPr>
        <w:pStyle w:val="ListParagraph"/>
        <w:numPr>
          <w:ilvl w:val="1"/>
          <w:numId w:val="18"/>
        </w:numPr>
        <w:ind w:left="1440"/>
        <w:rPr>
          <w:rFonts w:asciiTheme="minorHAnsi" w:hAnsiTheme="minorHAnsi"/>
          <w:sz w:val="24"/>
          <w:szCs w:val="24"/>
        </w:rPr>
      </w:pPr>
      <w:r w:rsidRPr="00410276">
        <w:rPr>
          <w:rFonts w:asciiTheme="minorHAnsi" w:hAnsiTheme="minorHAnsi"/>
          <w:sz w:val="24"/>
          <w:szCs w:val="24"/>
        </w:rPr>
        <w:t>Fees may be financed as an addition to the loan balance</w:t>
      </w:r>
    </w:p>
    <w:p w14:paraId="18FF58B9" w14:textId="6FD00C2B" w:rsidR="00D0788B" w:rsidRPr="00867618" w:rsidRDefault="00D0788B" w:rsidP="00D0788B">
      <w:pPr>
        <w:pStyle w:val="ListParagraph"/>
        <w:numPr>
          <w:ilvl w:val="0"/>
          <w:numId w:val="18"/>
        </w:numPr>
        <w:rPr>
          <w:rFonts w:asciiTheme="minorHAnsi" w:hAnsiTheme="minorHAnsi"/>
          <w:sz w:val="24"/>
          <w:szCs w:val="24"/>
        </w:rPr>
      </w:pPr>
      <w:r w:rsidRPr="00867618">
        <w:rPr>
          <w:rFonts w:asciiTheme="minorHAnsi" w:hAnsiTheme="minorHAnsi"/>
          <w:sz w:val="24"/>
          <w:szCs w:val="24"/>
        </w:rPr>
        <w:t>At least 51% of the loan must be for costs that are directly attributable to the commissioning and installation of the qualifying measure(s), costs incurred to comply with applicable building code, mechanical code, or other pertinent regulations, or costs incurred to meet any technical specifications established by the Energy Trust.  Whereas 49% of the loan may be allocated toward non-qualifying</w:t>
      </w:r>
      <w:r w:rsidR="005D52D2">
        <w:rPr>
          <w:rFonts w:asciiTheme="minorHAnsi" w:hAnsiTheme="minorHAnsi"/>
          <w:sz w:val="24"/>
          <w:szCs w:val="24"/>
        </w:rPr>
        <w:t xml:space="preserve"> </w:t>
      </w:r>
      <w:r w:rsidR="00457507">
        <w:rPr>
          <w:rFonts w:asciiTheme="minorHAnsi" w:hAnsiTheme="minorHAnsi"/>
          <w:sz w:val="24"/>
          <w:szCs w:val="24"/>
        </w:rPr>
        <w:t>energy</w:t>
      </w:r>
      <w:r w:rsidRPr="00867618">
        <w:rPr>
          <w:rFonts w:asciiTheme="minorHAnsi" w:hAnsiTheme="minorHAnsi"/>
          <w:sz w:val="24"/>
          <w:szCs w:val="24"/>
        </w:rPr>
        <w:t xml:space="preserve"> measures such as cooling.</w:t>
      </w:r>
    </w:p>
    <w:p w14:paraId="1FA0575F" w14:textId="77777777" w:rsidR="00980CDA" w:rsidRPr="00867618" w:rsidRDefault="00980CDA" w:rsidP="00D0788B">
      <w:pPr>
        <w:tabs>
          <w:tab w:val="left" w:pos="360"/>
        </w:tabs>
        <w:spacing w:after="0" w:line="240" w:lineRule="auto"/>
        <w:rPr>
          <w:rFonts w:asciiTheme="minorHAnsi" w:hAnsiTheme="minorHAnsi"/>
          <w:sz w:val="24"/>
          <w:szCs w:val="24"/>
        </w:rPr>
      </w:pPr>
    </w:p>
    <w:p w14:paraId="6544A117" w14:textId="77777777" w:rsidR="001C693F" w:rsidRPr="00867618" w:rsidRDefault="004420DD" w:rsidP="00F93D2E">
      <w:pPr>
        <w:tabs>
          <w:tab w:val="left" w:pos="360"/>
        </w:tabs>
        <w:spacing w:after="0" w:line="240" w:lineRule="auto"/>
        <w:ind w:left="360" w:hanging="360"/>
        <w:rPr>
          <w:rFonts w:asciiTheme="minorHAnsi" w:hAnsiTheme="minorHAnsi" w:cs="Arial"/>
          <w:b/>
          <w:bCs/>
          <w:sz w:val="24"/>
          <w:szCs w:val="24"/>
          <w:u w:val="single"/>
        </w:rPr>
      </w:pPr>
      <w:r w:rsidRPr="00867618">
        <w:rPr>
          <w:rFonts w:asciiTheme="minorHAnsi" w:hAnsiTheme="minorHAnsi" w:cs="Arial"/>
          <w:b/>
          <w:bCs/>
          <w:sz w:val="24"/>
          <w:szCs w:val="24"/>
          <w:u w:val="single"/>
        </w:rPr>
        <w:t>Terms and Conditions</w:t>
      </w:r>
    </w:p>
    <w:p w14:paraId="14E4D76F" w14:textId="77777777" w:rsidR="00903FCA" w:rsidRPr="00867618" w:rsidRDefault="00903FCA" w:rsidP="00DB408A">
      <w:pPr>
        <w:tabs>
          <w:tab w:val="left" w:pos="360"/>
        </w:tabs>
        <w:spacing w:after="0" w:line="240" w:lineRule="auto"/>
        <w:ind w:left="360" w:hanging="360"/>
        <w:rPr>
          <w:rFonts w:asciiTheme="minorHAnsi" w:hAnsiTheme="minorHAnsi"/>
          <w:sz w:val="24"/>
          <w:szCs w:val="24"/>
        </w:rPr>
      </w:pPr>
      <w:r w:rsidRPr="00867618">
        <w:rPr>
          <w:rFonts w:asciiTheme="minorHAnsi" w:hAnsiTheme="minorHAnsi"/>
          <w:sz w:val="24"/>
          <w:szCs w:val="24"/>
        </w:rPr>
        <w:t xml:space="preserve">1.  </w:t>
      </w:r>
      <w:r w:rsidR="002C6CE4" w:rsidRPr="00867618">
        <w:rPr>
          <w:rFonts w:asciiTheme="minorHAnsi" w:hAnsiTheme="minorHAnsi"/>
          <w:sz w:val="24"/>
          <w:szCs w:val="24"/>
        </w:rPr>
        <w:tab/>
      </w:r>
      <w:r w:rsidRPr="00867618">
        <w:rPr>
          <w:rFonts w:asciiTheme="minorHAnsi" w:hAnsiTheme="minorHAnsi"/>
          <w:sz w:val="24"/>
          <w:szCs w:val="24"/>
        </w:rPr>
        <w:t xml:space="preserve">The Company will directly bill Energy Trust </w:t>
      </w:r>
      <w:r w:rsidR="00D03C02" w:rsidRPr="00867618">
        <w:rPr>
          <w:rFonts w:asciiTheme="minorHAnsi" w:hAnsiTheme="minorHAnsi"/>
          <w:sz w:val="24"/>
          <w:szCs w:val="24"/>
        </w:rPr>
        <w:t xml:space="preserve">or Craft3 </w:t>
      </w:r>
      <w:r w:rsidRPr="00867618">
        <w:rPr>
          <w:rFonts w:asciiTheme="minorHAnsi" w:hAnsiTheme="minorHAnsi"/>
          <w:sz w:val="24"/>
          <w:szCs w:val="24"/>
        </w:rPr>
        <w:t xml:space="preserve">for ongoing administrative costs, including costs associated with loan setup, loan termination and other incremental activities related to accounting and processing of bill payments.  </w:t>
      </w:r>
    </w:p>
    <w:p w14:paraId="2A297C44" w14:textId="77777777" w:rsidR="00106C2C" w:rsidRPr="00867618" w:rsidRDefault="00106C2C" w:rsidP="00EB58D9">
      <w:pPr>
        <w:tabs>
          <w:tab w:val="left" w:pos="360"/>
        </w:tabs>
        <w:spacing w:after="0" w:line="240" w:lineRule="auto"/>
        <w:ind w:left="360" w:hanging="360"/>
        <w:rPr>
          <w:rFonts w:asciiTheme="minorHAnsi" w:hAnsiTheme="minorHAnsi"/>
          <w:sz w:val="24"/>
          <w:szCs w:val="24"/>
        </w:rPr>
      </w:pPr>
    </w:p>
    <w:p w14:paraId="1491065C" w14:textId="77777777" w:rsidR="00903FCA" w:rsidRPr="00867618" w:rsidRDefault="00903FCA" w:rsidP="00106C2C">
      <w:pPr>
        <w:pStyle w:val="ListParagraph"/>
        <w:numPr>
          <w:ilvl w:val="0"/>
          <w:numId w:val="22"/>
        </w:numPr>
        <w:tabs>
          <w:tab w:val="left" w:pos="360"/>
        </w:tabs>
        <w:spacing w:after="0" w:line="240" w:lineRule="auto"/>
        <w:ind w:left="360"/>
        <w:rPr>
          <w:rFonts w:asciiTheme="minorHAnsi" w:hAnsiTheme="minorHAnsi"/>
          <w:sz w:val="24"/>
          <w:szCs w:val="24"/>
        </w:rPr>
      </w:pPr>
      <w:r w:rsidRPr="00867618">
        <w:rPr>
          <w:rFonts w:asciiTheme="minorHAnsi" w:hAnsiTheme="minorHAnsi"/>
          <w:sz w:val="24"/>
          <w:szCs w:val="24"/>
        </w:rPr>
        <w:t xml:space="preserve">The business relationship and the services exchanged between Energy Trust and the Company shall be in accordance with an executed Service Agreement.  </w:t>
      </w:r>
      <w:r w:rsidR="00EB58D9" w:rsidRPr="00867618">
        <w:rPr>
          <w:rFonts w:asciiTheme="minorHAnsi" w:hAnsiTheme="minorHAnsi"/>
          <w:sz w:val="24"/>
          <w:szCs w:val="24"/>
        </w:rPr>
        <w:t xml:space="preserve">The Energy Trust will act as the program manager of this offering. </w:t>
      </w:r>
    </w:p>
    <w:p w14:paraId="1AADC01B" w14:textId="77777777" w:rsidR="00106C2C" w:rsidRPr="00867618" w:rsidRDefault="00106C2C" w:rsidP="00106C2C">
      <w:pPr>
        <w:pStyle w:val="ListParagraph"/>
        <w:tabs>
          <w:tab w:val="left" w:pos="360"/>
        </w:tabs>
        <w:spacing w:after="0" w:line="240" w:lineRule="auto"/>
        <w:ind w:left="1080"/>
        <w:rPr>
          <w:rFonts w:asciiTheme="minorHAnsi" w:hAnsiTheme="minorHAnsi"/>
          <w:sz w:val="24"/>
          <w:szCs w:val="24"/>
        </w:rPr>
      </w:pPr>
    </w:p>
    <w:p w14:paraId="16AF86A1" w14:textId="77777777" w:rsidR="00903FCA" w:rsidRPr="00867618" w:rsidRDefault="00903FCA" w:rsidP="00106C2C">
      <w:pPr>
        <w:pStyle w:val="ListParagraph"/>
        <w:numPr>
          <w:ilvl w:val="0"/>
          <w:numId w:val="22"/>
        </w:numPr>
        <w:tabs>
          <w:tab w:val="left" w:pos="360"/>
        </w:tabs>
        <w:spacing w:after="0" w:line="240" w:lineRule="auto"/>
        <w:ind w:left="360"/>
        <w:rPr>
          <w:rFonts w:asciiTheme="minorHAnsi" w:hAnsiTheme="minorHAnsi"/>
          <w:sz w:val="24"/>
          <w:szCs w:val="24"/>
        </w:rPr>
      </w:pPr>
      <w:r w:rsidRPr="00867618">
        <w:rPr>
          <w:rFonts w:asciiTheme="minorHAnsi" w:hAnsiTheme="minorHAnsi"/>
          <w:sz w:val="24"/>
          <w:szCs w:val="24"/>
        </w:rPr>
        <w:t xml:space="preserve">The provision of On-the-Bill Repayment Services will </w:t>
      </w:r>
      <w:r w:rsidR="002C6CE4" w:rsidRPr="00867618">
        <w:rPr>
          <w:rFonts w:asciiTheme="minorHAnsi" w:hAnsiTheme="minorHAnsi"/>
          <w:sz w:val="24"/>
          <w:szCs w:val="24"/>
        </w:rPr>
        <w:t xml:space="preserve">in no way </w:t>
      </w:r>
      <w:r w:rsidR="00AB3C01" w:rsidRPr="00867618">
        <w:rPr>
          <w:rFonts w:asciiTheme="minorHAnsi" w:hAnsiTheme="minorHAnsi"/>
          <w:sz w:val="24"/>
          <w:szCs w:val="24"/>
        </w:rPr>
        <w:t>conflict with</w:t>
      </w:r>
      <w:r w:rsidR="002C6CE4" w:rsidRPr="00867618">
        <w:rPr>
          <w:rFonts w:asciiTheme="minorHAnsi" w:hAnsiTheme="minorHAnsi"/>
          <w:sz w:val="24"/>
          <w:szCs w:val="24"/>
        </w:rPr>
        <w:t xml:space="preserve"> </w:t>
      </w:r>
      <w:r w:rsidRPr="00867618">
        <w:rPr>
          <w:rFonts w:asciiTheme="minorHAnsi" w:hAnsiTheme="minorHAnsi"/>
          <w:sz w:val="24"/>
          <w:szCs w:val="24"/>
        </w:rPr>
        <w:t>the Company’s compliance</w:t>
      </w:r>
      <w:r w:rsidR="00EB58D9" w:rsidRPr="00867618">
        <w:rPr>
          <w:rFonts w:asciiTheme="minorHAnsi" w:hAnsiTheme="minorHAnsi"/>
          <w:sz w:val="24"/>
          <w:szCs w:val="24"/>
        </w:rPr>
        <w:t xml:space="preserve"> to</w:t>
      </w:r>
      <w:r w:rsidRPr="00867618">
        <w:rPr>
          <w:rFonts w:asciiTheme="minorHAnsi" w:hAnsiTheme="minorHAnsi"/>
          <w:sz w:val="24"/>
          <w:szCs w:val="24"/>
        </w:rPr>
        <w:t xml:space="preserve"> </w:t>
      </w:r>
      <w:r w:rsidR="002C6CE4" w:rsidRPr="00867618">
        <w:rPr>
          <w:rFonts w:asciiTheme="minorHAnsi" w:hAnsiTheme="minorHAnsi"/>
          <w:sz w:val="24"/>
          <w:szCs w:val="24"/>
        </w:rPr>
        <w:t>WAC 480-90</w:t>
      </w:r>
      <w:r w:rsidRPr="00867618">
        <w:rPr>
          <w:rFonts w:asciiTheme="minorHAnsi" w:hAnsiTheme="minorHAnsi"/>
          <w:sz w:val="24"/>
          <w:szCs w:val="24"/>
        </w:rPr>
        <w:t xml:space="preserve">, </w:t>
      </w:r>
      <w:r w:rsidR="002C6CE4" w:rsidRPr="00867618">
        <w:rPr>
          <w:rFonts w:asciiTheme="minorHAnsi" w:hAnsiTheme="minorHAnsi"/>
          <w:sz w:val="24"/>
          <w:szCs w:val="24"/>
        </w:rPr>
        <w:t>Washington Administrative Code (WAC).</w:t>
      </w:r>
    </w:p>
    <w:p w14:paraId="66CC9884" w14:textId="77777777" w:rsidR="00106C2C" w:rsidRPr="00867618" w:rsidRDefault="00106C2C" w:rsidP="00106C2C">
      <w:pPr>
        <w:tabs>
          <w:tab w:val="left" w:pos="360"/>
        </w:tabs>
        <w:spacing w:after="0" w:line="240" w:lineRule="auto"/>
        <w:rPr>
          <w:rFonts w:asciiTheme="minorHAnsi" w:hAnsiTheme="minorHAnsi"/>
          <w:sz w:val="24"/>
          <w:szCs w:val="24"/>
        </w:rPr>
      </w:pPr>
    </w:p>
    <w:p w14:paraId="5203EB79" w14:textId="77777777" w:rsidR="00903FCA" w:rsidRPr="00867618" w:rsidRDefault="00903FCA" w:rsidP="00106C2C">
      <w:pPr>
        <w:pStyle w:val="ListParagraph"/>
        <w:numPr>
          <w:ilvl w:val="0"/>
          <w:numId w:val="19"/>
        </w:numPr>
        <w:tabs>
          <w:tab w:val="left" w:pos="360"/>
        </w:tabs>
        <w:spacing w:after="0" w:line="240" w:lineRule="auto"/>
        <w:rPr>
          <w:rFonts w:asciiTheme="minorHAnsi" w:hAnsiTheme="minorHAnsi"/>
          <w:sz w:val="24"/>
          <w:szCs w:val="24"/>
        </w:rPr>
      </w:pPr>
      <w:r w:rsidRPr="00867618">
        <w:rPr>
          <w:rFonts w:asciiTheme="minorHAnsi" w:hAnsiTheme="minorHAnsi"/>
          <w:sz w:val="24"/>
          <w:szCs w:val="24"/>
        </w:rPr>
        <w:t xml:space="preserve">A Customer’s decision to enter into a loan agreement with </w:t>
      </w:r>
      <w:r w:rsidR="00EB58D9" w:rsidRPr="00867618">
        <w:rPr>
          <w:rFonts w:asciiTheme="minorHAnsi" w:hAnsiTheme="minorHAnsi"/>
          <w:sz w:val="24"/>
          <w:szCs w:val="24"/>
        </w:rPr>
        <w:t>Craft3</w:t>
      </w:r>
      <w:r w:rsidRPr="00867618">
        <w:rPr>
          <w:rFonts w:asciiTheme="minorHAnsi" w:hAnsiTheme="minorHAnsi"/>
          <w:sz w:val="24"/>
          <w:szCs w:val="24"/>
        </w:rPr>
        <w:t xml:space="preserve"> will not affect his/her ability to establish credit with the Company; it will have no impact on the amount that a Customer may be required to pay on deposit for Natural Gas utility service; and it will have no effect on a Customer’s ability to receive reliable natural gas service.  The Company will communicate this in writing to </w:t>
      </w:r>
      <w:r w:rsidR="00AB3C01" w:rsidRPr="00867618">
        <w:rPr>
          <w:rFonts w:asciiTheme="minorHAnsi" w:hAnsiTheme="minorHAnsi"/>
          <w:sz w:val="24"/>
          <w:szCs w:val="24"/>
        </w:rPr>
        <w:t>c</w:t>
      </w:r>
      <w:r w:rsidRPr="00867618">
        <w:rPr>
          <w:rFonts w:asciiTheme="minorHAnsi" w:hAnsiTheme="minorHAnsi"/>
          <w:sz w:val="24"/>
          <w:szCs w:val="24"/>
        </w:rPr>
        <w:t>ustomers who participate in th</w:t>
      </w:r>
      <w:r w:rsidR="00EB58D9" w:rsidRPr="00867618">
        <w:rPr>
          <w:rFonts w:asciiTheme="minorHAnsi" w:hAnsiTheme="minorHAnsi"/>
          <w:sz w:val="24"/>
          <w:szCs w:val="24"/>
        </w:rPr>
        <w:t>is</w:t>
      </w:r>
      <w:r w:rsidRPr="00867618">
        <w:rPr>
          <w:rFonts w:asciiTheme="minorHAnsi" w:hAnsiTheme="minorHAnsi"/>
          <w:sz w:val="24"/>
          <w:szCs w:val="24"/>
        </w:rPr>
        <w:t xml:space="preserve"> loan program. </w:t>
      </w:r>
    </w:p>
    <w:p w14:paraId="7B6D73E5" w14:textId="77777777" w:rsidR="00106C2C" w:rsidRPr="00867618" w:rsidRDefault="00106C2C" w:rsidP="00106C2C">
      <w:pPr>
        <w:pStyle w:val="ListParagraph"/>
        <w:tabs>
          <w:tab w:val="left" w:pos="360"/>
        </w:tabs>
        <w:spacing w:after="0" w:line="240" w:lineRule="auto"/>
        <w:ind w:left="360"/>
        <w:rPr>
          <w:rFonts w:asciiTheme="minorHAnsi" w:hAnsiTheme="minorHAnsi"/>
          <w:sz w:val="24"/>
          <w:szCs w:val="24"/>
        </w:rPr>
      </w:pPr>
    </w:p>
    <w:p w14:paraId="31040A75" w14:textId="77777777" w:rsidR="00903FCA" w:rsidRPr="00867618" w:rsidRDefault="00903FCA" w:rsidP="002C6CE4">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 xml:space="preserve">By entering into a loan agreement with </w:t>
      </w:r>
      <w:r w:rsidR="00AB3C01" w:rsidRPr="00867618">
        <w:rPr>
          <w:rFonts w:asciiTheme="minorHAnsi" w:hAnsiTheme="minorHAnsi" w:cs="Arial"/>
          <w:sz w:val="24"/>
          <w:szCs w:val="24"/>
        </w:rPr>
        <w:t>Craft3</w:t>
      </w:r>
      <w:r w:rsidRPr="00867618">
        <w:rPr>
          <w:rFonts w:asciiTheme="minorHAnsi" w:hAnsiTheme="minorHAnsi" w:cs="Arial"/>
          <w:sz w:val="24"/>
          <w:szCs w:val="24"/>
        </w:rPr>
        <w:t xml:space="preserve">, the </w:t>
      </w:r>
      <w:r w:rsidR="00AB3C01" w:rsidRPr="00867618">
        <w:rPr>
          <w:rFonts w:asciiTheme="minorHAnsi" w:hAnsiTheme="minorHAnsi" w:cs="Arial"/>
          <w:sz w:val="24"/>
          <w:szCs w:val="24"/>
        </w:rPr>
        <w:t>c</w:t>
      </w:r>
      <w:r w:rsidRPr="00867618">
        <w:rPr>
          <w:rFonts w:asciiTheme="minorHAnsi" w:hAnsiTheme="minorHAnsi" w:cs="Arial"/>
          <w:sz w:val="24"/>
          <w:szCs w:val="24"/>
        </w:rPr>
        <w:t xml:space="preserve">ustomer will be responsible to remit the monthly loan repayment amount to NW Natural with his/her monthly bill payment for natural gas services.  </w:t>
      </w:r>
    </w:p>
    <w:p w14:paraId="0312047F" w14:textId="77777777" w:rsidR="00106C2C" w:rsidRPr="00867618" w:rsidRDefault="00106C2C" w:rsidP="00106C2C">
      <w:pPr>
        <w:spacing w:after="0" w:line="240" w:lineRule="auto"/>
        <w:ind w:left="360"/>
        <w:rPr>
          <w:rFonts w:asciiTheme="minorHAnsi" w:hAnsiTheme="minorHAnsi" w:cs="Arial"/>
          <w:sz w:val="24"/>
          <w:szCs w:val="24"/>
        </w:rPr>
      </w:pPr>
    </w:p>
    <w:p w14:paraId="65433561" w14:textId="77777777" w:rsidR="00106C2C" w:rsidRPr="00867618" w:rsidRDefault="00903FCA" w:rsidP="00106C2C">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 xml:space="preserve">NW Natural is not a party to the </w:t>
      </w:r>
      <w:r w:rsidR="00AB3C01" w:rsidRPr="00867618">
        <w:rPr>
          <w:rFonts w:asciiTheme="minorHAnsi" w:hAnsiTheme="minorHAnsi" w:cs="Arial"/>
          <w:sz w:val="24"/>
          <w:szCs w:val="24"/>
        </w:rPr>
        <w:t>l</w:t>
      </w:r>
      <w:r w:rsidRPr="00867618">
        <w:rPr>
          <w:rFonts w:asciiTheme="minorHAnsi" w:hAnsiTheme="minorHAnsi" w:cs="Arial"/>
          <w:sz w:val="24"/>
          <w:szCs w:val="24"/>
        </w:rPr>
        <w:t xml:space="preserve">oan agreements and has no financial interest in </w:t>
      </w:r>
      <w:r w:rsidR="00EB58D9" w:rsidRPr="00867618">
        <w:rPr>
          <w:rFonts w:asciiTheme="minorHAnsi" w:hAnsiTheme="minorHAnsi" w:cs="Arial"/>
          <w:sz w:val="24"/>
          <w:szCs w:val="24"/>
        </w:rPr>
        <w:t>these</w:t>
      </w:r>
      <w:r w:rsidRPr="00867618">
        <w:rPr>
          <w:rFonts w:asciiTheme="minorHAnsi" w:hAnsiTheme="minorHAnsi" w:cs="Arial"/>
          <w:sz w:val="24"/>
          <w:szCs w:val="24"/>
        </w:rPr>
        <w:t xml:space="preserve"> </w:t>
      </w:r>
      <w:r w:rsidR="00AB3C01" w:rsidRPr="00867618">
        <w:rPr>
          <w:rFonts w:asciiTheme="minorHAnsi" w:hAnsiTheme="minorHAnsi" w:cs="Arial"/>
          <w:sz w:val="24"/>
          <w:szCs w:val="24"/>
        </w:rPr>
        <w:t>l</w:t>
      </w:r>
      <w:r w:rsidRPr="00867618">
        <w:rPr>
          <w:rFonts w:asciiTheme="minorHAnsi" w:hAnsiTheme="minorHAnsi" w:cs="Arial"/>
          <w:sz w:val="24"/>
          <w:szCs w:val="24"/>
        </w:rPr>
        <w:t>oans.</w:t>
      </w:r>
    </w:p>
    <w:p w14:paraId="5E63C1C0" w14:textId="77777777" w:rsidR="00DB408A" w:rsidRPr="00867618" w:rsidRDefault="00DB408A" w:rsidP="00DB408A">
      <w:pPr>
        <w:tabs>
          <w:tab w:val="left" w:pos="360"/>
        </w:tabs>
        <w:spacing w:after="0" w:line="240" w:lineRule="auto"/>
        <w:ind w:left="360"/>
        <w:rPr>
          <w:rFonts w:asciiTheme="minorHAnsi" w:hAnsiTheme="minorHAnsi" w:cs="Arial"/>
          <w:sz w:val="24"/>
          <w:szCs w:val="24"/>
        </w:rPr>
      </w:pPr>
    </w:p>
    <w:p w14:paraId="340CC8BA" w14:textId="77777777" w:rsidR="00903FCA" w:rsidRPr="00867618" w:rsidRDefault="00903FCA" w:rsidP="002C6CE4">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 xml:space="preserve">Monthly payments received from </w:t>
      </w:r>
      <w:r w:rsidR="00AB3C01" w:rsidRPr="00867618">
        <w:rPr>
          <w:rFonts w:asciiTheme="minorHAnsi" w:hAnsiTheme="minorHAnsi" w:cs="Arial"/>
          <w:sz w:val="24"/>
          <w:szCs w:val="24"/>
        </w:rPr>
        <w:t>c</w:t>
      </w:r>
      <w:r w:rsidRPr="00867618">
        <w:rPr>
          <w:rFonts w:asciiTheme="minorHAnsi" w:hAnsiTheme="minorHAnsi" w:cs="Arial"/>
          <w:sz w:val="24"/>
          <w:szCs w:val="24"/>
        </w:rPr>
        <w:t xml:space="preserve">ustomers participating in this program will be allocated to the </w:t>
      </w:r>
      <w:r w:rsidR="00AB3C01" w:rsidRPr="00867618">
        <w:rPr>
          <w:rFonts w:asciiTheme="minorHAnsi" w:hAnsiTheme="minorHAnsi" w:cs="Arial"/>
          <w:sz w:val="24"/>
          <w:szCs w:val="24"/>
        </w:rPr>
        <w:t>c</w:t>
      </w:r>
      <w:r w:rsidRPr="00867618">
        <w:rPr>
          <w:rFonts w:asciiTheme="minorHAnsi" w:hAnsiTheme="minorHAnsi" w:cs="Arial"/>
          <w:sz w:val="24"/>
          <w:szCs w:val="24"/>
        </w:rPr>
        <w:t xml:space="preserve">ustomers’ account in accordance with Rule </w:t>
      </w:r>
      <w:r w:rsidR="008F1881" w:rsidRPr="00867618">
        <w:rPr>
          <w:rFonts w:asciiTheme="minorHAnsi" w:hAnsiTheme="minorHAnsi" w:cs="Arial"/>
          <w:sz w:val="24"/>
          <w:szCs w:val="24"/>
        </w:rPr>
        <w:t>4</w:t>
      </w:r>
      <w:r w:rsidRPr="00867618">
        <w:rPr>
          <w:rFonts w:asciiTheme="minorHAnsi" w:hAnsiTheme="minorHAnsi" w:cs="Arial"/>
          <w:sz w:val="24"/>
          <w:szCs w:val="24"/>
        </w:rPr>
        <w:t xml:space="preserve"> of this </w:t>
      </w:r>
      <w:r w:rsidR="008F1881" w:rsidRPr="00867618">
        <w:rPr>
          <w:rFonts w:asciiTheme="minorHAnsi" w:hAnsiTheme="minorHAnsi" w:cs="Arial"/>
          <w:sz w:val="24"/>
          <w:szCs w:val="24"/>
        </w:rPr>
        <w:t>the Company’s T</w:t>
      </w:r>
      <w:r w:rsidRPr="00867618">
        <w:rPr>
          <w:rFonts w:asciiTheme="minorHAnsi" w:hAnsiTheme="minorHAnsi" w:cs="Arial"/>
          <w:sz w:val="24"/>
          <w:szCs w:val="24"/>
        </w:rPr>
        <w:t xml:space="preserve">ariff.  </w:t>
      </w:r>
    </w:p>
    <w:p w14:paraId="697D6993" w14:textId="77777777" w:rsidR="00106C2C" w:rsidRPr="00867618" w:rsidRDefault="00106C2C" w:rsidP="00106C2C">
      <w:pPr>
        <w:spacing w:after="0" w:line="240" w:lineRule="auto"/>
        <w:rPr>
          <w:rFonts w:asciiTheme="minorHAnsi" w:hAnsiTheme="minorHAnsi" w:cs="Arial"/>
          <w:sz w:val="24"/>
          <w:szCs w:val="24"/>
        </w:rPr>
      </w:pPr>
    </w:p>
    <w:p w14:paraId="0B481CB9" w14:textId="77777777" w:rsidR="00903FCA" w:rsidRPr="00867618" w:rsidRDefault="00903FCA" w:rsidP="002C6CE4">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The Company will n</w:t>
      </w:r>
      <w:r w:rsidR="00AB3C01" w:rsidRPr="00867618">
        <w:rPr>
          <w:rFonts w:asciiTheme="minorHAnsi" w:hAnsiTheme="minorHAnsi" w:cs="Arial"/>
          <w:sz w:val="24"/>
          <w:szCs w:val="24"/>
        </w:rPr>
        <w:t>ot disconnect gas service to a c</w:t>
      </w:r>
      <w:r w:rsidRPr="00867618">
        <w:rPr>
          <w:rFonts w:asciiTheme="minorHAnsi" w:hAnsiTheme="minorHAnsi" w:cs="Arial"/>
          <w:sz w:val="24"/>
          <w:szCs w:val="24"/>
        </w:rPr>
        <w:t xml:space="preserve">ustomer for non-payment of </w:t>
      </w:r>
      <w:r w:rsidR="00AB3C01" w:rsidRPr="00867618">
        <w:rPr>
          <w:rFonts w:asciiTheme="minorHAnsi" w:hAnsiTheme="minorHAnsi" w:cs="Arial"/>
          <w:sz w:val="24"/>
          <w:szCs w:val="24"/>
        </w:rPr>
        <w:t>l</w:t>
      </w:r>
      <w:r w:rsidRPr="00867618">
        <w:rPr>
          <w:rFonts w:asciiTheme="minorHAnsi" w:hAnsiTheme="minorHAnsi" w:cs="Arial"/>
          <w:sz w:val="24"/>
          <w:szCs w:val="24"/>
        </w:rPr>
        <w:t xml:space="preserve">oan repayment charges.  </w:t>
      </w:r>
    </w:p>
    <w:p w14:paraId="6882A365" w14:textId="77777777" w:rsidR="00106C2C" w:rsidRPr="00867618" w:rsidRDefault="00106C2C" w:rsidP="00106C2C">
      <w:pPr>
        <w:spacing w:after="0" w:line="240" w:lineRule="auto"/>
        <w:rPr>
          <w:rFonts w:asciiTheme="minorHAnsi" w:hAnsiTheme="minorHAnsi" w:cs="Arial"/>
          <w:sz w:val="24"/>
          <w:szCs w:val="24"/>
        </w:rPr>
      </w:pPr>
    </w:p>
    <w:p w14:paraId="76C350C0" w14:textId="77777777" w:rsidR="00903FCA" w:rsidRPr="00867618" w:rsidRDefault="00903FCA" w:rsidP="002C6CE4">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lastRenderedPageBreak/>
        <w:t xml:space="preserve">NW Natural is solely a billing agent for </w:t>
      </w:r>
      <w:r w:rsidR="00886367" w:rsidRPr="00867618">
        <w:rPr>
          <w:rFonts w:asciiTheme="minorHAnsi" w:hAnsiTheme="minorHAnsi" w:cs="Arial"/>
          <w:sz w:val="24"/>
          <w:szCs w:val="24"/>
        </w:rPr>
        <w:t>Craft3</w:t>
      </w:r>
      <w:r w:rsidRPr="00867618">
        <w:rPr>
          <w:rFonts w:asciiTheme="minorHAnsi" w:hAnsiTheme="minorHAnsi" w:cs="Arial"/>
          <w:sz w:val="24"/>
          <w:szCs w:val="24"/>
        </w:rPr>
        <w:t>.  Participating Customers must acknowledge that the Company shall be held harmless for any liability resulting from contractors’ actions with regard to installation of energy efficiency measures resulting from this program.</w:t>
      </w:r>
    </w:p>
    <w:p w14:paraId="3DFDC7A4" w14:textId="77777777" w:rsidR="00106C2C" w:rsidRPr="00867618" w:rsidRDefault="00106C2C" w:rsidP="00106C2C">
      <w:pPr>
        <w:spacing w:after="0" w:line="240" w:lineRule="auto"/>
        <w:rPr>
          <w:rFonts w:asciiTheme="minorHAnsi" w:hAnsiTheme="minorHAnsi" w:cs="Arial"/>
          <w:sz w:val="24"/>
          <w:szCs w:val="24"/>
        </w:rPr>
      </w:pPr>
    </w:p>
    <w:p w14:paraId="4BE0BC03" w14:textId="77777777" w:rsidR="00903FCA" w:rsidRPr="00867618" w:rsidRDefault="00903FCA" w:rsidP="002C6CE4">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 xml:space="preserve">NW Natural has no responsibility to collect charges, penalties, or fees beyond the remitting to </w:t>
      </w:r>
      <w:r w:rsidR="00886367" w:rsidRPr="00867618">
        <w:rPr>
          <w:rFonts w:asciiTheme="minorHAnsi" w:hAnsiTheme="minorHAnsi" w:cs="Arial"/>
          <w:sz w:val="24"/>
          <w:szCs w:val="24"/>
        </w:rPr>
        <w:t>Craft3</w:t>
      </w:r>
      <w:r w:rsidRPr="00867618">
        <w:rPr>
          <w:rFonts w:asciiTheme="minorHAnsi" w:hAnsiTheme="minorHAnsi" w:cs="Arial"/>
          <w:sz w:val="24"/>
          <w:szCs w:val="24"/>
        </w:rPr>
        <w:t xml:space="preserve"> the loan repayment collections the Company receives from Customers in accordance with the services described herein. </w:t>
      </w:r>
    </w:p>
    <w:p w14:paraId="0799AC57" w14:textId="77777777" w:rsidR="00106C2C" w:rsidRPr="00867618" w:rsidRDefault="00106C2C" w:rsidP="00106C2C">
      <w:pPr>
        <w:spacing w:after="0" w:line="240" w:lineRule="auto"/>
        <w:rPr>
          <w:rFonts w:asciiTheme="minorHAnsi" w:hAnsiTheme="minorHAnsi" w:cs="Arial"/>
          <w:sz w:val="24"/>
          <w:szCs w:val="24"/>
        </w:rPr>
      </w:pPr>
    </w:p>
    <w:p w14:paraId="2D7532A4" w14:textId="77777777" w:rsidR="00903FCA" w:rsidRPr="00867618" w:rsidRDefault="00886367" w:rsidP="002C6CE4">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 xml:space="preserve">Craft3 </w:t>
      </w:r>
      <w:r w:rsidR="00903FCA" w:rsidRPr="00867618">
        <w:rPr>
          <w:rFonts w:asciiTheme="minorHAnsi" w:hAnsiTheme="minorHAnsi" w:cs="Arial"/>
          <w:sz w:val="24"/>
          <w:szCs w:val="24"/>
        </w:rPr>
        <w:t xml:space="preserve">is responsible to tell the Company how much to bill per month for each loan and how many months each customer should be billed.  The Company is not responsible for any information provided by </w:t>
      </w:r>
      <w:r w:rsidRPr="00867618">
        <w:rPr>
          <w:rFonts w:asciiTheme="minorHAnsi" w:hAnsiTheme="minorHAnsi" w:cs="Arial"/>
          <w:sz w:val="24"/>
          <w:szCs w:val="24"/>
        </w:rPr>
        <w:t>Craft3.</w:t>
      </w:r>
    </w:p>
    <w:p w14:paraId="0424776D" w14:textId="77777777" w:rsidR="00106C2C" w:rsidRPr="00867618" w:rsidRDefault="00106C2C" w:rsidP="00106C2C">
      <w:pPr>
        <w:spacing w:after="0" w:line="240" w:lineRule="auto"/>
        <w:rPr>
          <w:rFonts w:asciiTheme="minorHAnsi" w:hAnsiTheme="minorHAnsi" w:cs="Arial"/>
          <w:sz w:val="24"/>
          <w:szCs w:val="24"/>
        </w:rPr>
      </w:pPr>
    </w:p>
    <w:p w14:paraId="06064CC5" w14:textId="77777777" w:rsidR="00903FCA" w:rsidRPr="00867618" w:rsidRDefault="00903FCA" w:rsidP="002C6CE4">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The Company will not a) accept loan pay-offs, b) issue refunds on loan payments, c) offer payment arrangements on loan amounts due, or d) allow energy assistance to be applied to loan balances.</w:t>
      </w:r>
    </w:p>
    <w:p w14:paraId="3ABBCF93" w14:textId="77777777" w:rsidR="00106C2C" w:rsidRPr="00867618" w:rsidRDefault="00106C2C" w:rsidP="00106C2C">
      <w:pPr>
        <w:spacing w:after="0" w:line="240" w:lineRule="auto"/>
        <w:rPr>
          <w:rFonts w:asciiTheme="minorHAnsi" w:hAnsiTheme="minorHAnsi" w:cs="Arial"/>
          <w:sz w:val="24"/>
          <w:szCs w:val="24"/>
        </w:rPr>
      </w:pPr>
    </w:p>
    <w:p w14:paraId="5217021C" w14:textId="77777777" w:rsidR="00903FCA" w:rsidRPr="00867618" w:rsidRDefault="00886367" w:rsidP="002C6CE4">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Craft3</w:t>
      </w:r>
      <w:r w:rsidR="00903FCA" w:rsidRPr="00867618">
        <w:rPr>
          <w:rFonts w:asciiTheme="minorHAnsi" w:hAnsiTheme="minorHAnsi" w:cs="Arial"/>
          <w:sz w:val="24"/>
          <w:szCs w:val="24"/>
        </w:rPr>
        <w:t xml:space="preserve"> </w:t>
      </w:r>
      <w:r w:rsidRPr="00867618">
        <w:rPr>
          <w:rFonts w:asciiTheme="minorHAnsi" w:hAnsiTheme="minorHAnsi" w:cs="Arial"/>
          <w:sz w:val="24"/>
          <w:szCs w:val="24"/>
        </w:rPr>
        <w:t>must</w:t>
      </w:r>
      <w:r w:rsidR="00903FCA" w:rsidRPr="00867618">
        <w:rPr>
          <w:rFonts w:asciiTheme="minorHAnsi" w:hAnsiTheme="minorHAnsi" w:cs="Arial"/>
          <w:sz w:val="24"/>
          <w:szCs w:val="24"/>
        </w:rPr>
        <w:t xml:space="preserve"> obtain a signed consent form from participating Customers that states that the Customer agrees to allow the Company to provide </w:t>
      </w:r>
      <w:r w:rsidRPr="00867618">
        <w:rPr>
          <w:rFonts w:asciiTheme="minorHAnsi" w:hAnsiTheme="minorHAnsi" w:cs="Arial"/>
          <w:sz w:val="24"/>
          <w:szCs w:val="24"/>
        </w:rPr>
        <w:t>Craft3</w:t>
      </w:r>
      <w:r w:rsidR="00903FCA" w:rsidRPr="00867618">
        <w:rPr>
          <w:rFonts w:asciiTheme="minorHAnsi" w:hAnsiTheme="minorHAnsi" w:cs="Arial"/>
          <w:sz w:val="24"/>
          <w:szCs w:val="24"/>
        </w:rPr>
        <w:t xml:space="preserve"> with Customer-specific bill payment information. </w:t>
      </w:r>
    </w:p>
    <w:p w14:paraId="57B8BF7E" w14:textId="77777777" w:rsidR="00106C2C" w:rsidRPr="00867618" w:rsidRDefault="00106C2C" w:rsidP="00106C2C">
      <w:pPr>
        <w:spacing w:after="0" w:line="240" w:lineRule="auto"/>
        <w:rPr>
          <w:rFonts w:asciiTheme="minorHAnsi" w:hAnsiTheme="minorHAnsi" w:cs="Arial"/>
          <w:sz w:val="24"/>
          <w:szCs w:val="24"/>
        </w:rPr>
      </w:pPr>
    </w:p>
    <w:p w14:paraId="65971E03" w14:textId="77777777" w:rsidR="00903FCA" w:rsidRPr="00867618" w:rsidRDefault="00EB58D9" w:rsidP="002C6CE4">
      <w:pPr>
        <w:numPr>
          <w:ilvl w:val="0"/>
          <w:numId w:val="19"/>
        </w:numPr>
        <w:tabs>
          <w:tab w:val="left" w:pos="360"/>
        </w:tabs>
        <w:spacing w:after="0" w:line="240" w:lineRule="auto"/>
        <w:rPr>
          <w:rFonts w:asciiTheme="minorHAnsi" w:hAnsiTheme="minorHAnsi" w:cs="Arial"/>
          <w:sz w:val="24"/>
          <w:szCs w:val="24"/>
        </w:rPr>
      </w:pPr>
      <w:r w:rsidRPr="00867618">
        <w:rPr>
          <w:rFonts w:asciiTheme="minorHAnsi" w:hAnsiTheme="minorHAnsi" w:cs="Arial"/>
          <w:sz w:val="24"/>
          <w:szCs w:val="24"/>
        </w:rPr>
        <w:t>Craft3</w:t>
      </w:r>
      <w:r w:rsidR="00903FCA" w:rsidRPr="00867618">
        <w:rPr>
          <w:rFonts w:asciiTheme="minorHAnsi" w:hAnsiTheme="minorHAnsi" w:cs="Arial"/>
          <w:sz w:val="24"/>
          <w:szCs w:val="24"/>
        </w:rPr>
        <w:t xml:space="preserve"> must obtain signed documentation from the Customer that certifies that the Customer has been made aware of the Company’s limited role in the loan repayment process. </w:t>
      </w:r>
    </w:p>
    <w:p w14:paraId="71673FBD" w14:textId="77777777" w:rsidR="00106C2C" w:rsidRPr="00867618" w:rsidRDefault="00106C2C" w:rsidP="00106C2C">
      <w:pPr>
        <w:spacing w:after="0" w:line="240" w:lineRule="auto"/>
        <w:rPr>
          <w:rFonts w:asciiTheme="minorHAnsi" w:hAnsiTheme="minorHAnsi" w:cs="Arial"/>
          <w:sz w:val="24"/>
          <w:szCs w:val="24"/>
        </w:rPr>
      </w:pPr>
    </w:p>
    <w:p w14:paraId="21053005" w14:textId="77777777" w:rsidR="00903FCA" w:rsidRPr="00867618" w:rsidRDefault="00903FCA" w:rsidP="00CE6980">
      <w:pPr>
        <w:tabs>
          <w:tab w:val="left" w:pos="360"/>
        </w:tabs>
        <w:spacing w:after="0" w:line="240" w:lineRule="auto"/>
        <w:ind w:left="360" w:hanging="360"/>
        <w:rPr>
          <w:rFonts w:asciiTheme="minorHAnsi" w:hAnsiTheme="minorHAnsi"/>
          <w:sz w:val="24"/>
          <w:szCs w:val="24"/>
        </w:rPr>
      </w:pPr>
      <w:r w:rsidRPr="00867618">
        <w:rPr>
          <w:rFonts w:asciiTheme="minorHAnsi" w:hAnsiTheme="minorHAnsi"/>
          <w:sz w:val="24"/>
          <w:szCs w:val="24"/>
        </w:rPr>
        <w:t>1</w:t>
      </w:r>
      <w:r w:rsidR="00C46D97" w:rsidRPr="00867618">
        <w:rPr>
          <w:rFonts w:asciiTheme="minorHAnsi" w:hAnsiTheme="minorHAnsi"/>
          <w:sz w:val="24"/>
          <w:szCs w:val="24"/>
        </w:rPr>
        <w:t>5</w:t>
      </w:r>
      <w:r w:rsidRPr="00867618">
        <w:rPr>
          <w:rFonts w:asciiTheme="minorHAnsi" w:hAnsiTheme="minorHAnsi"/>
          <w:sz w:val="24"/>
          <w:szCs w:val="24"/>
        </w:rPr>
        <w:t xml:space="preserve">. </w:t>
      </w:r>
      <w:r w:rsidR="00886367" w:rsidRPr="00867618">
        <w:rPr>
          <w:rFonts w:asciiTheme="minorHAnsi" w:hAnsiTheme="minorHAnsi"/>
          <w:sz w:val="24"/>
          <w:szCs w:val="24"/>
        </w:rPr>
        <w:tab/>
        <w:t>Craft3</w:t>
      </w:r>
      <w:r w:rsidRPr="00867618">
        <w:rPr>
          <w:rFonts w:asciiTheme="minorHAnsi" w:hAnsiTheme="minorHAnsi"/>
          <w:sz w:val="24"/>
          <w:szCs w:val="24"/>
        </w:rPr>
        <w:t xml:space="preserve"> must provide the Company with a toll-free customer service phone number to which the Company will refer Customers who have questions or concerns about their loan.  The Company is not responsible for Customer questions and disputes related to the loan or the Customer’s perceived or real experience related to any portion of the loan or energy efficiency measures.  </w:t>
      </w:r>
    </w:p>
    <w:p w14:paraId="5F0FFB1E" w14:textId="77777777" w:rsidR="00F72D57" w:rsidRPr="00867618" w:rsidRDefault="00F72D57" w:rsidP="00EB58D9">
      <w:pPr>
        <w:spacing w:after="0" w:line="240" w:lineRule="auto"/>
        <w:rPr>
          <w:rFonts w:asciiTheme="minorHAnsi" w:hAnsiTheme="minorHAnsi"/>
          <w:sz w:val="24"/>
          <w:szCs w:val="24"/>
        </w:rPr>
      </w:pPr>
    </w:p>
    <w:p w14:paraId="03219CCC" w14:textId="77777777" w:rsidR="00ED70D2" w:rsidRPr="00867618" w:rsidRDefault="00DF42BE" w:rsidP="00DF42BE">
      <w:pPr>
        <w:tabs>
          <w:tab w:val="left" w:pos="360"/>
        </w:tabs>
        <w:ind w:left="360" w:hanging="360"/>
        <w:rPr>
          <w:rFonts w:asciiTheme="minorHAnsi" w:hAnsiTheme="minorHAnsi"/>
          <w:sz w:val="24"/>
          <w:szCs w:val="24"/>
        </w:rPr>
      </w:pPr>
      <w:r w:rsidRPr="00867618">
        <w:rPr>
          <w:rFonts w:asciiTheme="minorHAnsi" w:hAnsiTheme="minorHAnsi"/>
          <w:sz w:val="24"/>
          <w:szCs w:val="24"/>
        </w:rPr>
        <w:t>16.</w:t>
      </w:r>
      <w:r w:rsidR="00ED70D2" w:rsidRPr="00867618">
        <w:rPr>
          <w:rFonts w:asciiTheme="minorHAnsi" w:hAnsiTheme="minorHAnsi"/>
          <w:sz w:val="24"/>
          <w:szCs w:val="24"/>
        </w:rPr>
        <w:tab/>
        <w:t xml:space="preserve">The Company will provide Customers with an overview of the loan product.  Specific terms and conditions of the loan will be provided by Craft3. </w:t>
      </w:r>
    </w:p>
    <w:p w14:paraId="3B88EAFE" w14:textId="7471E1FF" w:rsidR="00DF42BE" w:rsidRPr="00867618" w:rsidRDefault="00ED70D2" w:rsidP="00DF42BE">
      <w:pPr>
        <w:tabs>
          <w:tab w:val="left" w:pos="360"/>
        </w:tabs>
        <w:ind w:left="360" w:hanging="360"/>
        <w:rPr>
          <w:rFonts w:asciiTheme="minorHAnsi" w:hAnsiTheme="minorHAnsi"/>
          <w:sz w:val="24"/>
          <w:szCs w:val="24"/>
        </w:rPr>
      </w:pPr>
      <w:r w:rsidRPr="00867618">
        <w:rPr>
          <w:rFonts w:asciiTheme="minorHAnsi" w:hAnsiTheme="minorHAnsi"/>
          <w:sz w:val="24"/>
          <w:szCs w:val="24"/>
        </w:rPr>
        <w:t>17.</w:t>
      </w:r>
      <w:r w:rsidR="00DF42BE" w:rsidRPr="00867618">
        <w:rPr>
          <w:rFonts w:asciiTheme="minorHAnsi" w:hAnsiTheme="minorHAnsi"/>
          <w:sz w:val="24"/>
          <w:szCs w:val="24"/>
        </w:rPr>
        <w:tab/>
        <w:t xml:space="preserve">A Customer with a loan open at the time he/she sells his/her home may either pay the loan off at the time of the sale; or if the new homeowner is willing to assume the loan and is able to pass the Craft3’s credit requirements, the new homeowner may assume the remaining balance of the loan.  </w:t>
      </w:r>
    </w:p>
    <w:p w14:paraId="0EABE48D" w14:textId="0FC0D9D8" w:rsidR="00DF42BE" w:rsidRPr="00867618" w:rsidRDefault="00DF42BE" w:rsidP="00DF42BE">
      <w:pPr>
        <w:tabs>
          <w:tab w:val="left" w:pos="360"/>
        </w:tabs>
        <w:ind w:left="360" w:hanging="360"/>
        <w:rPr>
          <w:rFonts w:asciiTheme="minorHAnsi" w:hAnsiTheme="minorHAnsi"/>
          <w:sz w:val="24"/>
          <w:szCs w:val="24"/>
        </w:rPr>
      </w:pPr>
      <w:r w:rsidRPr="00867618">
        <w:rPr>
          <w:rFonts w:asciiTheme="minorHAnsi" w:hAnsiTheme="minorHAnsi"/>
          <w:sz w:val="24"/>
          <w:szCs w:val="24"/>
        </w:rPr>
        <w:t>1</w:t>
      </w:r>
      <w:r w:rsidR="00ED70D2" w:rsidRPr="00867618">
        <w:rPr>
          <w:rFonts w:asciiTheme="minorHAnsi" w:hAnsiTheme="minorHAnsi"/>
          <w:sz w:val="24"/>
          <w:szCs w:val="24"/>
        </w:rPr>
        <w:t>8</w:t>
      </w:r>
      <w:r w:rsidRPr="00867618">
        <w:rPr>
          <w:rFonts w:asciiTheme="minorHAnsi" w:hAnsiTheme="minorHAnsi"/>
          <w:sz w:val="24"/>
          <w:szCs w:val="24"/>
        </w:rPr>
        <w:t>. If a Customer with a loan refinances his/her mortgage, Craft</w:t>
      </w:r>
      <w:r w:rsidR="00A4758A">
        <w:rPr>
          <w:rFonts w:asciiTheme="minorHAnsi" w:hAnsiTheme="minorHAnsi"/>
          <w:sz w:val="24"/>
          <w:szCs w:val="24"/>
        </w:rPr>
        <w:t xml:space="preserve">3 will work with the Customer. </w:t>
      </w:r>
      <w:r w:rsidRPr="00867618">
        <w:rPr>
          <w:rFonts w:asciiTheme="minorHAnsi" w:hAnsiTheme="minorHAnsi"/>
          <w:sz w:val="24"/>
          <w:szCs w:val="24"/>
        </w:rPr>
        <w:t xml:space="preserve">A fee may be assessed if Craft3 subordinates its lien to the new mortgage lender.  </w:t>
      </w:r>
    </w:p>
    <w:p w14:paraId="510369EE" w14:textId="77777777" w:rsidR="00632779" w:rsidRPr="00632779" w:rsidRDefault="00632779" w:rsidP="00632779">
      <w:pPr>
        <w:spacing w:after="0" w:line="240" w:lineRule="auto"/>
        <w:rPr>
          <w:rFonts w:ascii="Arial" w:eastAsiaTheme="minorHAnsi" w:hAnsi="Arial" w:cs="Arial"/>
          <w:color w:val="171717"/>
          <w:sz w:val="20"/>
          <w:szCs w:val="20"/>
        </w:rPr>
      </w:pPr>
    </w:p>
    <w:p w14:paraId="736BAA45" w14:textId="0E613641" w:rsidR="00DF42BE" w:rsidRPr="00867618" w:rsidRDefault="00410276" w:rsidP="00EB58D9">
      <w:pPr>
        <w:spacing w:after="0" w:line="240" w:lineRule="auto"/>
        <w:rPr>
          <w:rFonts w:asciiTheme="minorHAnsi" w:hAnsiTheme="minorHAnsi"/>
          <w:sz w:val="24"/>
          <w:szCs w:val="24"/>
        </w:rPr>
      </w:pPr>
      <w:r>
        <w:rPr>
          <w:rFonts w:asciiTheme="minorHAnsi" w:hAnsiTheme="minorHAnsi" w:cs="Arial"/>
          <w:bCs/>
          <w:sz w:val="32"/>
          <w:szCs w:val="32"/>
        </w:rPr>
        <w:t xml:space="preserve"> </w:t>
      </w:r>
    </w:p>
    <w:sectPr w:rsidR="00DF42BE" w:rsidRPr="00867618" w:rsidSect="000B26EB">
      <w:headerReference w:type="default" r:id="rId16"/>
      <w:footerReference w:type="default" r:id="rId17"/>
      <w:footerReference w:type="first" r:id="rId18"/>
      <w:type w:val="continuous"/>
      <w:pgSz w:w="12240" w:h="15840" w:code="1"/>
      <w:pgMar w:top="1440" w:right="1440" w:bottom="132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26EFC" w15:done="0"/>
  <w15:commentEx w15:paraId="53C8A601" w15:done="0"/>
  <w15:commentEx w15:paraId="53955E76" w15:done="0"/>
  <w15:commentEx w15:paraId="2455B680" w15:done="0"/>
  <w15:commentEx w15:paraId="074719FB" w15:paraIdParent="2455B680" w15:done="0"/>
  <w15:commentEx w15:paraId="4DBC5E9E" w15:done="0"/>
  <w15:commentEx w15:paraId="4E86A239" w15:done="0"/>
  <w15:commentEx w15:paraId="1E0A41D8" w15:done="0"/>
  <w15:commentEx w15:paraId="0A8CCCD8" w15:done="0"/>
  <w15:commentEx w15:paraId="569B37FC" w15:done="0"/>
  <w15:commentEx w15:paraId="1BBF9D42" w15:done="0"/>
  <w15:commentEx w15:paraId="2100B73C" w15:done="0"/>
  <w15:commentEx w15:paraId="33822C80" w15:paraIdParent="2100B73C" w15:done="0"/>
  <w15:commentEx w15:paraId="23F1EAB7" w15:done="0"/>
  <w15:commentEx w15:paraId="12C63B83" w15:done="0"/>
  <w15:commentEx w15:paraId="59E5B9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B732A" w14:textId="77777777" w:rsidR="004912A0" w:rsidRDefault="004912A0" w:rsidP="0000701E">
      <w:pPr>
        <w:spacing w:after="0" w:line="240" w:lineRule="auto"/>
      </w:pPr>
      <w:r>
        <w:separator/>
      </w:r>
    </w:p>
  </w:endnote>
  <w:endnote w:type="continuationSeparator" w:id="0">
    <w:p w14:paraId="09930E74" w14:textId="77777777" w:rsidR="004912A0" w:rsidRDefault="004912A0" w:rsidP="0000701E">
      <w:pPr>
        <w:spacing w:after="0" w:line="240" w:lineRule="auto"/>
      </w:pPr>
      <w:r>
        <w:continuationSeparator/>
      </w:r>
    </w:p>
  </w:endnote>
  <w:endnote w:type="continuationNotice" w:id="1">
    <w:p w14:paraId="77323914" w14:textId="77777777" w:rsidR="004912A0" w:rsidRDefault="00491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B9173" w14:textId="77777777" w:rsidR="004912A0" w:rsidRDefault="004912A0" w:rsidP="0000701E">
    <w:pPr>
      <w:pStyle w:val="Footer"/>
      <w:jc w:val="right"/>
    </w:pPr>
  </w:p>
  <w:p w14:paraId="3AD7C1B8" w14:textId="15F558E7" w:rsidR="004912A0" w:rsidRDefault="004912A0" w:rsidP="0000701E">
    <w:pPr>
      <w:pStyle w:val="Footer"/>
      <w:jc w:val="right"/>
    </w:pPr>
    <w:r>
      <w:t xml:space="preserve">Last updated December </w:t>
    </w:r>
    <w:r w:rsidR="00102C95">
      <w:t>15</w:t>
    </w:r>
    <w:r>
      <w:t>, 2015</w:t>
    </w:r>
    <w:r>
      <w:tab/>
    </w:r>
    <w:r>
      <w:tab/>
      <w:t xml:space="preserve">Page </w:t>
    </w:r>
    <w:r>
      <w:rPr>
        <w:b/>
      </w:rPr>
      <w:fldChar w:fldCharType="begin"/>
    </w:r>
    <w:r>
      <w:rPr>
        <w:b/>
      </w:rPr>
      <w:instrText xml:space="preserve"> PAGE </w:instrText>
    </w:r>
    <w:r>
      <w:rPr>
        <w:b/>
      </w:rPr>
      <w:fldChar w:fldCharType="separate"/>
    </w:r>
    <w:r w:rsidR="00A879A3">
      <w:rPr>
        <w:b/>
        <w:noProof/>
      </w:rPr>
      <w:t>18</w:t>
    </w:r>
    <w:r>
      <w:rPr>
        <w:b/>
      </w:rPr>
      <w:fldChar w:fldCharType="end"/>
    </w:r>
    <w:r>
      <w:t xml:space="preserve"> of </w:t>
    </w:r>
    <w:r>
      <w:rPr>
        <w:b/>
      </w:rPr>
      <w:fldChar w:fldCharType="begin"/>
    </w:r>
    <w:r>
      <w:rPr>
        <w:b/>
      </w:rPr>
      <w:instrText xml:space="preserve"> NUMPAGES  </w:instrText>
    </w:r>
    <w:r>
      <w:rPr>
        <w:b/>
      </w:rPr>
      <w:fldChar w:fldCharType="separate"/>
    </w:r>
    <w:r w:rsidR="00A879A3">
      <w:rPr>
        <w:b/>
        <w:noProof/>
      </w:rPr>
      <w:t>18</w:t>
    </w:r>
    <w:r>
      <w:rPr>
        <w:b/>
      </w:rPr>
      <w:fldChar w:fldCharType="end"/>
    </w:r>
  </w:p>
  <w:p w14:paraId="022F7AA0" w14:textId="77777777" w:rsidR="004912A0" w:rsidRDefault="004912A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5B642" w14:textId="7ADA59BE" w:rsidR="004912A0" w:rsidRDefault="004912A0" w:rsidP="00137D89">
    <w:pPr>
      <w:pStyle w:val="Footer"/>
      <w:jc w:val="right"/>
    </w:pPr>
    <w:r>
      <w:t xml:space="preserve">Last updated December </w:t>
    </w:r>
    <w:r w:rsidR="00102C95">
      <w:t>15</w:t>
    </w:r>
    <w:r>
      <w:t>, 2015</w:t>
    </w:r>
    <w:r>
      <w:tab/>
    </w:r>
    <w:r>
      <w:tab/>
      <w:t xml:space="preserve">Page </w:t>
    </w:r>
    <w:r>
      <w:rPr>
        <w:b/>
      </w:rPr>
      <w:fldChar w:fldCharType="begin"/>
    </w:r>
    <w:r>
      <w:rPr>
        <w:b/>
      </w:rPr>
      <w:instrText xml:space="preserve"> PAGE </w:instrText>
    </w:r>
    <w:r>
      <w:rPr>
        <w:b/>
      </w:rPr>
      <w:fldChar w:fldCharType="separate"/>
    </w:r>
    <w:r w:rsidR="00A879A3">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A879A3">
      <w:rPr>
        <w:b/>
        <w:noProof/>
      </w:rPr>
      <w:t>18</w:t>
    </w:r>
    <w:r>
      <w:rPr>
        <w:b/>
      </w:rPr>
      <w:fldChar w:fldCharType="end"/>
    </w:r>
  </w:p>
  <w:p w14:paraId="1CFDC258" w14:textId="77777777" w:rsidR="004912A0" w:rsidRDefault="00491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25202" w14:textId="77777777" w:rsidR="004912A0" w:rsidRDefault="004912A0" w:rsidP="0000701E">
      <w:pPr>
        <w:spacing w:after="0" w:line="240" w:lineRule="auto"/>
      </w:pPr>
      <w:r>
        <w:separator/>
      </w:r>
    </w:p>
  </w:footnote>
  <w:footnote w:type="continuationSeparator" w:id="0">
    <w:p w14:paraId="42B90A0E" w14:textId="77777777" w:rsidR="004912A0" w:rsidRDefault="004912A0" w:rsidP="0000701E">
      <w:pPr>
        <w:spacing w:after="0" w:line="240" w:lineRule="auto"/>
      </w:pPr>
      <w:r>
        <w:continuationSeparator/>
      </w:r>
    </w:p>
  </w:footnote>
  <w:footnote w:type="continuationNotice" w:id="1">
    <w:p w14:paraId="1F5D00F1" w14:textId="77777777" w:rsidR="004912A0" w:rsidRDefault="004912A0">
      <w:pPr>
        <w:spacing w:after="0" w:line="240" w:lineRule="auto"/>
      </w:pPr>
    </w:p>
  </w:footnote>
  <w:footnote w:id="2">
    <w:p w14:paraId="52C649BE" w14:textId="77777777" w:rsidR="004912A0" w:rsidRDefault="004912A0" w:rsidP="00EB0FF1">
      <w:pPr>
        <w:pStyle w:val="FootnoteText"/>
        <w:tabs>
          <w:tab w:val="left" w:pos="360"/>
        </w:tabs>
        <w:ind w:left="360" w:hanging="360"/>
      </w:pPr>
      <w:r>
        <w:rPr>
          <w:rStyle w:val="FootnoteReference"/>
        </w:rPr>
        <w:footnoteRef/>
      </w:r>
      <w:r>
        <w:t xml:space="preserve">  </w:t>
      </w:r>
      <w:r>
        <w:tab/>
        <w:t xml:space="preserve">SB 1149, codified as ORS 757.612, mandated the creation of an independent entity capable of providing demand side management services to utility customers.   </w:t>
      </w:r>
    </w:p>
  </w:footnote>
  <w:footnote w:id="3">
    <w:p w14:paraId="1C07D1DF" w14:textId="77777777" w:rsidR="004912A0" w:rsidRPr="00DC379A" w:rsidRDefault="004912A0">
      <w:pPr>
        <w:pStyle w:val="FootnoteText"/>
      </w:pPr>
      <w:r>
        <w:rPr>
          <w:rStyle w:val="FootnoteReference"/>
        </w:rPr>
        <w:footnoteRef/>
      </w:r>
      <w:r>
        <w:t xml:space="preserve"> </w:t>
      </w:r>
      <w:r>
        <w:rPr>
          <w:i/>
        </w:rPr>
        <w:t xml:space="preserve">See </w:t>
      </w:r>
      <w:r w:rsidRPr="00DC379A">
        <w:t>http://www.commerce.wa.gov/Programs/Energy/Office/Pages/Clean-Energy-Funds.aspx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B287" w14:textId="77777777" w:rsidR="004912A0" w:rsidRDefault="004912A0" w:rsidP="0072436E">
    <w:pPr>
      <w:pStyle w:val="Header"/>
      <w:tabs>
        <w:tab w:val="clear" w:pos="4680"/>
        <w:tab w:val="clear" w:pos="9360"/>
        <w:tab w:val="left" w:pos="376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A55"/>
    <w:multiLevelType w:val="hybridMultilevel"/>
    <w:tmpl w:val="E7FC4756"/>
    <w:lvl w:ilvl="0" w:tplc="10B2CD0A">
      <w:start w:val="1"/>
      <w:numFmt w:val="upperRoman"/>
      <w:lvlText w:val="%1."/>
      <w:lvlJc w:val="left"/>
      <w:pPr>
        <w:ind w:left="360" w:hanging="360"/>
      </w:pPr>
      <w:rPr>
        <w:rFonts w:ascii="Calibri" w:eastAsia="Times New Roman" w:hAnsi="Calibri" w:cs="Times New Roman"/>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C4CBE"/>
    <w:multiLevelType w:val="hybridMultilevel"/>
    <w:tmpl w:val="7F6A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9319E"/>
    <w:multiLevelType w:val="hybridMultilevel"/>
    <w:tmpl w:val="134C9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2594C"/>
    <w:multiLevelType w:val="hybridMultilevel"/>
    <w:tmpl w:val="225A4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B263AB"/>
    <w:multiLevelType w:val="hybridMultilevel"/>
    <w:tmpl w:val="615456B4"/>
    <w:lvl w:ilvl="0" w:tplc="EFD2FA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F724A63"/>
    <w:multiLevelType w:val="hybridMultilevel"/>
    <w:tmpl w:val="05FCD52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2AD387E"/>
    <w:multiLevelType w:val="hybridMultilevel"/>
    <w:tmpl w:val="F2869A5E"/>
    <w:lvl w:ilvl="0" w:tplc="D660D5F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415D7"/>
    <w:multiLevelType w:val="hybridMultilevel"/>
    <w:tmpl w:val="3E4083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19A3E06"/>
    <w:multiLevelType w:val="hybridMultilevel"/>
    <w:tmpl w:val="9E2A409C"/>
    <w:lvl w:ilvl="0" w:tplc="19F074A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E330E9"/>
    <w:multiLevelType w:val="hybridMultilevel"/>
    <w:tmpl w:val="326CC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512733"/>
    <w:multiLevelType w:val="hybridMultilevel"/>
    <w:tmpl w:val="EDFC6182"/>
    <w:lvl w:ilvl="0" w:tplc="EFC4F48C">
      <w:start w:val="6"/>
      <w:numFmt w:val="upperRoman"/>
      <w:lvlText w:val="%1."/>
      <w:lvlJc w:val="left"/>
      <w:pPr>
        <w:ind w:left="90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1">
    <w:nsid w:val="28F44933"/>
    <w:multiLevelType w:val="hybridMultilevel"/>
    <w:tmpl w:val="61FC9B6A"/>
    <w:lvl w:ilvl="0" w:tplc="3E7A37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AC2154E"/>
    <w:multiLevelType w:val="hybridMultilevel"/>
    <w:tmpl w:val="FBC2E496"/>
    <w:lvl w:ilvl="0" w:tplc="15D26EB4">
      <w:start w:val="1"/>
      <w:numFmt w:val="upperRoman"/>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41C6E"/>
    <w:multiLevelType w:val="hybridMultilevel"/>
    <w:tmpl w:val="6E18E63A"/>
    <w:lvl w:ilvl="0" w:tplc="F5D8F80C">
      <w:start w:val="9"/>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410E2"/>
    <w:multiLevelType w:val="hybridMultilevel"/>
    <w:tmpl w:val="A3CAF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A09F8"/>
    <w:multiLevelType w:val="hybridMultilevel"/>
    <w:tmpl w:val="DCA2ED90"/>
    <w:lvl w:ilvl="0" w:tplc="2700AA5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6AC2654"/>
    <w:multiLevelType w:val="hybridMultilevel"/>
    <w:tmpl w:val="251871A2"/>
    <w:lvl w:ilvl="0" w:tplc="4DD08338">
      <w:start w:val="7"/>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B27735"/>
    <w:multiLevelType w:val="hybridMultilevel"/>
    <w:tmpl w:val="05C496C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8">
    <w:nsid w:val="395F3BD7"/>
    <w:multiLevelType w:val="hybridMultilevel"/>
    <w:tmpl w:val="804A34B2"/>
    <w:lvl w:ilvl="0" w:tplc="CFD4A57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52F9B"/>
    <w:multiLevelType w:val="hybridMultilevel"/>
    <w:tmpl w:val="593E15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620D8"/>
    <w:multiLevelType w:val="hybridMultilevel"/>
    <w:tmpl w:val="783E8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DA5149A"/>
    <w:multiLevelType w:val="hybridMultilevel"/>
    <w:tmpl w:val="D63EB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32AC8"/>
    <w:multiLevelType w:val="hybridMultilevel"/>
    <w:tmpl w:val="8FF2CD1A"/>
    <w:lvl w:ilvl="0" w:tplc="00004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EB2287"/>
    <w:multiLevelType w:val="hybridMultilevel"/>
    <w:tmpl w:val="755227A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EA56BE"/>
    <w:multiLevelType w:val="hybridMultilevel"/>
    <w:tmpl w:val="4E66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E7446F"/>
    <w:multiLevelType w:val="hybridMultilevel"/>
    <w:tmpl w:val="27707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8E5727"/>
    <w:multiLevelType w:val="hybridMultilevel"/>
    <w:tmpl w:val="735C0B5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4EF83876"/>
    <w:multiLevelType w:val="hybridMultilevel"/>
    <w:tmpl w:val="45A0900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8">
    <w:nsid w:val="55567E10"/>
    <w:multiLevelType w:val="hybridMultilevel"/>
    <w:tmpl w:val="2F4CD0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590A28F0"/>
    <w:multiLevelType w:val="hybridMultilevel"/>
    <w:tmpl w:val="D2D82EE6"/>
    <w:lvl w:ilvl="0" w:tplc="02E8E49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E2A337D"/>
    <w:multiLevelType w:val="hybridMultilevel"/>
    <w:tmpl w:val="08F4C20A"/>
    <w:lvl w:ilvl="0" w:tplc="00004326">
      <w:start w:val="1"/>
      <w:numFmt w:val="decimal"/>
      <w:lvlText w:val="%1."/>
      <w:lvlJc w:val="left"/>
      <w:pPr>
        <w:ind w:left="1080" w:hanging="360"/>
      </w:pPr>
      <w:rPr>
        <w:rFonts w:hint="default"/>
      </w:rPr>
    </w:lvl>
    <w:lvl w:ilvl="1" w:tplc="AE1CEFB4">
      <w:numFmt w:val="bullet"/>
      <w:lvlText w:val="·"/>
      <w:lvlJc w:val="left"/>
      <w:pPr>
        <w:ind w:left="1992" w:hanging="552"/>
      </w:pPr>
      <w:rPr>
        <w:rFonts w:ascii="Calibri" w:eastAsiaTheme="minorHAnsi" w:hAnsi="Calibri"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01019F"/>
    <w:multiLevelType w:val="hybridMultilevel"/>
    <w:tmpl w:val="B956C2E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9B7E67"/>
    <w:multiLevelType w:val="hybridMultilevel"/>
    <w:tmpl w:val="EF7E67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5E4A30"/>
    <w:multiLevelType w:val="hybridMultilevel"/>
    <w:tmpl w:val="9DCE7E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04C6BF3"/>
    <w:multiLevelType w:val="hybridMultilevel"/>
    <w:tmpl w:val="1724417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nsid w:val="765E5592"/>
    <w:multiLevelType w:val="hybridMultilevel"/>
    <w:tmpl w:val="2F1242D4"/>
    <w:lvl w:ilvl="0" w:tplc="15D26EB4">
      <w:start w:val="1"/>
      <w:numFmt w:val="upperRoman"/>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35"/>
  </w:num>
  <w:num w:numId="4">
    <w:abstractNumId w:val="12"/>
  </w:num>
  <w:num w:numId="5">
    <w:abstractNumId w:val="19"/>
  </w:num>
  <w:num w:numId="6">
    <w:abstractNumId w:val="4"/>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10"/>
  </w:num>
  <w:num w:numId="11">
    <w:abstractNumId w:val="32"/>
  </w:num>
  <w:num w:numId="12">
    <w:abstractNumId w:val="11"/>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3"/>
  </w:num>
  <w:num w:numId="18">
    <w:abstractNumId w:val="17"/>
  </w:num>
  <w:num w:numId="19">
    <w:abstractNumId w:val="29"/>
  </w:num>
  <w:num w:numId="20">
    <w:abstractNumId w:val="22"/>
  </w:num>
  <w:num w:numId="21">
    <w:abstractNumId w:val="21"/>
  </w:num>
  <w:num w:numId="22">
    <w:abstractNumId w:val="30"/>
  </w:num>
  <w:num w:numId="23">
    <w:abstractNumId w:val="20"/>
  </w:num>
  <w:num w:numId="24">
    <w:abstractNumId w:val="2"/>
  </w:num>
  <w:num w:numId="25">
    <w:abstractNumId w:val="17"/>
  </w:num>
  <w:num w:numId="26">
    <w:abstractNumId w:val="27"/>
  </w:num>
  <w:num w:numId="27">
    <w:abstractNumId w:val="25"/>
  </w:num>
  <w:num w:numId="28">
    <w:abstractNumId w:val="1"/>
  </w:num>
  <w:num w:numId="29">
    <w:abstractNumId w:val="16"/>
  </w:num>
  <w:num w:numId="30">
    <w:abstractNumId w:val="34"/>
  </w:num>
  <w:num w:numId="31">
    <w:abstractNumId w:val="26"/>
  </w:num>
  <w:num w:numId="32">
    <w:abstractNumId w:val="5"/>
  </w:num>
  <w:num w:numId="33">
    <w:abstractNumId w:val="6"/>
  </w:num>
  <w:num w:numId="34">
    <w:abstractNumId w:val="7"/>
  </w:num>
  <w:num w:numId="35">
    <w:abstractNumId w:val="31"/>
  </w:num>
  <w:num w:numId="36">
    <w:abstractNumId w:val="13"/>
  </w:num>
  <w:num w:numId="37">
    <w:abstractNumId w:val="18"/>
  </w:num>
  <w:num w:numId="3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Shepard">
    <w15:presenceInfo w15:providerId="AD" w15:userId="S-1-5-21-299502267-1482476501-1417001333-23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66"/>
    <w:rsid w:val="000001BB"/>
    <w:rsid w:val="0000280B"/>
    <w:rsid w:val="0000701E"/>
    <w:rsid w:val="000109AC"/>
    <w:rsid w:val="00013C3F"/>
    <w:rsid w:val="00023D3D"/>
    <w:rsid w:val="000245F6"/>
    <w:rsid w:val="00030B47"/>
    <w:rsid w:val="00032878"/>
    <w:rsid w:val="000344DD"/>
    <w:rsid w:val="00035E11"/>
    <w:rsid w:val="000375E0"/>
    <w:rsid w:val="00040AB6"/>
    <w:rsid w:val="00053991"/>
    <w:rsid w:val="00057DE6"/>
    <w:rsid w:val="00062D10"/>
    <w:rsid w:val="00066B0C"/>
    <w:rsid w:val="000740DD"/>
    <w:rsid w:val="00076D36"/>
    <w:rsid w:val="00076F8D"/>
    <w:rsid w:val="000838D6"/>
    <w:rsid w:val="00084CA1"/>
    <w:rsid w:val="00084FE6"/>
    <w:rsid w:val="0009033E"/>
    <w:rsid w:val="00092C5B"/>
    <w:rsid w:val="000946C0"/>
    <w:rsid w:val="00097823"/>
    <w:rsid w:val="000A1DFE"/>
    <w:rsid w:val="000A53A1"/>
    <w:rsid w:val="000A65B2"/>
    <w:rsid w:val="000B26EB"/>
    <w:rsid w:val="000B2D85"/>
    <w:rsid w:val="000B41A4"/>
    <w:rsid w:val="000B45D3"/>
    <w:rsid w:val="000B535B"/>
    <w:rsid w:val="000C2008"/>
    <w:rsid w:val="000C2946"/>
    <w:rsid w:val="000E1BC9"/>
    <w:rsid w:val="000E6514"/>
    <w:rsid w:val="000F51D9"/>
    <w:rsid w:val="000F7410"/>
    <w:rsid w:val="00102C95"/>
    <w:rsid w:val="00106C2C"/>
    <w:rsid w:val="00106E4B"/>
    <w:rsid w:val="001078A0"/>
    <w:rsid w:val="00112663"/>
    <w:rsid w:val="00113045"/>
    <w:rsid w:val="001142B0"/>
    <w:rsid w:val="00115260"/>
    <w:rsid w:val="00122F13"/>
    <w:rsid w:val="00123388"/>
    <w:rsid w:val="0012571C"/>
    <w:rsid w:val="00126582"/>
    <w:rsid w:val="00136FF5"/>
    <w:rsid w:val="00137135"/>
    <w:rsid w:val="00137D89"/>
    <w:rsid w:val="00145ABB"/>
    <w:rsid w:val="00157523"/>
    <w:rsid w:val="00170502"/>
    <w:rsid w:val="00175DBA"/>
    <w:rsid w:val="00177605"/>
    <w:rsid w:val="001817A0"/>
    <w:rsid w:val="00182EF4"/>
    <w:rsid w:val="00184CCA"/>
    <w:rsid w:val="001A1EC1"/>
    <w:rsid w:val="001A2B88"/>
    <w:rsid w:val="001A3C72"/>
    <w:rsid w:val="001A4A16"/>
    <w:rsid w:val="001A5661"/>
    <w:rsid w:val="001A5882"/>
    <w:rsid w:val="001A5A0B"/>
    <w:rsid w:val="001B2EFF"/>
    <w:rsid w:val="001B48E0"/>
    <w:rsid w:val="001B5C89"/>
    <w:rsid w:val="001C2393"/>
    <w:rsid w:val="001C4B7A"/>
    <w:rsid w:val="001C6321"/>
    <w:rsid w:val="001C693F"/>
    <w:rsid w:val="001C6A2C"/>
    <w:rsid w:val="001D10FB"/>
    <w:rsid w:val="001D659E"/>
    <w:rsid w:val="001D65C7"/>
    <w:rsid w:val="001E07DE"/>
    <w:rsid w:val="001E306E"/>
    <w:rsid w:val="001E33A9"/>
    <w:rsid w:val="001F07EE"/>
    <w:rsid w:val="001F1612"/>
    <w:rsid w:val="001F4258"/>
    <w:rsid w:val="001F4BE1"/>
    <w:rsid w:val="00202080"/>
    <w:rsid w:val="002020C4"/>
    <w:rsid w:val="002034C5"/>
    <w:rsid w:val="00203657"/>
    <w:rsid w:val="002039B0"/>
    <w:rsid w:val="0020566B"/>
    <w:rsid w:val="0020795C"/>
    <w:rsid w:val="002120AA"/>
    <w:rsid w:val="002157A3"/>
    <w:rsid w:val="00215AAC"/>
    <w:rsid w:val="00225E05"/>
    <w:rsid w:val="002335A4"/>
    <w:rsid w:val="00242088"/>
    <w:rsid w:val="00246DE6"/>
    <w:rsid w:val="00257A7D"/>
    <w:rsid w:val="002651C8"/>
    <w:rsid w:val="002668F1"/>
    <w:rsid w:val="00266A29"/>
    <w:rsid w:val="00276FB5"/>
    <w:rsid w:val="002805AA"/>
    <w:rsid w:val="0028568D"/>
    <w:rsid w:val="00295F8B"/>
    <w:rsid w:val="002A355C"/>
    <w:rsid w:val="002A7E24"/>
    <w:rsid w:val="002B0095"/>
    <w:rsid w:val="002B133B"/>
    <w:rsid w:val="002B14B9"/>
    <w:rsid w:val="002B22E3"/>
    <w:rsid w:val="002B2DEF"/>
    <w:rsid w:val="002B31D3"/>
    <w:rsid w:val="002B3534"/>
    <w:rsid w:val="002B3884"/>
    <w:rsid w:val="002C1CEA"/>
    <w:rsid w:val="002C2CBA"/>
    <w:rsid w:val="002C6CE4"/>
    <w:rsid w:val="002C7434"/>
    <w:rsid w:val="002D1DB6"/>
    <w:rsid w:val="002D585F"/>
    <w:rsid w:val="002E0279"/>
    <w:rsid w:val="002E1311"/>
    <w:rsid w:val="002E1FAB"/>
    <w:rsid w:val="002E2863"/>
    <w:rsid w:val="002F7203"/>
    <w:rsid w:val="002F795F"/>
    <w:rsid w:val="00301D2A"/>
    <w:rsid w:val="00303426"/>
    <w:rsid w:val="00316B55"/>
    <w:rsid w:val="00320FB8"/>
    <w:rsid w:val="003324F5"/>
    <w:rsid w:val="003331A7"/>
    <w:rsid w:val="00333C08"/>
    <w:rsid w:val="00336934"/>
    <w:rsid w:val="00341BE4"/>
    <w:rsid w:val="00344EB3"/>
    <w:rsid w:val="003450E7"/>
    <w:rsid w:val="00351F7D"/>
    <w:rsid w:val="00355735"/>
    <w:rsid w:val="00357665"/>
    <w:rsid w:val="003607A9"/>
    <w:rsid w:val="0036359C"/>
    <w:rsid w:val="00367B29"/>
    <w:rsid w:val="00372AF9"/>
    <w:rsid w:val="0038164D"/>
    <w:rsid w:val="00381BD8"/>
    <w:rsid w:val="00382A53"/>
    <w:rsid w:val="00392A0A"/>
    <w:rsid w:val="003A1FAE"/>
    <w:rsid w:val="003A45ED"/>
    <w:rsid w:val="003A4753"/>
    <w:rsid w:val="003B0029"/>
    <w:rsid w:val="003B1874"/>
    <w:rsid w:val="003B221B"/>
    <w:rsid w:val="003B3192"/>
    <w:rsid w:val="003B488B"/>
    <w:rsid w:val="003B653C"/>
    <w:rsid w:val="003B72DD"/>
    <w:rsid w:val="003C465F"/>
    <w:rsid w:val="003C7D77"/>
    <w:rsid w:val="003E169E"/>
    <w:rsid w:val="003E3683"/>
    <w:rsid w:val="003E4F99"/>
    <w:rsid w:val="003E7A42"/>
    <w:rsid w:val="003F0E70"/>
    <w:rsid w:val="003F318F"/>
    <w:rsid w:val="003F7CDA"/>
    <w:rsid w:val="00401FB8"/>
    <w:rsid w:val="004063D6"/>
    <w:rsid w:val="00406C41"/>
    <w:rsid w:val="00410276"/>
    <w:rsid w:val="00410CE1"/>
    <w:rsid w:val="00412676"/>
    <w:rsid w:val="004160A8"/>
    <w:rsid w:val="00421BFF"/>
    <w:rsid w:val="00430E37"/>
    <w:rsid w:val="00431D5C"/>
    <w:rsid w:val="004420DD"/>
    <w:rsid w:val="00443502"/>
    <w:rsid w:val="00446ADD"/>
    <w:rsid w:val="0045187F"/>
    <w:rsid w:val="0045325A"/>
    <w:rsid w:val="004537C1"/>
    <w:rsid w:val="00455549"/>
    <w:rsid w:val="00457507"/>
    <w:rsid w:val="004652A8"/>
    <w:rsid w:val="00465EC4"/>
    <w:rsid w:val="00466DA3"/>
    <w:rsid w:val="0046778E"/>
    <w:rsid w:val="0047136B"/>
    <w:rsid w:val="004716C6"/>
    <w:rsid w:val="004747B6"/>
    <w:rsid w:val="00476E02"/>
    <w:rsid w:val="00483F12"/>
    <w:rsid w:val="00486A27"/>
    <w:rsid w:val="004873B8"/>
    <w:rsid w:val="004912A0"/>
    <w:rsid w:val="004923AD"/>
    <w:rsid w:val="004A44D7"/>
    <w:rsid w:val="004A5883"/>
    <w:rsid w:val="004B293D"/>
    <w:rsid w:val="004B5112"/>
    <w:rsid w:val="004B57C8"/>
    <w:rsid w:val="004B67E4"/>
    <w:rsid w:val="004C098D"/>
    <w:rsid w:val="004C3F8F"/>
    <w:rsid w:val="004D0855"/>
    <w:rsid w:val="004D1E3F"/>
    <w:rsid w:val="004D4857"/>
    <w:rsid w:val="004D7339"/>
    <w:rsid w:val="004E39EB"/>
    <w:rsid w:val="004E59B8"/>
    <w:rsid w:val="004E6B2D"/>
    <w:rsid w:val="004E6EDA"/>
    <w:rsid w:val="004E6F0E"/>
    <w:rsid w:val="004F5E75"/>
    <w:rsid w:val="00500691"/>
    <w:rsid w:val="005008C6"/>
    <w:rsid w:val="005011BA"/>
    <w:rsid w:val="00501DF0"/>
    <w:rsid w:val="00502A24"/>
    <w:rsid w:val="00503D3A"/>
    <w:rsid w:val="005063AB"/>
    <w:rsid w:val="00510B95"/>
    <w:rsid w:val="005159E2"/>
    <w:rsid w:val="005163AE"/>
    <w:rsid w:val="00516CCA"/>
    <w:rsid w:val="00517355"/>
    <w:rsid w:val="00523319"/>
    <w:rsid w:val="00537A36"/>
    <w:rsid w:val="00544A5B"/>
    <w:rsid w:val="00544F87"/>
    <w:rsid w:val="00551F20"/>
    <w:rsid w:val="005542C5"/>
    <w:rsid w:val="00562BF0"/>
    <w:rsid w:val="00564D4C"/>
    <w:rsid w:val="00567113"/>
    <w:rsid w:val="0057051B"/>
    <w:rsid w:val="00570966"/>
    <w:rsid w:val="005720E9"/>
    <w:rsid w:val="005847CA"/>
    <w:rsid w:val="00585F3E"/>
    <w:rsid w:val="00590874"/>
    <w:rsid w:val="00595387"/>
    <w:rsid w:val="005A39B1"/>
    <w:rsid w:val="005A58F0"/>
    <w:rsid w:val="005B2BD6"/>
    <w:rsid w:val="005B4B2B"/>
    <w:rsid w:val="005C0399"/>
    <w:rsid w:val="005C21F8"/>
    <w:rsid w:val="005C5462"/>
    <w:rsid w:val="005C690D"/>
    <w:rsid w:val="005D0111"/>
    <w:rsid w:val="005D4315"/>
    <w:rsid w:val="005D52D2"/>
    <w:rsid w:val="005E1B95"/>
    <w:rsid w:val="005E2E29"/>
    <w:rsid w:val="005F2857"/>
    <w:rsid w:val="005F2CBA"/>
    <w:rsid w:val="005F44CD"/>
    <w:rsid w:val="005F49DF"/>
    <w:rsid w:val="005F6B35"/>
    <w:rsid w:val="006066EB"/>
    <w:rsid w:val="0061137C"/>
    <w:rsid w:val="0061226F"/>
    <w:rsid w:val="00614BC3"/>
    <w:rsid w:val="00622178"/>
    <w:rsid w:val="00624C3D"/>
    <w:rsid w:val="00626123"/>
    <w:rsid w:val="006315B0"/>
    <w:rsid w:val="00632779"/>
    <w:rsid w:val="00633458"/>
    <w:rsid w:val="006367E4"/>
    <w:rsid w:val="00637D58"/>
    <w:rsid w:val="00637F8E"/>
    <w:rsid w:val="00646136"/>
    <w:rsid w:val="00651077"/>
    <w:rsid w:val="006606E5"/>
    <w:rsid w:val="0066075C"/>
    <w:rsid w:val="00661E28"/>
    <w:rsid w:val="006641DA"/>
    <w:rsid w:val="006650F2"/>
    <w:rsid w:val="00671AC8"/>
    <w:rsid w:val="00676821"/>
    <w:rsid w:val="00677E81"/>
    <w:rsid w:val="00686D03"/>
    <w:rsid w:val="006965FC"/>
    <w:rsid w:val="00696EE3"/>
    <w:rsid w:val="006A0C5B"/>
    <w:rsid w:val="006A63E1"/>
    <w:rsid w:val="006B00B3"/>
    <w:rsid w:val="006C06C1"/>
    <w:rsid w:val="006C5306"/>
    <w:rsid w:val="006D05BF"/>
    <w:rsid w:val="006D27FC"/>
    <w:rsid w:val="006E130D"/>
    <w:rsid w:val="006E4739"/>
    <w:rsid w:val="006E5197"/>
    <w:rsid w:val="006E7675"/>
    <w:rsid w:val="006F46D1"/>
    <w:rsid w:val="006F60EB"/>
    <w:rsid w:val="00701805"/>
    <w:rsid w:val="00711EBA"/>
    <w:rsid w:val="00713341"/>
    <w:rsid w:val="007203D3"/>
    <w:rsid w:val="0072436E"/>
    <w:rsid w:val="007274FB"/>
    <w:rsid w:val="0073162D"/>
    <w:rsid w:val="007333D0"/>
    <w:rsid w:val="007344BA"/>
    <w:rsid w:val="007427E0"/>
    <w:rsid w:val="0074386C"/>
    <w:rsid w:val="00744294"/>
    <w:rsid w:val="007504C3"/>
    <w:rsid w:val="00755EB7"/>
    <w:rsid w:val="007627D2"/>
    <w:rsid w:val="00764461"/>
    <w:rsid w:val="007723F3"/>
    <w:rsid w:val="00774E72"/>
    <w:rsid w:val="007750EC"/>
    <w:rsid w:val="0077574B"/>
    <w:rsid w:val="00776086"/>
    <w:rsid w:val="007A5A02"/>
    <w:rsid w:val="007B08E7"/>
    <w:rsid w:val="007D25A0"/>
    <w:rsid w:val="007E4263"/>
    <w:rsid w:val="007E6083"/>
    <w:rsid w:val="007F0C14"/>
    <w:rsid w:val="007F13EA"/>
    <w:rsid w:val="007F2307"/>
    <w:rsid w:val="007F3355"/>
    <w:rsid w:val="007F43EE"/>
    <w:rsid w:val="008050E7"/>
    <w:rsid w:val="00810571"/>
    <w:rsid w:val="00814D49"/>
    <w:rsid w:val="00822685"/>
    <w:rsid w:val="0082276E"/>
    <w:rsid w:val="008238CF"/>
    <w:rsid w:val="008320C8"/>
    <w:rsid w:val="00834E0C"/>
    <w:rsid w:val="008404D8"/>
    <w:rsid w:val="00841608"/>
    <w:rsid w:val="00842349"/>
    <w:rsid w:val="008431AD"/>
    <w:rsid w:val="00843CD5"/>
    <w:rsid w:val="00846F26"/>
    <w:rsid w:val="008536DA"/>
    <w:rsid w:val="00854264"/>
    <w:rsid w:val="00854330"/>
    <w:rsid w:val="00863F1E"/>
    <w:rsid w:val="0086720C"/>
    <w:rsid w:val="00867618"/>
    <w:rsid w:val="00870A4C"/>
    <w:rsid w:val="00874B3F"/>
    <w:rsid w:val="008778C7"/>
    <w:rsid w:val="00880996"/>
    <w:rsid w:val="00886367"/>
    <w:rsid w:val="00887498"/>
    <w:rsid w:val="008921E9"/>
    <w:rsid w:val="00892638"/>
    <w:rsid w:val="008A3DB7"/>
    <w:rsid w:val="008A7584"/>
    <w:rsid w:val="008B1D58"/>
    <w:rsid w:val="008B6F0E"/>
    <w:rsid w:val="008C480B"/>
    <w:rsid w:val="008C5FE3"/>
    <w:rsid w:val="008E3885"/>
    <w:rsid w:val="008E41CE"/>
    <w:rsid w:val="008F1881"/>
    <w:rsid w:val="008F6B2D"/>
    <w:rsid w:val="00903FCA"/>
    <w:rsid w:val="00913254"/>
    <w:rsid w:val="00923EB2"/>
    <w:rsid w:val="00935B97"/>
    <w:rsid w:val="009421F0"/>
    <w:rsid w:val="00943319"/>
    <w:rsid w:val="00943698"/>
    <w:rsid w:val="009602BA"/>
    <w:rsid w:val="009604E4"/>
    <w:rsid w:val="00963BA2"/>
    <w:rsid w:val="009656A4"/>
    <w:rsid w:val="00966731"/>
    <w:rsid w:val="009730A6"/>
    <w:rsid w:val="0097483E"/>
    <w:rsid w:val="009753D1"/>
    <w:rsid w:val="00975612"/>
    <w:rsid w:val="00980CDA"/>
    <w:rsid w:val="00982ADD"/>
    <w:rsid w:val="00985486"/>
    <w:rsid w:val="00991192"/>
    <w:rsid w:val="00992A5B"/>
    <w:rsid w:val="009B0269"/>
    <w:rsid w:val="009B3B7A"/>
    <w:rsid w:val="009C0801"/>
    <w:rsid w:val="009C0A25"/>
    <w:rsid w:val="009C112E"/>
    <w:rsid w:val="009C3D0A"/>
    <w:rsid w:val="009C3EDF"/>
    <w:rsid w:val="009C7541"/>
    <w:rsid w:val="009D5794"/>
    <w:rsid w:val="009E1A7B"/>
    <w:rsid w:val="009E7223"/>
    <w:rsid w:val="009F7D04"/>
    <w:rsid w:val="00A00DF4"/>
    <w:rsid w:val="00A01E33"/>
    <w:rsid w:val="00A05B15"/>
    <w:rsid w:val="00A0634F"/>
    <w:rsid w:val="00A12F86"/>
    <w:rsid w:val="00A20906"/>
    <w:rsid w:val="00A24D22"/>
    <w:rsid w:val="00A258F5"/>
    <w:rsid w:val="00A340FC"/>
    <w:rsid w:val="00A3612A"/>
    <w:rsid w:val="00A415B4"/>
    <w:rsid w:val="00A42FA1"/>
    <w:rsid w:val="00A4758A"/>
    <w:rsid w:val="00A5582A"/>
    <w:rsid w:val="00A64BDC"/>
    <w:rsid w:val="00A705AF"/>
    <w:rsid w:val="00A71E2C"/>
    <w:rsid w:val="00A74726"/>
    <w:rsid w:val="00A76A80"/>
    <w:rsid w:val="00A770B5"/>
    <w:rsid w:val="00A87361"/>
    <w:rsid w:val="00A879A1"/>
    <w:rsid w:val="00A879A3"/>
    <w:rsid w:val="00A87A83"/>
    <w:rsid w:val="00A9305E"/>
    <w:rsid w:val="00AA011C"/>
    <w:rsid w:val="00AA56D0"/>
    <w:rsid w:val="00AA7332"/>
    <w:rsid w:val="00AB3C01"/>
    <w:rsid w:val="00AB4C99"/>
    <w:rsid w:val="00AC233C"/>
    <w:rsid w:val="00AC3991"/>
    <w:rsid w:val="00AD09B3"/>
    <w:rsid w:val="00AD158F"/>
    <w:rsid w:val="00AD1AF8"/>
    <w:rsid w:val="00AD743B"/>
    <w:rsid w:val="00AE033D"/>
    <w:rsid w:val="00AF2A16"/>
    <w:rsid w:val="00B01965"/>
    <w:rsid w:val="00B03049"/>
    <w:rsid w:val="00B05549"/>
    <w:rsid w:val="00B12B90"/>
    <w:rsid w:val="00B13766"/>
    <w:rsid w:val="00B20B5E"/>
    <w:rsid w:val="00B275C3"/>
    <w:rsid w:val="00B2771F"/>
    <w:rsid w:val="00B341DB"/>
    <w:rsid w:val="00B4210B"/>
    <w:rsid w:val="00B52CD8"/>
    <w:rsid w:val="00B53A12"/>
    <w:rsid w:val="00B6005C"/>
    <w:rsid w:val="00B62608"/>
    <w:rsid w:val="00B658B3"/>
    <w:rsid w:val="00B67D00"/>
    <w:rsid w:val="00B71802"/>
    <w:rsid w:val="00B743E9"/>
    <w:rsid w:val="00B82B2F"/>
    <w:rsid w:val="00B83252"/>
    <w:rsid w:val="00B847DF"/>
    <w:rsid w:val="00B903DE"/>
    <w:rsid w:val="00B94AFB"/>
    <w:rsid w:val="00B94D22"/>
    <w:rsid w:val="00B9765C"/>
    <w:rsid w:val="00B97EA1"/>
    <w:rsid w:val="00BA20BF"/>
    <w:rsid w:val="00BA3C0F"/>
    <w:rsid w:val="00BC0AB3"/>
    <w:rsid w:val="00BC1458"/>
    <w:rsid w:val="00BC3813"/>
    <w:rsid w:val="00BC45BB"/>
    <w:rsid w:val="00BC6065"/>
    <w:rsid w:val="00BC65D5"/>
    <w:rsid w:val="00BD1A74"/>
    <w:rsid w:val="00BD7243"/>
    <w:rsid w:val="00BD7A19"/>
    <w:rsid w:val="00BD7B19"/>
    <w:rsid w:val="00BE1A1C"/>
    <w:rsid w:val="00BE2564"/>
    <w:rsid w:val="00BE4A87"/>
    <w:rsid w:val="00BE6EF3"/>
    <w:rsid w:val="00BE7265"/>
    <w:rsid w:val="00BE73D2"/>
    <w:rsid w:val="00BF0B99"/>
    <w:rsid w:val="00BF1830"/>
    <w:rsid w:val="00BF2975"/>
    <w:rsid w:val="00C1043F"/>
    <w:rsid w:val="00C21507"/>
    <w:rsid w:val="00C31476"/>
    <w:rsid w:val="00C31E34"/>
    <w:rsid w:val="00C32BC6"/>
    <w:rsid w:val="00C32DBD"/>
    <w:rsid w:val="00C41640"/>
    <w:rsid w:val="00C42309"/>
    <w:rsid w:val="00C46D97"/>
    <w:rsid w:val="00C46DB7"/>
    <w:rsid w:val="00C50E0F"/>
    <w:rsid w:val="00C54531"/>
    <w:rsid w:val="00C5545C"/>
    <w:rsid w:val="00C628A6"/>
    <w:rsid w:val="00C671A4"/>
    <w:rsid w:val="00C67C2E"/>
    <w:rsid w:val="00C71D5A"/>
    <w:rsid w:val="00C75549"/>
    <w:rsid w:val="00C76326"/>
    <w:rsid w:val="00C76CED"/>
    <w:rsid w:val="00C83065"/>
    <w:rsid w:val="00C8375A"/>
    <w:rsid w:val="00C8615E"/>
    <w:rsid w:val="00C93483"/>
    <w:rsid w:val="00CA27F2"/>
    <w:rsid w:val="00CB32EA"/>
    <w:rsid w:val="00CB6727"/>
    <w:rsid w:val="00CB6DFA"/>
    <w:rsid w:val="00CC523E"/>
    <w:rsid w:val="00CC7E1E"/>
    <w:rsid w:val="00CE6980"/>
    <w:rsid w:val="00CE6A50"/>
    <w:rsid w:val="00CE6FD9"/>
    <w:rsid w:val="00CF2671"/>
    <w:rsid w:val="00D01F76"/>
    <w:rsid w:val="00D022CC"/>
    <w:rsid w:val="00D03C02"/>
    <w:rsid w:val="00D05B36"/>
    <w:rsid w:val="00D0788B"/>
    <w:rsid w:val="00D111A2"/>
    <w:rsid w:val="00D16F54"/>
    <w:rsid w:val="00D2740E"/>
    <w:rsid w:val="00D3557B"/>
    <w:rsid w:val="00D40832"/>
    <w:rsid w:val="00D51544"/>
    <w:rsid w:val="00D527B5"/>
    <w:rsid w:val="00D528F5"/>
    <w:rsid w:val="00D558E9"/>
    <w:rsid w:val="00D57E7F"/>
    <w:rsid w:val="00D618B9"/>
    <w:rsid w:val="00D62EDE"/>
    <w:rsid w:val="00D63818"/>
    <w:rsid w:val="00D63C79"/>
    <w:rsid w:val="00D651F6"/>
    <w:rsid w:val="00D67E13"/>
    <w:rsid w:val="00D72844"/>
    <w:rsid w:val="00D72EB5"/>
    <w:rsid w:val="00D75CE5"/>
    <w:rsid w:val="00D85227"/>
    <w:rsid w:val="00D90EBA"/>
    <w:rsid w:val="00D938D6"/>
    <w:rsid w:val="00DA11EB"/>
    <w:rsid w:val="00DB35BF"/>
    <w:rsid w:val="00DB408A"/>
    <w:rsid w:val="00DC379A"/>
    <w:rsid w:val="00DC426E"/>
    <w:rsid w:val="00DC5A11"/>
    <w:rsid w:val="00DC6DF4"/>
    <w:rsid w:val="00DC7F29"/>
    <w:rsid w:val="00DD1E82"/>
    <w:rsid w:val="00DD61F4"/>
    <w:rsid w:val="00DD70A0"/>
    <w:rsid w:val="00DE4408"/>
    <w:rsid w:val="00DE520A"/>
    <w:rsid w:val="00DF009A"/>
    <w:rsid w:val="00DF1A59"/>
    <w:rsid w:val="00DF42BE"/>
    <w:rsid w:val="00DF61C4"/>
    <w:rsid w:val="00DF6A7A"/>
    <w:rsid w:val="00E02920"/>
    <w:rsid w:val="00E02FB6"/>
    <w:rsid w:val="00E04259"/>
    <w:rsid w:val="00E04E7D"/>
    <w:rsid w:val="00E16413"/>
    <w:rsid w:val="00E172E4"/>
    <w:rsid w:val="00E175DC"/>
    <w:rsid w:val="00E2128A"/>
    <w:rsid w:val="00E24F58"/>
    <w:rsid w:val="00E2534C"/>
    <w:rsid w:val="00E259B4"/>
    <w:rsid w:val="00E31365"/>
    <w:rsid w:val="00E35659"/>
    <w:rsid w:val="00E35E77"/>
    <w:rsid w:val="00E370CF"/>
    <w:rsid w:val="00E40417"/>
    <w:rsid w:val="00E511BF"/>
    <w:rsid w:val="00E515E5"/>
    <w:rsid w:val="00E53789"/>
    <w:rsid w:val="00E53D76"/>
    <w:rsid w:val="00E54B9D"/>
    <w:rsid w:val="00E5636B"/>
    <w:rsid w:val="00E565CC"/>
    <w:rsid w:val="00E84BE2"/>
    <w:rsid w:val="00E85CB8"/>
    <w:rsid w:val="00E90D90"/>
    <w:rsid w:val="00E91352"/>
    <w:rsid w:val="00E92871"/>
    <w:rsid w:val="00E954BD"/>
    <w:rsid w:val="00E96A90"/>
    <w:rsid w:val="00E9708E"/>
    <w:rsid w:val="00EA2174"/>
    <w:rsid w:val="00EA2A1F"/>
    <w:rsid w:val="00EA575F"/>
    <w:rsid w:val="00EB0E8F"/>
    <w:rsid w:val="00EB0FF1"/>
    <w:rsid w:val="00EB2723"/>
    <w:rsid w:val="00EB3181"/>
    <w:rsid w:val="00EB49D4"/>
    <w:rsid w:val="00EB58D9"/>
    <w:rsid w:val="00EC7B75"/>
    <w:rsid w:val="00ED0DFE"/>
    <w:rsid w:val="00ED116A"/>
    <w:rsid w:val="00ED2841"/>
    <w:rsid w:val="00ED70D2"/>
    <w:rsid w:val="00EF086C"/>
    <w:rsid w:val="00EF2D73"/>
    <w:rsid w:val="00EF56E5"/>
    <w:rsid w:val="00EF65E0"/>
    <w:rsid w:val="00EF6A4C"/>
    <w:rsid w:val="00F053CB"/>
    <w:rsid w:val="00F0613C"/>
    <w:rsid w:val="00F0743D"/>
    <w:rsid w:val="00F164BC"/>
    <w:rsid w:val="00F177B2"/>
    <w:rsid w:val="00F17DBF"/>
    <w:rsid w:val="00F2499C"/>
    <w:rsid w:val="00F25BC2"/>
    <w:rsid w:val="00F30AE6"/>
    <w:rsid w:val="00F32942"/>
    <w:rsid w:val="00F36024"/>
    <w:rsid w:val="00F45147"/>
    <w:rsid w:val="00F47772"/>
    <w:rsid w:val="00F72D57"/>
    <w:rsid w:val="00F746E4"/>
    <w:rsid w:val="00F74A9E"/>
    <w:rsid w:val="00F81377"/>
    <w:rsid w:val="00F81527"/>
    <w:rsid w:val="00F81D9F"/>
    <w:rsid w:val="00F81F85"/>
    <w:rsid w:val="00F9141D"/>
    <w:rsid w:val="00F93D2E"/>
    <w:rsid w:val="00F94EF4"/>
    <w:rsid w:val="00FA06CC"/>
    <w:rsid w:val="00FA5448"/>
    <w:rsid w:val="00FA5DC6"/>
    <w:rsid w:val="00FA7971"/>
    <w:rsid w:val="00FB7BFD"/>
    <w:rsid w:val="00FC511F"/>
    <w:rsid w:val="00FC5BED"/>
    <w:rsid w:val="00FC75F5"/>
    <w:rsid w:val="00FD16CF"/>
    <w:rsid w:val="00FD2372"/>
    <w:rsid w:val="00FD5AD1"/>
    <w:rsid w:val="00FE0DD2"/>
    <w:rsid w:val="00FF1636"/>
    <w:rsid w:val="00FF2CB2"/>
    <w:rsid w:val="00FF2F4F"/>
    <w:rsid w:val="00FF40CC"/>
    <w:rsid w:val="00FF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EFD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66"/>
    <w:pPr>
      <w:ind w:left="720"/>
      <w:contextualSpacing/>
    </w:pPr>
  </w:style>
  <w:style w:type="paragraph" w:styleId="BalloonText">
    <w:name w:val="Balloon Text"/>
    <w:basedOn w:val="Normal"/>
    <w:link w:val="BalloonTextChar"/>
    <w:uiPriority w:val="99"/>
    <w:semiHidden/>
    <w:rsid w:val="006E47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4739"/>
    <w:rPr>
      <w:rFonts w:ascii="Tahoma" w:hAnsi="Tahoma" w:cs="Tahoma"/>
      <w:sz w:val="16"/>
      <w:szCs w:val="16"/>
    </w:rPr>
  </w:style>
  <w:style w:type="paragraph" w:styleId="Header">
    <w:name w:val="header"/>
    <w:basedOn w:val="Normal"/>
    <w:link w:val="HeaderChar"/>
    <w:uiPriority w:val="99"/>
    <w:rsid w:val="0000701E"/>
    <w:pPr>
      <w:tabs>
        <w:tab w:val="center" w:pos="4680"/>
        <w:tab w:val="right" w:pos="9360"/>
      </w:tabs>
      <w:spacing w:after="0" w:line="240" w:lineRule="auto"/>
    </w:pPr>
  </w:style>
  <w:style w:type="character" w:customStyle="1" w:styleId="HeaderChar">
    <w:name w:val="Header Char"/>
    <w:link w:val="Header"/>
    <w:uiPriority w:val="99"/>
    <w:locked/>
    <w:rsid w:val="0000701E"/>
    <w:rPr>
      <w:rFonts w:cs="Times New Roman"/>
    </w:rPr>
  </w:style>
  <w:style w:type="paragraph" w:styleId="Footer">
    <w:name w:val="footer"/>
    <w:basedOn w:val="Normal"/>
    <w:link w:val="FooterChar"/>
    <w:uiPriority w:val="99"/>
    <w:rsid w:val="0000701E"/>
    <w:pPr>
      <w:tabs>
        <w:tab w:val="center" w:pos="4680"/>
        <w:tab w:val="right" w:pos="9360"/>
      </w:tabs>
      <w:spacing w:after="0" w:line="240" w:lineRule="auto"/>
    </w:pPr>
  </w:style>
  <w:style w:type="character" w:customStyle="1" w:styleId="FooterChar">
    <w:name w:val="Footer Char"/>
    <w:link w:val="Footer"/>
    <w:uiPriority w:val="99"/>
    <w:locked/>
    <w:rsid w:val="0000701E"/>
    <w:rPr>
      <w:rFonts w:cs="Times New Roman"/>
    </w:rPr>
  </w:style>
  <w:style w:type="paragraph" w:styleId="EndnoteText">
    <w:name w:val="endnote text"/>
    <w:basedOn w:val="Normal"/>
    <w:link w:val="EndnoteTextChar"/>
    <w:uiPriority w:val="99"/>
    <w:semiHidden/>
    <w:rsid w:val="00764461"/>
    <w:pPr>
      <w:spacing w:after="0" w:line="240" w:lineRule="auto"/>
    </w:pPr>
    <w:rPr>
      <w:sz w:val="20"/>
      <w:szCs w:val="20"/>
    </w:rPr>
  </w:style>
  <w:style w:type="character" w:customStyle="1" w:styleId="EndnoteTextChar">
    <w:name w:val="Endnote Text Char"/>
    <w:link w:val="EndnoteText"/>
    <w:uiPriority w:val="99"/>
    <w:semiHidden/>
    <w:locked/>
    <w:rsid w:val="00764461"/>
    <w:rPr>
      <w:rFonts w:cs="Times New Roman"/>
      <w:sz w:val="20"/>
      <w:szCs w:val="20"/>
    </w:rPr>
  </w:style>
  <w:style w:type="character" w:styleId="EndnoteReference">
    <w:name w:val="endnote reference"/>
    <w:uiPriority w:val="99"/>
    <w:semiHidden/>
    <w:rsid w:val="00764461"/>
    <w:rPr>
      <w:rFonts w:cs="Times New Roman"/>
      <w:vertAlign w:val="superscript"/>
    </w:rPr>
  </w:style>
  <w:style w:type="paragraph" w:styleId="FootnoteText">
    <w:name w:val="footnote text"/>
    <w:basedOn w:val="Normal"/>
    <w:link w:val="FootnoteTextChar"/>
    <w:uiPriority w:val="99"/>
    <w:semiHidden/>
    <w:rsid w:val="00764461"/>
    <w:pPr>
      <w:spacing w:after="0" w:line="240" w:lineRule="auto"/>
    </w:pPr>
    <w:rPr>
      <w:sz w:val="20"/>
      <w:szCs w:val="20"/>
    </w:rPr>
  </w:style>
  <w:style w:type="character" w:customStyle="1" w:styleId="FootnoteTextChar">
    <w:name w:val="Footnote Text Char"/>
    <w:link w:val="FootnoteText"/>
    <w:uiPriority w:val="99"/>
    <w:semiHidden/>
    <w:locked/>
    <w:rsid w:val="00764461"/>
    <w:rPr>
      <w:rFonts w:cs="Times New Roman"/>
      <w:sz w:val="20"/>
      <w:szCs w:val="20"/>
    </w:rPr>
  </w:style>
  <w:style w:type="character" w:styleId="FootnoteReference">
    <w:name w:val="footnote reference"/>
    <w:uiPriority w:val="99"/>
    <w:semiHidden/>
    <w:rsid w:val="00764461"/>
    <w:rPr>
      <w:rFonts w:cs="Times New Roman"/>
      <w:vertAlign w:val="superscript"/>
    </w:rPr>
  </w:style>
  <w:style w:type="table" w:styleId="TableGrid">
    <w:name w:val="Table Grid"/>
    <w:basedOn w:val="TableNormal"/>
    <w:uiPriority w:val="99"/>
    <w:rsid w:val="00775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3450E7"/>
    <w:rPr>
      <w:rFonts w:cs="Times New Roman"/>
      <w:color w:val="0000FF"/>
      <w:u w:val="single"/>
    </w:rPr>
  </w:style>
  <w:style w:type="character" w:styleId="CommentReference">
    <w:name w:val="annotation reference"/>
    <w:uiPriority w:val="99"/>
    <w:semiHidden/>
    <w:rsid w:val="00863F1E"/>
    <w:rPr>
      <w:rFonts w:cs="Times New Roman"/>
      <w:sz w:val="16"/>
      <w:szCs w:val="16"/>
    </w:rPr>
  </w:style>
  <w:style w:type="paragraph" w:styleId="CommentText">
    <w:name w:val="annotation text"/>
    <w:basedOn w:val="Normal"/>
    <w:link w:val="CommentTextChar"/>
    <w:uiPriority w:val="99"/>
    <w:semiHidden/>
    <w:rsid w:val="00863F1E"/>
    <w:pPr>
      <w:spacing w:line="240" w:lineRule="auto"/>
    </w:pPr>
    <w:rPr>
      <w:sz w:val="20"/>
      <w:szCs w:val="20"/>
    </w:rPr>
  </w:style>
  <w:style w:type="character" w:customStyle="1" w:styleId="CommentTextChar">
    <w:name w:val="Comment Text Char"/>
    <w:link w:val="CommentText"/>
    <w:uiPriority w:val="99"/>
    <w:semiHidden/>
    <w:locked/>
    <w:rsid w:val="00863F1E"/>
    <w:rPr>
      <w:rFonts w:cs="Times New Roman"/>
      <w:sz w:val="20"/>
      <w:szCs w:val="20"/>
    </w:rPr>
  </w:style>
  <w:style w:type="paragraph" w:styleId="CommentSubject">
    <w:name w:val="annotation subject"/>
    <w:basedOn w:val="CommentText"/>
    <w:next w:val="CommentText"/>
    <w:link w:val="CommentSubjectChar"/>
    <w:uiPriority w:val="99"/>
    <w:semiHidden/>
    <w:rsid w:val="00863F1E"/>
    <w:rPr>
      <w:b/>
      <w:bCs/>
    </w:rPr>
  </w:style>
  <w:style w:type="character" w:customStyle="1" w:styleId="CommentSubjectChar">
    <w:name w:val="Comment Subject Char"/>
    <w:link w:val="CommentSubject"/>
    <w:uiPriority w:val="99"/>
    <w:semiHidden/>
    <w:locked/>
    <w:rsid w:val="00863F1E"/>
    <w:rPr>
      <w:rFonts w:cs="Times New Roman"/>
      <w:b/>
      <w:bCs/>
      <w:sz w:val="20"/>
      <w:szCs w:val="20"/>
    </w:rPr>
  </w:style>
  <w:style w:type="paragraph" w:styleId="Revision">
    <w:name w:val="Revision"/>
    <w:hidden/>
    <w:uiPriority w:val="99"/>
    <w:semiHidden/>
    <w:rsid w:val="00A01E33"/>
    <w:rPr>
      <w:sz w:val="22"/>
      <w:szCs w:val="22"/>
    </w:rPr>
  </w:style>
  <w:style w:type="paragraph" w:styleId="BodyText">
    <w:name w:val="Body Text"/>
    <w:basedOn w:val="Normal"/>
    <w:link w:val="BodyTextChar"/>
    <w:rsid w:val="00F72D57"/>
    <w:pPr>
      <w:widowControl w:val="0"/>
      <w:spacing w:after="0" w:line="240" w:lineRule="auto"/>
    </w:pPr>
    <w:rPr>
      <w:rFonts w:ascii="Arial" w:hAnsi="Arial"/>
      <w:sz w:val="20"/>
      <w:szCs w:val="20"/>
    </w:rPr>
  </w:style>
  <w:style w:type="character" w:customStyle="1" w:styleId="BodyTextChar">
    <w:name w:val="Body Text Char"/>
    <w:link w:val="BodyText"/>
    <w:rsid w:val="00F72D57"/>
    <w:rPr>
      <w:rFonts w:ascii="Arial" w:hAnsi="Arial"/>
      <w:sz w:val="20"/>
      <w:szCs w:val="20"/>
    </w:rPr>
  </w:style>
  <w:style w:type="paragraph" w:styleId="NormalWeb">
    <w:name w:val="Normal (Web)"/>
    <w:basedOn w:val="Normal"/>
    <w:uiPriority w:val="99"/>
    <w:unhideWhenUsed/>
    <w:rsid w:val="00BE7265"/>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basedOn w:val="DefaultParagraphFont"/>
    <w:uiPriority w:val="99"/>
    <w:semiHidden/>
    <w:unhideWhenUsed/>
    <w:rsid w:val="00DC37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66"/>
    <w:pPr>
      <w:ind w:left="720"/>
      <w:contextualSpacing/>
    </w:pPr>
  </w:style>
  <w:style w:type="paragraph" w:styleId="BalloonText">
    <w:name w:val="Balloon Text"/>
    <w:basedOn w:val="Normal"/>
    <w:link w:val="BalloonTextChar"/>
    <w:uiPriority w:val="99"/>
    <w:semiHidden/>
    <w:rsid w:val="006E47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4739"/>
    <w:rPr>
      <w:rFonts w:ascii="Tahoma" w:hAnsi="Tahoma" w:cs="Tahoma"/>
      <w:sz w:val="16"/>
      <w:szCs w:val="16"/>
    </w:rPr>
  </w:style>
  <w:style w:type="paragraph" w:styleId="Header">
    <w:name w:val="header"/>
    <w:basedOn w:val="Normal"/>
    <w:link w:val="HeaderChar"/>
    <w:uiPriority w:val="99"/>
    <w:rsid w:val="0000701E"/>
    <w:pPr>
      <w:tabs>
        <w:tab w:val="center" w:pos="4680"/>
        <w:tab w:val="right" w:pos="9360"/>
      </w:tabs>
      <w:spacing w:after="0" w:line="240" w:lineRule="auto"/>
    </w:pPr>
  </w:style>
  <w:style w:type="character" w:customStyle="1" w:styleId="HeaderChar">
    <w:name w:val="Header Char"/>
    <w:link w:val="Header"/>
    <w:uiPriority w:val="99"/>
    <w:locked/>
    <w:rsid w:val="0000701E"/>
    <w:rPr>
      <w:rFonts w:cs="Times New Roman"/>
    </w:rPr>
  </w:style>
  <w:style w:type="paragraph" w:styleId="Footer">
    <w:name w:val="footer"/>
    <w:basedOn w:val="Normal"/>
    <w:link w:val="FooterChar"/>
    <w:uiPriority w:val="99"/>
    <w:rsid w:val="0000701E"/>
    <w:pPr>
      <w:tabs>
        <w:tab w:val="center" w:pos="4680"/>
        <w:tab w:val="right" w:pos="9360"/>
      </w:tabs>
      <w:spacing w:after="0" w:line="240" w:lineRule="auto"/>
    </w:pPr>
  </w:style>
  <w:style w:type="character" w:customStyle="1" w:styleId="FooterChar">
    <w:name w:val="Footer Char"/>
    <w:link w:val="Footer"/>
    <w:uiPriority w:val="99"/>
    <w:locked/>
    <w:rsid w:val="0000701E"/>
    <w:rPr>
      <w:rFonts w:cs="Times New Roman"/>
    </w:rPr>
  </w:style>
  <w:style w:type="paragraph" w:styleId="EndnoteText">
    <w:name w:val="endnote text"/>
    <w:basedOn w:val="Normal"/>
    <w:link w:val="EndnoteTextChar"/>
    <w:uiPriority w:val="99"/>
    <w:semiHidden/>
    <w:rsid w:val="00764461"/>
    <w:pPr>
      <w:spacing w:after="0" w:line="240" w:lineRule="auto"/>
    </w:pPr>
    <w:rPr>
      <w:sz w:val="20"/>
      <w:szCs w:val="20"/>
    </w:rPr>
  </w:style>
  <w:style w:type="character" w:customStyle="1" w:styleId="EndnoteTextChar">
    <w:name w:val="Endnote Text Char"/>
    <w:link w:val="EndnoteText"/>
    <w:uiPriority w:val="99"/>
    <w:semiHidden/>
    <w:locked/>
    <w:rsid w:val="00764461"/>
    <w:rPr>
      <w:rFonts w:cs="Times New Roman"/>
      <w:sz w:val="20"/>
      <w:szCs w:val="20"/>
    </w:rPr>
  </w:style>
  <w:style w:type="character" w:styleId="EndnoteReference">
    <w:name w:val="endnote reference"/>
    <w:uiPriority w:val="99"/>
    <w:semiHidden/>
    <w:rsid w:val="00764461"/>
    <w:rPr>
      <w:rFonts w:cs="Times New Roman"/>
      <w:vertAlign w:val="superscript"/>
    </w:rPr>
  </w:style>
  <w:style w:type="paragraph" w:styleId="FootnoteText">
    <w:name w:val="footnote text"/>
    <w:basedOn w:val="Normal"/>
    <w:link w:val="FootnoteTextChar"/>
    <w:uiPriority w:val="99"/>
    <w:semiHidden/>
    <w:rsid w:val="00764461"/>
    <w:pPr>
      <w:spacing w:after="0" w:line="240" w:lineRule="auto"/>
    </w:pPr>
    <w:rPr>
      <w:sz w:val="20"/>
      <w:szCs w:val="20"/>
    </w:rPr>
  </w:style>
  <w:style w:type="character" w:customStyle="1" w:styleId="FootnoteTextChar">
    <w:name w:val="Footnote Text Char"/>
    <w:link w:val="FootnoteText"/>
    <w:uiPriority w:val="99"/>
    <w:semiHidden/>
    <w:locked/>
    <w:rsid w:val="00764461"/>
    <w:rPr>
      <w:rFonts w:cs="Times New Roman"/>
      <w:sz w:val="20"/>
      <w:szCs w:val="20"/>
    </w:rPr>
  </w:style>
  <w:style w:type="character" w:styleId="FootnoteReference">
    <w:name w:val="footnote reference"/>
    <w:uiPriority w:val="99"/>
    <w:semiHidden/>
    <w:rsid w:val="00764461"/>
    <w:rPr>
      <w:rFonts w:cs="Times New Roman"/>
      <w:vertAlign w:val="superscript"/>
    </w:rPr>
  </w:style>
  <w:style w:type="table" w:styleId="TableGrid">
    <w:name w:val="Table Grid"/>
    <w:basedOn w:val="TableNormal"/>
    <w:uiPriority w:val="99"/>
    <w:rsid w:val="00775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3450E7"/>
    <w:rPr>
      <w:rFonts w:cs="Times New Roman"/>
      <w:color w:val="0000FF"/>
      <w:u w:val="single"/>
    </w:rPr>
  </w:style>
  <w:style w:type="character" w:styleId="CommentReference">
    <w:name w:val="annotation reference"/>
    <w:uiPriority w:val="99"/>
    <w:semiHidden/>
    <w:rsid w:val="00863F1E"/>
    <w:rPr>
      <w:rFonts w:cs="Times New Roman"/>
      <w:sz w:val="16"/>
      <w:szCs w:val="16"/>
    </w:rPr>
  </w:style>
  <w:style w:type="paragraph" w:styleId="CommentText">
    <w:name w:val="annotation text"/>
    <w:basedOn w:val="Normal"/>
    <w:link w:val="CommentTextChar"/>
    <w:uiPriority w:val="99"/>
    <w:semiHidden/>
    <w:rsid w:val="00863F1E"/>
    <w:pPr>
      <w:spacing w:line="240" w:lineRule="auto"/>
    </w:pPr>
    <w:rPr>
      <w:sz w:val="20"/>
      <w:szCs w:val="20"/>
    </w:rPr>
  </w:style>
  <w:style w:type="character" w:customStyle="1" w:styleId="CommentTextChar">
    <w:name w:val="Comment Text Char"/>
    <w:link w:val="CommentText"/>
    <w:uiPriority w:val="99"/>
    <w:semiHidden/>
    <w:locked/>
    <w:rsid w:val="00863F1E"/>
    <w:rPr>
      <w:rFonts w:cs="Times New Roman"/>
      <w:sz w:val="20"/>
      <w:szCs w:val="20"/>
    </w:rPr>
  </w:style>
  <w:style w:type="paragraph" w:styleId="CommentSubject">
    <w:name w:val="annotation subject"/>
    <w:basedOn w:val="CommentText"/>
    <w:next w:val="CommentText"/>
    <w:link w:val="CommentSubjectChar"/>
    <w:uiPriority w:val="99"/>
    <w:semiHidden/>
    <w:rsid w:val="00863F1E"/>
    <w:rPr>
      <w:b/>
      <w:bCs/>
    </w:rPr>
  </w:style>
  <w:style w:type="character" w:customStyle="1" w:styleId="CommentSubjectChar">
    <w:name w:val="Comment Subject Char"/>
    <w:link w:val="CommentSubject"/>
    <w:uiPriority w:val="99"/>
    <w:semiHidden/>
    <w:locked/>
    <w:rsid w:val="00863F1E"/>
    <w:rPr>
      <w:rFonts w:cs="Times New Roman"/>
      <w:b/>
      <w:bCs/>
      <w:sz w:val="20"/>
      <w:szCs w:val="20"/>
    </w:rPr>
  </w:style>
  <w:style w:type="paragraph" w:styleId="Revision">
    <w:name w:val="Revision"/>
    <w:hidden/>
    <w:uiPriority w:val="99"/>
    <w:semiHidden/>
    <w:rsid w:val="00A01E33"/>
    <w:rPr>
      <w:sz w:val="22"/>
      <w:szCs w:val="22"/>
    </w:rPr>
  </w:style>
  <w:style w:type="paragraph" w:styleId="BodyText">
    <w:name w:val="Body Text"/>
    <w:basedOn w:val="Normal"/>
    <w:link w:val="BodyTextChar"/>
    <w:rsid w:val="00F72D57"/>
    <w:pPr>
      <w:widowControl w:val="0"/>
      <w:spacing w:after="0" w:line="240" w:lineRule="auto"/>
    </w:pPr>
    <w:rPr>
      <w:rFonts w:ascii="Arial" w:hAnsi="Arial"/>
      <w:sz w:val="20"/>
      <w:szCs w:val="20"/>
    </w:rPr>
  </w:style>
  <w:style w:type="character" w:customStyle="1" w:styleId="BodyTextChar">
    <w:name w:val="Body Text Char"/>
    <w:link w:val="BodyText"/>
    <w:rsid w:val="00F72D57"/>
    <w:rPr>
      <w:rFonts w:ascii="Arial" w:hAnsi="Arial"/>
      <w:sz w:val="20"/>
      <w:szCs w:val="20"/>
    </w:rPr>
  </w:style>
  <w:style w:type="paragraph" w:styleId="NormalWeb">
    <w:name w:val="Normal (Web)"/>
    <w:basedOn w:val="Normal"/>
    <w:uiPriority w:val="99"/>
    <w:unhideWhenUsed/>
    <w:rsid w:val="00BE7265"/>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basedOn w:val="DefaultParagraphFont"/>
    <w:uiPriority w:val="99"/>
    <w:semiHidden/>
    <w:unhideWhenUsed/>
    <w:rsid w:val="00DC37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4474">
      <w:bodyDiv w:val="1"/>
      <w:marLeft w:val="0"/>
      <w:marRight w:val="0"/>
      <w:marTop w:val="0"/>
      <w:marBottom w:val="0"/>
      <w:divBdr>
        <w:top w:val="none" w:sz="0" w:space="0" w:color="auto"/>
        <w:left w:val="none" w:sz="0" w:space="0" w:color="auto"/>
        <w:bottom w:val="none" w:sz="0" w:space="0" w:color="auto"/>
        <w:right w:val="none" w:sz="0" w:space="0" w:color="auto"/>
      </w:divBdr>
    </w:div>
    <w:div w:id="98834613">
      <w:bodyDiv w:val="1"/>
      <w:marLeft w:val="0"/>
      <w:marRight w:val="0"/>
      <w:marTop w:val="0"/>
      <w:marBottom w:val="0"/>
      <w:divBdr>
        <w:top w:val="none" w:sz="0" w:space="0" w:color="auto"/>
        <w:left w:val="none" w:sz="0" w:space="0" w:color="auto"/>
        <w:bottom w:val="none" w:sz="0" w:space="0" w:color="auto"/>
        <w:right w:val="none" w:sz="0" w:space="0" w:color="auto"/>
      </w:divBdr>
    </w:div>
    <w:div w:id="107355114">
      <w:bodyDiv w:val="1"/>
      <w:marLeft w:val="0"/>
      <w:marRight w:val="0"/>
      <w:marTop w:val="0"/>
      <w:marBottom w:val="0"/>
      <w:divBdr>
        <w:top w:val="none" w:sz="0" w:space="0" w:color="auto"/>
        <w:left w:val="none" w:sz="0" w:space="0" w:color="auto"/>
        <w:bottom w:val="none" w:sz="0" w:space="0" w:color="auto"/>
        <w:right w:val="none" w:sz="0" w:space="0" w:color="auto"/>
      </w:divBdr>
    </w:div>
    <w:div w:id="302126969">
      <w:bodyDiv w:val="1"/>
      <w:marLeft w:val="0"/>
      <w:marRight w:val="0"/>
      <w:marTop w:val="0"/>
      <w:marBottom w:val="0"/>
      <w:divBdr>
        <w:top w:val="none" w:sz="0" w:space="0" w:color="auto"/>
        <w:left w:val="none" w:sz="0" w:space="0" w:color="auto"/>
        <w:bottom w:val="none" w:sz="0" w:space="0" w:color="auto"/>
        <w:right w:val="none" w:sz="0" w:space="0" w:color="auto"/>
      </w:divBdr>
    </w:div>
    <w:div w:id="340738806">
      <w:bodyDiv w:val="1"/>
      <w:marLeft w:val="0"/>
      <w:marRight w:val="0"/>
      <w:marTop w:val="0"/>
      <w:marBottom w:val="0"/>
      <w:divBdr>
        <w:top w:val="none" w:sz="0" w:space="0" w:color="auto"/>
        <w:left w:val="none" w:sz="0" w:space="0" w:color="auto"/>
        <w:bottom w:val="none" w:sz="0" w:space="0" w:color="auto"/>
        <w:right w:val="none" w:sz="0" w:space="0" w:color="auto"/>
      </w:divBdr>
    </w:div>
    <w:div w:id="354427957">
      <w:bodyDiv w:val="1"/>
      <w:marLeft w:val="0"/>
      <w:marRight w:val="0"/>
      <w:marTop w:val="0"/>
      <w:marBottom w:val="0"/>
      <w:divBdr>
        <w:top w:val="none" w:sz="0" w:space="0" w:color="auto"/>
        <w:left w:val="none" w:sz="0" w:space="0" w:color="auto"/>
        <w:bottom w:val="none" w:sz="0" w:space="0" w:color="auto"/>
        <w:right w:val="none" w:sz="0" w:space="0" w:color="auto"/>
      </w:divBdr>
    </w:div>
    <w:div w:id="387802781">
      <w:bodyDiv w:val="1"/>
      <w:marLeft w:val="0"/>
      <w:marRight w:val="0"/>
      <w:marTop w:val="0"/>
      <w:marBottom w:val="0"/>
      <w:divBdr>
        <w:top w:val="none" w:sz="0" w:space="0" w:color="auto"/>
        <w:left w:val="none" w:sz="0" w:space="0" w:color="auto"/>
        <w:bottom w:val="none" w:sz="0" w:space="0" w:color="auto"/>
        <w:right w:val="none" w:sz="0" w:space="0" w:color="auto"/>
      </w:divBdr>
    </w:div>
    <w:div w:id="431245136">
      <w:bodyDiv w:val="1"/>
      <w:marLeft w:val="0"/>
      <w:marRight w:val="0"/>
      <w:marTop w:val="0"/>
      <w:marBottom w:val="0"/>
      <w:divBdr>
        <w:top w:val="none" w:sz="0" w:space="0" w:color="auto"/>
        <w:left w:val="none" w:sz="0" w:space="0" w:color="auto"/>
        <w:bottom w:val="none" w:sz="0" w:space="0" w:color="auto"/>
        <w:right w:val="none" w:sz="0" w:space="0" w:color="auto"/>
      </w:divBdr>
    </w:div>
    <w:div w:id="440296637">
      <w:bodyDiv w:val="1"/>
      <w:marLeft w:val="0"/>
      <w:marRight w:val="0"/>
      <w:marTop w:val="0"/>
      <w:marBottom w:val="0"/>
      <w:divBdr>
        <w:top w:val="none" w:sz="0" w:space="0" w:color="auto"/>
        <w:left w:val="none" w:sz="0" w:space="0" w:color="auto"/>
        <w:bottom w:val="none" w:sz="0" w:space="0" w:color="auto"/>
        <w:right w:val="none" w:sz="0" w:space="0" w:color="auto"/>
      </w:divBdr>
    </w:div>
    <w:div w:id="490022234">
      <w:bodyDiv w:val="1"/>
      <w:marLeft w:val="0"/>
      <w:marRight w:val="0"/>
      <w:marTop w:val="0"/>
      <w:marBottom w:val="0"/>
      <w:divBdr>
        <w:top w:val="none" w:sz="0" w:space="0" w:color="auto"/>
        <w:left w:val="none" w:sz="0" w:space="0" w:color="auto"/>
        <w:bottom w:val="none" w:sz="0" w:space="0" w:color="auto"/>
        <w:right w:val="none" w:sz="0" w:space="0" w:color="auto"/>
      </w:divBdr>
    </w:div>
    <w:div w:id="544365905">
      <w:bodyDiv w:val="1"/>
      <w:marLeft w:val="0"/>
      <w:marRight w:val="0"/>
      <w:marTop w:val="0"/>
      <w:marBottom w:val="0"/>
      <w:divBdr>
        <w:top w:val="none" w:sz="0" w:space="0" w:color="auto"/>
        <w:left w:val="none" w:sz="0" w:space="0" w:color="auto"/>
        <w:bottom w:val="none" w:sz="0" w:space="0" w:color="auto"/>
        <w:right w:val="none" w:sz="0" w:space="0" w:color="auto"/>
      </w:divBdr>
    </w:div>
    <w:div w:id="574782764">
      <w:bodyDiv w:val="1"/>
      <w:marLeft w:val="0"/>
      <w:marRight w:val="0"/>
      <w:marTop w:val="0"/>
      <w:marBottom w:val="0"/>
      <w:divBdr>
        <w:top w:val="none" w:sz="0" w:space="0" w:color="auto"/>
        <w:left w:val="none" w:sz="0" w:space="0" w:color="auto"/>
        <w:bottom w:val="none" w:sz="0" w:space="0" w:color="auto"/>
        <w:right w:val="none" w:sz="0" w:space="0" w:color="auto"/>
      </w:divBdr>
    </w:div>
    <w:div w:id="579414661">
      <w:bodyDiv w:val="1"/>
      <w:marLeft w:val="0"/>
      <w:marRight w:val="0"/>
      <w:marTop w:val="0"/>
      <w:marBottom w:val="0"/>
      <w:divBdr>
        <w:top w:val="none" w:sz="0" w:space="0" w:color="auto"/>
        <w:left w:val="none" w:sz="0" w:space="0" w:color="auto"/>
        <w:bottom w:val="none" w:sz="0" w:space="0" w:color="auto"/>
        <w:right w:val="none" w:sz="0" w:space="0" w:color="auto"/>
      </w:divBdr>
    </w:div>
    <w:div w:id="590087101">
      <w:bodyDiv w:val="1"/>
      <w:marLeft w:val="0"/>
      <w:marRight w:val="0"/>
      <w:marTop w:val="0"/>
      <w:marBottom w:val="0"/>
      <w:divBdr>
        <w:top w:val="none" w:sz="0" w:space="0" w:color="auto"/>
        <w:left w:val="none" w:sz="0" w:space="0" w:color="auto"/>
        <w:bottom w:val="none" w:sz="0" w:space="0" w:color="auto"/>
        <w:right w:val="none" w:sz="0" w:space="0" w:color="auto"/>
      </w:divBdr>
    </w:div>
    <w:div w:id="769396060">
      <w:bodyDiv w:val="1"/>
      <w:marLeft w:val="0"/>
      <w:marRight w:val="0"/>
      <w:marTop w:val="0"/>
      <w:marBottom w:val="0"/>
      <w:divBdr>
        <w:top w:val="none" w:sz="0" w:space="0" w:color="auto"/>
        <w:left w:val="none" w:sz="0" w:space="0" w:color="auto"/>
        <w:bottom w:val="none" w:sz="0" w:space="0" w:color="auto"/>
        <w:right w:val="none" w:sz="0" w:space="0" w:color="auto"/>
      </w:divBdr>
    </w:div>
    <w:div w:id="831675459">
      <w:bodyDiv w:val="1"/>
      <w:marLeft w:val="0"/>
      <w:marRight w:val="0"/>
      <w:marTop w:val="0"/>
      <w:marBottom w:val="0"/>
      <w:divBdr>
        <w:top w:val="none" w:sz="0" w:space="0" w:color="auto"/>
        <w:left w:val="none" w:sz="0" w:space="0" w:color="auto"/>
        <w:bottom w:val="none" w:sz="0" w:space="0" w:color="auto"/>
        <w:right w:val="none" w:sz="0" w:space="0" w:color="auto"/>
      </w:divBdr>
    </w:div>
    <w:div w:id="880167954">
      <w:bodyDiv w:val="1"/>
      <w:marLeft w:val="0"/>
      <w:marRight w:val="0"/>
      <w:marTop w:val="0"/>
      <w:marBottom w:val="0"/>
      <w:divBdr>
        <w:top w:val="none" w:sz="0" w:space="0" w:color="auto"/>
        <w:left w:val="none" w:sz="0" w:space="0" w:color="auto"/>
        <w:bottom w:val="none" w:sz="0" w:space="0" w:color="auto"/>
        <w:right w:val="none" w:sz="0" w:space="0" w:color="auto"/>
      </w:divBdr>
    </w:div>
    <w:div w:id="926692414">
      <w:bodyDiv w:val="1"/>
      <w:marLeft w:val="0"/>
      <w:marRight w:val="0"/>
      <w:marTop w:val="0"/>
      <w:marBottom w:val="0"/>
      <w:divBdr>
        <w:top w:val="none" w:sz="0" w:space="0" w:color="auto"/>
        <w:left w:val="none" w:sz="0" w:space="0" w:color="auto"/>
        <w:bottom w:val="none" w:sz="0" w:space="0" w:color="auto"/>
        <w:right w:val="none" w:sz="0" w:space="0" w:color="auto"/>
      </w:divBdr>
    </w:div>
    <w:div w:id="1019311857">
      <w:bodyDiv w:val="1"/>
      <w:marLeft w:val="0"/>
      <w:marRight w:val="0"/>
      <w:marTop w:val="0"/>
      <w:marBottom w:val="0"/>
      <w:divBdr>
        <w:top w:val="none" w:sz="0" w:space="0" w:color="auto"/>
        <w:left w:val="none" w:sz="0" w:space="0" w:color="auto"/>
        <w:bottom w:val="none" w:sz="0" w:space="0" w:color="auto"/>
        <w:right w:val="none" w:sz="0" w:space="0" w:color="auto"/>
      </w:divBdr>
    </w:div>
    <w:div w:id="1288505151">
      <w:bodyDiv w:val="1"/>
      <w:marLeft w:val="0"/>
      <w:marRight w:val="0"/>
      <w:marTop w:val="0"/>
      <w:marBottom w:val="0"/>
      <w:divBdr>
        <w:top w:val="none" w:sz="0" w:space="0" w:color="auto"/>
        <w:left w:val="none" w:sz="0" w:space="0" w:color="auto"/>
        <w:bottom w:val="none" w:sz="0" w:space="0" w:color="auto"/>
        <w:right w:val="none" w:sz="0" w:space="0" w:color="auto"/>
      </w:divBdr>
    </w:div>
    <w:div w:id="1291785732">
      <w:bodyDiv w:val="1"/>
      <w:marLeft w:val="0"/>
      <w:marRight w:val="0"/>
      <w:marTop w:val="0"/>
      <w:marBottom w:val="0"/>
      <w:divBdr>
        <w:top w:val="none" w:sz="0" w:space="0" w:color="auto"/>
        <w:left w:val="none" w:sz="0" w:space="0" w:color="auto"/>
        <w:bottom w:val="none" w:sz="0" w:space="0" w:color="auto"/>
        <w:right w:val="none" w:sz="0" w:space="0" w:color="auto"/>
      </w:divBdr>
    </w:div>
    <w:div w:id="1301610938">
      <w:bodyDiv w:val="1"/>
      <w:marLeft w:val="0"/>
      <w:marRight w:val="0"/>
      <w:marTop w:val="0"/>
      <w:marBottom w:val="0"/>
      <w:divBdr>
        <w:top w:val="none" w:sz="0" w:space="0" w:color="auto"/>
        <w:left w:val="none" w:sz="0" w:space="0" w:color="auto"/>
        <w:bottom w:val="none" w:sz="0" w:space="0" w:color="auto"/>
        <w:right w:val="none" w:sz="0" w:space="0" w:color="auto"/>
      </w:divBdr>
    </w:div>
    <w:div w:id="1452045982">
      <w:bodyDiv w:val="1"/>
      <w:marLeft w:val="0"/>
      <w:marRight w:val="0"/>
      <w:marTop w:val="0"/>
      <w:marBottom w:val="0"/>
      <w:divBdr>
        <w:top w:val="none" w:sz="0" w:space="0" w:color="auto"/>
        <w:left w:val="none" w:sz="0" w:space="0" w:color="auto"/>
        <w:bottom w:val="none" w:sz="0" w:space="0" w:color="auto"/>
        <w:right w:val="none" w:sz="0" w:space="0" w:color="auto"/>
      </w:divBdr>
    </w:div>
    <w:div w:id="1516186917">
      <w:bodyDiv w:val="1"/>
      <w:marLeft w:val="0"/>
      <w:marRight w:val="0"/>
      <w:marTop w:val="0"/>
      <w:marBottom w:val="0"/>
      <w:divBdr>
        <w:top w:val="none" w:sz="0" w:space="0" w:color="auto"/>
        <w:left w:val="none" w:sz="0" w:space="0" w:color="auto"/>
        <w:bottom w:val="none" w:sz="0" w:space="0" w:color="auto"/>
        <w:right w:val="none" w:sz="0" w:space="0" w:color="auto"/>
      </w:divBdr>
    </w:div>
    <w:div w:id="1556044031">
      <w:bodyDiv w:val="1"/>
      <w:marLeft w:val="0"/>
      <w:marRight w:val="0"/>
      <w:marTop w:val="0"/>
      <w:marBottom w:val="0"/>
      <w:divBdr>
        <w:top w:val="none" w:sz="0" w:space="0" w:color="auto"/>
        <w:left w:val="none" w:sz="0" w:space="0" w:color="auto"/>
        <w:bottom w:val="none" w:sz="0" w:space="0" w:color="auto"/>
        <w:right w:val="none" w:sz="0" w:space="0" w:color="auto"/>
      </w:divBdr>
    </w:div>
    <w:div w:id="1686638907">
      <w:marLeft w:val="0"/>
      <w:marRight w:val="0"/>
      <w:marTop w:val="0"/>
      <w:marBottom w:val="0"/>
      <w:divBdr>
        <w:top w:val="none" w:sz="0" w:space="0" w:color="auto"/>
        <w:left w:val="none" w:sz="0" w:space="0" w:color="auto"/>
        <w:bottom w:val="none" w:sz="0" w:space="0" w:color="auto"/>
        <w:right w:val="none" w:sz="0" w:space="0" w:color="auto"/>
      </w:divBdr>
    </w:div>
    <w:div w:id="1686638908">
      <w:marLeft w:val="0"/>
      <w:marRight w:val="0"/>
      <w:marTop w:val="0"/>
      <w:marBottom w:val="0"/>
      <w:divBdr>
        <w:top w:val="none" w:sz="0" w:space="0" w:color="auto"/>
        <w:left w:val="none" w:sz="0" w:space="0" w:color="auto"/>
        <w:bottom w:val="none" w:sz="0" w:space="0" w:color="auto"/>
        <w:right w:val="none" w:sz="0" w:space="0" w:color="auto"/>
      </w:divBdr>
    </w:div>
    <w:div w:id="1686638909">
      <w:marLeft w:val="0"/>
      <w:marRight w:val="0"/>
      <w:marTop w:val="0"/>
      <w:marBottom w:val="0"/>
      <w:divBdr>
        <w:top w:val="none" w:sz="0" w:space="0" w:color="auto"/>
        <w:left w:val="none" w:sz="0" w:space="0" w:color="auto"/>
        <w:bottom w:val="none" w:sz="0" w:space="0" w:color="auto"/>
        <w:right w:val="none" w:sz="0" w:space="0" w:color="auto"/>
      </w:divBdr>
    </w:div>
    <w:div w:id="1740513036">
      <w:bodyDiv w:val="1"/>
      <w:marLeft w:val="0"/>
      <w:marRight w:val="0"/>
      <w:marTop w:val="0"/>
      <w:marBottom w:val="0"/>
      <w:divBdr>
        <w:top w:val="none" w:sz="0" w:space="0" w:color="auto"/>
        <w:left w:val="none" w:sz="0" w:space="0" w:color="auto"/>
        <w:bottom w:val="none" w:sz="0" w:space="0" w:color="auto"/>
        <w:right w:val="none" w:sz="0" w:space="0" w:color="auto"/>
      </w:divBdr>
    </w:div>
    <w:div w:id="1758939548">
      <w:bodyDiv w:val="1"/>
      <w:marLeft w:val="0"/>
      <w:marRight w:val="0"/>
      <w:marTop w:val="0"/>
      <w:marBottom w:val="0"/>
      <w:divBdr>
        <w:top w:val="none" w:sz="0" w:space="0" w:color="auto"/>
        <w:left w:val="none" w:sz="0" w:space="0" w:color="auto"/>
        <w:bottom w:val="none" w:sz="0" w:space="0" w:color="auto"/>
        <w:right w:val="none" w:sz="0" w:space="0" w:color="auto"/>
      </w:divBdr>
    </w:div>
    <w:div w:id="1795438946">
      <w:bodyDiv w:val="1"/>
      <w:marLeft w:val="0"/>
      <w:marRight w:val="0"/>
      <w:marTop w:val="0"/>
      <w:marBottom w:val="0"/>
      <w:divBdr>
        <w:top w:val="none" w:sz="0" w:space="0" w:color="auto"/>
        <w:left w:val="none" w:sz="0" w:space="0" w:color="auto"/>
        <w:bottom w:val="none" w:sz="0" w:space="0" w:color="auto"/>
        <w:right w:val="none" w:sz="0" w:space="0" w:color="auto"/>
      </w:divBdr>
    </w:div>
    <w:div w:id="1894924937">
      <w:bodyDiv w:val="1"/>
      <w:marLeft w:val="0"/>
      <w:marRight w:val="0"/>
      <w:marTop w:val="0"/>
      <w:marBottom w:val="0"/>
      <w:divBdr>
        <w:top w:val="none" w:sz="0" w:space="0" w:color="auto"/>
        <w:left w:val="none" w:sz="0" w:space="0" w:color="auto"/>
        <w:bottom w:val="none" w:sz="0" w:space="0" w:color="auto"/>
        <w:right w:val="none" w:sz="0" w:space="0" w:color="auto"/>
      </w:divBdr>
    </w:div>
    <w:div w:id="1910574426">
      <w:bodyDiv w:val="1"/>
      <w:marLeft w:val="0"/>
      <w:marRight w:val="0"/>
      <w:marTop w:val="0"/>
      <w:marBottom w:val="0"/>
      <w:divBdr>
        <w:top w:val="none" w:sz="0" w:space="0" w:color="auto"/>
        <w:left w:val="none" w:sz="0" w:space="0" w:color="auto"/>
        <w:bottom w:val="none" w:sz="0" w:space="0" w:color="auto"/>
        <w:right w:val="none" w:sz="0" w:space="0" w:color="auto"/>
      </w:divBdr>
    </w:div>
    <w:div w:id="1933317144">
      <w:bodyDiv w:val="1"/>
      <w:marLeft w:val="0"/>
      <w:marRight w:val="0"/>
      <w:marTop w:val="0"/>
      <w:marBottom w:val="0"/>
      <w:divBdr>
        <w:top w:val="none" w:sz="0" w:space="0" w:color="auto"/>
        <w:left w:val="none" w:sz="0" w:space="0" w:color="auto"/>
        <w:bottom w:val="none" w:sz="0" w:space="0" w:color="auto"/>
        <w:right w:val="none" w:sz="0" w:space="0" w:color="auto"/>
      </w:divBdr>
    </w:div>
    <w:div w:id="1956328314">
      <w:bodyDiv w:val="1"/>
      <w:marLeft w:val="0"/>
      <w:marRight w:val="0"/>
      <w:marTop w:val="0"/>
      <w:marBottom w:val="0"/>
      <w:divBdr>
        <w:top w:val="none" w:sz="0" w:space="0" w:color="auto"/>
        <w:left w:val="none" w:sz="0" w:space="0" w:color="auto"/>
        <w:bottom w:val="none" w:sz="0" w:space="0" w:color="auto"/>
        <w:right w:val="none" w:sz="0" w:space="0" w:color="auto"/>
      </w:divBdr>
    </w:div>
    <w:div w:id="197814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2015-12-15T08:00:00+00:00</OpenedDate>
    <Date1 xmlns="dc463f71-b30c-4ab2-9473-d307f9d35888">2015-12-15T08:00:00+00:00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152349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47D3FFA0C4E438A251DA7753C113E" ma:contentTypeVersion="119" ma:contentTypeDescription="" ma:contentTypeScope="" ma:versionID="9ec2b47834c4d1407694873a8208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B7BB-C5F4-46A7-A274-5D26A8A2569A}"/>
</file>

<file path=customXml/itemProps2.xml><?xml version="1.0" encoding="utf-8"?>
<ds:datastoreItem xmlns:ds="http://schemas.openxmlformats.org/officeDocument/2006/customXml" ds:itemID="{11BDF7E2-E7A5-42ED-A1C4-EB670BBE9262}"/>
</file>

<file path=customXml/itemProps3.xml><?xml version="1.0" encoding="utf-8"?>
<ds:datastoreItem xmlns:ds="http://schemas.openxmlformats.org/officeDocument/2006/customXml" ds:itemID="{6C759BDD-A18C-4FCC-B731-4254815D2C1D}"/>
</file>

<file path=customXml/itemProps4.xml><?xml version="1.0" encoding="utf-8"?>
<ds:datastoreItem xmlns:ds="http://schemas.openxmlformats.org/officeDocument/2006/customXml" ds:itemID="{2346C272-68E1-4CF4-9D20-F5E2F2E72A6C}"/>
</file>

<file path=customXml/itemProps5.xml><?xml version="1.0" encoding="utf-8"?>
<ds:datastoreItem xmlns:ds="http://schemas.openxmlformats.org/officeDocument/2006/customXml" ds:itemID="{7B6A829D-BDED-4569-88F8-39B951C7AA15}"/>
</file>

<file path=docProps/app.xml><?xml version="1.0" encoding="utf-8"?>
<Properties xmlns="http://schemas.openxmlformats.org/officeDocument/2006/extended-properties" xmlns:vt="http://schemas.openxmlformats.org/officeDocument/2006/docPropsVTypes">
  <Template>Normal.dotm</Template>
  <TotalTime>1</TotalTime>
  <Pages>18</Pages>
  <Words>5856</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39158</CharactersWithSpaces>
  <SharedDoc>false</SharedDoc>
  <HLinks>
    <vt:vector size="6" baseType="variant">
      <vt:variant>
        <vt:i4>3211368</vt:i4>
      </vt:variant>
      <vt:variant>
        <vt:i4>0</vt:i4>
      </vt:variant>
      <vt:variant>
        <vt:i4>0</vt:i4>
      </vt:variant>
      <vt:variant>
        <vt:i4>5</vt:i4>
      </vt:variant>
      <vt:variant>
        <vt:lpwstr>http://www.energytrust.org/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Jennifer</dc:creator>
  <cp:lastModifiedBy>Hammer, Gail </cp:lastModifiedBy>
  <cp:revision>2</cp:revision>
  <cp:lastPrinted>2015-12-05T00:31:00Z</cp:lastPrinted>
  <dcterms:created xsi:type="dcterms:W3CDTF">2015-12-15T23:29:00Z</dcterms:created>
  <dcterms:modified xsi:type="dcterms:W3CDTF">2015-12-15T23:29:00Z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5bfaeedd-4940-4cf9-bdb3-9808190c511a</vt:lpwstr>
  </property>
  <property fmtid="{D5CDD505-2E9C-101B-9397-08002B2CF9AE}" pid="4" name="ContentTypeId">
    <vt:lpwstr>0x0101006E56B4D1795A2E4DB2F0B01679ED314A00B9D47D3FFA0C4E438A251DA7753C113E</vt:lpwstr>
  </property>
  <property fmtid="{D5CDD505-2E9C-101B-9397-08002B2CF9AE}" pid="5" name="_docset_NoMedatataSyncRequired">
    <vt:lpwstr>False</vt:lpwstr>
  </property>
</Properties>
</file>