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5D13A" w14:textId="4BFD43AE" w:rsidR="00633FE5" w:rsidRPr="00474A0A" w:rsidRDefault="00633FE5" w:rsidP="00474A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Cs/>
          <w:sz w:val="24"/>
        </w:rPr>
      </w:pPr>
      <w:r w:rsidRPr="00C9072F">
        <w:rPr>
          <w:rFonts w:ascii="Times New Roman" w:hAnsi="Times New Roman"/>
          <w:bCs/>
          <w:sz w:val="24"/>
        </w:rPr>
        <w:t>Agenda Date:</w:t>
      </w:r>
      <w:r w:rsidRPr="00474A0A">
        <w:rPr>
          <w:rFonts w:ascii="Times New Roman" w:hAnsi="Times New Roman"/>
          <w:b/>
          <w:bCs/>
          <w:sz w:val="24"/>
        </w:rPr>
        <w:tab/>
      </w:r>
      <w:r w:rsidRPr="00474A0A">
        <w:rPr>
          <w:rFonts w:ascii="Times New Roman" w:hAnsi="Times New Roman"/>
          <w:b/>
          <w:bCs/>
          <w:sz w:val="24"/>
        </w:rPr>
        <w:tab/>
      </w:r>
      <w:r w:rsidR="00A77552" w:rsidRPr="00474A0A">
        <w:rPr>
          <w:rFonts w:ascii="Times New Roman" w:hAnsi="Times New Roman"/>
          <w:bCs/>
          <w:sz w:val="24"/>
        </w:rPr>
        <w:t xml:space="preserve">October </w:t>
      </w:r>
      <w:r w:rsidR="004F59FD">
        <w:rPr>
          <w:rFonts w:ascii="Times New Roman" w:hAnsi="Times New Roman"/>
          <w:bCs/>
          <w:sz w:val="24"/>
        </w:rPr>
        <w:t>29</w:t>
      </w:r>
      <w:r w:rsidR="00A77552" w:rsidRPr="00474A0A">
        <w:rPr>
          <w:rFonts w:ascii="Times New Roman" w:hAnsi="Times New Roman"/>
          <w:bCs/>
          <w:sz w:val="24"/>
        </w:rPr>
        <w:t>, 201</w:t>
      </w:r>
      <w:r w:rsidR="004F59FD">
        <w:rPr>
          <w:rFonts w:ascii="Times New Roman" w:hAnsi="Times New Roman"/>
          <w:bCs/>
          <w:sz w:val="24"/>
        </w:rPr>
        <w:t>5</w:t>
      </w:r>
    </w:p>
    <w:p w14:paraId="04D5D13B" w14:textId="08E3C5C0" w:rsidR="00633FE5" w:rsidRPr="004970DA" w:rsidRDefault="0094336B"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Item Number</w:t>
      </w:r>
      <w:r w:rsidR="00633FE5" w:rsidRPr="004970DA">
        <w:rPr>
          <w:rFonts w:ascii="Times New Roman" w:hAnsi="Times New Roman"/>
          <w:sz w:val="24"/>
        </w:rPr>
        <w:t>:</w:t>
      </w:r>
      <w:r w:rsidR="00633FE5" w:rsidRPr="004970DA">
        <w:rPr>
          <w:rFonts w:ascii="Times New Roman" w:hAnsi="Times New Roman"/>
          <w:sz w:val="24"/>
        </w:rPr>
        <w:tab/>
      </w:r>
      <w:r w:rsidR="00497E69" w:rsidRPr="00231020">
        <w:rPr>
          <w:rFonts w:ascii="Times New Roman" w:hAnsi="Times New Roman"/>
          <w:sz w:val="24"/>
        </w:rPr>
        <w:tab/>
      </w:r>
      <w:r w:rsidR="00231020" w:rsidRPr="00231020">
        <w:rPr>
          <w:rFonts w:ascii="Times New Roman" w:hAnsi="Times New Roman"/>
          <w:sz w:val="24"/>
        </w:rPr>
        <w:t>A</w:t>
      </w:r>
      <w:bookmarkStart w:id="0" w:name="_GoBack"/>
      <w:bookmarkEnd w:id="0"/>
      <w:r w:rsidR="00231020" w:rsidRPr="00231020">
        <w:rPr>
          <w:rFonts w:ascii="Times New Roman" w:hAnsi="Times New Roman"/>
          <w:sz w:val="24"/>
        </w:rPr>
        <w:t>7</w:t>
      </w:r>
    </w:p>
    <w:p w14:paraId="04D5D13C" w14:textId="77777777" w:rsidR="00633FE5" w:rsidRPr="004970DA" w:rsidRDefault="00633FE5" w:rsidP="00536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3D" w14:textId="3B02486B"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Cs/>
          <w:sz w:val="24"/>
        </w:rPr>
      </w:pPr>
      <w:r w:rsidRPr="004970DA">
        <w:rPr>
          <w:rFonts w:ascii="Times New Roman" w:hAnsi="Times New Roman"/>
          <w:b/>
          <w:bCs/>
          <w:sz w:val="24"/>
        </w:rPr>
        <w:t xml:space="preserve">Docket: </w:t>
      </w:r>
      <w:r w:rsidRPr="004970DA">
        <w:rPr>
          <w:rFonts w:ascii="Times New Roman" w:hAnsi="Times New Roman"/>
          <w:b/>
          <w:bCs/>
          <w:sz w:val="24"/>
        </w:rPr>
        <w:tab/>
      </w:r>
      <w:r w:rsidRPr="004970DA">
        <w:rPr>
          <w:rFonts w:ascii="Times New Roman" w:hAnsi="Times New Roman"/>
          <w:b/>
          <w:bCs/>
          <w:sz w:val="24"/>
        </w:rPr>
        <w:tab/>
        <w:t>UG-</w:t>
      </w:r>
      <w:r w:rsidR="00A11266">
        <w:rPr>
          <w:rFonts w:ascii="Times New Roman" w:hAnsi="Times New Roman"/>
          <w:b/>
          <w:bCs/>
          <w:sz w:val="24"/>
        </w:rPr>
        <w:t>151870</w:t>
      </w:r>
    </w:p>
    <w:p w14:paraId="04D5D13E" w14:textId="6410FF4F"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rPr>
        <w:t>Company Name:</w:t>
      </w:r>
      <w:r w:rsidRPr="004970DA">
        <w:rPr>
          <w:rFonts w:ascii="Times New Roman" w:hAnsi="Times New Roman"/>
          <w:sz w:val="24"/>
        </w:rPr>
        <w:tab/>
        <w:t>Puget Sound Energy</w:t>
      </w:r>
    </w:p>
    <w:p w14:paraId="04D5D13F"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0" w14:textId="3DF40EC3" w:rsidR="00633FE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4970DA">
        <w:rPr>
          <w:rFonts w:ascii="Times New Roman" w:hAnsi="Times New Roman"/>
          <w:sz w:val="24"/>
          <w:u w:val="single"/>
        </w:rPr>
        <w:t>Staff:</w:t>
      </w:r>
      <w:r w:rsidRPr="004970DA">
        <w:rPr>
          <w:rFonts w:ascii="Times New Roman" w:hAnsi="Times New Roman"/>
          <w:sz w:val="24"/>
        </w:rPr>
        <w:tab/>
      </w:r>
      <w:r w:rsidRPr="004970DA">
        <w:rPr>
          <w:rFonts w:ascii="Times New Roman" w:hAnsi="Times New Roman"/>
          <w:sz w:val="24"/>
        </w:rPr>
        <w:tab/>
      </w:r>
      <w:r w:rsidRPr="004970DA">
        <w:rPr>
          <w:rFonts w:ascii="Times New Roman" w:hAnsi="Times New Roman"/>
          <w:sz w:val="24"/>
        </w:rPr>
        <w:tab/>
      </w:r>
      <w:r w:rsidR="00A11266">
        <w:rPr>
          <w:rFonts w:ascii="Times New Roman" w:hAnsi="Times New Roman"/>
          <w:sz w:val="24"/>
        </w:rPr>
        <w:t>Jing Liu</w:t>
      </w:r>
      <w:r w:rsidR="00EC12A3" w:rsidRPr="004970DA">
        <w:rPr>
          <w:rFonts w:ascii="Times New Roman" w:hAnsi="Times New Roman"/>
          <w:sz w:val="24"/>
        </w:rPr>
        <w:t>, Regulatory Analyst</w:t>
      </w:r>
    </w:p>
    <w:p w14:paraId="04D5D141" w14:textId="63FCBE09" w:rsidR="009B602E" w:rsidRPr="004970DA" w:rsidRDefault="009B602E"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A11266">
        <w:rPr>
          <w:rFonts w:ascii="Times New Roman" w:hAnsi="Times New Roman"/>
          <w:sz w:val="24"/>
        </w:rPr>
        <w:t>Joanna Huang</w:t>
      </w:r>
      <w:r w:rsidR="008B6BFE">
        <w:rPr>
          <w:rFonts w:ascii="Times New Roman" w:hAnsi="Times New Roman"/>
          <w:sz w:val="24"/>
        </w:rPr>
        <w:t xml:space="preserve">, </w:t>
      </w:r>
      <w:r w:rsidR="008B6BFE" w:rsidRPr="004970DA">
        <w:rPr>
          <w:rFonts w:ascii="Times New Roman" w:hAnsi="Times New Roman"/>
          <w:sz w:val="24"/>
        </w:rPr>
        <w:t>Regulatory Analyst</w:t>
      </w:r>
    </w:p>
    <w:p w14:paraId="04D5D142" w14:textId="77777777" w:rsidR="00633FE5"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3" w14:textId="77777777" w:rsidR="00474A0A" w:rsidRPr="004970DA" w:rsidRDefault="00474A0A"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4" w14:textId="77777777" w:rsidR="00633FE5" w:rsidRPr="00025483" w:rsidRDefault="00633FE5" w:rsidP="00025483">
      <w:pPr>
        <w:pStyle w:val="Heading1"/>
        <w:rPr>
          <w:rStyle w:val="BookTitle"/>
        </w:rPr>
      </w:pPr>
      <w:r w:rsidRPr="00025483">
        <w:rPr>
          <w:rStyle w:val="BookTitle"/>
        </w:rPr>
        <w:t>Recommendation</w:t>
      </w:r>
    </w:p>
    <w:p w14:paraId="04D5D145" w14:textId="77777777" w:rsidR="00633FE5" w:rsidRPr="008007AF"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6" w14:textId="60A81753" w:rsidR="00F273C6" w:rsidRPr="004970DA" w:rsidRDefault="009467D6"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8007AF">
        <w:rPr>
          <w:rFonts w:ascii="Times New Roman" w:hAnsi="Times New Roman"/>
          <w:sz w:val="24"/>
        </w:rPr>
        <w:t>Take no action</w:t>
      </w:r>
      <w:r w:rsidR="004B3D34">
        <w:rPr>
          <w:rFonts w:ascii="Times New Roman" w:hAnsi="Times New Roman"/>
          <w:sz w:val="24"/>
        </w:rPr>
        <w:t xml:space="preserve"> thereby</w:t>
      </w:r>
      <w:r w:rsidRPr="008007AF">
        <w:rPr>
          <w:rFonts w:ascii="Times New Roman" w:hAnsi="Times New Roman"/>
          <w:sz w:val="24"/>
        </w:rPr>
        <w:t xml:space="preserve"> allowing the </w:t>
      </w:r>
      <w:r w:rsidR="000A681F" w:rsidRPr="008007AF">
        <w:rPr>
          <w:rFonts w:ascii="Times New Roman" w:hAnsi="Times New Roman"/>
          <w:sz w:val="24"/>
        </w:rPr>
        <w:t xml:space="preserve">tariff </w:t>
      </w:r>
      <w:r w:rsidRPr="008007AF">
        <w:rPr>
          <w:rFonts w:ascii="Times New Roman" w:hAnsi="Times New Roman"/>
          <w:sz w:val="24"/>
        </w:rPr>
        <w:t>revis</w:t>
      </w:r>
      <w:r w:rsidR="000A681F" w:rsidRPr="008007AF">
        <w:rPr>
          <w:rFonts w:ascii="Times New Roman" w:hAnsi="Times New Roman"/>
          <w:sz w:val="24"/>
        </w:rPr>
        <w:t>ions</w:t>
      </w:r>
      <w:r w:rsidRPr="008007AF">
        <w:rPr>
          <w:rFonts w:ascii="Times New Roman" w:hAnsi="Times New Roman"/>
          <w:sz w:val="24"/>
        </w:rPr>
        <w:t xml:space="preserve"> </w:t>
      </w:r>
      <w:r w:rsidR="004B3D34">
        <w:rPr>
          <w:rFonts w:ascii="Times New Roman" w:hAnsi="Times New Roman"/>
          <w:sz w:val="24"/>
        </w:rPr>
        <w:t>filed in Docket UG-</w:t>
      </w:r>
      <w:r w:rsidR="00A11266">
        <w:rPr>
          <w:rFonts w:ascii="Times New Roman" w:hAnsi="Times New Roman"/>
          <w:sz w:val="24"/>
        </w:rPr>
        <w:t>151870</w:t>
      </w:r>
      <w:r w:rsidR="004B3D34">
        <w:rPr>
          <w:rFonts w:ascii="Times New Roman" w:hAnsi="Times New Roman"/>
          <w:sz w:val="24"/>
        </w:rPr>
        <w:t xml:space="preserve"> </w:t>
      </w:r>
      <w:r w:rsidRPr="008007AF">
        <w:rPr>
          <w:rFonts w:ascii="Times New Roman" w:hAnsi="Times New Roman"/>
          <w:sz w:val="24"/>
        </w:rPr>
        <w:t>to become effective</w:t>
      </w:r>
      <w:r w:rsidRPr="009467D6">
        <w:rPr>
          <w:rFonts w:ascii="Times New Roman" w:hAnsi="Times New Roman"/>
          <w:sz w:val="24"/>
        </w:rPr>
        <w:t xml:space="preserve"> by operation of law</w:t>
      </w:r>
      <w:r w:rsidR="00F273C6" w:rsidRPr="004970DA">
        <w:rPr>
          <w:rFonts w:ascii="Times New Roman" w:hAnsi="Times New Roman"/>
          <w:sz w:val="24"/>
        </w:rPr>
        <w:t>.</w:t>
      </w:r>
    </w:p>
    <w:p w14:paraId="04D5D147" w14:textId="77777777" w:rsidR="00633FE5" w:rsidRPr="004970DA" w:rsidRDefault="00633FE5" w:rsidP="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p>
    <w:p w14:paraId="04D5D148" w14:textId="77777777" w:rsidR="00633FE5" w:rsidRPr="00025483" w:rsidRDefault="00633FE5" w:rsidP="00025483">
      <w:pPr>
        <w:pStyle w:val="Heading1"/>
        <w:rPr>
          <w:rStyle w:val="BookTitle"/>
        </w:rPr>
      </w:pPr>
      <w:r w:rsidRPr="00025483">
        <w:rPr>
          <w:rStyle w:val="BookTitle"/>
        </w:rPr>
        <w:t>Background</w:t>
      </w:r>
    </w:p>
    <w:p w14:paraId="04D5D149" w14:textId="77777777" w:rsidR="00633FE5" w:rsidRPr="004970DA" w:rsidRDefault="00633FE5" w:rsidP="00633FE5">
      <w:pPr>
        <w:rPr>
          <w:rFonts w:ascii="Times New Roman" w:hAnsi="Times New Roman"/>
          <w:sz w:val="24"/>
        </w:rPr>
      </w:pPr>
    </w:p>
    <w:p w14:paraId="04D5D14A" w14:textId="73B51EB1" w:rsidR="00420096" w:rsidRPr="00011EC2" w:rsidRDefault="00633FE5" w:rsidP="00633FE5">
      <w:pPr>
        <w:rPr>
          <w:rFonts w:ascii="Times New Roman" w:hAnsi="Times New Roman"/>
          <w:sz w:val="24"/>
        </w:rPr>
      </w:pPr>
      <w:r w:rsidRPr="00011EC2">
        <w:rPr>
          <w:rFonts w:ascii="Times New Roman" w:hAnsi="Times New Roman"/>
          <w:sz w:val="24"/>
        </w:rPr>
        <w:t xml:space="preserve">On </w:t>
      </w:r>
      <w:r w:rsidR="00FB2E5A" w:rsidRPr="00011EC2">
        <w:rPr>
          <w:rFonts w:ascii="Times New Roman" w:hAnsi="Times New Roman"/>
          <w:sz w:val="24"/>
        </w:rPr>
        <w:t xml:space="preserve">September </w:t>
      </w:r>
      <w:r w:rsidR="00011EC2" w:rsidRPr="00011EC2">
        <w:rPr>
          <w:rFonts w:ascii="Times New Roman" w:hAnsi="Times New Roman"/>
          <w:sz w:val="24"/>
        </w:rPr>
        <w:t>1</w:t>
      </w:r>
      <w:r w:rsidR="002E5D7F" w:rsidRPr="00011EC2">
        <w:rPr>
          <w:rFonts w:ascii="Times New Roman" w:hAnsi="Times New Roman"/>
          <w:sz w:val="24"/>
        </w:rPr>
        <w:t>8</w:t>
      </w:r>
      <w:r w:rsidR="00EC12A3" w:rsidRPr="00011EC2">
        <w:rPr>
          <w:rFonts w:ascii="Times New Roman" w:hAnsi="Times New Roman"/>
          <w:sz w:val="24"/>
        </w:rPr>
        <w:t xml:space="preserve">, </w:t>
      </w:r>
      <w:r w:rsidRPr="00011EC2">
        <w:rPr>
          <w:rFonts w:ascii="Times New Roman" w:hAnsi="Times New Roman"/>
          <w:sz w:val="24"/>
        </w:rPr>
        <w:t>20</w:t>
      </w:r>
      <w:r w:rsidR="004F59FD">
        <w:rPr>
          <w:rFonts w:ascii="Times New Roman" w:hAnsi="Times New Roman"/>
          <w:sz w:val="24"/>
        </w:rPr>
        <w:t>15</w:t>
      </w:r>
      <w:r w:rsidRPr="00011EC2">
        <w:rPr>
          <w:rFonts w:ascii="Times New Roman" w:hAnsi="Times New Roman"/>
          <w:sz w:val="24"/>
        </w:rPr>
        <w:t xml:space="preserve">, Puget Sound Energy (PSE or </w:t>
      </w:r>
      <w:r w:rsidR="00E62FFA" w:rsidRPr="00011EC2">
        <w:rPr>
          <w:rFonts w:ascii="Times New Roman" w:hAnsi="Times New Roman"/>
          <w:sz w:val="24"/>
        </w:rPr>
        <w:t>c</w:t>
      </w:r>
      <w:r w:rsidRPr="00011EC2">
        <w:rPr>
          <w:rFonts w:ascii="Times New Roman" w:hAnsi="Times New Roman"/>
          <w:sz w:val="24"/>
        </w:rPr>
        <w:t xml:space="preserve">ompany) filed </w:t>
      </w:r>
      <w:r w:rsidR="00FB2E5A" w:rsidRPr="00011EC2">
        <w:rPr>
          <w:rFonts w:ascii="Times New Roman" w:hAnsi="Times New Roman"/>
          <w:sz w:val="24"/>
        </w:rPr>
        <w:t xml:space="preserve">with the Utilities and Transportation Commission (commission) </w:t>
      </w:r>
      <w:r w:rsidR="004B3D34" w:rsidRPr="00011EC2">
        <w:rPr>
          <w:rFonts w:ascii="Times New Roman" w:hAnsi="Times New Roman"/>
          <w:sz w:val="24"/>
        </w:rPr>
        <w:t xml:space="preserve">to revise WN U-2 </w:t>
      </w:r>
      <w:r w:rsidR="00FB2E5A" w:rsidRPr="00011EC2">
        <w:rPr>
          <w:rFonts w:ascii="Times New Roman" w:hAnsi="Times New Roman"/>
          <w:sz w:val="24"/>
        </w:rPr>
        <w:t>tariff</w:t>
      </w:r>
      <w:r w:rsidR="004B3D34" w:rsidRPr="00011EC2">
        <w:rPr>
          <w:rFonts w:ascii="Times New Roman" w:hAnsi="Times New Roman"/>
          <w:sz w:val="24"/>
        </w:rPr>
        <w:t xml:space="preserve"> for natural gas service</w:t>
      </w:r>
      <w:r w:rsidR="00234488">
        <w:rPr>
          <w:rFonts w:ascii="Times New Roman" w:hAnsi="Times New Roman"/>
          <w:sz w:val="24"/>
        </w:rPr>
        <w:t xml:space="preserve"> in D</w:t>
      </w:r>
      <w:r w:rsidR="008C0679" w:rsidRPr="00011EC2">
        <w:rPr>
          <w:rFonts w:ascii="Times New Roman" w:hAnsi="Times New Roman"/>
          <w:sz w:val="24"/>
        </w:rPr>
        <w:t>ocket UG-</w:t>
      </w:r>
      <w:r w:rsidR="00011EC2" w:rsidRPr="00011EC2">
        <w:rPr>
          <w:rFonts w:ascii="Times New Roman" w:hAnsi="Times New Roman"/>
          <w:sz w:val="24"/>
        </w:rPr>
        <w:t>151870</w:t>
      </w:r>
      <w:r w:rsidR="004B3D34" w:rsidRPr="00011EC2">
        <w:rPr>
          <w:rFonts w:ascii="Times New Roman" w:hAnsi="Times New Roman"/>
          <w:sz w:val="24"/>
        </w:rPr>
        <w:t>.</w:t>
      </w:r>
      <w:r w:rsidR="00873905" w:rsidRPr="00011EC2">
        <w:rPr>
          <w:rFonts w:ascii="Times New Roman" w:hAnsi="Times New Roman"/>
          <w:sz w:val="24"/>
        </w:rPr>
        <w:t xml:space="preserve"> </w:t>
      </w:r>
      <w:r w:rsidR="004B3D34" w:rsidRPr="00011EC2">
        <w:rPr>
          <w:rFonts w:ascii="Times New Roman" w:hAnsi="Times New Roman"/>
          <w:sz w:val="24"/>
        </w:rPr>
        <w:t>The</w:t>
      </w:r>
      <w:r w:rsidR="00FB2E5A" w:rsidRPr="00011EC2">
        <w:rPr>
          <w:rFonts w:ascii="Times New Roman" w:hAnsi="Times New Roman"/>
          <w:sz w:val="24"/>
        </w:rPr>
        <w:t xml:space="preserve"> revisions</w:t>
      </w:r>
      <w:r w:rsidR="004B3D34" w:rsidRPr="00011EC2">
        <w:rPr>
          <w:rFonts w:ascii="Times New Roman" w:hAnsi="Times New Roman"/>
          <w:sz w:val="24"/>
        </w:rPr>
        <w:t xml:space="preserve"> request the approval of the 3</w:t>
      </w:r>
      <w:r w:rsidR="00011EC2" w:rsidRPr="00011EC2">
        <w:rPr>
          <w:rFonts w:ascii="Times New Roman" w:hAnsi="Times New Roman"/>
          <w:sz w:val="24"/>
        </w:rPr>
        <w:t>9</w:t>
      </w:r>
      <w:r w:rsidR="004B3D34" w:rsidRPr="00011EC2">
        <w:rPr>
          <w:rFonts w:ascii="Times New Roman" w:hAnsi="Times New Roman"/>
          <w:sz w:val="24"/>
          <w:vertAlign w:val="superscript"/>
        </w:rPr>
        <w:t>th</w:t>
      </w:r>
      <w:r w:rsidR="004B3D34" w:rsidRPr="00011EC2">
        <w:rPr>
          <w:rFonts w:ascii="Times New Roman" w:hAnsi="Times New Roman"/>
          <w:sz w:val="24"/>
        </w:rPr>
        <w:t xml:space="preserve"> Revision of Sheet No. 1101</w:t>
      </w:r>
      <w:r w:rsidR="003944FB" w:rsidRPr="00011EC2">
        <w:rPr>
          <w:rFonts w:ascii="Times New Roman" w:hAnsi="Times New Roman"/>
          <w:sz w:val="24"/>
        </w:rPr>
        <w:t xml:space="preserve"> – </w:t>
      </w:r>
      <w:r w:rsidR="004B3D34" w:rsidRPr="00011EC2">
        <w:rPr>
          <w:rFonts w:ascii="Times New Roman" w:hAnsi="Times New Roman"/>
          <w:sz w:val="24"/>
        </w:rPr>
        <w:t>Gas Cost Rates; the 4</w:t>
      </w:r>
      <w:r w:rsidR="00011EC2" w:rsidRPr="00011EC2">
        <w:rPr>
          <w:rFonts w:ascii="Times New Roman" w:hAnsi="Times New Roman"/>
          <w:sz w:val="24"/>
        </w:rPr>
        <w:t>2</w:t>
      </w:r>
      <w:r w:rsidR="002E5D7F" w:rsidRPr="00011EC2">
        <w:rPr>
          <w:rFonts w:ascii="Times New Roman" w:hAnsi="Times New Roman"/>
          <w:sz w:val="24"/>
          <w:vertAlign w:val="superscript"/>
        </w:rPr>
        <w:t>st</w:t>
      </w:r>
      <w:r w:rsidR="004B3D34" w:rsidRPr="00011EC2">
        <w:rPr>
          <w:rFonts w:ascii="Times New Roman" w:hAnsi="Times New Roman"/>
          <w:sz w:val="24"/>
        </w:rPr>
        <w:t xml:space="preserve"> Revision of Sheet No. 1106 – Deferred Account Adjustment</w:t>
      </w:r>
      <w:r w:rsidR="008C0679" w:rsidRPr="00011EC2">
        <w:rPr>
          <w:rFonts w:ascii="Times New Roman" w:hAnsi="Times New Roman"/>
          <w:sz w:val="24"/>
        </w:rPr>
        <w:t xml:space="preserve">. </w:t>
      </w:r>
      <w:r w:rsidR="00420096" w:rsidRPr="00011EC2">
        <w:rPr>
          <w:rFonts w:ascii="Times New Roman" w:hAnsi="Times New Roman"/>
          <w:sz w:val="24"/>
        </w:rPr>
        <w:t>The tariff sheets have an effective date of November 1, 201</w:t>
      </w:r>
      <w:r w:rsidR="00011EC2" w:rsidRPr="00011EC2">
        <w:rPr>
          <w:rFonts w:ascii="Times New Roman" w:hAnsi="Times New Roman"/>
          <w:sz w:val="24"/>
        </w:rPr>
        <w:t>5</w:t>
      </w:r>
      <w:r w:rsidR="00420096" w:rsidRPr="00011EC2">
        <w:rPr>
          <w:rFonts w:ascii="Times New Roman" w:hAnsi="Times New Roman"/>
          <w:sz w:val="24"/>
        </w:rPr>
        <w:t>.</w:t>
      </w:r>
    </w:p>
    <w:p w14:paraId="04D5D14B" w14:textId="77777777" w:rsidR="00420096" w:rsidRPr="00011EC2" w:rsidRDefault="00420096" w:rsidP="00633FE5">
      <w:pPr>
        <w:rPr>
          <w:rFonts w:ascii="Times New Roman" w:hAnsi="Times New Roman"/>
          <w:sz w:val="24"/>
        </w:rPr>
      </w:pPr>
    </w:p>
    <w:p w14:paraId="2FF07E58" w14:textId="09380C84" w:rsidR="00011EC2" w:rsidRPr="00011EC2" w:rsidRDefault="00011EC2" w:rsidP="00011EC2">
      <w:pPr>
        <w:rPr>
          <w:rFonts w:ascii="Times New Roman" w:hAnsi="Times New Roman"/>
          <w:sz w:val="24"/>
        </w:rPr>
      </w:pPr>
      <w:r w:rsidRPr="00011EC2">
        <w:rPr>
          <w:rFonts w:ascii="Times New Roman" w:hAnsi="Times New Roman"/>
          <w:sz w:val="24"/>
        </w:rPr>
        <w:t>The filing inclu</w:t>
      </w:r>
      <w:r w:rsidR="00F8550C">
        <w:rPr>
          <w:rFonts w:ascii="Times New Roman" w:hAnsi="Times New Roman"/>
          <w:sz w:val="24"/>
        </w:rPr>
        <w:t>d</w:t>
      </w:r>
      <w:r w:rsidRPr="00011EC2">
        <w:rPr>
          <w:rFonts w:ascii="Times New Roman" w:hAnsi="Times New Roman"/>
          <w:sz w:val="24"/>
        </w:rPr>
        <w:t>es PSE’s annual Purchased Gas Adjustment (PGA) mechanism and Deferred Gas Cost Amortization (Deferral) mechanism</w:t>
      </w:r>
      <w:r>
        <w:rPr>
          <w:rFonts w:ascii="Times New Roman" w:hAnsi="Times New Roman"/>
          <w:sz w:val="24"/>
        </w:rPr>
        <w:t>. They</w:t>
      </w:r>
      <w:r w:rsidRPr="00011EC2">
        <w:rPr>
          <w:rFonts w:ascii="Times New Roman" w:hAnsi="Times New Roman"/>
          <w:sz w:val="24"/>
        </w:rPr>
        <w:t xml:space="preserve"> are designed to pass through the utility’s actual cost of natural gas to customers on an annual basis. Periodic technical adjustments to rates </w:t>
      </w:r>
      <w:r w:rsidRPr="00DA04B9">
        <w:rPr>
          <w:rFonts w:ascii="Times New Roman" w:hAnsi="Times New Roman"/>
          <w:sz w:val="24"/>
        </w:rPr>
        <w:t xml:space="preserve">are necessary under the terms of the company’s tariffs in order to true up the cost and revenue in </w:t>
      </w:r>
      <w:r w:rsidRPr="00011EC2">
        <w:rPr>
          <w:rFonts w:ascii="Times New Roman" w:hAnsi="Times New Roman"/>
          <w:sz w:val="24"/>
        </w:rPr>
        <w:t xml:space="preserve">its deferred gas cost accounts (Account 191). </w:t>
      </w:r>
    </w:p>
    <w:p w14:paraId="382BC16C" w14:textId="77777777" w:rsidR="00011EC2" w:rsidRPr="00011EC2" w:rsidRDefault="00011EC2" w:rsidP="00011EC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rPr>
      </w:pPr>
    </w:p>
    <w:p w14:paraId="4941C91B" w14:textId="0ACC700C" w:rsidR="00FA621A" w:rsidRDefault="00011EC2" w:rsidP="00FA621A">
      <w:pPr>
        <w:rPr>
          <w:rFonts w:ascii="Times New Roman" w:hAnsi="Times New Roman"/>
          <w:sz w:val="24"/>
        </w:rPr>
      </w:pPr>
      <w:r>
        <w:rPr>
          <w:rFonts w:ascii="Times New Roman" w:hAnsi="Times New Roman"/>
          <w:sz w:val="24"/>
        </w:rPr>
        <w:t xml:space="preserve">In this filing, </w:t>
      </w:r>
      <w:r w:rsidR="005C4C0D" w:rsidRPr="00011EC2">
        <w:rPr>
          <w:rFonts w:ascii="Times New Roman" w:hAnsi="Times New Roman"/>
          <w:sz w:val="24"/>
        </w:rPr>
        <w:t>PSE</w:t>
      </w:r>
      <w:r w:rsidR="00420096" w:rsidRPr="00011EC2">
        <w:rPr>
          <w:rFonts w:ascii="Times New Roman" w:hAnsi="Times New Roman"/>
          <w:sz w:val="24"/>
        </w:rPr>
        <w:t xml:space="preserve"> seeks to</w:t>
      </w:r>
      <w:r w:rsidR="00FB2E5A" w:rsidRPr="00011EC2">
        <w:rPr>
          <w:rFonts w:ascii="Times New Roman" w:hAnsi="Times New Roman"/>
          <w:sz w:val="24"/>
        </w:rPr>
        <w:t xml:space="preserve"> </w:t>
      </w:r>
      <w:r w:rsidRPr="00011EC2">
        <w:rPr>
          <w:rFonts w:ascii="Times New Roman" w:hAnsi="Times New Roman"/>
          <w:sz w:val="24"/>
        </w:rPr>
        <w:t>reduce</w:t>
      </w:r>
      <w:r w:rsidR="00FB2E5A" w:rsidRPr="00011EC2">
        <w:rPr>
          <w:rFonts w:ascii="Times New Roman" w:hAnsi="Times New Roman"/>
          <w:sz w:val="24"/>
        </w:rPr>
        <w:t xml:space="preserve"> annual revenue by $</w:t>
      </w:r>
      <w:r w:rsidRPr="00011EC2">
        <w:rPr>
          <w:rFonts w:ascii="Times New Roman" w:hAnsi="Times New Roman"/>
          <w:sz w:val="24"/>
        </w:rPr>
        <w:t>186</w:t>
      </w:r>
      <w:r w:rsidR="00FB2E5A" w:rsidRPr="00011EC2">
        <w:rPr>
          <w:rFonts w:ascii="Times New Roman" w:hAnsi="Times New Roman"/>
          <w:sz w:val="24"/>
        </w:rPr>
        <w:t xml:space="preserve"> million (</w:t>
      </w:r>
      <w:r w:rsidR="000E3636">
        <w:rPr>
          <w:rFonts w:ascii="Times New Roman" w:hAnsi="Times New Roman"/>
          <w:sz w:val="24"/>
        </w:rPr>
        <w:t>-</w:t>
      </w:r>
      <w:r w:rsidR="00FA621A">
        <w:rPr>
          <w:rFonts w:ascii="Times New Roman" w:hAnsi="Times New Roman"/>
          <w:sz w:val="24"/>
        </w:rPr>
        <w:t>17</w:t>
      </w:r>
      <w:r w:rsidRPr="00011EC2">
        <w:rPr>
          <w:rFonts w:ascii="Times New Roman" w:hAnsi="Times New Roman"/>
          <w:sz w:val="24"/>
        </w:rPr>
        <w:t xml:space="preserve"> </w:t>
      </w:r>
      <w:r w:rsidR="00FB2E5A" w:rsidRPr="00011EC2">
        <w:rPr>
          <w:rFonts w:ascii="Times New Roman" w:hAnsi="Times New Roman"/>
          <w:sz w:val="24"/>
        </w:rPr>
        <w:t>percent)</w:t>
      </w:r>
      <w:r>
        <w:rPr>
          <w:rFonts w:ascii="Times New Roman" w:hAnsi="Times New Roman"/>
          <w:sz w:val="24"/>
        </w:rPr>
        <w:t>.</w:t>
      </w:r>
      <w:r w:rsidR="00FA621A">
        <w:rPr>
          <w:rFonts w:ascii="Times New Roman" w:hAnsi="Times New Roman"/>
          <w:sz w:val="24"/>
        </w:rPr>
        <w:t xml:space="preserve"> </w:t>
      </w:r>
      <w:r w:rsidR="00F32252">
        <w:rPr>
          <w:rFonts w:ascii="Times New Roman" w:hAnsi="Times New Roman"/>
          <w:sz w:val="24"/>
        </w:rPr>
        <w:t>PSE also filed for rate increase for pipeline replacement investment under the Cost Recovery Mechanism (CRM), effective November 1, 2015.</w:t>
      </w:r>
      <w:r w:rsidR="00D7549F">
        <w:rPr>
          <w:rStyle w:val="FootnoteReference"/>
          <w:rFonts w:ascii="Times New Roman" w:hAnsi="Times New Roman"/>
          <w:sz w:val="24"/>
        </w:rPr>
        <w:footnoteReference w:id="1"/>
      </w:r>
      <w:r w:rsidR="00F32252">
        <w:rPr>
          <w:rFonts w:ascii="Times New Roman" w:hAnsi="Times New Roman"/>
          <w:sz w:val="24"/>
        </w:rPr>
        <w:t xml:space="preserve"> </w:t>
      </w:r>
      <w:r w:rsidR="00FA621A">
        <w:rPr>
          <w:rFonts w:ascii="Times New Roman" w:hAnsi="Times New Roman"/>
          <w:sz w:val="24"/>
        </w:rPr>
        <w:t>The following ta</w:t>
      </w:r>
      <w:r w:rsidR="00F32252">
        <w:rPr>
          <w:rFonts w:ascii="Times New Roman" w:hAnsi="Times New Roman"/>
          <w:sz w:val="24"/>
        </w:rPr>
        <w:t xml:space="preserve">ble shows the </w:t>
      </w:r>
      <w:r w:rsidR="00B64984">
        <w:rPr>
          <w:rFonts w:ascii="Times New Roman" w:hAnsi="Times New Roman"/>
          <w:sz w:val="24"/>
        </w:rPr>
        <w:t>breakdown</w:t>
      </w:r>
      <w:r w:rsidR="000E3636">
        <w:rPr>
          <w:rFonts w:ascii="Times New Roman" w:hAnsi="Times New Roman"/>
          <w:sz w:val="24"/>
        </w:rPr>
        <w:t xml:space="preserve"> of requested revenue change from the two filings</w:t>
      </w:r>
      <w:r w:rsidR="00FA621A">
        <w:rPr>
          <w:rFonts w:ascii="Times New Roman" w:hAnsi="Times New Roman"/>
          <w:sz w:val="24"/>
        </w:rPr>
        <w:t xml:space="preserve">. </w:t>
      </w:r>
    </w:p>
    <w:p w14:paraId="5C3E2AE5" w14:textId="77777777" w:rsidR="00FA621A" w:rsidRPr="00DA04B9" w:rsidRDefault="00FA621A" w:rsidP="00FA621A">
      <w:pPr>
        <w:rPr>
          <w:rFonts w:ascii="Times New Roman" w:hAnsi="Times New Roman"/>
          <w:sz w:val="24"/>
        </w:rPr>
      </w:pPr>
    </w:p>
    <w:tbl>
      <w:tblPr>
        <w:tblStyle w:val="TableGrid"/>
        <w:tblW w:w="0" w:type="auto"/>
        <w:tblInd w:w="805" w:type="dxa"/>
        <w:tblLayout w:type="fixed"/>
        <w:tblLook w:val="04A0" w:firstRow="1" w:lastRow="0" w:firstColumn="1" w:lastColumn="0" w:noHBand="0" w:noVBand="1"/>
      </w:tblPr>
      <w:tblGrid>
        <w:gridCol w:w="1980"/>
        <w:gridCol w:w="1530"/>
        <w:gridCol w:w="2430"/>
        <w:gridCol w:w="1890"/>
      </w:tblGrid>
      <w:tr w:rsidR="00562894" w14:paraId="3BC1C6C6" w14:textId="77777777" w:rsidTr="00A851C3">
        <w:tc>
          <w:tcPr>
            <w:tcW w:w="1980" w:type="dxa"/>
            <w:vAlign w:val="center"/>
          </w:tcPr>
          <w:p w14:paraId="079BBDC8" w14:textId="77777777" w:rsidR="00562894" w:rsidRPr="00B95A3E" w:rsidRDefault="00562894" w:rsidP="00A52115">
            <w:pPr>
              <w:jc w:val="center"/>
              <w:rPr>
                <w:rFonts w:ascii="Times New Roman" w:hAnsi="Times New Roman"/>
                <w:b/>
                <w:sz w:val="24"/>
              </w:rPr>
            </w:pPr>
            <w:r w:rsidRPr="00B95A3E">
              <w:rPr>
                <w:rFonts w:ascii="Times New Roman" w:hAnsi="Times New Roman"/>
                <w:b/>
                <w:sz w:val="24"/>
              </w:rPr>
              <w:t>Docket</w:t>
            </w:r>
          </w:p>
        </w:tc>
        <w:tc>
          <w:tcPr>
            <w:tcW w:w="1530" w:type="dxa"/>
            <w:vAlign w:val="center"/>
          </w:tcPr>
          <w:p w14:paraId="7CCC440C" w14:textId="77777777" w:rsidR="00562894" w:rsidRPr="00B95A3E" w:rsidRDefault="00562894" w:rsidP="00A52115">
            <w:pPr>
              <w:jc w:val="center"/>
              <w:rPr>
                <w:rFonts w:ascii="Times New Roman" w:hAnsi="Times New Roman"/>
                <w:b/>
                <w:sz w:val="24"/>
              </w:rPr>
            </w:pPr>
            <w:r w:rsidRPr="00B95A3E">
              <w:rPr>
                <w:rFonts w:ascii="Times New Roman" w:hAnsi="Times New Roman"/>
                <w:b/>
                <w:sz w:val="24"/>
              </w:rPr>
              <w:t>Description</w:t>
            </w:r>
          </w:p>
        </w:tc>
        <w:tc>
          <w:tcPr>
            <w:tcW w:w="2430" w:type="dxa"/>
            <w:vAlign w:val="center"/>
          </w:tcPr>
          <w:p w14:paraId="435B6883" w14:textId="77777777" w:rsidR="00562894" w:rsidRPr="00B95A3E" w:rsidRDefault="00562894" w:rsidP="00A52115">
            <w:pPr>
              <w:jc w:val="center"/>
              <w:rPr>
                <w:rFonts w:ascii="Times New Roman" w:hAnsi="Times New Roman"/>
                <w:b/>
                <w:sz w:val="24"/>
              </w:rPr>
            </w:pPr>
            <w:r w:rsidRPr="00B95A3E">
              <w:rPr>
                <w:rFonts w:ascii="Times New Roman" w:hAnsi="Times New Roman"/>
                <w:b/>
                <w:sz w:val="24"/>
              </w:rPr>
              <w:t>Revenue Impact</w:t>
            </w:r>
          </w:p>
        </w:tc>
        <w:tc>
          <w:tcPr>
            <w:tcW w:w="1890" w:type="dxa"/>
            <w:vAlign w:val="center"/>
          </w:tcPr>
          <w:p w14:paraId="4C91B46D" w14:textId="59F62660" w:rsidR="00A851C3" w:rsidRDefault="00562894" w:rsidP="00A851C3">
            <w:pPr>
              <w:jc w:val="center"/>
              <w:rPr>
                <w:rFonts w:ascii="Times New Roman" w:hAnsi="Times New Roman"/>
                <w:b/>
                <w:sz w:val="24"/>
              </w:rPr>
            </w:pPr>
            <w:r w:rsidRPr="00B95A3E">
              <w:rPr>
                <w:rFonts w:ascii="Times New Roman" w:hAnsi="Times New Roman"/>
                <w:b/>
                <w:sz w:val="24"/>
              </w:rPr>
              <w:t xml:space="preserve">Percent </w:t>
            </w:r>
            <w:r w:rsidR="00A851C3">
              <w:rPr>
                <w:rFonts w:ascii="Times New Roman" w:hAnsi="Times New Roman"/>
                <w:b/>
                <w:sz w:val="24"/>
              </w:rPr>
              <w:t>o</w:t>
            </w:r>
            <w:r w:rsidR="007A1EF0">
              <w:rPr>
                <w:rFonts w:ascii="Times New Roman" w:hAnsi="Times New Roman"/>
                <w:b/>
                <w:sz w:val="24"/>
              </w:rPr>
              <w:t>f</w:t>
            </w:r>
          </w:p>
          <w:p w14:paraId="24C52FA6" w14:textId="0CC39AC8" w:rsidR="00562894" w:rsidRPr="00B95A3E" w:rsidRDefault="00A851C3" w:rsidP="00A851C3">
            <w:pPr>
              <w:jc w:val="center"/>
              <w:rPr>
                <w:rFonts w:ascii="Times New Roman" w:hAnsi="Times New Roman"/>
                <w:b/>
                <w:sz w:val="24"/>
              </w:rPr>
            </w:pPr>
            <w:r>
              <w:rPr>
                <w:rFonts w:ascii="Times New Roman" w:hAnsi="Times New Roman"/>
                <w:b/>
                <w:sz w:val="24"/>
              </w:rPr>
              <w:t>Total Revenue</w:t>
            </w:r>
          </w:p>
        </w:tc>
      </w:tr>
      <w:tr w:rsidR="00562894" w14:paraId="4CA2B515" w14:textId="77777777" w:rsidTr="00A52115">
        <w:tc>
          <w:tcPr>
            <w:tcW w:w="1980" w:type="dxa"/>
          </w:tcPr>
          <w:p w14:paraId="13F3811C" w14:textId="77777777" w:rsidR="00562894" w:rsidRDefault="00562894" w:rsidP="00A52115">
            <w:pPr>
              <w:rPr>
                <w:rFonts w:ascii="Times New Roman" w:hAnsi="Times New Roman"/>
                <w:sz w:val="24"/>
              </w:rPr>
            </w:pPr>
            <w:r>
              <w:rPr>
                <w:rFonts w:ascii="Times New Roman" w:hAnsi="Times New Roman"/>
                <w:sz w:val="24"/>
              </w:rPr>
              <w:t>UG-151870</w:t>
            </w:r>
          </w:p>
        </w:tc>
        <w:tc>
          <w:tcPr>
            <w:tcW w:w="1530" w:type="dxa"/>
          </w:tcPr>
          <w:p w14:paraId="7FACC737" w14:textId="77777777" w:rsidR="00562894" w:rsidRDefault="00562894" w:rsidP="00A52115">
            <w:pPr>
              <w:rPr>
                <w:rFonts w:ascii="Times New Roman" w:hAnsi="Times New Roman"/>
                <w:sz w:val="24"/>
              </w:rPr>
            </w:pPr>
            <w:r>
              <w:rPr>
                <w:rFonts w:ascii="Times New Roman" w:hAnsi="Times New Roman"/>
                <w:sz w:val="24"/>
              </w:rPr>
              <w:t>PGA</w:t>
            </w:r>
          </w:p>
        </w:tc>
        <w:tc>
          <w:tcPr>
            <w:tcW w:w="2430" w:type="dxa"/>
          </w:tcPr>
          <w:p w14:paraId="22638417" w14:textId="02CB0331" w:rsidR="00562894" w:rsidRDefault="00A851C3" w:rsidP="00A52115">
            <w:pPr>
              <w:tabs>
                <w:tab w:val="decimal" w:pos="1896"/>
              </w:tabs>
              <w:rPr>
                <w:rFonts w:ascii="Times New Roman" w:hAnsi="Times New Roman"/>
                <w:sz w:val="24"/>
              </w:rPr>
            </w:pPr>
            <w:r>
              <w:rPr>
                <w:rFonts w:ascii="Times New Roman" w:hAnsi="Times New Roman"/>
                <w:sz w:val="24"/>
              </w:rPr>
              <w:t>($11</w:t>
            </w:r>
            <w:r w:rsidR="00562894">
              <w:rPr>
                <w:rFonts w:ascii="Times New Roman" w:hAnsi="Times New Roman"/>
                <w:sz w:val="24"/>
              </w:rPr>
              <w:t>7,122,634)</w:t>
            </w:r>
          </w:p>
        </w:tc>
        <w:tc>
          <w:tcPr>
            <w:tcW w:w="1890" w:type="dxa"/>
          </w:tcPr>
          <w:p w14:paraId="5ECF2A9D" w14:textId="2EDCDCC0" w:rsidR="00562894" w:rsidRDefault="000E3636" w:rsidP="00EA706C">
            <w:pPr>
              <w:tabs>
                <w:tab w:val="decimal" w:pos="972"/>
              </w:tabs>
              <w:jc w:val="both"/>
              <w:rPr>
                <w:rFonts w:ascii="Times New Roman" w:hAnsi="Times New Roman"/>
                <w:sz w:val="24"/>
              </w:rPr>
            </w:pPr>
            <w:r>
              <w:rPr>
                <w:rFonts w:ascii="Times New Roman" w:hAnsi="Times New Roman"/>
                <w:sz w:val="24"/>
              </w:rPr>
              <w:t>(10.7</w:t>
            </w:r>
            <w:r w:rsidR="00562894">
              <w:rPr>
                <w:rFonts w:ascii="Times New Roman" w:hAnsi="Times New Roman"/>
                <w:sz w:val="24"/>
              </w:rPr>
              <w:t>4%)</w:t>
            </w:r>
          </w:p>
        </w:tc>
      </w:tr>
      <w:tr w:rsidR="00562894" w14:paraId="0CDAC0A6" w14:textId="77777777" w:rsidTr="00A52115">
        <w:tc>
          <w:tcPr>
            <w:tcW w:w="1980" w:type="dxa"/>
          </w:tcPr>
          <w:p w14:paraId="1909BDA0" w14:textId="77777777" w:rsidR="00562894" w:rsidRDefault="00562894" w:rsidP="00A52115">
            <w:pPr>
              <w:rPr>
                <w:rFonts w:ascii="Times New Roman" w:hAnsi="Times New Roman"/>
                <w:sz w:val="24"/>
              </w:rPr>
            </w:pPr>
            <w:r>
              <w:rPr>
                <w:rFonts w:ascii="Times New Roman" w:hAnsi="Times New Roman"/>
                <w:sz w:val="24"/>
              </w:rPr>
              <w:t>UG-151870</w:t>
            </w:r>
          </w:p>
        </w:tc>
        <w:tc>
          <w:tcPr>
            <w:tcW w:w="1530" w:type="dxa"/>
          </w:tcPr>
          <w:p w14:paraId="25BC522F" w14:textId="77777777" w:rsidR="00562894" w:rsidRDefault="00562894" w:rsidP="00A52115">
            <w:pPr>
              <w:rPr>
                <w:rFonts w:ascii="Times New Roman" w:hAnsi="Times New Roman"/>
                <w:sz w:val="24"/>
              </w:rPr>
            </w:pPr>
            <w:r>
              <w:rPr>
                <w:rFonts w:ascii="Times New Roman" w:hAnsi="Times New Roman"/>
                <w:sz w:val="24"/>
              </w:rPr>
              <w:t>Deferral</w:t>
            </w:r>
          </w:p>
        </w:tc>
        <w:tc>
          <w:tcPr>
            <w:tcW w:w="2430" w:type="dxa"/>
          </w:tcPr>
          <w:p w14:paraId="44A98B3F" w14:textId="77777777" w:rsidR="00562894" w:rsidRDefault="00562894" w:rsidP="00A52115">
            <w:pPr>
              <w:tabs>
                <w:tab w:val="decimal" w:pos="1896"/>
              </w:tabs>
              <w:rPr>
                <w:rFonts w:ascii="Times New Roman" w:hAnsi="Times New Roman"/>
                <w:sz w:val="24"/>
              </w:rPr>
            </w:pPr>
            <w:r>
              <w:rPr>
                <w:rFonts w:ascii="Times New Roman" w:hAnsi="Times New Roman"/>
                <w:sz w:val="24"/>
              </w:rPr>
              <w:t>($68,759,645)</w:t>
            </w:r>
          </w:p>
        </w:tc>
        <w:tc>
          <w:tcPr>
            <w:tcW w:w="1890" w:type="dxa"/>
          </w:tcPr>
          <w:p w14:paraId="374FD63D" w14:textId="21DC921F" w:rsidR="00562894" w:rsidRDefault="000E3636" w:rsidP="00EA706C">
            <w:pPr>
              <w:tabs>
                <w:tab w:val="decimal" w:pos="972"/>
              </w:tabs>
              <w:jc w:val="both"/>
              <w:rPr>
                <w:rFonts w:ascii="Times New Roman" w:hAnsi="Times New Roman"/>
                <w:sz w:val="24"/>
              </w:rPr>
            </w:pPr>
            <w:r>
              <w:rPr>
                <w:rFonts w:ascii="Times New Roman" w:hAnsi="Times New Roman"/>
                <w:sz w:val="24"/>
              </w:rPr>
              <w:t>(6.31</w:t>
            </w:r>
            <w:r w:rsidR="00562894">
              <w:rPr>
                <w:rFonts w:ascii="Times New Roman" w:hAnsi="Times New Roman"/>
                <w:sz w:val="24"/>
              </w:rPr>
              <w:t>%)</w:t>
            </w:r>
          </w:p>
        </w:tc>
      </w:tr>
      <w:tr w:rsidR="00562894" w14:paraId="36B03534" w14:textId="77777777" w:rsidTr="00A52115">
        <w:tc>
          <w:tcPr>
            <w:tcW w:w="1980" w:type="dxa"/>
          </w:tcPr>
          <w:p w14:paraId="3F1D55A7" w14:textId="77777777" w:rsidR="00562894" w:rsidRDefault="00562894" w:rsidP="00A52115">
            <w:pPr>
              <w:rPr>
                <w:rFonts w:ascii="Times New Roman" w:hAnsi="Times New Roman"/>
                <w:sz w:val="24"/>
              </w:rPr>
            </w:pPr>
            <w:r>
              <w:rPr>
                <w:rFonts w:ascii="Times New Roman" w:hAnsi="Times New Roman"/>
                <w:sz w:val="24"/>
              </w:rPr>
              <w:t>UG-151159</w:t>
            </w:r>
          </w:p>
        </w:tc>
        <w:tc>
          <w:tcPr>
            <w:tcW w:w="1530" w:type="dxa"/>
          </w:tcPr>
          <w:p w14:paraId="636BCE18" w14:textId="77777777" w:rsidR="00562894" w:rsidRDefault="00562894" w:rsidP="00A52115">
            <w:pPr>
              <w:rPr>
                <w:rFonts w:ascii="Times New Roman" w:hAnsi="Times New Roman"/>
                <w:sz w:val="24"/>
              </w:rPr>
            </w:pPr>
            <w:r>
              <w:rPr>
                <w:rFonts w:ascii="Times New Roman" w:hAnsi="Times New Roman"/>
                <w:sz w:val="24"/>
              </w:rPr>
              <w:t>CRM</w:t>
            </w:r>
          </w:p>
        </w:tc>
        <w:tc>
          <w:tcPr>
            <w:tcW w:w="2430" w:type="dxa"/>
          </w:tcPr>
          <w:p w14:paraId="39CE542C" w14:textId="77777777" w:rsidR="00562894" w:rsidRDefault="00562894" w:rsidP="00A52115">
            <w:pPr>
              <w:tabs>
                <w:tab w:val="decimal" w:pos="1896"/>
              </w:tabs>
              <w:rPr>
                <w:rFonts w:ascii="Times New Roman" w:hAnsi="Times New Roman"/>
                <w:sz w:val="24"/>
              </w:rPr>
            </w:pPr>
            <w:r>
              <w:rPr>
                <w:rFonts w:ascii="Times New Roman" w:hAnsi="Times New Roman"/>
                <w:sz w:val="24"/>
              </w:rPr>
              <w:t>5,331,376</w:t>
            </w:r>
          </w:p>
        </w:tc>
        <w:tc>
          <w:tcPr>
            <w:tcW w:w="1890" w:type="dxa"/>
          </w:tcPr>
          <w:p w14:paraId="3B7FF393" w14:textId="6CB07DB2" w:rsidR="00562894" w:rsidRDefault="000E3636" w:rsidP="00EA706C">
            <w:pPr>
              <w:tabs>
                <w:tab w:val="decimal" w:pos="972"/>
              </w:tabs>
              <w:jc w:val="both"/>
              <w:rPr>
                <w:rFonts w:ascii="Times New Roman" w:hAnsi="Times New Roman"/>
                <w:sz w:val="24"/>
              </w:rPr>
            </w:pPr>
            <w:r>
              <w:rPr>
                <w:rFonts w:ascii="Times New Roman" w:hAnsi="Times New Roman"/>
                <w:sz w:val="24"/>
              </w:rPr>
              <w:t>0.49%</w:t>
            </w:r>
          </w:p>
        </w:tc>
      </w:tr>
      <w:tr w:rsidR="00562894" w14:paraId="613DF537" w14:textId="77777777" w:rsidTr="00A52115">
        <w:tc>
          <w:tcPr>
            <w:tcW w:w="1980" w:type="dxa"/>
          </w:tcPr>
          <w:p w14:paraId="20F5EDD3" w14:textId="77777777" w:rsidR="00562894" w:rsidRDefault="00562894" w:rsidP="00A52115">
            <w:pPr>
              <w:rPr>
                <w:rFonts w:ascii="Times New Roman" w:hAnsi="Times New Roman"/>
                <w:sz w:val="24"/>
              </w:rPr>
            </w:pPr>
          </w:p>
        </w:tc>
        <w:tc>
          <w:tcPr>
            <w:tcW w:w="1530" w:type="dxa"/>
          </w:tcPr>
          <w:p w14:paraId="15B17AA4" w14:textId="77777777" w:rsidR="00562894" w:rsidRPr="00B95A3E" w:rsidRDefault="00562894" w:rsidP="00A52115">
            <w:pPr>
              <w:tabs>
                <w:tab w:val="left" w:pos="342"/>
              </w:tabs>
              <w:rPr>
                <w:rFonts w:ascii="Times New Roman" w:hAnsi="Times New Roman"/>
                <w:b/>
                <w:sz w:val="24"/>
              </w:rPr>
            </w:pPr>
            <w:r>
              <w:rPr>
                <w:rFonts w:ascii="Times New Roman" w:hAnsi="Times New Roman"/>
                <w:b/>
                <w:sz w:val="24"/>
              </w:rPr>
              <w:tab/>
            </w:r>
            <w:r w:rsidRPr="00B95A3E">
              <w:rPr>
                <w:rFonts w:ascii="Times New Roman" w:hAnsi="Times New Roman"/>
                <w:b/>
                <w:sz w:val="24"/>
              </w:rPr>
              <w:t>Total</w:t>
            </w:r>
          </w:p>
        </w:tc>
        <w:tc>
          <w:tcPr>
            <w:tcW w:w="2430" w:type="dxa"/>
          </w:tcPr>
          <w:p w14:paraId="54BAA7E4" w14:textId="5FD4FA73" w:rsidR="00562894" w:rsidRPr="00B95A3E" w:rsidRDefault="00562894" w:rsidP="000E3636">
            <w:pPr>
              <w:tabs>
                <w:tab w:val="decimal" w:pos="1896"/>
              </w:tabs>
              <w:rPr>
                <w:rFonts w:ascii="Times New Roman" w:hAnsi="Times New Roman"/>
                <w:b/>
                <w:sz w:val="24"/>
              </w:rPr>
            </w:pPr>
            <w:r w:rsidRPr="00B95A3E">
              <w:rPr>
                <w:rFonts w:ascii="Times New Roman" w:hAnsi="Times New Roman"/>
                <w:b/>
                <w:sz w:val="24"/>
              </w:rPr>
              <w:t>($180,550,90</w:t>
            </w:r>
            <w:r w:rsidR="000E3636">
              <w:rPr>
                <w:rFonts w:ascii="Times New Roman" w:hAnsi="Times New Roman"/>
                <w:b/>
                <w:sz w:val="24"/>
              </w:rPr>
              <w:t>4</w:t>
            </w:r>
            <w:r w:rsidRPr="00B95A3E">
              <w:rPr>
                <w:rFonts w:ascii="Times New Roman" w:hAnsi="Times New Roman"/>
                <w:b/>
                <w:sz w:val="24"/>
              </w:rPr>
              <w:t>)</w:t>
            </w:r>
          </w:p>
        </w:tc>
        <w:tc>
          <w:tcPr>
            <w:tcW w:w="1890" w:type="dxa"/>
          </w:tcPr>
          <w:p w14:paraId="17C7A627" w14:textId="20A9CBAF" w:rsidR="00562894" w:rsidRPr="00B95A3E" w:rsidRDefault="000E3636" w:rsidP="00EA706C">
            <w:pPr>
              <w:tabs>
                <w:tab w:val="decimal" w:pos="972"/>
              </w:tabs>
              <w:jc w:val="both"/>
              <w:rPr>
                <w:rFonts w:ascii="Times New Roman" w:hAnsi="Times New Roman"/>
                <w:b/>
                <w:sz w:val="24"/>
              </w:rPr>
            </w:pPr>
            <w:r>
              <w:rPr>
                <w:rFonts w:ascii="Times New Roman" w:hAnsi="Times New Roman"/>
                <w:b/>
                <w:sz w:val="24"/>
              </w:rPr>
              <w:t>(</w:t>
            </w:r>
            <w:r w:rsidR="00562894" w:rsidRPr="00B95A3E">
              <w:rPr>
                <w:rFonts w:ascii="Times New Roman" w:hAnsi="Times New Roman"/>
                <w:b/>
                <w:sz w:val="24"/>
              </w:rPr>
              <w:t>16.</w:t>
            </w:r>
            <w:r>
              <w:rPr>
                <w:rFonts w:ascii="Times New Roman" w:hAnsi="Times New Roman"/>
                <w:b/>
                <w:sz w:val="24"/>
              </w:rPr>
              <w:t>56</w:t>
            </w:r>
            <w:r w:rsidR="00562894" w:rsidRPr="00B95A3E">
              <w:rPr>
                <w:rFonts w:ascii="Times New Roman" w:hAnsi="Times New Roman"/>
                <w:b/>
                <w:sz w:val="24"/>
              </w:rPr>
              <w:t>%</w:t>
            </w:r>
            <w:r>
              <w:rPr>
                <w:rFonts w:ascii="Times New Roman" w:hAnsi="Times New Roman"/>
                <w:b/>
                <w:sz w:val="24"/>
              </w:rPr>
              <w:t>)</w:t>
            </w:r>
          </w:p>
        </w:tc>
      </w:tr>
    </w:tbl>
    <w:p w14:paraId="0EE15DE4" w14:textId="77777777" w:rsidR="00FA621A" w:rsidRPr="00DA04B9" w:rsidRDefault="00FA621A" w:rsidP="00FA621A">
      <w:pPr>
        <w:rPr>
          <w:rFonts w:ascii="Times New Roman" w:hAnsi="Times New Roman"/>
          <w:sz w:val="24"/>
        </w:rPr>
      </w:pPr>
    </w:p>
    <w:p w14:paraId="4D2D9F17" w14:textId="15AE37CF" w:rsidR="00B32CA3" w:rsidRDefault="00223A6B" w:rsidP="00FA621A">
      <w:pPr>
        <w:rPr>
          <w:rFonts w:ascii="Times New Roman" w:hAnsi="Times New Roman"/>
          <w:sz w:val="24"/>
        </w:rPr>
      </w:pPr>
      <w:r w:rsidRPr="00011EC2">
        <w:rPr>
          <w:rFonts w:ascii="Times New Roman" w:hAnsi="Times New Roman"/>
          <w:sz w:val="24"/>
        </w:rPr>
        <w:t xml:space="preserve">PSE serves </w:t>
      </w:r>
      <w:r w:rsidR="00011EC2" w:rsidRPr="00011EC2">
        <w:rPr>
          <w:rFonts w:ascii="Times New Roman" w:hAnsi="Times New Roman"/>
          <w:sz w:val="24"/>
        </w:rPr>
        <w:t>813,240</w:t>
      </w:r>
      <w:r w:rsidRPr="00011EC2">
        <w:rPr>
          <w:rFonts w:ascii="Times New Roman" w:hAnsi="Times New Roman"/>
          <w:sz w:val="24"/>
        </w:rPr>
        <w:t xml:space="preserve"> natural gas customers in six counties in Washington – King, Kittitas, Lewis, Pierce, Snohomish, and Thurston</w:t>
      </w:r>
      <w:r w:rsidR="00FB2E5A" w:rsidRPr="00011EC2">
        <w:rPr>
          <w:rFonts w:ascii="Times New Roman" w:hAnsi="Times New Roman"/>
          <w:sz w:val="24"/>
        </w:rPr>
        <w:t>.</w:t>
      </w:r>
      <w:r w:rsidR="00D178DC" w:rsidRPr="00011EC2">
        <w:rPr>
          <w:rFonts w:ascii="Times New Roman" w:hAnsi="Times New Roman"/>
          <w:sz w:val="24"/>
        </w:rPr>
        <w:t xml:space="preserve"> </w:t>
      </w:r>
    </w:p>
    <w:p w14:paraId="14D298FD" w14:textId="77777777" w:rsidR="0082369F" w:rsidRDefault="0082369F" w:rsidP="00FB2E5A">
      <w:pPr>
        <w:rPr>
          <w:rFonts w:ascii="Times New Roman" w:hAnsi="Times New Roman"/>
          <w:sz w:val="24"/>
        </w:rPr>
      </w:pPr>
    </w:p>
    <w:p w14:paraId="04D5D154" w14:textId="77777777" w:rsidR="009B58B4" w:rsidRPr="00474A0A" w:rsidRDefault="009B58B4" w:rsidP="00025483">
      <w:pPr>
        <w:pStyle w:val="Heading1"/>
        <w:rPr>
          <w:rStyle w:val="BookTitle"/>
        </w:rPr>
      </w:pPr>
      <w:r w:rsidRPr="00474A0A">
        <w:rPr>
          <w:rStyle w:val="BookTitle"/>
        </w:rPr>
        <w:t>Discussion</w:t>
      </w:r>
    </w:p>
    <w:p w14:paraId="04D5D155" w14:textId="77777777" w:rsidR="00D4342A" w:rsidRPr="004970DA" w:rsidRDefault="00D4342A" w:rsidP="00FB2E5A">
      <w:pPr>
        <w:rPr>
          <w:rFonts w:ascii="Times New Roman" w:hAnsi="Times New Roman"/>
          <w:sz w:val="24"/>
        </w:rPr>
      </w:pPr>
    </w:p>
    <w:p w14:paraId="04D5D156" w14:textId="77777777" w:rsidR="009B58B4" w:rsidRPr="00DA04B9" w:rsidRDefault="00FB2E5A" w:rsidP="00025483">
      <w:pPr>
        <w:pStyle w:val="Heading2"/>
      </w:pPr>
      <w:r w:rsidRPr="00DA04B9">
        <w:t>Purchased Gas Adjustment</w:t>
      </w:r>
    </w:p>
    <w:p w14:paraId="5868766B" w14:textId="77777777" w:rsidR="004C4AE6" w:rsidRPr="004C4AE6" w:rsidRDefault="004C4AE6" w:rsidP="004C4AE6"/>
    <w:p w14:paraId="7BACAC23" w14:textId="0C598B97" w:rsidR="00011EC2" w:rsidRPr="001A6722" w:rsidRDefault="00011EC2" w:rsidP="00011EC2">
      <w:pPr>
        <w:rPr>
          <w:rFonts w:ascii="Times New Roman" w:hAnsi="Times New Roman"/>
          <w:sz w:val="24"/>
        </w:rPr>
      </w:pPr>
      <w:r w:rsidRPr="00011EC2">
        <w:rPr>
          <w:rFonts w:ascii="Times New Roman" w:hAnsi="Times New Roman"/>
          <w:sz w:val="24"/>
        </w:rPr>
        <w:t xml:space="preserve">The PGA establishes a projection of the </w:t>
      </w:r>
      <w:r w:rsidR="00FA621A">
        <w:rPr>
          <w:rFonts w:ascii="Times New Roman" w:hAnsi="Times New Roman"/>
          <w:sz w:val="24"/>
        </w:rPr>
        <w:t>PSE’s</w:t>
      </w:r>
      <w:r w:rsidRPr="00011EC2">
        <w:rPr>
          <w:rFonts w:ascii="Times New Roman" w:hAnsi="Times New Roman"/>
          <w:sz w:val="24"/>
        </w:rPr>
        <w:t xml:space="preserve"> gas costs</w:t>
      </w:r>
      <w:r w:rsidR="00FA621A" w:rsidRPr="00FA621A">
        <w:rPr>
          <w:rFonts w:ascii="Times New Roman" w:hAnsi="Times New Roman"/>
          <w:sz w:val="24"/>
        </w:rPr>
        <w:t xml:space="preserve"> </w:t>
      </w:r>
      <w:r w:rsidR="00FA621A" w:rsidRPr="00011EC2">
        <w:rPr>
          <w:rFonts w:ascii="Times New Roman" w:hAnsi="Times New Roman"/>
          <w:sz w:val="24"/>
        </w:rPr>
        <w:t xml:space="preserve">for the </w:t>
      </w:r>
      <w:r w:rsidR="00FA621A">
        <w:rPr>
          <w:rFonts w:ascii="Times New Roman" w:hAnsi="Times New Roman"/>
          <w:sz w:val="24"/>
        </w:rPr>
        <w:t xml:space="preserve">coming November 2015 – </w:t>
      </w:r>
      <w:r w:rsidR="00FA621A" w:rsidRPr="001A6722">
        <w:rPr>
          <w:rFonts w:ascii="Times New Roman" w:hAnsi="Times New Roman"/>
          <w:sz w:val="24"/>
        </w:rPr>
        <w:lastRenderedPageBreak/>
        <w:t>October 2016 rate year</w:t>
      </w:r>
      <w:r w:rsidRPr="001A6722">
        <w:rPr>
          <w:rFonts w:ascii="Times New Roman" w:hAnsi="Times New Roman"/>
          <w:sz w:val="24"/>
        </w:rPr>
        <w:t>. The difference between the projected cost and the actual cost is deferred and ultimately amortized back to customers with interest, as a surcharge or refund.</w:t>
      </w:r>
      <w:r w:rsidR="00436E8C" w:rsidRPr="001A6722">
        <w:rPr>
          <w:rFonts w:ascii="Times New Roman" w:hAnsi="Times New Roman"/>
          <w:sz w:val="24"/>
        </w:rPr>
        <w:t xml:space="preserve"> Due to lower commodity gas costs, the company is proposing a decrease of approximately $117 million (-10.</w:t>
      </w:r>
      <w:r w:rsidR="009D0734">
        <w:rPr>
          <w:rFonts w:ascii="Times New Roman" w:hAnsi="Times New Roman"/>
          <w:sz w:val="24"/>
        </w:rPr>
        <w:t>7</w:t>
      </w:r>
      <w:r w:rsidR="00436E8C" w:rsidRPr="001A6722">
        <w:rPr>
          <w:rFonts w:ascii="Times New Roman" w:hAnsi="Times New Roman"/>
          <w:sz w:val="24"/>
        </w:rPr>
        <w:t xml:space="preserve"> percent) in annual revenue for the PGA portion.</w:t>
      </w:r>
    </w:p>
    <w:p w14:paraId="2A54B4DA" w14:textId="77777777" w:rsidR="00011EC2" w:rsidRPr="00A11266" w:rsidRDefault="00011EC2" w:rsidP="00011EC2">
      <w:pPr>
        <w:rPr>
          <w:rFonts w:ascii="Times New Roman" w:hAnsi="Times New Roman"/>
          <w:color w:val="FF0000"/>
          <w:sz w:val="24"/>
        </w:rPr>
      </w:pPr>
    </w:p>
    <w:p w14:paraId="04D5D157" w14:textId="69F983E1" w:rsidR="00FB2E5A" w:rsidRPr="00436E8C" w:rsidRDefault="00751478" w:rsidP="00FB2E5A">
      <w:pPr>
        <w:rPr>
          <w:rFonts w:ascii="Times New Roman" w:hAnsi="Times New Roman"/>
          <w:sz w:val="24"/>
        </w:rPr>
      </w:pPr>
      <w:r>
        <w:rPr>
          <w:rFonts w:ascii="Times New Roman" w:hAnsi="Times New Roman"/>
          <w:sz w:val="24"/>
        </w:rPr>
        <w:t>PSE’s</w:t>
      </w:r>
      <w:r w:rsidR="00FB2E5A" w:rsidRPr="00436E8C">
        <w:rPr>
          <w:rFonts w:ascii="Times New Roman" w:hAnsi="Times New Roman"/>
          <w:sz w:val="24"/>
        </w:rPr>
        <w:t xml:space="preserve"> PGA consists of two </w:t>
      </w:r>
      <w:r w:rsidR="00420096" w:rsidRPr="00436E8C">
        <w:rPr>
          <w:rFonts w:ascii="Times New Roman" w:hAnsi="Times New Roman"/>
          <w:sz w:val="24"/>
        </w:rPr>
        <w:t>cost categories</w:t>
      </w:r>
      <w:r w:rsidR="00FB2E5A" w:rsidRPr="00436E8C">
        <w:rPr>
          <w:rFonts w:ascii="Times New Roman" w:hAnsi="Times New Roman"/>
          <w:sz w:val="24"/>
        </w:rPr>
        <w:t xml:space="preserve">: the cost of </w:t>
      </w:r>
      <w:r w:rsidR="00420096" w:rsidRPr="00436E8C">
        <w:rPr>
          <w:rFonts w:ascii="Times New Roman" w:hAnsi="Times New Roman"/>
          <w:sz w:val="24"/>
        </w:rPr>
        <w:t xml:space="preserve">the </w:t>
      </w:r>
      <w:r w:rsidR="00FB2E5A" w:rsidRPr="00436E8C">
        <w:rPr>
          <w:rFonts w:ascii="Times New Roman" w:hAnsi="Times New Roman"/>
          <w:sz w:val="24"/>
        </w:rPr>
        <w:t>gas purchased by the company from its gas suppliers</w:t>
      </w:r>
      <w:r>
        <w:rPr>
          <w:rFonts w:ascii="Times New Roman" w:hAnsi="Times New Roman"/>
          <w:sz w:val="24"/>
        </w:rPr>
        <w:t xml:space="preserve"> and the variable cost associated with pipeline transportation</w:t>
      </w:r>
      <w:r w:rsidR="00FB2E5A" w:rsidRPr="00436E8C">
        <w:rPr>
          <w:rFonts w:ascii="Times New Roman" w:hAnsi="Times New Roman"/>
          <w:sz w:val="24"/>
        </w:rPr>
        <w:t xml:space="preserve"> </w:t>
      </w:r>
      <w:r w:rsidR="00420096" w:rsidRPr="00436E8C">
        <w:rPr>
          <w:rFonts w:ascii="Times New Roman" w:hAnsi="Times New Roman"/>
          <w:sz w:val="24"/>
        </w:rPr>
        <w:t xml:space="preserve">(commodity) </w:t>
      </w:r>
      <w:r w:rsidR="00FB2E5A" w:rsidRPr="00436E8C">
        <w:rPr>
          <w:rFonts w:ascii="Times New Roman" w:hAnsi="Times New Roman"/>
          <w:sz w:val="24"/>
        </w:rPr>
        <w:t xml:space="preserve">and the </w:t>
      </w:r>
      <w:r>
        <w:rPr>
          <w:rFonts w:ascii="Times New Roman" w:hAnsi="Times New Roman"/>
          <w:sz w:val="24"/>
        </w:rPr>
        <w:t xml:space="preserve">fixed </w:t>
      </w:r>
      <w:r w:rsidR="00FB2E5A" w:rsidRPr="00436E8C">
        <w:rPr>
          <w:rFonts w:ascii="Times New Roman" w:hAnsi="Times New Roman"/>
          <w:sz w:val="24"/>
        </w:rPr>
        <w:t xml:space="preserve">cost of pipeline </w:t>
      </w:r>
      <w:r w:rsidR="00F8550C">
        <w:rPr>
          <w:rFonts w:ascii="Times New Roman" w:hAnsi="Times New Roman"/>
          <w:sz w:val="24"/>
        </w:rPr>
        <w:t>transportation</w:t>
      </w:r>
      <w:r>
        <w:rPr>
          <w:rFonts w:ascii="Times New Roman" w:hAnsi="Times New Roman"/>
          <w:sz w:val="24"/>
        </w:rPr>
        <w:t xml:space="preserve"> </w:t>
      </w:r>
      <w:r w:rsidR="00FB2E5A" w:rsidRPr="00436E8C">
        <w:rPr>
          <w:rFonts w:ascii="Times New Roman" w:hAnsi="Times New Roman"/>
          <w:sz w:val="24"/>
        </w:rPr>
        <w:t xml:space="preserve">and storage capacity under contract </w:t>
      </w:r>
      <w:r w:rsidR="00420096" w:rsidRPr="00436E8C">
        <w:rPr>
          <w:rFonts w:ascii="Times New Roman" w:hAnsi="Times New Roman"/>
          <w:sz w:val="24"/>
        </w:rPr>
        <w:t>(demand)</w:t>
      </w:r>
      <w:r w:rsidR="00FB2E5A" w:rsidRPr="00436E8C">
        <w:rPr>
          <w:rFonts w:ascii="Times New Roman" w:hAnsi="Times New Roman"/>
          <w:sz w:val="24"/>
        </w:rPr>
        <w:t>.</w:t>
      </w:r>
      <w:r w:rsidR="00D178DC" w:rsidRPr="00436E8C">
        <w:rPr>
          <w:rFonts w:ascii="Times New Roman" w:hAnsi="Times New Roman"/>
          <w:sz w:val="24"/>
        </w:rPr>
        <w:t xml:space="preserve"> </w:t>
      </w:r>
      <w:r w:rsidR="000F3DB5" w:rsidRPr="00436E8C">
        <w:rPr>
          <w:rFonts w:ascii="Times New Roman" w:hAnsi="Times New Roman"/>
          <w:sz w:val="24"/>
        </w:rPr>
        <w:t>PSE</w:t>
      </w:r>
      <w:r w:rsidR="00FB2E5A" w:rsidRPr="00436E8C">
        <w:rPr>
          <w:rFonts w:ascii="Times New Roman" w:hAnsi="Times New Roman"/>
          <w:sz w:val="24"/>
        </w:rPr>
        <w:t xml:space="preserve">’s </w:t>
      </w:r>
      <w:r w:rsidR="00436E8C" w:rsidRPr="00436E8C">
        <w:rPr>
          <w:rFonts w:ascii="Times New Roman" w:hAnsi="Times New Roman"/>
          <w:sz w:val="24"/>
        </w:rPr>
        <w:t>current</w:t>
      </w:r>
      <w:r w:rsidR="004D76A5" w:rsidRPr="00436E8C">
        <w:rPr>
          <w:rFonts w:ascii="Times New Roman" w:hAnsi="Times New Roman"/>
          <w:sz w:val="24"/>
        </w:rPr>
        <w:t xml:space="preserve"> residential</w:t>
      </w:r>
      <w:r w:rsidR="00FB2E5A" w:rsidRPr="00436E8C">
        <w:rPr>
          <w:rFonts w:ascii="Times New Roman" w:hAnsi="Times New Roman"/>
          <w:sz w:val="24"/>
        </w:rPr>
        <w:t xml:space="preserve"> </w:t>
      </w:r>
      <w:r w:rsidR="00B94F05" w:rsidRPr="00436E8C">
        <w:rPr>
          <w:rFonts w:ascii="Times New Roman" w:hAnsi="Times New Roman"/>
          <w:sz w:val="24"/>
        </w:rPr>
        <w:t>w</w:t>
      </w:r>
      <w:r w:rsidR="006A388D" w:rsidRPr="00436E8C">
        <w:rPr>
          <w:rFonts w:ascii="Times New Roman" w:hAnsi="Times New Roman"/>
          <w:sz w:val="24"/>
        </w:rPr>
        <w:t xml:space="preserve">eighted </w:t>
      </w:r>
      <w:r w:rsidR="00B94F05" w:rsidRPr="00436E8C">
        <w:rPr>
          <w:rFonts w:ascii="Times New Roman" w:hAnsi="Times New Roman"/>
          <w:sz w:val="24"/>
        </w:rPr>
        <w:t>a</w:t>
      </w:r>
      <w:r w:rsidR="006A388D" w:rsidRPr="00436E8C">
        <w:rPr>
          <w:rFonts w:ascii="Times New Roman" w:hAnsi="Times New Roman"/>
          <w:sz w:val="24"/>
        </w:rPr>
        <w:t xml:space="preserve">verage </w:t>
      </w:r>
      <w:r w:rsidR="00B94F05" w:rsidRPr="00436E8C">
        <w:rPr>
          <w:rFonts w:ascii="Times New Roman" w:hAnsi="Times New Roman"/>
          <w:sz w:val="24"/>
        </w:rPr>
        <w:t>c</w:t>
      </w:r>
      <w:r w:rsidR="006A388D" w:rsidRPr="00436E8C">
        <w:rPr>
          <w:rFonts w:ascii="Times New Roman" w:hAnsi="Times New Roman"/>
          <w:sz w:val="24"/>
        </w:rPr>
        <w:t xml:space="preserve">ost of </w:t>
      </w:r>
      <w:r w:rsidR="00B94F05" w:rsidRPr="00436E8C">
        <w:rPr>
          <w:rFonts w:ascii="Times New Roman" w:hAnsi="Times New Roman"/>
          <w:sz w:val="24"/>
        </w:rPr>
        <w:t>g</w:t>
      </w:r>
      <w:r w:rsidR="006A388D" w:rsidRPr="00436E8C">
        <w:rPr>
          <w:rFonts w:ascii="Times New Roman" w:hAnsi="Times New Roman"/>
          <w:sz w:val="24"/>
        </w:rPr>
        <w:t>as (</w:t>
      </w:r>
      <w:r w:rsidR="00FB2E5A" w:rsidRPr="00436E8C">
        <w:rPr>
          <w:rFonts w:ascii="Times New Roman" w:hAnsi="Times New Roman"/>
          <w:sz w:val="24"/>
        </w:rPr>
        <w:t>WACOG</w:t>
      </w:r>
      <w:r w:rsidR="006A388D" w:rsidRPr="00436E8C">
        <w:rPr>
          <w:rFonts w:ascii="Times New Roman" w:hAnsi="Times New Roman"/>
          <w:sz w:val="24"/>
        </w:rPr>
        <w:t>)</w:t>
      </w:r>
      <w:r w:rsidR="00536629" w:rsidRPr="00436E8C">
        <w:rPr>
          <w:rFonts w:ascii="Times New Roman" w:hAnsi="Times New Roman"/>
          <w:sz w:val="24"/>
        </w:rPr>
        <w:t xml:space="preserve"> is $0.</w:t>
      </w:r>
      <w:r w:rsidR="00436E8C" w:rsidRPr="00436E8C">
        <w:rPr>
          <w:rFonts w:ascii="Times New Roman" w:hAnsi="Times New Roman"/>
          <w:sz w:val="24"/>
        </w:rPr>
        <w:t>53699</w:t>
      </w:r>
      <w:r w:rsidR="00FB2E5A" w:rsidRPr="00436E8C">
        <w:rPr>
          <w:rFonts w:ascii="Times New Roman" w:hAnsi="Times New Roman"/>
          <w:sz w:val="24"/>
        </w:rPr>
        <w:t xml:space="preserve"> per </w:t>
      </w:r>
      <w:proofErr w:type="spellStart"/>
      <w:r w:rsidR="00FB2E5A" w:rsidRPr="00436E8C">
        <w:rPr>
          <w:rFonts w:ascii="Times New Roman" w:hAnsi="Times New Roman"/>
          <w:sz w:val="24"/>
        </w:rPr>
        <w:t>therm</w:t>
      </w:r>
      <w:proofErr w:type="spellEnd"/>
      <w:r w:rsidR="00FB2E5A" w:rsidRPr="00436E8C">
        <w:rPr>
          <w:rFonts w:ascii="Times New Roman" w:hAnsi="Times New Roman"/>
          <w:sz w:val="24"/>
        </w:rPr>
        <w:t xml:space="preserve"> (</w:t>
      </w:r>
      <w:r w:rsidR="0056751A" w:rsidRPr="00436E8C">
        <w:rPr>
          <w:rFonts w:ascii="Times New Roman" w:hAnsi="Times New Roman"/>
          <w:sz w:val="24"/>
        </w:rPr>
        <w:t>$0.</w:t>
      </w:r>
      <w:r w:rsidR="00436E8C" w:rsidRPr="00436E8C">
        <w:rPr>
          <w:rFonts w:ascii="Times New Roman" w:hAnsi="Times New Roman"/>
          <w:sz w:val="24"/>
        </w:rPr>
        <w:t>40038</w:t>
      </w:r>
      <w:r w:rsidR="0056751A" w:rsidRPr="00436E8C">
        <w:rPr>
          <w:rFonts w:ascii="Times New Roman" w:hAnsi="Times New Roman"/>
          <w:sz w:val="24"/>
        </w:rPr>
        <w:t xml:space="preserve"> commodity and $0.</w:t>
      </w:r>
      <w:r w:rsidR="00436E8C" w:rsidRPr="00436E8C">
        <w:rPr>
          <w:rFonts w:ascii="Times New Roman" w:hAnsi="Times New Roman"/>
          <w:sz w:val="24"/>
        </w:rPr>
        <w:t>13661</w:t>
      </w:r>
      <w:r w:rsidR="0056751A" w:rsidRPr="00436E8C">
        <w:rPr>
          <w:rFonts w:ascii="Times New Roman" w:hAnsi="Times New Roman"/>
          <w:sz w:val="24"/>
        </w:rPr>
        <w:t xml:space="preserve"> firm demand</w:t>
      </w:r>
      <w:r w:rsidR="008E1357" w:rsidRPr="00436E8C">
        <w:rPr>
          <w:rFonts w:ascii="Times New Roman" w:hAnsi="Times New Roman"/>
          <w:sz w:val="24"/>
        </w:rPr>
        <w:t>) and the proposed WACOG is $</w:t>
      </w:r>
      <w:r w:rsidR="00436E8C" w:rsidRPr="00436E8C">
        <w:rPr>
          <w:rFonts w:ascii="Times New Roman" w:hAnsi="Times New Roman"/>
          <w:sz w:val="24"/>
        </w:rPr>
        <w:t>0.</w:t>
      </w:r>
      <w:r w:rsidR="004C4AE6">
        <w:rPr>
          <w:rFonts w:ascii="Times New Roman" w:hAnsi="Times New Roman"/>
          <w:sz w:val="24"/>
        </w:rPr>
        <w:t>42168</w:t>
      </w:r>
      <w:r w:rsidR="00FB2E5A" w:rsidRPr="00436E8C">
        <w:rPr>
          <w:rFonts w:ascii="Times New Roman" w:hAnsi="Times New Roman"/>
          <w:sz w:val="24"/>
        </w:rPr>
        <w:t xml:space="preserve"> per </w:t>
      </w:r>
      <w:proofErr w:type="spellStart"/>
      <w:r w:rsidR="00FB2E5A" w:rsidRPr="00436E8C">
        <w:rPr>
          <w:rFonts w:ascii="Times New Roman" w:hAnsi="Times New Roman"/>
          <w:sz w:val="24"/>
        </w:rPr>
        <w:t>therm</w:t>
      </w:r>
      <w:proofErr w:type="spellEnd"/>
      <w:r w:rsidR="00FB2E5A" w:rsidRPr="00436E8C">
        <w:rPr>
          <w:rFonts w:ascii="Times New Roman" w:hAnsi="Times New Roman"/>
          <w:sz w:val="24"/>
        </w:rPr>
        <w:t xml:space="preserve"> ($0.</w:t>
      </w:r>
      <w:r w:rsidR="004C4AE6">
        <w:rPr>
          <w:rFonts w:ascii="Times New Roman" w:hAnsi="Times New Roman"/>
          <w:sz w:val="24"/>
        </w:rPr>
        <w:t>29270</w:t>
      </w:r>
      <w:r w:rsidR="00FB2E5A" w:rsidRPr="00436E8C">
        <w:rPr>
          <w:rFonts w:ascii="Times New Roman" w:hAnsi="Times New Roman"/>
          <w:sz w:val="24"/>
        </w:rPr>
        <w:t xml:space="preserve"> commodity and $0.</w:t>
      </w:r>
      <w:r w:rsidR="004C4AE6">
        <w:rPr>
          <w:rFonts w:ascii="Times New Roman" w:hAnsi="Times New Roman"/>
          <w:sz w:val="24"/>
        </w:rPr>
        <w:t>12898</w:t>
      </w:r>
      <w:r w:rsidR="00FB2E5A" w:rsidRPr="00436E8C">
        <w:rPr>
          <w:rFonts w:ascii="Times New Roman" w:hAnsi="Times New Roman"/>
          <w:sz w:val="24"/>
        </w:rPr>
        <w:t xml:space="preserve"> firm demand).</w:t>
      </w:r>
      <w:r w:rsidR="004C4AE6">
        <w:rPr>
          <w:rStyle w:val="FootnoteReference"/>
          <w:rFonts w:ascii="Times New Roman" w:hAnsi="Times New Roman"/>
          <w:sz w:val="24"/>
        </w:rPr>
        <w:footnoteReference w:id="2"/>
      </w:r>
    </w:p>
    <w:p w14:paraId="04D5D158" w14:textId="77777777" w:rsidR="003B77FD" w:rsidRPr="00A11266" w:rsidRDefault="003B77FD" w:rsidP="00FB2E5A">
      <w:pPr>
        <w:rPr>
          <w:rFonts w:ascii="Times New Roman" w:hAnsi="Times New Roman"/>
          <w:color w:val="FF0000"/>
          <w:sz w:val="24"/>
        </w:rPr>
      </w:pPr>
    </w:p>
    <w:p w14:paraId="04D5D159" w14:textId="7E72C2D0" w:rsidR="00706239" w:rsidRPr="004C4AE6" w:rsidRDefault="00706239" w:rsidP="00706239">
      <w:pPr>
        <w:rPr>
          <w:rFonts w:ascii="Times New Roman" w:hAnsi="Times New Roman"/>
          <w:sz w:val="24"/>
        </w:rPr>
      </w:pPr>
      <w:r w:rsidRPr="004C4AE6">
        <w:rPr>
          <w:rFonts w:ascii="Times New Roman" w:hAnsi="Times New Roman"/>
          <w:sz w:val="24"/>
        </w:rPr>
        <w:t>In arriving at an estimated commodity cost for the coming year, the company uses a variety of known and estimated inputs. Known inputs include volumes of gas to be delivered within the PGA year hedged at a fixed price</w:t>
      </w:r>
      <w:r w:rsidR="002C304F">
        <w:rPr>
          <w:rFonts w:ascii="Times New Roman" w:hAnsi="Times New Roman"/>
          <w:sz w:val="24"/>
        </w:rPr>
        <w:t>,</w:t>
      </w:r>
      <w:r w:rsidR="00751478">
        <w:rPr>
          <w:rFonts w:ascii="Times New Roman" w:hAnsi="Times New Roman"/>
          <w:sz w:val="24"/>
        </w:rPr>
        <w:t xml:space="preserve"> and</w:t>
      </w:r>
      <w:r w:rsidRPr="004C4AE6">
        <w:rPr>
          <w:rFonts w:ascii="Times New Roman" w:hAnsi="Times New Roman"/>
          <w:sz w:val="24"/>
        </w:rPr>
        <w:t xml:space="preserve"> actual co</w:t>
      </w:r>
      <w:r w:rsidR="00521240">
        <w:rPr>
          <w:rFonts w:ascii="Times New Roman" w:hAnsi="Times New Roman"/>
          <w:sz w:val="24"/>
        </w:rPr>
        <w:t>st and volume of gas in storage</w:t>
      </w:r>
      <w:r w:rsidRPr="004C4AE6">
        <w:rPr>
          <w:rFonts w:ascii="Times New Roman" w:hAnsi="Times New Roman"/>
          <w:sz w:val="24"/>
        </w:rPr>
        <w:t xml:space="preserve">. Estimated inputs include </w:t>
      </w:r>
      <w:r w:rsidR="00420096" w:rsidRPr="004C4AE6">
        <w:rPr>
          <w:rFonts w:ascii="Times New Roman" w:hAnsi="Times New Roman"/>
          <w:sz w:val="24"/>
        </w:rPr>
        <w:t xml:space="preserve">the </w:t>
      </w:r>
      <w:r w:rsidRPr="004C4AE6">
        <w:rPr>
          <w:rFonts w:ascii="Times New Roman" w:hAnsi="Times New Roman"/>
          <w:sz w:val="24"/>
        </w:rPr>
        <w:t>load for the PGA year, future spot</w:t>
      </w:r>
      <w:r w:rsidR="009B58B4" w:rsidRPr="004C4AE6">
        <w:rPr>
          <w:rFonts w:ascii="Times New Roman" w:hAnsi="Times New Roman"/>
          <w:sz w:val="24"/>
        </w:rPr>
        <w:t>/index</w:t>
      </w:r>
      <w:r w:rsidRPr="004C4AE6">
        <w:rPr>
          <w:rFonts w:ascii="Times New Roman" w:hAnsi="Times New Roman"/>
          <w:sz w:val="24"/>
        </w:rPr>
        <w:t xml:space="preserve"> market prices</w:t>
      </w:r>
      <w:r w:rsidR="00420096" w:rsidRPr="004C4AE6">
        <w:rPr>
          <w:rFonts w:ascii="Times New Roman" w:hAnsi="Times New Roman"/>
          <w:sz w:val="24"/>
        </w:rPr>
        <w:t>,</w:t>
      </w:r>
      <w:r w:rsidRPr="004C4AE6">
        <w:rPr>
          <w:rFonts w:ascii="Times New Roman" w:hAnsi="Times New Roman"/>
          <w:sz w:val="24"/>
        </w:rPr>
        <w:t xml:space="preserve"> and prices for financial hedges that will be transacted in, and for, the PGA year.</w:t>
      </w:r>
      <w:r w:rsidR="004C4AE6" w:rsidRPr="004C4AE6">
        <w:rPr>
          <w:rFonts w:ascii="Times New Roman" w:hAnsi="Times New Roman"/>
          <w:sz w:val="24"/>
        </w:rPr>
        <w:t xml:space="preserve"> PSE utilizes a </w:t>
      </w:r>
      <w:r w:rsidR="00FF7CB1">
        <w:rPr>
          <w:rFonts w:ascii="Times New Roman" w:hAnsi="Times New Roman"/>
          <w:sz w:val="24"/>
        </w:rPr>
        <w:t>3-month</w:t>
      </w:r>
      <w:r w:rsidR="00E55ACA" w:rsidRPr="004C4AE6">
        <w:rPr>
          <w:rFonts w:ascii="Times New Roman" w:hAnsi="Times New Roman"/>
          <w:sz w:val="24"/>
        </w:rPr>
        <w:t xml:space="preserve"> average of forward strip of monthly </w:t>
      </w:r>
      <w:r w:rsidR="00FF7CB1">
        <w:rPr>
          <w:rFonts w:ascii="Times New Roman" w:hAnsi="Times New Roman"/>
          <w:sz w:val="24"/>
        </w:rPr>
        <w:t xml:space="preserve">gas </w:t>
      </w:r>
      <w:r w:rsidR="00E55ACA" w:rsidRPr="004C4AE6">
        <w:rPr>
          <w:rFonts w:ascii="Times New Roman" w:hAnsi="Times New Roman"/>
          <w:sz w:val="24"/>
        </w:rPr>
        <w:t xml:space="preserve">prices </w:t>
      </w:r>
      <w:r w:rsidR="00FF7CB1">
        <w:rPr>
          <w:rFonts w:ascii="Times New Roman" w:hAnsi="Times New Roman"/>
          <w:sz w:val="24"/>
        </w:rPr>
        <w:t>from May 29 through August 28, 2015</w:t>
      </w:r>
      <w:r w:rsidR="00E55ACA" w:rsidRPr="004C4AE6">
        <w:rPr>
          <w:rFonts w:ascii="Times New Roman" w:hAnsi="Times New Roman"/>
          <w:sz w:val="24"/>
        </w:rPr>
        <w:t>.</w:t>
      </w:r>
    </w:p>
    <w:p w14:paraId="05B80733" w14:textId="77777777" w:rsidR="006424FC" w:rsidRDefault="006424FC" w:rsidP="00706239">
      <w:pPr>
        <w:rPr>
          <w:rFonts w:ascii="Times New Roman" w:hAnsi="Times New Roman"/>
          <w:color w:val="FF0000"/>
          <w:sz w:val="24"/>
        </w:rPr>
      </w:pPr>
    </w:p>
    <w:p w14:paraId="19E14E3C" w14:textId="5CA22417" w:rsidR="00531152" w:rsidRPr="00DA04B9" w:rsidRDefault="00531152" w:rsidP="002A0770">
      <w:pPr>
        <w:widowControl/>
        <w:autoSpaceDE/>
        <w:autoSpaceDN/>
        <w:adjustRightInd/>
        <w:rPr>
          <w:rFonts w:ascii="Times New Roman" w:eastAsiaTheme="minorHAnsi" w:hAnsi="Times New Roman"/>
          <w:sz w:val="24"/>
        </w:rPr>
      </w:pPr>
      <w:r w:rsidRPr="00DA04B9">
        <w:rPr>
          <w:rFonts w:ascii="Times New Roman" w:eastAsiaTheme="minorHAnsi" w:hAnsi="Times New Roman"/>
          <w:sz w:val="24"/>
        </w:rPr>
        <w:t xml:space="preserve">The company discovered that it </w:t>
      </w:r>
      <w:r w:rsidR="00751478">
        <w:rPr>
          <w:rFonts w:ascii="Times New Roman" w:eastAsiaTheme="minorHAnsi" w:hAnsi="Times New Roman"/>
          <w:sz w:val="24"/>
        </w:rPr>
        <w:t>understated</w:t>
      </w:r>
      <w:r w:rsidRPr="00DA04B9">
        <w:rPr>
          <w:rFonts w:ascii="Times New Roman" w:eastAsiaTheme="minorHAnsi" w:hAnsi="Times New Roman"/>
          <w:sz w:val="24"/>
        </w:rPr>
        <w:t xml:space="preserve"> the gas cost for September 2015 by $2.8 million. If the company corrects the error, the proposed rates would have a small increase. Staff recommends not having PSE refile to adjust the costs at this time because the costs will be trued up in the deferral account in next year’s PGA filing</w:t>
      </w:r>
      <w:r w:rsidR="002C304F">
        <w:rPr>
          <w:rFonts w:ascii="Times New Roman" w:eastAsiaTheme="minorHAnsi" w:hAnsi="Times New Roman"/>
          <w:sz w:val="24"/>
        </w:rPr>
        <w:t>, and the rate impact is minimal</w:t>
      </w:r>
      <w:r w:rsidRPr="00DA04B9">
        <w:rPr>
          <w:rFonts w:ascii="Times New Roman" w:eastAsiaTheme="minorHAnsi" w:hAnsi="Times New Roman"/>
          <w:sz w:val="24"/>
        </w:rPr>
        <w:t xml:space="preserve">.  </w:t>
      </w:r>
    </w:p>
    <w:p w14:paraId="2ED57EC8" w14:textId="77777777" w:rsidR="004C4AE6" w:rsidRPr="00DA04B9" w:rsidRDefault="004C4AE6" w:rsidP="002A0770">
      <w:pPr>
        <w:widowControl/>
        <w:autoSpaceDE/>
        <w:autoSpaceDN/>
        <w:adjustRightInd/>
        <w:rPr>
          <w:rFonts w:ascii="Times New Roman" w:eastAsiaTheme="minorHAnsi" w:hAnsi="Times New Roman"/>
          <w:sz w:val="24"/>
        </w:rPr>
      </w:pPr>
    </w:p>
    <w:p w14:paraId="53538036" w14:textId="1269AFBB" w:rsidR="00A55E57" w:rsidRPr="004C4AE6" w:rsidRDefault="00A55E57" w:rsidP="00A55E57">
      <w:pPr>
        <w:pStyle w:val="Heading2"/>
        <w:rPr>
          <w:b/>
        </w:rPr>
      </w:pPr>
      <w:r w:rsidRPr="004C4AE6">
        <w:rPr>
          <w:b/>
        </w:rPr>
        <w:t>WACOG Comparisons</w:t>
      </w:r>
    </w:p>
    <w:p w14:paraId="7B87613C" w14:textId="77777777" w:rsidR="00A55E57" w:rsidRPr="004C4AE6" w:rsidRDefault="00A55E57" w:rsidP="00A55E57"/>
    <w:p w14:paraId="456A817E" w14:textId="26B691FE" w:rsidR="00A55E57" w:rsidRPr="004C4AE6" w:rsidRDefault="00A55E57" w:rsidP="00A55E57">
      <w:pPr>
        <w:rPr>
          <w:rFonts w:ascii="Times New Roman" w:hAnsi="Times New Roman"/>
          <w:sz w:val="24"/>
        </w:rPr>
      </w:pPr>
      <w:r w:rsidRPr="004C4AE6">
        <w:rPr>
          <w:rFonts w:ascii="Times New Roman" w:hAnsi="Times New Roman"/>
          <w:sz w:val="24"/>
        </w:rPr>
        <w:t>A comparison of the WACOG for the commission’s regulated local distribution companies</w:t>
      </w:r>
      <w:r w:rsidR="001B1BCD" w:rsidRPr="004C4AE6">
        <w:rPr>
          <w:rFonts w:ascii="Times New Roman" w:hAnsi="Times New Roman"/>
          <w:sz w:val="24"/>
        </w:rPr>
        <w:t>’</w:t>
      </w:r>
      <w:r w:rsidRPr="004C4AE6">
        <w:rPr>
          <w:rFonts w:ascii="Times New Roman" w:hAnsi="Times New Roman"/>
          <w:sz w:val="24"/>
        </w:rPr>
        <w:t xml:space="preserve"> (LDCs) combined effects for the commodity and firm demand ($/</w:t>
      </w:r>
      <w:proofErr w:type="spellStart"/>
      <w:r w:rsidRPr="004C4AE6">
        <w:rPr>
          <w:rFonts w:ascii="Times New Roman" w:hAnsi="Times New Roman"/>
          <w:sz w:val="24"/>
        </w:rPr>
        <w:t>therm</w:t>
      </w:r>
      <w:proofErr w:type="spellEnd"/>
      <w:r w:rsidRPr="004C4AE6">
        <w:rPr>
          <w:rFonts w:ascii="Times New Roman" w:hAnsi="Times New Roman"/>
          <w:sz w:val="24"/>
        </w:rPr>
        <w:t>) are as follows:</w:t>
      </w:r>
      <w:r w:rsidR="00C5349A" w:rsidRPr="004C4AE6">
        <w:rPr>
          <w:rStyle w:val="FootnoteReference"/>
          <w:rFonts w:ascii="Times New Roman" w:hAnsi="Times New Roman"/>
          <w:sz w:val="24"/>
        </w:rPr>
        <w:footnoteReference w:id="3"/>
      </w:r>
    </w:p>
    <w:p w14:paraId="21F68B81" w14:textId="77777777" w:rsidR="00A55E57" w:rsidRPr="00A11266" w:rsidRDefault="00A55E57" w:rsidP="00A55E57">
      <w:pPr>
        <w:rPr>
          <w:rFonts w:ascii="Times New Roman" w:hAnsi="Times New Roman"/>
          <w:color w:val="FF0000"/>
          <w:sz w:val="24"/>
        </w:rPr>
      </w:pPr>
    </w:p>
    <w:tbl>
      <w:tblPr>
        <w:tblStyle w:val="TableGrid"/>
        <w:tblW w:w="0" w:type="auto"/>
        <w:tblLook w:val="04A0" w:firstRow="1" w:lastRow="0" w:firstColumn="1" w:lastColumn="0" w:noHBand="0" w:noVBand="1"/>
      </w:tblPr>
      <w:tblGrid>
        <w:gridCol w:w="1879"/>
        <w:gridCol w:w="1865"/>
        <w:gridCol w:w="1865"/>
        <w:gridCol w:w="1875"/>
        <w:gridCol w:w="1866"/>
      </w:tblGrid>
      <w:tr w:rsidR="004C4AE6" w:rsidRPr="004C4AE6" w14:paraId="1B49248D" w14:textId="77777777" w:rsidTr="00021FCD">
        <w:tc>
          <w:tcPr>
            <w:tcW w:w="1915" w:type="dxa"/>
            <w:vAlign w:val="bottom"/>
          </w:tcPr>
          <w:p w14:paraId="0A528758" w14:textId="3AE3E53A" w:rsidR="004C4AE6" w:rsidRPr="00F3615C" w:rsidRDefault="00A55E57" w:rsidP="004C4AE6">
            <w:pPr>
              <w:spacing w:after="120"/>
              <w:jc w:val="center"/>
              <w:rPr>
                <w:rFonts w:ascii="Times New Roman" w:hAnsi="Times New Roman"/>
                <w:b/>
                <w:sz w:val="24"/>
              </w:rPr>
            </w:pPr>
            <w:r w:rsidRPr="00F3615C">
              <w:rPr>
                <w:rFonts w:ascii="Times New Roman" w:hAnsi="Times New Roman"/>
                <w:b/>
                <w:sz w:val="24"/>
              </w:rPr>
              <w:t>WACOG</w:t>
            </w:r>
          </w:p>
        </w:tc>
        <w:tc>
          <w:tcPr>
            <w:tcW w:w="1915" w:type="dxa"/>
            <w:vAlign w:val="bottom"/>
          </w:tcPr>
          <w:p w14:paraId="1B1EE648" w14:textId="77777777" w:rsidR="00A55E57" w:rsidRPr="00F3615C" w:rsidRDefault="00A55E57" w:rsidP="00021FCD">
            <w:pPr>
              <w:spacing w:after="120"/>
              <w:jc w:val="center"/>
              <w:rPr>
                <w:rFonts w:ascii="Times New Roman" w:hAnsi="Times New Roman"/>
                <w:b/>
                <w:sz w:val="24"/>
              </w:rPr>
            </w:pPr>
            <w:r w:rsidRPr="00F3615C">
              <w:rPr>
                <w:rFonts w:ascii="Times New Roman" w:hAnsi="Times New Roman"/>
                <w:b/>
                <w:sz w:val="24"/>
              </w:rPr>
              <w:t>Avista</w:t>
            </w:r>
          </w:p>
        </w:tc>
        <w:tc>
          <w:tcPr>
            <w:tcW w:w="1915" w:type="dxa"/>
            <w:vAlign w:val="bottom"/>
          </w:tcPr>
          <w:p w14:paraId="0B750B30" w14:textId="77777777" w:rsidR="00A55E57" w:rsidRPr="00F3615C" w:rsidRDefault="00A55E57" w:rsidP="00021FCD">
            <w:pPr>
              <w:spacing w:after="120"/>
              <w:jc w:val="center"/>
              <w:rPr>
                <w:rFonts w:ascii="Times New Roman" w:hAnsi="Times New Roman"/>
                <w:b/>
                <w:sz w:val="24"/>
              </w:rPr>
            </w:pPr>
            <w:r w:rsidRPr="00F3615C">
              <w:rPr>
                <w:rFonts w:ascii="Times New Roman" w:hAnsi="Times New Roman"/>
                <w:b/>
                <w:sz w:val="24"/>
              </w:rPr>
              <w:t>Puget Sound Energy</w:t>
            </w:r>
          </w:p>
        </w:tc>
        <w:tc>
          <w:tcPr>
            <w:tcW w:w="1915" w:type="dxa"/>
            <w:vAlign w:val="bottom"/>
          </w:tcPr>
          <w:p w14:paraId="243AD84D" w14:textId="77777777" w:rsidR="00A55E57" w:rsidRPr="00F3615C" w:rsidRDefault="00A55E57" w:rsidP="00021FCD">
            <w:pPr>
              <w:spacing w:after="120"/>
              <w:jc w:val="center"/>
              <w:rPr>
                <w:rFonts w:ascii="Times New Roman" w:hAnsi="Times New Roman"/>
                <w:b/>
                <w:sz w:val="24"/>
              </w:rPr>
            </w:pPr>
            <w:r w:rsidRPr="00F3615C">
              <w:rPr>
                <w:rFonts w:ascii="Times New Roman" w:hAnsi="Times New Roman"/>
                <w:b/>
                <w:sz w:val="24"/>
              </w:rPr>
              <w:t>Northwest Natural</w:t>
            </w:r>
          </w:p>
        </w:tc>
        <w:tc>
          <w:tcPr>
            <w:tcW w:w="1916" w:type="dxa"/>
            <w:vAlign w:val="bottom"/>
          </w:tcPr>
          <w:p w14:paraId="0088CDBB" w14:textId="77777777" w:rsidR="00A55E57" w:rsidRPr="00F3615C" w:rsidRDefault="00A55E57" w:rsidP="00021FCD">
            <w:pPr>
              <w:spacing w:after="120"/>
              <w:jc w:val="center"/>
              <w:rPr>
                <w:rFonts w:ascii="Times New Roman" w:hAnsi="Times New Roman"/>
                <w:b/>
                <w:sz w:val="24"/>
              </w:rPr>
            </w:pPr>
            <w:r w:rsidRPr="00F3615C">
              <w:rPr>
                <w:rFonts w:ascii="Times New Roman" w:hAnsi="Times New Roman"/>
                <w:b/>
                <w:sz w:val="24"/>
              </w:rPr>
              <w:t>Cascade Natural Gas</w:t>
            </w:r>
          </w:p>
        </w:tc>
      </w:tr>
      <w:tr w:rsidR="00A11266" w:rsidRPr="00A11266" w14:paraId="714762F6" w14:textId="77777777" w:rsidTr="00021FCD">
        <w:tc>
          <w:tcPr>
            <w:tcW w:w="1915" w:type="dxa"/>
          </w:tcPr>
          <w:p w14:paraId="600BEFBE" w14:textId="77777777" w:rsidR="00A55E57" w:rsidRPr="004C4AE6" w:rsidRDefault="00A55E57" w:rsidP="00021FCD">
            <w:pPr>
              <w:spacing w:after="120"/>
              <w:rPr>
                <w:rFonts w:ascii="Times New Roman" w:hAnsi="Times New Roman"/>
                <w:sz w:val="24"/>
              </w:rPr>
            </w:pPr>
            <w:r w:rsidRPr="004C4AE6">
              <w:rPr>
                <w:rFonts w:ascii="Times New Roman" w:hAnsi="Times New Roman"/>
                <w:sz w:val="24"/>
              </w:rPr>
              <w:t>Commodity</w:t>
            </w:r>
          </w:p>
        </w:tc>
        <w:tc>
          <w:tcPr>
            <w:tcW w:w="1915" w:type="dxa"/>
          </w:tcPr>
          <w:p w14:paraId="44F92C0B" w14:textId="04E4D7FB" w:rsidR="00A55E57" w:rsidRPr="00531152" w:rsidRDefault="00C5349A" w:rsidP="00531152">
            <w:pPr>
              <w:spacing w:after="120"/>
              <w:jc w:val="center"/>
              <w:rPr>
                <w:rFonts w:ascii="Times New Roman" w:hAnsi="Times New Roman"/>
                <w:sz w:val="24"/>
              </w:rPr>
            </w:pPr>
            <w:r w:rsidRPr="00531152">
              <w:rPr>
                <w:rFonts w:ascii="Times New Roman" w:hAnsi="Times New Roman"/>
                <w:sz w:val="24"/>
              </w:rPr>
              <w:t>$0.</w:t>
            </w:r>
            <w:r w:rsidR="00531152" w:rsidRPr="00531152">
              <w:rPr>
                <w:rFonts w:ascii="Times New Roman" w:hAnsi="Times New Roman"/>
                <w:sz w:val="24"/>
              </w:rPr>
              <w:t>25031</w:t>
            </w:r>
          </w:p>
        </w:tc>
        <w:tc>
          <w:tcPr>
            <w:tcW w:w="1915" w:type="dxa"/>
          </w:tcPr>
          <w:p w14:paraId="261B8641" w14:textId="1BE8A984" w:rsidR="00A55E57" w:rsidRPr="004C4AE6" w:rsidRDefault="00A55E57" w:rsidP="004C4AE6">
            <w:pPr>
              <w:spacing w:after="120"/>
              <w:jc w:val="center"/>
              <w:rPr>
                <w:rFonts w:ascii="Times New Roman" w:hAnsi="Times New Roman"/>
                <w:sz w:val="24"/>
              </w:rPr>
            </w:pPr>
            <w:r w:rsidRPr="004C4AE6">
              <w:rPr>
                <w:rFonts w:ascii="Times New Roman" w:hAnsi="Times New Roman"/>
                <w:sz w:val="24"/>
              </w:rPr>
              <w:t>$0.</w:t>
            </w:r>
            <w:r w:rsidR="004C4AE6">
              <w:rPr>
                <w:rFonts w:ascii="Times New Roman" w:hAnsi="Times New Roman"/>
                <w:sz w:val="24"/>
              </w:rPr>
              <w:t>29270</w:t>
            </w:r>
          </w:p>
        </w:tc>
        <w:tc>
          <w:tcPr>
            <w:tcW w:w="1915" w:type="dxa"/>
          </w:tcPr>
          <w:p w14:paraId="08FA2071" w14:textId="2CA019D4" w:rsidR="00A55E57" w:rsidRPr="000F18DC" w:rsidRDefault="000F18DC" w:rsidP="00021FCD">
            <w:pPr>
              <w:spacing w:after="120"/>
              <w:jc w:val="center"/>
              <w:rPr>
                <w:rFonts w:ascii="Times New Roman" w:hAnsi="Times New Roman"/>
                <w:sz w:val="24"/>
              </w:rPr>
            </w:pPr>
            <w:r w:rsidRPr="000F18DC">
              <w:rPr>
                <w:rFonts w:ascii="Times New Roman" w:hAnsi="Times New Roman"/>
                <w:sz w:val="24"/>
              </w:rPr>
              <w:t>$0.30754</w:t>
            </w:r>
          </w:p>
        </w:tc>
        <w:tc>
          <w:tcPr>
            <w:tcW w:w="1916" w:type="dxa"/>
          </w:tcPr>
          <w:p w14:paraId="7EBB44B2" w14:textId="4E5C94FD" w:rsidR="00A55E57" w:rsidRPr="001A6722" w:rsidRDefault="00A55E57" w:rsidP="00FD22A1">
            <w:pPr>
              <w:spacing w:after="120"/>
              <w:jc w:val="center"/>
              <w:rPr>
                <w:rFonts w:ascii="Times New Roman" w:hAnsi="Times New Roman"/>
                <w:sz w:val="24"/>
              </w:rPr>
            </w:pPr>
            <w:r w:rsidRPr="001A6722">
              <w:rPr>
                <w:rFonts w:ascii="Times New Roman" w:hAnsi="Times New Roman"/>
                <w:sz w:val="24"/>
              </w:rPr>
              <w:t>$0.</w:t>
            </w:r>
            <w:r w:rsidR="00FD22A1" w:rsidRPr="001A6722">
              <w:rPr>
                <w:rFonts w:ascii="Times New Roman" w:hAnsi="Times New Roman"/>
                <w:sz w:val="24"/>
              </w:rPr>
              <w:t>34417</w:t>
            </w:r>
          </w:p>
        </w:tc>
      </w:tr>
      <w:tr w:rsidR="00A11266" w:rsidRPr="00A11266" w14:paraId="3B21FC87" w14:textId="77777777" w:rsidTr="00021FCD">
        <w:tc>
          <w:tcPr>
            <w:tcW w:w="1915" w:type="dxa"/>
          </w:tcPr>
          <w:p w14:paraId="5AAC72C6" w14:textId="77777777" w:rsidR="00A55E57" w:rsidRPr="004C4AE6" w:rsidRDefault="00A55E57" w:rsidP="00021FCD">
            <w:pPr>
              <w:spacing w:after="120"/>
              <w:rPr>
                <w:rFonts w:ascii="Times New Roman" w:hAnsi="Times New Roman"/>
                <w:sz w:val="24"/>
              </w:rPr>
            </w:pPr>
            <w:r w:rsidRPr="004C4AE6">
              <w:rPr>
                <w:rFonts w:ascii="Times New Roman" w:hAnsi="Times New Roman"/>
                <w:sz w:val="24"/>
              </w:rPr>
              <w:t>Demand (firm)</w:t>
            </w:r>
          </w:p>
        </w:tc>
        <w:tc>
          <w:tcPr>
            <w:tcW w:w="1915" w:type="dxa"/>
          </w:tcPr>
          <w:p w14:paraId="24BBF611" w14:textId="162029EB" w:rsidR="00A55E57" w:rsidRPr="00531152" w:rsidRDefault="00531152" w:rsidP="00C5349A">
            <w:pPr>
              <w:spacing w:after="120"/>
              <w:jc w:val="center"/>
              <w:rPr>
                <w:rFonts w:ascii="Times New Roman" w:hAnsi="Times New Roman"/>
                <w:sz w:val="24"/>
              </w:rPr>
            </w:pPr>
            <w:r w:rsidRPr="00531152">
              <w:rPr>
                <w:rFonts w:ascii="Times New Roman" w:hAnsi="Times New Roman"/>
                <w:sz w:val="24"/>
              </w:rPr>
              <w:t>$0.12133</w:t>
            </w:r>
          </w:p>
        </w:tc>
        <w:tc>
          <w:tcPr>
            <w:tcW w:w="1915" w:type="dxa"/>
          </w:tcPr>
          <w:p w14:paraId="59DB9F60" w14:textId="0CF9D502" w:rsidR="00A55E57" w:rsidRPr="004C4AE6" w:rsidRDefault="004C4AE6" w:rsidP="00021FCD">
            <w:pPr>
              <w:spacing w:after="120"/>
              <w:jc w:val="center"/>
              <w:rPr>
                <w:rFonts w:ascii="Times New Roman" w:hAnsi="Times New Roman"/>
                <w:sz w:val="24"/>
              </w:rPr>
            </w:pPr>
            <w:r>
              <w:rPr>
                <w:rFonts w:ascii="Times New Roman" w:hAnsi="Times New Roman"/>
                <w:sz w:val="24"/>
              </w:rPr>
              <w:t>$0.12898</w:t>
            </w:r>
          </w:p>
        </w:tc>
        <w:tc>
          <w:tcPr>
            <w:tcW w:w="1915" w:type="dxa"/>
          </w:tcPr>
          <w:p w14:paraId="597DFE5D" w14:textId="5A2EA170" w:rsidR="00A55E57" w:rsidRPr="000F18DC" w:rsidRDefault="00A55E57" w:rsidP="000F18DC">
            <w:pPr>
              <w:spacing w:after="120"/>
              <w:jc w:val="center"/>
              <w:rPr>
                <w:rFonts w:ascii="Times New Roman" w:hAnsi="Times New Roman"/>
                <w:sz w:val="24"/>
              </w:rPr>
            </w:pPr>
            <w:r w:rsidRPr="000F18DC">
              <w:rPr>
                <w:rFonts w:ascii="Times New Roman" w:hAnsi="Times New Roman"/>
                <w:sz w:val="24"/>
              </w:rPr>
              <w:t>$0.</w:t>
            </w:r>
            <w:r w:rsidR="000F18DC" w:rsidRPr="000F18DC">
              <w:rPr>
                <w:rFonts w:ascii="Times New Roman" w:hAnsi="Times New Roman"/>
                <w:sz w:val="24"/>
              </w:rPr>
              <w:t>11582</w:t>
            </w:r>
          </w:p>
        </w:tc>
        <w:tc>
          <w:tcPr>
            <w:tcW w:w="1916" w:type="dxa"/>
          </w:tcPr>
          <w:p w14:paraId="5194237B" w14:textId="03F187D9" w:rsidR="00A55E57" w:rsidRPr="001A6722" w:rsidRDefault="00A55E57" w:rsidP="00FD22A1">
            <w:pPr>
              <w:spacing w:after="120"/>
              <w:jc w:val="center"/>
              <w:rPr>
                <w:rFonts w:ascii="Times New Roman" w:hAnsi="Times New Roman"/>
                <w:sz w:val="24"/>
              </w:rPr>
            </w:pPr>
            <w:r w:rsidRPr="001A6722">
              <w:rPr>
                <w:rFonts w:ascii="Times New Roman" w:hAnsi="Times New Roman"/>
                <w:sz w:val="24"/>
              </w:rPr>
              <w:t>$0.</w:t>
            </w:r>
            <w:r w:rsidR="00FD22A1" w:rsidRPr="001A6722">
              <w:rPr>
                <w:rFonts w:ascii="Times New Roman" w:hAnsi="Times New Roman"/>
                <w:sz w:val="24"/>
              </w:rPr>
              <w:t>18370</w:t>
            </w:r>
          </w:p>
        </w:tc>
      </w:tr>
      <w:tr w:rsidR="00025E1E" w:rsidRPr="00025E1E" w14:paraId="5F24B606" w14:textId="77777777" w:rsidTr="00021FCD">
        <w:tc>
          <w:tcPr>
            <w:tcW w:w="1915" w:type="dxa"/>
          </w:tcPr>
          <w:p w14:paraId="21E18E87" w14:textId="3100A8D5" w:rsidR="00A55E57" w:rsidRPr="00025E1E" w:rsidRDefault="00025E1E" w:rsidP="00021FCD">
            <w:pPr>
              <w:spacing w:after="120"/>
              <w:rPr>
                <w:rFonts w:ascii="Times New Roman" w:hAnsi="Times New Roman"/>
                <w:b/>
                <w:sz w:val="24"/>
              </w:rPr>
            </w:pPr>
            <w:r w:rsidRPr="00025E1E">
              <w:rPr>
                <w:rFonts w:ascii="Times New Roman" w:hAnsi="Times New Roman"/>
                <w:b/>
                <w:sz w:val="24"/>
              </w:rPr>
              <w:t xml:space="preserve">     </w:t>
            </w:r>
            <w:r w:rsidR="00A55E57" w:rsidRPr="00025E1E">
              <w:rPr>
                <w:rFonts w:ascii="Times New Roman" w:hAnsi="Times New Roman"/>
                <w:b/>
                <w:sz w:val="24"/>
              </w:rPr>
              <w:t>Total</w:t>
            </w:r>
          </w:p>
        </w:tc>
        <w:tc>
          <w:tcPr>
            <w:tcW w:w="1915" w:type="dxa"/>
          </w:tcPr>
          <w:p w14:paraId="65258F75" w14:textId="2DCEC029" w:rsidR="00A55E57" w:rsidRPr="00531152" w:rsidRDefault="00531152" w:rsidP="00C5349A">
            <w:pPr>
              <w:spacing w:after="120"/>
              <w:jc w:val="center"/>
              <w:rPr>
                <w:rFonts w:ascii="Times New Roman" w:hAnsi="Times New Roman"/>
                <w:b/>
                <w:sz w:val="24"/>
              </w:rPr>
            </w:pPr>
            <w:r w:rsidRPr="00531152">
              <w:rPr>
                <w:rFonts w:ascii="Times New Roman" w:hAnsi="Times New Roman"/>
                <w:b/>
                <w:sz w:val="24"/>
              </w:rPr>
              <w:t>$0.37164</w:t>
            </w:r>
          </w:p>
        </w:tc>
        <w:tc>
          <w:tcPr>
            <w:tcW w:w="1915" w:type="dxa"/>
          </w:tcPr>
          <w:p w14:paraId="6CFD611B" w14:textId="62F2D678" w:rsidR="00A55E57" w:rsidRPr="00025E1E" w:rsidRDefault="00A55E57" w:rsidP="004C4AE6">
            <w:pPr>
              <w:spacing w:after="120"/>
              <w:jc w:val="center"/>
              <w:rPr>
                <w:rFonts w:ascii="Times New Roman" w:hAnsi="Times New Roman"/>
                <w:b/>
                <w:sz w:val="24"/>
              </w:rPr>
            </w:pPr>
            <w:r w:rsidRPr="00025E1E">
              <w:rPr>
                <w:rFonts w:ascii="Times New Roman" w:hAnsi="Times New Roman"/>
                <w:b/>
                <w:sz w:val="24"/>
              </w:rPr>
              <w:t>$0.</w:t>
            </w:r>
            <w:r w:rsidR="004C4AE6" w:rsidRPr="00025E1E">
              <w:rPr>
                <w:rFonts w:ascii="Times New Roman" w:hAnsi="Times New Roman"/>
                <w:b/>
                <w:sz w:val="24"/>
              </w:rPr>
              <w:t>42168</w:t>
            </w:r>
          </w:p>
        </w:tc>
        <w:tc>
          <w:tcPr>
            <w:tcW w:w="1915" w:type="dxa"/>
          </w:tcPr>
          <w:p w14:paraId="4F832E56" w14:textId="098D86D7" w:rsidR="00A55E57" w:rsidRPr="000F18DC" w:rsidRDefault="00A55E57" w:rsidP="000F18DC">
            <w:pPr>
              <w:spacing w:after="120"/>
              <w:jc w:val="center"/>
              <w:rPr>
                <w:rFonts w:ascii="Times New Roman" w:hAnsi="Times New Roman"/>
                <w:b/>
                <w:sz w:val="24"/>
              </w:rPr>
            </w:pPr>
            <w:r w:rsidRPr="000F18DC">
              <w:rPr>
                <w:rFonts w:ascii="Times New Roman" w:hAnsi="Times New Roman"/>
                <w:b/>
                <w:sz w:val="24"/>
              </w:rPr>
              <w:t>$0.</w:t>
            </w:r>
            <w:r w:rsidR="000F18DC" w:rsidRPr="000F18DC">
              <w:rPr>
                <w:rFonts w:ascii="Times New Roman" w:hAnsi="Times New Roman"/>
                <w:b/>
                <w:sz w:val="24"/>
              </w:rPr>
              <w:t>42336</w:t>
            </w:r>
          </w:p>
        </w:tc>
        <w:tc>
          <w:tcPr>
            <w:tcW w:w="1916" w:type="dxa"/>
          </w:tcPr>
          <w:p w14:paraId="769577E0" w14:textId="13DED393" w:rsidR="00A55E57" w:rsidRPr="001A6722" w:rsidRDefault="00A55E57" w:rsidP="00FD22A1">
            <w:pPr>
              <w:spacing w:after="120"/>
              <w:jc w:val="center"/>
              <w:rPr>
                <w:rFonts w:ascii="Times New Roman" w:hAnsi="Times New Roman"/>
                <w:b/>
                <w:sz w:val="24"/>
              </w:rPr>
            </w:pPr>
            <w:r w:rsidRPr="001A6722">
              <w:rPr>
                <w:rFonts w:ascii="Times New Roman" w:hAnsi="Times New Roman"/>
                <w:b/>
                <w:sz w:val="24"/>
              </w:rPr>
              <w:t>$0.</w:t>
            </w:r>
            <w:r w:rsidR="00FD22A1" w:rsidRPr="001A6722">
              <w:rPr>
                <w:rFonts w:ascii="Times New Roman" w:hAnsi="Times New Roman"/>
                <w:b/>
                <w:sz w:val="24"/>
              </w:rPr>
              <w:t>52787</w:t>
            </w:r>
          </w:p>
        </w:tc>
      </w:tr>
    </w:tbl>
    <w:p w14:paraId="454F3AFF" w14:textId="77777777" w:rsidR="00C9072F" w:rsidRPr="00A11266" w:rsidRDefault="00C9072F" w:rsidP="00025483">
      <w:pPr>
        <w:pStyle w:val="Heading2"/>
        <w:rPr>
          <w:color w:val="FF0000"/>
        </w:rPr>
      </w:pPr>
    </w:p>
    <w:p w14:paraId="04D5D15D" w14:textId="77777777" w:rsidR="009B58B4" w:rsidRPr="004C4AE6" w:rsidRDefault="00C140CB" w:rsidP="00025483">
      <w:pPr>
        <w:pStyle w:val="Heading2"/>
      </w:pPr>
      <w:r w:rsidRPr="004C4AE6">
        <w:t xml:space="preserve">Deferral </w:t>
      </w:r>
      <w:r w:rsidR="009B58B4" w:rsidRPr="004C4AE6">
        <w:t>Gas Cost</w:t>
      </w:r>
    </w:p>
    <w:p w14:paraId="48A76207" w14:textId="77777777" w:rsidR="004C4AE6" w:rsidRDefault="004C4AE6" w:rsidP="00573514">
      <w:pPr>
        <w:rPr>
          <w:rFonts w:ascii="Times New Roman" w:hAnsi="Times New Roman"/>
          <w:sz w:val="24"/>
        </w:rPr>
      </w:pPr>
    </w:p>
    <w:p w14:paraId="04D5D15E" w14:textId="644FC9B0" w:rsidR="00573514" w:rsidRPr="001A6722" w:rsidRDefault="00FB2E5A" w:rsidP="00573514">
      <w:pPr>
        <w:rPr>
          <w:rFonts w:ascii="Times New Roman" w:hAnsi="Times New Roman"/>
          <w:sz w:val="24"/>
        </w:rPr>
      </w:pPr>
      <w:r w:rsidRPr="004C4AE6">
        <w:rPr>
          <w:rFonts w:ascii="Times New Roman" w:hAnsi="Times New Roman"/>
          <w:sz w:val="24"/>
        </w:rPr>
        <w:t xml:space="preserve">The Deferral reflects balances in Account 191 </w:t>
      </w:r>
      <w:r w:rsidR="00942041" w:rsidRPr="004C4AE6">
        <w:rPr>
          <w:rFonts w:ascii="Times New Roman" w:hAnsi="Times New Roman"/>
          <w:sz w:val="24"/>
        </w:rPr>
        <w:t xml:space="preserve">that result from the difference between the actual gas costs incurred and the gas costs projected </w:t>
      </w:r>
      <w:r w:rsidRPr="004C4AE6">
        <w:rPr>
          <w:rFonts w:ascii="Times New Roman" w:hAnsi="Times New Roman"/>
          <w:sz w:val="24"/>
        </w:rPr>
        <w:t>for the period of November 201</w:t>
      </w:r>
      <w:r w:rsidR="004C4AE6" w:rsidRPr="004C4AE6">
        <w:rPr>
          <w:rFonts w:ascii="Times New Roman" w:hAnsi="Times New Roman"/>
          <w:sz w:val="24"/>
        </w:rPr>
        <w:t>4</w:t>
      </w:r>
      <w:r w:rsidRPr="004C4AE6">
        <w:rPr>
          <w:rFonts w:ascii="Times New Roman" w:hAnsi="Times New Roman"/>
          <w:sz w:val="24"/>
        </w:rPr>
        <w:t xml:space="preserve"> to </w:t>
      </w:r>
      <w:r w:rsidR="004970DA" w:rsidRPr="004C4AE6">
        <w:rPr>
          <w:rFonts w:ascii="Times New Roman" w:hAnsi="Times New Roman"/>
          <w:sz w:val="24"/>
        </w:rPr>
        <w:t xml:space="preserve">October </w:t>
      </w:r>
      <w:r w:rsidRPr="004C4AE6">
        <w:rPr>
          <w:rFonts w:ascii="Times New Roman" w:hAnsi="Times New Roman"/>
          <w:sz w:val="24"/>
        </w:rPr>
        <w:t>201</w:t>
      </w:r>
      <w:r w:rsidR="004C4AE6" w:rsidRPr="004C4AE6">
        <w:rPr>
          <w:rFonts w:ascii="Times New Roman" w:hAnsi="Times New Roman"/>
          <w:sz w:val="24"/>
        </w:rPr>
        <w:t>5</w:t>
      </w:r>
      <w:r w:rsidR="00942041" w:rsidRPr="004C4AE6">
        <w:rPr>
          <w:rFonts w:ascii="Times New Roman" w:hAnsi="Times New Roman"/>
          <w:sz w:val="24"/>
        </w:rPr>
        <w:t>.</w:t>
      </w:r>
      <w:r w:rsidR="00F43C68" w:rsidRPr="004C4AE6">
        <w:rPr>
          <w:rFonts w:ascii="Times New Roman" w:hAnsi="Times New Roman"/>
          <w:sz w:val="24"/>
        </w:rPr>
        <w:t xml:space="preserve"> </w:t>
      </w:r>
      <w:r w:rsidRPr="001A6722">
        <w:rPr>
          <w:rFonts w:ascii="Times New Roman" w:hAnsi="Times New Roman"/>
          <w:sz w:val="24"/>
        </w:rPr>
        <w:t xml:space="preserve">Actual gas costs were </w:t>
      </w:r>
      <w:r w:rsidR="00442DA4" w:rsidRPr="001A6722">
        <w:rPr>
          <w:rFonts w:ascii="Times New Roman" w:hAnsi="Times New Roman"/>
          <w:sz w:val="24"/>
        </w:rPr>
        <w:t>lower</w:t>
      </w:r>
      <w:r w:rsidRPr="001A6722">
        <w:rPr>
          <w:rFonts w:ascii="Times New Roman" w:hAnsi="Times New Roman"/>
          <w:sz w:val="24"/>
        </w:rPr>
        <w:t xml:space="preserve"> than projected</w:t>
      </w:r>
      <w:r w:rsidR="00942041" w:rsidRPr="001A6722">
        <w:rPr>
          <w:rFonts w:ascii="Times New Roman" w:hAnsi="Times New Roman"/>
          <w:sz w:val="24"/>
        </w:rPr>
        <w:t>, which</w:t>
      </w:r>
      <w:r w:rsidRPr="001A6722">
        <w:rPr>
          <w:rFonts w:ascii="Times New Roman" w:hAnsi="Times New Roman"/>
          <w:sz w:val="24"/>
        </w:rPr>
        <w:t xml:space="preserve"> requir</w:t>
      </w:r>
      <w:r w:rsidR="00942041" w:rsidRPr="001A6722">
        <w:rPr>
          <w:rFonts w:ascii="Times New Roman" w:hAnsi="Times New Roman"/>
          <w:sz w:val="24"/>
        </w:rPr>
        <w:t>es</w:t>
      </w:r>
      <w:r w:rsidRPr="001A6722">
        <w:rPr>
          <w:rFonts w:ascii="Times New Roman" w:hAnsi="Times New Roman"/>
          <w:sz w:val="24"/>
        </w:rPr>
        <w:t xml:space="preserve"> a </w:t>
      </w:r>
      <w:r w:rsidR="00F8550C" w:rsidRPr="001A6722">
        <w:rPr>
          <w:rFonts w:ascii="Times New Roman" w:hAnsi="Times New Roman"/>
          <w:sz w:val="24"/>
        </w:rPr>
        <w:t>decrease</w:t>
      </w:r>
      <w:r w:rsidRPr="001A6722">
        <w:rPr>
          <w:rFonts w:ascii="Times New Roman" w:hAnsi="Times New Roman"/>
          <w:sz w:val="24"/>
        </w:rPr>
        <w:t xml:space="preserve"> in annual revenue</w:t>
      </w:r>
      <w:r w:rsidR="001A6722" w:rsidRPr="001A6722">
        <w:rPr>
          <w:rFonts w:ascii="Times New Roman" w:hAnsi="Times New Roman"/>
          <w:sz w:val="24"/>
        </w:rPr>
        <w:t xml:space="preserve"> by $68.8 million (- 6.</w:t>
      </w:r>
      <w:r w:rsidR="009D0734">
        <w:rPr>
          <w:rFonts w:ascii="Times New Roman" w:hAnsi="Times New Roman"/>
          <w:sz w:val="24"/>
        </w:rPr>
        <w:t>3</w:t>
      </w:r>
      <w:r w:rsidR="001A6722" w:rsidRPr="001A6722">
        <w:rPr>
          <w:rFonts w:ascii="Times New Roman" w:hAnsi="Times New Roman"/>
          <w:sz w:val="24"/>
        </w:rPr>
        <w:t xml:space="preserve"> percent)</w:t>
      </w:r>
      <w:r w:rsidRPr="001A6722">
        <w:rPr>
          <w:rFonts w:ascii="Times New Roman" w:hAnsi="Times New Roman"/>
          <w:sz w:val="24"/>
        </w:rPr>
        <w:t>.</w:t>
      </w:r>
    </w:p>
    <w:p w14:paraId="4787874B" w14:textId="77777777" w:rsidR="00BA190B" w:rsidRDefault="00BA190B" w:rsidP="00573514">
      <w:pPr>
        <w:rPr>
          <w:rFonts w:ascii="Times New Roman" w:hAnsi="Times New Roman"/>
          <w:color w:val="FF0000"/>
          <w:sz w:val="24"/>
        </w:rPr>
      </w:pPr>
    </w:p>
    <w:p w14:paraId="4B394647" w14:textId="5B72CF03" w:rsidR="00F32252" w:rsidRDefault="00F32252" w:rsidP="00F32252">
      <w:pPr>
        <w:widowControl/>
        <w:autoSpaceDE/>
        <w:autoSpaceDN/>
        <w:adjustRightInd/>
        <w:rPr>
          <w:rFonts w:ascii="Times New Roman" w:eastAsiaTheme="minorHAnsi" w:hAnsi="Times New Roman"/>
          <w:sz w:val="24"/>
        </w:rPr>
      </w:pPr>
      <w:r w:rsidRPr="004C4AE6">
        <w:rPr>
          <w:rFonts w:ascii="Times New Roman" w:eastAsiaTheme="minorHAnsi" w:hAnsi="Times New Roman"/>
          <w:sz w:val="24"/>
        </w:rPr>
        <w:lastRenderedPageBreak/>
        <w:t xml:space="preserve">In last year’s filing, </w:t>
      </w:r>
      <w:r>
        <w:rPr>
          <w:rFonts w:ascii="Times New Roman" w:eastAsiaTheme="minorHAnsi" w:hAnsi="Times New Roman"/>
          <w:sz w:val="24"/>
        </w:rPr>
        <w:t>the company made an error in forecasting the demand costs. It understated a pipeline cost</w:t>
      </w:r>
      <w:r w:rsidRPr="004C4AE6">
        <w:rPr>
          <w:rFonts w:ascii="Times New Roman" w:eastAsiaTheme="minorHAnsi" w:hAnsi="Times New Roman"/>
          <w:sz w:val="24"/>
        </w:rPr>
        <w:t xml:space="preserve"> by $4,115,375 for the 2014</w:t>
      </w:r>
      <w:r>
        <w:rPr>
          <w:rFonts w:ascii="Times New Roman" w:eastAsiaTheme="minorHAnsi" w:hAnsi="Times New Roman"/>
          <w:sz w:val="24"/>
        </w:rPr>
        <w:t xml:space="preserve"> </w:t>
      </w:r>
      <w:r w:rsidRPr="004C4AE6">
        <w:rPr>
          <w:rFonts w:ascii="Times New Roman" w:eastAsiaTheme="minorHAnsi" w:hAnsi="Times New Roman"/>
          <w:sz w:val="24"/>
        </w:rPr>
        <w:t>-</w:t>
      </w:r>
      <w:r>
        <w:rPr>
          <w:rFonts w:ascii="Times New Roman" w:eastAsiaTheme="minorHAnsi" w:hAnsi="Times New Roman"/>
          <w:sz w:val="24"/>
        </w:rPr>
        <w:t xml:space="preserve"> </w:t>
      </w:r>
      <w:r w:rsidRPr="004C4AE6">
        <w:rPr>
          <w:rFonts w:ascii="Times New Roman" w:eastAsiaTheme="minorHAnsi" w:hAnsi="Times New Roman"/>
          <w:sz w:val="24"/>
        </w:rPr>
        <w:t xml:space="preserve">2015 PGA period. The cost difference has been trued up in the deferral portion of this year’s filing. </w:t>
      </w:r>
    </w:p>
    <w:p w14:paraId="6CB9F931" w14:textId="77777777" w:rsidR="00562894" w:rsidRDefault="00562894" w:rsidP="00F32252">
      <w:pPr>
        <w:widowControl/>
        <w:autoSpaceDE/>
        <w:autoSpaceDN/>
        <w:adjustRightInd/>
        <w:rPr>
          <w:rFonts w:ascii="Times New Roman" w:eastAsiaTheme="minorHAnsi" w:hAnsi="Times New Roman"/>
          <w:sz w:val="24"/>
        </w:rPr>
      </w:pPr>
    </w:p>
    <w:p w14:paraId="04D5D16D" w14:textId="77777777" w:rsidR="009B58B4" w:rsidRPr="00261E32" w:rsidRDefault="009B58B4" w:rsidP="00025483">
      <w:pPr>
        <w:pStyle w:val="Heading2"/>
      </w:pPr>
      <w:r w:rsidRPr="00261E32">
        <w:t>Revenue and Residential Bill Impacts</w:t>
      </w:r>
    </w:p>
    <w:p w14:paraId="3CD759A3" w14:textId="77777777" w:rsidR="00442DA4" w:rsidRPr="00261E32" w:rsidRDefault="00442DA4" w:rsidP="00593AAA">
      <w:pPr>
        <w:rPr>
          <w:rFonts w:ascii="Times New Roman" w:hAnsi="Times New Roman"/>
          <w:sz w:val="24"/>
        </w:rPr>
      </w:pPr>
    </w:p>
    <w:p w14:paraId="04D5D16E" w14:textId="7177F3CF" w:rsidR="00FB2E5A" w:rsidRPr="00261E32" w:rsidRDefault="000B2FCA" w:rsidP="00593AAA">
      <w:pPr>
        <w:rPr>
          <w:rFonts w:ascii="Times New Roman" w:hAnsi="Times New Roman"/>
          <w:sz w:val="24"/>
        </w:rPr>
      </w:pPr>
      <w:r w:rsidRPr="00261E32">
        <w:rPr>
          <w:rFonts w:ascii="Times New Roman" w:hAnsi="Times New Roman"/>
          <w:sz w:val="24"/>
        </w:rPr>
        <w:t>A residential customer using 6</w:t>
      </w:r>
      <w:r w:rsidR="00E37D98" w:rsidRPr="00261E32">
        <w:rPr>
          <w:rFonts w:ascii="Times New Roman" w:hAnsi="Times New Roman"/>
          <w:sz w:val="24"/>
        </w:rPr>
        <w:t>8</w:t>
      </w:r>
      <w:r w:rsidR="00FB2E5A" w:rsidRPr="00261E32">
        <w:rPr>
          <w:rFonts w:ascii="Times New Roman" w:hAnsi="Times New Roman"/>
          <w:sz w:val="24"/>
        </w:rPr>
        <w:t xml:space="preserve"> </w:t>
      </w:r>
      <w:proofErr w:type="spellStart"/>
      <w:r w:rsidR="00FB2E5A" w:rsidRPr="00261E32">
        <w:rPr>
          <w:rFonts w:ascii="Times New Roman" w:hAnsi="Times New Roman"/>
          <w:sz w:val="24"/>
        </w:rPr>
        <w:t>therms</w:t>
      </w:r>
      <w:proofErr w:type="spellEnd"/>
      <w:r w:rsidR="00FB2E5A" w:rsidRPr="00261E32">
        <w:rPr>
          <w:rFonts w:ascii="Times New Roman" w:hAnsi="Times New Roman"/>
          <w:sz w:val="24"/>
        </w:rPr>
        <w:t xml:space="preserve"> (the calculated monthly average) would pay $</w:t>
      </w:r>
      <w:r w:rsidR="00442DA4" w:rsidRPr="00261E32">
        <w:rPr>
          <w:rFonts w:ascii="Times New Roman" w:hAnsi="Times New Roman"/>
          <w:sz w:val="24"/>
        </w:rPr>
        <w:t>12.9</w:t>
      </w:r>
      <w:r w:rsidR="00261E32">
        <w:rPr>
          <w:rFonts w:ascii="Times New Roman" w:hAnsi="Times New Roman"/>
          <w:sz w:val="24"/>
        </w:rPr>
        <w:t>4</w:t>
      </w:r>
      <w:r w:rsidR="00A55E57" w:rsidRPr="00261E32">
        <w:rPr>
          <w:rFonts w:ascii="Times New Roman" w:hAnsi="Times New Roman"/>
          <w:sz w:val="24"/>
        </w:rPr>
        <w:t xml:space="preserve"> </w:t>
      </w:r>
      <w:r w:rsidR="00442DA4" w:rsidRPr="00261E32">
        <w:rPr>
          <w:rFonts w:ascii="Times New Roman" w:hAnsi="Times New Roman"/>
          <w:sz w:val="24"/>
        </w:rPr>
        <w:t>less</w:t>
      </w:r>
      <w:r w:rsidRPr="00261E32">
        <w:rPr>
          <w:rFonts w:ascii="Times New Roman" w:hAnsi="Times New Roman"/>
          <w:sz w:val="24"/>
        </w:rPr>
        <w:t xml:space="preserve"> per month</w:t>
      </w:r>
      <w:r w:rsidR="006B16D9" w:rsidRPr="00261E32">
        <w:rPr>
          <w:rFonts w:ascii="Times New Roman" w:hAnsi="Times New Roman"/>
          <w:sz w:val="24"/>
        </w:rPr>
        <w:t xml:space="preserve">, </w:t>
      </w:r>
      <w:r w:rsidR="002C304F">
        <w:rPr>
          <w:rFonts w:ascii="Times New Roman" w:hAnsi="Times New Roman"/>
          <w:sz w:val="24"/>
        </w:rPr>
        <w:t>reducing</w:t>
      </w:r>
      <w:r w:rsidR="002C304F" w:rsidRPr="00261E32">
        <w:rPr>
          <w:rFonts w:ascii="Times New Roman" w:hAnsi="Times New Roman"/>
          <w:sz w:val="24"/>
        </w:rPr>
        <w:t xml:space="preserve"> </w:t>
      </w:r>
      <w:r w:rsidR="006B16D9" w:rsidRPr="00261E32">
        <w:rPr>
          <w:rFonts w:ascii="Times New Roman" w:hAnsi="Times New Roman"/>
          <w:sz w:val="24"/>
        </w:rPr>
        <w:t>their average bill</w:t>
      </w:r>
      <w:r w:rsidRPr="00261E32">
        <w:rPr>
          <w:rFonts w:ascii="Times New Roman" w:hAnsi="Times New Roman"/>
          <w:sz w:val="24"/>
        </w:rPr>
        <w:t xml:space="preserve"> from </w:t>
      </w:r>
      <w:r w:rsidR="00FB2E5A" w:rsidRPr="00261E32">
        <w:rPr>
          <w:rFonts w:ascii="Times New Roman" w:hAnsi="Times New Roman"/>
          <w:sz w:val="24"/>
        </w:rPr>
        <w:t>$</w:t>
      </w:r>
      <w:r w:rsidR="00442DA4" w:rsidRPr="00261E32">
        <w:rPr>
          <w:rFonts w:ascii="Times New Roman" w:hAnsi="Times New Roman"/>
          <w:sz w:val="24"/>
        </w:rPr>
        <w:t>81.</w:t>
      </w:r>
      <w:r w:rsidR="000E3636">
        <w:rPr>
          <w:rFonts w:ascii="Times New Roman" w:hAnsi="Times New Roman"/>
          <w:sz w:val="24"/>
        </w:rPr>
        <w:t>3</w:t>
      </w:r>
      <w:r w:rsidR="00442DA4" w:rsidRPr="00261E32">
        <w:rPr>
          <w:rFonts w:ascii="Times New Roman" w:hAnsi="Times New Roman"/>
          <w:sz w:val="24"/>
        </w:rPr>
        <w:t xml:space="preserve">5 to </w:t>
      </w:r>
      <w:r w:rsidR="00F32252">
        <w:rPr>
          <w:rFonts w:ascii="Times New Roman" w:hAnsi="Times New Roman"/>
          <w:sz w:val="24"/>
        </w:rPr>
        <w:t>$</w:t>
      </w:r>
      <w:r w:rsidR="00442DA4" w:rsidRPr="00261E32">
        <w:rPr>
          <w:rFonts w:ascii="Times New Roman" w:hAnsi="Times New Roman"/>
          <w:sz w:val="24"/>
        </w:rPr>
        <w:t>68.</w:t>
      </w:r>
      <w:r w:rsidR="000E3636">
        <w:rPr>
          <w:rFonts w:ascii="Times New Roman" w:hAnsi="Times New Roman"/>
          <w:sz w:val="24"/>
        </w:rPr>
        <w:t>4</w:t>
      </w:r>
      <w:r w:rsidR="00442DA4" w:rsidRPr="00261E32">
        <w:rPr>
          <w:rFonts w:ascii="Times New Roman" w:hAnsi="Times New Roman"/>
          <w:sz w:val="24"/>
        </w:rPr>
        <w:t>1</w:t>
      </w:r>
      <w:r w:rsidR="00FB2E5A" w:rsidRPr="00261E32">
        <w:rPr>
          <w:rFonts w:ascii="Times New Roman" w:hAnsi="Times New Roman"/>
          <w:sz w:val="24"/>
        </w:rPr>
        <w:t xml:space="preserve">. The combined effects of the PGA and Deferral mechanisms on </w:t>
      </w:r>
      <w:r w:rsidR="004959F2" w:rsidRPr="00261E32">
        <w:rPr>
          <w:rFonts w:ascii="Times New Roman" w:hAnsi="Times New Roman"/>
          <w:sz w:val="24"/>
        </w:rPr>
        <w:t>PSE</w:t>
      </w:r>
      <w:r w:rsidR="00FB2E5A" w:rsidRPr="00261E32">
        <w:rPr>
          <w:rFonts w:ascii="Times New Roman" w:hAnsi="Times New Roman"/>
          <w:sz w:val="24"/>
        </w:rPr>
        <w:t>’s rates ($/</w:t>
      </w:r>
      <w:proofErr w:type="spellStart"/>
      <w:r w:rsidR="00FB2E5A" w:rsidRPr="00261E32">
        <w:rPr>
          <w:rFonts w:ascii="Times New Roman" w:hAnsi="Times New Roman"/>
          <w:sz w:val="24"/>
        </w:rPr>
        <w:t>therm</w:t>
      </w:r>
      <w:proofErr w:type="spellEnd"/>
      <w:r w:rsidR="00FB2E5A" w:rsidRPr="00261E32">
        <w:rPr>
          <w:rFonts w:ascii="Times New Roman" w:hAnsi="Times New Roman"/>
          <w:sz w:val="24"/>
        </w:rPr>
        <w:t>) and annual revenues are as follow</w:t>
      </w:r>
      <w:r w:rsidR="006B16D9" w:rsidRPr="00261E32">
        <w:rPr>
          <w:rFonts w:ascii="Times New Roman" w:hAnsi="Times New Roman"/>
          <w:sz w:val="24"/>
        </w:rPr>
        <w:t>s</w:t>
      </w:r>
      <w:r w:rsidR="00FB2E5A" w:rsidRPr="00261E32">
        <w:rPr>
          <w:rFonts w:ascii="Times New Roman" w:hAnsi="Times New Roman"/>
          <w:sz w:val="24"/>
        </w:rPr>
        <w:t>:</w:t>
      </w:r>
      <w:r w:rsidR="00E84693">
        <w:rPr>
          <w:rStyle w:val="FootnoteReference"/>
          <w:rFonts w:ascii="Times New Roman" w:hAnsi="Times New Roman"/>
          <w:sz w:val="24"/>
        </w:rPr>
        <w:footnoteReference w:id="4"/>
      </w:r>
    </w:p>
    <w:p w14:paraId="3CCA9325" w14:textId="77777777" w:rsidR="00025A51" w:rsidRPr="00261E32" w:rsidRDefault="00025A51" w:rsidP="00593AAA">
      <w:pPr>
        <w:rPr>
          <w:rFonts w:ascii="Times New Roman" w:hAnsi="Times New Roman"/>
          <w:sz w:val="24"/>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gridCol w:w="1621"/>
        <w:gridCol w:w="1710"/>
        <w:gridCol w:w="1980"/>
        <w:gridCol w:w="1438"/>
      </w:tblGrid>
      <w:tr w:rsidR="00A04507" w:rsidRPr="00A04507" w14:paraId="1F304868" w14:textId="77777777" w:rsidTr="003F6D63">
        <w:tc>
          <w:tcPr>
            <w:tcW w:w="1428" w:type="pct"/>
            <w:vAlign w:val="bottom"/>
          </w:tcPr>
          <w:p w14:paraId="234D0CD6"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A04507">
              <w:rPr>
                <w:rFonts w:ascii="Times New Roman" w:hAnsi="Times New Roman"/>
                <w:b/>
                <w:sz w:val="24"/>
              </w:rPr>
              <w:t>Schedule Classes</w:t>
            </w:r>
          </w:p>
        </w:tc>
        <w:tc>
          <w:tcPr>
            <w:tcW w:w="858" w:type="pct"/>
            <w:vAlign w:val="bottom"/>
          </w:tcPr>
          <w:p w14:paraId="5DF2421C"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A04507">
              <w:rPr>
                <w:rFonts w:ascii="Times New Roman" w:hAnsi="Times New Roman"/>
                <w:b/>
                <w:sz w:val="24"/>
              </w:rPr>
              <w:t>PGA Change</w:t>
            </w:r>
          </w:p>
        </w:tc>
        <w:tc>
          <w:tcPr>
            <w:tcW w:w="905" w:type="pct"/>
            <w:vAlign w:val="bottom"/>
          </w:tcPr>
          <w:p w14:paraId="31DF1A3E"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A04507">
              <w:rPr>
                <w:rFonts w:ascii="Times New Roman" w:hAnsi="Times New Roman"/>
                <w:b/>
                <w:sz w:val="24"/>
              </w:rPr>
              <w:t>Deferral Change</w:t>
            </w:r>
          </w:p>
        </w:tc>
        <w:tc>
          <w:tcPr>
            <w:tcW w:w="1048" w:type="pct"/>
            <w:vAlign w:val="bottom"/>
          </w:tcPr>
          <w:p w14:paraId="56FE8FD8"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A04507">
              <w:rPr>
                <w:rFonts w:ascii="Times New Roman" w:hAnsi="Times New Roman"/>
                <w:b/>
                <w:sz w:val="24"/>
              </w:rPr>
              <w:t>Revenue Impact</w:t>
            </w:r>
          </w:p>
        </w:tc>
        <w:tc>
          <w:tcPr>
            <w:tcW w:w="762" w:type="pct"/>
            <w:vAlign w:val="bottom"/>
          </w:tcPr>
          <w:p w14:paraId="7EE12AB4"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b/>
                <w:sz w:val="24"/>
              </w:rPr>
            </w:pPr>
            <w:r w:rsidRPr="00A04507">
              <w:rPr>
                <w:rFonts w:ascii="Times New Roman" w:hAnsi="Times New Roman"/>
                <w:b/>
                <w:sz w:val="24"/>
              </w:rPr>
              <w:t>Percent Change</w:t>
            </w:r>
          </w:p>
        </w:tc>
      </w:tr>
      <w:tr w:rsidR="00A04507" w:rsidRPr="00A04507" w14:paraId="45953A64" w14:textId="77777777" w:rsidTr="003F6D63">
        <w:tc>
          <w:tcPr>
            <w:tcW w:w="1428" w:type="pct"/>
          </w:tcPr>
          <w:p w14:paraId="1A5691EE"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sz w:val="24"/>
              </w:rPr>
            </w:pPr>
            <w:r w:rsidRPr="00A04507">
              <w:rPr>
                <w:rFonts w:ascii="Times New Roman" w:hAnsi="Times New Roman"/>
                <w:i/>
                <w:sz w:val="24"/>
              </w:rPr>
              <w:t>Residential</w:t>
            </w:r>
          </w:p>
        </w:tc>
        <w:tc>
          <w:tcPr>
            <w:tcW w:w="858" w:type="pct"/>
            <w:vAlign w:val="center"/>
          </w:tcPr>
          <w:p w14:paraId="06290A44" w14:textId="77777777" w:rsidR="00025A51" w:rsidRPr="00A04507" w:rsidRDefault="00025A51"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5" w:type="pct"/>
          </w:tcPr>
          <w:p w14:paraId="6F7B8C05" w14:textId="77777777" w:rsidR="00025A51" w:rsidRPr="00A04507" w:rsidRDefault="00025A51"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1048" w:type="pct"/>
          </w:tcPr>
          <w:p w14:paraId="71B79A4B"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762" w:type="pct"/>
          </w:tcPr>
          <w:p w14:paraId="2BA72077"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r>
      <w:tr w:rsidR="00A04507" w:rsidRPr="00A04507" w14:paraId="01A13687" w14:textId="77777777" w:rsidTr="003F6D63">
        <w:tc>
          <w:tcPr>
            <w:tcW w:w="1428" w:type="pct"/>
          </w:tcPr>
          <w:p w14:paraId="08EDDAE9"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04507">
              <w:rPr>
                <w:rFonts w:ascii="Times New Roman" w:hAnsi="Times New Roman"/>
                <w:sz w:val="24"/>
              </w:rPr>
              <w:t>Schedule 23</w:t>
            </w:r>
          </w:p>
        </w:tc>
        <w:tc>
          <w:tcPr>
            <w:tcW w:w="858" w:type="pct"/>
            <w:vAlign w:val="center"/>
          </w:tcPr>
          <w:p w14:paraId="27F3C22F" w14:textId="2F8EEB52" w:rsidR="00025A51" w:rsidRPr="00A04507" w:rsidRDefault="00E84693"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($0.12063</w:t>
            </w:r>
            <w:r w:rsidR="00025A51" w:rsidRPr="00A04507">
              <w:rPr>
                <w:rFonts w:ascii="Times New Roman" w:hAnsi="Times New Roman"/>
                <w:sz w:val="24"/>
              </w:rPr>
              <w:t>)</w:t>
            </w:r>
          </w:p>
        </w:tc>
        <w:tc>
          <w:tcPr>
            <w:tcW w:w="905" w:type="pct"/>
          </w:tcPr>
          <w:p w14:paraId="4D6D5EFD" w14:textId="7A75CC62" w:rsidR="00025A51" w:rsidRPr="00A04507" w:rsidRDefault="00E84693"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w:t>
            </w:r>
            <w:r w:rsidR="00025A51" w:rsidRPr="00A04507">
              <w:rPr>
                <w:rFonts w:ascii="Times New Roman" w:hAnsi="Times New Roman"/>
                <w:sz w:val="24"/>
              </w:rPr>
              <w:t>$0.</w:t>
            </w:r>
            <w:r w:rsidRPr="00A04507">
              <w:rPr>
                <w:rFonts w:ascii="Times New Roman" w:hAnsi="Times New Roman"/>
                <w:sz w:val="24"/>
              </w:rPr>
              <w:t>06949)</w:t>
            </w:r>
          </w:p>
        </w:tc>
        <w:tc>
          <w:tcPr>
            <w:tcW w:w="1048" w:type="pct"/>
          </w:tcPr>
          <w:p w14:paraId="77E1E88C" w14:textId="36FE4E7F" w:rsidR="00025A51" w:rsidRPr="00A04507" w:rsidRDefault="00E84693" w:rsidP="00A04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A04507">
              <w:rPr>
                <w:rFonts w:ascii="Times New Roman" w:hAnsi="Times New Roman"/>
                <w:sz w:val="24"/>
              </w:rPr>
              <w:t>(</w:t>
            </w:r>
            <w:r w:rsidR="00A04507">
              <w:rPr>
                <w:rFonts w:ascii="Times New Roman" w:hAnsi="Times New Roman"/>
                <w:sz w:val="24"/>
              </w:rPr>
              <w:t>$</w:t>
            </w:r>
            <w:r w:rsidR="00A04507" w:rsidRPr="00A04507">
              <w:rPr>
                <w:rFonts w:ascii="Times New Roman" w:hAnsi="Times New Roman"/>
                <w:sz w:val="24"/>
              </w:rPr>
              <w:t>1</w:t>
            </w:r>
            <w:r w:rsidRPr="00A04507">
              <w:rPr>
                <w:rFonts w:ascii="Times New Roman" w:hAnsi="Times New Roman"/>
                <w:sz w:val="24"/>
              </w:rPr>
              <w:t>18,138,297)</w:t>
            </w:r>
          </w:p>
        </w:tc>
        <w:tc>
          <w:tcPr>
            <w:tcW w:w="762" w:type="pct"/>
          </w:tcPr>
          <w:p w14:paraId="30A33E7E" w14:textId="00E997B1" w:rsidR="00025A51" w:rsidRPr="00A04507" w:rsidRDefault="00A04507" w:rsidP="003F6D63">
            <w:pPr>
              <w:tabs>
                <w:tab w:val="decimal" w:pos="520"/>
              </w:tabs>
              <w:spacing w:line="225" w:lineRule="auto"/>
              <w:jc w:val="right"/>
              <w:rPr>
                <w:rFonts w:ascii="Times New Roman" w:hAnsi="Times New Roman"/>
                <w:sz w:val="24"/>
              </w:rPr>
            </w:pPr>
            <w:r w:rsidRPr="00A04507">
              <w:rPr>
                <w:rFonts w:ascii="Times New Roman" w:hAnsi="Times New Roman"/>
                <w:sz w:val="24"/>
              </w:rPr>
              <w:t>(16.1</w:t>
            </w:r>
            <w:r w:rsidR="00025A51" w:rsidRPr="00A04507">
              <w:rPr>
                <w:rFonts w:ascii="Times New Roman" w:hAnsi="Times New Roman"/>
                <w:sz w:val="24"/>
              </w:rPr>
              <w:t>%</w:t>
            </w:r>
            <w:r w:rsidRPr="00A04507">
              <w:rPr>
                <w:rFonts w:ascii="Times New Roman" w:hAnsi="Times New Roman"/>
                <w:sz w:val="24"/>
              </w:rPr>
              <w:t>)</w:t>
            </w:r>
          </w:p>
        </w:tc>
      </w:tr>
      <w:tr w:rsidR="00A04507" w:rsidRPr="00A04507" w14:paraId="55D935C9" w14:textId="77777777" w:rsidTr="003F6D63">
        <w:tc>
          <w:tcPr>
            <w:tcW w:w="1428" w:type="pct"/>
          </w:tcPr>
          <w:p w14:paraId="20B588D9"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04507">
              <w:rPr>
                <w:rFonts w:ascii="Times New Roman" w:hAnsi="Times New Roman"/>
                <w:sz w:val="24"/>
              </w:rPr>
              <w:t>Schedule 16</w:t>
            </w:r>
          </w:p>
        </w:tc>
        <w:tc>
          <w:tcPr>
            <w:tcW w:w="858" w:type="pct"/>
            <w:vAlign w:val="center"/>
          </w:tcPr>
          <w:p w14:paraId="6F4FC253" w14:textId="2FE725D9" w:rsidR="00025A51" w:rsidRPr="00A04507" w:rsidRDefault="00E84693"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($0.12063</w:t>
            </w:r>
            <w:r w:rsidR="00025A51" w:rsidRPr="00A04507">
              <w:rPr>
                <w:rFonts w:ascii="Times New Roman" w:hAnsi="Times New Roman"/>
                <w:sz w:val="24"/>
              </w:rPr>
              <w:t>)</w:t>
            </w:r>
          </w:p>
        </w:tc>
        <w:tc>
          <w:tcPr>
            <w:tcW w:w="905" w:type="pct"/>
          </w:tcPr>
          <w:p w14:paraId="61DED928" w14:textId="0F79A6FE" w:rsidR="00025A51" w:rsidRPr="00A04507" w:rsidRDefault="00E84693" w:rsidP="00F3615C">
            <w:pPr>
              <w:tabs>
                <w:tab w:val="left" w:pos="720"/>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w:t>
            </w:r>
            <w:r w:rsidR="00025A51" w:rsidRPr="00A04507">
              <w:rPr>
                <w:rFonts w:ascii="Times New Roman" w:hAnsi="Times New Roman"/>
                <w:sz w:val="24"/>
              </w:rPr>
              <w:t>$0.0</w:t>
            </w:r>
            <w:r w:rsidRPr="00A04507">
              <w:rPr>
                <w:rFonts w:ascii="Times New Roman" w:hAnsi="Times New Roman"/>
                <w:sz w:val="24"/>
              </w:rPr>
              <w:t>6949)</w:t>
            </w:r>
          </w:p>
        </w:tc>
        <w:tc>
          <w:tcPr>
            <w:tcW w:w="1048" w:type="pct"/>
          </w:tcPr>
          <w:p w14:paraId="3D3DC473" w14:textId="55162E3C" w:rsidR="00025A51" w:rsidRPr="00A04507" w:rsidRDefault="00E84693"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A04507">
              <w:rPr>
                <w:rFonts w:ascii="Times New Roman" w:hAnsi="Times New Roman"/>
                <w:sz w:val="24"/>
              </w:rPr>
              <w:t>(1,910)</w:t>
            </w:r>
          </w:p>
        </w:tc>
        <w:tc>
          <w:tcPr>
            <w:tcW w:w="762" w:type="pct"/>
          </w:tcPr>
          <w:p w14:paraId="05A63F5B" w14:textId="580B0DC8" w:rsidR="00025A51" w:rsidRPr="00A04507" w:rsidRDefault="00A04507" w:rsidP="003F6D63">
            <w:pPr>
              <w:tabs>
                <w:tab w:val="decimal" w:pos="520"/>
              </w:tabs>
              <w:spacing w:line="225" w:lineRule="auto"/>
              <w:jc w:val="right"/>
              <w:rPr>
                <w:rFonts w:ascii="Times New Roman" w:hAnsi="Times New Roman"/>
                <w:sz w:val="24"/>
              </w:rPr>
            </w:pPr>
            <w:r w:rsidRPr="00A04507">
              <w:rPr>
                <w:rFonts w:ascii="Times New Roman" w:hAnsi="Times New Roman"/>
                <w:sz w:val="24"/>
              </w:rPr>
              <w:t>(16.2%)</w:t>
            </w:r>
          </w:p>
        </w:tc>
      </w:tr>
      <w:tr w:rsidR="00A04507" w:rsidRPr="00A04507" w14:paraId="12EB4EC6" w14:textId="77777777" w:rsidTr="003F6D63">
        <w:tc>
          <w:tcPr>
            <w:tcW w:w="1428" w:type="pct"/>
          </w:tcPr>
          <w:p w14:paraId="08F154E9"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sz w:val="24"/>
              </w:rPr>
            </w:pPr>
            <w:r w:rsidRPr="00A04507">
              <w:rPr>
                <w:rFonts w:ascii="Times New Roman" w:hAnsi="Times New Roman"/>
                <w:i/>
                <w:sz w:val="24"/>
              </w:rPr>
              <w:t>Commercial</w:t>
            </w:r>
          </w:p>
        </w:tc>
        <w:tc>
          <w:tcPr>
            <w:tcW w:w="858" w:type="pct"/>
            <w:vAlign w:val="center"/>
          </w:tcPr>
          <w:p w14:paraId="2D532FE9" w14:textId="77777777" w:rsidR="00025A51" w:rsidRPr="00A04507" w:rsidRDefault="00025A51"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5" w:type="pct"/>
          </w:tcPr>
          <w:p w14:paraId="6B61B923" w14:textId="77777777" w:rsidR="00025A51" w:rsidRPr="00A04507" w:rsidRDefault="00025A51" w:rsidP="00F3615C">
            <w:pPr>
              <w:tabs>
                <w:tab w:val="left" w:pos="720"/>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1048" w:type="pct"/>
          </w:tcPr>
          <w:p w14:paraId="1F085619" w14:textId="77777777" w:rsidR="00025A51" w:rsidRPr="00A04507" w:rsidRDefault="00025A51"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p>
        </w:tc>
        <w:tc>
          <w:tcPr>
            <w:tcW w:w="762" w:type="pct"/>
          </w:tcPr>
          <w:p w14:paraId="1DDBC398" w14:textId="77777777" w:rsidR="00025A51" w:rsidRPr="00A04507" w:rsidRDefault="00025A51" w:rsidP="003F6D63">
            <w:pPr>
              <w:tabs>
                <w:tab w:val="decimal" w:pos="520"/>
              </w:tabs>
              <w:spacing w:line="225" w:lineRule="auto"/>
              <w:jc w:val="right"/>
              <w:rPr>
                <w:rFonts w:ascii="Times New Roman" w:hAnsi="Times New Roman"/>
                <w:sz w:val="24"/>
              </w:rPr>
            </w:pPr>
          </w:p>
        </w:tc>
      </w:tr>
      <w:tr w:rsidR="00A04507" w:rsidRPr="00A04507" w14:paraId="407F5CAE" w14:textId="77777777" w:rsidTr="003F6D63">
        <w:tc>
          <w:tcPr>
            <w:tcW w:w="1428" w:type="pct"/>
          </w:tcPr>
          <w:p w14:paraId="6839D061"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04507">
              <w:rPr>
                <w:rFonts w:ascii="Times New Roman" w:hAnsi="Times New Roman"/>
                <w:sz w:val="24"/>
              </w:rPr>
              <w:t>Schedule 31</w:t>
            </w:r>
          </w:p>
        </w:tc>
        <w:tc>
          <w:tcPr>
            <w:tcW w:w="858" w:type="pct"/>
            <w:vAlign w:val="center"/>
          </w:tcPr>
          <w:p w14:paraId="0CFBF9E6" w14:textId="08793549" w:rsidR="00025A51" w:rsidRPr="00A04507" w:rsidRDefault="00025A51"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($0.</w:t>
            </w:r>
            <w:r w:rsidR="00E84693" w:rsidRPr="00A04507">
              <w:rPr>
                <w:rFonts w:ascii="Times New Roman" w:hAnsi="Times New Roman"/>
                <w:sz w:val="24"/>
              </w:rPr>
              <w:t>12029</w:t>
            </w:r>
            <w:r w:rsidRPr="00A04507">
              <w:rPr>
                <w:rFonts w:ascii="Times New Roman" w:hAnsi="Times New Roman"/>
                <w:sz w:val="24"/>
              </w:rPr>
              <w:t>)</w:t>
            </w:r>
          </w:p>
        </w:tc>
        <w:tc>
          <w:tcPr>
            <w:tcW w:w="905" w:type="pct"/>
          </w:tcPr>
          <w:p w14:paraId="39AEAC2B" w14:textId="490812A6" w:rsidR="00025A51" w:rsidRPr="00A04507" w:rsidRDefault="00E84693" w:rsidP="00F3615C">
            <w:pPr>
              <w:tabs>
                <w:tab w:val="left" w:pos="720"/>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w:t>
            </w:r>
            <w:r w:rsidR="00025A51" w:rsidRPr="00A04507">
              <w:rPr>
                <w:rFonts w:ascii="Times New Roman" w:hAnsi="Times New Roman"/>
                <w:sz w:val="24"/>
              </w:rPr>
              <w:t>$0.</w:t>
            </w:r>
            <w:r w:rsidRPr="00A04507">
              <w:rPr>
                <w:rFonts w:ascii="Times New Roman" w:hAnsi="Times New Roman"/>
                <w:sz w:val="24"/>
              </w:rPr>
              <w:t>06992)</w:t>
            </w:r>
          </w:p>
        </w:tc>
        <w:tc>
          <w:tcPr>
            <w:tcW w:w="1048" w:type="pct"/>
          </w:tcPr>
          <w:p w14:paraId="7D0FCFA0" w14:textId="6AD936DA" w:rsidR="00025A51" w:rsidRPr="00A04507" w:rsidRDefault="00E84693"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A04507">
              <w:rPr>
                <w:rFonts w:ascii="Times New Roman" w:hAnsi="Times New Roman"/>
                <w:sz w:val="24"/>
              </w:rPr>
              <w:t>(42,241,007)</w:t>
            </w:r>
          </w:p>
        </w:tc>
        <w:tc>
          <w:tcPr>
            <w:tcW w:w="762" w:type="pct"/>
          </w:tcPr>
          <w:p w14:paraId="629D1D71" w14:textId="25FA0BD9" w:rsidR="00025A51" w:rsidRPr="00A04507" w:rsidRDefault="00A04507" w:rsidP="003F6D63">
            <w:pPr>
              <w:tabs>
                <w:tab w:val="decimal" w:pos="520"/>
              </w:tabs>
              <w:spacing w:line="225" w:lineRule="auto"/>
              <w:jc w:val="right"/>
              <w:rPr>
                <w:rFonts w:ascii="Times New Roman" w:hAnsi="Times New Roman"/>
                <w:sz w:val="24"/>
              </w:rPr>
            </w:pPr>
            <w:r w:rsidRPr="00A04507">
              <w:rPr>
                <w:rFonts w:ascii="Times New Roman" w:hAnsi="Times New Roman"/>
                <w:sz w:val="24"/>
              </w:rPr>
              <w:t>(18.0</w:t>
            </w:r>
            <w:r w:rsidR="00025A51" w:rsidRPr="00A04507">
              <w:rPr>
                <w:rFonts w:ascii="Times New Roman" w:hAnsi="Times New Roman"/>
                <w:sz w:val="24"/>
              </w:rPr>
              <w:t>%</w:t>
            </w:r>
            <w:r w:rsidRPr="00A04507">
              <w:rPr>
                <w:rFonts w:ascii="Times New Roman" w:hAnsi="Times New Roman"/>
                <w:sz w:val="24"/>
              </w:rPr>
              <w:t>)</w:t>
            </w:r>
          </w:p>
        </w:tc>
      </w:tr>
      <w:tr w:rsidR="00A04507" w:rsidRPr="00A04507" w14:paraId="6537ADF4" w14:textId="77777777" w:rsidTr="003F6D63">
        <w:tc>
          <w:tcPr>
            <w:tcW w:w="1428" w:type="pct"/>
          </w:tcPr>
          <w:p w14:paraId="711356E0"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04507">
              <w:rPr>
                <w:rFonts w:ascii="Times New Roman" w:hAnsi="Times New Roman"/>
                <w:sz w:val="24"/>
              </w:rPr>
              <w:t>Schedule 41</w:t>
            </w:r>
          </w:p>
        </w:tc>
        <w:tc>
          <w:tcPr>
            <w:tcW w:w="858" w:type="pct"/>
            <w:vAlign w:val="center"/>
          </w:tcPr>
          <w:p w14:paraId="0DF8BD26" w14:textId="280EB6E9" w:rsidR="00025A51" w:rsidRPr="00A04507" w:rsidRDefault="00025A51"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($0.</w:t>
            </w:r>
            <w:r w:rsidR="00E84693" w:rsidRPr="00A04507">
              <w:rPr>
                <w:rFonts w:ascii="Times New Roman" w:hAnsi="Times New Roman"/>
                <w:sz w:val="24"/>
              </w:rPr>
              <w:t>11514</w:t>
            </w:r>
            <w:r w:rsidRPr="00A04507">
              <w:rPr>
                <w:rFonts w:ascii="Times New Roman" w:hAnsi="Times New Roman"/>
                <w:sz w:val="24"/>
              </w:rPr>
              <w:t>)</w:t>
            </w:r>
          </w:p>
        </w:tc>
        <w:tc>
          <w:tcPr>
            <w:tcW w:w="905" w:type="pct"/>
          </w:tcPr>
          <w:p w14:paraId="1A7D1254" w14:textId="55C042DE" w:rsidR="00025A51" w:rsidRPr="00A04507" w:rsidRDefault="00E84693" w:rsidP="00F3615C">
            <w:pPr>
              <w:tabs>
                <w:tab w:val="left" w:pos="720"/>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w:t>
            </w:r>
            <w:r w:rsidR="00025A51" w:rsidRPr="00A04507">
              <w:rPr>
                <w:rFonts w:ascii="Times New Roman" w:hAnsi="Times New Roman"/>
                <w:sz w:val="24"/>
              </w:rPr>
              <w:t>$0.</w:t>
            </w:r>
            <w:r w:rsidRPr="00A04507">
              <w:rPr>
                <w:rFonts w:ascii="Times New Roman" w:hAnsi="Times New Roman"/>
                <w:sz w:val="24"/>
              </w:rPr>
              <w:t>07634)</w:t>
            </w:r>
          </w:p>
        </w:tc>
        <w:tc>
          <w:tcPr>
            <w:tcW w:w="1048" w:type="pct"/>
          </w:tcPr>
          <w:p w14:paraId="4B34EAD8" w14:textId="2A1A26C8" w:rsidR="00025A51" w:rsidRPr="00A04507" w:rsidRDefault="00E84693"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A04507">
              <w:rPr>
                <w:rFonts w:ascii="Times New Roman" w:hAnsi="Times New Roman"/>
                <w:sz w:val="24"/>
              </w:rPr>
              <w:t>(15,735,085)</w:t>
            </w:r>
          </w:p>
        </w:tc>
        <w:tc>
          <w:tcPr>
            <w:tcW w:w="762" w:type="pct"/>
          </w:tcPr>
          <w:p w14:paraId="48224180" w14:textId="22CFD463" w:rsidR="00025A51" w:rsidRPr="00A04507" w:rsidRDefault="00A04507" w:rsidP="003F6D63">
            <w:pPr>
              <w:tabs>
                <w:tab w:val="decimal" w:pos="520"/>
              </w:tabs>
              <w:spacing w:line="225" w:lineRule="auto"/>
              <w:jc w:val="right"/>
              <w:rPr>
                <w:rFonts w:ascii="Times New Roman" w:hAnsi="Times New Roman"/>
                <w:sz w:val="24"/>
              </w:rPr>
            </w:pPr>
            <w:r w:rsidRPr="00A04507">
              <w:rPr>
                <w:rFonts w:ascii="Times New Roman" w:hAnsi="Times New Roman"/>
                <w:sz w:val="24"/>
              </w:rPr>
              <w:t>(23.6</w:t>
            </w:r>
            <w:r w:rsidR="00025A51" w:rsidRPr="00A04507">
              <w:rPr>
                <w:rFonts w:ascii="Times New Roman" w:hAnsi="Times New Roman"/>
                <w:sz w:val="24"/>
              </w:rPr>
              <w:t>%</w:t>
            </w:r>
            <w:r w:rsidRPr="00A04507">
              <w:rPr>
                <w:rFonts w:ascii="Times New Roman" w:hAnsi="Times New Roman"/>
                <w:sz w:val="24"/>
              </w:rPr>
              <w:t>)</w:t>
            </w:r>
          </w:p>
        </w:tc>
      </w:tr>
      <w:tr w:rsidR="00A04507" w:rsidRPr="00A04507" w14:paraId="37649965" w14:textId="77777777" w:rsidTr="003F6D63">
        <w:tc>
          <w:tcPr>
            <w:tcW w:w="1428" w:type="pct"/>
          </w:tcPr>
          <w:p w14:paraId="24195D68"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i/>
                <w:sz w:val="24"/>
              </w:rPr>
            </w:pPr>
            <w:r w:rsidRPr="00A04507">
              <w:rPr>
                <w:rFonts w:ascii="Times New Roman" w:hAnsi="Times New Roman"/>
                <w:i/>
                <w:sz w:val="24"/>
              </w:rPr>
              <w:t>Interruptible</w:t>
            </w:r>
          </w:p>
        </w:tc>
        <w:tc>
          <w:tcPr>
            <w:tcW w:w="858" w:type="pct"/>
          </w:tcPr>
          <w:p w14:paraId="7C212A9B" w14:textId="77777777" w:rsidR="00025A51" w:rsidRPr="00A04507" w:rsidRDefault="00025A51"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905" w:type="pct"/>
          </w:tcPr>
          <w:p w14:paraId="1F6C759F" w14:textId="77777777" w:rsidR="00025A51" w:rsidRPr="00A04507" w:rsidRDefault="00025A51" w:rsidP="00F3615C">
            <w:pPr>
              <w:tabs>
                <w:tab w:val="left" w:pos="720"/>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p>
        </w:tc>
        <w:tc>
          <w:tcPr>
            <w:tcW w:w="1048" w:type="pct"/>
          </w:tcPr>
          <w:p w14:paraId="1EE90B3D" w14:textId="77777777" w:rsidR="00025A51" w:rsidRPr="00A04507" w:rsidRDefault="00025A51"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p>
        </w:tc>
        <w:tc>
          <w:tcPr>
            <w:tcW w:w="762" w:type="pct"/>
          </w:tcPr>
          <w:p w14:paraId="6D60D8A8" w14:textId="77777777" w:rsidR="00025A51" w:rsidRPr="00A04507" w:rsidRDefault="00025A51" w:rsidP="003F6D63">
            <w:pPr>
              <w:tabs>
                <w:tab w:val="decimal" w:pos="520"/>
              </w:tabs>
              <w:spacing w:line="225" w:lineRule="auto"/>
              <w:jc w:val="right"/>
              <w:rPr>
                <w:rFonts w:ascii="Times New Roman" w:hAnsi="Times New Roman"/>
                <w:sz w:val="24"/>
              </w:rPr>
            </w:pPr>
          </w:p>
        </w:tc>
      </w:tr>
      <w:tr w:rsidR="00A04507" w:rsidRPr="00A04507" w14:paraId="54B15559" w14:textId="77777777" w:rsidTr="003F6D63">
        <w:tc>
          <w:tcPr>
            <w:tcW w:w="1428" w:type="pct"/>
          </w:tcPr>
          <w:p w14:paraId="295D94FB"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04507">
              <w:rPr>
                <w:rFonts w:ascii="Times New Roman" w:hAnsi="Times New Roman"/>
                <w:sz w:val="24"/>
              </w:rPr>
              <w:t>Schedule 85</w:t>
            </w:r>
          </w:p>
        </w:tc>
        <w:tc>
          <w:tcPr>
            <w:tcW w:w="858" w:type="pct"/>
            <w:vAlign w:val="center"/>
          </w:tcPr>
          <w:p w14:paraId="06291A22" w14:textId="63C23216" w:rsidR="00025A51" w:rsidRPr="00A04507" w:rsidRDefault="00025A51"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($0.</w:t>
            </w:r>
            <w:r w:rsidR="00E84693" w:rsidRPr="00A04507">
              <w:rPr>
                <w:rFonts w:ascii="Times New Roman" w:hAnsi="Times New Roman"/>
                <w:sz w:val="24"/>
              </w:rPr>
              <w:t>11711</w:t>
            </w:r>
            <w:r w:rsidRPr="00A04507">
              <w:rPr>
                <w:rFonts w:ascii="Times New Roman" w:hAnsi="Times New Roman"/>
                <w:sz w:val="24"/>
              </w:rPr>
              <w:t>)</w:t>
            </w:r>
          </w:p>
        </w:tc>
        <w:tc>
          <w:tcPr>
            <w:tcW w:w="905" w:type="pct"/>
          </w:tcPr>
          <w:p w14:paraId="71DC3F9F" w14:textId="4BD23350" w:rsidR="00025A51" w:rsidRPr="00A04507" w:rsidRDefault="00E84693" w:rsidP="00F3615C">
            <w:pPr>
              <w:tabs>
                <w:tab w:val="left" w:pos="720"/>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w:t>
            </w:r>
            <w:r w:rsidR="00025A51" w:rsidRPr="00A04507">
              <w:rPr>
                <w:rFonts w:ascii="Times New Roman" w:hAnsi="Times New Roman"/>
                <w:sz w:val="24"/>
              </w:rPr>
              <w:t>$0.</w:t>
            </w:r>
            <w:r w:rsidRPr="00A04507">
              <w:rPr>
                <w:rFonts w:ascii="Times New Roman" w:hAnsi="Times New Roman"/>
                <w:sz w:val="24"/>
              </w:rPr>
              <w:t>07389)</w:t>
            </w:r>
          </w:p>
        </w:tc>
        <w:tc>
          <w:tcPr>
            <w:tcW w:w="1048" w:type="pct"/>
          </w:tcPr>
          <w:p w14:paraId="2981BC96" w14:textId="484E9B8D" w:rsidR="00025A51" w:rsidRPr="00A04507" w:rsidRDefault="00E84693"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A04507">
              <w:rPr>
                <w:rFonts w:ascii="Times New Roman" w:hAnsi="Times New Roman"/>
                <w:sz w:val="24"/>
              </w:rPr>
              <w:t>(3,298,868)</w:t>
            </w:r>
          </w:p>
        </w:tc>
        <w:tc>
          <w:tcPr>
            <w:tcW w:w="762" w:type="pct"/>
          </w:tcPr>
          <w:p w14:paraId="712C89DA" w14:textId="4515130C" w:rsidR="00025A51" w:rsidRPr="00A04507" w:rsidRDefault="00A04507" w:rsidP="003F6D63">
            <w:pPr>
              <w:tabs>
                <w:tab w:val="decimal" w:pos="520"/>
              </w:tabs>
              <w:spacing w:line="225" w:lineRule="auto"/>
              <w:jc w:val="right"/>
              <w:rPr>
                <w:rFonts w:ascii="Times New Roman" w:hAnsi="Times New Roman"/>
                <w:sz w:val="24"/>
              </w:rPr>
            </w:pPr>
            <w:r w:rsidRPr="00A04507">
              <w:rPr>
                <w:rFonts w:ascii="Times New Roman" w:hAnsi="Times New Roman"/>
                <w:sz w:val="24"/>
              </w:rPr>
              <w:t>(29.5</w:t>
            </w:r>
            <w:r w:rsidR="00025A51" w:rsidRPr="00A04507">
              <w:rPr>
                <w:rFonts w:ascii="Times New Roman" w:hAnsi="Times New Roman"/>
                <w:sz w:val="24"/>
              </w:rPr>
              <w:t>%</w:t>
            </w:r>
            <w:r w:rsidRPr="00A04507">
              <w:rPr>
                <w:rFonts w:ascii="Times New Roman" w:hAnsi="Times New Roman"/>
                <w:sz w:val="24"/>
              </w:rPr>
              <w:t>)</w:t>
            </w:r>
          </w:p>
        </w:tc>
      </w:tr>
      <w:tr w:rsidR="00A04507" w:rsidRPr="00A04507" w14:paraId="4A017043" w14:textId="77777777" w:rsidTr="003F6D63">
        <w:tc>
          <w:tcPr>
            <w:tcW w:w="1428" w:type="pct"/>
            <w:tcBorders>
              <w:bottom w:val="single" w:sz="4" w:space="0" w:color="auto"/>
            </w:tcBorders>
          </w:tcPr>
          <w:p w14:paraId="32241990"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04507">
              <w:rPr>
                <w:rFonts w:ascii="Times New Roman" w:hAnsi="Times New Roman"/>
                <w:sz w:val="24"/>
              </w:rPr>
              <w:t>Schedule 86</w:t>
            </w:r>
          </w:p>
        </w:tc>
        <w:tc>
          <w:tcPr>
            <w:tcW w:w="858" w:type="pct"/>
            <w:tcBorders>
              <w:bottom w:val="single" w:sz="4" w:space="0" w:color="auto"/>
            </w:tcBorders>
            <w:vAlign w:val="center"/>
          </w:tcPr>
          <w:p w14:paraId="2DF5882C" w14:textId="775D3D44" w:rsidR="00025A51" w:rsidRPr="00A04507" w:rsidRDefault="00025A51" w:rsidP="00F361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($0.</w:t>
            </w:r>
            <w:r w:rsidR="00E84693" w:rsidRPr="00A04507">
              <w:rPr>
                <w:rFonts w:ascii="Times New Roman" w:hAnsi="Times New Roman"/>
                <w:sz w:val="24"/>
              </w:rPr>
              <w:t>11736</w:t>
            </w:r>
            <w:r w:rsidRPr="00A04507">
              <w:rPr>
                <w:rFonts w:ascii="Times New Roman" w:hAnsi="Times New Roman"/>
                <w:sz w:val="24"/>
              </w:rPr>
              <w:t>)</w:t>
            </w:r>
          </w:p>
        </w:tc>
        <w:tc>
          <w:tcPr>
            <w:tcW w:w="905" w:type="pct"/>
            <w:tcBorders>
              <w:bottom w:val="single" w:sz="4" w:space="0" w:color="auto"/>
            </w:tcBorders>
          </w:tcPr>
          <w:p w14:paraId="3F75D82D" w14:textId="5A0756C8" w:rsidR="00025A51" w:rsidRPr="00A04507" w:rsidRDefault="00E84693" w:rsidP="00F3615C">
            <w:pPr>
              <w:tabs>
                <w:tab w:val="left" w:pos="720"/>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w:t>
            </w:r>
            <w:r w:rsidR="00025A51" w:rsidRPr="00A04507">
              <w:rPr>
                <w:rFonts w:ascii="Times New Roman" w:hAnsi="Times New Roman"/>
                <w:sz w:val="24"/>
              </w:rPr>
              <w:t>$0.</w:t>
            </w:r>
            <w:r w:rsidRPr="00A04507">
              <w:rPr>
                <w:rFonts w:ascii="Times New Roman" w:hAnsi="Times New Roman"/>
                <w:sz w:val="24"/>
              </w:rPr>
              <w:t>07356)</w:t>
            </w:r>
          </w:p>
        </w:tc>
        <w:tc>
          <w:tcPr>
            <w:tcW w:w="1048" w:type="pct"/>
            <w:tcBorders>
              <w:bottom w:val="single" w:sz="4" w:space="0" w:color="auto"/>
            </w:tcBorders>
          </w:tcPr>
          <w:p w14:paraId="26F3082C" w14:textId="0AB24259" w:rsidR="00025A51" w:rsidRPr="00A04507" w:rsidRDefault="00E84693"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A04507">
              <w:rPr>
                <w:rFonts w:ascii="Times New Roman" w:hAnsi="Times New Roman"/>
                <w:sz w:val="24"/>
              </w:rPr>
              <w:t>(1,974,293)</w:t>
            </w:r>
          </w:p>
        </w:tc>
        <w:tc>
          <w:tcPr>
            <w:tcW w:w="762" w:type="pct"/>
            <w:tcBorders>
              <w:bottom w:val="single" w:sz="4" w:space="0" w:color="auto"/>
            </w:tcBorders>
          </w:tcPr>
          <w:p w14:paraId="548D40F2" w14:textId="2D232F58" w:rsidR="00025A51" w:rsidRPr="00A04507" w:rsidRDefault="00A04507" w:rsidP="003F6D63">
            <w:pPr>
              <w:tabs>
                <w:tab w:val="decimal" w:pos="520"/>
              </w:tabs>
              <w:spacing w:line="225" w:lineRule="auto"/>
              <w:jc w:val="right"/>
              <w:rPr>
                <w:rFonts w:ascii="Times New Roman" w:hAnsi="Times New Roman"/>
                <w:sz w:val="24"/>
              </w:rPr>
            </w:pPr>
            <w:r w:rsidRPr="00A04507">
              <w:rPr>
                <w:rFonts w:ascii="Times New Roman" w:hAnsi="Times New Roman"/>
                <w:sz w:val="24"/>
              </w:rPr>
              <w:t>(24.1</w:t>
            </w:r>
            <w:r w:rsidR="00025A51" w:rsidRPr="00A04507">
              <w:rPr>
                <w:rFonts w:ascii="Times New Roman" w:hAnsi="Times New Roman"/>
                <w:sz w:val="24"/>
              </w:rPr>
              <w:t>%</w:t>
            </w:r>
            <w:r w:rsidRPr="00A04507">
              <w:rPr>
                <w:rFonts w:ascii="Times New Roman" w:hAnsi="Times New Roman"/>
                <w:sz w:val="24"/>
              </w:rPr>
              <w:t>)</w:t>
            </w:r>
          </w:p>
        </w:tc>
      </w:tr>
      <w:tr w:rsidR="00A04507" w:rsidRPr="00A04507" w14:paraId="446C663F" w14:textId="77777777" w:rsidTr="003F6D63">
        <w:tc>
          <w:tcPr>
            <w:tcW w:w="1428" w:type="pct"/>
            <w:tcBorders>
              <w:bottom w:val="single" w:sz="4" w:space="0" w:color="auto"/>
            </w:tcBorders>
          </w:tcPr>
          <w:p w14:paraId="343C86D8" w14:textId="77777777" w:rsidR="00025A51" w:rsidRPr="00A04507" w:rsidRDefault="00025A51" w:rsidP="0002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sz w:val="24"/>
              </w:rPr>
            </w:pPr>
            <w:r w:rsidRPr="00A04507">
              <w:rPr>
                <w:rFonts w:ascii="Times New Roman" w:hAnsi="Times New Roman"/>
                <w:sz w:val="24"/>
              </w:rPr>
              <w:t>Schedule 87</w:t>
            </w:r>
          </w:p>
        </w:tc>
        <w:tc>
          <w:tcPr>
            <w:tcW w:w="858" w:type="pct"/>
            <w:tcBorders>
              <w:bottom w:val="single" w:sz="4" w:space="0" w:color="auto"/>
            </w:tcBorders>
          </w:tcPr>
          <w:p w14:paraId="110DD168" w14:textId="6DDCD481" w:rsidR="00025A51" w:rsidRPr="00A04507" w:rsidRDefault="00025A51" w:rsidP="00F3615C">
            <w:pPr>
              <w:tabs>
                <w:tab w:val="left" w:pos="720"/>
              </w:tabs>
              <w:jc w:val="center"/>
              <w:rPr>
                <w:rFonts w:ascii="Times New Roman" w:hAnsi="Times New Roman"/>
                <w:sz w:val="24"/>
              </w:rPr>
            </w:pPr>
            <w:r w:rsidRPr="00A04507">
              <w:rPr>
                <w:rFonts w:ascii="Times New Roman" w:hAnsi="Times New Roman"/>
                <w:sz w:val="24"/>
              </w:rPr>
              <w:t>($0.</w:t>
            </w:r>
            <w:r w:rsidR="00E84693" w:rsidRPr="00A04507">
              <w:rPr>
                <w:rFonts w:ascii="Times New Roman" w:hAnsi="Times New Roman"/>
                <w:sz w:val="24"/>
              </w:rPr>
              <w:t>11700</w:t>
            </w:r>
            <w:r w:rsidRPr="00A04507">
              <w:rPr>
                <w:rFonts w:ascii="Times New Roman" w:hAnsi="Times New Roman"/>
                <w:sz w:val="24"/>
              </w:rPr>
              <w:t>)</w:t>
            </w:r>
          </w:p>
        </w:tc>
        <w:tc>
          <w:tcPr>
            <w:tcW w:w="905" w:type="pct"/>
            <w:tcBorders>
              <w:bottom w:val="single" w:sz="4" w:space="0" w:color="auto"/>
            </w:tcBorders>
          </w:tcPr>
          <w:p w14:paraId="5A273A74" w14:textId="669924E0" w:rsidR="00025A51" w:rsidRPr="00A04507" w:rsidRDefault="00E84693" w:rsidP="00F3615C">
            <w:pPr>
              <w:tabs>
                <w:tab w:val="left" w:pos="720"/>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rPr>
                <w:rFonts w:ascii="Times New Roman" w:hAnsi="Times New Roman"/>
                <w:sz w:val="24"/>
              </w:rPr>
            </w:pPr>
            <w:r w:rsidRPr="00A04507">
              <w:rPr>
                <w:rFonts w:ascii="Times New Roman" w:hAnsi="Times New Roman"/>
                <w:sz w:val="24"/>
              </w:rPr>
              <w:t>(</w:t>
            </w:r>
            <w:r w:rsidR="00025A51" w:rsidRPr="00A04507">
              <w:rPr>
                <w:rFonts w:ascii="Times New Roman" w:hAnsi="Times New Roman"/>
                <w:sz w:val="24"/>
              </w:rPr>
              <w:t>$0.</w:t>
            </w:r>
            <w:r w:rsidRPr="00A04507">
              <w:rPr>
                <w:rFonts w:ascii="Times New Roman" w:hAnsi="Times New Roman"/>
                <w:sz w:val="24"/>
              </w:rPr>
              <w:t>07402)</w:t>
            </w:r>
          </w:p>
        </w:tc>
        <w:tc>
          <w:tcPr>
            <w:tcW w:w="1048" w:type="pct"/>
            <w:tcBorders>
              <w:bottom w:val="single" w:sz="4" w:space="0" w:color="auto"/>
            </w:tcBorders>
          </w:tcPr>
          <w:p w14:paraId="2DFA4C68" w14:textId="73A806CD" w:rsidR="00025A51" w:rsidRPr="00A04507" w:rsidRDefault="00A04507"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sz w:val="24"/>
              </w:rPr>
            </w:pPr>
            <w:r w:rsidRPr="00A04507">
              <w:rPr>
                <w:rFonts w:ascii="Times New Roman" w:hAnsi="Times New Roman"/>
                <w:sz w:val="24"/>
              </w:rPr>
              <w:t>(4,492,819)</w:t>
            </w:r>
          </w:p>
        </w:tc>
        <w:tc>
          <w:tcPr>
            <w:tcW w:w="762" w:type="pct"/>
            <w:tcBorders>
              <w:bottom w:val="single" w:sz="4" w:space="0" w:color="auto"/>
            </w:tcBorders>
          </w:tcPr>
          <w:p w14:paraId="76520A91" w14:textId="0DAFAF55" w:rsidR="00025A51" w:rsidRPr="00A04507" w:rsidRDefault="00A04507" w:rsidP="003F6D63">
            <w:pPr>
              <w:tabs>
                <w:tab w:val="decimal" w:pos="520"/>
              </w:tabs>
              <w:spacing w:line="225" w:lineRule="auto"/>
              <w:jc w:val="right"/>
              <w:rPr>
                <w:rFonts w:ascii="Times New Roman" w:hAnsi="Times New Roman"/>
                <w:sz w:val="24"/>
              </w:rPr>
            </w:pPr>
            <w:r w:rsidRPr="00A04507">
              <w:rPr>
                <w:rFonts w:ascii="Times New Roman" w:hAnsi="Times New Roman"/>
                <w:sz w:val="24"/>
              </w:rPr>
              <w:t>(31.6</w:t>
            </w:r>
            <w:r w:rsidR="00025A51" w:rsidRPr="00A04507">
              <w:rPr>
                <w:rFonts w:ascii="Times New Roman" w:hAnsi="Times New Roman"/>
                <w:sz w:val="24"/>
              </w:rPr>
              <w:t>4%</w:t>
            </w:r>
            <w:r w:rsidRPr="00A04507">
              <w:rPr>
                <w:rFonts w:ascii="Times New Roman" w:hAnsi="Times New Roman"/>
                <w:sz w:val="24"/>
              </w:rPr>
              <w:t>)</w:t>
            </w:r>
          </w:p>
        </w:tc>
      </w:tr>
      <w:tr w:rsidR="00A04507" w:rsidRPr="00025E1E" w14:paraId="7753D283" w14:textId="77777777" w:rsidTr="003F6D63">
        <w:tc>
          <w:tcPr>
            <w:tcW w:w="3191" w:type="pct"/>
            <w:gridSpan w:val="3"/>
            <w:tcBorders>
              <w:top w:val="single" w:sz="4" w:space="0" w:color="auto"/>
              <w:bottom w:val="single" w:sz="4" w:space="0" w:color="auto"/>
            </w:tcBorders>
            <w:vAlign w:val="center"/>
          </w:tcPr>
          <w:p w14:paraId="0D9B453F" w14:textId="32A2F794" w:rsidR="00025A51" w:rsidRPr="00025E1E" w:rsidRDefault="00025E1E"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sz w:val="24"/>
              </w:rPr>
            </w:pPr>
            <w:r w:rsidRPr="00025E1E">
              <w:rPr>
                <w:rFonts w:ascii="Times New Roman" w:hAnsi="Times New Roman"/>
                <w:b/>
                <w:sz w:val="24"/>
              </w:rPr>
              <w:t xml:space="preserve">     </w:t>
            </w:r>
            <w:r w:rsidR="00025A51" w:rsidRPr="00025E1E">
              <w:rPr>
                <w:rFonts w:ascii="Times New Roman" w:hAnsi="Times New Roman"/>
                <w:b/>
                <w:sz w:val="24"/>
              </w:rPr>
              <w:t>Total</w:t>
            </w:r>
          </w:p>
        </w:tc>
        <w:tc>
          <w:tcPr>
            <w:tcW w:w="1048" w:type="pct"/>
            <w:tcBorders>
              <w:top w:val="single" w:sz="4" w:space="0" w:color="auto"/>
              <w:bottom w:val="single" w:sz="4" w:space="0" w:color="auto"/>
            </w:tcBorders>
          </w:tcPr>
          <w:p w14:paraId="18BC4ADF" w14:textId="0A9CE8F0" w:rsidR="00025A51" w:rsidRPr="00025E1E" w:rsidRDefault="00A04507" w:rsidP="00F3615C">
            <w:pPr>
              <w:tabs>
                <w:tab w:val="decimal"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rFonts w:ascii="Times New Roman" w:hAnsi="Times New Roman"/>
                <w:b/>
                <w:sz w:val="24"/>
              </w:rPr>
            </w:pPr>
            <w:r w:rsidRPr="00025E1E">
              <w:rPr>
                <w:rFonts w:ascii="Times New Roman" w:hAnsi="Times New Roman"/>
                <w:b/>
                <w:sz w:val="24"/>
              </w:rPr>
              <w:t>($185,882,279)</w:t>
            </w:r>
          </w:p>
        </w:tc>
        <w:tc>
          <w:tcPr>
            <w:tcW w:w="762" w:type="pct"/>
            <w:tcBorders>
              <w:top w:val="single" w:sz="4" w:space="0" w:color="auto"/>
              <w:bottom w:val="single" w:sz="4" w:space="0" w:color="auto"/>
            </w:tcBorders>
          </w:tcPr>
          <w:p w14:paraId="0A90FD58" w14:textId="111EF2C5" w:rsidR="00025A51" w:rsidRPr="00025E1E" w:rsidRDefault="00A04507" w:rsidP="003F6D63">
            <w:pPr>
              <w:tabs>
                <w:tab w:val="decimal" w:pos="520"/>
              </w:tabs>
              <w:spacing w:line="225" w:lineRule="auto"/>
              <w:jc w:val="right"/>
              <w:rPr>
                <w:rFonts w:ascii="Times New Roman" w:hAnsi="Times New Roman"/>
                <w:b/>
                <w:sz w:val="24"/>
              </w:rPr>
            </w:pPr>
            <w:r w:rsidRPr="00025E1E">
              <w:rPr>
                <w:rFonts w:ascii="Times New Roman" w:hAnsi="Times New Roman"/>
                <w:b/>
                <w:sz w:val="24"/>
              </w:rPr>
              <w:t>(17.4</w:t>
            </w:r>
            <w:r w:rsidR="00025A51" w:rsidRPr="00025E1E">
              <w:rPr>
                <w:rFonts w:ascii="Times New Roman" w:hAnsi="Times New Roman"/>
                <w:b/>
                <w:sz w:val="24"/>
              </w:rPr>
              <w:t>%</w:t>
            </w:r>
            <w:r w:rsidRPr="00025E1E">
              <w:rPr>
                <w:rFonts w:ascii="Times New Roman" w:hAnsi="Times New Roman"/>
                <w:b/>
                <w:sz w:val="24"/>
              </w:rPr>
              <w:t>)</w:t>
            </w:r>
          </w:p>
        </w:tc>
      </w:tr>
    </w:tbl>
    <w:p w14:paraId="04D5D1B8" w14:textId="77777777" w:rsidR="00950485" w:rsidRDefault="00950485" w:rsidP="00EB55D8">
      <w:pPr>
        <w:rPr>
          <w:rFonts w:ascii="Times New Roman" w:hAnsi="Times New Roman"/>
          <w:color w:val="FF0000"/>
          <w:sz w:val="24"/>
        </w:rPr>
      </w:pPr>
    </w:p>
    <w:p w14:paraId="6E1B8764" w14:textId="21D13DA5" w:rsidR="00F32252" w:rsidRDefault="00F32252" w:rsidP="00EB55D8">
      <w:pPr>
        <w:rPr>
          <w:rFonts w:ascii="Times New Roman" w:hAnsi="Times New Roman"/>
          <w:sz w:val="24"/>
        </w:rPr>
      </w:pPr>
      <w:r>
        <w:rPr>
          <w:rFonts w:ascii="Times New Roman" w:hAnsi="Times New Roman"/>
          <w:sz w:val="24"/>
        </w:rPr>
        <w:t>As a combined result from PGA, Deferral and CRM, a</w:t>
      </w:r>
      <w:r w:rsidRPr="00261E32">
        <w:rPr>
          <w:rFonts w:ascii="Times New Roman" w:hAnsi="Times New Roman"/>
          <w:sz w:val="24"/>
        </w:rPr>
        <w:t xml:space="preserve"> residential customer using 68</w:t>
      </w:r>
      <w:r>
        <w:rPr>
          <w:rFonts w:ascii="Times New Roman" w:hAnsi="Times New Roman"/>
          <w:sz w:val="24"/>
        </w:rPr>
        <w:t xml:space="preserve"> </w:t>
      </w:r>
      <w:proofErr w:type="spellStart"/>
      <w:r>
        <w:rPr>
          <w:rFonts w:ascii="Times New Roman" w:hAnsi="Times New Roman"/>
          <w:sz w:val="24"/>
        </w:rPr>
        <w:t>therms</w:t>
      </w:r>
      <w:proofErr w:type="spellEnd"/>
      <w:r w:rsidRPr="00261E32">
        <w:rPr>
          <w:rFonts w:ascii="Times New Roman" w:hAnsi="Times New Roman"/>
          <w:sz w:val="24"/>
        </w:rPr>
        <w:t xml:space="preserve"> would pay $12.</w:t>
      </w:r>
      <w:r>
        <w:rPr>
          <w:rFonts w:ascii="Times New Roman" w:hAnsi="Times New Roman"/>
          <w:sz w:val="24"/>
        </w:rPr>
        <w:t>54</w:t>
      </w:r>
      <w:r w:rsidRPr="00261E32">
        <w:rPr>
          <w:rFonts w:ascii="Times New Roman" w:hAnsi="Times New Roman"/>
          <w:sz w:val="24"/>
        </w:rPr>
        <w:t xml:space="preserve"> less per month, </w:t>
      </w:r>
      <w:r w:rsidR="002C304F">
        <w:rPr>
          <w:rFonts w:ascii="Times New Roman" w:hAnsi="Times New Roman"/>
          <w:sz w:val="24"/>
        </w:rPr>
        <w:t>de</w:t>
      </w:r>
      <w:r w:rsidR="002C304F" w:rsidRPr="00261E32">
        <w:rPr>
          <w:rFonts w:ascii="Times New Roman" w:hAnsi="Times New Roman"/>
          <w:sz w:val="24"/>
        </w:rPr>
        <w:t xml:space="preserve">creasing </w:t>
      </w:r>
      <w:r w:rsidRPr="00261E32">
        <w:rPr>
          <w:rFonts w:ascii="Times New Roman" w:hAnsi="Times New Roman"/>
          <w:sz w:val="24"/>
        </w:rPr>
        <w:t>their average bill from $</w:t>
      </w:r>
      <w:r>
        <w:rPr>
          <w:rFonts w:ascii="Times New Roman" w:hAnsi="Times New Roman"/>
          <w:sz w:val="24"/>
        </w:rPr>
        <w:t>81.</w:t>
      </w:r>
      <w:r w:rsidR="000E3636">
        <w:rPr>
          <w:rFonts w:ascii="Times New Roman" w:hAnsi="Times New Roman"/>
          <w:sz w:val="24"/>
        </w:rPr>
        <w:t>3</w:t>
      </w:r>
      <w:r>
        <w:rPr>
          <w:rFonts w:ascii="Times New Roman" w:hAnsi="Times New Roman"/>
          <w:sz w:val="24"/>
        </w:rPr>
        <w:t>5 to $68.</w:t>
      </w:r>
      <w:r w:rsidR="000E3636">
        <w:rPr>
          <w:rFonts w:ascii="Times New Roman" w:hAnsi="Times New Roman"/>
          <w:sz w:val="24"/>
        </w:rPr>
        <w:t>8</w:t>
      </w:r>
      <w:r>
        <w:rPr>
          <w:rFonts w:ascii="Times New Roman" w:hAnsi="Times New Roman"/>
          <w:sz w:val="24"/>
        </w:rPr>
        <w:t>1</w:t>
      </w:r>
      <w:r w:rsidRPr="00261E32">
        <w:rPr>
          <w:rFonts w:ascii="Times New Roman" w:hAnsi="Times New Roman"/>
          <w:sz w:val="24"/>
        </w:rPr>
        <w:t>.</w:t>
      </w:r>
    </w:p>
    <w:p w14:paraId="1932B2A5" w14:textId="77777777" w:rsidR="00F32252" w:rsidRPr="00A11266" w:rsidRDefault="00F32252" w:rsidP="00EB55D8">
      <w:pPr>
        <w:rPr>
          <w:rFonts w:ascii="Times New Roman" w:hAnsi="Times New Roman"/>
          <w:color w:val="FF0000"/>
          <w:sz w:val="24"/>
        </w:rPr>
      </w:pPr>
    </w:p>
    <w:p w14:paraId="5ED065AC" w14:textId="77777777" w:rsidR="009362ED" w:rsidRDefault="009362ED" w:rsidP="009362ED">
      <w:pPr>
        <w:rPr>
          <w:rFonts w:ascii="Times New Roman" w:hAnsi="Times New Roman"/>
          <w:sz w:val="24"/>
        </w:rPr>
      </w:pPr>
      <w:r>
        <w:rPr>
          <w:rFonts w:ascii="Times New Roman" w:hAnsi="Times New Roman"/>
          <w:b/>
          <w:sz w:val="24"/>
          <w:u w:val="single"/>
        </w:rPr>
        <w:t>Customer Comments</w:t>
      </w:r>
    </w:p>
    <w:p w14:paraId="569A3C6B" w14:textId="77777777" w:rsidR="00642B4F" w:rsidRDefault="00642B4F" w:rsidP="00642B4F">
      <w:pPr>
        <w:rPr>
          <w:rFonts w:ascii="Times New Roman" w:hAnsi="Times New Roman"/>
          <w:sz w:val="24"/>
        </w:rPr>
      </w:pPr>
    </w:p>
    <w:p w14:paraId="105B1C7F" w14:textId="77777777" w:rsidR="00642B4F" w:rsidRDefault="00642B4F" w:rsidP="00642B4F">
      <w:pPr>
        <w:rPr>
          <w:rFonts w:ascii="Times New Roman" w:hAnsi="Times New Roman"/>
          <w:sz w:val="24"/>
        </w:rPr>
      </w:pPr>
      <w:r>
        <w:rPr>
          <w:rFonts w:ascii="Times New Roman" w:hAnsi="Times New Roman"/>
          <w:sz w:val="24"/>
        </w:rPr>
        <w:t xml:space="preserve">PSE published a notice in area newspapers on September 28, 2015. PSE also provided a copy of the notice to community agencies, posted the notice on PSE.com and provided notice to news editors of area newspapers, television and radio stations. </w:t>
      </w:r>
    </w:p>
    <w:p w14:paraId="297D10E6" w14:textId="77777777" w:rsidR="00642B4F" w:rsidRDefault="00642B4F" w:rsidP="00642B4F">
      <w:pPr>
        <w:rPr>
          <w:rFonts w:ascii="Times New Roman" w:hAnsi="Times New Roman"/>
          <w:sz w:val="24"/>
        </w:rPr>
      </w:pPr>
    </w:p>
    <w:p w14:paraId="6A0B827F" w14:textId="52EC1852" w:rsidR="00642B4F" w:rsidRDefault="00642B4F" w:rsidP="00642B4F">
      <w:pPr>
        <w:rPr>
          <w:rFonts w:ascii="Times New Roman" w:hAnsi="Times New Roman"/>
          <w:sz w:val="24"/>
        </w:rPr>
      </w:pPr>
      <w:r>
        <w:rPr>
          <w:rFonts w:ascii="Times New Roman" w:hAnsi="Times New Roman"/>
          <w:sz w:val="24"/>
        </w:rPr>
        <w:t>The commission received one customer comment asking why the percentage reduction wasn’t the same for all customer classes. The customer believes that large volume accounts receive a significantly greater reduction than Schedule 23 residential. S</w:t>
      </w:r>
      <w:r w:rsidRPr="000C6265">
        <w:rPr>
          <w:rFonts w:ascii="Times New Roman" w:hAnsi="Times New Roman"/>
          <w:sz w:val="24"/>
        </w:rPr>
        <w:t xml:space="preserve">taff advised the customer that the net change </w:t>
      </w:r>
      <w:r w:rsidR="00DA04B9">
        <w:rPr>
          <w:rFonts w:ascii="Times New Roman" w:hAnsi="Times New Roman"/>
          <w:sz w:val="24"/>
        </w:rPr>
        <w:t xml:space="preserve">related to PGA </w:t>
      </w:r>
      <w:r w:rsidRPr="000C6265">
        <w:rPr>
          <w:rFonts w:ascii="Times New Roman" w:hAnsi="Times New Roman"/>
          <w:sz w:val="24"/>
        </w:rPr>
        <w:t xml:space="preserve">was </w:t>
      </w:r>
      <w:r>
        <w:rPr>
          <w:rFonts w:ascii="Times New Roman" w:hAnsi="Times New Roman"/>
          <w:sz w:val="24"/>
        </w:rPr>
        <w:t>distributed</w:t>
      </w:r>
      <w:r w:rsidRPr="000C6265">
        <w:rPr>
          <w:rFonts w:ascii="Times New Roman" w:hAnsi="Times New Roman"/>
          <w:sz w:val="24"/>
        </w:rPr>
        <w:t xml:space="preserve"> </w:t>
      </w:r>
      <w:r>
        <w:rPr>
          <w:rFonts w:ascii="Times New Roman" w:hAnsi="Times New Roman"/>
          <w:sz w:val="24"/>
        </w:rPr>
        <w:t>equitably</w:t>
      </w:r>
      <w:r w:rsidRPr="000C6265">
        <w:rPr>
          <w:rFonts w:ascii="Times New Roman" w:hAnsi="Times New Roman"/>
          <w:sz w:val="24"/>
        </w:rPr>
        <w:t xml:space="preserve"> </w:t>
      </w:r>
      <w:r w:rsidR="00DA04B9">
        <w:rPr>
          <w:rFonts w:ascii="Times New Roman" w:hAnsi="Times New Roman"/>
          <w:sz w:val="24"/>
        </w:rPr>
        <w:t>among</w:t>
      </w:r>
      <w:r w:rsidRPr="000C6265">
        <w:rPr>
          <w:rFonts w:ascii="Times New Roman" w:hAnsi="Times New Roman"/>
          <w:sz w:val="24"/>
        </w:rPr>
        <w:t xml:space="preserve"> customer class</w:t>
      </w:r>
      <w:r>
        <w:rPr>
          <w:rFonts w:ascii="Times New Roman" w:hAnsi="Times New Roman"/>
          <w:sz w:val="24"/>
        </w:rPr>
        <w:t>es</w:t>
      </w:r>
      <w:r w:rsidRPr="000C6265">
        <w:rPr>
          <w:rFonts w:ascii="Times New Roman" w:hAnsi="Times New Roman"/>
          <w:sz w:val="24"/>
        </w:rPr>
        <w:t xml:space="preserve">. Staff provided the calculation of the change by </w:t>
      </w:r>
      <w:r w:rsidR="00751478">
        <w:rPr>
          <w:rFonts w:ascii="Times New Roman" w:hAnsi="Times New Roman"/>
          <w:sz w:val="24"/>
        </w:rPr>
        <w:t>each</w:t>
      </w:r>
      <w:r w:rsidRPr="000C6265">
        <w:rPr>
          <w:rFonts w:ascii="Times New Roman" w:hAnsi="Times New Roman"/>
          <w:sz w:val="24"/>
        </w:rPr>
        <w:t xml:space="preserve"> class to the customer. </w:t>
      </w:r>
      <w:r>
        <w:rPr>
          <w:rFonts w:ascii="Times New Roman" w:hAnsi="Times New Roman"/>
          <w:sz w:val="24"/>
        </w:rPr>
        <w:t>The customer was satisfied with this explanation.</w:t>
      </w:r>
    </w:p>
    <w:p w14:paraId="03E2C572" w14:textId="77777777" w:rsidR="004333D0" w:rsidRPr="000C6265" w:rsidRDefault="004333D0" w:rsidP="00642B4F">
      <w:pPr>
        <w:rPr>
          <w:rFonts w:ascii="Times New Roman" w:hAnsi="Times New Roman"/>
          <w:sz w:val="24"/>
        </w:rPr>
      </w:pPr>
    </w:p>
    <w:p w14:paraId="04D5D1C3" w14:textId="77777777" w:rsidR="00633FE5" w:rsidRPr="00474A0A" w:rsidRDefault="00633FE5" w:rsidP="00025483">
      <w:pPr>
        <w:pStyle w:val="Heading1"/>
        <w:rPr>
          <w:rStyle w:val="BookTitle"/>
        </w:rPr>
      </w:pPr>
      <w:r w:rsidRPr="00474A0A">
        <w:rPr>
          <w:rStyle w:val="BookTitle"/>
        </w:rPr>
        <w:t>Conclusion</w:t>
      </w:r>
    </w:p>
    <w:p w14:paraId="04D5D1C4" w14:textId="77777777" w:rsidR="00633FE5" w:rsidRDefault="00633FE5" w:rsidP="00633FE5">
      <w:pPr>
        <w:rPr>
          <w:rFonts w:ascii="Times New Roman" w:hAnsi="Times New Roman"/>
          <w:sz w:val="24"/>
        </w:rPr>
      </w:pPr>
    </w:p>
    <w:p w14:paraId="04D5D1C7" w14:textId="5D9E3AA7" w:rsidR="00633FE5" w:rsidRPr="00AC5A84" w:rsidRDefault="00A55E57" w:rsidP="00DA04B9">
      <w:pPr>
        <w:widowControl/>
        <w:autoSpaceDE/>
        <w:autoSpaceDN/>
        <w:adjustRightInd/>
        <w:rPr>
          <w:rFonts w:ascii="Times New Roman" w:hAnsi="Times New Roman"/>
        </w:rPr>
      </w:pPr>
      <w:r w:rsidRPr="00A55E57">
        <w:rPr>
          <w:rFonts w:ascii="Times New Roman" w:hAnsi="Times New Roman"/>
          <w:sz w:val="24"/>
        </w:rPr>
        <w:t xml:space="preserve">Staff has reviewed </w:t>
      </w:r>
      <w:r w:rsidR="00A11266">
        <w:rPr>
          <w:rFonts w:ascii="Times New Roman" w:hAnsi="Times New Roman"/>
          <w:sz w:val="24"/>
        </w:rPr>
        <w:t>Puget Sound Energy’s</w:t>
      </w:r>
      <w:r w:rsidRPr="00A55E57">
        <w:rPr>
          <w:rFonts w:ascii="Times New Roman" w:hAnsi="Times New Roman"/>
          <w:sz w:val="24"/>
        </w:rPr>
        <w:t xml:space="preserve"> expected gas costs (Schedule </w:t>
      </w:r>
      <w:r>
        <w:rPr>
          <w:rFonts w:ascii="Times New Roman" w:hAnsi="Times New Roman"/>
          <w:sz w:val="24"/>
        </w:rPr>
        <w:t>101</w:t>
      </w:r>
      <w:r w:rsidRPr="00A55E57">
        <w:rPr>
          <w:rFonts w:ascii="Times New Roman" w:hAnsi="Times New Roman"/>
          <w:sz w:val="24"/>
        </w:rPr>
        <w:t>) and deferral</w:t>
      </w:r>
      <w:r>
        <w:rPr>
          <w:rFonts w:ascii="Times New Roman" w:hAnsi="Times New Roman"/>
          <w:sz w:val="24"/>
        </w:rPr>
        <w:t xml:space="preserve"> amortization rates (Schedule 106</w:t>
      </w:r>
      <w:r w:rsidRPr="00A55E57">
        <w:rPr>
          <w:rFonts w:ascii="Times New Roman" w:hAnsi="Times New Roman"/>
          <w:sz w:val="24"/>
        </w:rPr>
        <w:t>) proposed in the compa</w:t>
      </w:r>
      <w:r w:rsidR="004F59FD">
        <w:rPr>
          <w:rFonts w:ascii="Times New Roman" w:hAnsi="Times New Roman"/>
          <w:sz w:val="24"/>
        </w:rPr>
        <w:t xml:space="preserve">ny’s filing and find them to be </w:t>
      </w:r>
      <w:r w:rsidRPr="00A55E57">
        <w:rPr>
          <w:rFonts w:ascii="Times New Roman" w:hAnsi="Times New Roman"/>
          <w:sz w:val="24"/>
        </w:rPr>
        <w:t xml:space="preserve">reasonable. </w:t>
      </w:r>
      <w:r w:rsidR="00A11266">
        <w:rPr>
          <w:rFonts w:ascii="Times New Roman" w:hAnsi="Times New Roman"/>
          <w:sz w:val="24"/>
        </w:rPr>
        <w:t>S</w:t>
      </w:r>
      <w:r w:rsidRPr="00A55E57">
        <w:rPr>
          <w:rFonts w:ascii="Times New Roman" w:hAnsi="Times New Roman"/>
          <w:sz w:val="24"/>
        </w:rPr>
        <w:t>taff recommends the commission take no action, thereby allowing the tariff filing in Docket UG-</w:t>
      </w:r>
      <w:r w:rsidR="00A11266">
        <w:rPr>
          <w:rFonts w:ascii="Times New Roman" w:hAnsi="Times New Roman"/>
          <w:sz w:val="24"/>
        </w:rPr>
        <w:t>151870</w:t>
      </w:r>
      <w:r w:rsidRPr="00A55E57">
        <w:rPr>
          <w:rFonts w:ascii="Times New Roman" w:hAnsi="Times New Roman"/>
          <w:sz w:val="24"/>
        </w:rPr>
        <w:t xml:space="preserve"> to become effective November 1, 201</w:t>
      </w:r>
      <w:r w:rsidR="004F59FD">
        <w:rPr>
          <w:rFonts w:ascii="Times New Roman" w:hAnsi="Times New Roman"/>
          <w:sz w:val="24"/>
        </w:rPr>
        <w:t>5</w:t>
      </w:r>
      <w:r w:rsidRPr="00A55E57">
        <w:rPr>
          <w:rFonts w:ascii="Times New Roman" w:hAnsi="Times New Roman"/>
          <w:sz w:val="24"/>
        </w:rPr>
        <w:t>, by operation of law.</w:t>
      </w:r>
    </w:p>
    <w:sectPr w:rsidR="00633FE5" w:rsidRPr="00AC5A84" w:rsidSect="004333D0">
      <w:headerReference w:type="default" r:id="rId11"/>
      <w:pgSz w:w="12240" w:h="15840"/>
      <w:pgMar w:top="117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07B9B" w14:textId="77777777" w:rsidR="002324DA" w:rsidRDefault="002324DA" w:rsidP="00446BE3">
      <w:r>
        <w:separator/>
      </w:r>
    </w:p>
  </w:endnote>
  <w:endnote w:type="continuationSeparator" w:id="0">
    <w:p w14:paraId="1C1EB289" w14:textId="77777777" w:rsidR="002324DA" w:rsidRDefault="002324DA" w:rsidP="004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0F6A" w14:textId="77777777" w:rsidR="002324DA" w:rsidRDefault="002324DA" w:rsidP="00446BE3">
      <w:r>
        <w:separator/>
      </w:r>
    </w:p>
  </w:footnote>
  <w:footnote w:type="continuationSeparator" w:id="0">
    <w:p w14:paraId="5CA81911" w14:textId="77777777" w:rsidR="002324DA" w:rsidRDefault="002324DA" w:rsidP="00446BE3">
      <w:r>
        <w:continuationSeparator/>
      </w:r>
    </w:p>
  </w:footnote>
  <w:footnote w:id="1">
    <w:p w14:paraId="5FF32C3D" w14:textId="0DB0D329" w:rsidR="00D7549F" w:rsidRPr="00D7549F" w:rsidRDefault="00D7549F">
      <w:pPr>
        <w:pStyle w:val="FootnoteText"/>
        <w:rPr>
          <w:rFonts w:ascii="Times New Roman" w:hAnsi="Times New Roman"/>
        </w:rPr>
      </w:pPr>
      <w:r w:rsidRPr="00D7549F">
        <w:rPr>
          <w:rStyle w:val="FootnoteReference"/>
          <w:rFonts w:ascii="Times New Roman" w:hAnsi="Times New Roman"/>
        </w:rPr>
        <w:footnoteRef/>
      </w:r>
      <w:r w:rsidRPr="00D7549F">
        <w:rPr>
          <w:rFonts w:ascii="Times New Roman" w:hAnsi="Times New Roman"/>
        </w:rPr>
        <w:t xml:space="preserve"> See </w:t>
      </w:r>
      <w:r>
        <w:rPr>
          <w:rFonts w:ascii="Times New Roman" w:hAnsi="Times New Roman"/>
        </w:rPr>
        <w:t>Docket UG-151159 on the no action agenda of</w:t>
      </w:r>
      <w:r w:rsidRPr="00D7549F">
        <w:rPr>
          <w:rFonts w:ascii="Times New Roman" w:hAnsi="Times New Roman"/>
        </w:rPr>
        <w:t xml:space="preserve"> the October 29, 2015, open meeting.</w:t>
      </w:r>
    </w:p>
  </w:footnote>
  <w:footnote w:id="2">
    <w:p w14:paraId="749828B5" w14:textId="6D72BCA0" w:rsidR="004C4AE6" w:rsidRPr="004C4AE6" w:rsidRDefault="004C4AE6" w:rsidP="004C4AE6">
      <w:pPr>
        <w:pStyle w:val="FootnoteText"/>
        <w:rPr>
          <w:rStyle w:val="FootnoteReference"/>
          <w:rFonts w:ascii="Times New Roman" w:hAnsi="Times New Roman"/>
          <w:vertAlign w:val="baseline"/>
        </w:rPr>
      </w:pPr>
      <w:r w:rsidRPr="004C4AE6">
        <w:rPr>
          <w:rStyle w:val="FootnoteReference"/>
          <w:rFonts w:ascii="Times New Roman" w:hAnsi="Times New Roman"/>
        </w:rPr>
        <w:footnoteRef/>
      </w:r>
      <w:r w:rsidRPr="004C4AE6">
        <w:rPr>
          <w:rStyle w:val="FootnoteReference"/>
          <w:rFonts w:ascii="Times New Roman" w:hAnsi="Times New Roman"/>
        </w:rPr>
        <w:t xml:space="preserve"> </w:t>
      </w:r>
      <w:r w:rsidR="00E84693">
        <w:rPr>
          <w:rFonts w:ascii="Times New Roman" w:hAnsi="Times New Roman"/>
        </w:rPr>
        <w:t>The listed</w:t>
      </w:r>
      <w:r w:rsidR="00E84693" w:rsidRPr="00C5349A">
        <w:rPr>
          <w:rFonts w:ascii="Times New Roman" w:hAnsi="Times New Roman"/>
        </w:rPr>
        <w:t xml:space="preserve"> charges are </w:t>
      </w:r>
      <w:r w:rsidR="00E84693" w:rsidRPr="00C5349A">
        <w:rPr>
          <w:rFonts w:ascii="Times New Roman" w:hAnsi="Times New Roman"/>
          <w:i/>
        </w:rPr>
        <w:t>before</w:t>
      </w:r>
      <w:r w:rsidR="00E84693" w:rsidRPr="00C5349A">
        <w:rPr>
          <w:rFonts w:ascii="Times New Roman" w:hAnsi="Times New Roman"/>
        </w:rPr>
        <w:t xml:space="preserve"> revenue sensitive items for comparison purpose</w:t>
      </w:r>
      <w:r>
        <w:rPr>
          <w:rStyle w:val="FootnoteReference"/>
          <w:rFonts w:ascii="Times New Roman" w:hAnsi="Times New Roman"/>
          <w:vertAlign w:val="baseline"/>
        </w:rPr>
        <w:t xml:space="preserve">. </w:t>
      </w:r>
    </w:p>
  </w:footnote>
  <w:footnote w:id="3">
    <w:p w14:paraId="5E87E8F8" w14:textId="2BC98B15" w:rsidR="00C5349A" w:rsidRPr="00C5349A" w:rsidRDefault="00C5349A">
      <w:pPr>
        <w:pStyle w:val="FootnoteText"/>
        <w:rPr>
          <w:rFonts w:ascii="Times New Roman" w:hAnsi="Times New Roman"/>
        </w:rPr>
      </w:pPr>
      <w:r w:rsidRPr="00C5349A">
        <w:rPr>
          <w:rStyle w:val="FootnoteReference"/>
          <w:rFonts w:ascii="Times New Roman" w:hAnsi="Times New Roman"/>
        </w:rPr>
        <w:footnoteRef/>
      </w:r>
      <w:r w:rsidRPr="00C5349A">
        <w:rPr>
          <w:rFonts w:ascii="Times New Roman" w:hAnsi="Times New Roman"/>
        </w:rPr>
        <w:t xml:space="preserve"> </w:t>
      </w:r>
      <w:r w:rsidR="00E84693">
        <w:rPr>
          <w:rFonts w:ascii="Times New Roman" w:hAnsi="Times New Roman"/>
          <w:i/>
        </w:rPr>
        <w:t>Id</w:t>
      </w:r>
      <w:r w:rsidRPr="00C5349A">
        <w:rPr>
          <w:rFonts w:ascii="Times New Roman" w:hAnsi="Times New Roman"/>
        </w:rPr>
        <w:t>.</w:t>
      </w:r>
    </w:p>
  </w:footnote>
  <w:footnote w:id="4">
    <w:p w14:paraId="7761D468" w14:textId="466DE6DE" w:rsidR="00E84693" w:rsidRPr="00E84693" w:rsidRDefault="00E84693">
      <w:pPr>
        <w:pStyle w:val="FootnoteText"/>
        <w:rPr>
          <w:rFonts w:ascii="Times New Roman" w:hAnsi="Times New Roman"/>
        </w:rPr>
      </w:pPr>
      <w:r w:rsidRPr="00E84693">
        <w:rPr>
          <w:rStyle w:val="FootnoteReference"/>
          <w:rFonts w:ascii="Times New Roman" w:hAnsi="Times New Roman"/>
        </w:rPr>
        <w:footnoteRef/>
      </w:r>
      <w:r w:rsidRPr="00E84693">
        <w:rPr>
          <w:rFonts w:ascii="Times New Roman" w:hAnsi="Times New Roman"/>
        </w:rPr>
        <w:t xml:space="preserve"> </w:t>
      </w:r>
      <w:r>
        <w:rPr>
          <w:rFonts w:ascii="Times New Roman" w:hAnsi="Times New Roman"/>
        </w:rPr>
        <w:t xml:space="preserve">The listed charges are </w:t>
      </w:r>
      <w:r>
        <w:rPr>
          <w:rFonts w:ascii="Times New Roman" w:hAnsi="Times New Roman"/>
          <w:i/>
        </w:rPr>
        <w:t xml:space="preserve">after </w:t>
      </w:r>
      <w:r>
        <w:rPr>
          <w:rFonts w:ascii="Times New Roman" w:hAnsi="Times New Roman"/>
        </w:rPr>
        <w:t>revenue sensitive items</w:t>
      </w:r>
      <w:r w:rsidR="00751478">
        <w:rPr>
          <w:rFonts w:ascii="Times New Roman" w:hAnsi="Times New Roman"/>
        </w:rPr>
        <w:t xml:space="preserve"> to reflect the actual revenue impact</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D1CC" w14:textId="09D09C9A" w:rsidR="00BE4528" w:rsidRPr="006E5DA4" w:rsidRDefault="00BE4528" w:rsidP="00D4342A">
    <w:pPr>
      <w:rPr>
        <w:rFonts w:ascii="Times New Roman" w:hAnsi="Times New Roman"/>
        <w:szCs w:val="20"/>
      </w:rPr>
    </w:pPr>
    <w:r w:rsidRPr="006E5DA4">
      <w:rPr>
        <w:rFonts w:ascii="Times New Roman" w:hAnsi="Times New Roman"/>
        <w:szCs w:val="20"/>
      </w:rPr>
      <w:t>Docket UG-</w:t>
    </w:r>
    <w:r w:rsidR="00FA621A">
      <w:rPr>
        <w:rFonts w:ascii="Times New Roman" w:hAnsi="Times New Roman"/>
        <w:szCs w:val="20"/>
      </w:rPr>
      <w:t>151870</w:t>
    </w:r>
  </w:p>
  <w:p w14:paraId="04D5D1CD" w14:textId="61F4536C" w:rsidR="00BE4528" w:rsidRPr="006E5DA4" w:rsidRDefault="00BE4528" w:rsidP="00D4342A">
    <w:pPr>
      <w:rPr>
        <w:rFonts w:ascii="Times New Roman" w:hAnsi="Times New Roman"/>
        <w:szCs w:val="20"/>
      </w:rPr>
    </w:pPr>
    <w:r>
      <w:rPr>
        <w:rFonts w:ascii="Times New Roman" w:hAnsi="Times New Roman"/>
        <w:szCs w:val="20"/>
      </w:rPr>
      <w:t xml:space="preserve">October </w:t>
    </w:r>
    <w:r w:rsidR="00436E8C">
      <w:rPr>
        <w:rFonts w:ascii="Times New Roman" w:hAnsi="Times New Roman"/>
        <w:szCs w:val="20"/>
      </w:rPr>
      <w:t>29</w:t>
    </w:r>
    <w:r w:rsidRPr="006E5DA4">
      <w:rPr>
        <w:rFonts w:ascii="Times New Roman" w:hAnsi="Times New Roman"/>
        <w:szCs w:val="20"/>
      </w:rPr>
      <w:t>, 201</w:t>
    </w:r>
    <w:r w:rsidR="00FA621A">
      <w:rPr>
        <w:rFonts w:ascii="Times New Roman" w:hAnsi="Times New Roman"/>
        <w:szCs w:val="20"/>
      </w:rPr>
      <w:t>5</w:t>
    </w:r>
  </w:p>
  <w:p w14:paraId="04D5D1CE" w14:textId="77777777" w:rsidR="00BE4528" w:rsidRPr="006E5DA4" w:rsidRDefault="00BE4528" w:rsidP="00D4342A">
    <w:pPr>
      <w:rPr>
        <w:rFonts w:ascii="Times New Roman" w:hAnsi="Times New Roman"/>
        <w:szCs w:val="20"/>
      </w:rPr>
    </w:pPr>
    <w:r w:rsidRPr="006E5DA4">
      <w:rPr>
        <w:rFonts w:ascii="Times New Roman" w:hAnsi="Times New Roman"/>
        <w:szCs w:val="20"/>
      </w:rPr>
      <w:t xml:space="preserve">Page </w:t>
    </w:r>
    <w:r w:rsidRPr="006E5DA4">
      <w:rPr>
        <w:rFonts w:ascii="Times New Roman" w:hAnsi="Times New Roman"/>
        <w:szCs w:val="20"/>
      </w:rPr>
      <w:fldChar w:fldCharType="begin"/>
    </w:r>
    <w:r w:rsidRPr="006E5DA4">
      <w:rPr>
        <w:rFonts w:ascii="Times New Roman" w:hAnsi="Times New Roman"/>
        <w:szCs w:val="20"/>
      </w:rPr>
      <w:instrText xml:space="preserve">PAGE </w:instrText>
    </w:r>
    <w:r w:rsidRPr="006E5DA4">
      <w:rPr>
        <w:rFonts w:ascii="Times New Roman" w:hAnsi="Times New Roman"/>
        <w:szCs w:val="20"/>
      </w:rPr>
      <w:fldChar w:fldCharType="separate"/>
    </w:r>
    <w:r w:rsidR="009E01C5">
      <w:rPr>
        <w:rFonts w:ascii="Times New Roman" w:hAnsi="Times New Roman"/>
        <w:noProof/>
        <w:szCs w:val="20"/>
      </w:rPr>
      <w:t>3</w:t>
    </w:r>
    <w:r w:rsidRPr="006E5DA4">
      <w:rPr>
        <w:rFonts w:ascii="Times New Roman" w:hAnsi="Times New Roman"/>
        <w:szCs w:val="20"/>
      </w:rPr>
      <w:fldChar w:fldCharType="end"/>
    </w:r>
  </w:p>
  <w:p w14:paraId="04D5D1CF" w14:textId="77777777" w:rsidR="00BE4528" w:rsidRPr="00D4342A" w:rsidRDefault="00BE4528" w:rsidP="001D1631">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41405"/>
    <w:multiLevelType w:val="hybridMultilevel"/>
    <w:tmpl w:val="DA906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A20"/>
    <w:multiLevelType w:val="hybridMultilevel"/>
    <w:tmpl w:val="63A4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664A5"/>
    <w:multiLevelType w:val="hybridMultilevel"/>
    <w:tmpl w:val="DAA2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77285"/>
    <w:multiLevelType w:val="hybridMultilevel"/>
    <w:tmpl w:val="0A804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250B54"/>
    <w:multiLevelType w:val="hybridMultilevel"/>
    <w:tmpl w:val="7AA23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E5"/>
    <w:rsid w:val="00011EC2"/>
    <w:rsid w:val="00025483"/>
    <w:rsid w:val="00025A51"/>
    <w:rsid w:val="00025E1E"/>
    <w:rsid w:val="00026A37"/>
    <w:rsid w:val="00046C04"/>
    <w:rsid w:val="0004736C"/>
    <w:rsid w:val="00061D09"/>
    <w:rsid w:val="00066E1D"/>
    <w:rsid w:val="0009020A"/>
    <w:rsid w:val="00095AAD"/>
    <w:rsid w:val="000A0B56"/>
    <w:rsid w:val="000A3A72"/>
    <w:rsid w:val="000A681F"/>
    <w:rsid w:val="000A704B"/>
    <w:rsid w:val="000B2FCA"/>
    <w:rsid w:val="000D3226"/>
    <w:rsid w:val="000D358A"/>
    <w:rsid w:val="000D4B69"/>
    <w:rsid w:val="000E3636"/>
    <w:rsid w:val="000E640C"/>
    <w:rsid w:val="000F18DC"/>
    <w:rsid w:val="000F2DC4"/>
    <w:rsid w:val="000F3DB5"/>
    <w:rsid w:val="000F6B99"/>
    <w:rsid w:val="00117B59"/>
    <w:rsid w:val="00136D36"/>
    <w:rsid w:val="00156C69"/>
    <w:rsid w:val="00160690"/>
    <w:rsid w:val="001655BD"/>
    <w:rsid w:val="0017037D"/>
    <w:rsid w:val="001724EB"/>
    <w:rsid w:val="00177632"/>
    <w:rsid w:val="00186A7F"/>
    <w:rsid w:val="001A6722"/>
    <w:rsid w:val="001A6FE3"/>
    <w:rsid w:val="001B1BCD"/>
    <w:rsid w:val="001B4E77"/>
    <w:rsid w:val="001B6212"/>
    <w:rsid w:val="001C0159"/>
    <w:rsid w:val="001C374F"/>
    <w:rsid w:val="001C5AB1"/>
    <w:rsid w:val="001D094C"/>
    <w:rsid w:val="001D1631"/>
    <w:rsid w:val="001D2123"/>
    <w:rsid w:val="001D79D8"/>
    <w:rsid w:val="001E1FC2"/>
    <w:rsid w:val="001E274F"/>
    <w:rsid w:val="001F0360"/>
    <w:rsid w:val="00223A6B"/>
    <w:rsid w:val="002276ED"/>
    <w:rsid w:val="00231020"/>
    <w:rsid w:val="002324DA"/>
    <w:rsid w:val="00234488"/>
    <w:rsid w:val="002346FC"/>
    <w:rsid w:val="00243FF5"/>
    <w:rsid w:val="00256B1E"/>
    <w:rsid w:val="00261E32"/>
    <w:rsid w:val="00280D8C"/>
    <w:rsid w:val="002867F5"/>
    <w:rsid w:val="0028770C"/>
    <w:rsid w:val="00290FB9"/>
    <w:rsid w:val="002A0770"/>
    <w:rsid w:val="002A20B6"/>
    <w:rsid w:val="002A31D5"/>
    <w:rsid w:val="002A5CB5"/>
    <w:rsid w:val="002C039A"/>
    <w:rsid w:val="002C1456"/>
    <w:rsid w:val="002C304F"/>
    <w:rsid w:val="002C41D3"/>
    <w:rsid w:val="002C5EEA"/>
    <w:rsid w:val="002D433E"/>
    <w:rsid w:val="002E5D7F"/>
    <w:rsid w:val="002F2D25"/>
    <w:rsid w:val="002F4908"/>
    <w:rsid w:val="0030204A"/>
    <w:rsid w:val="00304468"/>
    <w:rsid w:val="00306A5C"/>
    <w:rsid w:val="00311379"/>
    <w:rsid w:val="00312FE6"/>
    <w:rsid w:val="00317CE1"/>
    <w:rsid w:val="00321DC4"/>
    <w:rsid w:val="00324DA6"/>
    <w:rsid w:val="00346234"/>
    <w:rsid w:val="003527B7"/>
    <w:rsid w:val="00353151"/>
    <w:rsid w:val="003716A9"/>
    <w:rsid w:val="00372469"/>
    <w:rsid w:val="00373110"/>
    <w:rsid w:val="0038333D"/>
    <w:rsid w:val="003944FB"/>
    <w:rsid w:val="00397FC9"/>
    <w:rsid w:val="003B3214"/>
    <w:rsid w:val="003B77FD"/>
    <w:rsid w:val="003C7604"/>
    <w:rsid w:val="003D0731"/>
    <w:rsid w:val="003D3006"/>
    <w:rsid w:val="003D56BE"/>
    <w:rsid w:val="003D619F"/>
    <w:rsid w:val="003E1196"/>
    <w:rsid w:val="003E328C"/>
    <w:rsid w:val="003F2075"/>
    <w:rsid w:val="003F35C6"/>
    <w:rsid w:val="003F6D63"/>
    <w:rsid w:val="003F7E5A"/>
    <w:rsid w:val="00400AF9"/>
    <w:rsid w:val="004019AD"/>
    <w:rsid w:val="00420096"/>
    <w:rsid w:val="0042210D"/>
    <w:rsid w:val="004333D0"/>
    <w:rsid w:val="00436E8C"/>
    <w:rsid w:val="00442DA4"/>
    <w:rsid w:val="00445411"/>
    <w:rsid w:val="00446BE3"/>
    <w:rsid w:val="00446FFA"/>
    <w:rsid w:val="00447C71"/>
    <w:rsid w:val="0047045A"/>
    <w:rsid w:val="00474076"/>
    <w:rsid w:val="00474A0A"/>
    <w:rsid w:val="00475D2B"/>
    <w:rsid w:val="00477AF0"/>
    <w:rsid w:val="004806E9"/>
    <w:rsid w:val="004822D5"/>
    <w:rsid w:val="00482CCC"/>
    <w:rsid w:val="004936EB"/>
    <w:rsid w:val="00493B04"/>
    <w:rsid w:val="004959F2"/>
    <w:rsid w:val="004963FC"/>
    <w:rsid w:val="004970DA"/>
    <w:rsid w:val="00497895"/>
    <w:rsid w:val="00497E69"/>
    <w:rsid w:val="004A38B4"/>
    <w:rsid w:val="004A466B"/>
    <w:rsid w:val="004B3D34"/>
    <w:rsid w:val="004C0754"/>
    <w:rsid w:val="004C4AE6"/>
    <w:rsid w:val="004D01F3"/>
    <w:rsid w:val="004D76A5"/>
    <w:rsid w:val="004E5439"/>
    <w:rsid w:val="004E650E"/>
    <w:rsid w:val="004F59FD"/>
    <w:rsid w:val="00511448"/>
    <w:rsid w:val="00521240"/>
    <w:rsid w:val="005255A7"/>
    <w:rsid w:val="00526128"/>
    <w:rsid w:val="00527D0C"/>
    <w:rsid w:val="005304A4"/>
    <w:rsid w:val="00531152"/>
    <w:rsid w:val="00536629"/>
    <w:rsid w:val="00537004"/>
    <w:rsid w:val="00537D65"/>
    <w:rsid w:val="005432F7"/>
    <w:rsid w:val="00544395"/>
    <w:rsid w:val="00552600"/>
    <w:rsid w:val="00556C01"/>
    <w:rsid w:val="005604DD"/>
    <w:rsid w:val="00562894"/>
    <w:rsid w:val="0056751A"/>
    <w:rsid w:val="00571FC9"/>
    <w:rsid w:val="00573514"/>
    <w:rsid w:val="00582D68"/>
    <w:rsid w:val="00593AAA"/>
    <w:rsid w:val="00593F87"/>
    <w:rsid w:val="00595887"/>
    <w:rsid w:val="005A6C74"/>
    <w:rsid w:val="005A6D66"/>
    <w:rsid w:val="005B3892"/>
    <w:rsid w:val="005C1410"/>
    <w:rsid w:val="005C1FF7"/>
    <w:rsid w:val="005C4C0D"/>
    <w:rsid w:val="005E159D"/>
    <w:rsid w:val="005F4DF5"/>
    <w:rsid w:val="00602735"/>
    <w:rsid w:val="006059C6"/>
    <w:rsid w:val="00610A36"/>
    <w:rsid w:val="006112E4"/>
    <w:rsid w:val="006169C1"/>
    <w:rsid w:val="0062117C"/>
    <w:rsid w:val="00623164"/>
    <w:rsid w:val="0063230B"/>
    <w:rsid w:val="00633FE5"/>
    <w:rsid w:val="006415D5"/>
    <w:rsid w:val="006424FC"/>
    <w:rsid w:val="00642B4F"/>
    <w:rsid w:val="00672F7B"/>
    <w:rsid w:val="00683411"/>
    <w:rsid w:val="00687B64"/>
    <w:rsid w:val="006A388D"/>
    <w:rsid w:val="006A41EE"/>
    <w:rsid w:val="006A4FF8"/>
    <w:rsid w:val="006A61BF"/>
    <w:rsid w:val="006B16D9"/>
    <w:rsid w:val="006B2EC9"/>
    <w:rsid w:val="006B74E9"/>
    <w:rsid w:val="006C2E3A"/>
    <w:rsid w:val="006D6651"/>
    <w:rsid w:val="006E0F13"/>
    <w:rsid w:val="006E1137"/>
    <w:rsid w:val="006E5DA4"/>
    <w:rsid w:val="00706239"/>
    <w:rsid w:val="00717B32"/>
    <w:rsid w:val="0072386F"/>
    <w:rsid w:val="00732295"/>
    <w:rsid w:val="00736648"/>
    <w:rsid w:val="00751478"/>
    <w:rsid w:val="00755346"/>
    <w:rsid w:val="00762422"/>
    <w:rsid w:val="007667EA"/>
    <w:rsid w:val="00772B5A"/>
    <w:rsid w:val="00775521"/>
    <w:rsid w:val="007842F2"/>
    <w:rsid w:val="00787371"/>
    <w:rsid w:val="007A1EF0"/>
    <w:rsid w:val="007A2709"/>
    <w:rsid w:val="007A4774"/>
    <w:rsid w:val="007C13B4"/>
    <w:rsid w:val="007D6104"/>
    <w:rsid w:val="007E31BF"/>
    <w:rsid w:val="007E5FA3"/>
    <w:rsid w:val="007E7A4F"/>
    <w:rsid w:val="007E7F9F"/>
    <w:rsid w:val="007F51DC"/>
    <w:rsid w:val="008007AF"/>
    <w:rsid w:val="0080254B"/>
    <w:rsid w:val="0082369F"/>
    <w:rsid w:val="00827D29"/>
    <w:rsid w:val="00835F23"/>
    <w:rsid w:val="008404F8"/>
    <w:rsid w:val="00844156"/>
    <w:rsid w:val="0085688D"/>
    <w:rsid w:val="00857931"/>
    <w:rsid w:val="008650F8"/>
    <w:rsid w:val="008666CE"/>
    <w:rsid w:val="00873905"/>
    <w:rsid w:val="00881976"/>
    <w:rsid w:val="0088779F"/>
    <w:rsid w:val="0089773C"/>
    <w:rsid w:val="008A0305"/>
    <w:rsid w:val="008A1477"/>
    <w:rsid w:val="008A15C8"/>
    <w:rsid w:val="008A5545"/>
    <w:rsid w:val="008A6E77"/>
    <w:rsid w:val="008B28B6"/>
    <w:rsid w:val="008B6BFE"/>
    <w:rsid w:val="008C0679"/>
    <w:rsid w:val="008C7845"/>
    <w:rsid w:val="008D53ED"/>
    <w:rsid w:val="008D7C95"/>
    <w:rsid w:val="008E1357"/>
    <w:rsid w:val="008E2494"/>
    <w:rsid w:val="008E2647"/>
    <w:rsid w:val="008E5104"/>
    <w:rsid w:val="008E7EF1"/>
    <w:rsid w:val="008F0C7B"/>
    <w:rsid w:val="008F4FFA"/>
    <w:rsid w:val="008F67A0"/>
    <w:rsid w:val="009110FB"/>
    <w:rsid w:val="0091287C"/>
    <w:rsid w:val="00914865"/>
    <w:rsid w:val="0091518A"/>
    <w:rsid w:val="009262E9"/>
    <w:rsid w:val="00934319"/>
    <w:rsid w:val="009362ED"/>
    <w:rsid w:val="0093702A"/>
    <w:rsid w:val="00942041"/>
    <w:rsid w:val="00942F43"/>
    <w:rsid w:val="0094336B"/>
    <w:rsid w:val="00943A95"/>
    <w:rsid w:val="009444D6"/>
    <w:rsid w:val="009467D6"/>
    <w:rsid w:val="00950485"/>
    <w:rsid w:val="00953B32"/>
    <w:rsid w:val="009624C1"/>
    <w:rsid w:val="00971300"/>
    <w:rsid w:val="00972BC9"/>
    <w:rsid w:val="009814BE"/>
    <w:rsid w:val="009A34AD"/>
    <w:rsid w:val="009B1957"/>
    <w:rsid w:val="009B58B4"/>
    <w:rsid w:val="009B602E"/>
    <w:rsid w:val="009C405D"/>
    <w:rsid w:val="009D0734"/>
    <w:rsid w:val="009E01C5"/>
    <w:rsid w:val="009F2BC7"/>
    <w:rsid w:val="00A04507"/>
    <w:rsid w:val="00A05DF7"/>
    <w:rsid w:val="00A1066B"/>
    <w:rsid w:val="00A106C0"/>
    <w:rsid w:val="00A11266"/>
    <w:rsid w:val="00A11972"/>
    <w:rsid w:val="00A219C9"/>
    <w:rsid w:val="00A30587"/>
    <w:rsid w:val="00A33C31"/>
    <w:rsid w:val="00A356FE"/>
    <w:rsid w:val="00A40A31"/>
    <w:rsid w:val="00A41805"/>
    <w:rsid w:val="00A50430"/>
    <w:rsid w:val="00A55E57"/>
    <w:rsid w:val="00A6374E"/>
    <w:rsid w:val="00A71A44"/>
    <w:rsid w:val="00A71DE6"/>
    <w:rsid w:val="00A77552"/>
    <w:rsid w:val="00A84C2A"/>
    <w:rsid w:val="00A851C3"/>
    <w:rsid w:val="00AA6CE5"/>
    <w:rsid w:val="00AB0E66"/>
    <w:rsid w:val="00AB3160"/>
    <w:rsid w:val="00AC5861"/>
    <w:rsid w:val="00AC5A84"/>
    <w:rsid w:val="00AD3312"/>
    <w:rsid w:val="00AE587E"/>
    <w:rsid w:val="00AF1934"/>
    <w:rsid w:val="00AF3EDE"/>
    <w:rsid w:val="00B00AA5"/>
    <w:rsid w:val="00B1167C"/>
    <w:rsid w:val="00B13041"/>
    <w:rsid w:val="00B205F9"/>
    <w:rsid w:val="00B24E22"/>
    <w:rsid w:val="00B25220"/>
    <w:rsid w:val="00B32CA3"/>
    <w:rsid w:val="00B37B17"/>
    <w:rsid w:val="00B64984"/>
    <w:rsid w:val="00B7671F"/>
    <w:rsid w:val="00B7730B"/>
    <w:rsid w:val="00B7740B"/>
    <w:rsid w:val="00B8693D"/>
    <w:rsid w:val="00B92EA8"/>
    <w:rsid w:val="00B94F05"/>
    <w:rsid w:val="00BA190B"/>
    <w:rsid w:val="00BB0B52"/>
    <w:rsid w:val="00BB2F89"/>
    <w:rsid w:val="00BB33C1"/>
    <w:rsid w:val="00BB5C00"/>
    <w:rsid w:val="00BC030F"/>
    <w:rsid w:val="00BD7BB1"/>
    <w:rsid w:val="00BE4528"/>
    <w:rsid w:val="00BE5DA3"/>
    <w:rsid w:val="00BE6FD8"/>
    <w:rsid w:val="00C00B7C"/>
    <w:rsid w:val="00C02A6A"/>
    <w:rsid w:val="00C1202D"/>
    <w:rsid w:val="00C1335C"/>
    <w:rsid w:val="00C140CB"/>
    <w:rsid w:val="00C14DFE"/>
    <w:rsid w:val="00C21276"/>
    <w:rsid w:val="00C31230"/>
    <w:rsid w:val="00C31843"/>
    <w:rsid w:val="00C34664"/>
    <w:rsid w:val="00C5349A"/>
    <w:rsid w:val="00C622DD"/>
    <w:rsid w:val="00C7355F"/>
    <w:rsid w:val="00C7723A"/>
    <w:rsid w:val="00C833FA"/>
    <w:rsid w:val="00C9072F"/>
    <w:rsid w:val="00C93991"/>
    <w:rsid w:val="00C94743"/>
    <w:rsid w:val="00CA34F4"/>
    <w:rsid w:val="00CB5CA7"/>
    <w:rsid w:val="00CC06BE"/>
    <w:rsid w:val="00CC26F0"/>
    <w:rsid w:val="00CD29F3"/>
    <w:rsid w:val="00CD2AB9"/>
    <w:rsid w:val="00CD34D2"/>
    <w:rsid w:val="00CE057D"/>
    <w:rsid w:val="00CE7873"/>
    <w:rsid w:val="00CE7A07"/>
    <w:rsid w:val="00CF3E1D"/>
    <w:rsid w:val="00D04716"/>
    <w:rsid w:val="00D07C39"/>
    <w:rsid w:val="00D104E1"/>
    <w:rsid w:val="00D16ACD"/>
    <w:rsid w:val="00D178DC"/>
    <w:rsid w:val="00D23A2C"/>
    <w:rsid w:val="00D315CF"/>
    <w:rsid w:val="00D35C06"/>
    <w:rsid w:val="00D4342A"/>
    <w:rsid w:val="00D535C4"/>
    <w:rsid w:val="00D6053A"/>
    <w:rsid w:val="00D6438C"/>
    <w:rsid w:val="00D71D8B"/>
    <w:rsid w:val="00D72599"/>
    <w:rsid w:val="00D7549F"/>
    <w:rsid w:val="00D8206F"/>
    <w:rsid w:val="00D847DD"/>
    <w:rsid w:val="00D92559"/>
    <w:rsid w:val="00DA04B9"/>
    <w:rsid w:val="00DA1B86"/>
    <w:rsid w:val="00DB48A9"/>
    <w:rsid w:val="00DC06DD"/>
    <w:rsid w:val="00DD2A47"/>
    <w:rsid w:val="00DE0917"/>
    <w:rsid w:val="00DF7341"/>
    <w:rsid w:val="00E009B6"/>
    <w:rsid w:val="00E041FB"/>
    <w:rsid w:val="00E161A6"/>
    <w:rsid w:val="00E2042D"/>
    <w:rsid w:val="00E26449"/>
    <w:rsid w:val="00E37D98"/>
    <w:rsid w:val="00E42EAC"/>
    <w:rsid w:val="00E54512"/>
    <w:rsid w:val="00E55ACA"/>
    <w:rsid w:val="00E6143F"/>
    <w:rsid w:val="00E62FFA"/>
    <w:rsid w:val="00E84693"/>
    <w:rsid w:val="00E852DF"/>
    <w:rsid w:val="00EA706C"/>
    <w:rsid w:val="00EB108F"/>
    <w:rsid w:val="00EB2A69"/>
    <w:rsid w:val="00EB5440"/>
    <w:rsid w:val="00EB55D8"/>
    <w:rsid w:val="00EC12A3"/>
    <w:rsid w:val="00EE6D76"/>
    <w:rsid w:val="00EF1488"/>
    <w:rsid w:val="00EF46DD"/>
    <w:rsid w:val="00F04357"/>
    <w:rsid w:val="00F10EAE"/>
    <w:rsid w:val="00F12260"/>
    <w:rsid w:val="00F13195"/>
    <w:rsid w:val="00F17B8C"/>
    <w:rsid w:val="00F21B68"/>
    <w:rsid w:val="00F221A5"/>
    <w:rsid w:val="00F273C6"/>
    <w:rsid w:val="00F2778F"/>
    <w:rsid w:val="00F32252"/>
    <w:rsid w:val="00F34D7A"/>
    <w:rsid w:val="00F3615C"/>
    <w:rsid w:val="00F37A05"/>
    <w:rsid w:val="00F43C68"/>
    <w:rsid w:val="00F44145"/>
    <w:rsid w:val="00F565EB"/>
    <w:rsid w:val="00F578AF"/>
    <w:rsid w:val="00F64A81"/>
    <w:rsid w:val="00F67982"/>
    <w:rsid w:val="00F82E57"/>
    <w:rsid w:val="00F8550C"/>
    <w:rsid w:val="00F9114C"/>
    <w:rsid w:val="00F973E3"/>
    <w:rsid w:val="00FA21BC"/>
    <w:rsid w:val="00FA436A"/>
    <w:rsid w:val="00FA621A"/>
    <w:rsid w:val="00FB2E5A"/>
    <w:rsid w:val="00FB5C5D"/>
    <w:rsid w:val="00FD22A1"/>
    <w:rsid w:val="00FD3C14"/>
    <w:rsid w:val="00FD6C2B"/>
    <w:rsid w:val="00FE3ABA"/>
    <w:rsid w:val="00FF1909"/>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4D5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E5"/>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025483"/>
    <w:pPr>
      <w:outlineLvl w:val="0"/>
    </w:pPr>
  </w:style>
  <w:style w:type="paragraph" w:styleId="Heading2">
    <w:name w:val="heading 2"/>
    <w:basedOn w:val="Normal"/>
    <w:next w:val="Normal"/>
    <w:link w:val="Heading2Char"/>
    <w:unhideWhenUsed/>
    <w:qFormat/>
    <w:rsid w:val="00025483"/>
    <w:pPr>
      <w:outlineLvl w:val="1"/>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483"/>
    <w:rPr>
      <w:rFonts w:ascii="Courier" w:eastAsia="Times New Roman" w:hAnsi="Courier" w:cs="Times New Roman"/>
      <w:sz w:val="20"/>
      <w:szCs w:val="24"/>
    </w:rPr>
  </w:style>
  <w:style w:type="paragraph" w:styleId="BodyText">
    <w:name w:val="Body Text"/>
    <w:basedOn w:val="Normal"/>
    <w:link w:val="BodyTextChar"/>
    <w:rsid w:val="00633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pPr>
    <w:rPr>
      <w:rFonts w:ascii="Palatino Linotype" w:hAnsi="Palatino Linotype"/>
      <w:sz w:val="24"/>
    </w:rPr>
  </w:style>
  <w:style w:type="character" w:customStyle="1" w:styleId="BodyTextChar">
    <w:name w:val="Body Text Char"/>
    <w:basedOn w:val="DefaultParagraphFont"/>
    <w:link w:val="BodyText"/>
    <w:rsid w:val="00633FE5"/>
    <w:rPr>
      <w:rFonts w:ascii="Palatino Linotype" w:eastAsia="Times New Roman" w:hAnsi="Palatino Linotype" w:cs="Times New Roman"/>
      <w:sz w:val="24"/>
      <w:szCs w:val="24"/>
    </w:rPr>
  </w:style>
  <w:style w:type="paragraph" w:styleId="NormalWeb">
    <w:name w:val="Normal (Web)"/>
    <w:basedOn w:val="Normal"/>
    <w:rsid w:val="00633FE5"/>
    <w:pPr>
      <w:widowControl/>
      <w:autoSpaceDE/>
      <w:autoSpaceDN/>
      <w:adjustRightInd/>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446BE3"/>
    <w:pPr>
      <w:tabs>
        <w:tab w:val="center" w:pos="4680"/>
        <w:tab w:val="right" w:pos="9360"/>
      </w:tabs>
    </w:pPr>
  </w:style>
  <w:style w:type="character" w:customStyle="1" w:styleId="HeaderChar">
    <w:name w:val="Header Char"/>
    <w:basedOn w:val="DefaultParagraphFont"/>
    <w:link w:val="Header"/>
    <w:uiPriority w:val="99"/>
    <w:rsid w:val="00446BE3"/>
    <w:rPr>
      <w:rFonts w:ascii="Courier" w:eastAsia="Times New Roman" w:hAnsi="Courier" w:cs="Times New Roman"/>
      <w:sz w:val="20"/>
      <w:szCs w:val="24"/>
    </w:rPr>
  </w:style>
  <w:style w:type="paragraph" w:styleId="Footer">
    <w:name w:val="footer"/>
    <w:basedOn w:val="Normal"/>
    <w:link w:val="FooterChar"/>
    <w:uiPriority w:val="99"/>
    <w:unhideWhenUsed/>
    <w:rsid w:val="00446BE3"/>
    <w:pPr>
      <w:tabs>
        <w:tab w:val="center" w:pos="4680"/>
        <w:tab w:val="right" w:pos="9360"/>
      </w:tabs>
    </w:pPr>
  </w:style>
  <w:style w:type="character" w:customStyle="1" w:styleId="FooterChar">
    <w:name w:val="Footer Char"/>
    <w:basedOn w:val="DefaultParagraphFont"/>
    <w:link w:val="Footer"/>
    <w:uiPriority w:val="99"/>
    <w:rsid w:val="00446BE3"/>
    <w:rPr>
      <w:rFonts w:ascii="Courier" w:eastAsia="Times New Roman" w:hAnsi="Courier" w:cs="Times New Roman"/>
      <w:sz w:val="20"/>
      <w:szCs w:val="24"/>
    </w:rPr>
  </w:style>
  <w:style w:type="character" w:styleId="CommentReference">
    <w:name w:val="annotation reference"/>
    <w:basedOn w:val="DefaultParagraphFont"/>
    <w:uiPriority w:val="99"/>
    <w:semiHidden/>
    <w:unhideWhenUsed/>
    <w:rsid w:val="00B205F9"/>
    <w:rPr>
      <w:sz w:val="16"/>
      <w:szCs w:val="16"/>
    </w:rPr>
  </w:style>
  <w:style w:type="paragraph" w:styleId="CommentText">
    <w:name w:val="annotation text"/>
    <w:basedOn w:val="Normal"/>
    <w:link w:val="CommentTextChar"/>
    <w:uiPriority w:val="99"/>
    <w:semiHidden/>
    <w:unhideWhenUsed/>
    <w:rsid w:val="00B205F9"/>
    <w:rPr>
      <w:szCs w:val="20"/>
    </w:rPr>
  </w:style>
  <w:style w:type="character" w:customStyle="1" w:styleId="CommentTextChar">
    <w:name w:val="Comment Text Char"/>
    <w:basedOn w:val="DefaultParagraphFont"/>
    <w:link w:val="CommentText"/>
    <w:uiPriority w:val="99"/>
    <w:semiHidden/>
    <w:rsid w:val="00B205F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B205F9"/>
    <w:rPr>
      <w:b/>
      <w:bCs/>
    </w:rPr>
  </w:style>
  <w:style w:type="character" w:customStyle="1" w:styleId="CommentSubjectChar">
    <w:name w:val="Comment Subject Char"/>
    <w:basedOn w:val="CommentTextChar"/>
    <w:link w:val="CommentSubject"/>
    <w:uiPriority w:val="99"/>
    <w:semiHidden/>
    <w:rsid w:val="00B205F9"/>
    <w:rPr>
      <w:rFonts w:ascii="Courier" w:eastAsia="Times New Roman" w:hAnsi="Courier" w:cs="Times New Roman"/>
      <w:b/>
      <w:bCs/>
      <w:sz w:val="20"/>
      <w:szCs w:val="20"/>
    </w:rPr>
  </w:style>
  <w:style w:type="paragraph" w:styleId="Revision">
    <w:name w:val="Revision"/>
    <w:hidden/>
    <w:uiPriority w:val="99"/>
    <w:semiHidden/>
    <w:rsid w:val="00B205F9"/>
    <w:pPr>
      <w:spacing w:after="0" w:line="240" w:lineRule="auto"/>
    </w:pPr>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B205F9"/>
    <w:rPr>
      <w:rFonts w:ascii="Tahoma" w:hAnsi="Tahoma" w:cs="Tahoma"/>
      <w:sz w:val="16"/>
      <w:szCs w:val="16"/>
    </w:rPr>
  </w:style>
  <w:style w:type="character" w:customStyle="1" w:styleId="BalloonTextChar">
    <w:name w:val="Balloon Text Char"/>
    <w:basedOn w:val="DefaultParagraphFont"/>
    <w:link w:val="BalloonText"/>
    <w:uiPriority w:val="99"/>
    <w:semiHidden/>
    <w:rsid w:val="00B205F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104E1"/>
    <w:rPr>
      <w:szCs w:val="20"/>
    </w:rPr>
  </w:style>
  <w:style w:type="character" w:customStyle="1" w:styleId="FootnoteTextChar">
    <w:name w:val="Footnote Text Char"/>
    <w:basedOn w:val="DefaultParagraphFont"/>
    <w:link w:val="FootnoteText"/>
    <w:uiPriority w:val="99"/>
    <w:semiHidden/>
    <w:rsid w:val="00D104E1"/>
    <w:rPr>
      <w:rFonts w:ascii="Courier" w:eastAsia="Times New Roman" w:hAnsi="Courier" w:cs="Times New Roman"/>
      <w:sz w:val="20"/>
      <w:szCs w:val="20"/>
    </w:rPr>
  </w:style>
  <w:style w:type="character" w:styleId="FootnoteReference">
    <w:name w:val="footnote reference"/>
    <w:basedOn w:val="DefaultParagraphFont"/>
    <w:unhideWhenUsed/>
    <w:rsid w:val="00D104E1"/>
    <w:rPr>
      <w:vertAlign w:val="superscript"/>
    </w:rPr>
  </w:style>
  <w:style w:type="character" w:customStyle="1" w:styleId="Heading2Char">
    <w:name w:val="Heading 2 Char"/>
    <w:basedOn w:val="DefaultParagraphFont"/>
    <w:link w:val="Heading2"/>
    <w:rsid w:val="0002548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9444D6"/>
    <w:pPr>
      <w:ind w:left="720"/>
      <w:contextualSpacing/>
    </w:pPr>
  </w:style>
  <w:style w:type="paragraph" w:styleId="Title">
    <w:name w:val="Title"/>
    <w:basedOn w:val="Normal"/>
    <w:next w:val="Normal"/>
    <w:link w:val="TitleChar"/>
    <w:uiPriority w:val="10"/>
    <w:qFormat/>
    <w:rsid w:val="007E5F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FA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474A0A"/>
    <w:rPr>
      <w:rFonts w:ascii="Times New Roman" w:hAnsi="Times New Roman"/>
      <w:b/>
      <w:sz w:val="24"/>
      <w:u w:val="single"/>
    </w:rPr>
  </w:style>
  <w:style w:type="character" w:styleId="Hyperlink">
    <w:name w:val="Hyperlink"/>
    <w:basedOn w:val="DefaultParagraphFont"/>
    <w:uiPriority w:val="99"/>
    <w:unhideWhenUsed/>
    <w:rsid w:val="00186A7F"/>
    <w:rPr>
      <w:color w:val="0000FF" w:themeColor="hyperlink"/>
      <w:u w:val="single"/>
    </w:rPr>
  </w:style>
  <w:style w:type="table" w:styleId="TableGrid">
    <w:name w:val="Table Grid"/>
    <w:basedOn w:val="TableNormal"/>
    <w:rsid w:val="002E5D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C2674DC58A9A48AE0CD2210EA340D1" ma:contentTypeVersion="119" ma:contentTypeDescription="" ma:contentTypeScope="" ma:versionID="59ef57d34e05c7b22df84caac43081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2AF8CC-F9F7-4602-A5A4-EB4C37101DED}"/>
</file>

<file path=customXml/itemProps2.xml><?xml version="1.0" encoding="utf-8"?>
<ds:datastoreItem xmlns:ds="http://schemas.openxmlformats.org/officeDocument/2006/customXml" ds:itemID="{EEB79948-C4A0-4641-B77F-6EE0998DDBFC}"/>
</file>

<file path=customXml/itemProps3.xml><?xml version="1.0" encoding="utf-8"?>
<ds:datastoreItem xmlns:ds="http://schemas.openxmlformats.org/officeDocument/2006/customXml" ds:itemID="{49E491FE-7D48-45EB-8528-7EFE6C382E32}"/>
</file>

<file path=customXml/itemProps4.xml><?xml version="1.0" encoding="utf-8"?>
<ds:datastoreItem xmlns:ds="http://schemas.openxmlformats.org/officeDocument/2006/customXml" ds:itemID="{A6B89E99-5785-4D72-B5B4-C13B21DC90FD}"/>
</file>

<file path=customXml/itemProps5.xml><?xml version="1.0" encoding="utf-8"?>
<ds:datastoreItem xmlns:ds="http://schemas.openxmlformats.org/officeDocument/2006/customXml" ds:itemID="{BBE9D901-B446-470F-9484-01EE41CC9455}"/>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UG-151870 Memo</vt:lpstr>
    </vt:vector>
  </TitlesOfParts>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UG-151870 Memo</dc:title>
  <dc:creator/>
  <cp:lastModifiedBy/>
  <cp:revision>1</cp:revision>
  <dcterms:created xsi:type="dcterms:W3CDTF">2015-10-08T21:19:00Z</dcterms:created>
  <dcterms:modified xsi:type="dcterms:W3CDTF">2015-10-26T18:10:00Z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0x0101006E56B4D1795A2E4DB2F0B01679ED314A00FBC2674DC58A9A48AE0CD2210EA340D1</vt:lpwstr>
  </property>
  <property fmtid="{D5CDD505-2E9C-101B-9397-08002B2CF9AE}" pid="3" name="_docset_NoMedatataSyncRequired">
    <vt:lpwstr>False</vt:lpwstr>
  </property>
</Properties>
</file>