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313" w:rsidRDefault="009B1313">
      <w:pPr>
        <w:pStyle w:val="Memo"/>
      </w:pPr>
    </w:p>
    <w:p w:rsidR="009B1313" w:rsidRDefault="009B1313">
      <w:pPr>
        <w:widowControl w:val="0"/>
        <w:tabs>
          <w:tab w:val="center" w:pos="4320"/>
        </w:tabs>
        <w:jc w:val="center"/>
      </w:pPr>
      <w:r>
        <w:t>RATE SCHEDULE 2</w:t>
      </w:r>
    </w:p>
    <w:p w:rsidR="009B1313" w:rsidRDefault="009B1313">
      <w:pPr>
        <w:widowControl w:val="0"/>
        <w:tabs>
          <w:tab w:val="center" w:pos="4320"/>
        </w:tabs>
        <w:jc w:val="center"/>
      </w:pPr>
      <w:r>
        <w:t>RESIDENTIAL SALES SERVICE</w:t>
      </w:r>
    </w:p>
    <w:p w:rsidR="00024A39" w:rsidRDefault="00024A39">
      <w:pPr>
        <w:widowControl w:val="0"/>
        <w:tabs>
          <w:tab w:val="center" w:pos="4320"/>
        </w:tabs>
        <w:jc w:val="center"/>
      </w:pPr>
    </w:p>
    <w:p w:rsidR="009B1313" w:rsidRDefault="009B1313">
      <w:pPr>
        <w:widowControl w:val="0"/>
      </w:pPr>
    </w:p>
    <w:p w:rsidR="009B1313" w:rsidRDefault="009B1313">
      <w:pPr>
        <w:widowControl w:val="0"/>
      </w:pPr>
    </w:p>
    <w:p w:rsidR="009B1313" w:rsidRDefault="00765AFB">
      <w:pPr>
        <w:widowControl w:val="0"/>
        <w:rPr>
          <w:sz w:val="20"/>
        </w:rPr>
      </w:pPr>
      <w:r>
        <w:rPr>
          <w:noProof/>
          <w:sz w:val="20"/>
        </w:rPr>
        <mc:AlternateContent>
          <mc:Choice Requires="wps">
            <w:drawing>
              <wp:anchor distT="0" distB="0" distL="114300" distR="114300" simplePos="0" relativeHeight="251657728" behindDoc="0" locked="0" layoutInCell="1" allowOverlap="1" wp14:anchorId="7E0DC914" wp14:editId="71E80DC2">
                <wp:simplePos x="0" y="0"/>
                <wp:positionH relativeFrom="column">
                  <wp:posOffset>5715000</wp:posOffset>
                </wp:positionH>
                <wp:positionV relativeFrom="paragraph">
                  <wp:posOffset>135255</wp:posOffset>
                </wp:positionV>
                <wp:extent cx="685800" cy="411480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11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3C2180" w:rsidRDefault="003C2180" w:rsidP="007D502B">
                            <w:pPr>
                              <w:rPr>
                                <w:sz w:val="16"/>
                                <w:szCs w:val="16"/>
                              </w:rPr>
                            </w:pPr>
                          </w:p>
                          <w:p w:rsidR="003C2180" w:rsidRDefault="003C2180" w:rsidP="007D502B">
                            <w:pPr>
                              <w:rPr>
                                <w:sz w:val="16"/>
                                <w:szCs w:val="16"/>
                              </w:rPr>
                            </w:pPr>
                          </w:p>
                          <w:p w:rsidR="003C2180" w:rsidRDefault="003C2180" w:rsidP="007D502B">
                            <w:pPr>
                              <w:rPr>
                                <w:sz w:val="16"/>
                                <w:szCs w:val="16"/>
                              </w:rPr>
                            </w:pPr>
                          </w:p>
                          <w:p w:rsidR="003C2180" w:rsidRDefault="003C2180"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DD0C46" w:rsidP="007D502B">
                            <w:pPr>
                              <w:rPr>
                                <w:sz w:val="16"/>
                                <w:szCs w:val="16"/>
                              </w:rPr>
                            </w:pPr>
                            <w:r>
                              <w:rPr>
                                <w:sz w:val="16"/>
                                <w:szCs w:val="16"/>
                              </w:rPr>
                              <w:t>(T)</w:t>
                            </w:r>
                          </w:p>
                          <w:p w:rsidR="00CC6F4E" w:rsidRDefault="00CC6F4E" w:rsidP="007D502B">
                            <w:pPr>
                              <w:rPr>
                                <w:sz w:val="16"/>
                                <w:szCs w:val="16"/>
                              </w:rPr>
                            </w:pPr>
                          </w:p>
                          <w:p w:rsidR="001779BC" w:rsidRDefault="001779BC" w:rsidP="007D502B">
                            <w:pPr>
                              <w:rPr>
                                <w:sz w:val="16"/>
                                <w:szCs w:val="16"/>
                              </w:rPr>
                            </w:pPr>
                          </w:p>
                          <w:p w:rsidR="001779BC" w:rsidRDefault="001779BC" w:rsidP="007D502B">
                            <w:pPr>
                              <w:rPr>
                                <w:sz w:val="16"/>
                                <w:szCs w:val="16"/>
                              </w:rPr>
                            </w:pPr>
                          </w:p>
                          <w:p w:rsidR="001779BC" w:rsidRDefault="001779BC" w:rsidP="007D502B">
                            <w:pPr>
                              <w:rPr>
                                <w:sz w:val="16"/>
                                <w:szCs w:val="16"/>
                              </w:rPr>
                            </w:pPr>
                          </w:p>
                          <w:p w:rsidR="001779BC" w:rsidRDefault="001779BC"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1779BC" w:rsidRDefault="001779BC" w:rsidP="007D502B">
                            <w:pPr>
                              <w:rPr>
                                <w:sz w:val="16"/>
                                <w:szCs w:val="16"/>
                              </w:rPr>
                            </w:pPr>
                            <w:r>
                              <w:rPr>
                                <w:sz w:val="16"/>
                                <w:szCs w:val="16"/>
                              </w:rPr>
                              <w:t>(</w:t>
                            </w:r>
                            <w:r w:rsidR="009B40F6">
                              <w:rPr>
                                <w:sz w:val="16"/>
                                <w:szCs w:val="16"/>
                              </w:rPr>
                              <w:t>I</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450pt;margin-top:10.65pt;width:54pt;height:3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qE1gQIAABAFAAAOAAAAZHJzL2Uyb0RvYy54bWysVG1v2yAQ/j5p/wHxPfWLnDS26lRru0yT&#10;uhep3Q8gBsdomGNAYnfT/vsOnLTpXqRpmj9g4I6Hu3ue4+Jy7BXZC+sk6JpmZyklQjfApd7W9NP9&#10;erakxHmmOVOgRU0fhKOXq5cvLgZTiRw6UFxYgiDaVYOpaee9qZLENZ3omTsDIzQaW7A987i024Rb&#10;NiB6r5I8TRfJAJYbC41wDndvJiNdRfy2FY3/0LZOeKJqirH5ONo4bsKYrC5YtbXMdLI5hMH+IYqe&#10;SY2XPkLdMM/IzspfoHrZWHDQ+rMG+gTaVjYi5oDZZOlP2dx1zIiYCxbHmccyuf8H27zff7RE8prm&#10;lGjWI0X3YvTkCkaSLUJ5BuMq9Loz6OdH3EeaY6rO3ELz2REN1x3TW/HKWhg6wTiGl4WTycnRCccF&#10;kM3wDjjew3YeItDY2j7UDqtBEB1penikJsTS4OZiOV+maGnQVGRZERbhClYdTxvr/BsBPQmTmlqk&#10;PqKz/a3zk+vRJVzmQEm+lkrFhd1urpUle4YyWcfvgP7MTengrCEcmxCnHQwS7wi2EG6k/VuZ5UV6&#10;lZez9WJ5PivWxXxWnqfLWZqVV+UiLcriZv09BJgVVSc5F/pWanGUYFb8HcWHZpjEE0VIhpqW83w+&#10;UfTHJNP4/S7JXnrsSCX7mmKR8QtOrArEvtY8zj2Taponz8OPhGANjv9YlSiDwPykAT9uRkQJ2tgA&#10;f0BBWEC+kFt8RnDSgf1KyYAtWVP3ZcesoES91SiqMiuK0MNxUczPc1zYU8vm1MJ0g1A19ZRM02s/&#10;9f3OWLnt8KZJxhpeoRBbGTXyFNVBvth2MZnDExH6+nQdvZ4estUPAAAA//8DAFBLAwQUAAYACAAA&#10;ACEA34lS8d8AAAALAQAADwAAAGRycy9kb3ducmV2LnhtbEyPwU7DMBBE70j8g7VIXBC120LapHEq&#10;QAJxbekHbOJtEjVeR7HbpH+Pe4Lj7Ixm3+TbyXbiQoNvHWuYzxQI4sqZlmsNh5/P5zUIH5ANdo5J&#10;w5U8bIv7uxwz40be0WUfahFL2GeooQmhz6T0VUMW/cz1xNE7usFiiHKopRlwjOW2kwulEmmx5fih&#10;wZ4+GqpO+7PVcPwen17TsfwKh9XuJXnHdlW6q9aPD9PbBkSgKfyF4YYf0aGITKU7s/Gi05AqFbcE&#10;DYv5EsQtoNQ6XkoNSZIuQRa5/L+h+AUAAP//AwBQSwECLQAUAAYACAAAACEAtoM4kv4AAADhAQAA&#10;EwAAAAAAAAAAAAAAAAAAAAAAW0NvbnRlbnRfVHlwZXNdLnhtbFBLAQItABQABgAIAAAAIQA4/SH/&#10;1gAAAJQBAAALAAAAAAAAAAAAAAAAAC8BAABfcmVscy8ucmVsc1BLAQItABQABgAIAAAAIQA2dqE1&#10;gQIAABAFAAAOAAAAAAAAAAAAAAAAAC4CAABkcnMvZTJvRG9jLnhtbFBLAQItABQABgAIAAAAIQDf&#10;iVLx3wAAAAsBAAAPAAAAAAAAAAAAAAAAANsEAABkcnMvZG93bnJldi54bWxQSwUGAAAAAAQABADz&#10;AAAA5wUAAAAA&#10;" stroked="f">
                <v:textbox>
                  <w:txbxContent>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3C2180" w:rsidRDefault="003C2180" w:rsidP="007D502B">
                      <w:pPr>
                        <w:rPr>
                          <w:sz w:val="16"/>
                          <w:szCs w:val="16"/>
                        </w:rPr>
                      </w:pPr>
                    </w:p>
                    <w:p w:rsidR="003C2180" w:rsidRDefault="003C2180" w:rsidP="007D502B">
                      <w:pPr>
                        <w:rPr>
                          <w:sz w:val="16"/>
                          <w:szCs w:val="16"/>
                        </w:rPr>
                      </w:pPr>
                    </w:p>
                    <w:p w:rsidR="003C2180" w:rsidRDefault="003C2180" w:rsidP="007D502B">
                      <w:pPr>
                        <w:rPr>
                          <w:sz w:val="16"/>
                          <w:szCs w:val="16"/>
                        </w:rPr>
                      </w:pPr>
                    </w:p>
                    <w:p w:rsidR="003C2180" w:rsidRDefault="003C2180"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DD0C46" w:rsidP="007D502B">
                      <w:pPr>
                        <w:rPr>
                          <w:sz w:val="16"/>
                          <w:szCs w:val="16"/>
                        </w:rPr>
                      </w:pPr>
                      <w:r>
                        <w:rPr>
                          <w:sz w:val="16"/>
                          <w:szCs w:val="16"/>
                        </w:rPr>
                        <w:t>(T)</w:t>
                      </w:r>
                    </w:p>
                    <w:p w:rsidR="00CC6F4E" w:rsidRDefault="00CC6F4E" w:rsidP="007D502B">
                      <w:pPr>
                        <w:rPr>
                          <w:sz w:val="16"/>
                          <w:szCs w:val="16"/>
                        </w:rPr>
                      </w:pPr>
                    </w:p>
                    <w:p w:rsidR="001779BC" w:rsidRDefault="001779BC" w:rsidP="007D502B">
                      <w:pPr>
                        <w:rPr>
                          <w:sz w:val="16"/>
                          <w:szCs w:val="16"/>
                        </w:rPr>
                      </w:pPr>
                    </w:p>
                    <w:p w:rsidR="001779BC" w:rsidRDefault="001779BC" w:rsidP="007D502B">
                      <w:pPr>
                        <w:rPr>
                          <w:sz w:val="16"/>
                          <w:szCs w:val="16"/>
                        </w:rPr>
                      </w:pPr>
                    </w:p>
                    <w:p w:rsidR="001779BC" w:rsidRDefault="001779BC" w:rsidP="007D502B">
                      <w:pPr>
                        <w:rPr>
                          <w:sz w:val="16"/>
                          <w:szCs w:val="16"/>
                        </w:rPr>
                      </w:pPr>
                    </w:p>
                    <w:p w:rsidR="001779BC" w:rsidRDefault="001779BC"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CC6F4E" w:rsidRDefault="00CC6F4E" w:rsidP="007D502B">
                      <w:pPr>
                        <w:rPr>
                          <w:sz w:val="16"/>
                          <w:szCs w:val="16"/>
                        </w:rPr>
                      </w:pPr>
                    </w:p>
                    <w:p w:rsidR="001779BC" w:rsidRDefault="001779BC" w:rsidP="007D502B">
                      <w:pPr>
                        <w:rPr>
                          <w:sz w:val="16"/>
                          <w:szCs w:val="16"/>
                        </w:rPr>
                      </w:pPr>
                      <w:r>
                        <w:rPr>
                          <w:sz w:val="16"/>
                          <w:szCs w:val="16"/>
                        </w:rPr>
                        <w:t>(</w:t>
                      </w:r>
                      <w:r w:rsidR="009B40F6">
                        <w:rPr>
                          <w:sz w:val="16"/>
                          <w:szCs w:val="16"/>
                        </w:rPr>
                        <w:t>I</w:t>
                      </w:r>
                      <w:r>
                        <w:rPr>
                          <w:sz w:val="16"/>
                          <w:szCs w:val="16"/>
                        </w:rPr>
                        <w:t>)</w:t>
                      </w:r>
                    </w:p>
                  </w:txbxContent>
                </v:textbox>
              </v:shape>
            </w:pict>
          </mc:Fallback>
        </mc:AlternateContent>
      </w:r>
      <w:r w:rsidR="009B1313">
        <w:rPr>
          <w:b/>
          <w:sz w:val="20"/>
          <w:u w:val="single"/>
        </w:rPr>
        <w:t>AVAILABLE</w:t>
      </w:r>
      <w:r w:rsidR="009B1313">
        <w:rPr>
          <w:b/>
          <w:sz w:val="20"/>
        </w:rPr>
        <w:t>:</w:t>
      </w:r>
    </w:p>
    <w:p w:rsidR="009B1313" w:rsidRDefault="009B1313">
      <w:pPr>
        <w:widowControl w:val="0"/>
        <w:rPr>
          <w:sz w:val="20"/>
        </w:rPr>
      </w:pPr>
      <w:proofErr w:type="gramStart"/>
      <w:r>
        <w:rPr>
          <w:sz w:val="20"/>
        </w:rPr>
        <w:t>To Residential Customers, in all territory served by the Company under the Tariff of which this Rate Schedule is a part.</w:t>
      </w:r>
      <w:proofErr w:type="gramEnd"/>
      <w:r>
        <w:rPr>
          <w:sz w:val="20"/>
        </w:rPr>
        <w:t xml:space="preserve">  Seasonal or temporary Discontinuance of Service is allowed subject to Special Provision 1 of this Rate Schedule.  The </w:t>
      </w:r>
      <w:proofErr w:type="gramStart"/>
      <w:r>
        <w:rPr>
          <w:sz w:val="20"/>
        </w:rPr>
        <w:t>installation of Distribution Facilities, when required before service can be provided to equipment served under this Rate Schedule, are</w:t>
      </w:r>
      <w:proofErr w:type="gramEnd"/>
      <w:r>
        <w:rPr>
          <w:sz w:val="20"/>
        </w:rPr>
        <w:t xml:space="preserve"> subject to the provisions of</w:t>
      </w:r>
      <w:r>
        <w:rPr>
          <w:rFonts w:ascii="Arial Bold" w:hAnsi="Arial Bold"/>
          <w:sz w:val="20"/>
        </w:rPr>
        <w:t xml:space="preserve"> </w:t>
      </w:r>
      <w:r>
        <w:rPr>
          <w:rFonts w:ascii="Arial Bold" w:hAnsi="Arial Bold"/>
          <w:b/>
          <w:smallCaps/>
          <w:sz w:val="20"/>
        </w:rPr>
        <w:t>Schedule E</w:t>
      </w:r>
      <w:r>
        <w:rPr>
          <w:rFonts w:cs="Arial"/>
          <w:bCs/>
          <w:smallCaps/>
          <w:sz w:val="20"/>
        </w:rPr>
        <w:t>.</w:t>
      </w:r>
    </w:p>
    <w:p w:rsidR="009B1313" w:rsidRDefault="009B1313">
      <w:pPr>
        <w:widowControl w:val="0"/>
        <w:rPr>
          <w:sz w:val="20"/>
          <w:u w:val="single"/>
        </w:rPr>
      </w:pPr>
    </w:p>
    <w:p w:rsidR="009B1313" w:rsidRDefault="009B1313">
      <w:pPr>
        <w:widowControl w:val="0"/>
        <w:rPr>
          <w:sz w:val="20"/>
        </w:rPr>
      </w:pPr>
      <w:r>
        <w:rPr>
          <w:b/>
          <w:sz w:val="20"/>
          <w:u w:val="single"/>
        </w:rPr>
        <w:t>SERVICE DESCRIPTION</w:t>
      </w:r>
      <w:r>
        <w:rPr>
          <w:b/>
          <w:sz w:val="20"/>
        </w:rPr>
        <w:t>:</w:t>
      </w:r>
    </w:p>
    <w:p w:rsidR="009B1313" w:rsidRDefault="009B1313">
      <w:pPr>
        <w:pStyle w:val="BodyText"/>
      </w:pPr>
      <w:r>
        <w:t>Service under this Rate Schedule is Firm Sales Service to gas-fired equipment used in Residential dwellings that provide complete family living facilities in which the occupant normally cooks, eats, sleeps, and carries on the household operations incident to Domestic life, for at least one of the following purposes:</w:t>
      </w:r>
    </w:p>
    <w:p w:rsidR="00C25B01" w:rsidRDefault="00C25B01">
      <w:pPr>
        <w:pStyle w:val="BodyText"/>
      </w:pPr>
    </w:p>
    <w:p w:rsidR="009B1313" w:rsidRDefault="009B1313" w:rsidP="00C25B01">
      <w:pPr>
        <w:widowControl w:val="0"/>
        <w:numPr>
          <w:ilvl w:val="0"/>
          <w:numId w:val="1"/>
        </w:numPr>
        <w:tabs>
          <w:tab w:val="clear" w:pos="1080"/>
          <w:tab w:val="left" w:pos="-1440"/>
        </w:tabs>
        <w:ind w:left="720"/>
        <w:rPr>
          <w:sz w:val="20"/>
        </w:rPr>
      </w:pPr>
      <w:r>
        <w:rPr>
          <w:sz w:val="20"/>
        </w:rPr>
        <w:t>Operation of ducted forced air Natural Gas space heating equipment that is the primary source for space heating requirements;</w:t>
      </w:r>
    </w:p>
    <w:p w:rsidR="00DF2A3A" w:rsidRDefault="00DF2A3A" w:rsidP="00C25B01">
      <w:pPr>
        <w:widowControl w:val="0"/>
        <w:numPr>
          <w:ilvl w:val="0"/>
          <w:numId w:val="1"/>
        </w:numPr>
        <w:tabs>
          <w:tab w:val="clear" w:pos="1080"/>
          <w:tab w:val="left" w:pos="-1440"/>
        </w:tabs>
        <w:ind w:left="720"/>
        <w:rPr>
          <w:sz w:val="20"/>
        </w:rPr>
      </w:pPr>
      <w:r>
        <w:rPr>
          <w:sz w:val="20"/>
        </w:rPr>
        <w:t>Operation of a gas-fired hearth product or wall heater as the primary source for space heating requirements where the hearth or wall heater has a verified nameplate rating of 20,000 BTUs or greater, and is installed in a primary residence defined as a dwelling that is occupied year-round, and where that dwelling is 1</w:t>
      </w:r>
      <w:r w:rsidR="008F22CD">
        <w:rPr>
          <w:sz w:val="20"/>
        </w:rPr>
        <w:t>,</w:t>
      </w:r>
      <w:r>
        <w:rPr>
          <w:sz w:val="20"/>
        </w:rPr>
        <w:t>500 square feet or less; and, or</w:t>
      </w:r>
    </w:p>
    <w:p w:rsidR="009B1313" w:rsidRDefault="009B1313" w:rsidP="00C25B01">
      <w:pPr>
        <w:widowControl w:val="0"/>
        <w:numPr>
          <w:ilvl w:val="0"/>
          <w:numId w:val="1"/>
        </w:numPr>
        <w:tabs>
          <w:tab w:val="clear" w:pos="1080"/>
          <w:tab w:val="left" w:pos="-1440"/>
          <w:tab w:val="left" w:pos="-720"/>
          <w:tab w:val="left" w:pos="0"/>
        </w:tabs>
        <w:ind w:left="720"/>
        <w:rPr>
          <w:sz w:val="20"/>
        </w:rPr>
      </w:pPr>
      <w:r>
        <w:rPr>
          <w:sz w:val="20"/>
        </w:rPr>
        <w:t>Operation of fully automatic water heating equipment for primary water heating requirements.</w:t>
      </w:r>
    </w:p>
    <w:p w:rsidR="009B1313" w:rsidRDefault="009B1313">
      <w:pPr>
        <w:widowControl w:val="0"/>
        <w:rPr>
          <w:sz w:val="20"/>
        </w:rPr>
      </w:pPr>
    </w:p>
    <w:p w:rsidR="009B1313" w:rsidRDefault="009B1313">
      <w:pPr>
        <w:pStyle w:val="BodyText"/>
      </w:pPr>
      <w:r>
        <w:t>Service under this Rate Schedule includes the use of gas for equipment installed in addition to (a) and (b).</w:t>
      </w:r>
    </w:p>
    <w:p w:rsidR="009B1313" w:rsidRDefault="009B1313">
      <w:pPr>
        <w:widowControl w:val="0"/>
        <w:rPr>
          <w:sz w:val="20"/>
        </w:rPr>
      </w:pPr>
    </w:p>
    <w:p w:rsidR="009B1313" w:rsidRDefault="009B1313">
      <w:pPr>
        <w:widowControl w:val="0"/>
        <w:rPr>
          <w:sz w:val="20"/>
        </w:rPr>
      </w:pPr>
      <w:r>
        <w:rPr>
          <w:b/>
          <w:sz w:val="20"/>
          <w:u w:val="single"/>
        </w:rPr>
        <w:t>MONTHLY RATE</w:t>
      </w:r>
      <w:r>
        <w:rPr>
          <w:b/>
          <w:sz w:val="20"/>
        </w:rPr>
        <w:t>:</w:t>
      </w:r>
      <w:r>
        <w:rPr>
          <w:b/>
          <w:sz w:val="20"/>
        </w:rPr>
        <w:tab/>
      </w:r>
      <w:r>
        <w:rPr>
          <w:sz w:val="20"/>
        </w:rPr>
        <w:t xml:space="preserve">Effective:  </w:t>
      </w:r>
      <w:r w:rsidR="007D502B">
        <w:rPr>
          <w:sz w:val="20"/>
        </w:rPr>
        <w:t>November</w:t>
      </w:r>
      <w:r w:rsidR="000A14F1">
        <w:rPr>
          <w:sz w:val="20"/>
        </w:rPr>
        <w:t xml:space="preserve"> 1, 20</w:t>
      </w:r>
      <w:r w:rsidR="00AB3883">
        <w:rPr>
          <w:sz w:val="20"/>
        </w:rPr>
        <w:t>1</w:t>
      </w:r>
      <w:r w:rsidR="0055489C">
        <w:rPr>
          <w:sz w:val="20"/>
        </w:rPr>
        <w:t>5</w:t>
      </w:r>
    </w:p>
    <w:p w:rsidR="009B1313" w:rsidRDefault="009B1313">
      <w:pPr>
        <w:widowControl w:val="0"/>
        <w:rPr>
          <w:sz w:val="20"/>
        </w:rPr>
      </w:pPr>
    </w:p>
    <w:p w:rsidR="009B1313" w:rsidRDefault="009B1313">
      <w:pPr>
        <w:widowControl w:val="0"/>
        <w:rPr>
          <w:sz w:val="20"/>
        </w:rPr>
      </w:pPr>
      <w:r>
        <w:rPr>
          <w:sz w:val="20"/>
        </w:rPr>
        <w:t xml:space="preserve">The rates shown in this Rate Schedule may not always reflect actual billing rates.  See </w:t>
      </w:r>
      <w:r>
        <w:rPr>
          <w:rFonts w:ascii="Arial Bold" w:hAnsi="Arial Bold"/>
          <w:b/>
          <w:smallCaps/>
          <w:sz w:val="20"/>
        </w:rPr>
        <w:t>Schedule 200</w:t>
      </w:r>
      <w:r>
        <w:rPr>
          <w:sz w:val="20"/>
        </w:rPr>
        <w:t xml:space="preserve"> for a list of applicable adjustments.  Rates are subject to changes for purchased gas costs and technical rate adjustments.</w:t>
      </w:r>
    </w:p>
    <w:p w:rsidR="00D66F28" w:rsidRDefault="0055489C">
      <w:pPr>
        <w:widowControl w:val="0"/>
        <w:rPr>
          <w:rFonts w:ascii="Times New Roman" w:hAnsi="Times New Roman"/>
          <w:sz w:val="20"/>
        </w:rPr>
      </w:pPr>
      <w:r>
        <w:fldChar w:fldCharType="begin" w:fldLock="1"/>
      </w:r>
      <w:r>
        <w:instrText xml:space="preserve"> LINK </w:instrText>
      </w:r>
      <w:r w:rsidR="00D66F28">
        <w:instrText xml:space="preserve">Excel.Sheet.12 "\\\\opsnt01.gasco.com\\GROUPS\\Regulatory_Affairs\\PGA - WASHINGTON\\2015\\WA Tariff Sheet Tables_Sept.xlsx" 102.1!WA_102.1 </w:instrText>
      </w:r>
      <w:r>
        <w:instrText xml:space="preserve">\f 4 \h \* MERGEFORMAT </w:instrText>
      </w:r>
      <w:r>
        <w:fldChar w:fldCharType="separate"/>
      </w:r>
      <w:bookmarkStart w:id="0" w:name="RANGE!A2:G4"/>
    </w:p>
    <w:tbl>
      <w:tblPr>
        <w:tblW w:w="9540" w:type="dxa"/>
        <w:tblInd w:w="108" w:type="dxa"/>
        <w:tblLook w:val="04A0" w:firstRow="1" w:lastRow="0" w:firstColumn="1" w:lastColumn="0" w:noHBand="0" w:noVBand="1"/>
      </w:tblPr>
      <w:tblGrid>
        <w:gridCol w:w="2970"/>
        <w:gridCol w:w="990"/>
        <w:gridCol w:w="1350"/>
        <w:gridCol w:w="1260"/>
        <w:gridCol w:w="1260"/>
        <w:gridCol w:w="990"/>
        <w:gridCol w:w="720"/>
      </w:tblGrid>
      <w:tr w:rsidR="00D66F28" w:rsidRPr="00D66F28" w:rsidTr="00D66F28">
        <w:trPr>
          <w:divId w:val="49312113"/>
          <w:trHeight w:val="735"/>
        </w:trPr>
        <w:tc>
          <w:tcPr>
            <w:tcW w:w="29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66F28" w:rsidRPr="00D66F28" w:rsidRDefault="00D66F28" w:rsidP="00D66F28">
            <w:pPr>
              <w:rPr>
                <w:rFonts w:cs="Arial"/>
                <w:color w:val="000000"/>
                <w:sz w:val="18"/>
                <w:szCs w:val="18"/>
              </w:rPr>
            </w:pPr>
            <w:r w:rsidRPr="00D66F28">
              <w:rPr>
                <w:rFonts w:cs="Arial"/>
                <w:color w:val="000000"/>
                <w:sz w:val="18"/>
                <w:szCs w:val="18"/>
              </w:rPr>
              <w:t> </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D66F28" w:rsidRPr="00D66F28" w:rsidRDefault="00D66F28" w:rsidP="00D66F28">
            <w:pPr>
              <w:jc w:val="center"/>
              <w:rPr>
                <w:rFonts w:cs="Arial"/>
                <w:color w:val="000000"/>
                <w:sz w:val="18"/>
                <w:szCs w:val="18"/>
              </w:rPr>
            </w:pPr>
            <w:r w:rsidRPr="00D66F28">
              <w:rPr>
                <w:rFonts w:cs="Arial"/>
                <w:color w:val="000000"/>
                <w:sz w:val="18"/>
                <w:szCs w:val="18"/>
              </w:rPr>
              <w:t>Base Rate</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D66F28" w:rsidRPr="00D66F28" w:rsidRDefault="00D66F28" w:rsidP="00D66F28">
            <w:pPr>
              <w:jc w:val="center"/>
              <w:rPr>
                <w:rFonts w:cs="Arial"/>
                <w:color w:val="000000"/>
                <w:sz w:val="18"/>
                <w:szCs w:val="18"/>
              </w:rPr>
            </w:pPr>
            <w:r w:rsidRPr="00D66F28">
              <w:rPr>
                <w:rFonts w:cs="Arial"/>
                <w:color w:val="000000"/>
                <w:sz w:val="18"/>
                <w:szCs w:val="18"/>
              </w:rPr>
              <w:t>Pipeline Capacity Rate</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D66F28" w:rsidRPr="00D66F28" w:rsidRDefault="00D66F28" w:rsidP="00D66F28">
            <w:pPr>
              <w:jc w:val="center"/>
              <w:rPr>
                <w:rFonts w:cs="Arial"/>
                <w:color w:val="000000"/>
                <w:sz w:val="18"/>
                <w:szCs w:val="18"/>
              </w:rPr>
            </w:pPr>
            <w:r w:rsidRPr="00D66F28">
              <w:rPr>
                <w:rFonts w:cs="Arial"/>
                <w:color w:val="000000"/>
                <w:sz w:val="18"/>
                <w:szCs w:val="18"/>
              </w:rPr>
              <w:t>Commodity Rate</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D66F28" w:rsidRPr="00D66F28" w:rsidRDefault="00D66F28" w:rsidP="00D66F28">
            <w:pPr>
              <w:jc w:val="center"/>
              <w:rPr>
                <w:rFonts w:cs="Arial"/>
                <w:color w:val="000000"/>
                <w:sz w:val="18"/>
                <w:szCs w:val="18"/>
              </w:rPr>
            </w:pPr>
            <w:r w:rsidRPr="00D66F28">
              <w:rPr>
                <w:rFonts w:cs="Arial"/>
                <w:color w:val="000000"/>
                <w:sz w:val="18"/>
                <w:szCs w:val="18"/>
              </w:rPr>
              <w:t>Temporary Adjustment</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D66F28" w:rsidRPr="00D66F28" w:rsidRDefault="00D66F28" w:rsidP="00D66F28">
            <w:pPr>
              <w:jc w:val="center"/>
              <w:rPr>
                <w:rFonts w:cs="Arial"/>
                <w:color w:val="000000"/>
                <w:sz w:val="18"/>
                <w:szCs w:val="18"/>
              </w:rPr>
            </w:pPr>
            <w:r w:rsidRPr="00D66F28">
              <w:rPr>
                <w:rFonts w:cs="Arial"/>
                <w:color w:val="000000"/>
                <w:sz w:val="18"/>
                <w:szCs w:val="18"/>
              </w:rPr>
              <w:t>Billing Rate</w:t>
            </w:r>
          </w:p>
        </w:tc>
        <w:tc>
          <w:tcPr>
            <w:tcW w:w="720" w:type="dxa"/>
            <w:tcBorders>
              <w:top w:val="nil"/>
              <w:left w:val="nil"/>
              <w:bottom w:val="nil"/>
              <w:right w:val="nil"/>
            </w:tcBorders>
            <w:shd w:val="clear" w:color="auto" w:fill="auto"/>
            <w:noWrap/>
            <w:vAlign w:val="bottom"/>
            <w:hideMark/>
          </w:tcPr>
          <w:p w:rsidR="00D66F28" w:rsidRPr="00D66F28" w:rsidRDefault="00D66F28" w:rsidP="00D66F28">
            <w:pPr>
              <w:jc w:val="center"/>
              <w:rPr>
                <w:rFonts w:cs="Arial"/>
                <w:color w:val="000000"/>
                <w:sz w:val="18"/>
                <w:szCs w:val="18"/>
              </w:rPr>
            </w:pPr>
          </w:p>
        </w:tc>
      </w:tr>
      <w:tr w:rsidR="00D66F28" w:rsidRPr="00D66F28" w:rsidTr="00D66F28">
        <w:trPr>
          <w:divId w:val="49312113"/>
          <w:trHeight w:val="300"/>
        </w:trPr>
        <w:tc>
          <w:tcPr>
            <w:tcW w:w="2970" w:type="dxa"/>
            <w:tcBorders>
              <w:top w:val="nil"/>
              <w:left w:val="single" w:sz="8" w:space="0" w:color="auto"/>
              <w:bottom w:val="single" w:sz="8" w:space="0" w:color="auto"/>
              <w:right w:val="single" w:sz="8" w:space="0" w:color="auto"/>
            </w:tcBorders>
            <w:shd w:val="clear" w:color="auto" w:fill="auto"/>
            <w:vAlign w:val="center"/>
            <w:hideMark/>
          </w:tcPr>
          <w:p w:rsidR="00D66F28" w:rsidRPr="00D66F28" w:rsidRDefault="00D66F28" w:rsidP="00D66F28">
            <w:pPr>
              <w:rPr>
                <w:rFonts w:cs="Arial"/>
                <w:color w:val="000000"/>
                <w:sz w:val="18"/>
                <w:szCs w:val="18"/>
              </w:rPr>
            </w:pPr>
            <w:r w:rsidRPr="00D66F28">
              <w:rPr>
                <w:rFonts w:cs="Arial"/>
                <w:color w:val="000000"/>
                <w:sz w:val="18"/>
                <w:szCs w:val="18"/>
              </w:rPr>
              <w:t>Customer Charge:</w:t>
            </w:r>
          </w:p>
        </w:tc>
        <w:tc>
          <w:tcPr>
            <w:tcW w:w="990" w:type="dxa"/>
            <w:tcBorders>
              <w:top w:val="nil"/>
              <w:left w:val="nil"/>
              <w:bottom w:val="single" w:sz="8" w:space="0" w:color="auto"/>
              <w:right w:val="single" w:sz="8" w:space="0" w:color="auto"/>
            </w:tcBorders>
            <w:shd w:val="clear" w:color="auto" w:fill="auto"/>
            <w:vAlign w:val="center"/>
            <w:hideMark/>
          </w:tcPr>
          <w:p w:rsidR="00D66F28" w:rsidRPr="00D66F28" w:rsidRDefault="00D66F28" w:rsidP="00D66F28">
            <w:pPr>
              <w:rPr>
                <w:rFonts w:cs="Arial"/>
                <w:color w:val="000000"/>
                <w:sz w:val="18"/>
                <w:szCs w:val="18"/>
              </w:rPr>
            </w:pPr>
            <w:r w:rsidRPr="00D66F28">
              <w:rPr>
                <w:rFonts w:cs="Arial"/>
                <w:color w:val="000000"/>
                <w:sz w:val="18"/>
                <w:szCs w:val="18"/>
              </w:rPr>
              <w:t xml:space="preserve">$7.00 </w:t>
            </w:r>
          </w:p>
        </w:tc>
        <w:tc>
          <w:tcPr>
            <w:tcW w:w="1350" w:type="dxa"/>
            <w:tcBorders>
              <w:top w:val="nil"/>
              <w:left w:val="nil"/>
              <w:bottom w:val="single" w:sz="8" w:space="0" w:color="auto"/>
              <w:right w:val="single" w:sz="8" w:space="0" w:color="auto"/>
            </w:tcBorders>
            <w:shd w:val="clear" w:color="auto" w:fill="auto"/>
            <w:vAlign w:val="center"/>
            <w:hideMark/>
          </w:tcPr>
          <w:p w:rsidR="00D66F28" w:rsidRPr="00D66F28" w:rsidRDefault="00D66F28" w:rsidP="00D66F28">
            <w:pPr>
              <w:rPr>
                <w:rFonts w:cs="Arial"/>
                <w:color w:val="000000"/>
                <w:sz w:val="18"/>
                <w:szCs w:val="18"/>
              </w:rPr>
            </w:pPr>
            <w:r w:rsidRPr="00D66F28">
              <w:rPr>
                <w:rFonts w:cs="Arial"/>
                <w:color w:val="000000"/>
                <w:sz w:val="18"/>
                <w:szCs w:val="18"/>
              </w:rPr>
              <w:t>---</w:t>
            </w:r>
          </w:p>
        </w:tc>
        <w:tc>
          <w:tcPr>
            <w:tcW w:w="1260" w:type="dxa"/>
            <w:tcBorders>
              <w:top w:val="nil"/>
              <w:left w:val="nil"/>
              <w:bottom w:val="single" w:sz="8" w:space="0" w:color="auto"/>
              <w:right w:val="single" w:sz="8" w:space="0" w:color="auto"/>
            </w:tcBorders>
            <w:shd w:val="clear" w:color="auto" w:fill="auto"/>
            <w:vAlign w:val="center"/>
            <w:hideMark/>
          </w:tcPr>
          <w:p w:rsidR="00D66F28" w:rsidRPr="00D66F28" w:rsidRDefault="00D66F28" w:rsidP="00D66F28">
            <w:pPr>
              <w:rPr>
                <w:rFonts w:cs="Arial"/>
                <w:color w:val="000000"/>
                <w:sz w:val="18"/>
                <w:szCs w:val="18"/>
              </w:rPr>
            </w:pPr>
            <w:r w:rsidRPr="00D66F28">
              <w:rPr>
                <w:rFonts w:cs="Arial"/>
                <w:color w:val="000000"/>
                <w:sz w:val="18"/>
                <w:szCs w:val="18"/>
              </w:rPr>
              <w:t>---</w:t>
            </w:r>
          </w:p>
        </w:tc>
        <w:tc>
          <w:tcPr>
            <w:tcW w:w="1260" w:type="dxa"/>
            <w:tcBorders>
              <w:top w:val="nil"/>
              <w:left w:val="nil"/>
              <w:bottom w:val="single" w:sz="8" w:space="0" w:color="auto"/>
              <w:right w:val="single" w:sz="8" w:space="0" w:color="auto"/>
            </w:tcBorders>
            <w:shd w:val="clear" w:color="auto" w:fill="auto"/>
            <w:vAlign w:val="center"/>
            <w:hideMark/>
          </w:tcPr>
          <w:p w:rsidR="00D66F28" w:rsidRPr="00D66F28" w:rsidRDefault="00D66F28" w:rsidP="00D66F28">
            <w:pPr>
              <w:rPr>
                <w:rFonts w:cs="Arial"/>
                <w:color w:val="000000"/>
                <w:sz w:val="18"/>
                <w:szCs w:val="18"/>
              </w:rPr>
            </w:pPr>
            <w:r w:rsidRPr="00D66F28">
              <w:rPr>
                <w:rFonts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hideMark/>
          </w:tcPr>
          <w:p w:rsidR="00D66F28" w:rsidRPr="00D66F28" w:rsidRDefault="00D66F28" w:rsidP="00D66F28">
            <w:pPr>
              <w:rPr>
                <w:rFonts w:cs="Arial"/>
                <w:b/>
                <w:bCs/>
                <w:color w:val="000000"/>
                <w:sz w:val="18"/>
                <w:szCs w:val="18"/>
              </w:rPr>
            </w:pPr>
            <w:r w:rsidRPr="00D66F28">
              <w:rPr>
                <w:rFonts w:cs="Arial"/>
                <w:b/>
                <w:bCs/>
                <w:color w:val="000000"/>
                <w:sz w:val="18"/>
                <w:szCs w:val="18"/>
              </w:rPr>
              <w:t xml:space="preserve">$7.00 </w:t>
            </w:r>
          </w:p>
        </w:tc>
        <w:tc>
          <w:tcPr>
            <w:tcW w:w="720" w:type="dxa"/>
            <w:tcBorders>
              <w:top w:val="nil"/>
              <w:left w:val="nil"/>
              <w:bottom w:val="nil"/>
              <w:right w:val="nil"/>
            </w:tcBorders>
            <w:shd w:val="clear" w:color="auto" w:fill="auto"/>
            <w:noWrap/>
            <w:vAlign w:val="bottom"/>
            <w:hideMark/>
          </w:tcPr>
          <w:p w:rsidR="00D66F28" w:rsidRPr="00D66F28" w:rsidRDefault="00D66F28" w:rsidP="00D66F28">
            <w:pPr>
              <w:jc w:val="center"/>
              <w:rPr>
                <w:rFonts w:cs="Arial"/>
                <w:color w:val="000000"/>
                <w:sz w:val="18"/>
                <w:szCs w:val="18"/>
              </w:rPr>
            </w:pPr>
          </w:p>
        </w:tc>
      </w:tr>
      <w:tr w:rsidR="00D66F28" w:rsidRPr="00D66F28" w:rsidTr="00B40C6C">
        <w:trPr>
          <w:divId w:val="49312113"/>
          <w:trHeight w:val="300"/>
        </w:trPr>
        <w:tc>
          <w:tcPr>
            <w:tcW w:w="2970" w:type="dxa"/>
            <w:tcBorders>
              <w:top w:val="nil"/>
              <w:left w:val="single" w:sz="8" w:space="0" w:color="auto"/>
              <w:bottom w:val="single" w:sz="8" w:space="0" w:color="auto"/>
              <w:right w:val="single" w:sz="8" w:space="0" w:color="auto"/>
            </w:tcBorders>
            <w:shd w:val="clear" w:color="auto" w:fill="auto"/>
            <w:vAlign w:val="center"/>
            <w:hideMark/>
          </w:tcPr>
          <w:p w:rsidR="00D66F28" w:rsidRPr="00D66F28" w:rsidRDefault="00D66F28" w:rsidP="00D66F28">
            <w:pPr>
              <w:rPr>
                <w:rFonts w:cs="Arial"/>
                <w:color w:val="000000"/>
                <w:sz w:val="18"/>
                <w:szCs w:val="18"/>
              </w:rPr>
            </w:pPr>
            <w:r w:rsidRPr="00D66F28">
              <w:rPr>
                <w:rFonts w:cs="Arial"/>
                <w:color w:val="000000"/>
                <w:sz w:val="18"/>
                <w:szCs w:val="18"/>
              </w:rPr>
              <w:t xml:space="preserve">Volumetric Charge (per </w:t>
            </w:r>
            <w:proofErr w:type="spellStart"/>
            <w:r w:rsidRPr="00D66F28">
              <w:rPr>
                <w:rFonts w:cs="Arial"/>
                <w:color w:val="000000"/>
                <w:sz w:val="18"/>
                <w:szCs w:val="18"/>
              </w:rPr>
              <w:t>therm</w:t>
            </w:r>
            <w:proofErr w:type="spellEnd"/>
            <w:r w:rsidRPr="00D66F28">
              <w:rPr>
                <w:rFonts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hideMark/>
          </w:tcPr>
          <w:p w:rsidR="00D66F28" w:rsidRPr="00D66F28" w:rsidRDefault="00D66F28" w:rsidP="00D66F28">
            <w:pPr>
              <w:rPr>
                <w:rFonts w:cs="Arial"/>
                <w:color w:val="000000"/>
                <w:sz w:val="18"/>
                <w:szCs w:val="18"/>
              </w:rPr>
            </w:pPr>
            <w:r w:rsidRPr="00D66F28">
              <w:rPr>
                <w:rFonts w:cs="Arial"/>
                <w:color w:val="000000"/>
                <w:sz w:val="18"/>
                <w:szCs w:val="18"/>
              </w:rPr>
              <w:t xml:space="preserve">$0.41454 </w:t>
            </w:r>
          </w:p>
        </w:tc>
        <w:tc>
          <w:tcPr>
            <w:tcW w:w="1350" w:type="dxa"/>
            <w:tcBorders>
              <w:top w:val="nil"/>
              <w:left w:val="nil"/>
              <w:bottom w:val="single" w:sz="8" w:space="0" w:color="auto"/>
              <w:right w:val="single" w:sz="8" w:space="0" w:color="auto"/>
            </w:tcBorders>
            <w:shd w:val="clear" w:color="auto" w:fill="auto"/>
            <w:vAlign w:val="center"/>
            <w:hideMark/>
          </w:tcPr>
          <w:p w:rsidR="00D66F28" w:rsidRPr="00D66F28" w:rsidRDefault="00D66F28" w:rsidP="00D66F28">
            <w:pPr>
              <w:rPr>
                <w:rFonts w:cs="Arial"/>
                <w:color w:val="000000"/>
                <w:sz w:val="18"/>
                <w:szCs w:val="18"/>
              </w:rPr>
            </w:pPr>
            <w:r w:rsidRPr="00D66F28">
              <w:rPr>
                <w:rFonts w:cs="Arial"/>
                <w:color w:val="000000"/>
                <w:sz w:val="18"/>
                <w:szCs w:val="18"/>
              </w:rPr>
              <w:t xml:space="preserve">$0.12112 </w:t>
            </w:r>
          </w:p>
        </w:tc>
        <w:tc>
          <w:tcPr>
            <w:tcW w:w="1260" w:type="dxa"/>
            <w:tcBorders>
              <w:top w:val="nil"/>
              <w:left w:val="nil"/>
              <w:bottom w:val="single" w:sz="8" w:space="0" w:color="auto"/>
              <w:right w:val="single" w:sz="8" w:space="0" w:color="auto"/>
            </w:tcBorders>
            <w:shd w:val="clear" w:color="auto" w:fill="auto"/>
            <w:vAlign w:val="center"/>
            <w:hideMark/>
          </w:tcPr>
          <w:p w:rsidR="00D66F28" w:rsidRPr="00D66F28" w:rsidRDefault="00D66F28" w:rsidP="00D66F28">
            <w:pPr>
              <w:rPr>
                <w:rFonts w:cs="Arial"/>
                <w:color w:val="000000"/>
                <w:sz w:val="18"/>
                <w:szCs w:val="18"/>
              </w:rPr>
            </w:pPr>
            <w:r w:rsidRPr="00D66F28">
              <w:rPr>
                <w:rFonts w:cs="Arial"/>
                <w:color w:val="000000"/>
                <w:sz w:val="18"/>
                <w:szCs w:val="18"/>
              </w:rPr>
              <w:t xml:space="preserve">$0.32160 </w:t>
            </w:r>
          </w:p>
        </w:tc>
        <w:tc>
          <w:tcPr>
            <w:tcW w:w="1260" w:type="dxa"/>
            <w:tcBorders>
              <w:top w:val="nil"/>
              <w:left w:val="nil"/>
              <w:bottom w:val="single" w:sz="8" w:space="0" w:color="auto"/>
              <w:right w:val="single" w:sz="8" w:space="0" w:color="auto"/>
            </w:tcBorders>
            <w:shd w:val="clear" w:color="auto" w:fill="auto"/>
            <w:vAlign w:val="center"/>
            <w:hideMark/>
          </w:tcPr>
          <w:p w:rsidR="00D66F28" w:rsidRPr="00D66F28" w:rsidRDefault="00D66F28" w:rsidP="00D66F28">
            <w:pPr>
              <w:rPr>
                <w:rFonts w:cs="Arial"/>
                <w:color w:val="000000"/>
                <w:sz w:val="18"/>
                <w:szCs w:val="18"/>
              </w:rPr>
            </w:pPr>
            <w:r w:rsidRPr="00D66F28">
              <w:rPr>
                <w:rFonts w:cs="Arial"/>
                <w:color w:val="000000"/>
                <w:sz w:val="18"/>
                <w:szCs w:val="18"/>
              </w:rPr>
              <w:t>($0.00993)</w:t>
            </w:r>
          </w:p>
        </w:tc>
        <w:tc>
          <w:tcPr>
            <w:tcW w:w="990" w:type="dxa"/>
            <w:tcBorders>
              <w:top w:val="nil"/>
              <w:left w:val="nil"/>
              <w:bottom w:val="single" w:sz="8" w:space="0" w:color="auto"/>
              <w:right w:val="single" w:sz="8" w:space="0" w:color="auto"/>
            </w:tcBorders>
            <w:shd w:val="clear" w:color="auto" w:fill="auto"/>
            <w:vAlign w:val="center"/>
            <w:hideMark/>
          </w:tcPr>
          <w:p w:rsidR="00D66F28" w:rsidRPr="00D66F28" w:rsidRDefault="00D66F28" w:rsidP="00D66F28">
            <w:pPr>
              <w:rPr>
                <w:rFonts w:cs="Arial"/>
                <w:b/>
                <w:bCs/>
                <w:color w:val="000000"/>
                <w:sz w:val="18"/>
                <w:szCs w:val="18"/>
              </w:rPr>
            </w:pPr>
            <w:r w:rsidRPr="00D66F28">
              <w:rPr>
                <w:rFonts w:cs="Arial"/>
                <w:b/>
                <w:bCs/>
                <w:color w:val="000000"/>
                <w:sz w:val="18"/>
                <w:szCs w:val="18"/>
              </w:rPr>
              <w:t xml:space="preserve">$0.84733 </w:t>
            </w:r>
          </w:p>
        </w:tc>
        <w:tc>
          <w:tcPr>
            <w:tcW w:w="720" w:type="dxa"/>
            <w:tcBorders>
              <w:top w:val="nil"/>
              <w:left w:val="nil"/>
              <w:bottom w:val="nil"/>
              <w:right w:val="nil"/>
            </w:tcBorders>
            <w:shd w:val="clear" w:color="auto" w:fill="auto"/>
            <w:noWrap/>
            <w:vAlign w:val="center"/>
            <w:hideMark/>
          </w:tcPr>
          <w:p w:rsidR="00D66F28" w:rsidRPr="00D66F28" w:rsidRDefault="00B40C6C" w:rsidP="00B40C6C">
            <w:pPr>
              <w:jc w:val="center"/>
              <w:rPr>
                <w:rFonts w:cs="Arial"/>
                <w:color w:val="000000"/>
                <w:sz w:val="18"/>
                <w:szCs w:val="18"/>
              </w:rPr>
            </w:pPr>
            <w:r>
              <w:rPr>
                <w:rFonts w:cs="Arial"/>
                <w:color w:val="000000"/>
                <w:sz w:val="18"/>
                <w:szCs w:val="18"/>
              </w:rPr>
              <w:t>(R)</w:t>
            </w:r>
          </w:p>
        </w:tc>
      </w:tr>
      <w:bookmarkEnd w:id="0"/>
    </w:tbl>
    <w:p w:rsidR="009B1313" w:rsidRDefault="0055489C">
      <w:pPr>
        <w:widowControl w:val="0"/>
        <w:rPr>
          <w:sz w:val="20"/>
        </w:rPr>
      </w:pPr>
      <w:r>
        <w:rPr>
          <w:sz w:val="20"/>
        </w:rPr>
        <w:fldChar w:fldCharType="end"/>
      </w:r>
    </w:p>
    <w:p w:rsidR="009B1313" w:rsidRDefault="009B1313">
      <w:pPr>
        <w:widowControl w:val="0"/>
        <w:rPr>
          <w:sz w:val="18"/>
        </w:rPr>
      </w:pPr>
    </w:p>
    <w:p w:rsidR="009B1313" w:rsidRDefault="009B1313">
      <w:pPr>
        <w:widowControl w:val="0"/>
        <w:rPr>
          <w:sz w:val="18"/>
        </w:rPr>
      </w:pPr>
      <w:r>
        <w:rPr>
          <w:sz w:val="18"/>
        </w:rPr>
        <w:t>Minimum Monthly Bill:  Customer Charge</w:t>
      </w:r>
      <w:r w:rsidR="003B6548">
        <w:rPr>
          <w:sz w:val="18"/>
        </w:rPr>
        <w:t>,</w:t>
      </w:r>
      <w:r>
        <w:rPr>
          <w:sz w:val="18"/>
        </w:rPr>
        <w:t xml:space="preserve"> plus charges under </w:t>
      </w:r>
      <w:r>
        <w:rPr>
          <w:rFonts w:ascii="Arial Bold" w:hAnsi="Arial Bold"/>
          <w:b/>
          <w:smallCaps/>
          <w:sz w:val="18"/>
        </w:rPr>
        <w:t>Schedule C</w:t>
      </w:r>
      <w:r>
        <w:rPr>
          <w:sz w:val="18"/>
        </w:rPr>
        <w:t xml:space="preserve"> and </w:t>
      </w:r>
      <w:r>
        <w:rPr>
          <w:rFonts w:ascii="Arial Bold" w:hAnsi="Arial Bold"/>
          <w:b/>
          <w:smallCaps/>
          <w:sz w:val="18"/>
        </w:rPr>
        <w:t>Schedule 10</w:t>
      </w:r>
      <w:r>
        <w:rPr>
          <w:sz w:val="18"/>
        </w:rPr>
        <w:t xml:space="preserve"> (if applicable)</w:t>
      </w:r>
    </w:p>
    <w:p w:rsidR="009B1313" w:rsidRDefault="009B1313">
      <w:pPr>
        <w:widowControl w:val="0"/>
        <w:rPr>
          <w:sz w:val="20"/>
        </w:rPr>
      </w:pPr>
    </w:p>
    <w:p w:rsidR="009B1313" w:rsidRDefault="009B1313">
      <w:pPr>
        <w:widowControl w:val="0"/>
        <w:rPr>
          <w:sz w:val="20"/>
        </w:rPr>
      </w:pPr>
    </w:p>
    <w:p w:rsidR="009B1313" w:rsidRDefault="009B1313">
      <w:pPr>
        <w:widowControl w:val="0"/>
        <w:jc w:val="center"/>
        <w:rPr>
          <w:sz w:val="20"/>
        </w:rPr>
      </w:pPr>
      <w:r>
        <w:rPr>
          <w:sz w:val="20"/>
        </w:rPr>
        <w:t>(</w:t>
      </w:r>
      <w:proofErr w:type="gramStart"/>
      <w:r>
        <w:rPr>
          <w:sz w:val="20"/>
        </w:rPr>
        <w:t>continue</w:t>
      </w:r>
      <w:proofErr w:type="gramEnd"/>
      <w:r>
        <w:rPr>
          <w:sz w:val="20"/>
        </w:rPr>
        <w:t xml:space="preserve"> to Sheet 102.2)</w:t>
      </w:r>
      <w:bookmarkStart w:id="1" w:name="_GoBack"/>
      <w:bookmarkEnd w:id="1"/>
    </w:p>
    <w:sectPr w:rsidR="009B1313" w:rsidSect="007164D0">
      <w:headerReference w:type="default" r:id="rId12"/>
      <w:footerReference w:type="default" r:id="rId13"/>
      <w:pgSz w:w="12240" w:h="15840" w:code="1"/>
      <w:pgMar w:top="720" w:right="2016" w:bottom="72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549" w:rsidRDefault="00B07549">
      <w:r>
        <w:separator/>
      </w:r>
    </w:p>
  </w:endnote>
  <w:endnote w:type="continuationSeparator" w:id="0">
    <w:p w:rsidR="00B07549" w:rsidRDefault="00B0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874" w:rsidRDefault="003F2874" w:rsidP="003F2874">
    <w:pPr>
      <w:pStyle w:val="Footer"/>
      <w:tabs>
        <w:tab w:val="clear" w:pos="4320"/>
        <w:tab w:val="left" w:pos="5580"/>
      </w:tabs>
      <w:rPr>
        <w:sz w:val="22"/>
      </w:rPr>
    </w:pPr>
    <w:r>
      <w:rPr>
        <w:sz w:val="22"/>
      </w:rPr>
      <w:t xml:space="preserve">Issued </w:t>
    </w:r>
    <w:r w:rsidR="008A0A97">
      <w:rPr>
        <w:sz w:val="22"/>
      </w:rPr>
      <w:t>September 1</w:t>
    </w:r>
    <w:r w:rsidR="00C03A1D">
      <w:rPr>
        <w:sz w:val="22"/>
      </w:rPr>
      <w:t>1</w:t>
    </w:r>
    <w:r w:rsidR="008A0A97">
      <w:rPr>
        <w:sz w:val="22"/>
      </w:rPr>
      <w:t>, 201</w:t>
    </w:r>
    <w:r w:rsidR="0055489C">
      <w:rPr>
        <w:sz w:val="22"/>
      </w:rPr>
      <w:t>5</w:t>
    </w:r>
    <w:r>
      <w:rPr>
        <w:sz w:val="22"/>
      </w:rPr>
      <w:tab/>
      <w:t>Effective with service on</w:t>
    </w:r>
  </w:p>
  <w:p w:rsidR="003F2874" w:rsidRDefault="003F2874" w:rsidP="0008453B">
    <w:pPr>
      <w:pStyle w:val="Footer"/>
      <w:tabs>
        <w:tab w:val="clear" w:pos="4320"/>
        <w:tab w:val="left" w:pos="5580"/>
      </w:tabs>
    </w:pPr>
    <w:r>
      <w:rPr>
        <w:sz w:val="22"/>
      </w:rPr>
      <w:t xml:space="preserve">NWN </w:t>
    </w:r>
    <w:r w:rsidR="0008453B">
      <w:rPr>
        <w:sz w:val="22"/>
      </w:rPr>
      <w:t xml:space="preserve">WUTC </w:t>
    </w:r>
    <w:r>
      <w:rPr>
        <w:sz w:val="22"/>
      </w:rPr>
      <w:t xml:space="preserve">Advice No. </w:t>
    </w:r>
    <w:r w:rsidR="0055489C">
      <w:rPr>
        <w:sz w:val="22"/>
      </w:rPr>
      <w:t>15-09</w:t>
    </w:r>
    <w:r>
      <w:rPr>
        <w:sz w:val="22"/>
      </w:rPr>
      <w:tab/>
      <w:t>and after</w:t>
    </w:r>
    <w:r w:rsidR="0008453B">
      <w:rPr>
        <w:sz w:val="22"/>
      </w:rPr>
      <w:t xml:space="preserve"> November</w:t>
    </w:r>
    <w:r>
      <w:rPr>
        <w:sz w:val="22"/>
      </w:rPr>
      <w:t xml:space="preserve"> 1, 201</w:t>
    </w:r>
    <w:r w:rsidR="0055489C">
      <w:rPr>
        <w:sz w:val="22"/>
      </w:rPr>
      <w:t>5</w:t>
    </w:r>
  </w:p>
  <w:p w:rsidR="003F2874" w:rsidRDefault="003F2874" w:rsidP="003F2874">
    <w:pPr>
      <w:pStyle w:val="Footer"/>
      <w:pBdr>
        <w:bottom w:val="single" w:sz="6" w:space="1" w:color="auto"/>
      </w:pBdr>
      <w:rPr>
        <w:b/>
        <w:bCs/>
        <w:i/>
        <w:smallCaps/>
        <w:sz w:val="18"/>
      </w:rPr>
    </w:pPr>
    <w:r>
      <w:rPr>
        <w:bCs/>
        <w:sz w:val="16"/>
      </w:rPr>
      <w:tab/>
    </w:r>
  </w:p>
  <w:p w:rsidR="003F2874" w:rsidRDefault="003F2874" w:rsidP="003F2874">
    <w:pPr>
      <w:pStyle w:val="Footer"/>
      <w:jc w:val="center"/>
      <w:rPr>
        <w:b/>
        <w:i/>
        <w:sz w:val="16"/>
      </w:rPr>
    </w:pPr>
    <w:r>
      <w:rPr>
        <w:b/>
        <w:i/>
        <w:sz w:val="16"/>
      </w:rPr>
      <w:t>Issued by:  NORTHWEST NATURAL GAS COMPANY</w:t>
    </w:r>
  </w:p>
  <w:p w:rsidR="003F2874" w:rsidRDefault="003F2874" w:rsidP="003F2874">
    <w:pPr>
      <w:pStyle w:val="Footer"/>
      <w:jc w:val="center"/>
      <w:rPr>
        <w:i/>
        <w:sz w:val="16"/>
      </w:rPr>
    </w:pPr>
    <w:proofErr w:type="gramStart"/>
    <w:r>
      <w:rPr>
        <w:i/>
        <w:sz w:val="16"/>
      </w:rPr>
      <w:t>d.b.a</w:t>
    </w:r>
    <w:proofErr w:type="gramEnd"/>
    <w:r>
      <w:rPr>
        <w:i/>
        <w:sz w:val="16"/>
      </w:rPr>
      <w:t>. NW Natural</w:t>
    </w:r>
  </w:p>
  <w:p w:rsidR="003F2874" w:rsidRDefault="003F2874" w:rsidP="003F2874">
    <w:pPr>
      <w:pStyle w:val="Footer"/>
      <w:jc w:val="center"/>
      <w:rPr>
        <w:i/>
        <w:sz w:val="16"/>
      </w:rPr>
    </w:pPr>
    <w:r>
      <w:rPr>
        <w:i/>
        <w:sz w:val="16"/>
      </w:rPr>
      <w:t>220 N.W. Second Avenue</w:t>
    </w:r>
  </w:p>
  <w:p w:rsidR="00CC6F4E" w:rsidRPr="003F2874" w:rsidRDefault="003F2874" w:rsidP="003F2874">
    <w:pPr>
      <w:pStyle w:val="Footer"/>
      <w:jc w:val="center"/>
    </w:pPr>
    <w:r>
      <w:rPr>
        <w:i/>
        <w:sz w:val="16"/>
      </w:rPr>
      <w:t>Portland, Oregon  97209-3991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549" w:rsidRDefault="00B07549">
      <w:r>
        <w:separator/>
      </w:r>
    </w:p>
  </w:footnote>
  <w:footnote w:type="continuationSeparator" w:id="0">
    <w:p w:rsidR="00B07549" w:rsidRDefault="00B07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F4E" w:rsidRDefault="00CC6F4E">
    <w:pPr>
      <w:pStyle w:val="Header"/>
      <w:rPr>
        <w:b/>
        <w:sz w:val="28"/>
      </w:rPr>
    </w:pPr>
    <w:r>
      <w:rPr>
        <w:b/>
        <w:sz w:val="28"/>
      </w:rPr>
      <w:t>NORTHWEST NATURAL GAS COMPANY</w:t>
    </w:r>
  </w:p>
  <w:p w:rsidR="00CC6F4E" w:rsidRDefault="00CC6F4E">
    <w:pPr>
      <w:pStyle w:val="Header"/>
      <w:tabs>
        <w:tab w:val="clear" w:pos="4320"/>
        <w:tab w:val="clear" w:pos="8640"/>
        <w:tab w:val="left" w:pos="1350"/>
        <w:tab w:val="left" w:pos="1440"/>
        <w:tab w:val="left" w:pos="2880"/>
        <w:tab w:val="right" w:pos="8820"/>
      </w:tabs>
      <w:rPr>
        <w:sz w:val="22"/>
      </w:rPr>
    </w:pPr>
    <w:r>
      <w:rPr>
        <w:sz w:val="22"/>
      </w:rPr>
      <w:t>WN U-6</w:t>
    </w:r>
    <w:r>
      <w:rPr>
        <w:sz w:val="22"/>
      </w:rPr>
      <w:tab/>
    </w:r>
    <w:r>
      <w:rPr>
        <w:sz w:val="22"/>
      </w:rPr>
      <w:tab/>
    </w:r>
    <w:r>
      <w:rPr>
        <w:sz w:val="22"/>
      </w:rPr>
      <w:tab/>
    </w:r>
    <w:r w:rsidR="001779BC">
      <w:rPr>
        <w:sz w:val="22"/>
      </w:rPr>
      <w:t>Twen</w:t>
    </w:r>
    <w:r w:rsidR="00C912C5">
      <w:rPr>
        <w:sz w:val="22"/>
      </w:rPr>
      <w:t>ty-</w:t>
    </w:r>
    <w:r w:rsidR="0055489C">
      <w:rPr>
        <w:sz w:val="22"/>
      </w:rPr>
      <w:t>Fourth</w:t>
    </w:r>
    <w:r w:rsidR="00067EDE">
      <w:rPr>
        <w:sz w:val="22"/>
      </w:rPr>
      <w:t xml:space="preserve"> </w:t>
    </w:r>
    <w:r>
      <w:rPr>
        <w:sz w:val="22"/>
      </w:rPr>
      <w:t>Revision of Sheet 102.1</w:t>
    </w:r>
  </w:p>
  <w:p w:rsidR="00CC6F4E" w:rsidRDefault="00CC6F4E">
    <w:pPr>
      <w:pStyle w:val="Header"/>
      <w:tabs>
        <w:tab w:val="clear" w:pos="4320"/>
        <w:tab w:val="clear" w:pos="8640"/>
        <w:tab w:val="right" w:pos="8820"/>
      </w:tabs>
      <w:rPr>
        <w:sz w:val="22"/>
      </w:rPr>
    </w:pPr>
    <w:r>
      <w:rPr>
        <w:sz w:val="22"/>
      </w:rPr>
      <w:t xml:space="preserve">Cancels </w:t>
    </w:r>
    <w:r w:rsidR="00C912C5">
      <w:rPr>
        <w:sz w:val="22"/>
      </w:rPr>
      <w:t>Twent</w:t>
    </w:r>
    <w:r w:rsidR="0008453B">
      <w:rPr>
        <w:sz w:val="22"/>
      </w:rPr>
      <w:t>y-</w:t>
    </w:r>
    <w:r w:rsidR="0055489C">
      <w:rPr>
        <w:sz w:val="22"/>
      </w:rPr>
      <w:t xml:space="preserve">Third </w:t>
    </w:r>
    <w:r>
      <w:rPr>
        <w:sz w:val="22"/>
      </w:rPr>
      <w:t>Revision of Sheet 102.1</w:t>
    </w:r>
  </w:p>
  <w:p w:rsidR="00CC6F4E" w:rsidRDefault="00CC6F4E">
    <w:pPr>
      <w:pStyle w:val="Header"/>
      <w:pBdr>
        <w:bottom w:val="double" w:sz="4" w:space="1" w:color="auto"/>
      </w:pBdr>
      <w:tabs>
        <w:tab w:val="clear" w:pos="4320"/>
      </w:tabs>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0E47"/>
    <w:multiLevelType w:val="singleLevel"/>
    <w:tmpl w:val="EB3864A0"/>
    <w:lvl w:ilvl="0">
      <w:start w:val="1"/>
      <w:numFmt w:val="lowerLetter"/>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548"/>
    <w:rsid w:val="00010B2B"/>
    <w:rsid w:val="00024A39"/>
    <w:rsid w:val="00067EDE"/>
    <w:rsid w:val="000744C0"/>
    <w:rsid w:val="0008453B"/>
    <w:rsid w:val="000A14F1"/>
    <w:rsid w:val="000F38D0"/>
    <w:rsid w:val="000F64CE"/>
    <w:rsid w:val="000F7DEB"/>
    <w:rsid w:val="00114F84"/>
    <w:rsid w:val="00141F9D"/>
    <w:rsid w:val="00144292"/>
    <w:rsid w:val="0015572D"/>
    <w:rsid w:val="0016787B"/>
    <w:rsid w:val="001779BC"/>
    <w:rsid w:val="001779F0"/>
    <w:rsid w:val="00192A33"/>
    <w:rsid w:val="001D2913"/>
    <w:rsid w:val="0020660A"/>
    <w:rsid w:val="00265DCB"/>
    <w:rsid w:val="002F713E"/>
    <w:rsid w:val="003260F9"/>
    <w:rsid w:val="003531A9"/>
    <w:rsid w:val="003721A1"/>
    <w:rsid w:val="003B6548"/>
    <w:rsid w:val="003B69DF"/>
    <w:rsid w:val="003C2180"/>
    <w:rsid w:val="003F2874"/>
    <w:rsid w:val="00475595"/>
    <w:rsid w:val="004906B5"/>
    <w:rsid w:val="004E3126"/>
    <w:rsid w:val="004F556B"/>
    <w:rsid w:val="00514130"/>
    <w:rsid w:val="005157B1"/>
    <w:rsid w:val="005210AF"/>
    <w:rsid w:val="0053272E"/>
    <w:rsid w:val="0055489C"/>
    <w:rsid w:val="00565C58"/>
    <w:rsid w:val="005A42B0"/>
    <w:rsid w:val="005A4A46"/>
    <w:rsid w:val="005C4C66"/>
    <w:rsid w:val="005D67EF"/>
    <w:rsid w:val="005E7552"/>
    <w:rsid w:val="00604F86"/>
    <w:rsid w:val="006179A1"/>
    <w:rsid w:val="00630C4A"/>
    <w:rsid w:val="006442A3"/>
    <w:rsid w:val="006779B8"/>
    <w:rsid w:val="006961B9"/>
    <w:rsid w:val="006E5F5C"/>
    <w:rsid w:val="006E6BB8"/>
    <w:rsid w:val="006F758A"/>
    <w:rsid w:val="007164D0"/>
    <w:rsid w:val="00720B4F"/>
    <w:rsid w:val="00721BC5"/>
    <w:rsid w:val="00765AFB"/>
    <w:rsid w:val="007663F0"/>
    <w:rsid w:val="007C7A21"/>
    <w:rsid w:val="007D46B6"/>
    <w:rsid w:val="007D502B"/>
    <w:rsid w:val="007E2FD9"/>
    <w:rsid w:val="00837AD3"/>
    <w:rsid w:val="00850DCD"/>
    <w:rsid w:val="0086729E"/>
    <w:rsid w:val="008A0A97"/>
    <w:rsid w:val="008B3CDE"/>
    <w:rsid w:val="008D448A"/>
    <w:rsid w:val="008E2C2B"/>
    <w:rsid w:val="008F22CD"/>
    <w:rsid w:val="00922CE3"/>
    <w:rsid w:val="00922F73"/>
    <w:rsid w:val="009659E8"/>
    <w:rsid w:val="0098339A"/>
    <w:rsid w:val="00984B0C"/>
    <w:rsid w:val="009859C7"/>
    <w:rsid w:val="009B1054"/>
    <w:rsid w:val="009B1313"/>
    <w:rsid w:val="009B40F6"/>
    <w:rsid w:val="009C3A4D"/>
    <w:rsid w:val="009E5F4F"/>
    <w:rsid w:val="00A0092F"/>
    <w:rsid w:val="00A17653"/>
    <w:rsid w:val="00A4259E"/>
    <w:rsid w:val="00A82AA8"/>
    <w:rsid w:val="00A9437F"/>
    <w:rsid w:val="00AA633F"/>
    <w:rsid w:val="00AB28D0"/>
    <w:rsid w:val="00AB3883"/>
    <w:rsid w:val="00AB4A8E"/>
    <w:rsid w:val="00AB799B"/>
    <w:rsid w:val="00AD5604"/>
    <w:rsid w:val="00AE49EC"/>
    <w:rsid w:val="00AF71B0"/>
    <w:rsid w:val="00B07549"/>
    <w:rsid w:val="00B336DE"/>
    <w:rsid w:val="00B40C6C"/>
    <w:rsid w:val="00B65822"/>
    <w:rsid w:val="00B67030"/>
    <w:rsid w:val="00BB65C4"/>
    <w:rsid w:val="00BF757B"/>
    <w:rsid w:val="00C03A1D"/>
    <w:rsid w:val="00C21306"/>
    <w:rsid w:val="00C25B01"/>
    <w:rsid w:val="00C26972"/>
    <w:rsid w:val="00C324B4"/>
    <w:rsid w:val="00C337DC"/>
    <w:rsid w:val="00C66E42"/>
    <w:rsid w:val="00C742B9"/>
    <w:rsid w:val="00C81112"/>
    <w:rsid w:val="00C827E1"/>
    <w:rsid w:val="00C912C5"/>
    <w:rsid w:val="00C91E82"/>
    <w:rsid w:val="00CB1D30"/>
    <w:rsid w:val="00CC6F4E"/>
    <w:rsid w:val="00CF274E"/>
    <w:rsid w:val="00D067E2"/>
    <w:rsid w:val="00D24857"/>
    <w:rsid w:val="00D2523C"/>
    <w:rsid w:val="00D4377F"/>
    <w:rsid w:val="00D65951"/>
    <w:rsid w:val="00D66F28"/>
    <w:rsid w:val="00D736EC"/>
    <w:rsid w:val="00DD0C46"/>
    <w:rsid w:val="00DF2A3A"/>
    <w:rsid w:val="00E06034"/>
    <w:rsid w:val="00E426FF"/>
    <w:rsid w:val="00E92743"/>
    <w:rsid w:val="00ED516D"/>
    <w:rsid w:val="00EF0959"/>
    <w:rsid w:val="00F15C33"/>
    <w:rsid w:val="00F23B89"/>
    <w:rsid w:val="00F4793F"/>
    <w:rsid w:val="00F97A27"/>
    <w:rsid w:val="00FB29EF"/>
    <w:rsid w:val="00FD1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64D0"/>
    <w:rPr>
      <w:rFonts w:ascii="Arial" w:hAnsi="Arial"/>
      <w:sz w:val="24"/>
    </w:rPr>
  </w:style>
  <w:style w:type="paragraph" w:styleId="Heading1">
    <w:name w:val="heading 1"/>
    <w:basedOn w:val="Normal"/>
    <w:next w:val="Normal"/>
    <w:qFormat/>
    <w:rsid w:val="007164D0"/>
    <w:pPr>
      <w:keepNext/>
      <w:outlineLvl w:val="0"/>
    </w:pPr>
    <w:rPr>
      <w:rFonts w:ascii="MS Mincho" w:eastAsia="MS Mincho" w:hAnsi="MS Mincho"/>
      <w:b/>
      <w:bCs/>
      <w:sz w:val="32"/>
      <w:szCs w:val="24"/>
    </w:rPr>
  </w:style>
  <w:style w:type="paragraph" w:styleId="Heading3">
    <w:name w:val="heading 3"/>
    <w:basedOn w:val="Normal"/>
    <w:next w:val="Normal"/>
    <w:qFormat/>
    <w:rsid w:val="007164D0"/>
    <w:pPr>
      <w:keepNext/>
      <w:widowControl w:val="0"/>
      <w:outlineLvl w:val="2"/>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rsid w:val="007164D0"/>
  </w:style>
  <w:style w:type="paragraph" w:styleId="Header">
    <w:name w:val="header"/>
    <w:basedOn w:val="Normal"/>
    <w:rsid w:val="007164D0"/>
    <w:pPr>
      <w:tabs>
        <w:tab w:val="center" w:pos="4320"/>
        <w:tab w:val="right" w:pos="8640"/>
      </w:tabs>
    </w:pPr>
  </w:style>
  <w:style w:type="paragraph" w:styleId="Footer">
    <w:name w:val="footer"/>
    <w:basedOn w:val="Normal"/>
    <w:link w:val="FooterChar"/>
    <w:rsid w:val="007164D0"/>
    <w:pPr>
      <w:tabs>
        <w:tab w:val="center" w:pos="4320"/>
        <w:tab w:val="right" w:pos="8640"/>
      </w:tabs>
    </w:pPr>
  </w:style>
  <w:style w:type="paragraph" w:styleId="BodyTextIndent">
    <w:name w:val="Body Text Indent"/>
    <w:basedOn w:val="Normal"/>
    <w:rsid w:val="007164D0"/>
    <w:pPr>
      <w:widowControl w:val="0"/>
      <w:tabs>
        <w:tab w:val="left" w:pos="-1440"/>
        <w:tab w:val="left" w:pos="-720"/>
        <w:tab w:val="left" w:pos="0"/>
        <w:tab w:val="left" w:pos="720"/>
        <w:tab w:val="left" w:pos="1440"/>
        <w:tab w:val="left" w:pos="2160"/>
      </w:tabs>
      <w:ind w:left="720" w:hanging="720"/>
    </w:pPr>
    <w:rPr>
      <w:sz w:val="20"/>
    </w:rPr>
  </w:style>
  <w:style w:type="paragraph" w:styleId="BodyTextIndent2">
    <w:name w:val="Body Text Indent 2"/>
    <w:basedOn w:val="Normal"/>
    <w:rsid w:val="007164D0"/>
    <w:pPr>
      <w:widowControl w:val="0"/>
      <w:ind w:left="720"/>
    </w:pPr>
    <w:rPr>
      <w:sz w:val="20"/>
    </w:rPr>
  </w:style>
  <w:style w:type="paragraph" w:styleId="BodyText">
    <w:name w:val="Body Text"/>
    <w:basedOn w:val="Normal"/>
    <w:rsid w:val="007164D0"/>
    <w:pPr>
      <w:widowControl w:val="0"/>
    </w:pPr>
    <w:rPr>
      <w:sz w:val="20"/>
    </w:rPr>
  </w:style>
  <w:style w:type="paragraph" w:styleId="EndnoteText">
    <w:name w:val="endnote text"/>
    <w:basedOn w:val="Normal"/>
    <w:semiHidden/>
    <w:rsid w:val="007164D0"/>
    <w:rPr>
      <w:sz w:val="20"/>
    </w:rPr>
  </w:style>
  <w:style w:type="character" w:styleId="EndnoteReference">
    <w:name w:val="endnote reference"/>
    <w:basedOn w:val="DefaultParagraphFont"/>
    <w:semiHidden/>
    <w:rsid w:val="007164D0"/>
    <w:rPr>
      <w:vertAlign w:val="superscript"/>
    </w:rPr>
  </w:style>
  <w:style w:type="paragraph" w:styleId="BodyText3">
    <w:name w:val="Body Text 3"/>
    <w:basedOn w:val="Normal"/>
    <w:rsid w:val="007164D0"/>
    <w:rPr>
      <w:rFonts w:ascii="Times New Roman" w:hAnsi="Times New Roman"/>
      <w:sz w:val="16"/>
      <w:szCs w:val="24"/>
    </w:rPr>
  </w:style>
  <w:style w:type="paragraph" w:styleId="BalloonText">
    <w:name w:val="Balloon Text"/>
    <w:basedOn w:val="Normal"/>
    <w:semiHidden/>
    <w:rsid w:val="00010B2B"/>
    <w:rPr>
      <w:rFonts w:ascii="Tahoma" w:hAnsi="Tahoma" w:cs="Tahoma"/>
      <w:sz w:val="16"/>
      <w:szCs w:val="16"/>
    </w:rPr>
  </w:style>
  <w:style w:type="character" w:customStyle="1" w:styleId="FooterChar">
    <w:name w:val="Footer Char"/>
    <w:basedOn w:val="DefaultParagraphFont"/>
    <w:link w:val="Footer"/>
    <w:rsid w:val="003F2874"/>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64D0"/>
    <w:rPr>
      <w:rFonts w:ascii="Arial" w:hAnsi="Arial"/>
      <w:sz w:val="24"/>
    </w:rPr>
  </w:style>
  <w:style w:type="paragraph" w:styleId="Heading1">
    <w:name w:val="heading 1"/>
    <w:basedOn w:val="Normal"/>
    <w:next w:val="Normal"/>
    <w:qFormat/>
    <w:rsid w:val="007164D0"/>
    <w:pPr>
      <w:keepNext/>
      <w:outlineLvl w:val="0"/>
    </w:pPr>
    <w:rPr>
      <w:rFonts w:ascii="MS Mincho" w:eastAsia="MS Mincho" w:hAnsi="MS Mincho"/>
      <w:b/>
      <w:bCs/>
      <w:sz w:val="32"/>
      <w:szCs w:val="24"/>
    </w:rPr>
  </w:style>
  <w:style w:type="paragraph" w:styleId="Heading3">
    <w:name w:val="heading 3"/>
    <w:basedOn w:val="Normal"/>
    <w:next w:val="Normal"/>
    <w:qFormat/>
    <w:rsid w:val="007164D0"/>
    <w:pPr>
      <w:keepNext/>
      <w:widowControl w:val="0"/>
      <w:outlineLvl w:val="2"/>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rsid w:val="007164D0"/>
  </w:style>
  <w:style w:type="paragraph" w:styleId="Header">
    <w:name w:val="header"/>
    <w:basedOn w:val="Normal"/>
    <w:rsid w:val="007164D0"/>
    <w:pPr>
      <w:tabs>
        <w:tab w:val="center" w:pos="4320"/>
        <w:tab w:val="right" w:pos="8640"/>
      </w:tabs>
    </w:pPr>
  </w:style>
  <w:style w:type="paragraph" w:styleId="Footer">
    <w:name w:val="footer"/>
    <w:basedOn w:val="Normal"/>
    <w:link w:val="FooterChar"/>
    <w:rsid w:val="007164D0"/>
    <w:pPr>
      <w:tabs>
        <w:tab w:val="center" w:pos="4320"/>
        <w:tab w:val="right" w:pos="8640"/>
      </w:tabs>
    </w:pPr>
  </w:style>
  <w:style w:type="paragraph" w:styleId="BodyTextIndent">
    <w:name w:val="Body Text Indent"/>
    <w:basedOn w:val="Normal"/>
    <w:rsid w:val="007164D0"/>
    <w:pPr>
      <w:widowControl w:val="0"/>
      <w:tabs>
        <w:tab w:val="left" w:pos="-1440"/>
        <w:tab w:val="left" w:pos="-720"/>
        <w:tab w:val="left" w:pos="0"/>
        <w:tab w:val="left" w:pos="720"/>
        <w:tab w:val="left" w:pos="1440"/>
        <w:tab w:val="left" w:pos="2160"/>
      </w:tabs>
      <w:ind w:left="720" w:hanging="720"/>
    </w:pPr>
    <w:rPr>
      <w:sz w:val="20"/>
    </w:rPr>
  </w:style>
  <w:style w:type="paragraph" w:styleId="BodyTextIndent2">
    <w:name w:val="Body Text Indent 2"/>
    <w:basedOn w:val="Normal"/>
    <w:rsid w:val="007164D0"/>
    <w:pPr>
      <w:widowControl w:val="0"/>
      <w:ind w:left="720"/>
    </w:pPr>
    <w:rPr>
      <w:sz w:val="20"/>
    </w:rPr>
  </w:style>
  <w:style w:type="paragraph" w:styleId="BodyText">
    <w:name w:val="Body Text"/>
    <w:basedOn w:val="Normal"/>
    <w:rsid w:val="007164D0"/>
    <w:pPr>
      <w:widowControl w:val="0"/>
    </w:pPr>
    <w:rPr>
      <w:sz w:val="20"/>
    </w:rPr>
  </w:style>
  <w:style w:type="paragraph" w:styleId="EndnoteText">
    <w:name w:val="endnote text"/>
    <w:basedOn w:val="Normal"/>
    <w:semiHidden/>
    <w:rsid w:val="007164D0"/>
    <w:rPr>
      <w:sz w:val="20"/>
    </w:rPr>
  </w:style>
  <w:style w:type="character" w:styleId="EndnoteReference">
    <w:name w:val="endnote reference"/>
    <w:basedOn w:val="DefaultParagraphFont"/>
    <w:semiHidden/>
    <w:rsid w:val="007164D0"/>
    <w:rPr>
      <w:vertAlign w:val="superscript"/>
    </w:rPr>
  </w:style>
  <w:style w:type="paragraph" w:styleId="BodyText3">
    <w:name w:val="Body Text 3"/>
    <w:basedOn w:val="Normal"/>
    <w:rsid w:val="007164D0"/>
    <w:rPr>
      <w:rFonts w:ascii="Times New Roman" w:hAnsi="Times New Roman"/>
      <w:sz w:val="16"/>
      <w:szCs w:val="24"/>
    </w:rPr>
  </w:style>
  <w:style w:type="paragraph" w:styleId="BalloonText">
    <w:name w:val="Balloon Text"/>
    <w:basedOn w:val="Normal"/>
    <w:semiHidden/>
    <w:rsid w:val="00010B2B"/>
    <w:rPr>
      <w:rFonts w:ascii="Tahoma" w:hAnsi="Tahoma" w:cs="Tahoma"/>
      <w:sz w:val="16"/>
      <w:szCs w:val="16"/>
    </w:rPr>
  </w:style>
  <w:style w:type="character" w:customStyle="1" w:styleId="FooterChar">
    <w:name w:val="Footer Char"/>
    <w:basedOn w:val="DefaultParagraphFont"/>
    <w:link w:val="Footer"/>
    <w:rsid w:val="003F287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2113">
      <w:bodyDiv w:val="1"/>
      <w:marLeft w:val="0"/>
      <w:marRight w:val="0"/>
      <w:marTop w:val="0"/>
      <w:marBottom w:val="0"/>
      <w:divBdr>
        <w:top w:val="none" w:sz="0" w:space="0" w:color="auto"/>
        <w:left w:val="none" w:sz="0" w:space="0" w:color="auto"/>
        <w:bottom w:val="none" w:sz="0" w:space="0" w:color="auto"/>
        <w:right w:val="none" w:sz="0" w:space="0" w:color="auto"/>
      </w:divBdr>
    </w:div>
    <w:div w:id="402799642">
      <w:bodyDiv w:val="1"/>
      <w:marLeft w:val="0"/>
      <w:marRight w:val="0"/>
      <w:marTop w:val="0"/>
      <w:marBottom w:val="0"/>
      <w:divBdr>
        <w:top w:val="none" w:sz="0" w:space="0" w:color="auto"/>
        <w:left w:val="none" w:sz="0" w:space="0" w:color="auto"/>
        <w:bottom w:val="none" w:sz="0" w:space="0" w:color="auto"/>
        <w:right w:val="none" w:sz="0" w:space="0" w:color="auto"/>
      </w:divBdr>
    </w:div>
    <w:div w:id="451555903">
      <w:bodyDiv w:val="1"/>
      <w:marLeft w:val="0"/>
      <w:marRight w:val="0"/>
      <w:marTop w:val="0"/>
      <w:marBottom w:val="0"/>
      <w:divBdr>
        <w:top w:val="none" w:sz="0" w:space="0" w:color="auto"/>
        <w:left w:val="none" w:sz="0" w:space="0" w:color="auto"/>
        <w:bottom w:val="none" w:sz="0" w:space="0" w:color="auto"/>
        <w:right w:val="none" w:sz="0" w:space="0" w:color="auto"/>
      </w:divBdr>
    </w:div>
    <w:div w:id="676229498">
      <w:bodyDiv w:val="1"/>
      <w:marLeft w:val="0"/>
      <w:marRight w:val="0"/>
      <w:marTop w:val="0"/>
      <w:marBottom w:val="0"/>
      <w:divBdr>
        <w:top w:val="none" w:sz="0" w:space="0" w:color="auto"/>
        <w:left w:val="none" w:sz="0" w:space="0" w:color="auto"/>
        <w:bottom w:val="none" w:sz="0" w:space="0" w:color="auto"/>
        <w:right w:val="none" w:sz="0" w:space="0" w:color="auto"/>
      </w:divBdr>
    </w:div>
    <w:div w:id="89289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F4592F490FB44FBF5C095DDB39FC52" ma:contentTypeVersion="119" ma:contentTypeDescription="" ma:contentTypeScope="" ma:versionID="0ea7ffc1b279032af4a6d8a24f8547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2015-09-11T07:00:00+00:00</OpenedDate>
    <Date1 xmlns="dc463f71-b30c-4ab2-9473-d307f9d35888">2015-09-11T07:00:00+00:00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151828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62F6206-3F6C-4322-A562-88C9DF94050A}"/>
</file>

<file path=customXml/itemProps2.xml><?xml version="1.0" encoding="utf-8"?>
<ds:datastoreItem xmlns:ds="http://schemas.openxmlformats.org/officeDocument/2006/customXml" ds:itemID="{C699EC41-FE9E-40F7-8E94-1A5FC5DFAEBB}"/>
</file>

<file path=customXml/itemProps3.xml><?xml version="1.0" encoding="utf-8"?>
<ds:datastoreItem xmlns:ds="http://schemas.openxmlformats.org/officeDocument/2006/customXml" ds:itemID="{C32E7690-992C-43B5-82F5-4AC1544325C2}"/>
</file>

<file path=customXml/itemProps4.xml><?xml version="1.0" encoding="utf-8"?>
<ds:datastoreItem xmlns:ds="http://schemas.openxmlformats.org/officeDocument/2006/customXml" ds:itemID="{F84CE6FE-4234-48B8-9010-EA88EB17CF34}"/>
</file>

<file path=docProps/app.xml><?xml version="1.0" encoding="utf-8"?>
<Properties xmlns="http://schemas.openxmlformats.org/officeDocument/2006/extended-properties" xmlns:vt="http://schemas.openxmlformats.org/officeDocument/2006/docPropsVTypes">
  <Template>Normal.dotm</Template>
  <TotalTime>12</TotalTime>
  <Pages>1</Pages>
  <Words>324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GENERAL RULES AND REGULATIONS</vt:lpstr>
    </vt:vector>
  </TitlesOfParts>
  <Company>Northwest Natural Gas</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RULES AND REGULATIONS</dc:title>
  <dc:creator>kcm</dc:creator>
  <cp:lastModifiedBy>Seagondollar, Shannon L.</cp:lastModifiedBy>
  <cp:revision>10</cp:revision>
  <cp:lastPrinted>2015-09-11T16:33:00Z</cp:lastPrinted>
  <dcterms:created xsi:type="dcterms:W3CDTF">2014-06-18T20:17:00Z</dcterms:created>
  <dcterms:modified xsi:type="dcterms:W3CDTF">2015-09-11T21:35:00Z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5a57a1e0-8823-466c-a33a-05ddcb32368c</vt:lpwstr>
  </property>
  <property fmtid="{D5CDD505-2E9C-101B-9397-08002B2CF9AE}" pid="3" name="ContentTypeId">
    <vt:lpwstr>0x0101006E56B4D1795A2E4DB2F0B01679ED314A002FF4592F490FB44FBF5C095DDB39FC52</vt:lpwstr>
  </property>
  <property fmtid="{D5CDD505-2E9C-101B-9397-08002B2CF9AE}" pid="4" name="_docset_NoMedatataSyncRequired">
    <vt:lpwstr>False</vt:lpwstr>
  </property>
</Properties>
</file>