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E" w:rsidRDefault="00D6004F" w:rsidP="0035421B">
      <w:pPr>
        <w:rPr>
          <w:rFonts w:ascii="Times New Roman" w:hAnsi="Times New Roman"/>
          <w:szCs w:val="24"/>
        </w:rPr>
      </w:pPr>
      <w:r w:rsidRPr="00044234">
        <w:rPr>
          <w:rFonts w:ascii="Times New Roman" w:hAnsi="Times New Roman"/>
          <w:noProof/>
          <w:szCs w:val="24"/>
        </w:rPr>
        <w:drawing>
          <wp:anchor distT="0" distB="0" distL="114300" distR="114300" simplePos="0" relativeHeight="251657728" behindDoc="1" locked="0" layoutInCell="1" allowOverlap="1" wp14:anchorId="446890C6" wp14:editId="7A86E7AC">
            <wp:simplePos x="0" y="0"/>
            <wp:positionH relativeFrom="column">
              <wp:posOffset>-385445</wp:posOffset>
            </wp:positionH>
            <wp:positionV relativeFrom="page">
              <wp:posOffset>527050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pic:spPr>
                </pic:pic>
              </a:graphicData>
            </a:graphic>
          </wp:anchor>
        </w:drawing>
      </w:r>
    </w:p>
    <w:p w:rsidR="00044234" w:rsidRPr="00044234" w:rsidRDefault="004835AA" w:rsidP="0035421B">
      <w:pPr>
        <w:rPr>
          <w:rFonts w:ascii="Times New Roman" w:hAnsi="Times New Roman"/>
          <w:szCs w:val="24"/>
        </w:rPr>
      </w:pPr>
      <w:r>
        <w:rPr>
          <w:rFonts w:ascii="Times New Roman" w:hAnsi="Times New Roman"/>
          <w:szCs w:val="24"/>
        </w:rPr>
        <w:t>March 23, 2015</w:t>
      </w:r>
    </w:p>
    <w:p w:rsidR="00044234" w:rsidRPr="00044234" w:rsidRDefault="00044234" w:rsidP="0035421B">
      <w:pPr>
        <w:rPr>
          <w:rFonts w:ascii="Times New Roman" w:hAnsi="Times New Roman"/>
          <w:szCs w:val="24"/>
        </w:rPr>
      </w:pPr>
    </w:p>
    <w:p w:rsidR="00044234" w:rsidRPr="009B52BD" w:rsidRDefault="00044234" w:rsidP="0035421B">
      <w:pPr>
        <w:widowControl w:val="0"/>
        <w:rPr>
          <w:rFonts w:ascii="Times New Roman" w:hAnsi="Times New Roman"/>
          <w:b/>
          <w:i/>
          <w:szCs w:val="24"/>
        </w:rPr>
      </w:pPr>
      <w:r w:rsidRPr="00044234">
        <w:rPr>
          <w:rFonts w:ascii="Times New Roman" w:hAnsi="Times New Roman"/>
          <w:b/>
          <w:i/>
          <w:szCs w:val="24"/>
        </w:rPr>
        <w:t xml:space="preserve">VIA ELECTRONIC FILING </w:t>
      </w:r>
      <w:bookmarkStart w:id="0" w:name="_GoBack"/>
      <w:bookmarkEnd w:id="0"/>
      <w:r w:rsidRPr="00044234">
        <w:rPr>
          <w:rFonts w:ascii="Times New Roman" w:hAnsi="Times New Roman"/>
          <w:b/>
          <w:i/>
          <w:szCs w:val="24"/>
        </w:rPr>
        <w:br/>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Steven V. King</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Executive Director and Secretary</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Washington Utilities and Transportation Commission</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1300 S. Evergreen Park Drive SW</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PO Box 47250</w:t>
      </w:r>
    </w:p>
    <w:p w:rsidR="00044234" w:rsidRPr="00044234" w:rsidRDefault="00044234" w:rsidP="0035421B">
      <w:pPr>
        <w:widowControl w:val="0"/>
        <w:rPr>
          <w:rFonts w:ascii="Times New Roman" w:hAnsi="Times New Roman"/>
          <w:szCs w:val="24"/>
        </w:rPr>
      </w:pPr>
      <w:r w:rsidRPr="00044234">
        <w:rPr>
          <w:rFonts w:ascii="Times New Roman" w:hAnsi="Times New Roman"/>
          <w:szCs w:val="24"/>
        </w:rPr>
        <w:t>Olympia, WA 98504-7250</w:t>
      </w:r>
    </w:p>
    <w:p w:rsidR="00044234" w:rsidRPr="00044234" w:rsidRDefault="00044234" w:rsidP="0035421B">
      <w:pPr>
        <w:widowControl w:val="0"/>
        <w:rPr>
          <w:rFonts w:ascii="Times New Roman" w:hAnsi="Times New Roman"/>
          <w:szCs w:val="24"/>
        </w:rPr>
      </w:pPr>
    </w:p>
    <w:p w:rsidR="00044234" w:rsidRPr="00044234" w:rsidRDefault="00044234" w:rsidP="0035421B">
      <w:pPr>
        <w:widowControl w:val="0"/>
        <w:ind w:left="720" w:hanging="720"/>
        <w:rPr>
          <w:rFonts w:ascii="Times New Roman" w:hAnsi="Times New Roman"/>
          <w:b/>
          <w:szCs w:val="24"/>
        </w:rPr>
      </w:pPr>
      <w:r w:rsidRPr="00044234">
        <w:rPr>
          <w:rFonts w:ascii="Times New Roman" w:hAnsi="Times New Roman"/>
          <w:b/>
          <w:szCs w:val="24"/>
        </w:rPr>
        <w:t>RE:</w:t>
      </w:r>
      <w:r w:rsidRPr="00044234">
        <w:rPr>
          <w:rFonts w:ascii="Times New Roman" w:hAnsi="Times New Roman"/>
          <w:b/>
          <w:szCs w:val="24"/>
        </w:rPr>
        <w:tab/>
      </w:r>
      <w:r w:rsidR="00DA0726">
        <w:rPr>
          <w:rFonts w:ascii="Times New Roman" w:hAnsi="Times New Roman"/>
          <w:b/>
          <w:szCs w:val="24"/>
        </w:rPr>
        <w:t xml:space="preserve">Docket No. U-144155—Comments </w:t>
      </w:r>
      <w:r w:rsidR="004835AA">
        <w:rPr>
          <w:rFonts w:ascii="Times New Roman" w:hAnsi="Times New Roman"/>
          <w:b/>
          <w:szCs w:val="24"/>
        </w:rPr>
        <w:t>of Pacific Power &amp; Light</w:t>
      </w:r>
      <w:r w:rsidR="00A14B4F">
        <w:rPr>
          <w:rFonts w:ascii="Times New Roman" w:hAnsi="Times New Roman"/>
          <w:b/>
          <w:szCs w:val="24"/>
        </w:rPr>
        <w:t xml:space="preserve"> Company</w:t>
      </w:r>
    </w:p>
    <w:p w:rsidR="00044234" w:rsidRPr="00044234" w:rsidRDefault="00044234" w:rsidP="0035421B">
      <w:pPr>
        <w:widowControl w:val="0"/>
        <w:rPr>
          <w:rFonts w:ascii="Times New Roman" w:hAnsi="Times New Roman"/>
          <w:szCs w:val="24"/>
        </w:rPr>
      </w:pPr>
    </w:p>
    <w:p w:rsidR="00044234" w:rsidRPr="00044234" w:rsidRDefault="00044234" w:rsidP="0035421B">
      <w:pPr>
        <w:widowControl w:val="0"/>
        <w:rPr>
          <w:rFonts w:ascii="Times New Roman" w:hAnsi="Times New Roman"/>
          <w:szCs w:val="24"/>
        </w:rPr>
      </w:pPr>
      <w:r w:rsidRPr="00044234">
        <w:rPr>
          <w:rFonts w:ascii="Times New Roman" w:hAnsi="Times New Roman"/>
          <w:szCs w:val="24"/>
        </w:rPr>
        <w:t>Pacific Power &amp; Light Company, a division of PacifiCorp</w:t>
      </w:r>
      <w:r w:rsidR="0000238A">
        <w:rPr>
          <w:rFonts w:ascii="Times New Roman" w:hAnsi="Times New Roman"/>
          <w:szCs w:val="24"/>
        </w:rPr>
        <w:t xml:space="preserve"> </w:t>
      </w:r>
      <w:r w:rsidR="0000238A" w:rsidRPr="00044234">
        <w:rPr>
          <w:rFonts w:ascii="Times New Roman" w:hAnsi="Times New Roman"/>
          <w:szCs w:val="24"/>
        </w:rPr>
        <w:t>(Pacific Power or Company)</w:t>
      </w:r>
      <w:r w:rsidRPr="00044234">
        <w:rPr>
          <w:rFonts w:ascii="Times New Roman" w:hAnsi="Times New Roman"/>
          <w:szCs w:val="24"/>
        </w:rPr>
        <w:t xml:space="preserve">, submits </w:t>
      </w:r>
      <w:r w:rsidR="004835AA">
        <w:rPr>
          <w:rFonts w:ascii="Times New Roman" w:hAnsi="Times New Roman"/>
          <w:szCs w:val="24"/>
        </w:rPr>
        <w:t xml:space="preserve">the following comments in response to the Washington Utilities and Transportation Commission’s (Commission) Notice of Opportunity to Submit Written Comments (Notice) issued </w:t>
      </w:r>
      <w:r w:rsidR="001F0E1C">
        <w:rPr>
          <w:rFonts w:ascii="Times New Roman" w:hAnsi="Times New Roman"/>
          <w:szCs w:val="24"/>
        </w:rPr>
        <w:t xml:space="preserve">February 20, 2015, </w:t>
      </w:r>
      <w:r w:rsidR="004835AA">
        <w:rPr>
          <w:rFonts w:ascii="Times New Roman" w:hAnsi="Times New Roman"/>
          <w:szCs w:val="24"/>
        </w:rPr>
        <w:t xml:space="preserve">in Docket </w:t>
      </w:r>
      <w:r w:rsidR="00DA0726">
        <w:rPr>
          <w:rFonts w:ascii="Times New Roman" w:hAnsi="Times New Roman"/>
          <w:szCs w:val="24"/>
        </w:rPr>
        <w:t xml:space="preserve">No. </w:t>
      </w:r>
      <w:proofErr w:type="gramStart"/>
      <w:r w:rsidR="004835AA">
        <w:rPr>
          <w:rFonts w:ascii="Times New Roman" w:hAnsi="Times New Roman"/>
          <w:szCs w:val="24"/>
        </w:rPr>
        <w:t>U-144155.</w:t>
      </w:r>
      <w:proofErr w:type="gramEnd"/>
    </w:p>
    <w:p w:rsidR="00964072" w:rsidRDefault="00964072" w:rsidP="00D6004F">
      <w:pPr>
        <w:jc w:val="both"/>
        <w:rPr>
          <w:rFonts w:ascii="Times New Roman" w:hAnsi="Times New Roman"/>
          <w:szCs w:val="24"/>
        </w:rPr>
      </w:pPr>
    </w:p>
    <w:p w:rsidR="004835AA" w:rsidRDefault="001F0E1C" w:rsidP="00495198">
      <w:pPr>
        <w:pStyle w:val="NoSpacing"/>
        <w:rPr>
          <w:rFonts w:ascii="Times New Roman" w:hAnsi="Times New Roman"/>
          <w:sz w:val="24"/>
          <w:szCs w:val="24"/>
        </w:rPr>
      </w:pPr>
      <w:r>
        <w:rPr>
          <w:rFonts w:ascii="Times New Roman" w:hAnsi="Times New Roman"/>
          <w:sz w:val="24"/>
          <w:szCs w:val="24"/>
        </w:rPr>
        <w:t>The Notice sets forth a set of questions to elicit certain information related to meters and billing and also notes additional written comments may be provided.</w:t>
      </w:r>
      <w:r w:rsidR="00244BB1">
        <w:rPr>
          <w:rStyle w:val="FootnoteReference"/>
          <w:rFonts w:ascii="Times New Roman" w:hAnsi="Times New Roman"/>
          <w:sz w:val="24"/>
          <w:szCs w:val="24"/>
        </w:rPr>
        <w:footnoteReference w:id="1"/>
      </w:r>
      <w:r>
        <w:rPr>
          <w:rFonts w:ascii="Times New Roman" w:hAnsi="Times New Roman"/>
          <w:sz w:val="24"/>
          <w:szCs w:val="24"/>
        </w:rPr>
        <w:t xml:space="preserve"> </w:t>
      </w:r>
      <w:r w:rsidR="00F60BE8">
        <w:rPr>
          <w:rFonts w:ascii="Times New Roman" w:hAnsi="Times New Roman"/>
          <w:sz w:val="24"/>
          <w:szCs w:val="24"/>
        </w:rPr>
        <w:t xml:space="preserve"> </w:t>
      </w:r>
      <w:r w:rsidR="0000238A">
        <w:rPr>
          <w:rFonts w:ascii="Times New Roman" w:hAnsi="Times New Roman"/>
          <w:sz w:val="24"/>
          <w:szCs w:val="24"/>
        </w:rPr>
        <w:t xml:space="preserve">Pacific Power offers the following comments </w:t>
      </w:r>
      <w:r w:rsidR="004835AA">
        <w:rPr>
          <w:rFonts w:ascii="Times New Roman" w:hAnsi="Times New Roman"/>
          <w:sz w:val="24"/>
          <w:szCs w:val="24"/>
        </w:rPr>
        <w:t>in response to the Commission’s specific questions:</w:t>
      </w:r>
    </w:p>
    <w:p w:rsidR="004835AA" w:rsidRDefault="004835AA" w:rsidP="00D6004F">
      <w:pPr>
        <w:pStyle w:val="Default"/>
      </w:pPr>
    </w:p>
    <w:p w:rsidR="004835AA" w:rsidRPr="00BB376C" w:rsidRDefault="004835AA" w:rsidP="00D6004F">
      <w:pPr>
        <w:pStyle w:val="Default"/>
        <w:numPr>
          <w:ilvl w:val="0"/>
          <w:numId w:val="3"/>
        </w:numPr>
        <w:rPr>
          <w:b/>
        </w:rPr>
      </w:pPr>
      <w:r w:rsidRPr="00BB376C">
        <w:rPr>
          <w:b/>
        </w:rPr>
        <w:t>Please provide the average number of meter</w:t>
      </w:r>
      <w:r w:rsidR="002C5403">
        <w:rPr>
          <w:b/>
        </w:rPr>
        <w:t>s in service from 2012 to 2014.</w:t>
      </w:r>
    </w:p>
    <w:p w:rsidR="0035421B" w:rsidRDefault="0035421B" w:rsidP="00495198">
      <w:pPr>
        <w:pStyle w:val="NoSpacing"/>
        <w:ind w:left="720"/>
        <w:rPr>
          <w:rFonts w:ascii="Times New Roman" w:hAnsi="Times New Roman"/>
          <w:sz w:val="24"/>
          <w:szCs w:val="24"/>
        </w:rPr>
      </w:pPr>
    </w:p>
    <w:p w:rsidR="004835AA" w:rsidRDefault="004835AA" w:rsidP="00495198">
      <w:pPr>
        <w:pStyle w:val="NoSpacing"/>
        <w:ind w:left="720"/>
        <w:rPr>
          <w:rFonts w:ascii="Times New Roman" w:hAnsi="Times New Roman"/>
          <w:sz w:val="24"/>
          <w:szCs w:val="24"/>
        </w:rPr>
      </w:pPr>
      <w:r>
        <w:rPr>
          <w:rFonts w:ascii="Times New Roman" w:hAnsi="Times New Roman"/>
          <w:sz w:val="24"/>
          <w:szCs w:val="24"/>
        </w:rPr>
        <w:t>On average, Pacific Power had 132,820 meters in service from 2012 to 2014.  The following table provides the specific number of meters in service each year.</w:t>
      </w:r>
    </w:p>
    <w:p w:rsidR="004835AA" w:rsidRDefault="0058550B" w:rsidP="00495198">
      <w:pPr>
        <w:pStyle w:val="NoSpacing"/>
        <w:ind w:left="720"/>
        <w:rPr>
          <w:rFonts w:ascii="Times New Roman" w:hAnsi="Times New Roman"/>
          <w:sz w:val="24"/>
          <w:szCs w:val="24"/>
        </w:rPr>
      </w:pPr>
      <w:r>
        <w:rPr>
          <w:rFonts w:ascii="Times New Roman" w:hAnsi="Times New Roman"/>
          <w:sz w:val="24"/>
          <w:szCs w:val="24"/>
        </w:rPr>
        <w:tab/>
      </w:r>
    </w:p>
    <w:tbl>
      <w:tblPr>
        <w:tblStyle w:val="TableGrid"/>
        <w:tblW w:w="3212" w:type="dxa"/>
        <w:tblInd w:w="1440" w:type="dxa"/>
        <w:tblLook w:val="04A0" w:firstRow="1" w:lastRow="0" w:firstColumn="1" w:lastColumn="0" w:noHBand="0" w:noVBand="1"/>
      </w:tblPr>
      <w:tblGrid>
        <w:gridCol w:w="1096"/>
        <w:gridCol w:w="1058"/>
        <w:gridCol w:w="1058"/>
      </w:tblGrid>
      <w:tr w:rsidR="004835AA" w:rsidTr="00664D0C">
        <w:tc>
          <w:tcPr>
            <w:tcW w:w="3212" w:type="dxa"/>
            <w:gridSpan w:val="3"/>
          </w:tcPr>
          <w:p w:rsidR="004835AA" w:rsidRPr="002C5403" w:rsidRDefault="004835AA" w:rsidP="00D6004F">
            <w:pPr>
              <w:pStyle w:val="NoSpacing"/>
              <w:jc w:val="center"/>
              <w:rPr>
                <w:rFonts w:ascii="Times New Roman" w:hAnsi="Times New Roman"/>
                <w:b/>
                <w:sz w:val="24"/>
                <w:szCs w:val="24"/>
              </w:rPr>
            </w:pPr>
            <w:r w:rsidRPr="002C5403">
              <w:rPr>
                <w:rFonts w:ascii="Times New Roman" w:hAnsi="Times New Roman"/>
                <w:b/>
                <w:sz w:val="24"/>
                <w:szCs w:val="24"/>
              </w:rPr>
              <w:t>Number of Meters</w:t>
            </w:r>
          </w:p>
        </w:tc>
      </w:tr>
      <w:tr w:rsidR="004835AA" w:rsidTr="0058550B">
        <w:tc>
          <w:tcPr>
            <w:tcW w:w="1096" w:type="dxa"/>
          </w:tcPr>
          <w:p w:rsidR="004835AA" w:rsidRPr="002C5403" w:rsidRDefault="004835AA" w:rsidP="00D6004F">
            <w:pPr>
              <w:pStyle w:val="NoSpacing"/>
              <w:jc w:val="center"/>
              <w:rPr>
                <w:rFonts w:ascii="Times New Roman" w:hAnsi="Times New Roman"/>
                <w:b/>
                <w:sz w:val="24"/>
                <w:szCs w:val="24"/>
              </w:rPr>
            </w:pPr>
            <w:r w:rsidRPr="002C5403">
              <w:rPr>
                <w:rFonts w:ascii="Times New Roman" w:hAnsi="Times New Roman"/>
                <w:b/>
                <w:sz w:val="24"/>
                <w:szCs w:val="24"/>
              </w:rPr>
              <w:t>2012</w:t>
            </w:r>
          </w:p>
        </w:tc>
        <w:tc>
          <w:tcPr>
            <w:tcW w:w="1058" w:type="dxa"/>
          </w:tcPr>
          <w:p w:rsidR="004835AA" w:rsidRPr="002C5403" w:rsidRDefault="004835AA" w:rsidP="00D6004F">
            <w:pPr>
              <w:pStyle w:val="NoSpacing"/>
              <w:jc w:val="center"/>
              <w:rPr>
                <w:rFonts w:ascii="Times New Roman" w:hAnsi="Times New Roman"/>
                <w:b/>
                <w:sz w:val="24"/>
                <w:szCs w:val="24"/>
              </w:rPr>
            </w:pPr>
            <w:r w:rsidRPr="002C5403">
              <w:rPr>
                <w:rFonts w:ascii="Times New Roman" w:hAnsi="Times New Roman"/>
                <w:b/>
                <w:sz w:val="24"/>
                <w:szCs w:val="24"/>
              </w:rPr>
              <w:t>2013</w:t>
            </w:r>
          </w:p>
        </w:tc>
        <w:tc>
          <w:tcPr>
            <w:tcW w:w="1058" w:type="dxa"/>
          </w:tcPr>
          <w:p w:rsidR="004835AA" w:rsidRPr="002C5403" w:rsidRDefault="004835AA" w:rsidP="00D6004F">
            <w:pPr>
              <w:pStyle w:val="NoSpacing"/>
              <w:jc w:val="center"/>
              <w:rPr>
                <w:rFonts w:ascii="Times New Roman" w:hAnsi="Times New Roman"/>
                <w:b/>
                <w:sz w:val="24"/>
                <w:szCs w:val="24"/>
              </w:rPr>
            </w:pPr>
            <w:r w:rsidRPr="002C5403">
              <w:rPr>
                <w:rFonts w:ascii="Times New Roman" w:hAnsi="Times New Roman"/>
                <w:b/>
                <w:sz w:val="24"/>
                <w:szCs w:val="24"/>
              </w:rPr>
              <w:t>2014</w:t>
            </w:r>
          </w:p>
        </w:tc>
      </w:tr>
      <w:tr w:rsidR="004835AA" w:rsidTr="0058550B">
        <w:tc>
          <w:tcPr>
            <w:tcW w:w="1096" w:type="dxa"/>
          </w:tcPr>
          <w:p w:rsidR="004835AA" w:rsidRPr="003D34C7" w:rsidRDefault="004835AA" w:rsidP="00495198">
            <w:pPr>
              <w:pStyle w:val="NoSpacing"/>
              <w:rPr>
                <w:rFonts w:ascii="Times New Roman" w:hAnsi="Times New Roman"/>
                <w:sz w:val="24"/>
                <w:szCs w:val="24"/>
              </w:rPr>
            </w:pPr>
            <w:r w:rsidRPr="00F4167A">
              <w:rPr>
                <w:rFonts w:ascii="Times New Roman" w:eastAsia="Times New Roman" w:hAnsi="Times New Roman"/>
                <w:color w:val="000000"/>
                <w:sz w:val="24"/>
                <w:szCs w:val="24"/>
              </w:rPr>
              <w:t>132,138</w:t>
            </w:r>
          </w:p>
        </w:tc>
        <w:tc>
          <w:tcPr>
            <w:tcW w:w="1058" w:type="dxa"/>
          </w:tcPr>
          <w:p w:rsidR="004835AA" w:rsidRPr="003D34C7" w:rsidRDefault="004835AA" w:rsidP="00495198">
            <w:pPr>
              <w:pStyle w:val="NoSpacing"/>
              <w:rPr>
                <w:rFonts w:ascii="Times New Roman" w:hAnsi="Times New Roman"/>
                <w:sz w:val="24"/>
                <w:szCs w:val="24"/>
              </w:rPr>
            </w:pPr>
            <w:r w:rsidRPr="00F4167A">
              <w:rPr>
                <w:rFonts w:ascii="Times New Roman" w:eastAsia="Times New Roman" w:hAnsi="Times New Roman"/>
                <w:color w:val="000000"/>
                <w:sz w:val="24"/>
                <w:szCs w:val="24"/>
              </w:rPr>
              <w:t>132,848</w:t>
            </w:r>
          </w:p>
        </w:tc>
        <w:tc>
          <w:tcPr>
            <w:tcW w:w="1058" w:type="dxa"/>
          </w:tcPr>
          <w:p w:rsidR="004835AA" w:rsidRPr="003D34C7" w:rsidRDefault="004835AA" w:rsidP="00495198">
            <w:pPr>
              <w:pStyle w:val="NoSpacing"/>
              <w:rPr>
                <w:rFonts w:ascii="Times New Roman" w:hAnsi="Times New Roman"/>
                <w:sz w:val="24"/>
                <w:szCs w:val="24"/>
              </w:rPr>
            </w:pPr>
            <w:r w:rsidRPr="00F4167A">
              <w:rPr>
                <w:rFonts w:ascii="Times New Roman" w:eastAsia="Times New Roman" w:hAnsi="Times New Roman"/>
                <w:color w:val="000000"/>
                <w:sz w:val="24"/>
                <w:szCs w:val="24"/>
              </w:rPr>
              <w:t>133,473</w:t>
            </w:r>
          </w:p>
        </w:tc>
      </w:tr>
    </w:tbl>
    <w:p w:rsidR="004835AA" w:rsidRDefault="004835AA" w:rsidP="00495198">
      <w:pPr>
        <w:pStyle w:val="NoSpacing"/>
        <w:ind w:firstLine="720"/>
        <w:rPr>
          <w:rFonts w:ascii="Times New Roman" w:hAnsi="Times New Roman"/>
          <w:sz w:val="24"/>
          <w:szCs w:val="24"/>
        </w:rPr>
      </w:pPr>
    </w:p>
    <w:p w:rsidR="004835AA" w:rsidRPr="00BB376C" w:rsidRDefault="004835AA" w:rsidP="00495198">
      <w:pPr>
        <w:pStyle w:val="Default"/>
        <w:numPr>
          <w:ilvl w:val="0"/>
          <w:numId w:val="3"/>
        </w:numPr>
        <w:rPr>
          <w:b/>
        </w:rPr>
      </w:pPr>
      <w:r w:rsidRPr="00BB376C">
        <w:rPr>
          <w:b/>
        </w:rPr>
        <w:t>Please provide three years of histori</w:t>
      </w:r>
      <w:r w:rsidR="002C5403">
        <w:rPr>
          <w:b/>
        </w:rPr>
        <w:t>cal data showing the following:</w:t>
      </w:r>
    </w:p>
    <w:p w:rsidR="004835AA" w:rsidRPr="00F60BE8" w:rsidRDefault="0058550B" w:rsidP="00D6004F">
      <w:pPr>
        <w:pStyle w:val="Default"/>
        <w:ind w:left="720"/>
        <w:rPr>
          <w:i/>
        </w:rPr>
      </w:pPr>
      <w:r w:rsidRPr="00F60BE8">
        <w:rPr>
          <w:i/>
        </w:rPr>
        <w:t>a</w:t>
      </w:r>
      <w:r w:rsidR="004835AA" w:rsidRPr="00F60BE8">
        <w:rPr>
          <w:i/>
        </w:rPr>
        <w:t xml:space="preserve">. Total number of retroactive bills and length of the retroactive bills for stopped meters. </w:t>
      </w:r>
    </w:p>
    <w:tbl>
      <w:tblPr>
        <w:tblW w:w="2876" w:type="pct"/>
        <w:tblInd w:w="1440" w:type="dxa"/>
        <w:tblLayout w:type="fixed"/>
        <w:tblCellMar>
          <w:left w:w="0" w:type="dxa"/>
          <w:right w:w="0" w:type="dxa"/>
        </w:tblCellMar>
        <w:tblLook w:val="04A0" w:firstRow="1" w:lastRow="0" w:firstColumn="1" w:lastColumn="0" w:noHBand="0" w:noVBand="1"/>
      </w:tblPr>
      <w:tblGrid>
        <w:gridCol w:w="2718"/>
        <w:gridCol w:w="990"/>
        <w:gridCol w:w="900"/>
        <w:gridCol w:w="900"/>
      </w:tblGrid>
      <w:tr w:rsidR="002C5403" w:rsidRPr="003D34C7" w:rsidTr="002C5403">
        <w:tc>
          <w:tcPr>
            <w:tcW w:w="24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2C5403" w:rsidRPr="002C5403" w:rsidRDefault="002C5403" w:rsidP="002C5403">
            <w:pPr>
              <w:jc w:val="center"/>
              <w:rPr>
                <w:rFonts w:ascii="Times New Roman" w:hAnsi="Times New Roman"/>
                <w:b/>
                <w:szCs w:val="22"/>
              </w:rPr>
            </w:pPr>
          </w:p>
        </w:tc>
        <w:tc>
          <w:tcPr>
            <w:tcW w:w="253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2C5403" w:rsidRPr="002C5403" w:rsidRDefault="002C5403" w:rsidP="002C5403">
            <w:pPr>
              <w:jc w:val="center"/>
              <w:rPr>
                <w:rFonts w:ascii="Times New Roman" w:hAnsi="Times New Roman"/>
                <w:b/>
                <w:szCs w:val="22"/>
              </w:rPr>
            </w:pPr>
            <w:r w:rsidRPr="002C5403">
              <w:rPr>
                <w:rFonts w:ascii="Times New Roman" w:hAnsi="Times New Roman"/>
                <w:b/>
                <w:szCs w:val="22"/>
              </w:rPr>
              <w:t>Number of Accounts</w:t>
            </w:r>
          </w:p>
        </w:tc>
      </w:tr>
      <w:tr w:rsidR="004835AA" w:rsidRPr="003D34C7" w:rsidTr="002C5403">
        <w:tc>
          <w:tcPr>
            <w:tcW w:w="24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835AA" w:rsidRPr="002C5403" w:rsidRDefault="00114026" w:rsidP="002C5403">
            <w:pPr>
              <w:jc w:val="center"/>
              <w:rPr>
                <w:rFonts w:ascii="Times New Roman" w:hAnsi="Times New Roman"/>
                <w:b/>
                <w:szCs w:val="22"/>
              </w:rPr>
            </w:pPr>
            <w:r w:rsidRPr="002C5403">
              <w:rPr>
                <w:rFonts w:ascii="Times New Roman" w:hAnsi="Times New Roman"/>
                <w:b/>
                <w:szCs w:val="22"/>
              </w:rPr>
              <w:t>Number</w:t>
            </w:r>
            <w:r w:rsidR="004835AA" w:rsidRPr="002C5403">
              <w:rPr>
                <w:rFonts w:ascii="Times New Roman" w:hAnsi="Times New Roman"/>
                <w:b/>
                <w:szCs w:val="22"/>
              </w:rPr>
              <w:t xml:space="preserve"> of Months Retroactively Billed</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835AA" w:rsidRPr="002C5403" w:rsidRDefault="004835AA" w:rsidP="002C5403">
            <w:pPr>
              <w:jc w:val="center"/>
              <w:rPr>
                <w:rFonts w:ascii="Times New Roman" w:hAnsi="Times New Roman"/>
                <w:b/>
                <w:szCs w:val="22"/>
              </w:rPr>
            </w:pPr>
            <w:r w:rsidRPr="002C5403">
              <w:rPr>
                <w:rFonts w:ascii="Times New Roman" w:hAnsi="Times New Roman"/>
                <w:b/>
                <w:szCs w:val="22"/>
              </w:rPr>
              <w:t>2012</w:t>
            </w:r>
          </w:p>
        </w:tc>
        <w:tc>
          <w:tcPr>
            <w:tcW w:w="8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835AA" w:rsidRPr="002C5403" w:rsidRDefault="004835AA" w:rsidP="002C5403">
            <w:pPr>
              <w:jc w:val="center"/>
              <w:rPr>
                <w:rFonts w:ascii="Times New Roman" w:hAnsi="Times New Roman"/>
                <w:b/>
                <w:szCs w:val="22"/>
              </w:rPr>
            </w:pPr>
            <w:r w:rsidRPr="002C5403">
              <w:rPr>
                <w:rFonts w:ascii="Times New Roman" w:hAnsi="Times New Roman"/>
                <w:b/>
                <w:szCs w:val="22"/>
              </w:rPr>
              <w:t>2013</w:t>
            </w:r>
          </w:p>
        </w:tc>
        <w:tc>
          <w:tcPr>
            <w:tcW w:w="8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835AA" w:rsidRPr="002C5403" w:rsidRDefault="004835AA" w:rsidP="002C5403">
            <w:pPr>
              <w:jc w:val="center"/>
              <w:rPr>
                <w:rFonts w:ascii="Times New Roman" w:hAnsi="Times New Roman"/>
                <w:b/>
                <w:szCs w:val="22"/>
              </w:rPr>
            </w:pPr>
            <w:r w:rsidRPr="002C5403">
              <w:rPr>
                <w:rFonts w:ascii="Times New Roman" w:hAnsi="Times New Roman"/>
                <w:b/>
                <w:szCs w:val="22"/>
              </w:rPr>
              <w:t>2014</w:t>
            </w: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1</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1</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9</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2</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4</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6</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6</w:t>
            </w: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2</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4</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1</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1</w:t>
            </w: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5</w:t>
            </w:r>
          </w:p>
        </w:tc>
        <w:tc>
          <w:tcPr>
            <w:tcW w:w="899"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2</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6</w:t>
            </w:r>
          </w:p>
        </w:tc>
        <w:tc>
          <w:tcPr>
            <w:tcW w:w="899"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r>
      <w:tr w:rsidR="004835AA" w:rsidRPr="003D34C7" w:rsidTr="002C5403">
        <w:tc>
          <w:tcPr>
            <w:tcW w:w="24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7</w:t>
            </w:r>
          </w:p>
        </w:tc>
        <w:tc>
          <w:tcPr>
            <w:tcW w:w="899"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4835AA" w:rsidRPr="003D34C7" w:rsidRDefault="004835AA" w:rsidP="00D6004F">
            <w:pPr>
              <w:jc w:val="right"/>
              <w:rPr>
                <w:rFonts w:ascii="Times New Roman" w:hAnsi="Times New Roman"/>
                <w:szCs w:val="22"/>
              </w:rPr>
            </w:pPr>
            <w:r w:rsidRPr="003D34C7">
              <w:rPr>
                <w:rFonts w:ascii="Times New Roman" w:hAnsi="Times New Roman"/>
                <w:szCs w:val="22"/>
              </w:rPr>
              <w:t>1</w:t>
            </w:r>
          </w:p>
        </w:tc>
        <w:tc>
          <w:tcPr>
            <w:tcW w:w="817" w:type="pct"/>
            <w:tcBorders>
              <w:top w:val="nil"/>
              <w:left w:val="nil"/>
              <w:bottom w:val="single" w:sz="8" w:space="0" w:color="auto"/>
              <w:right w:val="single" w:sz="8" w:space="0" w:color="auto"/>
            </w:tcBorders>
            <w:tcMar>
              <w:top w:w="0" w:type="dxa"/>
              <w:left w:w="108" w:type="dxa"/>
              <w:bottom w:w="0" w:type="dxa"/>
              <w:right w:w="108" w:type="dxa"/>
            </w:tcMar>
          </w:tcPr>
          <w:p w:rsidR="004835AA" w:rsidRPr="003D34C7" w:rsidRDefault="004835AA" w:rsidP="00D6004F">
            <w:pPr>
              <w:jc w:val="right"/>
              <w:rPr>
                <w:rFonts w:ascii="Times New Roman" w:hAnsi="Times New Roman"/>
                <w:szCs w:val="22"/>
              </w:rPr>
            </w:pPr>
          </w:p>
        </w:tc>
      </w:tr>
    </w:tbl>
    <w:p w:rsidR="00F60BE8" w:rsidRDefault="00F60BE8" w:rsidP="00F60BE8">
      <w:pPr>
        <w:pStyle w:val="NoSpacing"/>
        <w:ind w:left="720"/>
        <w:rPr>
          <w:rFonts w:ascii="Times New Roman" w:hAnsi="Times New Roman"/>
          <w:i/>
          <w:sz w:val="24"/>
          <w:szCs w:val="24"/>
        </w:rPr>
      </w:pPr>
    </w:p>
    <w:p w:rsidR="004835AA" w:rsidRPr="00F60BE8" w:rsidRDefault="004835AA" w:rsidP="00F60BE8">
      <w:pPr>
        <w:pStyle w:val="NoSpacing"/>
        <w:ind w:left="720"/>
        <w:rPr>
          <w:rFonts w:ascii="Times New Roman" w:hAnsi="Times New Roman"/>
          <w:i/>
          <w:sz w:val="24"/>
          <w:szCs w:val="24"/>
        </w:rPr>
      </w:pPr>
      <w:r w:rsidRPr="00F60BE8">
        <w:rPr>
          <w:rFonts w:ascii="Times New Roman" w:hAnsi="Times New Roman"/>
          <w:i/>
          <w:sz w:val="24"/>
          <w:szCs w:val="24"/>
        </w:rPr>
        <w:lastRenderedPageBreak/>
        <w:t>b.</w:t>
      </w:r>
      <w:r w:rsidRPr="00F60BE8">
        <w:rPr>
          <w:rFonts w:ascii="Times New Roman" w:hAnsi="Times New Roman"/>
          <w:i/>
          <w:sz w:val="24"/>
          <w:szCs w:val="24"/>
        </w:rPr>
        <w:tab/>
        <w:t>Total number of unidentified energy usage meters.</w:t>
      </w:r>
      <w:r w:rsidR="0058550B" w:rsidRPr="00F60BE8">
        <w:rPr>
          <w:rFonts w:ascii="Times New Roman" w:hAnsi="Times New Roman"/>
          <w:i/>
          <w:sz w:val="24"/>
          <w:szCs w:val="24"/>
        </w:rPr>
        <w:t xml:space="preserve"> </w:t>
      </w:r>
    </w:p>
    <w:p w:rsidR="002C5403" w:rsidRPr="0058550B" w:rsidRDefault="002C5403" w:rsidP="003B228E">
      <w:pPr>
        <w:pStyle w:val="NoSpacing"/>
        <w:rPr>
          <w:rFonts w:ascii="Times New Roman" w:hAnsi="Times New Roman"/>
          <w:sz w:val="24"/>
          <w:szCs w:val="24"/>
        </w:rPr>
      </w:pPr>
    </w:p>
    <w:tbl>
      <w:tblPr>
        <w:tblW w:w="2876" w:type="pct"/>
        <w:tblInd w:w="1440" w:type="dxa"/>
        <w:tblLayout w:type="fixed"/>
        <w:tblLook w:val="04A0" w:firstRow="1" w:lastRow="0" w:firstColumn="1" w:lastColumn="0" w:noHBand="0" w:noVBand="1"/>
      </w:tblPr>
      <w:tblGrid>
        <w:gridCol w:w="2716"/>
        <w:gridCol w:w="993"/>
        <w:gridCol w:w="901"/>
        <w:gridCol w:w="898"/>
      </w:tblGrid>
      <w:tr w:rsidR="002C5403" w:rsidRPr="007732C4" w:rsidTr="002C5403">
        <w:trPr>
          <w:trHeight w:val="300"/>
        </w:trPr>
        <w:tc>
          <w:tcPr>
            <w:tcW w:w="24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C5403" w:rsidRPr="002C5403" w:rsidRDefault="002C5403" w:rsidP="002C5403">
            <w:pPr>
              <w:jc w:val="center"/>
              <w:rPr>
                <w:rFonts w:ascii="Times New Roman" w:eastAsia="Times New Roman" w:hAnsi="Times New Roman"/>
                <w:b/>
                <w:color w:val="000000"/>
                <w:szCs w:val="24"/>
              </w:rPr>
            </w:pPr>
          </w:p>
        </w:tc>
        <w:tc>
          <w:tcPr>
            <w:tcW w:w="2534" w:type="pct"/>
            <w:gridSpan w:val="3"/>
            <w:tcBorders>
              <w:top w:val="single" w:sz="4" w:space="0" w:color="auto"/>
              <w:left w:val="nil"/>
              <w:bottom w:val="single" w:sz="4" w:space="0" w:color="auto"/>
              <w:right w:val="single" w:sz="4" w:space="0" w:color="auto"/>
            </w:tcBorders>
            <w:shd w:val="clear" w:color="auto" w:fill="auto"/>
            <w:noWrap/>
            <w:vAlign w:val="bottom"/>
          </w:tcPr>
          <w:p w:rsidR="002C5403" w:rsidRPr="002C5403" w:rsidRDefault="002C5403" w:rsidP="002C5403">
            <w:pPr>
              <w:jc w:val="center"/>
              <w:rPr>
                <w:rFonts w:ascii="Times New Roman" w:eastAsia="Times New Roman" w:hAnsi="Times New Roman"/>
                <w:b/>
                <w:color w:val="000000"/>
                <w:szCs w:val="24"/>
              </w:rPr>
            </w:pPr>
            <w:r w:rsidRPr="002C5403">
              <w:rPr>
                <w:rFonts w:ascii="Times New Roman" w:hAnsi="Times New Roman"/>
                <w:b/>
                <w:szCs w:val="22"/>
              </w:rPr>
              <w:t>Number of Accounts</w:t>
            </w:r>
          </w:p>
        </w:tc>
      </w:tr>
      <w:tr w:rsidR="002C5403" w:rsidRPr="007732C4" w:rsidTr="002C5403">
        <w:trPr>
          <w:trHeight w:val="300"/>
        </w:trPr>
        <w:tc>
          <w:tcPr>
            <w:tcW w:w="2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E3" w:rsidRPr="002C5403" w:rsidRDefault="00114026" w:rsidP="002C5403">
            <w:pPr>
              <w:jc w:val="center"/>
              <w:rPr>
                <w:rFonts w:ascii="Times New Roman" w:eastAsia="Times New Roman" w:hAnsi="Times New Roman"/>
                <w:b/>
                <w:color w:val="000000"/>
                <w:szCs w:val="24"/>
              </w:rPr>
            </w:pPr>
            <w:r w:rsidRPr="002C5403">
              <w:rPr>
                <w:rFonts w:ascii="Times New Roman" w:eastAsia="Times New Roman" w:hAnsi="Times New Roman"/>
                <w:b/>
                <w:color w:val="000000"/>
                <w:szCs w:val="24"/>
              </w:rPr>
              <w:t>Number</w:t>
            </w:r>
            <w:r w:rsidR="00A04074" w:rsidRPr="002C5403">
              <w:rPr>
                <w:rFonts w:ascii="Times New Roman" w:eastAsia="Times New Roman" w:hAnsi="Times New Roman"/>
                <w:b/>
                <w:color w:val="000000"/>
                <w:szCs w:val="24"/>
              </w:rPr>
              <w:t xml:space="preserve"> of </w:t>
            </w:r>
            <w:r w:rsidR="00C745E3" w:rsidRPr="002C5403">
              <w:rPr>
                <w:rFonts w:ascii="Times New Roman" w:eastAsia="Times New Roman" w:hAnsi="Times New Roman"/>
                <w:b/>
                <w:color w:val="000000"/>
                <w:szCs w:val="24"/>
              </w:rPr>
              <w:t>Months</w:t>
            </w:r>
            <w:r w:rsidR="00A04074" w:rsidRPr="002C5403">
              <w:rPr>
                <w:rFonts w:ascii="Times New Roman" w:eastAsia="Times New Roman" w:hAnsi="Times New Roman"/>
                <w:b/>
                <w:color w:val="000000"/>
                <w:szCs w:val="24"/>
              </w:rPr>
              <w:t xml:space="preserve"> Retroactively Billed</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C745E3" w:rsidRPr="002C5403" w:rsidRDefault="00C745E3" w:rsidP="002C5403">
            <w:pPr>
              <w:jc w:val="center"/>
              <w:rPr>
                <w:rFonts w:ascii="Times New Roman" w:eastAsia="Times New Roman" w:hAnsi="Times New Roman"/>
                <w:b/>
                <w:color w:val="000000"/>
                <w:szCs w:val="24"/>
              </w:rPr>
            </w:pPr>
            <w:r w:rsidRPr="002C5403">
              <w:rPr>
                <w:rFonts w:ascii="Times New Roman" w:eastAsia="Times New Roman" w:hAnsi="Times New Roman"/>
                <w:b/>
                <w:color w:val="000000"/>
                <w:szCs w:val="24"/>
              </w:rPr>
              <w:t>2012</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rsidR="00C745E3" w:rsidRPr="002C5403" w:rsidRDefault="00C745E3" w:rsidP="002C5403">
            <w:pPr>
              <w:jc w:val="center"/>
              <w:rPr>
                <w:rFonts w:ascii="Times New Roman" w:eastAsia="Times New Roman" w:hAnsi="Times New Roman"/>
                <w:b/>
                <w:color w:val="000000"/>
                <w:szCs w:val="24"/>
              </w:rPr>
            </w:pPr>
            <w:r w:rsidRPr="002C5403">
              <w:rPr>
                <w:rFonts w:ascii="Times New Roman" w:eastAsia="Times New Roman" w:hAnsi="Times New Roman"/>
                <w:b/>
                <w:color w:val="000000"/>
                <w:szCs w:val="24"/>
              </w:rPr>
              <w:t>2013</w:t>
            </w:r>
          </w:p>
        </w:tc>
        <w:tc>
          <w:tcPr>
            <w:tcW w:w="816" w:type="pct"/>
            <w:tcBorders>
              <w:top w:val="single" w:sz="4" w:space="0" w:color="auto"/>
              <w:left w:val="nil"/>
              <w:bottom w:val="single" w:sz="4" w:space="0" w:color="auto"/>
              <w:right w:val="single" w:sz="4" w:space="0" w:color="auto"/>
            </w:tcBorders>
            <w:shd w:val="clear" w:color="auto" w:fill="auto"/>
            <w:noWrap/>
            <w:vAlign w:val="bottom"/>
            <w:hideMark/>
          </w:tcPr>
          <w:p w:rsidR="00C745E3" w:rsidRPr="002C5403" w:rsidRDefault="00C745E3" w:rsidP="002C5403">
            <w:pPr>
              <w:jc w:val="center"/>
              <w:rPr>
                <w:rFonts w:ascii="Times New Roman" w:eastAsia="Times New Roman" w:hAnsi="Times New Roman"/>
                <w:b/>
                <w:color w:val="000000"/>
                <w:szCs w:val="24"/>
              </w:rPr>
            </w:pPr>
            <w:r w:rsidRPr="002C5403">
              <w:rPr>
                <w:rFonts w:ascii="Times New Roman" w:eastAsia="Times New Roman" w:hAnsi="Times New Roman"/>
                <w:b/>
                <w:color w:val="000000"/>
                <w:szCs w:val="24"/>
              </w:rPr>
              <w:t>2014</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1</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1994</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1652</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874</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2</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832</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746</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414</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3</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431</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344</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198</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4</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162</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113</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128</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5</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47</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61</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41</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6</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41</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27</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20</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7</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16</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18</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8</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14</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5</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6</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9</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5</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5</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10</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9</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4</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rPr>
                <w:rFonts w:ascii="Times New Roman" w:eastAsia="Times New Roman" w:hAnsi="Times New Roman"/>
                <w:color w:val="000000"/>
                <w:szCs w:val="24"/>
              </w:rPr>
            </w:pP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11</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6</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C745E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12</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2</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rPr>
                <w:rFonts w:ascii="Times New Roman" w:eastAsia="Times New Roman" w:hAnsi="Times New Roman"/>
                <w:color w:val="000000"/>
                <w:szCs w:val="24"/>
              </w:rPr>
            </w:pP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2</w:t>
            </w:r>
          </w:p>
        </w:tc>
      </w:tr>
      <w:tr w:rsidR="002C5403" w:rsidRPr="007732C4" w:rsidTr="002C5403">
        <w:trPr>
          <w:trHeight w:val="300"/>
        </w:trPr>
        <w:tc>
          <w:tcPr>
            <w:tcW w:w="2466" w:type="pct"/>
            <w:tcBorders>
              <w:top w:val="nil"/>
              <w:left w:val="single" w:sz="4" w:space="0" w:color="auto"/>
              <w:bottom w:val="single" w:sz="4" w:space="0" w:color="auto"/>
              <w:right w:val="single" w:sz="4" w:space="0" w:color="auto"/>
            </w:tcBorders>
            <w:shd w:val="clear" w:color="auto" w:fill="auto"/>
            <w:noWrap/>
            <w:vAlign w:val="bottom"/>
            <w:hideMark/>
          </w:tcPr>
          <w:p w:rsidR="002C5403" w:rsidRPr="002C5403" w:rsidRDefault="002C5403" w:rsidP="002C5403">
            <w:pPr>
              <w:jc w:val="right"/>
              <w:rPr>
                <w:rFonts w:ascii="Times New Roman" w:eastAsia="Times New Roman" w:hAnsi="Times New Roman"/>
                <w:color w:val="000000"/>
                <w:szCs w:val="24"/>
              </w:rPr>
            </w:pPr>
            <w:r w:rsidRPr="002C5403">
              <w:rPr>
                <w:rFonts w:ascii="Times New Roman" w:eastAsia="Times New Roman" w:hAnsi="Times New Roman"/>
                <w:color w:val="000000"/>
                <w:szCs w:val="24"/>
              </w:rPr>
              <w:t>Greater than 12 months</w:t>
            </w:r>
          </w:p>
        </w:tc>
        <w:tc>
          <w:tcPr>
            <w:tcW w:w="901"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11</w:t>
            </w:r>
          </w:p>
        </w:tc>
        <w:tc>
          <w:tcPr>
            <w:tcW w:w="818" w:type="pct"/>
            <w:tcBorders>
              <w:top w:val="nil"/>
              <w:left w:val="nil"/>
              <w:bottom w:val="single" w:sz="4" w:space="0" w:color="auto"/>
              <w:right w:val="single" w:sz="4" w:space="0" w:color="auto"/>
            </w:tcBorders>
            <w:shd w:val="clear" w:color="auto" w:fill="auto"/>
            <w:noWrap/>
            <w:hideMark/>
          </w:tcPr>
          <w:p w:rsidR="002C5403" w:rsidRPr="007732C4" w:rsidRDefault="002C5403" w:rsidP="00C745E3">
            <w:pPr>
              <w:jc w:val="right"/>
              <w:rPr>
                <w:rFonts w:ascii="Times New Roman" w:eastAsia="Times New Roman" w:hAnsi="Times New Roman"/>
                <w:color w:val="000000"/>
                <w:szCs w:val="24"/>
              </w:rPr>
            </w:pPr>
            <w:r w:rsidRPr="00CB139C">
              <w:t>8</w:t>
            </w:r>
          </w:p>
        </w:tc>
        <w:tc>
          <w:tcPr>
            <w:tcW w:w="816" w:type="pct"/>
            <w:tcBorders>
              <w:top w:val="nil"/>
              <w:left w:val="nil"/>
              <w:bottom w:val="single" w:sz="4" w:space="0" w:color="auto"/>
              <w:right w:val="single" w:sz="4" w:space="0" w:color="auto"/>
            </w:tcBorders>
            <w:shd w:val="clear" w:color="auto" w:fill="auto"/>
            <w:noWrap/>
            <w:hideMark/>
          </w:tcPr>
          <w:p w:rsidR="002C5403" w:rsidRPr="007732C4" w:rsidRDefault="002C5403" w:rsidP="002C5403">
            <w:pPr>
              <w:jc w:val="right"/>
              <w:rPr>
                <w:rFonts w:ascii="Times New Roman" w:eastAsia="Times New Roman" w:hAnsi="Times New Roman"/>
                <w:color w:val="000000"/>
                <w:szCs w:val="24"/>
              </w:rPr>
            </w:pPr>
            <w:r w:rsidRPr="00CB139C">
              <w:t>8</w:t>
            </w:r>
          </w:p>
        </w:tc>
      </w:tr>
    </w:tbl>
    <w:p w:rsidR="00AC5B73" w:rsidRDefault="00AC5B73" w:rsidP="00495198">
      <w:pPr>
        <w:pStyle w:val="NoSpacing"/>
        <w:ind w:firstLine="720"/>
        <w:rPr>
          <w:rFonts w:ascii="Times New Roman" w:hAnsi="Times New Roman"/>
          <w:sz w:val="24"/>
          <w:szCs w:val="24"/>
        </w:rPr>
      </w:pPr>
    </w:p>
    <w:p w:rsidR="004835AA" w:rsidRPr="00BB376C" w:rsidRDefault="004835AA" w:rsidP="00495198">
      <w:pPr>
        <w:pStyle w:val="Default"/>
        <w:numPr>
          <w:ilvl w:val="0"/>
          <w:numId w:val="3"/>
        </w:numPr>
        <w:rPr>
          <w:b/>
        </w:rPr>
      </w:pPr>
      <w:r w:rsidRPr="00BB376C">
        <w:rPr>
          <w:b/>
        </w:rPr>
        <w:t xml:space="preserve">What is the company’s policy regarding bill settlement for metering errors? </w:t>
      </w:r>
    </w:p>
    <w:p w:rsidR="0035421B" w:rsidRDefault="0035421B" w:rsidP="00495198">
      <w:pPr>
        <w:pStyle w:val="Default"/>
        <w:ind w:left="720"/>
      </w:pPr>
    </w:p>
    <w:p w:rsidR="004835AA" w:rsidRDefault="00B05649" w:rsidP="00495198">
      <w:pPr>
        <w:pStyle w:val="Default"/>
        <w:ind w:left="720"/>
      </w:pPr>
      <w:r>
        <w:t xml:space="preserve">After </w:t>
      </w:r>
      <w:r w:rsidR="004835AA">
        <w:t>Pacific Power identifies a stopped meter</w:t>
      </w:r>
      <w:r>
        <w:t>,</w:t>
      </w:r>
      <w:r w:rsidR="004835AA">
        <w:t xml:space="preserve"> it follows </w:t>
      </w:r>
      <w:r>
        <w:t xml:space="preserve">the </w:t>
      </w:r>
      <w:r w:rsidR="004835AA">
        <w:t>Company</w:t>
      </w:r>
      <w:r>
        <w:t>’s</w:t>
      </w:r>
      <w:r w:rsidR="004835AA">
        <w:t xml:space="preserve"> tariff Rule 10, </w:t>
      </w:r>
      <w:r w:rsidR="004835AA" w:rsidRPr="00EB6D93">
        <w:rPr>
          <w:i/>
        </w:rPr>
        <w:t>Billing</w:t>
      </w:r>
      <w:r w:rsidR="004835AA">
        <w:t xml:space="preserve">, Section D, </w:t>
      </w:r>
      <w:proofErr w:type="gramStart"/>
      <w:r w:rsidR="004835AA" w:rsidRPr="00EB6D93">
        <w:rPr>
          <w:i/>
        </w:rPr>
        <w:t>Adjustment</w:t>
      </w:r>
      <w:proofErr w:type="gramEnd"/>
      <w:r w:rsidR="004835AA" w:rsidRPr="00EB6D93">
        <w:rPr>
          <w:i/>
        </w:rPr>
        <w:t xml:space="preserve"> for Billing Errors</w:t>
      </w:r>
      <w:r>
        <w:rPr>
          <w:i/>
        </w:rPr>
        <w:t xml:space="preserve">, </w:t>
      </w:r>
      <w:r>
        <w:t>when making any billing adjustments</w:t>
      </w:r>
      <w:r w:rsidR="004835AA">
        <w:t>.  Adjustments for billing errors will not exceed six months unless the Company can identify the cause of the error and the date the error occurred.  However, in no case would the Company adjust the billing for more than three years.</w:t>
      </w:r>
    </w:p>
    <w:p w:rsidR="004835AA" w:rsidRDefault="004835AA" w:rsidP="00495198">
      <w:pPr>
        <w:pStyle w:val="Default"/>
        <w:ind w:left="720"/>
      </w:pPr>
    </w:p>
    <w:p w:rsidR="004835AA" w:rsidRDefault="004835AA" w:rsidP="00495198">
      <w:pPr>
        <w:pStyle w:val="Default"/>
        <w:ind w:left="720"/>
      </w:pPr>
      <w:r>
        <w:t>Pacific Power does not consider unidentified energy usage</w:t>
      </w:r>
      <w:r w:rsidR="0035421B">
        <w:t xml:space="preserve"> (e.g. </w:t>
      </w:r>
      <w:r>
        <w:t>situations where a customer has moved into a location and used the electricity prior to applying for service</w:t>
      </w:r>
      <w:r w:rsidR="0035421B">
        <w:t>)</w:t>
      </w:r>
      <w:r>
        <w:t xml:space="preserve"> a</w:t>
      </w:r>
      <w:r w:rsidR="0035421B">
        <w:t>s</w:t>
      </w:r>
      <w:r>
        <w:t xml:space="preserve"> metering error</w:t>
      </w:r>
      <w:r w:rsidR="0035421B">
        <w:t>s</w:t>
      </w:r>
      <w:r>
        <w:t xml:space="preserve">.  </w:t>
      </w:r>
      <w:r w:rsidR="0035421B">
        <w:t>The Company treats</w:t>
      </w:r>
      <w:r>
        <w:t xml:space="preserve"> these situations</w:t>
      </w:r>
      <w:r w:rsidR="0035421B">
        <w:t xml:space="preserve"> as</w:t>
      </w:r>
      <w:r>
        <w:t xml:space="preserve"> a backdated connection of service.  If Pacific Power determines that the customer used the electricity </w:t>
      </w:r>
      <w:r w:rsidR="0035421B">
        <w:t>before</w:t>
      </w:r>
      <w:r>
        <w:t xml:space="preserve"> applying for service, the customer is billed for the energy </w:t>
      </w:r>
      <w:r w:rsidR="00A2042D">
        <w:t>it</w:t>
      </w:r>
      <w:r>
        <w:t xml:space="preserve"> used in accordance with Washington Administrative Code (WAC) 480-100-128(f).</w:t>
      </w:r>
    </w:p>
    <w:p w:rsidR="004835AA" w:rsidRDefault="004835AA" w:rsidP="00495198">
      <w:pPr>
        <w:pStyle w:val="Default"/>
      </w:pPr>
    </w:p>
    <w:p w:rsidR="004835AA" w:rsidRPr="00BB376C" w:rsidRDefault="004835AA" w:rsidP="00D6004F">
      <w:pPr>
        <w:pStyle w:val="Default"/>
        <w:numPr>
          <w:ilvl w:val="0"/>
          <w:numId w:val="3"/>
        </w:numPr>
        <w:rPr>
          <w:b/>
        </w:rPr>
      </w:pPr>
      <w:r w:rsidRPr="00BB376C">
        <w:rPr>
          <w:b/>
        </w:rPr>
        <w:t xml:space="preserve">Does the company have a billing threshold before investigating zero-read meter readings or unidentified energy usage? If so, please provide information on the company’s minimum billing threshold. </w:t>
      </w:r>
    </w:p>
    <w:p w:rsidR="0035421B" w:rsidRDefault="0035421B" w:rsidP="00495198">
      <w:pPr>
        <w:pStyle w:val="Default"/>
        <w:ind w:left="720"/>
      </w:pPr>
    </w:p>
    <w:p w:rsidR="00503978" w:rsidRDefault="004835AA" w:rsidP="00495198">
      <w:pPr>
        <w:pStyle w:val="Default"/>
        <w:ind w:left="720"/>
      </w:pPr>
      <w:r>
        <w:t>Yes, the Company uses</w:t>
      </w:r>
      <w:r w:rsidRPr="00683D6D">
        <w:t xml:space="preserve"> thresholds to initiate investigations of zero-read meters </w:t>
      </w:r>
      <w:r w:rsidR="00503978">
        <w:t>and</w:t>
      </w:r>
      <w:r w:rsidRPr="00683D6D">
        <w:t xml:space="preserve"> unidentified energy usage. </w:t>
      </w:r>
      <w:r w:rsidR="0035421B">
        <w:t xml:space="preserve"> </w:t>
      </w:r>
      <w:r w:rsidRPr="00683D6D">
        <w:t>The Company</w:t>
      </w:r>
      <w:r w:rsidR="00503978">
        <w:t xml:space="preserve">’s </w:t>
      </w:r>
      <w:r w:rsidR="00282791">
        <w:t>C</w:t>
      </w:r>
      <w:r w:rsidR="00503978">
        <w:t xml:space="preserve">ustomer </w:t>
      </w:r>
      <w:r w:rsidR="00282791">
        <w:t>S</w:t>
      </w:r>
      <w:r w:rsidR="00503978">
        <w:t xml:space="preserve">ervice </w:t>
      </w:r>
      <w:r w:rsidR="00282791">
        <w:t>S</w:t>
      </w:r>
      <w:r w:rsidR="00503978">
        <w:t xml:space="preserve">ystem </w:t>
      </w:r>
      <w:r w:rsidR="00B05649">
        <w:t xml:space="preserve">(CSS) </w:t>
      </w:r>
      <w:r w:rsidRPr="00683D6D">
        <w:t>has progra</w:t>
      </w:r>
      <w:r>
        <w:t>m</w:t>
      </w:r>
      <w:r w:rsidRPr="00683D6D">
        <w:t>med several thresholds or error criteria that, when met, will prompt a manual review</w:t>
      </w:r>
      <w:r w:rsidR="00503978">
        <w:t xml:space="preserve"> of the account </w:t>
      </w:r>
      <w:r w:rsidR="0035421B">
        <w:t>before</w:t>
      </w:r>
      <w:r w:rsidR="00503978">
        <w:t xml:space="preserve"> billing</w:t>
      </w:r>
      <w:r w:rsidRPr="00683D6D">
        <w:t>.</w:t>
      </w:r>
    </w:p>
    <w:p w:rsidR="00503978" w:rsidRDefault="00503978" w:rsidP="00495198">
      <w:pPr>
        <w:pStyle w:val="Default"/>
        <w:ind w:left="720"/>
      </w:pPr>
    </w:p>
    <w:p w:rsidR="00F60BE8" w:rsidRDefault="00F60BE8">
      <w:pPr>
        <w:rPr>
          <w:rFonts w:ascii="Times New Roman" w:eastAsiaTheme="minorHAnsi" w:hAnsi="Times New Roman"/>
          <w:color w:val="000000"/>
          <w:szCs w:val="24"/>
        </w:rPr>
      </w:pPr>
      <w:r>
        <w:br w:type="page"/>
      </w:r>
    </w:p>
    <w:p w:rsidR="004835AA" w:rsidRPr="00683D6D" w:rsidRDefault="004835AA" w:rsidP="00495198">
      <w:pPr>
        <w:pStyle w:val="Default"/>
        <w:ind w:left="720"/>
      </w:pPr>
      <w:r w:rsidRPr="00683D6D">
        <w:lastRenderedPageBreak/>
        <w:t xml:space="preserve">The thresholds are as follows:   </w:t>
      </w:r>
    </w:p>
    <w:p w:rsidR="004835AA" w:rsidRPr="00683D6D" w:rsidRDefault="004835AA" w:rsidP="00495198">
      <w:pPr>
        <w:pStyle w:val="Default"/>
        <w:numPr>
          <w:ilvl w:val="0"/>
          <w:numId w:val="4"/>
        </w:numPr>
      </w:pPr>
      <w:r w:rsidRPr="00683D6D">
        <w:t xml:space="preserve">Meters with zero use will </w:t>
      </w:r>
      <w:r>
        <w:t>be included on the Zero Consumption R</w:t>
      </w:r>
      <w:r w:rsidRPr="00683D6D">
        <w:t>eport for manual review after</w:t>
      </w:r>
      <w:r>
        <w:t xml:space="preserve"> two months of:</w:t>
      </w:r>
    </w:p>
    <w:p w:rsidR="004835AA" w:rsidRPr="00683D6D" w:rsidRDefault="004835AA" w:rsidP="00495198">
      <w:pPr>
        <w:pStyle w:val="Default"/>
        <w:numPr>
          <w:ilvl w:val="1"/>
          <w:numId w:val="4"/>
        </w:numPr>
      </w:pPr>
      <w:r>
        <w:t>z</w:t>
      </w:r>
      <w:r w:rsidRPr="00683D6D">
        <w:t>ero usage</w:t>
      </w:r>
      <w:r>
        <w:t xml:space="preserve"> for residential and non-residential service;</w:t>
      </w:r>
    </w:p>
    <w:p w:rsidR="004835AA" w:rsidRPr="00683D6D" w:rsidRDefault="004835AA" w:rsidP="00495198">
      <w:pPr>
        <w:pStyle w:val="Default"/>
        <w:numPr>
          <w:ilvl w:val="1"/>
          <w:numId w:val="4"/>
        </w:numPr>
      </w:pPr>
      <w:r w:rsidRPr="00683D6D">
        <w:t>25 percent fluctuation on nonresidential load</w:t>
      </w:r>
      <w:r>
        <w:t>;</w:t>
      </w:r>
    </w:p>
    <w:p w:rsidR="004835AA" w:rsidRPr="00683D6D" w:rsidRDefault="004835AA" w:rsidP="00495198">
      <w:pPr>
        <w:pStyle w:val="Default"/>
        <w:numPr>
          <w:ilvl w:val="1"/>
          <w:numId w:val="4"/>
        </w:numPr>
      </w:pPr>
      <w:r>
        <w:t>z</w:t>
      </w:r>
      <w:r w:rsidRPr="00683D6D">
        <w:t>ero usage on an occupied rental</w:t>
      </w:r>
      <w:r>
        <w:t>; or</w:t>
      </w:r>
    </w:p>
    <w:p w:rsidR="004835AA" w:rsidRPr="00683D6D" w:rsidRDefault="004835AA" w:rsidP="00495198">
      <w:pPr>
        <w:pStyle w:val="Default"/>
        <w:numPr>
          <w:ilvl w:val="1"/>
          <w:numId w:val="4"/>
        </w:numPr>
      </w:pPr>
      <w:proofErr w:type="gramStart"/>
      <w:r>
        <w:t>z</w:t>
      </w:r>
      <w:r w:rsidRPr="00683D6D">
        <w:t>ero</w:t>
      </w:r>
      <w:proofErr w:type="gramEnd"/>
      <w:r w:rsidRPr="00683D6D">
        <w:t xml:space="preserve"> consumption for more than 12 months on an irrigation </w:t>
      </w:r>
      <w:r>
        <w:t>service</w:t>
      </w:r>
      <w:r w:rsidRPr="00683D6D">
        <w:t xml:space="preserve">.  </w:t>
      </w:r>
    </w:p>
    <w:p w:rsidR="004835AA" w:rsidRPr="00683D6D" w:rsidRDefault="004835AA" w:rsidP="00495198">
      <w:pPr>
        <w:pStyle w:val="Default"/>
        <w:numPr>
          <w:ilvl w:val="0"/>
          <w:numId w:val="4"/>
        </w:numPr>
      </w:pPr>
      <w:r w:rsidRPr="00683D6D">
        <w:t>Meters with no customer of record</w:t>
      </w:r>
      <w:r w:rsidR="00114026">
        <w:t>, or unidentified energy usage,</w:t>
      </w:r>
      <w:r w:rsidRPr="00683D6D">
        <w:t xml:space="preserve"> will have a </w:t>
      </w:r>
      <w:r w:rsidR="00B05649">
        <w:t xml:space="preserve">work </w:t>
      </w:r>
      <w:r w:rsidRPr="00683D6D">
        <w:t xml:space="preserve">order </w:t>
      </w:r>
      <w:r w:rsidR="00B05649">
        <w:t xml:space="preserve">to disconnect service </w:t>
      </w:r>
      <w:r w:rsidRPr="00683D6D">
        <w:t xml:space="preserve">generated </w:t>
      </w:r>
      <w:r>
        <w:t>after</w:t>
      </w:r>
      <w:r w:rsidRPr="00683D6D">
        <w:t xml:space="preserve"> 1,000 </w:t>
      </w:r>
      <w:r>
        <w:t>kWh</w:t>
      </w:r>
      <w:r w:rsidRPr="00683D6D">
        <w:t xml:space="preserve"> are used.  </w:t>
      </w:r>
    </w:p>
    <w:p w:rsidR="004835AA" w:rsidRDefault="004835AA" w:rsidP="00D6004F">
      <w:pPr>
        <w:pStyle w:val="Default"/>
      </w:pPr>
    </w:p>
    <w:p w:rsidR="004835AA" w:rsidRPr="00BB376C" w:rsidRDefault="004835AA" w:rsidP="00495198">
      <w:pPr>
        <w:pStyle w:val="Default"/>
        <w:numPr>
          <w:ilvl w:val="0"/>
          <w:numId w:val="3"/>
        </w:numPr>
        <w:rPr>
          <w:b/>
        </w:rPr>
      </w:pPr>
      <w:r w:rsidRPr="00BB376C">
        <w:rPr>
          <w:b/>
        </w:rPr>
        <w:t xml:space="preserve">Does the company have specific goals regarding the identification and resolution of stopped meters and unidentified energy usage meters? </w:t>
      </w:r>
    </w:p>
    <w:p w:rsidR="00D6004F" w:rsidRDefault="00D6004F" w:rsidP="00495198">
      <w:pPr>
        <w:pStyle w:val="NoSpacing"/>
        <w:ind w:left="720"/>
        <w:rPr>
          <w:rFonts w:ascii="Times New Roman" w:hAnsi="Times New Roman"/>
          <w:sz w:val="24"/>
          <w:szCs w:val="24"/>
        </w:rPr>
      </w:pPr>
    </w:p>
    <w:p w:rsidR="004835AA" w:rsidRDefault="004835AA" w:rsidP="00495198">
      <w:pPr>
        <w:pStyle w:val="NoSpacing"/>
        <w:ind w:left="720"/>
        <w:rPr>
          <w:rFonts w:ascii="Times New Roman" w:hAnsi="Times New Roman"/>
          <w:sz w:val="24"/>
          <w:szCs w:val="24"/>
        </w:rPr>
      </w:pPr>
      <w:r>
        <w:rPr>
          <w:rFonts w:ascii="Times New Roman" w:hAnsi="Times New Roman"/>
          <w:sz w:val="24"/>
          <w:szCs w:val="24"/>
        </w:rPr>
        <w:t>Pacific Power’s goal is to identify and resolve stopped meter</w:t>
      </w:r>
      <w:r w:rsidR="00503978">
        <w:rPr>
          <w:rFonts w:ascii="Times New Roman" w:hAnsi="Times New Roman"/>
          <w:sz w:val="24"/>
          <w:szCs w:val="24"/>
        </w:rPr>
        <w:t>s and unidentified energy usage meters based on the criteria described in 4 above</w:t>
      </w:r>
      <w:r>
        <w:rPr>
          <w:rFonts w:ascii="Times New Roman" w:hAnsi="Times New Roman"/>
          <w:sz w:val="24"/>
          <w:szCs w:val="24"/>
        </w:rPr>
        <w:t xml:space="preserve">.  </w:t>
      </w:r>
    </w:p>
    <w:p w:rsidR="00AC5B73" w:rsidRDefault="00AC5B73" w:rsidP="00495198">
      <w:pPr>
        <w:pStyle w:val="NoSpacing"/>
        <w:ind w:left="720"/>
        <w:rPr>
          <w:rFonts w:ascii="Times New Roman" w:hAnsi="Times New Roman"/>
          <w:sz w:val="24"/>
          <w:szCs w:val="24"/>
        </w:rPr>
      </w:pPr>
    </w:p>
    <w:p w:rsidR="004835AA" w:rsidRDefault="004835AA" w:rsidP="00495198">
      <w:pPr>
        <w:pStyle w:val="Default"/>
        <w:ind w:left="720"/>
      </w:pPr>
      <w:r>
        <w:t xml:space="preserve">Under Pacific Power’s Customer Service Guarantee Program, customer initiated inquiries related to billing or metering problems will be investigated and responded to within ten business days. </w:t>
      </w:r>
    </w:p>
    <w:p w:rsidR="004835AA" w:rsidRDefault="004835AA" w:rsidP="00495198">
      <w:pPr>
        <w:pStyle w:val="Default"/>
        <w:ind w:left="720"/>
      </w:pPr>
    </w:p>
    <w:p w:rsidR="004835AA" w:rsidRPr="00BB376C" w:rsidRDefault="004835AA" w:rsidP="00495198">
      <w:pPr>
        <w:pStyle w:val="Default"/>
        <w:numPr>
          <w:ilvl w:val="0"/>
          <w:numId w:val="3"/>
        </w:numPr>
        <w:rPr>
          <w:b/>
        </w:rPr>
      </w:pPr>
      <w:r w:rsidRPr="00BB376C">
        <w:rPr>
          <w:b/>
        </w:rPr>
        <w:t xml:space="preserve">What types of reports does the company generate to help identify stopped meter and unidentified usage meter problems? </w:t>
      </w:r>
    </w:p>
    <w:p w:rsidR="00D6004F" w:rsidRDefault="00D6004F" w:rsidP="00495198">
      <w:pPr>
        <w:pStyle w:val="NoSpacing"/>
        <w:ind w:left="720"/>
        <w:rPr>
          <w:rFonts w:ascii="Times New Roman" w:hAnsi="Times New Roman"/>
          <w:sz w:val="24"/>
          <w:szCs w:val="24"/>
        </w:rPr>
      </w:pPr>
    </w:p>
    <w:p w:rsidR="004835AA" w:rsidRDefault="004835AA" w:rsidP="00495198">
      <w:pPr>
        <w:pStyle w:val="NoSpacing"/>
        <w:ind w:left="720"/>
        <w:rPr>
          <w:rFonts w:ascii="Times New Roman" w:hAnsi="Times New Roman"/>
          <w:sz w:val="24"/>
          <w:szCs w:val="24"/>
        </w:rPr>
      </w:pPr>
      <w:r>
        <w:rPr>
          <w:rFonts w:ascii="Times New Roman" w:hAnsi="Times New Roman"/>
          <w:sz w:val="24"/>
          <w:szCs w:val="24"/>
        </w:rPr>
        <w:t xml:space="preserve">Pacific Power </w:t>
      </w:r>
      <w:r w:rsidR="00D6004F">
        <w:rPr>
          <w:rFonts w:ascii="Times New Roman" w:hAnsi="Times New Roman"/>
          <w:sz w:val="24"/>
          <w:szCs w:val="24"/>
        </w:rPr>
        <w:t xml:space="preserve">uses </w:t>
      </w:r>
      <w:r>
        <w:rPr>
          <w:rFonts w:ascii="Times New Roman" w:hAnsi="Times New Roman"/>
          <w:sz w:val="24"/>
          <w:szCs w:val="24"/>
        </w:rPr>
        <w:t xml:space="preserve">a Zero Consumption Report to identify meters that have </w:t>
      </w:r>
      <w:r w:rsidRPr="00EB641A">
        <w:rPr>
          <w:rFonts w:ascii="Times New Roman" w:hAnsi="Times New Roman"/>
          <w:sz w:val="24"/>
          <w:szCs w:val="24"/>
        </w:rPr>
        <w:t xml:space="preserve">readings and consumption </w:t>
      </w:r>
      <w:r w:rsidR="00114026">
        <w:rPr>
          <w:rFonts w:ascii="Times New Roman" w:hAnsi="Times New Roman"/>
          <w:sz w:val="24"/>
          <w:szCs w:val="24"/>
        </w:rPr>
        <w:t>that</w:t>
      </w:r>
      <w:r w:rsidRPr="00EB641A">
        <w:rPr>
          <w:rFonts w:ascii="Times New Roman" w:hAnsi="Times New Roman"/>
          <w:sz w:val="24"/>
          <w:szCs w:val="24"/>
        </w:rPr>
        <w:t xml:space="preserve"> meet </w:t>
      </w:r>
      <w:r w:rsidR="00BA4A78">
        <w:rPr>
          <w:rFonts w:ascii="Times New Roman" w:hAnsi="Times New Roman"/>
          <w:sz w:val="24"/>
          <w:szCs w:val="24"/>
        </w:rPr>
        <w:t xml:space="preserve">the </w:t>
      </w:r>
      <w:r w:rsidRPr="00EB641A">
        <w:rPr>
          <w:rFonts w:ascii="Times New Roman" w:hAnsi="Times New Roman"/>
          <w:sz w:val="24"/>
          <w:szCs w:val="24"/>
        </w:rPr>
        <w:t>criteria</w:t>
      </w:r>
      <w:r w:rsidR="00BA4A78">
        <w:rPr>
          <w:rFonts w:ascii="Times New Roman" w:hAnsi="Times New Roman"/>
          <w:sz w:val="24"/>
          <w:szCs w:val="24"/>
        </w:rPr>
        <w:t xml:space="preserve"> described</w:t>
      </w:r>
      <w:r w:rsidR="00114026">
        <w:rPr>
          <w:rFonts w:ascii="Times New Roman" w:hAnsi="Times New Roman"/>
          <w:sz w:val="24"/>
          <w:szCs w:val="24"/>
        </w:rPr>
        <w:t xml:space="preserve"> in</w:t>
      </w:r>
      <w:r w:rsidR="00BA4A78">
        <w:rPr>
          <w:rFonts w:ascii="Times New Roman" w:hAnsi="Times New Roman"/>
          <w:sz w:val="24"/>
          <w:szCs w:val="24"/>
        </w:rPr>
        <w:t xml:space="preserve"> 4 above</w:t>
      </w:r>
      <w:r w:rsidRPr="00EB641A">
        <w:rPr>
          <w:rFonts w:ascii="Times New Roman" w:hAnsi="Times New Roman"/>
          <w:sz w:val="24"/>
          <w:szCs w:val="24"/>
        </w:rPr>
        <w:t xml:space="preserve">.  </w:t>
      </w:r>
      <w:r w:rsidR="00217050">
        <w:rPr>
          <w:rFonts w:ascii="Times New Roman" w:hAnsi="Times New Roman"/>
          <w:sz w:val="24"/>
          <w:szCs w:val="24"/>
        </w:rPr>
        <w:t>The Company re</w:t>
      </w:r>
      <w:r w:rsidR="00282791">
        <w:rPr>
          <w:rFonts w:ascii="Times New Roman" w:hAnsi="Times New Roman"/>
          <w:sz w:val="24"/>
          <w:szCs w:val="24"/>
        </w:rPr>
        <w:t>v</w:t>
      </w:r>
      <w:r w:rsidR="00217050">
        <w:rPr>
          <w:rFonts w:ascii="Times New Roman" w:hAnsi="Times New Roman"/>
          <w:sz w:val="24"/>
          <w:szCs w:val="24"/>
        </w:rPr>
        <w:t>i</w:t>
      </w:r>
      <w:r w:rsidR="00282791">
        <w:rPr>
          <w:rFonts w:ascii="Times New Roman" w:hAnsi="Times New Roman"/>
          <w:sz w:val="24"/>
          <w:szCs w:val="24"/>
        </w:rPr>
        <w:t>ews t</w:t>
      </w:r>
      <w:r>
        <w:rPr>
          <w:rFonts w:ascii="Times New Roman" w:hAnsi="Times New Roman"/>
          <w:sz w:val="24"/>
          <w:szCs w:val="24"/>
        </w:rPr>
        <w:t xml:space="preserve">he meter usage history for meters </w:t>
      </w:r>
      <w:r w:rsidR="00114026">
        <w:rPr>
          <w:rFonts w:ascii="Times New Roman" w:hAnsi="Times New Roman"/>
          <w:sz w:val="24"/>
          <w:szCs w:val="24"/>
        </w:rPr>
        <w:t>in</w:t>
      </w:r>
      <w:r>
        <w:rPr>
          <w:rFonts w:ascii="Times New Roman" w:hAnsi="Times New Roman"/>
          <w:sz w:val="24"/>
          <w:szCs w:val="24"/>
        </w:rPr>
        <w:t xml:space="preserve"> the report to determine if a physical inspection of the meters is required.  </w:t>
      </w:r>
      <w:r w:rsidR="00B42EDA">
        <w:rPr>
          <w:rFonts w:ascii="Times New Roman" w:hAnsi="Times New Roman"/>
          <w:sz w:val="24"/>
          <w:szCs w:val="24"/>
        </w:rPr>
        <w:t xml:space="preserve">In addition to the Zero Consumption Report, </w:t>
      </w:r>
      <w:r>
        <w:rPr>
          <w:rFonts w:ascii="Times New Roman" w:hAnsi="Times New Roman"/>
          <w:sz w:val="24"/>
          <w:szCs w:val="24"/>
        </w:rPr>
        <w:t xml:space="preserve">Pacific Power uses </w:t>
      </w:r>
      <w:r w:rsidR="00B42EDA">
        <w:rPr>
          <w:rFonts w:ascii="Times New Roman" w:hAnsi="Times New Roman"/>
          <w:sz w:val="24"/>
          <w:szCs w:val="24"/>
        </w:rPr>
        <w:t xml:space="preserve">other </w:t>
      </w:r>
      <w:r w:rsidR="00B05649">
        <w:rPr>
          <w:rFonts w:ascii="Times New Roman" w:hAnsi="Times New Roman"/>
          <w:sz w:val="24"/>
          <w:szCs w:val="24"/>
        </w:rPr>
        <w:t xml:space="preserve">CSS </w:t>
      </w:r>
      <w:r>
        <w:rPr>
          <w:rFonts w:ascii="Times New Roman" w:hAnsi="Times New Roman"/>
          <w:sz w:val="24"/>
          <w:szCs w:val="24"/>
        </w:rPr>
        <w:t xml:space="preserve">logic to identify potential meter issues and suspend billing for manual review.  When a meter reading triggers </w:t>
      </w:r>
      <w:r w:rsidR="00B42EDA">
        <w:rPr>
          <w:rFonts w:ascii="Times New Roman" w:hAnsi="Times New Roman"/>
          <w:sz w:val="24"/>
          <w:szCs w:val="24"/>
        </w:rPr>
        <w:t>this additional</w:t>
      </w:r>
      <w:r>
        <w:rPr>
          <w:rFonts w:ascii="Times New Roman" w:hAnsi="Times New Roman"/>
          <w:sz w:val="24"/>
          <w:szCs w:val="24"/>
        </w:rPr>
        <w:t xml:space="preserve"> </w:t>
      </w:r>
      <w:r w:rsidR="00B05649">
        <w:rPr>
          <w:rFonts w:ascii="Times New Roman" w:hAnsi="Times New Roman"/>
          <w:sz w:val="24"/>
          <w:szCs w:val="24"/>
        </w:rPr>
        <w:t xml:space="preserve">billing </w:t>
      </w:r>
      <w:r>
        <w:rPr>
          <w:rFonts w:ascii="Times New Roman" w:hAnsi="Times New Roman"/>
          <w:sz w:val="24"/>
          <w:szCs w:val="24"/>
        </w:rPr>
        <w:t xml:space="preserve">suspend criteria, the customer’s account is also manually reviewed to determine if a physical inspection of the meter is required. </w:t>
      </w:r>
      <w:r w:rsidR="00282791">
        <w:rPr>
          <w:rFonts w:ascii="Times New Roman" w:hAnsi="Times New Roman"/>
          <w:sz w:val="24"/>
          <w:szCs w:val="24"/>
        </w:rPr>
        <w:t>If a physical inspection is required,</w:t>
      </w:r>
      <w:r>
        <w:rPr>
          <w:rFonts w:ascii="Times New Roman" w:hAnsi="Times New Roman"/>
          <w:sz w:val="24"/>
          <w:szCs w:val="24"/>
        </w:rPr>
        <w:t xml:space="preserve"> </w:t>
      </w:r>
      <w:r w:rsidR="00282791">
        <w:rPr>
          <w:rFonts w:ascii="Times New Roman" w:hAnsi="Times New Roman"/>
          <w:sz w:val="24"/>
          <w:szCs w:val="24"/>
        </w:rPr>
        <w:t>after</w:t>
      </w:r>
      <w:r>
        <w:rPr>
          <w:rFonts w:ascii="Times New Roman" w:hAnsi="Times New Roman"/>
          <w:sz w:val="24"/>
          <w:szCs w:val="24"/>
        </w:rPr>
        <w:t xml:space="preserve"> the field personnel has verified a stopped meter situation, the billing department adjusts the billing in accordance with </w:t>
      </w:r>
      <w:r w:rsidR="00F276AB">
        <w:rPr>
          <w:rFonts w:ascii="Times New Roman" w:hAnsi="Times New Roman"/>
          <w:sz w:val="24"/>
          <w:szCs w:val="24"/>
        </w:rPr>
        <w:t xml:space="preserve">the Company’s tariff </w:t>
      </w:r>
      <w:r>
        <w:rPr>
          <w:rFonts w:ascii="Times New Roman" w:hAnsi="Times New Roman"/>
          <w:sz w:val="24"/>
          <w:szCs w:val="24"/>
        </w:rPr>
        <w:t>Rule 10D.</w:t>
      </w:r>
    </w:p>
    <w:p w:rsidR="004835AA" w:rsidRDefault="004835AA" w:rsidP="00495198">
      <w:pPr>
        <w:pStyle w:val="NoSpacing"/>
        <w:ind w:left="360"/>
        <w:rPr>
          <w:rFonts w:ascii="Times New Roman" w:hAnsi="Times New Roman"/>
          <w:sz w:val="24"/>
          <w:szCs w:val="24"/>
        </w:rPr>
      </w:pPr>
    </w:p>
    <w:p w:rsidR="004835AA" w:rsidRPr="0041477A" w:rsidRDefault="00282791" w:rsidP="00495198">
      <w:pPr>
        <w:pStyle w:val="NoSpacing"/>
        <w:ind w:left="720"/>
        <w:rPr>
          <w:rFonts w:ascii="Times New Roman" w:hAnsi="Times New Roman"/>
          <w:sz w:val="24"/>
          <w:szCs w:val="24"/>
        </w:rPr>
      </w:pPr>
      <w:r>
        <w:rPr>
          <w:rFonts w:ascii="Times New Roman" w:hAnsi="Times New Roman"/>
          <w:sz w:val="24"/>
          <w:szCs w:val="24"/>
        </w:rPr>
        <w:t xml:space="preserve">For unidentified usage identification, </w:t>
      </w:r>
      <w:r w:rsidR="004835AA">
        <w:rPr>
          <w:rFonts w:ascii="Times New Roman" w:hAnsi="Times New Roman"/>
          <w:sz w:val="24"/>
          <w:szCs w:val="24"/>
        </w:rPr>
        <w:t>Pacific Power</w:t>
      </w:r>
      <w:r w:rsidR="004835AA" w:rsidRPr="0041477A">
        <w:rPr>
          <w:rFonts w:ascii="Times New Roman" w:hAnsi="Times New Roman"/>
          <w:sz w:val="24"/>
          <w:szCs w:val="24"/>
        </w:rPr>
        <w:t xml:space="preserve">’s </w:t>
      </w:r>
      <w:r w:rsidR="00B05649">
        <w:rPr>
          <w:rFonts w:ascii="Times New Roman" w:hAnsi="Times New Roman"/>
          <w:sz w:val="24"/>
          <w:szCs w:val="24"/>
        </w:rPr>
        <w:t>CSS</w:t>
      </w:r>
      <w:r w:rsidR="004835AA" w:rsidRPr="0041477A">
        <w:rPr>
          <w:rFonts w:ascii="Times New Roman" w:hAnsi="Times New Roman"/>
          <w:sz w:val="24"/>
          <w:szCs w:val="24"/>
        </w:rPr>
        <w:t xml:space="preserve"> runs a report every night to identify sites without an active customer that has cumulative consumption of 1,000 kWh since the last customer of record. </w:t>
      </w:r>
      <w:r w:rsidR="00D6004F">
        <w:rPr>
          <w:rFonts w:ascii="Times New Roman" w:hAnsi="Times New Roman"/>
          <w:sz w:val="24"/>
          <w:szCs w:val="24"/>
        </w:rPr>
        <w:t xml:space="preserve"> </w:t>
      </w:r>
      <w:r w:rsidR="004835AA" w:rsidRPr="0041477A">
        <w:rPr>
          <w:rFonts w:ascii="Times New Roman" w:hAnsi="Times New Roman"/>
          <w:sz w:val="24"/>
          <w:szCs w:val="24"/>
        </w:rPr>
        <w:t>For each identified site a work order is created. </w:t>
      </w:r>
      <w:r w:rsidR="00D6004F">
        <w:rPr>
          <w:rFonts w:ascii="Times New Roman" w:hAnsi="Times New Roman"/>
          <w:sz w:val="24"/>
          <w:szCs w:val="24"/>
        </w:rPr>
        <w:t xml:space="preserve"> </w:t>
      </w:r>
      <w:r w:rsidR="004835AA" w:rsidRPr="0041477A">
        <w:rPr>
          <w:rFonts w:ascii="Times New Roman" w:hAnsi="Times New Roman"/>
          <w:sz w:val="24"/>
          <w:szCs w:val="24"/>
        </w:rPr>
        <w:t>Field employees will visit these sites and</w:t>
      </w:r>
      <w:r w:rsidR="00B05649">
        <w:rPr>
          <w:rFonts w:ascii="Times New Roman" w:hAnsi="Times New Roman"/>
          <w:sz w:val="24"/>
          <w:szCs w:val="24"/>
        </w:rPr>
        <w:t xml:space="preserve"> will</w:t>
      </w:r>
      <w:r w:rsidR="004835AA" w:rsidRPr="0041477A">
        <w:rPr>
          <w:rFonts w:ascii="Times New Roman" w:hAnsi="Times New Roman"/>
          <w:sz w:val="24"/>
          <w:szCs w:val="24"/>
        </w:rPr>
        <w:t xml:space="preserve"> either </w:t>
      </w:r>
      <w:r w:rsidR="00B05649" w:rsidRPr="0041477A">
        <w:rPr>
          <w:rFonts w:ascii="Times New Roman" w:hAnsi="Times New Roman"/>
          <w:sz w:val="24"/>
          <w:szCs w:val="24"/>
        </w:rPr>
        <w:t>disconnect</w:t>
      </w:r>
      <w:r w:rsidR="004835AA" w:rsidRPr="0041477A">
        <w:rPr>
          <w:rFonts w:ascii="Times New Roman" w:hAnsi="Times New Roman"/>
          <w:sz w:val="24"/>
          <w:szCs w:val="24"/>
        </w:rPr>
        <w:t xml:space="preserve"> the service or leave a notice </w:t>
      </w:r>
      <w:r w:rsidR="004835AA">
        <w:rPr>
          <w:rFonts w:ascii="Times New Roman" w:hAnsi="Times New Roman"/>
          <w:sz w:val="24"/>
          <w:szCs w:val="24"/>
        </w:rPr>
        <w:t>indicating</w:t>
      </w:r>
      <w:r w:rsidR="004835AA" w:rsidRPr="0041477A">
        <w:rPr>
          <w:rFonts w:ascii="Times New Roman" w:hAnsi="Times New Roman"/>
          <w:sz w:val="24"/>
          <w:szCs w:val="24"/>
        </w:rPr>
        <w:t xml:space="preserve"> the service may be disconnect</w:t>
      </w:r>
      <w:r w:rsidR="00D6004F">
        <w:rPr>
          <w:rFonts w:ascii="Times New Roman" w:hAnsi="Times New Roman"/>
          <w:sz w:val="24"/>
          <w:szCs w:val="24"/>
        </w:rPr>
        <w:t>ed</w:t>
      </w:r>
      <w:r w:rsidR="004835AA" w:rsidRPr="0041477A">
        <w:rPr>
          <w:rFonts w:ascii="Times New Roman" w:hAnsi="Times New Roman"/>
          <w:sz w:val="24"/>
          <w:szCs w:val="24"/>
        </w:rPr>
        <w:t xml:space="preserve"> </w:t>
      </w:r>
      <w:r>
        <w:rPr>
          <w:rFonts w:ascii="Times New Roman" w:hAnsi="Times New Roman"/>
          <w:sz w:val="24"/>
          <w:szCs w:val="24"/>
        </w:rPr>
        <w:t>for lack of customer of record</w:t>
      </w:r>
      <w:r w:rsidR="004835AA">
        <w:rPr>
          <w:rFonts w:ascii="Times New Roman" w:hAnsi="Times New Roman"/>
          <w:sz w:val="24"/>
          <w:szCs w:val="24"/>
        </w:rPr>
        <w:t>.</w:t>
      </w:r>
    </w:p>
    <w:p w:rsidR="004835AA" w:rsidRDefault="004835AA" w:rsidP="00D6004F"/>
    <w:p w:rsidR="00F60BE8" w:rsidRDefault="00F60BE8">
      <w:pPr>
        <w:rPr>
          <w:rFonts w:ascii="Times New Roman" w:hAnsi="Times New Roman"/>
        </w:rPr>
      </w:pPr>
      <w:r>
        <w:rPr>
          <w:rFonts w:ascii="Times New Roman" w:hAnsi="Times New Roman"/>
        </w:rPr>
        <w:br w:type="page"/>
      </w:r>
    </w:p>
    <w:p w:rsidR="004835AA" w:rsidRDefault="004835AA" w:rsidP="00D6004F">
      <w:r>
        <w:rPr>
          <w:rFonts w:ascii="Times New Roman" w:hAnsi="Times New Roman"/>
        </w:rPr>
        <w:lastRenderedPageBreak/>
        <w:t>Pacific Power</w:t>
      </w:r>
      <w:r w:rsidRPr="008B5B61">
        <w:rPr>
          <w:rFonts w:ascii="Times New Roman" w:hAnsi="Times New Roman"/>
        </w:rPr>
        <w:t xml:space="preserve"> appreciates the opportunity to provide these comments and look</w:t>
      </w:r>
      <w:r w:rsidR="00D6004F">
        <w:rPr>
          <w:rFonts w:ascii="Times New Roman" w:hAnsi="Times New Roman"/>
        </w:rPr>
        <w:t>s</w:t>
      </w:r>
      <w:r w:rsidRPr="008B5B61">
        <w:rPr>
          <w:rFonts w:ascii="Times New Roman" w:hAnsi="Times New Roman"/>
        </w:rPr>
        <w:t xml:space="preserve"> forward to participating in the workshop scheduled for May 20, 2015. </w:t>
      </w:r>
      <w:r w:rsidR="00D6004F">
        <w:rPr>
          <w:rFonts w:ascii="Times New Roman" w:hAnsi="Times New Roman"/>
        </w:rPr>
        <w:t xml:space="preserve"> </w:t>
      </w:r>
      <w:r w:rsidRPr="008B5B61">
        <w:rPr>
          <w:rFonts w:ascii="Times New Roman" w:hAnsi="Times New Roman"/>
        </w:rPr>
        <w:t xml:space="preserve">If you have any questions regarding these comments, please contact </w:t>
      </w:r>
      <w:r w:rsidR="00B05649">
        <w:rPr>
          <w:rFonts w:ascii="Times New Roman" w:hAnsi="Times New Roman"/>
        </w:rPr>
        <w:t>Barbara Coughlin, Director, Customer &amp; Regulatory Liaison</w:t>
      </w:r>
      <w:r w:rsidR="00D6004F">
        <w:rPr>
          <w:rFonts w:ascii="Times New Roman" w:hAnsi="Times New Roman"/>
        </w:rPr>
        <w:t xml:space="preserve">, at (503) </w:t>
      </w:r>
      <w:r w:rsidR="00B05649">
        <w:rPr>
          <w:rFonts w:ascii="Times New Roman" w:hAnsi="Times New Roman"/>
        </w:rPr>
        <w:t>331-4306</w:t>
      </w:r>
      <w:r w:rsidR="00D6004F">
        <w:rPr>
          <w:rFonts w:ascii="Times New Roman" w:hAnsi="Times New Roman"/>
        </w:rPr>
        <w:t>.</w:t>
      </w: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r w:rsidRPr="00044234">
        <w:rPr>
          <w:rFonts w:ascii="Times New Roman" w:hAnsi="Times New Roman"/>
          <w:szCs w:val="24"/>
        </w:rPr>
        <w:t>Sincerely,</w:t>
      </w: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p>
    <w:p w:rsidR="00964072" w:rsidRPr="00044234" w:rsidRDefault="00964072" w:rsidP="00495198">
      <w:pPr>
        <w:rPr>
          <w:rFonts w:ascii="Times New Roman" w:hAnsi="Times New Roman"/>
          <w:szCs w:val="24"/>
        </w:rPr>
      </w:pPr>
    </w:p>
    <w:p w:rsidR="00DB10DF" w:rsidRPr="00044234" w:rsidRDefault="0004265A" w:rsidP="00495198">
      <w:pPr>
        <w:rPr>
          <w:rFonts w:ascii="Times New Roman" w:hAnsi="Times New Roman"/>
          <w:szCs w:val="24"/>
        </w:rPr>
      </w:pPr>
      <w:r>
        <w:rPr>
          <w:rFonts w:ascii="Times New Roman" w:hAnsi="Times New Roman"/>
          <w:szCs w:val="24"/>
        </w:rPr>
        <w:t xml:space="preserve">R. </w:t>
      </w:r>
      <w:r w:rsidR="00BA70F4" w:rsidRPr="00044234">
        <w:rPr>
          <w:rFonts w:ascii="Times New Roman" w:hAnsi="Times New Roman"/>
          <w:szCs w:val="24"/>
        </w:rPr>
        <w:t>Bryce</w:t>
      </w:r>
      <w:r w:rsidR="00DB10DF" w:rsidRPr="00044234">
        <w:rPr>
          <w:rFonts w:ascii="Times New Roman" w:hAnsi="Times New Roman"/>
          <w:szCs w:val="24"/>
        </w:rPr>
        <w:t xml:space="preserve"> </w:t>
      </w:r>
      <w:r w:rsidR="00BA70F4" w:rsidRPr="00044234">
        <w:rPr>
          <w:rFonts w:ascii="Times New Roman" w:hAnsi="Times New Roman"/>
          <w:szCs w:val="24"/>
        </w:rPr>
        <w:t>Dalley</w:t>
      </w:r>
    </w:p>
    <w:p w:rsidR="00D6004F" w:rsidRDefault="00964072" w:rsidP="0035421B">
      <w:pPr>
        <w:pStyle w:val="Header"/>
        <w:tabs>
          <w:tab w:val="clear" w:pos="4320"/>
          <w:tab w:val="clear" w:pos="8640"/>
        </w:tabs>
      </w:pPr>
      <w:r w:rsidRPr="00044234">
        <w:t>Vice President, Regulation</w:t>
      </w:r>
    </w:p>
    <w:p w:rsidR="00A2042D" w:rsidRDefault="00A2042D" w:rsidP="0035421B">
      <w:pPr>
        <w:pStyle w:val="Header"/>
        <w:tabs>
          <w:tab w:val="clear" w:pos="4320"/>
          <w:tab w:val="clear" w:pos="8640"/>
        </w:tabs>
      </w:pPr>
    </w:p>
    <w:p w:rsidR="00D6004F" w:rsidRDefault="00964072" w:rsidP="0035421B">
      <w:pPr>
        <w:pStyle w:val="Header"/>
        <w:tabs>
          <w:tab w:val="clear" w:pos="4320"/>
          <w:tab w:val="clear" w:pos="8640"/>
        </w:tabs>
        <w:sectPr w:rsidR="00D6004F" w:rsidSect="00F60BE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152" w:left="1440" w:header="720" w:footer="720" w:gutter="0"/>
          <w:cols w:space="720"/>
          <w:formProt w:val="0"/>
          <w:titlePg/>
          <w:docGrid w:linePitch="360"/>
        </w:sectPr>
      </w:pPr>
      <w:r w:rsidRPr="00044234">
        <w:t>Enclosures</w:t>
      </w:r>
    </w:p>
    <w:p w:rsidR="00964072" w:rsidRPr="00044234" w:rsidRDefault="00964072" w:rsidP="00905E5A">
      <w:pPr>
        <w:rPr>
          <w:rFonts w:ascii="Times New Roman" w:hAnsi="Times New Roman"/>
          <w:b/>
          <w:szCs w:val="24"/>
        </w:rPr>
      </w:pPr>
    </w:p>
    <w:sectPr w:rsidR="00964072" w:rsidRPr="00044234" w:rsidSect="00D0390D">
      <w:headerReference w:type="default" r:id="rId16"/>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20" w:rsidRDefault="00B50B20" w:rsidP="00964072">
      <w:r>
        <w:separator/>
      </w:r>
    </w:p>
  </w:endnote>
  <w:endnote w:type="continuationSeparator" w:id="0">
    <w:p w:rsidR="00B50B20" w:rsidRDefault="00B50B20"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5" w:rsidRDefault="00C40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5" w:rsidRDefault="00C40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5" w:rsidRDefault="00C40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20" w:rsidRDefault="00B50B20" w:rsidP="00964072">
      <w:r>
        <w:separator/>
      </w:r>
    </w:p>
  </w:footnote>
  <w:footnote w:type="continuationSeparator" w:id="0">
    <w:p w:rsidR="00B50B20" w:rsidRDefault="00B50B20" w:rsidP="00964072">
      <w:r>
        <w:continuationSeparator/>
      </w:r>
    </w:p>
  </w:footnote>
  <w:footnote w:id="1">
    <w:p w:rsidR="00244BB1" w:rsidRDefault="00244BB1">
      <w:pPr>
        <w:pStyle w:val="FootnoteText"/>
      </w:pPr>
      <w:r>
        <w:rPr>
          <w:rStyle w:val="FootnoteReference"/>
        </w:rPr>
        <w:footnoteRef/>
      </w:r>
      <w:r>
        <w:t xml:space="preserve"> Notice, pp.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5" w:rsidRDefault="00C40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5" w:rsidRDefault="00755475">
    <w:pPr>
      <w:pStyle w:val="Header"/>
    </w:pPr>
    <w:r>
      <w:t>W</w:t>
    </w:r>
    <w:r w:rsidR="00A2042D">
      <w:t>ashington Utilities and</w:t>
    </w:r>
    <w:r>
      <w:t xml:space="preserve"> Transportation Commission</w:t>
    </w:r>
  </w:p>
  <w:p w:rsidR="00755475" w:rsidRDefault="004835AA">
    <w:pPr>
      <w:pStyle w:val="Header"/>
    </w:pPr>
    <w:r>
      <w:t>March 23, 2015</w:t>
    </w:r>
  </w:p>
  <w:p w:rsidR="00755475" w:rsidRDefault="00755475">
    <w:pPr>
      <w:pStyle w:val="Header"/>
    </w:pPr>
    <w:r>
      <w:t xml:space="preserve">Page </w:t>
    </w:r>
    <w:r w:rsidR="00E86EA7">
      <w:fldChar w:fldCharType="begin"/>
    </w:r>
    <w:r>
      <w:instrText xml:space="preserve"> PAGE   \* MERGEFORMAT </w:instrText>
    </w:r>
    <w:r w:rsidR="00E86EA7">
      <w:fldChar w:fldCharType="separate"/>
    </w:r>
    <w:r w:rsidR="00C40D95">
      <w:rPr>
        <w:noProof/>
      </w:rPr>
      <w:t>2</w:t>
    </w:r>
    <w:r w:rsidR="00E86EA7">
      <w:fldChar w:fldCharType="end"/>
    </w:r>
  </w:p>
  <w:p w:rsidR="00755475" w:rsidRDefault="00755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5" w:rsidRDefault="00C40D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5" w:rsidRDefault="0075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725"/>
    <w:multiLevelType w:val="hybridMultilevel"/>
    <w:tmpl w:val="45680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43B5499"/>
    <w:multiLevelType w:val="hybridMultilevel"/>
    <w:tmpl w:val="8B7C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38A"/>
    <w:rsid w:val="0004265A"/>
    <w:rsid w:val="000433D2"/>
    <w:rsid w:val="00044234"/>
    <w:rsid w:val="00087031"/>
    <w:rsid w:val="000B32DC"/>
    <w:rsid w:val="000B679C"/>
    <w:rsid w:val="000D424B"/>
    <w:rsid w:val="000D6421"/>
    <w:rsid w:val="000E52A3"/>
    <w:rsid w:val="00114026"/>
    <w:rsid w:val="00146750"/>
    <w:rsid w:val="001544F1"/>
    <w:rsid w:val="0016675D"/>
    <w:rsid w:val="001810B6"/>
    <w:rsid w:val="001D5E3E"/>
    <w:rsid w:val="001E7A07"/>
    <w:rsid w:val="001F0E1C"/>
    <w:rsid w:val="00204C32"/>
    <w:rsid w:val="00217050"/>
    <w:rsid w:val="00240823"/>
    <w:rsid w:val="00244BB1"/>
    <w:rsid w:val="002732B3"/>
    <w:rsid w:val="00275A4F"/>
    <w:rsid w:val="00282791"/>
    <w:rsid w:val="0028641E"/>
    <w:rsid w:val="002C28E7"/>
    <w:rsid w:val="002C5403"/>
    <w:rsid w:val="002D4B38"/>
    <w:rsid w:val="002D566A"/>
    <w:rsid w:val="003529DE"/>
    <w:rsid w:val="0035421B"/>
    <w:rsid w:val="003B228E"/>
    <w:rsid w:val="003C0961"/>
    <w:rsid w:val="003C3A72"/>
    <w:rsid w:val="003F1BF1"/>
    <w:rsid w:val="003F46BF"/>
    <w:rsid w:val="00416F66"/>
    <w:rsid w:val="004251F1"/>
    <w:rsid w:val="00430A5B"/>
    <w:rsid w:val="00433F8F"/>
    <w:rsid w:val="004567C8"/>
    <w:rsid w:val="00461F6B"/>
    <w:rsid w:val="004835AA"/>
    <w:rsid w:val="004864BC"/>
    <w:rsid w:val="00495198"/>
    <w:rsid w:val="004A2CB1"/>
    <w:rsid w:val="004C0652"/>
    <w:rsid w:val="0050272E"/>
    <w:rsid w:val="00503978"/>
    <w:rsid w:val="00540451"/>
    <w:rsid w:val="00570932"/>
    <w:rsid w:val="0058550B"/>
    <w:rsid w:val="005A2C8B"/>
    <w:rsid w:val="005C7B60"/>
    <w:rsid w:val="005D31B6"/>
    <w:rsid w:val="005F7F05"/>
    <w:rsid w:val="00607179"/>
    <w:rsid w:val="006256E3"/>
    <w:rsid w:val="0062691B"/>
    <w:rsid w:val="00683DAA"/>
    <w:rsid w:val="006970F0"/>
    <w:rsid w:val="00707CB4"/>
    <w:rsid w:val="00740321"/>
    <w:rsid w:val="00755475"/>
    <w:rsid w:val="00765F30"/>
    <w:rsid w:val="00771639"/>
    <w:rsid w:val="007732C4"/>
    <w:rsid w:val="007B1353"/>
    <w:rsid w:val="007B39D1"/>
    <w:rsid w:val="007B7BE5"/>
    <w:rsid w:val="007E2AA1"/>
    <w:rsid w:val="007E5F59"/>
    <w:rsid w:val="00813422"/>
    <w:rsid w:val="008659FC"/>
    <w:rsid w:val="00874DFF"/>
    <w:rsid w:val="008806A0"/>
    <w:rsid w:val="00881054"/>
    <w:rsid w:val="00884EE8"/>
    <w:rsid w:val="008A048F"/>
    <w:rsid w:val="008F0025"/>
    <w:rsid w:val="00905E5A"/>
    <w:rsid w:val="009100EA"/>
    <w:rsid w:val="00921099"/>
    <w:rsid w:val="00964072"/>
    <w:rsid w:val="009A295A"/>
    <w:rsid w:val="009B35AF"/>
    <w:rsid w:val="009B4F02"/>
    <w:rsid w:val="009B52BD"/>
    <w:rsid w:val="00A04074"/>
    <w:rsid w:val="00A14B4F"/>
    <w:rsid w:val="00A2042D"/>
    <w:rsid w:val="00A8666E"/>
    <w:rsid w:val="00A86A08"/>
    <w:rsid w:val="00AB7296"/>
    <w:rsid w:val="00AC5B73"/>
    <w:rsid w:val="00AC713D"/>
    <w:rsid w:val="00AE3851"/>
    <w:rsid w:val="00B05649"/>
    <w:rsid w:val="00B07FA1"/>
    <w:rsid w:val="00B22014"/>
    <w:rsid w:val="00B42EDA"/>
    <w:rsid w:val="00B50B20"/>
    <w:rsid w:val="00BA4A78"/>
    <w:rsid w:val="00BA4CEE"/>
    <w:rsid w:val="00BA70F4"/>
    <w:rsid w:val="00BE2C4D"/>
    <w:rsid w:val="00C16E44"/>
    <w:rsid w:val="00C219B7"/>
    <w:rsid w:val="00C40D95"/>
    <w:rsid w:val="00C52A4A"/>
    <w:rsid w:val="00C56CB3"/>
    <w:rsid w:val="00C745E3"/>
    <w:rsid w:val="00C90214"/>
    <w:rsid w:val="00C95228"/>
    <w:rsid w:val="00CB7DAC"/>
    <w:rsid w:val="00CE3E12"/>
    <w:rsid w:val="00D0390D"/>
    <w:rsid w:val="00D57F9B"/>
    <w:rsid w:val="00D6004F"/>
    <w:rsid w:val="00D66CB4"/>
    <w:rsid w:val="00D70D92"/>
    <w:rsid w:val="00D81C2B"/>
    <w:rsid w:val="00DA0726"/>
    <w:rsid w:val="00DA3AED"/>
    <w:rsid w:val="00DB10DF"/>
    <w:rsid w:val="00DD322E"/>
    <w:rsid w:val="00E86EA7"/>
    <w:rsid w:val="00EC13EE"/>
    <w:rsid w:val="00ED3559"/>
    <w:rsid w:val="00ED434E"/>
    <w:rsid w:val="00F276AB"/>
    <w:rsid w:val="00F4002C"/>
    <w:rsid w:val="00F60BE8"/>
    <w:rsid w:val="00F61D02"/>
    <w:rsid w:val="00F6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2015-03-23T07:00:00+00:00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AAECA1-03B4-424F-BC53-35A8419F7505}"/>
</file>

<file path=customXml/itemProps2.xml><?xml version="1.0" encoding="utf-8"?>
<ds:datastoreItem xmlns:ds="http://schemas.openxmlformats.org/officeDocument/2006/customXml" ds:itemID="{D2B00926-EF4D-4E6A-A95B-BD53D7CDD143}"/>
</file>

<file path=customXml/itemProps3.xml><?xml version="1.0" encoding="utf-8"?>
<ds:datastoreItem xmlns:ds="http://schemas.openxmlformats.org/officeDocument/2006/customXml" ds:itemID="{75D6E94D-4ABD-4049-8848-CD781CDA66FD}"/>
</file>

<file path=customXml/itemProps4.xml><?xml version="1.0" encoding="utf-8"?>
<ds:datastoreItem xmlns:ds="http://schemas.openxmlformats.org/officeDocument/2006/customXml" ds:itemID="{81DF79E5-E7C7-44A2-82F3-7C23605132D5}"/>
</file>

<file path=customXml/itemProps5.xml><?xml version="1.0" encoding="utf-8"?>
<ds:datastoreItem xmlns:ds="http://schemas.openxmlformats.org/officeDocument/2006/customXml" ds:itemID="{844ABE03-F19A-4522-9B00-DF7A9B3EC190}"/>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4975</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2015-03-23T22:23:00Z</dcterms:created>
  <dcterms:modified xsi:type="dcterms:W3CDTF">2015-03-23T22:23:00Z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0x0101006E56B4D1795A2E4DB2F0B01679ED314A00E7C90BC020FC834197A6224E4EBFA7FB</vt:lpwstr>
  </property>
  <property fmtid="{D5CDD505-2E9C-101B-9397-08002B2CF9AE}" pid="4" name="_docset_NoMedatataSyncRequired">
    <vt:lpwstr>False</vt:lpwstr>
  </property>
</Properties>
</file>