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B0" w:rsidRDefault="006840B0" w:rsidP="001D1A60">
      <w:pPr>
        <w:tabs>
          <w:tab w:val="left" w:pos="360"/>
          <w:tab w:val="left" w:pos="5040"/>
        </w:tabs>
        <w:jc w:val="both"/>
        <w:rPr>
          <w:u w:val="single"/>
        </w:rPr>
      </w:pPr>
      <w:bookmarkStart w:id="0" w:name="_GoBack"/>
      <w:bookmarkEnd w:id="0"/>
    </w:p>
    <w:p w:rsidR="000E57C8" w:rsidRDefault="000E57C8" w:rsidP="001D1A60">
      <w:pPr>
        <w:jc w:val="both"/>
        <w:rPr>
          <w:rFonts w:ascii="Arial" w:hAnsi="Arial" w:cs="Arial"/>
          <w:sz w:val="20"/>
        </w:rPr>
      </w:pPr>
      <w:r w:rsidRPr="000E57C8">
        <w:rPr>
          <w:rFonts w:ascii="Arial" w:hAnsi="Arial" w:cs="Arial"/>
          <w:sz w:val="20"/>
          <w:u w:val="single"/>
        </w:rPr>
        <w:t>SPECIAL CONDITIONS</w:t>
      </w:r>
      <w:r w:rsidRPr="000E57C8">
        <w:rPr>
          <w:rFonts w:ascii="Arial" w:hAnsi="Arial" w:cs="Arial"/>
          <w:sz w:val="20"/>
        </w:rPr>
        <w:t>:</w:t>
      </w:r>
      <w:r w:rsidR="00EA03CD">
        <w:rPr>
          <w:rFonts w:ascii="Arial" w:hAnsi="Arial" w:cs="Arial"/>
          <w:sz w:val="20"/>
        </w:rPr>
        <w:t xml:space="preserve"> (continued)</w:t>
      </w:r>
    </w:p>
    <w:p w:rsidR="00EA03CD" w:rsidRPr="00402493" w:rsidRDefault="00EA03CD" w:rsidP="001D1A60">
      <w:pPr>
        <w:jc w:val="both"/>
        <w:rPr>
          <w:rFonts w:ascii="Arial" w:hAnsi="Arial" w:cs="Arial"/>
          <w:sz w:val="10"/>
          <w:szCs w:val="10"/>
        </w:rPr>
      </w:pPr>
    </w:p>
    <w:p w:rsidR="00EA03CD" w:rsidRPr="00EA03CD" w:rsidRDefault="00F7426F" w:rsidP="001D1A60">
      <w:pPr>
        <w:spacing w:after="120"/>
        <w:ind w:left="702" w:hanging="522"/>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4344355E" wp14:editId="2AC038A2">
                <wp:simplePos x="0" y="0"/>
                <wp:positionH relativeFrom="column">
                  <wp:posOffset>6086475</wp:posOffset>
                </wp:positionH>
                <wp:positionV relativeFrom="paragraph">
                  <wp:posOffset>393065</wp:posOffset>
                </wp:positionV>
                <wp:extent cx="657225" cy="591502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91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493" w:rsidRDefault="00F7426F" w:rsidP="00F7426F">
                            <w:pPr>
                              <w:spacing w:line="276" w:lineRule="auto"/>
                              <w:rPr>
                                <w:rFonts w:ascii="Arial" w:hAnsi="Arial" w:cs="Arial"/>
                                <w:sz w:val="20"/>
                              </w:rPr>
                            </w:pPr>
                            <w:r>
                              <w:rPr>
                                <w:rFonts w:ascii="Arial" w:hAnsi="Arial" w:cs="Arial"/>
                                <w:sz w:val="20"/>
                              </w:rPr>
                              <w:t>(D)</w:t>
                            </w:r>
                          </w:p>
                          <w:p w:rsidR="00AE07DC" w:rsidRDefault="00AE07DC" w:rsidP="00F7426F">
                            <w:pPr>
                              <w:spacing w:line="276" w:lineRule="auto"/>
                              <w:rPr>
                                <w:rFonts w:ascii="Arial" w:hAnsi="Arial" w:cs="Arial"/>
                                <w:sz w:val="20"/>
                              </w:rPr>
                            </w:pPr>
                          </w:p>
                          <w:p w:rsidR="00AE07DC" w:rsidRDefault="00AE07DC">
                            <w:pPr>
                              <w:rPr>
                                <w:rFonts w:ascii="Arial" w:hAnsi="Arial" w:cs="Arial"/>
                                <w:sz w:val="20"/>
                              </w:rPr>
                            </w:pPr>
                          </w:p>
                          <w:p w:rsidR="00AE07DC" w:rsidRDefault="00AE07DC">
                            <w:pPr>
                              <w:rPr>
                                <w:rFonts w:ascii="Arial" w:hAnsi="Arial" w:cs="Arial"/>
                                <w:sz w:val="20"/>
                              </w:rPr>
                            </w:pPr>
                          </w:p>
                          <w:p w:rsidR="00AE07DC" w:rsidRDefault="00AE07DC" w:rsidP="00F7426F">
                            <w:pPr>
                              <w:rPr>
                                <w:rFonts w:ascii="Arial" w:hAnsi="Arial" w:cs="Arial"/>
                                <w:sz w:val="20"/>
                              </w:rPr>
                            </w:pPr>
                          </w:p>
                          <w:p w:rsidR="00AE07DC" w:rsidRDefault="00AE07DC" w:rsidP="00F7426F">
                            <w:pPr>
                              <w:rPr>
                                <w:rFonts w:ascii="Arial" w:hAnsi="Arial" w:cs="Arial"/>
                                <w:sz w:val="20"/>
                              </w:rPr>
                            </w:pPr>
                          </w:p>
                          <w:p w:rsidR="00AE07DC" w:rsidRDefault="00AE07DC" w:rsidP="00F7426F">
                            <w:pPr>
                              <w:rPr>
                                <w:rFonts w:ascii="Arial" w:hAnsi="Arial" w:cs="Arial"/>
                                <w:sz w:val="20"/>
                              </w:rPr>
                            </w:pPr>
                          </w:p>
                          <w:p w:rsidR="00AE07DC" w:rsidRDefault="00AE07DC" w:rsidP="00F7426F">
                            <w:pPr>
                              <w:rPr>
                                <w:rFonts w:ascii="Arial" w:hAnsi="Arial" w:cs="Arial"/>
                                <w:sz w:val="20"/>
                              </w:rPr>
                            </w:pPr>
                          </w:p>
                          <w:p w:rsidR="00AE07DC" w:rsidRDefault="00AE07DC" w:rsidP="00F7426F">
                            <w:pPr>
                              <w:rPr>
                                <w:rFonts w:ascii="Arial" w:hAnsi="Arial" w:cs="Arial"/>
                                <w:sz w:val="20"/>
                              </w:rPr>
                            </w:pPr>
                          </w:p>
                          <w:p w:rsidR="00AE07DC" w:rsidRDefault="00AE07DC" w:rsidP="00F7426F">
                            <w:pPr>
                              <w:rPr>
                                <w:rFonts w:ascii="Arial" w:hAnsi="Arial" w:cs="Arial"/>
                                <w:sz w:val="20"/>
                              </w:rPr>
                            </w:pPr>
                          </w:p>
                          <w:p w:rsidR="00AE07DC" w:rsidRDefault="00AE07DC"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pPr>
                              <w:rPr>
                                <w:rFonts w:ascii="Arial" w:hAnsi="Arial" w:cs="Arial"/>
                                <w:sz w:val="20"/>
                              </w:rPr>
                            </w:pPr>
                            <w:r>
                              <w:rPr>
                                <w:rFonts w:ascii="Arial" w:hAnsi="Arial" w:cs="Arial"/>
                                <w:sz w:val="20"/>
                              </w:rPr>
                              <w:t>(C)</w:t>
                            </w:r>
                          </w:p>
                          <w:p w:rsidR="00F7426F" w:rsidRDefault="00F7426F">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9.25pt;margin-top:30.95pt;width:51.75pt;height:46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oZfwIAAA8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" stroked="f">
                <v:textbox>
                  <w:txbxContent>
                    <w:p w:rsidR="00402493" w:rsidRDefault="00F7426F" w:rsidP="00F7426F">
                      <w:pPr>
                        <w:spacing w:line="276" w:lineRule="auto"/>
                        <w:rPr>
                          <w:rFonts w:ascii="Arial" w:hAnsi="Arial" w:cs="Arial"/>
                          <w:sz w:val="20"/>
                        </w:rPr>
                      </w:pPr>
                      <w:r>
                        <w:rPr>
                          <w:rFonts w:ascii="Arial" w:hAnsi="Arial" w:cs="Arial"/>
                          <w:sz w:val="20"/>
                        </w:rPr>
                        <w:t>(D)</w:t>
                      </w:r>
                    </w:p>
                    <w:p w:rsidR="00AE07DC" w:rsidRDefault="00AE07DC" w:rsidP="00F7426F">
                      <w:pPr>
                        <w:spacing w:line="276" w:lineRule="auto"/>
                        <w:rPr>
                          <w:rFonts w:ascii="Arial" w:hAnsi="Arial" w:cs="Arial"/>
                          <w:sz w:val="20"/>
                        </w:rPr>
                      </w:pPr>
                    </w:p>
                    <w:p w:rsidR="00AE07DC" w:rsidRDefault="00AE07DC">
                      <w:pPr>
                        <w:rPr>
                          <w:rFonts w:ascii="Arial" w:hAnsi="Arial" w:cs="Arial"/>
                          <w:sz w:val="20"/>
                        </w:rPr>
                      </w:pPr>
                    </w:p>
                    <w:p w:rsidR="00AE07DC" w:rsidRDefault="00AE07DC">
                      <w:pPr>
                        <w:rPr>
                          <w:rFonts w:ascii="Arial" w:hAnsi="Arial" w:cs="Arial"/>
                          <w:sz w:val="20"/>
                        </w:rPr>
                      </w:pPr>
                    </w:p>
                    <w:p w:rsidR="00AE07DC" w:rsidRDefault="00AE07DC" w:rsidP="00F7426F">
                      <w:pPr>
                        <w:rPr>
                          <w:rFonts w:ascii="Arial" w:hAnsi="Arial" w:cs="Arial"/>
                          <w:sz w:val="20"/>
                        </w:rPr>
                      </w:pPr>
                    </w:p>
                    <w:p w:rsidR="00AE07DC" w:rsidRDefault="00AE07DC" w:rsidP="00F7426F">
                      <w:pPr>
                        <w:rPr>
                          <w:rFonts w:ascii="Arial" w:hAnsi="Arial" w:cs="Arial"/>
                          <w:sz w:val="20"/>
                        </w:rPr>
                      </w:pPr>
                    </w:p>
                    <w:p w:rsidR="00AE07DC" w:rsidRDefault="00AE07DC" w:rsidP="00F7426F">
                      <w:pPr>
                        <w:rPr>
                          <w:rFonts w:ascii="Arial" w:hAnsi="Arial" w:cs="Arial"/>
                          <w:sz w:val="20"/>
                        </w:rPr>
                      </w:pPr>
                    </w:p>
                    <w:p w:rsidR="00AE07DC" w:rsidRDefault="00AE07DC" w:rsidP="00F7426F">
                      <w:pPr>
                        <w:rPr>
                          <w:rFonts w:ascii="Arial" w:hAnsi="Arial" w:cs="Arial"/>
                          <w:sz w:val="20"/>
                        </w:rPr>
                      </w:pPr>
                    </w:p>
                    <w:p w:rsidR="00AE07DC" w:rsidRDefault="00AE07DC" w:rsidP="00F7426F">
                      <w:pPr>
                        <w:rPr>
                          <w:rFonts w:ascii="Arial" w:hAnsi="Arial" w:cs="Arial"/>
                          <w:sz w:val="20"/>
                        </w:rPr>
                      </w:pPr>
                    </w:p>
                    <w:p w:rsidR="00AE07DC" w:rsidRDefault="00AE07DC" w:rsidP="00F7426F">
                      <w:pPr>
                        <w:rPr>
                          <w:rFonts w:ascii="Arial" w:hAnsi="Arial" w:cs="Arial"/>
                          <w:sz w:val="20"/>
                        </w:rPr>
                      </w:pPr>
                    </w:p>
                    <w:p w:rsidR="00AE07DC" w:rsidRDefault="00AE07DC"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rsidP="00F7426F">
                      <w:pPr>
                        <w:rPr>
                          <w:rFonts w:ascii="Arial" w:hAnsi="Arial" w:cs="Arial"/>
                          <w:sz w:val="20"/>
                        </w:rPr>
                      </w:pPr>
                    </w:p>
                    <w:p w:rsidR="00F7426F" w:rsidRDefault="00F7426F">
                      <w:pPr>
                        <w:rPr>
                          <w:rFonts w:ascii="Arial" w:hAnsi="Arial" w:cs="Arial"/>
                          <w:sz w:val="20"/>
                        </w:rPr>
                      </w:pPr>
                      <w:r>
                        <w:rPr>
                          <w:rFonts w:ascii="Arial" w:hAnsi="Arial" w:cs="Arial"/>
                          <w:sz w:val="20"/>
                        </w:rPr>
                        <w:t>(C)</w:t>
                      </w:r>
                    </w:p>
                    <w:p w:rsidR="00F7426F" w:rsidRDefault="00F7426F">
                      <w:pPr>
                        <w:rPr>
                          <w:rFonts w:ascii="Arial" w:hAnsi="Arial" w:cs="Arial"/>
                          <w:sz w:val="20"/>
                        </w:rPr>
                      </w:pPr>
                    </w:p>
                  </w:txbxContent>
                </v:textbox>
              </v:shape>
            </w:pict>
          </mc:Fallback>
        </mc:AlternateContent>
      </w:r>
      <w:r w:rsidR="00EA03CD" w:rsidRPr="00EA03CD">
        <w:rPr>
          <w:rFonts w:ascii="Arial" w:hAnsi="Arial" w:cs="Arial"/>
          <w:sz w:val="20"/>
        </w:rPr>
        <w:t>7.</w:t>
      </w:r>
      <w:r w:rsidR="00EA03CD" w:rsidRPr="00EA03CD">
        <w:rPr>
          <w:rFonts w:ascii="Arial" w:hAnsi="Arial" w:cs="Arial"/>
          <w:sz w:val="20"/>
        </w:rPr>
        <w:tab/>
        <w:t>A Net Metering System used by a Customer shall include, at the Customer’s own expense, all equipment necessary to meet applicable safety, power quality, and interconnection requirements established by the National Electrical Code, National Electrical Safety Code, the Institute of Electrical and Electronics Engineers,</w:t>
      </w:r>
      <w:r w:rsidR="00E56FB5">
        <w:rPr>
          <w:rFonts w:ascii="Arial" w:hAnsi="Arial" w:cs="Arial"/>
          <w:sz w:val="20"/>
        </w:rPr>
        <w:t xml:space="preserve"> and Underwriters Laboratories.</w:t>
      </w:r>
    </w:p>
    <w:p w:rsidR="00EA03CD" w:rsidRPr="00EA03CD" w:rsidRDefault="00EA03CD" w:rsidP="001D1A60">
      <w:pPr>
        <w:numPr>
          <w:ilvl w:val="0"/>
          <w:numId w:val="14"/>
        </w:numPr>
        <w:tabs>
          <w:tab w:val="clear" w:pos="1080"/>
          <w:tab w:val="num" w:pos="702"/>
        </w:tabs>
        <w:spacing w:after="120"/>
        <w:ind w:left="702" w:hanging="522"/>
        <w:jc w:val="both"/>
        <w:rPr>
          <w:rFonts w:ascii="Arial" w:hAnsi="Arial" w:cs="Arial"/>
          <w:sz w:val="20"/>
        </w:rPr>
      </w:pPr>
      <w:r w:rsidRPr="00EA03CD">
        <w:rPr>
          <w:rFonts w:ascii="Arial" w:hAnsi="Arial" w:cs="Arial"/>
          <w:sz w:val="20"/>
        </w:rPr>
        <w:t>The Company will review Customer’s installation for applicability, safety, power quality, and operational impacts on the Company’s system.  Company may require additional metering or safety measures to be installed at Customer’s expense: (1) if significant reactive energy is consumed; (2) if significant distortions to the voltage waveform are produced; or (3) if the facility is self-generating (self-excited).</w:t>
      </w:r>
    </w:p>
    <w:p w:rsidR="00EA03CD" w:rsidRDefault="00EA03CD" w:rsidP="001D1A60">
      <w:pPr>
        <w:numPr>
          <w:ilvl w:val="0"/>
          <w:numId w:val="14"/>
        </w:numPr>
        <w:tabs>
          <w:tab w:val="clear" w:pos="1080"/>
          <w:tab w:val="num" w:pos="702"/>
        </w:tabs>
        <w:spacing w:after="120"/>
        <w:ind w:left="705" w:hanging="525"/>
        <w:jc w:val="both"/>
        <w:rPr>
          <w:rFonts w:ascii="Arial" w:hAnsi="Arial" w:cs="Arial"/>
          <w:sz w:val="20"/>
        </w:rPr>
      </w:pPr>
      <w:r w:rsidRPr="00EA03CD">
        <w:rPr>
          <w:rFonts w:ascii="Arial" w:hAnsi="Arial" w:cs="Arial"/>
          <w:sz w:val="20"/>
        </w:rPr>
        <w:t>Customer shall be required to execute and adhere to an Interconnection Agreement.</w:t>
      </w:r>
    </w:p>
    <w:p w:rsidR="001D1A60" w:rsidRPr="001D1A60" w:rsidRDefault="001D1A60" w:rsidP="001D1A60">
      <w:pPr>
        <w:pStyle w:val="ListParagraph"/>
        <w:ind w:hanging="600"/>
        <w:jc w:val="both"/>
        <w:rPr>
          <w:rFonts w:ascii="Arial" w:hAnsi="Arial" w:cs="Arial"/>
          <w:sz w:val="20"/>
        </w:rPr>
      </w:pPr>
      <w:r>
        <w:rPr>
          <w:rFonts w:ascii="Arial" w:hAnsi="Arial" w:cs="Arial"/>
          <w:sz w:val="20"/>
        </w:rPr>
        <w:t>10.</w:t>
      </w:r>
      <w:r>
        <w:rPr>
          <w:rFonts w:ascii="Arial" w:hAnsi="Arial" w:cs="Arial"/>
          <w:sz w:val="20"/>
        </w:rPr>
        <w:tab/>
      </w:r>
      <w:r w:rsidRPr="001D1A60">
        <w:rPr>
          <w:rFonts w:ascii="Arial" w:hAnsi="Arial" w:cs="Arial"/>
          <w:sz w:val="20"/>
        </w:rPr>
        <w:t>Upon the Customer’s request, the Company shall aggregate for billing purposes the meter that is physically attached to the net metering system (“designated meter”) with one or more meters (“aggregated meter”) provided that the total load of the net metering system does not exceed one hundred kilowatts.</w:t>
      </w:r>
      <w:r w:rsidR="00243F63">
        <w:rPr>
          <w:rFonts w:ascii="Arial" w:hAnsi="Arial" w:cs="Arial"/>
          <w:sz w:val="20"/>
        </w:rPr>
        <w:t xml:space="preserve"> </w:t>
      </w:r>
      <w:r w:rsidRPr="001D1A60">
        <w:rPr>
          <w:rFonts w:ascii="Arial" w:hAnsi="Arial" w:cs="Arial"/>
          <w:sz w:val="20"/>
        </w:rPr>
        <w:t>Meters so aggregated shall not change rate schedule</w:t>
      </w:r>
      <w:r w:rsidR="00243F63">
        <w:rPr>
          <w:rFonts w:ascii="Arial" w:hAnsi="Arial" w:cs="Arial"/>
          <w:sz w:val="20"/>
        </w:rPr>
        <w:t xml:space="preserve">s due to meter aggregation. </w:t>
      </w:r>
      <w:r w:rsidRPr="001D1A60">
        <w:rPr>
          <w:rFonts w:ascii="Arial" w:hAnsi="Arial" w:cs="Arial"/>
          <w:sz w:val="20"/>
        </w:rPr>
        <w:t xml:space="preserve">For Customers who choose to participate in meter aggregation, kilowatt-hour credits earned by a net metering system during the billing period first shall be used to offset energy supplied to the designated meter by the Company.  Any additional excess kilowatt-hour credits earned by the net metering system, during the same billing period, shall then be credited equally by the Company to all remaining aggregated meters located on all premises of the Customer at the designated rate of each aggregated </w:t>
      </w:r>
      <w:r w:rsidR="00243F63">
        <w:rPr>
          <w:rFonts w:ascii="Arial" w:hAnsi="Arial" w:cs="Arial"/>
          <w:sz w:val="20"/>
        </w:rPr>
        <w:t xml:space="preserve">meter. </w:t>
      </w:r>
      <w:r w:rsidRPr="001D1A60">
        <w:rPr>
          <w:rFonts w:ascii="Arial" w:hAnsi="Arial" w:cs="Arial"/>
          <w:sz w:val="20"/>
        </w:rPr>
        <w:t>The Customer shall be billed an Aggregation Basic Charge for each aggregated meter.</w:t>
      </w:r>
      <w:r w:rsidR="00243F63">
        <w:rPr>
          <w:rFonts w:ascii="Arial" w:hAnsi="Arial" w:cs="Arial"/>
          <w:sz w:val="20"/>
        </w:rPr>
        <w:t xml:space="preserve"> </w:t>
      </w:r>
      <w:r w:rsidRPr="001D1A60">
        <w:rPr>
          <w:rFonts w:ascii="Arial" w:hAnsi="Arial" w:cs="Arial"/>
          <w:sz w:val="20"/>
        </w:rPr>
        <w:t xml:space="preserve">The Aggregation Basic Charge shall consist of an additional basic charge or load size charge, as applicable, equal to the basic charge or load size charge in the schedule under which the aggregated meter is billed for all schedules. </w:t>
      </w:r>
    </w:p>
    <w:p w:rsidR="001D1A60" w:rsidRDefault="001D1A60" w:rsidP="001D1A60">
      <w:pPr>
        <w:jc w:val="both"/>
        <w:rPr>
          <w:rFonts w:ascii="Arial" w:hAnsi="Arial" w:cs="Arial"/>
          <w:sz w:val="20"/>
        </w:rPr>
      </w:pPr>
    </w:p>
    <w:p w:rsidR="00EA03CD" w:rsidRPr="00EA03CD" w:rsidRDefault="00EA03CD" w:rsidP="001D1A60">
      <w:pPr>
        <w:jc w:val="both"/>
        <w:rPr>
          <w:rFonts w:ascii="Arial" w:hAnsi="Arial" w:cs="Arial"/>
          <w:sz w:val="20"/>
        </w:rPr>
      </w:pPr>
      <w:r w:rsidRPr="00EA03CD">
        <w:rPr>
          <w:rFonts w:ascii="Arial" w:hAnsi="Arial" w:cs="Arial"/>
          <w:sz w:val="20"/>
          <w:u w:val="single"/>
        </w:rPr>
        <w:t>RENEWABLE GENERATION INCENTIVES</w:t>
      </w:r>
      <w:r w:rsidRPr="00EA03CD">
        <w:rPr>
          <w:rFonts w:ascii="Arial" w:hAnsi="Arial" w:cs="Arial"/>
          <w:sz w:val="20"/>
        </w:rPr>
        <w:t>:</w:t>
      </w:r>
    </w:p>
    <w:p w:rsidR="005F72ED" w:rsidRPr="000E57C8" w:rsidRDefault="00EA03CD" w:rsidP="001D1A60">
      <w:pPr>
        <w:pStyle w:val="BodyText"/>
        <w:jc w:val="both"/>
        <w:rPr>
          <w:rFonts w:ascii="Arial" w:hAnsi="Arial" w:cs="Arial"/>
          <w:sz w:val="20"/>
        </w:rPr>
      </w:pPr>
      <w:r w:rsidRPr="00EA03CD">
        <w:rPr>
          <w:rFonts w:ascii="Arial" w:hAnsi="Arial" w:cs="Arial"/>
          <w:sz w:val="20"/>
        </w:rPr>
        <w:tab/>
        <w:t>Customers and Community Solar Projects may apply for generation incentives as allowed by the Washington State Department of Revenue (</w:t>
      </w:r>
      <w:smartTag w:uri="urn:schemas-microsoft-com:office:smarttags" w:element="stockticker">
        <w:r w:rsidRPr="00EA03CD">
          <w:rPr>
            <w:rFonts w:ascii="Arial" w:hAnsi="Arial" w:cs="Arial"/>
            <w:sz w:val="20"/>
          </w:rPr>
          <w:t>DOR</w:t>
        </w:r>
      </w:smartTag>
      <w:r w:rsidRPr="00EA03CD">
        <w:rPr>
          <w:rFonts w:ascii="Arial" w:hAnsi="Arial" w:cs="Arial"/>
          <w:sz w:val="20"/>
        </w:rPr>
        <w:t xml:space="preserve">) per </w:t>
      </w:r>
      <w:smartTag w:uri="urn:schemas-microsoft-com:office:smarttags" w:element="stockticker">
        <w:r w:rsidRPr="00EA03CD">
          <w:rPr>
            <w:rFonts w:ascii="Arial" w:hAnsi="Arial" w:cs="Arial"/>
            <w:sz w:val="20"/>
          </w:rPr>
          <w:t>WAC</w:t>
        </w:r>
      </w:smartTag>
      <w:r w:rsidRPr="00EA03CD">
        <w:rPr>
          <w:rFonts w:ascii="Arial" w:hAnsi="Arial" w:cs="Arial"/>
          <w:sz w:val="20"/>
        </w:rPr>
        <w:t xml:space="preserve"> 458-20-273 (Renewable energy system cost recovery). Qualifying systems include solar energy systems, </w:t>
      </w:r>
      <w:r w:rsidR="00F7426F">
        <w:rPr>
          <w:rFonts w:ascii="Arial" w:hAnsi="Arial" w:cs="Arial"/>
          <w:sz w:val="20"/>
        </w:rPr>
        <w:t xml:space="preserve">solar </w:t>
      </w:r>
      <w:proofErr w:type="spellStart"/>
      <w:r w:rsidR="00F7426F">
        <w:rPr>
          <w:rFonts w:ascii="Arial" w:hAnsi="Arial" w:cs="Arial"/>
          <w:sz w:val="20"/>
        </w:rPr>
        <w:t>stirling</w:t>
      </w:r>
      <w:proofErr w:type="spellEnd"/>
      <w:r w:rsidR="00F7426F">
        <w:rPr>
          <w:rFonts w:ascii="Arial" w:hAnsi="Arial" w:cs="Arial"/>
          <w:sz w:val="20"/>
        </w:rPr>
        <w:t xml:space="preserve"> converters </w:t>
      </w:r>
      <w:r w:rsidRPr="00EA03CD">
        <w:rPr>
          <w:rFonts w:ascii="Arial" w:hAnsi="Arial" w:cs="Arial"/>
          <w:sz w:val="20"/>
        </w:rPr>
        <w:t xml:space="preserve">wind generators, and anaerobic digesters that process manure from cattle into biogas and dried manure using microorganisms in a closed oxygen free container, in which biogas (such as methane) fuels a generator that creates electricity. Customers and Community Solar Projects must apply for interconnection with the Company and apply for and receive certification of their renewable energy system through the State </w:t>
      </w:r>
      <w:smartTag w:uri="urn:schemas-microsoft-com:office:smarttags" w:element="stockticker">
        <w:r w:rsidRPr="00EA03CD">
          <w:rPr>
            <w:rFonts w:ascii="Arial" w:hAnsi="Arial" w:cs="Arial"/>
            <w:sz w:val="20"/>
          </w:rPr>
          <w:t>DOR</w:t>
        </w:r>
      </w:smartTag>
      <w:r w:rsidRPr="00EA03CD">
        <w:rPr>
          <w:rFonts w:ascii="Arial" w:hAnsi="Arial" w:cs="Arial"/>
          <w:sz w:val="20"/>
        </w:rPr>
        <w:t xml:space="preserve">. Customers and Community Solar Projects interconnected prior to the effective date of this tariff must apply for participation in the program to the Company in addition to the state certification to ensure proper measurement. Upon approval of completion of installation of a qualifying renewable energy system and meeting interconnection standards, the customer’s and Community Solar Project’s generation will be interconnected and measured by the Company. </w:t>
      </w:r>
    </w:p>
    <w:sectPr w:rsidR="005F72ED" w:rsidRPr="000E57C8"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7C" w:rsidRDefault="00321C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Default="004028C8"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AC1870">
      <w:rPr>
        <w:rFonts w:ascii="Arial" w:hAnsi="Arial" w:cs="Arial"/>
        <w:sz w:val="20"/>
      </w:rPr>
      <w:t>d</w:t>
    </w:r>
    <w:proofErr w:type="gramEnd"/>
    <w:r>
      <w:rPr>
        <w:rFonts w:ascii="Arial" w:hAnsi="Arial" w:cs="Arial"/>
        <w:sz w:val="20"/>
      </w:rPr>
      <w:t>)</w:t>
    </w:r>
  </w:p>
  <w:p w:rsidR="004028C8" w:rsidRDefault="004028C8" w:rsidP="00087CF7">
    <w:pPr>
      <w:pStyle w:val="Footer"/>
      <w:pBdr>
        <w:bottom w:val="single" w:sz="6" w:space="0" w:color="auto"/>
      </w:pBdr>
      <w:tabs>
        <w:tab w:val="clear" w:pos="4680"/>
      </w:tabs>
      <w:ind w:left="900" w:hanging="900"/>
      <w:jc w:val="center"/>
      <w:rPr>
        <w:rFonts w:ascii="Arial" w:hAnsi="Arial" w:cs="Arial"/>
        <w:sz w:val="20"/>
      </w:rPr>
    </w:pPr>
  </w:p>
  <w:p w:rsidR="00AF28C6" w:rsidRDefault="00AF28C6" w:rsidP="00AF28C6">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F7426F">
      <w:rPr>
        <w:rFonts w:ascii="Arial" w:hAnsi="Arial" w:cs="Arial"/>
        <w:sz w:val="20"/>
      </w:rPr>
      <w:t>December 20, 2013</w:t>
    </w:r>
    <w:r>
      <w:rPr>
        <w:rFonts w:ascii="Arial" w:hAnsi="Arial" w:cs="Arial"/>
        <w:sz w:val="20"/>
      </w:rPr>
      <w:tab/>
    </w:r>
    <w:r>
      <w:rPr>
        <w:rFonts w:ascii="Arial" w:hAnsi="Arial" w:cs="Arial"/>
        <w:b/>
        <w:sz w:val="20"/>
      </w:rPr>
      <w:t>Effective:</w:t>
    </w:r>
    <w:r>
      <w:rPr>
        <w:rFonts w:ascii="Arial" w:hAnsi="Arial" w:cs="Arial"/>
        <w:sz w:val="20"/>
      </w:rPr>
      <w:t xml:space="preserve"> </w:t>
    </w:r>
    <w:r w:rsidR="00F7426F">
      <w:rPr>
        <w:rFonts w:ascii="Arial" w:hAnsi="Arial" w:cs="Arial"/>
        <w:sz w:val="20"/>
      </w:rPr>
      <w:t xml:space="preserve">January </w:t>
    </w:r>
    <w:r w:rsidR="000F2E21">
      <w:rPr>
        <w:rFonts w:ascii="Arial" w:hAnsi="Arial" w:cs="Arial"/>
        <w:sz w:val="20"/>
      </w:rPr>
      <w:t>20</w:t>
    </w:r>
    <w:r w:rsidR="00F7426F">
      <w:rPr>
        <w:rFonts w:ascii="Arial" w:hAnsi="Arial" w:cs="Arial"/>
        <w:sz w:val="20"/>
      </w:rPr>
      <w:t>, 2014</w:t>
    </w:r>
  </w:p>
  <w:p w:rsidR="0039748F" w:rsidRDefault="0039748F"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F7426F">
      <w:rPr>
        <w:rFonts w:ascii="Arial" w:hAnsi="Arial" w:cs="Arial"/>
        <w:sz w:val="20"/>
      </w:rPr>
      <w:t>13-10</w:t>
    </w:r>
  </w:p>
  <w:p w:rsidR="004C1CA7" w:rsidRDefault="004C1CA7" w:rsidP="004C1CA7">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39748F" w:rsidRDefault="00402493"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75648" behindDoc="1" locked="0" layoutInCell="1" allowOverlap="1">
          <wp:simplePos x="0" y="0"/>
          <wp:positionH relativeFrom="column">
            <wp:posOffset>238125</wp:posOffset>
          </wp:positionH>
          <wp:positionV relativeFrom="paragraph">
            <wp:posOffset>19050</wp:posOffset>
          </wp:positionV>
          <wp:extent cx="1695450" cy="323850"/>
          <wp:effectExtent l="19050" t="0" r="0" b="0"/>
          <wp:wrapThrough wrapText="bothSides">
            <wp:wrapPolygon edited="0">
              <wp:start x="-243" y="0"/>
              <wp:lineTo x="-243" y="20329"/>
              <wp:lineTo x="21600" y="20329"/>
              <wp:lineTo x="21600" y="0"/>
              <wp:lineTo x="-243" y="0"/>
            </wp:wrapPolygon>
          </wp:wrapThrough>
          <wp:docPr id="3"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1"/>
                  <a:srcRect/>
                  <a:stretch>
                    <a:fillRect/>
                  </a:stretch>
                </pic:blipFill>
                <pic:spPr bwMode="auto">
                  <a:xfrm>
                    <a:off x="0" y="0"/>
                    <a:ext cx="1695450" cy="323850"/>
                  </a:xfrm>
                  <a:prstGeom prst="rect">
                    <a:avLst/>
                  </a:prstGeom>
                  <a:noFill/>
                  <a:ln w="9525">
                    <a:noFill/>
                    <a:miter lim="800000"/>
                    <a:headEnd/>
                    <a:tailEnd/>
                  </a:ln>
                </pic:spPr>
              </pic:pic>
            </a:graphicData>
          </a:graphic>
        </wp:anchor>
      </w:drawing>
    </w:r>
    <w:r w:rsidR="0039748F">
      <w:rPr>
        <w:rFonts w:ascii="Arial" w:hAnsi="Arial" w:cs="Arial"/>
        <w:noProof/>
        <w:sz w:val="20"/>
        <w:lang w:eastAsia="en-US"/>
      </w:rPr>
      <w:drawing>
        <wp:anchor distT="0" distB="0" distL="114300" distR="114300" simplePos="0" relativeHeight="251665408"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39748F">
      <w:rPr>
        <w:rFonts w:ascii="Arial" w:hAnsi="Arial" w:cs="Arial"/>
        <w:noProof/>
        <w:sz w:val="20"/>
        <w:lang w:eastAsia="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748F" w:rsidRPr="004043D5" w:rsidRDefault="0039748F"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7456"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6432"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43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33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23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r w:rsidR="00402493">
      <w:rPr>
        <w:rFonts w:ascii="Arial" w:hAnsi="Arial" w:cs="Arial"/>
        <w:sz w:val="20"/>
      </w:rPr>
      <w:t>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748F" w:rsidRDefault="0039748F"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7C" w:rsidRDefault="00321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7C" w:rsidRDefault="00321C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8211FD" w:rsidRDefault="009D620C" w:rsidP="008211FD">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"/>
          </w:pict>
        </mc:Fallback>
      </mc:AlternateContent>
    </w:r>
    <w:r w:rsidR="008211FD">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748F" w:rsidRDefault="00F7426F" w:rsidP="00A91A21">
    <w:pPr>
      <w:tabs>
        <w:tab w:val="left" w:pos="7200"/>
      </w:tabs>
      <w:ind w:right="2160"/>
      <w:jc w:val="right"/>
      <w:rPr>
        <w:rFonts w:ascii="Arial" w:hAnsi="Arial" w:cs="Arial"/>
        <w:sz w:val="20"/>
      </w:rPr>
    </w:pPr>
    <w:r>
      <w:rPr>
        <w:rFonts w:ascii="Arial" w:hAnsi="Arial" w:cs="Arial"/>
        <w:sz w:val="20"/>
      </w:rPr>
      <w:t xml:space="preserve">Second </w:t>
    </w:r>
    <w:r w:rsidR="00402493">
      <w:rPr>
        <w:rFonts w:ascii="Arial" w:hAnsi="Arial" w:cs="Arial"/>
        <w:sz w:val="20"/>
      </w:rPr>
      <w:t>Revision of Sheet No. 135.2</w:t>
    </w:r>
  </w:p>
  <w:p w:rsidR="0039748F" w:rsidRDefault="00402493" w:rsidP="00A91A21">
    <w:pPr>
      <w:tabs>
        <w:tab w:val="left" w:pos="7200"/>
      </w:tabs>
      <w:ind w:right="2160"/>
      <w:jc w:val="right"/>
      <w:rPr>
        <w:rFonts w:ascii="Arial" w:hAnsi="Arial" w:cs="Arial"/>
        <w:sz w:val="20"/>
      </w:rPr>
    </w:pPr>
    <w:r>
      <w:rPr>
        <w:rFonts w:ascii="Arial" w:hAnsi="Arial" w:cs="Arial"/>
        <w:sz w:val="20"/>
      </w:rPr>
      <w:t xml:space="preserve">Canceling </w:t>
    </w:r>
    <w:r w:rsidR="00F7426F">
      <w:rPr>
        <w:rFonts w:ascii="Arial" w:hAnsi="Arial" w:cs="Arial"/>
        <w:sz w:val="20"/>
      </w:rPr>
      <w:t xml:space="preserve">First Revision of </w:t>
    </w:r>
    <w:r w:rsidR="000E57C8">
      <w:rPr>
        <w:rFonts w:ascii="Arial" w:hAnsi="Arial" w:cs="Arial"/>
        <w:sz w:val="20"/>
      </w:rPr>
      <w:t>Sheet No. 135</w:t>
    </w:r>
    <w:r w:rsidR="00FF5E2C">
      <w:rPr>
        <w:rFonts w:ascii="Arial" w:hAnsi="Arial" w:cs="Arial"/>
        <w:sz w:val="20"/>
      </w:rPr>
      <w:t>.2</w:t>
    </w:r>
  </w:p>
  <w:p w:rsidR="0039748F" w:rsidRDefault="0039748F">
    <w:pPr>
      <w:rPr>
        <w:rFonts w:ascii="Arial" w:hAnsi="Arial" w:cs="Arial"/>
        <w:sz w:val="20"/>
      </w:rPr>
    </w:pPr>
    <w:r>
      <w:rPr>
        <w:rFonts w:ascii="Arial" w:hAnsi="Arial" w:cs="Arial"/>
        <w:sz w:val="20"/>
      </w:rPr>
      <w:tab/>
    </w:r>
  </w:p>
  <w:p w:rsidR="0039748F" w:rsidRPr="00CF64E6" w:rsidRDefault="000E57C8" w:rsidP="00A91A21">
    <w:pPr>
      <w:tabs>
        <w:tab w:val="left" w:pos="7200"/>
      </w:tabs>
      <w:ind w:right="2160"/>
      <w:rPr>
        <w:rFonts w:ascii="Arial" w:hAnsi="Arial" w:cs="Arial"/>
        <w:b/>
        <w:sz w:val="24"/>
        <w:szCs w:val="24"/>
      </w:rPr>
    </w:pPr>
    <w:r>
      <w:rPr>
        <w:rFonts w:ascii="Arial" w:hAnsi="Arial" w:cs="Arial"/>
        <w:b/>
        <w:sz w:val="24"/>
        <w:szCs w:val="24"/>
      </w:rPr>
      <w:t>Schedule 135</w:t>
    </w:r>
  </w:p>
  <w:p w:rsidR="005F72ED" w:rsidRPr="009B779C" w:rsidRDefault="000E57C8" w:rsidP="005F72ED">
    <w:pPr>
      <w:pBdr>
        <w:bottom w:val="single" w:sz="12" w:space="1" w:color="auto"/>
      </w:pBdr>
      <w:rPr>
        <w:rFonts w:ascii="Arial" w:hAnsi="Arial" w:cs="Arial"/>
        <w:b/>
        <w:sz w:val="20"/>
      </w:rPr>
    </w:pPr>
    <w:r>
      <w:rPr>
        <w:rFonts w:ascii="Arial" w:hAnsi="Arial" w:cs="Arial"/>
        <w:b/>
        <w:sz w:val="20"/>
      </w:rPr>
      <w:t>NET METERING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7C" w:rsidRDefault="00321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FE4"/>
    <w:multiLevelType w:val="hybridMultilevel"/>
    <w:tmpl w:val="4F443B6A"/>
    <w:lvl w:ilvl="0" w:tplc="14289AF0">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2D2F07"/>
    <w:multiLevelType w:val="singleLevel"/>
    <w:tmpl w:val="0409000F"/>
    <w:lvl w:ilvl="0">
      <w:start w:val="1"/>
      <w:numFmt w:val="decimal"/>
      <w:lvlText w:val="%1."/>
      <w:lvlJc w:val="left"/>
      <w:pPr>
        <w:tabs>
          <w:tab w:val="num" w:pos="360"/>
        </w:tabs>
        <w:ind w:left="360" w:hanging="360"/>
      </w:pPr>
    </w:lvl>
  </w:abstractNum>
  <w:abstractNum w:abstractNumId="3">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4">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6">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7">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A64FC6"/>
    <w:multiLevelType w:val="singleLevel"/>
    <w:tmpl w:val="89BEA32A"/>
    <w:lvl w:ilvl="0">
      <w:start w:val="1"/>
      <w:numFmt w:val="decimal"/>
      <w:lvlText w:val="%1. "/>
      <w:legacy w:legacy="1" w:legacySpace="0" w:legacyIndent="360"/>
      <w:lvlJc w:val="left"/>
      <w:pPr>
        <w:ind w:left="1080" w:hanging="360"/>
      </w:pPr>
      <w:rPr>
        <w:rFonts w:ascii="Arial" w:hAnsi="Arial" w:cs="Arial" w:hint="default"/>
        <w:b w:val="0"/>
        <w:i w:val="0"/>
        <w:sz w:val="20"/>
        <w:u w:val="none"/>
      </w:rPr>
    </w:lvl>
  </w:abstractNum>
  <w:num w:numId="1">
    <w:abstractNumId w:val="3"/>
  </w:num>
  <w:num w:numId="2">
    <w:abstractNumId w:val="9"/>
  </w:num>
  <w:num w:numId="3">
    <w:abstractNumId w:val="2"/>
  </w:num>
  <w:num w:numId="4">
    <w:abstractNumId w:val="10"/>
  </w:num>
  <w:num w:numId="5">
    <w:abstractNumId w:val="6"/>
  </w:num>
  <w:num w:numId="6">
    <w:abstractNumId w:val="8"/>
  </w:num>
  <w:num w:numId="7">
    <w:abstractNumId w:val="4"/>
  </w:num>
  <w:num w:numId="8">
    <w:abstractNumId w:val="11"/>
  </w:num>
  <w:num w:numId="9">
    <w:abstractNumId w:val="1"/>
  </w:num>
  <w:num w:numId="10">
    <w:abstractNumId w:val="5"/>
  </w:num>
  <w:num w:numId="11">
    <w:abstractNumId w:val="7"/>
  </w:num>
  <w:num w:numId="12">
    <w:abstractNumId w:val="1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06329"/>
    <w:rsid w:val="0001158B"/>
    <w:rsid w:val="00013419"/>
    <w:rsid w:val="000760A1"/>
    <w:rsid w:val="00087CF7"/>
    <w:rsid w:val="000A0FF1"/>
    <w:rsid w:val="000B36F4"/>
    <w:rsid w:val="000C75B6"/>
    <w:rsid w:val="000E3B96"/>
    <w:rsid w:val="000E57C8"/>
    <w:rsid w:val="000F29F0"/>
    <w:rsid w:val="000F2E21"/>
    <w:rsid w:val="00113567"/>
    <w:rsid w:val="00135716"/>
    <w:rsid w:val="001360F4"/>
    <w:rsid w:val="001522E7"/>
    <w:rsid w:val="001620F1"/>
    <w:rsid w:val="00162DE3"/>
    <w:rsid w:val="001659AA"/>
    <w:rsid w:val="00172D01"/>
    <w:rsid w:val="001A2436"/>
    <w:rsid w:val="001C0F5B"/>
    <w:rsid w:val="001D1A60"/>
    <w:rsid w:val="001D4F15"/>
    <w:rsid w:val="001F19AC"/>
    <w:rsid w:val="001F372F"/>
    <w:rsid w:val="00204381"/>
    <w:rsid w:val="00205735"/>
    <w:rsid w:val="00243F63"/>
    <w:rsid w:val="00257BDC"/>
    <w:rsid w:val="00266E07"/>
    <w:rsid w:val="002739D8"/>
    <w:rsid w:val="002933EF"/>
    <w:rsid w:val="00293B3C"/>
    <w:rsid w:val="002972ED"/>
    <w:rsid w:val="002B1262"/>
    <w:rsid w:val="002C1B76"/>
    <w:rsid w:val="002C79BC"/>
    <w:rsid w:val="002D40E8"/>
    <w:rsid w:val="002E41E4"/>
    <w:rsid w:val="002E6C6E"/>
    <w:rsid w:val="002F56C1"/>
    <w:rsid w:val="00302E80"/>
    <w:rsid w:val="00321C7C"/>
    <w:rsid w:val="00322467"/>
    <w:rsid w:val="00341521"/>
    <w:rsid w:val="0034455A"/>
    <w:rsid w:val="003960AD"/>
    <w:rsid w:val="0039748F"/>
    <w:rsid w:val="003C2525"/>
    <w:rsid w:val="003C3673"/>
    <w:rsid w:val="003F72C1"/>
    <w:rsid w:val="00402493"/>
    <w:rsid w:val="004028C8"/>
    <w:rsid w:val="004043D5"/>
    <w:rsid w:val="00416A6E"/>
    <w:rsid w:val="00422D71"/>
    <w:rsid w:val="00457B71"/>
    <w:rsid w:val="00464C7E"/>
    <w:rsid w:val="004756BD"/>
    <w:rsid w:val="00490AF3"/>
    <w:rsid w:val="004A30F3"/>
    <w:rsid w:val="004A52F7"/>
    <w:rsid w:val="004B1617"/>
    <w:rsid w:val="004C1CA7"/>
    <w:rsid w:val="004C3D14"/>
    <w:rsid w:val="004C5FE8"/>
    <w:rsid w:val="00534D32"/>
    <w:rsid w:val="005369F8"/>
    <w:rsid w:val="00546A05"/>
    <w:rsid w:val="00555712"/>
    <w:rsid w:val="00564506"/>
    <w:rsid w:val="00577682"/>
    <w:rsid w:val="00580EC3"/>
    <w:rsid w:val="00583749"/>
    <w:rsid w:val="00590227"/>
    <w:rsid w:val="00595BAA"/>
    <w:rsid w:val="005A1156"/>
    <w:rsid w:val="005C397C"/>
    <w:rsid w:val="005C79F4"/>
    <w:rsid w:val="005D6379"/>
    <w:rsid w:val="005E008E"/>
    <w:rsid w:val="005E1B04"/>
    <w:rsid w:val="005E29DE"/>
    <w:rsid w:val="005F64B9"/>
    <w:rsid w:val="005F72ED"/>
    <w:rsid w:val="005F7880"/>
    <w:rsid w:val="00622B69"/>
    <w:rsid w:val="006638F3"/>
    <w:rsid w:val="00683DDC"/>
    <w:rsid w:val="006840B0"/>
    <w:rsid w:val="0068713C"/>
    <w:rsid w:val="006A266F"/>
    <w:rsid w:val="006B5B36"/>
    <w:rsid w:val="006E1287"/>
    <w:rsid w:val="006E2C3E"/>
    <w:rsid w:val="006E402A"/>
    <w:rsid w:val="006E424F"/>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11FD"/>
    <w:rsid w:val="00823ACF"/>
    <w:rsid w:val="008474F2"/>
    <w:rsid w:val="008766A2"/>
    <w:rsid w:val="00876B56"/>
    <w:rsid w:val="00886645"/>
    <w:rsid w:val="00897348"/>
    <w:rsid w:val="00897B49"/>
    <w:rsid w:val="008A77C7"/>
    <w:rsid w:val="008E7364"/>
    <w:rsid w:val="0091439C"/>
    <w:rsid w:val="00920A5D"/>
    <w:rsid w:val="009421D3"/>
    <w:rsid w:val="00942D75"/>
    <w:rsid w:val="00946404"/>
    <w:rsid w:val="00975D61"/>
    <w:rsid w:val="009B13B6"/>
    <w:rsid w:val="009B1635"/>
    <w:rsid w:val="009B59D6"/>
    <w:rsid w:val="009B779C"/>
    <w:rsid w:val="009D620C"/>
    <w:rsid w:val="009E0C82"/>
    <w:rsid w:val="009F3E62"/>
    <w:rsid w:val="00A22686"/>
    <w:rsid w:val="00A261ED"/>
    <w:rsid w:val="00A43A23"/>
    <w:rsid w:val="00A84ABB"/>
    <w:rsid w:val="00A91A21"/>
    <w:rsid w:val="00AA4FC3"/>
    <w:rsid w:val="00AA6EAF"/>
    <w:rsid w:val="00AC1870"/>
    <w:rsid w:val="00AD4335"/>
    <w:rsid w:val="00AE07BB"/>
    <w:rsid w:val="00AE07DC"/>
    <w:rsid w:val="00AE0A1C"/>
    <w:rsid w:val="00AE0A76"/>
    <w:rsid w:val="00AE1E9E"/>
    <w:rsid w:val="00AE4288"/>
    <w:rsid w:val="00AE7611"/>
    <w:rsid w:val="00AF0EAC"/>
    <w:rsid w:val="00AF28C6"/>
    <w:rsid w:val="00B14270"/>
    <w:rsid w:val="00B20EEB"/>
    <w:rsid w:val="00B330D4"/>
    <w:rsid w:val="00B43CBE"/>
    <w:rsid w:val="00B54432"/>
    <w:rsid w:val="00B62CA7"/>
    <w:rsid w:val="00B64140"/>
    <w:rsid w:val="00B8202C"/>
    <w:rsid w:val="00B86CD1"/>
    <w:rsid w:val="00BA088F"/>
    <w:rsid w:val="00BA1A54"/>
    <w:rsid w:val="00BB066D"/>
    <w:rsid w:val="00BB5CCE"/>
    <w:rsid w:val="00C0493E"/>
    <w:rsid w:val="00C210FD"/>
    <w:rsid w:val="00C2540C"/>
    <w:rsid w:val="00C31B67"/>
    <w:rsid w:val="00C41C7D"/>
    <w:rsid w:val="00C60F7D"/>
    <w:rsid w:val="00C84F36"/>
    <w:rsid w:val="00C91131"/>
    <w:rsid w:val="00C94E92"/>
    <w:rsid w:val="00CC1A53"/>
    <w:rsid w:val="00CD01ED"/>
    <w:rsid w:val="00CE6692"/>
    <w:rsid w:val="00CF4970"/>
    <w:rsid w:val="00CF64E6"/>
    <w:rsid w:val="00D23AB3"/>
    <w:rsid w:val="00D313E0"/>
    <w:rsid w:val="00D404F8"/>
    <w:rsid w:val="00D45A57"/>
    <w:rsid w:val="00D60206"/>
    <w:rsid w:val="00D932B5"/>
    <w:rsid w:val="00DA1394"/>
    <w:rsid w:val="00DB2070"/>
    <w:rsid w:val="00DC434B"/>
    <w:rsid w:val="00DE2657"/>
    <w:rsid w:val="00DE409D"/>
    <w:rsid w:val="00DF1F02"/>
    <w:rsid w:val="00E13A5F"/>
    <w:rsid w:val="00E44254"/>
    <w:rsid w:val="00E50832"/>
    <w:rsid w:val="00E52C0F"/>
    <w:rsid w:val="00E53EC5"/>
    <w:rsid w:val="00E56FB5"/>
    <w:rsid w:val="00E70392"/>
    <w:rsid w:val="00E84454"/>
    <w:rsid w:val="00E86C83"/>
    <w:rsid w:val="00EA03CD"/>
    <w:rsid w:val="00EE629E"/>
    <w:rsid w:val="00EE6E21"/>
    <w:rsid w:val="00EF6074"/>
    <w:rsid w:val="00F07160"/>
    <w:rsid w:val="00F12645"/>
    <w:rsid w:val="00F30DDC"/>
    <w:rsid w:val="00F3756B"/>
    <w:rsid w:val="00F50525"/>
    <w:rsid w:val="00F528E2"/>
    <w:rsid w:val="00F66F8A"/>
    <w:rsid w:val="00F7426F"/>
    <w:rsid w:val="00F857AB"/>
    <w:rsid w:val="00F9032D"/>
    <w:rsid w:val="00FB35B6"/>
    <w:rsid w:val="00FB412B"/>
    <w:rsid w:val="00FC124E"/>
    <w:rsid w:val="00FD7429"/>
    <w:rsid w:val="00FE14B0"/>
    <w:rsid w:val="00FF1628"/>
    <w:rsid w:val="00FF5E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537416">
      <w:bodyDiv w:val="1"/>
      <w:marLeft w:val="0"/>
      <w:marRight w:val="0"/>
      <w:marTop w:val="0"/>
      <w:marBottom w:val="0"/>
      <w:divBdr>
        <w:top w:val="none" w:sz="0" w:space="0" w:color="auto"/>
        <w:left w:val="none" w:sz="0" w:space="0" w:color="auto"/>
        <w:bottom w:val="none" w:sz="0" w:space="0" w:color="auto"/>
        <w:right w:val="none" w:sz="0" w:space="0" w:color="auto"/>
      </w:divBdr>
    </w:div>
    <w:div w:id="16435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2013-12-11T08:00:00+00:00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132259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A3252F69F4AA43BFD7F4375F4E0ADE" ma:contentTypeVersion="135" ma:contentTypeDescription="" ma:contentTypeScope="" ma:versionID="a4f59de95da5cb1bfd8c3e06a845a6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CF50E00-F6E1-4569-BA57-B4B44C559E81}"/>
</file>

<file path=customXml/itemProps2.xml><?xml version="1.0" encoding="utf-8"?>
<ds:datastoreItem xmlns:ds="http://schemas.openxmlformats.org/officeDocument/2006/customXml" ds:itemID="{34EA676A-2710-4C54-BC6E-CDE03DD076DD}"/>
</file>

<file path=customXml/itemProps3.xml><?xml version="1.0" encoding="utf-8"?>
<ds:datastoreItem xmlns:ds="http://schemas.openxmlformats.org/officeDocument/2006/customXml" ds:itemID="{349E24D9-6171-4C9B-8B2F-7924C67D44D8}"/>
</file>

<file path=customXml/itemProps4.xml><?xml version="1.0" encoding="utf-8"?>
<ds:datastoreItem xmlns:ds="http://schemas.openxmlformats.org/officeDocument/2006/customXml" ds:itemID="{70CAACC3-7B59-4BDD-BEF0-CBB698F03FD8}"/>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2013-12-20T23:08:00Z</dcterms:created>
  <dcterms:modified xsi:type="dcterms:W3CDTF">2013-12-20T23:08:00Z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0x0101006E56B4D1795A2E4DB2F0B01679ED314A0065A3252F69F4AA43BFD7F4375F4E0ADE</vt:lpwstr>
  </property>
  <property fmtid="{D5CDD505-2E9C-101B-9397-08002B2CF9AE}" pid="4" name="_docset_NoMedatataSyncRequired">
    <vt:lpwstr>False</vt:lpwstr>
  </property>
</Properties>
</file>