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DB6AD" w14:textId="28334D00" w:rsidR="00DF6C4E" w:rsidRDefault="005668F1" w:rsidP="00DF6C4E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Agenda Date: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December</w:t>
      </w:r>
      <w:r w:rsidR="006D2229">
        <w:rPr>
          <w:rFonts w:ascii="Times New Roman" w:hAnsi="Times New Roman"/>
        </w:rPr>
        <w:t xml:space="preserve"> 2</w:t>
      </w:r>
      <w:r w:rsidR="00E03710">
        <w:rPr>
          <w:rFonts w:ascii="Times New Roman" w:hAnsi="Times New Roman"/>
        </w:rPr>
        <w:t>7</w:t>
      </w:r>
      <w:r w:rsidR="00F51994">
        <w:rPr>
          <w:rFonts w:ascii="Times New Roman" w:hAnsi="Times New Roman"/>
        </w:rPr>
        <w:t xml:space="preserve">, </w:t>
      </w:r>
      <w:r w:rsidR="00E03710">
        <w:rPr>
          <w:rFonts w:ascii="Times New Roman" w:hAnsi="Times New Roman"/>
        </w:rPr>
        <w:t>2013</w:t>
      </w:r>
    </w:p>
    <w:p w14:paraId="6B6DB6AE" w14:textId="57D13EA2" w:rsidR="00DF6C4E" w:rsidRDefault="00DF6C4E" w:rsidP="00DF6C4E">
      <w:pPr>
        <w:rPr>
          <w:rFonts w:ascii="Times New Roman" w:hAnsi="Times New Roman"/>
        </w:rPr>
      </w:pPr>
      <w:r>
        <w:rPr>
          <w:rFonts w:ascii="Times New Roman" w:hAnsi="Times New Roman"/>
        </w:rPr>
        <w:t>Item Number: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</w:t>
      </w:r>
      <w:r w:rsidR="002259D5">
        <w:rPr>
          <w:rFonts w:ascii="Times New Roman" w:hAnsi="Times New Roman"/>
        </w:rPr>
        <w:t>3</w:t>
      </w:r>
    </w:p>
    <w:p w14:paraId="6B6DB6AF" w14:textId="77777777" w:rsidR="00DF6C4E" w:rsidRDefault="00DF6C4E" w:rsidP="00DF6C4E">
      <w:pPr>
        <w:rPr>
          <w:rFonts w:ascii="Times New Roman" w:hAnsi="Times New Roman"/>
        </w:rPr>
      </w:pPr>
    </w:p>
    <w:p w14:paraId="6B6DB6B0" w14:textId="7D9B4336" w:rsidR="00DF6C4E" w:rsidRDefault="00DF6C4E" w:rsidP="00DF6C4E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Docket: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UW-</w:t>
      </w:r>
      <w:r w:rsidR="00920BB4">
        <w:rPr>
          <w:rFonts w:ascii="Times New Roman" w:hAnsi="Times New Roman"/>
          <w:b/>
        </w:rPr>
        <w:t>132142</w:t>
      </w:r>
    </w:p>
    <w:p w14:paraId="78707987" w14:textId="6408081C" w:rsidR="005668F1" w:rsidRPr="005668F1" w:rsidRDefault="00DF6C4E" w:rsidP="005668F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Company Name: </w:t>
      </w:r>
      <w:r>
        <w:rPr>
          <w:rFonts w:ascii="Times New Roman" w:hAnsi="Times New Roman"/>
        </w:rPr>
        <w:tab/>
      </w:r>
      <w:r w:rsidR="005668F1" w:rsidRPr="005668F1">
        <w:rPr>
          <w:rFonts w:ascii="Times New Roman" w:hAnsi="Times New Roman"/>
        </w:rPr>
        <w:t>Solmar Water System</w:t>
      </w:r>
      <w:r w:rsidR="00EC7C31">
        <w:rPr>
          <w:rFonts w:ascii="Times New Roman" w:hAnsi="Times New Roman"/>
        </w:rPr>
        <w:t>,</w:t>
      </w:r>
      <w:r w:rsidR="005668F1" w:rsidRPr="005668F1">
        <w:rPr>
          <w:rFonts w:ascii="Times New Roman" w:hAnsi="Times New Roman"/>
        </w:rPr>
        <w:t xml:space="preserve"> Inc.</w:t>
      </w:r>
    </w:p>
    <w:p w14:paraId="6B6DB6B2" w14:textId="77777777" w:rsidR="00DF6C4E" w:rsidRDefault="00DF6C4E" w:rsidP="00DF6C4E">
      <w:pPr>
        <w:rPr>
          <w:rFonts w:ascii="Times New Roman" w:hAnsi="Times New Roman"/>
        </w:rPr>
      </w:pPr>
    </w:p>
    <w:p w14:paraId="6B6DB6B3" w14:textId="77777777" w:rsidR="00DF6C4E" w:rsidRDefault="00DF6C4E" w:rsidP="00DF6C4E">
      <w:pPr>
        <w:rPr>
          <w:rFonts w:ascii="Times New Roman" w:hAnsi="Times New Roman"/>
        </w:rPr>
      </w:pPr>
      <w:r>
        <w:rPr>
          <w:rFonts w:ascii="Times New Roman" w:hAnsi="Times New Roman"/>
        </w:rPr>
        <w:t>Staff: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51994">
        <w:rPr>
          <w:rFonts w:ascii="Times New Roman" w:hAnsi="Times New Roman"/>
        </w:rPr>
        <w:t>Jim Ward</w:t>
      </w:r>
      <w:r>
        <w:rPr>
          <w:rFonts w:ascii="Times New Roman" w:hAnsi="Times New Roman"/>
        </w:rPr>
        <w:t xml:space="preserve">, Regulatory Analyst </w:t>
      </w:r>
    </w:p>
    <w:p w14:paraId="6B6DB6B4" w14:textId="77777777" w:rsidR="00DF6C4E" w:rsidRDefault="00DF6C4E" w:rsidP="00DF6C4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51994">
        <w:rPr>
          <w:rFonts w:ascii="Times New Roman" w:hAnsi="Times New Roman"/>
        </w:rPr>
        <w:t>John Cupp</w:t>
      </w:r>
      <w:r>
        <w:rPr>
          <w:rFonts w:ascii="Times New Roman" w:hAnsi="Times New Roman"/>
        </w:rPr>
        <w:t xml:space="preserve">, Consumer Protection Staff </w:t>
      </w:r>
    </w:p>
    <w:p w14:paraId="6B6DB6B5" w14:textId="77777777" w:rsidR="00DF6C4E" w:rsidRDefault="00DF6C4E" w:rsidP="00DF6C4E">
      <w:pPr>
        <w:rPr>
          <w:rFonts w:ascii="Times New Roman" w:hAnsi="Times New Roman"/>
        </w:rPr>
      </w:pPr>
    </w:p>
    <w:p w14:paraId="6B6DB6B6" w14:textId="77777777" w:rsidR="00DF6C4E" w:rsidRDefault="00DF6C4E" w:rsidP="00DF6C4E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Recommendation</w:t>
      </w:r>
    </w:p>
    <w:p w14:paraId="6B6DB6B7" w14:textId="77777777" w:rsidR="00DF6C4E" w:rsidRDefault="00DF6C4E" w:rsidP="00DF6C4E">
      <w:pPr>
        <w:rPr>
          <w:rFonts w:ascii="Times New Roman" w:hAnsi="Times New Roman"/>
        </w:rPr>
      </w:pPr>
    </w:p>
    <w:p w14:paraId="6B6DB6B8" w14:textId="679C0C25" w:rsidR="00DF6C4E" w:rsidRDefault="00E03710" w:rsidP="00DF6C4E">
      <w:pPr>
        <w:rPr>
          <w:rFonts w:ascii="Times New Roman" w:hAnsi="Times New Roman"/>
        </w:rPr>
      </w:pPr>
      <w:r>
        <w:rPr>
          <w:rFonts w:ascii="Times New Roman" w:hAnsi="Times New Roman"/>
        </w:rPr>
        <w:t>Take no action</w:t>
      </w:r>
      <w:r w:rsidR="00AE1068">
        <w:rPr>
          <w:rFonts w:ascii="Times New Roman" w:hAnsi="Times New Roman"/>
        </w:rPr>
        <w:t>, thereby</w:t>
      </w:r>
      <w:r>
        <w:rPr>
          <w:rFonts w:ascii="Times New Roman" w:hAnsi="Times New Roman"/>
        </w:rPr>
        <w:t xml:space="preserve"> a</w:t>
      </w:r>
      <w:r w:rsidR="00DF6C4E">
        <w:rPr>
          <w:rFonts w:ascii="Times New Roman" w:hAnsi="Times New Roman"/>
        </w:rPr>
        <w:t>llow</w:t>
      </w:r>
      <w:r w:rsidR="00AE1068">
        <w:rPr>
          <w:rFonts w:ascii="Times New Roman" w:hAnsi="Times New Roman"/>
        </w:rPr>
        <w:t>ing</w:t>
      </w:r>
      <w:r w:rsidR="00DF6C4E">
        <w:rPr>
          <w:rFonts w:ascii="Times New Roman" w:hAnsi="Times New Roman"/>
        </w:rPr>
        <w:t xml:space="preserve"> the </w:t>
      </w:r>
      <w:r w:rsidR="00AE1068">
        <w:rPr>
          <w:rFonts w:ascii="Times New Roman" w:hAnsi="Times New Roman"/>
        </w:rPr>
        <w:t>tariff revision</w:t>
      </w:r>
      <w:r w:rsidR="00EC7C31">
        <w:rPr>
          <w:rFonts w:ascii="Times New Roman" w:hAnsi="Times New Roman"/>
        </w:rPr>
        <w:t>s</w:t>
      </w:r>
      <w:r w:rsidR="00AE1068">
        <w:rPr>
          <w:rFonts w:ascii="Times New Roman" w:hAnsi="Times New Roman"/>
        </w:rPr>
        <w:t xml:space="preserve"> </w:t>
      </w:r>
      <w:r w:rsidR="001C6F06">
        <w:rPr>
          <w:rFonts w:ascii="Times New Roman" w:hAnsi="Times New Roman"/>
        </w:rPr>
        <w:t>filed</w:t>
      </w:r>
      <w:r w:rsidR="00DF6C4E">
        <w:rPr>
          <w:rFonts w:ascii="Times New Roman" w:hAnsi="Times New Roman"/>
        </w:rPr>
        <w:t xml:space="preserve"> by </w:t>
      </w:r>
      <w:r w:rsidR="005668F1" w:rsidRPr="005668F1">
        <w:rPr>
          <w:rFonts w:ascii="Times New Roman" w:hAnsi="Times New Roman"/>
        </w:rPr>
        <w:t>Solmar Water System</w:t>
      </w:r>
      <w:r w:rsidR="00EC7C31">
        <w:rPr>
          <w:rFonts w:ascii="Times New Roman" w:hAnsi="Times New Roman"/>
        </w:rPr>
        <w:t>,</w:t>
      </w:r>
      <w:r w:rsidR="005668F1" w:rsidRPr="005668F1">
        <w:rPr>
          <w:rFonts w:ascii="Times New Roman" w:hAnsi="Times New Roman"/>
        </w:rPr>
        <w:t xml:space="preserve"> Inc.</w:t>
      </w:r>
      <w:r w:rsidR="00DF6C4E">
        <w:rPr>
          <w:rFonts w:ascii="Times New Roman" w:hAnsi="Times New Roman"/>
        </w:rPr>
        <w:t xml:space="preserve">, on </w:t>
      </w:r>
      <w:r w:rsidR="00D60D9F">
        <w:rPr>
          <w:rFonts w:ascii="Times New Roman" w:hAnsi="Times New Roman"/>
        </w:rPr>
        <w:t xml:space="preserve">November 19, 2013, as revised on </w:t>
      </w:r>
      <w:r w:rsidR="001C6F06">
        <w:rPr>
          <w:rFonts w:ascii="Times New Roman" w:hAnsi="Times New Roman"/>
        </w:rPr>
        <w:t>Dec</w:t>
      </w:r>
      <w:r w:rsidR="008356F9">
        <w:rPr>
          <w:rFonts w:ascii="Times New Roman" w:hAnsi="Times New Roman"/>
        </w:rPr>
        <w:t xml:space="preserve">ember </w:t>
      </w:r>
      <w:r w:rsidR="00CD2EC6">
        <w:rPr>
          <w:rFonts w:ascii="Times New Roman" w:hAnsi="Times New Roman"/>
        </w:rPr>
        <w:t>1</w:t>
      </w:r>
      <w:r w:rsidR="008B1F06">
        <w:rPr>
          <w:rFonts w:ascii="Times New Roman" w:hAnsi="Times New Roman"/>
        </w:rPr>
        <w:t>2</w:t>
      </w:r>
      <w:r w:rsidR="00DF6C4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2013</w:t>
      </w:r>
      <w:r w:rsidR="00BF0223">
        <w:rPr>
          <w:rFonts w:ascii="Times New Roman" w:hAnsi="Times New Roman"/>
        </w:rPr>
        <w:t>,</w:t>
      </w:r>
      <w:r w:rsidR="00DF6C4E">
        <w:rPr>
          <w:rFonts w:ascii="Times New Roman" w:hAnsi="Times New Roman"/>
        </w:rPr>
        <w:t xml:space="preserve"> to become effective </w:t>
      </w:r>
      <w:r w:rsidR="006D2229">
        <w:rPr>
          <w:rFonts w:ascii="Times New Roman" w:hAnsi="Times New Roman"/>
        </w:rPr>
        <w:t>J</w:t>
      </w:r>
      <w:r w:rsidR="008356F9">
        <w:rPr>
          <w:rFonts w:ascii="Times New Roman" w:hAnsi="Times New Roman"/>
        </w:rPr>
        <w:t>anuar</w:t>
      </w:r>
      <w:r w:rsidR="006D2229">
        <w:rPr>
          <w:rFonts w:ascii="Times New Roman" w:hAnsi="Times New Roman"/>
        </w:rPr>
        <w:t>y</w:t>
      </w:r>
      <w:r w:rsidR="00DF6C4E">
        <w:rPr>
          <w:rFonts w:ascii="Times New Roman" w:hAnsi="Times New Roman"/>
        </w:rPr>
        <w:t xml:space="preserve"> 1, </w:t>
      </w:r>
      <w:r>
        <w:rPr>
          <w:rFonts w:ascii="Times New Roman" w:hAnsi="Times New Roman"/>
        </w:rPr>
        <w:t>201</w:t>
      </w:r>
      <w:r w:rsidR="008356F9">
        <w:rPr>
          <w:rFonts w:ascii="Times New Roman" w:hAnsi="Times New Roman"/>
        </w:rPr>
        <w:t>4</w:t>
      </w:r>
      <w:r w:rsidR="00E36635" w:rsidRPr="00E36635">
        <w:rPr>
          <w:rFonts w:ascii="Times New Roman" w:hAnsi="Times New Roman"/>
        </w:rPr>
        <w:t>, by operation of law</w:t>
      </w:r>
      <w:r w:rsidR="00DF6C4E">
        <w:rPr>
          <w:rFonts w:ascii="Times New Roman" w:hAnsi="Times New Roman"/>
        </w:rPr>
        <w:t xml:space="preserve">. </w:t>
      </w:r>
    </w:p>
    <w:p w14:paraId="6B6DB6B9" w14:textId="77777777" w:rsidR="00DF6C4E" w:rsidRDefault="00DF6C4E" w:rsidP="00DF6C4E">
      <w:pPr>
        <w:rPr>
          <w:rFonts w:ascii="Times New Roman" w:hAnsi="Times New Roman"/>
        </w:rPr>
      </w:pPr>
    </w:p>
    <w:p w14:paraId="6B6DB6BA" w14:textId="77777777" w:rsidR="00DF6C4E" w:rsidRDefault="00DF6C4E" w:rsidP="00DF6C4E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Discussion</w:t>
      </w:r>
    </w:p>
    <w:p w14:paraId="6B6DB6BB" w14:textId="77777777" w:rsidR="00DF6C4E" w:rsidRDefault="00DF6C4E" w:rsidP="00DF6C4E">
      <w:pPr>
        <w:rPr>
          <w:rFonts w:ascii="Times New Roman" w:hAnsi="Times New Roman"/>
        </w:rPr>
      </w:pPr>
    </w:p>
    <w:p w14:paraId="6B6DB6BC" w14:textId="1E33AB09" w:rsidR="00DF6C4E" w:rsidRDefault="003271B8" w:rsidP="00DF6C4E">
      <w:pPr>
        <w:rPr>
          <w:rFonts w:ascii="Times New Roman" w:hAnsi="Times New Roman"/>
        </w:rPr>
      </w:pPr>
      <w:r w:rsidRPr="003271B8">
        <w:rPr>
          <w:rFonts w:ascii="Times New Roman" w:hAnsi="Times New Roman"/>
        </w:rPr>
        <w:t>On November 19, 2013, Solmar Water System</w:t>
      </w:r>
      <w:r w:rsidR="00F7381C">
        <w:rPr>
          <w:rFonts w:ascii="Times New Roman" w:hAnsi="Times New Roman"/>
        </w:rPr>
        <w:t>,</w:t>
      </w:r>
      <w:r w:rsidRPr="003271B8">
        <w:rPr>
          <w:rFonts w:ascii="Times New Roman" w:hAnsi="Times New Roman"/>
        </w:rPr>
        <w:t xml:space="preserve"> Inc. (company)</w:t>
      </w:r>
      <w:r w:rsidR="005E0287">
        <w:rPr>
          <w:rFonts w:ascii="Times New Roman" w:hAnsi="Times New Roman"/>
        </w:rPr>
        <w:t>,</w:t>
      </w:r>
      <w:r w:rsidRPr="003271B8">
        <w:rPr>
          <w:rFonts w:ascii="Times New Roman" w:hAnsi="Times New Roman"/>
        </w:rPr>
        <w:t xml:space="preserve"> filed with the Utilities and Transportation Commission (commission)</w:t>
      </w:r>
      <w:r w:rsidR="000A5867" w:rsidRPr="000A5867">
        <w:rPr>
          <w:rFonts w:ascii="Times New Roman" w:hAnsi="Times New Roman"/>
        </w:rPr>
        <w:t xml:space="preserve"> a proposed general rate increase that would generate $13,710 (13.9 percent) additional annual revenue. </w:t>
      </w:r>
      <w:r w:rsidR="005E0287" w:rsidRPr="005E0287">
        <w:rPr>
          <w:rFonts w:ascii="Times New Roman" w:hAnsi="Times New Roman"/>
        </w:rPr>
        <w:t xml:space="preserve">The tariff revisions </w:t>
      </w:r>
      <w:r w:rsidR="00F44F71">
        <w:rPr>
          <w:rFonts w:ascii="Times New Roman" w:hAnsi="Times New Roman"/>
        </w:rPr>
        <w:t xml:space="preserve">to Tariff WN U-2 </w:t>
      </w:r>
      <w:r w:rsidR="005E0287" w:rsidRPr="005E0287">
        <w:rPr>
          <w:rFonts w:ascii="Times New Roman" w:hAnsi="Times New Roman"/>
        </w:rPr>
        <w:t xml:space="preserve">include new ancillary charges for </w:t>
      </w:r>
      <w:r w:rsidR="005E0287">
        <w:rPr>
          <w:rFonts w:ascii="Times New Roman" w:hAnsi="Times New Roman"/>
        </w:rPr>
        <w:t xml:space="preserve">a </w:t>
      </w:r>
      <w:r w:rsidR="005E0287" w:rsidRPr="005E0287">
        <w:rPr>
          <w:rFonts w:ascii="Times New Roman" w:hAnsi="Times New Roman"/>
        </w:rPr>
        <w:t xml:space="preserve">Service Visit, Water Availability Letter, Credit/Debit Card Fees, Backflow Assembly Service Visit, and language to implement </w:t>
      </w:r>
      <w:r w:rsidR="009C5D96">
        <w:rPr>
          <w:rFonts w:ascii="Times New Roman" w:hAnsi="Times New Roman"/>
        </w:rPr>
        <w:t xml:space="preserve">the </w:t>
      </w:r>
      <w:r w:rsidR="005E0287" w:rsidRPr="005E0287">
        <w:rPr>
          <w:rFonts w:ascii="Times New Roman" w:hAnsi="Times New Roman"/>
        </w:rPr>
        <w:t xml:space="preserve">Department of Health’s Cross Connection Control requirements. </w:t>
      </w:r>
      <w:r w:rsidR="000A5867" w:rsidRPr="000A5867">
        <w:rPr>
          <w:rFonts w:ascii="Times New Roman" w:hAnsi="Times New Roman"/>
        </w:rPr>
        <w:t xml:space="preserve">The proposed effective date is January 1, 2014. The company serves 302 </w:t>
      </w:r>
      <w:r w:rsidR="00D7249A">
        <w:rPr>
          <w:rFonts w:ascii="Times New Roman" w:hAnsi="Times New Roman"/>
        </w:rPr>
        <w:t>residential</w:t>
      </w:r>
      <w:r w:rsidR="000A5867" w:rsidRPr="000A5867">
        <w:rPr>
          <w:rFonts w:ascii="Times New Roman" w:hAnsi="Times New Roman"/>
        </w:rPr>
        <w:t xml:space="preserve"> customers near Sequim in Clallam County. The company’s last rate increase was effective September 1, 2001.</w:t>
      </w:r>
    </w:p>
    <w:p w14:paraId="6B6DB6BD" w14:textId="77777777" w:rsidR="00BA493D" w:rsidRDefault="00BA493D" w:rsidP="00DF6C4E">
      <w:pPr>
        <w:rPr>
          <w:rFonts w:ascii="Times New Roman" w:hAnsi="Times New Roman"/>
        </w:rPr>
      </w:pPr>
    </w:p>
    <w:p w14:paraId="01A0FFCC" w14:textId="16973EE1" w:rsidR="00967230" w:rsidRDefault="00A915FB" w:rsidP="00967230">
      <w:pPr>
        <w:rPr>
          <w:rFonts w:ascii="Times New Roman" w:hAnsi="Times New Roman"/>
        </w:rPr>
      </w:pPr>
      <w:r w:rsidRPr="00A915FB">
        <w:rPr>
          <w:rFonts w:ascii="Times New Roman" w:hAnsi="Times New Roman"/>
        </w:rPr>
        <w:t>Th</w:t>
      </w:r>
      <w:r>
        <w:rPr>
          <w:rFonts w:ascii="Times New Roman" w:hAnsi="Times New Roman"/>
        </w:rPr>
        <w:t xml:space="preserve">is </w:t>
      </w:r>
      <w:r w:rsidRPr="00A915FB">
        <w:rPr>
          <w:rFonts w:ascii="Times New Roman" w:hAnsi="Times New Roman"/>
        </w:rPr>
        <w:t xml:space="preserve">filing </w:t>
      </w:r>
      <w:r w:rsidR="005668F1">
        <w:rPr>
          <w:rFonts w:ascii="Times New Roman" w:hAnsi="Times New Roman"/>
        </w:rPr>
        <w:t>changes</w:t>
      </w:r>
      <w:r w:rsidR="00CB6C31">
        <w:rPr>
          <w:rFonts w:ascii="Times New Roman" w:hAnsi="Times New Roman"/>
        </w:rPr>
        <w:t xml:space="preserve"> the current rate design</w:t>
      </w:r>
      <w:r w:rsidRPr="00A915FB">
        <w:rPr>
          <w:rFonts w:ascii="Times New Roman" w:hAnsi="Times New Roman"/>
        </w:rPr>
        <w:t xml:space="preserve"> </w:t>
      </w:r>
      <w:r w:rsidR="005668F1">
        <w:rPr>
          <w:rFonts w:ascii="Times New Roman" w:hAnsi="Times New Roman"/>
        </w:rPr>
        <w:t xml:space="preserve">by adding </w:t>
      </w:r>
      <w:r w:rsidR="000A5867">
        <w:rPr>
          <w:rFonts w:ascii="Times New Roman" w:hAnsi="Times New Roman"/>
        </w:rPr>
        <w:t xml:space="preserve">tiered </w:t>
      </w:r>
      <w:r w:rsidR="005668F1">
        <w:rPr>
          <w:rFonts w:ascii="Times New Roman" w:hAnsi="Times New Roman"/>
        </w:rPr>
        <w:t xml:space="preserve">usage </w:t>
      </w:r>
      <w:r w:rsidR="000A5867">
        <w:rPr>
          <w:rFonts w:ascii="Times New Roman" w:hAnsi="Times New Roman"/>
        </w:rPr>
        <w:t>charge</w:t>
      </w:r>
      <w:r w:rsidR="005668F1">
        <w:rPr>
          <w:rFonts w:ascii="Times New Roman" w:hAnsi="Times New Roman"/>
        </w:rPr>
        <w:t>s and establishing a 3-inch meter charge. The 3-inch meter was recently install</w:t>
      </w:r>
      <w:r w:rsidR="00967230">
        <w:rPr>
          <w:rFonts w:ascii="Times New Roman" w:hAnsi="Times New Roman"/>
        </w:rPr>
        <w:t>ed</w:t>
      </w:r>
      <w:r w:rsidR="005668F1">
        <w:rPr>
          <w:rFonts w:ascii="Times New Roman" w:hAnsi="Times New Roman"/>
        </w:rPr>
        <w:t xml:space="preserve"> and the company has collect</w:t>
      </w:r>
      <w:r w:rsidR="00EC7C31">
        <w:rPr>
          <w:rFonts w:ascii="Times New Roman" w:hAnsi="Times New Roman"/>
        </w:rPr>
        <w:t>ed water</w:t>
      </w:r>
      <w:r w:rsidR="005668F1">
        <w:rPr>
          <w:rFonts w:ascii="Times New Roman" w:hAnsi="Times New Roman"/>
        </w:rPr>
        <w:t xml:space="preserve"> usage data. </w:t>
      </w:r>
      <w:r w:rsidR="00EC7C31">
        <w:rPr>
          <w:rFonts w:ascii="Times New Roman" w:hAnsi="Times New Roman"/>
        </w:rPr>
        <w:t>The 3-inch meter rate replac</w:t>
      </w:r>
      <w:r w:rsidR="004E6C92">
        <w:rPr>
          <w:rFonts w:ascii="Times New Roman" w:hAnsi="Times New Roman"/>
        </w:rPr>
        <w:t>es</w:t>
      </w:r>
      <w:r w:rsidR="00EC7C31">
        <w:rPr>
          <w:rFonts w:ascii="Times New Roman" w:hAnsi="Times New Roman"/>
        </w:rPr>
        <w:t xml:space="preserve"> a mobile home park flat rate cha</w:t>
      </w:r>
      <w:r w:rsidR="00967230">
        <w:rPr>
          <w:rFonts w:ascii="Times New Roman" w:hAnsi="Times New Roman"/>
        </w:rPr>
        <w:t>r</w:t>
      </w:r>
      <w:r w:rsidR="00EC7C31">
        <w:rPr>
          <w:rFonts w:ascii="Times New Roman" w:hAnsi="Times New Roman"/>
        </w:rPr>
        <w:t>ge based on t</w:t>
      </w:r>
      <w:r w:rsidR="00B04E42">
        <w:rPr>
          <w:rFonts w:ascii="Times New Roman" w:hAnsi="Times New Roman"/>
        </w:rPr>
        <w:t>he number of units in the park.</w:t>
      </w:r>
      <w:r w:rsidR="00F7381C">
        <w:rPr>
          <w:rFonts w:ascii="Times New Roman" w:hAnsi="Times New Roman"/>
        </w:rPr>
        <w:t xml:space="preserve"> This meter installation will </w:t>
      </w:r>
      <w:r w:rsidR="004E6C92">
        <w:rPr>
          <w:rFonts w:ascii="Times New Roman" w:hAnsi="Times New Roman"/>
        </w:rPr>
        <w:t>provide</w:t>
      </w:r>
      <w:r w:rsidR="00F7381C">
        <w:rPr>
          <w:rFonts w:ascii="Times New Roman" w:hAnsi="Times New Roman"/>
        </w:rPr>
        <w:t xml:space="preserve"> </w:t>
      </w:r>
      <w:r w:rsidR="004E6C92">
        <w:rPr>
          <w:rFonts w:ascii="Times New Roman" w:hAnsi="Times New Roman"/>
        </w:rPr>
        <w:t xml:space="preserve">accurate water usage </w:t>
      </w:r>
      <w:r w:rsidR="00185E84">
        <w:rPr>
          <w:rFonts w:ascii="Times New Roman" w:hAnsi="Times New Roman"/>
        </w:rPr>
        <w:t xml:space="preserve">data </w:t>
      </w:r>
      <w:r w:rsidR="004E6C92">
        <w:rPr>
          <w:rFonts w:ascii="Times New Roman" w:hAnsi="Times New Roman"/>
        </w:rPr>
        <w:t xml:space="preserve">and help </w:t>
      </w:r>
      <w:r w:rsidR="00F7381C">
        <w:rPr>
          <w:rFonts w:ascii="Times New Roman" w:hAnsi="Times New Roman"/>
        </w:rPr>
        <w:t>the company promote water use</w:t>
      </w:r>
      <w:r w:rsidR="00AD12A9">
        <w:rPr>
          <w:rFonts w:ascii="Times New Roman" w:hAnsi="Times New Roman"/>
        </w:rPr>
        <w:t xml:space="preserve"> efficiency</w:t>
      </w:r>
      <w:r w:rsidR="00F7381C">
        <w:rPr>
          <w:rFonts w:ascii="Times New Roman" w:hAnsi="Times New Roman"/>
        </w:rPr>
        <w:t>.</w:t>
      </w:r>
    </w:p>
    <w:p w14:paraId="1881E644" w14:textId="77777777" w:rsidR="00967230" w:rsidRDefault="00967230" w:rsidP="00DF6C4E">
      <w:pPr>
        <w:rPr>
          <w:rFonts w:ascii="Times New Roman" w:hAnsi="Times New Roman"/>
        </w:rPr>
      </w:pPr>
    </w:p>
    <w:p w14:paraId="6B6DB6BE" w14:textId="49140FBF" w:rsidR="000951D6" w:rsidRDefault="001C6F06" w:rsidP="00DF6C4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December </w:t>
      </w:r>
      <w:r w:rsidR="00CD2EC6">
        <w:rPr>
          <w:rFonts w:ascii="Times New Roman" w:hAnsi="Times New Roman"/>
        </w:rPr>
        <w:t>1</w:t>
      </w:r>
      <w:r w:rsidR="008B1F06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, 2013, the company filed </w:t>
      </w:r>
      <w:r w:rsidR="004E6C92">
        <w:rPr>
          <w:rFonts w:ascii="Times New Roman" w:hAnsi="Times New Roman"/>
        </w:rPr>
        <w:t xml:space="preserve">revised tariff pages </w:t>
      </w:r>
      <w:r w:rsidR="00F44F71">
        <w:rPr>
          <w:rFonts w:ascii="Times New Roman" w:hAnsi="Times New Roman"/>
        </w:rPr>
        <w:t xml:space="preserve">in new Tariff </w:t>
      </w:r>
      <w:r>
        <w:rPr>
          <w:rFonts w:ascii="Times New Roman" w:hAnsi="Times New Roman"/>
        </w:rPr>
        <w:t>W</w:t>
      </w:r>
      <w:r w:rsidR="00004636">
        <w:rPr>
          <w:rFonts w:ascii="Times New Roman" w:hAnsi="Times New Roman"/>
        </w:rPr>
        <w:t>N U-3</w:t>
      </w:r>
      <w:r>
        <w:rPr>
          <w:rFonts w:ascii="Times New Roman" w:hAnsi="Times New Roman"/>
        </w:rPr>
        <w:t xml:space="preserve">. </w:t>
      </w:r>
    </w:p>
    <w:p w14:paraId="6B6DB6BF" w14:textId="77777777" w:rsidR="000951D6" w:rsidRDefault="000951D6" w:rsidP="00DF6C4E">
      <w:pPr>
        <w:rPr>
          <w:rFonts w:ascii="Times New Roman" w:hAnsi="Times New Roman"/>
        </w:rPr>
      </w:pPr>
    </w:p>
    <w:p w14:paraId="6B6DB6C2" w14:textId="77777777" w:rsidR="005E79D2" w:rsidRDefault="005E79D2" w:rsidP="00DF6C4E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Customer Comments</w:t>
      </w:r>
    </w:p>
    <w:p w14:paraId="6B6DB6C3" w14:textId="77777777" w:rsidR="005E79D2" w:rsidRDefault="005E79D2" w:rsidP="00DF6C4E">
      <w:pPr>
        <w:rPr>
          <w:rFonts w:ascii="Times New Roman" w:hAnsi="Times New Roman"/>
        </w:rPr>
      </w:pPr>
    </w:p>
    <w:p w14:paraId="622891F7" w14:textId="4990049A" w:rsidR="006D6CF6" w:rsidRDefault="006D6CF6" w:rsidP="006D6CF6">
      <w:pPr>
        <w:pStyle w:val="ListParagraph"/>
        <w:ind w:left="0"/>
        <w:rPr>
          <w:rFonts w:ascii="Times New Roman" w:hAnsi="Times New Roman"/>
        </w:rPr>
      </w:pPr>
      <w:r w:rsidRPr="00E20CCF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="005668F1">
        <w:rPr>
          <w:rFonts w:ascii="Times New Roman" w:hAnsi="Times New Roman"/>
        </w:rPr>
        <w:t>November</w:t>
      </w:r>
      <w:r w:rsidR="00E03710">
        <w:rPr>
          <w:rFonts w:ascii="Times New Roman" w:hAnsi="Times New Roman"/>
        </w:rPr>
        <w:t xml:space="preserve"> </w:t>
      </w:r>
      <w:r w:rsidR="003271B8">
        <w:rPr>
          <w:rFonts w:ascii="Times New Roman" w:hAnsi="Times New Roman"/>
        </w:rPr>
        <w:t>18</w:t>
      </w:r>
      <w:r w:rsidRPr="00E20CCF">
        <w:rPr>
          <w:rFonts w:ascii="Times New Roman" w:hAnsi="Times New Roman"/>
        </w:rPr>
        <w:t xml:space="preserve">, </w:t>
      </w:r>
      <w:r w:rsidR="00E03710">
        <w:rPr>
          <w:rFonts w:ascii="Times New Roman" w:hAnsi="Times New Roman"/>
        </w:rPr>
        <w:t>2013</w:t>
      </w:r>
      <w:r w:rsidR="009A7392">
        <w:rPr>
          <w:rFonts w:ascii="Times New Roman" w:hAnsi="Times New Roman"/>
        </w:rPr>
        <w:t xml:space="preserve">, </w:t>
      </w:r>
      <w:r w:rsidRPr="00E20CCF">
        <w:rPr>
          <w:rFonts w:ascii="Times New Roman" w:hAnsi="Times New Roman"/>
        </w:rPr>
        <w:t>the company notified its customers of the proposed rate increase by mail.</w:t>
      </w:r>
      <w:r w:rsidR="006B166F">
        <w:rPr>
          <w:rFonts w:ascii="Times New Roman" w:hAnsi="Times New Roman"/>
        </w:rPr>
        <w:t xml:space="preserve"> The commission received no comments.</w:t>
      </w:r>
      <w:r w:rsidR="00A02121">
        <w:rPr>
          <w:rFonts w:ascii="Times New Roman" w:hAnsi="Times New Roman"/>
        </w:rPr>
        <w:t xml:space="preserve"> The company received two comments asking for clarification on their individual bills.</w:t>
      </w:r>
      <w:r w:rsidRPr="00E20CCF">
        <w:rPr>
          <w:rFonts w:ascii="Times New Roman" w:hAnsi="Times New Roman"/>
        </w:rPr>
        <w:t xml:space="preserve"> </w:t>
      </w:r>
    </w:p>
    <w:p w14:paraId="101EA723" w14:textId="77777777" w:rsidR="000A5867" w:rsidRDefault="000A5867" w:rsidP="006D6CF6">
      <w:pPr>
        <w:pStyle w:val="ListParagraph"/>
        <w:ind w:left="0"/>
        <w:rPr>
          <w:rFonts w:ascii="Times New Roman" w:hAnsi="Times New Roman"/>
        </w:rPr>
      </w:pPr>
    </w:p>
    <w:p w14:paraId="3AAC09ED" w14:textId="2C62F707" w:rsidR="00BA64CD" w:rsidRDefault="00BA64CD" w:rsidP="00004636">
      <w:pPr>
        <w:spacing w:after="200" w:line="276" w:lineRule="auto"/>
        <w:jc w:val="center"/>
        <w:rPr>
          <w:rFonts w:ascii="Times New Roman" w:hAnsi="Times New Roman"/>
          <w:b/>
          <w:u w:val="single"/>
        </w:rPr>
      </w:pPr>
      <w:r w:rsidRPr="00ED617B">
        <w:rPr>
          <w:rFonts w:ascii="Times New Roman" w:hAnsi="Times New Roman"/>
          <w:b/>
          <w:u w:val="single"/>
        </w:rPr>
        <w:t>Rate Comparison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3798"/>
        <w:gridCol w:w="1980"/>
        <w:gridCol w:w="1980"/>
      </w:tblGrid>
      <w:tr w:rsidR="006A4B32" w:rsidRPr="006B166F" w14:paraId="53EA633E" w14:textId="77777777" w:rsidTr="00185E84"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14:paraId="7505A34F" w14:textId="66570004" w:rsidR="006A4B32" w:rsidRPr="006B166F" w:rsidRDefault="006A4B32" w:rsidP="00F906D9">
            <w:pPr>
              <w:jc w:val="center"/>
              <w:rPr>
                <w:rFonts w:ascii="Times New Roman" w:hAnsi="Times New Roman"/>
                <w:b/>
              </w:rPr>
            </w:pPr>
            <w:r w:rsidRPr="006B166F">
              <w:rPr>
                <w:rFonts w:ascii="Times New Roman" w:hAnsi="Times New Roman"/>
                <w:b/>
              </w:rPr>
              <w:t>Monthly Rate</w:t>
            </w:r>
          </w:p>
        </w:tc>
        <w:tc>
          <w:tcPr>
            <w:tcW w:w="1980" w:type="dxa"/>
            <w:shd w:val="pct10" w:color="auto" w:fill="auto"/>
            <w:vAlign w:val="center"/>
          </w:tcPr>
          <w:p w14:paraId="74570236" w14:textId="77777777" w:rsidR="006A4B32" w:rsidRPr="006B166F" w:rsidRDefault="006A4B32" w:rsidP="00146764">
            <w:pPr>
              <w:jc w:val="center"/>
              <w:rPr>
                <w:rFonts w:ascii="Times New Roman" w:hAnsi="Times New Roman"/>
                <w:b/>
              </w:rPr>
            </w:pPr>
            <w:r w:rsidRPr="006B166F">
              <w:rPr>
                <w:rFonts w:ascii="Times New Roman" w:hAnsi="Times New Roman"/>
                <w:b/>
              </w:rPr>
              <w:t>Current Rate</w:t>
            </w:r>
          </w:p>
        </w:tc>
        <w:tc>
          <w:tcPr>
            <w:tcW w:w="1980" w:type="dxa"/>
            <w:shd w:val="pct10" w:color="auto" w:fill="auto"/>
          </w:tcPr>
          <w:p w14:paraId="48FCBCD7" w14:textId="7702EB9D" w:rsidR="006A4B32" w:rsidRPr="006B166F" w:rsidRDefault="006A4B32" w:rsidP="00BA64CD">
            <w:pPr>
              <w:jc w:val="center"/>
              <w:rPr>
                <w:rFonts w:ascii="Times New Roman" w:hAnsi="Times New Roman"/>
                <w:b/>
              </w:rPr>
            </w:pPr>
            <w:r w:rsidRPr="006B166F">
              <w:rPr>
                <w:rFonts w:ascii="Times New Roman" w:hAnsi="Times New Roman"/>
                <w:b/>
              </w:rPr>
              <w:t>Proposed</w:t>
            </w:r>
            <w:r w:rsidR="009000B3">
              <w:rPr>
                <w:rFonts w:ascii="Times New Roman" w:hAnsi="Times New Roman"/>
                <w:b/>
              </w:rPr>
              <w:t xml:space="preserve"> Rate</w:t>
            </w:r>
          </w:p>
        </w:tc>
      </w:tr>
      <w:tr w:rsidR="000A08FA" w:rsidRPr="006B166F" w14:paraId="5754F921" w14:textId="77777777" w:rsidTr="00185E84">
        <w:tc>
          <w:tcPr>
            <w:tcW w:w="3798" w:type="dxa"/>
            <w:shd w:val="clear" w:color="auto" w:fill="auto"/>
          </w:tcPr>
          <w:p w14:paraId="709A9C07" w14:textId="1016AD85" w:rsidR="000A08FA" w:rsidRPr="006B166F" w:rsidRDefault="000A08FA" w:rsidP="009C5D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Base Rate, 3/4–Inch Meter</w:t>
            </w:r>
          </w:p>
        </w:tc>
        <w:tc>
          <w:tcPr>
            <w:tcW w:w="1980" w:type="dxa"/>
          </w:tcPr>
          <w:p w14:paraId="7660B931" w14:textId="71E63A61" w:rsidR="000A08FA" w:rsidRPr="006B166F" w:rsidRDefault="000A08FA" w:rsidP="00BA64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$22.00</w:t>
            </w:r>
          </w:p>
        </w:tc>
        <w:tc>
          <w:tcPr>
            <w:tcW w:w="1980" w:type="dxa"/>
          </w:tcPr>
          <w:p w14:paraId="77AD885B" w14:textId="285AA1D0" w:rsidR="000A08FA" w:rsidRPr="006B166F" w:rsidRDefault="000A08FA" w:rsidP="00BA64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$25.00</w:t>
            </w:r>
          </w:p>
        </w:tc>
      </w:tr>
      <w:tr w:rsidR="006A4B32" w:rsidRPr="006B166F" w14:paraId="69DC8DA5" w14:textId="77777777" w:rsidTr="006A4B32">
        <w:tc>
          <w:tcPr>
            <w:tcW w:w="3798" w:type="dxa"/>
          </w:tcPr>
          <w:p w14:paraId="2B8A3F07" w14:textId="1CEF2C0E" w:rsidR="006A4B32" w:rsidRPr="006B166F" w:rsidRDefault="006A4B32" w:rsidP="00984CDA">
            <w:pPr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 xml:space="preserve">Allowance </w:t>
            </w:r>
            <w:r w:rsidR="00146764" w:rsidRPr="006B166F">
              <w:rPr>
                <w:rFonts w:ascii="Times New Roman" w:hAnsi="Times New Roman"/>
              </w:rPr>
              <w:t xml:space="preserve">With </w:t>
            </w:r>
            <w:r w:rsidRPr="006B166F">
              <w:rPr>
                <w:rFonts w:ascii="Times New Roman" w:hAnsi="Times New Roman"/>
              </w:rPr>
              <w:t>Base Charge</w:t>
            </w:r>
            <w:r w:rsidR="000A08FA">
              <w:rPr>
                <w:rFonts w:ascii="Times New Roman" w:hAnsi="Times New Roman"/>
              </w:rPr>
              <w:t xml:space="preserve"> CF*</w:t>
            </w:r>
          </w:p>
        </w:tc>
        <w:tc>
          <w:tcPr>
            <w:tcW w:w="1980" w:type="dxa"/>
          </w:tcPr>
          <w:p w14:paraId="71A0B8E5" w14:textId="503DC43F" w:rsidR="006A4B32" w:rsidRPr="006B166F" w:rsidRDefault="006A4B32" w:rsidP="00BA64CD">
            <w:pPr>
              <w:jc w:val="center"/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>0</w:t>
            </w:r>
          </w:p>
        </w:tc>
        <w:tc>
          <w:tcPr>
            <w:tcW w:w="1980" w:type="dxa"/>
          </w:tcPr>
          <w:p w14:paraId="3DE222BA" w14:textId="1614A6E5" w:rsidR="006A4B32" w:rsidRPr="006B166F" w:rsidRDefault="006A4B32" w:rsidP="00BA64CD">
            <w:pPr>
              <w:jc w:val="center"/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>0</w:t>
            </w:r>
          </w:p>
        </w:tc>
      </w:tr>
      <w:tr w:rsidR="006A4B32" w:rsidRPr="006B166F" w14:paraId="757A1FD7" w14:textId="77777777" w:rsidTr="006A4B32">
        <w:tc>
          <w:tcPr>
            <w:tcW w:w="3798" w:type="dxa"/>
          </w:tcPr>
          <w:p w14:paraId="4D32E44F" w14:textId="1E79E5EB" w:rsidR="006A4B32" w:rsidRPr="006B166F" w:rsidRDefault="006A4B32" w:rsidP="000A08FA">
            <w:pPr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 xml:space="preserve">Up </w:t>
            </w:r>
            <w:r w:rsidR="00146764" w:rsidRPr="006B166F">
              <w:rPr>
                <w:rFonts w:ascii="Times New Roman" w:hAnsi="Times New Roman"/>
              </w:rPr>
              <w:t xml:space="preserve">To 1,000 </w:t>
            </w:r>
            <w:r w:rsidRPr="006B166F">
              <w:rPr>
                <w:rFonts w:ascii="Times New Roman" w:hAnsi="Times New Roman"/>
              </w:rPr>
              <w:t>CF</w:t>
            </w:r>
            <w:r w:rsidR="00146764" w:rsidRPr="006B166F">
              <w:rPr>
                <w:rFonts w:ascii="Times New Roman" w:hAnsi="Times New Roman"/>
              </w:rPr>
              <w:t xml:space="preserve">, Per </w:t>
            </w:r>
            <w:r w:rsidRPr="006B166F">
              <w:rPr>
                <w:rFonts w:ascii="Times New Roman" w:hAnsi="Times New Roman"/>
              </w:rPr>
              <w:t>CCF</w:t>
            </w:r>
            <w:r w:rsidR="00984CDA">
              <w:rPr>
                <w:rFonts w:ascii="Times New Roman" w:hAnsi="Times New Roman"/>
              </w:rPr>
              <w:t>**</w:t>
            </w:r>
          </w:p>
        </w:tc>
        <w:tc>
          <w:tcPr>
            <w:tcW w:w="1980" w:type="dxa"/>
          </w:tcPr>
          <w:p w14:paraId="346D7DB9" w14:textId="7B816E39" w:rsidR="006A4B32" w:rsidRPr="006B166F" w:rsidRDefault="006A4B32" w:rsidP="00FC56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FC568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FC568B">
              <w:rPr>
                <w:rFonts w:ascii="Times New Roman" w:hAnsi="Times New Roman"/>
              </w:rPr>
              <w:t>00</w:t>
            </w:r>
          </w:p>
        </w:tc>
        <w:tc>
          <w:tcPr>
            <w:tcW w:w="1980" w:type="dxa"/>
          </w:tcPr>
          <w:p w14:paraId="677CDF92" w14:textId="3A8FFB5C" w:rsidR="006A4B32" w:rsidRPr="006B166F" w:rsidRDefault="006A4B32" w:rsidP="00FC568B">
            <w:pPr>
              <w:jc w:val="center"/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>$</w:t>
            </w:r>
            <w:r w:rsidR="00FC568B">
              <w:rPr>
                <w:rFonts w:ascii="Times New Roman" w:hAnsi="Times New Roman"/>
              </w:rPr>
              <w:t>1</w:t>
            </w:r>
            <w:r w:rsidRPr="006B166F">
              <w:rPr>
                <w:rFonts w:ascii="Times New Roman" w:hAnsi="Times New Roman"/>
              </w:rPr>
              <w:t>.</w:t>
            </w:r>
            <w:r w:rsidR="00FC568B">
              <w:rPr>
                <w:rFonts w:ascii="Times New Roman" w:hAnsi="Times New Roman"/>
              </w:rPr>
              <w:t>00</w:t>
            </w:r>
          </w:p>
        </w:tc>
      </w:tr>
    </w:tbl>
    <w:p w14:paraId="02C1154E" w14:textId="77777777" w:rsidR="00F44F71" w:rsidRDefault="00F44F71">
      <w:r>
        <w:br w:type="page"/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3798"/>
        <w:gridCol w:w="1980"/>
        <w:gridCol w:w="1980"/>
      </w:tblGrid>
      <w:tr w:rsidR="00185E84" w:rsidRPr="006B166F" w14:paraId="103FFF27" w14:textId="77777777" w:rsidTr="00185E84">
        <w:tc>
          <w:tcPr>
            <w:tcW w:w="3798" w:type="dxa"/>
            <w:vAlign w:val="center"/>
          </w:tcPr>
          <w:p w14:paraId="56B393E3" w14:textId="21ACF1B3" w:rsidR="00185E84" w:rsidRPr="00185E84" w:rsidRDefault="00185E84" w:rsidP="00185E84">
            <w:pPr>
              <w:jc w:val="center"/>
              <w:rPr>
                <w:rFonts w:ascii="Times New Roman" w:hAnsi="Times New Roman"/>
                <w:b/>
              </w:rPr>
            </w:pPr>
            <w:r w:rsidRPr="006B166F">
              <w:rPr>
                <w:rFonts w:ascii="Times New Roman" w:hAnsi="Times New Roman"/>
                <w:b/>
              </w:rPr>
              <w:lastRenderedPageBreak/>
              <w:t>Monthly Rate</w:t>
            </w:r>
          </w:p>
        </w:tc>
        <w:tc>
          <w:tcPr>
            <w:tcW w:w="1980" w:type="dxa"/>
            <w:vAlign w:val="center"/>
          </w:tcPr>
          <w:p w14:paraId="423D46A7" w14:textId="7F3229B9" w:rsidR="00185E84" w:rsidRPr="00185E84" w:rsidRDefault="00185E84" w:rsidP="00185E84">
            <w:pPr>
              <w:jc w:val="center"/>
              <w:rPr>
                <w:rFonts w:ascii="Times New Roman" w:hAnsi="Times New Roman"/>
                <w:b/>
              </w:rPr>
            </w:pPr>
            <w:r w:rsidRPr="006B166F">
              <w:rPr>
                <w:rFonts w:ascii="Times New Roman" w:hAnsi="Times New Roman"/>
                <w:b/>
              </w:rPr>
              <w:t>Current Rate</w:t>
            </w:r>
          </w:p>
        </w:tc>
        <w:tc>
          <w:tcPr>
            <w:tcW w:w="1980" w:type="dxa"/>
          </w:tcPr>
          <w:p w14:paraId="43CC50AE" w14:textId="427791E6" w:rsidR="00185E84" w:rsidRPr="00185E84" w:rsidRDefault="00185E84" w:rsidP="00185E84">
            <w:pPr>
              <w:jc w:val="center"/>
              <w:rPr>
                <w:rFonts w:ascii="Times New Roman" w:hAnsi="Times New Roman"/>
                <w:b/>
              </w:rPr>
            </w:pPr>
            <w:r w:rsidRPr="006B166F">
              <w:rPr>
                <w:rFonts w:ascii="Times New Roman" w:hAnsi="Times New Roman"/>
                <w:b/>
              </w:rPr>
              <w:t>Proposed</w:t>
            </w:r>
            <w:r>
              <w:rPr>
                <w:rFonts w:ascii="Times New Roman" w:hAnsi="Times New Roman"/>
                <w:b/>
              </w:rPr>
              <w:t xml:space="preserve"> Rate</w:t>
            </w:r>
          </w:p>
        </w:tc>
      </w:tr>
      <w:tr w:rsidR="00185E84" w:rsidRPr="006B166F" w14:paraId="6FB3DF9C" w14:textId="77777777" w:rsidTr="006A4B32">
        <w:tc>
          <w:tcPr>
            <w:tcW w:w="3798" w:type="dxa"/>
          </w:tcPr>
          <w:p w14:paraId="69247AC8" w14:textId="31109403" w:rsidR="00185E84" w:rsidRPr="006B166F" w:rsidRDefault="00185E84" w:rsidP="00FC568B">
            <w:pPr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 xml:space="preserve">1,001 - 2,000 CF, Per CCF </w:t>
            </w:r>
          </w:p>
        </w:tc>
        <w:tc>
          <w:tcPr>
            <w:tcW w:w="1980" w:type="dxa"/>
          </w:tcPr>
          <w:p w14:paraId="37873847" w14:textId="362B40E5" w:rsidR="00185E84" w:rsidRPr="006B166F" w:rsidRDefault="00185E84" w:rsidP="00FC56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$1.00</w:t>
            </w:r>
          </w:p>
        </w:tc>
        <w:tc>
          <w:tcPr>
            <w:tcW w:w="1980" w:type="dxa"/>
          </w:tcPr>
          <w:p w14:paraId="5986CBAA" w14:textId="5CCE93ED" w:rsidR="00185E84" w:rsidRPr="006B166F" w:rsidRDefault="00185E84" w:rsidP="00BA64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$1.50</w:t>
            </w:r>
          </w:p>
        </w:tc>
      </w:tr>
      <w:tr w:rsidR="00185E84" w:rsidRPr="006B166F" w14:paraId="15142B34" w14:textId="77777777" w:rsidTr="006A4B32">
        <w:tc>
          <w:tcPr>
            <w:tcW w:w="3798" w:type="dxa"/>
          </w:tcPr>
          <w:p w14:paraId="62964CCB" w14:textId="1789CCA7" w:rsidR="00185E84" w:rsidRPr="006B166F" w:rsidRDefault="00185E84" w:rsidP="00FC568B">
            <w:pPr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 xml:space="preserve">2,001 CF </w:t>
            </w:r>
            <w:r>
              <w:rPr>
                <w:rFonts w:ascii="Times New Roman" w:hAnsi="Times New Roman"/>
              </w:rPr>
              <w:t>a</w:t>
            </w:r>
            <w:r w:rsidRPr="006B166F">
              <w:rPr>
                <w:rFonts w:ascii="Times New Roman" w:hAnsi="Times New Roman"/>
              </w:rPr>
              <w:t xml:space="preserve">nd Above, Per CCF </w:t>
            </w:r>
          </w:p>
        </w:tc>
        <w:tc>
          <w:tcPr>
            <w:tcW w:w="1980" w:type="dxa"/>
          </w:tcPr>
          <w:p w14:paraId="3B0D01F4" w14:textId="2C631B40" w:rsidR="00185E84" w:rsidRPr="006B166F" w:rsidRDefault="00185E84" w:rsidP="00E03710">
            <w:pPr>
              <w:jc w:val="center"/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>$</w:t>
            </w:r>
            <w:r>
              <w:rPr>
                <w:rFonts w:ascii="Times New Roman" w:hAnsi="Times New Roman"/>
              </w:rPr>
              <w:t>1</w:t>
            </w:r>
            <w:r w:rsidRPr="006B16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980" w:type="dxa"/>
          </w:tcPr>
          <w:p w14:paraId="7D10D14B" w14:textId="58425186" w:rsidR="00185E84" w:rsidRPr="006B166F" w:rsidRDefault="00185E84" w:rsidP="00BA64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$2.00</w:t>
            </w:r>
          </w:p>
        </w:tc>
      </w:tr>
      <w:tr w:rsidR="00185E84" w:rsidRPr="006B166F" w14:paraId="26D574A8" w14:textId="77777777" w:rsidTr="00185E84">
        <w:tc>
          <w:tcPr>
            <w:tcW w:w="3798" w:type="dxa"/>
            <w:tcBorders>
              <w:bottom w:val="single" w:sz="4" w:space="0" w:color="auto"/>
            </w:tcBorders>
          </w:tcPr>
          <w:p w14:paraId="72BBD0BE" w14:textId="4338BE20" w:rsidR="00185E84" w:rsidRPr="006B166F" w:rsidRDefault="00185E84" w:rsidP="00BA64CD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2A440F85" w14:textId="72E2B580" w:rsidR="00185E84" w:rsidRPr="006B166F" w:rsidRDefault="00185E84" w:rsidP="00BA6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10143CF5" w14:textId="7E59F492" w:rsidR="00185E84" w:rsidRPr="006B166F" w:rsidRDefault="00185E84" w:rsidP="00BA64CD">
            <w:pPr>
              <w:jc w:val="center"/>
              <w:rPr>
                <w:rFonts w:ascii="Times New Roman" w:hAnsi="Times New Roman"/>
              </w:rPr>
            </w:pPr>
          </w:p>
        </w:tc>
      </w:tr>
      <w:tr w:rsidR="00185E84" w:rsidRPr="006B166F" w14:paraId="4E2DB3BA" w14:textId="77777777" w:rsidTr="00185E84">
        <w:tc>
          <w:tcPr>
            <w:tcW w:w="3798" w:type="dxa"/>
            <w:tcBorders>
              <w:bottom w:val="single" w:sz="4" w:space="0" w:color="auto"/>
            </w:tcBorders>
            <w:shd w:val="clear" w:color="auto" w:fill="auto"/>
          </w:tcPr>
          <w:p w14:paraId="749839C2" w14:textId="4BEE7E41" w:rsidR="00185E84" w:rsidRPr="006B166F" w:rsidRDefault="00185E84" w:rsidP="00BA64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Base Rate, Flat Mobile Home Park</w:t>
            </w:r>
          </w:p>
        </w:tc>
        <w:tc>
          <w:tcPr>
            <w:tcW w:w="1980" w:type="dxa"/>
          </w:tcPr>
          <w:p w14:paraId="0EECB64D" w14:textId="32437859" w:rsidR="00185E84" w:rsidRPr="006B166F" w:rsidRDefault="00185E84" w:rsidP="00BA64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$1,776</w:t>
            </w:r>
          </w:p>
        </w:tc>
        <w:tc>
          <w:tcPr>
            <w:tcW w:w="1980" w:type="dxa"/>
          </w:tcPr>
          <w:p w14:paraId="2A1A4DF7" w14:textId="616CCE2A" w:rsidR="00185E84" w:rsidRPr="006B166F" w:rsidRDefault="00185E84" w:rsidP="00BA64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</w:t>
            </w:r>
          </w:p>
        </w:tc>
      </w:tr>
      <w:tr w:rsidR="00185E84" w:rsidRPr="006B166F" w14:paraId="6833F507" w14:textId="77777777" w:rsidTr="00185E84">
        <w:tc>
          <w:tcPr>
            <w:tcW w:w="3798" w:type="dxa"/>
            <w:tcBorders>
              <w:bottom w:val="single" w:sz="4" w:space="0" w:color="auto"/>
            </w:tcBorders>
            <w:shd w:val="clear" w:color="auto" w:fill="auto"/>
          </w:tcPr>
          <w:p w14:paraId="23B5A379" w14:textId="41A061D7" w:rsidR="00185E84" w:rsidRPr="006B166F" w:rsidRDefault="00185E84" w:rsidP="009C5D96">
            <w:pPr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 xml:space="preserve">Base Rate, 3-Inch Meter  </w:t>
            </w:r>
          </w:p>
        </w:tc>
        <w:tc>
          <w:tcPr>
            <w:tcW w:w="1980" w:type="dxa"/>
          </w:tcPr>
          <w:p w14:paraId="0A4D138E" w14:textId="10836A6B" w:rsidR="00185E84" w:rsidRPr="006B166F" w:rsidRDefault="00185E84" w:rsidP="004641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</w:t>
            </w:r>
          </w:p>
        </w:tc>
        <w:tc>
          <w:tcPr>
            <w:tcW w:w="1980" w:type="dxa"/>
          </w:tcPr>
          <w:p w14:paraId="49F3E3B6" w14:textId="2E0FB50B" w:rsidR="00185E84" w:rsidRPr="006B166F" w:rsidRDefault="00185E84" w:rsidP="007E21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$1,250.00</w:t>
            </w:r>
          </w:p>
        </w:tc>
      </w:tr>
      <w:tr w:rsidR="00185E84" w:rsidRPr="006B166F" w14:paraId="7A13A5E9" w14:textId="77777777" w:rsidTr="006A4B32">
        <w:tc>
          <w:tcPr>
            <w:tcW w:w="3798" w:type="dxa"/>
            <w:shd w:val="clear" w:color="auto" w:fill="auto"/>
          </w:tcPr>
          <w:p w14:paraId="29E75D52" w14:textId="37D94ECA" w:rsidR="00185E84" w:rsidRPr="006B166F" w:rsidRDefault="00185E84" w:rsidP="007E2192">
            <w:pPr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 xml:space="preserve">Allowance With Base Charge CF </w:t>
            </w:r>
          </w:p>
        </w:tc>
        <w:tc>
          <w:tcPr>
            <w:tcW w:w="1980" w:type="dxa"/>
          </w:tcPr>
          <w:p w14:paraId="2BF3D627" w14:textId="4E9D0311" w:rsidR="00185E84" w:rsidRPr="006B166F" w:rsidRDefault="00185E84" w:rsidP="00BA64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</w:t>
            </w:r>
          </w:p>
        </w:tc>
        <w:tc>
          <w:tcPr>
            <w:tcW w:w="1980" w:type="dxa"/>
          </w:tcPr>
          <w:p w14:paraId="446B54F5" w14:textId="6485FC91" w:rsidR="00185E84" w:rsidRPr="006B166F" w:rsidRDefault="00185E84" w:rsidP="00BA64CD">
            <w:pPr>
              <w:jc w:val="center"/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>0</w:t>
            </w:r>
          </w:p>
        </w:tc>
      </w:tr>
      <w:tr w:rsidR="00185E84" w:rsidRPr="006B166F" w14:paraId="1B827289" w14:textId="77777777" w:rsidTr="006A4B32">
        <w:tc>
          <w:tcPr>
            <w:tcW w:w="3798" w:type="dxa"/>
            <w:shd w:val="clear" w:color="auto" w:fill="auto"/>
          </w:tcPr>
          <w:p w14:paraId="5ED0E270" w14:textId="631E845C" w:rsidR="00185E84" w:rsidRPr="006B166F" w:rsidRDefault="00185E84" w:rsidP="00476B35">
            <w:pPr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>Up To 1</w:t>
            </w:r>
            <w:r>
              <w:rPr>
                <w:rFonts w:ascii="Times New Roman" w:hAnsi="Times New Roman"/>
              </w:rPr>
              <w:t>0</w:t>
            </w:r>
            <w:r w:rsidRPr="006B166F">
              <w:rPr>
                <w:rFonts w:ascii="Times New Roman" w:hAnsi="Times New Roman"/>
              </w:rPr>
              <w:t>,000 CF, Per CCF</w:t>
            </w:r>
          </w:p>
        </w:tc>
        <w:tc>
          <w:tcPr>
            <w:tcW w:w="1980" w:type="dxa"/>
          </w:tcPr>
          <w:p w14:paraId="0E8BDA34" w14:textId="5E1B1CF4" w:rsidR="00185E84" w:rsidRPr="006B166F" w:rsidRDefault="00185E84" w:rsidP="004641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</w:t>
            </w:r>
          </w:p>
        </w:tc>
        <w:tc>
          <w:tcPr>
            <w:tcW w:w="1980" w:type="dxa"/>
          </w:tcPr>
          <w:p w14:paraId="263EA581" w14:textId="0A2FFD6E" w:rsidR="00185E84" w:rsidRPr="006B166F" w:rsidRDefault="00185E84" w:rsidP="00BA64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$1.00</w:t>
            </w:r>
          </w:p>
        </w:tc>
      </w:tr>
      <w:tr w:rsidR="00185E84" w:rsidRPr="006B166F" w14:paraId="1BE8A347" w14:textId="77777777" w:rsidTr="006A4B32">
        <w:tc>
          <w:tcPr>
            <w:tcW w:w="3798" w:type="dxa"/>
            <w:tcBorders>
              <w:bottom w:val="single" w:sz="4" w:space="0" w:color="auto"/>
            </w:tcBorders>
            <w:shd w:val="clear" w:color="auto" w:fill="auto"/>
          </w:tcPr>
          <w:p w14:paraId="68BE694A" w14:textId="7518642A" w:rsidR="00185E84" w:rsidRPr="006B166F" w:rsidRDefault="00185E84" w:rsidP="00476B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6B166F">
              <w:rPr>
                <w:rFonts w:ascii="Times New Roman" w:hAnsi="Times New Roman"/>
              </w:rPr>
              <w:t>,001 - 20,000 CF, Per CCF</w:t>
            </w:r>
          </w:p>
        </w:tc>
        <w:tc>
          <w:tcPr>
            <w:tcW w:w="1980" w:type="dxa"/>
          </w:tcPr>
          <w:p w14:paraId="6BDA1CC3" w14:textId="635332A0" w:rsidR="00185E84" w:rsidRPr="006B166F" w:rsidRDefault="00185E84" w:rsidP="004641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</w:t>
            </w:r>
          </w:p>
        </w:tc>
        <w:tc>
          <w:tcPr>
            <w:tcW w:w="1980" w:type="dxa"/>
          </w:tcPr>
          <w:p w14:paraId="298E5FB9" w14:textId="27D2C789" w:rsidR="00185E84" w:rsidRPr="006B166F" w:rsidRDefault="00185E84" w:rsidP="00B662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$1.50</w:t>
            </w:r>
          </w:p>
        </w:tc>
      </w:tr>
      <w:tr w:rsidR="00185E84" w:rsidRPr="006B166F" w14:paraId="360D6240" w14:textId="77777777" w:rsidTr="006A4B32">
        <w:tc>
          <w:tcPr>
            <w:tcW w:w="3798" w:type="dxa"/>
            <w:shd w:val="clear" w:color="auto" w:fill="auto"/>
          </w:tcPr>
          <w:p w14:paraId="2DD6185B" w14:textId="746C645E" w:rsidR="00185E84" w:rsidRPr="006B166F" w:rsidRDefault="00185E84" w:rsidP="00476B35">
            <w:pPr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 xml:space="preserve">20,001 CF </w:t>
            </w:r>
            <w:r>
              <w:rPr>
                <w:rFonts w:ascii="Times New Roman" w:hAnsi="Times New Roman"/>
              </w:rPr>
              <w:t>a</w:t>
            </w:r>
            <w:r w:rsidRPr="006B166F">
              <w:rPr>
                <w:rFonts w:ascii="Times New Roman" w:hAnsi="Times New Roman"/>
              </w:rPr>
              <w:t>nd Above, Per CCF</w:t>
            </w:r>
          </w:p>
        </w:tc>
        <w:tc>
          <w:tcPr>
            <w:tcW w:w="1980" w:type="dxa"/>
          </w:tcPr>
          <w:p w14:paraId="09712E4F" w14:textId="34528DEA" w:rsidR="00185E84" w:rsidRPr="006B166F" w:rsidRDefault="00185E84" w:rsidP="00476B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</w:t>
            </w:r>
          </w:p>
        </w:tc>
        <w:tc>
          <w:tcPr>
            <w:tcW w:w="1980" w:type="dxa"/>
          </w:tcPr>
          <w:p w14:paraId="560A389B" w14:textId="2E506DF2" w:rsidR="00185E84" w:rsidRPr="006B166F" w:rsidRDefault="00185E84" w:rsidP="00BA64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$2.00</w:t>
            </w:r>
          </w:p>
        </w:tc>
      </w:tr>
    </w:tbl>
    <w:p w14:paraId="6E6C6468" w14:textId="5A3EFA01" w:rsidR="00BA64CD" w:rsidRDefault="00185E84" w:rsidP="006A4B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5" w:lineRule="auto"/>
        <w:ind w:left="72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 w:rsidR="002575CD" w:rsidRPr="00BA64CD">
        <w:rPr>
          <w:rFonts w:ascii="Times New Roman" w:eastAsia="Times New Roman" w:hAnsi="Times New Roman"/>
          <w:sz w:val="20"/>
          <w:szCs w:val="20"/>
        </w:rPr>
        <w:t xml:space="preserve">* </w:t>
      </w:r>
      <w:r w:rsidR="00BA64CD">
        <w:rPr>
          <w:rFonts w:ascii="Times New Roman" w:eastAsia="Times New Roman" w:hAnsi="Times New Roman"/>
          <w:sz w:val="20"/>
          <w:szCs w:val="20"/>
        </w:rPr>
        <w:t xml:space="preserve">CF – Cubic Feet, 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 w:rsidR="006B166F">
        <w:rPr>
          <w:rFonts w:ascii="Times New Roman" w:eastAsia="Times New Roman" w:hAnsi="Times New Roman"/>
          <w:sz w:val="20"/>
          <w:szCs w:val="20"/>
        </w:rPr>
        <w:t xml:space="preserve">** </w:t>
      </w:r>
      <w:r w:rsidR="00BA64CD">
        <w:rPr>
          <w:rFonts w:ascii="Times New Roman" w:eastAsia="Times New Roman" w:hAnsi="Times New Roman"/>
          <w:sz w:val="20"/>
          <w:szCs w:val="20"/>
        </w:rPr>
        <w:t>CCF - 100 Cubic Feet</w:t>
      </w:r>
      <w:r w:rsidR="006B166F">
        <w:rPr>
          <w:rFonts w:ascii="Times New Roman" w:eastAsia="Times New Roman" w:hAnsi="Times New Roman"/>
          <w:sz w:val="20"/>
          <w:szCs w:val="20"/>
        </w:rPr>
        <w:t>,</w:t>
      </w:r>
    </w:p>
    <w:p w14:paraId="6A73E0AC" w14:textId="77777777" w:rsidR="00244107" w:rsidRPr="00F13BA9" w:rsidRDefault="00244107" w:rsidP="00DF6C4E">
      <w:pPr>
        <w:rPr>
          <w:rFonts w:ascii="Times New Roman" w:hAnsi="Times New Roman"/>
        </w:rPr>
      </w:pPr>
    </w:p>
    <w:p w14:paraId="6B6DB6F2" w14:textId="4772205A" w:rsidR="004D1FC3" w:rsidRPr="00F13BA9" w:rsidRDefault="0024576B" w:rsidP="004D1FC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Monthly</w:t>
      </w:r>
      <w:r w:rsidR="004D1FC3" w:rsidRPr="00F13BA9">
        <w:rPr>
          <w:rFonts w:ascii="Times New Roman" w:hAnsi="Times New Roman"/>
          <w:b/>
          <w:u w:val="single"/>
        </w:rPr>
        <w:t xml:space="preserve"> </w:t>
      </w:r>
      <w:r w:rsidR="00F33385">
        <w:rPr>
          <w:rFonts w:ascii="Times New Roman" w:hAnsi="Times New Roman"/>
          <w:b/>
          <w:u w:val="single"/>
        </w:rPr>
        <w:t xml:space="preserve">Residential </w:t>
      </w:r>
      <w:r w:rsidR="004D1FC3" w:rsidRPr="00F13BA9">
        <w:rPr>
          <w:rFonts w:ascii="Times New Roman" w:hAnsi="Times New Roman"/>
          <w:b/>
          <w:u w:val="single"/>
        </w:rPr>
        <w:t xml:space="preserve">Bill Comparison </w:t>
      </w:r>
    </w:p>
    <w:p w14:paraId="6B6DB6F3" w14:textId="77777777" w:rsidR="004D1FC3" w:rsidRPr="00F13BA9" w:rsidRDefault="004D1FC3" w:rsidP="004D1FC3">
      <w:pPr>
        <w:jc w:val="center"/>
        <w:rPr>
          <w:rFonts w:ascii="Times New Roman" w:hAnsi="Times New Roman"/>
        </w:rPr>
      </w:pPr>
    </w:p>
    <w:tbl>
      <w:tblPr>
        <w:tblStyle w:val="TableGrid"/>
        <w:tblW w:w="0" w:type="auto"/>
        <w:jc w:val="center"/>
        <w:tblInd w:w="-81" w:type="dxa"/>
        <w:tblLook w:val="04A0" w:firstRow="1" w:lastRow="0" w:firstColumn="1" w:lastColumn="0" w:noHBand="0" w:noVBand="1"/>
      </w:tblPr>
      <w:tblGrid>
        <w:gridCol w:w="3740"/>
        <w:gridCol w:w="2119"/>
        <w:gridCol w:w="1980"/>
      </w:tblGrid>
      <w:tr w:rsidR="006A4B32" w:rsidRPr="00F13BA9" w14:paraId="12D718E1" w14:textId="747302DE" w:rsidTr="0010775A">
        <w:trPr>
          <w:jc w:val="center"/>
        </w:trPr>
        <w:tc>
          <w:tcPr>
            <w:tcW w:w="3740" w:type="dxa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14:paraId="5EB74154" w14:textId="6F962AC1" w:rsidR="006A4B32" w:rsidRPr="00F13BA9" w:rsidRDefault="006A4B32" w:rsidP="00E22E57">
            <w:pPr>
              <w:rPr>
                <w:rFonts w:ascii="Times New Roman" w:hAnsi="Times New Roman"/>
                <w:b/>
              </w:rPr>
            </w:pPr>
            <w:r w:rsidRPr="00F13BA9">
              <w:rPr>
                <w:rFonts w:ascii="Times New Roman" w:hAnsi="Times New Roman"/>
                <w:b/>
              </w:rPr>
              <w:t xml:space="preserve">Monthly </w:t>
            </w:r>
            <w:r w:rsidR="00226B17">
              <w:rPr>
                <w:rFonts w:ascii="Times New Roman" w:hAnsi="Times New Roman"/>
                <w:b/>
              </w:rPr>
              <w:t xml:space="preserve">Average </w:t>
            </w:r>
            <w:r w:rsidR="00FC568B">
              <w:rPr>
                <w:rFonts w:ascii="Times New Roman" w:hAnsi="Times New Roman"/>
                <w:b/>
              </w:rPr>
              <w:t>6</w:t>
            </w:r>
            <w:r w:rsidR="00E22E57">
              <w:rPr>
                <w:rFonts w:ascii="Times New Roman" w:hAnsi="Times New Roman"/>
                <w:b/>
              </w:rPr>
              <w:t>48</w:t>
            </w:r>
            <w:r w:rsidR="00226B17">
              <w:rPr>
                <w:rFonts w:ascii="Times New Roman" w:hAnsi="Times New Roman"/>
                <w:b/>
              </w:rPr>
              <w:t xml:space="preserve"> Cubic Feet</w:t>
            </w:r>
          </w:p>
        </w:tc>
        <w:tc>
          <w:tcPr>
            <w:tcW w:w="2119" w:type="dxa"/>
            <w:shd w:val="pct10" w:color="auto" w:fill="auto"/>
          </w:tcPr>
          <w:p w14:paraId="37521692" w14:textId="77777777" w:rsidR="006A4B32" w:rsidRPr="00F13BA9" w:rsidRDefault="006A4B32" w:rsidP="006D2229">
            <w:pPr>
              <w:jc w:val="center"/>
              <w:rPr>
                <w:rFonts w:ascii="Times New Roman" w:hAnsi="Times New Roman"/>
                <w:b/>
              </w:rPr>
            </w:pPr>
            <w:r w:rsidRPr="00F13BA9">
              <w:rPr>
                <w:rFonts w:ascii="Times New Roman" w:hAnsi="Times New Roman"/>
                <w:b/>
              </w:rPr>
              <w:t>Current Rate</w:t>
            </w:r>
          </w:p>
        </w:tc>
        <w:tc>
          <w:tcPr>
            <w:tcW w:w="1980" w:type="dxa"/>
            <w:shd w:val="pct10" w:color="auto" w:fill="auto"/>
          </w:tcPr>
          <w:p w14:paraId="6338BDD2" w14:textId="77777777" w:rsidR="006A4B32" w:rsidRPr="00F13BA9" w:rsidRDefault="006A4B32" w:rsidP="006D2229">
            <w:pPr>
              <w:jc w:val="center"/>
              <w:rPr>
                <w:rFonts w:ascii="Times New Roman" w:hAnsi="Times New Roman"/>
                <w:b/>
              </w:rPr>
            </w:pPr>
            <w:r w:rsidRPr="00F13BA9">
              <w:rPr>
                <w:rFonts w:ascii="Times New Roman" w:hAnsi="Times New Roman"/>
                <w:b/>
              </w:rPr>
              <w:t>Proposed</w:t>
            </w:r>
            <w:r>
              <w:rPr>
                <w:rFonts w:ascii="Times New Roman" w:hAnsi="Times New Roman"/>
                <w:b/>
              </w:rPr>
              <w:t xml:space="preserve"> Rate</w:t>
            </w:r>
          </w:p>
        </w:tc>
      </w:tr>
      <w:tr w:rsidR="006A4B32" w:rsidRPr="00F13BA9" w14:paraId="6B6DB6FB" w14:textId="2E1CE00B" w:rsidTr="0010775A">
        <w:trPr>
          <w:jc w:val="center"/>
        </w:trPr>
        <w:tc>
          <w:tcPr>
            <w:tcW w:w="3740" w:type="dxa"/>
          </w:tcPr>
          <w:p w14:paraId="6B6DB6F8" w14:textId="76F31EDA" w:rsidR="006A4B32" w:rsidRPr="00F13BA9" w:rsidRDefault="00FC568B" w:rsidP="009C5D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3/4</w:t>
            </w:r>
            <w:r w:rsidR="006A4B32">
              <w:rPr>
                <w:rFonts w:ascii="Times New Roman" w:hAnsi="Times New Roman"/>
              </w:rPr>
              <w:t xml:space="preserve">-Inch Metered </w:t>
            </w:r>
            <w:r w:rsidR="006A4B32" w:rsidRPr="00F13BA9">
              <w:rPr>
                <w:rFonts w:ascii="Times New Roman" w:hAnsi="Times New Roman"/>
              </w:rPr>
              <w:t xml:space="preserve">Service </w:t>
            </w:r>
            <w:r w:rsidR="006A4B32">
              <w:rPr>
                <w:rFonts w:ascii="Times New Roman" w:hAnsi="Times New Roman"/>
              </w:rPr>
              <w:t>Base</w:t>
            </w:r>
          </w:p>
        </w:tc>
        <w:tc>
          <w:tcPr>
            <w:tcW w:w="2119" w:type="dxa"/>
          </w:tcPr>
          <w:p w14:paraId="6B6DB6F9" w14:textId="448B7F15" w:rsidR="006A4B32" w:rsidRPr="00F13BA9" w:rsidRDefault="006A4B32" w:rsidP="008356F9">
            <w:pPr>
              <w:jc w:val="center"/>
              <w:rPr>
                <w:rFonts w:ascii="Times New Roman" w:hAnsi="Times New Roman"/>
              </w:rPr>
            </w:pPr>
            <w:r w:rsidRPr="00F13BA9">
              <w:rPr>
                <w:rFonts w:ascii="Times New Roman" w:hAnsi="Times New Roman"/>
              </w:rPr>
              <w:t>$</w:t>
            </w:r>
            <w:r w:rsidR="008356F9">
              <w:rPr>
                <w:rFonts w:ascii="Times New Roman" w:hAnsi="Times New Roman"/>
              </w:rPr>
              <w:t>22.00</w:t>
            </w:r>
          </w:p>
        </w:tc>
        <w:tc>
          <w:tcPr>
            <w:tcW w:w="1980" w:type="dxa"/>
          </w:tcPr>
          <w:p w14:paraId="6B6DB6FA" w14:textId="2C4D38D4" w:rsidR="006A4B32" w:rsidRPr="00F13BA9" w:rsidRDefault="006A4B32" w:rsidP="008356F9">
            <w:pPr>
              <w:jc w:val="center"/>
              <w:rPr>
                <w:rFonts w:ascii="Times New Roman" w:hAnsi="Times New Roman"/>
              </w:rPr>
            </w:pPr>
            <w:r w:rsidRPr="00F13BA9">
              <w:rPr>
                <w:rFonts w:ascii="Times New Roman" w:hAnsi="Times New Roman"/>
              </w:rPr>
              <w:t>$</w:t>
            </w:r>
            <w:r w:rsidR="008356F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="008356F9">
              <w:rPr>
                <w:rFonts w:ascii="Times New Roman" w:hAnsi="Times New Roman"/>
              </w:rPr>
              <w:t>.00</w:t>
            </w:r>
          </w:p>
        </w:tc>
      </w:tr>
      <w:tr w:rsidR="00FC568B" w:rsidRPr="00F13BA9" w14:paraId="1D73B585" w14:textId="77777777" w:rsidTr="0010775A">
        <w:trPr>
          <w:jc w:val="center"/>
        </w:trPr>
        <w:tc>
          <w:tcPr>
            <w:tcW w:w="3740" w:type="dxa"/>
          </w:tcPr>
          <w:p w14:paraId="262D7295" w14:textId="0818723A" w:rsidR="00FC568B" w:rsidRDefault="00FC568B" w:rsidP="00E22E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– 6</w:t>
            </w:r>
            <w:r w:rsidR="00E22E57">
              <w:rPr>
                <w:rFonts w:ascii="Times New Roman" w:hAnsi="Times New Roman"/>
              </w:rPr>
              <w:t>48</w:t>
            </w:r>
            <w:r>
              <w:rPr>
                <w:rFonts w:ascii="Times New Roman" w:hAnsi="Times New Roman"/>
              </w:rPr>
              <w:t xml:space="preserve"> Cubic Feet</w:t>
            </w:r>
          </w:p>
        </w:tc>
        <w:tc>
          <w:tcPr>
            <w:tcW w:w="2119" w:type="dxa"/>
          </w:tcPr>
          <w:p w14:paraId="38917D4B" w14:textId="1DEF10DB" w:rsidR="00FC568B" w:rsidRDefault="008356F9" w:rsidP="00E22E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$6.</w:t>
            </w:r>
            <w:r w:rsidR="00E22E57">
              <w:rPr>
                <w:rFonts w:ascii="Times New Roman" w:hAnsi="Times New Roman"/>
              </w:rPr>
              <w:t>48</w:t>
            </w:r>
          </w:p>
        </w:tc>
        <w:tc>
          <w:tcPr>
            <w:tcW w:w="1980" w:type="dxa"/>
          </w:tcPr>
          <w:p w14:paraId="408084CE" w14:textId="1D293B48" w:rsidR="00FC568B" w:rsidRDefault="008356F9" w:rsidP="00E22E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$6.</w:t>
            </w:r>
            <w:r w:rsidR="00E22E57">
              <w:rPr>
                <w:rFonts w:ascii="Times New Roman" w:hAnsi="Times New Roman"/>
              </w:rPr>
              <w:t>48</w:t>
            </w:r>
          </w:p>
        </w:tc>
      </w:tr>
      <w:tr w:rsidR="006A4B32" w:rsidRPr="00F13BA9" w14:paraId="6B6DB703" w14:textId="1486FE9E" w:rsidTr="0010775A">
        <w:trPr>
          <w:jc w:val="center"/>
        </w:trPr>
        <w:tc>
          <w:tcPr>
            <w:tcW w:w="3740" w:type="dxa"/>
          </w:tcPr>
          <w:p w14:paraId="6B6DB700" w14:textId="77777777" w:rsidR="006A4B32" w:rsidRPr="00F13BA9" w:rsidRDefault="006A4B32" w:rsidP="00E36635">
            <w:pPr>
              <w:rPr>
                <w:rFonts w:ascii="Times New Roman" w:hAnsi="Times New Roman"/>
              </w:rPr>
            </w:pPr>
            <w:r w:rsidRPr="00F13BA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19" w:type="dxa"/>
          </w:tcPr>
          <w:p w14:paraId="6B6DB701" w14:textId="77777777" w:rsidR="006A4B32" w:rsidRPr="00F13BA9" w:rsidRDefault="006A4B32" w:rsidP="00AB52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6B6DB702" w14:textId="77777777" w:rsidR="006A4B32" w:rsidRPr="00F13BA9" w:rsidRDefault="006A4B32" w:rsidP="00AB525E">
            <w:pPr>
              <w:jc w:val="center"/>
              <w:rPr>
                <w:rFonts w:ascii="Times New Roman" w:hAnsi="Times New Roman"/>
              </w:rPr>
            </w:pPr>
          </w:p>
        </w:tc>
      </w:tr>
      <w:tr w:rsidR="006A4B32" w:rsidRPr="00F13BA9" w14:paraId="6B6DB707" w14:textId="27F7A7BD" w:rsidTr="0010775A">
        <w:trPr>
          <w:jc w:val="center"/>
        </w:trPr>
        <w:tc>
          <w:tcPr>
            <w:tcW w:w="3740" w:type="dxa"/>
          </w:tcPr>
          <w:p w14:paraId="6B6DB704" w14:textId="076B5BAC" w:rsidR="006A4B32" w:rsidRPr="00F13BA9" w:rsidRDefault="006A4B32" w:rsidP="00AB525E">
            <w:pPr>
              <w:rPr>
                <w:rFonts w:ascii="Times New Roman" w:hAnsi="Times New Roman"/>
              </w:rPr>
            </w:pPr>
            <w:r w:rsidRPr="00F13BA9">
              <w:rPr>
                <w:rFonts w:ascii="Times New Roman" w:hAnsi="Times New Roman"/>
              </w:rPr>
              <w:t xml:space="preserve">Water Bill Total </w:t>
            </w:r>
          </w:p>
        </w:tc>
        <w:tc>
          <w:tcPr>
            <w:tcW w:w="2119" w:type="dxa"/>
            <w:tcBorders>
              <w:bottom w:val="single" w:sz="18" w:space="0" w:color="auto"/>
            </w:tcBorders>
          </w:tcPr>
          <w:p w14:paraId="6B6DB705" w14:textId="056AEF58" w:rsidR="006A4B32" w:rsidRPr="00F13BA9" w:rsidRDefault="008356F9" w:rsidP="00E22E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$28.</w:t>
            </w:r>
            <w:r w:rsidR="00E22E57">
              <w:rPr>
                <w:rFonts w:ascii="Times New Roman" w:hAnsi="Times New Roman"/>
              </w:rPr>
              <w:t>48</w:t>
            </w: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14:paraId="6B6DB706" w14:textId="2963C6EA" w:rsidR="006A4B32" w:rsidRPr="00F13BA9" w:rsidRDefault="008356F9" w:rsidP="00E22E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$31.</w:t>
            </w:r>
            <w:r w:rsidR="00E22E57">
              <w:rPr>
                <w:rFonts w:ascii="Times New Roman" w:hAnsi="Times New Roman"/>
              </w:rPr>
              <w:t>48</w:t>
            </w:r>
          </w:p>
        </w:tc>
      </w:tr>
      <w:tr w:rsidR="006A4B32" w:rsidRPr="00F13BA9" w14:paraId="6B6DB70B" w14:textId="62100C93" w:rsidTr="0010775A">
        <w:trPr>
          <w:jc w:val="center"/>
        </w:trPr>
        <w:tc>
          <w:tcPr>
            <w:tcW w:w="3740" w:type="dxa"/>
          </w:tcPr>
          <w:p w14:paraId="6B6DB708" w14:textId="7562D614" w:rsidR="006A4B32" w:rsidRPr="00F13BA9" w:rsidRDefault="006A4B32" w:rsidP="008356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="00AF23A1">
              <w:rPr>
                <w:rFonts w:ascii="Times New Roman" w:hAnsi="Times New Roman"/>
              </w:rPr>
              <w:t xml:space="preserve">ncrease </w:t>
            </w:r>
            <w:r w:rsidR="00146764">
              <w:rPr>
                <w:rFonts w:ascii="Times New Roman" w:hAnsi="Times New Roman"/>
              </w:rPr>
              <w:t>F</w:t>
            </w:r>
            <w:r w:rsidR="00AF23A1">
              <w:rPr>
                <w:rFonts w:ascii="Times New Roman" w:hAnsi="Times New Roman"/>
              </w:rPr>
              <w:t>rom Current Rate</w:t>
            </w:r>
            <w:r w:rsidR="00146764">
              <w:rPr>
                <w:rFonts w:ascii="Times New Roman" w:hAnsi="Times New Roman"/>
              </w:rPr>
              <w:t>s</w:t>
            </w:r>
            <w:r w:rsidR="00AF23A1">
              <w:rPr>
                <w:rFonts w:ascii="Times New Roman" w:hAnsi="Times New Roman"/>
              </w:rPr>
              <w:t xml:space="preserve"> - $</w:t>
            </w:r>
            <w:r w:rsidR="008356F9">
              <w:rPr>
                <w:rFonts w:ascii="Times New Roman" w:hAnsi="Times New Roman"/>
              </w:rPr>
              <w:t>3</w:t>
            </w:r>
            <w:r w:rsidR="00AF23A1">
              <w:rPr>
                <w:rFonts w:ascii="Times New Roman" w:hAnsi="Times New Roman"/>
              </w:rPr>
              <w:t>.</w:t>
            </w:r>
            <w:r w:rsidR="008356F9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 </w:t>
            </w:r>
            <w:r w:rsidRPr="00F13BA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19" w:type="dxa"/>
            <w:tcBorders>
              <w:top w:val="single" w:sz="18" w:space="0" w:color="auto"/>
            </w:tcBorders>
          </w:tcPr>
          <w:p w14:paraId="6B6DB709" w14:textId="77777777" w:rsidR="006A4B32" w:rsidRPr="00F13BA9" w:rsidRDefault="006A4B32" w:rsidP="00AB52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18" w:space="0" w:color="auto"/>
            </w:tcBorders>
          </w:tcPr>
          <w:p w14:paraId="6B6DB70A" w14:textId="51A56DCE" w:rsidR="006A4B32" w:rsidRPr="00F13BA9" w:rsidRDefault="006A4B32" w:rsidP="00E22E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356F9">
              <w:rPr>
                <w:rFonts w:ascii="Times New Roman" w:hAnsi="Times New Roman"/>
              </w:rPr>
              <w:t>0</w:t>
            </w:r>
            <w:r w:rsidR="00AF23A1">
              <w:rPr>
                <w:rFonts w:ascii="Times New Roman" w:hAnsi="Times New Roman"/>
              </w:rPr>
              <w:t>.</w:t>
            </w:r>
            <w:r w:rsidR="00E22E57">
              <w:rPr>
                <w:rFonts w:ascii="Times New Roman" w:hAnsi="Times New Roman"/>
              </w:rPr>
              <w:t>5</w:t>
            </w:r>
            <w:r w:rsidRPr="00F13BA9">
              <w:rPr>
                <w:rFonts w:ascii="Times New Roman" w:hAnsi="Times New Roman"/>
              </w:rPr>
              <w:t xml:space="preserve">% </w:t>
            </w:r>
          </w:p>
        </w:tc>
      </w:tr>
    </w:tbl>
    <w:p w14:paraId="6B6DB70C" w14:textId="77777777" w:rsidR="004D1FC3" w:rsidRDefault="004D1FC3" w:rsidP="004D1FC3">
      <w:pPr>
        <w:jc w:val="center"/>
        <w:rPr>
          <w:rFonts w:ascii="Times New Roman" w:hAnsi="Times New Roman"/>
        </w:rPr>
      </w:pPr>
    </w:p>
    <w:p w14:paraId="5837A304" w14:textId="219BED60" w:rsidR="0010775A" w:rsidRPr="00F13BA9" w:rsidRDefault="0010775A" w:rsidP="0010775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Ancillary</w:t>
      </w:r>
      <w:r w:rsidRPr="00F13BA9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Charge</w:t>
      </w:r>
      <w:r w:rsidRPr="00F13BA9">
        <w:rPr>
          <w:rFonts w:ascii="Times New Roman" w:hAnsi="Times New Roman"/>
          <w:b/>
          <w:u w:val="single"/>
        </w:rPr>
        <w:t xml:space="preserve"> Comparison </w:t>
      </w:r>
    </w:p>
    <w:p w14:paraId="439029C4" w14:textId="77777777" w:rsidR="00CB749D" w:rsidRDefault="00CB749D" w:rsidP="00CB749D">
      <w:pPr>
        <w:jc w:val="center"/>
        <w:rPr>
          <w:rFonts w:ascii="Times New Roman" w:hAnsi="Times New Roman"/>
          <w:b/>
          <w:u w:val="single"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3798"/>
        <w:gridCol w:w="2075"/>
        <w:gridCol w:w="1980"/>
      </w:tblGrid>
      <w:tr w:rsidR="00CB749D" w:rsidRPr="006B166F" w14:paraId="24C4CA2B" w14:textId="77777777" w:rsidTr="0010775A"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14:paraId="0C9F0C70" w14:textId="1F94695D" w:rsidR="00CB749D" w:rsidRPr="006B166F" w:rsidRDefault="00CB749D" w:rsidP="00CB74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Charge or Service</w:t>
            </w:r>
          </w:p>
        </w:tc>
        <w:tc>
          <w:tcPr>
            <w:tcW w:w="2075" w:type="dxa"/>
            <w:shd w:val="pct10" w:color="auto" w:fill="auto"/>
            <w:vAlign w:val="center"/>
          </w:tcPr>
          <w:p w14:paraId="4CACDC0F" w14:textId="1F6E6CCC" w:rsidR="00CB749D" w:rsidRPr="006B166F" w:rsidRDefault="00CB749D" w:rsidP="00B04E42">
            <w:pPr>
              <w:jc w:val="center"/>
              <w:rPr>
                <w:rFonts w:ascii="Times New Roman" w:hAnsi="Times New Roman"/>
                <w:b/>
              </w:rPr>
            </w:pPr>
            <w:r w:rsidRPr="006B166F">
              <w:rPr>
                <w:rFonts w:ascii="Times New Roman" w:hAnsi="Times New Roman"/>
                <w:b/>
              </w:rPr>
              <w:t xml:space="preserve">Current </w:t>
            </w:r>
            <w:r w:rsidR="00B04E42">
              <w:rPr>
                <w:rFonts w:ascii="Times New Roman" w:hAnsi="Times New Roman"/>
                <w:b/>
              </w:rPr>
              <w:t>Charge</w:t>
            </w:r>
          </w:p>
        </w:tc>
        <w:tc>
          <w:tcPr>
            <w:tcW w:w="1980" w:type="dxa"/>
            <w:shd w:val="pct10" w:color="auto" w:fill="auto"/>
          </w:tcPr>
          <w:p w14:paraId="1E830E35" w14:textId="16CB60B6" w:rsidR="00CB749D" w:rsidRPr="006B166F" w:rsidRDefault="00CB749D" w:rsidP="00B04E42">
            <w:pPr>
              <w:jc w:val="center"/>
              <w:rPr>
                <w:rFonts w:ascii="Times New Roman" w:hAnsi="Times New Roman"/>
                <w:b/>
              </w:rPr>
            </w:pPr>
            <w:r w:rsidRPr="006B166F">
              <w:rPr>
                <w:rFonts w:ascii="Times New Roman" w:hAnsi="Times New Roman"/>
                <w:b/>
              </w:rPr>
              <w:t>Proposed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B04E42">
              <w:rPr>
                <w:rFonts w:ascii="Times New Roman" w:hAnsi="Times New Roman"/>
                <w:b/>
              </w:rPr>
              <w:t>Charge</w:t>
            </w:r>
          </w:p>
        </w:tc>
      </w:tr>
      <w:tr w:rsidR="00CB749D" w:rsidRPr="006B166F" w14:paraId="6F8FD1C7" w14:textId="77777777" w:rsidTr="0010775A">
        <w:tc>
          <w:tcPr>
            <w:tcW w:w="3798" w:type="dxa"/>
            <w:shd w:val="clear" w:color="auto" w:fill="auto"/>
          </w:tcPr>
          <w:p w14:paraId="716FA203" w14:textId="374FEC49" w:rsidR="00CB749D" w:rsidRDefault="00CB749D" w:rsidP="00CB74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Un-Metered, Flat rated service</w:t>
            </w:r>
          </w:p>
        </w:tc>
        <w:tc>
          <w:tcPr>
            <w:tcW w:w="2075" w:type="dxa"/>
          </w:tcPr>
          <w:p w14:paraId="62A740DA" w14:textId="1028779A" w:rsidR="00CB749D" w:rsidRDefault="00CB749D" w:rsidP="00CB7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$29.50</w:t>
            </w:r>
          </w:p>
        </w:tc>
        <w:tc>
          <w:tcPr>
            <w:tcW w:w="1980" w:type="dxa"/>
          </w:tcPr>
          <w:p w14:paraId="456FDD76" w14:textId="7B810291" w:rsidR="00CB749D" w:rsidRPr="006B166F" w:rsidRDefault="00CB749D" w:rsidP="00CB7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$33.00</w:t>
            </w:r>
          </w:p>
        </w:tc>
      </w:tr>
      <w:tr w:rsidR="00CB749D" w:rsidRPr="006B166F" w14:paraId="5E5F4C61" w14:textId="77777777" w:rsidTr="0010775A">
        <w:tc>
          <w:tcPr>
            <w:tcW w:w="3798" w:type="dxa"/>
            <w:shd w:val="clear" w:color="auto" w:fill="auto"/>
          </w:tcPr>
          <w:p w14:paraId="2C8C8EF7" w14:textId="648B3933" w:rsidR="00CB749D" w:rsidRPr="00CB749D" w:rsidRDefault="00CB749D" w:rsidP="00CB74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Service Connection</w:t>
            </w:r>
          </w:p>
        </w:tc>
        <w:tc>
          <w:tcPr>
            <w:tcW w:w="2075" w:type="dxa"/>
          </w:tcPr>
          <w:p w14:paraId="27556E2D" w14:textId="47B2EF3E" w:rsidR="00CB749D" w:rsidRPr="006B166F" w:rsidRDefault="00CB749D" w:rsidP="00CB7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$425</w:t>
            </w:r>
            <w:r w:rsidRPr="006B16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6B166F">
              <w:rPr>
                <w:rFonts w:ascii="Times New Roman" w:hAnsi="Times New Roman"/>
              </w:rPr>
              <w:t>0</w:t>
            </w:r>
          </w:p>
        </w:tc>
        <w:tc>
          <w:tcPr>
            <w:tcW w:w="1980" w:type="dxa"/>
          </w:tcPr>
          <w:p w14:paraId="13708307" w14:textId="5C67F2FF" w:rsidR="00CB749D" w:rsidRPr="006B166F" w:rsidRDefault="00CB749D" w:rsidP="00292463">
            <w:pPr>
              <w:jc w:val="center"/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>$</w:t>
            </w:r>
            <w:r>
              <w:rPr>
                <w:rFonts w:ascii="Times New Roman" w:hAnsi="Times New Roman"/>
              </w:rPr>
              <w:t>65</w:t>
            </w:r>
            <w:r w:rsidR="0029246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.00</w:t>
            </w:r>
            <w:r w:rsidRPr="006B166F">
              <w:rPr>
                <w:rFonts w:ascii="Times New Roman" w:hAnsi="Times New Roman"/>
              </w:rPr>
              <w:t xml:space="preserve"> </w:t>
            </w:r>
          </w:p>
        </w:tc>
      </w:tr>
      <w:tr w:rsidR="00CB749D" w:rsidRPr="006B166F" w14:paraId="3615E662" w14:textId="77777777" w:rsidTr="0010775A">
        <w:tc>
          <w:tcPr>
            <w:tcW w:w="3798" w:type="dxa"/>
          </w:tcPr>
          <w:p w14:paraId="0901FEDB" w14:textId="4679EE01" w:rsidR="00CB749D" w:rsidRPr="00CB749D" w:rsidRDefault="00CB749D" w:rsidP="00CB74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Service Visit </w:t>
            </w:r>
            <w:r w:rsidRPr="00CB749D">
              <w:rPr>
                <w:rFonts w:ascii="Times New Roman" w:hAnsi="Times New Roman"/>
              </w:rPr>
              <w:t>Charge</w:t>
            </w:r>
          </w:p>
        </w:tc>
        <w:tc>
          <w:tcPr>
            <w:tcW w:w="2075" w:type="dxa"/>
          </w:tcPr>
          <w:p w14:paraId="2C9AD454" w14:textId="488A1F06" w:rsidR="00CB749D" w:rsidRPr="006B166F" w:rsidRDefault="00CB749D" w:rsidP="00CB7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</w:t>
            </w:r>
          </w:p>
        </w:tc>
        <w:tc>
          <w:tcPr>
            <w:tcW w:w="1980" w:type="dxa"/>
          </w:tcPr>
          <w:p w14:paraId="4AD059E8" w14:textId="0882A140" w:rsidR="00CB749D" w:rsidRPr="006B166F" w:rsidRDefault="00CB749D" w:rsidP="00CB7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$15.00</w:t>
            </w:r>
          </w:p>
        </w:tc>
      </w:tr>
      <w:tr w:rsidR="00CB749D" w:rsidRPr="006B166F" w14:paraId="11A24ABF" w14:textId="77777777" w:rsidTr="0010775A">
        <w:tc>
          <w:tcPr>
            <w:tcW w:w="3798" w:type="dxa"/>
          </w:tcPr>
          <w:p w14:paraId="013413EC" w14:textId="4EAC8364" w:rsidR="00CB749D" w:rsidRPr="006B166F" w:rsidRDefault="00CB749D" w:rsidP="00CB74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NSF Check Charge</w:t>
            </w:r>
          </w:p>
        </w:tc>
        <w:tc>
          <w:tcPr>
            <w:tcW w:w="2075" w:type="dxa"/>
          </w:tcPr>
          <w:p w14:paraId="45ED01CD" w14:textId="73B68C75" w:rsidR="00CB749D" w:rsidRPr="006B166F" w:rsidRDefault="00CB749D" w:rsidP="00CB7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$15.00</w:t>
            </w:r>
          </w:p>
        </w:tc>
        <w:tc>
          <w:tcPr>
            <w:tcW w:w="1980" w:type="dxa"/>
          </w:tcPr>
          <w:p w14:paraId="306AF0BD" w14:textId="0DC3CC19" w:rsidR="00CB749D" w:rsidRPr="006B166F" w:rsidRDefault="00CB749D" w:rsidP="00CB749D">
            <w:pPr>
              <w:jc w:val="center"/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>$</w:t>
            </w:r>
            <w:r>
              <w:rPr>
                <w:rFonts w:ascii="Times New Roman" w:hAnsi="Times New Roman"/>
              </w:rPr>
              <w:t>20</w:t>
            </w:r>
            <w:r w:rsidRPr="006B16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</w:t>
            </w:r>
          </w:p>
        </w:tc>
      </w:tr>
      <w:tr w:rsidR="00CB749D" w:rsidRPr="006B166F" w14:paraId="5DC552BD" w14:textId="77777777" w:rsidTr="0010775A">
        <w:tc>
          <w:tcPr>
            <w:tcW w:w="3798" w:type="dxa"/>
          </w:tcPr>
          <w:p w14:paraId="64617732" w14:textId="5C7BCC31" w:rsidR="00CB749D" w:rsidRDefault="00CB749D" w:rsidP="00CB74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Water </w:t>
            </w:r>
            <w:r w:rsidR="003271B8">
              <w:rPr>
                <w:rFonts w:ascii="Times New Roman" w:hAnsi="Times New Roman"/>
              </w:rPr>
              <w:t>Availability</w:t>
            </w:r>
            <w:r>
              <w:rPr>
                <w:rFonts w:ascii="Times New Roman" w:hAnsi="Times New Roman"/>
              </w:rPr>
              <w:t xml:space="preserve"> Letter</w:t>
            </w:r>
          </w:p>
        </w:tc>
        <w:tc>
          <w:tcPr>
            <w:tcW w:w="2075" w:type="dxa"/>
          </w:tcPr>
          <w:p w14:paraId="0A269661" w14:textId="11DD951F" w:rsidR="00CB749D" w:rsidRDefault="00CB749D" w:rsidP="00CB7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Free</w:t>
            </w:r>
          </w:p>
        </w:tc>
        <w:tc>
          <w:tcPr>
            <w:tcW w:w="1980" w:type="dxa"/>
          </w:tcPr>
          <w:p w14:paraId="0563B938" w14:textId="7CAE8BB8" w:rsidR="00CB749D" w:rsidRDefault="00CB749D" w:rsidP="00CB7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$20.00</w:t>
            </w:r>
          </w:p>
        </w:tc>
      </w:tr>
      <w:tr w:rsidR="00CB749D" w:rsidRPr="006B166F" w14:paraId="24466CC8" w14:textId="77777777" w:rsidTr="0010775A">
        <w:tc>
          <w:tcPr>
            <w:tcW w:w="3798" w:type="dxa"/>
          </w:tcPr>
          <w:p w14:paraId="102EF78C" w14:textId="3DCD8D10" w:rsidR="00CB749D" w:rsidRDefault="003271B8" w:rsidP="003271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Backflow Assembly Service Visit</w:t>
            </w:r>
          </w:p>
        </w:tc>
        <w:tc>
          <w:tcPr>
            <w:tcW w:w="2075" w:type="dxa"/>
          </w:tcPr>
          <w:p w14:paraId="74DB7FBC" w14:textId="7F37797C" w:rsidR="00CB749D" w:rsidRDefault="003271B8" w:rsidP="00CB7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</w:t>
            </w:r>
          </w:p>
        </w:tc>
        <w:tc>
          <w:tcPr>
            <w:tcW w:w="1980" w:type="dxa"/>
          </w:tcPr>
          <w:p w14:paraId="23C0533F" w14:textId="11A9682C" w:rsidR="00CB749D" w:rsidRDefault="003271B8" w:rsidP="00CB7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$15.00</w:t>
            </w:r>
          </w:p>
        </w:tc>
      </w:tr>
      <w:tr w:rsidR="00CB749D" w:rsidRPr="006B166F" w14:paraId="6A5275DC" w14:textId="77777777" w:rsidTr="0010775A">
        <w:tc>
          <w:tcPr>
            <w:tcW w:w="3798" w:type="dxa"/>
          </w:tcPr>
          <w:p w14:paraId="799F3F25" w14:textId="77777777" w:rsidR="00CB749D" w:rsidRPr="006B166F" w:rsidRDefault="00CB749D" w:rsidP="00CB74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Credit/Debit Card Processing Fee</w:t>
            </w:r>
            <w:r w:rsidRPr="006B166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75" w:type="dxa"/>
          </w:tcPr>
          <w:p w14:paraId="6D465DDB" w14:textId="77777777" w:rsidR="00CB749D" w:rsidRPr="006B166F" w:rsidRDefault="00CB749D" w:rsidP="00CB7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</w:t>
            </w:r>
          </w:p>
        </w:tc>
        <w:tc>
          <w:tcPr>
            <w:tcW w:w="1980" w:type="dxa"/>
          </w:tcPr>
          <w:p w14:paraId="3F8B9EA8" w14:textId="27BDD459" w:rsidR="00CB749D" w:rsidRPr="006B166F" w:rsidRDefault="00CB749D" w:rsidP="00CB7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4.00%</w:t>
            </w:r>
          </w:p>
        </w:tc>
      </w:tr>
      <w:tr w:rsidR="00CB749D" w:rsidRPr="006B166F" w14:paraId="0631F0D3" w14:textId="77777777" w:rsidTr="0010775A">
        <w:tc>
          <w:tcPr>
            <w:tcW w:w="3798" w:type="dxa"/>
          </w:tcPr>
          <w:p w14:paraId="1A1A2AD3" w14:textId="559808F4" w:rsidR="00CB749D" w:rsidRPr="006B166F" w:rsidRDefault="00CB749D" w:rsidP="00CB74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Credit/Debit Card Chargeback</w:t>
            </w:r>
            <w:r w:rsidRPr="006B166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75" w:type="dxa"/>
          </w:tcPr>
          <w:p w14:paraId="78E9A549" w14:textId="141DF772" w:rsidR="00CB749D" w:rsidRPr="006B166F" w:rsidRDefault="00CB749D" w:rsidP="00CB7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</w:t>
            </w:r>
          </w:p>
        </w:tc>
        <w:tc>
          <w:tcPr>
            <w:tcW w:w="1980" w:type="dxa"/>
          </w:tcPr>
          <w:p w14:paraId="3676CA0C" w14:textId="4CAC1AE2" w:rsidR="00CB749D" w:rsidRPr="006B166F" w:rsidRDefault="00CB749D" w:rsidP="00CB74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$10.00</w:t>
            </w:r>
          </w:p>
        </w:tc>
      </w:tr>
    </w:tbl>
    <w:p w14:paraId="69538131" w14:textId="77777777" w:rsidR="00CB749D" w:rsidRDefault="00CB749D" w:rsidP="004D1FC3">
      <w:pPr>
        <w:jc w:val="center"/>
        <w:rPr>
          <w:rFonts w:ascii="Times New Roman" w:hAnsi="Times New Roman"/>
        </w:rPr>
      </w:pPr>
    </w:p>
    <w:p w14:paraId="6B6DB70D" w14:textId="6B1C0678" w:rsidR="00022731" w:rsidRDefault="00022731" w:rsidP="00AD33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Commission staff has completed its review of the </w:t>
      </w:r>
      <w:r w:rsidR="0029750E">
        <w:rPr>
          <w:rFonts w:ascii="Times New Roman" w:hAnsi="Times New Roman"/>
        </w:rPr>
        <w:t>company</w:t>
      </w:r>
      <w:r>
        <w:rPr>
          <w:rFonts w:ascii="Times New Roman" w:hAnsi="Times New Roman"/>
        </w:rPr>
        <w:t xml:space="preserve">’s supporting financial documents, books and records. Staff’s review </w:t>
      </w:r>
      <w:r w:rsidR="00422B51">
        <w:rPr>
          <w:rFonts w:ascii="Times New Roman" w:hAnsi="Times New Roman"/>
        </w:rPr>
        <w:t xml:space="preserve">of the filing </w:t>
      </w:r>
      <w:r>
        <w:rPr>
          <w:rFonts w:ascii="Times New Roman" w:hAnsi="Times New Roman"/>
        </w:rPr>
        <w:t xml:space="preserve">shows that the operating expenses are reasonable and required as part of the </w:t>
      </w:r>
      <w:r w:rsidR="0029750E">
        <w:rPr>
          <w:rFonts w:ascii="Times New Roman" w:hAnsi="Times New Roman"/>
        </w:rPr>
        <w:t>company</w:t>
      </w:r>
      <w:r>
        <w:rPr>
          <w:rFonts w:ascii="Times New Roman" w:hAnsi="Times New Roman"/>
        </w:rPr>
        <w:t xml:space="preserve">’s operation. The </w:t>
      </w:r>
      <w:r w:rsidR="0029750E">
        <w:rPr>
          <w:rFonts w:ascii="Times New Roman" w:hAnsi="Times New Roman"/>
        </w:rPr>
        <w:t>company</w:t>
      </w:r>
      <w:r>
        <w:rPr>
          <w:rFonts w:ascii="Times New Roman" w:hAnsi="Times New Roman"/>
        </w:rPr>
        <w:t>’s financial information supports the revenue requirement and</w:t>
      </w:r>
      <w:r w:rsidR="00763DAD">
        <w:rPr>
          <w:rFonts w:ascii="Times New Roman" w:hAnsi="Times New Roman"/>
        </w:rPr>
        <w:t xml:space="preserve"> the proposed rates and</w:t>
      </w:r>
      <w:r>
        <w:rPr>
          <w:rFonts w:ascii="Times New Roman" w:hAnsi="Times New Roman"/>
        </w:rPr>
        <w:t xml:space="preserve"> charges are fair, just, reasonable, and sufficient. </w:t>
      </w:r>
    </w:p>
    <w:p w14:paraId="506447BB" w14:textId="77777777" w:rsidR="00906F0D" w:rsidRDefault="00906F0D" w:rsidP="00AD3312">
      <w:pPr>
        <w:rPr>
          <w:rFonts w:ascii="Times New Roman" w:hAnsi="Times New Roman"/>
          <w:b/>
          <w:u w:val="single"/>
        </w:rPr>
      </w:pPr>
    </w:p>
    <w:p w14:paraId="6B6DB70F" w14:textId="4E1D4BBE" w:rsidR="00022731" w:rsidRDefault="00AC1768" w:rsidP="00AD3312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Conclusion</w:t>
      </w:r>
    </w:p>
    <w:p w14:paraId="7F61AA01" w14:textId="77777777" w:rsidR="00EC7C31" w:rsidRDefault="00EC7C31" w:rsidP="00AD3312">
      <w:pPr>
        <w:rPr>
          <w:rFonts w:ascii="Times New Roman" w:hAnsi="Times New Roman"/>
          <w:b/>
          <w:u w:val="single"/>
        </w:rPr>
      </w:pPr>
    </w:p>
    <w:p w14:paraId="40083DF1" w14:textId="2B668208" w:rsidR="008356F9" w:rsidRDefault="00D60D9F" w:rsidP="00185E84">
      <w:pPr>
        <w:rPr>
          <w:rFonts w:ascii="Times New Roman" w:hAnsi="Times New Roman"/>
        </w:rPr>
      </w:pPr>
      <w:r w:rsidRPr="00D60D9F">
        <w:rPr>
          <w:rFonts w:ascii="Times New Roman" w:hAnsi="Times New Roman"/>
        </w:rPr>
        <w:t>Take no action, thereby allowing the rates and tariff revisions re-filed by Solmar Water System, Inc., on November 19, 2013, as revised on December 12, 2013, to become effective January 1, 2014, by operation of law.</w:t>
      </w:r>
      <w:r w:rsidR="00185E84" w:rsidDel="00185E84">
        <w:rPr>
          <w:rFonts w:ascii="Times New Roman" w:hAnsi="Times New Roman"/>
        </w:rPr>
        <w:t xml:space="preserve"> </w:t>
      </w:r>
    </w:p>
    <w:sectPr w:rsidR="008356F9" w:rsidSect="00476E8F">
      <w:headerReference w:type="default" r:id="rId12"/>
      <w:pgSz w:w="12240" w:h="15840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DB716" w14:textId="77777777" w:rsidR="00D60D9F" w:rsidRDefault="00D60D9F" w:rsidP="004D1FC3">
      <w:r>
        <w:separator/>
      </w:r>
    </w:p>
  </w:endnote>
  <w:endnote w:type="continuationSeparator" w:id="0">
    <w:p w14:paraId="6B6DB717" w14:textId="77777777" w:rsidR="00D60D9F" w:rsidRDefault="00D60D9F" w:rsidP="004D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DB714" w14:textId="77777777" w:rsidR="00D60D9F" w:rsidRDefault="00D60D9F" w:rsidP="004D1FC3">
      <w:r>
        <w:separator/>
      </w:r>
    </w:p>
  </w:footnote>
  <w:footnote w:type="continuationSeparator" w:id="0">
    <w:p w14:paraId="6B6DB715" w14:textId="77777777" w:rsidR="00D60D9F" w:rsidRDefault="00D60D9F" w:rsidP="004D1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DB718" w14:textId="6CE25937" w:rsidR="00D60D9F" w:rsidRPr="00683AD3" w:rsidRDefault="00D60D9F">
    <w:pPr>
      <w:pStyle w:val="Header"/>
      <w:rPr>
        <w:rFonts w:ascii="Times New Roman" w:hAnsi="Times New Roman"/>
        <w:sz w:val="20"/>
        <w:szCs w:val="20"/>
      </w:rPr>
    </w:pPr>
    <w:r w:rsidRPr="00683AD3">
      <w:rPr>
        <w:rFonts w:ascii="Times New Roman" w:hAnsi="Times New Roman"/>
        <w:sz w:val="20"/>
        <w:szCs w:val="20"/>
      </w:rPr>
      <w:t>Docket UW-</w:t>
    </w:r>
    <w:r>
      <w:rPr>
        <w:rFonts w:ascii="Times New Roman" w:hAnsi="Times New Roman"/>
        <w:sz w:val="20"/>
        <w:szCs w:val="20"/>
      </w:rPr>
      <w:t>132142</w:t>
    </w:r>
  </w:p>
  <w:p w14:paraId="6B6DB719" w14:textId="1440D09F" w:rsidR="00D60D9F" w:rsidRPr="00683AD3" w:rsidRDefault="00D60D9F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December 27, 2013</w:t>
    </w:r>
  </w:p>
  <w:p w14:paraId="6B6DB71A" w14:textId="77777777" w:rsidR="00D60D9F" w:rsidRPr="00683AD3" w:rsidRDefault="00D60D9F">
    <w:pPr>
      <w:pStyle w:val="Header"/>
      <w:rPr>
        <w:rFonts w:ascii="Times New Roman" w:hAnsi="Times New Roman"/>
        <w:sz w:val="20"/>
        <w:szCs w:val="20"/>
      </w:rPr>
    </w:pPr>
    <w:r w:rsidRPr="00683AD3">
      <w:rPr>
        <w:rFonts w:ascii="Times New Roman" w:hAnsi="Times New Roman"/>
        <w:sz w:val="20"/>
        <w:szCs w:val="20"/>
      </w:rPr>
      <w:t xml:space="preserve">Page </w:t>
    </w:r>
    <w:r w:rsidRPr="00683AD3">
      <w:rPr>
        <w:rFonts w:ascii="Times New Roman" w:hAnsi="Times New Roman"/>
        <w:sz w:val="20"/>
        <w:szCs w:val="20"/>
      </w:rPr>
      <w:fldChar w:fldCharType="begin"/>
    </w:r>
    <w:r w:rsidRPr="00683AD3">
      <w:rPr>
        <w:rFonts w:ascii="Times New Roman" w:hAnsi="Times New Roman"/>
        <w:sz w:val="20"/>
        <w:szCs w:val="20"/>
      </w:rPr>
      <w:instrText xml:space="preserve"> PAGE   \* MERGEFORMAT </w:instrText>
    </w:r>
    <w:r w:rsidRPr="00683AD3">
      <w:rPr>
        <w:rFonts w:ascii="Times New Roman" w:hAnsi="Times New Roman"/>
        <w:sz w:val="20"/>
        <w:szCs w:val="20"/>
      </w:rPr>
      <w:fldChar w:fldCharType="separate"/>
    </w:r>
    <w:r w:rsidR="00AA3121">
      <w:rPr>
        <w:rFonts w:ascii="Times New Roman" w:hAnsi="Times New Roman"/>
        <w:noProof/>
        <w:sz w:val="20"/>
        <w:szCs w:val="20"/>
      </w:rPr>
      <w:t>2</w:t>
    </w:r>
    <w:r w:rsidRPr="00683AD3">
      <w:rPr>
        <w:rFonts w:ascii="Times New Roman" w:hAnsi="Times New Roman"/>
        <w:sz w:val="20"/>
        <w:szCs w:val="20"/>
      </w:rPr>
      <w:fldChar w:fldCharType="end"/>
    </w:r>
  </w:p>
  <w:p w14:paraId="6B6DB71B" w14:textId="77777777" w:rsidR="00D60D9F" w:rsidRPr="00C77D16" w:rsidRDefault="00D60D9F">
    <w:pPr>
      <w:pStyle w:val="Header"/>
      <w:rPr>
        <w:rFonts w:ascii="Times New Roman" w:hAnsi="Times New Roman"/>
        <w:sz w:val="20"/>
        <w:szCs w:val="20"/>
      </w:rPr>
    </w:pPr>
  </w:p>
  <w:p w14:paraId="6B6DB71C" w14:textId="77777777" w:rsidR="00D60D9F" w:rsidRPr="00C77D16" w:rsidRDefault="00D60D9F">
    <w:pPr>
      <w:pStyle w:val="Head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7495D"/>
    <w:multiLevelType w:val="hybridMultilevel"/>
    <w:tmpl w:val="7A8A85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9B51069"/>
    <w:multiLevelType w:val="hybridMultilevel"/>
    <w:tmpl w:val="802A531A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C4E"/>
    <w:rsid w:val="000007E7"/>
    <w:rsid w:val="00004636"/>
    <w:rsid w:val="0000477E"/>
    <w:rsid w:val="00022731"/>
    <w:rsid w:val="00070ADA"/>
    <w:rsid w:val="0007354D"/>
    <w:rsid w:val="00077105"/>
    <w:rsid w:val="000951D6"/>
    <w:rsid w:val="000A08FA"/>
    <w:rsid w:val="000A5867"/>
    <w:rsid w:val="000C156D"/>
    <w:rsid w:val="000C5621"/>
    <w:rsid w:val="000E640C"/>
    <w:rsid w:val="001035E6"/>
    <w:rsid w:val="0010775A"/>
    <w:rsid w:val="00146764"/>
    <w:rsid w:val="00185E84"/>
    <w:rsid w:val="00185F8F"/>
    <w:rsid w:val="001C5AB1"/>
    <w:rsid w:val="001C6F06"/>
    <w:rsid w:val="001D12CC"/>
    <w:rsid w:val="001E1D7A"/>
    <w:rsid w:val="002259D5"/>
    <w:rsid w:val="00226B17"/>
    <w:rsid w:val="00244107"/>
    <w:rsid w:val="0024576B"/>
    <w:rsid w:val="00250248"/>
    <w:rsid w:val="002575CD"/>
    <w:rsid w:val="00292463"/>
    <w:rsid w:val="0029750E"/>
    <w:rsid w:val="002C039A"/>
    <w:rsid w:val="002E61C2"/>
    <w:rsid w:val="003039EA"/>
    <w:rsid w:val="00312D0C"/>
    <w:rsid w:val="003271B8"/>
    <w:rsid w:val="00340DA6"/>
    <w:rsid w:val="003420BB"/>
    <w:rsid w:val="003435B1"/>
    <w:rsid w:val="0035684F"/>
    <w:rsid w:val="003A0E3F"/>
    <w:rsid w:val="00401EC0"/>
    <w:rsid w:val="00422B51"/>
    <w:rsid w:val="00450F2D"/>
    <w:rsid w:val="00464145"/>
    <w:rsid w:val="00476249"/>
    <w:rsid w:val="00476B35"/>
    <w:rsid w:val="00476E8F"/>
    <w:rsid w:val="00485438"/>
    <w:rsid w:val="00496EDC"/>
    <w:rsid w:val="004B1410"/>
    <w:rsid w:val="004D1FC3"/>
    <w:rsid w:val="004E6C92"/>
    <w:rsid w:val="00552600"/>
    <w:rsid w:val="005668F1"/>
    <w:rsid w:val="00596D9D"/>
    <w:rsid w:val="005A0229"/>
    <w:rsid w:val="005A6C74"/>
    <w:rsid w:val="005E0287"/>
    <w:rsid w:val="005E0378"/>
    <w:rsid w:val="005E79D2"/>
    <w:rsid w:val="00603F18"/>
    <w:rsid w:val="006103F8"/>
    <w:rsid w:val="006137E8"/>
    <w:rsid w:val="00623E31"/>
    <w:rsid w:val="006450C6"/>
    <w:rsid w:val="00653270"/>
    <w:rsid w:val="00663604"/>
    <w:rsid w:val="00672F7B"/>
    <w:rsid w:val="0068010E"/>
    <w:rsid w:val="00683AD3"/>
    <w:rsid w:val="006A41EE"/>
    <w:rsid w:val="006A4B32"/>
    <w:rsid w:val="006B166F"/>
    <w:rsid w:val="006C30BB"/>
    <w:rsid w:val="006D2217"/>
    <w:rsid w:val="006D2229"/>
    <w:rsid w:val="006D6CF6"/>
    <w:rsid w:val="007003F7"/>
    <w:rsid w:val="0071176E"/>
    <w:rsid w:val="00763DAD"/>
    <w:rsid w:val="00791C63"/>
    <w:rsid w:val="007B6000"/>
    <w:rsid w:val="007C11F2"/>
    <w:rsid w:val="007C4123"/>
    <w:rsid w:val="007E2192"/>
    <w:rsid w:val="007F0ED7"/>
    <w:rsid w:val="00806234"/>
    <w:rsid w:val="00817783"/>
    <w:rsid w:val="008356F9"/>
    <w:rsid w:val="0089675A"/>
    <w:rsid w:val="008A1722"/>
    <w:rsid w:val="008B1CAC"/>
    <w:rsid w:val="008B1F06"/>
    <w:rsid w:val="008D4D0E"/>
    <w:rsid w:val="008E008B"/>
    <w:rsid w:val="009000B3"/>
    <w:rsid w:val="0090667A"/>
    <w:rsid w:val="00906F0D"/>
    <w:rsid w:val="00920BB4"/>
    <w:rsid w:val="00951172"/>
    <w:rsid w:val="00967230"/>
    <w:rsid w:val="00971DF7"/>
    <w:rsid w:val="00984CDA"/>
    <w:rsid w:val="00990A1F"/>
    <w:rsid w:val="009A485C"/>
    <w:rsid w:val="009A7392"/>
    <w:rsid w:val="009C4765"/>
    <w:rsid w:val="009C5D96"/>
    <w:rsid w:val="009E3C3D"/>
    <w:rsid w:val="00A02121"/>
    <w:rsid w:val="00A30EA5"/>
    <w:rsid w:val="00A51575"/>
    <w:rsid w:val="00A601AC"/>
    <w:rsid w:val="00A84C2A"/>
    <w:rsid w:val="00A915FB"/>
    <w:rsid w:val="00AA3121"/>
    <w:rsid w:val="00AB525E"/>
    <w:rsid w:val="00AC1768"/>
    <w:rsid w:val="00AC5507"/>
    <w:rsid w:val="00AD12A9"/>
    <w:rsid w:val="00AD1A60"/>
    <w:rsid w:val="00AD3312"/>
    <w:rsid w:val="00AE1068"/>
    <w:rsid w:val="00AE273E"/>
    <w:rsid w:val="00AF23A1"/>
    <w:rsid w:val="00B04E42"/>
    <w:rsid w:val="00B07384"/>
    <w:rsid w:val="00B13041"/>
    <w:rsid w:val="00B37CD3"/>
    <w:rsid w:val="00B662F4"/>
    <w:rsid w:val="00BA493D"/>
    <w:rsid w:val="00BA64CD"/>
    <w:rsid w:val="00BB2231"/>
    <w:rsid w:val="00BD08DA"/>
    <w:rsid w:val="00BD1D8D"/>
    <w:rsid w:val="00BE48DB"/>
    <w:rsid w:val="00BF0223"/>
    <w:rsid w:val="00C4586C"/>
    <w:rsid w:val="00C71ACB"/>
    <w:rsid w:val="00C77D16"/>
    <w:rsid w:val="00C935DA"/>
    <w:rsid w:val="00C96534"/>
    <w:rsid w:val="00CB6C31"/>
    <w:rsid w:val="00CB749D"/>
    <w:rsid w:val="00CD2EC6"/>
    <w:rsid w:val="00CF36EC"/>
    <w:rsid w:val="00D1413D"/>
    <w:rsid w:val="00D157C1"/>
    <w:rsid w:val="00D3756C"/>
    <w:rsid w:val="00D60D9F"/>
    <w:rsid w:val="00D619EC"/>
    <w:rsid w:val="00D63842"/>
    <w:rsid w:val="00D7249A"/>
    <w:rsid w:val="00D81EDE"/>
    <w:rsid w:val="00DA1B86"/>
    <w:rsid w:val="00DA334E"/>
    <w:rsid w:val="00DB2540"/>
    <w:rsid w:val="00DC55A7"/>
    <w:rsid w:val="00DC579E"/>
    <w:rsid w:val="00DD2A47"/>
    <w:rsid w:val="00DE61D8"/>
    <w:rsid w:val="00DF433F"/>
    <w:rsid w:val="00DF6C4E"/>
    <w:rsid w:val="00E03710"/>
    <w:rsid w:val="00E06BC4"/>
    <w:rsid w:val="00E22E57"/>
    <w:rsid w:val="00E326C8"/>
    <w:rsid w:val="00E36635"/>
    <w:rsid w:val="00E77BF7"/>
    <w:rsid w:val="00E8305A"/>
    <w:rsid w:val="00EB3D57"/>
    <w:rsid w:val="00EB7812"/>
    <w:rsid w:val="00EC7C31"/>
    <w:rsid w:val="00F004A1"/>
    <w:rsid w:val="00F02F31"/>
    <w:rsid w:val="00F04779"/>
    <w:rsid w:val="00F07E2C"/>
    <w:rsid w:val="00F13BA9"/>
    <w:rsid w:val="00F154F3"/>
    <w:rsid w:val="00F164F3"/>
    <w:rsid w:val="00F21B68"/>
    <w:rsid w:val="00F33385"/>
    <w:rsid w:val="00F44F71"/>
    <w:rsid w:val="00F51994"/>
    <w:rsid w:val="00F6370E"/>
    <w:rsid w:val="00F7381C"/>
    <w:rsid w:val="00F74702"/>
    <w:rsid w:val="00F825C0"/>
    <w:rsid w:val="00F906D9"/>
    <w:rsid w:val="00FA156B"/>
    <w:rsid w:val="00FC568B"/>
    <w:rsid w:val="00FC7FC3"/>
    <w:rsid w:val="00FD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DB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50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C4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C4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C4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C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C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C4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C4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C4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C4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C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6C4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C4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F6C4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C4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C4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C4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C4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C4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F6C4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F6C4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C4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F6C4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F6C4E"/>
    <w:rPr>
      <w:b/>
      <w:bCs/>
    </w:rPr>
  </w:style>
  <w:style w:type="character" w:styleId="Emphasis">
    <w:name w:val="Emphasis"/>
    <w:basedOn w:val="DefaultParagraphFont"/>
    <w:uiPriority w:val="20"/>
    <w:qFormat/>
    <w:rsid w:val="00DF6C4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F6C4E"/>
    <w:rPr>
      <w:szCs w:val="32"/>
    </w:rPr>
  </w:style>
  <w:style w:type="paragraph" w:styleId="ListParagraph">
    <w:name w:val="List Paragraph"/>
    <w:basedOn w:val="Normal"/>
    <w:uiPriority w:val="34"/>
    <w:qFormat/>
    <w:rsid w:val="00DF6C4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F6C4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F6C4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C4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C4E"/>
    <w:rPr>
      <w:b/>
      <w:i/>
      <w:sz w:val="24"/>
    </w:rPr>
  </w:style>
  <w:style w:type="character" w:styleId="SubtleEmphasis">
    <w:name w:val="Subtle Emphasis"/>
    <w:uiPriority w:val="19"/>
    <w:qFormat/>
    <w:rsid w:val="00DF6C4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F6C4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F6C4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F6C4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F6C4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6C4E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095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F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F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1F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FC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0EA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68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8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8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84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4123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50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C4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C4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C4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C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C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C4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C4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C4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C4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C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6C4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C4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F6C4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C4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C4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C4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C4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C4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F6C4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F6C4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C4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F6C4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F6C4E"/>
    <w:rPr>
      <w:b/>
      <w:bCs/>
    </w:rPr>
  </w:style>
  <w:style w:type="character" w:styleId="Emphasis">
    <w:name w:val="Emphasis"/>
    <w:basedOn w:val="DefaultParagraphFont"/>
    <w:uiPriority w:val="20"/>
    <w:qFormat/>
    <w:rsid w:val="00DF6C4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F6C4E"/>
    <w:rPr>
      <w:szCs w:val="32"/>
    </w:rPr>
  </w:style>
  <w:style w:type="paragraph" w:styleId="ListParagraph">
    <w:name w:val="List Paragraph"/>
    <w:basedOn w:val="Normal"/>
    <w:uiPriority w:val="34"/>
    <w:qFormat/>
    <w:rsid w:val="00DF6C4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F6C4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F6C4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C4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C4E"/>
    <w:rPr>
      <w:b/>
      <w:i/>
      <w:sz w:val="24"/>
    </w:rPr>
  </w:style>
  <w:style w:type="character" w:styleId="SubtleEmphasis">
    <w:name w:val="Subtle Emphasis"/>
    <w:uiPriority w:val="19"/>
    <w:qFormat/>
    <w:rsid w:val="00DF6C4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F6C4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F6C4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F6C4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F6C4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6C4E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095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F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F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1F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FC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0EA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68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8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8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84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4123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6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2013-11-19T08:00:00+00:00</OpenedDate>
    <Date1 xmlns="dc463f71-b30c-4ab2-9473-d307f9d35888">2013-12-27T08:00:00+00:00</Date1>
    <IsDocumentOrder xmlns="dc463f71-b30c-4ab2-9473-d307f9d35888" xsi:nil="true"/>
    <IsHighlyConfidential xmlns="dc463f71-b30c-4ab2-9473-d307f9d35888">false</IsHighlyConfidential>
    <CaseCompanyNames xmlns="dc463f71-b30c-4ab2-9473-d307f9d35888">Solmar Water System, Inc.</CaseCompanyNames>
    <DocketNumber xmlns="dc463f71-b30c-4ab2-9473-d307f9d35888">132142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882AABCCFBB644D936501260C59967C" ma:contentTypeVersion="135" ma:contentTypeDescription="" ma:contentTypeScope="" ma:versionID="2c4b7b015c9cdcd5e318fe8587fedcd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6AEE73-EB54-4CD9-9DD1-9EB7D5345FF1}"/>
</file>

<file path=customXml/itemProps2.xml><?xml version="1.0" encoding="utf-8"?>
<ds:datastoreItem xmlns:ds="http://schemas.openxmlformats.org/officeDocument/2006/customXml" ds:itemID="{5463ECBD-6ADC-4ED7-AFD5-6725658EF112}"/>
</file>

<file path=customXml/itemProps3.xml><?xml version="1.0" encoding="utf-8"?>
<ds:datastoreItem xmlns:ds="http://schemas.openxmlformats.org/officeDocument/2006/customXml" ds:itemID="{2454F1DA-846E-461D-885C-AE6B4622EA00}"/>
</file>

<file path=customXml/itemProps4.xml><?xml version="1.0" encoding="utf-8"?>
<ds:datastoreItem xmlns:ds="http://schemas.openxmlformats.org/officeDocument/2006/customXml" ds:itemID="{C60C0163-A3AA-4231-AA79-B072AE44B09E}"/>
</file>

<file path=customXml/itemProps5.xml><?xml version="1.0" encoding="utf-8"?>
<ds:datastoreItem xmlns:ds="http://schemas.openxmlformats.org/officeDocument/2006/customXml" ds:itemID="{FCD207F2-EC9F-4E4A-BF13-BDB64F8E77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UW-130622 Memo 01 to allow rates</vt:lpstr>
    </vt:vector>
  </TitlesOfParts>
  <Company>Washington Utilities and Transportation Commission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UW-130622 Memo 01 to allow rates</dc:title>
  <dc:creator>Amy White</dc:creator>
  <cp:lastModifiedBy>Lisa Wyse</cp:lastModifiedBy>
  <cp:revision>2</cp:revision>
  <cp:lastPrinted>2013-12-21T02:33:00Z</cp:lastPrinted>
  <dcterms:created xsi:type="dcterms:W3CDTF">2013-12-24T01:10:00Z</dcterms:created>
  <dcterms:modified xsi:type="dcterms:W3CDTF">2013-12-24T01:10:00Z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0x0101006E56B4D1795A2E4DB2F0B01679ED314A002882AABCCFBB644D936501260C59967C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docset_NoMedatataSyncRequired">
    <vt:lpwstr>False</vt:lpwstr>
  </property>
</Properties>
</file>