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82D35" w14:textId="77777777" w:rsidR="00F63B7D" w:rsidRDefault="00F63B7D" w:rsidP="00F63B7D">
      <w:pPr>
        <w:pStyle w:val="NoSpacing"/>
        <w:jc w:val="center"/>
        <w:rPr>
          <w:sz w:val="14"/>
        </w:rPr>
      </w:pPr>
      <w:bookmarkStart w:id="0" w:name="_GoBack"/>
      <w:bookmarkEnd w:id="0"/>
      <w:r>
        <w:rPr>
          <w:noProof/>
        </w:rPr>
        <w:drawing>
          <wp:inline distT="0" distB="0" distL="0" distR="0" wp14:anchorId="72C29A54" wp14:editId="2EA7807A">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7CB200C" w14:textId="77777777" w:rsidR="00F63B7D" w:rsidRDefault="00F63B7D" w:rsidP="00F63B7D">
      <w:pPr>
        <w:pStyle w:val="NoSpacing"/>
        <w:jc w:val="center"/>
        <w:rPr>
          <w:rFonts w:ascii="Arial" w:hAnsi="Arial"/>
          <w:b/>
          <w:color w:val="008000"/>
          <w:sz w:val="18"/>
        </w:rPr>
      </w:pPr>
    </w:p>
    <w:p w14:paraId="26994560" w14:textId="77777777" w:rsidR="00F63B7D" w:rsidRDefault="00F63B7D" w:rsidP="00F63B7D">
      <w:pPr>
        <w:pStyle w:val="NoSpacing"/>
        <w:spacing w:after="80"/>
        <w:jc w:val="center"/>
        <w:rPr>
          <w:rFonts w:ascii="Arial" w:hAnsi="Arial"/>
          <w:b/>
          <w:color w:val="008000"/>
          <w:sz w:val="18"/>
        </w:rPr>
      </w:pPr>
      <w:r>
        <w:rPr>
          <w:rFonts w:ascii="Arial" w:hAnsi="Arial"/>
          <w:b/>
          <w:color w:val="008000"/>
          <w:sz w:val="18"/>
        </w:rPr>
        <w:t>STATE OF WASHINGTON</w:t>
      </w:r>
    </w:p>
    <w:p w14:paraId="6107459F" w14:textId="77777777" w:rsidR="00F63B7D" w:rsidRDefault="00F63B7D" w:rsidP="00F63B7D">
      <w:pPr>
        <w:pStyle w:val="NoSpacing"/>
        <w:spacing w:after="80"/>
        <w:jc w:val="center"/>
        <w:rPr>
          <w:rFonts w:ascii="Arial" w:hAnsi="Arial"/>
          <w:color w:val="008000"/>
          <w:sz w:val="28"/>
        </w:rPr>
      </w:pPr>
      <w:r>
        <w:rPr>
          <w:rFonts w:ascii="Arial" w:hAnsi="Arial"/>
          <w:color w:val="008000"/>
          <w:sz w:val="28"/>
        </w:rPr>
        <w:t>UTILITIES AND TRANSPORTATION COMMISSION</w:t>
      </w:r>
    </w:p>
    <w:p w14:paraId="6F06C51E" w14:textId="77777777" w:rsidR="00F63B7D" w:rsidRDefault="00F63B7D" w:rsidP="00F63B7D">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71C5005D" w14:textId="77777777" w:rsidR="00F63B7D" w:rsidRDefault="00F63B7D" w:rsidP="00F63B7D">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DABE25A" w14:textId="77777777" w:rsidR="00F63B7D" w:rsidRDefault="00F63B7D" w:rsidP="00F63B7D">
      <w:pPr>
        <w:spacing w:line="264" w:lineRule="auto"/>
        <w:rPr>
          <w:rFonts w:ascii="Times New Roman" w:hAnsi="Times New Roman" w:cs="Times New Roman"/>
          <w:sz w:val="25"/>
          <w:szCs w:val="25"/>
        </w:rPr>
      </w:pPr>
    </w:p>
    <w:p w14:paraId="36176632" w14:textId="318B8CC6" w:rsidR="00F63B7D" w:rsidRDefault="00F63B7D" w:rsidP="00F63B7D">
      <w:pPr>
        <w:spacing w:line="264" w:lineRule="auto"/>
        <w:jc w:val="center"/>
        <w:rPr>
          <w:rFonts w:ascii="Times New Roman" w:hAnsi="Times New Roman" w:cs="Times New Roman"/>
          <w:sz w:val="25"/>
          <w:szCs w:val="25"/>
        </w:rPr>
      </w:pPr>
      <w:r>
        <w:rPr>
          <w:rFonts w:ascii="Times New Roman" w:hAnsi="Times New Roman" w:cs="Times New Roman"/>
          <w:sz w:val="25"/>
          <w:szCs w:val="25"/>
        </w:rPr>
        <w:t xml:space="preserve">April </w:t>
      </w:r>
      <w:r w:rsidR="00B573E7">
        <w:rPr>
          <w:rFonts w:ascii="Times New Roman" w:hAnsi="Times New Roman" w:cs="Times New Roman"/>
          <w:sz w:val="25"/>
          <w:szCs w:val="25"/>
        </w:rPr>
        <w:t>14</w:t>
      </w:r>
      <w:r>
        <w:rPr>
          <w:rFonts w:ascii="Times New Roman" w:hAnsi="Times New Roman" w:cs="Times New Roman"/>
          <w:sz w:val="25"/>
          <w:szCs w:val="25"/>
        </w:rPr>
        <w:t>, 2014</w:t>
      </w:r>
    </w:p>
    <w:p w14:paraId="3AB85B4A" w14:textId="77777777" w:rsidR="00F63B7D" w:rsidRDefault="00F63B7D" w:rsidP="00F63B7D">
      <w:pPr>
        <w:spacing w:line="264" w:lineRule="auto"/>
        <w:jc w:val="center"/>
        <w:rPr>
          <w:rFonts w:ascii="Times New Roman" w:hAnsi="Times New Roman" w:cs="Times New Roman"/>
          <w:sz w:val="25"/>
          <w:szCs w:val="25"/>
        </w:rPr>
      </w:pPr>
    </w:p>
    <w:p w14:paraId="4D92F887" w14:textId="77777777" w:rsidR="00F63B7D" w:rsidRDefault="00F63B7D" w:rsidP="00F63B7D">
      <w:pPr>
        <w:spacing w:line="264" w:lineRule="auto"/>
        <w:jc w:val="center"/>
        <w:rPr>
          <w:rFonts w:ascii="Times New Roman" w:hAnsi="Times New Roman" w:cs="Times New Roman"/>
          <w:sz w:val="25"/>
          <w:szCs w:val="25"/>
        </w:rPr>
      </w:pPr>
    </w:p>
    <w:p w14:paraId="1A553A4C" w14:textId="77777777" w:rsidR="00F63B7D" w:rsidRDefault="00F63B7D" w:rsidP="00F63B7D">
      <w:pPr>
        <w:spacing w:line="264" w:lineRule="auto"/>
        <w:rPr>
          <w:rFonts w:ascii="Times New Roman" w:hAnsi="Times New Roman" w:cs="Times New Roman"/>
          <w:sz w:val="25"/>
          <w:szCs w:val="25"/>
        </w:rPr>
      </w:pPr>
    </w:p>
    <w:p w14:paraId="52AA34A0" w14:textId="2A3D617A" w:rsidR="00F63B7D" w:rsidRDefault="00F63B7D" w:rsidP="00F63B7D">
      <w:pPr>
        <w:pStyle w:val="NoSpacing"/>
        <w:ind w:left="720" w:hanging="720"/>
        <w:rPr>
          <w:rFonts w:ascii="Times New Roman" w:hAnsi="Times New Roman"/>
          <w:sz w:val="25"/>
          <w:szCs w:val="25"/>
        </w:rPr>
      </w:pPr>
      <w:r>
        <w:rPr>
          <w:rFonts w:ascii="Times New Roman" w:hAnsi="Times New Roman"/>
          <w:sz w:val="25"/>
          <w:szCs w:val="25"/>
        </w:rPr>
        <w:t xml:space="preserve">Re: </w:t>
      </w:r>
      <w:r w:rsidR="008940AA">
        <w:rPr>
          <w:rFonts w:ascii="Times New Roman" w:hAnsi="Times New Roman"/>
          <w:sz w:val="25"/>
          <w:szCs w:val="25"/>
        </w:rPr>
        <w:tab/>
      </w:r>
      <w:r w:rsidR="00D66E6F">
        <w:rPr>
          <w:rFonts w:ascii="Times New Roman" w:hAnsi="Times New Roman"/>
          <w:sz w:val="25"/>
          <w:szCs w:val="25"/>
        </w:rPr>
        <w:t>Irvington Transfer &amp; Storage Co.</w:t>
      </w:r>
      <w:r>
        <w:rPr>
          <w:rFonts w:ascii="Times New Roman" w:hAnsi="Times New Roman"/>
          <w:sz w:val="25"/>
          <w:szCs w:val="25"/>
        </w:rPr>
        <w:t>, Request for Mitigation of Penalty Assessment</w:t>
      </w:r>
    </w:p>
    <w:p w14:paraId="66B1AEBF" w14:textId="0DD84B98" w:rsidR="00F63B7D" w:rsidRDefault="00F63B7D" w:rsidP="008940AA">
      <w:pPr>
        <w:pStyle w:val="NoSpacing"/>
        <w:ind w:left="720"/>
        <w:rPr>
          <w:rFonts w:ascii="Times New Roman" w:hAnsi="Times New Roman"/>
          <w:sz w:val="25"/>
          <w:szCs w:val="25"/>
        </w:rPr>
      </w:pPr>
      <w:r>
        <w:rPr>
          <w:rFonts w:ascii="Times New Roman" w:hAnsi="Times New Roman"/>
          <w:sz w:val="25"/>
          <w:szCs w:val="25"/>
        </w:rPr>
        <w:t>Docket TV-1309</w:t>
      </w:r>
      <w:r w:rsidR="00D66E6F">
        <w:rPr>
          <w:rFonts w:ascii="Times New Roman" w:hAnsi="Times New Roman"/>
          <w:sz w:val="25"/>
          <w:szCs w:val="25"/>
        </w:rPr>
        <w:t>79</w:t>
      </w:r>
    </w:p>
    <w:p w14:paraId="4989C04F" w14:textId="77777777" w:rsidR="00F63B7D" w:rsidRDefault="00F63B7D" w:rsidP="00F63B7D">
      <w:pPr>
        <w:spacing w:line="264" w:lineRule="auto"/>
        <w:rPr>
          <w:rFonts w:ascii="Times New Roman" w:hAnsi="Times New Roman" w:cs="Times New Roman"/>
          <w:sz w:val="25"/>
          <w:szCs w:val="25"/>
        </w:rPr>
      </w:pPr>
    </w:p>
    <w:p w14:paraId="44A37842" w14:textId="77777777" w:rsidR="00F63B7D" w:rsidRDefault="00533393" w:rsidP="00F63B7D">
      <w:pPr>
        <w:spacing w:line="264" w:lineRule="auto"/>
        <w:rPr>
          <w:rFonts w:ascii="Times New Roman" w:hAnsi="Times New Roman" w:cs="Times New Roman"/>
          <w:sz w:val="25"/>
          <w:szCs w:val="25"/>
        </w:rPr>
      </w:pPr>
      <w:r>
        <w:rPr>
          <w:rFonts w:ascii="Times New Roman" w:hAnsi="Times New Roman" w:cs="Times New Roman"/>
          <w:sz w:val="25"/>
          <w:szCs w:val="25"/>
        </w:rPr>
        <w:t>TO ALL PARTIES:</w:t>
      </w:r>
    </w:p>
    <w:p w14:paraId="4E49427C" w14:textId="77777777" w:rsidR="00F63B7D" w:rsidRDefault="00F63B7D" w:rsidP="00F63B7D">
      <w:pPr>
        <w:spacing w:line="264" w:lineRule="auto"/>
        <w:rPr>
          <w:rFonts w:ascii="Times New Roman" w:hAnsi="Times New Roman" w:cs="Times New Roman"/>
          <w:sz w:val="25"/>
          <w:szCs w:val="25"/>
        </w:rPr>
      </w:pPr>
    </w:p>
    <w:p w14:paraId="6B8865F6" w14:textId="50FE46B2" w:rsidR="00F63B7D" w:rsidRDefault="00F63B7D" w:rsidP="00F63B7D">
      <w:pPr>
        <w:spacing w:line="264" w:lineRule="auto"/>
        <w:rPr>
          <w:rFonts w:ascii="Times New Roman" w:hAnsi="Times New Roman" w:cs="Times New Roman"/>
          <w:sz w:val="25"/>
          <w:szCs w:val="25"/>
        </w:rPr>
      </w:pPr>
      <w:r>
        <w:rPr>
          <w:rFonts w:ascii="Times New Roman" w:hAnsi="Times New Roman" w:cs="Times New Roman"/>
          <w:sz w:val="25"/>
          <w:szCs w:val="25"/>
        </w:rPr>
        <w:t xml:space="preserve">On </w:t>
      </w:r>
      <w:r w:rsidR="008940AA">
        <w:rPr>
          <w:rFonts w:ascii="Times New Roman" w:hAnsi="Times New Roman" w:cs="Times New Roman"/>
          <w:sz w:val="25"/>
          <w:szCs w:val="25"/>
        </w:rPr>
        <w:t xml:space="preserve">August </w:t>
      </w:r>
      <w:r w:rsidR="00D66E6F">
        <w:rPr>
          <w:rFonts w:ascii="Times New Roman" w:hAnsi="Times New Roman" w:cs="Times New Roman"/>
          <w:sz w:val="25"/>
          <w:szCs w:val="25"/>
        </w:rPr>
        <w:t>7</w:t>
      </w:r>
      <w:r w:rsidR="008940AA">
        <w:rPr>
          <w:rFonts w:ascii="Times New Roman" w:hAnsi="Times New Roman" w:cs="Times New Roman"/>
          <w:sz w:val="25"/>
          <w:szCs w:val="25"/>
        </w:rPr>
        <w:t>, 2014, the Washington Utilities and Transportation Commission (Commission) issued and served Penalty Assessment TV-1309</w:t>
      </w:r>
      <w:r w:rsidR="00D66E6F">
        <w:rPr>
          <w:rFonts w:ascii="Times New Roman" w:hAnsi="Times New Roman" w:cs="Times New Roman"/>
          <w:sz w:val="25"/>
          <w:szCs w:val="25"/>
        </w:rPr>
        <w:t>79</w:t>
      </w:r>
      <w:r w:rsidR="008940AA">
        <w:rPr>
          <w:rFonts w:ascii="Times New Roman" w:hAnsi="Times New Roman" w:cs="Times New Roman"/>
          <w:sz w:val="25"/>
          <w:szCs w:val="25"/>
        </w:rPr>
        <w:t xml:space="preserve"> against </w:t>
      </w:r>
      <w:r w:rsidR="00D66E6F">
        <w:rPr>
          <w:rFonts w:ascii="Times New Roman" w:hAnsi="Times New Roman" w:cs="Times New Roman"/>
          <w:sz w:val="25"/>
          <w:szCs w:val="25"/>
        </w:rPr>
        <w:t>Irvington Transfer &amp; Storage Co.</w:t>
      </w:r>
      <w:r w:rsidR="008940AA">
        <w:rPr>
          <w:rFonts w:ascii="Times New Roman" w:hAnsi="Times New Roman" w:cs="Times New Roman"/>
          <w:sz w:val="25"/>
          <w:szCs w:val="25"/>
        </w:rPr>
        <w:t xml:space="preserve"> (</w:t>
      </w:r>
      <w:r w:rsidR="00D66E6F">
        <w:rPr>
          <w:rFonts w:ascii="Times New Roman" w:hAnsi="Times New Roman" w:cs="Times New Roman"/>
          <w:sz w:val="25"/>
          <w:szCs w:val="25"/>
        </w:rPr>
        <w:t>Irvington Transfer</w:t>
      </w:r>
      <w:r w:rsidR="008940AA">
        <w:rPr>
          <w:rFonts w:ascii="Times New Roman" w:hAnsi="Times New Roman" w:cs="Times New Roman"/>
          <w:sz w:val="25"/>
          <w:szCs w:val="25"/>
        </w:rPr>
        <w:t xml:space="preserve"> or Company) in the amount of $</w:t>
      </w:r>
      <w:r w:rsidR="00E277E4">
        <w:rPr>
          <w:rFonts w:ascii="Times New Roman" w:hAnsi="Times New Roman" w:cs="Times New Roman"/>
          <w:sz w:val="25"/>
          <w:szCs w:val="25"/>
        </w:rPr>
        <w:t>325</w:t>
      </w:r>
      <w:r w:rsidR="008940AA">
        <w:rPr>
          <w:rFonts w:ascii="Times New Roman" w:hAnsi="Times New Roman" w:cs="Times New Roman"/>
          <w:sz w:val="25"/>
          <w:szCs w:val="25"/>
        </w:rPr>
        <w:t>, alleging a violation of WAC 480-15-480, which requires permitted household goods companies to file annual reports with the Commission by May 1 each year and pay regulatory fees annually on that date.</w:t>
      </w:r>
    </w:p>
    <w:p w14:paraId="6ABC832E" w14:textId="77777777" w:rsidR="008940AA" w:rsidRDefault="008940AA" w:rsidP="00F63B7D">
      <w:pPr>
        <w:spacing w:line="264" w:lineRule="auto"/>
        <w:rPr>
          <w:rFonts w:ascii="Times New Roman" w:hAnsi="Times New Roman" w:cs="Times New Roman"/>
          <w:sz w:val="25"/>
          <w:szCs w:val="25"/>
        </w:rPr>
      </w:pPr>
    </w:p>
    <w:p w14:paraId="5D015C71" w14:textId="057619CE" w:rsidR="008940AA" w:rsidRDefault="008940AA" w:rsidP="00F63B7D">
      <w:pPr>
        <w:spacing w:line="264" w:lineRule="auto"/>
        <w:rPr>
          <w:rFonts w:ascii="Times New Roman" w:hAnsi="Times New Roman" w:cs="Times New Roman"/>
          <w:sz w:val="25"/>
          <w:szCs w:val="25"/>
        </w:rPr>
      </w:pPr>
      <w:r>
        <w:rPr>
          <w:rFonts w:ascii="Times New Roman" w:hAnsi="Times New Roman" w:cs="Times New Roman"/>
          <w:sz w:val="25"/>
          <w:szCs w:val="25"/>
        </w:rPr>
        <w:t xml:space="preserve">On August </w:t>
      </w:r>
      <w:r w:rsidR="00D66E6F">
        <w:rPr>
          <w:rFonts w:ascii="Times New Roman" w:hAnsi="Times New Roman" w:cs="Times New Roman"/>
          <w:sz w:val="25"/>
          <w:szCs w:val="25"/>
        </w:rPr>
        <w:t>21</w:t>
      </w:r>
      <w:r>
        <w:rPr>
          <w:rFonts w:ascii="Times New Roman" w:hAnsi="Times New Roman" w:cs="Times New Roman"/>
          <w:sz w:val="25"/>
          <w:szCs w:val="25"/>
        </w:rPr>
        <w:t xml:space="preserve">, 2014, </w:t>
      </w:r>
      <w:r w:rsidR="00E277E4">
        <w:rPr>
          <w:rFonts w:ascii="Times New Roman" w:hAnsi="Times New Roman" w:cs="Times New Roman"/>
          <w:sz w:val="25"/>
          <w:szCs w:val="25"/>
        </w:rPr>
        <w:t>Irvington Transfer</w:t>
      </w:r>
      <w:r>
        <w:rPr>
          <w:rFonts w:ascii="Times New Roman" w:hAnsi="Times New Roman" w:cs="Times New Roman"/>
          <w:sz w:val="25"/>
          <w:szCs w:val="25"/>
        </w:rPr>
        <w:t xml:space="preserve"> filed with the Commission a request for mitigation on the form provided by the Commission.  </w:t>
      </w:r>
      <w:r w:rsidR="00E277E4">
        <w:rPr>
          <w:rFonts w:ascii="Times New Roman" w:hAnsi="Times New Roman" w:cs="Times New Roman"/>
          <w:sz w:val="25"/>
          <w:szCs w:val="25"/>
        </w:rPr>
        <w:t>Irvington Transfer</w:t>
      </w:r>
      <w:r>
        <w:rPr>
          <w:rFonts w:ascii="Times New Roman" w:hAnsi="Times New Roman" w:cs="Times New Roman"/>
          <w:sz w:val="25"/>
          <w:szCs w:val="25"/>
        </w:rPr>
        <w:t xml:space="preserve"> checked the box on that form indicating that the Company admits that one or more of the violations occurred for which penalties were assessed and that it believes that the penalty should be reduced.</w:t>
      </w:r>
    </w:p>
    <w:p w14:paraId="18444800" w14:textId="77777777" w:rsidR="008940AA" w:rsidRDefault="008940AA" w:rsidP="00F63B7D">
      <w:pPr>
        <w:spacing w:line="264" w:lineRule="auto"/>
        <w:rPr>
          <w:rFonts w:ascii="Times New Roman" w:hAnsi="Times New Roman" w:cs="Times New Roman"/>
          <w:sz w:val="25"/>
          <w:szCs w:val="25"/>
        </w:rPr>
      </w:pPr>
    </w:p>
    <w:p w14:paraId="0E8ADF86" w14:textId="23E62DCC" w:rsidR="00F63B7D" w:rsidRDefault="003120CF" w:rsidP="00F63B7D">
      <w:pPr>
        <w:spacing w:line="264" w:lineRule="auto"/>
        <w:rPr>
          <w:rFonts w:ascii="Times New Roman" w:hAnsi="Times New Roman" w:cs="Times New Roman"/>
          <w:sz w:val="25"/>
          <w:szCs w:val="25"/>
        </w:rPr>
      </w:pPr>
      <w:r>
        <w:rPr>
          <w:rFonts w:ascii="Times New Roman" w:hAnsi="Times New Roman" w:cs="Times New Roman"/>
          <w:sz w:val="25"/>
          <w:szCs w:val="25"/>
        </w:rPr>
        <w:t xml:space="preserve">On September 11, 2013, the Commission received </w:t>
      </w:r>
      <w:r w:rsidR="00C36418">
        <w:rPr>
          <w:rFonts w:ascii="Times New Roman" w:hAnsi="Times New Roman" w:cs="Times New Roman"/>
          <w:sz w:val="25"/>
          <w:szCs w:val="25"/>
        </w:rPr>
        <w:t xml:space="preserve">the Company’s </w:t>
      </w:r>
      <w:r w:rsidR="00374E1F">
        <w:rPr>
          <w:rFonts w:ascii="Times New Roman" w:hAnsi="Times New Roman" w:cs="Times New Roman"/>
          <w:sz w:val="25"/>
          <w:szCs w:val="25"/>
        </w:rPr>
        <w:t xml:space="preserve">payment in </w:t>
      </w:r>
      <w:r w:rsidR="00734433">
        <w:rPr>
          <w:rFonts w:ascii="Times New Roman" w:hAnsi="Times New Roman" w:cs="Times New Roman"/>
          <w:sz w:val="25"/>
          <w:szCs w:val="25"/>
        </w:rPr>
        <w:t xml:space="preserve">full </w:t>
      </w:r>
      <w:r w:rsidR="00374E1F">
        <w:rPr>
          <w:rFonts w:ascii="Times New Roman" w:hAnsi="Times New Roman" w:cs="Times New Roman"/>
          <w:sz w:val="25"/>
          <w:szCs w:val="25"/>
        </w:rPr>
        <w:t xml:space="preserve">of the assessed </w:t>
      </w:r>
      <w:r w:rsidR="00734433">
        <w:rPr>
          <w:rFonts w:ascii="Times New Roman" w:hAnsi="Times New Roman" w:cs="Times New Roman"/>
          <w:sz w:val="25"/>
          <w:szCs w:val="25"/>
        </w:rPr>
        <w:t>penalty</w:t>
      </w:r>
      <w:r>
        <w:rPr>
          <w:rFonts w:ascii="Times New Roman" w:hAnsi="Times New Roman" w:cs="Times New Roman"/>
          <w:sz w:val="25"/>
          <w:szCs w:val="25"/>
        </w:rPr>
        <w:t xml:space="preserve">.  </w:t>
      </w:r>
      <w:r w:rsidR="00D94956">
        <w:rPr>
          <w:rFonts w:ascii="Times New Roman" w:hAnsi="Times New Roman" w:cs="Times New Roman"/>
          <w:sz w:val="25"/>
          <w:szCs w:val="25"/>
        </w:rPr>
        <w:t xml:space="preserve">The </w:t>
      </w:r>
      <w:r w:rsidR="005B6960">
        <w:rPr>
          <w:rFonts w:ascii="Times New Roman" w:hAnsi="Times New Roman" w:cs="Times New Roman"/>
          <w:sz w:val="25"/>
          <w:szCs w:val="25"/>
        </w:rPr>
        <w:t>Commission interpret</w:t>
      </w:r>
      <w:r w:rsidR="00374E1F">
        <w:rPr>
          <w:rFonts w:ascii="Times New Roman" w:hAnsi="Times New Roman" w:cs="Times New Roman"/>
          <w:sz w:val="25"/>
          <w:szCs w:val="25"/>
        </w:rPr>
        <w:t>s</w:t>
      </w:r>
      <w:r w:rsidR="00B654C4">
        <w:rPr>
          <w:rFonts w:ascii="Times New Roman" w:hAnsi="Times New Roman" w:cs="Times New Roman"/>
          <w:sz w:val="25"/>
          <w:szCs w:val="25"/>
        </w:rPr>
        <w:t xml:space="preserve"> </w:t>
      </w:r>
      <w:r w:rsidR="007F337E">
        <w:rPr>
          <w:rFonts w:ascii="Times New Roman" w:hAnsi="Times New Roman" w:cs="Times New Roman"/>
          <w:sz w:val="25"/>
          <w:szCs w:val="25"/>
        </w:rPr>
        <w:t xml:space="preserve">this payment </w:t>
      </w:r>
      <w:r w:rsidR="00374E1F">
        <w:rPr>
          <w:rFonts w:ascii="Times New Roman" w:hAnsi="Times New Roman" w:cs="Times New Roman"/>
          <w:sz w:val="25"/>
          <w:szCs w:val="25"/>
        </w:rPr>
        <w:t>as an indication</w:t>
      </w:r>
      <w:r w:rsidR="005B6960">
        <w:rPr>
          <w:rFonts w:ascii="Times New Roman" w:hAnsi="Times New Roman" w:cs="Times New Roman"/>
          <w:sz w:val="25"/>
          <w:szCs w:val="25"/>
        </w:rPr>
        <w:t xml:space="preserve"> that the Company </w:t>
      </w:r>
      <w:r w:rsidR="00374E1F">
        <w:rPr>
          <w:rFonts w:ascii="Times New Roman" w:hAnsi="Times New Roman" w:cs="Times New Roman"/>
          <w:sz w:val="25"/>
          <w:szCs w:val="25"/>
        </w:rPr>
        <w:t>is no longer requesting</w:t>
      </w:r>
      <w:r w:rsidR="005B6960">
        <w:rPr>
          <w:rFonts w:ascii="Times New Roman" w:hAnsi="Times New Roman" w:cs="Times New Roman"/>
          <w:sz w:val="25"/>
          <w:szCs w:val="25"/>
        </w:rPr>
        <w:t xml:space="preserve"> mitigation</w:t>
      </w:r>
      <w:r w:rsidR="007F337E">
        <w:rPr>
          <w:rFonts w:ascii="Times New Roman" w:hAnsi="Times New Roman" w:cs="Times New Roman"/>
          <w:sz w:val="25"/>
          <w:szCs w:val="25"/>
        </w:rPr>
        <w:t xml:space="preserve"> </w:t>
      </w:r>
      <w:r w:rsidR="00374E1F">
        <w:rPr>
          <w:rFonts w:ascii="Times New Roman" w:hAnsi="Times New Roman" w:cs="Times New Roman"/>
          <w:sz w:val="25"/>
          <w:szCs w:val="25"/>
        </w:rPr>
        <w:t>of the penalty</w:t>
      </w:r>
      <w:r w:rsidR="005B6960">
        <w:rPr>
          <w:rFonts w:ascii="Times New Roman" w:hAnsi="Times New Roman" w:cs="Times New Roman"/>
          <w:sz w:val="25"/>
          <w:szCs w:val="25"/>
        </w:rPr>
        <w:t>.  If the Commission’s interpretation is incorrect</w:t>
      </w:r>
      <w:r w:rsidR="00374E1F">
        <w:rPr>
          <w:rFonts w:ascii="Times New Roman" w:hAnsi="Times New Roman" w:cs="Times New Roman"/>
          <w:sz w:val="25"/>
          <w:szCs w:val="25"/>
        </w:rPr>
        <w:t>,</w:t>
      </w:r>
      <w:r w:rsidR="005B6960">
        <w:rPr>
          <w:rFonts w:ascii="Times New Roman" w:hAnsi="Times New Roman" w:cs="Times New Roman"/>
          <w:sz w:val="25"/>
          <w:szCs w:val="25"/>
        </w:rPr>
        <w:t xml:space="preserve"> </w:t>
      </w:r>
      <w:r w:rsidR="00E277E4">
        <w:rPr>
          <w:rFonts w:ascii="Times New Roman" w:hAnsi="Times New Roman" w:cs="Times New Roman"/>
          <w:sz w:val="25"/>
          <w:szCs w:val="25"/>
        </w:rPr>
        <w:t>Irvington Transfer</w:t>
      </w:r>
      <w:r w:rsidR="00533393">
        <w:rPr>
          <w:rFonts w:ascii="Times New Roman" w:hAnsi="Times New Roman" w:cs="Times New Roman"/>
          <w:sz w:val="25"/>
          <w:szCs w:val="25"/>
        </w:rPr>
        <w:t xml:space="preserve"> </w:t>
      </w:r>
      <w:r w:rsidR="00374E1F">
        <w:rPr>
          <w:rFonts w:ascii="Times New Roman" w:hAnsi="Times New Roman" w:cs="Times New Roman"/>
          <w:sz w:val="25"/>
          <w:szCs w:val="25"/>
        </w:rPr>
        <w:t xml:space="preserve">must notify the Commission by </w:t>
      </w:r>
      <w:r w:rsidR="00374E1F" w:rsidRPr="00DF596F">
        <w:rPr>
          <w:rFonts w:ascii="Times New Roman" w:hAnsi="Times New Roman" w:cs="Times New Roman"/>
          <w:b/>
          <w:sz w:val="25"/>
          <w:szCs w:val="25"/>
        </w:rPr>
        <w:t>5:00 p.m., on Friday, April 25, 2014</w:t>
      </w:r>
      <w:r w:rsidR="00374E1F">
        <w:rPr>
          <w:rFonts w:ascii="Times New Roman" w:hAnsi="Times New Roman" w:cs="Times New Roman"/>
          <w:sz w:val="25"/>
          <w:szCs w:val="25"/>
        </w:rPr>
        <w:t xml:space="preserve">, that the Company </w:t>
      </w:r>
      <w:r w:rsidR="005B6960">
        <w:rPr>
          <w:rFonts w:ascii="Times New Roman" w:hAnsi="Times New Roman" w:cs="Times New Roman"/>
          <w:sz w:val="25"/>
          <w:szCs w:val="25"/>
        </w:rPr>
        <w:t xml:space="preserve">still </w:t>
      </w:r>
      <w:r w:rsidR="00533393">
        <w:rPr>
          <w:rFonts w:ascii="Times New Roman" w:hAnsi="Times New Roman" w:cs="Times New Roman"/>
          <w:sz w:val="25"/>
          <w:szCs w:val="25"/>
        </w:rPr>
        <w:t>wishes to pursue its request for mitigation.</w:t>
      </w:r>
      <w:r w:rsidR="00D9299F">
        <w:rPr>
          <w:rFonts w:ascii="Times New Roman" w:hAnsi="Times New Roman" w:cs="Times New Roman"/>
          <w:sz w:val="25"/>
          <w:szCs w:val="25"/>
        </w:rPr>
        <w:t xml:space="preserve"> </w:t>
      </w:r>
      <w:r w:rsidR="005B6960">
        <w:rPr>
          <w:rFonts w:ascii="Times New Roman" w:hAnsi="Times New Roman" w:cs="Times New Roman"/>
          <w:sz w:val="25"/>
          <w:szCs w:val="25"/>
        </w:rPr>
        <w:t xml:space="preserve"> If the Commission does not receive </w:t>
      </w:r>
      <w:r w:rsidR="00374E1F">
        <w:rPr>
          <w:rFonts w:ascii="Times New Roman" w:hAnsi="Times New Roman" w:cs="Times New Roman"/>
          <w:sz w:val="25"/>
          <w:szCs w:val="25"/>
        </w:rPr>
        <w:t xml:space="preserve">such </w:t>
      </w:r>
      <w:r w:rsidR="005B6960">
        <w:rPr>
          <w:rFonts w:ascii="Times New Roman" w:hAnsi="Times New Roman" w:cs="Times New Roman"/>
          <w:sz w:val="25"/>
          <w:szCs w:val="25"/>
        </w:rPr>
        <w:t xml:space="preserve">a </w:t>
      </w:r>
      <w:r w:rsidR="00374E1F">
        <w:rPr>
          <w:rFonts w:ascii="Times New Roman" w:hAnsi="Times New Roman" w:cs="Times New Roman"/>
          <w:sz w:val="25"/>
          <w:szCs w:val="25"/>
        </w:rPr>
        <w:t>notification</w:t>
      </w:r>
      <w:r w:rsidR="005B6960">
        <w:rPr>
          <w:rFonts w:ascii="Times New Roman" w:hAnsi="Times New Roman" w:cs="Times New Roman"/>
          <w:sz w:val="25"/>
          <w:szCs w:val="25"/>
        </w:rPr>
        <w:t xml:space="preserve"> from </w:t>
      </w:r>
      <w:r w:rsidR="00E277E4">
        <w:rPr>
          <w:rFonts w:ascii="Times New Roman" w:hAnsi="Times New Roman" w:cs="Times New Roman"/>
          <w:sz w:val="25"/>
          <w:szCs w:val="25"/>
        </w:rPr>
        <w:t>Irvington Transfer</w:t>
      </w:r>
      <w:r w:rsidR="005B6960">
        <w:rPr>
          <w:rFonts w:ascii="Times New Roman" w:hAnsi="Times New Roman" w:cs="Times New Roman"/>
          <w:sz w:val="25"/>
          <w:szCs w:val="25"/>
        </w:rPr>
        <w:t xml:space="preserve"> by </w:t>
      </w:r>
      <w:r w:rsidR="007F337E">
        <w:rPr>
          <w:rFonts w:ascii="Times New Roman" w:hAnsi="Times New Roman" w:cs="Times New Roman"/>
          <w:sz w:val="25"/>
          <w:szCs w:val="25"/>
        </w:rPr>
        <w:t>the April 2</w:t>
      </w:r>
      <w:r w:rsidR="00B654C4">
        <w:rPr>
          <w:rFonts w:ascii="Times New Roman" w:hAnsi="Times New Roman" w:cs="Times New Roman"/>
          <w:sz w:val="25"/>
          <w:szCs w:val="25"/>
        </w:rPr>
        <w:t>5</w:t>
      </w:r>
      <w:r w:rsidR="007F337E">
        <w:rPr>
          <w:rFonts w:ascii="Times New Roman" w:hAnsi="Times New Roman" w:cs="Times New Roman"/>
          <w:sz w:val="25"/>
          <w:szCs w:val="25"/>
        </w:rPr>
        <w:t xml:space="preserve"> deadline</w:t>
      </w:r>
      <w:r w:rsidR="005B6960">
        <w:rPr>
          <w:rFonts w:ascii="Times New Roman" w:hAnsi="Times New Roman" w:cs="Times New Roman"/>
          <w:sz w:val="25"/>
          <w:szCs w:val="25"/>
        </w:rPr>
        <w:t xml:space="preserve">, the Commission will </w:t>
      </w:r>
      <w:r w:rsidR="00374E1F">
        <w:rPr>
          <w:rFonts w:ascii="Times New Roman" w:hAnsi="Times New Roman" w:cs="Times New Roman"/>
          <w:sz w:val="25"/>
          <w:szCs w:val="25"/>
        </w:rPr>
        <w:t xml:space="preserve">close </w:t>
      </w:r>
      <w:r w:rsidR="007F337E">
        <w:rPr>
          <w:rFonts w:ascii="Times New Roman" w:hAnsi="Times New Roman" w:cs="Times New Roman"/>
          <w:sz w:val="25"/>
          <w:szCs w:val="25"/>
        </w:rPr>
        <w:t>this docket</w:t>
      </w:r>
      <w:r w:rsidR="005B6960">
        <w:rPr>
          <w:rFonts w:ascii="Times New Roman" w:hAnsi="Times New Roman" w:cs="Times New Roman"/>
          <w:sz w:val="25"/>
          <w:szCs w:val="25"/>
        </w:rPr>
        <w:t>.</w:t>
      </w:r>
      <w:r w:rsidR="00E93B42">
        <w:rPr>
          <w:rFonts w:ascii="Times New Roman" w:hAnsi="Times New Roman" w:cs="Times New Roman"/>
          <w:sz w:val="25"/>
          <w:szCs w:val="25"/>
        </w:rPr>
        <w:t xml:space="preserve"> </w:t>
      </w:r>
    </w:p>
    <w:p w14:paraId="00ADE203" w14:textId="77777777" w:rsidR="00F63B7D" w:rsidRDefault="00F63B7D" w:rsidP="00F63B7D">
      <w:pPr>
        <w:spacing w:line="264" w:lineRule="auto"/>
        <w:rPr>
          <w:rFonts w:ascii="Times New Roman" w:hAnsi="Times New Roman" w:cs="Times New Roman"/>
          <w:sz w:val="25"/>
          <w:szCs w:val="25"/>
        </w:rPr>
      </w:pPr>
    </w:p>
    <w:p w14:paraId="29C447C3" w14:textId="77777777" w:rsidR="00E93B42" w:rsidRDefault="00E93B42" w:rsidP="00F63B7D">
      <w:pPr>
        <w:spacing w:line="264" w:lineRule="auto"/>
        <w:rPr>
          <w:rFonts w:ascii="Times New Roman" w:hAnsi="Times New Roman" w:cs="Times New Roman"/>
          <w:sz w:val="25"/>
          <w:szCs w:val="25"/>
        </w:rPr>
      </w:pPr>
    </w:p>
    <w:p w14:paraId="6A01BFEE" w14:textId="77777777" w:rsidR="00E93B42" w:rsidRDefault="00E93B42" w:rsidP="00F63B7D">
      <w:pPr>
        <w:spacing w:line="264" w:lineRule="auto"/>
        <w:rPr>
          <w:rFonts w:ascii="Times New Roman" w:hAnsi="Times New Roman" w:cs="Times New Roman"/>
          <w:sz w:val="25"/>
          <w:szCs w:val="25"/>
        </w:rPr>
      </w:pPr>
    </w:p>
    <w:p w14:paraId="602D0CBA" w14:textId="77777777" w:rsidR="00E93B42" w:rsidRDefault="00E93B42" w:rsidP="00F63B7D">
      <w:pPr>
        <w:spacing w:line="264" w:lineRule="auto"/>
        <w:rPr>
          <w:rFonts w:ascii="Times New Roman" w:hAnsi="Times New Roman" w:cs="Times New Roman"/>
          <w:sz w:val="25"/>
          <w:szCs w:val="25"/>
        </w:rPr>
      </w:pPr>
      <w:r>
        <w:rPr>
          <w:rFonts w:ascii="Times New Roman" w:hAnsi="Times New Roman" w:cs="Times New Roman"/>
          <w:sz w:val="25"/>
          <w:szCs w:val="25"/>
        </w:rPr>
        <w:t>GREGORY J. KOPTA</w:t>
      </w:r>
    </w:p>
    <w:p w14:paraId="3DB20DA7" w14:textId="1EC8A43F" w:rsidR="003120CF" w:rsidRPr="00F63B7D" w:rsidRDefault="00E93B42" w:rsidP="00F63B7D">
      <w:pPr>
        <w:spacing w:line="264" w:lineRule="auto"/>
        <w:rPr>
          <w:rFonts w:ascii="Times New Roman" w:hAnsi="Times New Roman" w:cs="Times New Roman"/>
          <w:sz w:val="25"/>
          <w:szCs w:val="25"/>
        </w:rPr>
      </w:pPr>
      <w:r>
        <w:rPr>
          <w:rFonts w:ascii="Times New Roman" w:hAnsi="Times New Roman" w:cs="Times New Roman"/>
          <w:sz w:val="25"/>
          <w:szCs w:val="25"/>
        </w:rPr>
        <w:lastRenderedPageBreak/>
        <w:t>Director, Administrative Law Division</w:t>
      </w:r>
    </w:p>
    <w:sectPr w:rsidR="003120CF" w:rsidRPr="00F63B7D" w:rsidSect="00F63B7D">
      <w:headerReference w:type="default" r:id="rId8"/>
      <w:pgSz w:w="12240" w:h="15840" w:code="1"/>
      <w:pgMar w:top="72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42D7E" w14:textId="77777777" w:rsidR="00FD344F" w:rsidRDefault="00FD344F" w:rsidP="00FD344F">
      <w:r>
        <w:separator/>
      </w:r>
    </w:p>
  </w:endnote>
  <w:endnote w:type="continuationSeparator" w:id="0">
    <w:p w14:paraId="7F82503F" w14:textId="77777777" w:rsidR="00FD344F" w:rsidRDefault="00FD344F" w:rsidP="00FD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DE466" w14:textId="77777777" w:rsidR="00FD344F" w:rsidRDefault="00FD344F" w:rsidP="00FD344F">
      <w:r>
        <w:separator/>
      </w:r>
    </w:p>
  </w:footnote>
  <w:footnote w:type="continuationSeparator" w:id="0">
    <w:p w14:paraId="176B738D" w14:textId="77777777" w:rsidR="00FD344F" w:rsidRDefault="00FD344F" w:rsidP="00FD3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F6A81" w14:textId="42EC4190" w:rsidR="00FD344F" w:rsidRPr="00FD344F" w:rsidRDefault="00FD344F" w:rsidP="00FD344F">
    <w:pPr>
      <w:pStyle w:val="Header"/>
      <w:tabs>
        <w:tab w:val="clear" w:pos="4680"/>
        <w:tab w:val="clear" w:pos="9360"/>
        <w:tab w:val="right" w:pos="8730"/>
      </w:tabs>
      <w:rPr>
        <w:rFonts w:ascii="Times New Roman" w:hAnsi="Times New Roman" w:cs="Times New Roman"/>
        <w:b/>
        <w:sz w:val="20"/>
        <w:szCs w:val="20"/>
      </w:rPr>
    </w:pPr>
    <w:r>
      <w:tab/>
    </w:r>
    <w:r w:rsidRPr="00FD344F">
      <w:rPr>
        <w:rFonts w:ascii="Times New Roman" w:hAnsi="Times New Roman" w:cs="Times New Roman"/>
        <w:b/>
        <w:sz w:val="20"/>
        <w:szCs w:val="20"/>
      </w:rPr>
      <w:t>[Service Date April 14,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B7D"/>
    <w:rsid w:val="000E640C"/>
    <w:rsid w:val="001C5AB1"/>
    <w:rsid w:val="001E1D7A"/>
    <w:rsid w:val="002C039A"/>
    <w:rsid w:val="003120CF"/>
    <w:rsid w:val="00374E1F"/>
    <w:rsid w:val="00533393"/>
    <w:rsid w:val="00552600"/>
    <w:rsid w:val="005A6C74"/>
    <w:rsid w:val="005B6960"/>
    <w:rsid w:val="00672F7B"/>
    <w:rsid w:val="006A41EE"/>
    <w:rsid w:val="00734433"/>
    <w:rsid w:val="007F337E"/>
    <w:rsid w:val="008940AA"/>
    <w:rsid w:val="00A84C2A"/>
    <w:rsid w:val="00AD3312"/>
    <w:rsid w:val="00AE273E"/>
    <w:rsid w:val="00B13041"/>
    <w:rsid w:val="00B573E7"/>
    <w:rsid w:val="00B5790A"/>
    <w:rsid w:val="00B654C4"/>
    <w:rsid w:val="00C36418"/>
    <w:rsid w:val="00D66E6F"/>
    <w:rsid w:val="00D9299F"/>
    <w:rsid w:val="00D94956"/>
    <w:rsid w:val="00D9787B"/>
    <w:rsid w:val="00DA1B86"/>
    <w:rsid w:val="00DD2A47"/>
    <w:rsid w:val="00DF596F"/>
    <w:rsid w:val="00E277E4"/>
    <w:rsid w:val="00E93B42"/>
    <w:rsid w:val="00F21B68"/>
    <w:rsid w:val="00F63B7D"/>
    <w:rsid w:val="00FD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8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63B7D"/>
    <w:rPr>
      <w:rFonts w:ascii="Calibri" w:eastAsia="Calibri" w:hAnsi="Calibri" w:cs="Times New Roman"/>
    </w:rPr>
  </w:style>
  <w:style w:type="paragraph" w:styleId="BalloonText">
    <w:name w:val="Balloon Text"/>
    <w:basedOn w:val="Normal"/>
    <w:link w:val="BalloonTextChar"/>
    <w:uiPriority w:val="99"/>
    <w:semiHidden/>
    <w:unhideWhenUsed/>
    <w:rsid w:val="00374E1F"/>
    <w:rPr>
      <w:rFonts w:ascii="Tahoma" w:hAnsi="Tahoma" w:cs="Tahoma"/>
      <w:sz w:val="16"/>
      <w:szCs w:val="16"/>
    </w:rPr>
  </w:style>
  <w:style w:type="character" w:customStyle="1" w:styleId="BalloonTextChar">
    <w:name w:val="Balloon Text Char"/>
    <w:basedOn w:val="DefaultParagraphFont"/>
    <w:link w:val="BalloonText"/>
    <w:uiPriority w:val="99"/>
    <w:semiHidden/>
    <w:rsid w:val="00374E1F"/>
    <w:rPr>
      <w:rFonts w:ascii="Tahoma" w:hAnsi="Tahoma" w:cs="Tahoma"/>
      <w:sz w:val="16"/>
      <w:szCs w:val="16"/>
    </w:rPr>
  </w:style>
  <w:style w:type="paragraph" w:styleId="Header">
    <w:name w:val="header"/>
    <w:basedOn w:val="Normal"/>
    <w:link w:val="HeaderChar"/>
    <w:uiPriority w:val="99"/>
    <w:unhideWhenUsed/>
    <w:rsid w:val="00FD344F"/>
    <w:pPr>
      <w:tabs>
        <w:tab w:val="center" w:pos="4680"/>
        <w:tab w:val="right" w:pos="9360"/>
      </w:tabs>
    </w:pPr>
  </w:style>
  <w:style w:type="character" w:customStyle="1" w:styleId="HeaderChar">
    <w:name w:val="Header Char"/>
    <w:basedOn w:val="DefaultParagraphFont"/>
    <w:link w:val="Header"/>
    <w:uiPriority w:val="99"/>
    <w:rsid w:val="00FD344F"/>
  </w:style>
  <w:style w:type="paragraph" w:styleId="Footer">
    <w:name w:val="footer"/>
    <w:basedOn w:val="Normal"/>
    <w:link w:val="FooterChar"/>
    <w:uiPriority w:val="99"/>
    <w:unhideWhenUsed/>
    <w:rsid w:val="00FD344F"/>
    <w:pPr>
      <w:tabs>
        <w:tab w:val="center" w:pos="4680"/>
        <w:tab w:val="right" w:pos="9360"/>
      </w:tabs>
    </w:pPr>
  </w:style>
  <w:style w:type="character" w:customStyle="1" w:styleId="FooterChar">
    <w:name w:val="Footer Char"/>
    <w:basedOn w:val="DefaultParagraphFont"/>
    <w:link w:val="Footer"/>
    <w:uiPriority w:val="99"/>
    <w:rsid w:val="00FD3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63B7D"/>
    <w:rPr>
      <w:rFonts w:ascii="Calibri" w:eastAsia="Calibri" w:hAnsi="Calibri" w:cs="Times New Roman"/>
    </w:rPr>
  </w:style>
  <w:style w:type="paragraph" w:styleId="BalloonText">
    <w:name w:val="Balloon Text"/>
    <w:basedOn w:val="Normal"/>
    <w:link w:val="BalloonTextChar"/>
    <w:uiPriority w:val="99"/>
    <w:semiHidden/>
    <w:unhideWhenUsed/>
    <w:rsid w:val="00374E1F"/>
    <w:rPr>
      <w:rFonts w:ascii="Tahoma" w:hAnsi="Tahoma" w:cs="Tahoma"/>
      <w:sz w:val="16"/>
      <w:szCs w:val="16"/>
    </w:rPr>
  </w:style>
  <w:style w:type="character" w:customStyle="1" w:styleId="BalloonTextChar">
    <w:name w:val="Balloon Text Char"/>
    <w:basedOn w:val="DefaultParagraphFont"/>
    <w:link w:val="BalloonText"/>
    <w:uiPriority w:val="99"/>
    <w:semiHidden/>
    <w:rsid w:val="00374E1F"/>
    <w:rPr>
      <w:rFonts w:ascii="Tahoma" w:hAnsi="Tahoma" w:cs="Tahoma"/>
      <w:sz w:val="16"/>
      <w:szCs w:val="16"/>
    </w:rPr>
  </w:style>
  <w:style w:type="paragraph" w:styleId="Header">
    <w:name w:val="header"/>
    <w:basedOn w:val="Normal"/>
    <w:link w:val="HeaderChar"/>
    <w:uiPriority w:val="99"/>
    <w:unhideWhenUsed/>
    <w:rsid w:val="00FD344F"/>
    <w:pPr>
      <w:tabs>
        <w:tab w:val="center" w:pos="4680"/>
        <w:tab w:val="right" w:pos="9360"/>
      </w:tabs>
    </w:pPr>
  </w:style>
  <w:style w:type="character" w:customStyle="1" w:styleId="HeaderChar">
    <w:name w:val="Header Char"/>
    <w:basedOn w:val="DefaultParagraphFont"/>
    <w:link w:val="Header"/>
    <w:uiPriority w:val="99"/>
    <w:rsid w:val="00FD344F"/>
  </w:style>
  <w:style w:type="paragraph" w:styleId="Footer">
    <w:name w:val="footer"/>
    <w:basedOn w:val="Normal"/>
    <w:link w:val="FooterChar"/>
    <w:uiPriority w:val="99"/>
    <w:unhideWhenUsed/>
    <w:rsid w:val="00FD344F"/>
    <w:pPr>
      <w:tabs>
        <w:tab w:val="center" w:pos="4680"/>
        <w:tab w:val="right" w:pos="9360"/>
      </w:tabs>
    </w:pPr>
  </w:style>
  <w:style w:type="character" w:customStyle="1" w:styleId="FooterChar">
    <w:name w:val="Footer Char"/>
    <w:basedOn w:val="DefaultParagraphFont"/>
    <w:link w:val="Footer"/>
    <w:uiPriority w:val="99"/>
    <w:rsid w:val="00FD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D610297F15F54DB23A55879FFD0782" ma:contentTypeVersion="127" ma:contentTypeDescription="" ma:contentTypeScope="" ma:versionID="63463ae7abbb4c70d9acac50c75bdd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2014-04-14T07:00:00+00:00</Date1>
    <IsDocumentOrder xmlns="dc463f71-b30c-4ab2-9473-d307f9d35888" xsi:nil="true"/>
    <IsHighlyConfidential xmlns="dc463f71-b30c-4ab2-9473-d307f9d35888">false</IsHighlyConfidential>
    <CaseCompanyNames xmlns="dc463f71-b30c-4ab2-9473-d307f9d35888">IRVINGTON TRANSFER &amp; STORAGE CO.</CaseCompanyNames>
    <DocketNumber xmlns="dc463f71-b30c-4ab2-9473-d307f9d35888">130979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E387E97-E7D2-4820-ADD9-4586F4531E82}"/>
</file>

<file path=customXml/itemProps2.xml><?xml version="1.0" encoding="utf-8"?>
<ds:datastoreItem xmlns:ds="http://schemas.openxmlformats.org/officeDocument/2006/customXml" ds:itemID="{5B99EC03-E887-4125-877B-7ECB43CE3025}"/>
</file>

<file path=customXml/itemProps3.xml><?xml version="1.0" encoding="utf-8"?>
<ds:datastoreItem xmlns:ds="http://schemas.openxmlformats.org/officeDocument/2006/customXml" ds:itemID="{7D6898AA-A494-43A8-9651-7451D30D3863}"/>
</file>

<file path=customXml/itemProps4.xml><?xml version="1.0" encoding="utf-8"?>
<ds:datastoreItem xmlns:ds="http://schemas.openxmlformats.org/officeDocument/2006/customXml" ds:itemID="{E249ED2A-7567-40F4-ABD5-8864E22E062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2014-04-14T16:56:00Z</dcterms:created>
  <dcterms:modified xsi:type="dcterms:W3CDTF">2014-04-14T16:56:00Z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0x0101006E56B4D1795A2E4DB2F0B01679ED314A0036D610297F15F54DB23A55879FFD0782</vt:lpwstr>
  </property>
  <property fmtid="{D5CDD505-2E9C-101B-9397-08002B2CF9AE}" pid="3" name="_docset_NoMedatataSyncRequired">
    <vt:lpwstr>False</vt:lpwstr>
  </property>
</Properties>
</file>