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7ED8F" w14:textId="272DAC87" w:rsidR="00046A19" w:rsidRDefault="00046A19" w:rsidP="00046A19">
      <w:bookmarkStart w:id="0" w:name="_GoBack"/>
      <w:bookmarkEnd w:id="0"/>
      <w:r w:rsidRPr="00EB4CE3">
        <w:t xml:space="preserve">Agenda Date: </w:t>
      </w:r>
      <w:r w:rsidRPr="00EB4CE3">
        <w:tab/>
      </w:r>
      <w:r w:rsidRPr="00EB4CE3">
        <w:tab/>
      </w:r>
      <w:r w:rsidR="007E2FCB">
        <w:t>October</w:t>
      </w:r>
      <w:r w:rsidR="000B6B1A">
        <w:t xml:space="preserve"> </w:t>
      </w:r>
      <w:r w:rsidR="007E2FCB">
        <w:t>11</w:t>
      </w:r>
      <w:r w:rsidRPr="00EB4CE3">
        <w:t xml:space="preserve">, </w:t>
      </w:r>
      <w:r w:rsidR="007E2FCB">
        <w:t>2012</w:t>
      </w:r>
      <w:r>
        <w:tab/>
      </w:r>
      <w:r>
        <w:tab/>
      </w:r>
    </w:p>
    <w:p w14:paraId="6707ED90" w14:textId="186F56EA" w:rsidR="00046A19" w:rsidRDefault="00046A19" w:rsidP="00046A19">
      <w:r w:rsidRPr="00EB4CE3">
        <w:t>Item Number:</w:t>
      </w:r>
      <w:r w:rsidRPr="00EB4CE3">
        <w:tab/>
      </w:r>
      <w:r w:rsidRPr="00EB4CE3">
        <w:tab/>
      </w:r>
      <w:r w:rsidR="007E2FCB">
        <w:t>A</w:t>
      </w:r>
      <w:r w:rsidR="00564807">
        <w:t>1</w:t>
      </w:r>
    </w:p>
    <w:p w14:paraId="6707ED91" w14:textId="77777777" w:rsidR="000B6B1A" w:rsidRPr="00EB4CE3" w:rsidRDefault="000B6B1A" w:rsidP="00046A19"/>
    <w:p w14:paraId="6707ED92" w14:textId="27CFBC0D" w:rsidR="00046A19" w:rsidRPr="00EB4CE3" w:rsidRDefault="00046A19" w:rsidP="00046A19">
      <w:r w:rsidRPr="00EB4CE3">
        <w:t xml:space="preserve">Docket: </w:t>
      </w:r>
      <w:r w:rsidRPr="00EB4CE3">
        <w:tab/>
      </w:r>
      <w:r w:rsidRPr="00EB4CE3">
        <w:tab/>
        <w:t>UW-</w:t>
      </w:r>
      <w:r w:rsidR="000F032E">
        <w:t>121523</w:t>
      </w:r>
    </w:p>
    <w:p w14:paraId="6707ED93" w14:textId="57AB7612" w:rsidR="00046A19" w:rsidRPr="00EB4CE3" w:rsidRDefault="00046A19" w:rsidP="00046A19">
      <w:r w:rsidRPr="00EB4CE3">
        <w:t>Company Name:</w:t>
      </w:r>
      <w:r w:rsidRPr="00EB4CE3">
        <w:tab/>
      </w:r>
      <w:r w:rsidR="000F032E">
        <w:t>Scenic Shores Water Company</w:t>
      </w:r>
    </w:p>
    <w:p w14:paraId="6707ED94" w14:textId="77777777" w:rsidR="00046A19" w:rsidRPr="00EB4CE3" w:rsidRDefault="00046A19" w:rsidP="00046A19"/>
    <w:p w14:paraId="6707ED95" w14:textId="52F873E4" w:rsidR="00046A19" w:rsidRDefault="00046A19" w:rsidP="00046A19">
      <w:r>
        <w:t xml:space="preserve">Staff: </w:t>
      </w:r>
      <w:r>
        <w:tab/>
      </w:r>
      <w:r>
        <w:tab/>
      </w:r>
      <w:r>
        <w:tab/>
      </w:r>
      <w:r w:rsidR="000F032E">
        <w:t>Jim Ward</w:t>
      </w:r>
      <w:r w:rsidRPr="00EB4CE3">
        <w:t>, Regulatory Analyst</w:t>
      </w:r>
    </w:p>
    <w:p w14:paraId="2082C4ED" w14:textId="3C3107E7" w:rsidR="000F032E" w:rsidRDefault="000F032E" w:rsidP="00046A19">
      <w:r>
        <w:tab/>
      </w:r>
      <w:r>
        <w:tab/>
      </w:r>
      <w:r>
        <w:tab/>
        <w:t>Melissa Cheesman, Regulatory Analyst</w:t>
      </w:r>
    </w:p>
    <w:p w14:paraId="6707ED96" w14:textId="77777777" w:rsidR="00046A19" w:rsidRPr="00EB4CE3" w:rsidRDefault="00B14F10" w:rsidP="00046A19">
      <w:pPr>
        <w:ind w:left="1440" w:firstLine="720"/>
      </w:pPr>
      <w:r>
        <w:t>Pam Smith</w:t>
      </w:r>
      <w:r w:rsidR="00046A19" w:rsidRPr="00EB4CE3">
        <w:t>, Consumer Protection Staff</w:t>
      </w:r>
    </w:p>
    <w:p w14:paraId="6707ED97" w14:textId="77777777" w:rsidR="00046A19" w:rsidRPr="00EB4CE3" w:rsidRDefault="00046A19" w:rsidP="00046A19"/>
    <w:p w14:paraId="6707ED98" w14:textId="77777777" w:rsidR="00046A19" w:rsidRPr="00935AF2" w:rsidRDefault="00046A19" w:rsidP="000F032E">
      <w:pPr>
        <w:rPr>
          <w:b/>
          <w:u w:val="single"/>
        </w:rPr>
      </w:pPr>
      <w:r w:rsidRPr="00935AF2">
        <w:rPr>
          <w:b/>
          <w:u w:val="single"/>
        </w:rPr>
        <w:t>Recommendation</w:t>
      </w:r>
    </w:p>
    <w:p w14:paraId="6707ED99" w14:textId="77777777" w:rsidR="00046A19" w:rsidRDefault="00046A19" w:rsidP="000F032E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6707ED9A" w14:textId="0E593D82" w:rsidR="00046A19" w:rsidRDefault="000B6B1A" w:rsidP="000F032E">
      <w:pPr>
        <w:widowControl w:val="0"/>
        <w:autoSpaceDE w:val="0"/>
        <w:autoSpaceDN w:val="0"/>
        <w:adjustRightInd w:val="0"/>
        <w:rPr>
          <w:color w:val="000000"/>
          <w:lang w:bidi="ar-SA"/>
        </w:rPr>
      </w:pPr>
      <w:r w:rsidRPr="000B6B1A">
        <w:rPr>
          <w:color w:val="000000"/>
          <w:lang w:bidi="ar-SA"/>
        </w:rPr>
        <w:t xml:space="preserve">Issue a Complaint and Order </w:t>
      </w:r>
      <w:r>
        <w:rPr>
          <w:color w:val="000000"/>
          <w:lang w:bidi="ar-SA"/>
        </w:rPr>
        <w:t>Suspending the tariff revision</w:t>
      </w:r>
      <w:r w:rsidR="0001140F">
        <w:rPr>
          <w:color w:val="000000"/>
          <w:lang w:bidi="ar-SA"/>
        </w:rPr>
        <w:t>s</w:t>
      </w:r>
      <w:r>
        <w:rPr>
          <w:color w:val="000000"/>
          <w:lang w:bidi="ar-SA"/>
        </w:rPr>
        <w:t xml:space="preserve"> filed by </w:t>
      </w:r>
      <w:r w:rsidR="000F032E">
        <w:t>Scenic Shores Water Company</w:t>
      </w:r>
      <w:r>
        <w:rPr>
          <w:color w:val="000000"/>
          <w:lang w:bidi="ar-SA"/>
        </w:rPr>
        <w:t xml:space="preserve"> on </w:t>
      </w:r>
      <w:r w:rsidR="00003188">
        <w:rPr>
          <w:color w:val="000000"/>
          <w:lang w:bidi="ar-SA"/>
        </w:rPr>
        <w:t>September 17</w:t>
      </w:r>
      <w:r>
        <w:rPr>
          <w:color w:val="000000"/>
          <w:lang w:bidi="ar-SA"/>
        </w:rPr>
        <w:t>, 201</w:t>
      </w:r>
      <w:r w:rsidR="00003188">
        <w:rPr>
          <w:color w:val="000000"/>
          <w:lang w:bidi="ar-SA"/>
        </w:rPr>
        <w:t>2</w:t>
      </w:r>
      <w:r>
        <w:rPr>
          <w:color w:val="000000"/>
          <w:lang w:bidi="ar-SA"/>
        </w:rPr>
        <w:t xml:space="preserve">. </w:t>
      </w:r>
    </w:p>
    <w:p w14:paraId="6707ED9B" w14:textId="77777777" w:rsidR="000B6B1A" w:rsidRPr="000B6B1A" w:rsidRDefault="000B6B1A" w:rsidP="000F032E">
      <w:pPr>
        <w:widowControl w:val="0"/>
        <w:autoSpaceDE w:val="0"/>
        <w:autoSpaceDN w:val="0"/>
        <w:adjustRightInd w:val="0"/>
        <w:rPr>
          <w:color w:val="000000"/>
          <w:lang w:bidi="ar-SA"/>
        </w:rPr>
      </w:pPr>
    </w:p>
    <w:p w14:paraId="6707ED9C" w14:textId="2A2673D9" w:rsidR="00046A19" w:rsidRPr="00935AF2" w:rsidRDefault="00046A19" w:rsidP="000F032E">
      <w:pPr>
        <w:rPr>
          <w:b/>
          <w:u w:val="single"/>
        </w:rPr>
      </w:pPr>
      <w:r w:rsidRPr="00935AF2">
        <w:rPr>
          <w:b/>
          <w:u w:val="single"/>
        </w:rPr>
        <w:t>Discussion</w:t>
      </w:r>
    </w:p>
    <w:p w14:paraId="76AD25D1" w14:textId="77777777" w:rsidR="00D157A4" w:rsidRPr="000F032E" w:rsidRDefault="00D157A4" w:rsidP="000F032E">
      <w:pPr>
        <w:rPr>
          <w:rFonts w:eastAsia="Times New Roman"/>
          <w:lang w:bidi="ar-SA"/>
        </w:rPr>
      </w:pPr>
    </w:p>
    <w:p w14:paraId="6E75E4A8" w14:textId="148C2C48" w:rsidR="006C71E3" w:rsidRPr="000F032E" w:rsidRDefault="00046A19" w:rsidP="000F032E">
      <w:pPr>
        <w:rPr>
          <w:rFonts w:eastAsia="Times New Roman"/>
          <w:lang w:bidi="ar-SA"/>
        </w:rPr>
      </w:pPr>
      <w:r w:rsidRPr="000F032E">
        <w:rPr>
          <w:rFonts w:eastAsia="Times New Roman"/>
          <w:lang w:bidi="ar-SA"/>
        </w:rPr>
        <w:t xml:space="preserve">On </w:t>
      </w:r>
      <w:r w:rsidR="000F032E" w:rsidRPr="000F032E">
        <w:rPr>
          <w:rFonts w:eastAsia="Times New Roman"/>
          <w:lang w:bidi="ar-SA"/>
        </w:rPr>
        <w:t>September 17, 2012, Scenic Shores Water Company (Scenic Shores or company) filed with the Utilities and Transportation Commission (commission) tariff revisions that would generate $8,341 (33 percent) additional annual revenue. The company is a homeowners</w:t>
      </w:r>
      <w:r w:rsidR="004558FB">
        <w:rPr>
          <w:rFonts w:eastAsia="Times New Roman"/>
          <w:lang w:bidi="ar-SA"/>
        </w:rPr>
        <w:t>’</w:t>
      </w:r>
      <w:r w:rsidR="000F032E" w:rsidRPr="000F032E">
        <w:rPr>
          <w:rFonts w:eastAsia="Times New Roman"/>
          <w:lang w:bidi="ar-SA"/>
        </w:rPr>
        <w:t xml:space="preserve"> association</w:t>
      </w:r>
      <w:r w:rsidR="004558FB">
        <w:rPr>
          <w:rFonts w:eastAsia="Times New Roman"/>
          <w:lang w:bidi="ar-SA"/>
        </w:rPr>
        <w:t xml:space="preserve"> that </w:t>
      </w:r>
      <w:r w:rsidR="000F032E" w:rsidRPr="000F032E">
        <w:rPr>
          <w:rFonts w:eastAsia="Times New Roman"/>
          <w:lang w:bidi="ar-SA"/>
        </w:rPr>
        <w:t>operat</w:t>
      </w:r>
      <w:r w:rsidR="004558FB">
        <w:rPr>
          <w:rFonts w:eastAsia="Times New Roman"/>
          <w:lang w:bidi="ar-SA"/>
        </w:rPr>
        <w:t>es a</w:t>
      </w:r>
      <w:r w:rsidR="000F032E" w:rsidRPr="000F032E">
        <w:rPr>
          <w:rFonts w:eastAsia="Times New Roman"/>
          <w:lang w:bidi="ar-SA"/>
        </w:rPr>
        <w:t xml:space="preserve"> water system </w:t>
      </w:r>
      <w:r w:rsidR="004558FB" w:rsidRPr="000F032E">
        <w:rPr>
          <w:rFonts w:eastAsia="Times New Roman"/>
          <w:lang w:bidi="ar-SA"/>
        </w:rPr>
        <w:t>on Lake Lawrence near Yelm in Thurston County</w:t>
      </w:r>
      <w:r w:rsidR="004558FB">
        <w:rPr>
          <w:rFonts w:eastAsia="Times New Roman"/>
          <w:lang w:bidi="ar-SA"/>
        </w:rPr>
        <w:t>. The company</w:t>
      </w:r>
      <w:r w:rsidR="004558FB" w:rsidRPr="000F032E">
        <w:rPr>
          <w:rFonts w:eastAsia="Times New Roman"/>
          <w:lang w:bidi="ar-SA"/>
        </w:rPr>
        <w:t xml:space="preserve"> </w:t>
      </w:r>
      <w:r w:rsidR="000F032E" w:rsidRPr="000F032E">
        <w:rPr>
          <w:rFonts w:eastAsia="Times New Roman"/>
          <w:lang w:bidi="ar-SA"/>
        </w:rPr>
        <w:t>provides non-regulated service to 201 members and regulated service to 35 non-member</w:t>
      </w:r>
      <w:r w:rsidR="004558FB">
        <w:rPr>
          <w:rFonts w:eastAsia="Times New Roman"/>
          <w:lang w:bidi="ar-SA"/>
        </w:rPr>
        <w:t>s</w:t>
      </w:r>
      <w:r w:rsidR="000F032E" w:rsidRPr="000F032E">
        <w:rPr>
          <w:rFonts w:eastAsia="Times New Roman"/>
          <w:lang w:bidi="ar-SA"/>
        </w:rPr>
        <w:t xml:space="preserve">. The proposed effective date is October 20, 2012. The company’s last rate increase was effective </w:t>
      </w:r>
      <w:r w:rsidR="004558FB">
        <w:rPr>
          <w:rFonts w:eastAsia="Times New Roman"/>
          <w:lang w:bidi="ar-SA"/>
        </w:rPr>
        <w:t>on</w:t>
      </w:r>
      <w:r w:rsidR="00750A48">
        <w:rPr>
          <w:rFonts w:eastAsia="Times New Roman"/>
          <w:lang w:bidi="ar-SA"/>
        </w:rPr>
        <w:t xml:space="preserve"> </w:t>
      </w:r>
      <w:r w:rsidR="000F032E" w:rsidRPr="000F032E">
        <w:rPr>
          <w:rFonts w:eastAsia="Times New Roman"/>
          <w:lang w:bidi="ar-SA"/>
        </w:rPr>
        <w:t>April 20, 2010.</w:t>
      </w:r>
    </w:p>
    <w:p w14:paraId="6707ED9F" w14:textId="77777777" w:rsidR="00046A19" w:rsidRPr="000F032E" w:rsidRDefault="00046A19" w:rsidP="000F032E">
      <w:pPr>
        <w:pStyle w:val="NoSpacing"/>
        <w:rPr>
          <w:rFonts w:eastAsia="Times New Roman"/>
          <w:szCs w:val="24"/>
          <w:lang w:bidi="ar-SA"/>
        </w:rPr>
      </w:pPr>
    </w:p>
    <w:p w14:paraId="6707EDA0" w14:textId="77777777" w:rsidR="00640061" w:rsidRDefault="00640061" w:rsidP="000F032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/>
          <w:b/>
          <w:u w:val="single"/>
          <w:lang w:bidi="ar-SA"/>
        </w:rPr>
      </w:pPr>
      <w:r w:rsidRPr="00A8749C">
        <w:rPr>
          <w:rFonts w:eastAsia="Times New Roman"/>
          <w:b/>
          <w:u w:val="single"/>
          <w:lang w:bidi="ar-SA"/>
        </w:rPr>
        <w:t xml:space="preserve">Customer Comments </w:t>
      </w:r>
    </w:p>
    <w:p w14:paraId="5D8875B1" w14:textId="77777777" w:rsidR="00281C1D" w:rsidRDefault="00281C1D" w:rsidP="00281C1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049AA3E" w14:textId="7E999707" w:rsidR="00281C1D" w:rsidRPr="00E20CCF" w:rsidRDefault="00281C1D" w:rsidP="00281C1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20CCF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September 15</w:t>
      </w:r>
      <w:r w:rsidRPr="00E20C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2012, </w:t>
      </w:r>
      <w:r w:rsidRPr="00E20CCF">
        <w:rPr>
          <w:rFonts w:ascii="Times New Roman" w:hAnsi="Times New Roman"/>
          <w:sz w:val="24"/>
          <w:szCs w:val="24"/>
        </w:rPr>
        <w:t xml:space="preserve">the company notified its customers of the proposed rate increase by mail. </w:t>
      </w:r>
      <w:r>
        <w:rPr>
          <w:rFonts w:ascii="Times New Roman" w:hAnsi="Times New Roman"/>
          <w:sz w:val="24"/>
          <w:szCs w:val="24"/>
        </w:rPr>
        <w:t>Two</w:t>
      </w:r>
      <w:r w:rsidRPr="00E20CCF">
        <w:rPr>
          <w:rFonts w:ascii="Times New Roman" w:hAnsi="Times New Roman"/>
          <w:sz w:val="24"/>
          <w:szCs w:val="24"/>
        </w:rPr>
        <w:t xml:space="preserve"> comme</w:t>
      </w:r>
      <w:r>
        <w:rPr>
          <w:rFonts w:ascii="Times New Roman" w:hAnsi="Times New Roman"/>
          <w:sz w:val="24"/>
          <w:szCs w:val="24"/>
        </w:rPr>
        <w:t xml:space="preserve">nts have been received to date. Both </w:t>
      </w:r>
      <w:r w:rsidRPr="00E20CCF">
        <w:rPr>
          <w:rFonts w:ascii="Times New Roman" w:hAnsi="Times New Roman"/>
          <w:sz w:val="24"/>
          <w:szCs w:val="24"/>
        </w:rPr>
        <w:t xml:space="preserve">are opposed to the proposed </w:t>
      </w:r>
      <w:r>
        <w:rPr>
          <w:rFonts w:ascii="Times New Roman" w:hAnsi="Times New Roman"/>
          <w:sz w:val="24"/>
          <w:szCs w:val="24"/>
        </w:rPr>
        <w:t>rate increase</w:t>
      </w:r>
      <w:r w:rsidRPr="00E20C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</w:t>
      </w:r>
      <w:r w:rsidRPr="00E20CCF">
        <w:rPr>
          <w:rFonts w:ascii="Times New Roman" w:hAnsi="Times New Roman"/>
          <w:sz w:val="24"/>
          <w:szCs w:val="24"/>
        </w:rPr>
        <w:t xml:space="preserve">ustomers </w:t>
      </w:r>
      <w:r>
        <w:rPr>
          <w:rFonts w:ascii="Times New Roman" w:hAnsi="Times New Roman"/>
          <w:sz w:val="24"/>
          <w:szCs w:val="24"/>
        </w:rPr>
        <w:t>were</w:t>
      </w:r>
      <w:r w:rsidRPr="00E20CCF">
        <w:rPr>
          <w:rFonts w:ascii="Times New Roman" w:hAnsi="Times New Roman"/>
          <w:sz w:val="24"/>
          <w:szCs w:val="24"/>
        </w:rPr>
        <w:t xml:space="preserve"> notified that they may access documents </w:t>
      </w:r>
      <w:r>
        <w:rPr>
          <w:rFonts w:ascii="Times New Roman" w:hAnsi="Times New Roman"/>
          <w:sz w:val="24"/>
          <w:szCs w:val="24"/>
        </w:rPr>
        <w:t>about</w:t>
      </w:r>
      <w:r w:rsidRPr="00E20CCF">
        <w:rPr>
          <w:rFonts w:ascii="Times New Roman" w:hAnsi="Times New Roman"/>
          <w:sz w:val="24"/>
          <w:szCs w:val="24"/>
        </w:rPr>
        <w:t xml:space="preserve"> this case </w:t>
      </w:r>
      <w:r>
        <w:rPr>
          <w:rFonts w:ascii="Times New Roman" w:hAnsi="Times New Roman"/>
          <w:sz w:val="24"/>
          <w:szCs w:val="24"/>
        </w:rPr>
        <w:t>on the commission’s website</w:t>
      </w:r>
      <w:r w:rsidRPr="00E20CCF">
        <w:rPr>
          <w:rFonts w:ascii="Times New Roman" w:hAnsi="Times New Roman"/>
          <w:sz w:val="24"/>
          <w:szCs w:val="24"/>
        </w:rPr>
        <w:t xml:space="preserve">, and that they may contact </w:t>
      </w:r>
      <w:r>
        <w:rPr>
          <w:rFonts w:ascii="Times New Roman" w:hAnsi="Times New Roman"/>
          <w:sz w:val="24"/>
          <w:szCs w:val="24"/>
        </w:rPr>
        <w:t>John Cupp</w:t>
      </w:r>
      <w:r w:rsidRPr="00E20CCF">
        <w:rPr>
          <w:rFonts w:ascii="Times New Roman" w:hAnsi="Times New Roman"/>
          <w:sz w:val="24"/>
          <w:szCs w:val="24"/>
        </w:rPr>
        <w:t xml:space="preserve"> at 1-888-333-WUTC (9882) or </w:t>
      </w:r>
      <w:r>
        <w:rPr>
          <w:rFonts w:ascii="Times New Roman" w:hAnsi="Times New Roman"/>
          <w:sz w:val="24"/>
          <w:szCs w:val="24"/>
        </w:rPr>
        <w:t>jcupp@utc.wa.gov</w:t>
      </w:r>
      <w:r w:rsidRPr="00E20CCF">
        <w:rPr>
          <w:rFonts w:ascii="Times New Roman" w:hAnsi="Times New Roman"/>
          <w:sz w:val="24"/>
          <w:szCs w:val="24"/>
        </w:rPr>
        <w:t xml:space="preserve"> with questions or concerns.</w:t>
      </w:r>
    </w:p>
    <w:p w14:paraId="2514C851" w14:textId="77777777" w:rsidR="00281C1D" w:rsidRPr="00E20CCF" w:rsidRDefault="00281C1D" w:rsidP="00281C1D"/>
    <w:p w14:paraId="2955A352" w14:textId="77777777" w:rsidR="00281C1D" w:rsidRDefault="00281C1D" w:rsidP="00281C1D">
      <w:pPr>
        <w:rPr>
          <w:b/>
        </w:rPr>
      </w:pPr>
      <w:r>
        <w:rPr>
          <w:b/>
        </w:rPr>
        <w:t>Filing Documents and Methodology</w:t>
      </w:r>
    </w:p>
    <w:p w14:paraId="5567451F" w14:textId="77777777" w:rsidR="00281C1D" w:rsidRDefault="00281C1D" w:rsidP="00281C1D">
      <w:pPr>
        <w:numPr>
          <w:ilvl w:val="0"/>
          <w:numId w:val="5"/>
        </w:numPr>
      </w:pPr>
      <w:r>
        <w:t>Both of the customers who commented expressed their concerns about differences in how homeowners’ association members and non-members are treated. Their concerns include non-members paying more for water than members, and that members of the homeowners’ association are enjoying the benefit of a generator that non-members paid for.</w:t>
      </w:r>
    </w:p>
    <w:p w14:paraId="75D3A946" w14:textId="77777777" w:rsidR="00281C1D" w:rsidRDefault="00281C1D" w:rsidP="00281C1D"/>
    <w:p w14:paraId="5411DBAA" w14:textId="77777777" w:rsidR="00281C1D" w:rsidRDefault="00281C1D" w:rsidP="00281C1D">
      <w:pPr>
        <w:ind w:left="720"/>
        <w:rPr>
          <w:b/>
        </w:rPr>
      </w:pPr>
      <w:r>
        <w:rPr>
          <w:b/>
        </w:rPr>
        <w:t>Staff Response</w:t>
      </w:r>
    </w:p>
    <w:p w14:paraId="4C24DEB3" w14:textId="4E301731" w:rsidR="00281C1D" w:rsidRDefault="00281C1D" w:rsidP="00281C1D">
      <w:pPr>
        <w:ind w:left="720"/>
      </w:pPr>
      <w:r>
        <w:t>Staff is reviewing these issues as they analyze the company’s request.</w:t>
      </w:r>
    </w:p>
    <w:p w14:paraId="3D805FFB" w14:textId="77777777" w:rsidR="00281C1D" w:rsidRPr="004777BD" w:rsidRDefault="00281C1D" w:rsidP="00281C1D">
      <w:pPr>
        <w:ind w:left="720"/>
      </w:pPr>
    </w:p>
    <w:p w14:paraId="07CDA0A5" w14:textId="63C82EB8" w:rsidR="00BE1B5B" w:rsidRPr="00BF601A" w:rsidRDefault="00BE1B5B" w:rsidP="000F03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eastAsia="Times New Roman"/>
          <w:lang w:bidi="ar-SA"/>
        </w:rPr>
        <w:t xml:space="preserve">Using </w:t>
      </w:r>
      <w:r w:rsidR="0000617D" w:rsidRPr="0080117F">
        <w:rPr>
          <w:rFonts w:eastAsia="Times New Roman"/>
          <w:lang w:bidi="ar-SA"/>
        </w:rPr>
        <w:t xml:space="preserve">the calculated </w:t>
      </w:r>
      <w:r w:rsidR="0000617D">
        <w:rPr>
          <w:rFonts w:eastAsia="Times New Roman"/>
          <w:lang w:bidi="ar-SA"/>
        </w:rPr>
        <w:t xml:space="preserve">average usage for regulated customers of </w:t>
      </w:r>
      <w:r w:rsidR="00003188">
        <w:rPr>
          <w:rFonts w:eastAsia="Times New Roman"/>
          <w:lang w:bidi="ar-SA"/>
        </w:rPr>
        <w:t>95</w:t>
      </w:r>
      <w:r w:rsidR="008464A8">
        <w:rPr>
          <w:rFonts w:eastAsia="Times New Roman"/>
          <w:lang w:bidi="ar-SA"/>
        </w:rPr>
        <w:t>0</w:t>
      </w:r>
      <w:r w:rsidR="00640061" w:rsidRPr="0080117F">
        <w:rPr>
          <w:rFonts w:eastAsia="Times New Roman"/>
          <w:lang w:bidi="ar-SA"/>
        </w:rPr>
        <w:t xml:space="preserve"> cubic feet of water per month</w:t>
      </w:r>
      <w:r w:rsidR="00B759C1">
        <w:rPr>
          <w:rFonts w:eastAsia="Times New Roman"/>
          <w:lang w:bidi="ar-SA"/>
        </w:rPr>
        <w:t>,</w:t>
      </w:r>
      <w:r w:rsidR="00640061" w:rsidRPr="0080117F">
        <w:rPr>
          <w:rFonts w:eastAsia="Times New Roman"/>
          <w:lang w:bidi="ar-SA"/>
        </w:rPr>
        <w:t xml:space="preserve"> </w:t>
      </w:r>
      <w:r w:rsidR="0000617D">
        <w:rPr>
          <w:rFonts w:eastAsia="Times New Roman"/>
          <w:lang w:bidi="ar-SA"/>
        </w:rPr>
        <w:t xml:space="preserve">a customer </w:t>
      </w:r>
      <w:r w:rsidR="00640061" w:rsidRPr="009553EB">
        <w:rPr>
          <w:rFonts w:eastAsia="Times New Roman"/>
          <w:lang w:bidi="ar-SA"/>
        </w:rPr>
        <w:t>would pay $</w:t>
      </w:r>
      <w:r w:rsidR="006075AF">
        <w:rPr>
          <w:rFonts w:eastAsia="Times New Roman"/>
          <w:lang w:bidi="ar-SA"/>
        </w:rPr>
        <w:t>9.68</w:t>
      </w:r>
      <w:r w:rsidR="00640061" w:rsidRPr="009553EB">
        <w:rPr>
          <w:rFonts w:eastAsia="Times New Roman"/>
          <w:lang w:bidi="ar-SA"/>
        </w:rPr>
        <w:t xml:space="preserve"> (</w:t>
      </w:r>
      <w:r w:rsidR="00006D5A" w:rsidRPr="009553EB">
        <w:rPr>
          <w:rFonts w:eastAsia="Times New Roman"/>
          <w:lang w:bidi="ar-SA"/>
        </w:rPr>
        <w:t>1</w:t>
      </w:r>
      <w:r w:rsidR="006075AF">
        <w:rPr>
          <w:rFonts w:eastAsia="Times New Roman"/>
          <w:lang w:bidi="ar-SA"/>
        </w:rPr>
        <w:t>8.8</w:t>
      </w:r>
      <w:r w:rsidR="00640061" w:rsidRPr="009553EB">
        <w:rPr>
          <w:rFonts w:eastAsia="Times New Roman"/>
          <w:lang w:bidi="ar-SA"/>
        </w:rPr>
        <w:t xml:space="preserve"> percent)</w:t>
      </w:r>
      <w:r w:rsidR="00640061" w:rsidRPr="0080117F">
        <w:rPr>
          <w:rFonts w:eastAsia="Times New Roman"/>
          <w:lang w:bidi="ar-SA"/>
        </w:rPr>
        <w:t xml:space="preserve"> more </w:t>
      </w:r>
      <w:r w:rsidR="00640061">
        <w:rPr>
          <w:rFonts w:eastAsia="Times New Roman"/>
          <w:lang w:bidi="ar-SA"/>
        </w:rPr>
        <w:t>than</w:t>
      </w:r>
      <w:r w:rsidR="00640061" w:rsidRPr="0080117F">
        <w:rPr>
          <w:rFonts w:eastAsia="Times New Roman"/>
          <w:lang w:bidi="ar-SA"/>
        </w:rPr>
        <w:t xml:space="preserve"> the </w:t>
      </w:r>
      <w:r w:rsidR="00640061">
        <w:rPr>
          <w:rFonts w:eastAsia="Times New Roman"/>
          <w:lang w:bidi="ar-SA"/>
        </w:rPr>
        <w:t>current</w:t>
      </w:r>
      <w:r w:rsidR="00640061" w:rsidRPr="0080117F">
        <w:rPr>
          <w:rFonts w:eastAsia="Times New Roman"/>
          <w:lang w:bidi="ar-SA"/>
        </w:rPr>
        <w:t xml:space="preserve"> rates (see “Average Bill Comparison” table below).</w:t>
      </w:r>
      <w:r w:rsidRPr="00BE1B5B">
        <w:t xml:space="preserve"> </w:t>
      </w:r>
      <w:r w:rsidR="00B759C1">
        <w:t xml:space="preserve">The company advised staff that it charges the full block one rate to </w:t>
      </w:r>
      <w:r w:rsidR="00B759C1">
        <w:lastRenderedPageBreak/>
        <w:t xml:space="preserve">every </w:t>
      </w:r>
      <w:r w:rsidR="006075AF">
        <w:t xml:space="preserve">customer </w:t>
      </w:r>
      <w:r w:rsidR="00B759C1">
        <w:t xml:space="preserve">that uses </w:t>
      </w:r>
      <w:r w:rsidR="00661169">
        <w:t>between 5 -</w:t>
      </w:r>
      <w:r w:rsidR="006075AF">
        <w:t xml:space="preserve"> 1,000 cubic feet. </w:t>
      </w:r>
      <w:r w:rsidRPr="006E4410">
        <w:t>Current</w:t>
      </w:r>
      <w:r w:rsidRPr="00BF601A">
        <w:t xml:space="preserve"> and proposed rates are shown below</w:t>
      </w:r>
      <w:r>
        <w:t xml:space="preserve"> for the general rate increase</w:t>
      </w:r>
      <w:r w:rsidRPr="00BF601A">
        <w:t>.</w:t>
      </w:r>
    </w:p>
    <w:p w14:paraId="6707EDBA" w14:textId="30DC810E" w:rsidR="00D157A4" w:rsidRDefault="00D157A4" w:rsidP="000F03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/>
          <w:lang w:bidi="ar-SA"/>
        </w:rPr>
      </w:pPr>
    </w:p>
    <w:p w14:paraId="6707EDBD" w14:textId="65F75F55" w:rsidR="00640061" w:rsidRDefault="00640061" w:rsidP="000F032E">
      <w:pPr>
        <w:spacing w:after="200"/>
        <w:jc w:val="center"/>
        <w:rPr>
          <w:b/>
          <w:u w:val="single"/>
        </w:rPr>
      </w:pPr>
      <w:r w:rsidRPr="00450175">
        <w:rPr>
          <w:b/>
          <w:u w:val="single"/>
        </w:rPr>
        <w:t>Rate Comparison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2461"/>
        <w:gridCol w:w="2967"/>
      </w:tblGrid>
      <w:tr w:rsidR="00640061" w:rsidRPr="009270B9" w14:paraId="6707EDC1" w14:textId="77777777" w:rsidTr="008975CC">
        <w:tc>
          <w:tcPr>
            <w:tcW w:w="2166" w:type="pct"/>
          </w:tcPr>
          <w:p w14:paraId="6707EDBE" w14:textId="32A2D7AC" w:rsidR="00640061" w:rsidRPr="009270B9" w:rsidRDefault="00640061" w:rsidP="000F032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Monthly Rate</w:t>
            </w:r>
          </w:p>
        </w:tc>
        <w:tc>
          <w:tcPr>
            <w:tcW w:w="1285" w:type="pct"/>
            <w:shd w:val="clear" w:color="auto" w:fill="F2F2F2" w:themeFill="background1" w:themeFillShade="F2"/>
            <w:vAlign w:val="center"/>
          </w:tcPr>
          <w:p w14:paraId="6707EDBF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Current Rate</w:t>
            </w:r>
          </w:p>
        </w:tc>
        <w:tc>
          <w:tcPr>
            <w:tcW w:w="1549" w:type="pct"/>
            <w:shd w:val="clear" w:color="auto" w:fill="F2F2F2" w:themeFill="background1" w:themeFillShade="F2"/>
          </w:tcPr>
          <w:p w14:paraId="6707EDC0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Proposed Rate</w:t>
            </w:r>
          </w:p>
        </w:tc>
      </w:tr>
      <w:tr w:rsidR="00BE627B" w:rsidRPr="009270B9" w14:paraId="6707EDC9" w14:textId="77777777" w:rsidTr="00B14F10">
        <w:tc>
          <w:tcPr>
            <w:tcW w:w="2166" w:type="pct"/>
          </w:tcPr>
          <w:p w14:paraId="6707EDC6" w14:textId="38180E0E" w:rsidR="00BE627B" w:rsidRPr="009270B9" w:rsidRDefault="00BE627B" w:rsidP="00AA323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Base Rate </w:t>
            </w:r>
            <w:r w:rsidR="006075AF">
              <w:rPr>
                <w:rFonts w:eastAsia="Times New Roman"/>
                <w:lang w:bidi="ar-SA"/>
              </w:rPr>
              <w:t>(1-inch)</w:t>
            </w:r>
          </w:p>
        </w:tc>
        <w:tc>
          <w:tcPr>
            <w:tcW w:w="1285" w:type="pct"/>
          </w:tcPr>
          <w:p w14:paraId="6707EDC7" w14:textId="4F3C500A" w:rsidR="00BE627B" w:rsidRPr="009270B9" w:rsidRDefault="00BE627B" w:rsidP="00AA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AA3232">
              <w:rPr>
                <w:rFonts w:eastAsia="Times New Roman"/>
                <w:lang w:bidi="ar-SA"/>
              </w:rPr>
              <w:t>4</w:t>
            </w:r>
            <w:r>
              <w:rPr>
                <w:rFonts w:eastAsia="Times New Roman"/>
                <w:lang w:bidi="ar-SA"/>
              </w:rPr>
              <w:t>2.</w:t>
            </w:r>
            <w:r w:rsidR="00AA3232">
              <w:rPr>
                <w:rFonts w:eastAsia="Times New Roman"/>
                <w:lang w:bidi="ar-SA"/>
              </w:rPr>
              <w:t>50</w:t>
            </w:r>
          </w:p>
        </w:tc>
        <w:tc>
          <w:tcPr>
            <w:tcW w:w="1549" w:type="pct"/>
          </w:tcPr>
          <w:p w14:paraId="6707EDC8" w14:textId="754CD61C" w:rsidR="00BE627B" w:rsidRPr="009270B9" w:rsidRDefault="00BE627B" w:rsidP="00AA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AA3232">
              <w:rPr>
                <w:rFonts w:eastAsia="Times New Roman"/>
                <w:lang w:bidi="ar-SA"/>
              </w:rPr>
              <w:t>46</w:t>
            </w:r>
            <w:r>
              <w:rPr>
                <w:rFonts w:eastAsia="Times New Roman"/>
                <w:lang w:bidi="ar-SA"/>
              </w:rPr>
              <w:t>.</w:t>
            </w:r>
            <w:r w:rsidR="00AA3232">
              <w:rPr>
                <w:rFonts w:eastAsia="Times New Roman"/>
                <w:lang w:bidi="ar-SA"/>
              </w:rPr>
              <w:t>75</w:t>
            </w:r>
          </w:p>
        </w:tc>
      </w:tr>
      <w:tr w:rsidR="00BE627B" w:rsidRPr="009270B9" w14:paraId="6707EDCD" w14:textId="77777777" w:rsidTr="00B14F10">
        <w:tc>
          <w:tcPr>
            <w:tcW w:w="2166" w:type="pct"/>
          </w:tcPr>
          <w:p w14:paraId="6707EDCA" w14:textId="40EF1CE2" w:rsidR="00BE627B" w:rsidRPr="009270B9" w:rsidRDefault="00BE627B" w:rsidP="00AA32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 xml:space="preserve">0 – </w:t>
            </w:r>
            <w:r w:rsidR="00AA3232">
              <w:rPr>
                <w:rFonts w:eastAsia="Times New Roman"/>
                <w:lang w:bidi="ar-SA"/>
              </w:rPr>
              <w:t>1,0</w:t>
            </w:r>
            <w:r w:rsidRPr="009270B9">
              <w:rPr>
                <w:rFonts w:eastAsia="Times New Roman"/>
                <w:lang w:bidi="ar-SA"/>
              </w:rPr>
              <w:t>00 Cubic Feet</w:t>
            </w:r>
            <w:r w:rsidR="00AA3232">
              <w:rPr>
                <w:rFonts w:eastAsia="Times New Roman"/>
                <w:lang w:bidi="ar-SA"/>
              </w:rPr>
              <w:t>*</w:t>
            </w:r>
          </w:p>
        </w:tc>
        <w:tc>
          <w:tcPr>
            <w:tcW w:w="1285" w:type="pct"/>
          </w:tcPr>
          <w:p w14:paraId="6707EDCB" w14:textId="2A6047BC" w:rsidR="00BE627B" w:rsidRPr="009270B9" w:rsidRDefault="00AA3232" w:rsidP="0018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$9</w:t>
            </w:r>
            <w:r w:rsidR="001811BA">
              <w:rPr>
                <w:rFonts w:eastAsia="Times New Roman"/>
                <w:lang w:bidi="ar-SA"/>
              </w:rPr>
              <w:t>.0</w:t>
            </w:r>
            <w:r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549" w:type="pct"/>
          </w:tcPr>
          <w:p w14:paraId="6707EDCC" w14:textId="5E31894C" w:rsidR="00BE627B" w:rsidRPr="009270B9" w:rsidRDefault="00BE627B" w:rsidP="0018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1811BA">
              <w:rPr>
                <w:rFonts w:eastAsia="Times New Roman"/>
                <w:lang w:bidi="ar-SA"/>
              </w:rPr>
              <w:t>1</w:t>
            </w:r>
            <w:r w:rsidR="00AA3232">
              <w:rPr>
                <w:rFonts w:eastAsia="Times New Roman"/>
                <w:lang w:bidi="ar-SA"/>
              </w:rPr>
              <w:t>1</w:t>
            </w:r>
            <w:r>
              <w:rPr>
                <w:rFonts w:eastAsia="Times New Roman"/>
                <w:lang w:bidi="ar-SA"/>
              </w:rPr>
              <w:t>.5</w:t>
            </w:r>
            <w:r w:rsidR="001811BA">
              <w:rPr>
                <w:rFonts w:eastAsia="Times New Roman"/>
                <w:lang w:bidi="ar-SA"/>
              </w:rPr>
              <w:t>0</w:t>
            </w:r>
          </w:p>
        </w:tc>
      </w:tr>
      <w:tr w:rsidR="00BE627B" w:rsidRPr="009270B9" w14:paraId="6707EDD1" w14:textId="77777777" w:rsidTr="00B14F10">
        <w:tc>
          <w:tcPr>
            <w:tcW w:w="2166" w:type="pct"/>
          </w:tcPr>
          <w:p w14:paraId="6707EDCE" w14:textId="12DF66DE" w:rsidR="00BE627B" w:rsidRPr="009270B9" w:rsidRDefault="00AA3232" w:rsidP="00AA32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Over</w:t>
            </w:r>
            <w:r w:rsidR="00BE627B" w:rsidRPr="009270B9">
              <w:rPr>
                <w:rFonts w:eastAsia="Times New Roman"/>
                <w:lang w:bidi="ar-SA"/>
              </w:rPr>
              <w:t xml:space="preserve"> </w:t>
            </w:r>
            <w:r>
              <w:rPr>
                <w:rFonts w:eastAsia="Times New Roman"/>
                <w:lang w:bidi="ar-SA"/>
              </w:rPr>
              <w:t>1</w:t>
            </w:r>
            <w:r w:rsidR="00BE627B">
              <w:rPr>
                <w:rFonts w:eastAsia="Times New Roman"/>
                <w:lang w:bidi="ar-SA"/>
              </w:rPr>
              <w:t>,0</w:t>
            </w:r>
            <w:r w:rsidR="00BE627B" w:rsidRPr="009270B9">
              <w:rPr>
                <w:rFonts w:eastAsia="Times New Roman"/>
                <w:lang w:bidi="ar-SA"/>
              </w:rPr>
              <w:t>00 Cubic Feet</w:t>
            </w:r>
            <w:r>
              <w:rPr>
                <w:rFonts w:eastAsia="Times New Roman"/>
                <w:lang w:bidi="ar-SA"/>
              </w:rPr>
              <w:t>*</w:t>
            </w:r>
            <w:r w:rsidR="001811BA">
              <w:rPr>
                <w:rFonts w:eastAsia="Times New Roman"/>
                <w:lang w:bidi="ar-SA"/>
              </w:rPr>
              <w:t>*</w:t>
            </w:r>
          </w:p>
        </w:tc>
        <w:tc>
          <w:tcPr>
            <w:tcW w:w="1285" w:type="pct"/>
          </w:tcPr>
          <w:p w14:paraId="6707EDCF" w14:textId="38215EC8" w:rsidR="00BE627B" w:rsidRPr="009270B9" w:rsidRDefault="00BE627B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$</w:t>
            </w:r>
            <w:r w:rsidR="00AA3232">
              <w:rPr>
                <w:rFonts w:eastAsia="Times New Roman"/>
                <w:lang w:bidi="ar-SA"/>
              </w:rPr>
              <w:t>2</w:t>
            </w:r>
            <w:r w:rsidRPr="009270B9">
              <w:rPr>
                <w:rFonts w:eastAsia="Times New Roman"/>
                <w:lang w:bidi="ar-SA"/>
              </w:rPr>
              <w:t>.</w:t>
            </w:r>
            <w:r w:rsidR="00AA3232">
              <w:rPr>
                <w:rFonts w:eastAsia="Times New Roman"/>
                <w:lang w:bidi="ar-SA"/>
              </w:rPr>
              <w:t>00</w:t>
            </w:r>
          </w:p>
        </w:tc>
        <w:tc>
          <w:tcPr>
            <w:tcW w:w="1549" w:type="pct"/>
          </w:tcPr>
          <w:p w14:paraId="6707EDD0" w14:textId="10B6A2F9" w:rsidR="00BE627B" w:rsidRPr="009270B9" w:rsidRDefault="00BE627B" w:rsidP="00AA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AA3232">
              <w:rPr>
                <w:rFonts w:eastAsia="Times New Roman"/>
                <w:lang w:bidi="ar-SA"/>
              </w:rPr>
              <w:t>2</w:t>
            </w:r>
            <w:r>
              <w:rPr>
                <w:rFonts w:eastAsia="Times New Roman"/>
                <w:lang w:bidi="ar-SA"/>
              </w:rPr>
              <w:t>.</w:t>
            </w:r>
            <w:r w:rsidR="00AA3232">
              <w:rPr>
                <w:rFonts w:eastAsia="Times New Roman"/>
                <w:lang w:bidi="ar-SA"/>
              </w:rPr>
              <w:t>8</w:t>
            </w:r>
            <w:r>
              <w:rPr>
                <w:rFonts w:eastAsia="Times New Roman"/>
                <w:lang w:bidi="ar-SA"/>
              </w:rPr>
              <w:t>0</w:t>
            </w:r>
          </w:p>
        </w:tc>
      </w:tr>
      <w:tr w:rsidR="00BE627B" w:rsidRPr="009270B9" w14:paraId="6707EDD5" w14:textId="77777777" w:rsidTr="00B14F10">
        <w:tc>
          <w:tcPr>
            <w:tcW w:w="2166" w:type="pct"/>
          </w:tcPr>
          <w:p w14:paraId="6707EDD2" w14:textId="37BCBBDF" w:rsidR="00BE627B" w:rsidRPr="009270B9" w:rsidRDefault="00AA3232" w:rsidP="00AA323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Public Utility Tax</w:t>
            </w:r>
          </w:p>
        </w:tc>
        <w:tc>
          <w:tcPr>
            <w:tcW w:w="1285" w:type="pct"/>
          </w:tcPr>
          <w:p w14:paraId="6707EDD3" w14:textId="76B10B1B" w:rsidR="00BE627B" w:rsidRPr="009270B9" w:rsidRDefault="00AA3232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NA</w:t>
            </w:r>
          </w:p>
        </w:tc>
        <w:tc>
          <w:tcPr>
            <w:tcW w:w="1549" w:type="pct"/>
          </w:tcPr>
          <w:p w14:paraId="6707EDD4" w14:textId="132D0395" w:rsidR="00BE627B" w:rsidRPr="009270B9" w:rsidRDefault="00AA3232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5.029%</w:t>
            </w:r>
          </w:p>
        </w:tc>
      </w:tr>
    </w:tbl>
    <w:p w14:paraId="7DD5F03F" w14:textId="4DE9A7FD" w:rsidR="001811BA" w:rsidRDefault="001811BA" w:rsidP="001811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*No proration, flat charge </w:t>
      </w:r>
      <w:r w:rsidR="00003188">
        <w:rPr>
          <w:rFonts w:eastAsia="Times New Roman"/>
          <w:sz w:val="20"/>
          <w:szCs w:val="20"/>
        </w:rPr>
        <w:t xml:space="preserve">for </w:t>
      </w:r>
      <w:r w:rsidR="006075AF">
        <w:rPr>
          <w:rFonts w:eastAsia="Times New Roman"/>
          <w:sz w:val="20"/>
          <w:szCs w:val="20"/>
        </w:rPr>
        <w:t>any</w:t>
      </w:r>
      <w:r>
        <w:rPr>
          <w:rFonts w:eastAsia="Times New Roman"/>
          <w:sz w:val="20"/>
          <w:szCs w:val="20"/>
        </w:rPr>
        <w:t xml:space="preserve"> water used.</w:t>
      </w:r>
    </w:p>
    <w:p w14:paraId="6707EE05" w14:textId="18EF691E" w:rsidR="00A46C58" w:rsidRPr="001811BA" w:rsidRDefault="001811BA" w:rsidP="001811BA">
      <w:pPr>
        <w:rPr>
          <w:rFonts w:eastAsia="Times New Roman"/>
          <w:sz w:val="20"/>
          <w:szCs w:val="20"/>
        </w:rPr>
      </w:pPr>
      <w:r w:rsidRPr="001811BA">
        <w:rPr>
          <w:rFonts w:eastAsia="Times New Roman"/>
          <w:sz w:val="20"/>
          <w:szCs w:val="20"/>
        </w:rPr>
        <w:t>**</w:t>
      </w:r>
      <w:r w:rsidR="00AA3232" w:rsidRPr="001811BA">
        <w:rPr>
          <w:rFonts w:eastAsia="Times New Roman"/>
          <w:sz w:val="20"/>
          <w:szCs w:val="20"/>
        </w:rPr>
        <w:t>Per 100 Cubic Feet</w:t>
      </w:r>
    </w:p>
    <w:p w14:paraId="79E4F8C2" w14:textId="77777777" w:rsidR="005D5F66" w:rsidRDefault="005D5F66" w:rsidP="000F032E">
      <w:pPr>
        <w:jc w:val="center"/>
        <w:rPr>
          <w:rFonts w:eastAsia="Times New Roman"/>
          <w:b/>
          <w:u w:val="single"/>
          <w:lang w:bidi="ar-SA"/>
        </w:rPr>
      </w:pPr>
    </w:p>
    <w:p w14:paraId="6707EE06" w14:textId="77777777" w:rsidR="00640061" w:rsidRPr="009270B9" w:rsidRDefault="00640061" w:rsidP="000F032E">
      <w:pPr>
        <w:jc w:val="center"/>
        <w:rPr>
          <w:rFonts w:eastAsia="Times New Roman"/>
          <w:b/>
          <w:u w:val="single"/>
          <w:lang w:bidi="ar-SA"/>
        </w:rPr>
      </w:pPr>
      <w:r w:rsidRPr="009270B9">
        <w:rPr>
          <w:rFonts w:eastAsia="Times New Roman"/>
          <w:b/>
          <w:u w:val="single"/>
          <w:lang w:bidi="ar-SA"/>
        </w:rPr>
        <w:t>Average Bill Comparison</w:t>
      </w:r>
    </w:p>
    <w:p w14:paraId="6707EE07" w14:textId="77777777" w:rsidR="00640061" w:rsidRPr="009270B9" w:rsidRDefault="00640061" w:rsidP="000F03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3"/>
        <w:gridCol w:w="2538"/>
        <w:gridCol w:w="2865"/>
      </w:tblGrid>
      <w:tr w:rsidR="00640061" w:rsidRPr="009270B9" w14:paraId="6707EE0E" w14:textId="77777777" w:rsidTr="006075AF">
        <w:tc>
          <w:tcPr>
            <w:tcW w:w="2179" w:type="pct"/>
          </w:tcPr>
          <w:p w14:paraId="6707EE08" w14:textId="3252D238" w:rsidR="00640061" w:rsidRPr="009270B9" w:rsidRDefault="00640061" w:rsidP="000F032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 xml:space="preserve">Average Monthly </w:t>
            </w:r>
            <w:r w:rsidR="009C1E52">
              <w:rPr>
                <w:rFonts w:eastAsia="Times New Roman"/>
                <w:b/>
                <w:lang w:bidi="ar-SA"/>
              </w:rPr>
              <w:t>Usage</w:t>
            </w:r>
          </w:p>
          <w:p w14:paraId="6707EE09" w14:textId="429B8CED" w:rsidR="00640061" w:rsidRPr="009270B9" w:rsidRDefault="00003188" w:rsidP="008464A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lang w:bidi="ar-SA"/>
              </w:rPr>
            </w:pPr>
            <w:r>
              <w:rPr>
                <w:rFonts w:eastAsia="Times New Roman"/>
                <w:b/>
                <w:lang w:bidi="ar-SA"/>
              </w:rPr>
              <w:t>95</w:t>
            </w:r>
            <w:r w:rsidR="008464A8">
              <w:rPr>
                <w:rFonts w:eastAsia="Times New Roman"/>
                <w:b/>
                <w:lang w:bidi="ar-SA"/>
              </w:rPr>
              <w:t>0</w:t>
            </w:r>
            <w:r w:rsidR="00640061" w:rsidRPr="009270B9">
              <w:rPr>
                <w:rFonts w:eastAsia="Times New Roman"/>
                <w:b/>
                <w:lang w:bidi="ar-SA"/>
              </w:rPr>
              <w:t xml:space="preserve"> </w:t>
            </w:r>
            <w:r w:rsidR="00D16EE4">
              <w:rPr>
                <w:rFonts w:eastAsia="Times New Roman"/>
                <w:b/>
                <w:lang w:bidi="ar-SA"/>
              </w:rPr>
              <w:t>C</w:t>
            </w:r>
            <w:r w:rsidR="00640061" w:rsidRPr="009270B9">
              <w:rPr>
                <w:rFonts w:eastAsia="Times New Roman"/>
                <w:b/>
                <w:lang w:bidi="ar-SA"/>
              </w:rPr>
              <w:t xml:space="preserve">ubic </w:t>
            </w:r>
            <w:r w:rsidR="00D16EE4">
              <w:rPr>
                <w:rFonts w:eastAsia="Times New Roman"/>
                <w:b/>
                <w:lang w:bidi="ar-SA"/>
              </w:rPr>
              <w:t>F</w:t>
            </w:r>
            <w:r w:rsidR="00640061" w:rsidRPr="009270B9">
              <w:rPr>
                <w:rFonts w:eastAsia="Times New Roman"/>
                <w:b/>
                <w:lang w:bidi="ar-SA"/>
              </w:rPr>
              <w:t>eet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6707EE0A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</w:p>
          <w:p w14:paraId="6707EE0B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Current Rate</w:t>
            </w:r>
          </w:p>
        </w:tc>
        <w:tc>
          <w:tcPr>
            <w:tcW w:w="1496" w:type="pct"/>
            <w:shd w:val="clear" w:color="auto" w:fill="F2F2F2" w:themeFill="background1" w:themeFillShade="F2"/>
          </w:tcPr>
          <w:p w14:paraId="6707EE0C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</w:p>
          <w:p w14:paraId="6707EE0D" w14:textId="77777777" w:rsidR="00640061" w:rsidRPr="009270B9" w:rsidRDefault="00640061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bidi="ar-SA"/>
              </w:rPr>
            </w:pPr>
            <w:r w:rsidRPr="009270B9">
              <w:rPr>
                <w:rFonts w:eastAsia="Times New Roman"/>
                <w:b/>
                <w:lang w:bidi="ar-SA"/>
              </w:rPr>
              <w:t>Proposed Rate</w:t>
            </w:r>
          </w:p>
        </w:tc>
      </w:tr>
      <w:tr w:rsidR="00B26B2D" w:rsidRPr="009270B9" w14:paraId="6707EE12" w14:textId="77777777" w:rsidTr="00B14F10">
        <w:tc>
          <w:tcPr>
            <w:tcW w:w="2179" w:type="pct"/>
          </w:tcPr>
          <w:p w14:paraId="6707EE0F" w14:textId="65928B7A" w:rsidR="00B26B2D" w:rsidRPr="009270B9" w:rsidRDefault="00B26B2D" w:rsidP="008975CC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Base Rate </w:t>
            </w:r>
            <w:r w:rsidR="006075AF">
              <w:rPr>
                <w:rFonts w:eastAsia="Times New Roman"/>
                <w:lang w:bidi="ar-SA"/>
              </w:rPr>
              <w:t>(1-inch)</w:t>
            </w:r>
          </w:p>
        </w:tc>
        <w:tc>
          <w:tcPr>
            <w:tcW w:w="1325" w:type="pct"/>
          </w:tcPr>
          <w:p w14:paraId="6707EE10" w14:textId="0540B334" w:rsidR="00B26B2D" w:rsidRPr="009270B9" w:rsidRDefault="009C1E52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$42.50</w:t>
            </w:r>
          </w:p>
        </w:tc>
        <w:tc>
          <w:tcPr>
            <w:tcW w:w="1496" w:type="pct"/>
          </w:tcPr>
          <w:p w14:paraId="6707EE11" w14:textId="4329C733" w:rsidR="00B26B2D" w:rsidRPr="009553EB" w:rsidRDefault="00B26B2D" w:rsidP="009C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553EB">
              <w:rPr>
                <w:rFonts w:eastAsia="Times New Roman"/>
                <w:lang w:bidi="ar-SA"/>
              </w:rPr>
              <w:t>$</w:t>
            </w:r>
            <w:r w:rsidR="009C1E52">
              <w:rPr>
                <w:rFonts w:eastAsia="Times New Roman"/>
                <w:lang w:bidi="ar-SA"/>
              </w:rPr>
              <w:t>46.75</w:t>
            </w:r>
          </w:p>
        </w:tc>
      </w:tr>
      <w:tr w:rsidR="00B26B2D" w:rsidRPr="009270B9" w14:paraId="6707EE16" w14:textId="77777777" w:rsidTr="00B14F10">
        <w:tc>
          <w:tcPr>
            <w:tcW w:w="2179" w:type="pct"/>
          </w:tcPr>
          <w:p w14:paraId="6707EE13" w14:textId="3DE87690" w:rsidR="00B26B2D" w:rsidRPr="009270B9" w:rsidRDefault="00B26B2D" w:rsidP="008464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0 </w:t>
            </w:r>
            <w:r w:rsidR="008975CC">
              <w:rPr>
                <w:rFonts w:eastAsia="Times New Roman"/>
                <w:lang w:bidi="ar-SA"/>
              </w:rPr>
              <w:t>–</w:t>
            </w:r>
            <w:r>
              <w:rPr>
                <w:rFonts w:eastAsia="Times New Roman"/>
                <w:lang w:bidi="ar-SA"/>
              </w:rPr>
              <w:t xml:space="preserve"> </w:t>
            </w:r>
            <w:r w:rsidR="00003188">
              <w:rPr>
                <w:rFonts w:eastAsia="Times New Roman"/>
                <w:lang w:bidi="ar-SA"/>
              </w:rPr>
              <w:t>95</w:t>
            </w:r>
            <w:r w:rsidR="008464A8">
              <w:rPr>
                <w:rFonts w:eastAsia="Times New Roman"/>
                <w:lang w:bidi="ar-SA"/>
              </w:rPr>
              <w:t>0</w:t>
            </w:r>
            <w:r>
              <w:rPr>
                <w:rFonts w:eastAsia="Times New Roman"/>
                <w:lang w:bidi="ar-SA"/>
              </w:rPr>
              <w:t xml:space="preserve"> </w:t>
            </w:r>
            <w:r w:rsidR="009C1E52">
              <w:rPr>
                <w:rFonts w:eastAsia="Times New Roman"/>
                <w:lang w:bidi="ar-SA"/>
              </w:rPr>
              <w:t>C</w:t>
            </w:r>
            <w:r>
              <w:rPr>
                <w:rFonts w:eastAsia="Times New Roman"/>
                <w:lang w:bidi="ar-SA"/>
              </w:rPr>
              <w:t xml:space="preserve">ubic </w:t>
            </w:r>
            <w:r w:rsidR="009C1E52">
              <w:rPr>
                <w:rFonts w:eastAsia="Times New Roman"/>
                <w:lang w:bidi="ar-SA"/>
              </w:rPr>
              <w:t>F</w:t>
            </w:r>
            <w:r>
              <w:rPr>
                <w:rFonts w:eastAsia="Times New Roman"/>
                <w:lang w:bidi="ar-SA"/>
              </w:rPr>
              <w:t>eet</w:t>
            </w:r>
            <w:r w:rsidR="006075AF">
              <w:rPr>
                <w:rFonts w:eastAsia="Times New Roman"/>
                <w:lang w:bidi="ar-SA"/>
              </w:rPr>
              <w:t xml:space="preserve"> *</w:t>
            </w:r>
          </w:p>
        </w:tc>
        <w:tc>
          <w:tcPr>
            <w:tcW w:w="1325" w:type="pct"/>
          </w:tcPr>
          <w:p w14:paraId="6707EE14" w14:textId="640DF1EB" w:rsidR="00B26B2D" w:rsidRPr="009270B9" w:rsidRDefault="00B26B2D" w:rsidP="009C1E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1811BA">
              <w:rPr>
                <w:rFonts w:eastAsia="Times New Roman"/>
                <w:lang w:bidi="ar-SA"/>
              </w:rPr>
              <w:t>9.00</w:t>
            </w:r>
          </w:p>
        </w:tc>
        <w:tc>
          <w:tcPr>
            <w:tcW w:w="1496" w:type="pct"/>
          </w:tcPr>
          <w:p w14:paraId="6707EE15" w14:textId="05FEFDF1" w:rsidR="00B26B2D" w:rsidRPr="009553EB" w:rsidRDefault="00B26B2D" w:rsidP="00181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553EB">
              <w:rPr>
                <w:rFonts w:eastAsia="Times New Roman"/>
                <w:lang w:bidi="ar-SA"/>
              </w:rPr>
              <w:t>$</w:t>
            </w:r>
            <w:r w:rsidR="001811BA">
              <w:rPr>
                <w:rFonts w:eastAsia="Times New Roman"/>
                <w:lang w:bidi="ar-SA"/>
              </w:rPr>
              <w:t>11.50</w:t>
            </w:r>
          </w:p>
        </w:tc>
      </w:tr>
      <w:tr w:rsidR="00B26B2D" w:rsidRPr="009270B9" w14:paraId="6707EE1A" w14:textId="77777777" w:rsidTr="00B14F10">
        <w:tc>
          <w:tcPr>
            <w:tcW w:w="2179" w:type="pct"/>
          </w:tcPr>
          <w:p w14:paraId="6707EE17" w14:textId="4986ED13" w:rsidR="00B26B2D" w:rsidRPr="009270B9" w:rsidRDefault="009C1E52" w:rsidP="000F03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Subtotal </w:t>
            </w:r>
          </w:p>
        </w:tc>
        <w:tc>
          <w:tcPr>
            <w:tcW w:w="1325" w:type="pct"/>
          </w:tcPr>
          <w:p w14:paraId="6707EE18" w14:textId="74A1BBC4" w:rsidR="00B26B2D" w:rsidRPr="009270B9" w:rsidRDefault="009C1E52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6075AF">
              <w:rPr>
                <w:rFonts w:eastAsia="Times New Roman"/>
                <w:lang w:bidi="ar-SA"/>
              </w:rPr>
              <w:t>51.50</w:t>
            </w:r>
          </w:p>
        </w:tc>
        <w:tc>
          <w:tcPr>
            <w:tcW w:w="1496" w:type="pct"/>
          </w:tcPr>
          <w:p w14:paraId="6707EE19" w14:textId="76EEEC23" w:rsidR="00B26B2D" w:rsidRPr="009553EB" w:rsidRDefault="009C1E52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$58</w:t>
            </w:r>
            <w:r w:rsidR="006075AF">
              <w:rPr>
                <w:rFonts w:eastAsia="Times New Roman"/>
                <w:lang w:bidi="ar-SA"/>
              </w:rPr>
              <w:t>.</w:t>
            </w:r>
            <w:r>
              <w:rPr>
                <w:rFonts w:eastAsia="Times New Roman"/>
                <w:lang w:bidi="ar-SA"/>
              </w:rPr>
              <w:t>2</w:t>
            </w:r>
            <w:r w:rsidR="006075AF">
              <w:rPr>
                <w:rFonts w:eastAsia="Times New Roman"/>
                <w:lang w:bidi="ar-SA"/>
              </w:rPr>
              <w:t>5</w:t>
            </w:r>
          </w:p>
        </w:tc>
      </w:tr>
      <w:tr w:rsidR="008975CC" w:rsidRPr="009270B9" w14:paraId="00A51F1E" w14:textId="77777777" w:rsidTr="00B14F10">
        <w:tc>
          <w:tcPr>
            <w:tcW w:w="2179" w:type="pct"/>
          </w:tcPr>
          <w:p w14:paraId="6B9BB84E" w14:textId="3AA42528" w:rsidR="008975CC" w:rsidRPr="009270B9" w:rsidRDefault="008975CC" w:rsidP="000F03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Public Utility Tax (5.029 %)</w:t>
            </w:r>
          </w:p>
        </w:tc>
        <w:tc>
          <w:tcPr>
            <w:tcW w:w="1325" w:type="pct"/>
          </w:tcPr>
          <w:p w14:paraId="4FFA6D1D" w14:textId="46323750" w:rsidR="008975CC" w:rsidRDefault="008975CC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NA</w:t>
            </w:r>
          </w:p>
        </w:tc>
        <w:tc>
          <w:tcPr>
            <w:tcW w:w="1496" w:type="pct"/>
          </w:tcPr>
          <w:p w14:paraId="5538D736" w14:textId="3E01C9BB" w:rsidR="008975CC" w:rsidRPr="009553EB" w:rsidRDefault="006075AF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$2.93</w:t>
            </w:r>
          </w:p>
        </w:tc>
      </w:tr>
      <w:tr w:rsidR="00B26B2D" w:rsidRPr="009270B9" w14:paraId="6707EE1E" w14:textId="77777777" w:rsidTr="00B14F10">
        <w:tc>
          <w:tcPr>
            <w:tcW w:w="2179" w:type="pct"/>
          </w:tcPr>
          <w:p w14:paraId="6707EE1B" w14:textId="77777777" w:rsidR="00B26B2D" w:rsidRPr="009270B9" w:rsidRDefault="00B26B2D" w:rsidP="000F03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 w:rsidRPr="009270B9">
              <w:rPr>
                <w:rFonts w:eastAsia="Times New Roman"/>
                <w:lang w:bidi="ar-SA"/>
              </w:rPr>
              <w:t>Average Monthly Bill</w:t>
            </w:r>
          </w:p>
        </w:tc>
        <w:tc>
          <w:tcPr>
            <w:tcW w:w="1325" w:type="pct"/>
          </w:tcPr>
          <w:p w14:paraId="6707EE1C" w14:textId="40FDD5E5" w:rsidR="00B26B2D" w:rsidRDefault="009C1E52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6075AF">
              <w:rPr>
                <w:rFonts w:eastAsia="Times New Roman"/>
                <w:lang w:bidi="ar-SA"/>
              </w:rPr>
              <w:t>51.50</w:t>
            </w:r>
          </w:p>
        </w:tc>
        <w:tc>
          <w:tcPr>
            <w:tcW w:w="1496" w:type="pct"/>
          </w:tcPr>
          <w:p w14:paraId="6707EE1D" w14:textId="49D67816" w:rsidR="00B26B2D" w:rsidRPr="009553EB" w:rsidRDefault="009C1E52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</w:t>
            </w:r>
            <w:r w:rsidR="006075AF">
              <w:rPr>
                <w:rFonts w:eastAsia="Times New Roman"/>
                <w:lang w:bidi="ar-SA"/>
              </w:rPr>
              <w:t>61.1</w:t>
            </w:r>
            <w:r>
              <w:rPr>
                <w:rFonts w:eastAsia="Times New Roman"/>
                <w:lang w:bidi="ar-SA"/>
              </w:rPr>
              <w:t>8</w:t>
            </w:r>
          </w:p>
        </w:tc>
      </w:tr>
      <w:tr w:rsidR="004558FB" w:rsidRPr="009270B9" w14:paraId="62FE79C1" w14:textId="77777777" w:rsidTr="00B14F10">
        <w:tc>
          <w:tcPr>
            <w:tcW w:w="2179" w:type="pct"/>
          </w:tcPr>
          <w:p w14:paraId="70794B76" w14:textId="77777777" w:rsidR="004558FB" w:rsidRPr="007C07AE" w:rsidRDefault="004558FB" w:rsidP="000F03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pct"/>
          </w:tcPr>
          <w:p w14:paraId="7850F316" w14:textId="77777777" w:rsidR="004558FB" w:rsidRDefault="004558FB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1496" w:type="pct"/>
          </w:tcPr>
          <w:p w14:paraId="548A918C" w14:textId="77777777" w:rsidR="004558FB" w:rsidRPr="009553EB" w:rsidRDefault="004558FB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</w:p>
        </w:tc>
      </w:tr>
      <w:tr w:rsidR="00B26B2D" w:rsidRPr="009270B9" w14:paraId="6707EE22" w14:textId="77777777" w:rsidTr="00B14F10">
        <w:tc>
          <w:tcPr>
            <w:tcW w:w="2179" w:type="pct"/>
          </w:tcPr>
          <w:p w14:paraId="6707EE1F" w14:textId="77777777" w:rsidR="00B26B2D" w:rsidRPr="009270B9" w:rsidRDefault="00B26B2D" w:rsidP="000F03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bidi="ar-SA"/>
              </w:rPr>
            </w:pPr>
            <w:r w:rsidRPr="007C07AE">
              <w:t>Increase From Current Rates</w:t>
            </w:r>
          </w:p>
        </w:tc>
        <w:tc>
          <w:tcPr>
            <w:tcW w:w="1325" w:type="pct"/>
          </w:tcPr>
          <w:p w14:paraId="6707EE20" w14:textId="706F5FF5" w:rsidR="00B26B2D" w:rsidRDefault="00B26B2D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1496" w:type="pct"/>
          </w:tcPr>
          <w:p w14:paraId="6707EE21" w14:textId="65FD4FCC" w:rsidR="00B26B2D" w:rsidRPr="009553EB" w:rsidRDefault="00910FCE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$9.68</w:t>
            </w:r>
          </w:p>
        </w:tc>
      </w:tr>
      <w:tr w:rsidR="00910FCE" w:rsidRPr="009270B9" w14:paraId="2B6F1566" w14:textId="77777777" w:rsidTr="00B14F10">
        <w:tc>
          <w:tcPr>
            <w:tcW w:w="2179" w:type="pct"/>
          </w:tcPr>
          <w:p w14:paraId="0123CA23" w14:textId="77777777" w:rsidR="00910FCE" w:rsidRPr="007C07AE" w:rsidRDefault="00910FCE" w:rsidP="000F03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pct"/>
          </w:tcPr>
          <w:p w14:paraId="550E42A8" w14:textId="77777777" w:rsidR="00910FCE" w:rsidRDefault="00910FCE" w:rsidP="000F0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1496" w:type="pct"/>
          </w:tcPr>
          <w:p w14:paraId="1F200BBD" w14:textId="2F50BBD6" w:rsidR="00910FCE" w:rsidRPr="009553EB" w:rsidRDefault="00910FCE" w:rsidP="0060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bidi="ar-SA"/>
              </w:rPr>
            </w:pPr>
            <w:r w:rsidRPr="009553EB">
              <w:rPr>
                <w:rFonts w:eastAsia="Times New Roman"/>
                <w:lang w:bidi="ar-SA"/>
              </w:rPr>
              <w:t>1</w:t>
            </w:r>
            <w:r>
              <w:rPr>
                <w:rFonts w:eastAsia="Times New Roman"/>
                <w:lang w:bidi="ar-SA"/>
              </w:rPr>
              <w:t>8</w:t>
            </w:r>
            <w:r w:rsidRPr="009553EB">
              <w:rPr>
                <w:rFonts w:eastAsia="Times New Roman"/>
                <w:lang w:bidi="ar-SA"/>
              </w:rPr>
              <w:t>.</w:t>
            </w:r>
            <w:r>
              <w:rPr>
                <w:rFonts w:eastAsia="Times New Roman"/>
                <w:lang w:bidi="ar-SA"/>
              </w:rPr>
              <w:t>8</w:t>
            </w:r>
            <w:r w:rsidRPr="009553EB">
              <w:rPr>
                <w:rFonts w:eastAsia="Times New Roman"/>
                <w:lang w:bidi="ar-SA"/>
              </w:rPr>
              <w:t>%</w:t>
            </w:r>
          </w:p>
        </w:tc>
      </w:tr>
    </w:tbl>
    <w:p w14:paraId="1A5132DD" w14:textId="19C2890A" w:rsidR="006075AF" w:rsidRDefault="006075AF" w:rsidP="006075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*No proration, flat charge </w:t>
      </w:r>
      <w:r w:rsidR="00003188">
        <w:rPr>
          <w:rFonts w:eastAsia="Times New Roman"/>
          <w:sz w:val="20"/>
          <w:szCs w:val="20"/>
        </w:rPr>
        <w:t xml:space="preserve">for </w:t>
      </w:r>
      <w:r>
        <w:rPr>
          <w:rFonts w:eastAsia="Times New Roman"/>
          <w:sz w:val="20"/>
          <w:szCs w:val="20"/>
        </w:rPr>
        <w:t>any water used.</w:t>
      </w:r>
    </w:p>
    <w:p w14:paraId="52DB0F31" w14:textId="77777777" w:rsidR="006075AF" w:rsidRDefault="006075AF" w:rsidP="000F03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707EE24" w14:textId="70D77904" w:rsidR="00BE627B" w:rsidRPr="00AE389D" w:rsidRDefault="00BE627B" w:rsidP="000F032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eastAsia="Times New Roman"/>
          <w:lang w:bidi="ar-SA"/>
        </w:rPr>
      </w:pPr>
      <w:r w:rsidRPr="00AE389D">
        <w:rPr>
          <w:rFonts w:eastAsia="Times New Roman"/>
          <w:lang w:bidi="ar-SA"/>
        </w:rPr>
        <w:t xml:space="preserve">Commission staff has not completed its review of the company’s supporting financial documents, books and records. </w:t>
      </w:r>
      <w:r w:rsidR="003C699C">
        <w:rPr>
          <w:rFonts w:eastAsia="Times New Roman"/>
          <w:lang w:bidi="ar-SA"/>
        </w:rPr>
        <w:t xml:space="preserve">The company </w:t>
      </w:r>
      <w:r w:rsidR="00003188">
        <w:rPr>
          <w:rFonts w:eastAsia="Times New Roman"/>
          <w:lang w:bidi="ar-SA"/>
        </w:rPr>
        <w:t xml:space="preserve">has </w:t>
      </w:r>
      <w:r w:rsidR="003C699C">
        <w:rPr>
          <w:rFonts w:eastAsia="Times New Roman"/>
          <w:lang w:bidi="ar-SA"/>
        </w:rPr>
        <w:t xml:space="preserve">responded to outstanding data requests </w:t>
      </w:r>
      <w:r w:rsidR="00003188">
        <w:rPr>
          <w:rFonts w:eastAsia="Times New Roman"/>
          <w:lang w:bidi="ar-SA"/>
        </w:rPr>
        <w:t xml:space="preserve">issued </w:t>
      </w:r>
      <w:r w:rsidR="003C699C">
        <w:rPr>
          <w:rFonts w:eastAsia="Times New Roman"/>
          <w:lang w:bidi="ar-SA"/>
        </w:rPr>
        <w:t xml:space="preserve">on </w:t>
      </w:r>
      <w:r w:rsidR="007E2FCB">
        <w:rPr>
          <w:rFonts w:eastAsia="Times New Roman"/>
          <w:lang w:bidi="ar-SA"/>
        </w:rPr>
        <w:t>September</w:t>
      </w:r>
      <w:r w:rsidR="003C699C">
        <w:rPr>
          <w:rFonts w:eastAsia="Times New Roman"/>
          <w:lang w:bidi="ar-SA"/>
        </w:rPr>
        <w:t xml:space="preserve"> </w:t>
      </w:r>
      <w:r w:rsidR="007E2FCB">
        <w:rPr>
          <w:rFonts w:eastAsia="Times New Roman"/>
          <w:lang w:bidi="ar-SA"/>
        </w:rPr>
        <w:t>2</w:t>
      </w:r>
      <w:r w:rsidR="00003188">
        <w:rPr>
          <w:rFonts w:eastAsia="Times New Roman"/>
          <w:lang w:bidi="ar-SA"/>
        </w:rPr>
        <w:t>7</w:t>
      </w:r>
      <w:r w:rsidR="000F032E">
        <w:rPr>
          <w:rFonts w:eastAsia="Times New Roman"/>
          <w:lang w:bidi="ar-SA"/>
        </w:rPr>
        <w:t>, 2012,</w:t>
      </w:r>
      <w:r w:rsidR="003C699C">
        <w:rPr>
          <w:rFonts w:eastAsia="Times New Roman"/>
          <w:lang w:bidi="ar-SA"/>
        </w:rPr>
        <w:t xml:space="preserve"> </w:t>
      </w:r>
      <w:r w:rsidR="004F6243">
        <w:rPr>
          <w:rFonts w:eastAsia="Times New Roman"/>
          <w:lang w:bidi="ar-SA"/>
        </w:rPr>
        <w:t>and</w:t>
      </w:r>
      <w:r w:rsidR="00003188">
        <w:rPr>
          <w:rFonts w:eastAsia="Times New Roman"/>
          <w:lang w:bidi="ar-SA"/>
        </w:rPr>
        <w:t xml:space="preserve"> </w:t>
      </w:r>
      <w:r w:rsidR="003C699C">
        <w:rPr>
          <w:rFonts w:eastAsia="Times New Roman"/>
          <w:lang w:bidi="ar-SA"/>
        </w:rPr>
        <w:t xml:space="preserve">staff </w:t>
      </w:r>
      <w:r w:rsidR="00BC0903">
        <w:rPr>
          <w:rFonts w:eastAsia="Times New Roman"/>
          <w:lang w:bidi="ar-SA"/>
        </w:rPr>
        <w:t xml:space="preserve">has not yet completed our </w:t>
      </w:r>
      <w:r w:rsidR="003C699C">
        <w:rPr>
          <w:rFonts w:eastAsia="Times New Roman"/>
          <w:lang w:bidi="ar-SA"/>
        </w:rPr>
        <w:t>review</w:t>
      </w:r>
      <w:r w:rsidR="00281C1D">
        <w:rPr>
          <w:rFonts w:eastAsia="Times New Roman"/>
          <w:lang w:bidi="ar-SA"/>
        </w:rPr>
        <w:t xml:space="preserve"> of th</w:t>
      </w:r>
      <w:r w:rsidR="0000617D">
        <w:rPr>
          <w:rFonts w:eastAsia="Times New Roman"/>
          <w:lang w:bidi="ar-SA"/>
        </w:rPr>
        <w:t xml:space="preserve">e additional </w:t>
      </w:r>
      <w:r w:rsidR="00281C1D">
        <w:rPr>
          <w:rFonts w:eastAsia="Times New Roman"/>
          <w:lang w:bidi="ar-SA"/>
        </w:rPr>
        <w:t>information</w:t>
      </w:r>
      <w:r w:rsidR="003C699C">
        <w:rPr>
          <w:rFonts w:eastAsia="Times New Roman"/>
          <w:lang w:bidi="ar-SA"/>
        </w:rPr>
        <w:t xml:space="preserve">. </w:t>
      </w:r>
      <w:r w:rsidRPr="00AE389D">
        <w:rPr>
          <w:rFonts w:eastAsia="Times New Roman"/>
          <w:lang w:bidi="ar-SA"/>
        </w:rPr>
        <w:t xml:space="preserve">Therefore, the company has not </w:t>
      </w:r>
      <w:r w:rsidR="00006D5A">
        <w:rPr>
          <w:rFonts w:eastAsia="Times New Roman"/>
          <w:lang w:bidi="ar-SA"/>
        </w:rPr>
        <w:t xml:space="preserve">yet </w:t>
      </w:r>
      <w:r w:rsidRPr="00AE389D">
        <w:rPr>
          <w:rFonts w:eastAsia="Times New Roman"/>
          <w:lang w:bidi="ar-SA"/>
        </w:rPr>
        <w:t>demonstrated that the proposed rates are fair,</w:t>
      </w:r>
      <w:r w:rsidR="008A5118">
        <w:rPr>
          <w:rFonts w:eastAsia="Times New Roman"/>
          <w:lang w:bidi="ar-SA"/>
        </w:rPr>
        <w:t xml:space="preserve"> </w:t>
      </w:r>
      <w:r w:rsidRPr="00AE389D">
        <w:rPr>
          <w:rFonts w:eastAsia="Times New Roman"/>
          <w:lang w:bidi="ar-SA"/>
        </w:rPr>
        <w:t>just, reasonable and sufficient.</w:t>
      </w:r>
    </w:p>
    <w:p w14:paraId="6707EE25" w14:textId="77777777" w:rsidR="00BE627B" w:rsidRPr="00EB4CE3" w:rsidRDefault="00BE627B" w:rsidP="000F032E"/>
    <w:p w14:paraId="6707EE26" w14:textId="77777777" w:rsidR="00046A19" w:rsidRDefault="00046A19" w:rsidP="000F032E">
      <w:pPr>
        <w:rPr>
          <w:b/>
          <w:u w:val="single"/>
        </w:rPr>
      </w:pPr>
      <w:r w:rsidRPr="00935AF2">
        <w:rPr>
          <w:b/>
          <w:u w:val="single"/>
        </w:rPr>
        <w:t xml:space="preserve">Conclusion </w:t>
      </w:r>
    </w:p>
    <w:p w14:paraId="6707EE27" w14:textId="77777777" w:rsidR="00046A19" w:rsidRDefault="00046A19" w:rsidP="000F032E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6707EE2A" w14:textId="2F468940" w:rsidR="002C039A" w:rsidRPr="00046A19" w:rsidRDefault="00BE627B" w:rsidP="000F032E">
      <w:r>
        <w:rPr>
          <w:color w:val="000000"/>
          <w:lang w:bidi="ar-SA"/>
        </w:rPr>
        <w:t>I</w:t>
      </w:r>
      <w:r w:rsidR="000B6B1A" w:rsidRPr="000B6B1A">
        <w:rPr>
          <w:color w:val="000000"/>
          <w:lang w:bidi="ar-SA"/>
        </w:rPr>
        <w:t xml:space="preserve">ssue a Complaint and Order </w:t>
      </w:r>
      <w:r w:rsidR="000B6B1A">
        <w:rPr>
          <w:color w:val="000000"/>
          <w:lang w:bidi="ar-SA"/>
        </w:rPr>
        <w:t>Suspending the tariff revision</w:t>
      </w:r>
      <w:r w:rsidR="0001140F">
        <w:rPr>
          <w:color w:val="000000"/>
          <w:lang w:bidi="ar-SA"/>
        </w:rPr>
        <w:t>s</w:t>
      </w:r>
      <w:r w:rsidR="000B6B1A">
        <w:rPr>
          <w:color w:val="000000"/>
          <w:lang w:bidi="ar-SA"/>
        </w:rPr>
        <w:t xml:space="preserve"> filed by </w:t>
      </w:r>
      <w:r w:rsidR="000F032E">
        <w:t>Scenic Shores Water Company</w:t>
      </w:r>
      <w:r w:rsidR="000B6B1A">
        <w:rPr>
          <w:color w:val="000000"/>
          <w:lang w:bidi="ar-SA"/>
        </w:rPr>
        <w:t xml:space="preserve"> on </w:t>
      </w:r>
      <w:r w:rsidR="000F032E">
        <w:rPr>
          <w:color w:val="000000"/>
          <w:lang w:bidi="ar-SA"/>
        </w:rPr>
        <w:t>September 17</w:t>
      </w:r>
      <w:r w:rsidR="000B6B1A">
        <w:rPr>
          <w:color w:val="000000"/>
          <w:lang w:bidi="ar-SA"/>
        </w:rPr>
        <w:t>, 201</w:t>
      </w:r>
      <w:r w:rsidR="000F032E">
        <w:rPr>
          <w:color w:val="000000"/>
          <w:lang w:bidi="ar-SA"/>
        </w:rPr>
        <w:t>2</w:t>
      </w:r>
      <w:r w:rsidR="000B6B1A">
        <w:rPr>
          <w:color w:val="000000"/>
          <w:lang w:bidi="ar-SA"/>
        </w:rPr>
        <w:t xml:space="preserve">. </w:t>
      </w:r>
    </w:p>
    <w:sectPr w:rsidR="002C039A" w:rsidRPr="00046A19" w:rsidSect="00750A48">
      <w:headerReference w:type="default" r:id="rId12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4D8A" w14:textId="77777777" w:rsidR="00832DA8" w:rsidRDefault="00832DA8" w:rsidP="00E5657A">
      <w:r>
        <w:separator/>
      </w:r>
    </w:p>
  </w:endnote>
  <w:endnote w:type="continuationSeparator" w:id="0">
    <w:p w14:paraId="57F008D6" w14:textId="77777777" w:rsidR="00832DA8" w:rsidRDefault="00832DA8" w:rsidP="00E5657A">
      <w:r>
        <w:continuationSeparator/>
      </w:r>
    </w:p>
  </w:endnote>
  <w:endnote w:type="continuationNotice" w:id="1">
    <w:p w14:paraId="4C74B546" w14:textId="77777777" w:rsidR="0001293B" w:rsidRDefault="0001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FDFBE" w14:textId="77777777" w:rsidR="00832DA8" w:rsidRDefault="00832DA8" w:rsidP="00E5657A">
      <w:r>
        <w:separator/>
      </w:r>
    </w:p>
  </w:footnote>
  <w:footnote w:type="continuationSeparator" w:id="0">
    <w:p w14:paraId="07E23A8C" w14:textId="77777777" w:rsidR="00832DA8" w:rsidRDefault="00832DA8" w:rsidP="00E5657A">
      <w:r>
        <w:continuationSeparator/>
      </w:r>
    </w:p>
  </w:footnote>
  <w:footnote w:type="continuationNotice" w:id="1">
    <w:p w14:paraId="3076B6DE" w14:textId="77777777" w:rsidR="0001293B" w:rsidRDefault="00012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EE2F" w14:textId="695CB71D" w:rsidR="00832DA8" w:rsidRPr="00296F3B" w:rsidRDefault="00832DA8" w:rsidP="001E2713">
    <w:pPr>
      <w:pStyle w:val="Header"/>
      <w:rPr>
        <w:sz w:val="20"/>
        <w:szCs w:val="20"/>
      </w:rPr>
    </w:pPr>
    <w:r w:rsidRPr="00296F3B">
      <w:rPr>
        <w:sz w:val="20"/>
        <w:szCs w:val="20"/>
      </w:rPr>
      <w:t>Docket UW-1</w:t>
    </w:r>
    <w:r>
      <w:rPr>
        <w:sz w:val="20"/>
        <w:szCs w:val="20"/>
      </w:rPr>
      <w:t>21523</w:t>
    </w:r>
  </w:p>
  <w:p w14:paraId="6707EE30" w14:textId="7AB3576D" w:rsidR="00832DA8" w:rsidRPr="00296F3B" w:rsidRDefault="00832DA8" w:rsidP="001E2713">
    <w:pPr>
      <w:pStyle w:val="Header"/>
      <w:rPr>
        <w:sz w:val="20"/>
        <w:szCs w:val="20"/>
      </w:rPr>
    </w:pPr>
    <w:r>
      <w:rPr>
        <w:sz w:val="20"/>
        <w:szCs w:val="20"/>
      </w:rPr>
      <w:t>October 11</w:t>
    </w:r>
    <w:r w:rsidRPr="00296F3B">
      <w:rPr>
        <w:sz w:val="20"/>
        <w:szCs w:val="20"/>
      </w:rPr>
      <w:t xml:space="preserve">, </w:t>
    </w:r>
    <w:r>
      <w:rPr>
        <w:sz w:val="20"/>
        <w:szCs w:val="20"/>
      </w:rPr>
      <w:t>2012</w:t>
    </w:r>
  </w:p>
  <w:p w14:paraId="6707EE31" w14:textId="77777777" w:rsidR="00832DA8" w:rsidRDefault="00832DA8" w:rsidP="001E2713">
    <w:pPr>
      <w:pStyle w:val="Header"/>
      <w:rPr>
        <w:sz w:val="20"/>
        <w:szCs w:val="20"/>
      </w:rPr>
    </w:pPr>
    <w:r w:rsidRPr="00296F3B">
      <w:rPr>
        <w:sz w:val="20"/>
        <w:szCs w:val="20"/>
      </w:rPr>
      <w:t xml:space="preserve">Page </w:t>
    </w:r>
    <w:r w:rsidRPr="00296F3B">
      <w:rPr>
        <w:sz w:val="20"/>
        <w:szCs w:val="20"/>
      </w:rPr>
      <w:fldChar w:fldCharType="begin"/>
    </w:r>
    <w:r w:rsidRPr="00296F3B">
      <w:rPr>
        <w:sz w:val="20"/>
        <w:szCs w:val="20"/>
      </w:rPr>
      <w:instrText xml:space="preserve"> PAGE   \* MERGEFORMAT </w:instrText>
    </w:r>
    <w:r w:rsidRPr="00296F3B">
      <w:rPr>
        <w:sz w:val="20"/>
        <w:szCs w:val="20"/>
      </w:rPr>
      <w:fldChar w:fldCharType="separate"/>
    </w:r>
    <w:r w:rsidR="006D764C">
      <w:rPr>
        <w:noProof/>
        <w:sz w:val="20"/>
        <w:szCs w:val="20"/>
      </w:rPr>
      <w:t>2</w:t>
    </w:r>
    <w:r w:rsidRPr="00296F3B">
      <w:rPr>
        <w:sz w:val="20"/>
        <w:szCs w:val="20"/>
      </w:rPr>
      <w:fldChar w:fldCharType="end"/>
    </w:r>
  </w:p>
  <w:p w14:paraId="6707EE32" w14:textId="77777777" w:rsidR="00832DA8" w:rsidRPr="00296F3B" w:rsidRDefault="00832DA8" w:rsidP="001E2713">
    <w:pPr>
      <w:pStyle w:val="Header"/>
      <w:rPr>
        <w:sz w:val="20"/>
        <w:szCs w:val="20"/>
      </w:rPr>
    </w:pPr>
  </w:p>
  <w:p w14:paraId="6707EE33" w14:textId="77777777" w:rsidR="00832DA8" w:rsidRDefault="00832DA8" w:rsidP="001E2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AA1"/>
    <w:multiLevelType w:val="hybridMultilevel"/>
    <w:tmpl w:val="346469FA"/>
    <w:lvl w:ilvl="0" w:tplc="12280FFA">
      <w:start w:val="5"/>
      <w:numFmt w:val="bullet"/>
      <w:lvlText w:val=""/>
      <w:lvlJc w:val="left"/>
      <w:pPr>
        <w:ind w:left="8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BE15AAD"/>
    <w:multiLevelType w:val="hybridMultilevel"/>
    <w:tmpl w:val="93FA7E80"/>
    <w:lvl w:ilvl="0" w:tplc="96747C7E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19"/>
    <w:rsid w:val="00003188"/>
    <w:rsid w:val="0000617D"/>
    <w:rsid w:val="00006D5A"/>
    <w:rsid w:val="00010837"/>
    <w:rsid w:val="0001140F"/>
    <w:rsid w:val="0001293B"/>
    <w:rsid w:val="00046A19"/>
    <w:rsid w:val="0005104E"/>
    <w:rsid w:val="000B6B1A"/>
    <w:rsid w:val="000D2500"/>
    <w:rsid w:val="000D37C4"/>
    <w:rsid w:val="000E640C"/>
    <w:rsid w:val="000F032E"/>
    <w:rsid w:val="00140595"/>
    <w:rsid w:val="001811BA"/>
    <w:rsid w:val="00182A1D"/>
    <w:rsid w:val="001954F2"/>
    <w:rsid w:val="001C1C21"/>
    <w:rsid w:val="001C5AB1"/>
    <w:rsid w:val="001C6E68"/>
    <w:rsid w:val="001E1D7A"/>
    <w:rsid w:val="001E2713"/>
    <w:rsid w:val="00225208"/>
    <w:rsid w:val="00272E16"/>
    <w:rsid w:val="00281C1D"/>
    <w:rsid w:val="002C039A"/>
    <w:rsid w:val="002D390A"/>
    <w:rsid w:val="002E5B90"/>
    <w:rsid w:val="00313006"/>
    <w:rsid w:val="00323AED"/>
    <w:rsid w:val="0035584C"/>
    <w:rsid w:val="003B34B3"/>
    <w:rsid w:val="003B6BE1"/>
    <w:rsid w:val="003C699C"/>
    <w:rsid w:val="0040784B"/>
    <w:rsid w:val="004322C3"/>
    <w:rsid w:val="004518CD"/>
    <w:rsid w:val="004558FB"/>
    <w:rsid w:val="004676B0"/>
    <w:rsid w:val="00477A98"/>
    <w:rsid w:val="00485438"/>
    <w:rsid w:val="00495488"/>
    <w:rsid w:val="004F6243"/>
    <w:rsid w:val="0050769C"/>
    <w:rsid w:val="00527C58"/>
    <w:rsid w:val="00543717"/>
    <w:rsid w:val="00552600"/>
    <w:rsid w:val="00554747"/>
    <w:rsid w:val="00564807"/>
    <w:rsid w:val="00577E5D"/>
    <w:rsid w:val="0058267C"/>
    <w:rsid w:val="005A343E"/>
    <w:rsid w:val="005A6C74"/>
    <w:rsid w:val="005D5F66"/>
    <w:rsid w:val="006075AF"/>
    <w:rsid w:val="00621606"/>
    <w:rsid w:val="0062310E"/>
    <w:rsid w:val="00637B69"/>
    <w:rsid w:val="00640061"/>
    <w:rsid w:val="00661169"/>
    <w:rsid w:val="00672F7B"/>
    <w:rsid w:val="006A41EE"/>
    <w:rsid w:val="006A53A7"/>
    <w:rsid w:val="006C71E3"/>
    <w:rsid w:val="006D764C"/>
    <w:rsid w:val="006D7A58"/>
    <w:rsid w:val="006F41DA"/>
    <w:rsid w:val="00700919"/>
    <w:rsid w:val="00717FD6"/>
    <w:rsid w:val="0072504A"/>
    <w:rsid w:val="007327A3"/>
    <w:rsid w:val="00742F7F"/>
    <w:rsid w:val="007458F8"/>
    <w:rsid w:val="00750A48"/>
    <w:rsid w:val="00793227"/>
    <w:rsid w:val="00794D57"/>
    <w:rsid w:val="007D2573"/>
    <w:rsid w:val="007E2FCB"/>
    <w:rsid w:val="00817FF7"/>
    <w:rsid w:val="00822FD1"/>
    <w:rsid w:val="00832DA8"/>
    <w:rsid w:val="008464A8"/>
    <w:rsid w:val="00870BB6"/>
    <w:rsid w:val="008975CC"/>
    <w:rsid w:val="008A4BE5"/>
    <w:rsid w:val="008A5118"/>
    <w:rsid w:val="008B7991"/>
    <w:rsid w:val="00910FCE"/>
    <w:rsid w:val="00923A19"/>
    <w:rsid w:val="0093429A"/>
    <w:rsid w:val="009553EB"/>
    <w:rsid w:val="00963EDA"/>
    <w:rsid w:val="00964470"/>
    <w:rsid w:val="009A47E4"/>
    <w:rsid w:val="009B0311"/>
    <w:rsid w:val="009B79A8"/>
    <w:rsid w:val="009C1E52"/>
    <w:rsid w:val="00A31E63"/>
    <w:rsid w:val="00A4610A"/>
    <w:rsid w:val="00A46C58"/>
    <w:rsid w:val="00A61F9F"/>
    <w:rsid w:val="00A77CD8"/>
    <w:rsid w:val="00A80CB3"/>
    <w:rsid w:val="00A84C2A"/>
    <w:rsid w:val="00AA3232"/>
    <w:rsid w:val="00AA7F14"/>
    <w:rsid w:val="00AC0E4A"/>
    <w:rsid w:val="00AD3312"/>
    <w:rsid w:val="00AE273E"/>
    <w:rsid w:val="00B13041"/>
    <w:rsid w:val="00B14F10"/>
    <w:rsid w:val="00B26B2D"/>
    <w:rsid w:val="00B561C7"/>
    <w:rsid w:val="00B759C1"/>
    <w:rsid w:val="00BB3AF4"/>
    <w:rsid w:val="00BC0903"/>
    <w:rsid w:val="00BE1B5B"/>
    <w:rsid w:val="00BE627B"/>
    <w:rsid w:val="00C60230"/>
    <w:rsid w:val="00C9285A"/>
    <w:rsid w:val="00CA429B"/>
    <w:rsid w:val="00CB3D36"/>
    <w:rsid w:val="00CF36EC"/>
    <w:rsid w:val="00D157A4"/>
    <w:rsid w:val="00D16EE4"/>
    <w:rsid w:val="00D23EA5"/>
    <w:rsid w:val="00D568C6"/>
    <w:rsid w:val="00D61A4B"/>
    <w:rsid w:val="00D622B2"/>
    <w:rsid w:val="00D6775B"/>
    <w:rsid w:val="00D8448A"/>
    <w:rsid w:val="00D910B5"/>
    <w:rsid w:val="00DA1B86"/>
    <w:rsid w:val="00DD2A47"/>
    <w:rsid w:val="00DF363D"/>
    <w:rsid w:val="00DF5E47"/>
    <w:rsid w:val="00E5657A"/>
    <w:rsid w:val="00E60EB2"/>
    <w:rsid w:val="00E67789"/>
    <w:rsid w:val="00E761D5"/>
    <w:rsid w:val="00E80DC5"/>
    <w:rsid w:val="00EA46AD"/>
    <w:rsid w:val="00EC5341"/>
    <w:rsid w:val="00F02C2A"/>
    <w:rsid w:val="00F21B68"/>
    <w:rsid w:val="00F3565A"/>
    <w:rsid w:val="00F97111"/>
    <w:rsid w:val="00FA5576"/>
    <w:rsid w:val="00FB7FC5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basedOn w:val="Normal"/>
    <w:uiPriority w:val="1"/>
    <w:qFormat/>
    <w:rsid w:val="00046A19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046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A19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2A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1C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2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0E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40061"/>
    <w:pPr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styleId="Hyperlink">
    <w:name w:val="Hyperlink"/>
    <w:uiPriority w:val="99"/>
    <w:unhideWhenUsed/>
    <w:rsid w:val="00640061"/>
    <w:rPr>
      <w:color w:val="0000FF"/>
      <w:u w:val="single"/>
    </w:rPr>
  </w:style>
  <w:style w:type="paragraph" w:styleId="BodyText">
    <w:name w:val="Body Text"/>
    <w:basedOn w:val="Normal"/>
    <w:link w:val="BodyTextChar"/>
    <w:rsid w:val="00640061"/>
    <w:pPr>
      <w:widowControl w:val="0"/>
      <w:autoSpaceDE w:val="0"/>
      <w:autoSpaceDN w:val="0"/>
      <w:adjustRightInd w:val="0"/>
    </w:pPr>
    <w:rPr>
      <w:rFonts w:ascii="Courier" w:eastAsia="Times New Roman" w:hAnsi="Courier"/>
      <w:lang w:bidi="ar-SA"/>
    </w:rPr>
  </w:style>
  <w:style w:type="character" w:customStyle="1" w:styleId="BodyTextChar">
    <w:name w:val="Body Text Char"/>
    <w:basedOn w:val="DefaultParagraphFont"/>
    <w:link w:val="BodyText"/>
    <w:rsid w:val="00640061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04E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04E"/>
    <w:rPr>
      <w:rFonts w:ascii="Times New Roman" w:eastAsia="Calibri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051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basedOn w:val="Normal"/>
    <w:uiPriority w:val="1"/>
    <w:qFormat/>
    <w:rsid w:val="00046A19"/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046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A19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2A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1C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2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0E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40061"/>
    <w:pPr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styleId="Hyperlink">
    <w:name w:val="Hyperlink"/>
    <w:uiPriority w:val="99"/>
    <w:unhideWhenUsed/>
    <w:rsid w:val="00640061"/>
    <w:rPr>
      <w:color w:val="0000FF"/>
      <w:u w:val="single"/>
    </w:rPr>
  </w:style>
  <w:style w:type="paragraph" w:styleId="BodyText">
    <w:name w:val="Body Text"/>
    <w:basedOn w:val="Normal"/>
    <w:link w:val="BodyTextChar"/>
    <w:rsid w:val="00640061"/>
    <w:pPr>
      <w:widowControl w:val="0"/>
      <w:autoSpaceDE w:val="0"/>
      <w:autoSpaceDN w:val="0"/>
      <w:adjustRightInd w:val="0"/>
    </w:pPr>
    <w:rPr>
      <w:rFonts w:ascii="Courier" w:eastAsia="Times New Roman" w:hAnsi="Courier"/>
      <w:lang w:bidi="ar-SA"/>
    </w:rPr>
  </w:style>
  <w:style w:type="character" w:customStyle="1" w:styleId="BodyTextChar">
    <w:name w:val="Body Text Char"/>
    <w:basedOn w:val="DefaultParagraphFont"/>
    <w:link w:val="BodyText"/>
    <w:rsid w:val="00640061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04E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04E"/>
    <w:rPr>
      <w:rFonts w:ascii="Times New Roman" w:eastAsia="Calibri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051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2012-09-17T07:00:00+00:00</OpenedDate>
    <Date1 xmlns="dc463f71-b30c-4ab2-9473-d307f9d35888">2012-10-11T07:00:00+00:00</Date1>
    <IsDocumentOrder xmlns="dc463f71-b30c-4ab2-9473-d307f9d35888" xsi:nil="true"/>
    <IsHighlyConfidential xmlns="dc463f71-b30c-4ab2-9473-d307f9d35888">false</IsHighlyConfidential>
    <CaseCompanyNames xmlns="dc463f71-b30c-4ab2-9473-d307f9d35888">Scenic Shores Water Company</CaseCompanyNames>
    <DocketNumber xmlns="dc463f71-b30c-4ab2-9473-d307f9d35888">121523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0CB8EB022C9F418695ADA2A292C55D" ma:contentTypeVersion="139" ma:contentTypeDescription="" ma:contentTypeScope="" ma:versionID="c8bae7b8964cad2c25b8120b387e35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DB0DE-B7DB-463E-A0C7-B96A54DDF93E}"/>
</file>

<file path=customXml/itemProps2.xml><?xml version="1.0" encoding="utf-8"?>
<ds:datastoreItem xmlns:ds="http://schemas.openxmlformats.org/officeDocument/2006/customXml" ds:itemID="{D3630B3D-7A61-4250-AC79-E615B32A51E4}"/>
</file>

<file path=customXml/itemProps3.xml><?xml version="1.0" encoding="utf-8"?>
<ds:datastoreItem xmlns:ds="http://schemas.openxmlformats.org/officeDocument/2006/customXml" ds:itemID="{5D508F9C-D8AA-4D6C-AB99-7C4E100C1A8E}"/>
</file>

<file path=customXml/itemProps4.xml><?xml version="1.0" encoding="utf-8"?>
<ds:datastoreItem xmlns:ds="http://schemas.openxmlformats.org/officeDocument/2006/customXml" ds:itemID="{9BF6D8F1-D1F9-4BF3-80AB-3F54E1AB4F48}"/>
</file>

<file path=customXml/itemProps5.xml><?xml version="1.0" encoding="utf-8"?>
<ds:datastoreItem xmlns:ds="http://schemas.openxmlformats.org/officeDocument/2006/customXml" ds:itemID="{EE13E07A-F03A-425B-9240-AA9A54786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Scenic Shores Memo for suspend</vt:lpstr>
    </vt:vector>
  </TitlesOfParts>
  <Company>Washington Utilities and Transportation Commission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Scenic Shores Memo for suspend</dc:title>
  <dc:creator>Jim Ward</dc:creator>
  <cp:lastModifiedBy>Lisa Wyse, Records Manager</cp:lastModifiedBy>
  <cp:revision>2</cp:revision>
  <cp:lastPrinted>2012-10-04T19:54:00Z</cp:lastPrinted>
  <dcterms:created xsi:type="dcterms:W3CDTF">2012-10-09T00:04:00Z</dcterms:created>
  <dcterms:modified xsi:type="dcterms:W3CDTF">2012-10-09T00:04:00Z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0x0101006E56B4D1795A2E4DB2F0B01679ED314A006C0CB8EB022C9F418695ADA2A292C55D</vt:lpwstr>
  </property>
  <property fmtid="{D5CDD505-2E9C-101B-9397-08002B2CF9AE}" pid="3" name="_docset_NoMedatataSyncRequired">
    <vt:lpwstr>False</vt:lpwstr>
  </property>
</Properties>
</file>