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8472D2" w:rsidRDefault="003E2C97" w:rsidP="008472D2">
      <w:pPr>
        <w:pStyle w:val="BodyText"/>
        <w:spacing w:line="264" w:lineRule="auto"/>
        <w:rPr>
          <w:b/>
          <w:bCs/>
          <w:sz w:val="25"/>
          <w:szCs w:val="25"/>
        </w:rPr>
      </w:pPr>
      <w:bookmarkStart w:id="0" w:name="_GoBack"/>
      <w:bookmarkEnd w:id="0"/>
      <w:r w:rsidRPr="008472D2">
        <w:rPr>
          <w:b/>
          <w:bCs/>
          <w:sz w:val="25"/>
          <w:szCs w:val="25"/>
        </w:rPr>
        <w:t>BEFORE THE WASHINGTON</w:t>
      </w:r>
    </w:p>
    <w:p w:rsidR="003E2C97" w:rsidRPr="008472D2" w:rsidRDefault="003E2C97" w:rsidP="008472D2">
      <w:pPr>
        <w:pStyle w:val="BodyText"/>
        <w:spacing w:line="264" w:lineRule="auto"/>
        <w:rPr>
          <w:b/>
          <w:bCs/>
          <w:sz w:val="25"/>
          <w:szCs w:val="25"/>
        </w:rPr>
      </w:pPr>
      <w:r w:rsidRPr="008472D2">
        <w:rPr>
          <w:b/>
          <w:bCs/>
          <w:sz w:val="25"/>
          <w:szCs w:val="25"/>
        </w:rPr>
        <w:t>UTILITIES AND TRANSPORTATION COMMISSION</w:t>
      </w:r>
    </w:p>
    <w:p w:rsidR="003E2C97" w:rsidRPr="008472D2" w:rsidRDefault="003E2C97" w:rsidP="008472D2">
      <w:pPr>
        <w:pStyle w:val="BodyText"/>
        <w:spacing w:line="264" w:lineRule="auto"/>
        <w:rPr>
          <w:sz w:val="25"/>
          <w:szCs w:val="25"/>
        </w:rPr>
      </w:pPr>
    </w:p>
    <w:p w:rsidR="00B3599E" w:rsidRPr="008472D2" w:rsidRDefault="00B3599E" w:rsidP="008472D2">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8472D2" w:rsidTr="000A4BCA">
        <w:trPr>
          <w:trHeight w:val="2025"/>
        </w:trPr>
        <w:tc>
          <w:tcPr>
            <w:tcW w:w="4372" w:type="dxa"/>
          </w:tcPr>
          <w:p w:rsidR="003E2C97" w:rsidRPr="008472D2" w:rsidRDefault="003E2C97" w:rsidP="008472D2">
            <w:pPr>
              <w:spacing w:line="264" w:lineRule="auto"/>
              <w:rPr>
                <w:bCs/>
                <w:sz w:val="25"/>
                <w:szCs w:val="25"/>
              </w:rPr>
            </w:pPr>
            <w:r w:rsidRPr="008472D2">
              <w:rPr>
                <w:bCs/>
                <w:sz w:val="25"/>
                <w:szCs w:val="25"/>
              </w:rPr>
              <w:t xml:space="preserve">In the Matter of a Penalty Assessment Against </w:t>
            </w:r>
          </w:p>
          <w:p w:rsidR="007C3B22" w:rsidRPr="008472D2" w:rsidRDefault="007C3B22" w:rsidP="008472D2">
            <w:pPr>
              <w:spacing w:line="264" w:lineRule="auto"/>
              <w:rPr>
                <w:bCs/>
                <w:sz w:val="25"/>
                <w:szCs w:val="25"/>
              </w:rPr>
            </w:pPr>
          </w:p>
          <w:p w:rsidR="003E2C97" w:rsidRPr="008472D2" w:rsidRDefault="00FB3419" w:rsidP="008472D2">
            <w:pPr>
              <w:spacing w:line="264" w:lineRule="auto"/>
              <w:rPr>
                <w:bCs/>
                <w:sz w:val="25"/>
                <w:szCs w:val="25"/>
              </w:rPr>
            </w:pPr>
            <w:r w:rsidRPr="008472D2">
              <w:rPr>
                <w:bCs/>
                <w:sz w:val="25"/>
                <w:szCs w:val="25"/>
              </w:rPr>
              <w:t>AMERICA’S MOVING MACHINES, INC.</w:t>
            </w:r>
            <w:r w:rsidR="003E2C97" w:rsidRPr="008472D2">
              <w:rPr>
                <w:bCs/>
                <w:sz w:val="25"/>
                <w:szCs w:val="25"/>
              </w:rPr>
              <w:t xml:space="preserve">, </w:t>
            </w:r>
          </w:p>
          <w:p w:rsidR="003E2C97" w:rsidRPr="008472D2" w:rsidRDefault="003E2C97" w:rsidP="008472D2">
            <w:pPr>
              <w:spacing w:line="264" w:lineRule="auto"/>
              <w:rPr>
                <w:bCs/>
                <w:sz w:val="25"/>
                <w:szCs w:val="25"/>
              </w:rPr>
            </w:pPr>
          </w:p>
          <w:p w:rsidR="003E2C97" w:rsidRPr="008472D2" w:rsidRDefault="003E2C97" w:rsidP="008472D2">
            <w:pPr>
              <w:spacing w:line="264" w:lineRule="auto"/>
              <w:rPr>
                <w:sz w:val="25"/>
                <w:szCs w:val="25"/>
              </w:rPr>
            </w:pPr>
            <w:r w:rsidRPr="008472D2">
              <w:rPr>
                <w:bCs/>
                <w:sz w:val="25"/>
                <w:szCs w:val="25"/>
              </w:rPr>
              <w:t>in the amount of $</w:t>
            </w:r>
            <w:r w:rsidR="007C3B22" w:rsidRPr="008472D2">
              <w:rPr>
                <w:bCs/>
                <w:sz w:val="25"/>
                <w:szCs w:val="25"/>
              </w:rPr>
              <w:t>2</w:t>
            </w:r>
            <w:r w:rsidR="008472D2" w:rsidRPr="008472D2">
              <w:rPr>
                <w:bCs/>
                <w:sz w:val="25"/>
                <w:szCs w:val="25"/>
              </w:rPr>
              <w:t>,</w:t>
            </w:r>
            <w:r w:rsidR="00FB3419" w:rsidRPr="008472D2">
              <w:rPr>
                <w:bCs/>
                <w:sz w:val="25"/>
                <w:szCs w:val="25"/>
              </w:rPr>
              <w:t>100</w:t>
            </w:r>
            <w:r w:rsidRPr="008472D2">
              <w:rPr>
                <w:bCs/>
                <w:sz w:val="25"/>
                <w:szCs w:val="25"/>
              </w:rPr>
              <w:t>.00.</w:t>
            </w:r>
          </w:p>
          <w:p w:rsidR="003E2C97" w:rsidRPr="008472D2" w:rsidRDefault="003E2C97" w:rsidP="008472D2">
            <w:pPr>
              <w:spacing w:line="264" w:lineRule="auto"/>
              <w:rPr>
                <w:sz w:val="25"/>
                <w:szCs w:val="25"/>
              </w:rPr>
            </w:pPr>
            <w:r w:rsidRPr="008472D2">
              <w:rPr>
                <w:sz w:val="25"/>
                <w:szCs w:val="25"/>
              </w:rPr>
              <w:t xml:space="preserve">. . . . . . . . . . . . . . . . . . . . . . . . . . . . . . . . . </w:t>
            </w:r>
          </w:p>
        </w:tc>
        <w:tc>
          <w:tcPr>
            <w:tcW w:w="236" w:type="dxa"/>
          </w:tcPr>
          <w:p w:rsidR="003E2C97" w:rsidRPr="008472D2" w:rsidRDefault="003E2C97" w:rsidP="008472D2">
            <w:pPr>
              <w:spacing w:line="264" w:lineRule="auto"/>
              <w:rPr>
                <w:sz w:val="25"/>
                <w:szCs w:val="25"/>
              </w:rPr>
            </w:pPr>
            <w:r w:rsidRPr="008472D2">
              <w:rPr>
                <w:sz w:val="25"/>
                <w:szCs w:val="25"/>
              </w:rPr>
              <w:t>)</w:t>
            </w:r>
          </w:p>
          <w:p w:rsidR="003E2C97" w:rsidRPr="008472D2" w:rsidRDefault="003E2C97" w:rsidP="008472D2">
            <w:pPr>
              <w:spacing w:line="264" w:lineRule="auto"/>
              <w:rPr>
                <w:sz w:val="25"/>
                <w:szCs w:val="25"/>
              </w:rPr>
            </w:pPr>
            <w:r w:rsidRPr="008472D2">
              <w:rPr>
                <w:sz w:val="25"/>
                <w:szCs w:val="25"/>
              </w:rPr>
              <w:t>)</w:t>
            </w:r>
          </w:p>
          <w:p w:rsidR="003E2C97" w:rsidRPr="008472D2" w:rsidRDefault="003E2C97" w:rsidP="008472D2">
            <w:pPr>
              <w:spacing w:line="264" w:lineRule="auto"/>
              <w:rPr>
                <w:sz w:val="25"/>
                <w:szCs w:val="25"/>
              </w:rPr>
            </w:pPr>
            <w:r w:rsidRPr="008472D2">
              <w:rPr>
                <w:sz w:val="25"/>
                <w:szCs w:val="25"/>
              </w:rPr>
              <w:t>)</w:t>
            </w:r>
          </w:p>
          <w:p w:rsidR="003E2C97" w:rsidRPr="008472D2" w:rsidRDefault="003E2C97" w:rsidP="008472D2">
            <w:pPr>
              <w:spacing w:line="264" w:lineRule="auto"/>
              <w:rPr>
                <w:sz w:val="25"/>
                <w:szCs w:val="25"/>
              </w:rPr>
            </w:pPr>
            <w:r w:rsidRPr="008472D2">
              <w:rPr>
                <w:sz w:val="25"/>
                <w:szCs w:val="25"/>
              </w:rPr>
              <w:t>)</w:t>
            </w:r>
          </w:p>
          <w:p w:rsidR="003E2C97" w:rsidRPr="008472D2" w:rsidRDefault="003E2C97" w:rsidP="008472D2">
            <w:pPr>
              <w:spacing w:line="264" w:lineRule="auto"/>
              <w:rPr>
                <w:sz w:val="25"/>
                <w:szCs w:val="25"/>
              </w:rPr>
            </w:pPr>
            <w:r w:rsidRPr="008472D2">
              <w:rPr>
                <w:sz w:val="25"/>
                <w:szCs w:val="25"/>
              </w:rPr>
              <w:t>)</w:t>
            </w:r>
          </w:p>
          <w:p w:rsidR="003E2C97" w:rsidRPr="008472D2" w:rsidRDefault="003E2C97" w:rsidP="008472D2">
            <w:pPr>
              <w:spacing w:line="264" w:lineRule="auto"/>
              <w:rPr>
                <w:sz w:val="25"/>
                <w:szCs w:val="25"/>
              </w:rPr>
            </w:pPr>
            <w:r w:rsidRPr="008472D2">
              <w:rPr>
                <w:sz w:val="25"/>
                <w:szCs w:val="25"/>
              </w:rPr>
              <w:t>)</w:t>
            </w:r>
          </w:p>
          <w:p w:rsidR="003E2C97" w:rsidRDefault="003E2C97" w:rsidP="008472D2">
            <w:pPr>
              <w:spacing w:line="264" w:lineRule="auto"/>
              <w:rPr>
                <w:sz w:val="25"/>
                <w:szCs w:val="25"/>
              </w:rPr>
            </w:pPr>
            <w:r w:rsidRPr="008472D2">
              <w:rPr>
                <w:sz w:val="25"/>
                <w:szCs w:val="25"/>
              </w:rPr>
              <w:t>)</w:t>
            </w:r>
          </w:p>
          <w:p w:rsidR="008472D2" w:rsidRPr="008472D2" w:rsidRDefault="008472D2" w:rsidP="008472D2">
            <w:pPr>
              <w:spacing w:line="264" w:lineRule="auto"/>
              <w:rPr>
                <w:sz w:val="25"/>
                <w:szCs w:val="25"/>
              </w:rPr>
            </w:pPr>
            <w:r>
              <w:rPr>
                <w:sz w:val="25"/>
                <w:szCs w:val="25"/>
              </w:rPr>
              <w:t>)</w:t>
            </w:r>
          </w:p>
        </w:tc>
        <w:tc>
          <w:tcPr>
            <w:tcW w:w="3888" w:type="dxa"/>
          </w:tcPr>
          <w:p w:rsidR="003E2C97" w:rsidRPr="008472D2" w:rsidRDefault="003E2C97" w:rsidP="008472D2">
            <w:pPr>
              <w:spacing w:line="264" w:lineRule="auto"/>
              <w:rPr>
                <w:sz w:val="25"/>
                <w:szCs w:val="25"/>
              </w:rPr>
            </w:pPr>
            <w:r w:rsidRPr="008472D2">
              <w:rPr>
                <w:sz w:val="25"/>
                <w:szCs w:val="25"/>
              </w:rPr>
              <w:t xml:space="preserve">DOCKET </w:t>
            </w:r>
            <w:r w:rsidRPr="008472D2">
              <w:rPr>
                <w:bCs/>
                <w:sz w:val="25"/>
                <w:szCs w:val="25"/>
              </w:rPr>
              <w:t>TV-</w:t>
            </w:r>
            <w:r w:rsidR="00087389" w:rsidRPr="008472D2">
              <w:rPr>
                <w:bCs/>
                <w:sz w:val="25"/>
                <w:szCs w:val="25"/>
              </w:rPr>
              <w:t>120911</w:t>
            </w:r>
          </w:p>
          <w:p w:rsidR="007C3B22" w:rsidRPr="008472D2" w:rsidRDefault="007C3B22" w:rsidP="008472D2">
            <w:pPr>
              <w:spacing w:line="264" w:lineRule="auto"/>
              <w:rPr>
                <w:sz w:val="25"/>
                <w:szCs w:val="25"/>
              </w:rPr>
            </w:pPr>
          </w:p>
          <w:p w:rsidR="003E2C97" w:rsidRPr="008472D2" w:rsidRDefault="003E2C97" w:rsidP="008472D2">
            <w:pPr>
              <w:spacing w:line="264" w:lineRule="auto"/>
              <w:rPr>
                <w:sz w:val="25"/>
                <w:szCs w:val="25"/>
              </w:rPr>
            </w:pPr>
            <w:r w:rsidRPr="008472D2">
              <w:rPr>
                <w:sz w:val="25"/>
                <w:szCs w:val="25"/>
              </w:rPr>
              <w:t>ORDER 0</w:t>
            </w:r>
            <w:r w:rsidRPr="008472D2">
              <w:rPr>
                <w:bCs/>
                <w:sz w:val="25"/>
                <w:szCs w:val="25"/>
              </w:rPr>
              <w:t>1</w:t>
            </w:r>
          </w:p>
          <w:p w:rsidR="003E2C97" w:rsidRPr="008472D2" w:rsidRDefault="003E2C97" w:rsidP="008472D2">
            <w:pPr>
              <w:spacing w:line="264" w:lineRule="auto"/>
              <w:rPr>
                <w:sz w:val="25"/>
                <w:szCs w:val="25"/>
              </w:rPr>
            </w:pPr>
          </w:p>
          <w:p w:rsidR="003E2C97" w:rsidRPr="008472D2" w:rsidRDefault="00300B05" w:rsidP="008472D2">
            <w:pPr>
              <w:spacing w:line="264" w:lineRule="auto"/>
              <w:rPr>
                <w:sz w:val="25"/>
                <w:szCs w:val="25"/>
              </w:rPr>
            </w:pPr>
            <w:r w:rsidRPr="008472D2">
              <w:rPr>
                <w:sz w:val="25"/>
                <w:szCs w:val="25"/>
              </w:rPr>
              <w:t>ORDER PARTIALLY SUSPENDING PENALTY, SUBJECT TO CONDITION</w:t>
            </w:r>
          </w:p>
        </w:tc>
      </w:tr>
    </w:tbl>
    <w:p w:rsidR="00B3599E" w:rsidRPr="008472D2" w:rsidRDefault="00B3599E" w:rsidP="008472D2">
      <w:pPr>
        <w:spacing w:line="264" w:lineRule="auto"/>
        <w:rPr>
          <w:sz w:val="25"/>
          <w:szCs w:val="25"/>
        </w:rPr>
      </w:pPr>
    </w:p>
    <w:p w:rsidR="00087389" w:rsidRPr="008472D2" w:rsidRDefault="00087389" w:rsidP="008472D2">
      <w:pPr>
        <w:spacing w:line="264" w:lineRule="auto"/>
        <w:rPr>
          <w:sz w:val="25"/>
          <w:szCs w:val="25"/>
        </w:rPr>
      </w:pPr>
    </w:p>
    <w:p w:rsidR="00E13E08" w:rsidRPr="008472D2" w:rsidRDefault="00E13E08" w:rsidP="008472D2">
      <w:pPr>
        <w:spacing w:line="264" w:lineRule="auto"/>
        <w:jc w:val="center"/>
        <w:rPr>
          <w:b/>
          <w:sz w:val="25"/>
          <w:szCs w:val="25"/>
          <w:u w:val="single"/>
        </w:rPr>
      </w:pPr>
      <w:r w:rsidRPr="008472D2">
        <w:rPr>
          <w:b/>
          <w:sz w:val="25"/>
          <w:szCs w:val="25"/>
          <w:u w:val="single"/>
        </w:rPr>
        <w:t>MEMORANDUM</w:t>
      </w:r>
    </w:p>
    <w:p w:rsidR="00E13E08" w:rsidRPr="008472D2" w:rsidRDefault="00E13E08" w:rsidP="008472D2">
      <w:pPr>
        <w:spacing w:line="264" w:lineRule="auto"/>
        <w:rPr>
          <w:sz w:val="25"/>
          <w:szCs w:val="25"/>
        </w:rPr>
      </w:pPr>
    </w:p>
    <w:p w:rsidR="00F43A92" w:rsidRPr="008472D2" w:rsidRDefault="003E2C97" w:rsidP="008472D2">
      <w:pPr>
        <w:numPr>
          <w:ilvl w:val="0"/>
          <w:numId w:val="1"/>
        </w:numPr>
        <w:spacing w:line="264" w:lineRule="auto"/>
        <w:ind w:hanging="720"/>
        <w:rPr>
          <w:sz w:val="25"/>
          <w:szCs w:val="25"/>
        </w:rPr>
      </w:pPr>
      <w:r w:rsidRPr="008472D2">
        <w:rPr>
          <w:b/>
          <w:bCs/>
          <w:sz w:val="25"/>
          <w:szCs w:val="25"/>
        </w:rPr>
        <w:t>Penalty.</w:t>
      </w:r>
      <w:r w:rsidRPr="008472D2">
        <w:rPr>
          <w:sz w:val="25"/>
          <w:szCs w:val="25"/>
        </w:rPr>
        <w:t xml:space="preserve">  On </w:t>
      </w:r>
      <w:r w:rsidR="00087389" w:rsidRPr="008472D2">
        <w:rPr>
          <w:sz w:val="25"/>
          <w:szCs w:val="25"/>
        </w:rPr>
        <w:t>July 23</w:t>
      </w:r>
      <w:r w:rsidRPr="008472D2">
        <w:rPr>
          <w:sz w:val="25"/>
          <w:szCs w:val="25"/>
        </w:rPr>
        <w:t>, 2012, the Washington Utilities and Transportation Commission (Commission) assessed a penalty of $</w:t>
      </w:r>
      <w:r w:rsidR="007C3B22" w:rsidRPr="008472D2">
        <w:rPr>
          <w:sz w:val="25"/>
          <w:szCs w:val="25"/>
        </w:rPr>
        <w:t>2</w:t>
      </w:r>
      <w:r w:rsidR="008472D2">
        <w:rPr>
          <w:sz w:val="25"/>
          <w:szCs w:val="25"/>
        </w:rPr>
        <w:t>,</w:t>
      </w:r>
      <w:r w:rsidR="00087389" w:rsidRPr="008472D2">
        <w:rPr>
          <w:sz w:val="25"/>
          <w:szCs w:val="25"/>
        </w:rPr>
        <w:t>10</w:t>
      </w:r>
      <w:r w:rsidRPr="008472D2">
        <w:rPr>
          <w:sz w:val="25"/>
          <w:szCs w:val="25"/>
        </w:rPr>
        <w:t xml:space="preserve">0 against </w:t>
      </w:r>
      <w:r w:rsidR="00087389" w:rsidRPr="008472D2">
        <w:rPr>
          <w:sz w:val="25"/>
          <w:szCs w:val="25"/>
        </w:rPr>
        <w:t>America’s Moving Machines, Inc. (America’s Moving)</w:t>
      </w:r>
      <w:r w:rsidRPr="008472D2">
        <w:rPr>
          <w:sz w:val="25"/>
          <w:szCs w:val="25"/>
        </w:rPr>
        <w:t>, for violation</w:t>
      </w:r>
      <w:r w:rsidR="00F43A92" w:rsidRPr="008472D2">
        <w:rPr>
          <w:sz w:val="25"/>
          <w:szCs w:val="25"/>
        </w:rPr>
        <w:t>s</w:t>
      </w:r>
      <w:r w:rsidRPr="008472D2">
        <w:rPr>
          <w:sz w:val="25"/>
          <w:szCs w:val="25"/>
        </w:rPr>
        <w:t xml:space="preserve"> of Washington Administrative Code (WAC) 480-15-</w:t>
      </w:r>
      <w:r w:rsidR="007C3B22" w:rsidRPr="008472D2">
        <w:rPr>
          <w:sz w:val="25"/>
          <w:szCs w:val="25"/>
        </w:rPr>
        <w:t>48</w:t>
      </w:r>
      <w:r w:rsidRPr="008472D2">
        <w:rPr>
          <w:sz w:val="25"/>
          <w:szCs w:val="25"/>
        </w:rPr>
        <w:t>0.</w:t>
      </w:r>
      <w:r w:rsidR="00F43A92" w:rsidRPr="008472D2">
        <w:rPr>
          <w:sz w:val="25"/>
          <w:szCs w:val="25"/>
        </w:rPr>
        <w:t xml:space="preserve">  </w:t>
      </w:r>
      <w:r w:rsidRPr="008472D2">
        <w:rPr>
          <w:sz w:val="25"/>
          <w:szCs w:val="25"/>
        </w:rPr>
        <w:t xml:space="preserve">This rule requires household goods carriers to </w:t>
      </w:r>
      <w:r w:rsidR="007C3B22" w:rsidRPr="008472D2">
        <w:rPr>
          <w:sz w:val="25"/>
          <w:szCs w:val="25"/>
        </w:rPr>
        <w:t>file</w:t>
      </w:r>
      <w:r w:rsidRPr="008472D2">
        <w:rPr>
          <w:sz w:val="25"/>
          <w:szCs w:val="25"/>
        </w:rPr>
        <w:t xml:space="preserve"> </w:t>
      </w:r>
      <w:r w:rsidR="007C3B22" w:rsidRPr="008472D2">
        <w:rPr>
          <w:sz w:val="25"/>
          <w:szCs w:val="25"/>
        </w:rPr>
        <w:t xml:space="preserve">annual reports with the Commission by May 1 </w:t>
      </w:r>
      <w:r w:rsidR="008472D2" w:rsidRPr="008472D2">
        <w:rPr>
          <w:sz w:val="25"/>
          <w:szCs w:val="25"/>
        </w:rPr>
        <w:t xml:space="preserve">of </w:t>
      </w:r>
      <w:r w:rsidR="007C3B22" w:rsidRPr="008472D2">
        <w:rPr>
          <w:sz w:val="25"/>
          <w:szCs w:val="25"/>
        </w:rPr>
        <w:t>each year</w:t>
      </w:r>
      <w:r w:rsidR="00260481" w:rsidRPr="008472D2">
        <w:rPr>
          <w:sz w:val="25"/>
          <w:szCs w:val="25"/>
        </w:rPr>
        <w:t>.</w:t>
      </w:r>
    </w:p>
    <w:p w:rsidR="00F43A92" w:rsidRPr="008472D2" w:rsidRDefault="00F43A92" w:rsidP="008472D2">
      <w:pPr>
        <w:spacing w:line="264" w:lineRule="auto"/>
        <w:rPr>
          <w:sz w:val="25"/>
          <w:szCs w:val="25"/>
        </w:rPr>
      </w:pPr>
    </w:p>
    <w:p w:rsidR="00087389" w:rsidRPr="008472D2" w:rsidRDefault="003C0159" w:rsidP="008472D2">
      <w:pPr>
        <w:numPr>
          <w:ilvl w:val="0"/>
          <w:numId w:val="1"/>
        </w:numPr>
        <w:spacing w:line="264" w:lineRule="auto"/>
        <w:ind w:hanging="720"/>
        <w:rPr>
          <w:sz w:val="25"/>
          <w:szCs w:val="25"/>
        </w:rPr>
      </w:pPr>
      <w:r w:rsidRPr="008472D2">
        <w:rPr>
          <w:b/>
          <w:sz w:val="25"/>
          <w:szCs w:val="25"/>
        </w:rPr>
        <w:t xml:space="preserve">Background.  </w:t>
      </w:r>
      <w:r w:rsidR="00F43A92" w:rsidRPr="008472D2">
        <w:rPr>
          <w:sz w:val="25"/>
          <w:szCs w:val="25"/>
        </w:rPr>
        <w:t xml:space="preserve">On February 29, 2012, the Commission mailed Annual Report forms and Regulatory Fee packets to all regulated </w:t>
      </w:r>
      <w:sdt>
        <w:sdtPr>
          <w:rPr>
            <w:sz w:val="25"/>
            <w:szCs w:val="25"/>
          </w:rPr>
          <w:id w:val="254879471"/>
          <w:placeholder>
            <w:docPart w:val="BAB65551C9F04C09A1336383E1F195C4"/>
          </w:placeholder>
        </w:sdtPr>
        <w:sdtEndPr/>
        <w:sdtContent>
          <w:r w:rsidR="00F43A92" w:rsidRPr="008472D2">
            <w:rPr>
              <w:sz w:val="25"/>
              <w:szCs w:val="25"/>
            </w:rPr>
            <w:t>household goods carriers</w:t>
          </w:r>
        </w:sdtContent>
      </w:sdt>
      <w:r w:rsidR="00F43A92" w:rsidRPr="008472D2">
        <w:rPr>
          <w:sz w:val="25"/>
          <w:szCs w:val="25"/>
        </w:rPr>
        <w:t xml:space="preserve"> as required by WAC 480-15-480(1)(b).  </w:t>
      </w:r>
      <w:r w:rsidR="00087389" w:rsidRPr="008472D2">
        <w:rPr>
          <w:sz w:val="25"/>
          <w:szCs w:val="25"/>
        </w:rPr>
        <w:t>The Commission’s cover letter informed the regulated compan</w:t>
      </w:r>
      <w:r w:rsidRPr="008472D2">
        <w:rPr>
          <w:sz w:val="25"/>
          <w:szCs w:val="25"/>
        </w:rPr>
        <w:t>ies that they</w:t>
      </w:r>
      <w:r w:rsidR="00087389" w:rsidRPr="008472D2">
        <w:rPr>
          <w:sz w:val="25"/>
          <w:szCs w:val="25"/>
        </w:rPr>
        <w:t xml:space="preserve"> must complete the</w:t>
      </w:r>
      <w:r w:rsidRPr="008472D2">
        <w:rPr>
          <w:sz w:val="25"/>
          <w:szCs w:val="25"/>
        </w:rPr>
        <w:t>ir</w:t>
      </w:r>
      <w:r w:rsidR="00087389" w:rsidRPr="008472D2">
        <w:rPr>
          <w:sz w:val="25"/>
          <w:szCs w:val="25"/>
        </w:rPr>
        <w:t xml:space="preserve"> annual report form, pay any regulatory fees and return the material by May 1, 2012, to avoid enforcement action.  The letter also </w:t>
      </w:r>
      <w:r w:rsidRPr="008472D2">
        <w:rPr>
          <w:sz w:val="25"/>
          <w:szCs w:val="25"/>
        </w:rPr>
        <w:t>related that</w:t>
      </w:r>
      <w:r w:rsidR="00087389" w:rsidRPr="008472D2">
        <w:rPr>
          <w:sz w:val="25"/>
          <w:szCs w:val="25"/>
        </w:rPr>
        <w:t xml:space="preserve"> </w:t>
      </w:r>
      <w:r w:rsidRPr="008472D2">
        <w:rPr>
          <w:sz w:val="25"/>
          <w:szCs w:val="25"/>
        </w:rPr>
        <w:t>a</w:t>
      </w:r>
      <w:r w:rsidR="00087389" w:rsidRPr="008472D2">
        <w:rPr>
          <w:sz w:val="25"/>
          <w:szCs w:val="25"/>
        </w:rPr>
        <w:t xml:space="preserve"> company </w:t>
      </w:r>
      <w:r w:rsidR="00BB587C" w:rsidRPr="008472D2">
        <w:rPr>
          <w:sz w:val="25"/>
          <w:szCs w:val="25"/>
        </w:rPr>
        <w:t>could</w:t>
      </w:r>
      <w:r w:rsidR="00087389" w:rsidRPr="008472D2">
        <w:rPr>
          <w:sz w:val="25"/>
          <w:szCs w:val="25"/>
        </w:rPr>
        <w:t xml:space="preserve"> file a written request for an extension of time by April 24, 2012, </w:t>
      </w:r>
      <w:r w:rsidRPr="008472D2">
        <w:rPr>
          <w:sz w:val="25"/>
          <w:szCs w:val="25"/>
        </w:rPr>
        <w:t>stating</w:t>
      </w:r>
      <w:r w:rsidR="00087389" w:rsidRPr="008472D2">
        <w:rPr>
          <w:sz w:val="25"/>
          <w:szCs w:val="25"/>
        </w:rPr>
        <w:t xml:space="preserve"> a valid reason why </w:t>
      </w:r>
      <w:r w:rsidRPr="008472D2">
        <w:rPr>
          <w:sz w:val="25"/>
          <w:szCs w:val="25"/>
        </w:rPr>
        <w:t>it needed an</w:t>
      </w:r>
      <w:r w:rsidR="00087389" w:rsidRPr="008472D2">
        <w:rPr>
          <w:sz w:val="25"/>
          <w:szCs w:val="25"/>
        </w:rPr>
        <w:t xml:space="preserve"> extension </w:t>
      </w:r>
      <w:r w:rsidR="00BB587C" w:rsidRPr="008472D2">
        <w:rPr>
          <w:sz w:val="25"/>
          <w:szCs w:val="25"/>
        </w:rPr>
        <w:t xml:space="preserve">and </w:t>
      </w:r>
      <w:r w:rsidRPr="008472D2">
        <w:rPr>
          <w:sz w:val="25"/>
          <w:szCs w:val="25"/>
        </w:rPr>
        <w:t>committing to a</w:t>
      </w:r>
      <w:r w:rsidR="00087389" w:rsidRPr="008472D2">
        <w:rPr>
          <w:sz w:val="25"/>
          <w:szCs w:val="25"/>
        </w:rPr>
        <w:t xml:space="preserve"> date</w:t>
      </w:r>
      <w:r w:rsidRPr="008472D2">
        <w:rPr>
          <w:sz w:val="25"/>
          <w:szCs w:val="25"/>
        </w:rPr>
        <w:t xml:space="preserve"> by which</w:t>
      </w:r>
      <w:r w:rsidR="00087389" w:rsidRPr="008472D2">
        <w:rPr>
          <w:sz w:val="25"/>
          <w:szCs w:val="25"/>
        </w:rPr>
        <w:t xml:space="preserve"> the report w</w:t>
      </w:r>
      <w:r w:rsidRPr="008472D2">
        <w:rPr>
          <w:sz w:val="25"/>
          <w:szCs w:val="25"/>
        </w:rPr>
        <w:t xml:space="preserve">ould </w:t>
      </w:r>
      <w:r w:rsidR="00087389" w:rsidRPr="008472D2">
        <w:rPr>
          <w:sz w:val="25"/>
          <w:szCs w:val="25"/>
        </w:rPr>
        <w:t>be filed.</w:t>
      </w:r>
      <w:r w:rsidR="00CB4969" w:rsidRPr="008472D2">
        <w:rPr>
          <w:sz w:val="25"/>
          <w:szCs w:val="25"/>
        </w:rPr>
        <w:t xml:space="preserve"> </w:t>
      </w:r>
      <w:r w:rsidR="00087389" w:rsidRPr="008472D2">
        <w:rPr>
          <w:sz w:val="25"/>
          <w:szCs w:val="25"/>
        </w:rPr>
        <w:t xml:space="preserve"> </w:t>
      </w:r>
      <w:r w:rsidR="00CB4969" w:rsidRPr="008472D2">
        <w:rPr>
          <w:sz w:val="25"/>
          <w:szCs w:val="25"/>
        </w:rPr>
        <w:t xml:space="preserve">America’s Moving </w:t>
      </w:r>
      <w:r w:rsidR="00087389" w:rsidRPr="008472D2">
        <w:rPr>
          <w:sz w:val="25"/>
          <w:szCs w:val="25"/>
        </w:rPr>
        <w:t xml:space="preserve">did not file </w:t>
      </w:r>
      <w:r w:rsidRPr="008472D2">
        <w:rPr>
          <w:sz w:val="25"/>
          <w:szCs w:val="25"/>
        </w:rPr>
        <w:t xml:space="preserve">its report or </w:t>
      </w:r>
      <w:r w:rsidR="00087389" w:rsidRPr="008472D2">
        <w:rPr>
          <w:sz w:val="25"/>
          <w:szCs w:val="25"/>
        </w:rPr>
        <w:t xml:space="preserve">request an extension. </w:t>
      </w:r>
    </w:p>
    <w:p w:rsidR="00087389" w:rsidRPr="008472D2" w:rsidRDefault="00087389" w:rsidP="008472D2">
      <w:pPr>
        <w:pStyle w:val="ListParagraph"/>
        <w:spacing w:line="264" w:lineRule="auto"/>
        <w:rPr>
          <w:sz w:val="25"/>
          <w:szCs w:val="25"/>
        </w:rPr>
      </w:pPr>
    </w:p>
    <w:p w:rsidR="00F43A92" w:rsidRPr="008472D2" w:rsidRDefault="00F43A92" w:rsidP="008472D2">
      <w:pPr>
        <w:numPr>
          <w:ilvl w:val="0"/>
          <w:numId w:val="1"/>
        </w:numPr>
        <w:spacing w:line="264" w:lineRule="auto"/>
        <w:ind w:hanging="720"/>
        <w:rPr>
          <w:sz w:val="25"/>
          <w:szCs w:val="25"/>
        </w:rPr>
      </w:pPr>
      <w:r w:rsidRPr="008472D2">
        <w:rPr>
          <w:sz w:val="25"/>
          <w:szCs w:val="25"/>
        </w:rPr>
        <w:t xml:space="preserve">On May </w:t>
      </w:r>
      <w:sdt>
        <w:sdtPr>
          <w:rPr>
            <w:sz w:val="25"/>
            <w:szCs w:val="25"/>
          </w:rPr>
          <w:id w:val="94452951"/>
          <w:placeholder>
            <w:docPart w:val="FC5945682D214C76B5DC2C7DD7E2A298"/>
          </w:placeholder>
        </w:sdtPr>
        <w:sdtEndPr/>
        <w:sdtContent>
          <w:r w:rsidRPr="008472D2">
            <w:rPr>
              <w:sz w:val="25"/>
              <w:szCs w:val="25"/>
            </w:rPr>
            <w:t>15</w:t>
          </w:r>
        </w:sdtContent>
      </w:sdt>
      <w:r w:rsidRPr="008472D2">
        <w:rPr>
          <w:sz w:val="25"/>
          <w:szCs w:val="25"/>
        </w:rPr>
        <w:t xml:space="preserve">, 2012, the Commission mailed a letter to </w:t>
      </w:r>
      <w:r w:rsidR="003C0159" w:rsidRPr="008472D2">
        <w:rPr>
          <w:sz w:val="25"/>
          <w:szCs w:val="25"/>
        </w:rPr>
        <w:t xml:space="preserve">America’s Moving and other </w:t>
      </w:r>
      <w:r w:rsidRPr="008472D2">
        <w:rPr>
          <w:sz w:val="25"/>
          <w:szCs w:val="25"/>
        </w:rPr>
        <w:t>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Pr="008472D2">
            <w:rPr>
              <w:sz w:val="25"/>
              <w:szCs w:val="25"/>
            </w:rPr>
            <w:t>900</w:t>
          </w:r>
        </w:sdtContent>
      </w:sdt>
      <w:r w:rsidRPr="008472D2">
        <w:rPr>
          <w:sz w:val="25"/>
          <w:szCs w:val="25"/>
        </w:rPr>
        <w:t>. The letter explained that companies who filed their annual reports no later than May 25, 2012</w:t>
      </w:r>
      <w:r w:rsidR="00D97A09" w:rsidRPr="008472D2">
        <w:rPr>
          <w:sz w:val="25"/>
          <w:szCs w:val="25"/>
        </w:rPr>
        <w:t>,</w:t>
      </w:r>
      <w:r w:rsidRPr="008472D2">
        <w:rPr>
          <w:sz w:val="25"/>
          <w:szCs w:val="25"/>
        </w:rPr>
        <w:t xml:space="preserve"> would receive mitigated penalties of $25 per day, with an additional $25 per day assessed for each instance in the previous five years that the company received a penalty for filing a late report.</w:t>
      </w:r>
    </w:p>
    <w:p w:rsidR="00213F95" w:rsidRPr="008472D2" w:rsidRDefault="00213F95" w:rsidP="008472D2">
      <w:pPr>
        <w:pStyle w:val="ListParagraph"/>
        <w:spacing w:line="264" w:lineRule="auto"/>
        <w:rPr>
          <w:sz w:val="25"/>
          <w:szCs w:val="25"/>
        </w:rPr>
      </w:pPr>
    </w:p>
    <w:p w:rsidR="00213F95" w:rsidRPr="008472D2" w:rsidRDefault="00213F95" w:rsidP="008472D2">
      <w:pPr>
        <w:numPr>
          <w:ilvl w:val="0"/>
          <w:numId w:val="1"/>
        </w:numPr>
        <w:spacing w:line="264" w:lineRule="auto"/>
        <w:ind w:hanging="720"/>
        <w:rPr>
          <w:sz w:val="25"/>
          <w:szCs w:val="25"/>
        </w:rPr>
      </w:pPr>
      <w:r w:rsidRPr="008472D2">
        <w:rPr>
          <w:sz w:val="25"/>
          <w:szCs w:val="25"/>
        </w:rPr>
        <w:lastRenderedPageBreak/>
        <w:t>America’s Moving did not file its report by May 25, 2012.  The Commission’s electronic record of annual reports filed shows the company filed its report on August 7, 2012.  However, the electronic copy of the document itself shows a Commission (</w:t>
      </w:r>
      <w:r w:rsidRPr="008472D2">
        <w:rPr>
          <w:i/>
          <w:sz w:val="25"/>
          <w:szCs w:val="25"/>
        </w:rPr>
        <w:t>i.e.,</w:t>
      </w:r>
      <w:r w:rsidRPr="008472D2">
        <w:rPr>
          <w:sz w:val="25"/>
          <w:szCs w:val="25"/>
        </w:rPr>
        <w:t xml:space="preserve"> Records Center) time and date stamp on June 22, 2012.  The electronic copy of the document includes a cover sheet marked with the word: “Incomplete.”  </w:t>
      </w:r>
      <w:r w:rsidR="00670C87" w:rsidRPr="008472D2">
        <w:rPr>
          <w:sz w:val="25"/>
          <w:szCs w:val="25"/>
        </w:rPr>
        <w:t>The explanation for the discrep</w:t>
      </w:r>
      <w:r w:rsidR="00BB587C" w:rsidRPr="008472D2">
        <w:rPr>
          <w:sz w:val="25"/>
          <w:szCs w:val="25"/>
        </w:rPr>
        <w:t>a</w:t>
      </w:r>
      <w:r w:rsidR="00670C87" w:rsidRPr="008472D2">
        <w:rPr>
          <w:sz w:val="25"/>
          <w:szCs w:val="25"/>
        </w:rPr>
        <w:t>ncy in the two dates is unclear</w:t>
      </w:r>
      <w:r w:rsidR="00BB587C" w:rsidRPr="008472D2">
        <w:rPr>
          <w:sz w:val="25"/>
          <w:szCs w:val="25"/>
        </w:rPr>
        <w:t>,</w:t>
      </w:r>
      <w:r w:rsidR="00670C87" w:rsidRPr="008472D2">
        <w:rPr>
          <w:sz w:val="25"/>
          <w:szCs w:val="25"/>
        </w:rPr>
        <w:t xml:space="preserve"> as is the basis for the cover sheet</w:t>
      </w:r>
      <w:r w:rsidR="00BB587C" w:rsidRPr="008472D2">
        <w:rPr>
          <w:sz w:val="25"/>
          <w:szCs w:val="25"/>
        </w:rPr>
        <w:t xml:space="preserve"> notation</w:t>
      </w:r>
      <w:r w:rsidR="00670C87" w:rsidRPr="008472D2">
        <w:rPr>
          <w:sz w:val="25"/>
          <w:szCs w:val="25"/>
        </w:rPr>
        <w:t>.  The document in the Commission’s records</w:t>
      </w:r>
      <w:r w:rsidR="00BB587C" w:rsidRPr="008472D2">
        <w:rPr>
          <w:sz w:val="25"/>
          <w:szCs w:val="25"/>
        </w:rPr>
        <w:t xml:space="preserve"> currently</w:t>
      </w:r>
      <w:r w:rsidR="00670C87" w:rsidRPr="008472D2">
        <w:rPr>
          <w:sz w:val="25"/>
          <w:szCs w:val="25"/>
        </w:rPr>
        <w:t xml:space="preserve"> appears to be substantially, if not fully complete.</w:t>
      </w:r>
      <w:r w:rsidR="00BB587C" w:rsidRPr="008472D2">
        <w:rPr>
          <w:sz w:val="25"/>
          <w:szCs w:val="25"/>
        </w:rPr>
        <w:t xml:space="preserve">  Regardless, it is clear that the company filed its annual report well after the May 1, 2012, deadline for filing and the May 25, 2012, deadline for reduced penalties.</w:t>
      </w:r>
    </w:p>
    <w:p w:rsidR="00F43A92" w:rsidRPr="008472D2" w:rsidRDefault="00F43A92" w:rsidP="008472D2">
      <w:pPr>
        <w:pStyle w:val="ListParagraph"/>
        <w:spacing w:line="264" w:lineRule="auto"/>
        <w:rPr>
          <w:sz w:val="25"/>
          <w:szCs w:val="25"/>
        </w:rPr>
      </w:pPr>
    </w:p>
    <w:p w:rsidR="00123679" w:rsidRPr="008472D2" w:rsidRDefault="00CB4969" w:rsidP="008472D2">
      <w:pPr>
        <w:numPr>
          <w:ilvl w:val="0"/>
          <w:numId w:val="1"/>
        </w:numPr>
        <w:spacing w:line="264" w:lineRule="auto"/>
        <w:ind w:hanging="720"/>
        <w:rPr>
          <w:sz w:val="25"/>
          <w:szCs w:val="25"/>
        </w:rPr>
      </w:pPr>
      <w:r w:rsidRPr="008472D2">
        <w:rPr>
          <w:sz w:val="25"/>
          <w:szCs w:val="25"/>
        </w:rPr>
        <w:t>The Commission’s July 23, 2012, penalty assessment instructed America’s Moving to complete, sign and send to the Commission within 15 days after receipt of the penalty assessment a standard Commission form that allows for payment of the penalty, a request for hearing, or an application for mitigation.  What transpired</w:t>
      </w:r>
      <w:r w:rsidR="00670C87" w:rsidRPr="008472D2">
        <w:rPr>
          <w:sz w:val="25"/>
          <w:szCs w:val="25"/>
        </w:rPr>
        <w:t xml:space="preserve"> in connection with this requirement is </w:t>
      </w:r>
      <w:r w:rsidR="00BB587C" w:rsidRPr="008472D2">
        <w:rPr>
          <w:sz w:val="25"/>
          <w:szCs w:val="25"/>
        </w:rPr>
        <w:t xml:space="preserve">also </w:t>
      </w:r>
      <w:r w:rsidR="00670C87" w:rsidRPr="008472D2">
        <w:rPr>
          <w:sz w:val="25"/>
          <w:szCs w:val="25"/>
        </w:rPr>
        <w:t>un</w:t>
      </w:r>
      <w:r w:rsidRPr="008472D2">
        <w:rPr>
          <w:sz w:val="25"/>
          <w:szCs w:val="25"/>
        </w:rPr>
        <w:t>clear from the</w:t>
      </w:r>
      <w:r w:rsidR="00670C87" w:rsidRPr="008472D2">
        <w:rPr>
          <w:sz w:val="25"/>
          <w:szCs w:val="25"/>
        </w:rPr>
        <w:t xml:space="preserve"> record.</w:t>
      </w:r>
      <w:r w:rsidRPr="008472D2">
        <w:rPr>
          <w:sz w:val="25"/>
          <w:szCs w:val="25"/>
        </w:rPr>
        <w:t xml:space="preserve"> Staff’s response to America’s Moving’s request for mitigation</w:t>
      </w:r>
      <w:r w:rsidR="00670C87" w:rsidRPr="008472D2">
        <w:rPr>
          <w:sz w:val="25"/>
          <w:szCs w:val="25"/>
        </w:rPr>
        <w:t xml:space="preserve"> relates that the Commission informed the company it had until August 7, 2012, to respond to the penalty assessment.  Staff’s response states that “on August 24, 2012, America’s Moving Machines wrote the commission requesting mitigation of penalties.”  This implies America’s Moving missed the deadline for requesting mitig</w:t>
      </w:r>
      <w:r w:rsidR="000A0E2D" w:rsidRPr="008472D2">
        <w:rPr>
          <w:sz w:val="25"/>
          <w:szCs w:val="25"/>
        </w:rPr>
        <w:t xml:space="preserve">ation, which is one of the points on which </w:t>
      </w:r>
      <w:r w:rsidR="00670C87" w:rsidRPr="008472D2">
        <w:rPr>
          <w:sz w:val="25"/>
          <w:szCs w:val="25"/>
        </w:rPr>
        <w:t>Staff</w:t>
      </w:r>
      <w:r w:rsidR="000A0E2D" w:rsidRPr="008472D2">
        <w:rPr>
          <w:sz w:val="25"/>
          <w:szCs w:val="25"/>
        </w:rPr>
        <w:t xml:space="preserve"> relies in recommending against mitigation.  </w:t>
      </w:r>
    </w:p>
    <w:p w:rsidR="00123679" w:rsidRPr="008472D2" w:rsidRDefault="00123679" w:rsidP="008472D2">
      <w:pPr>
        <w:pStyle w:val="ListParagraph"/>
        <w:spacing w:line="264" w:lineRule="auto"/>
        <w:rPr>
          <w:sz w:val="25"/>
          <w:szCs w:val="25"/>
        </w:rPr>
      </w:pPr>
    </w:p>
    <w:p w:rsidR="003E2C97" w:rsidRPr="008472D2" w:rsidRDefault="000A0E2D" w:rsidP="008472D2">
      <w:pPr>
        <w:numPr>
          <w:ilvl w:val="0"/>
          <w:numId w:val="1"/>
        </w:numPr>
        <w:spacing w:line="264" w:lineRule="auto"/>
        <w:ind w:hanging="720"/>
        <w:rPr>
          <w:sz w:val="25"/>
          <w:szCs w:val="25"/>
        </w:rPr>
      </w:pPr>
      <w:r w:rsidRPr="008472D2">
        <w:rPr>
          <w:sz w:val="25"/>
          <w:szCs w:val="25"/>
        </w:rPr>
        <w:t>The letter from America’s Moving requesting mitigation, as attached to Staff’s response, is dated August 5, 2012, bears a facsimile date</w:t>
      </w:r>
      <w:r w:rsidR="00CB4969" w:rsidRPr="008472D2">
        <w:rPr>
          <w:sz w:val="25"/>
          <w:szCs w:val="25"/>
        </w:rPr>
        <w:t xml:space="preserve"> </w:t>
      </w:r>
      <w:r w:rsidRPr="008472D2">
        <w:rPr>
          <w:sz w:val="25"/>
          <w:szCs w:val="25"/>
        </w:rPr>
        <w:t>of August 24, 2012, and a Commission Records Management time and date stamp on August 27, 2012.</w:t>
      </w:r>
      <w:r w:rsidR="00123679" w:rsidRPr="008472D2">
        <w:rPr>
          <w:sz w:val="25"/>
          <w:szCs w:val="25"/>
        </w:rPr>
        <w:t xml:space="preserve">  This supports Staff’s reportage of the course of events.</w:t>
      </w:r>
      <w:r w:rsidR="00CB4969" w:rsidRPr="008472D2">
        <w:rPr>
          <w:sz w:val="25"/>
          <w:szCs w:val="25"/>
        </w:rPr>
        <w:t xml:space="preserve"> </w:t>
      </w:r>
      <w:r w:rsidR="00E16BA9" w:rsidRPr="008472D2">
        <w:rPr>
          <w:sz w:val="25"/>
          <w:szCs w:val="25"/>
        </w:rPr>
        <w:t xml:space="preserve"> </w:t>
      </w:r>
      <w:r w:rsidRPr="008472D2">
        <w:rPr>
          <w:sz w:val="25"/>
          <w:szCs w:val="25"/>
        </w:rPr>
        <w:t>However, there is another copy of this letter in the Commission’s records.  This copy also is dated August 5, 2012, but it bears three Commission time and date stamps, the earliest of which is August 2, 2012.  The other two time and date stamps bear the date of August 27, 2012, with one by Financial Services at 8:04 a.m. and one by Records Management at 1:59 p.m.</w:t>
      </w:r>
      <w:r w:rsidR="00123679" w:rsidRPr="008472D2">
        <w:rPr>
          <w:sz w:val="25"/>
          <w:szCs w:val="25"/>
        </w:rPr>
        <w:t xml:space="preserve">  The August 2, 2012, date stamp implies that America’s Moving at least attempted to comply with the Commission’s requirements for mitigation request within the time allowed.</w:t>
      </w:r>
      <w:r w:rsidR="00E16BA9" w:rsidRPr="008472D2">
        <w:rPr>
          <w:sz w:val="25"/>
          <w:szCs w:val="25"/>
        </w:rPr>
        <w:t xml:space="preserve"> </w:t>
      </w:r>
    </w:p>
    <w:p w:rsidR="003E2C97" w:rsidRPr="008472D2" w:rsidRDefault="003E2C97" w:rsidP="008472D2">
      <w:pPr>
        <w:spacing w:line="264" w:lineRule="auto"/>
        <w:rPr>
          <w:sz w:val="25"/>
          <w:szCs w:val="25"/>
        </w:rPr>
      </w:pPr>
    </w:p>
    <w:p w:rsidR="009F6855" w:rsidRPr="008472D2" w:rsidRDefault="003E2C97" w:rsidP="008472D2">
      <w:pPr>
        <w:numPr>
          <w:ilvl w:val="0"/>
          <w:numId w:val="1"/>
        </w:numPr>
        <w:spacing w:line="264" w:lineRule="auto"/>
        <w:ind w:hanging="720"/>
        <w:rPr>
          <w:sz w:val="25"/>
          <w:szCs w:val="25"/>
        </w:rPr>
      </w:pPr>
      <w:r w:rsidRPr="008472D2">
        <w:rPr>
          <w:b/>
          <w:bCs/>
          <w:sz w:val="25"/>
          <w:szCs w:val="25"/>
        </w:rPr>
        <w:t>Mitigation Request.</w:t>
      </w:r>
      <w:r w:rsidRPr="008472D2">
        <w:rPr>
          <w:sz w:val="25"/>
          <w:szCs w:val="25"/>
        </w:rPr>
        <w:t xml:space="preserve">  </w:t>
      </w:r>
      <w:r w:rsidR="00156138" w:rsidRPr="008472D2">
        <w:rPr>
          <w:sz w:val="25"/>
          <w:szCs w:val="25"/>
        </w:rPr>
        <w:t xml:space="preserve">In its Mitigation Request, </w:t>
      </w:r>
      <w:r w:rsidR="00123679" w:rsidRPr="008472D2">
        <w:rPr>
          <w:sz w:val="25"/>
          <w:szCs w:val="25"/>
        </w:rPr>
        <w:t>America’s Moving</w:t>
      </w:r>
      <w:r w:rsidR="00156138" w:rsidRPr="008472D2">
        <w:rPr>
          <w:sz w:val="25"/>
          <w:szCs w:val="25"/>
        </w:rPr>
        <w:t xml:space="preserve"> does not dispute that the violation occurred.  The company states</w:t>
      </w:r>
      <w:r w:rsidR="009F6855" w:rsidRPr="008472D2">
        <w:rPr>
          <w:sz w:val="25"/>
          <w:szCs w:val="25"/>
        </w:rPr>
        <w:t>:</w:t>
      </w:r>
    </w:p>
    <w:p w:rsidR="009F6855" w:rsidRPr="008472D2" w:rsidRDefault="009F6855" w:rsidP="008472D2">
      <w:pPr>
        <w:pStyle w:val="ListParagraph"/>
        <w:spacing w:line="264" w:lineRule="auto"/>
        <w:rPr>
          <w:sz w:val="25"/>
          <w:szCs w:val="25"/>
        </w:rPr>
      </w:pPr>
    </w:p>
    <w:p w:rsidR="003E2C97" w:rsidRPr="008472D2" w:rsidRDefault="009F6855" w:rsidP="008472D2">
      <w:pPr>
        <w:spacing w:line="264" w:lineRule="auto"/>
        <w:ind w:left="720" w:right="720"/>
        <w:rPr>
          <w:sz w:val="25"/>
          <w:szCs w:val="25"/>
        </w:rPr>
      </w:pPr>
      <w:r w:rsidRPr="008472D2">
        <w:rPr>
          <w:sz w:val="25"/>
          <w:szCs w:val="25"/>
        </w:rPr>
        <w:lastRenderedPageBreak/>
        <w:t>We recently received a large fine for turning in our annual report late.  We are writing to respectfully request a reduction in the amount.  My wife and I struggle to keep up with the paperwork required to keep a business running and while we have learned much in the past few years, we still have far to go.  We are also in a very stressful situation with the federal government that is taking much of our time, energy and financial reserves. Though I have been in this country for more than 10 years, entered legally, began a legal business, pay taxes and am married to a US citizen, I am currently fighting deportation.  If I get deported I will lose everything I have worked for – not to mention my family, home and friends. This has put so much pressure on me that I have let other responsibilities fall through the cracks. I apologize for my annual reports’ tardiness. Please consider this letter in making your final decision.</w:t>
      </w:r>
    </w:p>
    <w:p w:rsidR="003E2C97" w:rsidRPr="008472D2" w:rsidRDefault="003E2C97" w:rsidP="008472D2">
      <w:pPr>
        <w:pStyle w:val="ListParagraph"/>
        <w:spacing w:line="264" w:lineRule="auto"/>
        <w:rPr>
          <w:sz w:val="25"/>
          <w:szCs w:val="25"/>
        </w:rPr>
      </w:pPr>
    </w:p>
    <w:p w:rsidR="005C1269" w:rsidRPr="008472D2" w:rsidRDefault="003E2C97" w:rsidP="008472D2">
      <w:pPr>
        <w:numPr>
          <w:ilvl w:val="0"/>
          <w:numId w:val="1"/>
        </w:numPr>
        <w:spacing w:line="264" w:lineRule="auto"/>
        <w:ind w:hanging="720"/>
        <w:rPr>
          <w:bCs/>
          <w:sz w:val="25"/>
          <w:szCs w:val="25"/>
        </w:rPr>
      </w:pPr>
      <w:r w:rsidRPr="008472D2">
        <w:rPr>
          <w:b/>
          <w:bCs/>
          <w:sz w:val="25"/>
          <w:szCs w:val="25"/>
        </w:rPr>
        <w:t xml:space="preserve">Commission Staff </w:t>
      </w:r>
      <w:r w:rsidR="009F6855" w:rsidRPr="008472D2">
        <w:rPr>
          <w:b/>
          <w:bCs/>
          <w:sz w:val="25"/>
          <w:szCs w:val="25"/>
        </w:rPr>
        <w:t>Opposition to</w:t>
      </w:r>
      <w:r w:rsidR="000A4BCA" w:rsidRPr="008472D2">
        <w:rPr>
          <w:b/>
          <w:bCs/>
          <w:sz w:val="25"/>
          <w:szCs w:val="25"/>
        </w:rPr>
        <w:t xml:space="preserve"> </w:t>
      </w:r>
      <w:r w:rsidRPr="008472D2">
        <w:rPr>
          <w:b/>
          <w:bCs/>
          <w:sz w:val="25"/>
          <w:szCs w:val="25"/>
        </w:rPr>
        <w:t>Mitigation.</w:t>
      </w:r>
      <w:r w:rsidRPr="008472D2">
        <w:rPr>
          <w:bCs/>
          <w:sz w:val="25"/>
          <w:szCs w:val="25"/>
        </w:rPr>
        <w:t xml:space="preserve">  Commission Staff filed a Response </w:t>
      </w:r>
      <w:r w:rsidR="00806153" w:rsidRPr="008472D2">
        <w:rPr>
          <w:bCs/>
          <w:sz w:val="25"/>
          <w:szCs w:val="25"/>
        </w:rPr>
        <w:t>to</w:t>
      </w:r>
      <w:r w:rsidRPr="008472D2">
        <w:rPr>
          <w:bCs/>
          <w:sz w:val="25"/>
          <w:szCs w:val="25"/>
        </w:rPr>
        <w:t xml:space="preserve"> </w:t>
      </w:r>
      <w:r w:rsidR="005C1269" w:rsidRPr="008472D2">
        <w:rPr>
          <w:bCs/>
          <w:sz w:val="25"/>
          <w:szCs w:val="25"/>
        </w:rPr>
        <w:t>the Mitigation Request</w:t>
      </w:r>
      <w:r w:rsidRPr="008472D2">
        <w:rPr>
          <w:bCs/>
          <w:sz w:val="25"/>
          <w:szCs w:val="25"/>
        </w:rPr>
        <w:t xml:space="preserve"> on </w:t>
      </w:r>
      <w:r w:rsidR="009F6855" w:rsidRPr="008472D2">
        <w:rPr>
          <w:bCs/>
          <w:sz w:val="25"/>
          <w:szCs w:val="25"/>
        </w:rPr>
        <w:t>September 7</w:t>
      </w:r>
      <w:r w:rsidRPr="008472D2">
        <w:rPr>
          <w:bCs/>
          <w:sz w:val="25"/>
          <w:szCs w:val="25"/>
        </w:rPr>
        <w:t>, 201</w:t>
      </w:r>
      <w:r w:rsidR="00806153" w:rsidRPr="008472D2">
        <w:rPr>
          <w:bCs/>
          <w:sz w:val="25"/>
          <w:szCs w:val="25"/>
        </w:rPr>
        <w:t>2</w:t>
      </w:r>
      <w:r w:rsidRPr="008472D2">
        <w:rPr>
          <w:bCs/>
          <w:sz w:val="25"/>
          <w:szCs w:val="25"/>
        </w:rPr>
        <w:t>.</w:t>
      </w:r>
      <w:r w:rsidR="00BA06CD" w:rsidRPr="008472D2">
        <w:rPr>
          <w:bCs/>
          <w:sz w:val="25"/>
          <w:szCs w:val="25"/>
        </w:rPr>
        <w:t xml:space="preserve">  </w:t>
      </w:r>
      <w:r w:rsidR="000A4BCA" w:rsidRPr="008472D2">
        <w:rPr>
          <w:sz w:val="25"/>
          <w:szCs w:val="25"/>
        </w:rPr>
        <w:t>Staff</w:t>
      </w:r>
      <w:r w:rsidR="00B34F65" w:rsidRPr="008472D2">
        <w:rPr>
          <w:sz w:val="25"/>
          <w:szCs w:val="25"/>
        </w:rPr>
        <w:t xml:space="preserve"> </w:t>
      </w:r>
      <w:r w:rsidR="009F6855" w:rsidRPr="008472D2">
        <w:rPr>
          <w:sz w:val="25"/>
          <w:szCs w:val="25"/>
        </w:rPr>
        <w:t>opposes</w:t>
      </w:r>
      <w:r w:rsidR="000A4BCA" w:rsidRPr="008472D2">
        <w:rPr>
          <w:sz w:val="25"/>
          <w:szCs w:val="25"/>
        </w:rPr>
        <w:t xml:space="preserve"> mitigating the assessed penalty </w:t>
      </w:r>
      <w:r w:rsidR="009F6855" w:rsidRPr="008472D2">
        <w:rPr>
          <w:sz w:val="25"/>
          <w:szCs w:val="25"/>
        </w:rPr>
        <w:t>because America’s Moving “failed to file its response within the 15-day timeframe required for the commission to consider mitigation and based on the company’s delinquent annual report filing in the past.”</w:t>
      </w:r>
      <w:r w:rsidR="009F6855" w:rsidRPr="008472D2">
        <w:rPr>
          <w:rStyle w:val="FootnoteReference"/>
          <w:sz w:val="25"/>
          <w:szCs w:val="25"/>
          <w:vertAlign w:val="superscript"/>
        </w:rPr>
        <w:footnoteReference w:id="1"/>
      </w:r>
    </w:p>
    <w:p w:rsidR="005C1269" w:rsidRPr="008472D2" w:rsidRDefault="005C1269" w:rsidP="008472D2">
      <w:pPr>
        <w:pStyle w:val="ListParagraph"/>
        <w:spacing w:line="264" w:lineRule="auto"/>
        <w:rPr>
          <w:bCs/>
          <w:sz w:val="25"/>
          <w:szCs w:val="25"/>
        </w:rPr>
      </w:pPr>
    </w:p>
    <w:p w:rsidR="00613733" w:rsidRPr="008472D2" w:rsidRDefault="003E2C97" w:rsidP="008472D2">
      <w:pPr>
        <w:numPr>
          <w:ilvl w:val="0"/>
          <w:numId w:val="1"/>
        </w:numPr>
        <w:tabs>
          <w:tab w:val="clear" w:pos="0"/>
        </w:tabs>
        <w:spacing w:after="200" w:line="264" w:lineRule="auto"/>
        <w:ind w:hanging="720"/>
        <w:contextualSpacing/>
        <w:rPr>
          <w:sz w:val="25"/>
          <w:szCs w:val="25"/>
        </w:rPr>
      </w:pPr>
      <w:r w:rsidRPr="008472D2">
        <w:rPr>
          <w:b/>
          <w:bCs/>
          <w:sz w:val="25"/>
          <w:szCs w:val="25"/>
        </w:rPr>
        <w:t>Commission De</w:t>
      </w:r>
      <w:r w:rsidR="00267026" w:rsidRPr="008472D2">
        <w:rPr>
          <w:b/>
          <w:bCs/>
          <w:sz w:val="25"/>
          <w:szCs w:val="25"/>
        </w:rPr>
        <w:t>termination</w:t>
      </w:r>
      <w:r w:rsidRPr="008472D2">
        <w:rPr>
          <w:b/>
          <w:bCs/>
          <w:sz w:val="25"/>
          <w:szCs w:val="25"/>
        </w:rPr>
        <w:t>.</w:t>
      </w:r>
      <w:r w:rsidRPr="008472D2">
        <w:rPr>
          <w:sz w:val="25"/>
          <w:szCs w:val="25"/>
        </w:rPr>
        <w:t xml:space="preserve">  </w:t>
      </w:r>
      <w:r w:rsidR="00613733" w:rsidRPr="008472D2">
        <w:rPr>
          <w:sz w:val="25"/>
          <w:szCs w:val="25"/>
        </w:rPr>
        <w:t>The Commission hesitates to grant the Mitigation Request by America’s Moving because of the company’s previous failure to file its annual report on time, coupled with the violation here, suggests a lack of regulatory fitness.  It is the company’s responsibility to ensure that its regulatory fee and annual report are filed by the May 1 deadline each year.  The Commission reminds companies of their obligation each year, as it did in this case by its mailing of an Annual Report form and Regulatory Fee packet to America’s Moving on February 29, 2012, well ahead of the May 1, 2012, deadline.  The company did not respond to this reminder.  The Commission again contacted America’s Moving via letter dated May 15, 2012, stating that its annual report was overdue and offering administrative “mitigation” of potential penalties if the company filed by May 25, 2012.  Yet, America’s Moving again failed to respond.</w:t>
      </w:r>
    </w:p>
    <w:p w:rsidR="00613733" w:rsidRPr="008472D2" w:rsidRDefault="00613733" w:rsidP="008472D2">
      <w:pPr>
        <w:pStyle w:val="ListParagraph"/>
        <w:spacing w:line="264" w:lineRule="auto"/>
        <w:rPr>
          <w:sz w:val="25"/>
          <w:szCs w:val="25"/>
        </w:rPr>
      </w:pPr>
    </w:p>
    <w:p w:rsidR="006A6CCB" w:rsidRPr="008472D2" w:rsidRDefault="00613733" w:rsidP="008472D2">
      <w:pPr>
        <w:numPr>
          <w:ilvl w:val="0"/>
          <w:numId w:val="1"/>
        </w:numPr>
        <w:tabs>
          <w:tab w:val="clear" w:pos="0"/>
        </w:tabs>
        <w:spacing w:after="200" w:line="264" w:lineRule="auto"/>
        <w:ind w:hanging="720"/>
        <w:contextualSpacing/>
        <w:rPr>
          <w:sz w:val="25"/>
          <w:szCs w:val="25"/>
        </w:rPr>
      </w:pPr>
      <w:r w:rsidRPr="008472D2">
        <w:rPr>
          <w:sz w:val="25"/>
          <w:szCs w:val="25"/>
        </w:rPr>
        <w:t>W</w:t>
      </w:r>
      <w:r w:rsidR="00E605B8" w:rsidRPr="008472D2">
        <w:rPr>
          <w:sz w:val="25"/>
          <w:szCs w:val="25"/>
        </w:rPr>
        <w:t>hile it remains unclear w</w:t>
      </w:r>
      <w:r w:rsidRPr="008472D2">
        <w:rPr>
          <w:sz w:val="25"/>
          <w:szCs w:val="25"/>
        </w:rPr>
        <w:t>hether</w:t>
      </w:r>
      <w:r w:rsidR="00E605B8" w:rsidRPr="008472D2">
        <w:rPr>
          <w:sz w:val="25"/>
          <w:szCs w:val="25"/>
        </w:rPr>
        <w:t xml:space="preserve"> the company filed</w:t>
      </w:r>
      <w:r w:rsidRPr="008472D2">
        <w:rPr>
          <w:sz w:val="25"/>
          <w:szCs w:val="25"/>
        </w:rPr>
        <w:t xml:space="preserve"> on June 22, 2012, or on August 2, 2012, it is clear America’s Moving did not file its annual report by May 31, 2012, </w:t>
      </w:r>
      <w:r w:rsidR="00E605B8" w:rsidRPr="008472D2">
        <w:rPr>
          <w:sz w:val="25"/>
          <w:szCs w:val="25"/>
        </w:rPr>
        <w:t>which is the date to which the Commission tied its penalty assessment.</w:t>
      </w:r>
      <w:r w:rsidR="00E605B8" w:rsidRPr="008472D2">
        <w:rPr>
          <w:rStyle w:val="FootnoteReference"/>
          <w:sz w:val="25"/>
          <w:szCs w:val="25"/>
          <w:vertAlign w:val="superscript"/>
        </w:rPr>
        <w:footnoteReference w:id="2"/>
      </w:r>
      <w:r w:rsidR="00E605B8" w:rsidRPr="008472D2">
        <w:rPr>
          <w:sz w:val="25"/>
          <w:szCs w:val="25"/>
          <w:vertAlign w:val="superscript"/>
        </w:rPr>
        <w:t xml:space="preserve"> </w:t>
      </w:r>
      <w:r w:rsidR="00E605B8" w:rsidRPr="008472D2">
        <w:rPr>
          <w:sz w:val="25"/>
          <w:szCs w:val="25"/>
        </w:rPr>
        <w:t xml:space="preserve"> </w:t>
      </w:r>
      <w:r w:rsidR="008472D2">
        <w:rPr>
          <w:sz w:val="25"/>
          <w:szCs w:val="25"/>
        </w:rPr>
        <w:t xml:space="preserve"> </w:t>
      </w:r>
      <w:r w:rsidR="00E605B8" w:rsidRPr="008472D2">
        <w:rPr>
          <w:sz w:val="25"/>
          <w:szCs w:val="25"/>
        </w:rPr>
        <w:t>It also is undisputed that this is a second violation of the reporting deadline in three years of operations.  Thus, Staff’s rationale supporting the amount of the penalty initially assessed, and one of the two reasons Staff opposes mitigation</w:t>
      </w:r>
      <w:r w:rsidR="00EF07E1" w:rsidRPr="008472D2">
        <w:rPr>
          <w:sz w:val="25"/>
          <w:szCs w:val="25"/>
        </w:rPr>
        <w:t>,</w:t>
      </w:r>
      <w:r w:rsidR="00E605B8" w:rsidRPr="008472D2">
        <w:rPr>
          <w:sz w:val="25"/>
          <w:szCs w:val="25"/>
        </w:rPr>
        <w:t xml:space="preserve"> are well-grounded.  </w:t>
      </w:r>
    </w:p>
    <w:p w:rsidR="006A6CCB" w:rsidRPr="008472D2" w:rsidRDefault="006A6CCB" w:rsidP="008472D2">
      <w:pPr>
        <w:pStyle w:val="ListParagraph"/>
        <w:spacing w:line="264" w:lineRule="auto"/>
        <w:rPr>
          <w:sz w:val="25"/>
          <w:szCs w:val="25"/>
        </w:rPr>
      </w:pPr>
    </w:p>
    <w:p w:rsidR="00613733" w:rsidRPr="008472D2" w:rsidRDefault="00E605B8" w:rsidP="008472D2">
      <w:pPr>
        <w:numPr>
          <w:ilvl w:val="0"/>
          <w:numId w:val="1"/>
        </w:numPr>
        <w:tabs>
          <w:tab w:val="clear" w:pos="0"/>
        </w:tabs>
        <w:spacing w:after="200" w:line="264" w:lineRule="auto"/>
        <w:ind w:hanging="720"/>
        <w:contextualSpacing/>
        <w:rPr>
          <w:sz w:val="25"/>
          <w:szCs w:val="25"/>
        </w:rPr>
      </w:pPr>
      <w:r w:rsidRPr="008472D2">
        <w:rPr>
          <w:sz w:val="25"/>
          <w:szCs w:val="25"/>
        </w:rPr>
        <w:t xml:space="preserve">Staff’s second reason for opposing mitigation, however, is not fully supported by the record.  It appears that Commission, in fact, received a letter from America’s Moving on August 2, 2012, requesting mitigation within the deadline established by the penalty assessment.  Whether this request was misdirected or some other event led to it not coming to the attention of the appropriate Staff, </w:t>
      </w:r>
      <w:r w:rsidR="00865C2D" w:rsidRPr="008472D2">
        <w:rPr>
          <w:sz w:val="25"/>
          <w:szCs w:val="25"/>
        </w:rPr>
        <w:t xml:space="preserve">it </w:t>
      </w:r>
      <w:r w:rsidR="006A6CCB" w:rsidRPr="008472D2">
        <w:rPr>
          <w:sz w:val="25"/>
          <w:szCs w:val="25"/>
        </w:rPr>
        <w:t>appears</w:t>
      </w:r>
      <w:r w:rsidR="00865C2D" w:rsidRPr="008472D2">
        <w:rPr>
          <w:sz w:val="25"/>
          <w:szCs w:val="25"/>
        </w:rPr>
        <w:t xml:space="preserve"> that the Commission personnel involved in the preparation of Staff’s response to the mitigation request were not aware of it and relied instead on an identical letter bearing a later time and date stamp.</w:t>
      </w:r>
    </w:p>
    <w:p w:rsidR="00865C2D" w:rsidRPr="008472D2" w:rsidRDefault="00865C2D" w:rsidP="008472D2">
      <w:pPr>
        <w:spacing w:after="200" w:line="264" w:lineRule="auto"/>
        <w:contextualSpacing/>
        <w:rPr>
          <w:sz w:val="25"/>
          <w:szCs w:val="25"/>
        </w:rPr>
      </w:pPr>
    </w:p>
    <w:p w:rsidR="00D97A09" w:rsidRPr="008472D2" w:rsidRDefault="00865C2D" w:rsidP="008472D2">
      <w:pPr>
        <w:numPr>
          <w:ilvl w:val="0"/>
          <w:numId w:val="1"/>
        </w:numPr>
        <w:tabs>
          <w:tab w:val="clear" w:pos="0"/>
        </w:tabs>
        <w:spacing w:after="200" w:line="264" w:lineRule="auto"/>
        <w:ind w:hanging="720"/>
        <w:contextualSpacing/>
        <w:rPr>
          <w:sz w:val="25"/>
          <w:szCs w:val="25"/>
        </w:rPr>
      </w:pPr>
      <w:r w:rsidRPr="008472D2">
        <w:rPr>
          <w:sz w:val="25"/>
          <w:szCs w:val="25"/>
        </w:rPr>
        <w:t>Considering these circumstances, and acknowledging the serious challenges faced by the owner of America’s Moving</w:t>
      </w:r>
      <w:r w:rsidR="006A6CCB" w:rsidRPr="008472D2">
        <w:rPr>
          <w:sz w:val="25"/>
          <w:szCs w:val="25"/>
        </w:rPr>
        <w:t>,</w:t>
      </w:r>
      <w:r w:rsidRPr="008472D2">
        <w:rPr>
          <w:sz w:val="25"/>
          <w:szCs w:val="25"/>
        </w:rPr>
        <w:t xml:space="preserve"> </w:t>
      </w:r>
      <w:r w:rsidR="006A6CCB" w:rsidRPr="008472D2">
        <w:rPr>
          <w:sz w:val="25"/>
          <w:szCs w:val="25"/>
        </w:rPr>
        <w:t>fighting</w:t>
      </w:r>
      <w:r w:rsidRPr="008472D2">
        <w:rPr>
          <w:sz w:val="25"/>
          <w:szCs w:val="25"/>
        </w:rPr>
        <w:t xml:space="preserve"> deportation and all it implies, t</w:t>
      </w:r>
      <w:r w:rsidR="003E2C97" w:rsidRPr="008472D2">
        <w:rPr>
          <w:sz w:val="25"/>
          <w:szCs w:val="25"/>
        </w:rPr>
        <w:t xml:space="preserve">he Commission </w:t>
      </w:r>
      <w:r w:rsidR="00267026" w:rsidRPr="008472D2">
        <w:rPr>
          <w:sz w:val="25"/>
          <w:szCs w:val="25"/>
        </w:rPr>
        <w:t xml:space="preserve">determines that it should </w:t>
      </w:r>
      <w:r w:rsidR="00613733" w:rsidRPr="008472D2">
        <w:rPr>
          <w:sz w:val="25"/>
          <w:szCs w:val="25"/>
        </w:rPr>
        <w:t>grant</w:t>
      </w:r>
      <w:r w:rsidR="00B620D0" w:rsidRPr="008472D2">
        <w:rPr>
          <w:sz w:val="25"/>
          <w:szCs w:val="25"/>
        </w:rPr>
        <w:t xml:space="preserve"> the </w:t>
      </w:r>
      <w:r w:rsidR="005C1269" w:rsidRPr="008472D2">
        <w:rPr>
          <w:sz w:val="25"/>
          <w:szCs w:val="25"/>
        </w:rPr>
        <w:t>Mitigation Request</w:t>
      </w:r>
      <w:r w:rsidR="00613733" w:rsidRPr="008472D2">
        <w:rPr>
          <w:sz w:val="25"/>
          <w:szCs w:val="25"/>
        </w:rPr>
        <w:t xml:space="preserve"> in part, by suspending </w:t>
      </w:r>
      <w:r w:rsidRPr="008472D2">
        <w:rPr>
          <w:sz w:val="25"/>
          <w:szCs w:val="25"/>
        </w:rPr>
        <w:t>all but $</w:t>
      </w:r>
      <w:r w:rsidR="00221FBE" w:rsidRPr="008472D2">
        <w:rPr>
          <w:sz w:val="25"/>
          <w:szCs w:val="25"/>
        </w:rPr>
        <w:t>2</w:t>
      </w:r>
      <w:r w:rsidRPr="008472D2">
        <w:rPr>
          <w:sz w:val="25"/>
          <w:szCs w:val="25"/>
        </w:rPr>
        <w:t>0</w:t>
      </w:r>
      <w:r w:rsidR="00221FBE" w:rsidRPr="008472D2">
        <w:rPr>
          <w:sz w:val="25"/>
          <w:szCs w:val="25"/>
        </w:rPr>
        <w:t xml:space="preserve">0 </w:t>
      </w:r>
      <w:r w:rsidRPr="008472D2">
        <w:rPr>
          <w:sz w:val="25"/>
          <w:szCs w:val="25"/>
        </w:rPr>
        <w:t xml:space="preserve">of the </w:t>
      </w:r>
      <w:r w:rsidR="00221FBE" w:rsidRPr="008472D2">
        <w:rPr>
          <w:sz w:val="25"/>
          <w:szCs w:val="25"/>
        </w:rPr>
        <w:t>penalty assessed</w:t>
      </w:r>
      <w:r w:rsidR="006A6CCB" w:rsidRPr="008472D2">
        <w:rPr>
          <w:sz w:val="25"/>
          <w:szCs w:val="25"/>
        </w:rPr>
        <w:t xml:space="preserve">.  </w:t>
      </w:r>
      <w:r w:rsidRPr="008472D2">
        <w:rPr>
          <w:sz w:val="25"/>
          <w:szCs w:val="25"/>
        </w:rPr>
        <w:t xml:space="preserve">The amount of the suspended penalty, $1,900, is sufficient to promote future compliance, the Commission’s primary goal.  </w:t>
      </w:r>
      <w:r w:rsidR="00614853" w:rsidRPr="008472D2">
        <w:rPr>
          <w:sz w:val="25"/>
          <w:szCs w:val="25"/>
        </w:rPr>
        <w:t>A penalty of $2</w:t>
      </w:r>
      <w:r w:rsidRPr="008472D2">
        <w:rPr>
          <w:sz w:val="25"/>
          <w:szCs w:val="25"/>
        </w:rPr>
        <w:t>0</w:t>
      </w:r>
      <w:r w:rsidR="00614853" w:rsidRPr="008472D2">
        <w:rPr>
          <w:sz w:val="25"/>
          <w:szCs w:val="25"/>
        </w:rPr>
        <w:t xml:space="preserve">0 </w:t>
      </w:r>
      <w:r w:rsidR="006A6CCB" w:rsidRPr="008472D2">
        <w:rPr>
          <w:sz w:val="25"/>
          <w:szCs w:val="25"/>
        </w:rPr>
        <w:t>is a reasonable punitive measure to impose for the company’s violation of WAC 480-15-480,</w:t>
      </w:r>
      <w:r w:rsidR="00614853" w:rsidRPr="008472D2">
        <w:rPr>
          <w:sz w:val="25"/>
          <w:szCs w:val="25"/>
        </w:rPr>
        <w:t xml:space="preserve"> thus striking a reasonable balance between the two goals of compliance and punishment for </w:t>
      </w:r>
      <w:r w:rsidR="00666BCF" w:rsidRPr="008472D2">
        <w:rPr>
          <w:sz w:val="25"/>
          <w:szCs w:val="25"/>
        </w:rPr>
        <w:t>this</w:t>
      </w:r>
      <w:r w:rsidR="00614853" w:rsidRPr="008472D2">
        <w:rPr>
          <w:sz w:val="25"/>
          <w:szCs w:val="25"/>
        </w:rPr>
        <w:t xml:space="preserve"> violation. </w:t>
      </w:r>
      <w:r w:rsidR="00E32C6E" w:rsidRPr="008472D2">
        <w:rPr>
          <w:sz w:val="25"/>
          <w:szCs w:val="25"/>
        </w:rPr>
        <w:t xml:space="preserve"> </w:t>
      </w:r>
    </w:p>
    <w:p w:rsidR="00D3195F" w:rsidRPr="008472D2" w:rsidRDefault="00D3195F" w:rsidP="008472D2">
      <w:pPr>
        <w:spacing w:after="200" w:line="264" w:lineRule="auto"/>
        <w:contextualSpacing/>
        <w:rPr>
          <w:sz w:val="25"/>
          <w:szCs w:val="25"/>
        </w:rPr>
      </w:pPr>
    </w:p>
    <w:p w:rsidR="00267026" w:rsidRPr="008472D2" w:rsidRDefault="00267026" w:rsidP="008472D2">
      <w:pPr>
        <w:spacing w:line="264" w:lineRule="auto"/>
        <w:jc w:val="center"/>
        <w:rPr>
          <w:b/>
          <w:sz w:val="25"/>
          <w:szCs w:val="25"/>
          <w:u w:val="single"/>
        </w:rPr>
      </w:pPr>
      <w:r w:rsidRPr="008472D2">
        <w:rPr>
          <w:b/>
          <w:sz w:val="25"/>
          <w:szCs w:val="25"/>
          <w:u w:val="single"/>
        </w:rPr>
        <w:t>ORDER</w:t>
      </w:r>
    </w:p>
    <w:p w:rsidR="00267026" w:rsidRPr="008472D2" w:rsidRDefault="00267026" w:rsidP="008472D2">
      <w:pPr>
        <w:spacing w:line="264" w:lineRule="auto"/>
        <w:rPr>
          <w:sz w:val="25"/>
          <w:szCs w:val="25"/>
        </w:rPr>
      </w:pPr>
    </w:p>
    <w:p w:rsidR="00267026" w:rsidRPr="008472D2" w:rsidRDefault="00267026" w:rsidP="008472D2">
      <w:pPr>
        <w:spacing w:line="264" w:lineRule="auto"/>
        <w:rPr>
          <w:sz w:val="25"/>
          <w:szCs w:val="25"/>
        </w:rPr>
      </w:pPr>
      <w:r w:rsidRPr="008472D2">
        <w:rPr>
          <w:sz w:val="25"/>
          <w:szCs w:val="25"/>
        </w:rPr>
        <w:t>THE COMMISSION ORDERS THAT:</w:t>
      </w:r>
    </w:p>
    <w:p w:rsidR="00267026" w:rsidRPr="008472D2" w:rsidRDefault="00267026" w:rsidP="008472D2">
      <w:pPr>
        <w:spacing w:line="264" w:lineRule="auto"/>
        <w:rPr>
          <w:sz w:val="25"/>
          <w:szCs w:val="25"/>
        </w:rPr>
      </w:pPr>
      <w:r w:rsidRPr="008472D2">
        <w:rPr>
          <w:sz w:val="25"/>
          <w:szCs w:val="25"/>
        </w:rPr>
        <w:t xml:space="preserve"> </w:t>
      </w:r>
    </w:p>
    <w:p w:rsidR="006A6CCB" w:rsidRPr="008472D2" w:rsidRDefault="00267026" w:rsidP="008472D2">
      <w:pPr>
        <w:numPr>
          <w:ilvl w:val="0"/>
          <w:numId w:val="1"/>
        </w:numPr>
        <w:spacing w:line="264" w:lineRule="auto"/>
        <w:ind w:left="720" w:hanging="1440"/>
        <w:rPr>
          <w:sz w:val="25"/>
          <w:szCs w:val="25"/>
        </w:rPr>
      </w:pPr>
      <w:r w:rsidRPr="008472D2">
        <w:rPr>
          <w:sz w:val="25"/>
          <w:szCs w:val="25"/>
        </w:rPr>
        <w:t>(1)</w:t>
      </w:r>
      <w:r w:rsidR="00AD6FEA" w:rsidRPr="008472D2">
        <w:rPr>
          <w:sz w:val="25"/>
          <w:szCs w:val="25"/>
        </w:rPr>
        <w:tab/>
      </w:r>
      <w:r w:rsidRPr="008472D2">
        <w:rPr>
          <w:sz w:val="25"/>
          <w:szCs w:val="25"/>
        </w:rPr>
        <w:t>The penalty of $2</w:t>
      </w:r>
      <w:r w:rsidR="006A6CCB" w:rsidRPr="008472D2">
        <w:rPr>
          <w:sz w:val="25"/>
          <w:szCs w:val="25"/>
        </w:rPr>
        <w:t>,10</w:t>
      </w:r>
      <w:r w:rsidR="00D3195F" w:rsidRPr="008472D2">
        <w:rPr>
          <w:sz w:val="25"/>
          <w:szCs w:val="25"/>
        </w:rPr>
        <w:t>0</w:t>
      </w:r>
      <w:r w:rsidRPr="008472D2">
        <w:rPr>
          <w:sz w:val="25"/>
          <w:szCs w:val="25"/>
        </w:rPr>
        <w:t xml:space="preserve"> assessed against </w:t>
      </w:r>
      <w:r w:rsidR="006A6CCB" w:rsidRPr="008472D2">
        <w:rPr>
          <w:sz w:val="25"/>
          <w:szCs w:val="25"/>
        </w:rPr>
        <w:t>America’s Moving Machines, Inc.,</w:t>
      </w:r>
      <w:r w:rsidRPr="008472D2">
        <w:rPr>
          <w:sz w:val="25"/>
          <w:szCs w:val="25"/>
        </w:rPr>
        <w:t xml:space="preserve"> on July 2</w:t>
      </w:r>
      <w:r w:rsidR="006A6CCB" w:rsidRPr="008472D2">
        <w:rPr>
          <w:sz w:val="25"/>
          <w:szCs w:val="25"/>
        </w:rPr>
        <w:t>3</w:t>
      </w:r>
      <w:r w:rsidRPr="008472D2">
        <w:rPr>
          <w:sz w:val="25"/>
          <w:szCs w:val="25"/>
        </w:rPr>
        <w:t xml:space="preserve">, 2012, is </w:t>
      </w:r>
      <w:r w:rsidR="006A6CCB" w:rsidRPr="008472D2">
        <w:rPr>
          <w:sz w:val="25"/>
          <w:szCs w:val="25"/>
        </w:rPr>
        <w:t>suspended to the extent of $1,900, subject to the condition that the company files its 2012 annual report by May 1, 2013.  If the company fails to timely file its 2012 annual report, the suspended penalty will become due and payable without further action by the Commission.</w:t>
      </w:r>
    </w:p>
    <w:p w:rsidR="006A6CCB" w:rsidRPr="008472D2" w:rsidRDefault="006A6CCB" w:rsidP="008472D2">
      <w:pPr>
        <w:spacing w:line="264" w:lineRule="auto"/>
        <w:ind w:left="720"/>
        <w:rPr>
          <w:sz w:val="25"/>
          <w:szCs w:val="25"/>
        </w:rPr>
      </w:pPr>
    </w:p>
    <w:p w:rsidR="006A6CCB" w:rsidRPr="008472D2" w:rsidRDefault="006A6CCB" w:rsidP="008472D2">
      <w:pPr>
        <w:numPr>
          <w:ilvl w:val="0"/>
          <w:numId w:val="1"/>
        </w:numPr>
        <w:spacing w:line="264" w:lineRule="auto"/>
        <w:ind w:left="720" w:hanging="1440"/>
        <w:rPr>
          <w:sz w:val="25"/>
          <w:szCs w:val="25"/>
        </w:rPr>
      </w:pPr>
      <w:r w:rsidRPr="008472D2">
        <w:rPr>
          <w:sz w:val="25"/>
          <w:szCs w:val="25"/>
        </w:rPr>
        <w:t>(2)</w:t>
      </w:r>
      <w:r w:rsidRPr="008472D2">
        <w:rPr>
          <w:sz w:val="25"/>
          <w:szCs w:val="25"/>
        </w:rPr>
        <w:tab/>
        <w:t>The balance of the penalty assessed, $200, is due and payable to the Commission within 15 days following the date of this Order</w:t>
      </w:r>
      <w:r w:rsidR="00E63AA2" w:rsidRPr="008472D2">
        <w:rPr>
          <w:sz w:val="25"/>
          <w:szCs w:val="25"/>
        </w:rPr>
        <w:t>.</w:t>
      </w:r>
    </w:p>
    <w:p w:rsidR="00267026" w:rsidRPr="008472D2" w:rsidRDefault="00267026" w:rsidP="008472D2">
      <w:pPr>
        <w:spacing w:line="264" w:lineRule="auto"/>
        <w:rPr>
          <w:sz w:val="25"/>
          <w:szCs w:val="25"/>
        </w:rPr>
      </w:pPr>
    </w:p>
    <w:p w:rsidR="003E2C97" w:rsidRPr="008472D2" w:rsidRDefault="00AD6FEA" w:rsidP="008472D2">
      <w:pPr>
        <w:numPr>
          <w:ilvl w:val="0"/>
          <w:numId w:val="1"/>
        </w:numPr>
        <w:spacing w:line="264" w:lineRule="auto"/>
        <w:ind w:left="720" w:hanging="1440"/>
        <w:rPr>
          <w:sz w:val="25"/>
          <w:szCs w:val="25"/>
        </w:rPr>
      </w:pPr>
      <w:r w:rsidRPr="008472D2">
        <w:rPr>
          <w:color w:val="000000"/>
          <w:sz w:val="25"/>
          <w:szCs w:val="25"/>
        </w:rPr>
        <w:t>(</w:t>
      </w:r>
      <w:r w:rsidR="00E63AA2" w:rsidRPr="008472D2">
        <w:rPr>
          <w:color w:val="000000"/>
          <w:sz w:val="25"/>
          <w:szCs w:val="25"/>
        </w:rPr>
        <w:t>3</w:t>
      </w:r>
      <w:r w:rsidRPr="008472D2">
        <w:rPr>
          <w:color w:val="000000"/>
          <w:sz w:val="25"/>
          <w:szCs w:val="25"/>
        </w:rPr>
        <w:t>)</w:t>
      </w:r>
      <w:r w:rsidRPr="008472D2">
        <w:rPr>
          <w:color w:val="000000"/>
          <w:sz w:val="25"/>
          <w:szCs w:val="25"/>
        </w:rPr>
        <w:tab/>
      </w:r>
      <w:r w:rsidR="005C1269" w:rsidRPr="008472D2">
        <w:rPr>
          <w:color w:val="000000"/>
          <w:sz w:val="25"/>
          <w:szCs w:val="25"/>
        </w:rPr>
        <w:t xml:space="preserve">The Commission delegates to its </w:t>
      </w:r>
      <w:r w:rsidR="003E2C97" w:rsidRPr="008472D2">
        <w:rPr>
          <w:color w:val="000000"/>
          <w:sz w:val="25"/>
          <w:szCs w:val="25"/>
        </w:rPr>
        <w:t xml:space="preserve">Secretary authority to enter this Order </w:t>
      </w:r>
      <w:r w:rsidR="003E2C97" w:rsidRPr="008472D2">
        <w:rPr>
          <w:bCs/>
          <w:color w:val="000000"/>
          <w:sz w:val="25"/>
          <w:szCs w:val="25"/>
        </w:rPr>
        <w:t xml:space="preserve">on behalf of the Commissioners </w:t>
      </w:r>
      <w:r w:rsidR="003E2C97" w:rsidRPr="008472D2">
        <w:rPr>
          <w:color w:val="000000"/>
          <w:sz w:val="25"/>
          <w:szCs w:val="25"/>
        </w:rPr>
        <w:t>under WAC</w:t>
      </w:r>
      <w:r w:rsidR="003E2C97" w:rsidRPr="008472D2">
        <w:rPr>
          <w:sz w:val="25"/>
          <w:szCs w:val="25"/>
        </w:rPr>
        <w:t xml:space="preserve"> 480-07-904(1)(h).</w:t>
      </w:r>
    </w:p>
    <w:p w:rsidR="003E2C97" w:rsidRPr="008472D2" w:rsidRDefault="003E2C97" w:rsidP="008472D2">
      <w:pPr>
        <w:spacing w:line="264" w:lineRule="auto"/>
        <w:rPr>
          <w:sz w:val="25"/>
          <w:szCs w:val="25"/>
        </w:rPr>
      </w:pPr>
    </w:p>
    <w:p w:rsidR="003E2C97" w:rsidRPr="008472D2" w:rsidRDefault="003E2C97" w:rsidP="008472D2">
      <w:pPr>
        <w:spacing w:line="264" w:lineRule="auto"/>
        <w:rPr>
          <w:sz w:val="25"/>
          <w:szCs w:val="25"/>
        </w:rPr>
      </w:pPr>
      <w:r w:rsidRPr="008472D2">
        <w:rPr>
          <w:sz w:val="25"/>
          <w:szCs w:val="25"/>
        </w:rPr>
        <w:t xml:space="preserve">DATED at Olympia, Washington, and effective </w:t>
      </w:r>
      <w:r w:rsidR="006A6CCB" w:rsidRPr="008472D2">
        <w:rPr>
          <w:sz w:val="25"/>
          <w:szCs w:val="25"/>
        </w:rPr>
        <w:t>September</w:t>
      </w:r>
      <w:r w:rsidR="005C1269" w:rsidRPr="008472D2">
        <w:rPr>
          <w:sz w:val="25"/>
          <w:szCs w:val="25"/>
        </w:rPr>
        <w:t xml:space="preserve"> </w:t>
      </w:r>
      <w:r w:rsidR="00162F5C">
        <w:rPr>
          <w:sz w:val="25"/>
          <w:szCs w:val="25"/>
        </w:rPr>
        <w:t>26</w:t>
      </w:r>
      <w:r w:rsidRPr="008472D2">
        <w:rPr>
          <w:sz w:val="25"/>
          <w:szCs w:val="25"/>
        </w:rPr>
        <w:t>, 201</w:t>
      </w:r>
      <w:r w:rsidR="000166E3" w:rsidRPr="008472D2">
        <w:rPr>
          <w:sz w:val="25"/>
          <w:szCs w:val="25"/>
        </w:rPr>
        <w:t>2</w:t>
      </w:r>
      <w:r w:rsidRPr="008472D2">
        <w:rPr>
          <w:sz w:val="25"/>
          <w:szCs w:val="25"/>
        </w:rPr>
        <w:t>.</w:t>
      </w:r>
    </w:p>
    <w:p w:rsidR="003E2C97" w:rsidRPr="008472D2" w:rsidRDefault="003E2C97" w:rsidP="008472D2">
      <w:pPr>
        <w:pStyle w:val="Header"/>
        <w:tabs>
          <w:tab w:val="clear" w:pos="4320"/>
          <w:tab w:val="clear" w:pos="8640"/>
        </w:tabs>
        <w:spacing w:line="264" w:lineRule="auto"/>
        <w:rPr>
          <w:sz w:val="25"/>
          <w:szCs w:val="25"/>
        </w:rPr>
      </w:pPr>
    </w:p>
    <w:p w:rsidR="003E2C97" w:rsidRPr="008472D2" w:rsidRDefault="003E2C97" w:rsidP="008472D2">
      <w:pPr>
        <w:spacing w:line="264" w:lineRule="auto"/>
        <w:jc w:val="center"/>
        <w:rPr>
          <w:sz w:val="25"/>
          <w:szCs w:val="25"/>
        </w:rPr>
      </w:pPr>
      <w:r w:rsidRPr="008472D2">
        <w:rPr>
          <w:sz w:val="25"/>
          <w:szCs w:val="25"/>
        </w:rPr>
        <w:t>WASHINGTON UTILITIES AND TRANSPORTATION COMMISSION</w:t>
      </w:r>
    </w:p>
    <w:p w:rsidR="003E2C97" w:rsidRPr="008472D2" w:rsidRDefault="003E2C97" w:rsidP="008472D2">
      <w:pPr>
        <w:pStyle w:val="Header"/>
        <w:tabs>
          <w:tab w:val="clear" w:pos="4320"/>
          <w:tab w:val="clear" w:pos="8640"/>
        </w:tabs>
        <w:spacing w:line="264" w:lineRule="auto"/>
        <w:rPr>
          <w:sz w:val="25"/>
          <w:szCs w:val="25"/>
        </w:rPr>
      </w:pPr>
    </w:p>
    <w:p w:rsidR="003E2C97" w:rsidRPr="008472D2" w:rsidRDefault="003E2C97" w:rsidP="008472D2">
      <w:pPr>
        <w:spacing w:line="264" w:lineRule="auto"/>
        <w:rPr>
          <w:sz w:val="25"/>
          <w:szCs w:val="25"/>
        </w:rPr>
      </w:pPr>
    </w:p>
    <w:p w:rsidR="003E2C97" w:rsidRPr="008472D2" w:rsidRDefault="003E2C97" w:rsidP="008472D2">
      <w:pPr>
        <w:spacing w:line="264" w:lineRule="auto"/>
        <w:rPr>
          <w:sz w:val="25"/>
          <w:szCs w:val="25"/>
        </w:rPr>
      </w:pPr>
    </w:p>
    <w:p w:rsidR="003E2C97" w:rsidRPr="008472D2" w:rsidRDefault="003E2C97" w:rsidP="008472D2">
      <w:pPr>
        <w:spacing w:line="264" w:lineRule="auto"/>
        <w:ind w:left="4320"/>
        <w:rPr>
          <w:bCs/>
          <w:sz w:val="25"/>
          <w:szCs w:val="25"/>
        </w:rPr>
      </w:pPr>
      <w:r w:rsidRPr="008472D2">
        <w:rPr>
          <w:bCs/>
          <w:sz w:val="25"/>
          <w:szCs w:val="25"/>
        </w:rPr>
        <w:t>DAVID W. DANNER</w:t>
      </w:r>
    </w:p>
    <w:p w:rsidR="003E2C97" w:rsidRPr="008472D2" w:rsidRDefault="003E2C97" w:rsidP="008472D2">
      <w:pPr>
        <w:spacing w:line="264" w:lineRule="auto"/>
        <w:rPr>
          <w:sz w:val="25"/>
          <w:szCs w:val="25"/>
        </w:rPr>
      </w:pPr>
      <w:r w:rsidRPr="008472D2">
        <w:rPr>
          <w:sz w:val="25"/>
          <w:szCs w:val="25"/>
        </w:rPr>
        <w:tab/>
      </w:r>
      <w:r w:rsidRPr="008472D2">
        <w:rPr>
          <w:sz w:val="25"/>
          <w:szCs w:val="25"/>
        </w:rPr>
        <w:tab/>
      </w:r>
      <w:r w:rsidRPr="008472D2">
        <w:rPr>
          <w:sz w:val="25"/>
          <w:szCs w:val="25"/>
        </w:rPr>
        <w:tab/>
      </w:r>
      <w:r w:rsidRPr="008472D2">
        <w:rPr>
          <w:sz w:val="25"/>
          <w:szCs w:val="25"/>
        </w:rPr>
        <w:tab/>
      </w:r>
      <w:r w:rsidRPr="008472D2">
        <w:rPr>
          <w:sz w:val="25"/>
          <w:szCs w:val="25"/>
        </w:rPr>
        <w:tab/>
      </w:r>
      <w:r w:rsidRPr="008472D2">
        <w:rPr>
          <w:sz w:val="25"/>
          <w:szCs w:val="25"/>
        </w:rPr>
        <w:tab/>
        <w:t>Executive Director and Secretary</w:t>
      </w:r>
    </w:p>
    <w:p w:rsidR="003E2C97" w:rsidRPr="008472D2" w:rsidRDefault="003E2C97" w:rsidP="008472D2">
      <w:pPr>
        <w:spacing w:line="264" w:lineRule="auto"/>
        <w:rPr>
          <w:sz w:val="25"/>
          <w:szCs w:val="25"/>
        </w:rPr>
      </w:pPr>
    </w:p>
    <w:p w:rsidR="00B3599E" w:rsidRPr="008472D2" w:rsidRDefault="00B3599E" w:rsidP="008472D2">
      <w:pPr>
        <w:spacing w:line="264" w:lineRule="auto"/>
        <w:rPr>
          <w:sz w:val="25"/>
          <w:szCs w:val="25"/>
        </w:rPr>
      </w:pPr>
    </w:p>
    <w:p w:rsidR="003E2C97" w:rsidRPr="008472D2" w:rsidRDefault="003E2C97" w:rsidP="008472D2">
      <w:pPr>
        <w:spacing w:line="264" w:lineRule="auto"/>
        <w:rPr>
          <w:b/>
          <w:bCs/>
          <w:sz w:val="25"/>
          <w:szCs w:val="25"/>
        </w:rPr>
      </w:pPr>
      <w:r w:rsidRPr="008472D2">
        <w:rPr>
          <w:b/>
          <w:sz w:val="25"/>
          <w:szCs w:val="25"/>
        </w:rPr>
        <w:t>NOTICE TO PARTIES:  This is an order delegated to the Executive Secretary for decision.  Under WAC 480-07-904(3), you may seek Commission review of this decision</w:t>
      </w:r>
      <w:r w:rsidRPr="008472D2">
        <w:rPr>
          <w:b/>
          <w:bCs/>
          <w:sz w:val="25"/>
          <w:szCs w:val="25"/>
        </w:rPr>
        <w:t>.  In addition to serving you a copy of the decision, the Commission will post on its Internet Web site for at least 14 days a listing of all matters delegated to the Executive Secretary for decision under WAC 480-07-904(1).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E2C97" w:rsidRPr="008472D2" w:rsidRDefault="003E2C97" w:rsidP="008472D2">
      <w:pPr>
        <w:spacing w:line="264" w:lineRule="auto"/>
        <w:rPr>
          <w:b/>
          <w:bCs/>
          <w:sz w:val="25"/>
          <w:szCs w:val="25"/>
        </w:rPr>
      </w:pPr>
    </w:p>
    <w:p w:rsidR="003E2C97" w:rsidRPr="008472D2" w:rsidRDefault="003E2C97" w:rsidP="008472D2">
      <w:pPr>
        <w:spacing w:line="264" w:lineRule="auto"/>
        <w:rPr>
          <w:b/>
          <w:bCs/>
          <w:sz w:val="25"/>
          <w:szCs w:val="25"/>
        </w:rPr>
      </w:pPr>
      <w:r w:rsidRPr="008472D2">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729DA" w:rsidRPr="008472D2" w:rsidRDefault="00A729DA" w:rsidP="008472D2">
      <w:pPr>
        <w:spacing w:line="264" w:lineRule="auto"/>
        <w:rPr>
          <w:sz w:val="25"/>
          <w:szCs w:val="25"/>
        </w:rPr>
      </w:pPr>
    </w:p>
    <w:sectPr w:rsidR="00A729DA" w:rsidRPr="008472D2"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59" w:rsidRDefault="003C0159" w:rsidP="003E2C97">
      <w:r>
        <w:separator/>
      </w:r>
    </w:p>
  </w:endnote>
  <w:endnote w:type="continuationSeparator" w:id="0">
    <w:p w:rsidR="003C0159" w:rsidRDefault="003C0159"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59" w:rsidRDefault="003C0159" w:rsidP="003E2C97">
      <w:r>
        <w:separator/>
      </w:r>
    </w:p>
  </w:footnote>
  <w:footnote w:type="continuationSeparator" w:id="0">
    <w:p w:rsidR="003C0159" w:rsidRDefault="003C0159" w:rsidP="003E2C97">
      <w:r>
        <w:continuationSeparator/>
      </w:r>
    </w:p>
  </w:footnote>
  <w:footnote w:id="1">
    <w:p w:rsidR="003C0159" w:rsidRPr="008472D2" w:rsidRDefault="003C0159">
      <w:pPr>
        <w:pStyle w:val="FootnoteText"/>
        <w:rPr>
          <w:sz w:val="22"/>
          <w:szCs w:val="22"/>
        </w:rPr>
      </w:pPr>
      <w:r w:rsidRPr="008472D2">
        <w:rPr>
          <w:rStyle w:val="FootnoteReference"/>
          <w:sz w:val="22"/>
          <w:szCs w:val="22"/>
          <w:vertAlign w:val="superscript"/>
        </w:rPr>
        <w:footnoteRef/>
      </w:r>
      <w:r w:rsidRPr="008472D2">
        <w:rPr>
          <w:sz w:val="22"/>
          <w:szCs w:val="22"/>
          <w:vertAlign w:val="superscript"/>
        </w:rPr>
        <w:t xml:space="preserve"> </w:t>
      </w:r>
      <w:r w:rsidRPr="008472D2">
        <w:rPr>
          <w:sz w:val="22"/>
          <w:szCs w:val="22"/>
        </w:rPr>
        <w:t>According to Staff’s Response:  “America’s Moving Machines was granted provisional household goods authority in July 2009 and received a penalty for $100 in June 2010 for a violation of WAC 480-15-480.”</w:t>
      </w:r>
    </w:p>
  </w:footnote>
  <w:footnote w:id="2">
    <w:p w:rsidR="003C0159" w:rsidRPr="008472D2" w:rsidRDefault="003C0159">
      <w:pPr>
        <w:pStyle w:val="FootnoteText"/>
        <w:rPr>
          <w:sz w:val="22"/>
          <w:szCs w:val="22"/>
        </w:rPr>
      </w:pPr>
      <w:r w:rsidRPr="008472D2">
        <w:rPr>
          <w:rStyle w:val="FootnoteReference"/>
          <w:sz w:val="22"/>
          <w:szCs w:val="22"/>
          <w:vertAlign w:val="superscript"/>
        </w:rPr>
        <w:footnoteRef/>
      </w:r>
      <w:r w:rsidRPr="008472D2">
        <w:rPr>
          <w:sz w:val="22"/>
          <w:szCs w:val="22"/>
        </w:rPr>
        <w:t xml:space="preserve"> The Commission assessed a $2</w:t>
      </w:r>
      <w:r w:rsidR="008472D2">
        <w:rPr>
          <w:sz w:val="22"/>
          <w:szCs w:val="22"/>
        </w:rPr>
        <w:t>,</w:t>
      </w:r>
      <w:r w:rsidRPr="008472D2">
        <w:rPr>
          <w:sz w:val="22"/>
          <w:szCs w:val="22"/>
        </w:rPr>
        <w:t>100 penalty based on passage of 21 business days after the May 1, 2012, deadline.  The Commission could have assessed a much higher penalty based on the</w:t>
      </w:r>
      <w:r w:rsidR="00EF07E1" w:rsidRPr="008472D2">
        <w:rPr>
          <w:sz w:val="22"/>
          <w:szCs w:val="22"/>
        </w:rPr>
        <w:t xml:space="preserve"> actual</w:t>
      </w:r>
      <w:r w:rsidRPr="008472D2">
        <w:rPr>
          <w:sz w:val="22"/>
          <w:szCs w:val="22"/>
        </w:rPr>
        <w:t xml:space="preserve"> number of calendar days</w:t>
      </w:r>
      <w:r w:rsidR="00EF07E1" w:rsidRPr="008472D2">
        <w:rPr>
          <w:sz w:val="22"/>
          <w:szCs w:val="22"/>
        </w:rPr>
        <w:t xml:space="preserve"> the company’s report was late relative to May 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59" w:rsidRPr="00B85B2D" w:rsidRDefault="003C0159">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TV-1209</w:t>
    </w:r>
    <w:r w:rsidR="008472D2">
      <w:rPr>
        <w:b/>
        <w:bCs/>
        <w:sz w:val="20"/>
        <w:szCs w:val="20"/>
      </w:rPr>
      <w:t>11</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8C5D7C">
      <w:rPr>
        <w:rStyle w:val="PageNumber"/>
        <w:b/>
        <w:bCs/>
        <w:noProof/>
        <w:sz w:val="20"/>
        <w:szCs w:val="20"/>
      </w:rPr>
      <w:t>2</w:t>
    </w:r>
    <w:r w:rsidRPr="00B85B2D">
      <w:rPr>
        <w:rStyle w:val="PageNumber"/>
        <w:b/>
        <w:bCs/>
        <w:sz w:val="20"/>
        <w:szCs w:val="20"/>
      </w:rPr>
      <w:fldChar w:fldCharType="end"/>
    </w:r>
  </w:p>
  <w:p w:rsidR="003C0159" w:rsidRPr="00B85B2D" w:rsidRDefault="003C0159">
    <w:pPr>
      <w:pStyle w:val="Header"/>
      <w:tabs>
        <w:tab w:val="clear" w:pos="8640"/>
        <w:tab w:val="right" w:pos="8100"/>
      </w:tabs>
      <w:rPr>
        <w:rStyle w:val="PageNumber"/>
        <w:b/>
        <w:bCs/>
        <w:sz w:val="20"/>
        <w:szCs w:val="20"/>
      </w:rPr>
    </w:pPr>
    <w:r w:rsidRPr="00B85B2D">
      <w:rPr>
        <w:rStyle w:val="PageNumber"/>
        <w:b/>
        <w:bCs/>
        <w:sz w:val="20"/>
        <w:szCs w:val="20"/>
      </w:rPr>
      <w:t>ORDER 01</w:t>
    </w:r>
  </w:p>
  <w:p w:rsidR="003C0159" w:rsidRPr="00B85B2D" w:rsidRDefault="003C0159">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59" w:rsidRPr="005A53AE" w:rsidRDefault="003C0159" w:rsidP="000A4BCA">
    <w:pPr>
      <w:pStyle w:val="Header"/>
      <w:tabs>
        <w:tab w:val="clear" w:pos="8640"/>
        <w:tab w:val="right" w:pos="8460"/>
      </w:tabs>
      <w:rPr>
        <w:b/>
        <w:sz w:val="20"/>
        <w:szCs w:val="20"/>
      </w:rPr>
    </w:pPr>
    <w:r>
      <w:rPr>
        <w:b/>
        <w:sz w:val="20"/>
        <w:szCs w:val="20"/>
      </w:rPr>
      <w:tab/>
    </w:r>
    <w:r>
      <w:rPr>
        <w:b/>
        <w:sz w:val="20"/>
        <w:szCs w:val="20"/>
      </w:rPr>
      <w:tab/>
    </w:r>
    <w:r w:rsidR="002440E3">
      <w:rPr>
        <w:b/>
        <w:sz w:val="20"/>
        <w:szCs w:val="20"/>
      </w:rPr>
      <w:t>[Service Date September 26,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87389"/>
    <w:rsid w:val="000A0E2D"/>
    <w:rsid w:val="000A4BCA"/>
    <w:rsid w:val="000F3E4E"/>
    <w:rsid w:val="00123679"/>
    <w:rsid w:val="001423DA"/>
    <w:rsid w:val="00156138"/>
    <w:rsid w:val="00162F5C"/>
    <w:rsid w:val="00181B5B"/>
    <w:rsid w:val="00213F95"/>
    <w:rsid w:val="00221FBE"/>
    <w:rsid w:val="002440E3"/>
    <w:rsid w:val="00260481"/>
    <w:rsid w:val="00267026"/>
    <w:rsid w:val="00300B05"/>
    <w:rsid w:val="00365C7F"/>
    <w:rsid w:val="00365E25"/>
    <w:rsid w:val="003B0E6B"/>
    <w:rsid w:val="003C0159"/>
    <w:rsid w:val="003E2C97"/>
    <w:rsid w:val="00540A08"/>
    <w:rsid w:val="005C1269"/>
    <w:rsid w:val="00613733"/>
    <w:rsid w:val="00614853"/>
    <w:rsid w:val="00666BCF"/>
    <w:rsid w:val="00670C87"/>
    <w:rsid w:val="00685C85"/>
    <w:rsid w:val="00695258"/>
    <w:rsid w:val="006A6CCB"/>
    <w:rsid w:val="00781008"/>
    <w:rsid w:val="007C3B22"/>
    <w:rsid w:val="00806153"/>
    <w:rsid w:val="008472D2"/>
    <w:rsid w:val="00865C2D"/>
    <w:rsid w:val="008C5D7C"/>
    <w:rsid w:val="009A6F01"/>
    <w:rsid w:val="009F6855"/>
    <w:rsid w:val="00A729DA"/>
    <w:rsid w:val="00AD6FEA"/>
    <w:rsid w:val="00B13FA4"/>
    <w:rsid w:val="00B34F65"/>
    <w:rsid w:val="00B3599E"/>
    <w:rsid w:val="00B620D0"/>
    <w:rsid w:val="00BA06CD"/>
    <w:rsid w:val="00BB587C"/>
    <w:rsid w:val="00CB4969"/>
    <w:rsid w:val="00D3195F"/>
    <w:rsid w:val="00D802BE"/>
    <w:rsid w:val="00D97A09"/>
    <w:rsid w:val="00E039CE"/>
    <w:rsid w:val="00E13E08"/>
    <w:rsid w:val="00E16BA9"/>
    <w:rsid w:val="00E32C6E"/>
    <w:rsid w:val="00E605B8"/>
    <w:rsid w:val="00E63AA2"/>
    <w:rsid w:val="00EF07E1"/>
    <w:rsid w:val="00F152D3"/>
    <w:rsid w:val="00F3492B"/>
    <w:rsid w:val="00F37125"/>
    <w:rsid w:val="00F43A92"/>
    <w:rsid w:val="00FA54FC"/>
    <w:rsid w:val="00FB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B13D3B"/>
    <w:rsid w:val="00CE7178"/>
    <w:rsid w:val="00E07A8D"/>
    <w:rsid w:val="00F0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819"/>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02B9254049BE4AE19C13C1EEBFDD8B61">
    <w:name w:val="02B9254049BE4AE19C13C1EEBFDD8B61"/>
    <w:rsid w:val="00F05819"/>
  </w:style>
  <w:style w:type="paragraph" w:customStyle="1" w:styleId="487B4D46DA074A50921B54B8E600A824">
    <w:name w:val="487B4D46DA074A50921B54B8E600A824"/>
    <w:rsid w:val="00F058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819"/>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02B9254049BE4AE19C13C1EEBFDD8B61">
    <w:name w:val="02B9254049BE4AE19C13C1EEBFDD8B61"/>
    <w:rsid w:val="00F05819"/>
  </w:style>
  <w:style w:type="paragraph" w:customStyle="1" w:styleId="487B4D46DA074A50921B54B8E600A824">
    <w:name w:val="487B4D46DA074A50921B54B8E600A824"/>
    <w:rsid w:val="00F05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5E6E5D80096949944DA4C003D7B76B" ma:contentTypeVersion="139" ma:contentTypeDescription="" ma:contentTypeScope="" ma:versionID="9f34a04e6fe797bed471227b05670f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2012-09-26T07:00:00+00:00</Date1>
    <IsDocumentOrder xmlns="dc463f71-b30c-4ab2-9473-d307f9d35888">true</IsDocumentOrder>
    <IsHighlyConfidential xmlns="dc463f71-b30c-4ab2-9473-d307f9d35888">false</IsHighlyConfidential>
    <CaseCompanyNames xmlns="dc463f71-b30c-4ab2-9473-d307f9d35888">America's Moving Machines, Inc.</CaseCompanyNames>
    <DocketNumber xmlns="dc463f71-b30c-4ab2-9473-d307f9d35888">120911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66DB4B-295D-403D-B587-0C39DB61981F}"/>
</file>

<file path=customXml/itemProps2.xml><?xml version="1.0" encoding="utf-8"?>
<ds:datastoreItem xmlns:ds="http://schemas.openxmlformats.org/officeDocument/2006/customXml" ds:itemID="{23544E46-0BF2-4F11-8814-E6D5C30D1DE6}"/>
</file>

<file path=customXml/itemProps3.xml><?xml version="1.0" encoding="utf-8"?>
<ds:datastoreItem xmlns:ds="http://schemas.openxmlformats.org/officeDocument/2006/customXml" ds:itemID="{11E00BB7-E886-40C3-89FF-8F27F1D94DB4}"/>
</file>

<file path=customXml/itemProps4.xml><?xml version="1.0" encoding="utf-8"?>
<ds:datastoreItem xmlns:ds="http://schemas.openxmlformats.org/officeDocument/2006/customXml" ds:itemID="{99F9EDA1-286C-4D97-A4BD-14010CC01416}"/>
</file>

<file path=customXml/itemProps5.xml><?xml version="1.0" encoding="utf-8"?>
<ds:datastoreItem xmlns:ds="http://schemas.openxmlformats.org/officeDocument/2006/customXml" ds:itemID="{DD8287A4-3AA9-487F-B4E0-722CA7D27607}"/>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2012-09-26T17:38:00Z</dcterms:created>
  <dcterms:modified xsi:type="dcterms:W3CDTF">2012-09-26T20:10:00Z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0x0101006E56B4D1795A2E4DB2F0B01679ED314A000D5E6E5D80096949944DA4C003D7B76B</vt:lpwstr>
  </property>
  <property fmtid="{D5CDD505-2E9C-101B-9397-08002B2CF9AE}" pid="3" name="_docset_NoMedatataSyncRequired">
    <vt:lpwstr>False</vt:lpwstr>
  </property>
</Properties>
</file>