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5D59" w14:textId="77777777" w:rsidR="008956A7" w:rsidRPr="002D6209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2D6209">
        <w:rPr>
          <w:sz w:val="24"/>
        </w:rPr>
        <w:t>Agenda Date: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2839F9" w:rsidRPr="00D027FE">
        <w:rPr>
          <w:sz w:val="24"/>
        </w:rPr>
        <w:t xml:space="preserve">October </w:t>
      </w:r>
      <w:r w:rsidR="0028377B" w:rsidRPr="00D027FE">
        <w:rPr>
          <w:sz w:val="24"/>
        </w:rPr>
        <w:t>27</w:t>
      </w:r>
      <w:r w:rsidRPr="00D027FE">
        <w:rPr>
          <w:sz w:val="24"/>
        </w:rPr>
        <w:t>, 20</w:t>
      </w:r>
      <w:r w:rsidR="008A1711" w:rsidRPr="00D027FE">
        <w:rPr>
          <w:sz w:val="24"/>
        </w:rPr>
        <w:t>11</w:t>
      </w:r>
      <w:r w:rsidRPr="002D6209">
        <w:rPr>
          <w:sz w:val="24"/>
        </w:rPr>
        <w:tab/>
      </w:r>
    </w:p>
    <w:p w14:paraId="1E3F5D5A" w14:textId="3909FFE3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2D6209">
        <w:rPr>
          <w:sz w:val="24"/>
        </w:rPr>
        <w:t>Item Number: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D440D4" w:rsidRPr="002D6209">
        <w:rPr>
          <w:sz w:val="24"/>
        </w:rPr>
        <w:t>A</w:t>
      </w:r>
      <w:r w:rsidR="00C3168B">
        <w:rPr>
          <w:sz w:val="24"/>
        </w:rPr>
        <w:t>6</w:t>
      </w:r>
      <w:r w:rsidRPr="002D6209">
        <w:rPr>
          <w:sz w:val="24"/>
        </w:rPr>
        <w:tab/>
      </w:r>
    </w:p>
    <w:p w14:paraId="1E3F5D5B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1E3F5D5C" w14:textId="77777777" w:rsidR="005B738C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2D6209">
        <w:rPr>
          <w:b/>
          <w:bCs/>
          <w:sz w:val="24"/>
        </w:rPr>
        <w:t xml:space="preserve">Docket: </w:t>
      </w:r>
      <w:r w:rsidRPr="002D6209">
        <w:rPr>
          <w:b/>
          <w:bCs/>
          <w:sz w:val="24"/>
        </w:rPr>
        <w:tab/>
      </w:r>
      <w:r w:rsidRPr="002D6209">
        <w:rPr>
          <w:b/>
          <w:bCs/>
          <w:sz w:val="24"/>
        </w:rPr>
        <w:tab/>
      </w:r>
      <w:r w:rsidR="00B12018" w:rsidRPr="002D6209">
        <w:rPr>
          <w:b/>
          <w:bCs/>
          <w:sz w:val="24"/>
        </w:rPr>
        <w:t>UW</w:t>
      </w:r>
      <w:r w:rsidRPr="002D6209">
        <w:rPr>
          <w:b/>
          <w:bCs/>
          <w:sz w:val="24"/>
        </w:rPr>
        <w:t>-</w:t>
      </w:r>
      <w:r w:rsidR="003A6210">
        <w:rPr>
          <w:b/>
          <w:bCs/>
          <w:sz w:val="24"/>
        </w:rPr>
        <w:t>111</w:t>
      </w:r>
      <w:r w:rsidR="00BF232A">
        <w:rPr>
          <w:b/>
          <w:bCs/>
          <w:sz w:val="24"/>
        </w:rPr>
        <w:t>789</w:t>
      </w:r>
    </w:p>
    <w:p w14:paraId="1E3F5D5D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sz w:val="24"/>
        </w:rPr>
        <w:t>Company Name:</w:t>
      </w:r>
      <w:r w:rsidRPr="002D6209">
        <w:rPr>
          <w:sz w:val="24"/>
        </w:rPr>
        <w:tab/>
      </w:r>
      <w:r w:rsidR="00DF7983">
        <w:rPr>
          <w:sz w:val="24"/>
        </w:rPr>
        <w:t>Washington</w:t>
      </w:r>
      <w:r w:rsidR="00717227">
        <w:rPr>
          <w:sz w:val="24"/>
        </w:rPr>
        <w:t xml:space="preserve"> Water Service </w:t>
      </w:r>
      <w:r w:rsidR="0028377B">
        <w:rPr>
          <w:sz w:val="24"/>
        </w:rPr>
        <w:t>C</w:t>
      </w:r>
      <w:r w:rsidR="00717227">
        <w:rPr>
          <w:sz w:val="24"/>
        </w:rPr>
        <w:t>ompany</w:t>
      </w:r>
    </w:p>
    <w:p w14:paraId="1E3F5D5E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5F" w14:textId="77777777" w:rsidR="008956A7" w:rsidRPr="002D620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sz w:val="24"/>
          <w:u w:val="single"/>
        </w:rPr>
        <w:t>Staff:</w:t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Pr="002D6209">
        <w:rPr>
          <w:sz w:val="24"/>
        </w:rPr>
        <w:tab/>
      </w:r>
      <w:r w:rsidR="00540E1D" w:rsidRPr="002D6209">
        <w:rPr>
          <w:sz w:val="24"/>
        </w:rPr>
        <w:t>Jim Ward</w:t>
      </w:r>
      <w:r w:rsidRPr="002D6209">
        <w:rPr>
          <w:sz w:val="24"/>
        </w:rPr>
        <w:t>, Regulatory Analyst</w:t>
      </w:r>
    </w:p>
    <w:p w14:paraId="1E3F5D60" w14:textId="35D03C56" w:rsidR="008956A7" w:rsidRPr="002D6209" w:rsidRDefault="008A171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C46E3">
        <w:rPr>
          <w:sz w:val="24"/>
        </w:rPr>
        <w:t>John Cupp</w:t>
      </w:r>
      <w:r w:rsidR="008956A7" w:rsidRPr="002D6209">
        <w:rPr>
          <w:sz w:val="24"/>
        </w:rPr>
        <w:t>,</w:t>
      </w:r>
      <w:r w:rsidR="00CB5228">
        <w:rPr>
          <w:sz w:val="24"/>
        </w:rPr>
        <w:t xml:space="preserve"> </w:t>
      </w:r>
      <w:r w:rsidR="00B207EF" w:rsidRPr="00B207EF">
        <w:rPr>
          <w:sz w:val="24"/>
        </w:rPr>
        <w:t>Consumer Pro</w:t>
      </w:r>
      <w:r w:rsidR="00986CC4">
        <w:rPr>
          <w:sz w:val="24"/>
        </w:rPr>
        <w:t>tection Staff</w:t>
      </w:r>
      <w:r w:rsidR="008956A7" w:rsidRPr="002D6209">
        <w:rPr>
          <w:sz w:val="24"/>
        </w:rPr>
        <w:t xml:space="preserve"> </w:t>
      </w:r>
    </w:p>
    <w:p w14:paraId="1E3F5D61" w14:textId="77777777" w:rsidR="0045500C" w:rsidRPr="002D620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2" w14:textId="77777777" w:rsidR="00F720D5" w:rsidRPr="002D6209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2D6209">
        <w:rPr>
          <w:b/>
          <w:sz w:val="24"/>
          <w:u w:val="single"/>
        </w:rPr>
        <w:t>Recommendation</w:t>
      </w:r>
    </w:p>
    <w:p w14:paraId="1E3F5D63" w14:textId="77777777" w:rsidR="00697E4B" w:rsidRPr="002D6209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4" w14:textId="32F1AFCC" w:rsidR="00A277CA" w:rsidRDefault="00692D82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7E2FBD">
        <w:rPr>
          <w:color w:val="000000"/>
          <w:sz w:val="24"/>
        </w:rPr>
        <w:t>Issue a Complaint and Order Suspending the Tariff Revisions filed</w:t>
      </w:r>
      <w:r>
        <w:rPr>
          <w:color w:val="000000"/>
          <w:sz w:val="24"/>
        </w:rPr>
        <w:t xml:space="preserve"> </w:t>
      </w:r>
      <w:r w:rsidR="005D320A">
        <w:rPr>
          <w:color w:val="000000"/>
          <w:sz w:val="24"/>
        </w:rPr>
        <w:t xml:space="preserve">by </w:t>
      </w:r>
      <w:r w:rsidR="00DF7983">
        <w:rPr>
          <w:sz w:val="24"/>
        </w:rPr>
        <w:t>Washington</w:t>
      </w:r>
      <w:r w:rsidR="00717227">
        <w:rPr>
          <w:sz w:val="24"/>
        </w:rPr>
        <w:t xml:space="preserve"> Water Service </w:t>
      </w:r>
      <w:r w:rsidR="0028377B">
        <w:rPr>
          <w:sz w:val="24"/>
        </w:rPr>
        <w:t>C</w:t>
      </w:r>
      <w:r w:rsidR="00717227">
        <w:rPr>
          <w:sz w:val="24"/>
        </w:rPr>
        <w:t>ompany</w:t>
      </w:r>
      <w:r w:rsidR="003C748A" w:rsidRPr="003C748A">
        <w:rPr>
          <w:sz w:val="24"/>
        </w:rPr>
        <w:t xml:space="preserve"> on </w:t>
      </w:r>
      <w:r w:rsidR="0028377B">
        <w:rPr>
          <w:sz w:val="24"/>
        </w:rPr>
        <w:t>October</w:t>
      </w:r>
      <w:r w:rsidR="002839F9">
        <w:rPr>
          <w:sz w:val="24"/>
        </w:rPr>
        <w:t xml:space="preserve"> 1</w:t>
      </w:r>
      <w:r w:rsidR="0028377B">
        <w:rPr>
          <w:sz w:val="24"/>
        </w:rPr>
        <w:t>1</w:t>
      </w:r>
      <w:r w:rsidR="003C748A" w:rsidRPr="003C748A">
        <w:rPr>
          <w:sz w:val="24"/>
        </w:rPr>
        <w:t>, 2011</w:t>
      </w:r>
      <w:r>
        <w:rPr>
          <w:sz w:val="24"/>
        </w:rPr>
        <w:t>.</w:t>
      </w:r>
    </w:p>
    <w:p w14:paraId="1E3F5D65" w14:textId="77777777" w:rsidR="00692D82" w:rsidRPr="002D6209" w:rsidRDefault="00692D82" w:rsidP="008072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6" w14:textId="77777777" w:rsidR="0045500C" w:rsidRPr="002D620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2D6209">
        <w:rPr>
          <w:b/>
          <w:bCs/>
          <w:sz w:val="24"/>
          <w:u w:val="single"/>
        </w:rPr>
        <w:t>Discussion</w:t>
      </w:r>
    </w:p>
    <w:p w14:paraId="1E3F5D67" w14:textId="77777777" w:rsidR="0045500C" w:rsidRPr="002D6209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8" w14:textId="68EF21DA" w:rsidR="000553FB" w:rsidRPr="0028377B" w:rsidRDefault="00391ECB" w:rsidP="000553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F2747D">
        <w:rPr>
          <w:sz w:val="24"/>
        </w:rPr>
        <w:t xml:space="preserve">On </w:t>
      </w:r>
      <w:r w:rsidR="0028377B">
        <w:rPr>
          <w:sz w:val="24"/>
        </w:rPr>
        <w:t>October 11</w:t>
      </w:r>
      <w:r w:rsidRPr="00F2747D">
        <w:rPr>
          <w:sz w:val="24"/>
        </w:rPr>
        <w:t xml:space="preserve">, </w:t>
      </w:r>
      <w:r w:rsidR="003D444E" w:rsidRPr="00F2747D">
        <w:rPr>
          <w:sz w:val="24"/>
        </w:rPr>
        <w:t>2011</w:t>
      </w:r>
      <w:r w:rsidRPr="00F2747D">
        <w:rPr>
          <w:sz w:val="24"/>
        </w:rPr>
        <w:t xml:space="preserve">, </w:t>
      </w:r>
      <w:r w:rsidR="00DF7983">
        <w:rPr>
          <w:sz w:val="24"/>
        </w:rPr>
        <w:t>Washington</w:t>
      </w:r>
      <w:r w:rsidR="00717227">
        <w:rPr>
          <w:sz w:val="24"/>
        </w:rPr>
        <w:t xml:space="preserve"> Water Service </w:t>
      </w:r>
      <w:r w:rsidR="0028377B">
        <w:rPr>
          <w:sz w:val="24"/>
        </w:rPr>
        <w:t>C</w:t>
      </w:r>
      <w:r w:rsidR="00717227">
        <w:rPr>
          <w:sz w:val="24"/>
        </w:rPr>
        <w:t>ompany</w:t>
      </w:r>
      <w:r w:rsidR="00B34AE0" w:rsidRPr="00F2747D">
        <w:rPr>
          <w:sz w:val="24"/>
        </w:rPr>
        <w:t xml:space="preserve"> (</w:t>
      </w:r>
      <w:r w:rsidR="0028377B">
        <w:rPr>
          <w:sz w:val="24"/>
        </w:rPr>
        <w:t>Washingto</w:t>
      </w:r>
      <w:r w:rsidR="0028377B" w:rsidRPr="0028377B">
        <w:rPr>
          <w:sz w:val="24"/>
        </w:rPr>
        <w:t>n Water</w:t>
      </w:r>
      <w:r w:rsidR="00B34AE0" w:rsidRPr="0028377B">
        <w:rPr>
          <w:sz w:val="24"/>
        </w:rPr>
        <w:t xml:space="preserve"> or company)</w:t>
      </w:r>
      <w:r w:rsidR="00845D67" w:rsidRPr="0028377B">
        <w:rPr>
          <w:sz w:val="24"/>
        </w:rPr>
        <w:t>,</w:t>
      </w:r>
      <w:r w:rsidR="008D0CA9" w:rsidRPr="0028377B">
        <w:rPr>
          <w:sz w:val="24"/>
        </w:rPr>
        <w:t xml:space="preserve"> filed with the Utilities and Transportation Commission (commission) </w:t>
      </w:r>
      <w:r w:rsidR="003D444E" w:rsidRPr="0028377B">
        <w:rPr>
          <w:sz w:val="24"/>
        </w:rPr>
        <w:t>a g</w:t>
      </w:r>
      <w:r w:rsidR="0028377B" w:rsidRPr="0028377B">
        <w:rPr>
          <w:sz w:val="24"/>
        </w:rPr>
        <w:t xml:space="preserve">eneral rate case filing that </w:t>
      </w:r>
      <w:r w:rsidR="00247B31">
        <w:rPr>
          <w:sz w:val="24"/>
        </w:rPr>
        <w:t>would generate</w:t>
      </w:r>
      <w:r w:rsidR="0028377B" w:rsidRPr="0028377B">
        <w:rPr>
          <w:sz w:val="24"/>
        </w:rPr>
        <w:t xml:space="preserve"> $1,738,796 (21.8 percent) </w:t>
      </w:r>
      <w:r w:rsidR="00247B31">
        <w:rPr>
          <w:sz w:val="24"/>
        </w:rPr>
        <w:t>additional annual revenue</w:t>
      </w:r>
      <w:r w:rsidR="0028377B" w:rsidRPr="0028377B">
        <w:rPr>
          <w:sz w:val="24"/>
        </w:rPr>
        <w:t xml:space="preserve">. </w:t>
      </w:r>
      <w:r w:rsidR="006523F4" w:rsidRPr="006523F4">
        <w:rPr>
          <w:sz w:val="24"/>
        </w:rPr>
        <w:t xml:space="preserve">The filing is prompted by the </w:t>
      </w:r>
      <w:r w:rsidR="006523F4">
        <w:rPr>
          <w:sz w:val="24"/>
        </w:rPr>
        <w:t>c</w:t>
      </w:r>
      <w:r w:rsidR="006523F4" w:rsidRPr="006523F4">
        <w:rPr>
          <w:sz w:val="24"/>
        </w:rPr>
        <w:t xml:space="preserve">ompany not receiving the revenue expected from the last rate increase, increased operating costs, and additional capital investment. </w:t>
      </w:r>
      <w:r w:rsidR="002F4CDF" w:rsidRPr="0028377B">
        <w:rPr>
          <w:sz w:val="24"/>
        </w:rPr>
        <w:t xml:space="preserve">The company serves 15,820 residential customers on 197 water systems located in eight counties. The proposed effective date is November 10, 2011. </w:t>
      </w:r>
      <w:r w:rsidR="000553FB" w:rsidRPr="0028377B">
        <w:rPr>
          <w:sz w:val="24"/>
        </w:rPr>
        <w:t xml:space="preserve">The company’s last general rate </w:t>
      </w:r>
      <w:r w:rsidR="00927900">
        <w:rPr>
          <w:sz w:val="24"/>
        </w:rPr>
        <w:t>increase</w:t>
      </w:r>
      <w:r w:rsidR="000553FB" w:rsidRPr="0028377B">
        <w:rPr>
          <w:sz w:val="24"/>
        </w:rPr>
        <w:t xml:space="preserve"> was July 30, 2009. </w:t>
      </w:r>
    </w:p>
    <w:p w14:paraId="1E3F5D6A" w14:textId="33C0D3B6" w:rsidR="00836C67" w:rsidRDefault="00836C67" w:rsidP="003D4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D9F7DD0" w14:textId="2B3CCA6B" w:rsidR="006523F4" w:rsidRPr="006523F4" w:rsidRDefault="00A00398" w:rsidP="006523F4">
      <w:pPr>
        <w:rPr>
          <w:rFonts w:eastAsia="Calibri"/>
          <w:sz w:val="24"/>
        </w:rPr>
      </w:pPr>
      <w:r w:rsidRPr="00A00398">
        <w:rPr>
          <w:sz w:val="24"/>
        </w:rPr>
        <w:t xml:space="preserve">The filing also proposes to create a Water Revenue Adjustment Mechanism (WRAM) </w:t>
      </w:r>
      <w:r w:rsidR="00534836">
        <w:rPr>
          <w:sz w:val="24"/>
        </w:rPr>
        <w:t xml:space="preserve">to track revenue, create </w:t>
      </w:r>
      <w:r w:rsidRPr="00A00398">
        <w:rPr>
          <w:sz w:val="24"/>
        </w:rPr>
        <w:t xml:space="preserve">a </w:t>
      </w:r>
      <w:r w:rsidR="000D039B">
        <w:rPr>
          <w:sz w:val="24"/>
        </w:rPr>
        <w:t>Modified</w:t>
      </w:r>
      <w:r w:rsidRPr="00A00398">
        <w:rPr>
          <w:sz w:val="24"/>
        </w:rPr>
        <w:t xml:space="preserve"> Cost Balancing Account (</w:t>
      </w:r>
      <w:r w:rsidR="000D039B">
        <w:rPr>
          <w:sz w:val="24"/>
        </w:rPr>
        <w:t>M</w:t>
      </w:r>
      <w:r w:rsidRPr="00A00398">
        <w:rPr>
          <w:sz w:val="24"/>
        </w:rPr>
        <w:t xml:space="preserve">CBA) to track expenses </w:t>
      </w:r>
      <w:r w:rsidR="00534836">
        <w:rPr>
          <w:sz w:val="24"/>
        </w:rPr>
        <w:t>for</w:t>
      </w:r>
      <w:r w:rsidRPr="00A00398">
        <w:rPr>
          <w:sz w:val="24"/>
        </w:rPr>
        <w:t xml:space="preserve"> purchased water and purchased power</w:t>
      </w:r>
      <w:r w:rsidR="00534836">
        <w:rPr>
          <w:sz w:val="24"/>
        </w:rPr>
        <w:t>, and establish a deferred accounting methodology to automatically true-up rates annually</w:t>
      </w:r>
      <w:r w:rsidRPr="006523F4">
        <w:rPr>
          <w:sz w:val="24"/>
        </w:rPr>
        <w:t xml:space="preserve">. </w:t>
      </w:r>
      <w:r w:rsidR="006523F4" w:rsidRPr="006523F4">
        <w:rPr>
          <w:sz w:val="24"/>
        </w:rPr>
        <w:t>T</w:t>
      </w:r>
      <w:r w:rsidR="006523F4" w:rsidRPr="006523F4">
        <w:rPr>
          <w:rFonts w:eastAsia="Calibri"/>
          <w:sz w:val="24"/>
        </w:rPr>
        <w:t>he company’s proposal can be considered a full decoupling mechanism.</w:t>
      </w:r>
    </w:p>
    <w:p w14:paraId="1E3F5D6B" w14:textId="77777777" w:rsidR="00836C67" w:rsidRDefault="00836C67" w:rsidP="003D44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E3F5D6C" w14:textId="377B760A" w:rsidR="009B4667" w:rsidRPr="00F2747D" w:rsidRDefault="00F2747D" w:rsidP="00B34A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F2747D">
        <w:rPr>
          <w:sz w:val="24"/>
        </w:rPr>
        <w:t xml:space="preserve">Using the proposed rates, a residential customer </w:t>
      </w:r>
      <w:r w:rsidR="00A47326">
        <w:rPr>
          <w:sz w:val="24"/>
        </w:rPr>
        <w:t xml:space="preserve">using </w:t>
      </w:r>
      <w:r w:rsidR="00587491">
        <w:rPr>
          <w:sz w:val="24"/>
        </w:rPr>
        <w:t>1,000</w:t>
      </w:r>
      <w:r w:rsidR="00A47326">
        <w:rPr>
          <w:sz w:val="24"/>
        </w:rPr>
        <w:t xml:space="preserve"> cubic feet of water (the </w:t>
      </w:r>
      <w:r w:rsidR="001E22BC">
        <w:rPr>
          <w:sz w:val="24"/>
        </w:rPr>
        <w:t>company</w:t>
      </w:r>
      <w:r w:rsidR="00A47326">
        <w:rPr>
          <w:sz w:val="24"/>
        </w:rPr>
        <w:t xml:space="preserve"> average) </w:t>
      </w:r>
      <w:r w:rsidRPr="00F2747D">
        <w:rPr>
          <w:sz w:val="24"/>
        </w:rPr>
        <w:t>would pay $</w:t>
      </w:r>
      <w:r w:rsidR="005C0500">
        <w:rPr>
          <w:sz w:val="24"/>
        </w:rPr>
        <w:t>9</w:t>
      </w:r>
      <w:r w:rsidR="00587491">
        <w:rPr>
          <w:sz w:val="24"/>
        </w:rPr>
        <w:t>.32</w:t>
      </w:r>
      <w:r w:rsidRPr="00F2747D">
        <w:rPr>
          <w:sz w:val="24"/>
        </w:rPr>
        <w:t xml:space="preserve"> (</w:t>
      </w:r>
      <w:r w:rsidR="005C0500">
        <w:rPr>
          <w:sz w:val="24"/>
        </w:rPr>
        <w:t>2</w:t>
      </w:r>
      <w:r w:rsidR="00587491">
        <w:rPr>
          <w:sz w:val="24"/>
        </w:rPr>
        <w:t>1.8</w:t>
      </w:r>
      <w:r w:rsidRPr="00F2747D">
        <w:rPr>
          <w:sz w:val="24"/>
        </w:rPr>
        <w:t xml:space="preserve"> percent) more than the current rates (see “Average Bill Comparison” table below). </w:t>
      </w:r>
      <w:r w:rsidR="004B2811" w:rsidRPr="00F2747D">
        <w:rPr>
          <w:sz w:val="24"/>
        </w:rPr>
        <w:t>Current and proposed rates are shown below</w:t>
      </w:r>
      <w:r w:rsidR="003C748A" w:rsidRPr="00F2747D">
        <w:rPr>
          <w:sz w:val="24"/>
        </w:rPr>
        <w:t xml:space="preserve"> for the general rate increase</w:t>
      </w:r>
      <w:r w:rsidR="004B2811" w:rsidRPr="00F2747D">
        <w:rPr>
          <w:sz w:val="24"/>
        </w:rPr>
        <w:t>.</w:t>
      </w:r>
      <w:r w:rsidR="00F61960" w:rsidRPr="00F61960">
        <w:rPr>
          <w:sz w:val="24"/>
        </w:rPr>
        <w:t xml:space="preserve"> </w:t>
      </w:r>
      <w:r w:rsidR="00F61960">
        <w:rPr>
          <w:sz w:val="24"/>
        </w:rPr>
        <w:t xml:space="preserve">Orcas Island water system customers will no longer </w:t>
      </w:r>
      <w:r w:rsidR="008E5A25">
        <w:rPr>
          <w:sz w:val="24"/>
        </w:rPr>
        <w:t xml:space="preserve">pay </w:t>
      </w:r>
      <w:r w:rsidR="00F61960">
        <w:rPr>
          <w:sz w:val="24"/>
        </w:rPr>
        <w:t>an Island Fee</w:t>
      </w:r>
      <w:r w:rsidR="008E5A25">
        <w:rPr>
          <w:sz w:val="24"/>
        </w:rPr>
        <w:t xml:space="preserve">, which </w:t>
      </w:r>
      <w:r w:rsidR="00F61960">
        <w:rPr>
          <w:sz w:val="24"/>
        </w:rPr>
        <w:t>appli</w:t>
      </w:r>
      <w:r w:rsidR="008E5A25">
        <w:rPr>
          <w:sz w:val="24"/>
        </w:rPr>
        <w:t>es</w:t>
      </w:r>
      <w:r w:rsidR="00F61960">
        <w:rPr>
          <w:sz w:val="24"/>
        </w:rPr>
        <w:t xml:space="preserve"> to </w:t>
      </w:r>
      <w:r w:rsidR="008E5A25">
        <w:rPr>
          <w:sz w:val="24"/>
        </w:rPr>
        <w:t xml:space="preserve">only </w:t>
      </w:r>
      <w:r w:rsidR="00F61960">
        <w:rPr>
          <w:sz w:val="24"/>
        </w:rPr>
        <w:t>them.</w:t>
      </w:r>
    </w:p>
    <w:p w14:paraId="1E3F5D6D" w14:textId="77777777" w:rsidR="00A00CBB" w:rsidRPr="00F2747D" w:rsidRDefault="00A00CBB" w:rsidP="00FE0AD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1E3F5D6E" w14:textId="5D96F336" w:rsidR="00EA6087" w:rsidRPr="00F2747D" w:rsidRDefault="004F7FD4" w:rsidP="00EA6087">
      <w:pPr>
        <w:pStyle w:val="BodyText"/>
        <w:widowControl/>
        <w:tabs>
          <w:tab w:val="left" w:pos="0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  <w:r w:rsidR="00EA6087" w:rsidRPr="00F2747D">
        <w:rPr>
          <w:rFonts w:ascii="Times New Roman" w:hAnsi="Times New Roman"/>
          <w:b/>
          <w:u w:val="single"/>
        </w:rPr>
        <w:lastRenderedPageBreak/>
        <w:t>Rate Comparison</w:t>
      </w:r>
    </w:p>
    <w:p w14:paraId="1E3F5D6F" w14:textId="77777777" w:rsidR="004E624C" w:rsidRPr="00F2747D" w:rsidRDefault="004E624C" w:rsidP="004E624C">
      <w:pPr>
        <w:tabs>
          <w:tab w:val="left" w:pos="7410"/>
        </w:tabs>
        <w:rPr>
          <w:sz w:val="24"/>
        </w:rPr>
      </w:pPr>
    </w:p>
    <w:tbl>
      <w:tblPr>
        <w:tblW w:w="7205" w:type="dxa"/>
        <w:jc w:val="center"/>
        <w:tblInd w:w="-1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5"/>
        <w:gridCol w:w="1980"/>
        <w:gridCol w:w="1810"/>
      </w:tblGrid>
      <w:tr w:rsidR="004E624C" w:rsidRPr="00F2747D" w14:paraId="1E3F5D73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70" w14:textId="77777777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Monthly Rate</w:t>
            </w:r>
          </w:p>
        </w:tc>
        <w:tc>
          <w:tcPr>
            <w:tcW w:w="1980" w:type="dxa"/>
            <w:vAlign w:val="bottom"/>
          </w:tcPr>
          <w:p w14:paraId="1E3F5D71" w14:textId="77777777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Current Rate</w:t>
            </w:r>
          </w:p>
        </w:tc>
        <w:tc>
          <w:tcPr>
            <w:tcW w:w="1810" w:type="dxa"/>
            <w:vAlign w:val="bottom"/>
          </w:tcPr>
          <w:p w14:paraId="1E3F5D72" w14:textId="77777777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Proposed Rate</w:t>
            </w:r>
          </w:p>
        </w:tc>
      </w:tr>
      <w:tr w:rsidR="004E624C" w:rsidRPr="00F2747D" w14:paraId="1E3F5D77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74" w14:textId="77777777" w:rsidR="004E624C" w:rsidRPr="00F2747D" w:rsidRDefault="0028377B" w:rsidP="002837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Ready to Serve</w:t>
            </w:r>
            <w:r w:rsidR="007D35A0">
              <w:rPr>
                <w:sz w:val="24"/>
              </w:rPr>
              <w:t xml:space="preserve"> </w:t>
            </w:r>
            <w:r w:rsidR="003A6210" w:rsidRPr="00F2747D">
              <w:rPr>
                <w:sz w:val="24"/>
              </w:rPr>
              <w:t>Service</w:t>
            </w:r>
          </w:p>
        </w:tc>
        <w:tc>
          <w:tcPr>
            <w:tcW w:w="1980" w:type="dxa"/>
            <w:vAlign w:val="bottom"/>
          </w:tcPr>
          <w:p w14:paraId="1E3F5D75" w14:textId="77777777" w:rsidR="004E624C" w:rsidRPr="00F2747D" w:rsidRDefault="004E624C" w:rsidP="002837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28377B">
              <w:rPr>
                <w:sz w:val="24"/>
              </w:rPr>
              <w:t>17.43</w:t>
            </w:r>
          </w:p>
        </w:tc>
        <w:tc>
          <w:tcPr>
            <w:tcW w:w="1810" w:type="dxa"/>
            <w:vAlign w:val="bottom"/>
          </w:tcPr>
          <w:p w14:paraId="1E3F5D76" w14:textId="77777777" w:rsidR="004E624C" w:rsidRPr="00F2747D" w:rsidRDefault="0028377B" w:rsidP="003F621D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$19.95</w:t>
            </w:r>
          </w:p>
        </w:tc>
      </w:tr>
      <w:tr w:rsidR="004E624C" w:rsidRPr="00F2747D" w14:paraId="1E3F5D7B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78" w14:textId="77777777" w:rsidR="004E624C" w:rsidRPr="00F2747D" w:rsidRDefault="007D35A0" w:rsidP="00780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Base Rate 3/4 Inch</w:t>
            </w:r>
            <w:r w:rsidR="003A6210" w:rsidRPr="00F2747D">
              <w:rPr>
                <w:sz w:val="24"/>
              </w:rPr>
              <w:t xml:space="preserve"> Service</w:t>
            </w:r>
            <w:r w:rsidR="00601141" w:rsidRPr="00601141">
              <w:rPr>
                <w:sz w:val="24"/>
                <w:vertAlign w:val="superscript"/>
              </w:rPr>
              <w:t>1</w:t>
            </w:r>
          </w:p>
        </w:tc>
        <w:tc>
          <w:tcPr>
            <w:tcW w:w="1980" w:type="dxa"/>
            <w:vAlign w:val="bottom"/>
          </w:tcPr>
          <w:p w14:paraId="1E3F5D79" w14:textId="77777777" w:rsidR="004E624C" w:rsidRPr="00F2747D" w:rsidRDefault="00601141" w:rsidP="003F62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$17.43</w:t>
            </w:r>
          </w:p>
        </w:tc>
        <w:tc>
          <w:tcPr>
            <w:tcW w:w="1810" w:type="dxa"/>
            <w:vAlign w:val="bottom"/>
          </w:tcPr>
          <w:p w14:paraId="1E3F5D7A" w14:textId="77777777" w:rsidR="004E624C" w:rsidRPr="00F2747D" w:rsidRDefault="004E624C" w:rsidP="0060114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601141">
              <w:rPr>
                <w:sz w:val="24"/>
              </w:rPr>
              <w:t>19.95</w:t>
            </w:r>
          </w:p>
        </w:tc>
      </w:tr>
      <w:tr w:rsidR="003F621D" w:rsidRPr="00F2747D" w14:paraId="1E3F5D7F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7C" w14:textId="77777777" w:rsidR="003F621D" w:rsidRPr="00F2747D" w:rsidRDefault="007D35A0" w:rsidP="00780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Usage </w:t>
            </w:r>
            <w:r w:rsidR="0060114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="00601141">
              <w:rPr>
                <w:sz w:val="24"/>
              </w:rPr>
              <w:t>- 60</w:t>
            </w:r>
            <w:r>
              <w:rPr>
                <w:sz w:val="24"/>
              </w:rPr>
              <w:t>0 cubic feet</w:t>
            </w:r>
            <w:r w:rsidR="00780E4A" w:rsidRPr="00780E4A">
              <w:rPr>
                <w:sz w:val="24"/>
                <w:vertAlign w:val="superscript"/>
              </w:rPr>
              <w:t>2</w:t>
            </w:r>
          </w:p>
        </w:tc>
        <w:tc>
          <w:tcPr>
            <w:tcW w:w="1980" w:type="dxa"/>
            <w:vAlign w:val="bottom"/>
          </w:tcPr>
          <w:p w14:paraId="1E3F5D7D" w14:textId="77777777" w:rsidR="003F621D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$2.38</w:t>
            </w:r>
          </w:p>
        </w:tc>
        <w:tc>
          <w:tcPr>
            <w:tcW w:w="1810" w:type="dxa"/>
            <w:vAlign w:val="bottom"/>
          </w:tcPr>
          <w:p w14:paraId="1E3F5D7E" w14:textId="77777777" w:rsidR="003F621D" w:rsidRPr="00F2747D" w:rsidRDefault="003F621D" w:rsidP="0060114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601141">
              <w:rPr>
                <w:sz w:val="24"/>
              </w:rPr>
              <w:t>2.95</w:t>
            </w:r>
          </w:p>
        </w:tc>
      </w:tr>
      <w:tr w:rsidR="003F621D" w:rsidRPr="00F2747D" w14:paraId="1E3F5D83" w14:textId="77777777" w:rsidTr="00B30DB3">
        <w:trPr>
          <w:jc w:val="center"/>
        </w:trPr>
        <w:tc>
          <w:tcPr>
            <w:tcW w:w="3415" w:type="dxa"/>
            <w:vAlign w:val="bottom"/>
          </w:tcPr>
          <w:p w14:paraId="1E3F5D80" w14:textId="77777777" w:rsidR="003F621D" w:rsidRPr="00F2747D" w:rsidRDefault="007D35A0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Usage </w:t>
            </w:r>
            <w:r w:rsidR="00601141">
              <w:rPr>
                <w:sz w:val="24"/>
              </w:rPr>
              <w:t>600</w:t>
            </w:r>
            <w:r>
              <w:rPr>
                <w:sz w:val="24"/>
              </w:rPr>
              <w:t xml:space="preserve"> </w:t>
            </w:r>
            <w:r w:rsidR="00601141">
              <w:rPr>
                <w:sz w:val="24"/>
              </w:rPr>
              <w:t xml:space="preserve">– 653 </w:t>
            </w:r>
            <w:r>
              <w:rPr>
                <w:sz w:val="24"/>
              </w:rPr>
              <w:t>cubic feet</w:t>
            </w:r>
            <w:r w:rsidR="00587491" w:rsidRPr="00587491">
              <w:rPr>
                <w:sz w:val="24"/>
                <w:vertAlign w:val="superscript"/>
              </w:rPr>
              <w:t>2</w:t>
            </w:r>
          </w:p>
        </w:tc>
        <w:tc>
          <w:tcPr>
            <w:tcW w:w="1980" w:type="dxa"/>
            <w:vAlign w:val="bottom"/>
          </w:tcPr>
          <w:p w14:paraId="1E3F5D81" w14:textId="77777777" w:rsidR="003F621D" w:rsidRPr="00F2747D" w:rsidRDefault="00601141" w:rsidP="00B636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$2.38</w:t>
            </w:r>
          </w:p>
        </w:tc>
        <w:tc>
          <w:tcPr>
            <w:tcW w:w="1810" w:type="dxa"/>
            <w:vAlign w:val="bottom"/>
          </w:tcPr>
          <w:p w14:paraId="1E3F5D82" w14:textId="77777777" w:rsidR="003F621D" w:rsidRPr="00F2747D" w:rsidRDefault="003F621D" w:rsidP="0060114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601141">
              <w:rPr>
                <w:sz w:val="24"/>
              </w:rPr>
              <w:t>3.60</w:t>
            </w:r>
          </w:p>
        </w:tc>
      </w:tr>
      <w:tr w:rsidR="00601141" w:rsidRPr="00F2747D" w14:paraId="1E3F5D87" w14:textId="77777777" w:rsidTr="00247B31">
        <w:trPr>
          <w:jc w:val="center"/>
        </w:trPr>
        <w:tc>
          <w:tcPr>
            <w:tcW w:w="3415" w:type="dxa"/>
            <w:vAlign w:val="bottom"/>
          </w:tcPr>
          <w:p w14:paraId="1E3F5D84" w14:textId="77777777" w:rsidR="00601141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Usage 654 – 1,600 cubic feet</w:t>
            </w:r>
            <w:r w:rsidR="00587491" w:rsidRPr="00587491">
              <w:rPr>
                <w:sz w:val="24"/>
                <w:vertAlign w:val="superscript"/>
              </w:rPr>
              <w:t>2</w:t>
            </w:r>
          </w:p>
        </w:tc>
        <w:tc>
          <w:tcPr>
            <w:tcW w:w="1980" w:type="dxa"/>
            <w:vAlign w:val="bottom"/>
          </w:tcPr>
          <w:p w14:paraId="1E3F5D85" w14:textId="77777777" w:rsidR="00601141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$2.84</w:t>
            </w:r>
          </w:p>
        </w:tc>
        <w:tc>
          <w:tcPr>
            <w:tcW w:w="1810" w:type="dxa"/>
            <w:vAlign w:val="bottom"/>
          </w:tcPr>
          <w:p w14:paraId="1E3F5D86" w14:textId="77777777" w:rsidR="00601141" w:rsidRPr="00F2747D" w:rsidRDefault="00601141" w:rsidP="00247B3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>
              <w:rPr>
                <w:sz w:val="24"/>
              </w:rPr>
              <w:t>3.60</w:t>
            </w:r>
          </w:p>
        </w:tc>
      </w:tr>
      <w:tr w:rsidR="00601141" w:rsidRPr="00F2747D" w14:paraId="1E3F5D8B" w14:textId="77777777" w:rsidTr="00247B31">
        <w:trPr>
          <w:jc w:val="center"/>
        </w:trPr>
        <w:tc>
          <w:tcPr>
            <w:tcW w:w="3415" w:type="dxa"/>
            <w:vAlign w:val="bottom"/>
          </w:tcPr>
          <w:p w14:paraId="1E3F5D88" w14:textId="77777777" w:rsidR="00601141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Usage 1,600 – 2,056 cubic feet</w:t>
            </w:r>
            <w:r w:rsidR="00587491" w:rsidRPr="00587491">
              <w:rPr>
                <w:sz w:val="24"/>
                <w:vertAlign w:val="superscript"/>
              </w:rPr>
              <w:t>2</w:t>
            </w:r>
          </w:p>
        </w:tc>
        <w:tc>
          <w:tcPr>
            <w:tcW w:w="1980" w:type="dxa"/>
            <w:vAlign w:val="bottom"/>
          </w:tcPr>
          <w:p w14:paraId="1E3F5D89" w14:textId="77777777" w:rsidR="00601141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$2.84</w:t>
            </w:r>
          </w:p>
        </w:tc>
        <w:tc>
          <w:tcPr>
            <w:tcW w:w="1810" w:type="dxa"/>
            <w:vAlign w:val="bottom"/>
          </w:tcPr>
          <w:p w14:paraId="1E3F5D8A" w14:textId="77777777" w:rsidR="00601141" w:rsidRPr="00F2747D" w:rsidRDefault="00601141" w:rsidP="00247B3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>
              <w:rPr>
                <w:sz w:val="24"/>
              </w:rPr>
              <w:t>4.85</w:t>
            </w:r>
          </w:p>
        </w:tc>
      </w:tr>
      <w:tr w:rsidR="00601141" w:rsidRPr="00F2747D" w14:paraId="1E3F5D8F" w14:textId="77777777" w:rsidTr="00247B31">
        <w:trPr>
          <w:jc w:val="center"/>
        </w:trPr>
        <w:tc>
          <w:tcPr>
            <w:tcW w:w="3415" w:type="dxa"/>
            <w:vAlign w:val="bottom"/>
          </w:tcPr>
          <w:p w14:paraId="1E3F5D8C" w14:textId="77777777" w:rsidR="00601141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Usage over 2,056 cubic feet</w:t>
            </w:r>
            <w:r w:rsidR="00587491" w:rsidRPr="00587491">
              <w:rPr>
                <w:sz w:val="24"/>
                <w:vertAlign w:val="superscript"/>
              </w:rPr>
              <w:t>2</w:t>
            </w:r>
          </w:p>
        </w:tc>
        <w:tc>
          <w:tcPr>
            <w:tcW w:w="1980" w:type="dxa"/>
            <w:vAlign w:val="bottom"/>
          </w:tcPr>
          <w:p w14:paraId="1E3F5D8D" w14:textId="77777777" w:rsidR="00601141" w:rsidRPr="00F2747D" w:rsidRDefault="0060114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$3.22</w:t>
            </w:r>
          </w:p>
        </w:tc>
        <w:tc>
          <w:tcPr>
            <w:tcW w:w="1810" w:type="dxa"/>
            <w:vAlign w:val="bottom"/>
          </w:tcPr>
          <w:p w14:paraId="1E3F5D8E" w14:textId="77777777" w:rsidR="00601141" w:rsidRPr="00F2747D" w:rsidRDefault="00601141" w:rsidP="00247B3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>
              <w:rPr>
                <w:sz w:val="24"/>
              </w:rPr>
              <w:t>4.85</w:t>
            </w:r>
          </w:p>
        </w:tc>
      </w:tr>
      <w:tr w:rsidR="00587491" w:rsidRPr="00F2747D" w14:paraId="1E3F5D93" w14:textId="77777777" w:rsidTr="00247B31">
        <w:trPr>
          <w:jc w:val="center"/>
        </w:trPr>
        <w:tc>
          <w:tcPr>
            <w:tcW w:w="3415" w:type="dxa"/>
            <w:vAlign w:val="bottom"/>
          </w:tcPr>
          <w:p w14:paraId="1E3F5D90" w14:textId="77777777" w:rsidR="00587491" w:rsidRDefault="0058749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Non-Metered Service</w:t>
            </w:r>
          </w:p>
        </w:tc>
        <w:tc>
          <w:tcPr>
            <w:tcW w:w="1980" w:type="dxa"/>
            <w:vAlign w:val="bottom"/>
          </w:tcPr>
          <w:p w14:paraId="1E3F5D91" w14:textId="77777777" w:rsidR="00587491" w:rsidRDefault="0058749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$44.67</w:t>
            </w:r>
          </w:p>
        </w:tc>
        <w:tc>
          <w:tcPr>
            <w:tcW w:w="1810" w:type="dxa"/>
            <w:vAlign w:val="bottom"/>
          </w:tcPr>
          <w:p w14:paraId="1E3F5D92" w14:textId="77777777" w:rsidR="00587491" w:rsidRPr="00F2747D" w:rsidRDefault="00587491" w:rsidP="00247B3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$52.05</w:t>
            </w:r>
          </w:p>
        </w:tc>
      </w:tr>
      <w:tr w:rsidR="00587491" w:rsidRPr="00F2747D" w14:paraId="1E3F5D97" w14:textId="77777777" w:rsidTr="00247B31">
        <w:trPr>
          <w:jc w:val="center"/>
        </w:trPr>
        <w:tc>
          <w:tcPr>
            <w:tcW w:w="3415" w:type="dxa"/>
            <w:vAlign w:val="bottom"/>
          </w:tcPr>
          <w:p w14:paraId="1E3F5D94" w14:textId="77777777" w:rsidR="00587491" w:rsidRDefault="00587491" w:rsidP="005874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Wate</w:t>
            </w:r>
            <w:r w:rsidR="00DF7983">
              <w:rPr>
                <w:sz w:val="24"/>
              </w:rPr>
              <w:t>r</w:t>
            </w:r>
            <w:r>
              <w:rPr>
                <w:sz w:val="24"/>
              </w:rPr>
              <w:t xml:space="preserve"> System Facilities Charge</w:t>
            </w:r>
          </w:p>
        </w:tc>
        <w:tc>
          <w:tcPr>
            <w:tcW w:w="1980" w:type="dxa"/>
            <w:vAlign w:val="bottom"/>
          </w:tcPr>
          <w:p w14:paraId="1E3F5D95" w14:textId="77777777" w:rsidR="00587491" w:rsidRDefault="00587491" w:rsidP="006011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$2,272</w:t>
            </w:r>
          </w:p>
        </w:tc>
        <w:tc>
          <w:tcPr>
            <w:tcW w:w="1810" w:type="dxa"/>
            <w:vAlign w:val="bottom"/>
          </w:tcPr>
          <w:p w14:paraId="1E3F5D96" w14:textId="77777777" w:rsidR="00587491" w:rsidRDefault="00587491" w:rsidP="00247B3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$3,100</w:t>
            </w:r>
          </w:p>
        </w:tc>
      </w:tr>
    </w:tbl>
    <w:p w14:paraId="1E3F5D98" w14:textId="77777777" w:rsidR="00780E4A" w:rsidRDefault="0028377B" w:rsidP="0028377B">
      <w:pPr>
        <w:tabs>
          <w:tab w:val="left" w:pos="720"/>
        </w:tabs>
        <w:ind w:left="1080"/>
        <w:rPr>
          <w:szCs w:val="20"/>
        </w:rPr>
      </w:pPr>
      <w:r w:rsidRPr="00780E4A">
        <w:rPr>
          <w:szCs w:val="20"/>
        </w:rPr>
        <w:t xml:space="preserve">1 </w:t>
      </w:r>
      <w:r w:rsidR="00780E4A">
        <w:rPr>
          <w:szCs w:val="20"/>
        </w:rPr>
        <w:t>-</w:t>
      </w:r>
      <w:r w:rsidRPr="00780E4A">
        <w:rPr>
          <w:szCs w:val="20"/>
        </w:rPr>
        <w:t xml:space="preserve"> </w:t>
      </w:r>
      <w:r w:rsidR="00780E4A" w:rsidRPr="00780E4A">
        <w:rPr>
          <w:szCs w:val="20"/>
        </w:rPr>
        <w:t>Other upsize meter rates are also changed and available in the proposed tariff.</w:t>
      </w:r>
    </w:p>
    <w:p w14:paraId="1E3F5D99" w14:textId="77777777" w:rsidR="00780E4A" w:rsidRPr="00780E4A" w:rsidRDefault="00780E4A" w:rsidP="0028377B">
      <w:pPr>
        <w:tabs>
          <w:tab w:val="left" w:pos="720"/>
        </w:tabs>
        <w:ind w:left="1080"/>
        <w:rPr>
          <w:szCs w:val="20"/>
        </w:rPr>
      </w:pPr>
      <w:r>
        <w:rPr>
          <w:szCs w:val="20"/>
        </w:rPr>
        <w:t xml:space="preserve">2 - </w:t>
      </w:r>
      <w:r w:rsidRPr="00780E4A">
        <w:rPr>
          <w:szCs w:val="20"/>
        </w:rPr>
        <w:t>Based on per 100 cubic feet or fraction thereof</w:t>
      </w:r>
      <w:r>
        <w:rPr>
          <w:szCs w:val="20"/>
        </w:rPr>
        <w:t>.</w:t>
      </w:r>
    </w:p>
    <w:p w14:paraId="1E3F5D9A" w14:textId="77777777" w:rsidR="005C0500" w:rsidRDefault="005C0500" w:rsidP="005C0500">
      <w:pPr>
        <w:tabs>
          <w:tab w:val="left" w:pos="720"/>
        </w:tabs>
        <w:ind w:left="1080"/>
        <w:rPr>
          <w:szCs w:val="20"/>
        </w:rPr>
      </w:pPr>
    </w:p>
    <w:p w14:paraId="1E3F5D9C" w14:textId="1C9B020B" w:rsidR="004E624C" w:rsidRPr="00F2747D" w:rsidRDefault="004E624C" w:rsidP="004E624C">
      <w:pPr>
        <w:jc w:val="center"/>
        <w:rPr>
          <w:b/>
          <w:sz w:val="24"/>
          <w:u w:val="single"/>
        </w:rPr>
      </w:pPr>
      <w:r w:rsidRPr="00F2747D">
        <w:rPr>
          <w:b/>
          <w:sz w:val="24"/>
          <w:u w:val="single"/>
        </w:rPr>
        <w:t xml:space="preserve">Average </w:t>
      </w:r>
      <w:r w:rsidR="00F2747D" w:rsidRPr="00F2747D">
        <w:rPr>
          <w:b/>
          <w:sz w:val="24"/>
          <w:u w:val="single"/>
        </w:rPr>
        <w:t>Bill</w:t>
      </w:r>
      <w:r w:rsidRPr="00F2747D">
        <w:rPr>
          <w:b/>
          <w:sz w:val="24"/>
          <w:u w:val="single"/>
        </w:rPr>
        <w:t xml:space="preserve"> Comparison</w:t>
      </w:r>
    </w:p>
    <w:p w14:paraId="1E3F5D9D" w14:textId="0C43E3BD" w:rsidR="004E624C" w:rsidRDefault="00ED31CB" w:rsidP="00ED31CB">
      <w:pPr>
        <w:jc w:val="center"/>
        <w:rPr>
          <w:b/>
          <w:sz w:val="24"/>
          <w:u w:val="single"/>
        </w:rPr>
      </w:pPr>
      <w:r w:rsidRPr="00ED31CB">
        <w:rPr>
          <w:b/>
          <w:sz w:val="24"/>
          <w:u w:val="single"/>
        </w:rPr>
        <w:t>Except Orcas Island Water System</w:t>
      </w:r>
    </w:p>
    <w:p w14:paraId="01AA175F" w14:textId="77777777" w:rsidR="00ED31CB" w:rsidRPr="00ED31CB" w:rsidRDefault="00ED31CB" w:rsidP="00ED31CB">
      <w:pPr>
        <w:jc w:val="center"/>
        <w:rPr>
          <w:b/>
          <w:sz w:val="24"/>
          <w:u w:val="single"/>
        </w:rPr>
      </w:pPr>
    </w:p>
    <w:tbl>
      <w:tblPr>
        <w:tblW w:w="72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1980"/>
        <w:gridCol w:w="1800"/>
      </w:tblGrid>
      <w:tr w:rsidR="004E624C" w:rsidRPr="00F2747D" w14:paraId="1E3F5DA2" w14:textId="77777777" w:rsidTr="003E437D">
        <w:tc>
          <w:tcPr>
            <w:tcW w:w="3420" w:type="dxa"/>
            <w:vAlign w:val="bottom"/>
          </w:tcPr>
          <w:p w14:paraId="1E3F5D9E" w14:textId="77777777" w:rsidR="005C1038" w:rsidRDefault="004E624C" w:rsidP="009304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 xml:space="preserve">Average </w:t>
            </w:r>
            <w:r w:rsidR="00DF7983">
              <w:rPr>
                <w:b/>
                <w:sz w:val="24"/>
              </w:rPr>
              <w:t>Residential</w:t>
            </w:r>
            <w:r w:rsidR="005C1038">
              <w:rPr>
                <w:b/>
                <w:sz w:val="24"/>
              </w:rPr>
              <w:t xml:space="preserve"> </w:t>
            </w:r>
          </w:p>
          <w:p w14:paraId="1E3F5D9F" w14:textId="77777777" w:rsidR="004E624C" w:rsidRPr="00F2747D" w:rsidRDefault="005C1038" w:rsidP="00780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780E4A">
              <w:rPr>
                <w:b/>
                <w:sz w:val="24"/>
              </w:rPr>
              <w:t>1,000</w:t>
            </w:r>
            <w:r>
              <w:rPr>
                <w:b/>
                <w:sz w:val="24"/>
              </w:rPr>
              <w:t xml:space="preserve"> cubic feet)</w:t>
            </w:r>
            <w:r w:rsidR="00E80A78" w:rsidRPr="00F2747D"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14:paraId="1E3F5DA0" w14:textId="77777777" w:rsidR="004E624C" w:rsidRPr="00F2747D" w:rsidRDefault="004E624C" w:rsidP="00564092">
            <w:pPr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Current Rate</w:t>
            </w:r>
          </w:p>
        </w:tc>
        <w:tc>
          <w:tcPr>
            <w:tcW w:w="1800" w:type="dxa"/>
            <w:vAlign w:val="bottom"/>
          </w:tcPr>
          <w:p w14:paraId="1E3F5DA1" w14:textId="77777777" w:rsidR="004E624C" w:rsidRPr="00F2747D" w:rsidRDefault="004E624C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Proposed Rate</w:t>
            </w:r>
          </w:p>
        </w:tc>
      </w:tr>
      <w:tr w:rsidR="0093049F" w:rsidRPr="00F2747D" w14:paraId="1E3F5DA6" w14:textId="77777777" w:rsidTr="003E437D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1E3F5DA3" w14:textId="77777777" w:rsidR="0093049F" w:rsidRPr="00F2747D" w:rsidRDefault="00780E4A" w:rsidP="00564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3/4 inch </w:t>
            </w:r>
            <w:r w:rsidR="0093049F" w:rsidRPr="00F2747D">
              <w:rPr>
                <w:sz w:val="24"/>
              </w:rPr>
              <w:t>Residential</w:t>
            </w:r>
          </w:p>
        </w:tc>
        <w:tc>
          <w:tcPr>
            <w:tcW w:w="1980" w:type="dxa"/>
            <w:vAlign w:val="bottom"/>
          </w:tcPr>
          <w:p w14:paraId="1E3F5DA4" w14:textId="77777777" w:rsidR="0093049F" w:rsidRPr="00F2747D" w:rsidRDefault="0093049F" w:rsidP="00780E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780E4A">
              <w:rPr>
                <w:sz w:val="24"/>
              </w:rPr>
              <w:t>42.73</w:t>
            </w:r>
          </w:p>
        </w:tc>
        <w:tc>
          <w:tcPr>
            <w:tcW w:w="1800" w:type="dxa"/>
            <w:vAlign w:val="bottom"/>
          </w:tcPr>
          <w:p w14:paraId="1E3F5DA5" w14:textId="77777777" w:rsidR="0093049F" w:rsidRPr="00F2747D" w:rsidRDefault="0093049F" w:rsidP="00780E4A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 w:rsidR="00780E4A">
              <w:rPr>
                <w:sz w:val="24"/>
              </w:rPr>
              <w:t>52.05</w:t>
            </w:r>
          </w:p>
        </w:tc>
      </w:tr>
      <w:tr w:rsidR="0093049F" w:rsidRPr="00F2747D" w14:paraId="1E3F5DAA" w14:textId="77777777" w:rsidTr="003E437D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1E3F5DA7" w14:textId="77777777" w:rsidR="0093049F" w:rsidRPr="00F2747D" w:rsidRDefault="003F6B23" w:rsidP="00564092">
            <w:pPr>
              <w:rPr>
                <w:color w:val="000000"/>
                <w:sz w:val="24"/>
              </w:rPr>
            </w:pPr>
            <w:r w:rsidRPr="00F2747D">
              <w:rPr>
                <w:color w:val="000000"/>
                <w:sz w:val="24"/>
              </w:rPr>
              <w:t>Change from current rate</w:t>
            </w:r>
          </w:p>
        </w:tc>
        <w:tc>
          <w:tcPr>
            <w:tcW w:w="1980" w:type="dxa"/>
            <w:vAlign w:val="bottom"/>
          </w:tcPr>
          <w:p w14:paraId="1E3F5DA8" w14:textId="77777777" w:rsidR="0093049F" w:rsidRPr="00F2747D" w:rsidRDefault="00DF7983" w:rsidP="005640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</w:t>
            </w:r>
            <w:r w:rsidR="00780E4A">
              <w:rPr>
                <w:color w:val="000000"/>
                <w:sz w:val="24"/>
              </w:rPr>
              <w:t>9.32</w:t>
            </w:r>
          </w:p>
        </w:tc>
        <w:tc>
          <w:tcPr>
            <w:tcW w:w="1800" w:type="dxa"/>
            <w:vAlign w:val="bottom"/>
          </w:tcPr>
          <w:p w14:paraId="1E3F5DA9" w14:textId="77777777" w:rsidR="0093049F" w:rsidRPr="00F2747D" w:rsidRDefault="00780E4A" w:rsidP="003F6B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21.8</w:t>
            </w:r>
            <w:r w:rsidR="0093049F" w:rsidRPr="00F2747D">
              <w:rPr>
                <w:color w:val="000000"/>
                <w:sz w:val="24"/>
              </w:rPr>
              <w:t>%</w:t>
            </w:r>
          </w:p>
        </w:tc>
      </w:tr>
    </w:tbl>
    <w:p w14:paraId="0944509E" w14:textId="77777777" w:rsidR="00F61960" w:rsidRDefault="00F61960" w:rsidP="00F61960">
      <w:pPr>
        <w:rPr>
          <w:sz w:val="24"/>
        </w:rPr>
      </w:pPr>
    </w:p>
    <w:p w14:paraId="1CD56BC8" w14:textId="77777777" w:rsidR="00F61960" w:rsidRDefault="00F61960" w:rsidP="00F61960">
      <w:pPr>
        <w:jc w:val="center"/>
        <w:rPr>
          <w:b/>
          <w:sz w:val="24"/>
          <w:u w:val="single"/>
        </w:rPr>
      </w:pPr>
      <w:r w:rsidRPr="00F2747D">
        <w:rPr>
          <w:b/>
          <w:sz w:val="24"/>
          <w:u w:val="single"/>
        </w:rPr>
        <w:t>Average Bill Comparison</w:t>
      </w:r>
      <w:r>
        <w:rPr>
          <w:b/>
          <w:sz w:val="24"/>
          <w:u w:val="single"/>
        </w:rPr>
        <w:t xml:space="preserve"> </w:t>
      </w:r>
    </w:p>
    <w:p w14:paraId="42949BD7" w14:textId="77777777" w:rsidR="00F61960" w:rsidRPr="00F2747D" w:rsidRDefault="00F61960" w:rsidP="00F6196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Orcas Island Water System</w:t>
      </w:r>
    </w:p>
    <w:p w14:paraId="5A2B6C2F" w14:textId="77777777" w:rsidR="00F61960" w:rsidRPr="00F2747D" w:rsidRDefault="00F61960" w:rsidP="00F61960">
      <w:pPr>
        <w:rPr>
          <w:sz w:val="24"/>
        </w:rPr>
      </w:pPr>
    </w:p>
    <w:tbl>
      <w:tblPr>
        <w:tblW w:w="72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1980"/>
        <w:gridCol w:w="1800"/>
      </w:tblGrid>
      <w:tr w:rsidR="00F61960" w:rsidRPr="00F2747D" w14:paraId="751DA102" w14:textId="77777777" w:rsidTr="00247B31">
        <w:tc>
          <w:tcPr>
            <w:tcW w:w="3420" w:type="dxa"/>
            <w:vAlign w:val="bottom"/>
          </w:tcPr>
          <w:p w14:paraId="4EE22230" w14:textId="77777777" w:rsidR="00F61960" w:rsidRDefault="00F61960" w:rsidP="00247B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 xml:space="preserve">Average </w:t>
            </w:r>
            <w:r>
              <w:rPr>
                <w:b/>
                <w:sz w:val="24"/>
              </w:rPr>
              <w:t xml:space="preserve">Residential </w:t>
            </w:r>
          </w:p>
          <w:p w14:paraId="5446607B" w14:textId="77777777" w:rsidR="00F61960" w:rsidRPr="00F2747D" w:rsidRDefault="00F61960" w:rsidP="00247B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(1,000 cubic feet)</w:t>
            </w:r>
            <w:r w:rsidRPr="00F2747D">
              <w:rPr>
                <w:b/>
                <w:sz w:val="24"/>
              </w:rPr>
              <w:t xml:space="preserve"> </w:t>
            </w:r>
          </w:p>
        </w:tc>
        <w:tc>
          <w:tcPr>
            <w:tcW w:w="1980" w:type="dxa"/>
            <w:vAlign w:val="bottom"/>
          </w:tcPr>
          <w:p w14:paraId="2AF02EBE" w14:textId="77777777" w:rsidR="00F61960" w:rsidRPr="00F2747D" w:rsidRDefault="00F61960" w:rsidP="00247B31">
            <w:pPr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Current Rate</w:t>
            </w:r>
          </w:p>
        </w:tc>
        <w:tc>
          <w:tcPr>
            <w:tcW w:w="1800" w:type="dxa"/>
            <w:vAlign w:val="bottom"/>
          </w:tcPr>
          <w:p w14:paraId="5B3E039E" w14:textId="77777777" w:rsidR="00F61960" w:rsidRPr="00F2747D" w:rsidRDefault="00F61960" w:rsidP="00247B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F2747D">
              <w:rPr>
                <w:b/>
                <w:sz w:val="24"/>
              </w:rPr>
              <w:t>Proposed Rate</w:t>
            </w:r>
          </w:p>
        </w:tc>
      </w:tr>
      <w:tr w:rsidR="00F61960" w:rsidRPr="00F2747D" w14:paraId="29D2940B" w14:textId="77777777" w:rsidTr="00247B31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0CB6B70D" w14:textId="77777777" w:rsidR="00F61960" w:rsidRPr="00F2747D" w:rsidRDefault="00F61960" w:rsidP="00247B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3/4 inch </w:t>
            </w:r>
            <w:r w:rsidRPr="00F2747D">
              <w:rPr>
                <w:sz w:val="24"/>
              </w:rPr>
              <w:t>Residential</w:t>
            </w:r>
          </w:p>
        </w:tc>
        <w:tc>
          <w:tcPr>
            <w:tcW w:w="1980" w:type="dxa"/>
            <w:vAlign w:val="bottom"/>
          </w:tcPr>
          <w:p w14:paraId="589921CC" w14:textId="77777777" w:rsidR="00F61960" w:rsidRPr="00F2747D" w:rsidRDefault="00F61960" w:rsidP="00247B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>
              <w:rPr>
                <w:sz w:val="24"/>
              </w:rPr>
              <w:t>42.73</w:t>
            </w:r>
          </w:p>
        </w:tc>
        <w:tc>
          <w:tcPr>
            <w:tcW w:w="1800" w:type="dxa"/>
            <w:vAlign w:val="bottom"/>
          </w:tcPr>
          <w:p w14:paraId="05B2722B" w14:textId="77777777" w:rsidR="00F61960" w:rsidRPr="00F2747D" w:rsidRDefault="00F61960" w:rsidP="00247B31">
            <w:pPr>
              <w:tabs>
                <w:tab w:val="left" w:pos="720"/>
                <w:tab w:val="left" w:pos="7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F2747D">
              <w:rPr>
                <w:sz w:val="24"/>
              </w:rPr>
              <w:t>$</w:t>
            </w:r>
            <w:r>
              <w:rPr>
                <w:sz w:val="24"/>
              </w:rPr>
              <w:t>52.05</w:t>
            </w:r>
          </w:p>
        </w:tc>
      </w:tr>
      <w:tr w:rsidR="00F61960" w:rsidRPr="00F2747D" w14:paraId="79E5B775" w14:textId="77777777" w:rsidTr="00247B31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0E863B39" w14:textId="77777777" w:rsidR="00F61960" w:rsidRPr="00F2747D" w:rsidRDefault="00F61960" w:rsidP="00247B3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Island Fee</w:t>
            </w:r>
          </w:p>
        </w:tc>
        <w:tc>
          <w:tcPr>
            <w:tcW w:w="1980" w:type="dxa"/>
            <w:vAlign w:val="bottom"/>
          </w:tcPr>
          <w:p w14:paraId="4E9AA949" w14:textId="77777777" w:rsidR="00F61960" w:rsidRDefault="00F61960" w:rsidP="00247B3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$9.00</w:t>
            </w:r>
          </w:p>
        </w:tc>
        <w:tc>
          <w:tcPr>
            <w:tcW w:w="1800" w:type="dxa"/>
            <w:vAlign w:val="bottom"/>
          </w:tcPr>
          <w:p w14:paraId="1E5D3C79" w14:textId="77777777" w:rsidR="00F61960" w:rsidRDefault="00F61960" w:rsidP="00247B3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N/A</w:t>
            </w:r>
          </w:p>
        </w:tc>
      </w:tr>
      <w:tr w:rsidR="00F61960" w:rsidRPr="00F2747D" w14:paraId="72DAF9AC" w14:textId="77777777" w:rsidTr="00247B31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7CBC0AF9" w14:textId="77777777" w:rsidR="00F61960" w:rsidRPr="00F2747D" w:rsidRDefault="00F61960" w:rsidP="00247B3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Total Bill</w:t>
            </w:r>
          </w:p>
        </w:tc>
        <w:tc>
          <w:tcPr>
            <w:tcW w:w="1980" w:type="dxa"/>
            <w:vAlign w:val="bottom"/>
          </w:tcPr>
          <w:p w14:paraId="54FDDBE1" w14:textId="77777777" w:rsidR="00F61960" w:rsidRDefault="00F61960" w:rsidP="00247B3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$51.73</w:t>
            </w:r>
          </w:p>
        </w:tc>
        <w:tc>
          <w:tcPr>
            <w:tcW w:w="1800" w:type="dxa"/>
            <w:vAlign w:val="bottom"/>
          </w:tcPr>
          <w:p w14:paraId="29E93675" w14:textId="77777777" w:rsidR="00F61960" w:rsidRDefault="00F61960" w:rsidP="00247B3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$52.05</w:t>
            </w:r>
          </w:p>
        </w:tc>
      </w:tr>
      <w:tr w:rsidR="00F61960" w:rsidRPr="00F2747D" w14:paraId="199E8898" w14:textId="77777777" w:rsidTr="00247B31">
        <w:tblPrEx>
          <w:tblLook w:val="01E0" w:firstRow="1" w:lastRow="1" w:firstColumn="1" w:lastColumn="1" w:noHBand="0" w:noVBand="0"/>
        </w:tblPrEx>
        <w:tc>
          <w:tcPr>
            <w:tcW w:w="3420" w:type="dxa"/>
            <w:vAlign w:val="bottom"/>
          </w:tcPr>
          <w:p w14:paraId="55A92D26" w14:textId="77777777" w:rsidR="00F61960" w:rsidRPr="00F2747D" w:rsidRDefault="00F61960" w:rsidP="00247B31">
            <w:pPr>
              <w:rPr>
                <w:color w:val="000000"/>
                <w:sz w:val="24"/>
              </w:rPr>
            </w:pPr>
            <w:r w:rsidRPr="00F2747D">
              <w:rPr>
                <w:color w:val="000000"/>
                <w:sz w:val="24"/>
              </w:rPr>
              <w:t>Change from current rate</w:t>
            </w:r>
          </w:p>
        </w:tc>
        <w:tc>
          <w:tcPr>
            <w:tcW w:w="1980" w:type="dxa"/>
            <w:vAlign w:val="bottom"/>
          </w:tcPr>
          <w:p w14:paraId="5635F9C6" w14:textId="77777777" w:rsidR="00F61960" w:rsidRPr="00F2747D" w:rsidRDefault="00F61960" w:rsidP="00247B3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$.32</w:t>
            </w:r>
          </w:p>
        </w:tc>
        <w:tc>
          <w:tcPr>
            <w:tcW w:w="1800" w:type="dxa"/>
            <w:vAlign w:val="bottom"/>
          </w:tcPr>
          <w:p w14:paraId="6FBBFB24" w14:textId="77777777" w:rsidR="00F61960" w:rsidRPr="00F2747D" w:rsidRDefault="00F61960" w:rsidP="00247B3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.6</w:t>
            </w:r>
            <w:r w:rsidRPr="00F2747D">
              <w:rPr>
                <w:color w:val="000000"/>
                <w:sz w:val="24"/>
              </w:rPr>
              <w:t>%</w:t>
            </w:r>
          </w:p>
        </w:tc>
      </w:tr>
    </w:tbl>
    <w:p w14:paraId="71EAF413" w14:textId="77777777" w:rsidR="00F61960" w:rsidRDefault="00F61960" w:rsidP="00F61960">
      <w:pPr>
        <w:rPr>
          <w:sz w:val="24"/>
        </w:rPr>
      </w:pPr>
    </w:p>
    <w:p w14:paraId="1E3F5DAC" w14:textId="23D4C74A" w:rsidR="007152D8" w:rsidRPr="00F2747D" w:rsidRDefault="007152D8" w:rsidP="00F2747D">
      <w:pPr>
        <w:rPr>
          <w:sz w:val="24"/>
        </w:rPr>
      </w:pPr>
      <w:r w:rsidRPr="00F2747D">
        <w:rPr>
          <w:sz w:val="24"/>
        </w:rPr>
        <w:t xml:space="preserve">Commission staff has not completed its review of the company’s supporting financial documents, books and records. The company responded electronically to outstanding data requests on </w:t>
      </w:r>
      <w:r w:rsidR="00587491">
        <w:rPr>
          <w:sz w:val="24"/>
        </w:rPr>
        <w:t>October 18</w:t>
      </w:r>
      <w:r w:rsidR="00C322CB">
        <w:rPr>
          <w:sz w:val="24"/>
        </w:rPr>
        <w:t>, 2011,</w:t>
      </w:r>
      <w:r w:rsidRPr="00F2747D">
        <w:rPr>
          <w:sz w:val="24"/>
        </w:rPr>
        <w:t xml:space="preserve"> and staff has not yet completed </w:t>
      </w:r>
      <w:r w:rsidRPr="00B06434">
        <w:rPr>
          <w:sz w:val="24"/>
        </w:rPr>
        <w:t>our</w:t>
      </w:r>
      <w:r w:rsidRPr="00F2747D">
        <w:rPr>
          <w:sz w:val="24"/>
        </w:rPr>
        <w:t xml:space="preserve"> review. Therefore, the company has not yet demonstrated that the proposed rates are fair, just, reasonable and sufficient.</w:t>
      </w:r>
    </w:p>
    <w:p w14:paraId="1E3F5DAD" w14:textId="77777777" w:rsidR="00CB6FF1" w:rsidRDefault="00CB6FF1" w:rsidP="00CB6FF1">
      <w:pPr>
        <w:rPr>
          <w:b/>
          <w:sz w:val="24"/>
          <w:u w:val="single"/>
        </w:rPr>
      </w:pPr>
    </w:p>
    <w:p w14:paraId="1E3F5DAE" w14:textId="77777777" w:rsidR="00CB6FF1" w:rsidRPr="00CB6FF1" w:rsidRDefault="00CB6FF1" w:rsidP="00CB6FF1">
      <w:pPr>
        <w:rPr>
          <w:b/>
          <w:sz w:val="24"/>
          <w:u w:val="single"/>
        </w:rPr>
      </w:pPr>
      <w:r w:rsidRPr="00CB6FF1">
        <w:rPr>
          <w:b/>
          <w:sz w:val="24"/>
          <w:u w:val="single"/>
        </w:rPr>
        <w:t xml:space="preserve">Customer Comments </w:t>
      </w:r>
    </w:p>
    <w:p w14:paraId="1E3F5DAF" w14:textId="77777777" w:rsidR="00CB6FF1" w:rsidRPr="00CB6FF1" w:rsidRDefault="00CB6FF1" w:rsidP="00CB6FF1">
      <w:pPr>
        <w:rPr>
          <w:sz w:val="24"/>
        </w:rPr>
      </w:pPr>
    </w:p>
    <w:p w14:paraId="3B5DB386" w14:textId="2DC9B662" w:rsidR="004F7FD4" w:rsidRPr="00E20CCF" w:rsidRDefault="00CB6FF1" w:rsidP="004F7FD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F7FD4">
        <w:rPr>
          <w:rFonts w:ascii="Times New Roman" w:eastAsia="Times New Roman" w:hAnsi="Times New Roman"/>
          <w:sz w:val="24"/>
          <w:szCs w:val="24"/>
        </w:rPr>
        <w:t>O</w:t>
      </w:r>
      <w:r w:rsidR="004F7FD4" w:rsidRPr="004F7FD4">
        <w:rPr>
          <w:rFonts w:ascii="Times New Roman" w:eastAsia="Times New Roman" w:hAnsi="Times New Roman"/>
          <w:sz w:val="24"/>
          <w:szCs w:val="24"/>
        </w:rPr>
        <w:t>n October 7, 2011, the company notified its customers of the proposed rate increase by mail.</w:t>
      </w:r>
      <w:r w:rsidR="004F7FD4" w:rsidRPr="00E20CCF">
        <w:rPr>
          <w:rFonts w:ascii="Times New Roman" w:hAnsi="Times New Roman"/>
          <w:sz w:val="24"/>
          <w:szCs w:val="24"/>
        </w:rPr>
        <w:t xml:space="preserve"> </w:t>
      </w:r>
      <w:r w:rsidR="004F7FD4">
        <w:rPr>
          <w:rFonts w:ascii="Times New Roman" w:hAnsi="Times New Roman"/>
          <w:sz w:val="24"/>
          <w:szCs w:val="24"/>
        </w:rPr>
        <w:t>Eighty-six</w:t>
      </w:r>
      <w:r w:rsidR="004F7FD4" w:rsidRPr="00E20CCF">
        <w:rPr>
          <w:rFonts w:ascii="Times New Roman" w:hAnsi="Times New Roman"/>
          <w:sz w:val="24"/>
          <w:szCs w:val="24"/>
        </w:rPr>
        <w:t xml:space="preserve"> comments have been received to date; all are opposed to the proposed increase. Customers </w:t>
      </w:r>
      <w:r w:rsidR="004F7FD4">
        <w:rPr>
          <w:rFonts w:ascii="Times New Roman" w:hAnsi="Times New Roman"/>
          <w:sz w:val="24"/>
          <w:szCs w:val="24"/>
        </w:rPr>
        <w:t>were</w:t>
      </w:r>
      <w:r w:rsidR="004F7FD4" w:rsidRPr="00E20CCF">
        <w:rPr>
          <w:rFonts w:ascii="Times New Roman" w:hAnsi="Times New Roman"/>
          <w:sz w:val="24"/>
          <w:szCs w:val="24"/>
        </w:rPr>
        <w:t xml:space="preserve"> notified that they may access documents pertinent to this rate case </w:t>
      </w:r>
      <w:r w:rsidR="004F7FD4">
        <w:rPr>
          <w:rFonts w:ascii="Times New Roman" w:hAnsi="Times New Roman"/>
          <w:sz w:val="24"/>
          <w:szCs w:val="24"/>
        </w:rPr>
        <w:t xml:space="preserve">on the </w:t>
      </w:r>
      <w:r w:rsidR="004F7FD4">
        <w:rPr>
          <w:rFonts w:ascii="Times New Roman" w:hAnsi="Times New Roman"/>
          <w:sz w:val="24"/>
          <w:szCs w:val="24"/>
        </w:rPr>
        <w:lastRenderedPageBreak/>
        <w:t>commission’s website</w:t>
      </w:r>
      <w:r w:rsidR="004F7FD4" w:rsidRPr="00E20CCF">
        <w:rPr>
          <w:rFonts w:ascii="Times New Roman" w:hAnsi="Times New Roman"/>
          <w:sz w:val="24"/>
          <w:szCs w:val="24"/>
        </w:rPr>
        <w:t xml:space="preserve">, and that they may contact John Cupp at 1-888-333-WUTC (9882) or </w:t>
      </w:r>
      <w:hyperlink r:id="rId12" w:history="1">
        <w:r w:rsidR="004F7FD4" w:rsidRPr="00E20CCF">
          <w:rPr>
            <w:rStyle w:val="Hyperlink"/>
            <w:rFonts w:ascii="Times New Roman" w:hAnsi="Times New Roman"/>
            <w:sz w:val="24"/>
            <w:szCs w:val="24"/>
          </w:rPr>
          <w:t>jcupp@utc.wa.gov</w:t>
        </w:r>
      </w:hyperlink>
      <w:r w:rsidR="004F7FD4" w:rsidRPr="00E20CCF">
        <w:rPr>
          <w:rFonts w:ascii="Times New Roman" w:hAnsi="Times New Roman"/>
          <w:sz w:val="24"/>
          <w:szCs w:val="24"/>
        </w:rPr>
        <w:t xml:space="preserve"> with questions or concerns.</w:t>
      </w:r>
    </w:p>
    <w:p w14:paraId="14BCEA22" w14:textId="77777777" w:rsidR="004F7FD4" w:rsidRPr="00E20CCF" w:rsidRDefault="004F7FD4" w:rsidP="004F7FD4">
      <w:pPr>
        <w:rPr>
          <w:sz w:val="24"/>
        </w:rPr>
      </w:pPr>
    </w:p>
    <w:p w14:paraId="2E6ED4A6" w14:textId="77777777" w:rsidR="004F7FD4" w:rsidRDefault="004F7FD4" w:rsidP="004F7FD4">
      <w:pPr>
        <w:rPr>
          <w:b/>
          <w:sz w:val="24"/>
        </w:rPr>
      </w:pPr>
      <w:r>
        <w:rPr>
          <w:b/>
          <w:sz w:val="24"/>
        </w:rPr>
        <w:t>Filing Documents and Methodology</w:t>
      </w:r>
    </w:p>
    <w:p w14:paraId="6CE0A3EB" w14:textId="77777777" w:rsidR="004F7FD4" w:rsidRDefault="004F7FD4" w:rsidP="004F7FD4">
      <w:pPr>
        <w:widowControl/>
        <w:numPr>
          <w:ilvl w:val="0"/>
          <w:numId w:val="16"/>
        </w:numPr>
        <w:autoSpaceDE/>
        <w:autoSpaceDN/>
        <w:adjustRightInd/>
        <w:rPr>
          <w:sz w:val="24"/>
        </w:rPr>
      </w:pPr>
      <w:r>
        <w:rPr>
          <w:sz w:val="24"/>
        </w:rPr>
        <w:t>Seven customers oppose the Water Revenue Adjustment Mechanism and the Water Cost Balancing Account.</w:t>
      </w:r>
    </w:p>
    <w:p w14:paraId="00FD5062" w14:textId="77777777" w:rsidR="004F7FD4" w:rsidRDefault="004F7FD4" w:rsidP="004F7FD4">
      <w:pPr>
        <w:rPr>
          <w:sz w:val="24"/>
        </w:rPr>
      </w:pPr>
    </w:p>
    <w:p w14:paraId="11016332" w14:textId="77777777" w:rsidR="004F7FD4" w:rsidRDefault="004F7FD4" w:rsidP="004F7FD4">
      <w:pPr>
        <w:ind w:left="720"/>
        <w:rPr>
          <w:b/>
          <w:sz w:val="24"/>
        </w:rPr>
      </w:pPr>
      <w:r>
        <w:rPr>
          <w:b/>
          <w:sz w:val="24"/>
        </w:rPr>
        <w:t>Staff Response</w:t>
      </w:r>
    </w:p>
    <w:p w14:paraId="7D47335A" w14:textId="77777777" w:rsidR="004F7FD4" w:rsidRDefault="004F7FD4" w:rsidP="004F7FD4">
      <w:pPr>
        <w:ind w:left="720"/>
        <w:rPr>
          <w:sz w:val="24"/>
        </w:rPr>
      </w:pPr>
      <w:r>
        <w:rPr>
          <w:sz w:val="24"/>
        </w:rPr>
        <w:t>Staff is in the process of reviewing these items.</w:t>
      </w:r>
    </w:p>
    <w:p w14:paraId="2F8A0642" w14:textId="77777777" w:rsidR="004F7FD4" w:rsidRPr="004777BD" w:rsidRDefault="004F7FD4" w:rsidP="004F7FD4">
      <w:pPr>
        <w:ind w:left="720"/>
        <w:rPr>
          <w:sz w:val="24"/>
        </w:rPr>
      </w:pPr>
    </w:p>
    <w:p w14:paraId="5D1EEC1D" w14:textId="77777777" w:rsidR="004F7FD4" w:rsidRPr="00E20CCF" w:rsidRDefault="004F7FD4" w:rsidP="004F7FD4">
      <w:pPr>
        <w:rPr>
          <w:b/>
          <w:sz w:val="24"/>
        </w:rPr>
      </w:pPr>
      <w:r w:rsidRPr="00E20CCF">
        <w:rPr>
          <w:b/>
          <w:sz w:val="24"/>
        </w:rPr>
        <w:t>Service Quality</w:t>
      </w:r>
    </w:p>
    <w:p w14:paraId="06550216" w14:textId="77777777" w:rsidR="004F7FD4" w:rsidRPr="00E20CCF" w:rsidRDefault="004F7FD4" w:rsidP="004F7FD4">
      <w:pPr>
        <w:widowControl/>
        <w:numPr>
          <w:ilvl w:val="0"/>
          <w:numId w:val="15"/>
        </w:numPr>
        <w:autoSpaceDE/>
        <w:autoSpaceDN/>
        <w:adjustRightInd/>
        <w:rPr>
          <w:sz w:val="24"/>
        </w:rPr>
      </w:pPr>
      <w:r>
        <w:rPr>
          <w:sz w:val="24"/>
        </w:rPr>
        <w:t>Two customers on separate systems said they don’t believe they should have to pay more when the quality of the water is poor.</w:t>
      </w:r>
    </w:p>
    <w:p w14:paraId="063DA88A" w14:textId="77777777" w:rsidR="004F7FD4" w:rsidRPr="00E20CCF" w:rsidRDefault="004F7FD4" w:rsidP="004F7FD4">
      <w:pPr>
        <w:rPr>
          <w:sz w:val="24"/>
        </w:rPr>
      </w:pPr>
    </w:p>
    <w:p w14:paraId="06775F7F" w14:textId="77777777" w:rsidR="004F7FD4" w:rsidRPr="00E20CCF" w:rsidRDefault="004F7FD4" w:rsidP="004F7FD4">
      <w:pPr>
        <w:ind w:left="720"/>
        <w:rPr>
          <w:b/>
          <w:sz w:val="24"/>
        </w:rPr>
      </w:pPr>
      <w:r w:rsidRPr="00E20CCF">
        <w:rPr>
          <w:b/>
          <w:sz w:val="24"/>
        </w:rPr>
        <w:t>Staff Response</w:t>
      </w:r>
    </w:p>
    <w:p w14:paraId="2C9748CE" w14:textId="77777777" w:rsidR="004F7FD4" w:rsidRPr="00E20CCF" w:rsidRDefault="004F7FD4" w:rsidP="004F7FD4">
      <w:pPr>
        <w:ind w:left="720"/>
        <w:rPr>
          <w:sz w:val="24"/>
        </w:rPr>
      </w:pPr>
      <w:r>
        <w:rPr>
          <w:sz w:val="24"/>
        </w:rPr>
        <w:t>Staff discussed the two water quality issues with the company. The company has approved plans from the Department of Health for installation of a system to treat a manganese and iron problem on one of the water systems. The company is in the process of securing permits to start the job. The company also opened a service order to look into the other customer’s issue. Staff informed both customers of the company’s plans, and explained that the Department of Health oversees water quality issues.</w:t>
      </w:r>
    </w:p>
    <w:p w14:paraId="42D0CD1E" w14:textId="77777777" w:rsidR="004F7FD4" w:rsidRPr="00E20CCF" w:rsidRDefault="004F7FD4" w:rsidP="004F7FD4">
      <w:pPr>
        <w:ind w:left="720"/>
        <w:rPr>
          <w:sz w:val="24"/>
        </w:rPr>
      </w:pPr>
    </w:p>
    <w:p w14:paraId="5F59E046" w14:textId="77777777" w:rsidR="004F7FD4" w:rsidRPr="00E20CCF" w:rsidRDefault="004F7FD4" w:rsidP="004F7FD4">
      <w:pPr>
        <w:rPr>
          <w:b/>
          <w:sz w:val="24"/>
        </w:rPr>
      </w:pPr>
      <w:r w:rsidRPr="00E20CCF">
        <w:rPr>
          <w:b/>
          <w:sz w:val="24"/>
        </w:rPr>
        <w:t>General Comments</w:t>
      </w:r>
    </w:p>
    <w:p w14:paraId="15FDB83F" w14:textId="77777777" w:rsidR="004F7FD4" w:rsidRPr="004777BD" w:rsidRDefault="004F7FD4" w:rsidP="004F7FD4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</w:rPr>
      </w:pPr>
      <w:r>
        <w:rPr>
          <w:sz w:val="24"/>
        </w:rPr>
        <w:t xml:space="preserve">Fourteen customers said they should not have to pay more because the company did not receive the revenue it expected from its last rate increase. </w:t>
      </w:r>
    </w:p>
    <w:p w14:paraId="4192020F" w14:textId="77777777" w:rsidR="004F7FD4" w:rsidRDefault="004F7FD4" w:rsidP="004F7FD4">
      <w:pPr>
        <w:rPr>
          <w:sz w:val="24"/>
        </w:rPr>
      </w:pPr>
    </w:p>
    <w:p w14:paraId="1965C3A2" w14:textId="77777777" w:rsidR="004F7FD4" w:rsidRPr="004777BD" w:rsidRDefault="004F7FD4" w:rsidP="004F7FD4">
      <w:pPr>
        <w:ind w:left="720"/>
        <w:rPr>
          <w:b/>
          <w:sz w:val="24"/>
        </w:rPr>
      </w:pPr>
      <w:r w:rsidRPr="004777BD">
        <w:rPr>
          <w:b/>
          <w:sz w:val="24"/>
        </w:rPr>
        <w:t>Staff Response</w:t>
      </w:r>
    </w:p>
    <w:p w14:paraId="700ECA95" w14:textId="77777777" w:rsidR="004F7FD4" w:rsidRDefault="004F7FD4" w:rsidP="004F7FD4">
      <w:pPr>
        <w:ind w:left="720"/>
        <w:rPr>
          <w:sz w:val="24"/>
        </w:rPr>
      </w:pPr>
      <w:r>
        <w:rPr>
          <w:sz w:val="24"/>
        </w:rPr>
        <w:t>Customers were advised that the proposed increase is not to make up for a shortfall from the most recent rate increase. The company is seeking to bring revenue up to a rate which will cover its costs and provide a reasonable return on its investment.</w:t>
      </w:r>
    </w:p>
    <w:p w14:paraId="027EA0D5" w14:textId="77777777" w:rsidR="004F7FD4" w:rsidRDefault="004F7FD4" w:rsidP="004F7FD4">
      <w:pPr>
        <w:ind w:left="720"/>
        <w:rPr>
          <w:sz w:val="24"/>
        </w:rPr>
      </w:pPr>
    </w:p>
    <w:p w14:paraId="4EECB1AB" w14:textId="77777777" w:rsidR="004F7FD4" w:rsidRDefault="004F7FD4" w:rsidP="004F7FD4">
      <w:pPr>
        <w:widowControl/>
        <w:numPr>
          <w:ilvl w:val="0"/>
          <w:numId w:val="16"/>
        </w:numPr>
        <w:autoSpaceDE/>
        <w:autoSpaceDN/>
        <w:adjustRightInd/>
        <w:rPr>
          <w:sz w:val="24"/>
        </w:rPr>
      </w:pPr>
      <w:r>
        <w:rPr>
          <w:sz w:val="24"/>
        </w:rPr>
        <w:t>Three customers mentioned that this company’s rates are higher than those of nearby water providers.</w:t>
      </w:r>
    </w:p>
    <w:p w14:paraId="6968BFFE" w14:textId="77777777" w:rsidR="004F7FD4" w:rsidRDefault="004F7FD4" w:rsidP="004F7FD4">
      <w:pPr>
        <w:rPr>
          <w:sz w:val="24"/>
        </w:rPr>
      </w:pPr>
    </w:p>
    <w:p w14:paraId="729A6011" w14:textId="77777777" w:rsidR="004F7FD4" w:rsidRPr="00E50B69" w:rsidRDefault="004F7FD4" w:rsidP="004F7FD4">
      <w:pPr>
        <w:ind w:left="720"/>
        <w:rPr>
          <w:b/>
          <w:sz w:val="24"/>
        </w:rPr>
      </w:pPr>
      <w:r w:rsidRPr="00E50B69">
        <w:rPr>
          <w:b/>
          <w:sz w:val="24"/>
        </w:rPr>
        <w:t>Staff Response</w:t>
      </w:r>
    </w:p>
    <w:p w14:paraId="2764627D" w14:textId="5568DCF6" w:rsidR="004F7FD4" w:rsidRPr="00E50B69" w:rsidRDefault="004F7FD4" w:rsidP="004F7FD4">
      <w:pPr>
        <w:ind w:left="720"/>
        <w:rPr>
          <w:b/>
          <w:sz w:val="24"/>
        </w:rPr>
      </w:pPr>
      <w:r w:rsidRPr="00E50B69">
        <w:rPr>
          <w:sz w:val="24"/>
        </w:rPr>
        <w:t>Staff does not compare the rates of neighboring water suppliers when setting rates.</w:t>
      </w:r>
      <w:r>
        <w:rPr>
          <w:sz w:val="24"/>
        </w:rPr>
        <w:t xml:space="preserve"> </w:t>
      </w:r>
      <w:r w:rsidRPr="00E20CCF">
        <w:rPr>
          <w:sz w:val="24"/>
        </w:rPr>
        <w:t xml:space="preserve">Regulatory staff </w:t>
      </w:r>
      <w:r>
        <w:rPr>
          <w:sz w:val="24"/>
        </w:rPr>
        <w:t xml:space="preserve">will </w:t>
      </w:r>
      <w:r w:rsidRPr="00E20CCF">
        <w:rPr>
          <w:sz w:val="24"/>
        </w:rPr>
        <w:t>review</w:t>
      </w:r>
      <w:r>
        <w:rPr>
          <w:sz w:val="24"/>
        </w:rPr>
        <w:t xml:space="preserve"> the</w:t>
      </w:r>
      <w:r w:rsidRPr="00E20CCF">
        <w:rPr>
          <w:sz w:val="24"/>
        </w:rPr>
        <w:t xml:space="preserve"> filing to ensure that all rates and fees are appropriate.</w:t>
      </w:r>
    </w:p>
    <w:p w14:paraId="5123280E" w14:textId="77777777" w:rsidR="004F7FD4" w:rsidRDefault="004F7FD4" w:rsidP="004F7FD4">
      <w:pPr>
        <w:rPr>
          <w:sz w:val="24"/>
        </w:rPr>
      </w:pPr>
    </w:p>
    <w:p w14:paraId="11BFDE87" w14:textId="77777777" w:rsidR="004F7FD4" w:rsidRDefault="004F7FD4" w:rsidP="004F7FD4">
      <w:pPr>
        <w:widowControl/>
        <w:numPr>
          <w:ilvl w:val="0"/>
          <w:numId w:val="15"/>
        </w:numPr>
        <w:autoSpaceDE/>
        <w:autoSpaceDN/>
        <w:adjustRightInd/>
        <w:rPr>
          <w:sz w:val="24"/>
        </w:rPr>
      </w:pPr>
      <w:r>
        <w:rPr>
          <w:sz w:val="24"/>
        </w:rPr>
        <w:t>Six customers mentioned that the company put in a system in a development that failed. They all said that they should not have to pay for the system.</w:t>
      </w:r>
    </w:p>
    <w:p w14:paraId="08C89C3D" w14:textId="77777777" w:rsidR="004F7FD4" w:rsidRDefault="004F7FD4" w:rsidP="004F7FD4">
      <w:pPr>
        <w:rPr>
          <w:sz w:val="24"/>
        </w:rPr>
      </w:pPr>
    </w:p>
    <w:p w14:paraId="131E96AC" w14:textId="77777777" w:rsidR="004F7FD4" w:rsidRDefault="004F7FD4" w:rsidP="004F7FD4">
      <w:pPr>
        <w:ind w:left="720"/>
        <w:rPr>
          <w:b/>
          <w:sz w:val="24"/>
        </w:rPr>
      </w:pPr>
      <w:r>
        <w:rPr>
          <w:b/>
          <w:sz w:val="24"/>
        </w:rPr>
        <w:t>Staff Response</w:t>
      </w:r>
    </w:p>
    <w:p w14:paraId="1786F50A" w14:textId="2DF4D505" w:rsidR="004F7FD4" w:rsidRDefault="004F7FD4" w:rsidP="004F7FD4">
      <w:pPr>
        <w:ind w:left="720"/>
        <w:rPr>
          <w:sz w:val="24"/>
        </w:rPr>
      </w:pPr>
      <w:r>
        <w:rPr>
          <w:sz w:val="24"/>
        </w:rPr>
        <w:t xml:space="preserve">The company said that most of the improvements to the Lacamas system were paid </w:t>
      </w:r>
      <w:r w:rsidR="00AC00D7">
        <w:rPr>
          <w:sz w:val="24"/>
        </w:rPr>
        <w:t>using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facilities charges assessed to new customers, and not through </w:t>
      </w:r>
      <w:r w:rsidR="00AC00D7">
        <w:rPr>
          <w:sz w:val="24"/>
        </w:rPr>
        <w:t xml:space="preserve">general </w:t>
      </w:r>
      <w:r>
        <w:rPr>
          <w:sz w:val="24"/>
        </w:rPr>
        <w:t>rates. Staff will review this issue as well as all plant costs in the rate setting process.</w:t>
      </w:r>
    </w:p>
    <w:p w14:paraId="2F734F16" w14:textId="77777777" w:rsidR="004F7FD4" w:rsidRDefault="004F7FD4" w:rsidP="004F7FD4">
      <w:pPr>
        <w:ind w:left="720"/>
        <w:rPr>
          <w:sz w:val="24"/>
        </w:rPr>
      </w:pPr>
    </w:p>
    <w:p w14:paraId="75ADB949" w14:textId="77777777" w:rsidR="004F7FD4" w:rsidRPr="00E20CCF" w:rsidRDefault="004F7FD4" w:rsidP="004F7FD4">
      <w:pPr>
        <w:widowControl/>
        <w:numPr>
          <w:ilvl w:val="0"/>
          <w:numId w:val="15"/>
        </w:numPr>
        <w:autoSpaceDE/>
        <w:autoSpaceDN/>
        <w:adjustRightInd/>
        <w:rPr>
          <w:b/>
          <w:sz w:val="24"/>
        </w:rPr>
      </w:pPr>
      <w:r>
        <w:rPr>
          <w:sz w:val="24"/>
        </w:rPr>
        <w:t>In 62 comments, customers said the amount of the proposed increase was too drastic. Forty-eight</w:t>
      </w:r>
      <w:r w:rsidRPr="00E20CCF">
        <w:rPr>
          <w:sz w:val="24"/>
        </w:rPr>
        <w:t xml:space="preserve"> </w:t>
      </w:r>
      <w:r>
        <w:rPr>
          <w:sz w:val="24"/>
        </w:rPr>
        <w:t>customer</w:t>
      </w:r>
      <w:r w:rsidRPr="00E20CCF">
        <w:rPr>
          <w:sz w:val="24"/>
        </w:rPr>
        <w:t>s mentioned the hardship th</w:t>
      </w:r>
      <w:r>
        <w:rPr>
          <w:sz w:val="24"/>
        </w:rPr>
        <w:t>e</w:t>
      </w:r>
      <w:r w:rsidRPr="00E20CCF">
        <w:rPr>
          <w:sz w:val="24"/>
        </w:rPr>
        <w:t xml:space="preserve"> increase w</w:t>
      </w:r>
      <w:r>
        <w:rPr>
          <w:sz w:val="24"/>
        </w:rPr>
        <w:t>ill</w:t>
      </w:r>
      <w:r w:rsidRPr="00E20CCF">
        <w:rPr>
          <w:sz w:val="24"/>
        </w:rPr>
        <w:t xml:space="preserve"> create because of the condition </w:t>
      </w:r>
      <w:r>
        <w:rPr>
          <w:sz w:val="24"/>
        </w:rPr>
        <w:t>of the</w:t>
      </w:r>
      <w:r w:rsidRPr="00E20CCF">
        <w:rPr>
          <w:sz w:val="24"/>
        </w:rPr>
        <w:t xml:space="preserve"> economy. </w:t>
      </w:r>
      <w:r>
        <w:rPr>
          <w:sz w:val="24"/>
        </w:rPr>
        <w:t>Thirteen customers mentioned t</w:t>
      </w:r>
      <w:r w:rsidRPr="00E20CCF">
        <w:rPr>
          <w:sz w:val="24"/>
        </w:rPr>
        <w:t xml:space="preserve">he frequency of the company’s requests for </w:t>
      </w:r>
      <w:r>
        <w:rPr>
          <w:sz w:val="24"/>
        </w:rPr>
        <w:t>increase</w:t>
      </w:r>
      <w:r w:rsidRPr="00E20CCF">
        <w:rPr>
          <w:sz w:val="24"/>
        </w:rPr>
        <w:t>s</w:t>
      </w:r>
      <w:r>
        <w:rPr>
          <w:sz w:val="24"/>
        </w:rPr>
        <w:t xml:space="preserve">; and in 35 comments customers said the company should tighten its belt and cut costs rather than raise rates. </w:t>
      </w:r>
    </w:p>
    <w:p w14:paraId="24AA0B80" w14:textId="77777777" w:rsidR="004F7FD4" w:rsidRDefault="004F7FD4" w:rsidP="004F7F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7E938" w14:textId="77777777" w:rsidR="004F7FD4" w:rsidRPr="00E20CCF" w:rsidRDefault="004F7FD4" w:rsidP="004F7FD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0CCF">
        <w:rPr>
          <w:rFonts w:ascii="Times New Roman" w:hAnsi="Times New Roman"/>
          <w:b/>
          <w:sz w:val="24"/>
          <w:szCs w:val="24"/>
        </w:rPr>
        <w:t>Staff response</w:t>
      </w:r>
    </w:p>
    <w:p w14:paraId="1E3F5DB0" w14:textId="6A241B63" w:rsidR="007152D8" w:rsidRDefault="004F7FD4" w:rsidP="004F7FD4">
      <w:pPr>
        <w:ind w:left="720"/>
        <w:rPr>
          <w:sz w:val="24"/>
        </w:rPr>
      </w:pPr>
      <w:r w:rsidRPr="00E20CCF">
        <w:rPr>
          <w:sz w:val="24"/>
        </w:rPr>
        <w:t xml:space="preserve">Customers were advised that state law requires rates to be fair, just, reasonable and sufficient to allow the company to recover reasonable operating expenses and the opportunity to earn a reasonable return on investment. Regulatory staff </w:t>
      </w:r>
      <w:r>
        <w:rPr>
          <w:sz w:val="24"/>
        </w:rPr>
        <w:t xml:space="preserve">will </w:t>
      </w:r>
      <w:r w:rsidRPr="00E20CCF">
        <w:rPr>
          <w:sz w:val="24"/>
        </w:rPr>
        <w:t>review</w:t>
      </w:r>
      <w:r>
        <w:rPr>
          <w:sz w:val="24"/>
        </w:rPr>
        <w:t xml:space="preserve"> the</w:t>
      </w:r>
      <w:r w:rsidRPr="00E20CCF">
        <w:rPr>
          <w:sz w:val="24"/>
        </w:rPr>
        <w:t xml:space="preserve"> filing to ensure that all rates and fees are appropriate.</w:t>
      </w:r>
      <w:r w:rsidR="00CB6FF1" w:rsidRPr="00CB6FF1">
        <w:rPr>
          <w:sz w:val="24"/>
        </w:rPr>
        <w:t xml:space="preserve"> </w:t>
      </w:r>
    </w:p>
    <w:p w14:paraId="1E3F5DB1" w14:textId="77777777" w:rsidR="00587491" w:rsidRPr="00F2747D" w:rsidRDefault="00587491" w:rsidP="00587491">
      <w:pPr>
        <w:rPr>
          <w:sz w:val="24"/>
        </w:rPr>
      </w:pPr>
    </w:p>
    <w:p w14:paraId="1E3F5DB2" w14:textId="77777777" w:rsidR="007152D8" w:rsidRPr="00F2747D" w:rsidRDefault="007152D8" w:rsidP="007152D8">
      <w:pPr>
        <w:rPr>
          <w:b/>
          <w:sz w:val="24"/>
          <w:u w:val="single"/>
        </w:rPr>
      </w:pPr>
      <w:r w:rsidRPr="00F2747D">
        <w:rPr>
          <w:b/>
          <w:sz w:val="24"/>
          <w:u w:val="single"/>
        </w:rPr>
        <w:t xml:space="preserve">Conclusion </w:t>
      </w:r>
    </w:p>
    <w:p w14:paraId="1E3F5DB3" w14:textId="77777777" w:rsidR="007152D8" w:rsidRPr="00F2747D" w:rsidRDefault="007152D8" w:rsidP="007152D8">
      <w:pPr>
        <w:rPr>
          <w:color w:val="000000"/>
          <w:sz w:val="24"/>
        </w:rPr>
      </w:pPr>
    </w:p>
    <w:p w14:paraId="1E3F5DB5" w14:textId="34741A46" w:rsidR="00275451" w:rsidRPr="00F2747D" w:rsidRDefault="007152D8" w:rsidP="008956A7">
      <w:pPr>
        <w:rPr>
          <w:sz w:val="24"/>
        </w:rPr>
      </w:pPr>
      <w:r w:rsidRPr="00F2747D">
        <w:rPr>
          <w:color w:val="000000"/>
          <w:sz w:val="24"/>
        </w:rPr>
        <w:t xml:space="preserve">Issue a Complaint and Order Suspending the tariff revisions filed by </w:t>
      </w:r>
      <w:r w:rsidR="00DF7983">
        <w:rPr>
          <w:color w:val="000000"/>
          <w:sz w:val="24"/>
        </w:rPr>
        <w:t>Washington</w:t>
      </w:r>
      <w:r w:rsidR="00717227">
        <w:rPr>
          <w:color w:val="000000"/>
          <w:sz w:val="24"/>
        </w:rPr>
        <w:t xml:space="preserve"> Water Service </w:t>
      </w:r>
      <w:r w:rsidR="00587491">
        <w:rPr>
          <w:color w:val="000000"/>
          <w:sz w:val="24"/>
        </w:rPr>
        <w:t>C</w:t>
      </w:r>
      <w:r w:rsidR="00717227">
        <w:rPr>
          <w:color w:val="000000"/>
          <w:sz w:val="24"/>
        </w:rPr>
        <w:t>ompany</w:t>
      </w:r>
      <w:r w:rsidR="00A859FF">
        <w:rPr>
          <w:color w:val="000000"/>
          <w:sz w:val="24"/>
        </w:rPr>
        <w:t xml:space="preserve"> </w:t>
      </w:r>
      <w:r w:rsidRPr="00F2747D">
        <w:rPr>
          <w:color w:val="000000"/>
          <w:sz w:val="24"/>
        </w:rPr>
        <w:t xml:space="preserve">on </w:t>
      </w:r>
      <w:r w:rsidR="00587491">
        <w:rPr>
          <w:color w:val="000000"/>
          <w:sz w:val="24"/>
        </w:rPr>
        <w:t>October 11</w:t>
      </w:r>
      <w:r w:rsidRPr="00F2747D">
        <w:rPr>
          <w:color w:val="000000"/>
          <w:sz w:val="24"/>
        </w:rPr>
        <w:t xml:space="preserve">, 2011. </w:t>
      </w:r>
    </w:p>
    <w:sectPr w:rsidR="00275451" w:rsidRPr="00F2747D" w:rsidSect="00FD6601">
      <w:headerReference w:type="default" r:id="rId13"/>
      <w:footnotePr>
        <w:numRestart w:val="eachPage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F5DB9" w14:textId="77777777" w:rsidR="001E22BC" w:rsidRDefault="001E22BC">
      <w:r>
        <w:separator/>
      </w:r>
    </w:p>
  </w:endnote>
  <w:endnote w:type="continuationSeparator" w:id="0">
    <w:p w14:paraId="1E3F5DBA" w14:textId="77777777" w:rsidR="001E22BC" w:rsidRDefault="001E22BC">
      <w:r>
        <w:continuationSeparator/>
      </w:r>
    </w:p>
  </w:endnote>
  <w:endnote w:type="continuationNotice" w:id="1">
    <w:p w14:paraId="1E3F5DBB" w14:textId="77777777" w:rsidR="001E22BC" w:rsidRDefault="001E2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F5DB6" w14:textId="77777777" w:rsidR="001E22BC" w:rsidRDefault="001E22BC">
      <w:r>
        <w:separator/>
      </w:r>
    </w:p>
  </w:footnote>
  <w:footnote w:type="continuationSeparator" w:id="0">
    <w:p w14:paraId="1E3F5DB7" w14:textId="77777777" w:rsidR="001E22BC" w:rsidRDefault="001E22BC">
      <w:r>
        <w:continuationSeparator/>
      </w:r>
    </w:p>
  </w:footnote>
  <w:footnote w:type="continuationNotice" w:id="1">
    <w:p w14:paraId="1E3F5DB8" w14:textId="77777777" w:rsidR="001E22BC" w:rsidRDefault="001E22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5DBC" w14:textId="77777777" w:rsidR="001E22BC" w:rsidRPr="00FE0AD1" w:rsidRDefault="001E22BC">
    <w:pPr>
      <w:spacing w:line="238" w:lineRule="auto"/>
    </w:pPr>
    <w:r w:rsidRPr="00FE0AD1">
      <w:t xml:space="preserve">Docket </w:t>
    </w:r>
    <w:r>
      <w:t>UW</w:t>
    </w:r>
    <w:r w:rsidRPr="00FE0AD1">
      <w:t>-</w:t>
    </w:r>
    <w:r>
      <w:t>111789</w:t>
    </w:r>
  </w:p>
  <w:p w14:paraId="1E3F5DBD" w14:textId="77777777" w:rsidR="001E22BC" w:rsidRPr="00FE0AD1" w:rsidRDefault="001E22BC">
    <w:pPr>
      <w:spacing w:line="238" w:lineRule="auto"/>
    </w:pPr>
    <w:r>
      <w:t>October 27</w:t>
    </w:r>
    <w:r w:rsidRPr="00FE0AD1">
      <w:t xml:space="preserve">, </w:t>
    </w:r>
    <w:r>
      <w:t>2011</w:t>
    </w:r>
  </w:p>
  <w:p w14:paraId="1E3F5DBE" w14:textId="77777777" w:rsidR="001E22BC" w:rsidRPr="00FE0AD1" w:rsidRDefault="001E22B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2E54E5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1E3F5DC0" w14:textId="77777777" w:rsidR="001E22BC" w:rsidRDefault="001E2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D5E42"/>
    <w:multiLevelType w:val="hybridMultilevel"/>
    <w:tmpl w:val="355C73CA"/>
    <w:lvl w:ilvl="0" w:tplc="43C08D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9033A"/>
    <w:multiLevelType w:val="hybridMultilevel"/>
    <w:tmpl w:val="8BFCC4C2"/>
    <w:lvl w:ilvl="0" w:tplc="1B02612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E46ADC"/>
    <w:multiLevelType w:val="hybridMultilevel"/>
    <w:tmpl w:val="8DC4F9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75E54"/>
    <w:multiLevelType w:val="hybridMultilevel"/>
    <w:tmpl w:val="3C0285A2"/>
    <w:lvl w:ilvl="0" w:tplc="F3E424E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6E62299"/>
    <w:multiLevelType w:val="hybridMultilevel"/>
    <w:tmpl w:val="F1388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856E6"/>
    <w:multiLevelType w:val="hybridMultilevel"/>
    <w:tmpl w:val="E52A0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C071D72"/>
    <w:multiLevelType w:val="hybridMultilevel"/>
    <w:tmpl w:val="74EE43F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305ED"/>
    <w:multiLevelType w:val="hybridMultilevel"/>
    <w:tmpl w:val="ABC89C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C326C"/>
    <w:multiLevelType w:val="hybridMultilevel"/>
    <w:tmpl w:val="8A0C8F8C"/>
    <w:lvl w:ilvl="0" w:tplc="DCEAB1B8"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6B134F8"/>
    <w:multiLevelType w:val="hybridMultilevel"/>
    <w:tmpl w:val="D824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CBC091E"/>
    <w:multiLevelType w:val="hybridMultilevel"/>
    <w:tmpl w:val="2E78020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3"/>
  </w:num>
  <w:num w:numId="11">
    <w:abstractNumId w:val="10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numRestart w:val="eachPage"/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0C96"/>
    <w:rsid w:val="000121DD"/>
    <w:rsid w:val="00012ED4"/>
    <w:rsid w:val="000204CA"/>
    <w:rsid w:val="00023771"/>
    <w:rsid w:val="0002585F"/>
    <w:rsid w:val="0003401B"/>
    <w:rsid w:val="000377B4"/>
    <w:rsid w:val="0004008D"/>
    <w:rsid w:val="00041309"/>
    <w:rsid w:val="00055129"/>
    <w:rsid w:val="000553FB"/>
    <w:rsid w:val="00065632"/>
    <w:rsid w:val="00067761"/>
    <w:rsid w:val="00072B27"/>
    <w:rsid w:val="00072E8D"/>
    <w:rsid w:val="00074C54"/>
    <w:rsid w:val="00084C44"/>
    <w:rsid w:val="00087B01"/>
    <w:rsid w:val="00090D29"/>
    <w:rsid w:val="0009270C"/>
    <w:rsid w:val="0009317F"/>
    <w:rsid w:val="00094152"/>
    <w:rsid w:val="000A2FD7"/>
    <w:rsid w:val="000A485B"/>
    <w:rsid w:val="000B4BE0"/>
    <w:rsid w:val="000B6DB2"/>
    <w:rsid w:val="000C27A2"/>
    <w:rsid w:val="000C3659"/>
    <w:rsid w:val="000D039B"/>
    <w:rsid w:val="000D23A6"/>
    <w:rsid w:val="000D6EE8"/>
    <w:rsid w:val="000E214A"/>
    <w:rsid w:val="000E5DC6"/>
    <w:rsid w:val="000F2271"/>
    <w:rsid w:val="000F23B0"/>
    <w:rsid w:val="000F4ACF"/>
    <w:rsid w:val="0010368F"/>
    <w:rsid w:val="00112B61"/>
    <w:rsid w:val="00114DD1"/>
    <w:rsid w:val="001200C5"/>
    <w:rsid w:val="00120BEA"/>
    <w:rsid w:val="00121B1D"/>
    <w:rsid w:val="00126B87"/>
    <w:rsid w:val="00127B0D"/>
    <w:rsid w:val="00137194"/>
    <w:rsid w:val="00137FE5"/>
    <w:rsid w:val="00143171"/>
    <w:rsid w:val="00144F9A"/>
    <w:rsid w:val="0015140F"/>
    <w:rsid w:val="001523C1"/>
    <w:rsid w:val="00152773"/>
    <w:rsid w:val="00154D37"/>
    <w:rsid w:val="001608FD"/>
    <w:rsid w:val="00161E2E"/>
    <w:rsid w:val="00164BEE"/>
    <w:rsid w:val="001745C3"/>
    <w:rsid w:val="00175973"/>
    <w:rsid w:val="0017615B"/>
    <w:rsid w:val="00180222"/>
    <w:rsid w:val="001845CF"/>
    <w:rsid w:val="00186D5C"/>
    <w:rsid w:val="0019005A"/>
    <w:rsid w:val="00192B1D"/>
    <w:rsid w:val="001945F2"/>
    <w:rsid w:val="001A7370"/>
    <w:rsid w:val="001B4800"/>
    <w:rsid w:val="001B7ED0"/>
    <w:rsid w:val="001C1638"/>
    <w:rsid w:val="001C1DF8"/>
    <w:rsid w:val="001C20FB"/>
    <w:rsid w:val="001C46E3"/>
    <w:rsid w:val="001D009A"/>
    <w:rsid w:val="001D0F1D"/>
    <w:rsid w:val="001D1BBE"/>
    <w:rsid w:val="001D28F3"/>
    <w:rsid w:val="001E22BC"/>
    <w:rsid w:val="001E436A"/>
    <w:rsid w:val="001E5047"/>
    <w:rsid w:val="001E641B"/>
    <w:rsid w:val="001E72E0"/>
    <w:rsid w:val="001F1ADB"/>
    <w:rsid w:val="001F467F"/>
    <w:rsid w:val="00204E23"/>
    <w:rsid w:val="0020546A"/>
    <w:rsid w:val="002305B5"/>
    <w:rsid w:val="002348E0"/>
    <w:rsid w:val="002349CB"/>
    <w:rsid w:val="0024162C"/>
    <w:rsid w:val="0024238C"/>
    <w:rsid w:val="002478E6"/>
    <w:rsid w:val="00247B31"/>
    <w:rsid w:val="002520CC"/>
    <w:rsid w:val="00252494"/>
    <w:rsid w:val="00254075"/>
    <w:rsid w:val="002578A3"/>
    <w:rsid w:val="00260396"/>
    <w:rsid w:val="0026637B"/>
    <w:rsid w:val="00266CEA"/>
    <w:rsid w:val="00267644"/>
    <w:rsid w:val="00274EE9"/>
    <w:rsid w:val="00275451"/>
    <w:rsid w:val="00275E3E"/>
    <w:rsid w:val="0027629F"/>
    <w:rsid w:val="0028377B"/>
    <w:rsid w:val="002839F9"/>
    <w:rsid w:val="00283CB6"/>
    <w:rsid w:val="0029312C"/>
    <w:rsid w:val="0029365C"/>
    <w:rsid w:val="00295FAD"/>
    <w:rsid w:val="002973A0"/>
    <w:rsid w:val="002974EA"/>
    <w:rsid w:val="002A1B14"/>
    <w:rsid w:val="002A5D58"/>
    <w:rsid w:val="002B02AE"/>
    <w:rsid w:val="002B06A1"/>
    <w:rsid w:val="002B163B"/>
    <w:rsid w:val="002B3B6D"/>
    <w:rsid w:val="002B4017"/>
    <w:rsid w:val="002B799F"/>
    <w:rsid w:val="002C1D40"/>
    <w:rsid w:val="002C2465"/>
    <w:rsid w:val="002D3175"/>
    <w:rsid w:val="002D4F2A"/>
    <w:rsid w:val="002D6209"/>
    <w:rsid w:val="002E008E"/>
    <w:rsid w:val="002E31E1"/>
    <w:rsid w:val="002E3947"/>
    <w:rsid w:val="002E54E5"/>
    <w:rsid w:val="002F210B"/>
    <w:rsid w:val="002F4CDF"/>
    <w:rsid w:val="003069EB"/>
    <w:rsid w:val="00313EEB"/>
    <w:rsid w:val="0032406F"/>
    <w:rsid w:val="00330B59"/>
    <w:rsid w:val="003376DA"/>
    <w:rsid w:val="00340A7D"/>
    <w:rsid w:val="00344515"/>
    <w:rsid w:val="00345F13"/>
    <w:rsid w:val="00350505"/>
    <w:rsid w:val="00350743"/>
    <w:rsid w:val="00360D39"/>
    <w:rsid w:val="00361771"/>
    <w:rsid w:val="00361D71"/>
    <w:rsid w:val="00361DD0"/>
    <w:rsid w:val="00370CA1"/>
    <w:rsid w:val="003762D5"/>
    <w:rsid w:val="00376C63"/>
    <w:rsid w:val="003808E2"/>
    <w:rsid w:val="00382C0C"/>
    <w:rsid w:val="003858EA"/>
    <w:rsid w:val="003877B3"/>
    <w:rsid w:val="00390C63"/>
    <w:rsid w:val="00391AE7"/>
    <w:rsid w:val="00391ECB"/>
    <w:rsid w:val="00393E46"/>
    <w:rsid w:val="003975F3"/>
    <w:rsid w:val="003A2597"/>
    <w:rsid w:val="003A6210"/>
    <w:rsid w:val="003B2792"/>
    <w:rsid w:val="003C134F"/>
    <w:rsid w:val="003C18AE"/>
    <w:rsid w:val="003C3D11"/>
    <w:rsid w:val="003C748A"/>
    <w:rsid w:val="003D1063"/>
    <w:rsid w:val="003D444E"/>
    <w:rsid w:val="003D6070"/>
    <w:rsid w:val="003D7349"/>
    <w:rsid w:val="003E2C21"/>
    <w:rsid w:val="003E4343"/>
    <w:rsid w:val="003E437D"/>
    <w:rsid w:val="003E4D88"/>
    <w:rsid w:val="003F10C8"/>
    <w:rsid w:val="003F621D"/>
    <w:rsid w:val="003F6B23"/>
    <w:rsid w:val="004009DA"/>
    <w:rsid w:val="00410294"/>
    <w:rsid w:val="0042096A"/>
    <w:rsid w:val="0042234A"/>
    <w:rsid w:val="004318AB"/>
    <w:rsid w:val="004323F1"/>
    <w:rsid w:val="004345F7"/>
    <w:rsid w:val="004410C1"/>
    <w:rsid w:val="0044508F"/>
    <w:rsid w:val="004511A3"/>
    <w:rsid w:val="0045500C"/>
    <w:rsid w:val="004556E1"/>
    <w:rsid w:val="00456249"/>
    <w:rsid w:val="00460A66"/>
    <w:rsid w:val="00460C38"/>
    <w:rsid w:val="00461E5D"/>
    <w:rsid w:val="00471095"/>
    <w:rsid w:val="004721BB"/>
    <w:rsid w:val="00473488"/>
    <w:rsid w:val="00473D6A"/>
    <w:rsid w:val="00475ADF"/>
    <w:rsid w:val="00477E3B"/>
    <w:rsid w:val="004827C9"/>
    <w:rsid w:val="00482CC3"/>
    <w:rsid w:val="0048747D"/>
    <w:rsid w:val="00492257"/>
    <w:rsid w:val="0049353A"/>
    <w:rsid w:val="004972B6"/>
    <w:rsid w:val="00497F0A"/>
    <w:rsid w:val="004A56F3"/>
    <w:rsid w:val="004B06A0"/>
    <w:rsid w:val="004B2811"/>
    <w:rsid w:val="004C0E4A"/>
    <w:rsid w:val="004D28EE"/>
    <w:rsid w:val="004D4B93"/>
    <w:rsid w:val="004E0526"/>
    <w:rsid w:val="004E60FB"/>
    <w:rsid w:val="004E624C"/>
    <w:rsid w:val="004E77B4"/>
    <w:rsid w:val="004F7FD4"/>
    <w:rsid w:val="0050347B"/>
    <w:rsid w:val="005101F1"/>
    <w:rsid w:val="00516844"/>
    <w:rsid w:val="0051776B"/>
    <w:rsid w:val="00521641"/>
    <w:rsid w:val="00522A96"/>
    <w:rsid w:val="00525B64"/>
    <w:rsid w:val="00526531"/>
    <w:rsid w:val="005277BD"/>
    <w:rsid w:val="00534836"/>
    <w:rsid w:val="0053764F"/>
    <w:rsid w:val="005404DC"/>
    <w:rsid w:val="00540E1D"/>
    <w:rsid w:val="00543A8C"/>
    <w:rsid w:val="0054687A"/>
    <w:rsid w:val="0055166B"/>
    <w:rsid w:val="00553E83"/>
    <w:rsid w:val="0055788D"/>
    <w:rsid w:val="005612F3"/>
    <w:rsid w:val="00562DE8"/>
    <w:rsid w:val="00563502"/>
    <w:rsid w:val="00563639"/>
    <w:rsid w:val="00564092"/>
    <w:rsid w:val="005770E2"/>
    <w:rsid w:val="00587491"/>
    <w:rsid w:val="00591345"/>
    <w:rsid w:val="00591778"/>
    <w:rsid w:val="005A647A"/>
    <w:rsid w:val="005B1834"/>
    <w:rsid w:val="005B4AE8"/>
    <w:rsid w:val="005B738C"/>
    <w:rsid w:val="005C0500"/>
    <w:rsid w:val="005C0529"/>
    <w:rsid w:val="005C1038"/>
    <w:rsid w:val="005C27C6"/>
    <w:rsid w:val="005D0D91"/>
    <w:rsid w:val="005D2373"/>
    <w:rsid w:val="005D28F6"/>
    <w:rsid w:val="005D320A"/>
    <w:rsid w:val="005D75FB"/>
    <w:rsid w:val="005D7C6B"/>
    <w:rsid w:val="005E6F01"/>
    <w:rsid w:val="005F4E63"/>
    <w:rsid w:val="00600710"/>
    <w:rsid w:val="00601141"/>
    <w:rsid w:val="0060272B"/>
    <w:rsid w:val="00602FBE"/>
    <w:rsid w:val="0060344F"/>
    <w:rsid w:val="00605346"/>
    <w:rsid w:val="00610C4C"/>
    <w:rsid w:val="006157A9"/>
    <w:rsid w:val="00622736"/>
    <w:rsid w:val="0062357E"/>
    <w:rsid w:val="0062648F"/>
    <w:rsid w:val="00626DE5"/>
    <w:rsid w:val="006523F4"/>
    <w:rsid w:val="0065301B"/>
    <w:rsid w:val="006536CD"/>
    <w:rsid w:val="006540D9"/>
    <w:rsid w:val="0065659A"/>
    <w:rsid w:val="00656E76"/>
    <w:rsid w:val="006571D5"/>
    <w:rsid w:val="0066134C"/>
    <w:rsid w:val="00661368"/>
    <w:rsid w:val="00663672"/>
    <w:rsid w:val="00665BFB"/>
    <w:rsid w:val="006664D1"/>
    <w:rsid w:val="00666D66"/>
    <w:rsid w:val="00670847"/>
    <w:rsid w:val="00674E59"/>
    <w:rsid w:val="006775D8"/>
    <w:rsid w:val="0068313F"/>
    <w:rsid w:val="006870E5"/>
    <w:rsid w:val="00692D82"/>
    <w:rsid w:val="00697E4B"/>
    <w:rsid w:val="006B26F2"/>
    <w:rsid w:val="006C46E4"/>
    <w:rsid w:val="006C4D03"/>
    <w:rsid w:val="006C4FD4"/>
    <w:rsid w:val="006D1C3C"/>
    <w:rsid w:val="006E03AC"/>
    <w:rsid w:val="006E4410"/>
    <w:rsid w:val="006E5135"/>
    <w:rsid w:val="006E5E02"/>
    <w:rsid w:val="00703826"/>
    <w:rsid w:val="007041ED"/>
    <w:rsid w:val="007044D7"/>
    <w:rsid w:val="00705045"/>
    <w:rsid w:val="0071229D"/>
    <w:rsid w:val="007152D8"/>
    <w:rsid w:val="007155BE"/>
    <w:rsid w:val="00717227"/>
    <w:rsid w:val="00717F25"/>
    <w:rsid w:val="007249DE"/>
    <w:rsid w:val="00727C2D"/>
    <w:rsid w:val="00731FF6"/>
    <w:rsid w:val="00733E39"/>
    <w:rsid w:val="00734F40"/>
    <w:rsid w:val="00736665"/>
    <w:rsid w:val="00737B9F"/>
    <w:rsid w:val="007516C2"/>
    <w:rsid w:val="00753FA0"/>
    <w:rsid w:val="00754F16"/>
    <w:rsid w:val="0075607F"/>
    <w:rsid w:val="007671F2"/>
    <w:rsid w:val="007716EE"/>
    <w:rsid w:val="00772711"/>
    <w:rsid w:val="00774306"/>
    <w:rsid w:val="00776F6E"/>
    <w:rsid w:val="00780E4A"/>
    <w:rsid w:val="00792A0E"/>
    <w:rsid w:val="007934D3"/>
    <w:rsid w:val="00795478"/>
    <w:rsid w:val="007A23FF"/>
    <w:rsid w:val="007A2598"/>
    <w:rsid w:val="007A3E61"/>
    <w:rsid w:val="007A4458"/>
    <w:rsid w:val="007A64B9"/>
    <w:rsid w:val="007B3019"/>
    <w:rsid w:val="007B7783"/>
    <w:rsid w:val="007C160C"/>
    <w:rsid w:val="007C6237"/>
    <w:rsid w:val="007C7B37"/>
    <w:rsid w:val="007D0405"/>
    <w:rsid w:val="007D159A"/>
    <w:rsid w:val="007D35A0"/>
    <w:rsid w:val="007F0A9C"/>
    <w:rsid w:val="007F158A"/>
    <w:rsid w:val="007F7F6D"/>
    <w:rsid w:val="008038FB"/>
    <w:rsid w:val="0080402F"/>
    <w:rsid w:val="00805510"/>
    <w:rsid w:val="008058FE"/>
    <w:rsid w:val="00807220"/>
    <w:rsid w:val="00816E13"/>
    <w:rsid w:val="00817E35"/>
    <w:rsid w:val="00824180"/>
    <w:rsid w:val="008326D8"/>
    <w:rsid w:val="00832AA3"/>
    <w:rsid w:val="00836C67"/>
    <w:rsid w:val="0083727B"/>
    <w:rsid w:val="00842072"/>
    <w:rsid w:val="00843BA9"/>
    <w:rsid w:val="00843BBC"/>
    <w:rsid w:val="00845D67"/>
    <w:rsid w:val="008506EB"/>
    <w:rsid w:val="00854B8A"/>
    <w:rsid w:val="00855A00"/>
    <w:rsid w:val="00862688"/>
    <w:rsid w:val="00863257"/>
    <w:rsid w:val="0086429A"/>
    <w:rsid w:val="0086628A"/>
    <w:rsid w:val="008710F7"/>
    <w:rsid w:val="00875046"/>
    <w:rsid w:val="008760D9"/>
    <w:rsid w:val="00887599"/>
    <w:rsid w:val="00891596"/>
    <w:rsid w:val="008956A7"/>
    <w:rsid w:val="008975E4"/>
    <w:rsid w:val="008A1711"/>
    <w:rsid w:val="008A49D4"/>
    <w:rsid w:val="008A5620"/>
    <w:rsid w:val="008A674C"/>
    <w:rsid w:val="008A7D06"/>
    <w:rsid w:val="008B16F2"/>
    <w:rsid w:val="008B29B8"/>
    <w:rsid w:val="008B44FE"/>
    <w:rsid w:val="008B66BD"/>
    <w:rsid w:val="008C3604"/>
    <w:rsid w:val="008C5C07"/>
    <w:rsid w:val="008D0CA9"/>
    <w:rsid w:val="008D36A8"/>
    <w:rsid w:val="008D46AE"/>
    <w:rsid w:val="008E0567"/>
    <w:rsid w:val="008E2F4B"/>
    <w:rsid w:val="008E3136"/>
    <w:rsid w:val="008E47BE"/>
    <w:rsid w:val="008E5A25"/>
    <w:rsid w:val="008F29A3"/>
    <w:rsid w:val="0090516F"/>
    <w:rsid w:val="009056DD"/>
    <w:rsid w:val="009141AD"/>
    <w:rsid w:val="00916157"/>
    <w:rsid w:val="00921DA3"/>
    <w:rsid w:val="00927586"/>
    <w:rsid w:val="00927900"/>
    <w:rsid w:val="00927B36"/>
    <w:rsid w:val="0093049F"/>
    <w:rsid w:val="009322CD"/>
    <w:rsid w:val="00934E0D"/>
    <w:rsid w:val="00940E01"/>
    <w:rsid w:val="00943230"/>
    <w:rsid w:val="00951684"/>
    <w:rsid w:val="00957836"/>
    <w:rsid w:val="009579C1"/>
    <w:rsid w:val="00961BA1"/>
    <w:rsid w:val="00963138"/>
    <w:rsid w:val="009662C6"/>
    <w:rsid w:val="00970F01"/>
    <w:rsid w:val="00971966"/>
    <w:rsid w:val="009745CA"/>
    <w:rsid w:val="00986CC4"/>
    <w:rsid w:val="00990D50"/>
    <w:rsid w:val="00993F95"/>
    <w:rsid w:val="00994777"/>
    <w:rsid w:val="0099717B"/>
    <w:rsid w:val="009A33FE"/>
    <w:rsid w:val="009A41A0"/>
    <w:rsid w:val="009A6C03"/>
    <w:rsid w:val="009A73DC"/>
    <w:rsid w:val="009B1387"/>
    <w:rsid w:val="009B4667"/>
    <w:rsid w:val="009C0755"/>
    <w:rsid w:val="009C2A7D"/>
    <w:rsid w:val="009C55B1"/>
    <w:rsid w:val="009D4F84"/>
    <w:rsid w:val="009E75F2"/>
    <w:rsid w:val="009F0527"/>
    <w:rsid w:val="009F5939"/>
    <w:rsid w:val="009F61B5"/>
    <w:rsid w:val="009F7089"/>
    <w:rsid w:val="00A00398"/>
    <w:rsid w:val="00A00CBB"/>
    <w:rsid w:val="00A0489E"/>
    <w:rsid w:val="00A10612"/>
    <w:rsid w:val="00A13F6B"/>
    <w:rsid w:val="00A20B09"/>
    <w:rsid w:val="00A216C5"/>
    <w:rsid w:val="00A21C81"/>
    <w:rsid w:val="00A277CA"/>
    <w:rsid w:val="00A31B2D"/>
    <w:rsid w:val="00A42569"/>
    <w:rsid w:val="00A434D6"/>
    <w:rsid w:val="00A437B1"/>
    <w:rsid w:val="00A43AB3"/>
    <w:rsid w:val="00A45745"/>
    <w:rsid w:val="00A47326"/>
    <w:rsid w:val="00A47A63"/>
    <w:rsid w:val="00A57472"/>
    <w:rsid w:val="00A57B8A"/>
    <w:rsid w:val="00A607B2"/>
    <w:rsid w:val="00A675C3"/>
    <w:rsid w:val="00A73B9F"/>
    <w:rsid w:val="00A76425"/>
    <w:rsid w:val="00A82192"/>
    <w:rsid w:val="00A8224D"/>
    <w:rsid w:val="00A82B43"/>
    <w:rsid w:val="00A84A6B"/>
    <w:rsid w:val="00A859FF"/>
    <w:rsid w:val="00A94F66"/>
    <w:rsid w:val="00AA3519"/>
    <w:rsid w:val="00AB0CAC"/>
    <w:rsid w:val="00AB2C60"/>
    <w:rsid w:val="00AB31C1"/>
    <w:rsid w:val="00AC00D7"/>
    <w:rsid w:val="00AC30DB"/>
    <w:rsid w:val="00AC7EC8"/>
    <w:rsid w:val="00AD3915"/>
    <w:rsid w:val="00AD4D45"/>
    <w:rsid w:val="00AD6225"/>
    <w:rsid w:val="00AE079E"/>
    <w:rsid w:val="00AE2A35"/>
    <w:rsid w:val="00AE387E"/>
    <w:rsid w:val="00AE47BD"/>
    <w:rsid w:val="00AE6C13"/>
    <w:rsid w:val="00AF1A52"/>
    <w:rsid w:val="00B01DA3"/>
    <w:rsid w:val="00B06434"/>
    <w:rsid w:val="00B07439"/>
    <w:rsid w:val="00B11E23"/>
    <w:rsid w:val="00B12018"/>
    <w:rsid w:val="00B127A1"/>
    <w:rsid w:val="00B133ED"/>
    <w:rsid w:val="00B175C9"/>
    <w:rsid w:val="00B20165"/>
    <w:rsid w:val="00B207EF"/>
    <w:rsid w:val="00B24405"/>
    <w:rsid w:val="00B30DB3"/>
    <w:rsid w:val="00B34AE0"/>
    <w:rsid w:val="00B35EA6"/>
    <w:rsid w:val="00B3621D"/>
    <w:rsid w:val="00B408B8"/>
    <w:rsid w:val="00B52336"/>
    <w:rsid w:val="00B52D7E"/>
    <w:rsid w:val="00B538BC"/>
    <w:rsid w:val="00B53BC8"/>
    <w:rsid w:val="00B5670F"/>
    <w:rsid w:val="00B57A59"/>
    <w:rsid w:val="00B6188E"/>
    <w:rsid w:val="00B6364D"/>
    <w:rsid w:val="00B64ACF"/>
    <w:rsid w:val="00B67A7C"/>
    <w:rsid w:val="00B714A0"/>
    <w:rsid w:val="00B748E3"/>
    <w:rsid w:val="00B80801"/>
    <w:rsid w:val="00B83AA5"/>
    <w:rsid w:val="00B85370"/>
    <w:rsid w:val="00B87F9F"/>
    <w:rsid w:val="00B9108D"/>
    <w:rsid w:val="00B94DB6"/>
    <w:rsid w:val="00B9577B"/>
    <w:rsid w:val="00BB255C"/>
    <w:rsid w:val="00BB7AF1"/>
    <w:rsid w:val="00BC5CEE"/>
    <w:rsid w:val="00BC7C03"/>
    <w:rsid w:val="00BD3F50"/>
    <w:rsid w:val="00BE172A"/>
    <w:rsid w:val="00BF00F1"/>
    <w:rsid w:val="00BF232A"/>
    <w:rsid w:val="00BF601A"/>
    <w:rsid w:val="00C13D84"/>
    <w:rsid w:val="00C22B00"/>
    <w:rsid w:val="00C23C07"/>
    <w:rsid w:val="00C2474C"/>
    <w:rsid w:val="00C25C2C"/>
    <w:rsid w:val="00C270AD"/>
    <w:rsid w:val="00C27903"/>
    <w:rsid w:val="00C3168B"/>
    <w:rsid w:val="00C316FC"/>
    <w:rsid w:val="00C322CB"/>
    <w:rsid w:val="00C32593"/>
    <w:rsid w:val="00C3286F"/>
    <w:rsid w:val="00C3355E"/>
    <w:rsid w:val="00C35FFD"/>
    <w:rsid w:val="00C37DE9"/>
    <w:rsid w:val="00C41124"/>
    <w:rsid w:val="00C4158A"/>
    <w:rsid w:val="00C41887"/>
    <w:rsid w:val="00C44B35"/>
    <w:rsid w:val="00C45B01"/>
    <w:rsid w:val="00C4692D"/>
    <w:rsid w:val="00C47104"/>
    <w:rsid w:val="00C51415"/>
    <w:rsid w:val="00C60CB2"/>
    <w:rsid w:val="00C631C9"/>
    <w:rsid w:val="00C6362B"/>
    <w:rsid w:val="00C63D8B"/>
    <w:rsid w:val="00C770FC"/>
    <w:rsid w:val="00C83F63"/>
    <w:rsid w:val="00C83FE0"/>
    <w:rsid w:val="00C85133"/>
    <w:rsid w:val="00C855C0"/>
    <w:rsid w:val="00C861CA"/>
    <w:rsid w:val="00C93F4A"/>
    <w:rsid w:val="00C94497"/>
    <w:rsid w:val="00C96F4F"/>
    <w:rsid w:val="00C97C4B"/>
    <w:rsid w:val="00C97D75"/>
    <w:rsid w:val="00CA1B5C"/>
    <w:rsid w:val="00CB5228"/>
    <w:rsid w:val="00CB6FF1"/>
    <w:rsid w:val="00CC4A9A"/>
    <w:rsid w:val="00CC70B2"/>
    <w:rsid w:val="00CC71A3"/>
    <w:rsid w:val="00CD436D"/>
    <w:rsid w:val="00CD6A67"/>
    <w:rsid w:val="00CD6BE3"/>
    <w:rsid w:val="00CE0B54"/>
    <w:rsid w:val="00CF2547"/>
    <w:rsid w:val="00CF268F"/>
    <w:rsid w:val="00D0216B"/>
    <w:rsid w:val="00D021E5"/>
    <w:rsid w:val="00D027FE"/>
    <w:rsid w:val="00D15B97"/>
    <w:rsid w:val="00D21B1F"/>
    <w:rsid w:val="00D25B9B"/>
    <w:rsid w:val="00D36DDC"/>
    <w:rsid w:val="00D43089"/>
    <w:rsid w:val="00D440D4"/>
    <w:rsid w:val="00D4447C"/>
    <w:rsid w:val="00D46E5C"/>
    <w:rsid w:val="00D62C18"/>
    <w:rsid w:val="00D67736"/>
    <w:rsid w:val="00D6797B"/>
    <w:rsid w:val="00D71460"/>
    <w:rsid w:val="00D714D6"/>
    <w:rsid w:val="00D7348C"/>
    <w:rsid w:val="00D73FD7"/>
    <w:rsid w:val="00D8009A"/>
    <w:rsid w:val="00D815A5"/>
    <w:rsid w:val="00D85988"/>
    <w:rsid w:val="00D928CE"/>
    <w:rsid w:val="00D96B26"/>
    <w:rsid w:val="00DA3CBE"/>
    <w:rsid w:val="00DA6941"/>
    <w:rsid w:val="00DB12D0"/>
    <w:rsid w:val="00DB231F"/>
    <w:rsid w:val="00DB3345"/>
    <w:rsid w:val="00DB6D4C"/>
    <w:rsid w:val="00DC7586"/>
    <w:rsid w:val="00DD1289"/>
    <w:rsid w:val="00DD195B"/>
    <w:rsid w:val="00DD5104"/>
    <w:rsid w:val="00DD6D79"/>
    <w:rsid w:val="00DE1D10"/>
    <w:rsid w:val="00DE7B06"/>
    <w:rsid w:val="00DF102E"/>
    <w:rsid w:val="00DF714E"/>
    <w:rsid w:val="00DF7983"/>
    <w:rsid w:val="00E0291A"/>
    <w:rsid w:val="00E048DE"/>
    <w:rsid w:val="00E06730"/>
    <w:rsid w:val="00E10474"/>
    <w:rsid w:val="00E12702"/>
    <w:rsid w:val="00E25734"/>
    <w:rsid w:val="00E25CDB"/>
    <w:rsid w:val="00E2676D"/>
    <w:rsid w:val="00E3062B"/>
    <w:rsid w:val="00E32CBB"/>
    <w:rsid w:val="00E41204"/>
    <w:rsid w:val="00E452EA"/>
    <w:rsid w:val="00E477AC"/>
    <w:rsid w:val="00E52DA0"/>
    <w:rsid w:val="00E64636"/>
    <w:rsid w:val="00E70204"/>
    <w:rsid w:val="00E70595"/>
    <w:rsid w:val="00E7074E"/>
    <w:rsid w:val="00E73962"/>
    <w:rsid w:val="00E754AB"/>
    <w:rsid w:val="00E7795A"/>
    <w:rsid w:val="00E80A78"/>
    <w:rsid w:val="00E85A0E"/>
    <w:rsid w:val="00E93A5E"/>
    <w:rsid w:val="00EA6087"/>
    <w:rsid w:val="00EA7C89"/>
    <w:rsid w:val="00EB3969"/>
    <w:rsid w:val="00EC605A"/>
    <w:rsid w:val="00EC634E"/>
    <w:rsid w:val="00ED31CB"/>
    <w:rsid w:val="00ED5B7A"/>
    <w:rsid w:val="00EE1080"/>
    <w:rsid w:val="00EE1966"/>
    <w:rsid w:val="00EE1F43"/>
    <w:rsid w:val="00EE2A59"/>
    <w:rsid w:val="00EE39C2"/>
    <w:rsid w:val="00EF6BEF"/>
    <w:rsid w:val="00F061F8"/>
    <w:rsid w:val="00F07828"/>
    <w:rsid w:val="00F11665"/>
    <w:rsid w:val="00F119F2"/>
    <w:rsid w:val="00F14C09"/>
    <w:rsid w:val="00F20C23"/>
    <w:rsid w:val="00F21617"/>
    <w:rsid w:val="00F24055"/>
    <w:rsid w:val="00F245C2"/>
    <w:rsid w:val="00F2747D"/>
    <w:rsid w:val="00F3231B"/>
    <w:rsid w:val="00F37236"/>
    <w:rsid w:val="00F42781"/>
    <w:rsid w:val="00F449E0"/>
    <w:rsid w:val="00F46770"/>
    <w:rsid w:val="00F51C15"/>
    <w:rsid w:val="00F52FFE"/>
    <w:rsid w:val="00F56DE5"/>
    <w:rsid w:val="00F61960"/>
    <w:rsid w:val="00F66248"/>
    <w:rsid w:val="00F71D53"/>
    <w:rsid w:val="00F720D5"/>
    <w:rsid w:val="00F752AE"/>
    <w:rsid w:val="00F77DB4"/>
    <w:rsid w:val="00F839AE"/>
    <w:rsid w:val="00F850FF"/>
    <w:rsid w:val="00F879A2"/>
    <w:rsid w:val="00F928CC"/>
    <w:rsid w:val="00FA1CEF"/>
    <w:rsid w:val="00FA43F4"/>
    <w:rsid w:val="00FA49CD"/>
    <w:rsid w:val="00FA5CE9"/>
    <w:rsid w:val="00FA775F"/>
    <w:rsid w:val="00FA7E40"/>
    <w:rsid w:val="00FB3770"/>
    <w:rsid w:val="00FC17DA"/>
    <w:rsid w:val="00FC2E4A"/>
    <w:rsid w:val="00FC47D4"/>
    <w:rsid w:val="00FC7B80"/>
    <w:rsid w:val="00FD2E45"/>
    <w:rsid w:val="00FD560E"/>
    <w:rsid w:val="00FD6601"/>
    <w:rsid w:val="00FE0AD1"/>
    <w:rsid w:val="00FE70D3"/>
    <w:rsid w:val="00FF46E2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E3F5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FD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B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437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437B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437B1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37B1"/>
  </w:style>
  <w:style w:type="paragraph" w:styleId="BodyText">
    <w:name w:val="Body Text"/>
    <w:basedOn w:val="Normal"/>
    <w:link w:val="BodyTextChar"/>
    <w:rsid w:val="00A437B1"/>
    <w:rPr>
      <w:rFonts w:ascii="Courier" w:hAnsi="Courier"/>
      <w:sz w:val="24"/>
    </w:rPr>
  </w:style>
  <w:style w:type="paragraph" w:styleId="Header">
    <w:name w:val="header"/>
    <w:basedOn w:val="Normal"/>
    <w:rsid w:val="00A43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7B1"/>
  </w:style>
  <w:style w:type="paragraph" w:styleId="BodyText2">
    <w:name w:val="Body Text 2"/>
    <w:basedOn w:val="Normal"/>
    <w:rsid w:val="00A437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character" w:styleId="CommentReference">
    <w:name w:val="annotation reference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uiPriority w:val="1"/>
    <w:qFormat/>
    <w:rsid w:val="00940E01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477E3B"/>
    <w:rPr>
      <w:rFonts w:ascii="Courier" w:hAnsi="Courier"/>
      <w:sz w:val="24"/>
      <w:szCs w:val="24"/>
    </w:rPr>
  </w:style>
  <w:style w:type="character" w:styleId="Hyperlink">
    <w:name w:val="Hyperlink"/>
    <w:uiPriority w:val="99"/>
    <w:unhideWhenUsed/>
    <w:rsid w:val="000F2271"/>
    <w:rPr>
      <w:color w:val="0000FF"/>
      <w:u w:val="single"/>
    </w:rPr>
  </w:style>
  <w:style w:type="paragraph" w:customStyle="1" w:styleId="Default">
    <w:name w:val="Default"/>
    <w:rsid w:val="000B6D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FD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cupp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C6BDDA516454EA61EF7F7FA29AF59" ma:contentTypeVersion="143" ma:contentTypeDescription="" ma:contentTypeScope="" ma:versionID="be28de4015a6a6a41651b8b0135ac5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2011-10-11T07:00:00+00:00</OpenedDate>
    <Date1 xmlns="dc463f71-b30c-4ab2-9473-d307f9d35888">2011-10-27T07:00:00+00:00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111789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B44F-181E-457C-9530-ED3F183B33F2}"/>
</file>

<file path=customXml/itemProps2.xml><?xml version="1.0" encoding="utf-8"?>
<ds:datastoreItem xmlns:ds="http://schemas.openxmlformats.org/officeDocument/2006/customXml" ds:itemID="{644D28C6-0914-40E8-9D03-63C1660339EF}"/>
</file>

<file path=customXml/itemProps3.xml><?xml version="1.0" encoding="utf-8"?>
<ds:datastoreItem xmlns:ds="http://schemas.openxmlformats.org/officeDocument/2006/customXml" ds:itemID="{4105829B-DCEA-4FA3-A7FA-B2ADA1788539}"/>
</file>

<file path=customXml/itemProps4.xml><?xml version="1.0" encoding="utf-8"?>
<ds:datastoreItem xmlns:ds="http://schemas.openxmlformats.org/officeDocument/2006/customXml" ds:itemID="{127D96D9-EA78-4F70-9C48-FFA8A48CA9E0}"/>
</file>

<file path=customXml/itemProps5.xml><?xml version="1.0" encoding="utf-8"?>
<ds:datastoreItem xmlns:ds="http://schemas.openxmlformats.org/officeDocument/2006/customXml" ds:itemID="{B25F59FE-A2F3-4AB0-8D79-E251D1AC5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2011-10-24T23:26:00Z</dcterms:created>
  <dcterms:modified xsi:type="dcterms:W3CDTF">2011-10-24T23:26:00Z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0x0101006E56B4D1795A2E4DB2F0B01679ED314A0005FC6BDDA516454EA61EF7F7FA29AF59</vt:lpwstr>
  </property>
  <property fmtid="{D5CDD505-2E9C-101B-9397-08002B2CF9AE}" pid="3" name="_docset_NoMedatataSyncRequired">
    <vt:lpwstr>False</vt:lpwstr>
  </property>
</Properties>
</file>