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E42C4" w14:textId="77777777" w:rsidR="00633FE5" w:rsidRPr="00A219C9" w:rsidRDefault="00633FE5" w:rsidP="00633FE5">
      <w:pPr>
        <w:pStyle w:val="Heading1"/>
        <w:spacing w:line="226" w:lineRule="auto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A219C9">
        <w:rPr>
          <w:rFonts w:ascii="Times New Roman" w:hAnsi="Times New Roman"/>
          <w:color w:val="auto"/>
          <w:sz w:val="24"/>
          <w:szCs w:val="24"/>
        </w:rPr>
        <w:t>Agenda Date:</w:t>
      </w:r>
      <w:r w:rsidRPr="00A219C9">
        <w:rPr>
          <w:rFonts w:ascii="Times New Roman" w:hAnsi="Times New Roman"/>
          <w:color w:val="auto"/>
          <w:sz w:val="24"/>
          <w:szCs w:val="24"/>
        </w:rPr>
        <w:tab/>
      </w:r>
      <w:r w:rsidRPr="00A219C9">
        <w:rPr>
          <w:rFonts w:ascii="Times New Roman" w:hAnsi="Times New Roman"/>
          <w:color w:val="auto"/>
          <w:sz w:val="24"/>
          <w:szCs w:val="24"/>
        </w:rPr>
        <w:tab/>
      </w:r>
      <w:r w:rsidR="00A77552" w:rsidRPr="006D6651">
        <w:rPr>
          <w:rFonts w:ascii="Times New Roman" w:hAnsi="Times New Roman"/>
          <w:b w:val="0"/>
          <w:color w:val="auto"/>
          <w:sz w:val="24"/>
          <w:szCs w:val="24"/>
        </w:rPr>
        <w:t xml:space="preserve">October </w:t>
      </w:r>
      <w:r w:rsidR="0094336B">
        <w:rPr>
          <w:rFonts w:ascii="Times New Roman" w:hAnsi="Times New Roman"/>
          <w:b w:val="0"/>
          <w:color w:val="auto"/>
          <w:sz w:val="24"/>
          <w:szCs w:val="24"/>
        </w:rPr>
        <w:t>27</w:t>
      </w:r>
      <w:r w:rsidR="00A77552" w:rsidRPr="006D6651">
        <w:rPr>
          <w:rFonts w:ascii="Times New Roman" w:hAnsi="Times New Roman"/>
          <w:b w:val="0"/>
          <w:color w:val="auto"/>
          <w:sz w:val="24"/>
          <w:szCs w:val="24"/>
        </w:rPr>
        <w:t>, 201</w:t>
      </w:r>
      <w:r w:rsidR="0094336B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A219C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538E42C5" w14:textId="77777777" w:rsidR="00633FE5" w:rsidRPr="00FD0770" w:rsidRDefault="0094336B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Item Number</w:t>
      </w:r>
      <w:r w:rsidR="00633FE5" w:rsidRPr="00FD0770">
        <w:rPr>
          <w:rFonts w:ascii="Times New Roman" w:hAnsi="Times New Roman"/>
          <w:sz w:val="24"/>
        </w:rPr>
        <w:t>:</w:t>
      </w:r>
      <w:r w:rsidR="00633FE5" w:rsidRPr="00FD0770">
        <w:rPr>
          <w:rFonts w:ascii="Times New Roman" w:hAnsi="Times New Roman"/>
          <w:sz w:val="24"/>
        </w:rPr>
        <w:tab/>
      </w:r>
      <w:r w:rsidR="00497E69">
        <w:rPr>
          <w:rFonts w:ascii="Times New Roman" w:hAnsi="Times New Roman"/>
          <w:sz w:val="24"/>
        </w:rPr>
        <w:tab/>
        <w:t>A4</w:t>
      </w:r>
    </w:p>
    <w:p w14:paraId="538E42C6" w14:textId="77777777"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rFonts w:ascii="Times New Roman" w:hAnsi="Times New Roman"/>
          <w:sz w:val="24"/>
        </w:rPr>
      </w:pPr>
    </w:p>
    <w:p w14:paraId="538E42C7" w14:textId="35B47FF3" w:rsidR="00633FE5" w:rsidRPr="00A4180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 xml:space="preserve">Docket: </w:t>
      </w:r>
      <w:r w:rsidRPr="00FD0770">
        <w:rPr>
          <w:rFonts w:ascii="Times New Roman" w:hAnsi="Times New Roman"/>
          <w:b/>
          <w:bCs/>
          <w:sz w:val="24"/>
        </w:rPr>
        <w:tab/>
      </w:r>
      <w:r w:rsidRPr="00FD0770">
        <w:rPr>
          <w:rFonts w:ascii="Times New Roman" w:hAnsi="Times New Roman"/>
          <w:b/>
          <w:bCs/>
          <w:sz w:val="24"/>
        </w:rPr>
        <w:tab/>
      </w:r>
      <w:r w:rsidRPr="006D6651">
        <w:rPr>
          <w:rFonts w:ascii="Times New Roman" w:hAnsi="Times New Roman"/>
          <w:b/>
          <w:bCs/>
          <w:sz w:val="24"/>
        </w:rPr>
        <w:t>UG-</w:t>
      </w:r>
      <w:r w:rsidR="00EB5440">
        <w:rPr>
          <w:rFonts w:ascii="Times New Roman" w:hAnsi="Times New Roman"/>
          <w:b/>
          <w:bCs/>
          <w:sz w:val="24"/>
        </w:rPr>
        <w:t>111752</w:t>
      </w:r>
    </w:p>
    <w:p w14:paraId="538E42C8" w14:textId="77777777"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Company Name:</w:t>
      </w:r>
      <w:r w:rsidRPr="00FD0770">
        <w:rPr>
          <w:rFonts w:ascii="Times New Roman" w:hAnsi="Times New Roman"/>
          <w:sz w:val="24"/>
        </w:rPr>
        <w:tab/>
        <w:t>Puget Sound Energy</w:t>
      </w:r>
      <w:r>
        <w:rPr>
          <w:rFonts w:ascii="Times New Roman" w:hAnsi="Times New Roman"/>
          <w:sz w:val="24"/>
        </w:rPr>
        <w:t>, Inc.</w:t>
      </w:r>
    </w:p>
    <w:p w14:paraId="538E42C9" w14:textId="77777777"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538E42CA" w14:textId="77777777"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  <w:u w:val="single"/>
        </w:rPr>
        <w:t>Staff:</w:t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="00EC12A3" w:rsidRPr="00EC12A3">
        <w:rPr>
          <w:rFonts w:ascii="Times New Roman" w:hAnsi="Times New Roman"/>
          <w:sz w:val="24"/>
        </w:rPr>
        <w:t>Roland C. Martin, Regulatory Analyst</w:t>
      </w:r>
    </w:p>
    <w:p w14:paraId="538E42CB" w14:textId="77777777" w:rsidR="00633FE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="00EB5440">
        <w:rPr>
          <w:rFonts w:ascii="Times New Roman" w:hAnsi="Times New Roman"/>
          <w:sz w:val="24"/>
        </w:rPr>
        <w:t>Michael Foisy, Regulatory Analyst</w:t>
      </w:r>
    </w:p>
    <w:p w14:paraId="538E42CC" w14:textId="77777777" w:rsidR="004822D5" w:rsidRPr="00FD0770" w:rsidRDefault="004822D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Roger Kouchi, Consumer Protection Staff</w:t>
      </w:r>
    </w:p>
    <w:p w14:paraId="538E42CD" w14:textId="77777777"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538E42CE" w14:textId="77777777"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  <w:u w:val="single"/>
        </w:rPr>
        <w:t>Recommendation</w:t>
      </w:r>
    </w:p>
    <w:p w14:paraId="538E42CF" w14:textId="77777777"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6D34617" w14:textId="77777777" w:rsidR="00787371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Take no action, a</w:t>
      </w:r>
      <w:r w:rsidRPr="00FD0770">
        <w:rPr>
          <w:rFonts w:ascii="Times New Roman" w:hAnsi="Times New Roman"/>
          <w:sz w:val="24"/>
        </w:rPr>
        <w:t>llow</w:t>
      </w:r>
      <w:r>
        <w:rPr>
          <w:rFonts w:ascii="Times New Roman" w:hAnsi="Times New Roman"/>
          <w:sz w:val="24"/>
        </w:rPr>
        <w:t>ing</w:t>
      </w:r>
      <w:r w:rsidRPr="00FD0770">
        <w:rPr>
          <w:rFonts w:ascii="Times New Roman" w:hAnsi="Times New Roman"/>
          <w:sz w:val="24"/>
        </w:rPr>
        <w:t xml:space="preserve"> the tariff filing made by Puget Sound Energy</w:t>
      </w:r>
      <w:r w:rsidR="006D6651">
        <w:rPr>
          <w:rFonts w:ascii="Times New Roman" w:hAnsi="Times New Roman"/>
          <w:sz w:val="24"/>
        </w:rPr>
        <w:t>, Inc.</w:t>
      </w:r>
      <w:r w:rsidRPr="00FD0770">
        <w:rPr>
          <w:rFonts w:ascii="Times New Roman" w:hAnsi="Times New Roman"/>
          <w:sz w:val="24"/>
        </w:rPr>
        <w:t xml:space="preserve"> in Docket </w:t>
      </w:r>
    </w:p>
    <w:p w14:paraId="538E42D0" w14:textId="7234867E"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UG-</w:t>
      </w:r>
      <w:r w:rsidR="00EB5440">
        <w:rPr>
          <w:rFonts w:ascii="Times New Roman" w:hAnsi="Times New Roman"/>
          <w:bCs/>
          <w:sz w:val="24"/>
        </w:rPr>
        <w:t>111752</w:t>
      </w:r>
      <w:r w:rsidRPr="00FD0770">
        <w:rPr>
          <w:rFonts w:ascii="Times New Roman" w:hAnsi="Times New Roman"/>
          <w:sz w:val="24"/>
        </w:rPr>
        <w:t xml:space="preserve"> to </w:t>
      </w:r>
      <w:r w:rsidR="00446BE3">
        <w:rPr>
          <w:rFonts w:ascii="Times New Roman" w:hAnsi="Times New Roman"/>
          <w:sz w:val="24"/>
        </w:rPr>
        <w:t>become</w:t>
      </w:r>
      <w:r>
        <w:rPr>
          <w:rFonts w:ascii="Times New Roman" w:hAnsi="Times New Roman"/>
          <w:sz w:val="24"/>
        </w:rPr>
        <w:t xml:space="preserve"> effect</w:t>
      </w:r>
      <w:r w:rsidR="00446BE3">
        <w:rPr>
          <w:rFonts w:ascii="Times New Roman" w:hAnsi="Times New Roman"/>
          <w:sz w:val="24"/>
        </w:rPr>
        <w:t>ive on</w:t>
      </w:r>
      <w:r>
        <w:rPr>
          <w:rFonts w:ascii="Times New Roman" w:hAnsi="Times New Roman"/>
          <w:sz w:val="24"/>
        </w:rPr>
        <w:t xml:space="preserve"> </w:t>
      </w:r>
      <w:r w:rsidR="00A77552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1, 20</w:t>
      </w:r>
      <w:r w:rsidR="00A77552">
        <w:rPr>
          <w:rFonts w:ascii="Times New Roman" w:hAnsi="Times New Roman"/>
          <w:sz w:val="24"/>
        </w:rPr>
        <w:t>1</w:t>
      </w:r>
      <w:r w:rsidR="00EB544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by operation of law.</w:t>
      </w:r>
    </w:p>
    <w:p w14:paraId="538E42D1" w14:textId="77777777"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538E42D2" w14:textId="77777777" w:rsidR="00633FE5" w:rsidRPr="00D922B2" w:rsidRDefault="00633FE5" w:rsidP="00633FE5">
      <w:pPr>
        <w:rPr>
          <w:rFonts w:ascii="Times New Roman" w:hAnsi="Times New Roman"/>
          <w:b/>
          <w:sz w:val="24"/>
        </w:rPr>
      </w:pPr>
      <w:r w:rsidRPr="00D922B2">
        <w:rPr>
          <w:rFonts w:ascii="Times New Roman" w:hAnsi="Times New Roman"/>
          <w:b/>
          <w:sz w:val="24"/>
          <w:u w:val="single"/>
        </w:rPr>
        <w:t>Background</w:t>
      </w:r>
    </w:p>
    <w:p w14:paraId="538E42D3" w14:textId="77777777" w:rsidR="00633FE5" w:rsidRPr="00FD0770" w:rsidRDefault="00633FE5" w:rsidP="00633FE5">
      <w:pPr>
        <w:rPr>
          <w:rFonts w:ascii="Times New Roman" w:hAnsi="Times New Roman"/>
          <w:sz w:val="24"/>
        </w:rPr>
      </w:pPr>
    </w:p>
    <w:p w14:paraId="538E42D4" w14:textId="0C199F27" w:rsidR="00066E1D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 xml:space="preserve">On </w:t>
      </w:r>
      <w:r w:rsidR="00EB5440">
        <w:rPr>
          <w:rFonts w:ascii="Times New Roman" w:hAnsi="Times New Roman"/>
          <w:sz w:val="24"/>
        </w:rPr>
        <w:t>September 30</w:t>
      </w:r>
      <w:r w:rsidR="00EC12A3">
        <w:rPr>
          <w:rFonts w:ascii="Times New Roman" w:hAnsi="Times New Roman"/>
          <w:sz w:val="24"/>
        </w:rPr>
        <w:t xml:space="preserve">, </w:t>
      </w:r>
      <w:r w:rsidRPr="00FD0770">
        <w:rPr>
          <w:rFonts w:ascii="Times New Roman" w:hAnsi="Times New Roman"/>
          <w:sz w:val="24"/>
        </w:rPr>
        <w:t>20</w:t>
      </w:r>
      <w:r w:rsidR="00A77552">
        <w:rPr>
          <w:rFonts w:ascii="Times New Roman" w:hAnsi="Times New Roman"/>
          <w:sz w:val="24"/>
        </w:rPr>
        <w:t>1</w:t>
      </w:r>
      <w:r w:rsidR="00EB5440">
        <w:rPr>
          <w:rFonts w:ascii="Times New Roman" w:hAnsi="Times New Roman"/>
          <w:sz w:val="24"/>
        </w:rPr>
        <w:t>1</w:t>
      </w:r>
      <w:r w:rsidRPr="00FD0770">
        <w:rPr>
          <w:rFonts w:ascii="Times New Roman" w:hAnsi="Times New Roman"/>
          <w:sz w:val="24"/>
        </w:rPr>
        <w:t>, Puget Sound Energy</w:t>
      </w:r>
      <w:r>
        <w:rPr>
          <w:rFonts w:ascii="Times New Roman" w:hAnsi="Times New Roman"/>
          <w:sz w:val="24"/>
        </w:rPr>
        <w:t>, Inc.</w:t>
      </w:r>
      <w:r w:rsidRPr="00FD0770">
        <w:rPr>
          <w:rFonts w:ascii="Times New Roman" w:hAnsi="Times New Roman"/>
          <w:sz w:val="24"/>
        </w:rPr>
        <w:t xml:space="preserve"> (PSE or </w:t>
      </w:r>
      <w:r w:rsidR="00E62FFA">
        <w:rPr>
          <w:rFonts w:ascii="Times New Roman" w:hAnsi="Times New Roman"/>
          <w:sz w:val="24"/>
        </w:rPr>
        <w:t>c</w:t>
      </w:r>
      <w:r w:rsidRPr="00FD0770">
        <w:rPr>
          <w:rFonts w:ascii="Times New Roman" w:hAnsi="Times New Roman"/>
          <w:sz w:val="24"/>
        </w:rPr>
        <w:t>ompany) filed revisions to its Purchase</w:t>
      </w:r>
      <w:r w:rsidR="0047045A">
        <w:rPr>
          <w:rFonts w:ascii="Times New Roman" w:hAnsi="Times New Roman"/>
          <w:sz w:val="24"/>
        </w:rPr>
        <w:t>d</w:t>
      </w:r>
      <w:r w:rsidRPr="00FD0770">
        <w:rPr>
          <w:rFonts w:ascii="Times New Roman" w:hAnsi="Times New Roman"/>
          <w:sz w:val="24"/>
        </w:rPr>
        <w:t xml:space="preserve"> Gas Adjustment </w:t>
      </w:r>
      <w:r w:rsidR="0047045A">
        <w:rPr>
          <w:rFonts w:ascii="Times New Roman" w:hAnsi="Times New Roman"/>
          <w:sz w:val="24"/>
        </w:rPr>
        <w:t xml:space="preserve">(PGA) </w:t>
      </w:r>
      <w:r w:rsidRPr="00FD0770">
        <w:rPr>
          <w:rFonts w:ascii="Times New Roman" w:hAnsi="Times New Roman"/>
          <w:sz w:val="24"/>
        </w:rPr>
        <w:t>and deferred gas cost amortization tariffs in Docket</w:t>
      </w:r>
      <w:r w:rsidR="00066E1D">
        <w:rPr>
          <w:rFonts w:ascii="Times New Roman" w:hAnsi="Times New Roman"/>
          <w:sz w:val="24"/>
        </w:rPr>
        <w:t xml:space="preserve"> </w:t>
      </w:r>
    </w:p>
    <w:p w14:paraId="538E42D5" w14:textId="77777777"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UG-</w:t>
      </w:r>
      <w:r w:rsidR="00EB5440">
        <w:rPr>
          <w:rFonts w:ascii="Times New Roman" w:hAnsi="Times New Roman"/>
          <w:bCs/>
          <w:sz w:val="24"/>
        </w:rPr>
        <w:t>111752</w:t>
      </w:r>
      <w:r w:rsidR="00AA6CE5">
        <w:rPr>
          <w:rFonts w:ascii="Times New Roman" w:hAnsi="Times New Roman"/>
          <w:bCs/>
          <w:sz w:val="24"/>
        </w:rPr>
        <w:t xml:space="preserve">. </w:t>
      </w:r>
      <w:r w:rsidRPr="00FD077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combined </w:t>
      </w:r>
      <w:r w:rsidRPr="00FD0770">
        <w:rPr>
          <w:rFonts w:ascii="Times New Roman" w:hAnsi="Times New Roman"/>
          <w:sz w:val="24"/>
        </w:rPr>
        <w:t xml:space="preserve">net effect of the proposed filings is </w:t>
      </w:r>
      <w:r>
        <w:rPr>
          <w:rFonts w:ascii="Times New Roman" w:hAnsi="Times New Roman"/>
          <w:sz w:val="24"/>
        </w:rPr>
        <w:t xml:space="preserve">a </w:t>
      </w:r>
      <w:r w:rsidR="00EB5440">
        <w:rPr>
          <w:rFonts w:ascii="Times New Roman" w:hAnsi="Times New Roman"/>
          <w:sz w:val="24"/>
        </w:rPr>
        <w:t>de</w:t>
      </w:r>
      <w:r w:rsidR="00177632">
        <w:rPr>
          <w:rFonts w:ascii="Times New Roman" w:hAnsi="Times New Roman"/>
          <w:sz w:val="24"/>
        </w:rPr>
        <w:t>crease</w:t>
      </w:r>
      <w:r>
        <w:rPr>
          <w:rFonts w:ascii="Times New Roman" w:hAnsi="Times New Roman"/>
          <w:sz w:val="24"/>
        </w:rPr>
        <w:t xml:space="preserve"> in</w:t>
      </w:r>
      <w:r w:rsidRPr="00FD0770">
        <w:rPr>
          <w:rFonts w:ascii="Times New Roman" w:hAnsi="Times New Roman"/>
          <w:sz w:val="24"/>
        </w:rPr>
        <w:t xml:space="preserve"> annual gas sales revenues of approximately $</w:t>
      </w:r>
      <w:r w:rsidR="00EB5440">
        <w:rPr>
          <w:rFonts w:ascii="Times New Roman" w:hAnsi="Times New Roman"/>
          <w:sz w:val="24"/>
        </w:rPr>
        <w:t>43.5</w:t>
      </w:r>
      <w:r>
        <w:rPr>
          <w:rFonts w:ascii="Times New Roman" w:hAnsi="Times New Roman"/>
          <w:sz w:val="24"/>
        </w:rPr>
        <w:t xml:space="preserve"> million (</w:t>
      </w:r>
      <w:r w:rsidR="00EB5440">
        <w:rPr>
          <w:rFonts w:ascii="Times New Roman" w:hAnsi="Times New Roman"/>
          <w:sz w:val="24"/>
        </w:rPr>
        <w:t>4.3</w:t>
      </w:r>
      <w:r w:rsidR="0047045A">
        <w:rPr>
          <w:rFonts w:ascii="Times New Roman" w:hAnsi="Times New Roman"/>
          <w:sz w:val="24"/>
        </w:rPr>
        <w:t xml:space="preserve"> percent</w:t>
      </w:r>
      <w:r w:rsidRPr="00FD0770">
        <w:rPr>
          <w:rFonts w:ascii="Times New Roman" w:hAnsi="Times New Roman"/>
          <w:sz w:val="24"/>
        </w:rPr>
        <w:t>).</w:t>
      </w:r>
    </w:p>
    <w:p w14:paraId="538E42D6" w14:textId="77777777" w:rsidR="00633FE5" w:rsidRPr="00FD0770" w:rsidRDefault="00633FE5" w:rsidP="00633FE5">
      <w:pPr>
        <w:rPr>
          <w:rFonts w:ascii="Times New Roman" w:hAnsi="Times New Roman"/>
          <w:sz w:val="24"/>
        </w:rPr>
      </w:pPr>
    </w:p>
    <w:p w14:paraId="538E42D7" w14:textId="77777777" w:rsidR="00633FE5" w:rsidRPr="00FD0770" w:rsidRDefault="00633FE5" w:rsidP="00446BE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rFonts w:ascii="Times New Roman" w:hAnsi="Times New Roman"/>
        </w:rPr>
      </w:pPr>
      <w:r w:rsidRPr="00FD0770">
        <w:rPr>
          <w:rFonts w:ascii="Times New Roman" w:hAnsi="Times New Roman"/>
        </w:rPr>
        <w:t xml:space="preserve">The PGA and deferred gas cost amortization mechanisms are designed to pass through to customers the utility’s actual cost of natural gas </w:t>
      </w:r>
      <w:r>
        <w:rPr>
          <w:rFonts w:ascii="Times New Roman" w:hAnsi="Times New Roman"/>
        </w:rPr>
        <w:t xml:space="preserve">on a periodic basis. </w:t>
      </w:r>
      <w:r w:rsidRPr="00FD0770">
        <w:rPr>
          <w:rFonts w:ascii="Times New Roman" w:hAnsi="Times New Roman"/>
        </w:rPr>
        <w:t xml:space="preserve">The PGA establishes for the upcoming year a projection of </w:t>
      </w:r>
      <w:r>
        <w:rPr>
          <w:rFonts w:ascii="Times New Roman" w:hAnsi="Times New Roman"/>
        </w:rPr>
        <w:t xml:space="preserve">the utility’s gas costs. </w:t>
      </w:r>
      <w:r w:rsidRPr="00FD0770">
        <w:rPr>
          <w:rFonts w:ascii="Times New Roman" w:hAnsi="Times New Roman"/>
        </w:rPr>
        <w:t xml:space="preserve">The difference between the projected cost and the actual cost is deferred and ultimately amortized back to customers with interest, </w:t>
      </w:r>
      <w:r>
        <w:rPr>
          <w:rFonts w:ascii="Times New Roman" w:hAnsi="Times New Roman"/>
        </w:rPr>
        <w:t xml:space="preserve">as </w:t>
      </w:r>
      <w:r w:rsidR="0047045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surcharge or refund.</w:t>
      </w:r>
    </w:p>
    <w:p w14:paraId="538E42D8" w14:textId="77777777" w:rsidR="00633FE5" w:rsidRDefault="00772B5A" w:rsidP="00633FE5">
      <w:pPr>
        <w:pStyle w:val="NormalWeb"/>
      </w:pPr>
      <w:r w:rsidRPr="00FD0770">
        <w:t>PSE</w:t>
      </w:r>
      <w:r>
        <w:t>, a combined electric and natural gas utility,</w:t>
      </w:r>
      <w:r w:rsidRPr="00FD0770">
        <w:t xml:space="preserve"> serves </w:t>
      </w:r>
      <w:r w:rsidR="00683411">
        <w:t>over</w:t>
      </w:r>
      <w:r w:rsidRPr="00FD0770">
        <w:t xml:space="preserve"> </w:t>
      </w:r>
      <w:r w:rsidRPr="00EC12A3">
        <w:t>750,000</w:t>
      </w:r>
      <w:r w:rsidRPr="00FD0770">
        <w:t xml:space="preserve"> gas customers in</w:t>
      </w:r>
      <w:r>
        <w:t xml:space="preserve"> parts of Snohomish, King, Pierce, Thurston, Lewis, and Kittitas counties in</w:t>
      </w:r>
      <w:r w:rsidRPr="00FD0770">
        <w:t xml:space="preserve"> </w:t>
      </w:r>
      <w:r>
        <w:t>W</w:t>
      </w:r>
      <w:r w:rsidRPr="00FD0770">
        <w:t xml:space="preserve">ashington. </w:t>
      </w:r>
    </w:p>
    <w:p w14:paraId="538E42D9" w14:textId="77777777" w:rsidR="00633FE5" w:rsidRDefault="00633FE5" w:rsidP="00633FE5">
      <w:pPr>
        <w:rPr>
          <w:rFonts w:ascii="Times New Roman" w:hAnsi="Times New Roman"/>
          <w:b/>
          <w:bCs/>
          <w:sz w:val="24"/>
        </w:rPr>
      </w:pPr>
    </w:p>
    <w:p w14:paraId="538E42DA" w14:textId="77777777"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>Schedule No. 101, Purchase</w:t>
      </w:r>
      <w:r w:rsidR="0047045A">
        <w:rPr>
          <w:rFonts w:ascii="Times New Roman" w:hAnsi="Times New Roman"/>
          <w:b/>
          <w:bCs/>
          <w:sz w:val="24"/>
        </w:rPr>
        <w:t>d</w:t>
      </w:r>
      <w:r w:rsidR="00EB5440">
        <w:rPr>
          <w:rFonts w:ascii="Times New Roman" w:hAnsi="Times New Roman"/>
          <w:b/>
          <w:bCs/>
          <w:sz w:val="24"/>
        </w:rPr>
        <w:t xml:space="preserve"> Gas Adjustment (PGA</w:t>
      </w:r>
      <w:r w:rsidRPr="00FD0770">
        <w:rPr>
          <w:rFonts w:ascii="Times New Roman" w:hAnsi="Times New Roman"/>
          <w:b/>
          <w:bCs/>
          <w:sz w:val="24"/>
        </w:rPr>
        <w:t>)</w:t>
      </w:r>
    </w:p>
    <w:p w14:paraId="538E42DB" w14:textId="77777777" w:rsidR="00633FE5" w:rsidRPr="00FD0770" w:rsidRDefault="00633FE5" w:rsidP="00633FE5">
      <w:pPr>
        <w:rPr>
          <w:rFonts w:ascii="Times New Roman" w:hAnsi="Times New Roman"/>
          <w:sz w:val="24"/>
        </w:rPr>
      </w:pPr>
    </w:p>
    <w:p w14:paraId="538E42DC" w14:textId="64187B12" w:rsidR="00633FE5" w:rsidRPr="00683411" w:rsidRDefault="00633FE5" w:rsidP="00633FE5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rFonts w:ascii="Times New Roman" w:hAnsi="Times New Roman"/>
        </w:rPr>
      </w:pPr>
      <w:r w:rsidRPr="00683411">
        <w:rPr>
          <w:rFonts w:ascii="Times New Roman" w:hAnsi="Times New Roman"/>
        </w:rPr>
        <w:t>PSE’s PGA filing adjust</w:t>
      </w:r>
      <w:r w:rsidR="0030204A" w:rsidRPr="00683411">
        <w:rPr>
          <w:rFonts w:ascii="Times New Roman" w:hAnsi="Times New Roman"/>
        </w:rPr>
        <w:t>s</w:t>
      </w:r>
      <w:r w:rsidRPr="00683411">
        <w:rPr>
          <w:rFonts w:ascii="Times New Roman" w:hAnsi="Times New Roman"/>
        </w:rPr>
        <w:t xml:space="preserve"> rates that recover expected gas costs from sales customers. PSE filed tariff sheets to reflect a total average cost of gas of $0.</w:t>
      </w:r>
      <w:r w:rsidR="003D3006" w:rsidRPr="00683411">
        <w:rPr>
          <w:rFonts w:ascii="Times New Roman" w:hAnsi="Times New Roman"/>
        </w:rPr>
        <w:t>6</w:t>
      </w:r>
      <w:r w:rsidR="00683411" w:rsidRPr="00683411">
        <w:rPr>
          <w:rFonts w:ascii="Times New Roman" w:hAnsi="Times New Roman"/>
        </w:rPr>
        <w:t>4177</w:t>
      </w:r>
      <w:r w:rsidRPr="00683411">
        <w:rPr>
          <w:rFonts w:ascii="Times New Roman" w:hAnsi="Times New Roman"/>
        </w:rPr>
        <w:t xml:space="preserve"> per therm ($0.</w:t>
      </w:r>
      <w:r w:rsidR="003D3006" w:rsidRPr="00683411">
        <w:rPr>
          <w:rFonts w:ascii="Times New Roman" w:hAnsi="Times New Roman"/>
        </w:rPr>
        <w:t>5</w:t>
      </w:r>
      <w:r w:rsidR="00683411" w:rsidRPr="00683411">
        <w:rPr>
          <w:rFonts w:ascii="Times New Roman" w:hAnsi="Times New Roman"/>
        </w:rPr>
        <w:t>0845</w:t>
      </w:r>
      <w:r w:rsidRPr="00683411">
        <w:rPr>
          <w:rFonts w:ascii="Times New Roman" w:hAnsi="Times New Roman"/>
        </w:rPr>
        <w:t xml:space="preserve"> commodity </w:t>
      </w:r>
      <w:r w:rsidR="00FF1909">
        <w:rPr>
          <w:rFonts w:ascii="Times New Roman" w:hAnsi="Times New Roman"/>
        </w:rPr>
        <w:t xml:space="preserve">plus </w:t>
      </w:r>
      <w:r w:rsidRPr="00683411">
        <w:rPr>
          <w:rFonts w:ascii="Times New Roman" w:hAnsi="Times New Roman"/>
        </w:rPr>
        <w:t>$0.1</w:t>
      </w:r>
      <w:r w:rsidR="00683411" w:rsidRPr="00683411">
        <w:rPr>
          <w:rFonts w:ascii="Times New Roman" w:hAnsi="Times New Roman"/>
        </w:rPr>
        <w:t>3332</w:t>
      </w:r>
      <w:r w:rsidRPr="00683411">
        <w:rPr>
          <w:rFonts w:ascii="Times New Roman" w:hAnsi="Times New Roman"/>
        </w:rPr>
        <w:t xml:space="preserve"> demand) resulting in an overall </w:t>
      </w:r>
      <w:r w:rsidR="00593F87" w:rsidRPr="00683411">
        <w:rPr>
          <w:rFonts w:ascii="Times New Roman" w:hAnsi="Times New Roman"/>
        </w:rPr>
        <w:t>decrease</w:t>
      </w:r>
      <w:r w:rsidR="00B25220" w:rsidRPr="00683411">
        <w:rPr>
          <w:rFonts w:ascii="Times New Roman" w:hAnsi="Times New Roman"/>
        </w:rPr>
        <w:t xml:space="preserve"> </w:t>
      </w:r>
      <w:r w:rsidRPr="00683411">
        <w:rPr>
          <w:rFonts w:ascii="Times New Roman" w:hAnsi="Times New Roman"/>
        </w:rPr>
        <w:t>in annual gas sales revenues of approximately $</w:t>
      </w:r>
      <w:r w:rsidR="00493B04" w:rsidRPr="00683411">
        <w:rPr>
          <w:rFonts w:ascii="Times New Roman" w:hAnsi="Times New Roman"/>
        </w:rPr>
        <w:t>37.8</w:t>
      </w:r>
      <w:r w:rsidRPr="00683411">
        <w:rPr>
          <w:rFonts w:ascii="Times New Roman" w:hAnsi="Times New Roman"/>
        </w:rPr>
        <w:t xml:space="preserve"> million</w:t>
      </w:r>
      <w:r w:rsidR="0089773C" w:rsidRPr="00683411">
        <w:rPr>
          <w:rFonts w:ascii="Times New Roman" w:hAnsi="Times New Roman"/>
        </w:rPr>
        <w:t xml:space="preserve">, </w:t>
      </w:r>
      <w:r w:rsidR="00493B04" w:rsidRPr="00683411">
        <w:rPr>
          <w:rFonts w:ascii="Times New Roman" w:hAnsi="Times New Roman"/>
        </w:rPr>
        <w:t>3.7</w:t>
      </w:r>
      <w:r w:rsidR="0089773C" w:rsidRPr="00683411">
        <w:rPr>
          <w:rFonts w:ascii="Times New Roman" w:hAnsi="Times New Roman"/>
        </w:rPr>
        <w:t xml:space="preserve"> percent,</w:t>
      </w:r>
      <w:r w:rsidRPr="00683411">
        <w:rPr>
          <w:rFonts w:ascii="Times New Roman" w:hAnsi="Times New Roman"/>
        </w:rPr>
        <w:t xml:space="preserve"> related to prospective natural gas purchases for the period </w:t>
      </w:r>
      <w:r w:rsidR="003D3006" w:rsidRPr="00683411">
        <w:rPr>
          <w:rFonts w:ascii="Times New Roman" w:hAnsi="Times New Roman"/>
        </w:rPr>
        <w:t>November</w:t>
      </w:r>
      <w:r w:rsidRPr="00683411">
        <w:rPr>
          <w:rFonts w:ascii="Times New Roman" w:hAnsi="Times New Roman"/>
        </w:rPr>
        <w:t xml:space="preserve"> 20</w:t>
      </w:r>
      <w:r w:rsidR="003D3006" w:rsidRPr="00683411">
        <w:rPr>
          <w:rFonts w:ascii="Times New Roman" w:hAnsi="Times New Roman"/>
        </w:rPr>
        <w:t>1</w:t>
      </w:r>
      <w:r w:rsidR="00493B04" w:rsidRPr="00683411">
        <w:rPr>
          <w:rFonts w:ascii="Times New Roman" w:hAnsi="Times New Roman"/>
        </w:rPr>
        <w:t>1</w:t>
      </w:r>
      <w:r w:rsidR="00787371">
        <w:rPr>
          <w:rFonts w:ascii="Times New Roman" w:hAnsi="Times New Roman"/>
        </w:rPr>
        <w:t>,</w:t>
      </w:r>
      <w:r w:rsidRPr="00683411">
        <w:rPr>
          <w:rFonts w:ascii="Times New Roman" w:hAnsi="Times New Roman"/>
        </w:rPr>
        <w:t xml:space="preserve"> through </w:t>
      </w:r>
      <w:r w:rsidR="003D3006" w:rsidRPr="00683411">
        <w:rPr>
          <w:rFonts w:ascii="Times New Roman" w:hAnsi="Times New Roman"/>
        </w:rPr>
        <w:t>October</w:t>
      </w:r>
      <w:r w:rsidRPr="00683411">
        <w:rPr>
          <w:rFonts w:ascii="Times New Roman" w:hAnsi="Times New Roman"/>
        </w:rPr>
        <w:t xml:space="preserve"> 201</w:t>
      </w:r>
      <w:r w:rsidR="00493B04" w:rsidRPr="00683411">
        <w:rPr>
          <w:rFonts w:ascii="Times New Roman" w:hAnsi="Times New Roman"/>
        </w:rPr>
        <w:t>2</w:t>
      </w:r>
      <w:r w:rsidRPr="00683411">
        <w:rPr>
          <w:rFonts w:ascii="Times New Roman" w:hAnsi="Times New Roman"/>
        </w:rPr>
        <w:t xml:space="preserve">. The proposed PGA rates reflect </w:t>
      </w:r>
      <w:r w:rsidR="00593F87" w:rsidRPr="00683411">
        <w:rPr>
          <w:rFonts w:ascii="Times New Roman" w:hAnsi="Times New Roman"/>
        </w:rPr>
        <w:t>approximately</w:t>
      </w:r>
      <w:r w:rsidRPr="00683411">
        <w:rPr>
          <w:rFonts w:ascii="Times New Roman" w:hAnsi="Times New Roman"/>
        </w:rPr>
        <w:t xml:space="preserve"> </w:t>
      </w:r>
      <w:r w:rsidR="00493B04" w:rsidRPr="00683411">
        <w:rPr>
          <w:rFonts w:ascii="Times New Roman" w:hAnsi="Times New Roman"/>
        </w:rPr>
        <w:t>6.1</w:t>
      </w:r>
      <w:r w:rsidR="00593F87" w:rsidRPr="00683411">
        <w:rPr>
          <w:rFonts w:ascii="Times New Roman" w:hAnsi="Times New Roman"/>
        </w:rPr>
        <w:t xml:space="preserve"> </w:t>
      </w:r>
      <w:r w:rsidR="0089773C" w:rsidRPr="00683411">
        <w:rPr>
          <w:rFonts w:ascii="Times New Roman" w:hAnsi="Times New Roman"/>
        </w:rPr>
        <w:t>percent</w:t>
      </w:r>
      <w:r w:rsidRPr="00683411">
        <w:rPr>
          <w:rFonts w:ascii="Times New Roman" w:hAnsi="Times New Roman"/>
        </w:rPr>
        <w:t xml:space="preserve"> decrease in gas costs due to decreases in forward market prices. Currently embedded in PSE’s natural gas retail rates is a total average cost of gas of $0.</w:t>
      </w:r>
      <w:r w:rsidR="00683411" w:rsidRPr="00683411">
        <w:rPr>
          <w:rFonts w:ascii="Times New Roman" w:hAnsi="Times New Roman"/>
        </w:rPr>
        <w:t>68321</w:t>
      </w:r>
      <w:r w:rsidRPr="00683411">
        <w:rPr>
          <w:rFonts w:ascii="Times New Roman" w:hAnsi="Times New Roman"/>
        </w:rPr>
        <w:t xml:space="preserve"> per therm ($</w:t>
      </w:r>
      <w:r w:rsidR="00EC12A3" w:rsidRPr="00683411">
        <w:rPr>
          <w:rFonts w:ascii="Times New Roman" w:hAnsi="Times New Roman"/>
        </w:rPr>
        <w:t>0.</w:t>
      </w:r>
      <w:r w:rsidR="00683411" w:rsidRPr="00683411">
        <w:rPr>
          <w:rFonts w:ascii="Times New Roman" w:hAnsi="Times New Roman"/>
        </w:rPr>
        <w:t>56214</w:t>
      </w:r>
      <w:r w:rsidR="003D3006" w:rsidRPr="00683411">
        <w:rPr>
          <w:rFonts w:ascii="Times New Roman" w:hAnsi="Times New Roman"/>
        </w:rPr>
        <w:t xml:space="preserve"> </w:t>
      </w:r>
      <w:r w:rsidRPr="00683411">
        <w:rPr>
          <w:rFonts w:ascii="Times New Roman" w:hAnsi="Times New Roman"/>
        </w:rPr>
        <w:t>commodity + $0.</w:t>
      </w:r>
      <w:r w:rsidR="00683411" w:rsidRPr="00683411">
        <w:rPr>
          <w:rFonts w:ascii="Times New Roman" w:hAnsi="Times New Roman"/>
        </w:rPr>
        <w:t>12107</w:t>
      </w:r>
      <w:r w:rsidRPr="00683411">
        <w:rPr>
          <w:rFonts w:ascii="Times New Roman" w:hAnsi="Times New Roman"/>
        </w:rPr>
        <w:t xml:space="preserve"> demand).</w:t>
      </w:r>
    </w:p>
    <w:p w14:paraId="538E42DD" w14:textId="77777777" w:rsidR="00633FE5" w:rsidRPr="00593F87" w:rsidRDefault="00633FE5" w:rsidP="00633FE5">
      <w:pPr>
        <w:rPr>
          <w:rFonts w:ascii="Times New Roman" w:hAnsi="Times New Roman"/>
          <w:b/>
          <w:sz w:val="24"/>
        </w:rPr>
      </w:pPr>
    </w:p>
    <w:p w14:paraId="538E42DE" w14:textId="77777777" w:rsidR="00633FE5" w:rsidRDefault="00633FE5" w:rsidP="00633FE5">
      <w:pPr>
        <w:rPr>
          <w:rFonts w:ascii="Times New Roman" w:hAnsi="Times New Roman"/>
          <w:sz w:val="24"/>
        </w:rPr>
      </w:pPr>
      <w:r w:rsidRPr="00544395">
        <w:rPr>
          <w:rFonts w:ascii="Times New Roman" w:hAnsi="Times New Roman"/>
          <w:sz w:val="24"/>
        </w:rPr>
        <w:t>PSE estimated the annual gas supply costs using a model that</w:t>
      </w:r>
      <w:r>
        <w:rPr>
          <w:rFonts w:ascii="Times New Roman" w:hAnsi="Times New Roman"/>
          <w:sz w:val="24"/>
        </w:rPr>
        <w:t xml:space="preserve"> creates a least cost supply portfolio </w:t>
      </w:r>
      <w:r w:rsidRPr="00FD0770">
        <w:rPr>
          <w:rFonts w:ascii="Times New Roman" w:hAnsi="Times New Roman"/>
          <w:sz w:val="24"/>
        </w:rPr>
        <w:t>of fixed and variable priced contracted supplies</w:t>
      </w:r>
      <w:r>
        <w:rPr>
          <w:rFonts w:ascii="Times New Roman" w:hAnsi="Times New Roman"/>
          <w:sz w:val="24"/>
        </w:rPr>
        <w:t xml:space="preserve">, gas </w:t>
      </w:r>
      <w:r w:rsidRPr="00FD0770">
        <w:rPr>
          <w:rFonts w:ascii="Times New Roman" w:hAnsi="Times New Roman"/>
          <w:sz w:val="24"/>
        </w:rPr>
        <w:t xml:space="preserve">storage </w:t>
      </w:r>
      <w:r>
        <w:rPr>
          <w:rFonts w:ascii="Times New Roman" w:hAnsi="Times New Roman"/>
          <w:sz w:val="24"/>
        </w:rPr>
        <w:t>operations, and transportation costs.</w:t>
      </w:r>
    </w:p>
    <w:p w14:paraId="538E42DF" w14:textId="77777777" w:rsidR="00633FE5" w:rsidRDefault="00633FE5" w:rsidP="00633FE5">
      <w:pPr>
        <w:rPr>
          <w:rFonts w:ascii="Times New Roman" w:hAnsi="Times New Roman"/>
          <w:sz w:val="24"/>
        </w:rPr>
      </w:pPr>
    </w:p>
    <w:p w14:paraId="538E42E0" w14:textId="77777777" w:rsidR="00633FE5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lastRenderedPageBreak/>
        <w:t xml:space="preserve">Variable priced (market based) contracts were priced in the model using </w:t>
      </w:r>
      <w:r>
        <w:rPr>
          <w:rFonts w:ascii="Times New Roman" w:hAnsi="Times New Roman"/>
          <w:sz w:val="24"/>
        </w:rPr>
        <w:t xml:space="preserve">an </w:t>
      </w:r>
      <w:r w:rsidRPr="00FD0770">
        <w:rPr>
          <w:rFonts w:ascii="Times New Roman" w:hAnsi="Times New Roman"/>
          <w:sz w:val="24"/>
        </w:rPr>
        <w:t>average of forward market prices</w:t>
      </w:r>
      <w:r>
        <w:rPr>
          <w:rFonts w:ascii="Times New Roman" w:hAnsi="Times New Roman"/>
          <w:sz w:val="24"/>
        </w:rPr>
        <w:t xml:space="preserve"> for the basins from which PSE acquires gas, during the </w:t>
      </w:r>
      <w:r w:rsidRPr="00FD0770">
        <w:rPr>
          <w:rFonts w:ascii="Times New Roman" w:hAnsi="Times New Roman"/>
          <w:sz w:val="24"/>
        </w:rPr>
        <w:t>3</w:t>
      </w:r>
      <w:r w:rsidRPr="005D6D68">
        <w:rPr>
          <w:rFonts w:ascii="Times New Roman" w:hAnsi="Times New Roman"/>
          <w:sz w:val="24"/>
        </w:rPr>
        <w:t xml:space="preserve">-month </w:t>
      </w:r>
      <w:r w:rsidRPr="00B2318B">
        <w:rPr>
          <w:rFonts w:ascii="Times New Roman" w:hAnsi="Times New Roman"/>
          <w:sz w:val="24"/>
        </w:rPr>
        <w:t xml:space="preserve">period </w:t>
      </w:r>
      <w:r w:rsidRPr="005D6D68">
        <w:rPr>
          <w:rFonts w:ascii="Times New Roman" w:hAnsi="Times New Roman"/>
          <w:sz w:val="24"/>
        </w:rPr>
        <w:t>(</w:t>
      </w:r>
      <w:r w:rsidR="008650F8">
        <w:rPr>
          <w:rFonts w:ascii="Times New Roman" w:hAnsi="Times New Roman"/>
          <w:sz w:val="24"/>
        </w:rPr>
        <w:t xml:space="preserve">June </w:t>
      </w:r>
      <w:r w:rsidR="00493B04">
        <w:rPr>
          <w:rFonts w:ascii="Times New Roman" w:hAnsi="Times New Roman"/>
          <w:sz w:val="24"/>
        </w:rPr>
        <w:t>7</w:t>
      </w:r>
      <w:r w:rsidRPr="005D6D68">
        <w:rPr>
          <w:rFonts w:ascii="Times New Roman" w:hAnsi="Times New Roman"/>
          <w:sz w:val="24"/>
        </w:rPr>
        <w:t xml:space="preserve"> through </w:t>
      </w:r>
      <w:r w:rsidR="008650F8">
        <w:rPr>
          <w:rFonts w:ascii="Times New Roman" w:hAnsi="Times New Roman"/>
          <w:sz w:val="24"/>
        </w:rPr>
        <w:t xml:space="preserve">September </w:t>
      </w:r>
      <w:r w:rsidR="00493B04">
        <w:rPr>
          <w:rFonts w:ascii="Times New Roman" w:hAnsi="Times New Roman"/>
          <w:sz w:val="24"/>
        </w:rPr>
        <w:t>6</w:t>
      </w:r>
      <w:r w:rsidR="008650F8">
        <w:rPr>
          <w:rFonts w:ascii="Times New Roman" w:hAnsi="Times New Roman"/>
          <w:sz w:val="24"/>
        </w:rPr>
        <w:t>, 201</w:t>
      </w:r>
      <w:r w:rsidR="00683411">
        <w:rPr>
          <w:rFonts w:ascii="Times New Roman" w:hAnsi="Times New Roman"/>
          <w:sz w:val="24"/>
        </w:rPr>
        <w:t>1</w:t>
      </w:r>
      <w:r w:rsidRPr="005D6D68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immediately preceding the filing preparation. </w:t>
      </w:r>
    </w:p>
    <w:p w14:paraId="538E42E1" w14:textId="77777777" w:rsidR="00633FE5" w:rsidRPr="00FD0770" w:rsidRDefault="00633FE5" w:rsidP="00633FE5">
      <w:pPr>
        <w:rPr>
          <w:rFonts w:ascii="Times New Roman" w:hAnsi="Times New Roman"/>
          <w:sz w:val="24"/>
        </w:rPr>
      </w:pPr>
    </w:p>
    <w:p w14:paraId="538E42E2" w14:textId="77777777" w:rsidR="00633FE5" w:rsidRPr="0063230B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b/>
          <w:bCs/>
          <w:sz w:val="24"/>
        </w:rPr>
        <w:t>Schedule No. 106, Gas Cost Deferral Amortization (</w:t>
      </w:r>
      <w:r w:rsidR="00493B04">
        <w:rPr>
          <w:rFonts w:ascii="Times New Roman" w:hAnsi="Times New Roman"/>
          <w:b/>
          <w:bCs/>
          <w:sz w:val="24"/>
        </w:rPr>
        <w:t>Tracker</w:t>
      </w:r>
      <w:r w:rsidRPr="0063230B">
        <w:rPr>
          <w:rFonts w:ascii="Times New Roman" w:hAnsi="Times New Roman"/>
          <w:b/>
          <w:bCs/>
          <w:sz w:val="24"/>
        </w:rPr>
        <w:t>)</w:t>
      </w:r>
    </w:p>
    <w:p w14:paraId="538E42E3" w14:textId="77777777" w:rsidR="00633FE5" w:rsidRPr="0063230B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sz w:val="24"/>
        </w:rPr>
        <w:t xml:space="preserve"> </w:t>
      </w:r>
    </w:p>
    <w:p w14:paraId="538E42E4" w14:textId="6C2C2241" w:rsidR="00633FE5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sz w:val="24"/>
        </w:rPr>
        <w:t xml:space="preserve">PSE’s deferred gas cost amortization filing </w:t>
      </w:r>
      <w:r w:rsidR="001C374F" w:rsidRPr="0063230B">
        <w:rPr>
          <w:rFonts w:ascii="Times New Roman" w:hAnsi="Times New Roman"/>
          <w:sz w:val="24"/>
        </w:rPr>
        <w:t>adjust</w:t>
      </w:r>
      <w:r w:rsidR="001C374F">
        <w:rPr>
          <w:rFonts w:ascii="Times New Roman" w:hAnsi="Times New Roman"/>
          <w:sz w:val="24"/>
        </w:rPr>
        <w:t xml:space="preserve">s </w:t>
      </w:r>
      <w:r w:rsidR="001C374F" w:rsidRPr="0063230B">
        <w:rPr>
          <w:rFonts w:ascii="Times New Roman" w:hAnsi="Times New Roman"/>
          <w:sz w:val="24"/>
        </w:rPr>
        <w:t>rates</w:t>
      </w:r>
      <w:r w:rsidRPr="0063230B">
        <w:rPr>
          <w:rFonts w:ascii="Times New Roman" w:hAnsi="Times New Roman"/>
          <w:sz w:val="24"/>
        </w:rPr>
        <w:t xml:space="preserve"> that true up prior over or under recoveries of revenue to cover actual purchased gas expenses</w:t>
      </w:r>
      <w:r w:rsidR="009B1957">
        <w:rPr>
          <w:rFonts w:ascii="Times New Roman" w:hAnsi="Times New Roman"/>
          <w:sz w:val="24"/>
        </w:rPr>
        <w:t>.</w:t>
      </w:r>
      <w:r w:rsidR="001A6FE3" w:rsidRPr="0063230B">
        <w:rPr>
          <w:rFonts w:ascii="Times New Roman" w:hAnsi="Times New Roman"/>
          <w:sz w:val="24"/>
        </w:rPr>
        <w:t xml:space="preserve"> </w:t>
      </w:r>
      <w:r w:rsidRPr="0063230B">
        <w:rPr>
          <w:rFonts w:ascii="Times New Roman" w:hAnsi="Times New Roman"/>
          <w:sz w:val="24"/>
        </w:rPr>
        <w:t>Currently, PSE projects a net over</w:t>
      </w:r>
      <w:r w:rsidR="00446BE3" w:rsidRPr="0063230B">
        <w:rPr>
          <w:rFonts w:ascii="Times New Roman" w:hAnsi="Times New Roman"/>
          <w:sz w:val="24"/>
        </w:rPr>
        <w:t xml:space="preserve"> </w:t>
      </w:r>
      <w:r w:rsidRPr="0063230B">
        <w:rPr>
          <w:rFonts w:ascii="Times New Roman" w:hAnsi="Times New Roman"/>
          <w:sz w:val="24"/>
        </w:rPr>
        <w:t xml:space="preserve">collection balance at the end of </w:t>
      </w:r>
      <w:r w:rsidR="008650F8" w:rsidRPr="0063230B">
        <w:rPr>
          <w:rFonts w:ascii="Times New Roman" w:hAnsi="Times New Roman"/>
          <w:sz w:val="24"/>
        </w:rPr>
        <w:t>October 201</w:t>
      </w:r>
      <w:r w:rsidR="009B1957">
        <w:rPr>
          <w:rFonts w:ascii="Times New Roman" w:hAnsi="Times New Roman"/>
          <w:sz w:val="24"/>
        </w:rPr>
        <w:t>1</w:t>
      </w:r>
      <w:r w:rsidRPr="0063230B">
        <w:rPr>
          <w:rFonts w:ascii="Times New Roman" w:hAnsi="Times New Roman"/>
          <w:sz w:val="24"/>
        </w:rPr>
        <w:t xml:space="preserve"> of approximately </w:t>
      </w:r>
      <w:r w:rsidRPr="004C0754">
        <w:rPr>
          <w:rFonts w:ascii="Times New Roman" w:hAnsi="Times New Roman"/>
          <w:sz w:val="24"/>
        </w:rPr>
        <w:t>$</w:t>
      </w:r>
      <w:r w:rsidR="009B1957" w:rsidRPr="004C0754">
        <w:rPr>
          <w:rFonts w:ascii="Times New Roman" w:hAnsi="Times New Roman"/>
          <w:sz w:val="24"/>
        </w:rPr>
        <w:t>8</w:t>
      </w:r>
      <w:r w:rsidR="006112E4">
        <w:rPr>
          <w:rFonts w:ascii="Times New Roman" w:hAnsi="Times New Roman"/>
          <w:sz w:val="24"/>
        </w:rPr>
        <w:t xml:space="preserve"> </w:t>
      </w:r>
      <w:r w:rsidRPr="0063230B">
        <w:rPr>
          <w:rFonts w:ascii="Times New Roman" w:hAnsi="Times New Roman"/>
          <w:sz w:val="24"/>
        </w:rPr>
        <w:t>million</w:t>
      </w:r>
      <w:r w:rsidR="009B1957">
        <w:rPr>
          <w:rFonts w:ascii="Times New Roman" w:hAnsi="Times New Roman"/>
          <w:sz w:val="24"/>
        </w:rPr>
        <w:t>.</w:t>
      </w:r>
      <w:r w:rsidRPr="0063230B">
        <w:rPr>
          <w:rFonts w:ascii="Times New Roman" w:hAnsi="Times New Roman"/>
          <w:sz w:val="24"/>
        </w:rPr>
        <w:t xml:space="preserve"> The over-collection is a net result of over-recovery caused by lower actual gas market prices than the forward prices used in last year’s PGA</w:t>
      </w:r>
      <w:r w:rsidR="00F37A05">
        <w:rPr>
          <w:rFonts w:ascii="Times New Roman" w:hAnsi="Times New Roman"/>
          <w:sz w:val="24"/>
        </w:rPr>
        <w:t>,</w:t>
      </w:r>
      <w:r w:rsidRPr="0063230B">
        <w:rPr>
          <w:rFonts w:ascii="Times New Roman" w:hAnsi="Times New Roman"/>
          <w:sz w:val="24"/>
        </w:rPr>
        <w:t xml:space="preserve"> and </w:t>
      </w:r>
      <w:r w:rsidR="00F37A05">
        <w:rPr>
          <w:rFonts w:ascii="Times New Roman" w:hAnsi="Times New Roman"/>
          <w:sz w:val="24"/>
        </w:rPr>
        <w:t xml:space="preserve">an </w:t>
      </w:r>
      <w:r w:rsidRPr="0063230B">
        <w:rPr>
          <w:rFonts w:ascii="Times New Roman" w:hAnsi="Times New Roman"/>
          <w:sz w:val="24"/>
        </w:rPr>
        <w:t>under-collection of demand</w:t>
      </w:r>
      <w:r>
        <w:rPr>
          <w:rFonts w:ascii="Times New Roman" w:hAnsi="Times New Roman"/>
          <w:sz w:val="24"/>
        </w:rPr>
        <w:t xml:space="preserve"> related costs</w:t>
      </w:r>
      <w:r w:rsidR="00FA436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The </w:t>
      </w:r>
      <w:r w:rsidR="00E62FFA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ompany is proposing to amortize in rates the projected balance of over-recovered commodity costs</w:t>
      </w:r>
      <w:r w:rsidR="00F37A0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F37A05">
        <w:rPr>
          <w:rFonts w:ascii="Times New Roman" w:hAnsi="Times New Roman"/>
          <w:sz w:val="24"/>
        </w:rPr>
        <w:t>but not</w:t>
      </w:r>
      <w:r w:rsidR="00DC06DD">
        <w:rPr>
          <w:rFonts w:ascii="Times New Roman" w:hAnsi="Times New Roman"/>
          <w:sz w:val="24"/>
        </w:rPr>
        <w:t xml:space="preserve"> the</w:t>
      </w:r>
      <w:r>
        <w:rPr>
          <w:rFonts w:ascii="Times New Roman" w:hAnsi="Times New Roman"/>
          <w:sz w:val="24"/>
        </w:rPr>
        <w:t xml:space="preserve"> under-collected demand related costs to </w:t>
      </w:r>
      <w:r w:rsidR="00DC06DD">
        <w:rPr>
          <w:rFonts w:ascii="Times New Roman" w:hAnsi="Times New Roman"/>
          <w:sz w:val="24"/>
        </w:rPr>
        <w:t xml:space="preserve">avoid crediting customers while the balance is </w:t>
      </w:r>
      <w:r w:rsidR="001C374F">
        <w:rPr>
          <w:rFonts w:ascii="Times New Roman" w:hAnsi="Times New Roman"/>
          <w:sz w:val="24"/>
        </w:rPr>
        <w:t>under-collected</w:t>
      </w:r>
      <w:r w:rsidR="00DC06DD">
        <w:rPr>
          <w:rFonts w:ascii="Times New Roman" w:hAnsi="Times New Roman"/>
          <w:sz w:val="24"/>
        </w:rPr>
        <w:t>.</w:t>
      </w:r>
    </w:p>
    <w:p w14:paraId="538E42E5" w14:textId="77777777" w:rsidR="00633FE5" w:rsidRDefault="00633FE5" w:rsidP="00633FE5">
      <w:pPr>
        <w:rPr>
          <w:rFonts w:ascii="Times New Roman" w:hAnsi="Times New Roman"/>
          <w:sz w:val="24"/>
        </w:rPr>
      </w:pPr>
    </w:p>
    <w:p w14:paraId="538E42E6" w14:textId="77777777" w:rsidR="00633FE5" w:rsidRPr="0063230B" w:rsidRDefault="00633FE5" w:rsidP="00633FE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 xml:space="preserve">The net effect of the </w:t>
      </w:r>
      <w:r w:rsidR="001A6FE3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racker </w:t>
      </w:r>
      <w:r w:rsidR="001A6FE3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iling </w:t>
      </w:r>
      <w:r w:rsidRPr="0063230B">
        <w:rPr>
          <w:rFonts w:ascii="Times New Roman" w:hAnsi="Times New Roman"/>
          <w:sz w:val="22"/>
        </w:rPr>
        <w:t xml:space="preserve">is </w:t>
      </w:r>
      <w:r w:rsidR="0047045A" w:rsidRPr="0063230B">
        <w:rPr>
          <w:rFonts w:ascii="Times New Roman" w:hAnsi="Times New Roman"/>
          <w:sz w:val="22"/>
        </w:rPr>
        <w:t xml:space="preserve">a </w:t>
      </w:r>
      <w:r w:rsidRPr="0063230B">
        <w:rPr>
          <w:rFonts w:ascii="Times New Roman" w:hAnsi="Times New Roman"/>
          <w:sz w:val="22"/>
        </w:rPr>
        <w:t>$</w:t>
      </w:r>
      <w:r w:rsidR="00DC06DD">
        <w:rPr>
          <w:rFonts w:ascii="Times New Roman" w:hAnsi="Times New Roman"/>
          <w:sz w:val="22"/>
        </w:rPr>
        <w:t>23</w:t>
      </w:r>
      <w:r w:rsidRPr="0063230B">
        <w:rPr>
          <w:rFonts w:ascii="Times New Roman" w:hAnsi="Times New Roman"/>
          <w:sz w:val="22"/>
        </w:rPr>
        <w:t xml:space="preserve"> million credit to customers through Schedule 106 rates over the upcoming PGA period from </w:t>
      </w:r>
      <w:r w:rsidR="003D0731" w:rsidRPr="0063230B">
        <w:rPr>
          <w:rFonts w:ascii="Times New Roman" w:hAnsi="Times New Roman"/>
          <w:sz w:val="22"/>
        </w:rPr>
        <w:t>November 201</w:t>
      </w:r>
      <w:r w:rsidR="00DC06DD">
        <w:rPr>
          <w:rFonts w:ascii="Times New Roman" w:hAnsi="Times New Roman"/>
          <w:sz w:val="22"/>
        </w:rPr>
        <w:t>1</w:t>
      </w:r>
      <w:r w:rsidRPr="0063230B">
        <w:rPr>
          <w:rFonts w:ascii="Times New Roman" w:hAnsi="Times New Roman"/>
          <w:sz w:val="22"/>
        </w:rPr>
        <w:t xml:space="preserve"> through </w:t>
      </w:r>
      <w:r w:rsidR="003D0731" w:rsidRPr="0063230B">
        <w:rPr>
          <w:rFonts w:ascii="Times New Roman" w:hAnsi="Times New Roman"/>
          <w:sz w:val="22"/>
        </w:rPr>
        <w:t>October 201</w:t>
      </w:r>
      <w:r w:rsidR="00DC06DD">
        <w:rPr>
          <w:rFonts w:ascii="Times New Roman" w:hAnsi="Times New Roman"/>
          <w:sz w:val="22"/>
        </w:rPr>
        <w:t>2</w:t>
      </w:r>
      <w:r w:rsidRPr="0063230B">
        <w:rPr>
          <w:rFonts w:ascii="Times New Roman" w:hAnsi="Times New Roman"/>
          <w:sz w:val="22"/>
        </w:rPr>
        <w:t xml:space="preserve">. </w:t>
      </w:r>
      <w:r w:rsidR="003D0731" w:rsidRPr="0063230B">
        <w:rPr>
          <w:rFonts w:ascii="Times New Roman" w:hAnsi="Times New Roman"/>
          <w:sz w:val="22"/>
        </w:rPr>
        <w:t xml:space="preserve">The proposed </w:t>
      </w:r>
      <w:r w:rsidR="00DC06DD">
        <w:rPr>
          <w:rFonts w:ascii="Times New Roman" w:hAnsi="Times New Roman"/>
          <w:sz w:val="22"/>
        </w:rPr>
        <w:t xml:space="preserve">tracker rates </w:t>
      </w:r>
      <w:r w:rsidR="00BB33C1">
        <w:rPr>
          <w:rFonts w:ascii="Times New Roman" w:hAnsi="Times New Roman"/>
          <w:sz w:val="22"/>
        </w:rPr>
        <w:t xml:space="preserve">result in an increase in the </w:t>
      </w:r>
      <w:r w:rsidR="003D0731" w:rsidRPr="0063230B">
        <w:rPr>
          <w:rFonts w:ascii="Times New Roman" w:hAnsi="Times New Roman"/>
          <w:sz w:val="22"/>
        </w:rPr>
        <w:t>credit</w:t>
      </w:r>
      <w:r w:rsidR="00BB33C1">
        <w:rPr>
          <w:rFonts w:ascii="Times New Roman" w:hAnsi="Times New Roman"/>
          <w:sz w:val="22"/>
        </w:rPr>
        <w:t>s</w:t>
      </w:r>
      <w:r w:rsidR="003D0731" w:rsidRPr="0063230B">
        <w:rPr>
          <w:rFonts w:ascii="Times New Roman" w:hAnsi="Times New Roman"/>
          <w:sz w:val="22"/>
        </w:rPr>
        <w:t xml:space="preserve"> </w:t>
      </w:r>
      <w:r w:rsidR="00E2042D" w:rsidRPr="0063230B">
        <w:rPr>
          <w:rFonts w:ascii="Times New Roman" w:hAnsi="Times New Roman"/>
          <w:sz w:val="22"/>
        </w:rPr>
        <w:t>reflected in</w:t>
      </w:r>
      <w:r w:rsidR="003D0731" w:rsidRPr="0063230B">
        <w:rPr>
          <w:rFonts w:ascii="Times New Roman" w:hAnsi="Times New Roman"/>
          <w:sz w:val="22"/>
        </w:rPr>
        <w:t xml:space="preserve"> the current Schedule 106 </w:t>
      </w:r>
      <w:r w:rsidR="00E2042D" w:rsidRPr="0063230B">
        <w:rPr>
          <w:rFonts w:ascii="Times New Roman" w:hAnsi="Times New Roman"/>
          <w:sz w:val="22"/>
        </w:rPr>
        <w:t>rates.</w:t>
      </w:r>
      <w:r w:rsidR="003D0731" w:rsidRPr="0063230B">
        <w:rPr>
          <w:rFonts w:ascii="Times New Roman" w:hAnsi="Times New Roman"/>
          <w:sz w:val="22"/>
        </w:rPr>
        <w:t xml:space="preserve"> </w:t>
      </w:r>
    </w:p>
    <w:p w14:paraId="538E42E7" w14:textId="77777777" w:rsidR="003D0731" w:rsidRPr="00A56A21" w:rsidRDefault="003D0731" w:rsidP="00633FE5">
      <w:pPr>
        <w:rPr>
          <w:rFonts w:ascii="Times New Roman" w:hAnsi="Times New Roman"/>
          <w:sz w:val="24"/>
        </w:rPr>
      </w:pPr>
    </w:p>
    <w:p w14:paraId="538E42E8" w14:textId="77777777" w:rsidR="00633FE5" w:rsidRPr="00F559D3" w:rsidRDefault="00633FE5" w:rsidP="00633FE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Revenue and Residential Bill Impacts</w:t>
      </w:r>
    </w:p>
    <w:p w14:paraId="538E42E9" w14:textId="77777777" w:rsidR="00633FE5" w:rsidRPr="00FD0770" w:rsidRDefault="00633FE5" w:rsidP="00633FE5">
      <w:pPr>
        <w:rPr>
          <w:rFonts w:ascii="Times New Roman" w:hAnsi="Times New Roman"/>
          <w:sz w:val="24"/>
        </w:rPr>
      </w:pPr>
    </w:p>
    <w:p w14:paraId="538E42EA" w14:textId="77777777" w:rsidR="00633FE5" w:rsidRDefault="00633FE5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following table shows the </w:t>
      </w:r>
      <w:r w:rsidR="006E1137">
        <w:rPr>
          <w:rFonts w:ascii="Times New Roman" w:hAnsi="Times New Roman"/>
          <w:sz w:val="24"/>
        </w:rPr>
        <w:t xml:space="preserve">annual </w:t>
      </w:r>
      <w:r>
        <w:rPr>
          <w:rFonts w:ascii="Times New Roman" w:hAnsi="Times New Roman"/>
          <w:sz w:val="24"/>
        </w:rPr>
        <w:t>revenue impacts of the filings by customer class:</w:t>
      </w:r>
    </w:p>
    <w:p w14:paraId="538E42EB" w14:textId="77777777" w:rsidR="00633FE5" w:rsidRDefault="00633FE5" w:rsidP="00633FE5">
      <w:pPr>
        <w:rPr>
          <w:rFonts w:ascii="Times New Roman" w:hAnsi="Times New Roman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85"/>
        <w:gridCol w:w="1875"/>
        <w:gridCol w:w="2040"/>
      </w:tblGrid>
      <w:tr w:rsidR="00633FE5" w:rsidRPr="00A477DB" w14:paraId="538E42F2" w14:textId="77777777" w:rsidTr="00256B1E">
        <w:tc>
          <w:tcPr>
            <w:tcW w:w="2628" w:type="dxa"/>
          </w:tcPr>
          <w:p w14:paraId="538E42EC" w14:textId="77777777" w:rsidR="00633FE5" w:rsidRPr="00D050F3" w:rsidRDefault="00633FE5" w:rsidP="00256B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In Millions of $</w:t>
            </w:r>
          </w:p>
        </w:tc>
        <w:tc>
          <w:tcPr>
            <w:tcW w:w="1485" w:type="dxa"/>
          </w:tcPr>
          <w:p w14:paraId="538E42ED" w14:textId="77777777" w:rsidR="00633FE5" w:rsidRPr="00D050F3" w:rsidRDefault="00633FE5" w:rsidP="00256B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PGA</w:t>
            </w:r>
          </w:p>
          <w:p w14:paraId="538E42EE" w14:textId="77777777" w:rsidR="00633FE5" w:rsidRPr="00D050F3" w:rsidRDefault="00633FE5" w:rsidP="00256B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Impact</w:t>
            </w:r>
          </w:p>
        </w:tc>
        <w:tc>
          <w:tcPr>
            <w:tcW w:w="1875" w:type="dxa"/>
          </w:tcPr>
          <w:p w14:paraId="538E42EF" w14:textId="77777777" w:rsidR="00633FE5" w:rsidRPr="00D050F3" w:rsidRDefault="00633FE5" w:rsidP="00256B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Tracker Impact</w:t>
            </w:r>
          </w:p>
        </w:tc>
        <w:tc>
          <w:tcPr>
            <w:tcW w:w="2040" w:type="dxa"/>
          </w:tcPr>
          <w:p w14:paraId="538E42F0" w14:textId="77777777" w:rsidR="00633FE5" w:rsidRPr="00D050F3" w:rsidRDefault="00633FE5" w:rsidP="00256B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8E42F1" w14:textId="77777777" w:rsidR="00633FE5" w:rsidRPr="00D050F3" w:rsidRDefault="00633FE5" w:rsidP="00256B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Total Impact</w:t>
            </w:r>
          </w:p>
        </w:tc>
      </w:tr>
      <w:tr w:rsidR="00633FE5" w:rsidRPr="0063230B" w14:paraId="538E42FF" w14:textId="77777777" w:rsidTr="00256B1E">
        <w:tc>
          <w:tcPr>
            <w:tcW w:w="2628" w:type="dxa"/>
          </w:tcPr>
          <w:p w14:paraId="538E42F3" w14:textId="77777777" w:rsidR="00633FE5" w:rsidRPr="0063230B" w:rsidRDefault="00633FE5" w:rsidP="00256B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Residential</w:t>
            </w:r>
          </w:p>
          <w:p w14:paraId="538E42F4" w14:textId="77777777" w:rsidR="00633FE5" w:rsidRPr="0063230B" w:rsidRDefault="00633FE5" w:rsidP="00256B1E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23</w:t>
            </w:r>
          </w:p>
          <w:p w14:paraId="538E42F5" w14:textId="6F096772" w:rsidR="00633FE5" w:rsidRPr="0063230B" w:rsidRDefault="00633FE5" w:rsidP="00256B1E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16</w:t>
            </w:r>
            <w:r w:rsidR="0072386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485" w:type="dxa"/>
          </w:tcPr>
          <w:p w14:paraId="538E42F6" w14:textId="77777777" w:rsidR="00633FE5" w:rsidRPr="0063230B" w:rsidRDefault="00633FE5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2F7" w14:textId="77777777" w:rsidR="00633FE5" w:rsidRPr="0063230B" w:rsidRDefault="00633FE5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BB33C1">
              <w:rPr>
                <w:rFonts w:ascii="Times New Roman" w:hAnsi="Times New Roman"/>
                <w:sz w:val="18"/>
                <w:szCs w:val="18"/>
              </w:rPr>
              <w:t>22.7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BB33C1">
              <w:rPr>
                <w:rFonts w:ascii="Times New Roman" w:hAnsi="Times New Roman"/>
                <w:sz w:val="18"/>
                <w:szCs w:val="18"/>
              </w:rPr>
              <w:t>3.4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14:paraId="538E42F8" w14:textId="77777777" w:rsidR="00633FE5" w:rsidRPr="0063230B" w:rsidRDefault="00633FE5" w:rsidP="0088197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881976" w:rsidRPr="0063230B">
              <w:rPr>
                <w:rFonts w:ascii="Times New Roman" w:hAnsi="Times New Roman"/>
                <w:sz w:val="18"/>
                <w:szCs w:val="18"/>
              </w:rPr>
              <w:t>0.0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2.3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14:paraId="538E42F9" w14:textId="77777777" w:rsidR="00633FE5" w:rsidRPr="0063230B" w:rsidRDefault="00633FE5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2FA" w14:textId="77777777" w:rsidR="00633FE5" w:rsidRPr="0063230B" w:rsidRDefault="00BB33C1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>
              <w:rPr>
                <w:rFonts w:ascii="Times New Roman" w:hAnsi="Times New Roman"/>
                <w:sz w:val="18"/>
                <w:szCs w:val="18"/>
              </w:rPr>
              <w:t>4.6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0.7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14:paraId="538E42FB" w14:textId="77777777" w:rsidR="00633FE5" w:rsidRPr="0063230B" w:rsidRDefault="00633FE5" w:rsidP="00BB33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881976" w:rsidRPr="0063230B">
              <w:rPr>
                <w:rFonts w:ascii="Times New Roman" w:hAnsi="Times New Roman"/>
                <w:sz w:val="18"/>
                <w:szCs w:val="18"/>
              </w:rPr>
              <w:t>0.0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BB33C1">
              <w:rPr>
                <w:rFonts w:ascii="Times New Roman" w:hAnsi="Times New Roman"/>
                <w:sz w:val="18"/>
                <w:szCs w:val="18"/>
              </w:rPr>
              <w:t>0.7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2040" w:type="dxa"/>
          </w:tcPr>
          <w:p w14:paraId="538E42FC" w14:textId="77777777" w:rsidR="00633FE5" w:rsidRPr="0063230B" w:rsidRDefault="00633FE5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2FD" w14:textId="77777777" w:rsidR="00633FE5" w:rsidRPr="0063230B" w:rsidRDefault="00BB33C1" w:rsidP="00256B1E">
            <w:pPr>
              <w:tabs>
                <w:tab w:val="right" w:pos="61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>
              <w:rPr>
                <w:rFonts w:ascii="Times New Roman" w:hAnsi="Times New Roman"/>
                <w:sz w:val="18"/>
                <w:szCs w:val="18"/>
              </w:rPr>
              <w:t>27.3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4.1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14:paraId="538E42FE" w14:textId="77777777" w:rsidR="00633FE5" w:rsidRPr="0063230B" w:rsidRDefault="006C2E3A" w:rsidP="00BB33C1">
            <w:pPr>
              <w:tabs>
                <w:tab w:val="left" w:pos="61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881976" w:rsidRPr="0063230B">
              <w:rPr>
                <w:rFonts w:ascii="Times New Roman" w:hAnsi="Times New Roman"/>
                <w:sz w:val="18"/>
                <w:szCs w:val="18"/>
              </w:rPr>
              <w:t>0.0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BB33C1">
              <w:rPr>
                <w:rFonts w:ascii="Times New Roman" w:hAnsi="Times New Roman"/>
                <w:sz w:val="18"/>
                <w:szCs w:val="18"/>
              </w:rPr>
              <w:t>4.1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33FE5" w:rsidRPr="0063230B" w14:paraId="538E430C" w14:textId="77777777" w:rsidTr="00256B1E">
        <w:tc>
          <w:tcPr>
            <w:tcW w:w="2628" w:type="dxa"/>
          </w:tcPr>
          <w:p w14:paraId="538E4300" w14:textId="77777777" w:rsidR="00633FE5" w:rsidRPr="0063230B" w:rsidRDefault="00633FE5" w:rsidP="00256B1E">
            <w:pPr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Comm. &amp; Ind.</w:t>
            </w:r>
          </w:p>
          <w:p w14:paraId="538E4301" w14:textId="77777777" w:rsidR="00633FE5" w:rsidRPr="0063230B" w:rsidRDefault="00633FE5" w:rsidP="00256B1E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31, 36, 51</w:t>
            </w:r>
          </w:p>
          <w:p w14:paraId="538E4302" w14:textId="77777777" w:rsidR="00633FE5" w:rsidRPr="0063230B" w:rsidRDefault="00633FE5" w:rsidP="00256B1E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41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85" w:type="dxa"/>
          </w:tcPr>
          <w:p w14:paraId="538E4303" w14:textId="77777777" w:rsidR="00633FE5" w:rsidRPr="0063230B" w:rsidRDefault="00633FE5" w:rsidP="00256B1E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304" w14:textId="77777777" w:rsidR="00633FE5" w:rsidRPr="0063230B" w:rsidRDefault="00633FE5" w:rsidP="00256B1E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736648">
              <w:rPr>
                <w:rFonts w:ascii="Times New Roman" w:hAnsi="Times New Roman"/>
                <w:sz w:val="18"/>
                <w:szCs w:val="18"/>
              </w:rPr>
              <w:t>8.3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3.</w:t>
            </w:r>
            <w:r w:rsidR="00736648">
              <w:rPr>
                <w:rFonts w:ascii="Times New Roman" w:hAnsi="Times New Roman"/>
                <w:sz w:val="18"/>
                <w:szCs w:val="18"/>
              </w:rPr>
              <w:t>8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14:paraId="538E4305" w14:textId="77777777" w:rsidR="00633FE5" w:rsidRPr="0063230B" w:rsidRDefault="00633FE5" w:rsidP="00736648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3.</w:t>
            </w:r>
            <w:r w:rsidR="00736648">
              <w:rPr>
                <w:rFonts w:ascii="Times New Roman" w:hAnsi="Times New Roman"/>
                <w:sz w:val="18"/>
                <w:szCs w:val="18"/>
              </w:rPr>
              <w:t>9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736648">
              <w:rPr>
                <w:rFonts w:ascii="Times New Roman" w:hAnsi="Times New Roman"/>
                <w:sz w:val="18"/>
                <w:szCs w:val="18"/>
              </w:rPr>
              <w:t>5.6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14:paraId="538E4306" w14:textId="77777777" w:rsidR="00633FE5" w:rsidRPr="0063230B" w:rsidRDefault="00633FE5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307" w14:textId="77777777" w:rsidR="00633FE5" w:rsidRPr="0063230B" w:rsidRDefault="00D07C39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>
              <w:rPr>
                <w:rFonts w:ascii="Times New Roman" w:hAnsi="Times New Roman"/>
                <w:sz w:val="18"/>
                <w:szCs w:val="18"/>
              </w:rPr>
              <w:t>1.5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0.7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14:paraId="538E4308" w14:textId="77777777" w:rsidR="00633FE5" w:rsidRPr="0063230B" w:rsidRDefault="00633FE5" w:rsidP="00D07C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D07C39">
              <w:rPr>
                <w:rFonts w:ascii="Times New Roman" w:hAnsi="Times New Roman"/>
                <w:sz w:val="18"/>
                <w:szCs w:val="18"/>
              </w:rPr>
              <w:t>.4    0.6%</w:t>
            </w:r>
          </w:p>
        </w:tc>
        <w:tc>
          <w:tcPr>
            <w:tcW w:w="2040" w:type="dxa"/>
          </w:tcPr>
          <w:p w14:paraId="538E4309" w14:textId="77777777" w:rsidR="00633FE5" w:rsidRPr="0063230B" w:rsidRDefault="00633FE5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30A" w14:textId="77777777" w:rsidR="00633FE5" w:rsidRPr="0063230B" w:rsidRDefault="00755346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>
              <w:rPr>
                <w:rFonts w:ascii="Times New Roman" w:hAnsi="Times New Roman"/>
                <w:sz w:val="18"/>
                <w:szCs w:val="18"/>
              </w:rPr>
              <w:t>9.8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4.4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14:paraId="538E430B" w14:textId="77777777" w:rsidR="00633FE5" w:rsidRPr="0063230B" w:rsidRDefault="00755346" w:rsidP="0075534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>
              <w:rPr>
                <w:rFonts w:ascii="Times New Roman" w:hAnsi="Times New Roman"/>
                <w:sz w:val="18"/>
                <w:szCs w:val="18"/>
              </w:rPr>
              <w:t>3.5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5.0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633FE5" w:rsidRPr="0063230B" w14:paraId="538E431D" w14:textId="77777777" w:rsidTr="00256B1E">
        <w:tc>
          <w:tcPr>
            <w:tcW w:w="2628" w:type="dxa"/>
          </w:tcPr>
          <w:p w14:paraId="538E430D" w14:textId="77777777" w:rsidR="00633FE5" w:rsidRPr="0063230B" w:rsidRDefault="00633FE5" w:rsidP="00256B1E">
            <w:pPr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Interruptible</w:t>
            </w:r>
          </w:p>
          <w:p w14:paraId="538E430E" w14:textId="77777777" w:rsidR="00633FE5" w:rsidRPr="0063230B" w:rsidRDefault="00633FE5" w:rsidP="00256B1E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85</w:t>
            </w:r>
          </w:p>
          <w:p w14:paraId="538E430F" w14:textId="56D27A9F" w:rsidR="00633FE5" w:rsidRPr="0063230B" w:rsidRDefault="00633FE5" w:rsidP="00256B1E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86</w:t>
            </w:r>
            <w:r w:rsidR="0072386F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538E4310" w14:textId="63B7097D" w:rsidR="00633FE5" w:rsidRPr="0063230B" w:rsidRDefault="00633FE5" w:rsidP="00256B1E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87</w:t>
            </w:r>
            <w:r w:rsidR="0072386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485" w:type="dxa"/>
          </w:tcPr>
          <w:p w14:paraId="538E4311" w14:textId="77777777" w:rsidR="00633FE5" w:rsidRPr="0063230B" w:rsidRDefault="00633FE5" w:rsidP="00256B1E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312" w14:textId="77777777" w:rsidR="00633FE5" w:rsidRPr="0063230B" w:rsidRDefault="00633FE5" w:rsidP="00256B1E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.</w:t>
            </w:r>
            <w:r w:rsidR="00736648">
              <w:rPr>
                <w:rFonts w:ascii="Times New Roman" w:hAnsi="Times New Roman"/>
                <w:sz w:val="18"/>
                <w:szCs w:val="18"/>
              </w:rPr>
              <w:t>8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736648">
              <w:rPr>
                <w:rFonts w:ascii="Times New Roman" w:hAnsi="Times New Roman"/>
                <w:sz w:val="18"/>
                <w:szCs w:val="18"/>
              </w:rPr>
              <w:t>6.4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14:paraId="538E4313" w14:textId="77777777" w:rsidR="00633FE5" w:rsidRPr="0063230B" w:rsidRDefault="00633FE5" w:rsidP="00256B1E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-$.</w:t>
            </w:r>
            <w:r w:rsidR="00736648">
              <w:rPr>
                <w:rFonts w:ascii="Times New Roman" w:hAnsi="Times New Roman"/>
                <w:sz w:val="18"/>
                <w:szCs w:val="18"/>
              </w:rPr>
              <w:t>7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736648">
              <w:rPr>
                <w:rFonts w:ascii="Times New Roman" w:hAnsi="Times New Roman"/>
                <w:sz w:val="18"/>
                <w:szCs w:val="18"/>
              </w:rPr>
              <w:t>5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.5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14:paraId="538E4314" w14:textId="77777777" w:rsidR="00633FE5" w:rsidRPr="0063230B" w:rsidRDefault="00633FE5" w:rsidP="00736648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1.</w:t>
            </w:r>
            <w:r w:rsidR="00736648">
              <w:rPr>
                <w:rFonts w:ascii="Times New Roman" w:hAnsi="Times New Roman"/>
                <w:sz w:val="18"/>
                <w:szCs w:val="18"/>
              </w:rPr>
              <w:t>4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736648">
              <w:rPr>
                <w:rFonts w:ascii="Times New Roman" w:hAnsi="Times New Roman"/>
                <w:sz w:val="18"/>
                <w:szCs w:val="18"/>
              </w:rPr>
              <w:t>7.0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14:paraId="538E4315" w14:textId="77777777" w:rsidR="00633FE5" w:rsidRPr="0063230B" w:rsidRDefault="00633FE5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316" w14:textId="77777777" w:rsidR="00633FE5" w:rsidRPr="0063230B" w:rsidRDefault="00633FE5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7E7A4F">
              <w:rPr>
                <w:rFonts w:ascii="Times New Roman" w:hAnsi="Times New Roman"/>
                <w:sz w:val="18"/>
                <w:szCs w:val="18"/>
              </w:rPr>
              <w:t>0.0    0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.1</w:t>
            </w:r>
            <w:r w:rsidR="007E7A4F">
              <w:rPr>
                <w:rFonts w:ascii="Times New Roman" w:hAnsi="Times New Roman"/>
                <w:sz w:val="18"/>
                <w:szCs w:val="18"/>
              </w:rPr>
              <w:t>%</w:t>
            </w:r>
          </w:p>
          <w:p w14:paraId="538E4317" w14:textId="77777777" w:rsidR="00633FE5" w:rsidRPr="0063230B" w:rsidRDefault="00736648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7E7A4F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2346FC">
              <w:rPr>
                <w:rFonts w:ascii="Times New Roman" w:hAnsi="Times New Roman"/>
                <w:sz w:val="18"/>
                <w:szCs w:val="18"/>
              </w:rPr>
              <w:t>0.0%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="002346F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7E7A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38E4318" w14:textId="77777777" w:rsidR="002346FC" w:rsidRPr="0063230B" w:rsidRDefault="002346FC" w:rsidP="007366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="00736648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736648">
              <w:rPr>
                <w:rFonts w:ascii="Times New Roman" w:hAnsi="Times New Roman"/>
                <w:sz w:val="18"/>
                <w:szCs w:val="18"/>
              </w:rPr>
              <w:t>0.0    0</w:t>
            </w:r>
            <w:r w:rsidR="00736648" w:rsidRPr="0063230B">
              <w:rPr>
                <w:rFonts w:ascii="Times New Roman" w:hAnsi="Times New Roman"/>
                <w:sz w:val="18"/>
                <w:szCs w:val="18"/>
              </w:rPr>
              <w:t>.1</w:t>
            </w:r>
            <w:r w:rsidR="007366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040" w:type="dxa"/>
          </w:tcPr>
          <w:p w14:paraId="538E4319" w14:textId="77777777" w:rsidR="00633FE5" w:rsidRPr="0063230B" w:rsidRDefault="00633FE5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31A" w14:textId="77777777" w:rsidR="00633FE5" w:rsidRPr="0063230B" w:rsidRDefault="00755346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>
              <w:rPr>
                <w:rFonts w:ascii="Times New Roman" w:hAnsi="Times New Roman"/>
                <w:sz w:val="18"/>
                <w:szCs w:val="18"/>
              </w:rPr>
              <w:t>0.8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6.3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14:paraId="538E431B" w14:textId="77777777" w:rsidR="00633FE5" w:rsidRPr="0063230B" w:rsidRDefault="00755346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0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5.5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14:paraId="538E431C" w14:textId="77777777" w:rsidR="00633FE5" w:rsidRPr="0063230B" w:rsidRDefault="00755346" w:rsidP="0075534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>
              <w:rPr>
                <w:rFonts w:ascii="Times New Roman" w:hAnsi="Times New Roman"/>
                <w:sz w:val="18"/>
                <w:szCs w:val="18"/>
              </w:rPr>
              <w:t>1.4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6.8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633FE5" w:rsidRPr="0063230B" w14:paraId="538E4326" w14:textId="77777777" w:rsidTr="00256B1E">
        <w:tc>
          <w:tcPr>
            <w:tcW w:w="2628" w:type="dxa"/>
          </w:tcPr>
          <w:p w14:paraId="538E431E" w14:textId="77777777" w:rsidR="00633FE5" w:rsidRPr="0063230B" w:rsidRDefault="00633FE5" w:rsidP="00256B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FF3F78B" w14:textId="77777777" w:rsidR="00633FE5" w:rsidRDefault="00633FE5" w:rsidP="00256B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  <w:p w14:paraId="538E431F" w14:textId="27BF9F7D" w:rsidR="0072386F" w:rsidRPr="0063230B" w:rsidRDefault="0072386F" w:rsidP="007238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Pr="0072386F">
              <w:rPr>
                <w:rFonts w:ascii="Times New Roman" w:hAnsi="Times New Roman"/>
                <w:sz w:val="18"/>
                <w:szCs w:val="18"/>
              </w:rPr>
              <w:t>$0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Pr="0072386F">
              <w:rPr>
                <w:rFonts w:ascii="Times New Roman" w:hAnsi="Times New Roman"/>
                <w:sz w:val="18"/>
                <w:szCs w:val="18"/>
              </w:rPr>
              <w:t xml:space="preserve"> due to rounding of small dollar amounts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</w:tcPr>
          <w:p w14:paraId="538E4320" w14:textId="77777777" w:rsidR="00633FE5" w:rsidRPr="0063230B" w:rsidRDefault="00633FE5" w:rsidP="00256B1E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321" w14:textId="77777777" w:rsidR="00633FE5" w:rsidRPr="0063230B" w:rsidRDefault="00633FE5" w:rsidP="00736648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736648">
              <w:rPr>
                <w:rFonts w:ascii="Times New Roman" w:hAnsi="Times New Roman"/>
                <w:sz w:val="18"/>
                <w:szCs w:val="18"/>
              </w:rPr>
              <w:t>37.8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3.</w:t>
            </w:r>
            <w:r w:rsidR="00736648">
              <w:rPr>
                <w:rFonts w:ascii="Times New Roman" w:hAnsi="Times New Roman"/>
                <w:sz w:val="18"/>
                <w:szCs w:val="18"/>
              </w:rPr>
              <w:t>7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14:paraId="538E4322" w14:textId="77777777" w:rsidR="00633FE5" w:rsidRPr="0063230B" w:rsidRDefault="00633FE5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323" w14:textId="77777777" w:rsidR="00633FE5" w:rsidRPr="0063230B" w:rsidRDefault="002346FC" w:rsidP="002346F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>
              <w:rPr>
                <w:rFonts w:ascii="Times New Roman" w:hAnsi="Times New Roman"/>
                <w:sz w:val="18"/>
                <w:szCs w:val="18"/>
              </w:rPr>
              <w:t>5.7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0.6%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14:paraId="538E4324" w14:textId="77777777" w:rsidR="00633FE5" w:rsidRPr="0063230B" w:rsidRDefault="00633FE5" w:rsidP="00256B1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E4325" w14:textId="77777777" w:rsidR="00633FE5" w:rsidRPr="0063230B" w:rsidRDefault="000A3A72" w:rsidP="0075534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2346FC">
              <w:rPr>
                <w:rFonts w:ascii="Times New Roman" w:hAnsi="Times New Roman"/>
                <w:sz w:val="18"/>
                <w:szCs w:val="18"/>
              </w:rPr>
              <w:t>43.5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(</w:t>
            </w:r>
            <w:r w:rsidR="00755346">
              <w:rPr>
                <w:rFonts w:ascii="Times New Roman" w:hAnsi="Times New Roman"/>
                <w:sz w:val="18"/>
                <w:szCs w:val="18"/>
              </w:rPr>
              <w:t>4.3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</w:tbl>
    <w:p w14:paraId="538E4327" w14:textId="77777777" w:rsidR="00633FE5" w:rsidRPr="0063230B" w:rsidRDefault="00633FE5" w:rsidP="00633FE5">
      <w:pPr>
        <w:rPr>
          <w:rFonts w:ascii="Times New Roman" w:hAnsi="Times New Roman"/>
          <w:sz w:val="24"/>
        </w:rPr>
      </w:pPr>
    </w:p>
    <w:p w14:paraId="538E4328" w14:textId="77777777" w:rsidR="00633FE5" w:rsidRPr="0063230B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sz w:val="24"/>
        </w:rPr>
        <w:t xml:space="preserve">The impact of the PGA and tracker filings on a monthly bill for a residential customer with monthly average consumption of 68 therms will be </w:t>
      </w:r>
      <w:r w:rsidR="004E5439">
        <w:rPr>
          <w:rFonts w:ascii="Times New Roman" w:hAnsi="Times New Roman"/>
          <w:sz w:val="24"/>
        </w:rPr>
        <w:t>a decrease</w:t>
      </w:r>
      <w:r w:rsidR="00527D0C" w:rsidRPr="0063230B">
        <w:rPr>
          <w:rFonts w:ascii="Times New Roman" w:hAnsi="Times New Roman"/>
          <w:sz w:val="24"/>
        </w:rPr>
        <w:t xml:space="preserve"> </w:t>
      </w:r>
      <w:r w:rsidRPr="0063230B">
        <w:rPr>
          <w:rFonts w:ascii="Times New Roman" w:hAnsi="Times New Roman"/>
          <w:sz w:val="24"/>
        </w:rPr>
        <w:t>of $</w:t>
      </w:r>
      <w:r w:rsidR="004E5439">
        <w:rPr>
          <w:rFonts w:ascii="Times New Roman" w:hAnsi="Times New Roman"/>
          <w:sz w:val="24"/>
        </w:rPr>
        <w:t>3</w:t>
      </w:r>
      <w:r w:rsidR="00527D0C" w:rsidRPr="0063230B">
        <w:rPr>
          <w:rFonts w:ascii="Times New Roman" w:hAnsi="Times New Roman"/>
          <w:sz w:val="24"/>
        </w:rPr>
        <w:t>.</w:t>
      </w:r>
      <w:r w:rsidR="004E5439">
        <w:rPr>
          <w:rFonts w:ascii="Times New Roman" w:hAnsi="Times New Roman"/>
          <w:sz w:val="24"/>
        </w:rPr>
        <w:t>39</w:t>
      </w:r>
      <w:r w:rsidRPr="0063230B">
        <w:rPr>
          <w:rFonts w:ascii="Times New Roman" w:hAnsi="Times New Roman"/>
          <w:sz w:val="24"/>
        </w:rPr>
        <w:t xml:space="preserve"> or </w:t>
      </w:r>
      <w:r w:rsidR="00AA6CE5">
        <w:rPr>
          <w:rFonts w:ascii="Times New Roman" w:hAnsi="Times New Roman"/>
          <w:sz w:val="24"/>
        </w:rPr>
        <w:t>-4.0</w:t>
      </w:r>
      <w:r w:rsidR="0047045A" w:rsidRPr="0063230B">
        <w:rPr>
          <w:rFonts w:ascii="Times New Roman" w:hAnsi="Times New Roman"/>
          <w:sz w:val="24"/>
        </w:rPr>
        <w:t xml:space="preserve"> percent</w:t>
      </w:r>
      <w:r w:rsidRPr="0063230B">
        <w:rPr>
          <w:rFonts w:ascii="Times New Roman" w:hAnsi="Times New Roman"/>
          <w:sz w:val="24"/>
        </w:rPr>
        <w:t>, for a revised monthly bill of $</w:t>
      </w:r>
      <w:r w:rsidR="00AA6CE5">
        <w:rPr>
          <w:rFonts w:ascii="Times New Roman" w:hAnsi="Times New Roman"/>
          <w:sz w:val="24"/>
        </w:rPr>
        <w:t>81.59.</w:t>
      </w:r>
      <w:r w:rsidR="00A05DF7">
        <w:rPr>
          <w:rFonts w:ascii="Times New Roman" w:hAnsi="Times New Roman"/>
          <w:sz w:val="24"/>
        </w:rPr>
        <w:t xml:space="preserve"> </w:t>
      </w:r>
    </w:p>
    <w:p w14:paraId="538E4329" w14:textId="77777777" w:rsidR="000A3A72" w:rsidRPr="0063230B" w:rsidRDefault="000A3A72" w:rsidP="00633FE5">
      <w:pPr>
        <w:rPr>
          <w:rFonts w:ascii="Times New Roman" w:hAnsi="Times New Roman"/>
          <w:sz w:val="24"/>
        </w:rPr>
      </w:pPr>
    </w:p>
    <w:p w14:paraId="538E432A" w14:textId="77777777" w:rsidR="000A3A72" w:rsidRDefault="000A3A72" w:rsidP="00633FE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Customer Comments</w:t>
      </w:r>
    </w:p>
    <w:p w14:paraId="538E432B" w14:textId="77777777" w:rsidR="000A3A72" w:rsidRDefault="000A3A72" w:rsidP="00633FE5">
      <w:pPr>
        <w:rPr>
          <w:rFonts w:ascii="Times New Roman" w:hAnsi="Times New Roman"/>
          <w:b/>
          <w:sz w:val="24"/>
          <w:u w:val="single"/>
        </w:rPr>
      </w:pPr>
    </w:p>
    <w:p w14:paraId="538E432C" w14:textId="747E67D3" w:rsidR="001C374F" w:rsidRPr="001C374F" w:rsidRDefault="001C374F" w:rsidP="001C374F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/>
          <w:sz w:val="24"/>
        </w:rPr>
      </w:pPr>
      <w:r w:rsidRPr="001C374F">
        <w:rPr>
          <w:rFonts w:ascii="Times New Roman" w:eastAsiaTheme="minorEastAsia" w:hAnsi="Times New Roman"/>
          <w:sz w:val="24"/>
        </w:rPr>
        <w:t xml:space="preserve">This filing results in a decrease in customer bills. The commission received one customer comment opposing </w:t>
      </w:r>
      <w:r w:rsidR="0072386F">
        <w:rPr>
          <w:rFonts w:ascii="Times New Roman" w:eastAsiaTheme="minorEastAsia" w:hAnsi="Times New Roman"/>
          <w:sz w:val="24"/>
        </w:rPr>
        <w:t xml:space="preserve">amount of </w:t>
      </w:r>
      <w:r w:rsidRPr="001C374F">
        <w:rPr>
          <w:rFonts w:ascii="Times New Roman" w:eastAsiaTheme="minorEastAsia" w:hAnsi="Times New Roman"/>
          <w:sz w:val="24"/>
        </w:rPr>
        <w:t xml:space="preserve">the decrease. Consumer Protection staff advised customers that </w:t>
      </w:r>
      <w:r w:rsidRPr="001C374F">
        <w:rPr>
          <w:rFonts w:ascii="Times New Roman" w:eastAsiaTheme="minorEastAsia" w:hAnsi="Times New Roman"/>
          <w:sz w:val="24"/>
        </w:rPr>
        <w:lastRenderedPageBreak/>
        <w:t xml:space="preserve">they may access company documents about this filing at </w:t>
      </w:r>
      <w:hyperlink r:id="rId12" w:history="1">
        <w:r w:rsidRPr="001C374F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www.utc.wa.gov</w:t>
        </w:r>
      </w:hyperlink>
      <w:r w:rsidRPr="001C374F">
        <w:rPr>
          <w:rFonts w:ascii="Times New Roman" w:eastAsiaTheme="minorEastAsia" w:hAnsi="Times New Roman"/>
          <w:sz w:val="24"/>
        </w:rPr>
        <w:t>, and that they may contact Roger Kouchi at 1-888-333-9882.</w:t>
      </w:r>
    </w:p>
    <w:p w14:paraId="538E432D" w14:textId="77777777" w:rsidR="001C374F" w:rsidRPr="001C374F" w:rsidRDefault="001C374F" w:rsidP="001C374F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/>
          <w:b/>
          <w:sz w:val="24"/>
        </w:rPr>
      </w:pPr>
      <w:r w:rsidRPr="001C374F">
        <w:rPr>
          <w:rFonts w:ascii="Times New Roman" w:eastAsiaTheme="minorEastAsia" w:hAnsi="Times New Roman"/>
          <w:b/>
          <w:sz w:val="24"/>
        </w:rPr>
        <w:t>General Comments</w:t>
      </w:r>
    </w:p>
    <w:p w14:paraId="538E432E" w14:textId="5D281E33" w:rsidR="001C374F" w:rsidRPr="001C374F" w:rsidRDefault="001C374F" w:rsidP="001C374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EastAsia" w:hAnsi="Times New Roman"/>
          <w:b/>
          <w:sz w:val="24"/>
        </w:rPr>
      </w:pPr>
      <w:r w:rsidRPr="001C374F">
        <w:rPr>
          <w:rFonts w:ascii="Times New Roman" w:eastAsiaTheme="minorEastAsia" w:hAnsi="Times New Roman"/>
          <w:sz w:val="24"/>
        </w:rPr>
        <w:t xml:space="preserve">The customer commented that the rate reduction should be </w:t>
      </w:r>
      <w:r w:rsidR="0072386F">
        <w:rPr>
          <w:rFonts w:ascii="Times New Roman" w:eastAsiaTheme="minorEastAsia" w:hAnsi="Times New Roman"/>
          <w:sz w:val="24"/>
        </w:rPr>
        <w:t>greater</w:t>
      </w:r>
      <w:r w:rsidRPr="001C374F">
        <w:rPr>
          <w:rFonts w:ascii="Times New Roman" w:eastAsiaTheme="minorEastAsia" w:hAnsi="Times New Roman"/>
          <w:sz w:val="24"/>
        </w:rPr>
        <w:t xml:space="preserve"> due to the declining natural gas prices.</w:t>
      </w:r>
    </w:p>
    <w:p w14:paraId="538E432F" w14:textId="77777777" w:rsidR="001C374F" w:rsidRPr="001C374F" w:rsidRDefault="001C374F" w:rsidP="001C374F">
      <w:pPr>
        <w:widowControl/>
        <w:autoSpaceDE/>
        <w:autoSpaceDN/>
        <w:adjustRightInd/>
        <w:spacing w:line="276" w:lineRule="auto"/>
        <w:ind w:left="720"/>
        <w:rPr>
          <w:rFonts w:ascii="Times New Roman" w:eastAsiaTheme="minorEastAsia" w:hAnsi="Times New Roman"/>
          <w:b/>
          <w:sz w:val="24"/>
        </w:rPr>
      </w:pPr>
    </w:p>
    <w:p w14:paraId="538E4330" w14:textId="77777777" w:rsidR="001C374F" w:rsidRPr="001C374F" w:rsidRDefault="001C374F" w:rsidP="001C374F">
      <w:pPr>
        <w:widowControl/>
        <w:autoSpaceDE/>
        <w:autoSpaceDN/>
        <w:adjustRightInd/>
        <w:spacing w:line="276" w:lineRule="auto"/>
        <w:ind w:left="720"/>
        <w:rPr>
          <w:rFonts w:ascii="Times New Roman" w:eastAsiaTheme="minorEastAsia" w:hAnsi="Times New Roman"/>
          <w:sz w:val="24"/>
        </w:rPr>
      </w:pPr>
      <w:r w:rsidRPr="001C374F">
        <w:rPr>
          <w:rFonts w:ascii="Times New Roman" w:eastAsiaTheme="minorEastAsia" w:hAnsi="Times New Roman"/>
          <w:b/>
          <w:sz w:val="24"/>
        </w:rPr>
        <w:t>Staff Response</w:t>
      </w:r>
    </w:p>
    <w:p w14:paraId="538E4331" w14:textId="77777777" w:rsidR="001C374F" w:rsidRPr="001C374F" w:rsidRDefault="001C374F" w:rsidP="001C374F">
      <w:pPr>
        <w:widowControl/>
        <w:autoSpaceDE/>
        <w:autoSpaceDN/>
        <w:adjustRightInd/>
        <w:spacing w:line="276" w:lineRule="auto"/>
        <w:ind w:left="720"/>
        <w:rPr>
          <w:rFonts w:ascii="Times New Roman" w:eastAsiaTheme="minorEastAsia" w:hAnsi="Times New Roman"/>
          <w:sz w:val="24"/>
        </w:rPr>
      </w:pPr>
      <w:r w:rsidRPr="001C374F">
        <w:rPr>
          <w:rFonts w:ascii="Times New Roman" w:eastAsiaTheme="minorEastAsia" w:hAnsi="Times New Roman"/>
          <w:sz w:val="24"/>
        </w:rPr>
        <w:t>State law requires rates to be fair and reasonable, and sufficient to allow the company the opportunity to recover reasonable operating expenses and earn a reasonable return on investment. Staff provided the customer a copy of the commission fact sheet, “Understanding Purchased Gas Cost Adjustments.” Additionally, the consumer was provided information regarding the history of PSE’s PGA increases and decreases since 2000.</w:t>
      </w:r>
    </w:p>
    <w:p w14:paraId="538E4332" w14:textId="77777777" w:rsidR="00633FE5" w:rsidRPr="00FD0770" w:rsidRDefault="00633FE5" w:rsidP="00633FE5">
      <w:pPr>
        <w:rPr>
          <w:rFonts w:ascii="Times New Roman" w:hAnsi="Times New Roman"/>
          <w:sz w:val="24"/>
          <w:u w:val="single"/>
        </w:rPr>
      </w:pPr>
      <w:r w:rsidRPr="00FD0770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</w:t>
      </w:r>
      <w:r w:rsidRPr="00FD0770">
        <w:rPr>
          <w:rFonts w:ascii="Times New Roman" w:hAnsi="Times New Roman"/>
          <w:sz w:val="24"/>
          <w:u w:val="single"/>
          <w:bdr w:val="single" w:sz="4" w:space="0" w:color="auto"/>
        </w:rPr>
        <w:t xml:space="preserve">                       </w:t>
      </w:r>
      <w:r w:rsidRPr="00FD0770">
        <w:rPr>
          <w:rFonts w:ascii="Times New Roman" w:hAnsi="Times New Roman"/>
          <w:sz w:val="24"/>
          <w:u w:val="single"/>
        </w:rPr>
        <w:t xml:space="preserve">                              </w:t>
      </w:r>
    </w:p>
    <w:p w14:paraId="538E4333" w14:textId="77777777" w:rsidR="00633FE5" w:rsidRPr="00F559D3" w:rsidRDefault="00633FE5" w:rsidP="00633FE5">
      <w:pPr>
        <w:rPr>
          <w:rFonts w:ascii="Times New Roman" w:hAnsi="Times New Roman"/>
          <w:b/>
          <w:sz w:val="24"/>
          <w:u w:val="single"/>
        </w:rPr>
      </w:pPr>
      <w:r w:rsidRPr="00F559D3">
        <w:rPr>
          <w:rFonts w:ascii="Times New Roman" w:hAnsi="Times New Roman"/>
          <w:b/>
          <w:sz w:val="24"/>
          <w:u w:val="single"/>
        </w:rPr>
        <w:t>Conclusion</w:t>
      </w:r>
    </w:p>
    <w:p w14:paraId="538E4334" w14:textId="77777777" w:rsidR="00633FE5" w:rsidRPr="00FD0770" w:rsidRDefault="00633FE5" w:rsidP="00633FE5">
      <w:pPr>
        <w:rPr>
          <w:rFonts w:ascii="Times New Roman" w:hAnsi="Times New Roman"/>
          <w:sz w:val="24"/>
        </w:rPr>
      </w:pPr>
    </w:p>
    <w:p w14:paraId="538E4335" w14:textId="4B4B4528"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</w:t>
      </w:r>
      <w:r w:rsidR="00F12260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review</w:t>
      </w:r>
      <w:r w:rsidR="00F12260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PSE’s </w:t>
      </w:r>
      <w:r w:rsidR="00F12260">
        <w:rPr>
          <w:rFonts w:ascii="Times New Roman" w:hAnsi="Times New Roman"/>
          <w:sz w:val="24"/>
        </w:rPr>
        <w:t xml:space="preserve">PGA </w:t>
      </w:r>
      <w:r>
        <w:rPr>
          <w:rFonts w:ascii="Times New Roman" w:hAnsi="Times New Roman"/>
          <w:sz w:val="24"/>
        </w:rPr>
        <w:t>and deferr</w:t>
      </w:r>
      <w:r w:rsidR="00F12260">
        <w:rPr>
          <w:rFonts w:ascii="Times New Roman" w:hAnsi="Times New Roman"/>
          <w:sz w:val="24"/>
        </w:rPr>
        <w:t>ed gas cost</w:t>
      </w:r>
      <w:r>
        <w:rPr>
          <w:rFonts w:ascii="Times New Roman" w:hAnsi="Times New Roman"/>
          <w:sz w:val="24"/>
        </w:rPr>
        <w:t xml:space="preserve"> amortization filings </w:t>
      </w:r>
      <w:r w:rsidR="00F12260">
        <w:rPr>
          <w:rFonts w:ascii="Times New Roman" w:hAnsi="Times New Roman"/>
          <w:sz w:val="24"/>
        </w:rPr>
        <w:t xml:space="preserve">show </w:t>
      </w:r>
      <w:r>
        <w:rPr>
          <w:rFonts w:ascii="Times New Roman" w:hAnsi="Times New Roman"/>
          <w:sz w:val="24"/>
        </w:rPr>
        <w:t>them to be reasonable. Therefore, Staff recommend</w:t>
      </w:r>
      <w:r w:rsidR="00F12260">
        <w:rPr>
          <w:rFonts w:ascii="Times New Roman" w:hAnsi="Times New Roman"/>
          <w:sz w:val="24"/>
        </w:rPr>
        <w:t xml:space="preserve">s the </w:t>
      </w:r>
      <w:r w:rsidR="00E62FFA">
        <w:rPr>
          <w:rFonts w:ascii="Times New Roman" w:hAnsi="Times New Roman"/>
          <w:sz w:val="24"/>
        </w:rPr>
        <w:t>c</w:t>
      </w:r>
      <w:r w:rsidR="00F12260">
        <w:rPr>
          <w:rFonts w:ascii="Times New Roman" w:hAnsi="Times New Roman"/>
          <w:sz w:val="24"/>
        </w:rPr>
        <w:t xml:space="preserve">ommission take no action </w:t>
      </w:r>
      <w:r>
        <w:rPr>
          <w:rFonts w:ascii="Times New Roman" w:hAnsi="Times New Roman"/>
          <w:sz w:val="24"/>
        </w:rPr>
        <w:t>a</w:t>
      </w:r>
      <w:r w:rsidRPr="00FD0770">
        <w:rPr>
          <w:rFonts w:ascii="Times New Roman" w:hAnsi="Times New Roman"/>
          <w:sz w:val="24"/>
        </w:rPr>
        <w:t>llow</w:t>
      </w:r>
      <w:r>
        <w:rPr>
          <w:rFonts w:ascii="Times New Roman" w:hAnsi="Times New Roman"/>
          <w:sz w:val="24"/>
        </w:rPr>
        <w:t>ing</w:t>
      </w:r>
      <w:r w:rsidRPr="00FD0770">
        <w:rPr>
          <w:rFonts w:ascii="Times New Roman" w:hAnsi="Times New Roman"/>
          <w:sz w:val="24"/>
        </w:rPr>
        <w:t xml:space="preserve"> the tariff filings in Docket UG</w:t>
      </w:r>
      <w:r w:rsidR="00527D0C">
        <w:rPr>
          <w:rFonts w:ascii="Times New Roman" w:hAnsi="Times New Roman"/>
          <w:sz w:val="24"/>
        </w:rPr>
        <w:t>-</w:t>
      </w:r>
      <w:r w:rsidR="00527D0C" w:rsidRPr="00527D0C">
        <w:rPr>
          <w:rFonts w:ascii="Times New Roman" w:hAnsi="Times New Roman"/>
          <w:bCs/>
          <w:sz w:val="24"/>
        </w:rPr>
        <w:t>1</w:t>
      </w:r>
      <w:r w:rsidR="00AA6CE5">
        <w:rPr>
          <w:rFonts w:ascii="Times New Roman" w:hAnsi="Times New Roman"/>
          <w:bCs/>
          <w:sz w:val="24"/>
        </w:rPr>
        <w:t>1175</w:t>
      </w:r>
      <w:r w:rsidR="00527D0C" w:rsidRPr="00527D0C">
        <w:rPr>
          <w:rFonts w:ascii="Times New Roman" w:hAnsi="Times New Roman"/>
          <w:bCs/>
          <w:sz w:val="24"/>
        </w:rPr>
        <w:t>2</w:t>
      </w:r>
      <w:r w:rsidR="00527D0C">
        <w:rPr>
          <w:rFonts w:ascii="Times New Roman" w:hAnsi="Times New Roman"/>
          <w:sz w:val="24"/>
        </w:rPr>
        <w:t xml:space="preserve"> </w:t>
      </w:r>
      <w:r w:rsidRPr="00FD0770"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take effect</w:t>
      </w:r>
      <w:r w:rsidRPr="00FD0770">
        <w:rPr>
          <w:rFonts w:ascii="Times New Roman" w:hAnsi="Times New Roman"/>
          <w:sz w:val="24"/>
        </w:rPr>
        <w:t xml:space="preserve"> </w:t>
      </w:r>
      <w:r w:rsidR="008A6E77">
        <w:rPr>
          <w:rFonts w:ascii="Times New Roman" w:hAnsi="Times New Roman"/>
          <w:sz w:val="24"/>
        </w:rPr>
        <w:t>November</w:t>
      </w:r>
      <w:r w:rsidRPr="00FD0770">
        <w:rPr>
          <w:rFonts w:ascii="Times New Roman" w:hAnsi="Times New Roman"/>
          <w:sz w:val="24"/>
        </w:rPr>
        <w:t xml:space="preserve"> 1, 20</w:t>
      </w:r>
      <w:r w:rsidR="008A6E77">
        <w:rPr>
          <w:rFonts w:ascii="Times New Roman" w:hAnsi="Times New Roman"/>
          <w:sz w:val="24"/>
        </w:rPr>
        <w:t>1</w:t>
      </w:r>
      <w:r w:rsidR="00AA6CE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by operation of law.</w:t>
      </w:r>
    </w:p>
    <w:p w14:paraId="538E4336" w14:textId="77777777" w:rsidR="002C039A" w:rsidRPr="00AD3312" w:rsidRDefault="002C039A" w:rsidP="00AD3312">
      <w:pPr>
        <w:rPr>
          <w:rFonts w:ascii="Times New Roman" w:hAnsi="Times New Roman"/>
          <w:sz w:val="24"/>
        </w:rPr>
      </w:pPr>
    </w:p>
    <w:sectPr w:rsidR="002C039A" w:rsidRPr="00AD3312" w:rsidSect="00446BE3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E4339" w14:textId="77777777" w:rsidR="00256B1E" w:rsidRDefault="00256B1E" w:rsidP="00446BE3">
      <w:r>
        <w:separator/>
      </w:r>
    </w:p>
  </w:endnote>
  <w:endnote w:type="continuationSeparator" w:id="0">
    <w:p w14:paraId="538E433A" w14:textId="77777777" w:rsidR="00256B1E" w:rsidRDefault="00256B1E" w:rsidP="004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E4337" w14:textId="77777777" w:rsidR="00256B1E" w:rsidRDefault="00256B1E" w:rsidP="00446BE3">
      <w:r>
        <w:separator/>
      </w:r>
    </w:p>
  </w:footnote>
  <w:footnote w:type="continuationSeparator" w:id="0">
    <w:p w14:paraId="538E4338" w14:textId="77777777" w:rsidR="00256B1E" w:rsidRDefault="00256B1E" w:rsidP="0044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E433C" w14:textId="77777777" w:rsidR="00256B1E" w:rsidRPr="00446BE3" w:rsidRDefault="00256B1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Docket </w:t>
    </w:r>
    <w:r w:rsidRPr="00446BE3">
      <w:rPr>
        <w:rFonts w:ascii="Times New Roman" w:hAnsi="Times New Roman"/>
      </w:rPr>
      <w:t>UG-</w:t>
    </w:r>
    <w:r>
      <w:rPr>
        <w:rFonts w:ascii="Times New Roman" w:hAnsi="Times New Roman"/>
      </w:rPr>
      <w:t>111752</w:t>
    </w:r>
  </w:p>
  <w:p w14:paraId="538E433D" w14:textId="77777777" w:rsidR="00256B1E" w:rsidRPr="00446BE3" w:rsidRDefault="00256B1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October 27, 2011</w:t>
    </w:r>
  </w:p>
  <w:p w14:paraId="538E433E" w14:textId="77777777" w:rsidR="00256B1E" w:rsidRDefault="00256B1E">
    <w:pPr>
      <w:pStyle w:val="Header"/>
      <w:rPr>
        <w:rFonts w:ascii="Times New Roman" w:hAnsi="Times New Roman"/>
      </w:rPr>
    </w:pPr>
    <w:r w:rsidRPr="00446BE3">
      <w:rPr>
        <w:rFonts w:ascii="Times New Roman" w:hAnsi="Times New Roman"/>
      </w:rPr>
      <w:t xml:space="preserve">Page </w:t>
    </w:r>
    <w:r w:rsidRPr="00446BE3">
      <w:rPr>
        <w:rFonts w:ascii="Times New Roman" w:hAnsi="Times New Roman"/>
      </w:rPr>
      <w:fldChar w:fldCharType="begin"/>
    </w:r>
    <w:r w:rsidRPr="00446BE3">
      <w:rPr>
        <w:rFonts w:ascii="Times New Roman" w:hAnsi="Times New Roman"/>
      </w:rPr>
      <w:instrText xml:space="preserve"> PAGE   \* MERGEFORMAT </w:instrText>
    </w:r>
    <w:r w:rsidRPr="00446BE3">
      <w:rPr>
        <w:rFonts w:ascii="Times New Roman" w:hAnsi="Times New Roman"/>
      </w:rPr>
      <w:fldChar w:fldCharType="separate"/>
    </w:r>
    <w:r w:rsidR="006B2EC9">
      <w:rPr>
        <w:rFonts w:ascii="Times New Roman" w:hAnsi="Times New Roman"/>
        <w:noProof/>
      </w:rPr>
      <w:t>3</w:t>
    </w:r>
    <w:r w:rsidRPr="00446BE3">
      <w:rPr>
        <w:rFonts w:ascii="Times New Roman" w:hAnsi="Times New Roman"/>
      </w:rPr>
      <w:fldChar w:fldCharType="end"/>
    </w:r>
  </w:p>
  <w:p w14:paraId="538E433F" w14:textId="77777777" w:rsidR="00256B1E" w:rsidRDefault="00256B1E">
    <w:pPr>
      <w:pStyle w:val="Header"/>
      <w:rPr>
        <w:rFonts w:ascii="Times New Roman" w:hAnsi="Times New Roman"/>
      </w:rPr>
    </w:pPr>
  </w:p>
  <w:p w14:paraId="538E4340" w14:textId="77777777" w:rsidR="00256B1E" w:rsidRPr="00446BE3" w:rsidRDefault="00256B1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0B54"/>
    <w:multiLevelType w:val="hybridMultilevel"/>
    <w:tmpl w:val="7AA23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E5"/>
    <w:rsid w:val="00066E1D"/>
    <w:rsid w:val="000A3A72"/>
    <w:rsid w:val="000E640C"/>
    <w:rsid w:val="00117B59"/>
    <w:rsid w:val="00156C69"/>
    <w:rsid w:val="00177632"/>
    <w:rsid w:val="001A6FE3"/>
    <w:rsid w:val="001C374F"/>
    <w:rsid w:val="001C5AB1"/>
    <w:rsid w:val="001D79D8"/>
    <w:rsid w:val="002346FC"/>
    <w:rsid w:val="00243FF5"/>
    <w:rsid w:val="00256B1E"/>
    <w:rsid w:val="00290FB9"/>
    <w:rsid w:val="002A31D5"/>
    <w:rsid w:val="002C039A"/>
    <w:rsid w:val="002D433E"/>
    <w:rsid w:val="002F4908"/>
    <w:rsid w:val="0030204A"/>
    <w:rsid w:val="00346234"/>
    <w:rsid w:val="003527B7"/>
    <w:rsid w:val="00372469"/>
    <w:rsid w:val="00373110"/>
    <w:rsid w:val="003C7604"/>
    <w:rsid w:val="003D0731"/>
    <w:rsid w:val="003D3006"/>
    <w:rsid w:val="003E328C"/>
    <w:rsid w:val="003F35C6"/>
    <w:rsid w:val="00446BE3"/>
    <w:rsid w:val="0047045A"/>
    <w:rsid w:val="004822D5"/>
    <w:rsid w:val="004936EB"/>
    <w:rsid w:val="00493B04"/>
    <w:rsid w:val="00497895"/>
    <w:rsid w:val="00497E69"/>
    <w:rsid w:val="004A466B"/>
    <w:rsid w:val="004C0754"/>
    <w:rsid w:val="004E5439"/>
    <w:rsid w:val="00511448"/>
    <w:rsid w:val="00527D0C"/>
    <w:rsid w:val="005304A4"/>
    <w:rsid w:val="005432F7"/>
    <w:rsid w:val="00544395"/>
    <w:rsid w:val="00552600"/>
    <w:rsid w:val="00593F87"/>
    <w:rsid w:val="005A6C74"/>
    <w:rsid w:val="005C1FF7"/>
    <w:rsid w:val="005E159D"/>
    <w:rsid w:val="005F4DF5"/>
    <w:rsid w:val="006112E4"/>
    <w:rsid w:val="006169C1"/>
    <w:rsid w:val="0063230B"/>
    <w:rsid w:val="00633FE5"/>
    <w:rsid w:val="006415D5"/>
    <w:rsid w:val="00672F7B"/>
    <w:rsid w:val="00683411"/>
    <w:rsid w:val="00687B64"/>
    <w:rsid w:val="006A41EE"/>
    <w:rsid w:val="006B2EC9"/>
    <w:rsid w:val="006B74E9"/>
    <w:rsid w:val="006C2E3A"/>
    <w:rsid w:val="006D6651"/>
    <w:rsid w:val="006E1137"/>
    <w:rsid w:val="0072386F"/>
    <w:rsid w:val="00736648"/>
    <w:rsid w:val="00755346"/>
    <w:rsid w:val="007667EA"/>
    <w:rsid w:val="00772B5A"/>
    <w:rsid w:val="007842F2"/>
    <w:rsid w:val="00787371"/>
    <w:rsid w:val="007A2709"/>
    <w:rsid w:val="007E7A4F"/>
    <w:rsid w:val="0080254B"/>
    <w:rsid w:val="00835F23"/>
    <w:rsid w:val="008650F8"/>
    <w:rsid w:val="00881976"/>
    <w:rsid w:val="0089773C"/>
    <w:rsid w:val="008A6E77"/>
    <w:rsid w:val="008E2647"/>
    <w:rsid w:val="008E7EF1"/>
    <w:rsid w:val="0094336B"/>
    <w:rsid w:val="00953B32"/>
    <w:rsid w:val="009B1957"/>
    <w:rsid w:val="009C405D"/>
    <w:rsid w:val="00A05DF7"/>
    <w:rsid w:val="00A106C0"/>
    <w:rsid w:val="00A219C9"/>
    <w:rsid w:val="00A30587"/>
    <w:rsid w:val="00A33C31"/>
    <w:rsid w:val="00A41805"/>
    <w:rsid w:val="00A6374E"/>
    <w:rsid w:val="00A77552"/>
    <w:rsid w:val="00A84C2A"/>
    <w:rsid w:val="00AA6CE5"/>
    <w:rsid w:val="00AB0E66"/>
    <w:rsid w:val="00AB3160"/>
    <w:rsid w:val="00AD3312"/>
    <w:rsid w:val="00B1167C"/>
    <w:rsid w:val="00B13041"/>
    <w:rsid w:val="00B205F9"/>
    <w:rsid w:val="00B25220"/>
    <w:rsid w:val="00B7730B"/>
    <w:rsid w:val="00BB2F89"/>
    <w:rsid w:val="00BB33C1"/>
    <w:rsid w:val="00BC030F"/>
    <w:rsid w:val="00BD7BB1"/>
    <w:rsid w:val="00BE5DA3"/>
    <w:rsid w:val="00C93991"/>
    <w:rsid w:val="00CC06BE"/>
    <w:rsid w:val="00CD29F3"/>
    <w:rsid w:val="00CD34D2"/>
    <w:rsid w:val="00CE7A07"/>
    <w:rsid w:val="00D07C39"/>
    <w:rsid w:val="00D104E1"/>
    <w:rsid w:val="00D315CF"/>
    <w:rsid w:val="00D6438C"/>
    <w:rsid w:val="00D72599"/>
    <w:rsid w:val="00D8206F"/>
    <w:rsid w:val="00DA1B86"/>
    <w:rsid w:val="00DB48A9"/>
    <w:rsid w:val="00DC06DD"/>
    <w:rsid w:val="00DD2A47"/>
    <w:rsid w:val="00E009B6"/>
    <w:rsid w:val="00E161A6"/>
    <w:rsid w:val="00E2042D"/>
    <w:rsid w:val="00E42EAC"/>
    <w:rsid w:val="00E54512"/>
    <w:rsid w:val="00E62FFA"/>
    <w:rsid w:val="00EB108F"/>
    <w:rsid w:val="00EB5440"/>
    <w:rsid w:val="00EC12A3"/>
    <w:rsid w:val="00EF1488"/>
    <w:rsid w:val="00F12260"/>
    <w:rsid w:val="00F13195"/>
    <w:rsid w:val="00F21B68"/>
    <w:rsid w:val="00F37A05"/>
    <w:rsid w:val="00F44145"/>
    <w:rsid w:val="00F578AF"/>
    <w:rsid w:val="00F64A81"/>
    <w:rsid w:val="00FA436A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38E4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E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A1B8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63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633FE5"/>
    <w:rPr>
      <w:rFonts w:ascii="Palatino Linotype" w:eastAsia="Times New Roman" w:hAnsi="Palatino Linotype" w:cs="Times New Roman"/>
      <w:sz w:val="24"/>
      <w:szCs w:val="24"/>
    </w:rPr>
  </w:style>
  <w:style w:type="paragraph" w:styleId="NormalWeb">
    <w:name w:val="Normal (Web)"/>
    <w:basedOn w:val="Normal"/>
    <w:rsid w:val="00633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F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F9"/>
    <w:rPr>
      <w:rFonts w:ascii="Courier" w:eastAsia="Times New Roman" w:hAnsi="Courie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5F9"/>
    <w:pPr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4E1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4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E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A1B8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63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633FE5"/>
    <w:rPr>
      <w:rFonts w:ascii="Palatino Linotype" w:eastAsia="Times New Roman" w:hAnsi="Palatino Linotype" w:cs="Times New Roman"/>
      <w:sz w:val="24"/>
      <w:szCs w:val="24"/>
    </w:rPr>
  </w:style>
  <w:style w:type="paragraph" w:styleId="NormalWeb">
    <w:name w:val="Normal (Web)"/>
    <w:basedOn w:val="Normal"/>
    <w:rsid w:val="00633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F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F9"/>
    <w:rPr>
      <w:rFonts w:ascii="Courier" w:eastAsia="Times New Roman" w:hAnsi="Courie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5F9"/>
    <w:pPr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4E1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DBFAC58A90844692D4FF8CDE5F7501" ma:contentTypeVersion="143" ma:contentTypeDescription="" ma:contentTypeScope="" ma:versionID="efbdb1d208d29c110b1b93f2ab56e5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2011-09-30T07:00:00+00:00</OpenedDate>
    <Date1 xmlns="dc463f71-b30c-4ab2-9473-d307f9d35888">2011-10-27T07:00:00+00:00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111752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B49B-89FD-4669-BFD4-A3C835780D93}"/>
</file>

<file path=customXml/itemProps2.xml><?xml version="1.0" encoding="utf-8"?>
<ds:datastoreItem xmlns:ds="http://schemas.openxmlformats.org/officeDocument/2006/customXml" ds:itemID="{6E1D5F1F-93CD-4653-8574-523D2A3F0803}"/>
</file>

<file path=customXml/itemProps3.xml><?xml version="1.0" encoding="utf-8"?>
<ds:datastoreItem xmlns:ds="http://schemas.openxmlformats.org/officeDocument/2006/customXml" ds:itemID="{C74B479A-D8DE-4E5E-9568-CA5BF16B2A00}"/>
</file>

<file path=customXml/itemProps4.xml><?xml version="1.0" encoding="utf-8"?>
<ds:datastoreItem xmlns:ds="http://schemas.openxmlformats.org/officeDocument/2006/customXml" ds:itemID="{F848A16D-5FB5-44F7-952D-15330531459E}"/>
</file>

<file path=customXml/itemProps5.xml><?xml version="1.0" encoding="utf-8"?>
<ds:datastoreItem xmlns:ds="http://schemas.openxmlformats.org/officeDocument/2006/customXml" ds:itemID="{352F7944-D27A-41E1-B90D-5C9A8ACC8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Memo</vt:lpstr>
    </vt:vector>
  </TitlesOfParts>
  <Company>Washington Utilities and Transportation Commission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Memo</dc:title>
  <dc:creator>rmartin@utc.wa.gov</dc:creator>
  <dc:description>Docket UG-111752</dc:description>
  <cp:lastModifiedBy>Lisa Wyse, Records Manager</cp:lastModifiedBy>
  <cp:revision>2</cp:revision>
  <cp:lastPrinted>2011-10-19T17:05:00Z</cp:lastPrinted>
  <dcterms:created xsi:type="dcterms:W3CDTF">2011-10-25T20:47:00Z</dcterms:created>
  <dcterms:modified xsi:type="dcterms:W3CDTF">2011-10-25T20:47:00Z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0x0101006E56B4D1795A2E4DB2F0B01679ED314A0040DBFAC58A90844692D4FF8CDE5F7501</vt:lpwstr>
  </property>
  <property fmtid="{D5CDD505-2E9C-101B-9397-08002B2CF9AE}" pid="3" name="_docset_NoMedatataSyncRequired">
    <vt:lpwstr>False</vt:lpwstr>
  </property>
</Properties>
</file>