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361EDC">
        <w:rPr>
          <w:sz w:val="24"/>
        </w:rPr>
        <w:t>December 30</w:t>
      </w:r>
      <w:r w:rsidR="00340B55">
        <w:rPr>
          <w:sz w:val="24"/>
        </w:rPr>
        <w:t>, 2010</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Pr>
          <w:sz w:val="24"/>
        </w:rPr>
        <w:tab/>
      </w:r>
      <w:r w:rsidR="00B12018">
        <w:rPr>
          <w:sz w:val="24"/>
        </w:rPr>
        <w:t>A</w:t>
      </w:r>
      <w:r w:rsidR="00055B37">
        <w:rPr>
          <w:sz w:val="24"/>
        </w:rPr>
        <w:t>8</w:t>
      </w:r>
      <w:r w:rsidRPr="0042096A">
        <w:rPr>
          <w:sz w:val="24"/>
        </w:rPr>
        <w:tab/>
      </w:r>
      <w:r w:rsidRPr="0042096A">
        <w:rPr>
          <w:sz w:val="24"/>
        </w:rPr>
        <w:tab/>
      </w:r>
      <w:r w:rsidRPr="0042096A">
        <w:rPr>
          <w:sz w:val="24"/>
        </w:rPr>
        <w:tab/>
      </w:r>
      <w:r w:rsidRPr="0042096A">
        <w:rPr>
          <w:sz w:val="24"/>
        </w:rPr>
        <w:tab/>
      </w:r>
      <w:r w:rsidRPr="0042096A">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B12018">
        <w:rPr>
          <w:b/>
          <w:bCs/>
          <w:sz w:val="24"/>
        </w:rPr>
        <w:t>UW</w:t>
      </w:r>
      <w:r w:rsidRPr="0042096A">
        <w:rPr>
          <w:b/>
          <w:bCs/>
          <w:sz w:val="24"/>
        </w:rPr>
        <w:t>-</w:t>
      </w:r>
      <w:r w:rsidR="004764BD">
        <w:rPr>
          <w:b/>
          <w:bCs/>
          <w:sz w:val="24"/>
        </w:rPr>
        <w:t>1</w:t>
      </w:r>
      <w:r w:rsidR="00AB1820">
        <w:rPr>
          <w:b/>
          <w:bCs/>
          <w:sz w:val="24"/>
        </w:rPr>
        <w:t>0</w:t>
      </w:r>
      <w:r w:rsidR="00BE5729">
        <w:rPr>
          <w:b/>
          <w:bCs/>
          <w:sz w:val="24"/>
        </w:rPr>
        <w:t>1817</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6840B0">
        <w:rPr>
          <w:sz w:val="24"/>
        </w:rPr>
        <w:t>Camano Hills Water Company</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AB1820">
        <w:rPr>
          <w:sz w:val="24"/>
        </w:rPr>
        <w:t>Jim Ward</w:t>
      </w:r>
      <w:r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 xml:space="preserve">Dennis Shutler, </w:t>
      </w:r>
      <w:r w:rsidR="00F061F8">
        <w:rPr>
          <w:sz w:val="24"/>
        </w:rPr>
        <w:t xml:space="preserve">Consumer </w:t>
      </w:r>
      <w:r w:rsidR="00AB1820">
        <w:rPr>
          <w:sz w:val="24"/>
        </w:rPr>
        <w:t>Protection</w:t>
      </w:r>
      <w:r w:rsidR="00F156FA">
        <w:rPr>
          <w:sz w:val="24"/>
        </w:rPr>
        <w:t xml:space="preserve">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340B55" w:rsidRDefault="00340B55" w:rsidP="00340B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55B37" w:rsidRDefault="007D047D" w:rsidP="00055B37">
      <w:pPr>
        <w:widowControl/>
        <w:autoSpaceDE/>
        <w:autoSpaceDN/>
        <w:adjustRightInd/>
        <w:rPr>
          <w:sz w:val="24"/>
        </w:rPr>
      </w:pPr>
      <w:r w:rsidRPr="007D047D">
        <w:rPr>
          <w:sz w:val="24"/>
        </w:rPr>
        <w:t xml:space="preserve">Issue an order </w:t>
      </w:r>
      <w:r w:rsidR="001C74D1">
        <w:rPr>
          <w:sz w:val="24"/>
        </w:rPr>
        <w:t xml:space="preserve">approving the surcharge </w:t>
      </w:r>
      <w:r w:rsidRPr="007D047D">
        <w:rPr>
          <w:sz w:val="24"/>
        </w:rPr>
        <w:t xml:space="preserve">filed by the </w:t>
      </w:r>
      <w:r w:rsidR="001C74D1">
        <w:rPr>
          <w:sz w:val="24"/>
        </w:rPr>
        <w:t xml:space="preserve">Camano Hills Water Company </w:t>
      </w:r>
      <w:r w:rsidRPr="007D047D">
        <w:rPr>
          <w:sz w:val="24"/>
        </w:rPr>
        <w:t xml:space="preserve">on </w:t>
      </w:r>
    </w:p>
    <w:p w:rsidR="00233FFB" w:rsidRDefault="007D047D" w:rsidP="00055B37">
      <w:pPr>
        <w:widowControl/>
        <w:autoSpaceDE/>
        <w:autoSpaceDN/>
        <w:adjustRightInd/>
        <w:rPr>
          <w:sz w:val="24"/>
        </w:rPr>
      </w:pPr>
      <w:r w:rsidRPr="007D047D">
        <w:rPr>
          <w:sz w:val="24"/>
        </w:rPr>
        <w:t>November 8, 2010, to become effective January 1, 2011, subject to conditions set forth below.</w:t>
      </w:r>
    </w:p>
    <w:p w:rsidR="00233FFB" w:rsidRDefault="00233FFB" w:rsidP="00055B37">
      <w:pPr>
        <w:widowControl/>
        <w:autoSpaceDE/>
        <w:autoSpaceDN/>
        <w:adjustRightInd/>
        <w:rPr>
          <w:sz w:val="24"/>
        </w:rPr>
      </w:pPr>
    </w:p>
    <w:p w:rsidR="0015464D" w:rsidRPr="0042096A" w:rsidRDefault="004C29FA" w:rsidP="00055B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Background</w:t>
      </w:r>
    </w:p>
    <w:p w:rsidR="00FA1A71" w:rsidRDefault="00FA1A71" w:rsidP="00055B37">
      <w:pPr>
        <w:widowControl/>
        <w:autoSpaceDE/>
        <w:autoSpaceDN/>
        <w:adjustRightInd/>
        <w:rPr>
          <w:sz w:val="24"/>
        </w:rPr>
      </w:pPr>
    </w:p>
    <w:p w:rsidR="00FA1A71" w:rsidRPr="00FA1A71" w:rsidRDefault="00B34AE0" w:rsidP="00055B37">
      <w:pPr>
        <w:widowControl/>
        <w:autoSpaceDE/>
        <w:autoSpaceDN/>
        <w:adjustRightInd/>
        <w:rPr>
          <w:sz w:val="24"/>
        </w:rPr>
      </w:pPr>
      <w:r w:rsidRPr="00B34AE0">
        <w:rPr>
          <w:sz w:val="24"/>
        </w:rPr>
        <w:t xml:space="preserve">On </w:t>
      </w:r>
      <w:r w:rsidR="00FA1A71" w:rsidRPr="00FA1A71">
        <w:rPr>
          <w:sz w:val="24"/>
        </w:rPr>
        <w:t xml:space="preserve">November 8, 2010, Camano Hills Water Company, Inc. (Camano Hills or </w:t>
      </w:r>
      <w:r w:rsidR="00CA53A4">
        <w:rPr>
          <w:sz w:val="24"/>
        </w:rPr>
        <w:t>c</w:t>
      </w:r>
      <w:r w:rsidR="00FA1A71" w:rsidRPr="00FA1A71">
        <w:rPr>
          <w:sz w:val="24"/>
        </w:rPr>
        <w:t>ompany) filed with the Utilities and Transportation Commission (</w:t>
      </w:r>
      <w:r w:rsidR="00CA53A4">
        <w:rPr>
          <w:sz w:val="24"/>
        </w:rPr>
        <w:t>c</w:t>
      </w:r>
      <w:r w:rsidR="00FA1A71" w:rsidRPr="00FA1A71">
        <w:rPr>
          <w:sz w:val="24"/>
        </w:rPr>
        <w:t xml:space="preserve">ommission) a </w:t>
      </w:r>
      <w:r w:rsidR="00A82B2F">
        <w:rPr>
          <w:sz w:val="24"/>
        </w:rPr>
        <w:t xml:space="preserve">tariff </w:t>
      </w:r>
      <w:r w:rsidR="00FA1A71" w:rsidRPr="00FA1A71">
        <w:rPr>
          <w:sz w:val="24"/>
        </w:rPr>
        <w:t xml:space="preserve">revision </w:t>
      </w:r>
      <w:r w:rsidR="00CA53A4">
        <w:rPr>
          <w:sz w:val="24"/>
        </w:rPr>
        <w:t>that would generate $8,843 (8.3</w:t>
      </w:r>
      <w:r w:rsidR="00CE4DDB">
        <w:rPr>
          <w:sz w:val="24"/>
        </w:rPr>
        <w:t xml:space="preserve"> </w:t>
      </w:r>
      <w:r w:rsidR="00CA53A4">
        <w:rPr>
          <w:sz w:val="24"/>
        </w:rPr>
        <w:t>percent) additional annual revenue. The company proposes to implement a Capital Improvement Surcharge of $4.14 per month for all customers. The</w:t>
      </w:r>
      <w:r w:rsidR="00CA53A4" w:rsidRPr="00CA53A4">
        <w:rPr>
          <w:sz w:val="24"/>
        </w:rPr>
        <w:t xml:space="preserve"> </w:t>
      </w:r>
      <w:r w:rsidR="00CA53A4">
        <w:rPr>
          <w:sz w:val="24"/>
        </w:rPr>
        <w:t>c</w:t>
      </w:r>
      <w:r w:rsidR="00CA53A4" w:rsidRPr="00FA1A71">
        <w:rPr>
          <w:sz w:val="24"/>
        </w:rPr>
        <w:t>ompany serves 178 customers located in Island County.</w:t>
      </w:r>
      <w:r w:rsidR="00CA53A4">
        <w:rPr>
          <w:sz w:val="24"/>
        </w:rPr>
        <w:t xml:space="preserve"> The company’s last general rate increase was February 12, 2010.</w:t>
      </w:r>
    </w:p>
    <w:p w:rsidR="00FA1A71" w:rsidRPr="00FA1A71"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Camano Hills filed the surcharge tariff to service </w:t>
      </w:r>
      <w:r w:rsidR="00CA53A4">
        <w:rPr>
          <w:sz w:val="24"/>
        </w:rPr>
        <w:t xml:space="preserve">70 percent of </w:t>
      </w:r>
      <w:r w:rsidRPr="00FA1A71">
        <w:rPr>
          <w:sz w:val="24"/>
        </w:rPr>
        <w:t xml:space="preserve">a $206,881 Drinking Water State Revolving Fund (DWSRF) loan approved by the Public Works Board (PWB). Proceeds from the loan will be used for a capital improvement project on the Company’s water system.  </w:t>
      </w:r>
    </w:p>
    <w:p w:rsidR="00FA1A71" w:rsidRPr="00FA1A71"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The loan contract is a low-interest (1.5 percent), 20-year loan approved by the PWB on condition that Camano Hills obtains </w:t>
      </w:r>
      <w:r w:rsidR="00CA53A4">
        <w:rPr>
          <w:sz w:val="24"/>
        </w:rPr>
        <w:t>c</w:t>
      </w:r>
      <w:r w:rsidRPr="00FA1A71">
        <w:rPr>
          <w:sz w:val="24"/>
        </w:rPr>
        <w:t xml:space="preserve">ommission </w:t>
      </w:r>
      <w:r w:rsidR="001D70EA">
        <w:rPr>
          <w:sz w:val="24"/>
        </w:rPr>
        <w:t xml:space="preserve">approval of </w:t>
      </w:r>
      <w:r w:rsidRPr="00FA1A71">
        <w:rPr>
          <w:sz w:val="24"/>
        </w:rPr>
        <w:t xml:space="preserve">rates to repay the loan and the </w:t>
      </w:r>
      <w:r w:rsidR="00CA53A4">
        <w:rPr>
          <w:sz w:val="24"/>
        </w:rPr>
        <w:t>c</w:t>
      </w:r>
      <w:r w:rsidRPr="00FA1A71">
        <w:rPr>
          <w:sz w:val="24"/>
        </w:rPr>
        <w:t>ompany open</w:t>
      </w:r>
      <w:r w:rsidR="00A82B2F">
        <w:rPr>
          <w:sz w:val="24"/>
        </w:rPr>
        <w:t>s</w:t>
      </w:r>
      <w:r w:rsidRPr="00FA1A71">
        <w:rPr>
          <w:sz w:val="24"/>
        </w:rPr>
        <w:t xml:space="preserve"> a bank account which will receive and retain the owner’s </w:t>
      </w:r>
      <w:r w:rsidR="00A82B2F">
        <w:rPr>
          <w:sz w:val="24"/>
        </w:rPr>
        <w:t xml:space="preserve">equity payment </w:t>
      </w:r>
      <w:r w:rsidRPr="00FA1A71">
        <w:rPr>
          <w:sz w:val="24"/>
        </w:rPr>
        <w:t>and DWSRF surcharge</w:t>
      </w:r>
      <w:r w:rsidR="007C1691">
        <w:rPr>
          <w:sz w:val="24"/>
        </w:rPr>
        <w:t>s</w:t>
      </w:r>
      <w:r w:rsidRPr="00FA1A71">
        <w:rPr>
          <w:sz w:val="24"/>
        </w:rPr>
        <w:t xml:space="preserve"> </w:t>
      </w:r>
      <w:r w:rsidR="00A82B2F">
        <w:rPr>
          <w:sz w:val="24"/>
        </w:rPr>
        <w:t>paid by</w:t>
      </w:r>
      <w:r w:rsidRPr="00FA1A71">
        <w:rPr>
          <w:sz w:val="24"/>
        </w:rPr>
        <w:t xml:space="preserve"> customers. This surcharge filing is intended to satisfy the first condition.</w:t>
      </w:r>
    </w:p>
    <w:p w:rsidR="00FA1A71" w:rsidRPr="00FA1A71"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The DWSRF loan program provides low-interest loans to water systems for capital improvements that increase public health protection and compliance with drinking water regulations. The Department of Health (DOH) and the PWB jointly administer the DWSRF program. The DOH </w:t>
      </w:r>
      <w:r w:rsidR="00A82B2F">
        <w:rPr>
          <w:sz w:val="24"/>
        </w:rPr>
        <w:t>s</w:t>
      </w:r>
      <w:r w:rsidRPr="00FA1A71">
        <w:rPr>
          <w:sz w:val="24"/>
        </w:rPr>
        <w:t xml:space="preserve">taff evaluates all loan applications and, using a scoring method designed to measure the health risk that each project will address, assigns points to each application. The applications are ranked according to their scores. </w:t>
      </w:r>
    </w:p>
    <w:p w:rsidR="00FA1A71" w:rsidRPr="00FA1A71"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The PWB Staff determines the available funding for each annual loan cycle, and the ranked project list </w:t>
      </w:r>
      <w:r w:rsidR="002226D3">
        <w:rPr>
          <w:sz w:val="24"/>
        </w:rPr>
        <w:t xml:space="preserve">establishes the </w:t>
      </w:r>
      <w:r w:rsidRPr="00FA1A71">
        <w:rPr>
          <w:sz w:val="24"/>
        </w:rPr>
        <w:t xml:space="preserve">funding </w:t>
      </w:r>
      <w:r w:rsidR="002226D3">
        <w:rPr>
          <w:sz w:val="24"/>
        </w:rPr>
        <w:t>priority</w:t>
      </w:r>
      <w:r w:rsidRPr="00FA1A71">
        <w:rPr>
          <w:sz w:val="24"/>
        </w:rPr>
        <w:t xml:space="preserve">. Projects below the funding cutoff line do not receive funding. The PWB approves the final recommended funding list each spring. PWB Staff also conducts an underwriting and readiness-to-proceed evaluation of each approved loan project. </w:t>
      </w:r>
    </w:p>
    <w:p w:rsidR="00FA1A71" w:rsidRPr="00FA1A71"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DOH is responsible for evaluating and approving Water System Plans (WSP) or Small Water System Management Programs (SWSMP), which are requirements of both the DOH and DWSRF loan projects. DWSRF loan projects must be included in a WSP or SWSMP. In </w:t>
      </w:r>
      <w:r w:rsidRPr="00FA1A71">
        <w:rPr>
          <w:sz w:val="24"/>
        </w:rPr>
        <w:lastRenderedPageBreak/>
        <w:t>addition, the DOH evaluates and approves the project reports and construction documents for all DWSRF-funded loan projects.</w:t>
      </w:r>
    </w:p>
    <w:p w:rsidR="00FA1A71" w:rsidRPr="0055500B"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Water samples from 2007 and 2008 showed that the arsenic level in the water in well No. 1 exceeded the maximum contaminant level of 10 parts per billion (ppb). The </w:t>
      </w:r>
      <w:r w:rsidR="0055500B">
        <w:rPr>
          <w:sz w:val="24"/>
        </w:rPr>
        <w:t>c</w:t>
      </w:r>
      <w:r w:rsidRPr="00FA1A71">
        <w:rPr>
          <w:sz w:val="24"/>
        </w:rPr>
        <w:t xml:space="preserve">ompany researched and performed an engineering review to determine </w:t>
      </w:r>
      <w:r w:rsidR="0068050B">
        <w:rPr>
          <w:sz w:val="24"/>
        </w:rPr>
        <w:t xml:space="preserve">the best type </w:t>
      </w:r>
      <w:r w:rsidRPr="00FA1A71">
        <w:rPr>
          <w:sz w:val="24"/>
        </w:rPr>
        <w:t xml:space="preserve">of treatment to reduce contaminant </w:t>
      </w:r>
      <w:r w:rsidR="0055500B">
        <w:rPr>
          <w:sz w:val="24"/>
        </w:rPr>
        <w:t xml:space="preserve">levels below the 10 ppb level. </w:t>
      </w:r>
    </w:p>
    <w:p w:rsidR="00FA1A71" w:rsidRPr="0055500B"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The </w:t>
      </w:r>
      <w:r w:rsidR="0055500B">
        <w:rPr>
          <w:sz w:val="24"/>
        </w:rPr>
        <w:t>c</w:t>
      </w:r>
      <w:r w:rsidRPr="00FA1A71">
        <w:rPr>
          <w:sz w:val="24"/>
        </w:rPr>
        <w:t>ompany entered into a Bilateral Compliance Agreement with the DOH in 2008 to take the necessary steps to address the contamination. This project consists of constructing a building, installing water treatment equipment, an engineering pilot study, plans and approvals, modifications to existing piping and pump controls, and constructing a backwash infiltration pond.</w:t>
      </w:r>
    </w:p>
    <w:p w:rsidR="00FA1A71" w:rsidRPr="00FA1A71"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In May 2009, Camano Hills applied to the PWB for a DWSRF loan. The project is included in the </w:t>
      </w:r>
      <w:r w:rsidR="0055500B">
        <w:rPr>
          <w:sz w:val="24"/>
        </w:rPr>
        <w:t>c</w:t>
      </w:r>
      <w:r w:rsidRPr="00FA1A71">
        <w:rPr>
          <w:sz w:val="24"/>
        </w:rPr>
        <w:t xml:space="preserve">ompany’s supplemental WSP that the DOH has reviewed. The arsenic treatment project ranked high enough to receive funding from the PWB.  </w:t>
      </w:r>
    </w:p>
    <w:p w:rsidR="00FA1A71" w:rsidRPr="00FA1A71" w:rsidRDefault="00FA1A71" w:rsidP="00055B37">
      <w:pPr>
        <w:rPr>
          <w:sz w:val="24"/>
        </w:rPr>
      </w:pPr>
    </w:p>
    <w:p w:rsidR="00FA1A71" w:rsidRPr="00FA1A71" w:rsidRDefault="00FA1A71" w:rsidP="00055B37">
      <w:pPr>
        <w:widowControl/>
        <w:autoSpaceDE/>
        <w:autoSpaceDN/>
        <w:adjustRightInd/>
        <w:rPr>
          <w:sz w:val="24"/>
        </w:rPr>
      </w:pPr>
      <w:r w:rsidRPr="00FA1A71">
        <w:rPr>
          <w:sz w:val="24"/>
        </w:rPr>
        <w:t xml:space="preserve">The PWB Staff reviewed the </w:t>
      </w:r>
      <w:r w:rsidR="0055500B">
        <w:rPr>
          <w:sz w:val="24"/>
        </w:rPr>
        <w:t>c</w:t>
      </w:r>
      <w:r w:rsidRPr="00FA1A71">
        <w:rPr>
          <w:sz w:val="24"/>
        </w:rPr>
        <w:t xml:space="preserve">ompany’s financial information and concluded the proposed surcharge should generate sufficient funds to allow the </w:t>
      </w:r>
      <w:r w:rsidR="0055500B">
        <w:rPr>
          <w:sz w:val="24"/>
        </w:rPr>
        <w:t>c</w:t>
      </w:r>
      <w:r w:rsidRPr="00FA1A71">
        <w:rPr>
          <w:sz w:val="24"/>
        </w:rPr>
        <w:t xml:space="preserve">ompany to repay approximately 70 percent of the DWSRF loan from </w:t>
      </w:r>
      <w:r w:rsidR="001D70EA">
        <w:rPr>
          <w:sz w:val="24"/>
        </w:rPr>
        <w:t xml:space="preserve">surcharge </w:t>
      </w:r>
      <w:r w:rsidR="00CB4D4C">
        <w:rPr>
          <w:sz w:val="24"/>
        </w:rPr>
        <w:t>revenue</w:t>
      </w:r>
      <w:r w:rsidRPr="00FA1A71">
        <w:rPr>
          <w:sz w:val="24"/>
        </w:rPr>
        <w:t xml:space="preserve"> and 30 percent from owner’s equity investment.</w:t>
      </w:r>
      <w:r w:rsidR="0055500B">
        <w:rPr>
          <w:sz w:val="24"/>
        </w:rPr>
        <w:t xml:space="preserve"> </w:t>
      </w:r>
      <w:r w:rsidRPr="00FA1A71">
        <w:rPr>
          <w:sz w:val="24"/>
        </w:rPr>
        <w:t xml:space="preserve">Staff and the PWB Staff worked with the </w:t>
      </w:r>
      <w:r w:rsidR="0055500B">
        <w:rPr>
          <w:sz w:val="24"/>
        </w:rPr>
        <w:t>c</w:t>
      </w:r>
      <w:r w:rsidRPr="00FA1A71">
        <w:rPr>
          <w:sz w:val="24"/>
        </w:rPr>
        <w:t>ompany to file the proposed surcharge.</w:t>
      </w:r>
    </w:p>
    <w:p w:rsidR="00FA1A71" w:rsidRPr="00FA1A71" w:rsidRDefault="00FA1A71" w:rsidP="00055B37">
      <w:pPr>
        <w:pStyle w:val="ListParagraph"/>
        <w:ind w:left="0"/>
        <w:rPr>
          <w:sz w:val="24"/>
        </w:rPr>
      </w:pPr>
    </w:p>
    <w:p w:rsidR="00FA1A71" w:rsidRPr="00FA1A71" w:rsidRDefault="00FA1A71" w:rsidP="00055B37">
      <w:pPr>
        <w:widowControl/>
        <w:autoSpaceDE/>
        <w:autoSpaceDN/>
        <w:adjustRightInd/>
        <w:rPr>
          <w:sz w:val="24"/>
        </w:rPr>
      </w:pPr>
      <w:r w:rsidRPr="00FA1A71">
        <w:rPr>
          <w:sz w:val="24"/>
        </w:rPr>
        <w:t xml:space="preserve">The DOH has primary jurisdiction regarding water quality and quantity issues, including water system design, construction and maintenance, and it concluded that the proposed project is necessary for the </w:t>
      </w:r>
      <w:r w:rsidR="0055500B">
        <w:rPr>
          <w:sz w:val="24"/>
        </w:rPr>
        <w:t>c</w:t>
      </w:r>
      <w:r w:rsidRPr="00FA1A71">
        <w:rPr>
          <w:sz w:val="24"/>
        </w:rPr>
        <w:t xml:space="preserve">ompany to meet water quality and quantity standards.  </w:t>
      </w:r>
    </w:p>
    <w:p w:rsidR="00FA1A71" w:rsidRPr="00FA1A71" w:rsidRDefault="00FA1A71" w:rsidP="00055B37">
      <w:pPr>
        <w:tabs>
          <w:tab w:val="left" w:pos="0"/>
        </w:tabs>
        <w:rPr>
          <w:sz w:val="24"/>
        </w:rPr>
      </w:pPr>
    </w:p>
    <w:p w:rsidR="00FA1A71" w:rsidRPr="00FA1A71" w:rsidRDefault="00FA1A71" w:rsidP="00055B37">
      <w:pPr>
        <w:widowControl/>
        <w:autoSpaceDE/>
        <w:autoSpaceDN/>
        <w:adjustRightInd/>
        <w:rPr>
          <w:sz w:val="24"/>
        </w:rPr>
      </w:pPr>
      <w:r w:rsidRPr="00FA1A71">
        <w:rPr>
          <w:sz w:val="24"/>
        </w:rPr>
        <w:t xml:space="preserve">Staff has reviewed the </w:t>
      </w:r>
      <w:r w:rsidR="0055500B">
        <w:rPr>
          <w:sz w:val="24"/>
        </w:rPr>
        <w:t>c</w:t>
      </w:r>
      <w:r w:rsidRPr="00FA1A71">
        <w:rPr>
          <w:sz w:val="24"/>
        </w:rPr>
        <w:t>ompany’s supporting financial documents, books and records, including the cost estimates for the proposed project and the terms and conditions of the DWSRF loan</w:t>
      </w:r>
      <w:r w:rsidR="0055500B">
        <w:rPr>
          <w:sz w:val="24"/>
        </w:rPr>
        <w:t xml:space="preserve">. </w:t>
      </w:r>
      <w:r w:rsidRPr="00FA1A71">
        <w:rPr>
          <w:sz w:val="24"/>
        </w:rPr>
        <w:t xml:space="preserve">Staff concludes the low-interest, long-term DWSRF loan is an excellent funding option for both the customers and the </w:t>
      </w:r>
      <w:r w:rsidR="0055500B">
        <w:rPr>
          <w:sz w:val="24"/>
        </w:rPr>
        <w:t>c</w:t>
      </w:r>
      <w:r w:rsidRPr="00FA1A71">
        <w:rPr>
          <w:sz w:val="24"/>
        </w:rPr>
        <w:t>ompany, and that the proposed surcharge is fair, just, reasonable and sufficient.</w:t>
      </w:r>
    </w:p>
    <w:p w:rsidR="00FA1A71" w:rsidRPr="00FA1A71" w:rsidRDefault="00FA1A71" w:rsidP="00055B37">
      <w:pPr>
        <w:widowControl/>
        <w:autoSpaceDE/>
        <w:autoSpaceDN/>
        <w:adjustRightInd/>
        <w:rPr>
          <w:sz w:val="24"/>
        </w:rPr>
      </w:pPr>
      <w:r w:rsidRPr="00FA1A71">
        <w:rPr>
          <w:sz w:val="24"/>
        </w:rPr>
        <w:t xml:space="preserve">Repayment of the </w:t>
      </w:r>
      <w:r w:rsidR="0055500B">
        <w:rPr>
          <w:sz w:val="24"/>
        </w:rPr>
        <w:t>c</w:t>
      </w:r>
      <w:r w:rsidRPr="00FA1A71">
        <w:rPr>
          <w:sz w:val="24"/>
        </w:rPr>
        <w:t xml:space="preserve">ompany’s DWSRF loan relies on two revenue sources: </w:t>
      </w:r>
    </w:p>
    <w:p w:rsidR="00FA1A71" w:rsidRDefault="00FA1A71" w:rsidP="00055B37">
      <w:pPr>
        <w:pStyle w:val="FindingsConclusions"/>
        <w:spacing w:line="240" w:lineRule="auto"/>
      </w:pPr>
      <w:r>
        <w:t>Monthly surcharges paid by current and future customers; and</w:t>
      </w:r>
    </w:p>
    <w:p w:rsidR="00FA1A71" w:rsidRDefault="00FA1A71" w:rsidP="00055B37">
      <w:pPr>
        <w:pStyle w:val="FindingsConclusions"/>
        <w:spacing w:line="240" w:lineRule="auto"/>
      </w:pPr>
      <w:r>
        <w:t>Future equity investment by the owners.</w:t>
      </w:r>
    </w:p>
    <w:p w:rsidR="00FA1A71" w:rsidRPr="00FA1A71" w:rsidRDefault="00FA1A71" w:rsidP="00055B37">
      <w:pPr>
        <w:ind w:left="-1080"/>
        <w:rPr>
          <w:sz w:val="24"/>
        </w:rPr>
      </w:pPr>
    </w:p>
    <w:p w:rsidR="00FA1A71" w:rsidRPr="00FA1A71" w:rsidRDefault="00FA1A71" w:rsidP="00055B37">
      <w:pPr>
        <w:widowControl/>
        <w:autoSpaceDE/>
        <w:autoSpaceDN/>
        <w:adjustRightInd/>
        <w:rPr>
          <w:sz w:val="24"/>
        </w:rPr>
      </w:pPr>
      <w:r w:rsidRPr="00FA1A71">
        <w:rPr>
          <w:sz w:val="24"/>
        </w:rPr>
        <w:t xml:space="preserve">To ensure that the </w:t>
      </w:r>
      <w:r w:rsidR="0055500B">
        <w:rPr>
          <w:sz w:val="24"/>
        </w:rPr>
        <w:t>c</w:t>
      </w:r>
      <w:r w:rsidRPr="00FA1A71">
        <w:rPr>
          <w:sz w:val="24"/>
        </w:rPr>
        <w:t>ompany has sufficient revenue to service the DWSRF loan</w:t>
      </w:r>
      <w:r w:rsidR="0068050B">
        <w:rPr>
          <w:sz w:val="24"/>
        </w:rPr>
        <w:t>,</w:t>
      </w:r>
      <w:r w:rsidRPr="00FA1A71">
        <w:rPr>
          <w:sz w:val="24"/>
        </w:rPr>
        <w:t xml:space="preserve"> </w:t>
      </w:r>
      <w:r w:rsidR="0055500B">
        <w:rPr>
          <w:sz w:val="24"/>
        </w:rPr>
        <w:t>s</w:t>
      </w:r>
      <w:r w:rsidRPr="00FA1A71">
        <w:rPr>
          <w:sz w:val="24"/>
        </w:rPr>
        <w:t xml:space="preserve">taff recommends that </w:t>
      </w:r>
      <w:r w:rsidR="006C40DB">
        <w:rPr>
          <w:sz w:val="24"/>
        </w:rPr>
        <w:t>c</w:t>
      </w:r>
      <w:r w:rsidRPr="00FA1A71">
        <w:rPr>
          <w:sz w:val="24"/>
        </w:rPr>
        <w:t>ommission approval of the surcharge should be subject to the following conditions:</w:t>
      </w:r>
    </w:p>
    <w:p w:rsidR="00FA1A71" w:rsidRPr="00FA1A71" w:rsidRDefault="00FA1A71" w:rsidP="00FA1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A1A71" w:rsidRPr="00FA1A71" w:rsidRDefault="00FA1A71" w:rsidP="00FA1A71">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t xml:space="preserve">The surcharge applies to all water customers served by the </w:t>
      </w:r>
      <w:r w:rsidR="0055500B">
        <w:rPr>
          <w:sz w:val="24"/>
        </w:rPr>
        <w:t>c</w:t>
      </w:r>
      <w:r w:rsidRPr="00FA1A71">
        <w:rPr>
          <w:sz w:val="24"/>
        </w:rPr>
        <w:t>ompany. The surcharge expires on December 31, 2030, or upon recovery of $206,881 in principal, whichever occurs first.</w:t>
      </w:r>
    </w:p>
    <w:p w:rsidR="00FA1A71" w:rsidRPr="00FA1A71" w:rsidRDefault="00FA1A71" w:rsidP="00FA1A71">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517EC8" w:rsidRDefault="00FA1A71" w:rsidP="00FA1A71">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lastRenderedPageBreak/>
        <w:t>Monthly payments received from customers will first be allocated to the DWSRF loan reserve account and remaining amounts will be applied to normal operating expenses.</w:t>
      </w:r>
      <w:r w:rsidR="0055500B">
        <w:rPr>
          <w:sz w:val="24"/>
        </w:rPr>
        <w:t xml:space="preserve"> </w:t>
      </w:r>
    </w:p>
    <w:p w:rsidR="00233FFB" w:rsidRDefault="00233FFB">
      <w:pPr>
        <w:pStyle w:val="ListParagraph"/>
        <w:ind w:left="1440"/>
        <w:rPr>
          <w:sz w:val="24"/>
        </w:rPr>
      </w:pPr>
    </w:p>
    <w:p w:rsidR="00233FFB" w:rsidRDefault="007D047D">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7D047D">
        <w:rPr>
          <w:sz w:val="24"/>
        </w:rPr>
        <w:t>T</w:t>
      </w:r>
      <w:r>
        <w:rPr>
          <w:sz w:val="24"/>
        </w:rPr>
        <w:t>he company will, within five business days</w:t>
      </w:r>
      <w:r w:rsidR="00CB4D4C">
        <w:rPr>
          <w:sz w:val="24"/>
        </w:rPr>
        <w:t xml:space="preserve"> of rec</w:t>
      </w:r>
      <w:r w:rsidR="00E31C61">
        <w:rPr>
          <w:sz w:val="24"/>
        </w:rPr>
        <w:t>eipt</w:t>
      </w:r>
      <w:r>
        <w:rPr>
          <w:sz w:val="24"/>
        </w:rPr>
        <w:t xml:space="preserve">, deposit all </w:t>
      </w:r>
      <w:r w:rsidR="00517EC8">
        <w:rPr>
          <w:sz w:val="24"/>
        </w:rPr>
        <w:t xml:space="preserve">monthly and one-time </w:t>
      </w:r>
      <w:r>
        <w:rPr>
          <w:sz w:val="24"/>
        </w:rPr>
        <w:t>surcharge payments in the DWSRF loan reserve account specified in condition (g) below.</w:t>
      </w:r>
      <w:r w:rsidRPr="007D047D">
        <w:rPr>
          <w:sz w:val="24"/>
        </w:rPr>
        <w:t xml:space="preserve"> </w:t>
      </w:r>
    </w:p>
    <w:p w:rsidR="00233FFB" w:rsidRDefault="00233FFB">
      <w:pPr>
        <w:widowControl/>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233FFB" w:rsidRDefault="00A617B6">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517EC8">
        <w:rPr>
          <w:sz w:val="24"/>
        </w:rPr>
        <w:t>Surcharge funds will be deposited in a separate interest bearing account (if available)</w:t>
      </w:r>
      <w:r w:rsidR="007D047D">
        <w:rPr>
          <w:sz w:val="24"/>
        </w:rPr>
        <w:t>.</w:t>
      </w:r>
    </w:p>
    <w:p w:rsidR="00233FFB" w:rsidRDefault="00233FFB">
      <w:pPr>
        <w:widowControl/>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FA1A71" w:rsidRPr="00FA1A71" w:rsidRDefault="007D047D" w:rsidP="00FA1A71">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Pr>
          <w:sz w:val="24"/>
        </w:rPr>
        <w:t>Funds received from the surcharge, including interest earned on the funds whi</w:t>
      </w:r>
      <w:r w:rsidR="00FA1A71" w:rsidRPr="00FA1A71">
        <w:rPr>
          <w:sz w:val="24"/>
        </w:rPr>
        <w:t>le held in a DWSRF loan reserve account, will be treated as contributions</w:t>
      </w:r>
      <w:r w:rsidR="00517EC8">
        <w:rPr>
          <w:sz w:val="24"/>
        </w:rPr>
        <w:t>-</w:t>
      </w:r>
      <w:r w:rsidR="00FA1A71" w:rsidRPr="00FA1A71">
        <w:rPr>
          <w:sz w:val="24"/>
        </w:rPr>
        <w:t>in</w:t>
      </w:r>
      <w:r w:rsidR="00517EC8">
        <w:rPr>
          <w:sz w:val="24"/>
        </w:rPr>
        <w:t>-</w:t>
      </w:r>
      <w:r w:rsidR="00FA1A71" w:rsidRPr="00FA1A71">
        <w:rPr>
          <w:sz w:val="24"/>
        </w:rPr>
        <w:t>aid</w:t>
      </w:r>
      <w:r w:rsidR="00517EC8">
        <w:rPr>
          <w:sz w:val="24"/>
        </w:rPr>
        <w:t>-</w:t>
      </w:r>
      <w:r w:rsidR="00FA1A71" w:rsidRPr="00FA1A71">
        <w:rPr>
          <w:sz w:val="24"/>
        </w:rPr>
        <w:t xml:space="preserve">of </w:t>
      </w:r>
      <w:r w:rsidR="00517EC8">
        <w:rPr>
          <w:sz w:val="24"/>
        </w:rPr>
        <w:t>–c</w:t>
      </w:r>
      <w:r w:rsidR="00FA1A71" w:rsidRPr="00FA1A71">
        <w:rPr>
          <w:sz w:val="24"/>
        </w:rPr>
        <w:t>onstruction</w:t>
      </w:r>
      <w:r w:rsidR="00517EC8">
        <w:rPr>
          <w:sz w:val="24"/>
        </w:rPr>
        <w:t xml:space="preserve"> (CIAC)</w:t>
      </w:r>
      <w:r w:rsidR="00FA1A71" w:rsidRPr="00FA1A71">
        <w:rPr>
          <w:sz w:val="24"/>
        </w:rPr>
        <w:t>.</w:t>
      </w:r>
    </w:p>
    <w:p w:rsidR="00FA1A71" w:rsidRPr="00FA1A71" w:rsidRDefault="00FA1A71" w:rsidP="006C4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A1A71" w:rsidRPr="00FA1A71" w:rsidRDefault="00FA1A71" w:rsidP="00FA1A71">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t xml:space="preserve">All funds received through the </w:t>
      </w:r>
      <w:r w:rsidR="00517EC8">
        <w:rPr>
          <w:sz w:val="24"/>
        </w:rPr>
        <w:t>c</w:t>
      </w:r>
      <w:r w:rsidRPr="00FA1A71">
        <w:rPr>
          <w:sz w:val="24"/>
        </w:rPr>
        <w:t>ompany’s surcharge</w:t>
      </w:r>
      <w:r w:rsidR="00517EC8">
        <w:rPr>
          <w:sz w:val="24"/>
        </w:rPr>
        <w:t>,</w:t>
      </w:r>
      <w:r w:rsidRPr="00FA1A71">
        <w:rPr>
          <w:sz w:val="24"/>
        </w:rPr>
        <w:t xml:space="preserve"> including any interest earned on the funds while held in DWSRF loan reserve account, will be used to pay the DWSRF loan until the surcharge expires.</w:t>
      </w:r>
    </w:p>
    <w:p w:rsidR="00FA1A71" w:rsidRPr="00FA1A71" w:rsidRDefault="00FA1A71" w:rsidP="00FA1A71">
      <w:pPr>
        <w:pStyle w:val="ListParagraph"/>
        <w:ind w:left="1080"/>
        <w:rPr>
          <w:sz w:val="24"/>
        </w:rPr>
      </w:pPr>
    </w:p>
    <w:p w:rsidR="00FA1A71" w:rsidRPr="00FA1A71" w:rsidRDefault="00FA1A71" w:rsidP="00FA1A71">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t xml:space="preserve">Surcharge funds collected and interest earned upon such funds must be held in a separate DWSRF loan reserve account by the </w:t>
      </w:r>
      <w:r w:rsidR="0055500B">
        <w:rPr>
          <w:sz w:val="24"/>
        </w:rPr>
        <w:t>c</w:t>
      </w:r>
      <w:r w:rsidRPr="00FA1A71">
        <w:rPr>
          <w:sz w:val="24"/>
        </w:rPr>
        <w:t>ompany</w:t>
      </w:r>
      <w:r w:rsidR="0055500B">
        <w:rPr>
          <w:sz w:val="24"/>
        </w:rPr>
        <w:t xml:space="preserve"> for the benefit of customers. </w:t>
      </w:r>
      <w:r w:rsidRPr="00FA1A71">
        <w:rPr>
          <w:sz w:val="24"/>
        </w:rPr>
        <w:t xml:space="preserve">Such funds do not become the property of the </w:t>
      </w:r>
      <w:r w:rsidR="0055500B">
        <w:rPr>
          <w:sz w:val="24"/>
        </w:rPr>
        <w:t>c</w:t>
      </w:r>
      <w:r w:rsidRPr="00FA1A71">
        <w:rPr>
          <w:sz w:val="24"/>
        </w:rPr>
        <w:t xml:space="preserve">ompany or </w:t>
      </w:r>
      <w:r w:rsidR="0055500B">
        <w:rPr>
          <w:sz w:val="24"/>
        </w:rPr>
        <w:t>c</w:t>
      </w:r>
      <w:r w:rsidRPr="00FA1A71">
        <w:rPr>
          <w:sz w:val="24"/>
        </w:rPr>
        <w:t xml:space="preserve">ompany owners and may not be disbursed, alienated, attached, or otherwise encumbered by the </w:t>
      </w:r>
      <w:r w:rsidR="0055500B">
        <w:rPr>
          <w:sz w:val="24"/>
        </w:rPr>
        <w:t>c</w:t>
      </w:r>
      <w:r w:rsidRPr="00FA1A71">
        <w:rPr>
          <w:sz w:val="24"/>
        </w:rPr>
        <w:t xml:space="preserve">ompany or its owners. In the event of a sale or transfer of the </w:t>
      </w:r>
      <w:r w:rsidR="0055500B">
        <w:rPr>
          <w:sz w:val="24"/>
        </w:rPr>
        <w:t>c</w:t>
      </w:r>
      <w:r w:rsidRPr="00FA1A71">
        <w:rPr>
          <w:sz w:val="24"/>
        </w:rPr>
        <w:t xml:space="preserve">ompany, the trust obligations established in </w:t>
      </w:r>
      <w:smartTag w:uri="urn:schemas-microsoft-com:office:smarttags" w:element="stockticker">
        <w:r w:rsidRPr="00FA1A71">
          <w:rPr>
            <w:sz w:val="24"/>
          </w:rPr>
          <w:t>WAC</w:t>
        </w:r>
      </w:smartTag>
      <w:r w:rsidRPr="00FA1A71">
        <w:rPr>
          <w:sz w:val="24"/>
        </w:rPr>
        <w:t xml:space="preserve"> 480-110 regarding any unspent surcharge funds will be transferred to the new owners of the </w:t>
      </w:r>
      <w:r w:rsidR="0055500B">
        <w:rPr>
          <w:sz w:val="24"/>
        </w:rPr>
        <w:t>c</w:t>
      </w:r>
      <w:r w:rsidRPr="00FA1A71">
        <w:rPr>
          <w:sz w:val="24"/>
        </w:rPr>
        <w:t>ompany.</w:t>
      </w:r>
    </w:p>
    <w:p w:rsidR="00FA1A71" w:rsidRPr="00FA1A71" w:rsidRDefault="00FA1A71" w:rsidP="00FA1A71">
      <w:pPr>
        <w:pStyle w:val="ListParagraph"/>
        <w:ind w:left="1080"/>
        <w:rPr>
          <w:sz w:val="24"/>
        </w:rPr>
      </w:pPr>
    </w:p>
    <w:p w:rsidR="00FA1A71" w:rsidRPr="00FA1A71" w:rsidRDefault="00FA1A71" w:rsidP="00FA1A71">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t>Each month, the owners will invest a minimum of 30 percent of the annual loan payment (approximately $300 monthly), beginning January 1, 2011, and every month thereafter, until the surcharge expires. These funds will be held in the same DWSRF loan reserve account specified in condition (</w:t>
      </w:r>
      <w:r w:rsidR="00517EC8">
        <w:rPr>
          <w:sz w:val="24"/>
        </w:rPr>
        <w:t>g</w:t>
      </w:r>
      <w:r w:rsidRPr="00FA1A71">
        <w:rPr>
          <w:sz w:val="24"/>
        </w:rPr>
        <w:t>) above. Additional owner’s equity investment may be required to make the annual DWSRF loan payment, if revenue from the surcharge is inadequate.</w:t>
      </w:r>
    </w:p>
    <w:p w:rsidR="00FA1A71" w:rsidRPr="00FA1A71" w:rsidRDefault="00FA1A71" w:rsidP="00FA1A71">
      <w:pPr>
        <w:pStyle w:val="ListParagraph"/>
        <w:ind w:left="1080"/>
        <w:rPr>
          <w:sz w:val="24"/>
        </w:rPr>
      </w:pPr>
    </w:p>
    <w:p w:rsidR="00FA1A71" w:rsidRPr="00FA1A71" w:rsidRDefault="00FA1A71" w:rsidP="00FA1A71">
      <w:pPr>
        <w:widowControl/>
        <w:numPr>
          <w:ilvl w:val="0"/>
          <w:numId w:val="17"/>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FA1A71">
        <w:rPr>
          <w:sz w:val="24"/>
        </w:rPr>
        <w:t xml:space="preserve">The </w:t>
      </w:r>
      <w:r w:rsidR="0055500B">
        <w:rPr>
          <w:sz w:val="24"/>
        </w:rPr>
        <w:t>c</w:t>
      </w:r>
      <w:r w:rsidRPr="00FA1A71">
        <w:rPr>
          <w:sz w:val="24"/>
        </w:rPr>
        <w:t xml:space="preserve">ompany must report the following DWSRF loan reserve account information to the </w:t>
      </w:r>
      <w:r w:rsidR="0055500B">
        <w:rPr>
          <w:sz w:val="24"/>
        </w:rPr>
        <w:t>c</w:t>
      </w:r>
      <w:r w:rsidRPr="00FA1A71">
        <w:rPr>
          <w:sz w:val="24"/>
        </w:rPr>
        <w:t xml:space="preserve">ommission within 45 days of the end of </w:t>
      </w:r>
      <w:r w:rsidR="00517EC8">
        <w:rPr>
          <w:sz w:val="24"/>
        </w:rPr>
        <w:t>each</w:t>
      </w:r>
      <w:r w:rsidRPr="00FA1A71">
        <w:rPr>
          <w:sz w:val="24"/>
        </w:rPr>
        <w:t xml:space="preserve"> calendar quarter:</w:t>
      </w:r>
    </w:p>
    <w:p w:rsidR="00FA1A71" w:rsidRPr="00FA1A71" w:rsidRDefault="00FA1A71" w:rsidP="00FA1A71">
      <w:pPr>
        <w:pStyle w:val="ListParagraph"/>
        <w:ind w:left="1080"/>
        <w:rPr>
          <w:sz w:val="24"/>
        </w:rPr>
      </w:pPr>
    </w:p>
    <w:p w:rsidR="00FA1A71" w:rsidRPr="00FA1A71" w:rsidRDefault="00FA1A71" w:rsidP="00FA1A71">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rPr>
      </w:pPr>
      <w:r w:rsidRPr="00FA1A71">
        <w:rPr>
          <w:sz w:val="24"/>
        </w:rPr>
        <w:t xml:space="preserve">  Beginning balance;</w:t>
      </w:r>
    </w:p>
    <w:p w:rsidR="00FA1A71" w:rsidRPr="00FA1A71" w:rsidRDefault="00FA1A71" w:rsidP="00FA1A71">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Amounts received, detailed by source;</w:t>
      </w:r>
    </w:p>
    <w:p w:rsidR="00FA1A71" w:rsidRPr="00FA1A71" w:rsidRDefault="00FA1A71" w:rsidP="00FA1A71">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Amounts spent, detailed by project or expense;</w:t>
      </w:r>
    </w:p>
    <w:p w:rsidR="00FA1A71" w:rsidRPr="00FA1A71" w:rsidRDefault="00FA1A71" w:rsidP="00FA1A71">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Ending balance;</w:t>
      </w:r>
    </w:p>
    <w:p w:rsidR="00FA1A71" w:rsidRPr="00FA1A71" w:rsidRDefault="00FA1A71" w:rsidP="00FA1A71">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Copy of bank statement(s) detailing loan reserve account for the quarter;</w:t>
      </w:r>
    </w:p>
    <w:p w:rsidR="00FA1A71" w:rsidRPr="00FA1A71" w:rsidRDefault="00FA1A71" w:rsidP="00FA1A71">
      <w:pPr>
        <w:widowControl/>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A1A71">
        <w:rPr>
          <w:sz w:val="24"/>
        </w:rPr>
        <w:t xml:space="preserve">  Reconciliation of bank balance to general ledger.</w:t>
      </w:r>
    </w:p>
    <w:p w:rsidR="00FA1A71" w:rsidRPr="00FA1A71" w:rsidRDefault="00FA1A71" w:rsidP="00FA1A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4"/>
        </w:rPr>
      </w:pPr>
    </w:p>
    <w:p w:rsidR="00897C9E" w:rsidRDefault="00FA1A71" w:rsidP="00FA1A71">
      <w:pPr>
        <w:widowControl/>
        <w:numPr>
          <w:ilvl w:val="0"/>
          <w:numId w:val="17"/>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897C9E">
        <w:rPr>
          <w:sz w:val="24"/>
        </w:rPr>
        <w:t xml:space="preserve">After 2012, excess funds held in the DWSRF loan reserve account will be remitted annually, at the time of the annual loan payment, to be applied to the principal of the </w:t>
      </w:r>
      <w:r w:rsidRPr="00897C9E">
        <w:rPr>
          <w:sz w:val="24"/>
        </w:rPr>
        <w:lastRenderedPageBreak/>
        <w:t>DWSRF loan. “Excess funds” means money accumulated in the reserve account in excess of 10 percent of the DWSRF loan payment for the following year.</w:t>
      </w:r>
    </w:p>
    <w:p w:rsidR="00897C9E" w:rsidRDefault="00897C9E" w:rsidP="00897C9E">
      <w:pPr>
        <w:widowControl/>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p>
    <w:p w:rsidR="004C29FA" w:rsidRPr="00897C9E" w:rsidRDefault="00FA1A71" w:rsidP="00FA1A71">
      <w:pPr>
        <w:widowControl/>
        <w:numPr>
          <w:ilvl w:val="0"/>
          <w:numId w:val="17"/>
        </w:num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rPr>
          <w:sz w:val="24"/>
        </w:rPr>
      </w:pPr>
      <w:r w:rsidRPr="00897C9E">
        <w:rPr>
          <w:sz w:val="24"/>
        </w:rPr>
        <w:t xml:space="preserve">The company must maintain DWSRF records separate from normal daily operations, these include: revenues, expenses, assets, liabilities and equity in a manner that will allow the company to provide a detailed breakdown, by account, in </w:t>
      </w:r>
      <w:r w:rsidR="00517EC8">
        <w:rPr>
          <w:sz w:val="24"/>
        </w:rPr>
        <w:t>its</w:t>
      </w:r>
      <w:r w:rsidRPr="00897C9E">
        <w:rPr>
          <w:sz w:val="24"/>
        </w:rPr>
        <w:t xml:space="preserve"> next rate case.</w:t>
      </w:r>
    </w:p>
    <w:p w:rsidR="004C29FA" w:rsidRPr="00FA1A71" w:rsidRDefault="004C29FA" w:rsidP="008C17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0CB9" w:rsidRDefault="00480CB9" w:rsidP="00480CB9">
      <w:pPr>
        <w:rPr>
          <w:b/>
          <w:sz w:val="24"/>
          <w:u w:val="single"/>
        </w:rPr>
      </w:pPr>
      <w:r w:rsidRPr="00480CB9">
        <w:rPr>
          <w:b/>
          <w:sz w:val="24"/>
          <w:u w:val="single"/>
        </w:rPr>
        <w:t>Customer Comments</w:t>
      </w:r>
    </w:p>
    <w:p w:rsidR="00480CB9" w:rsidRPr="00480CB9" w:rsidRDefault="00480CB9" w:rsidP="00480CB9">
      <w:pPr>
        <w:rPr>
          <w:sz w:val="24"/>
        </w:rPr>
      </w:pPr>
    </w:p>
    <w:p w:rsidR="00480CB9" w:rsidRPr="00480CB9" w:rsidRDefault="00480CB9" w:rsidP="00480CB9">
      <w:pPr>
        <w:rPr>
          <w:sz w:val="24"/>
        </w:rPr>
      </w:pPr>
      <w:r w:rsidRPr="00480CB9">
        <w:rPr>
          <w:sz w:val="24"/>
        </w:rPr>
        <w:t xml:space="preserve">On November 8, 2010, the company notified its customers of the proposed rate increase by mail. Two customer comments have been received to date. Both customers are opposed to the proposed increase. </w:t>
      </w:r>
    </w:p>
    <w:p w:rsidR="00480CB9" w:rsidRPr="00480CB9" w:rsidRDefault="00480CB9" w:rsidP="00480CB9">
      <w:pPr>
        <w:rPr>
          <w:b/>
          <w:sz w:val="24"/>
          <w:u w:val="single"/>
        </w:rPr>
      </w:pPr>
    </w:p>
    <w:p w:rsidR="00480CB9" w:rsidRPr="00480CB9" w:rsidRDefault="00480CB9" w:rsidP="00480CB9">
      <w:pPr>
        <w:rPr>
          <w:sz w:val="24"/>
        </w:rPr>
      </w:pPr>
      <w:r w:rsidRPr="00480CB9">
        <w:rPr>
          <w:sz w:val="24"/>
        </w:rPr>
        <w:t xml:space="preserve">Consumer Protection staff advised customers that they may access company documents pertinent to this rate case www.utc.wa.gov/water, and that they may contact Dennis Shutler at </w:t>
      </w:r>
    </w:p>
    <w:p w:rsidR="00480CB9" w:rsidRPr="00480CB9" w:rsidRDefault="00480CB9" w:rsidP="00480CB9">
      <w:pPr>
        <w:rPr>
          <w:b/>
          <w:sz w:val="24"/>
          <w:u w:val="single"/>
        </w:rPr>
      </w:pPr>
      <w:r w:rsidRPr="00480CB9">
        <w:rPr>
          <w:sz w:val="24"/>
        </w:rPr>
        <w:t>1-888-333-9882 with questions or concerns.</w:t>
      </w:r>
    </w:p>
    <w:p w:rsidR="00480CB9" w:rsidRPr="00480CB9" w:rsidRDefault="00480CB9" w:rsidP="00480CB9">
      <w:pPr>
        <w:tabs>
          <w:tab w:val="left" w:pos="90"/>
        </w:tabs>
        <w:rPr>
          <w:sz w:val="24"/>
        </w:rPr>
      </w:pPr>
    </w:p>
    <w:p w:rsidR="00480CB9" w:rsidRPr="00480CB9" w:rsidRDefault="00480CB9" w:rsidP="00480CB9">
      <w:pPr>
        <w:rPr>
          <w:sz w:val="24"/>
        </w:rPr>
      </w:pPr>
      <w:r w:rsidRPr="00480CB9">
        <w:rPr>
          <w:b/>
          <w:sz w:val="24"/>
        </w:rPr>
        <w:t>Filing Documents and Methodology</w:t>
      </w:r>
    </w:p>
    <w:p w:rsidR="00480CB9" w:rsidRPr="00480CB9" w:rsidRDefault="00480CB9" w:rsidP="00480CB9">
      <w:pPr>
        <w:numPr>
          <w:ilvl w:val="0"/>
          <w:numId w:val="13"/>
        </w:numPr>
        <w:tabs>
          <w:tab w:val="left" w:pos="90"/>
        </w:tabs>
        <w:ind w:left="720"/>
        <w:rPr>
          <w:sz w:val="24"/>
        </w:rPr>
      </w:pPr>
      <w:r w:rsidRPr="00480CB9">
        <w:rPr>
          <w:sz w:val="24"/>
        </w:rPr>
        <w:t xml:space="preserve">One customer believes the capital improvement surcharge should differ between residential and commercial customers, and that it should be based on usage. </w:t>
      </w:r>
    </w:p>
    <w:p w:rsidR="00CA53A4" w:rsidRPr="00480CB9" w:rsidRDefault="00CA53A4" w:rsidP="00480CB9">
      <w:pPr>
        <w:tabs>
          <w:tab w:val="left" w:pos="90"/>
        </w:tabs>
        <w:rPr>
          <w:sz w:val="24"/>
        </w:rPr>
      </w:pPr>
    </w:p>
    <w:p w:rsidR="00480CB9" w:rsidRDefault="00480CB9" w:rsidP="00480CB9">
      <w:pPr>
        <w:tabs>
          <w:tab w:val="left" w:pos="90"/>
        </w:tabs>
        <w:ind w:left="720"/>
        <w:rPr>
          <w:b/>
          <w:sz w:val="24"/>
        </w:rPr>
      </w:pPr>
      <w:r w:rsidRPr="00480CB9">
        <w:rPr>
          <w:b/>
          <w:sz w:val="24"/>
        </w:rPr>
        <w:t xml:space="preserve">Staff Response  </w:t>
      </w:r>
    </w:p>
    <w:p w:rsidR="00CE1C86" w:rsidRDefault="00CE1C86" w:rsidP="00CE1C86">
      <w:pPr>
        <w:tabs>
          <w:tab w:val="left" w:pos="90"/>
        </w:tabs>
        <w:ind w:left="720"/>
        <w:rPr>
          <w:sz w:val="24"/>
        </w:rPr>
      </w:pPr>
      <w:r w:rsidRPr="00CE1C86">
        <w:rPr>
          <w:sz w:val="24"/>
        </w:rPr>
        <w:t xml:space="preserve">To ensure the company has adequate funds to make the annual loan payment, the company proposes to charge all customers equally by applying a flat </w:t>
      </w:r>
      <w:r w:rsidR="00332B9B">
        <w:rPr>
          <w:sz w:val="24"/>
        </w:rPr>
        <w:t xml:space="preserve">charge </w:t>
      </w:r>
      <w:r w:rsidRPr="00CE1C86">
        <w:rPr>
          <w:sz w:val="24"/>
        </w:rPr>
        <w:t>per month.</w:t>
      </w:r>
      <w:r w:rsidR="00480CB9" w:rsidRPr="00480CB9">
        <w:rPr>
          <w:sz w:val="24"/>
        </w:rPr>
        <w:t xml:space="preserve"> </w:t>
      </w:r>
    </w:p>
    <w:p w:rsidR="00480CB9" w:rsidRPr="00480CB9" w:rsidRDefault="00480CB9" w:rsidP="00480CB9">
      <w:pPr>
        <w:ind w:left="720"/>
        <w:rPr>
          <w:sz w:val="24"/>
        </w:rPr>
      </w:pPr>
    </w:p>
    <w:p w:rsidR="00480CB9" w:rsidRPr="00480CB9" w:rsidRDefault="00480CB9" w:rsidP="00480CB9">
      <w:pPr>
        <w:rPr>
          <w:sz w:val="24"/>
        </w:rPr>
      </w:pPr>
      <w:r w:rsidRPr="00480CB9">
        <w:rPr>
          <w:b/>
          <w:sz w:val="24"/>
        </w:rPr>
        <w:t>General Comment</w:t>
      </w:r>
    </w:p>
    <w:p w:rsidR="00480CB9" w:rsidRPr="00480CB9" w:rsidRDefault="00480CB9" w:rsidP="00480CB9">
      <w:pPr>
        <w:numPr>
          <w:ilvl w:val="0"/>
          <w:numId w:val="13"/>
        </w:numPr>
        <w:tabs>
          <w:tab w:val="left" w:pos="90"/>
        </w:tabs>
        <w:ind w:left="720"/>
        <w:rPr>
          <w:sz w:val="24"/>
        </w:rPr>
      </w:pPr>
      <w:r w:rsidRPr="00480CB9">
        <w:rPr>
          <w:sz w:val="24"/>
        </w:rPr>
        <w:t>One customer believes he should not have to pay for the improvements necessary to treat arsenic in the water.</w:t>
      </w:r>
    </w:p>
    <w:p w:rsidR="00480CB9" w:rsidRPr="00480CB9" w:rsidRDefault="00480CB9" w:rsidP="00480CB9">
      <w:pPr>
        <w:tabs>
          <w:tab w:val="left" w:pos="90"/>
        </w:tabs>
        <w:rPr>
          <w:sz w:val="24"/>
        </w:rPr>
      </w:pPr>
    </w:p>
    <w:p w:rsidR="00480CB9" w:rsidRPr="00480CB9" w:rsidRDefault="00480CB9" w:rsidP="00480CB9">
      <w:pPr>
        <w:tabs>
          <w:tab w:val="left" w:pos="90"/>
        </w:tabs>
        <w:ind w:left="720"/>
        <w:rPr>
          <w:b/>
          <w:sz w:val="24"/>
        </w:rPr>
      </w:pPr>
      <w:r w:rsidRPr="00480CB9">
        <w:rPr>
          <w:b/>
          <w:sz w:val="24"/>
        </w:rPr>
        <w:t xml:space="preserve">Staff Response  </w:t>
      </w:r>
    </w:p>
    <w:p w:rsidR="00480CB9" w:rsidRPr="00480CB9" w:rsidRDefault="00480CB9" w:rsidP="00480CB9">
      <w:pPr>
        <w:ind w:left="720"/>
        <w:rPr>
          <w:sz w:val="24"/>
        </w:rPr>
      </w:pPr>
      <w:r w:rsidRPr="00480CB9">
        <w:rPr>
          <w:sz w:val="24"/>
        </w:rPr>
        <w:t xml:space="preserve">The Department of Health has required the company to treat the water </w:t>
      </w:r>
      <w:r w:rsidR="00B73B6A">
        <w:rPr>
          <w:sz w:val="24"/>
        </w:rPr>
        <w:t>to</w:t>
      </w:r>
      <w:r w:rsidRPr="00480CB9">
        <w:rPr>
          <w:sz w:val="24"/>
        </w:rPr>
        <w:t xml:space="preserve"> </w:t>
      </w:r>
      <w:r w:rsidR="00E26414">
        <w:rPr>
          <w:sz w:val="24"/>
        </w:rPr>
        <w:t xml:space="preserve">remove </w:t>
      </w:r>
      <w:r w:rsidRPr="00480CB9">
        <w:rPr>
          <w:sz w:val="24"/>
        </w:rPr>
        <w:t xml:space="preserve">arsenic. This capital improvement cost is </w:t>
      </w:r>
      <w:r w:rsidR="00332B9B">
        <w:rPr>
          <w:sz w:val="24"/>
        </w:rPr>
        <w:t xml:space="preserve">proposed </w:t>
      </w:r>
      <w:r w:rsidRPr="00480CB9">
        <w:rPr>
          <w:sz w:val="24"/>
        </w:rPr>
        <w:t>to be recovered by the company</w:t>
      </w:r>
      <w:r w:rsidR="00332B9B">
        <w:rPr>
          <w:sz w:val="24"/>
        </w:rPr>
        <w:t xml:space="preserve"> from all customers and equity investment</w:t>
      </w:r>
      <w:r w:rsidRPr="00480CB9">
        <w:rPr>
          <w:sz w:val="24"/>
        </w:rPr>
        <w:t xml:space="preserve">. </w:t>
      </w:r>
    </w:p>
    <w:p w:rsidR="00894DBB" w:rsidRPr="00480CB9" w:rsidRDefault="00894DBB" w:rsidP="00894D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894DBB" w:rsidRDefault="00894DBB" w:rsidP="00894D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480CB9">
        <w:rPr>
          <w:bCs/>
          <w:sz w:val="24"/>
        </w:rPr>
        <w:t xml:space="preserve">The </w:t>
      </w:r>
      <w:r w:rsidR="005C2094" w:rsidRPr="00480CB9">
        <w:rPr>
          <w:bCs/>
          <w:sz w:val="24"/>
        </w:rPr>
        <w:t xml:space="preserve">SRF </w:t>
      </w:r>
      <w:r w:rsidRPr="00480CB9">
        <w:rPr>
          <w:bCs/>
          <w:sz w:val="24"/>
        </w:rPr>
        <w:t xml:space="preserve">surcharge will expire December 31, 2030, or upon recovery of $206,881 loan </w:t>
      </w:r>
      <w:r>
        <w:rPr>
          <w:bCs/>
          <w:sz w:val="24"/>
        </w:rPr>
        <w:t xml:space="preserve">principal plus interest </w:t>
      </w:r>
      <w:r w:rsidR="005C2094">
        <w:rPr>
          <w:bCs/>
          <w:sz w:val="24"/>
        </w:rPr>
        <w:t>charges</w:t>
      </w:r>
      <w:r>
        <w:rPr>
          <w:bCs/>
          <w:sz w:val="24"/>
        </w:rPr>
        <w:t xml:space="preserve"> and state excise taxes, whichever occurs first. </w:t>
      </w:r>
      <w:r w:rsidR="00E26414">
        <w:rPr>
          <w:bCs/>
          <w:sz w:val="24"/>
        </w:rPr>
        <w:t xml:space="preserve">Customers may make a one-time payment (within 90 days of effective date) of $813.57 per customer and save interest </w:t>
      </w:r>
      <w:r w:rsidR="0055500B">
        <w:rPr>
          <w:bCs/>
          <w:sz w:val="24"/>
        </w:rPr>
        <w:t>costs.</w:t>
      </w:r>
    </w:p>
    <w:p w:rsidR="0046535B" w:rsidRDefault="0046535B">
      <w:pPr>
        <w:widowControl/>
        <w:autoSpaceDE/>
        <w:autoSpaceDN/>
        <w:adjustRightInd/>
        <w:rPr>
          <w:color w:val="000000"/>
          <w:sz w:val="24"/>
        </w:rPr>
      </w:pPr>
    </w:p>
    <w:p w:rsidR="008956A7" w:rsidRPr="008A2603" w:rsidRDefault="008956A7" w:rsidP="008956A7">
      <w:pPr>
        <w:jc w:val="center"/>
        <w:rPr>
          <w:b/>
          <w:sz w:val="24"/>
          <w:u w:val="single"/>
        </w:rPr>
      </w:pPr>
      <w:r w:rsidRPr="008A2603">
        <w:rPr>
          <w:b/>
          <w:sz w:val="24"/>
          <w:u w:val="single"/>
        </w:rPr>
        <w:t>Rate Comparison</w:t>
      </w:r>
    </w:p>
    <w:p w:rsidR="00AF1A52" w:rsidRPr="008A674C" w:rsidRDefault="00AF1A52" w:rsidP="008956A7">
      <w:pPr>
        <w:rPr>
          <w:sz w:val="24"/>
        </w:rPr>
      </w:pPr>
    </w:p>
    <w:p w:rsidR="00267644" w:rsidRDefault="00267644" w:rsidP="002D3175">
      <w:pPr>
        <w:pStyle w:val="Heading1"/>
        <w:jc w:val="left"/>
        <w:sectPr w:rsidR="00267644" w:rsidSect="00480CB9">
          <w:headerReference w:type="default" r:id="rId10"/>
          <w:endnotePr>
            <w:numFmt w:val="decimal"/>
            <w:numRestart w:val="eachSect"/>
          </w:endnotePr>
          <w:pgSz w:w="12240" w:h="15840" w:code="1"/>
          <w:pgMar w:top="1440" w:right="1440" w:bottom="1296" w:left="1440" w:header="1008" w:footer="720" w:gutter="0"/>
          <w:cols w:space="720"/>
          <w:noEndnote/>
          <w:titlePg/>
          <w:docGrid w:linePitch="272"/>
        </w:sectPr>
      </w:pPr>
    </w:p>
    <w:tbl>
      <w:tblPr>
        <w:tblW w:w="74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1841"/>
        <w:gridCol w:w="2203"/>
      </w:tblGrid>
      <w:tr w:rsidR="00506059" w:rsidRPr="00591778" w:rsidTr="0032605E">
        <w:trPr>
          <w:jc w:val="center"/>
        </w:trPr>
        <w:tc>
          <w:tcPr>
            <w:tcW w:w="3450" w:type="dxa"/>
          </w:tcPr>
          <w:p w:rsidR="00506059" w:rsidRPr="00591778" w:rsidRDefault="00506059" w:rsidP="00EE1966">
            <w:pPr>
              <w:pStyle w:val="Heading1"/>
              <w:rPr>
                <w:b/>
              </w:rPr>
            </w:pPr>
            <w:r w:rsidRPr="00591778">
              <w:rPr>
                <w:b/>
              </w:rPr>
              <w:lastRenderedPageBreak/>
              <w:t>Monthly Rate</w:t>
            </w:r>
          </w:p>
        </w:tc>
        <w:tc>
          <w:tcPr>
            <w:tcW w:w="1841" w:type="dxa"/>
            <w:vAlign w:val="center"/>
          </w:tcPr>
          <w:p w:rsidR="00506059" w:rsidRPr="00591778" w:rsidRDefault="00506059" w:rsidP="00EE1966">
            <w:pPr>
              <w:jc w:val="center"/>
              <w:rPr>
                <w:b/>
                <w:sz w:val="24"/>
              </w:rPr>
            </w:pPr>
            <w:r w:rsidRPr="00591778">
              <w:rPr>
                <w:b/>
                <w:sz w:val="24"/>
              </w:rPr>
              <w:t>Current Rate</w:t>
            </w:r>
          </w:p>
        </w:tc>
        <w:tc>
          <w:tcPr>
            <w:tcW w:w="2203" w:type="dxa"/>
          </w:tcPr>
          <w:p w:rsidR="00506059" w:rsidRPr="00591778" w:rsidRDefault="00506059" w:rsidP="00EE1966">
            <w:pPr>
              <w:jc w:val="center"/>
              <w:rPr>
                <w:b/>
                <w:sz w:val="24"/>
              </w:rPr>
            </w:pPr>
            <w:r w:rsidRPr="00591778">
              <w:rPr>
                <w:b/>
                <w:sz w:val="24"/>
              </w:rPr>
              <w:t>Proposed Rate</w:t>
            </w:r>
          </w:p>
        </w:tc>
      </w:tr>
      <w:tr w:rsidR="00506059" w:rsidRPr="008A674C" w:rsidTr="0032605E">
        <w:trPr>
          <w:jc w:val="center"/>
        </w:trPr>
        <w:tc>
          <w:tcPr>
            <w:tcW w:w="3450" w:type="dxa"/>
          </w:tcPr>
          <w:p w:rsidR="00506059" w:rsidRPr="00E25CDB" w:rsidRDefault="00212390" w:rsidP="00207407">
            <w:pPr>
              <w:pStyle w:val="Heading1"/>
              <w:jc w:val="left"/>
            </w:pPr>
            <w:r>
              <w:t>SRF Surcharge (Each Customer)</w:t>
            </w:r>
          </w:p>
        </w:tc>
        <w:tc>
          <w:tcPr>
            <w:tcW w:w="1841" w:type="dxa"/>
          </w:tcPr>
          <w:p w:rsidR="00506059" w:rsidRPr="00E25CDB" w:rsidRDefault="0046535B" w:rsidP="0046535B">
            <w:pPr>
              <w:jc w:val="center"/>
              <w:rPr>
                <w:sz w:val="24"/>
              </w:rPr>
            </w:pPr>
            <w:r>
              <w:rPr>
                <w:sz w:val="24"/>
              </w:rPr>
              <w:t>NA</w:t>
            </w:r>
          </w:p>
        </w:tc>
        <w:tc>
          <w:tcPr>
            <w:tcW w:w="2203" w:type="dxa"/>
          </w:tcPr>
          <w:p w:rsidR="00506059" w:rsidRPr="00E25CDB" w:rsidRDefault="00506059" w:rsidP="00212390">
            <w:pPr>
              <w:jc w:val="center"/>
              <w:rPr>
                <w:sz w:val="24"/>
              </w:rPr>
            </w:pPr>
            <w:r>
              <w:rPr>
                <w:sz w:val="24"/>
              </w:rPr>
              <w:t>$</w:t>
            </w:r>
            <w:r w:rsidR="00212390">
              <w:rPr>
                <w:sz w:val="24"/>
              </w:rPr>
              <w:t>4.14</w:t>
            </w:r>
          </w:p>
        </w:tc>
      </w:tr>
    </w:tbl>
    <w:p w:rsidR="00E14CA6" w:rsidRDefault="00E14CA6" w:rsidP="00925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p>
    <w:p w:rsidR="00055B37" w:rsidRDefault="00055B37" w:rsidP="00925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p>
    <w:p w:rsidR="008434A7" w:rsidRDefault="008434A7" w:rsidP="008434A7">
      <w:pPr>
        <w:widowControl/>
        <w:autoSpaceDE/>
        <w:autoSpaceDN/>
        <w:adjustRightInd/>
        <w:jc w:val="center"/>
        <w:rPr>
          <w:rFonts w:eastAsia="Calibri"/>
          <w:b/>
          <w:sz w:val="24"/>
          <w:u w:val="single"/>
          <w:lang w:bidi="en-US"/>
        </w:rPr>
      </w:pPr>
      <w:r w:rsidRPr="008434A7">
        <w:rPr>
          <w:rFonts w:eastAsia="Calibri"/>
          <w:b/>
          <w:sz w:val="24"/>
          <w:u w:val="single"/>
          <w:lang w:bidi="en-US"/>
        </w:rPr>
        <w:lastRenderedPageBreak/>
        <w:t>Average Monthly Bill Comparison</w:t>
      </w:r>
    </w:p>
    <w:tbl>
      <w:tblPr>
        <w:tblpPr w:leftFromText="180" w:rightFromText="180" w:vertAnchor="text" w:horzAnchor="margin" w:tblpXSpec="center" w:tblpY="178"/>
        <w:tblW w:w="7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8"/>
        <w:gridCol w:w="1849"/>
        <w:gridCol w:w="2161"/>
      </w:tblGrid>
      <w:tr w:rsidR="0032605E" w:rsidRPr="008434A7" w:rsidTr="00471E8C">
        <w:tc>
          <w:tcPr>
            <w:tcW w:w="3438" w:type="dxa"/>
            <w:tcBorders>
              <w:top w:val="single" w:sz="4" w:space="0" w:color="auto"/>
              <w:left w:val="single" w:sz="4" w:space="0" w:color="auto"/>
              <w:bottom w:val="single" w:sz="4" w:space="0" w:color="auto"/>
              <w:right w:val="single" w:sz="4" w:space="0" w:color="auto"/>
            </w:tcBorders>
          </w:tcPr>
          <w:p w:rsidR="0032605E" w:rsidRPr="008434A7" w:rsidRDefault="0032605E" w:rsidP="00D6315F">
            <w:pPr>
              <w:widowControl/>
              <w:autoSpaceDE/>
              <w:autoSpaceDN/>
              <w:adjustRightInd/>
              <w:rPr>
                <w:rFonts w:eastAsia="Calibri"/>
                <w:sz w:val="24"/>
                <w:lang w:bidi="en-US"/>
              </w:rPr>
            </w:pPr>
            <w:r w:rsidRPr="008434A7">
              <w:rPr>
                <w:rFonts w:eastAsia="Calibri"/>
                <w:sz w:val="24"/>
                <w:lang w:bidi="en-US"/>
              </w:rPr>
              <w:t>Average Monthly Usage</w:t>
            </w:r>
          </w:p>
          <w:p w:rsidR="0032605E" w:rsidRPr="008434A7" w:rsidRDefault="00212390" w:rsidP="00212390">
            <w:pPr>
              <w:widowControl/>
              <w:autoSpaceDE/>
              <w:autoSpaceDN/>
              <w:adjustRightInd/>
              <w:rPr>
                <w:rFonts w:eastAsia="Calibri"/>
                <w:sz w:val="24"/>
                <w:lang w:bidi="en-US"/>
              </w:rPr>
            </w:pPr>
            <w:r>
              <w:rPr>
                <w:rFonts w:eastAsia="Calibri"/>
                <w:sz w:val="24"/>
                <w:lang w:bidi="en-US"/>
              </w:rPr>
              <w:t>8</w:t>
            </w:r>
            <w:r w:rsidR="0032605E">
              <w:rPr>
                <w:rFonts w:eastAsia="Calibri"/>
                <w:sz w:val="24"/>
                <w:lang w:bidi="en-US"/>
              </w:rPr>
              <w:t>4</w:t>
            </w:r>
            <w:r>
              <w:rPr>
                <w:rFonts w:eastAsia="Calibri"/>
                <w:sz w:val="24"/>
                <w:lang w:bidi="en-US"/>
              </w:rPr>
              <w:t>9</w:t>
            </w:r>
            <w:r w:rsidR="0032605E">
              <w:rPr>
                <w:rFonts w:eastAsia="Calibri"/>
                <w:sz w:val="24"/>
                <w:lang w:bidi="en-US"/>
              </w:rPr>
              <w:t xml:space="preserve"> cubic feet</w:t>
            </w:r>
            <w:r w:rsidR="00471E8C">
              <w:rPr>
                <w:rFonts w:eastAsia="Calibri"/>
                <w:sz w:val="24"/>
                <w:lang w:bidi="en-US"/>
              </w:rPr>
              <w:t xml:space="preserve"> **</w:t>
            </w:r>
          </w:p>
        </w:tc>
        <w:tc>
          <w:tcPr>
            <w:tcW w:w="1849" w:type="dxa"/>
            <w:tcBorders>
              <w:top w:val="single" w:sz="4" w:space="0" w:color="auto"/>
              <w:left w:val="single" w:sz="4" w:space="0" w:color="auto"/>
              <w:bottom w:val="single" w:sz="4" w:space="0" w:color="auto"/>
              <w:right w:val="single" w:sz="4" w:space="0" w:color="auto"/>
            </w:tcBorders>
          </w:tcPr>
          <w:p w:rsidR="0032605E" w:rsidRPr="008434A7" w:rsidRDefault="0032605E" w:rsidP="00D6315F">
            <w:pPr>
              <w:widowControl/>
              <w:autoSpaceDE/>
              <w:autoSpaceDN/>
              <w:adjustRightInd/>
              <w:jc w:val="center"/>
              <w:rPr>
                <w:rFonts w:eastAsia="Calibri"/>
                <w:sz w:val="24"/>
                <w:lang w:bidi="en-US"/>
              </w:rPr>
            </w:pPr>
            <w:r w:rsidRPr="008434A7">
              <w:rPr>
                <w:rFonts w:eastAsia="Calibri"/>
                <w:sz w:val="24"/>
                <w:lang w:bidi="en-US"/>
              </w:rPr>
              <w:t>Current Rate</w:t>
            </w:r>
          </w:p>
        </w:tc>
        <w:tc>
          <w:tcPr>
            <w:tcW w:w="2161" w:type="dxa"/>
            <w:tcBorders>
              <w:top w:val="single" w:sz="4" w:space="0" w:color="auto"/>
              <w:left w:val="single" w:sz="4" w:space="0" w:color="auto"/>
              <w:bottom w:val="single" w:sz="4" w:space="0" w:color="auto"/>
              <w:right w:val="single" w:sz="4" w:space="0" w:color="auto"/>
            </w:tcBorders>
          </w:tcPr>
          <w:p w:rsidR="0032605E" w:rsidRPr="008434A7" w:rsidRDefault="0032605E" w:rsidP="00D6315F">
            <w:pPr>
              <w:widowControl/>
              <w:autoSpaceDE/>
              <w:autoSpaceDN/>
              <w:adjustRightInd/>
              <w:jc w:val="center"/>
              <w:rPr>
                <w:rFonts w:eastAsia="Calibri"/>
                <w:sz w:val="24"/>
                <w:lang w:bidi="en-US"/>
              </w:rPr>
            </w:pPr>
            <w:r w:rsidRPr="008434A7">
              <w:rPr>
                <w:rFonts w:eastAsia="Calibri"/>
                <w:sz w:val="24"/>
                <w:lang w:bidi="en-US"/>
              </w:rPr>
              <w:t>Proposed Rate</w:t>
            </w:r>
          </w:p>
        </w:tc>
      </w:tr>
      <w:tr w:rsidR="0032605E" w:rsidRPr="008434A7" w:rsidTr="00471E8C">
        <w:tc>
          <w:tcPr>
            <w:tcW w:w="3438" w:type="dxa"/>
            <w:tcBorders>
              <w:top w:val="single" w:sz="4" w:space="0" w:color="auto"/>
              <w:left w:val="single" w:sz="4" w:space="0" w:color="auto"/>
              <w:bottom w:val="single" w:sz="4" w:space="0" w:color="auto"/>
              <w:right w:val="single" w:sz="4" w:space="0" w:color="auto"/>
            </w:tcBorders>
          </w:tcPr>
          <w:p w:rsidR="0032605E" w:rsidRPr="008434A7" w:rsidRDefault="0032605E" w:rsidP="00D6315F">
            <w:pPr>
              <w:widowControl/>
              <w:autoSpaceDE/>
              <w:autoSpaceDN/>
              <w:adjustRightInd/>
              <w:rPr>
                <w:rFonts w:eastAsia="Calibri"/>
                <w:sz w:val="24"/>
                <w:lang w:bidi="en-US"/>
              </w:rPr>
            </w:pPr>
            <w:r w:rsidRPr="008434A7">
              <w:rPr>
                <w:rFonts w:eastAsia="Calibri"/>
                <w:sz w:val="24"/>
                <w:lang w:bidi="en-US"/>
              </w:rPr>
              <w:t>Base Charge – zero Allowance</w:t>
            </w:r>
          </w:p>
        </w:tc>
        <w:tc>
          <w:tcPr>
            <w:tcW w:w="1849" w:type="dxa"/>
            <w:tcBorders>
              <w:top w:val="single" w:sz="4" w:space="0" w:color="auto"/>
              <w:left w:val="single" w:sz="4" w:space="0" w:color="auto"/>
              <w:bottom w:val="single" w:sz="4" w:space="0" w:color="auto"/>
              <w:right w:val="single" w:sz="4" w:space="0" w:color="auto"/>
            </w:tcBorders>
          </w:tcPr>
          <w:p w:rsidR="0032605E" w:rsidRPr="008434A7" w:rsidRDefault="0032605E" w:rsidP="00212390">
            <w:pPr>
              <w:widowControl/>
              <w:autoSpaceDE/>
              <w:autoSpaceDN/>
              <w:adjustRightInd/>
              <w:jc w:val="center"/>
              <w:rPr>
                <w:rFonts w:eastAsia="Calibri"/>
                <w:sz w:val="24"/>
                <w:lang w:bidi="en-US"/>
              </w:rPr>
            </w:pPr>
            <w:r w:rsidRPr="008434A7">
              <w:rPr>
                <w:rFonts w:eastAsia="Calibri"/>
                <w:sz w:val="24"/>
                <w:lang w:bidi="en-US"/>
              </w:rPr>
              <w:t>$2</w:t>
            </w:r>
            <w:r w:rsidR="00212390">
              <w:rPr>
                <w:rFonts w:eastAsia="Calibri"/>
                <w:sz w:val="24"/>
                <w:lang w:bidi="en-US"/>
              </w:rPr>
              <w:t>3</w:t>
            </w:r>
            <w:r w:rsidRPr="008434A7">
              <w:rPr>
                <w:rFonts w:eastAsia="Calibri"/>
                <w:sz w:val="24"/>
                <w:lang w:bidi="en-US"/>
              </w:rPr>
              <w:t>.00</w:t>
            </w:r>
          </w:p>
        </w:tc>
        <w:tc>
          <w:tcPr>
            <w:tcW w:w="2161" w:type="dxa"/>
            <w:tcBorders>
              <w:top w:val="single" w:sz="4" w:space="0" w:color="auto"/>
              <w:left w:val="single" w:sz="4" w:space="0" w:color="auto"/>
              <w:bottom w:val="single" w:sz="4" w:space="0" w:color="auto"/>
              <w:right w:val="single" w:sz="4" w:space="0" w:color="auto"/>
            </w:tcBorders>
          </w:tcPr>
          <w:p w:rsidR="0032605E" w:rsidRPr="008434A7" w:rsidRDefault="0032605E" w:rsidP="00212390">
            <w:pPr>
              <w:widowControl/>
              <w:autoSpaceDE/>
              <w:autoSpaceDN/>
              <w:adjustRightInd/>
              <w:jc w:val="center"/>
              <w:rPr>
                <w:rFonts w:eastAsia="Calibri"/>
                <w:sz w:val="24"/>
                <w:lang w:bidi="en-US"/>
              </w:rPr>
            </w:pPr>
            <w:r w:rsidRPr="008434A7">
              <w:rPr>
                <w:rFonts w:eastAsia="Calibri"/>
                <w:sz w:val="24"/>
                <w:lang w:bidi="en-US"/>
              </w:rPr>
              <w:t>$</w:t>
            </w:r>
            <w:r w:rsidR="00212390">
              <w:rPr>
                <w:rFonts w:eastAsia="Calibri"/>
                <w:sz w:val="24"/>
                <w:lang w:bidi="en-US"/>
              </w:rPr>
              <w:t>2</w:t>
            </w:r>
            <w:r>
              <w:rPr>
                <w:rFonts w:eastAsia="Calibri"/>
                <w:sz w:val="24"/>
                <w:lang w:bidi="en-US"/>
              </w:rPr>
              <w:t>3</w:t>
            </w:r>
            <w:r w:rsidRPr="008434A7">
              <w:rPr>
                <w:rFonts w:eastAsia="Calibri"/>
                <w:sz w:val="24"/>
                <w:lang w:bidi="en-US"/>
              </w:rPr>
              <w:t>.00</w:t>
            </w:r>
          </w:p>
        </w:tc>
      </w:tr>
      <w:tr w:rsidR="0032605E" w:rsidRPr="008434A7" w:rsidTr="00471E8C">
        <w:tc>
          <w:tcPr>
            <w:tcW w:w="3438" w:type="dxa"/>
            <w:tcBorders>
              <w:top w:val="single" w:sz="4" w:space="0" w:color="auto"/>
              <w:left w:val="single" w:sz="4" w:space="0" w:color="auto"/>
              <w:bottom w:val="single" w:sz="4" w:space="0" w:color="auto"/>
              <w:right w:val="single" w:sz="4" w:space="0" w:color="auto"/>
            </w:tcBorders>
          </w:tcPr>
          <w:p w:rsidR="0032605E" w:rsidRPr="008434A7" w:rsidRDefault="0032605E" w:rsidP="00D6315F">
            <w:pPr>
              <w:widowControl/>
              <w:autoSpaceDE/>
              <w:autoSpaceDN/>
              <w:adjustRightInd/>
              <w:rPr>
                <w:rFonts w:eastAsia="Calibri"/>
                <w:sz w:val="24"/>
                <w:lang w:bidi="en-US"/>
              </w:rPr>
            </w:pPr>
            <w:r>
              <w:rPr>
                <w:rFonts w:eastAsia="Calibri"/>
                <w:sz w:val="24"/>
                <w:lang w:bidi="en-US"/>
              </w:rPr>
              <w:t>849  cubic feet</w:t>
            </w:r>
            <w:r w:rsidRPr="008434A7">
              <w:rPr>
                <w:rFonts w:eastAsia="Calibri"/>
                <w:sz w:val="24"/>
                <w:lang w:bidi="en-US"/>
              </w:rPr>
              <w:t xml:space="preserve"> water usage</w:t>
            </w:r>
          </w:p>
        </w:tc>
        <w:tc>
          <w:tcPr>
            <w:tcW w:w="1849" w:type="dxa"/>
            <w:tcBorders>
              <w:top w:val="single" w:sz="4" w:space="0" w:color="auto"/>
              <w:left w:val="single" w:sz="4" w:space="0" w:color="auto"/>
              <w:bottom w:val="double" w:sz="4" w:space="0" w:color="auto"/>
              <w:right w:val="single" w:sz="4" w:space="0" w:color="auto"/>
            </w:tcBorders>
          </w:tcPr>
          <w:p w:rsidR="0032605E" w:rsidRPr="008434A7" w:rsidRDefault="0032605E" w:rsidP="00212390">
            <w:pPr>
              <w:widowControl/>
              <w:autoSpaceDE/>
              <w:autoSpaceDN/>
              <w:adjustRightInd/>
              <w:jc w:val="center"/>
              <w:rPr>
                <w:rFonts w:eastAsia="Calibri"/>
                <w:sz w:val="24"/>
                <w:lang w:bidi="en-US"/>
              </w:rPr>
            </w:pPr>
            <w:r>
              <w:rPr>
                <w:rFonts w:eastAsia="Calibri"/>
                <w:sz w:val="24"/>
                <w:lang w:bidi="en-US"/>
              </w:rPr>
              <w:t xml:space="preserve"> $</w:t>
            </w:r>
            <w:r w:rsidR="00212390">
              <w:rPr>
                <w:rFonts w:eastAsia="Calibri"/>
                <w:sz w:val="24"/>
                <w:lang w:bidi="en-US"/>
              </w:rPr>
              <w:t>2</w:t>
            </w:r>
            <w:r>
              <w:rPr>
                <w:rFonts w:eastAsia="Calibri"/>
                <w:sz w:val="24"/>
                <w:lang w:bidi="en-US"/>
              </w:rPr>
              <w:t>8.</w:t>
            </w:r>
            <w:r w:rsidR="00212390">
              <w:rPr>
                <w:rFonts w:eastAsia="Calibri"/>
                <w:sz w:val="24"/>
                <w:lang w:bidi="en-US"/>
              </w:rPr>
              <w:t>02</w:t>
            </w:r>
          </w:p>
        </w:tc>
        <w:tc>
          <w:tcPr>
            <w:tcW w:w="2161" w:type="dxa"/>
            <w:tcBorders>
              <w:top w:val="single" w:sz="4" w:space="0" w:color="auto"/>
              <w:left w:val="single" w:sz="4" w:space="0" w:color="auto"/>
              <w:bottom w:val="double" w:sz="4" w:space="0" w:color="auto"/>
              <w:right w:val="single" w:sz="4" w:space="0" w:color="auto"/>
            </w:tcBorders>
          </w:tcPr>
          <w:p w:rsidR="0032605E" w:rsidRPr="008434A7" w:rsidRDefault="0032605E" w:rsidP="00212390">
            <w:pPr>
              <w:widowControl/>
              <w:autoSpaceDE/>
              <w:autoSpaceDN/>
              <w:adjustRightInd/>
              <w:jc w:val="center"/>
              <w:rPr>
                <w:rFonts w:eastAsia="Calibri"/>
                <w:sz w:val="24"/>
                <w:lang w:bidi="en-US"/>
              </w:rPr>
            </w:pPr>
            <w:r w:rsidRPr="008434A7">
              <w:rPr>
                <w:rFonts w:eastAsia="Calibri"/>
                <w:sz w:val="24"/>
                <w:lang w:bidi="en-US"/>
              </w:rPr>
              <w:t>$</w:t>
            </w:r>
            <w:r w:rsidR="00212390">
              <w:rPr>
                <w:rFonts w:eastAsia="Calibri"/>
                <w:sz w:val="24"/>
                <w:lang w:bidi="en-US"/>
              </w:rPr>
              <w:t>28</w:t>
            </w:r>
            <w:r>
              <w:rPr>
                <w:rFonts w:eastAsia="Calibri"/>
                <w:sz w:val="24"/>
                <w:lang w:bidi="en-US"/>
              </w:rPr>
              <w:t>.0</w:t>
            </w:r>
            <w:r w:rsidR="00212390">
              <w:rPr>
                <w:rFonts w:eastAsia="Calibri"/>
                <w:sz w:val="24"/>
                <w:lang w:bidi="en-US"/>
              </w:rPr>
              <w:t>2</w:t>
            </w:r>
          </w:p>
        </w:tc>
      </w:tr>
      <w:tr w:rsidR="0032605E" w:rsidRPr="008434A7" w:rsidTr="00471E8C">
        <w:tc>
          <w:tcPr>
            <w:tcW w:w="3438" w:type="dxa"/>
            <w:tcBorders>
              <w:top w:val="single" w:sz="4" w:space="0" w:color="auto"/>
              <w:left w:val="single" w:sz="4" w:space="0" w:color="auto"/>
              <w:bottom w:val="single" w:sz="4" w:space="0" w:color="auto"/>
              <w:right w:val="single" w:sz="4" w:space="0" w:color="auto"/>
            </w:tcBorders>
          </w:tcPr>
          <w:p w:rsidR="0032605E" w:rsidRPr="008434A7" w:rsidRDefault="0032605E" w:rsidP="00D6315F">
            <w:pPr>
              <w:widowControl/>
              <w:autoSpaceDE/>
              <w:autoSpaceDN/>
              <w:adjustRightInd/>
              <w:rPr>
                <w:rFonts w:eastAsia="Calibri"/>
                <w:sz w:val="24"/>
                <w:lang w:bidi="en-US"/>
              </w:rPr>
            </w:pPr>
            <w:r w:rsidRPr="008434A7">
              <w:rPr>
                <w:rFonts w:eastAsia="Calibri"/>
                <w:sz w:val="24"/>
                <w:lang w:bidi="en-US"/>
              </w:rPr>
              <w:t>Average Monthly Bill</w:t>
            </w:r>
          </w:p>
        </w:tc>
        <w:tc>
          <w:tcPr>
            <w:tcW w:w="1849" w:type="dxa"/>
            <w:tcBorders>
              <w:top w:val="double" w:sz="4" w:space="0" w:color="auto"/>
              <w:left w:val="single" w:sz="4" w:space="0" w:color="auto"/>
              <w:bottom w:val="single" w:sz="4" w:space="0" w:color="auto"/>
              <w:right w:val="single" w:sz="4" w:space="0" w:color="auto"/>
            </w:tcBorders>
          </w:tcPr>
          <w:p w:rsidR="0032605E" w:rsidRPr="008434A7" w:rsidRDefault="0032605E" w:rsidP="00212390">
            <w:pPr>
              <w:widowControl/>
              <w:autoSpaceDE/>
              <w:autoSpaceDN/>
              <w:adjustRightInd/>
              <w:jc w:val="center"/>
              <w:rPr>
                <w:rFonts w:eastAsia="Calibri"/>
                <w:sz w:val="24"/>
                <w:lang w:bidi="en-US"/>
              </w:rPr>
            </w:pPr>
            <w:r w:rsidRPr="008434A7">
              <w:rPr>
                <w:rFonts w:eastAsia="Calibri"/>
                <w:sz w:val="24"/>
                <w:lang w:bidi="en-US"/>
              </w:rPr>
              <w:t>$</w:t>
            </w:r>
            <w:r w:rsidR="00212390">
              <w:rPr>
                <w:rFonts w:eastAsia="Calibri"/>
                <w:sz w:val="24"/>
                <w:lang w:bidi="en-US"/>
              </w:rPr>
              <w:t>51</w:t>
            </w:r>
            <w:r w:rsidRPr="008434A7">
              <w:rPr>
                <w:rFonts w:eastAsia="Calibri"/>
                <w:sz w:val="24"/>
                <w:lang w:bidi="en-US"/>
              </w:rPr>
              <w:t>.</w:t>
            </w:r>
            <w:r w:rsidR="00212390">
              <w:rPr>
                <w:rFonts w:eastAsia="Calibri"/>
                <w:sz w:val="24"/>
                <w:lang w:bidi="en-US"/>
              </w:rPr>
              <w:t>02</w:t>
            </w:r>
          </w:p>
        </w:tc>
        <w:tc>
          <w:tcPr>
            <w:tcW w:w="2161" w:type="dxa"/>
            <w:tcBorders>
              <w:top w:val="double" w:sz="4" w:space="0" w:color="auto"/>
              <w:left w:val="single" w:sz="4" w:space="0" w:color="auto"/>
              <w:bottom w:val="single" w:sz="4" w:space="0" w:color="auto"/>
              <w:right w:val="single" w:sz="4" w:space="0" w:color="auto"/>
            </w:tcBorders>
          </w:tcPr>
          <w:p w:rsidR="0032605E" w:rsidRPr="008434A7" w:rsidRDefault="0032605E" w:rsidP="00212390">
            <w:pPr>
              <w:widowControl/>
              <w:autoSpaceDE/>
              <w:autoSpaceDN/>
              <w:adjustRightInd/>
              <w:jc w:val="center"/>
              <w:rPr>
                <w:rFonts w:eastAsia="Calibri"/>
                <w:sz w:val="24"/>
                <w:lang w:bidi="en-US"/>
              </w:rPr>
            </w:pPr>
            <w:r>
              <w:rPr>
                <w:rFonts w:eastAsia="Calibri"/>
                <w:sz w:val="24"/>
                <w:lang w:bidi="en-US"/>
              </w:rPr>
              <w:t>$5</w:t>
            </w:r>
            <w:r w:rsidR="00212390">
              <w:rPr>
                <w:rFonts w:eastAsia="Calibri"/>
                <w:sz w:val="24"/>
                <w:lang w:bidi="en-US"/>
              </w:rPr>
              <w:t>1</w:t>
            </w:r>
            <w:r>
              <w:rPr>
                <w:rFonts w:eastAsia="Calibri"/>
                <w:sz w:val="24"/>
                <w:lang w:bidi="en-US"/>
              </w:rPr>
              <w:t>.0</w:t>
            </w:r>
            <w:r w:rsidR="00212390">
              <w:rPr>
                <w:rFonts w:eastAsia="Calibri"/>
                <w:sz w:val="24"/>
                <w:lang w:bidi="en-US"/>
              </w:rPr>
              <w:t>2</w:t>
            </w:r>
          </w:p>
        </w:tc>
      </w:tr>
      <w:tr w:rsidR="00212390" w:rsidRPr="008434A7" w:rsidTr="00471E8C">
        <w:tblPrEx>
          <w:tblLook w:val="01E0"/>
        </w:tblPrEx>
        <w:tc>
          <w:tcPr>
            <w:tcW w:w="3438" w:type="dxa"/>
            <w:vAlign w:val="bottom"/>
          </w:tcPr>
          <w:p w:rsidR="00212390" w:rsidRPr="008434A7" w:rsidRDefault="00212390" w:rsidP="00D6315F">
            <w:pPr>
              <w:widowControl/>
              <w:autoSpaceDE/>
              <w:autoSpaceDN/>
              <w:adjustRightInd/>
              <w:rPr>
                <w:rFonts w:eastAsia="Calibri"/>
                <w:sz w:val="24"/>
                <w:lang w:bidi="en-US"/>
              </w:rPr>
            </w:pPr>
            <w:r>
              <w:rPr>
                <w:rFonts w:eastAsia="Calibri"/>
                <w:sz w:val="24"/>
                <w:lang w:bidi="en-US"/>
              </w:rPr>
              <w:t>SRF Surcharge</w:t>
            </w:r>
          </w:p>
        </w:tc>
        <w:tc>
          <w:tcPr>
            <w:tcW w:w="1849" w:type="dxa"/>
            <w:tcBorders>
              <w:top w:val="single" w:sz="4" w:space="0" w:color="auto"/>
              <w:bottom w:val="single" w:sz="4" w:space="0" w:color="auto"/>
            </w:tcBorders>
            <w:vAlign w:val="bottom"/>
          </w:tcPr>
          <w:p w:rsidR="00212390" w:rsidRPr="008434A7" w:rsidRDefault="00212390" w:rsidP="00D6315F">
            <w:pPr>
              <w:widowControl/>
              <w:autoSpaceDE/>
              <w:autoSpaceDN/>
              <w:adjustRightInd/>
              <w:jc w:val="center"/>
              <w:rPr>
                <w:rFonts w:eastAsia="Calibri"/>
                <w:sz w:val="24"/>
                <w:lang w:bidi="en-US"/>
              </w:rPr>
            </w:pPr>
            <w:r>
              <w:rPr>
                <w:rFonts w:eastAsia="Calibri"/>
                <w:sz w:val="24"/>
                <w:lang w:bidi="en-US"/>
              </w:rPr>
              <w:t>NA</w:t>
            </w:r>
          </w:p>
        </w:tc>
        <w:tc>
          <w:tcPr>
            <w:tcW w:w="2161" w:type="dxa"/>
            <w:tcBorders>
              <w:top w:val="single" w:sz="4" w:space="0" w:color="auto"/>
              <w:bottom w:val="single" w:sz="4" w:space="0" w:color="auto"/>
            </w:tcBorders>
            <w:vAlign w:val="bottom"/>
          </w:tcPr>
          <w:p w:rsidR="00212390" w:rsidRDefault="00212390" w:rsidP="00D6315F">
            <w:pPr>
              <w:widowControl/>
              <w:autoSpaceDE/>
              <w:autoSpaceDN/>
              <w:adjustRightInd/>
              <w:jc w:val="center"/>
              <w:rPr>
                <w:rFonts w:eastAsia="Calibri"/>
                <w:sz w:val="24"/>
                <w:lang w:bidi="en-US"/>
              </w:rPr>
            </w:pPr>
            <w:r>
              <w:rPr>
                <w:rFonts w:eastAsia="Calibri"/>
                <w:sz w:val="24"/>
                <w:lang w:bidi="en-US"/>
              </w:rPr>
              <w:t xml:space="preserve"> $4.14</w:t>
            </w:r>
          </w:p>
        </w:tc>
      </w:tr>
      <w:tr w:rsidR="00212390" w:rsidRPr="008434A7" w:rsidTr="00471E8C">
        <w:tblPrEx>
          <w:tblLook w:val="01E0"/>
        </w:tblPrEx>
        <w:tc>
          <w:tcPr>
            <w:tcW w:w="3438" w:type="dxa"/>
          </w:tcPr>
          <w:p w:rsidR="00212390" w:rsidRPr="008434A7" w:rsidRDefault="00212390" w:rsidP="00212390">
            <w:pPr>
              <w:widowControl/>
              <w:autoSpaceDE/>
              <w:autoSpaceDN/>
              <w:adjustRightInd/>
              <w:rPr>
                <w:rFonts w:eastAsia="Calibri"/>
                <w:sz w:val="24"/>
                <w:lang w:bidi="en-US"/>
              </w:rPr>
            </w:pPr>
            <w:r w:rsidRPr="008434A7">
              <w:rPr>
                <w:rFonts w:eastAsia="Calibri"/>
                <w:sz w:val="24"/>
                <w:lang w:bidi="en-US"/>
              </w:rPr>
              <w:t>Average Monthly Bill</w:t>
            </w:r>
          </w:p>
        </w:tc>
        <w:tc>
          <w:tcPr>
            <w:tcW w:w="1849" w:type="dxa"/>
            <w:tcBorders>
              <w:top w:val="single" w:sz="4" w:space="0" w:color="auto"/>
              <w:bottom w:val="single" w:sz="4" w:space="0" w:color="auto"/>
            </w:tcBorders>
          </w:tcPr>
          <w:p w:rsidR="00212390" w:rsidRPr="008434A7" w:rsidRDefault="00212390" w:rsidP="00212390">
            <w:pPr>
              <w:widowControl/>
              <w:autoSpaceDE/>
              <w:autoSpaceDN/>
              <w:adjustRightInd/>
              <w:jc w:val="center"/>
              <w:rPr>
                <w:rFonts w:eastAsia="Calibri"/>
                <w:sz w:val="24"/>
                <w:lang w:bidi="en-US"/>
              </w:rPr>
            </w:pPr>
            <w:r w:rsidRPr="008434A7">
              <w:rPr>
                <w:rFonts w:eastAsia="Calibri"/>
                <w:sz w:val="24"/>
                <w:lang w:bidi="en-US"/>
              </w:rPr>
              <w:t>$</w:t>
            </w:r>
            <w:r>
              <w:rPr>
                <w:rFonts w:eastAsia="Calibri"/>
                <w:sz w:val="24"/>
                <w:lang w:bidi="en-US"/>
              </w:rPr>
              <w:t>51</w:t>
            </w:r>
            <w:r w:rsidRPr="008434A7">
              <w:rPr>
                <w:rFonts w:eastAsia="Calibri"/>
                <w:sz w:val="24"/>
                <w:lang w:bidi="en-US"/>
              </w:rPr>
              <w:t>.</w:t>
            </w:r>
            <w:r>
              <w:rPr>
                <w:rFonts w:eastAsia="Calibri"/>
                <w:sz w:val="24"/>
                <w:lang w:bidi="en-US"/>
              </w:rPr>
              <w:t>02</w:t>
            </w:r>
          </w:p>
        </w:tc>
        <w:tc>
          <w:tcPr>
            <w:tcW w:w="2161" w:type="dxa"/>
            <w:tcBorders>
              <w:top w:val="single" w:sz="4" w:space="0" w:color="auto"/>
              <w:bottom w:val="single" w:sz="4" w:space="0" w:color="auto"/>
            </w:tcBorders>
          </w:tcPr>
          <w:p w:rsidR="00212390" w:rsidRPr="008434A7" w:rsidRDefault="00212390" w:rsidP="00212390">
            <w:pPr>
              <w:widowControl/>
              <w:autoSpaceDE/>
              <w:autoSpaceDN/>
              <w:adjustRightInd/>
              <w:jc w:val="center"/>
              <w:rPr>
                <w:rFonts w:eastAsia="Calibri"/>
                <w:sz w:val="24"/>
                <w:lang w:bidi="en-US"/>
              </w:rPr>
            </w:pPr>
            <w:r>
              <w:rPr>
                <w:rFonts w:eastAsia="Calibri"/>
                <w:sz w:val="24"/>
                <w:lang w:bidi="en-US"/>
              </w:rPr>
              <w:t>$55.16</w:t>
            </w:r>
          </w:p>
        </w:tc>
      </w:tr>
      <w:tr w:rsidR="00212390" w:rsidRPr="008434A7" w:rsidTr="00471E8C">
        <w:tblPrEx>
          <w:tblLook w:val="01E0"/>
        </w:tblPrEx>
        <w:tc>
          <w:tcPr>
            <w:tcW w:w="3438" w:type="dxa"/>
            <w:vAlign w:val="bottom"/>
          </w:tcPr>
          <w:p w:rsidR="00212390" w:rsidRPr="008434A7" w:rsidRDefault="00212390" w:rsidP="00212390">
            <w:pPr>
              <w:widowControl/>
              <w:autoSpaceDE/>
              <w:autoSpaceDN/>
              <w:adjustRightInd/>
              <w:rPr>
                <w:rFonts w:eastAsia="Calibri"/>
                <w:sz w:val="24"/>
                <w:lang w:bidi="en-US"/>
              </w:rPr>
            </w:pPr>
            <w:r w:rsidRPr="008434A7">
              <w:rPr>
                <w:rFonts w:eastAsia="Calibri"/>
                <w:sz w:val="24"/>
                <w:lang w:bidi="en-US"/>
              </w:rPr>
              <w:t>Increase From Current Rates</w:t>
            </w:r>
          </w:p>
        </w:tc>
        <w:tc>
          <w:tcPr>
            <w:tcW w:w="1849" w:type="dxa"/>
            <w:tcBorders>
              <w:top w:val="single" w:sz="4" w:space="0" w:color="auto"/>
            </w:tcBorders>
            <w:vAlign w:val="bottom"/>
          </w:tcPr>
          <w:p w:rsidR="00212390" w:rsidRPr="008434A7" w:rsidRDefault="00212390" w:rsidP="00212390">
            <w:pPr>
              <w:widowControl/>
              <w:autoSpaceDE/>
              <w:autoSpaceDN/>
              <w:adjustRightInd/>
              <w:jc w:val="center"/>
              <w:rPr>
                <w:rFonts w:eastAsia="Calibri"/>
                <w:sz w:val="24"/>
                <w:lang w:bidi="en-US"/>
              </w:rPr>
            </w:pPr>
          </w:p>
        </w:tc>
        <w:tc>
          <w:tcPr>
            <w:tcW w:w="2161" w:type="dxa"/>
            <w:tcBorders>
              <w:top w:val="single" w:sz="4" w:space="0" w:color="auto"/>
            </w:tcBorders>
            <w:vAlign w:val="bottom"/>
          </w:tcPr>
          <w:p w:rsidR="00212390" w:rsidRPr="008434A7" w:rsidRDefault="00212390" w:rsidP="00212390">
            <w:pPr>
              <w:widowControl/>
              <w:autoSpaceDE/>
              <w:autoSpaceDN/>
              <w:adjustRightInd/>
              <w:jc w:val="center"/>
              <w:rPr>
                <w:rFonts w:eastAsia="Calibri"/>
                <w:sz w:val="24"/>
                <w:lang w:bidi="en-US"/>
              </w:rPr>
            </w:pPr>
            <w:r>
              <w:rPr>
                <w:rFonts w:eastAsia="Calibri"/>
                <w:sz w:val="24"/>
                <w:lang w:bidi="en-US"/>
              </w:rPr>
              <w:t xml:space="preserve">    8.1</w:t>
            </w:r>
            <w:r w:rsidRPr="008434A7">
              <w:rPr>
                <w:rFonts w:eastAsia="Calibri"/>
                <w:sz w:val="24"/>
                <w:lang w:bidi="en-US"/>
              </w:rPr>
              <w:t>%</w:t>
            </w:r>
          </w:p>
        </w:tc>
      </w:tr>
    </w:tbl>
    <w:p w:rsidR="008434A7" w:rsidRPr="008434A7" w:rsidRDefault="008434A7" w:rsidP="008434A7">
      <w:pPr>
        <w:widowControl/>
        <w:autoSpaceDE/>
        <w:autoSpaceDN/>
        <w:adjustRightInd/>
        <w:jc w:val="center"/>
        <w:rPr>
          <w:rFonts w:eastAsia="Calibri"/>
          <w:sz w:val="24"/>
          <w:u w:val="single"/>
          <w:lang w:bidi="en-US"/>
        </w:rPr>
      </w:pP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p>
    <w:p w:rsidR="00471E8C" w:rsidRPr="00471E8C" w:rsidRDefault="00471E8C" w:rsidP="00471E8C">
      <w:pPr>
        <w:widowControl/>
        <w:autoSpaceDE/>
        <w:autoSpaceDN/>
        <w:adjustRightInd/>
        <w:ind w:firstLine="720"/>
        <w:rPr>
          <w:rFonts w:eastAsia="Calibri"/>
          <w:szCs w:val="20"/>
          <w:lang w:bidi="en-US"/>
        </w:rPr>
      </w:pPr>
      <w:r w:rsidRPr="00471E8C">
        <w:rPr>
          <w:rFonts w:eastAsia="Calibri"/>
          <w:szCs w:val="20"/>
          <w:lang w:bidi="en-US"/>
        </w:rPr>
        <w:t xml:space="preserve">** </w:t>
      </w:r>
      <w:r w:rsidR="002226D3">
        <w:rPr>
          <w:rFonts w:eastAsia="Calibri"/>
          <w:szCs w:val="20"/>
          <w:lang w:bidi="en-US"/>
        </w:rPr>
        <w:t xml:space="preserve">General </w:t>
      </w:r>
      <w:r w:rsidRPr="00471E8C">
        <w:rPr>
          <w:rFonts w:eastAsia="Calibri"/>
          <w:szCs w:val="20"/>
          <w:lang w:bidi="en-US"/>
        </w:rPr>
        <w:t>Rate Case UW-091751 February 12, 2010</w:t>
      </w:r>
      <w:r w:rsidR="002226D3">
        <w:rPr>
          <w:rFonts w:eastAsia="Calibri"/>
          <w:szCs w:val="20"/>
          <w:lang w:bidi="en-US"/>
        </w:rPr>
        <w:t>.</w:t>
      </w:r>
    </w:p>
    <w:p w:rsidR="00471E8C" w:rsidRDefault="00471E8C" w:rsidP="004D2DE8">
      <w:pPr>
        <w:widowControl/>
        <w:autoSpaceDE/>
        <w:autoSpaceDN/>
        <w:adjustRightInd/>
        <w:rPr>
          <w:sz w:val="24"/>
        </w:rPr>
      </w:pPr>
    </w:p>
    <w:p w:rsidR="00471E8C" w:rsidRDefault="00471E8C" w:rsidP="004D2DE8">
      <w:pPr>
        <w:widowControl/>
        <w:autoSpaceDE/>
        <w:autoSpaceDN/>
        <w:adjustRightInd/>
        <w:rPr>
          <w:sz w:val="24"/>
        </w:rPr>
      </w:pPr>
      <w:r>
        <w:rPr>
          <w:sz w:val="24"/>
        </w:rPr>
        <w:t>C</w:t>
      </w:r>
      <w:r w:rsidR="000F43E5" w:rsidRPr="0050505B">
        <w:rPr>
          <w:sz w:val="24"/>
        </w:rPr>
        <w:t xml:space="preserve">ommission staff has completed its review of the company’s supporting financial documents, </w:t>
      </w:r>
    </w:p>
    <w:p w:rsidR="00471E8C" w:rsidRDefault="000F43E5" w:rsidP="004D2DE8">
      <w:pPr>
        <w:widowControl/>
        <w:autoSpaceDE/>
        <w:autoSpaceDN/>
        <w:adjustRightInd/>
        <w:rPr>
          <w:sz w:val="24"/>
        </w:rPr>
      </w:pPr>
      <w:r w:rsidRPr="0050505B">
        <w:rPr>
          <w:sz w:val="24"/>
        </w:rPr>
        <w:t xml:space="preserve">books and records. Staff’s review shows that the </w:t>
      </w:r>
      <w:r w:rsidR="004A640B">
        <w:rPr>
          <w:sz w:val="24"/>
        </w:rPr>
        <w:t>propose</w:t>
      </w:r>
      <w:r w:rsidRPr="0050505B">
        <w:rPr>
          <w:sz w:val="24"/>
        </w:rPr>
        <w:t xml:space="preserve">d </w:t>
      </w:r>
      <w:r w:rsidR="004A640B">
        <w:rPr>
          <w:sz w:val="24"/>
        </w:rPr>
        <w:t>filing</w:t>
      </w:r>
      <w:r w:rsidRPr="0050505B">
        <w:rPr>
          <w:sz w:val="24"/>
        </w:rPr>
        <w:t xml:space="preserve"> </w:t>
      </w:r>
      <w:r w:rsidR="004A640B">
        <w:rPr>
          <w:sz w:val="24"/>
        </w:rPr>
        <w:t>is</w:t>
      </w:r>
      <w:r w:rsidRPr="0050505B">
        <w:rPr>
          <w:sz w:val="24"/>
        </w:rPr>
        <w:t xml:space="preserve"> reasonable and required as </w:t>
      </w:r>
    </w:p>
    <w:p w:rsidR="004D2DE8" w:rsidRPr="004D2DE8" w:rsidRDefault="000F43E5" w:rsidP="004D2DE8">
      <w:pPr>
        <w:widowControl/>
        <w:autoSpaceDE/>
        <w:autoSpaceDN/>
        <w:adjustRightInd/>
        <w:rPr>
          <w:rFonts w:eastAsia="Calibri"/>
          <w:sz w:val="24"/>
          <w:lang w:bidi="en-US"/>
        </w:rPr>
      </w:pPr>
      <w:r w:rsidRPr="0050505B">
        <w:rPr>
          <w:sz w:val="24"/>
        </w:rPr>
        <w:t>part of the company’s operations. The customer’s comments do not change staff’s opinion that the company’s financial information support the revised revenue requirement and the revised rates and charges are fair, just, reasonable, and sufficient.</w:t>
      </w:r>
    </w:p>
    <w:p w:rsidR="004D2DE8" w:rsidRPr="004D2DE8" w:rsidRDefault="004D2DE8" w:rsidP="004D2DE8">
      <w:pPr>
        <w:widowControl/>
        <w:autoSpaceDE/>
        <w:autoSpaceDN/>
        <w:adjustRightInd/>
        <w:rPr>
          <w:rFonts w:eastAsia="Calibri"/>
          <w:sz w:val="24"/>
          <w:lang w:bidi="en-US"/>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8C17A9" w:rsidRDefault="008C17A9" w:rsidP="008C17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055B37" w:rsidRDefault="001C74D1" w:rsidP="00055B37">
      <w:pPr>
        <w:widowControl/>
        <w:autoSpaceDE/>
        <w:autoSpaceDN/>
        <w:adjustRightInd/>
        <w:rPr>
          <w:sz w:val="24"/>
        </w:rPr>
      </w:pPr>
      <w:r w:rsidRPr="00517EC8">
        <w:rPr>
          <w:sz w:val="24"/>
        </w:rPr>
        <w:t xml:space="preserve">Issue an order </w:t>
      </w:r>
      <w:r>
        <w:rPr>
          <w:sz w:val="24"/>
        </w:rPr>
        <w:t xml:space="preserve">approving the surcharge </w:t>
      </w:r>
      <w:r w:rsidRPr="00517EC8">
        <w:rPr>
          <w:sz w:val="24"/>
        </w:rPr>
        <w:t xml:space="preserve">filed by the </w:t>
      </w:r>
      <w:r>
        <w:rPr>
          <w:sz w:val="24"/>
        </w:rPr>
        <w:t xml:space="preserve">Camano Hills Water Company </w:t>
      </w:r>
      <w:r w:rsidRPr="00517EC8">
        <w:rPr>
          <w:sz w:val="24"/>
        </w:rPr>
        <w:t xml:space="preserve">on </w:t>
      </w:r>
    </w:p>
    <w:p w:rsidR="001C74D1" w:rsidRPr="00517EC8" w:rsidRDefault="001C74D1" w:rsidP="001C74D1">
      <w:pPr>
        <w:widowControl/>
        <w:autoSpaceDE/>
        <w:autoSpaceDN/>
        <w:adjustRightInd/>
        <w:spacing w:line="288" w:lineRule="auto"/>
        <w:rPr>
          <w:sz w:val="24"/>
        </w:rPr>
      </w:pPr>
      <w:r w:rsidRPr="00517EC8">
        <w:rPr>
          <w:sz w:val="24"/>
        </w:rPr>
        <w:t xml:space="preserve">November 8, 2010, to become effective January 1, 2011, subject to conditions set forth </w:t>
      </w:r>
      <w:r w:rsidR="001D70EA">
        <w:rPr>
          <w:sz w:val="24"/>
        </w:rPr>
        <w:t>above</w:t>
      </w:r>
      <w:r w:rsidRPr="00517EC8">
        <w:rPr>
          <w:sz w:val="24"/>
        </w:rPr>
        <w:t>.</w:t>
      </w:r>
    </w:p>
    <w:p w:rsidR="004A640B" w:rsidRDefault="004A640B" w:rsidP="008C17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4A640B" w:rsidSect="0080067C">
      <w:footnotePr>
        <w:numRestart w:val="eachPage"/>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094" w:rsidRDefault="005C2094">
      <w:r>
        <w:separator/>
      </w:r>
    </w:p>
  </w:endnote>
  <w:endnote w:type="continuationSeparator" w:id="0">
    <w:p w:rsidR="005C2094" w:rsidRDefault="005C20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094" w:rsidRDefault="005C2094">
      <w:r>
        <w:separator/>
      </w:r>
    </w:p>
  </w:footnote>
  <w:footnote w:type="continuationSeparator" w:id="0">
    <w:p w:rsidR="005C2094" w:rsidRDefault="005C2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4079"/>
      <w:docPartObj>
        <w:docPartGallery w:val="Page Numbers (Top of Page)"/>
        <w:docPartUnique/>
      </w:docPartObj>
    </w:sdtPr>
    <w:sdtContent>
      <w:p w:rsidR="005C2094" w:rsidRDefault="00055B37">
        <w:pPr>
          <w:pStyle w:val="Header"/>
        </w:pPr>
        <w:r>
          <w:t xml:space="preserve">Docket </w:t>
        </w:r>
        <w:r w:rsidR="005C2094">
          <w:t>UW-101817</w:t>
        </w:r>
      </w:p>
      <w:p w:rsidR="005C2094" w:rsidRDefault="005C2094">
        <w:pPr>
          <w:pStyle w:val="Header"/>
        </w:pPr>
        <w:r>
          <w:t>December 30, 2010</w:t>
        </w:r>
      </w:p>
      <w:p w:rsidR="005C2094" w:rsidRDefault="005C2094">
        <w:pPr>
          <w:pStyle w:val="Header"/>
        </w:pPr>
        <w:r>
          <w:t xml:space="preserve">Page </w:t>
        </w:r>
        <w:fldSimple w:instr=" PAGE   \* MERGEFORMAT ">
          <w:r w:rsidR="00D268AA">
            <w:rPr>
              <w:noProof/>
            </w:rPr>
            <w:t>5</w:t>
          </w:r>
        </w:fldSimple>
      </w:p>
      <w:p w:rsidR="005C2094" w:rsidRDefault="0034157C">
        <w:pPr>
          <w:pStyle w:val="Header"/>
        </w:pPr>
      </w:p>
    </w:sdtContent>
  </w:sdt>
  <w:p w:rsidR="005C2094" w:rsidRDefault="005C20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FD"/>
    <w:multiLevelType w:val="hybridMultilevel"/>
    <w:tmpl w:val="06B00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BB7AE7"/>
    <w:multiLevelType w:val="hybridMultilevel"/>
    <w:tmpl w:val="3D72CA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187D30"/>
    <w:multiLevelType w:val="hybridMultilevel"/>
    <w:tmpl w:val="AF747882"/>
    <w:lvl w:ilvl="0" w:tplc="CB3EC2F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1C69AF"/>
    <w:multiLevelType w:val="hybridMultilevel"/>
    <w:tmpl w:val="6C58D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D6978"/>
    <w:multiLevelType w:val="hybridMultilevel"/>
    <w:tmpl w:val="BE848512"/>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075BC5"/>
    <w:multiLevelType w:val="hybridMultilevel"/>
    <w:tmpl w:val="1C7E83F6"/>
    <w:lvl w:ilvl="0" w:tplc="2AC2CE90">
      <w:numFmt w:val="bullet"/>
      <w:lvlText w:val=""/>
      <w:lvlJc w:val="left"/>
      <w:pPr>
        <w:ind w:left="1485" w:hanging="360"/>
      </w:pPr>
      <w:rPr>
        <w:rFonts w:ascii="Symbol" w:eastAsia="Times New Roman" w:hAnsi="Symbol"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F620AA6"/>
    <w:multiLevelType w:val="hybridMultilevel"/>
    <w:tmpl w:val="E4E82B36"/>
    <w:lvl w:ilvl="0" w:tplc="050CD67C">
      <w:start w:val="1"/>
      <w:numFmt w:val="bullet"/>
      <w:pStyle w:val="FindingsConclusions"/>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4615EC"/>
    <w:multiLevelType w:val="hybridMultilevel"/>
    <w:tmpl w:val="6DA83DAE"/>
    <w:lvl w:ilvl="0" w:tplc="83F25B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nsid w:val="6BB378C2"/>
    <w:multiLevelType w:val="hybridMultilevel"/>
    <w:tmpl w:val="6C58D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F0449"/>
    <w:multiLevelType w:val="hybridMultilevel"/>
    <w:tmpl w:val="20585A2C"/>
    <w:lvl w:ilvl="0" w:tplc="AEC8D70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F01BA5"/>
    <w:multiLevelType w:val="hybridMultilevel"/>
    <w:tmpl w:val="ECA4E616"/>
    <w:lvl w:ilvl="0" w:tplc="04090017">
      <w:start w:val="1"/>
      <w:numFmt w:val="lowerLetter"/>
      <w:lvlText w:val="%1)"/>
      <w:lvlJc w:val="left"/>
      <w:pPr>
        <w:ind w:left="1080" w:hanging="360"/>
      </w:pPr>
      <w:rPr>
        <w:rFonts w:hint="default"/>
      </w:rPr>
    </w:lvl>
    <w:lvl w:ilvl="1" w:tplc="74569F24">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7"/>
  </w:num>
  <w:num w:numId="3">
    <w:abstractNumId w:val="1"/>
  </w:num>
  <w:num w:numId="4">
    <w:abstractNumId w:val="16"/>
  </w:num>
  <w:num w:numId="5">
    <w:abstractNumId w:val="3"/>
  </w:num>
  <w:num w:numId="6">
    <w:abstractNumId w:val="6"/>
  </w:num>
  <w:num w:numId="7">
    <w:abstractNumId w:val="14"/>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1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5"/>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numRestart w:val="eachSect"/>
    <w:endnote w:id="-1"/>
    <w:endnote w:id="0"/>
  </w:endnotePr>
  <w:compat/>
  <w:rsids>
    <w:rsidRoot w:val="007155BE"/>
    <w:rsid w:val="00030B90"/>
    <w:rsid w:val="000377B4"/>
    <w:rsid w:val="00037E0B"/>
    <w:rsid w:val="0004008D"/>
    <w:rsid w:val="00041309"/>
    <w:rsid w:val="00055129"/>
    <w:rsid w:val="0005533B"/>
    <w:rsid w:val="00055B37"/>
    <w:rsid w:val="00065632"/>
    <w:rsid w:val="0006565B"/>
    <w:rsid w:val="00072E8D"/>
    <w:rsid w:val="00074C54"/>
    <w:rsid w:val="000838FA"/>
    <w:rsid w:val="00084C44"/>
    <w:rsid w:val="0009317F"/>
    <w:rsid w:val="000A0E82"/>
    <w:rsid w:val="000A2FD7"/>
    <w:rsid w:val="000B7233"/>
    <w:rsid w:val="000D23A6"/>
    <w:rsid w:val="000D6EE8"/>
    <w:rsid w:val="000E5DC6"/>
    <w:rsid w:val="000F23B0"/>
    <w:rsid w:val="000F43E5"/>
    <w:rsid w:val="000F4ACF"/>
    <w:rsid w:val="00114DD1"/>
    <w:rsid w:val="00122C4B"/>
    <w:rsid w:val="00137513"/>
    <w:rsid w:val="00137D00"/>
    <w:rsid w:val="00137FE5"/>
    <w:rsid w:val="00144F9A"/>
    <w:rsid w:val="0015140F"/>
    <w:rsid w:val="00152A83"/>
    <w:rsid w:val="0015464D"/>
    <w:rsid w:val="00161E2E"/>
    <w:rsid w:val="00164BEE"/>
    <w:rsid w:val="00175973"/>
    <w:rsid w:val="00180222"/>
    <w:rsid w:val="0019005A"/>
    <w:rsid w:val="00190126"/>
    <w:rsid w:val="00194D3A"/>
    <w:rsid w:val="001A53BD"/>
    <w:rsid w:val="001B36DE"/>
    <w:rsid w:val="001B4800"/>
    <w:rsid w:val="001C1460"/>
    <w:rsid w:val="001C186D"/>
    <w:rsid w:val="001C74D1"/>
    <w:rsid w:val="001D2061"/>
    <w:rsid w:val="001D28F3"/>
    <w:rsid w:val="001D70EA"/>
    <w:rsid w:val="001E1EE6"/>
    <w:rsid w:val="001E641B"/>
    <w:rsid w:val="001E72E0"/>
    <w:rsid w:val="001F4515"/>
    <w:rsid w:val="001F467F"/>
    <w:rsid w:val="00202A6C"/>
    <w:rsid w:val="002044EE"/>
    <w:rsid w:val="00204E23"/>
    <w:rsid w:val="00207407"/>
    <w:rsid w:val="00212390"/>
    <w:rsid w:val="002226D3"/>
    <w:rsid w:val="00233FFB"/>
    <w:rsid w:val="002348E0"/>
    <w:rsid w:val="002349CB"/>
    <w:rsid w:val="00234D12"/>
    <w:rsid w:val="0024162C"/>
    <w:rsid w:val="002418D9"/>
    <w:rsid w:val="002445BD"/>
    <w:rsid w:val="00251D04"/>
    <w:rsid w:val="002520CC"/>
    <w:rsid w:val="0026637B"/>
    <w:rsid w:val="00267644"/>
    <w:rsid w:val="002722D7"/>
    <w:rsid w:val="0027629F"/>
    <w:rsid w:val="002913A8"/>
    <w:rsid w:val="0029365C"/>
    <w:rsid w:val="002974EA"/>
    <w:rsid w:val="002A1B14"/>
    <w:rsid w:val="002A5D58"/>
    <w:rsid w:val="002B02AE"/>
    <w:rsid w:val="002B3B6D"/>
    <w:rsid w:val="002C1AE1"/>
    <w:rsid w:val="002C1D40"/>
    <w:rsid w:val="002C4FE4"/>
    <w:rsid w:val="002C7517"/>
    <w:rsid w:val="002D3175"/>
    <w:rsid w:val="002D4F2A"/>
    <w:rsid w:val="003025F5"/>
    <w:rsid w:val="00307B2F"/>
    <w:rsid w:val="00313EEB"/>
    <w:rsid w:val="0032605E"/>
    <w:rsid w:val="00332B9B"/>
    <w:rsid w:val="00340B55"/>
    <w:rsid w:val="0034157C"/>
    <w:rsid w:val="00350743"/>
    <w:rsid w:val="00361D71"/>
    <w:rsid w:val="00361EDC"/>
    <w:rsid w:val="00370CA1"/>
    <w:rsid w:val="00376C63"/>
    <w:rsid w:val="00382C0C"/>
    <w:rsid w:val="00393E46"/>
    <w:rsid w:val="003A0501"/>
    <w:rsid w:val="003A2597"/>
    <w:rsid w:val="003A50AE"/>
    <w:rsid w:val="003C134F"/>
    <w:rsid w:val="003C18AE"/>
    <w:rsid w:val="003C3D11"/>
    <w:rsid w:val="003C510E"/>
    <w:rsid w:val="003D0D1F"/>
    <w:rsid w:val="003D1063"/>
    <w:rsid w:val="003D66B0"/>
    <w:rsid w:val="003D7349"/>
    <w:rsid w:val="003D7545"/>
    <w:rsid w:val="003E2C21"/>
    <w:rsid w:val="003E4343"/>
    <w:rsid w:val="003E4D88"/>
    <w:rsid w:val="003F10C8"/>
    <w:rsid w:val="0040266C"/>
    <w:rsid w:val="0042096A"/>
    <w:rsid w:val="00433C77"/>
    <w:rsid w:val="004533CC"/>
    <w:rsid w:val="0045500C"/>
    <w:rsid w:val="00456249"/>
    <w:rsid w:val="00461E5D"/>
    <w:rsid w:val="004627CC"/>
    <w:rsid w:val="0046535B"/>
    <w:rsid w:val="00471E8C"/>
    <w:rsid w:val="004721BB"/>
    <w:rsid w:val="00475ADF"/>
    <w:rsid w:val="004764BD"/>
    <w:rsid w:val="00480CB9"/>
    <w:rsid w:val="004827C9"/>
    <w:rsid w:val="004842F7"/>
    <w:rsid w:val="00487387"/>
    <w:rsid w:val="004A640B"/>
    <w:rsid w:val="004B630E"/>
    <w:rsid w:val="004C29FA"/>
    <w:rsid w:val="004D28EE"/>
    <w:rsid w:val="004D2DA6"/>
    <w:rsid w:val="004D2DE8"/>
    <w:rsid w:val="004D4B93"/>
    <w:rsid w:val="005021D8"/>
    <w:rsid w:val="0050347B"/>
    <w:rsid w:val="00506059"/>
    <w:rsid w:val="0050781D"/>
    <w:rsid w:val="005128B0"/>
    <w:rsid w:val="00517EC8"/>
    <w:rsid w:val="0053232D"/>
    <w:rsid w:val="00547523"/>
    <w:rsid w:val="00550F09"/>
    <w:rsid w:val="0055500B"/>
    <w:rsid w:val="0055788D"/>
    <w:rsid w:val="0056068D"/>
    <w:rsid w:val="005612F3"/>
    <w:rsid w:val="00565736"/>
    <w:rsid w:val="005706D2"/>
    <w:rsid w:val="00576F1E"/>
    <w:rsid w:val="005770E2"/>
    <w:rsid w:val="00584D8E"/>
    <w:rsid w:val="00591778"/>
    <w:rsid w:val="00597EB0"/>
    <w:rsid w:val="005A0C74"/>
    <w:rsid w:val="005A1CD1"/>
    <w:rsid w:val="005B4AE8"/>
    <w:rsid w:val="005C0529"/>
    <w:rsid w:val="005C2094"/>
    <w:rsid w:val="005C27C6"/>
    <w:rsid w:val="005F4E63"/>
    <w:rsid w:val="0060344F"/>
    <w:rsid w:val="00605346"/>
    <w:rsid w:val="00610C4C"/>
    <w:rsid w:val="00611599"/>
    <w:rsid w:val="00612BDD"/>
    <w:rsid w:val="0061374A"/>
    <w:rsid w:val="00622736"/>
    <w:rsid w:val="0062357E"/>
    <w:rsid w:val="006320C8"/>
    <w:rsid w:val="00645AE1"/>
    <w:rsid w:val="0065301B"/>
    <w:rsid w:val="006536CD"/>
    <w:rsid w:val="006540D9"/>
    <w:rsid w:val="0065659A"/>
    <w:rsid w:val="00656619"/>
    <w:rsid w:val="00663672"/>
    <w:rsid w:val="00665BFB"/>
    <w:rsid w:val="00666D66"/>
    <w:rsid w:val="00672435"/>
    <w:rsid w:val="00674E59"/>
    <w:rsid w:val="006775D8"/>
    <w:rsid w:val="0068050B"/>
    <w:rsid w:val="0068313F"/>
    <w:rsid w:val="006840B0"/>
    <w:rsid w:val="00697E4B"/>
    <w:rsid w:val="006A5D8E"/>
    <w:rsid w:val="006C104A"/>
    <w:rsid w:val="006C40DB"/>
    <w:rsid w:val="006C46E4"/>
    <w:rsid w:val="006D1C3C"/>
    <w:rsid w:val="006E03AC"/>
    <w:rsid w:val="00701067"/>
    <w:rsid w:val="00705045"/>
    <w:rsid w:val="00712747"/>
    <w:rsid w:val="007155BE"/>
    <w:rsid w:val="00717F25"/>
    <w:rsid w:val="00736665"/>
    <w:rsid w:val="00737B9F"/>
    <w:rsid w:val="00744436"/>
    <w:rsid w:val="00754F16"/>
    <w:rsid w:val="0076457C"/>
    <w:rsid w:val="00766578"/>
    <w:rsid w:val="00772711"/>
    <w:rsid w:val="00781AD4"/>
    <w:rsid w:val="00792A0E"/>
    <w:rsid w:val="0079694E"/>
    <w:rsid w:val="007A03B4"/>
    <w:rsid w:val="007A2598"/>
    <w:rsid w:val="007A3E61"/>
    <w:rsid w:val="007C046B"/>
    <w:rsid w:val="007C1691"/>
    <w:rsid w:val="007C36D5"/>
    <w:rsid w:val="007C7B37"/>
    <w:rsid w:val="007D047D"/>
    <w:rsid w:val="007F0A9C"/>
    <w:rsid w:val="007F158A"/>
    <w:rsid w:val="007F5737"/>
    <w:rsid w:val="0080067C"/>
    <w:rsid w:val="008058FE"/>
    <w:rsid w:val="00807220"/>
    <w:rsid w:val="00807347"/>
    <w:rsid w:val="00824180"/>
    <w:rsid w:val="0082469B"/>
    <w:rsid w:val="00832AA3"/>
    <w:rsid w:val="00836F6B"/>
    <w:rsid w:val="00842072"/>
    <w:rsid w:val="008434A7"/>
    <w:rsid w:val="00845286"/>
    <w:rsid w:val="008473DC"/>
    <w:rsid w:val="008506EB"/>
    <w:rsid w:val="0086311D"/>
    <w:rsid w:val="00863257"/>
    <w:rsid w:val="0086429A"/>
    <w:rsid w:val="00872E84"/>
    <w:rsid w:val="00873CFA"/>
    <w:rsid w:val="00880FCE"/>
    <w:rsid w:val="00887599"/>
    <w:rsid w:val="00894DBB"/>
    <w:rsid w:val="008956A7"/>
    <w:rsid w:val="00897C9E"/>
    <w:rsid w:val="008A49D4"/>
    <w:rsid w:val="008A5620"/>
    <w:rsid w:val="008A674C"/>
    <w:rsid w:val="008B44FE"/>
    <w:rsid w:val="008B66BD"/>
    <w:rsid w:val="008C17A9"/>
    <w:rsid w:val="008C3604"/>
    <w:rsid w:val="008D2F40"/>
    <w:rsid w:val="008D36A8"/>
    <w:rsid w:val="008E765F"/>
    <w:rsid w:val="00900DD1"/>
    <w:rsid w:val="009017F4"/>
    <w:rsid w:val="009056DD"/>
    <w:rsid w:val="009141AD"/>
    <w:rsid w:val="00916157"/>
    <w:rsid w:val="00916D1D"/>
    <w:rsid w:val="00921DA3"/>
    <w:rsid w:val="009223E9"/>
    <w:rsid w:val="0092550A"/>
    <w:rsid w:val="0093024D"/>
    <w:rsid w:val="00930429"/>
    <w:rsid w:val="009445B6"/>
    <w:rsid w:val="0094598C"/>
    <w:rsid w:val="00951684"/>
    <w:rsid w:val="00951704"/>
    <w:rsid w:val="00954092"/>
    <w:rsid w:val="00957836"/>
    <w:rsid w:val="009579C1"/>
    <w:rsid w:val="0096110F"/>
    <w:rsid w:val="00961BA1"/>
    <w:rsid w:val="00970F01"/>
    <w:rsid w:val="009745CA"/>
    <w:rsid w:val="00976DF8"/>
    <w:rsid w:val="00994777"/>
    <w:rsid w:val="009A33FE"/>
    <w:rsid w:val="009D0A34"/>
    <w:rsid w:val="009D4CE3"/>
    <w:rsid w:val="009D4F84"/>
    <w:rsid w:val="009D7E7B"/>
    <w:rsid w:val="009E443D"/>
    <w:rsid w:val="009F0527"/>
    <w:rsid w:val="00A0489E"/>
    <w:rsid w:val="00A1282A"/>
    <w:rsid w:val="00A13F6B"/>
    <w:rsid w:val="00A277CA"/>
    <w:rsid w:val="00A43AB3"/>
    <w:rsid w:val="00A53983"/>
    <w:rsid w:val="00A53CD6"/>
    <w:rsid w:val="00A57B8A"/>
    <w:rsid w:val="00A617B6"/>
    <w:rsid w:val="00A6325D"/>
    <w:rsid w:val="00A659E4"/>
    <w:rsid w:val="00A670DC"/>
    <w:rsid w:val="00A70650"/>
    <w:rsid w:val="00A77121"/>
    <w:rsid w:val="00A8065F"/>
    <w:rsid w:val="00A8224D"/>
    <w:rsid w:val="00A82B2F"/>
    <w:rsid w:val="00A833FC"/>
    <w:rsid w:val="00A84A6B"/>
    <w:rsid w:val="00A94F66"/>
    <w:rsid w:val="00AA3519"/>
    <w:rsid w:val="00AB037A"/>
    <w:rsid w:val="00AB1820"/>
    <w:rsid w:val="00AC7EC8"/>
    <w:rsid w:val="00AD6225"/>
    <w:rsid w:val="00AE1E65"/>
    <w:rsid w:val="00AE6C13"/>
    <w:rsid w:val="00AF1A52"/>
    <w:rsid w:val="00AF245C"/>
    <w:rsid w:val="00B00FE1"/>
    <w:rsid w:val="00B05713"/>
    <w:rsid w:val="00B07439"/>
    <w:rsid w:val="00B103F6"/>
    <w:rsid w:val="00B116F5"/>
    <w:rsid w:val="00B11E23"/>
    <w:rsid w:val="00B12018"/>
    <w:rsid w:val="00B26FB6"/>
    <w:rsid w:val="00B32FFC"/>
    <w:rsid w:val="00B34AE0"/>
    <w:rsid w:val="00B34B33"/>
    <w:rsid w:val="00B35EA6"/>
    <w:rsid w:val="00B360C9"/>
    <w:rsid w:val="00B43ED9"/>
    <w:rsid w:val="00B461C8"/>
    <w:rsid w:val="00B464B4"/>
    <w:rsid w:val="00B511F3"/>
    <w:rsid w:val="00B51412"/>
    <w:rsid w:val="00B5670F"/>
    <w:rsid w:val="00B6188E"/>
    <w:rsid w:val="00B64ACF"/>
    <w:rsid w:val="00B67A7C"/>
    <w:rsid w:val="00B714A0"/>
    <w:rsid w:val="00B73B6A"/>
    <w:rsid w:val="00B87F9F"/>
    <w:rsid w:val="00B94DB6"/>
    <w:rsid w:val="00BA7FC1"/>
    <w:rsid w:val="00BB2F58"/>
    <w:rsid w:val="00BB7AF1"/>
    <w:rsid w:val="00BC46C3"/>
    <w:rsid w:val="00BC4974"/>
    <w:rsid w:val="00BC5CEE"/>
    <w:rsid w:val="00BC766F"/>
    <w:rsid w:val="00BD2B70"/>
    <w:rsid w:val="00BD34DB"/>
    <w:rsid w:val="00BE172A"/>
    <w:rsid w:val="00BE5729"/>
    <w:rsid w:val="00BE5825"/>
    <w:rsid w:val="00C01944"/>
    <w:rsid w:val="00C13D84"/>
    <w:rsid w:val="00C15A82"/>
    <w:rsid w:val="00C17B27"/>
    <w:rsid w:val="00C23C07"/>
    <w:rsid w:val="00C2474C"/>
    <w:rsid w:val="00C25C2C"/>
    <w:rsid w:val="00C37DE9"/>
    <w:rsid w:val="00C4158A"/>
    <w:rsid w:val="00C4692D"/>
    <w:rsid w:val="00C51415"/>
    <w:rsid w:val="00C60CB2"/>
    <w:rsid w:val="00C6362B"/>
    <w:rsid w:val="00C646A4"/>
    <w:rsid w:val="00C7647C"/>
    <w:rsid w:val="00C81635"/>
    <w:rsid w:val="00C83F63"/>
    <w:rsid w:val="00C83FE0"/>
    <w:rsid w:val="00C85133"/>
    <w:rsid w:val="00C855C0"/>
    <w:rsid w:val="00C92134"/>
    <w:rsid w:val="00C96F4F"/>
    <w:rsid w:val="00CA53A4"/>
    <w:rsid w:val="00CB0299"/>
    <w:rsid w:val="00CB4D4C"/>
    <w:rsid w:val="00CC4A9A"/>
    <w:rsid w:val="00CC70B2"/>
    <w:rsid w:val="00CC71A3"/>
    <w:rsid w:val="00CD6A67"/>
    <w:rsid w:val="00CD6BE3"/>
    <w:rsid w:val="00CE1C86"/>
    <w:rsid w:val="00CE4DDB"/>
    <w:rsid w:val="00CE69A0"/>
    <w:rsid w:val="00D268AA"/>
    <w:rsid w:val="00D4294D"/>
    <w:rsid w:val="00D51B8A"/>
    <w:rsid w:val="00D601D2"/>
    <w:rsid w:val="00D6315F"/>
    <w:rsid w:val="00D67373"/>
    <w:rsid w:val="00D6797B"/>
    <w:rsid w:val="00D80445"/>
    <w:rsid w:val="00D85445"/>
    <w:rsid w:val="00D85988"/>
    <w:rsid w:val="00D90FDA"/>
    <w:rsid w:val="00D928CE"/>
    <w:rsid w:val="00DB41C2"/>
    <w:rsid w:val="00DC27CC"/>
    <w:rsid w:val="00DC5CC4"/>
    <w:rsid w:val="00DD0AA2"/>
    <w:rsid w:val="00DD195B"/>
    <w:rsid w:val="00DD5104"/>
    <w:rsid w:val="00DD6D79"/>
    <w:rsid w:val="00DE1D10"/>
    <w:rsid w:val="00DE7B06"/>
    <w:rsid w:val="00DF102E"/>
    <w:rsid w:val="00DF15DE"/>
    <w:rsid w:val="00DF714E"/>
    <w:rsid w:val="00E11EA0"/>
    <w:rsid w:val="00E14CA6"/>
    <w:rsid w:val="00E25CDB"/>
    <w:rsid w:val="00E26414"/>
    <w:rsid w:val="00E3062B"/>
    <w:rsid w:val="00E31C61"/>
    <w:rsid w:val="00E41204"/>
    <w:rsid w:val="00E452EA"/>
    <w:rsid w:val="00E520F8"/>
    <w:rsid w:val="00E54996"/>
    <w:rsid w:val="00E64636"/>
    <w:rsid w:val="00E7074E"/>
    <w:rsid w:val="00E754AB"/>
    <w:rsid w:val="00E82406"/>
    <w:rsid w:val="00E85A0E"/>
    <w:rsid w:val="00EB25CC"/>
    <w:rsid w:val="00EB3969"/>
    <w:rsid w:val="00EB469D"/>
    <w:rsid w:val="00EC0483"/>
    <w:rsid w:val="00EC634E"/>
    <w:rsid w:val="00ED2BF0"/>
    <w:rsid w:val="00ED3F91"/>
    <w:rsid w:val="00EE1966"/>
    <w:rsid w:val="00EE1F43"/>
    <w:rsid w:val="00F0086F"/>
    <w:rsid w:val="00F061F8"/>
    <w:rsid w:val="00F11665"/>
    <w:rsid w:val="00F119F2"/>
    <w:rsid w:val="00F11E09"/>
    <w:rsid w:val="00F156FA"/>
    <w:rsid w:val="00F20C23"/>
    <w:rsid w:val="00F21617"/>
    <w:rsid w:val="00F47668"/>
    <w:rsid w:val="00F70208"/>
    <w:rsid w:val="00F720D5"/>
    <w:rsid w:val="00F839AE"/>
    <w:rsid w:val="00F879A2"/>
    <w:rsid w:val="00FA1A71"/>
    <w:rsid w:val="00FA43F4"/>
    <w:rsid w:val="00FA75B0"/>
    <w:rsid w:val="00FA775F"/>
    <w:rsid w:val="00FA7860"/>
    <w:rsid w:val="00FB187C"/>
    <w:rsid w:val="00FB574E"/>
    <w:rsid w:val="00FC17DA"/>
    <w:rsid w:val="00FC2E4A"/>
    <w:rsid w:val="00FC4EA3"/>
    <w:rsid w:val="00FD0A61"/>
    <w:rsid w:val="00FD67F9"/>
    <w:rsid w:val="00FE0AD1"/>
    <w:rsid w:val="00FE25BF"/>
    <w:rsid w:val="00FE70D3"/>
    <w:rsid w:val="00FF5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65F"/>
    <w:pPr>
      <w:widowControl w:val="0"/>
      <w:autoSpaceDE w:val="0"/>
      <w:autoSpaceDN w:val="0"/>
      <w:adjustRightInd w:val="0"/>
    </w:pPr>
    <w:rPr>
      <w:szCs w:val="24"/>
    </w:rPr>
  </w:style>
  <w:style w:type="paragraph" w:styleId="Heading1">
    <w:name w:val="heading 1"/>
    <w:basedOn w:val="Normal"/>
    <w:next w:val="Normal"/>
    <w:qFormat/>
    <w:rsid w:val="008E765F"/>
    <w:pPr>
      <w:keepNext/>
      <w:jc w:val="center"/>
      <w:outlineLvl w:val="0"/>
    </w:pPr>
    <w:rPr>
      <w:sz w:val="24"/>
    </w:rPr>
  </w:style>
  <w:style w:type="paragraph" w:styleId="Heading2">
    <w:name w:val="heading 2"/>
    <w:basedOn w:val="Normal"/>
    <w:next w:val="Normal"/>
    <w:qFormat/>
    <w:rsid w:val="008E76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8E765F"/>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65F"/>
  </w:style>
  <w:style w:type="paragraph" w:styleId="BodyText">
    <w:name w:val="Body Text"/>
    <w:basedOn w:val="Normal"/>
    <w:rsid w:val="008E765F"/>
    <w:rPr>
      <w:rFonts w:ascii="Courier" w:hAnsi="Courier"/>
      <w:sz w:val="24"/>
    </w:rPr>
  </w:style>
  <w:style w:type="paragraph" w:styleId="Header">
    <w:name w:val="header"/>
    <w:basedOn w:val="Normal"/>
    <w:link w:val="HeaderChar"/>
    <w:uiPriority w:val="99"/>
    <w:rsid w:val="008E765F"/>
    <w:pPr>
      <w:tabs>
        <w:tab w:val="center" w:pos="4320"/>
        <w:tab w:val="right" w:pos="8640"/>
      </w:tabs>
    </w:pPr>
  </w:style>
  <w:style w:type="paragraph" w:styleId="Footer">
    <w:name w:val="footer"/>
    <w:basedOn w:val="Normal"/>
    <w:rsid w:val="008E765F"/>
    <w:pPr>
      <w:tabs>
        <w:tab w:val="center" w:pos="4320"/>
        <w:tab w:val="right" w:pos="8640"/>
      </w:tabs>
    </w:pPr>
  </w:style>
  <w:style w:type="character" w:styleId="PageNumber">
    <w:name w:val="page number"/>
    <w:basedOn w:val="DefaultParagraphFont"/>
    <w:rsid w:val="008E765F"/>
  </w:style>
  <w:style w:type="paragraph" w:styleId="BodyText2">
    <w:name w:val="Body Text 2"/>
    <w:basedOn w:val="Normal"/>
    <w:rsid w:val="008E7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rsid w:val="00FB574E"/>
    <w:rPr>
      <w:sz w:val="16"/>
      <w:szCs w:val="16"/>
    </w:rPr>
  </w:style>
  <w:style w:type="paragraph" w:styleId="CommentText">
    <w:name w:val="annotation text"/>
    <w:basedOn w:val="Normal"/>
    <w:link w:val="CommentTextChar"/>
    <w:rsid w:val="00FB574E"/>
    <w:rPr>
      <w:szCs w:val="20"/>
    </w:rPr>
  </w:style>
  <w:style w:type="character" w:customStyle="1" w:styleId="CommentTextChar">
    <w:name w:val="Comment Text Char"/>
    <w:basedOn w:val="DefaultParagraphFont"/>
    <w:link w:val="CommentText"/>
    <w:rsid w:val="00FB574E"/>
  </w:style>
  <w:style w:type="paragraph" w:styleId="CommentSubject">
    <w:name w:val="annotation subject"/>
    <w:basedOn w:val="CommentText"/>
    <w:next w:val="CommentText"/>
    <w:link w:val="CommentSubjectChar"/>
    <w:rsid w:val="00FB574E"/>
    <w:rPr>
      <w:b/>
      <w:bCs/>
    </w:rPr>
  </w:style>
  <w:style w:type="character" w:customStyle="1" w:styleId="CommentSubjectChar">
    <w:name w:val="Comment Subject Char"/>
    <w:basedOn w:val="CommentTextChar"/>
    <w:link w:val="CommentSubject"/>
    <w:rsid w:val="00FB574E"/>
    <w:rPr>
      <w:b/>
      <w:bCs/>
    </w:rPr>
  </w:style>
  <w:style w:type="character" w:customStyle="1" w:styleId="HeaderChar">
    <w:name w:val="Header Char"/>
    <w:basedOn w:val="DefaultParagraphFont"/>
    <w:link w:val="Header"/>
    <w:uiPriority w:val="99"/>
    <w:rsid w:val="0080067C"/>
    <w:rPr>
      <w:szCs w:val="24"/>
    </w:rPr>
  </w:style>
  <w:style w:type="paragraph" w:styleId="Revision">
    <w:name w:val="Revision"/>
    <w:hidden/>
    <w:uiPriority w:val="99"/>
    <w:semiHidden/>
    <w:rsid w:val="009D7E7B"/>
    <w:rPr>
      <w:szCs w:val="24"/>
    </w:rPr>
  </w:style>
  <w:style w:type="paragraph" w:styleId="ListParagraph">
    <w:name w:val="List Paragraph"/>
    <w:basedOn w:val="Normal"/>
    <w:uiPriority w:val="34"/>
    <w:qFormat/>
    <w:rsid w:val="00954092"/>
    <w:pPr>
      <w:ind w:left="720"/>
      <w:contextualSpacing/>
    </w:pPr>
  </w:style>
  <w:style w:type="paragraph" w:customStyle="1" w:styleId="FindingsConclusions">
    <w:name w:val="Findings &amp; Conclusions"/>
    <w:basedOn w:val="Normal"/>
    <w:autoRedefine/>
    <w:rsid w:val="00FA1A71"/>
    <w:pPr>
      <w:widowControl/>
      <w:numPr>
        <w:numId w:val="18"/>
      </w:numPr>
      <w:autoSpaceDE/>
      <w:autoSpaceDN/>
      <w:adjustRightInd/>
      <w:spacing w:line="288" w:lineRule="auto"/>
    </w:pPr>
    <w:rPr>
      <w:sz w:val="24"/>
    </w:rPr>
  </w:style>
</w:styles>
</file>

<file path=word/webSettings.xml><?xml version="1.0" encoding="utf-8"?>
<w:webSettings xmlns:r="http://schemas.openxmlformats.org/officeDocument/2006/relationships" xmlns:w="http://schemas.openxmlformats.org/wordprocessingml/2006/main">
  <w:divs>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37E198DB68D3468A648389B0C482EA" ma:contentTypeVersion="131" ma:contentTypeDescription="" ma:contentTypeScope="" ma:versionID="6e4e5d2f91e5ece991eb03b76cca2f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2010-11-08T08:00:00+00:00</OpenedDate>
    <Date1 xmlns="dc463f71-b30c-4ab2-9473-d307f9d35888">2010-12-30T08:00:00+00:00</Date1>
    <IsDocumentOrder xmlns="dc463f71-b30c-4ab2-9473-d307f9d35888" xsi:nil="true"/>
    <IsHighlyConfidential xmlns="dc463f71-b30c-4ab2-9473-d307f9d35888">false</IsHighlyConfidential>
    <CaseCompanyNames xmlns="dc463f71-b30c-4ab2-9473-d307f9d35888">Camano Hills Water Company</CaseCompanyNames>
    <DocketNumber xmlns="dc463f71-b30c-4ab2-9473-d307f9d35888">101817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922DFE-DF11-467A-A824-34DC85206440}"/>
</file>

<file path=customXml/itemProps2.xml><?xml version="1.0" encoding="utf-8"?>
<ds:datastoreItem xmlns:ds="http://schemas.openxmlformats.org/officeDocument/2006/customXml" ds:itemID="{A94D1327-E600-43A3-82D1-0F284E929762}"/>
</file>

<file path=customXml/itemProps3.xml><?xml version="1.0" encoding="utf-8"?>
<ds:datastoreItem xmlns:ds="http://schemas.openxmlformats.org/officeDocument/2006/customXml" ds:itemID="{2D297921-E98B-4F44-B202-DC8245174F06}"/>
</file>

<file path=customXml/itemProps4.xml><?xml version="1.0" encoding="utf-8"?>
<ds:datastoreItem xmlns:ds="http://schemas.openxmlformats.org/officeDocument/2006/customXml" ds:itemID="{E26C551F-162A-4E80-BBBC-49FAD912226B}"/>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8902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Camano Hills Water SRF Surcharge</vt:lpstr>
    </vt:vector>
  </TitlesOfParts>
  <Company>WUTC</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Camano Hills Water SRF Surcharge</dc:title>
  <dc:creator>Information Services</dc:creator>
  <cp:lastModifiedBy>Catherine Taliaferro</cp:lastModifiedBy>
  <cp:revision>2</cp:revision>
  <cp:lastPrinted>2010-12-22T18:27:00Z</cp:lastPrinted>
  <dcterms:created xsi:type="dcterms:W3CDTF">2010-12-28T23:07:00Z</dcterms:created>
  <dcterms:modified xsi:type="dcterms:W3CDTF">2010-12-28T23:07:00Z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0x0101006E56B4D1795A2E4DB2F0B01679ED314A003837E198DB68D3468A648389B0C482EA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