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5A2" w:rsidRDefault="00C45949" w:rsidP="007F1BFD">
      <w:pPr>
        <w:pStyle w:val="NoSpacing"/>
      </w:pPr>
      <w:r>
        <w:t>Agenda Date:</w:t>
      </w:r>
      <w:r>
        <w:tab/>
      </w:r>
      <w:r>
        <w:tab/>
      </w:r>
      <w:r w:rsidR="00635226">
        <w:t xml:space="preserve">December </w:t>
      </w:r>
      <w:r w:rsidR="00767230">
        <w:t>23</w:t>
      </w:r>
      <w:r w:rsidR="00105B05">
        <w:t>,</w:t>
      </w:r>
      <w:r w:rsidR="0033074C">
        <w:t xml:space="preserve"> 2009</w:t>
      </w:r>
      <w:r w:rsidR="00436D95">
        <w:t xml:space="preserve">    </w:t>
      </w:r>
    </w:p>
    <w:p w:rsidR="00C45949" w:rsidRDefault="00C45949" w:rsidP="007F1BFD">
      <w:pPr>
        <w:pStyle w:val="NoSpacing"/>
      </w:pPr>
      <w:r>
        <w:t>Item Number:</w:t>
      </w:r>
      <w:r w:rsidR="00F85F57">
        <w:tab/>
      </w:r>
      <w:r w:rsidR="00F85F57">
        <w:tab/>
        <w:t>A</w:t>
      </w:r>
      <w:r w:rsidR="006D40F2">
        <w:t>1</w:t>
      </w:r>
    </w:p>
    <w:p w:rsidR="00C45949" w:rsidRDefault="00C45949" w:rsidP="007F1BFD">
      <w:pPr>
        <w:pStyle w:val="NoSpacing"/>
      </w:pPr>
    </w:p>
    <w:p w:rsidR="00B10BDB" w:rsidRDefault="000B7BE3" w:rsidP="000B7BE3">
      <w:pPr>
        <w:pStyle w:val="NoSpacing"/>
        <w:ind w:left="2160" w:hanging="2160"/>
        <w:rPr>
          <w:b/>
        </w:rPr>
      </w:pPr>
      <w:r>
        <w:rPr>
          <w:b/>
        </w:rPr>
        <w:t>Docket:</w:t>
      </w:r>
      <w:r>
        <w:rPr>
          <w:b/>
        </w:rPr>
        <w:tab/>
        <w:t>UE-0</w:t>
      </w:r>
      <w:r w:rsidR="00105B05">
        <w:rPr>
          <w:b/>
        </w:rPr>
        <w:t>91</w:t>
      </w:r>
      <w:r w:rsidR="00767230">
        <w:rPr>
          <w:b/>
        </w:rPr>
        <w:t>703</w:t>
      </w:r>
    </w:p>
    <w:p w:rsidR="00C45949" w:rsidRDefault="00C45949" w:rsidP="007F1BFD">
      <w:pPr>
        <w:pStyle w:val="NoSpacing"/>
      </w:pPr>
      <w:r>
        <w:t>Company Name:</w:t>
      </w:r>
      <w:r>
        <w:tab/>
        <w:t>Puget Sound Energy, Inc</w:t>
      </w:r>
      <w:r w:rsidR="004E5265">
        <w:t>.</w:t>
      </w:r>
    </w:p>
    <w:p w:rsidR="004E5265" w:rsidRDefault="004E5265" w:rsidP="007F1BFD">
      <w:pPr>
        <w:pStyle w:val="NoSpacing"/>
      </w:pPr>
    </w:p>
    <w:p w:rsidR="00C45949" w:rsidRDefault="00C45949" w:rsidP="007F1BFD">
      <w:pPr>
        <w:pStyle w:val="NoSpacing"/>
      </w:pPr>
      <w:r>
        <w:t>Staff:</w:t>
      </w:r>
      <w:r>
        <w:tab/>
      </w:r>
      <w:r>
        <w:tab/>
      </w:r>
      <w:r>
        <w:tab/>
      </w:r>
      <w:r w:rsidR="00767230" w:rsidRPr="00767230">
        <w:t xml:space="preserve">Roland Martin, Regulatory Analyst </w:t>
      </w:r>
    </w:p>
    <w:p w:rsidR="003A0640" w:rsidRDefault="003A0640" w:rsidP="007F1BFD">
      <w:pPr>
        <w:pStyle w:val="NoSpacing"/>
      </w:pPr>
      <w:r>
        <w:tab/>
      </w:r>
      <w:r>
        <w:tab/>
      </w:r>
      <w:r>
        <w:tab/>
      </w:r>
      <w:r w:rsidR="00767230" w:rsidRPr="00767230">
        <w:t>Kathryn Breda, Regulatory Analyst</w:t>
      </w:r>
    </w:p>
    <w:p w:rsidR="00C45949" w:rsidRDefault="003A0640" w:rsidP="007F1BFD">
      <w:pPr>
        <w:pStyle w:val="NoSpacing"/>
      </w:pPr>
      <w:r>
        <w:tab/>
      </w:r>
      <w:r>
        <w:tab/>
      </w:r>
      <w:r>
        <w:tab/>
      </w:r>
      <w:r w:rsidR="00767230">
        <w:t>Michael Foisy, Regulatory Analyst</w:t>
      </w:r>
    </w:p>
    <w:p w:rsidR="00C45949" w:rsidRDefault="00C45949" w:rsidP="007F1BFD">
      <w:pPr>
        <w:pStyle w:val="NoSpacing"/>
      </w:pPr>
    </w:p>
    <w:p w:rsidR="00C45949" w:rsidRDefault="00C45949" w:rsidP="007F1BFD">
      <w:pPr>
        <w:pStyle w:val="NoSpacing"/>
        <w:rPr>
          <w:b/>
          <w:u w:val="single"/>
        </w:rPr>
      </w:pPr>
      <w:r w:rsidRPr="00C45949">
        <w:rPr>
          <w:b/>
          <w:u w:val="single"/>
        </w:rPr>
        <w:t>Recommendation</w:t>
      </w:r>
    </w:p>
    <w:p w:rsidR="00C45949" w:rsidRDefault="00C45949" w:rsidP="007F1BFD">
      <w:pPr>
        <w:pStyle w:val="NoSpacing"/>
      </w:pPr>
    </w:p>
    <w:p w:rsidR="00DB2B92" w:rsidRDefault="00105B05" w:rsidP="0076498C">
      <w:pPr>
        <w:pStyle w:val="NoSpacing"/>
      </w:pPr>
      <w:r>
        <w:t xml:space="preserve">Issue an order </w:t>
      </w:r>
      <w:r w:rsidR="00B55358">
        <w:t xml:space="preserve">suspending proposed Schedule 95A- Production Tax Credit </w:t>
      </w:r>
      <w:r w:rsidR="0027196B">
        <w:t xml:space="preserve">Tracker </w:t>
      </w:r>
      <w:r w:rsidR="00B55358">
        <w:t>tariff revisions</w:t>
      </w:r>
      <w:r w:rsidR="0076498C">
        <w:t xml:space="preserve"> </w:t>
      </w:r>
      <w:r w:rsidR="0027196B">
        <w:t>filed</w:t>
      </w:r>
      <w:r w:rsidR="00600137">
        <w:t xml:space="preserve"> by</w:t>
      </w:r>
      <w:r>
        <w:t xml:space="preserve"> Puget Sound Energy </w:t>
      </w:r>
      <w:r w:rsidR="00600137">
        <w:t>in Docket UE-091</w:t>
      </w:r>
      <w:r w:rsidR="0027196B">
        <w:t>703</w:t>
      </w:r>
      <w:r w:rsidR="0076498C">
        <w:t>.</w:t>
      </w:r>
      <w:r>
        <w:t xml:space="preserve"> </w:t>
      </w:r>
    </w:p>
    <w:p w:rsidR="0072361B" w:rsidRDefault="0072361B" w:rsidP="007F1BFD">
      <w:pPr>
        <w:pStyle w:val="NoSpacing"/>
        <w:rPr>
          <w:b/>
          <w:u w:val="single"/>
        </w:rPr>
      </w:pPr>
    </w:p>
    <w:p w:rsidR="00C45949" w:rsidRDefault="00DB117B" w:rsidP="007F1BFD">
      <w:pPr>
        <w:pStyle w:val="NoSpacing"/>
        <w:rPr>
          <w:b/>
          <w:u w:val="single"/>
        </w:rPr>
      </w:pPr>
      <w:r>
        <w:rPr>
          <w:b/>
          <w:u w:val="single"/>
        </w:rPr>
        <w:t>Discussion</w:t>
      </w:r>
    </w:p>
    <w:p w:rsidR="005C0A10" w:rsidRDefault="005C0A10" w:rsidP="00650159">
      <w:pPr>
        <w:pStyle w:val="NoSpacing"/>
      </w:pPr>
    </w:p>
    <w:p w:rsidR="001C6FC7" w:rsidRDefault="00767230" w:rsidP="00626620">
      <w:pPr>
        <w:pStyle w:val="NoSpacing"/>
      </w:pPr>
      <w:r>
        <w:t xml:space="preserve">On October 30, 2009, </w:t>
      </w:r>
      <w:r w:rsidR="00B337F6">
        <w:t>Puget Sound Energy, Inc. (PSE</w:t>
      </w:r>
      <w:r w:rsidR="00A91187">
        <w:t xml:space="preserve"> or company</w:t>
      </w:r>
      <w:r w:rsidR="00B337F6">
        <w:t xml:space="preserve">), </w:t>
      </w:r>
      <w:r>
        <w:t xml:space="preserve">filed </w:t>
      </w:r>
      <w:r w:rsidR="00B55358">
        <w:t xml:space="preserve">with the Washington Utilities and </w:t>
      </w:r>
      <w:r w:rsidR="00436D95">
        <w:t>Transportation</w:t>
      </w:r>
      <w:r w:rsidR="00B55358">
        <w:t xml:space="preserve"> Commission (</w:t>
      </w:r>
      <w:r w:rsidR="0078799B">
        <w:t>c</w:t>
      </w:r>
      <w:r w:rsidR="00B55358">
        <w:t xml:space="preserve">ommission) revisions to its currently effective electric Tariff G, Schedule 95A – Production Tax Credit </w:t>
      </w:r>
      <w:r w:rsidR="0027196B">
        <w:t>Tracker (Tracker)</w:t>
      </w:r>
      <w:r w:rsidR="00EE4C08">
        <w:t>, effective January 1, 2010</w:t>
      </w:r>
      <w:r w:rsidR="0027196B">
        <w:t xml:space="preserve">. The purpose of the </w:t>
      </w:r>
      <w:r w:rsidR="0073264D">
        <w:t xml:space="preserve">annual </w:t>
      </w:r>
      <w:r w:rsidR="0027196B">
        <w:t>filing is to update the Tracker as provided for in Order  04 in Docket UE-050870. The proposed tariff revisions</w:t>
      </w:r>
      <w:r w:rsidR="0073264D">
        <w:t xml:space="preserve"> flow</w:t>
      </w:r>
      <w:r w:rsidR="0078799B">
        <w:t xml:space="preserve"> </w:t>
      </w:r>
      <w:r w:rsidR="0073264D">
        <w:t>thr</w:t>
      </w:r>
      <w:r w:rsidR="0078799B">
        <w:t>ough</w:t>
      </w:r>
      <w:r w:rsidR="0073264D">
        <w:t xml:space="preserve"> to customers the benefits of </w:t>
      </w:r>
      <w:r w:rsidR="0027196B">
        <w:t>the 2010 forecast of production tax credits (PTC</w:t>
      </w:r>
      <w:r w:rsidR="0078799B">
        <w:t>s</w:t>
      </w:r>
      <w:r w:rsidR="0027196B">
        <w:t>)</w:t>
      </w:r>
      <w:r w:rsidR="00DA1ED4">
        <w:t xml:space="preserve"> allowed under Section 45 of the Internal Revenue Code</w:t>
      </w:r>
      <w:r w:rsidR="002808B4">
        <w:t xml:space="preserve"> (IRC)</w:t>
      </w:r>
      <w:r w:rsidR="00DA1ED4">
        <w:t xml:space="preserve"> for PSE’s Hopkins Ridge and Wild Horse </w:t>
      </w:r>
      <w:r w:rsidR="00C040AB">
        <w:t>wind generation</w:t>
      </w:r>
      <w:r w:rsidR="00DA1ED4">
        <w:t xml:space="preserve"> resources.</w:t>
      </w:r>
      <w:r w:rsidR="0027196B">
        <w:t xml:space="preserve"> </w:t>
      </w:r>
      <w:r w:rsidR="0073264D">
        <w:t xml:space="preserve">The filing also includes recovery of interest on the PTC deferred tax asset and accounts for the </w:t>
      </w:r>
      <w:r w:rsidR="00436D95">
        <w:t>true up</w:t>
      </w:r>
      <w:r w:rsidR="0073264D">
        <w:t xml:space="preserve"> of prior period </w:t>
      </w:r>
      <w:r w:rsidR="00030C05">
        <w:t>amount</w:t>
      </w:r>
      <w:r w:rsidR="0078799B">
        <w:t>s</w:t>
      </w:r>
      <w:r w:rsidR="00030C05">
        <w:t xml:space="preserve"> of </w:t>
      </w:r>
      <w:r w:rsidR="0073264D">
        <w:t>PTC</w:t>
      </w:r>
      <w:r w:rsidR="00030C05">
        <w:t xml:space="preserve"> generated, </w:t>
      </w:r>
      <w:r w:rsidR="00EE55B0">
        <w:t>credited back to customers</w:t>
      </w:r>
      <w:r w:rsidR="00030C05">
        <w:t>,</w:t>
      </w:r>
      <w:r w:rsidR="0073264D">
        <w:t xml:space="preserve"> and</w:t>
      </w:r>
      <w:r w:rsidR="00030C05">
        <w:t xml:space="preserve"> related </w:t>
      </w:r>
      <w:r w:rsidR="0073264D">
        <w:t xml:space="preserve">interest </w:t>
      </w:r>
      <w:r w:rsidR="00AE7DCA">
        <w:t>on</w:t>
      </w:r>
      <w:r w:rsidR="00EE55B0">
        <w:t xml:space="preserve"> the</w:t>
      </w:r>
      <w:r w:rsidR="00AE7DCA">
        <w:t xml:space="preserve"> </w:t>
      </w:r>
      <w:r w:rsidR="00EE4C08">
        <w:t xml:space="preserve">over and under recoveries. The proposed PTC rates are lower than the existing credits, resulting in an </w:t>
      </w:r>
      <w:r w:rsidR="0031472B">
        <w:t xml:space="preserve">average overall rate </w:t>
      </w:r>
      <w:r w:rsidR="00EE4C08">
        <w:t>increase</w:t>
      </w:r>
      <w:r w:rsidR="0031472B">
        <w:t xml:space="preserve"> of .46</w:t>
      </w:r>
      <w:r w:rsidR="0078799B">
        <w:t xml:space="preserve"> percent</w:t>
      </w:r>
      <w:r w:rsidR="0031472B">
        <w:t xml:space="preserve"> for all customers. The effect on a residential customer using 1,000 kWh per month</w:t>
      </w:r>
      <w:r w:rsidR="00DB117B">
        <w:t xml:space="preserve"> is a bill increase of $0.44 per month or 0.48</w:t>
      </w:r>
      <w:r w:rsidR="0078799B">
        <w:t xml:space="preserve"> percent</w:t>
      </w:r>
      <w:r w:rsidR="00DB117B">
        <w:t>.</w:t>
      </w:r>
    </w:p>
    <w:p w:rsidR="00DB117B" w:rsidRDefault="00DB117B" w:rsidP="00626620">
      <w:pPr>
        <w:pStyle w:val="NoSpacing"/>
      </w:pPr>
    </w:p>
    <w:p w:rsidR="002808B4" w:rsidRDefault="006E0F61" w:rsidP="00626620">
      <w:pPr>
        <w:pStyle w:val="NoSpacing"/>
      </w:pPr>
      <w:r>
        <w:t>PSE started crediting the benefits of the PTC on November 1, 2005</w:t>
      </w:r>
      <w:r w:rsidR="00EE55B0">
        <w:t>,</w:t>
      </w:r>
      <w:r>
        <w:t xml:space="preserve"> and </w:t>
      </w:r>
      <w:r w:rsidR="00436D95">
        <w:t>can</w:t>
      </w:r>
      <w:r>
        <w:t xml:space="preserve"> continue </w:t>
      </w:r>
      <w:r w:rsidR="0078799B">
        <w:t xml:space="preserve">to do so </w:t>
      </w:r>
      <w:r>
        <w:t xml:space="preserve">during the initial ten years of commercial operation of the wind </w:t>
      </w:r>
      <w:r w:rsidR="00436D95">
        <w:t>projects, which</w:t>
      </w:r>
      <w:r w:rsidR="00FA5BDD">
        <w:t xml:space="preserve"> is the period the PTC can be claimed</w:t>
      </w:r>
      <w:r>
        <w:t xml:space="preserve">. The </w:t>
      </w:r>
      <w:r w:rsidR="00436D95">
        <w:t>company</w:t>
      </w:r>
      <w:r w:rsidR="00FA5BDD">
        <w:t xml:space="preserve"> credit</w:t>
      </w:r>
      <w:r w:rsidR="00436D95">
        <w:t>s PTC</w:t>
      </w:r>
      <w:r w:rsidR="0078799B">
        <w:t>s</w:t>
      </w:r>
      <w:r w:rsidR="00FA5BDD">
        <w:t xml:space="preserve"> using Schedule 95A based on actual generation and </w:t>
      </w:r>
      <w:r w:rsidR="00D45350">
        <w:t xml:space="preserve">the </w:t>
      </w:r>
      <w:r w:rsidR="00FA5BDD">
        <w:t>customers</w:t>
      </w:r>
      <w:r w:rsidR="00D45350">
        <w:t xml:space="preserve"> receive </w:t>
      </w:r>
      <w:r w:rsidR="00EE55B0">
        <w:t xml:space="preserve">the </w:t>
      </w:r>
      <w:r w:rsidR="00D45350">
        <w:t>benefit</w:t>
      </w:r>
      <w:r w:rsidR="00FA5BDD">
        <w:t xml:space="preserve"> based on </w:t>
      </w:r>
      <w:r w:rsidR="00D45350">
        <w:t>their energy consumption</w:t>
      </w:r>
      <w:r w:rsidR="00FA5BDD">
        <w:t>.</w:t>
      </w:r>
      <w:r w:rsidR="00D45350">
        <w:t xml:space="preserve"> </w:t>
      </w:r>
      <w:r w:rsidR="00FA5BDD">
        <w:t xml:space="preserve">However, the </w:t>
      </w:r>
      <w:r w:rsidR="00EE2DA8">
        <w:t xml:space="preserve">real value of a </w:t>
      </w:r>
      <w:r w:rsidR="00FA5BDD">
        <w:t>PTC</w:t>
      </w:r>
      <w:r w:rsidR="00EE2DA8">
        <w:t xml:space="preserve"> is realized only when it is used to reduce PSE’s current tax liability</w:t>
      </w:r>
      <w:r w:rsidR="002808B4">
        <w:t xml:space="preserve"> and that use is restricted under the IRC rules to</w:t>
      </w:r>
      <w:r w:rsidR="00EE55B0">
        <w:t xml:space="preserve"> </w:t>
      </w:r>
      <w:r w:rsidR="002808B4">
        <w:t>either 75</w:t>
      </w:r>
      <w:r w:rsidR="0078799B">
        <w:t xml:space="preserve"> percent</w:t>
      </w:r>
      <w:r w:rsidR="002808B4">
        <w:t xml:space="preserve"> of the tax liability before the credit or the level of alternative minimum tax, whichever results in higher tax. Any unused PTC can be carried back one year and forward up to twenty years.</w:t>
      </w:r>
    </w:p>
    <w:p w:rsidR="002808B4" w:rsidRDefault="002808B4" w:rsidP="00626620">
      <w:pPr>
        <w:pStyle w:val="NoSpacing"/>
      </w:pPr>
    </w:p>
    <w:p w:rsidR="003818C3" w:rsidRDefault="006908BA" w:rsidP="00626620">
      <w:pPr>
        <w:pStyle w:val="NoSpacing"/>
      </w:pPr>
      <w:r>
        <w:t>Staff’s review of the Tracker’s past and forecasted operational performance as a mechanism to pass</w:t>
      </w:r>
      <w:r w:rsidR="0078799B">
        <w:t xml:space="preserve"> </w:t>
      </w:r>
      <w:r>
        <w:t>thr</w:t>
      </w:r>
      <w:r w:rsidR="0078799B">
        <w:t>ough</w:t>
      </w:r>
      <w:r>
        <w:t xml:space="preserve"> tax benefits to ratepayers raise</w:t>
      </w:r>
      <w:r w:rsidR="00C6370E">
        <w:t>s</w:t>
      </w:r>
      <w:r>
        <w:t xml:space="preserve"> concern because of the increasing gap between </w:t>
      </w:r>
      <w:r w:rsidR="00397932">
        <w:t xml:space="preserve">the </w:t>
      </w:r>
      <w:r>
        <w:t xml:space="preserve">generated PTC </w:t>
      </w:r>
      <w:r w:rsidR="00397932">
        <w:t xml:space="preserve">credited to customers and the </w:t>
      </w:r>
      <w:r w:rsidR="00AF19E6">
        <w:t>level of PTC actually used to reduce PSE’s income tax</w:t>
      </w:r>
      <w:r w:rsidR="00C6370E">
        <w:t xml:space="preserve"> liability</w:t>
      </w:r>
      <w:r w:rsidR="00AF19E6">
        <w:t xml:space="preserve">.  </w:t>
      </w:r>
      <w:r w:rsidR="005712B0">
        <w:t xml:space="preserve">The ratepayers receive PTC cash </w:t>
      </w:r>
      <w:r w:rsidR="00436D95">
        <w:t xml:space="preserve">benefits </w:t>
      </w:r>
      <w:r w:rsidR="005712B0">
        <w:t xml:space="preserve">in the past, </w:t>
      </w:r>
      <w:r w:rsidR="00C6370E">
        <w:t xml:space="preserve">despite the fact </w:t>
      </w:r>
      <w:r w:rsidR="005712B0">
        <w:t xml:space="preserve">the </w:t>
      </w:r>
      <w:r w:rsidR="0078799B">
        <w:t>passed-thr</w:t>
      </w:r>
      <w:r w:rsidR="00C6370E">
        <w:t>ough</w:t>
      </w:r>
      <w:r w:rsidR="0078799B">
        <w:t xml:space="preserve"> </w:t>
      </w:r>
      <w:r w:rsidR="005712B0">
        <w:t xml:space="preserve">benefits greatly exceeded the realized or used credits. </w:t>
      </w:r>
      <w:r w:rsidR="003818C3">
        <w:t xml:space="preserve">Specifically, the 2007 Tracker filing forecasted that there </w:t>
      </w:r>
      <w:r w:rsidR="00436D95">
        <w:t>would</w:t>
      </w:r>
      <w:r w:rsidR="003818C3">
        <w:t xml:space="preserve"> be equal amounts of PTC generated </w:t>
      </w:r>
      <w:r w:rsidR="00C6370E">
        <w:t xml:space="preserve">(thereby passing through cash benefits to ratepayers) </w:t>
      </w:r>
      <w:r w:rsidR="003818C3">
        <w:t>and PTC used</w:t>
      </w:r>
      <w:r w:rsidR="00AE1524">
        <w:t xml:space="preserve"> </w:t>
      </w:r>
      <w:r w:rsidR="00C6370E">
        <w:t xml:space="preserve">by PSE to reduce its tax liability </w:t>
      </w:r>
      <w:r w:rsidR="00AE1524">
        <w:t>in 2008</w:t>
      </w:r>
      <w:r w:rsidR="003818C3">
        <w:t xml:space="preserve">. </w:t>
      </w:r>
      <w:r w:rsidR="00C6370E">
        <w:t>However, i</w:t>
      </w:r>
      <w:r w:rsidR="003818C3">
        <w:t xml:space="preserve">t </w:t>
      </w:r>
      <w:r w:rsidR="003818C3">
        <w:lastRenderedPageBreak/>
        <w:t xml:space="preserve">turned out that </w:t>
      </w:r>
      <w:r w:rsidR="00436D95">
        <w:t xml:space="preserve">PSE </w:t>
      </w:r>
      <w:r w:rsidR="00AE1524">
        <w:t xml:space="preserve">was unable to use </w:t>
      </w:r>
      <w:r w:rsidR="006F5400">
        <w:t xml:space="preserve">the generated </w:t>
      </w:r>
      <w:r w:rsidR="00436D95">
        <w:t>PTC</w:t>
      </w:r>
      <w:r w:rsidR="006F5400">
        <w:t xml:space="preserve"> due to </w:t>
      </w:r>
      <w:r w:rsidR="0078799B">
        <w:t xml:space="preserve">a </w:t>
      </w:r>
      <w:r w:rsidR="006F5400">
        <w:t>lack of tax liability</w:t>
      </w:r>
      <w:r w:rsidR="003818C3">
        <w:t xml:space="preserve">. </w:t>
      </w:r>
      <w:r w:rsidR="00AE1524">
        <w:t xml:space="preserve">Through June 30, 2009, the </w:t>
      </w:r>
      <w:r w:rsidR="0078799B">
        <w:t>c</w:t>
      </w:r>
      <w:r w:rsidR="00AE1524">
        <w:t xml:space="preserve">ompany has generated and passed through $61.2 million to customers. However, PSE has been able to use only $24 million to reduce the company’s tax liability. </w:t>
      </w:r>
      <w:r w:rsidR="003818C3">
        <w:t xml:space="preserve">PSE expects this disparity to continue in the </w:t>
      </w:r>
      <w:r w:rsidR="00436D95">
        <w:t>near</w:t>
      </w:r>
      <w:r w:rsidR="003818C3">
        <w:t xml:space="preserve"> future.</w:t>
      </w:r>
    </w:p>
    <w:p w:rsidR="003818C3" w:rsidRDefault="003818C3" w:rsidP="00626620">
      <w:pPr>
        <w:pStyle w:val="NoSpacing"/>
      </w:pPr>
    </w:p>
    <w:p w:rsidR="00436D95" w:rsidRDefault="003818C3" w:rsidP="00626620">
      <w:pPr>
        <w:pStyle w:val="NoSpacing"/>
      </w:pPr>
      <w:r>
        <w:t>Staff questions the reasonab</w:t>
      </w:r>
      <w:r w:rsidR="00B260E3">
        <w:t>leness</w:t>
      </w:r>
      <w:r>
        <w:t xml:space="preserve"> of basing the tracker</w:t>
      </w:r>
      <w:r w:rsidR="00436D95">
        <w:t xml:space="preserve"> benefits</w:t>
      </w:r>
      <w:r>
        <w:t xml:space="preserve"> on generated PTC</w:t>
      </w:r>
      <w:r w:rsidR="00436D95">
        <w:t xml:space="preserve"> and allowing PSE to continue advancing cash and collecting interest at the net of tax rate of return. Staff believes that the current PTC approach warrants </w:t>
      </w:r>
      <w:r w:rsidR="00436D95" w:rsidRPr="00436D95">
        <w:t>a reevaluation</w:t>
      </w:r>
      <w:r w:rsidR="006F5400">
        <w:t xml:space="preserve"> and modification</w:t>
      </w:r>
      <w:r w:rsidR="0026735A">
        <w:t>, if necessary</w:t>
      </w:r>
      <w:r w:rsidR="00436D95" w:rsidRPr="00436D95">
        <w:t xml:space="preserve">. </w:t>
      </w:r>
    </w:p>
    <w:p w:rsidR="00EF00C0" w:rsidRDefault="00EF00C0" w:rsidP="00600137">
      <w:pPr>
        <w:pStyle w:val="NoSpacing"/>
      </w:pPr>
    </w:p>
    <w:p w:rsidR="00EF00C0" w:rsidRDefault="00EF00C0" w:rsidP="00600137">
      <w:pPr>
        <w:pStyle w:val="NoSpacing"/>
        <w:rPr>
          <w:b/>
          <w:u w:val="single"/>
        </w:rPr>
      </w:pPr>
      <w:r>
        <w:rPr>
          <w:b/>
          <w:u w:val="single"/>
        </w:rPr>
        <w:t>Recommendation</w:t>
      </w:r>
    </w:p>
    <w:p w:rsidR="00D04BE7" w:rsidRDefault="00D04BE7" w:rsidP="00600137">
      <w:pPr>
        <w:pStyle w:val="NoSpacing"/>
      </w:pPr>
    </w:p>
    <w:p w:rsidR="00A4799F" w:rsidRDefault="003D7998" w:rsidP="00FE31D5">
      <w:pPr>
        <w:pStyle w:val="NoSpacing"/>
      </w:pPr>
      <w:r>
        <w:t xml:space="preserve">Staff recommends the </w:t>
      </w:r>
      <w:r w:rsidR="00C57A4F">
        <w:t>c</w:t>
      </w:r>
      <w:r>
        <w:t>ommission i</w:t>
      </w:r>
      <w:r w:rsidR="00600137">
        <w:t xml:space="preserve">ssue an order </w:t>
      </w:r>
      <w:r w:rsidR="00436D95" w:rsidRPr="00436D95">
        <w:t xml:space="preserve">suspending proposed Schedule 95A- Production Tax Credit Tracker tariff revisions filed by Puget Sound Energy in Docket </w:t>
      </w:r>
    </w:p>
    <w:p w:rsidR="00600137" w:rsidRDefault="00436D95" w:rsidP="00FE31D5">
      <w:pPr>
        <w:pStyle w:val="NoSpacing"/>
      </w:pPr>
      <w:r w:rsidRPr="00436D95">
        <w:t>UE-091703</w:t>
      </w:r>
      <w:r w:rsidR="007415A2">
        <w:t>.</w:t>
      </w:r>
      <w:r w:rsidR="00EF00C0" w:rsidRPr="00EF00C0">
        <w:t xml:space="preserve"> </w:t>
      </w:r>
      <w:r w:rsidR="00EF04FF">
        <w:t xml:space="preserve"> </w:t>
      </w:r>
    </w:p>
    <w:p w:rsidR="00684154" w:rsidRPr="00E61CB8" w:rsidRDefault="00684154" w:rsidP="0013643D">
      <w:pPr>
        <w:pStyle w:val="NoSpacing"/>
      </w:pPr>
    </w:p>
    <w:p w:rsidR="00650159" w:rsidRDefault="00650159" w:rsidP="00FE6C03">
      <w:pPr>
        <w:pStyle w:val="NoSpacing"/>
      </w:pPr>
    </w:p>
    <w:p w:rsidR="00107AE0" w:rsidRDefault="00107AE0" w:rsidP="00FE6C03">
      <w:pPr>
        <w:pStyle w:val="NoSpacing"/>
      </w:pPr>
    </w:p>
    <w:p w:rsidR="00107AE0" w:rsidRDefault="00107AE0" w:rsidP="00FE6C03">
      <w:pPr>
        <w:pStyle w:val="NoSpacing"/>
      </w:pPr>
    </w:p>
    <w:p w:rsidR="00107AE0" w:rsidRDefault="00107AE0" w:rsidP="00FE6C03">
      <w:pPr>
        <w:pStyle w:val="NoSpacing"/>
      </w:pPr>
    </w:p>
    <w:p w:rsidR="00107AE0" w:rsidRDefault="00107AE0" w:rsidP="00FE6C03">
      <w:pPr>
        <w:pStyle w:val="NoSpacing"/>
      </w:pPr>
    </w:p>
    <w:p w:rsidR="00107AE0" w:rsidRDefault="00107AE0" w:rsidP="00FE6C03">
      <w:pPr>
        <w:pStyle w:val="NoSpacing"/>
      </w:pPr>
    </w:p>
    <w:p w:rsidR="00107AE0" w:rsidRDefault="00107AE0" w:rsidP="00FE6C03">
      <w:pPr>
        <w:pStyle w:val="NoSpacing"/>
      </w:pPr>
    </w:p>
    <w:p w:rsidR="00107AE0" w:rsidRDefault="00107AE0" w:rsidP="00FE6C03">
      <w:pPr>
        <w:pStyle w:val="NoSpacing"/>
      </w:pPr>
    </w:p>
    <w:p w:rsidR="00107AE0" w:rsidRPr="000D4AAB" w:rsidRDefault="00107AE0" w:rsidP="00FE6C03">
      <w:pPr>
        <w:pStyle w:val="NoSpacing"/>
      </w:pPr>
    </w:p>
    <w:sectPr w:rsidR="00107AE0" w:rsidRPr="000D4AAB" w:rsidSect="002210EA">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9ED" w:rsidRDefault="005229ED" w:rsidP="00635AE6">
      <w:r>
        <w:separator/>
      </w:r>
    </w:p>
  </w:endnote>
  <w:endnote w:type="continuationSeparator" w:id="0">
    <w:p w:rsidR="005229ED" w:rsidRDefault="005229ED" w:rsidP="00635A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9ED" w:rsidRDefault="005229ED" w:rsidP="00635AE6">
      <w:r>
        <w:separator/>
      </w:r>
    </w:p>
  </w:footnote>
  <w:footnote w:type="continuationSeparator" w:id="0">
    <w:p w:rsidR="005229ED" w:rsidRDefault="005229ED" w:rsidP="00635A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C5F" w:rsidRPr="0072361B" w:rsidRDefault="0072361B">
    <w:pPr>
      <w:pStyle w:val="Header"/>
      <w:rPr>
        <w:sz w:val="20"/>
        <w:szCs w:val="20"/>
      </w:rPr>
    </w:pPr>
    <w:r w:rsidRPr="0072361B">
      <w:rPr>
        <w:sz w:val="20"/>
        <w:szCs w:val="20"/>
      </w:rPr>
      <w:t>DOCKET UE-091</w:t>
    </w:r>
    <w:r w:rsidR="00A4799F">
      <w:rPr>
        <w:sz w:val="20"/>
        <w:szCs w:val="20"/>
      </w:rPr>
      <w:t>703</w:t>
    </w:r>
  </w:p>
  <w:p w:rsidR="0072361B" w:rsidRPr="0072361B" w:rsidRDefault="0072361B">
    <w:pPr>
      <w:pStyle w:val="Header"/>
      <w:rPr>
        <w:sz w:val="20"/>
        <w:szCs w:val="20"/>
      </w:rPr>
    </w:pPr>
    <w:r w:rsidRPr="0072361B">
      <w:rPr>
        <w:sz w:val="20"/>
        <w:szCs w:val="20"/>
      </w:rPr>
      <w:t xml:space="preserve">December </w:t>
    </w:r>
    <w:r w:rsidR="00A4799F">
      <w:rPr>
        <w:sz w:val="20"/>
        <w:szCs w:val="20"/>
      </w:rPr>
      <w:t>23</w:t>
    </w:r>
    <w:r w:rsidRPr="0072361B">
      <w:rPr>
        <w:sz w:val="20"/>
        <w:szCs w:val="20"/>
      </w:rPr>
      <w:t>, 2009</w:t>
    </w:r>
  </w:p>
  <w:p w:rsidR="0072361B" w:rsidRPr="0072361B" w:rsidRDefault="0072361B">
    <w:pPr>
      <w:pStyle w:val="Header"/>
      <w:rPr>
        <w:sz w:val="20"/>
        <w:szCs w:val="20"/>
      </w:rPr>
    </w:pPr>
    <w:r w:rsidRPr="0072361B">
      <w:rPr>
        <w:sz w:val="20"/>
        <w:szCs w:val="20"/>
      </w:rPr>
      <w:t>Page 2</w:t>
    </w:r>
  </w:p>
  <w:p w:rsidR="0072361B" w:rsidRDefault="0072361B">
    <w:pPr>
      <w:pStyle w:val="Header"/>
    </w:pPr>
  </w:p>
  <w:p w:rsidR="0072361B" w:rsidRDefault="007236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12E68"/>
    <w:multiLevelType w:val="hybridMultilevel"/>
    <w:tmpl w:val="336650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42BA7"/>
    <w:multiLevelType w:val="hybridMultilevel"/>
    <w:tmpl w:val="BC66393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108604B4"/>
    <w:multiLevelType w:val="hybridMultilevel"/>
    <w:tmpl w:val="60A066D4"/>
    <w:lvl w:ilvl="0" w:tplc="EA5A4114">
      <w:start w:val="1"/>
      <w:numFmt w:val="decimal"/>
      <w:lvlText w:val="(%1)"/>
      <w:lvlJc w:val="left"/>
      <w:pPr>
        <w:ind w:left="1080" w:hanging="360"/>
      </w:pPr>
      <w:rPr>
        <w:rFonts w:hint="default"/>
      </w:rPr>
    </w:lvl>
    <w:lvl w:ilvl="1" w:tplc="EA5A411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7EE3E7B"/>
    <w:multiLevelType w:val="hybridMultilevel"/>
    <w:tmpl w:val="93C0A0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7550B4"/>
    <w:multiLevelType w:val="hybridMultilevel"/>
    <w:tmpl w:val="90103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776607"/>
    <w:multiLevelType w:val="hybridMultilevel"/>
    <w:tmpl w:val="CD6080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E5064F"/>
    <w:multiLevelType w:val="hybridMultilevel"/>
    <w:tmpl w:val="4886BC2A"/>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1F36EB"/>
    <w:multiLevelType w:val="hybridMultilevel"/>
    <w:tmpl w:val="18028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C273E5"/>
    <w:multiLevelType w:val="hybridMultilevel"/>
    <w:tmpl w:val="C9FE98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BDA2674"/>
    <w:multiLevelType w:val="hybridMultilevel"/>
    <w:tmpl w:val="D92AA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C56689"/>
    <w:multiLevelType w:val="hybridMultilevel"/>
    <w:tmpl w:val="B74A263C"/>
    <w:lvl w:ilvl="0" w:tplc="EA5A4114">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4"/>
  </w:num>
  <w:num w:numId="4">
    <w:abstractNumId w:val="6"/>
  </w:num>
  <w:num w:numId="5">
    <w:abstractNumId w:val="10"/>
  </w:num>
  <w:num w:numId="6">
    <w:abstractNumId w:val="2"/>
  </w:num>
  <w:num w:numId="7">
    <w:abstractNumId w:val="0"/>
  </w:num>
  <w:num w:numId="8">
    <w:abstractNumId w:val="5"/>
  </w:num>
  <w:num w:numId="9">
    <w:abstractNumId w:val="7"/>
  </w:num>
  <w:num w:numId="10">
    <w:abstractNumId w:val="8"/>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defaultTabStop w:val="720"/>
  <w:drawingGridHorizontalSpacing w:val="100"/>
  <w:displayHorizontalDrawingGridEvery w:val="2"/>
  <w:characterSpacingControl w:val="doNotCompress"/>
  <w:hdrShapeDefaults>
    <o:shapedefaults v:ext="edit" spidmax="22530"/>
  </w:hdrShapeDefaults>
  <w:footnotePr>
    <w:footnote w:id="-1"/>
    <w:footnote w:id="0"/>
  </w:footnotePr>
  <w:endnotePr>
    <w:endnote w:id="-1"/>
    <w:endnote w:id="0"/>
  </w:endnotePr>
  <w:compat/>
  <w:rsids>
    <w:rsidRoot w:val="00445906"/>
    <w:rsid w:val="000064C0"/>
    <w:rsid w:val="00030C05"/>
    <w:rsid w:val="00033DBD"/>
    <w:rsid w:val="00046C30"/>
    <w:rsid w:val="000524EE"/>
    <w:rsid w:val="000854BE"/>
    <w:rsid w:val="00094147"/>
    <w:rsid w:val="00096CFF"/>
    <w:rsid w:val="000A0B1C"/>
    <w:rsid w:val="000A46E0"/>
    <w:rsid w:val="000A6EAD"/>
    <w:rsid w:val="000B7BE3"/>
    <w:rsid w:val="000C5BDE"/>
    <w:rsid w:val="000D1685"/>
    <w:rsid w:val="000D4AAB"/>
    <w:rsid w:val="000F2E7E"/>
    <w:rsid w:val="000F3171"/>
    <w:rsid w:val="000F6B15"/>
    <w:rsid w:val="00105B05"/>
    <w:rsid w:val="00107AE0"/>
    <w:rsid w:val="001179C0"/>
    <w:rsid w:val="00124AC9"/>
    <w:rsid w:val="00127E9D"/>
    <w:rsid w:val="001359DE"/>
    <w:rsid w:val="0013643D"/>
    <w:rsid w:val="001440B7"/>
    <w:rsid w:val="001772F9"/>
    <w:rsid w:val="001825CA"/>
    <w:rsid w:val="00182A49"/>
    <w:rsid w:val="0018393C"/>
    <w:rsid w:val="0018759B"/>
    <w:rsid w:val="0019744D"/>
    <w:rsid w:val="001B0B40"/>
    <w:rsid w:val="001B22B6"/>
    <w:rsid w:val="001C1EB2"/>
    <w:rsid w:val="001C24AD"/>
    <w:rsid w:val="001C56D3"/>
    <w:rsid w:val="001C5AB1"/>
    <w:rsid w:val="001C6FC7"/>
    <w:rsid w:val="001D41E7"/>
    <w:rsid w:val="001D73B3"/>
    <w:rsid w:val="001E2070"/>
    <w:rsid w:val="001F71D1"/>
    <w:rsid w:val="00206490"/>
    <w:rsid w:val="002210EA"/>
    <w:rsid w:val="002219D5"/>
    <w:rsid w:val="002310D3"/>
    <w:rsid w:val="00231B62"/>
    <w:rsid w:val="002374A8"/>
    <w:rsid w:val="0024447D"/>
    <w:rsid w:val="00252DE5"/>
    <w:rsid w:val="00262709"/>
    <w:rsid w:val="0026735A"/>
    <w:rsid w:val="0027196B"/>
    <w:rsid w:val="00274799"/>
    <w:rsid w:val="002808B4"/>
    <w:rsid w:val="00282CE5"/>
    <w:rsid w:val="00293B4F"/>
    <w:rsid w:val="002B2AB2"/>
    <w:rsid w:val="002C039A"/>
    <w:rsid w:val="002D1C00"/>
    <w:rsid w:val="002F37C9"/>
    <w:rsid w:val="002F5CC3"/>
    <w:rsid w:val="002F7437"/>
    <w:rsid w:val="00303FD4"/>
    <w:rsid w:val="00305580"/>
    <w:rsid w:val="0031472B"/>
    <w:rsid w:val="003149A7"/>
    <w:rsid w:val="00316FA2"/>
    <w:rsid w:val="00326B8C"/>
    <w:rsid w:val="0033074C"/>
    <w:rsid w:val="0036047A"/>
    <w:rsid w:val="003818C3"/>
    <w:rsid w:val="003848F0"/>
    <w:rsid w:val="0038655E"/>
    <w:rsid w:val="0038739D"/>
    <w:rsid w:val="00393B49"/>
    <w:rsid w:val="00397932"/>
    <w:rsid w:val="003A0640"/>
    <w:rsid w:val="003A3ED2"/>
    <w:rsid w:val="003B06B1"/>
    <w:rsid w:val="003B154A"/>
    <w:rsid w:val="003B5A1E"/>
    <w:rsid w:val="003B6F75"/>
    <w:rsid w:val="003C49EA"/>
    <w:rsid w:val="003C5288"/>
    <w:rsid w:val="003C6509"/>
    <w:rsid w:val="003D1CC3"/>
    <w:rsid w:val="003D502B"/>
    <w:rsid w:val="003D7998"/>
    <w:rsid w:val="00400692"/>
    <w:rsid w:val="00402DBC"/>
    <w:rsid w:val="00410108"/>
    <w:rsid w:val="0041076B"/>
    <w:rsid w:val="0043173B"/>
    <w:rsid w:val="00432503"/>
    <w:rsid w:val="004326A3"/>
    <w:rsid w:val="00436D95"/>
    <w:rsid w:val="00445347"/>
    <w:rsid w:val="00445906"/>
    <w:rsid w:val="00452B6F"/>
    <w:rsid w:val="0049786A"/>
    <w:rsid w:val="004A1041"/>
    <w:rsid w:val="004B72A7"/>
    <w:rsid w:val="004C2C5F"/>
    <w:rsid w:val="004D5BD1"/>
    <w:rsid w:val="004E5265"/>
    <w:rsid w:val="004E57C8"/>
    <w:rsid w:val="005013DD"/>
    <w:rsid w:val="00503465"/>
    <w:rsid w:val="00506DBC"/>
    <w:rsid w:val="005229ED"/>
    <w:rsid w:val="0053236F"/>
    <w:rsid w:val="00535F3D"/>
    <w:rsid w:val="005403ED"/>
    <w:rsid w:val="00546900"/>
    <w:rsid w:val="0055234C"/>
    <w:rsid w:val="005712B0"/>
    <w:rsid w:val="00575FCF"/>
    <w:rsid w:val="0057790F"/>
    <w:rsid w:val="00582125"/>
    <w:rsid w:val="0058282E"/>
    <w:rsid w:val="005850C9"/>
    <w:rsid w:val="005A21C1"/>
    <w:rsid w:val="005A3567"/>
    <w:rsid w:val="005A6246"/>
    <w:rsid w:val="005A7F1F"/>
    <w:rsid w:val="005C0A10"/>
    <w:rsid w:val="005C52CF"/>
    <w:rsid w:val="005D4497"/>
    <w:rsid w:val="005E176F"/>
    <w:rsid w:val="005F0988"/>
    <w:rsid w:val="005F38CC"/>
    <w:rsid w:val="00600137"/>
    <w:rsid w:val="00604CBD"/>
    <w:rsid w:val="00626620"/>
    <w:rsid w:val="00633AA5"/>
    <w:rsid w:val="00635226"/>
    <w:rsid w:val="00635AE6"/>
    <w:rsid w:val="006425B6"/>
    <w:rsid w:val="00650159"/>
    <w:rsid w:val="00671218"/>
    <w:rsid w:val="00672155"/>
    <w:rsid w:val="00684154"/>
    <w:rsid w:val="00685E86"/>
    <w:rsid w:val="006908BA"/>
    <w:rsid w:val="00694831"/>
    <w:rsid w:val="006A0102"/>
    <w:rsid w:val="006B2A9C"/>
    <w:rsid w:val="006B607F"/>
    <w:rsid w:val="006C03E1"/>
    <w:rsid w:val="006C1D53"/>
    <w:rsid w:val="006C27E3"/>
    <w:rsid w:val="006C35F4"/>
    <w:rsid w:val="006D40F2"/>
    <w:rsid w:val="006E0F61"/>
    <w:rsid w:val="006E1CC5"/>
    <w:rsid w:val="006E3E0B"/>
    <w:rsid w:val="006E4406"/>
    <w:rsid w:val="006E6B9C"/>
    <w:rsid w:val="006F5400"/>
    <w:rsid w:val="006F7629"/>
    <w:rsid w:val="00717F33"/>
    <w:rsid w:val="00722181"/>
    <w:rsid w:val="0072361B"/>
    <w:rsid w:val="00731487"/>
    <w:rsid w:val="0073264D"/>
    <w:rsid w:val="00740448"/>
    <w:rsid w:val="007415A2"/>
    <w:rsid w:val="0074574A"/>
    <w:rsid w:val="00750035"/>
    <w:rsid w:val="0075689A"/>
    <w:rsid w:val="0076498C"/>
    <w:rsid w:val="00767230"/>
    <w:rsid w:val="0077052B"/>
    <w:rsid w:val="00776688"/>
    <w:rsid w:val="00786539"/>
    <w:rsid w:val="0078799B"/>
    <w:rsid w:val="007B1007"/>
    <w:rsid w:val="007C154E"/>
    <w:rsid w:val="007C325E"/>
    <w:rsid w:val="007D5682"/>
    <w:rsid w:val="007F1BFD"/>
    <w:rsid w:val="0080106E"/>
    <w:rsid w:val="00802993"/>
    <w:rsid w:val="00823226"/>
    <w:rsid w:val="00824557"/>
    <w:rsid w:val="00837118"/>
    <w:rsid w:val="00841081"/>
    <w:rsid w:val="00844653"/>
    <w:rsid w:val="00845DE2"/>
    <w:rsid w:val="00847239"/>
    <w:rsid w:val="0089341D"/>
    <w:rsid w:val="008960F6"/>
    <w:rsid w:val="008A077A"/>
    <w:rsid w:val="008B6AE6"/>
    <w:rsid w:val="008C032E"/>
    <w:rsid w:val="008C6C1F"/>
    <w:rsid w:val="008E3782"/>
    <w:rsid w:val="008F1B29"/>
    <w:rsid w:val="008F7E58"/>
    <w:rsid w:val="009012E2"/>
    <w:rsid w:val="00911B5F"/>
    <w:rsid w:val="00913AC4"/>
    <w:rsid w:val="0091477C"/>
    <w:rsid w:val="00922532"/>
    <w:rsid w:val="0093228F"/>
    <w:rsid w:val="0093418D"/>
    <w:rsid w:val="0094556A"/>
    <w:rsid w:val="00955D9D"/>
    <w:rsid w:val="00956391"/>
    <w:rsid w:val="00961484"/>
    <w:rsid w:val="009704F0"/>
    <w:rsid w:val="00975F09"/>
    <w:rsid w:val="00982428"/>
    <w:rsid w:val="0098257E"/>
    <w:rsid w:val="0098755F"/>
    <w:rsid w:val="00993588"/>
    <w:rsid w:val="00994184"/>
    <w:rsid w:val="009B1D11"/>
    <w:rsid w:val="009B6413"/>
    <w:rsid w:val="009B75BB"/>
    <w:rsid w:val="009C17A3"/>
    <w:rsid w:val="009C77F4"/>
    <w:rsid w:val="009D4F7B"/>
    <w:rsid w:val="009E1D71"/>
    <w:rsid w:val="009E3A94"/>
    <w:rsid w:val="009E7811"/>
    <w:rsid w:val="009E79A8"/>
    <w:rsid w:val="009F7051"/>
    <w:rsid w:val="00A0533C"/>
    <w:rsid w:val="00A05DB7"/>
    <w:rsid w:val="00A13FB0"/>
    <w:rsid w:val="00A2423F"/>
    <w:rsid w:val="00A24A88"/>
    <w:rsid w:val="00A34A02"/>
    <w:rsid w:val="00A4799F"/>
    <w:rsid w:val="00A52036"/>
    <w:rsid w:val="00A573EB"/>
    <w:rsid w:val="00A6343D"/>
    <w:rsid w:val="00A638A2"/>
    <w:rsid w:val="00A8128A"/>
    <w:rsid w:val="00A84C2A"/>
    <w:rsid w:val="00A91187"/>
    <w:rsid w:val="00A94B00"/>
    <w:rsid w:val="00A95A5F"/>
    <w:rsid w:val="00A974AE"/>
    <w:rsid w:val="00AB27EF"/>
    <w:rsid w:val="00AC1487"/>
    <w:rsid w:val="00AD293B"/>
    <w:rsid w:val="00AD40EF"/>
    <w:rsid w:val="00AE1524"/>
    <w:rsid w:val="00AE6377"/>
    <w:rsid w:val="00AE7DCA"/>
    <w:rsid w:val="00AF19E6"/>
    <w:rsid w:val="00B00A1C"/>
    <w:rsid w:val="00B0194B"/>
    <w:rsid w:val="00B10BDB"/>
    <w:rsid w:val="00B10C50"/>
    <w:rsid w:val="00B12313"/>
    <w:rsid w:val="00B2250A"/>
    <w:rsid w:val="00B260E3"/>
    <w:rsid w:val="00B2665F"/>
    <w:rsid w:val="00B31745"/>
    <w:rsid w:val="00B32D5E"/>
    <w:rsid w:val="00B337F6"/>
    <w:rsid w:val="00B3442C"/>
    <w:rsid w:val="00B36A75"/>
    <w:rsid w:val="00B441AF"/>
    <w:rsid w:val="00B55358"/>
    <w:rsid w:val="00B57298"/>
    <w:rsid w:val="00B573F4"/>
    <w:rsid w:val="00B6456C"/>
    <w:rsid w:val="00B65D5F"/>
    <w:rsid w:val="00B8314B"/>
    <w:rsid w:val="00BA49E1"/>
    <w:rsid w:val="00BB25B9"/>
    <w:rsid w:val="00BC47CE"/>
    <w:rsid w:val="00BD7733"/>
    <w:rsid w:val="00BE1EC1"/>
    <w:rsid w:val="00BE22F5"/>
    <w:rsid w:val="00C01AB7"/>
    <w:rsid w:val="00C040AB"/>
    <w:rsid w:val="00C0555D"/>
    <w:rsid w:val="00C064C1"/>
    <w:rsid w:val="00C11267"/>
    <w:rsid w:val="00C153E7"/>
    <w:rsid w:val="00C17C12"/>
    <w:rsid w:val="00C2131C"/>
    <w:rsid w:val="00C241CF"/>
    <w:rsid w:val="00C2567B"/>
    <w:rsid w:val="00C31227"/>
    <w:rsid w:val="00C33531"/>
    <w:rsid w:val="00C4315B"/>
    <w:rsid w:val="00C45949"/>
    <w:rsid w:val="00C5063D"/>
    <w:rsid w:val="00C56882"/>
    <w:rsid w:val="00C57A4F"/>
    <w:rsid w:val="00C62269"/>
    <w:rsid w:val="00C6370E"/>
    <w:rsid w:val="00C64457"/>
    <w:rsid w:val="00C737E2"/>
    <w:rsid w:val="00C8372E"/>
    <w:rsid w:val="00C914F6"/>
    <w:rsid w:val="00CA0239"/>
    <w:rsid w:val="00CB38AB"/>
    <w:rsid w:val="00CB4888"/>
    <w:rsid w:val="00CC12AE"/>
    <w:rsid w:val="00CC442A"/>
    <w:rsid w:val="00CC579F"/>
    <w:rsid w:val="00CC5FF2"/>
    <w:rsid w:val="00CD2E62"/>
    <w:rsid w:val="00CE4F5C"/>
    <w:rsid w:val="00CE7A30"/>
    <w:rsid w:val="00CF108D"/>
    <w:rsid w:val="00D04BE7"/>
    <w:rsid w:val="00D05E7C"/>
    <w:rsid w:val="00D0624C"/>
    <w:rsid w:val="00D24C81"/>
    <w:rsid w:val="00D2656A"/>
    <w:rsid w:val="00D3319D"/>
    <w:rsid w:val="00D45350"/>
    <w:rsid w:val="00D53F07"/>
    <w:rsid w:val="00D70CAF"/>
    <w:rsid w:val="00D7154B"/>
    <w:rsid w:val="00D73021"/>
    <w:rsid w:val="00D82332"/>
    <w:rsid w:val="00D87820"/>
    <w:rsid w:val="00D92AE4"/>
    <w:rsid w:val="00D94D08"/>
    <w:rsid w:val="00DA1ED4"/>
    <w:rsid w:val="00DA3CCE"/>
    <w:rsid w:val="00DB117B"/>
    <w:rsid w:val="00DB2B92"/>
    <w:rsid w:val="00DB316E"/>
    <w:rsid w:val="00DB66B9"/>
    <w:rsid w:val="00DD2A47"/>
    <w:rsid w:val="00DE4C22"/>
    <w:rsid w:val="00DE7888"/>
    <w:rsid w:val="00E05957"/>
    <w:rsid w:val="00E26526"/>
    <w:rsid w:val="00E310DB"/>
    <w:rsid w:val="00E3359E"/>
    <w:rsid w:val="00E3646F"/>
    <w:rsid w:val="00E440ED"/>
    <w:rsid w:val="00E56728"/>
    <w:rsid w:val="00E61CB8"/>
    <w:rsid w:val="00E61E50"/>
    <w:rsid w:val="00E80682"/>
    <w:rsid w:val="00E8697E"/>
    <w:rsid w:val="00E8776D"/>
    <w:rsid w:val="00E9128E"/>
    <w:rsid w:val="00E919B9"/>
    <w:rsid w:val="00E97452"/>
    <w:rsid w:val="00EA1213"/>
    <w:rsid w:val="00EA749D"/>
    <w:rsid w:val="00EB09F8"/>
    <w:rsid w:val="00EB47F5"/>
    <w:rsid w:val="00EC2822"/>
    <w:rsid w:val="00ED5EE8"/>
    <w:rsid w:val="00EE2470"/>
    <w:rsid w:val="00EE2DA8"/>
    <w:rsid w:val="00EE3E01"/>
    <w:rsid w:val="00EE4C08"/>
    <w:rsid w:val="00EE55B0"/>
    <w:rsid w:val="00EF00C0"/>
    <w:rsid w:val="00EF04FF"/>
    <w:rsid w:val="00EF1C11"/>
    <w:rsid w:val="00EF26F3"/>
    <w:rsid w:val="00EF5CA9"/>
    <w:rsid w:val="00F01507"/>
    <w:rsid w:val="00F11A23"/>
    <w:rsid w:val="00F11C95"/>
    <w:rsid w:val="00F12170"/>
    <w:rsid w:val="00F14984"/>
    <w:rsid w:val="00F22DA1"/>
    <w:rsid w:val="00F260FE"/>
    <w:rsid w:val="00F27B0F"/>
    <w:rsid w:val="00F305AB"/>
    <w:rsid w:val="00F345A4"/>
    <w:rsid w:val="00F36965"/>
    <w:rsid w:val="00F4216F"/>
    <w:rsid w:val="00F46070"/>
    <w:rsid w:val="00F54A31"/>
    <w:rsid w:val="00F5763A"/>
    <w:rsid w:val="00F618FC"/>
    <w:rsid w:val="00F63DF6"/>
    <w:rsid w:val="00F6693D"/>
    <w:rsid w:val="00F721D1"/>
    <w:rsid w:val="00F73967"/>
    <w:rsid w:val="00F84D22"/>
    <w:rsid w:val="00F85F57"/>
    <w:rsid w:val="00F900F8"/>
    <w:rsid w:val="00FA5699"/>
    <w:rsid w:val="00FA5BDD"/>
    <w:rsid w:val="00FB129C"/>
    <w:rsid w:val="00FB52DD"/>
    <w:rsid w:val="00FC0A82"/>
    <w:rsid w:val="00FC257B"/>
    <w:rsid w:val="00FC53CA"/>
    <w:rsid w:val="00FC55D1"/>
    <w:rsid w:val="00FC6A10"/>
    <w:rsid w:val="00FC7F94"/>
    <w:rsid w:val="00FD1107"/>
    <w:rsid w:val="00FD394E"/>
    <w:rsid w:val="00FD4747"/>
    <w:rsid w:val="00FD6AA4"/>
    <w:rsid w:val="00FD6BCD"/>
    <w:rsid w:val="00FD6C84"/>
    <w:rsid w:val="00FE1A4F"/>
    <w:rsid w:val="00FE31D5"/>
    <w:rsid w:val="00FE6C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AC9"/>
    <w:pPr>
      <w:widowControl w:val="0"/>
      <w:autoSpaceDE w:val="0"/>
      <w:autoSpaceDN w:val="0"/>
      <w:adjustRightInd w:val="0"/>
    </w:pPr>
    <w:rPr>
      <w:rFonts w:ascii="Times New Roman" w:eastAsia="Times New Roman" w:hAnsi="Times New Roman"/>
      <w:szCs w:val="24"/>
    </w:rPr>
  </w:style>
  <w:style w:type="paragraph" w:styleId="Heading1">
    <w:name w:val="heading 1"/>
    <w:basedOn w:val="Normal"/>
    <w:next w:val="Normal"/>
    <w:link w:val="Heading1Char"/>
    <w:uiPriority w:val="9"/>
    <w:qFormat/>
    <w:rsid w:val="007F1BFD"/>
    <w:pPr>
      <w:keepNext/>
      <w:keepLines/>
      <w:widowControl/>
      <w:autoSpaceDE/>
      <w:autoSpaceDN/>
      <w:adjustRightInd/>
      <w:spacing w:before="480" w:line="276" w:lineRule="auto"/>
      <w:outlineLvl w:val="0"/>
    </w:pPr>
    <w:rPr>
      <w:b/>
      <w:bCs/>
      <w:color w:val="365F91"/>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BFD"/>
    <w:rPr>
      <w:rFonts w:ascii="Times New Roman" w:hAnsi="Times New Roman"/>
      <w:sz w:val="24"/>
      <w:szCs w:val="22"/>
    </w:rPr>
  </w:style>
  <w:style w:type="character" w:customStyle="1" w:styleId="Heading1Char">
    <w:name w:val="Heading 1 Char"/>
    <w:basedOn w:val="DefaultParagraphFont"/>
    <w:link w:val="Heading1"/>
    <w:uiPriority w:val="9"/>
    <w:rsid w:val="007F1BFD"/>
    <w:rPr>
      <w:rFonts w:ascii="Times New Roman" w:eastAsia="Times New Roman" w:hAnsi="Times New Roman" w:cs="Times New Roman"/>
      <w:b/>
      <w:bCs/>
      <w:color w:val="365F91"/>
      <w:sz w:val="24"/>
      <w:szCs w:val="28"/>
    </w:rPr>
  </w:style>
  <w:style w:type="paragraph" w:styleId="FootnoteText">
    <w:name w:val="footnote text"/>
    <w:basedOn w:val="Normal"/>
    <w:link w:val="FootnoteTextChar"/>
    <w:uiPriority w:val="99"/>
    <w:semiHidden/>
    <w:unhideWhenUsed/>
    <w:rsid w:val="00635AE6"/>
    <w:pPr>
      <w:widowControl/>
      <w:autoSpaceDE/>
      <w:autoSpaceDN/>
      <w:adjustRightInd/>
    </w:pPr>
    <w:rPr>
      <w:rFonts w:eastAsia="Calibri"/>
      <w:szCs w:val="20"/>
    </w:rPr>
  </w:style>
  <w:style w:type="character" w:customStyle="1" w:styleId="FootnoteTextChar">
    <w:name w:val="Footnote Text Char"/>
    <w:basedOn w:val="DefaultParagraphFont"/>
    <w:link w:val="FootnoteText"/>
    <w:uiPriority w:val="99"/>
    <w:semiHidden/>
    <w:rsid w:val="00635AE6"/>
    <w:rPr>
      <w:rFonts w:ascii="Times New Roman" w:hAnsi="Times New Roman"/>
      <w:sz w:val="20"/>
      <w:szCs w:val="20"/>
    </w:rPr>
  </w:style>
  <w:style w:type="character" w:styleId="FootnoteReference">
    <w:name w:val="footnote reference"/>
    <w:basedOn w:val="DefaultParagraphFont"/>
    <w:uiPriority w:val="99"/>
    <w:semiHidden/>
    <w:unhideWhenUsed/>
    <w:rsid w:val="00635AE6"/>
    <w:rPr>
      <w:vertAlign w:val="superscript"/>
    </w:rPr>
  </w:style>
  <w:style w:type="paragraph" w:styleId="Header">
    <w:name w:val="header"/>
    <w:basedOn w:val="Normal"/>
    <w:link w:val="HeaderChar"/>
    <w:uiPriority w:val="99"/>
    <w:unhideWhenUsed/>
    <w:rsid w:val="0013643D"/>
    <w:pPr>
      <w:widowControl/>
      <w:tabs>
        <w:tab w:val="center" w:pos="4680"/>
        <w:tab w:val="right" w:pos="9360"/>
      </w:tabs>
      <w:autoSpaceDE/>
      <w:autoSpaceDN/>
      <w:adjustRightInd/>
    </w:pPr>
    <w:rPr>
      <w:rFonts w:eastAsia="Calibri"/>
      <w:sz w:val="24"/>
      <w:szCs w:val="22"/>
    </w:rPr>
  </w:style>
  <w:style w:type="character" w:customStyle="1" w:styleId="HeaderChar">
    <w:name w:val="Header Char"/>
    <w:basedOn w:val="DefaultParagraphFont"/>
    <w:link w:val="Header"/>
    <w:uiPriority w:val="99"/>
    <w:rsid w:val="0013643D"/>
    <w:rPr>
      <w:rFonts w:ascii="Times New Roman" w:hAnsi="Times New Roman"/>
      <w:sz w:val="24"/>
    </w:rPr>
  </w:style>
  <w:style w:type="paragraph" w:styleId="Footer">
    <w:name w:val="footer"/>
    <w:basedOn w:val="Normal"/>
    <w:link w:val="FooterChar"/>
    <w:uiPriority w:val="99"/>
    <w:semiHidden/>
    <w:unhideWhenUsed/>
    <w:rsid w:val="0013643D"/>
    <w:pPr>
      <w:widowControl/>
      <w:tabs>
        <w:tab w:val="center" w:pos="4680"/>
        <w:tab w:val="right" w:pos="9360"/>
      </w:tabs>
      <w:autoSpaceDE/>
      <w:autoSpaceDN/>
      <w:adjustRightInd/>
    </w:pPr>
    <w:rPr>
      <w:rFonts w:eastAsia="Calibri"/>
      <w:sz w:val="24"/>
      <w:szCs w:val="22"/>
    </w:rPr>
  </w:style>
  <w:style w:type="character" w:customStyle="1" w:styleId="FooterChar">
    <w:name w:val="Footer Char"/>
    <w:basedOn w:val="DefaultParagraphFont"/>
    <w:link w:val="Footer"/>
    <w:uiPriority w:val="99"/>
    <w:semiHidden/>
    <w:rsid w:val="0013643D"/>
    <w:rPr>
      <w:rFonts w:ascii="Times New Roman" w:hAnsi="Times New Roman"/>
      <w:sz w:val="24"/>
    </w:rPr>
  </w:style>
  <w:style w:type="paragraph" w:styleId="ListParagraph">
    <w:name w:val="List Paragraph"/>
    <w:basedOn w:val="Normal"/>
    <w:uiPriority w:val="34"/>
    <w:qFormat/>
    <w:rsid w:val="003B06B1"/>
    <w:pPr>
      <w:ind w:left="720"/>
      <w:contextualSpacing/>
    </w:pPr>
  </w:style>
  <w:style w:type="character" w:styleId="Hyperlink">
    <w:name w:val="Hyperlink"/>
    <w:basedOn w:val="DefaultParagraphFont"/>
    <w:uiPriority w:val="99"/>
    <w:semiHidden/>
    <w:unhideWhenUsed/>
    <w:rsid w:val="00F900F8"/>
    <w:rPr>
      <w:color w:val="006633"/>
      <w:u w:val="single"/>
    </w:rPr>
  </w:style>
  <w:style w:type="character" w:styleId="CommentReference">
    <w:name w:val="annotation reference"/>
    <w:basedOn w:val="DefaultParagraphFont"/>
    <w:uiPriority w:val="99"/>
    <w:semiHidden/>
    <w:unhideWhenUsed/>
    <w:rsid w:val="00182A49"/>
    <w:rPr>
      <w:sz w:val="16"/>
      <w:szCs w:val="16"/>
    </w:rPr>
  </w:style>
  <w:style w:type="paragraph" w:styleId="CommentText">
    <w:name w:val="annotation text"/>
    <w:basedOn w:val="Normal"/>
    <w:link w:val="CommentTextChar"/>
    <w:uiPriority w:val="99"/>
    <w:semiHidden/>
    <w:unhideWhenUsed/>
    <w:rsid w:val="00182A49"/>
    <w:rPr>
      <w:szCs w:val="20"/>
    </w:rPr>
  </w:style>
  <w:style w:type="character" w:customStyle="1" w:styleId="CommentTextChar">
    <w:name w:val="Comment Text Char"/>
    <w:basedOn w:val="DefaultParagraphFont"/>
    <w:link w:val="CommentText"/>
    <w:uiPriority w:val="99"/>
    <w:semiHidden/>
    <w:rsid w:val="00182A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2A49"/>
    <w:rPr>
      <w:b/>
      <w:bCs/>
    </w:rPr>
  </w:style>
  <w:style w:type="character" w:customStyle="1" w:styleId="CommentSubjectChar">
    <w:name w:val="Comment Subject Char"/>
    <w:basedOn w:val="CommentTextChar"/>
    <w:link w:val="CommentSubject"/>
    <w:uiPriority w:val="99"/>
    <w:semiHidden/>
    <w:rsid w:val="00182A49"/>
    <w:rPr>
      <w:b/>
      <w:bCs/>
    </w:rPr>
  </w:style>
  <w:style w:type="paragraph" w:styleId="BalloonText">
    <w:name w:val="Balloon Text"/>
    <w:basedOn w:val="Normal"/>
    <w:link w:val="BalloonTextChar"/>
    <w:uiPriority w:val="99"/>
    <w:semiHidden/>
    <w:unhideWhenUsed/>
    <w:rsid w:val="00182A49"/>
    <w:rPr>
      <w:rFonts w:ascii="Tahoma" w:hAnsi="Tahoma" w:cs="Tahoma"/>
      <w:sz w:val="16"/>
      <w:szCs w:val="16"/>
    </w:rPr>
  </w:style>
  <w:style w:type="character" w:customStyle="1" w:styleId="BalloonTextChar">
    <w:name w:val="Balloon Text Char"/>
    <w:basedOn w:val="DefaultParagraphFont"/>
    <w:link w:val="BalloonText"/>
    <w:uiPriority w:val="99"/>
    <w:semiHidden/>
    <w:rsid w:val="00182A49"/>
    <w:rPr>
      <w:rFonts w:ascii="Tahoma" w:eastAsia="Times New Roman" w:hAnsi="Tahoma" w:cs="Tahoma"/>
      <w:sz w:val="16"/>
      <w:szCs w:val="16"/>
    </w:rPr>
  </w:style>
  <w:style w:type="paragraph" w:styleId="Revision">
    <w:name w:val="Revision"/>
    <w:hidden/>
    <w:uiPriority w:val="99"/>
    <w:semiHidden/>
    <w:rsid w:val="00A91187"/>
    <w:rPr>
      <w:rFonts w:ascii="Times New Roman" w:eastAsia="Times New Roman" w:hAnsi="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2009-10-30T07:00:00+00:00</OpenedDate>
    <Date1 xmlns="dc463f71-b30c-4ab2-9473-d307f9d35888">2009-12-23T08:00:00+00:00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091703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E4CF866657A394AB92A99D0E210C662" ma:contentTypeVersion="131" ma:contentTypeDescription="" ma:contentTypeScope="" ma:versionID="dac860678736262efd913bdd13ba340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599BB7-0BEA-419D-9783-B753459FBF81}"/>
</file>

<file path=customXml/itemProps2.xml><?xml version="1.0" encoding="utf-8"?>
<ds:datastoreItem xmlns:ds="http://schemas.openxmlformats.org/officeDocument/2006/customXml" ds:itemID="{F84EDC53-FF93-4B2D-82F2-394EEFB596EF}"/>
</file>

<file path=customXml/itemProps3.xml><?xml version="1.0" encoding="utf-8"?>
<ds:datastoreItem xmlns:ds="http://schemas.openxmlformats.org/officeDocument/2006/customXml" ds:itemID="{478AB1D7-19BD-4B8E-90AA-3EA036723983}"/>
</file>

<file path=customXml/itemProps4.xml><?xml version="1.0" encoding="utf-8"?>
<ds:datastoreItem xmlns:ds="http://schemas.openxmlformats.org/officeDocument/2006/customXml" ds:itemID="{4B7BD1A6-37BC-403E-B4E2-E2608F853188}"/>
</file>

<file path=customXml/itemProps5.xml><?xml version="1.0" encoding="utf-8"?>
<ds:datastoreItem xmlns:ds="http://schemas.openxmlformats.org/officeDocument/2006/customXml" ds:itemID="{1B1D649D-C06C-4E0D-A288-65A57754F2DE}"/>
</file>

<file path=customXml/itemProps6.xml><?xml version="1.0" encoding="utf-8"?>
<ds:datastoreItem xmlns:ds="http://schemas.openxmlformats.org/officeDocument/2006/customXml" ds:itemID="{2DEC19D6-72FD-4198-B35D-F3363BE0CC25}"/>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Revises Schedule 95A, the Production Tax Credit Tracker</vt:lpstr>
    </vt:vector>
  </TitlesOfParts>
  <Company>Washington Utilities and Transportation Commission</Company>
  <LinksUpToDate>false</LinksUpToDate>
  <CharactersWithSpaces>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Revises Schedule 95A, the Production Tax Credit Tracker</dc:title>
  <dc:subject/>
  <dc:creator>Kathryn Breda</dc:creator>
  <cp:keywords/>
  <dc:description/>
  <cp:lastModifiedBy>Catherine Hudspeth</cp:lastModifiedBy>
  <cp:revision>2</cp:revision>
  <cp:lastPrinted>2009-12-18T18:35:00Z</cp:lastPrinted>
  <dcterms:created xsi:type="dcterms:W3CDTF">2009-12-21T22:06:00Z</dcterms:created>
  <dcterms:modified xsi:type="dcterms:W3CDTF">2009-12-21T22:06:00Z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0x0101006E56B4D1795A2E4DB2F0B01679ED314A002E4CF866657A394AB92A99D0E210C662</vt:lpwstr>
  </property>
  <property fmtid="{D5CDD505-2E9C-101B-9397-08002B2CF9AE}" pid="3" name="_NewReviewCycle">
    <vt:lpwstr/>
  </property>
  <property fmtid="{D5CDD505-2E9C-101B-9397-08002B2CF9AE}" pid="4" name="ContentType">
    <vt:lpwstr>Document</vt:lpwstr>
  </property>
  <property fmtid="{D5CDD505-2E9C-101B-9397-08002B2CF9AE}" pid="5" name="_docset_NoMedatataSyncRequired">
    <vt:lpwstr>False</vt:lpwstr>
  </property>
</Properties>
</file>