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r w:rsidRPr="00EB4CE3">
        <w:t xml:space="preserve">Agenda Date: </w:t>
      </w:r>
      <w:r w:rsidRPr="00EB4CE3">
        <w:tab/>
      </w:r>
      <w:r w:rsidRPr="00EB4CE3">
        <w:tab/>
      </w:r>
      <w:r w:rsidR="00143CDB">
        <w:t>October 15</w:t>
      </w:r>
      <w:r w:rsidRPr="00EB4CE3">
        <w:t>, 2009</w:t>
      </w:r>
      <w:r w:rsidR="004456FB">
        <w:tab/>
      </w:r>
      <w:r w:rsidR="004456FB">
        <w:tab/>
      </w:r>
    </w:p>
    <w:p w:rsidR="00154718" w:rsidRDefault="00154718" w:rsidP="00BE5610">
      <w:r w:rsidRPr="00EB4CE3">
        <w:t>Item Number:</w:t>
      </w:r>
      <w:r w:rsidRPr="00EB4CE3">
        <w:tab/>
      </w:r>
      <w:r w:rsidRPr="00EB4CE3">
        <w:tab/>
      </w:r>
      <w:r w:rsidR="002C6110" w:rsidRPr="00EB4CE3">
        <w:t>A</w:t>
      </w:r>
      <w:r w:rsidR="00724475">
        <w:t>2</w:t>
      </w:r>
    </w:p>
    <w:p w:rsidR="006E3B58" w:rsidRPr="00EB4CE3" w:rsidRDefault="006E3B58" w:rsidP="00BE5610"/>
    <w:p w:rsidR="00154718" w:rsidRPr="00EB4CE3" w:rsidRDefault="00154718" w:rsidP="00BE5610">
      <w:r w:rsidRPr="00EB4CE3">
        <w:t xml:space="preserve">Docket: </w:t>
      </w:r>
      <w:r w:rsidRPr="00EB4CE3">
        <w:tab/>
      </w:r>
      <w:r w:rsidRPr="00EB4CE3">
        <w:tab/>
        <w:t>UW-09</w:t>
      </w:r>
      <w:r w:rsidR="00143CDB">
        <w:t>1466</w:t>
      </w:r>
    </w:p>
    <w:p w:rsidR="00154718" w:rsidRPr="00EB4CE3" w:rsidRDefault="00A41C23" w:rsidP="00BE5610">
      <w:r w:rsidRPr="00EB4CE3">
        <w:t>Company Name:</w:t>
      </w:r>
      <w:r w:rsidRPr="00EB4CE3">
        <w:tab/>
      </w:r>
      <w:r w:rsidR="00143CDB">
        <w:t>Rainier View</w:t>
      </w:r>
      <w:r w:rsidR="006E3B58">
        <w:t xml:space="preserve"> Water Company, </w:t>
      </w:r>
      <w:r w:rsidR="00F93D9C">
        <w:t>I</w:t>
      </w:r>
      <w:r w:rsidR="00B45CF2">
        <w:t>nc.</w:t>
      </w:r>
    </w:p>
    <w:p w:rsidR="00154718" w:rsidRPr="00EB4CE3" w:rsidRDefault="00154718" w:rsidP="00BE5610"/>
    <w:p w:rsidR="00154718" w:rsidRDefault="00595023" w:rsidP="00BE5610">
      <w:r w:rsidRPr="00EB4CE3">
        <w:t xml:space="preserve">Staff: </w:t>
      </w:r>
      <w:r w:rsidRPr="00EB4CE3">
        <w:tab/>
      </w:r>
      <w:r w:rsidRPr="00EB4CE3">
        <w:tab/>
      </w:r>
      <w:r w:rsidRPr="00EB4CE3">
        <w:tab/>
        <w:t>Jim Ward</w:t>
      </w:r>
      <w:r w:rsidR="00154718" w:rsidRPr="00EB4CE3">
        <w:t>, Regulatory Analyst</w:t>
      </w:r>
    </w:p>
    <w:p w:rsidR="00143CDB" w:rsidRDefault="00143CDB" w:rsidP="00143CDB">
      <w:pPr>
        <w:ind w:left="1440" w:firstLine="720"/>
      </w:pPr>
      <w:r>
        <w:t>Amy White</w:t>
      </w:r>
      <w:r w:rsidRPr="00EB4CE3">
        <w:t>, Regulatory Analyst</w:t>
      </w:r>
    </w:p>
    <w:p w:rsidR="00143CDB" w:rsidRPr="00EB4CE3" w:rsidRDefault="000625B1" w:rsidP="00143CDB">
      <w:pPr>
        <w:ind w:left="1440" w:firstLine="720"/>
      </w:pPr>
      <w:r>
        <w:t>Chris</w:t>
      </w:r>
      <w:r w:rsidR="00143CDB">
        <w:t xml:space="preserve"> Mickelson</w:t>
      </w:r>
      <w:r w:rsidR="00143CDB" w:rsidRPr="00EB4CE3">
        <w:t>, Regulatory Analyst</w:t>
      </w:r>
    </w:p>
    <w:p w:rsidR="00154718" w:rsidRPr="00EB4CE3" w:rsidRDefault="00154718" w:rsidP="00BE5610">
      <w:r w:rsidRPr="00EB4CE3">
        <w:tab/>
      </w:r>
      <w:r w:rsidRPr="00EB4CE3">
        <w:tab/>
      </w:r>
      <w:r w:rsidRPr="00EB4CE3">
        <w:tab/>
        <w:t>Dennis Shutler,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p>
    <w:p w:rsidR="00154718" w:rsidRPr="00EB4CE3" w:rsidRDefault="00154718" w:rsidP="00BE5610"/>
    <w:p w:rsidR="006E3B58" w:rsidRPr="006E3B58" w:rsidRDefault="004D7E01" w:rsidP="006E3B58">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w:t>
      </w:r>
      <w:r w:rsidR="006E3B58">
        <w:rPr>
          <w:rFonts w:eastAsia="Times New Roman"/>
          <w:color w:val="000000"/>
          <w:lang w:bidi="ar-SA"/>
        </w:rPr>
        <w:t>s</w:t>
      </w:r>
      <w:r w:rsidRPr="004D7E01">
        <w:rPr>
          <w:rFonts w:eastAsia="Times New Roman"/>
          <w:color w:val="000000"/>
          <w:lang w:bidi="ar-SA"/>
        </w:rPr>
        <w:t xml:space="preserve"> filed by</w:t>
      </w:r>
      <w:r w:rsidRPr="004D7E01">
        <w:t xml:space="preserve"> </w:t>
      </w:r>
      <w:r w:rsidR="00143CDB">
        <w:t>Rainier View</w:t>
      </w:r>
      <w:r w:rsidR="006E3B58">
        <w:t xml:space="preserve"> Water Company, </w:t>
      </w:r>
      <w:r>
        <w:t>Inc</w:t>
      </w:r>
      <w:r w:rsidR="006E3B58">
        <w:t>.</w:t>
      </w:r>
      <w:r w:rsidR="00A52858">
        <w:t xml:space="preserve">, </w:t>
      </w:r>
      <w:r w:rsidR="00A52858" w:rsidRPr="00A52858">
        <w:t xml:space="preserve">on </w:t>
      </w:r>
      <w:r w:rsidR="00143CDB">
        <w:t>September 15</w:t>
      </w:r>
      <w:r w:rsidR="00A52858" w:rsidRPr="00A52858">
        <w:t>, 2009</w:t>
      </w:r>
      <w:r w:rsidR="00A52858">
        <w:t>.</w:t>
      </w:r>
    </w:p>
    <w:p w:rsidR="004D7E01" w:rsidRPr="004D7E01" w:rsidRDefault="006E3B58" w:rsidP="006E3B58">
      <w:pPr>
        <w:widowControl w:val="0"/>
        <w:autoSpaceDE w:val="0"/>
        <w:autoSpaceDN w:val="0"/>
        <w:adjustRightInd w:val="0"/>
        <w:ind w:left="360"/>
        <w:rPr>
          <w:color w:val="000000"/>
          <w:sz w:val="22"/>
          <w:szCs w:val="22"/>
          <w:lang w:bidi="ar-SA"/>
        </w:rPr>
      </w:pPr>
      <w:r w:rsidRPr="004D7E01">
        <w:rPr>
          <w:color w:val="000000"/>
          <w:sz w:val="22"/>
          <w:szCs w:val="22"/>
          <w:lang w:bidi="ar-SA"/>
        </w:rPr>
        <w:t xml:space="preserve"> </w:t>
      </w:r>
    </w:p>
    <w:p w:rsidR="00154718" w:rsidRPr="00935AF2" w:rsidRDefault="00154718" w:rsidP="00BE5610">
      <w:pPr>
        <w:rPr>
          <w:b/>
          <w:u w:val="single"/>
        </w:rPr>
      </w:pPr>
      <w:r w:rsidRPr="00935AF2">
        <w:rPr>
          <w:b/>
          <w:u w:val="single"/>
        </w:rPr>
        <w:t>Discussion</w:t>
      </w:r>
    </w:p>
    <w:p w:rsidR="00154718" w:rsidRPr="00EB4CE3" w:rsidRDefault="00154718" w:rsidP="00BE5610"/>
    <w:p w:rsidR="008C168F" w:rsidRPr="008C168F" w:rsidRDefault="00DD65A6" w:rsidP="008C168F">
      <w:pPr>
        <w:rPr>
          <w:rFonts w:eastAsia="Times New Roman"/>
          <w:lang w:bidi="ar-SA"/>
        </w:rPr>
      </w:pPr>
      <w:r>
        <w:rPr>
          <w:color w:val="000000"/>
        </w:rPr>
        <w:t xml:space="preserve">On </w:t>
      </w:r>
      <w:r w:rsidR="00143CDB">
        <w:t>September 15</w:t>
      </w:r>
      <w:r>
        <w:rPr>
          <w:color w:val="000000"/>
        </w:rPr>
        <w:t xml:space="preserve">, 2009, </w:t>
      </w:r>
      <w:r w:rsidR="00143CDB">
        <w:t>Rainier View</w:t>
      </w:r>
      <w:r w:rsidR="006E3B58">
        <w:t xml:space="preserve"> Water Company, </w:t>
      </w:r>
      <w:r w:rsidR="00F93D9C">
        <w:t>Inc.</w:t>
      </w:r>
      <w:r>
        <w:t>, (</w:t>
      </w:r>
      <w:r w:rsidR="00143CDB">
        <w:t>Rainier View</w:t>
      </w:r>
      <w:r>
        <w:t xml:space="preserve"> or company</w:t>
      </w:r>
      <w:r w:rsidR="00A201C0">
        <w:t>)</w:t>
      </w:r>
      <w:r w:rsidR="00D0403B">
        <w:t>,</w:t>
      </w:r>
      <w:r w:rsidR="00A201C0">
        <w:t xml:space="preserve"> filed</w:t>
      </w:r>
      <w:r>
        <w:t xml:space="preserve"> </w:t>
      </w:r>
      <w:r w:rsidR="008C168F">
        <w:t>t</w:t>
      </w:r>
      <w:r w:rsidR="008C168F" w:rsidRPr="008C168F">
        <w:rPr>
          <w:rFonts w:eastAsia="Times New Roman"/>
          <w:lang w:bidi="ar-SA"/>
        </w:rPr>
        <w:t>ariff revision</w:t>
      </w:r>
      <w:r w:rsidR="006E3B58">
        <w:rPr>
          <w:rFonts w:eastAsia="Times New Roman"/>
          <w:lang w:bidi="ar-SA"/>
        </w:rPr>
        <w:t>s</w:t>
      </w:r>
      <w:r w:rsidR="008C168F" w:rsidRPr="008C168F">
        <w:rPr>
          <w:rFonts w:eastAsia="Times New Roman"/>
          <w:lang w:bidi="ar-SA"/>
        </w:rPr>
        <w:t xml:space="preserve">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99460C">
        <w:rPr>
          <w:rFonts w:eastAsia="Times New Roman"/>
          <w:lang w:bidi="ar-SA"/>
        </w:rPr>
        <w:t xml:space="preserve">approximately </w:t>
      </w:r>
      <w:r w:rsidR="00CC4FE2" w:rsidRPr="00407C80">
        <w:t>$</w:t>
      </w:r>
      <w:r w:rsidR="00143CDB">
        <w:t>1</w:t>
      </w:r>
      <w:r w:rsidR="006E3B58">
        <w:t>6</w:t>
      </w:r>
      <w:r w:rsidR="00143CDB">
        <w:t>4</w:t>
      </w:r>
      <w:r w:rsidR="006E3B58">
        <w:t>,48</w:t>
      </w:r>
      <w:r w:rsidR="00143CDB">
        <w:t>7</w:t>
      </w:r>
      <w:r w:rsidR="00CC4FE2" w:rsidRPr="00407C80">
        <w:t xml:space="preserve"> (</w:t>
      </w:r>
      <w:r w:rsidR="00143CDB">
        <w:t>3.4</w:t>
      </w:r>
      <w:r w:rsidR="00CC4FE2" w:rsidRPr="00407C80">
        <w:t xml:space="preserve"> percent) </w:t>
      </w:r>
      <w:r w:rsidR="008B479D">
        <w:t xml:space="preserve">in </w:t>
      </w:r>
      <w:r w:rsidR="00863543">
        <w:t>additional annual revenue</w:t>
      </w:r>
      <w:r w:rsidR="00CC4FE2" w:rsidRPr="00407C80">
        <w:t xml:space="preserve">. </w:t>
      </w:r>
      <w:r w:rsidR="00E8074A">
        <w:t>The filing also cancels the current</w:t>
      </w:r>
      <w:r w:rsidR="00D12604">
        <w:t xml:space="preserve"> $.61 per month generator surcharge.</w:t>
      </w:r>
      <w:r w:rsidR="00E8074A">
        <w:t xml:space="preserve"> </w:t>
      </w:r>
      <w:r w:rsidR="00A8090E">
        <w:t xml:space="preserve">The company </w:t>
      </w:r>
      <w:r w:rsidR="008B479D">
        <w:t>states the</w:t>
      </w:r>
      <w:r w:rsidR="0099460C">
        <w:t xml:space="preserve"> increase </w:t>
      </w:r>
      <w:r w:rsidR="009C55E2">
        <w:t xml:space="preserve">is </w:t>
      </w:r>
      <w:r w:rsidR="0099460C">
        <w:t xml:space="preserve">prompted by </w:t>
      </w:r>
      <w:r w:rsidR="008B479D">
        <w:t>increase</w:t>
      </w:r>
      <w:r w:rsidR="00B603AA">
        <w:t xml:space="preserve">s in wages, medical benefits, cost of chemicals used for treatment, and most products used </w:t>
      </w:r>
      <w:r w:rsidR="000625B1">
        <w:t>to provide</w:t>
      </w:r>
      <w:r w:rsidR="00B603AA">
        <w:t xml:space="preserve"> service.</w:t>
      </w:r>
      <w:r w:rsidR="00A8090E">
        <w:t xml:space="preserve"> </w:t>
      </w:r>
      <w:r w:rsidR="006E3B58" w:rsidRPr="00334F3B">
        <w:t xml:space="preserve">The company serves about </w:t>
      </w:r>
      <w:r w:rsidR="00B603AA">
        <w:t>16,6</w:t>
      </w:r>
      <w:r w:rsidR="00E60353">
        <w:t>88</w:t>
      </w:r>
      <w:r w:rsidR="006E3B58" w:rsidRPr="00334F3B">
        <w:t xml:space="preserve"> c</w:t>
      </w:r>
      <w:r w:rsidR="00E60353">
        <w:t>onnection</w:t>
      </w:r>
      <w:r w:rsidR="006E3B58" w:rsidRPr="00334F3B">
        <w:t xml:space="preserve">s </w:t>
      </w:r>
      <w:r w:rsidR="006E3B58">
        <w:t>on</w:t>
      </w:r>
      <w:r w:rsidR="000C2481">
        <w:t xml:space="preserve"> 26 water systems </w:t>
      </w:r>
      <w:r w:rsidR="0099460C">
        <w:t xml:space="preserve">located </w:t>
      </w:r>
      <w:r w:rsidR="00B603AA">
        <w:t xml:space="preserve">in Pierce </w:t>
      </w:r>
      <w:r w:rsidR="006E3B58" w:rsidRPr="0029312C">
        <w:t>County</w:t>
      </w:r>
      <w:r w:rsidR="00597882">
        <w:t xml:space="preserve"> and </w:t>
      </w:r>
      <w:r w:rsidR="000C2481">
        <w:t xml:space="preserve">on two water systems </w:t>
      </w:r>
      <w:r w:rsidR="0099460C">
        <w:t xml:space="preserve">located </w:t>
      </w:r>
      <w:r w:rsidR="000C2481">
        <w:t>in Kitsap County</w:t>
      </w:r>
      <w:r w:rsidR="006E3B58" w:rsidRPr="0029312C">
        <w:t xml:space="preserve">. </w:t>
      </w:r>
      <w:r w:rsidR="006E3B58">
        <w:t xml:space="preserve">The proposed effective date is </w:t>
      </w:r>
      <w:r w:rsidR="00143CDB">
        <w:t>October 16</w:t>
      </w:r>
      <w:r w:rsidR="006E3B58">
        <w:t xml:space="preserve">, 2009. The company’s last rate increase was </w:t>
      </w:r>
      <w:r w:rsidR="008B479D">
        <w:t xml:space="preserve">in </w:t>
      </w:r>
      <w:r w:rsidR="00B603AA">
        <w:t>July</w:t>
      </w:r>
      <w:r w:rsidR="006E3B58">
        <w:t xml:space="preserve"> 200</w:t>
      </w:r>
      <w:r w:rsidR="00B603AA">
        <w:t>1</w:t>
      </w:r>
      <w:r w:rsidR="006E3B58">
        <w:t>.</w:t>
      </w:r>
    </w:p>
    <w:p w:rsidR="00DD65A6" w:rsidRDefault="00DD65A6" w:rsidP="00BE5610"/>
    <w:p w:rsidR="00C03AA9" w:rsidRDefault="003F0972" w:rsidP="003F0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rPr>
          <w:rFonts w:eastAsia="Times New Roman"/>
          <w:b/>
          <w:u w:val="single"/>
          <w:lang w:bidi="ar-SA"/>
        </w:rPr>
      </w:pPr>
      <w:r w:rsidRPr="003F0972">
        <w:rPr>
          <w:rFonts w:eastAsia="Times New Roman"/>
          <w:b/>
          <w:u w:val="single"/>
          <w:lang w:bidi="ar-SA"/>
        </w:rPr>
        <w:t xml:space="preserve">Customer Comments </w:t>
      </w:r>
    </w:p>
    <w:p w:rsidR="00DC7B92" w:rsidRPr="00DC7B92" w:rsidRDefault="00DC7B92" w:rsidP="00DC7B92">
      <w:r w:rsidRPr="00DC7B92">
        <w:t xml:space="preserve">On September 14, 2009, the company notified its customers of the proposed rate increase by mail. </w:t>
      </w:r>
      <w:r w:rsidR="00D32DDA">
        <w:t>Twenty</w:t>
      </w:r>
      <w:r w:rsidRPr="00DC7B92">
        <w:t xml:space="preserve"> customer comments have been received to date; all customers are opposed to the proposed increase. Please note that customers often address several issues of concern within one comment. Therefore, subtotals may not equal the total number of comments submitted.</w:t>
      </w:r>
    </w:p>
    <w:p w:rsidR="00DC7B92" w:rsidRPr="00DC7B92" w:rsidRDefault="00DC7B92" w:rsidP="00DC7B92">
      <w:pPr>
        <w:rPr>
          <w:b/>
          <w:u w:val="single"/>
        </w:rPr>
      </w:pPr>
    </w:p>
    <w:p w:rsidR="00DC7B92" w:rsidRPr="00DC7B92" w:rsidRDefault="00DC7B92" w:rsidP="00DC7B92">
      <w:pPr>
        <w:rPr>
          <w:b/>
          <w:u w:val="single"/>
        </w:rPr>
      </w:pPr>
      <w:r w:rsidRPr="00DC7B92">
        <w:t xml:space="preserve">Consumer Protection staff </w:t>
      </w:r>
      <w:r w:rsidR="00A24E0B">
        <w:t xml:space="preserve">has </w:t>
      </w:r>
      <w:r w:rsidRPr="00DC7B92">
        <w:t>advise</w:t>
      </w:r>
      <w:r w:rsidR="00A24E0B">
        <w:t>d</w:t>
      </w:r>
      <w:r w:rsidRPr="00DC7B92">
        <w:t xml:space="preserve"> customers that they may access company documents pertinent to this rate case at www.utc.wa.gov, and www.utc.wa.gov/water and that they may contact Dennis Shutler at 1-888-333-9882 with questions or concerns.</w:t>
      </w:r>
    </w:p>
    <w:p w:rsidR="00DC7B92" w:rsidRPr="00DC7B92" w:rsidRDefault="00DC7B92" w:rsidP="00DC7B92"/>
    <w:p w:rsidR="00DC7B92" w:rsidRPr="00DC7B92" w:rsidRDefault="00DC7B92" w:rsidP="00DC7B92">
      <w:pPr>
        <w:rPr>
          <w:b/>
        </w:rPr>
      </w:pPr>
      <w:r w:rsidRPr="00DC7B92">
        <w:rPr>
          <w:b/>
        </w:rPr>
        <w:t>Filing Documents and Methodology Comments</w:t>
      </w:r>
    </w:p>
    <w:p w:rsidR="00DC7B92" w:rsidRPr="00DC7B92" w:rsidRDefault="00DC7B92" w:rsidP="00DC7B92">
      <w:pPr>
        <w:numPr>
          <w:ilvl w:val="0"/>
          <w:numId w:val="10"/>
        </w:numPr>
      </w:pPr>
      <w:r w:rsidRPr="00DC7B92">
        <w:t>Two customers believe the flat rate allowing unlimited usage should be removed, which would require all customers to pay for the water they use.</w:t>
      </w:r>
    </w:p>
    <w:p w:rsidR="00DC7B92" w:rsidRPr="00DC7B92" w:rsidRDefault="00DC7B92" w:rsidP="00DC7B92"/>
    <w:p w:rsidR="00DC7B92" w:rsidRPr="00DC7B92" w:rsidRDefault="00DC7B92" w:rsidP="00DC7B92">
      <w:pPr>
        <w:ind w:left="720"/>
        <w:rPr>
          <w:b/>
        </w:rPr>
      </w:pPr>
      <w:r w:rsidRPr="00DC7B92">
        <w:rPr>
          <w:b/>
        </w:rPr>
        <w:t>Staff Response</w:t>
      </w:r>
    </w:p>
    <w:p w:rsidR="00DC7B92" w:rsidRPr="00DC7B92" w:rsidRDefault="00DC7B92" w:rsidP="00DC7B92">
      <w:pPr>
        <w:ind w:left="720"/>
      </w:pPr>
      <w:r w:rsidRPr="00DC7B92">
        <w:t xml:space="preserve">The company currently has </w:t>
      </w:r>
      <w:r w:rsidR="00A24E0B">
        <w:t>211</w:t>
      </w:r>
      <w:r w:rsidR="009C55E2">
        <w:t xml:space="preserve"> </w:t>
      </w:r>
      <w:r w:rsidRPr="00DC7B92">
        <w:t>unmetered customers</w:t>
      </w:r>
      <w:r w:rsidR="00A24E0B">
        <w:t>. Although the company does not have a written work plan with completion deadlines, the company</w:t>
      </w:r>
      <w:r w:rsidRPr="00DC7B92">
        <w:t xml:space="preserve"> </w:t>
      </w:r>
      <w:r w:rsidR="00A24E0B">
        <w:t xml:space="preserve">is working </w:t>
      </w:r>
      <w:r w:rsidRPr="00DC7B92">
        <w:t xml:space="preserve">to install meters for those customers. </w:t>
      </w:r>
      <w:r w:rsidR="00A24E0B">
        <w:t>Metering w</w:t>
      </w:r>
      <w:r w:rsidRPr="00DC7B92">
        <w:t xml:space="preserve">ill result in all customers paying for the water they use. </w:t>
      </w:r>
    </w:p>
    <w:p w:rsidR="00DC7B92" w:rsidRPr="00DC7B92" w:rsidRDefault="00DC7B92" w:rsidP="00DC7B92">
      <w:pPr>
        <w:tabs>
          <w:tab w:val="left" w:pos="90"/>
        </w:tabs>
        <w:ind w:left="720"/>
      </w:pPr>
    </w:p>
    <w:p w:rsidR="00DC7B92" w:rsidRPr="00DC7B92" w:rsidRDefault="00DC7B92" w:rsidP="00DC7B92">
      <w:r w:rsidRPr="00DC7B92">
        <w:rPr>
          <w:b/>
        </w:rPr>
        <w:lastRenderedPageBreak/>
        <w:t>General Comment</w:t>
      </w:r>
    </w:p>
    <w:p w:rsidR="00DC7B92" w:rsidRPr="00DC7B92" w:rsidRDefault="00D32DDA" w:rsidP="00DC7B92">
      <w:pPr>
        <w:widowControl w:val="0"/>
        <w:numPr>
          <w:ilvl w:val="0"/>
          <w:numId w:val="11"/>
        </w:numPr>
        <w:tabs>
          <w:tab w:val="left" w:pos="90"/>
        </w:tabs>
        <w:autoSpaceDE w:val="0"/>
        <w:autoSpaceDN w:val="0"/>
        <w:adjustRightInd w:val="0"/>
        <w:ind w:left="720"/>
      </w:pPr>
      <w:r>
        <w:t>Eleven</w:t>
      </w:r>
      <w:r w:rsidR="00DC7B92" w:rsidRPr="00DC7B92">
        <w:t xml:space="preserve"> customers believe the proposed rates are excessive. </w:t>
      </w:r>
      <w:r>
        <w:t>Nine</w:t>
      </w:r>
      <w:r w:rsidR="001B5D29">
        <w:t xml:space="preserve"> </w:t>
      </w:r>
      <w:r w:rsidR="00DC7B92" w:rsidRPr="00DC7B92">
        <w:t>customers believe the current rates are already too high.</w:t>
      </w:r>
    </w:p>
    <w:p w:rsidR="00DC7B92" w:rsidRPr="00DC7B92" w:rsidRDefault="00DC7B92" w:rsidP="00DC7B92">
      <w:pPr>
        <w:tabs>
          <w:tab w:val="left" w:pos="90"/>
        </w:tabs>
      </w:pPr>
    </w:p>
    <w:p w:rsidR="00DC7B92" w:rsidRPr="00DC7B92" w:rsidRDefault="00DC7B92" w:rsidP="00DC7B92">
      <w:pPr>
        <w:tabs>
          <w:tab w:val="left" w:pos="90"/>
        </w:tabs>
        <w:ind w:left="720"/>
        <w:rPr>
          <w:b/>
        </w:rPr>
      </w:pPr>
      <w:r w:rsidRPr="00DC7B92">
        <w:rPr>
          <w:b/>
        </w:rPr>
        <w:t xml:space="preserve">Staff Response  </w:t>
      </w:r>
    </w:p>
    <w:p w:rsidR="00DC7B92" w:rsidRPr="00DC7B92" w:rsidRDefault="00DC7B92" w:rsidP="00DC7B92">
      <w:pPr>
        <w:ind w:left="720"/>
      </w:pPr>
      <w:r w:rsidRPr="00DC7B92">
        <w:rPr>
          <w:color w:val="000000"/>
        </w:rPr>
        <w:t>Although staff understands the customers’ concerns, our responsibility is to recommend the “right” rates that will allow the company to recover prudent operating expenses and the opportunity to earn a reasonable return.</w:t>
      </w:r>
    </w:p>
    <w:p w:rsidR="00DC7B92" w:rsidRPr="00DC7B92" w:rsidRDefault="00DC7B92" w:rsidP="00DC7B92"/>
    <w:p w:rsidR="0080117F" w:rsidRPr="0080117F" w:rsidRDefault="0080117F"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rFonts w:eastAsia="Times New Roman"/>
          <w:lang w:bidi="ar-SA"/>
        </w:rPr>
        <w:t>A customer using 93</w:t>
      </w:r>
      <w:r w:rsidR="00D65C0A">
        <w:rPr>
          <w:rFonts w:eastAsia="Times New Roman"/>
          <w:lang w:bidi="ar-SA"/>
        </w:rPr>
        <w:t>0</w:t>
      </w:r>
      <w:r w:rsidRPr="0080117F">
        <w:rPr>
          <w:rFonts w:eastAsia="Times New Roman"/>
          <w:lang w:bidi="ar-SA"/>
        </w:rPr>
        <w:t xml:space="preserve"> cubic feet of water per month (the calculated company-wide average water usage) would pay $</w:t>
      </w:r>
      <w:r w:rsidR="00AF2613">
        <w:rPr>
          <w:rFonts w:eastAsia="Times New Roman"/>
          <w:lang w:bidi="ar-SA"/>
        </w:rPr>
        <w:t>4</w:t>
      </w:r>
      <w:r w:rsidRPr="0080117F">
        <w:rPr>
          <w:rFonts w:eastAsia="Times New Roman"/>
          <w:lang w:bidi="ar-SA"/>
        </w:rPr>
        <w:t>.</w:t>
      </w:r>
      <w:r w:rsidR="00AF2613">
        <w:rPr>
          <w:rFonts w:eastAsia="Times New Roman"/>
          <w:lang w:bidi="ar-SA"/>
        </w:rPr>
        <w:t>59</w:t>
      </w:r>
      <w:r w:rsidRPr="0080117F">
        <w:rPr>
          <w:rFonts w:eastAsia="Times New Roman"/>
          <w:lang w:bidi="ar-SA"/>
        </w:rPr>
        <w:t xml:space="preserve"> (</w:t>
      </w:r>
      <w:r w:rsidR="003C4EB8">
        <w:rPr>
          <w:rFonts w:eastAsia="Times New Roman"/>
          <w:lang w:bidi="ar-SA"/>
        </w:rPr>
        <w:t>2</w:t>
      </w:r>
      <w:r w:rsidR="00AF2613">
        <w:rPr>
          <w:rFonts w:eastAsia="Times New Roman"/>
          <w:lang w:bidi="ar-SA"/>
        </w:rPr>
        <w:t>2</w:t>
      </w:r>
      <w:r w:rsidR="00D65C0A">
        <w:rPr>
          <w:rFonts w:eastAsia="Times New Roman"/>
          <w:lang w:bidi="ar-SA"/>
        </w:rPr>
        <w:t>.</w:t>
      </w:r>
      <w:r w:rsidR="00AF2613">
        <w:rPr>
          <w:rFonts w:eastAsia="Times New Roman"/>
          <w:lang w:bidi="ar-SA"/>
        </w:rPr>
        <w:t>9</w:t>
      </w:r>
      <w:r w:rsidRPr="0080117F">
        <w:rPr>
          <w:rFonts w:eastAsia="Times New Roman"/>
          <w:lang w:bidi="ar-SA"/>
        </w:rPr>
        <w:t xml:space="preserve"> percent) more per month using the </w:t>
      </w:r>
      <w:r w:rsidR="003C4EB8">
        <w:rPr>
          <w:rFonts w:eastAsia="Times New Roman"/>
          <w:lang w:bidi="ar-SA"/>
        </w:rPr>
        <w:t>proposed</w:t>
      </w:r>
      <w:r w:rsidRPr="0080117F">
        <w:rPr>
          <w:rFonts w:eastAsia="Times New Roman"/>
          <w:lang w:bidi="ar-SA"/>
        </w:rPr>
        <w:t xml:space="preserve"> rates </w:t>
      </w:r>
      <w:r w:rsidR="003C4EB8">
        <w:rPr>
          <w:rFonts w:eastAsia="Times New Roman"/>
          <w:lang w:bidi="ar-SA"/>
        </w:rPr>
        <w:t>than</w:t>
      </w:r>
      <w:r w:rsidRPr="0080117F">
        <w:rPr>
          <w:rFonts w:eastAsia="Times New Roman"/>
          <w:lang w:bidi="ar-SA"/>
        </w:rPr>
        <w:t xml:space="preserve"> using the </w:t>
      </w:r>
      <w:r w:rsidR="003C4EB8">
        <w:rPr>
          <w:rFonts w:eastAsia="Times New Roman"/>
          <w:lang w:bidi="ar-SA"/>
        </w:rPr>
        <w:t>current</w:t>
      </w:r>
      <w:r w:rsidRPr="0080117F">
        <w:rPr>
          <w:rFonts w:eastAsia="Times New Roman"/>
          <w:lang w:bidi="ar-SA"/>
        </w:rPr>
        <w:t xml:space="preserve"> rates (see “Average Bill Comparison” table below).</w:t>
      </w:r>
    </w:p>
    <w:p w:rsidR="00645A0C" w:rsidRDefault="00645A0C" w:rsidP="0080117F">
      <w:pPr>
        <w:rPr>
          <w:b/>
          <w:u w:val="single"/>
        </w:rPr>
      </w:pPr>
    </w:p>
    <w:p w:rsidR="009270B9" w:rsidRDefault="00832CE0" w:rsidP="00D9246D">
      <w:pPr>
        <w:rPr>
          <w:b/>
          <w:u w:val="single"/>
        </w:rPr>
      </w:pPr>
      <w:r w:rsidRPr="00450175">
        <w:rPr>
          <w:b/>
          <w:u w:val="single"/>
        </w:rPr>
        <w:t>Rate Comparison</w:t>
      </w:r>
    </w:p>
    <w:p w:rsidR="00CA3026" w:rsidRDefault="00CA3026" w:rsidP="009270B9">
      <w:pPr>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8"/>
        <w:gridCol w:w="2461"/>
        <w:gridCol w:w="2967"/>
      </w:tblGrid>
      <w:tr w:rsidR="009270B9" w:rsidRPr="009270B9" w:rsidTr="009270B9">
        <w:tc>
          <w:tcPr>
            <w:tcW w:w="2166" w:type="pct"/>
          </w:tcPr>
          <w:p w:rsidR="009270B9" w:rsidRPr="009270B9" w:rsidRDefault="009270B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r w:rsidR="000625B1">
              <w:rPr>
                <w:rFonts w:eastAsia="Times New Roman"/>
                <w:b/>
                <w:lang w:bidi="ar-SA"/>
              </w:rPr>
              <w:t>*</w:t>
            </w:r>
          </w:p>
        </w:tc>
        <w:tc>
          <w:tcPr>
            <w:tcW w:w="1285" w:type="pct"/>
            <w:vAlign w:val="center"/>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49" w:type="pct"/>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D9246D" w:rsidRPr="009270B9" w:rsidTr="009270B9">
        <w:tc>
          <w:tcPr>
            <w:tcW w:w="2166" w:type="pct"/>
          </w:tcPr>
          <w:p w:rsidR="00D9246D" w:rsidRDefault="008A5841" w:rsidP="000625B1">
            <w:pPr>
              <w:keepNext/>
              <w:widowControl w:val="0"/>
              <w:autoSpaceDE w:val="0"/>
              <w:autoSpaceDN w:val="0"/>
              <w:adjustRightInd w:val="0"/>
              <w:outlineLvl w:val="0"/>
              <w:rPr>
                <w:rFonts w:eastAsia="Times New Roman"/>
                <w:lang w:bidi="ar-SA"/>
              </w:rPr>
            </w:pPr>
            <w:r>
              <w:rPr>
                <w:rFonts w:eastAsia="Times New Roman"/>
                <w:lang w:bidi="ar-SA"/>
              </w:rPr>
              <w:t>Generator Surcharge</w:t>
            </w:r>
          </w:p>
        </w:tc>
        <w:tc>
          <w:tcPr>
            <w:tcW w:w="1285" w:type="pct"/>
            <w:vAlign w:val="center"/>
          </w:tcPr>
          <w:p w:rsidR="00D9246D" w:rsidRPr="009270B9" w:rsidRDefault="008A5841" w:rsidP="000625B1">
            <w:pPr>
              <w:widowControl w:val="0"/>
              <w:autoSpaceDE w:val="0"/>
              <w:autoSpaceDN w:val="0"/>
              <w:adjustRightInd w:val="0"/>
              <w:jc w:val="center"/>
              <w:rPr>
                <w:rFonts w:eastAsia="Times New Roman"/>
                <w:lang w:bidi="ar-SA"/>
              </w:rPr>
            </w:pPr>
            <w:r>
              <w:rPr>
                <w:rFonts w:eastAsia="Times New Roman"/>
                <w:lang w:bidi="ar-SA"/>
              </w:rPr>
              <w:t>$0.61</w:t>
            </w:r>
          </w:p>
        </w:tc>
        <w:tc>
          <w:tcPr>
            <w:tcW w:w="1549" w:type="pct"/>
          </w:tcPr>
          <w:p w:rsidR="00D9246D" w:rsidRPr="009270B9" w:rsidRDefault="008A5841" w:rsidP="009270B9">
            <w:pPr>
              <w:widowControl w:val="0"/>
              <w:autoSpaceDE w:val="0"/>
              <w:autoSpaceDN w:val="0"/>
              <w:adjustRightInd w:val="0"/>
              <w:jc w:val="center"/>
              <w:rPr>
                <w:rFonts w:eastAsia="Times New Roman"/>
                <w:lang w:bidi="ar-SA"/>
              </w:rPr>
            </w:pPr>
            <w:r>
              <w:rPr>
                <w:rFonts w:eastAsia="Times New Roman"/>
                <w:lang w:bidi="ar-SA"/>
              </w:rPr>
              <w:t>NA</w:t>
            </w:r>
          </w:p>
        </w:tc>
      </w:tr>
      <w:tr w:rsidR="009270B9" w:rsidRPr="009270B9" w:rsidTr="009270B9">
        <w:tc>
          <w:tcPr>
            <w:tcW w:w="2166" w:type="pct"/>
          </w:tcPr>
          <w:p w:rsidR="009270B9" w:rsidRPr="009270B9" w:rsidRDefault="000625B1" w:rsidP="000625B1">
            <w:pPr>
              <w:keepNext/>
              <w:widowControl w:val="0"/>
              <w:autoSpaceDE w:val="0"/>
              <w:autoSpaceDN w:val="0"/>
              <w:adjustRightInd w:val="0"/>
              <w:outlineLvl w:val="0"/>
              <w:rPr>
                <w:rFonts w:eastAsia="Times New Roman"/>
                <w:lang w:bidi="ar-SA"/>
              </w:rPr>
            </w:pPr>
            <w:r>
              <w:rPr>
                <w:rFonts w:eastAsia="Times New Roman"/>
                <w:lang w:bidi="ar-SA"/>
              </w:rPr>
              <w:t>Unmetered Service</w:t>
            </w:r>
          </w:p>
        </w:tc>
        <w:tc>
          <w:tcPr>
            <w:tcW w:w="1285" w:type="pct"/>
            <w:vAlign w:val="center"/>
          </w:tcPr>
          <w:p w:rsidR="009270B9" w:rsidRPr="009270B9" w:rsidRDefault="009270B9" w:rsidP="000625B1">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w:t>
            </w:r>
            <w:r w:rsidR="000625B1">
              <w:rPr>
                <w:rFonts w:eastAsia="Times New Roman"/>
                <w:lang w:bidi="ar-SA"/>
              </w:rPr>
              <w:t>9</w:t>
            </w:r>
            <w:r w:rsidRPr="009270B9">
              <w:rPr>
                <w:rFonts w:eastAsia="Times New Roman"/>
                <w:lang w:bidi="ar-SA"/>
              </w:rPr>
              <w:t>.</w:t>
            </w:r>
            <w:r w:rsidR="000625B1">
              <w:rPr>
                <w:rFonts w:eastAsia="Times New Roman"/>
                <w:lang w:bidi="ar-SA"/>
              </w:rPr>
              <w:t>9</w:t>
            </w:r>
            <w:r w:rsidRPr="009270B9">
              <w:rPr>
                <w:rFonts w:eastAsia="Times New Roman"/>
                <w:lang w:bidi="ar-SA"/>
              </w:rPr>
              <w:t>0</w:t>
            </w:r>
          </w:p>
        </w:tc>
        <w:tc>
          <w:tcPr>
            <w:tcW w:w="1549" w:type="pct"/>
          </w:tcPr>
          <w:p w:rsidR="009270B9" w:rsidRPr="009270B9" w:rsidRDefault="009270B9" w:rsidP="009270B9">
            <w:pPr>
              <w:widowControl w:val="0"/>
              <w:autoSpaceDE w:val="0"/>
              <w:autoSpaceDN w:val="0"/>
              <w:adjustRightInd w:val="0"/>
              <w:jc w:val="center"/>
              <w:rPr>
                <w:rFonts w:eastAsia="Times New Roman"/>
                <w:lang w:bidi="ar-SA"/>
              </w:rPr>
            </w:pPr>
            <w:r w:rsidRPr="009270B9">
              <w:rPr>
                <w:rFonts w:eastAsia="Times New Roman"/>
                <w:lang w:bidi="ar-SA"/>
              </w:rPr>
              <w:t>$</w:t>
            </w:r>
            <w:r w:rsidR="000625B1">
              <w:rPr>
                <w:rFonts w:eastAsia="Times New Roman"/>
                <w:lang w:bidi="ar-SA"/>
              </w:rPr>
              <w:t>24.00</w:t>
            </w:r>
          </w:p>
        </w:tc>
      </w:tr>
      <w:tr w:rsidR="009270B9" w:rsidRPr="009270B9" w:rsidTr="009270B9">
        <w:tc>
          <w:tcPr>
            <w:tcW w:w="2166" w:type="pct"/>
          </w:tcPr>
          <w:p w:rsidR="009270B9" w:rsidRPr="009270B9" w:rsidRDefault="00B56E98" w:rsidP="00B56E98">
            <w:pPr>
              <w:keepNext/>
              <w:widowControl w:val="0"/>
              <w:autoSpaceDE w:val="0"/>
              <w:autoSpaceDN w:val="0"/>
              <w:adjustRightInd w:val="0"/>
              <w:outlineLvl w:val="0"/>
              <w:rPr>
                <w:rFonts w:eastAsia="Times New Roman"/>
                <w:lang w:bidi="ar-SA"/>
              </w:rPr>
            </w:pPr>
            <w:r>
              <w:rPr>
                <w:rFonts w:eastAsia="Times New Roman"/>
                <w:lang w:bidi="ar-SA"/>
              </w:rPr>
              <w:t>Base Rate (3/4</w:t>
            </w:r>
            <w:r w:rsidR="00C626F6">
              <w:rPr>
                <w:rFonts w:eastAsia="Times New Roman"/>
                <w:lang w:bidi="ar-SA"/>
              </w:rPr>
              <w:t xml:space="preserve"> </w:t>
            </w:r>
            <w:r w:rsidR="009270B9" w:rsidRPr="009270B9">
              <w:rPr>
                <w:rFonts w:eastAsia="Times New Roman"/>
                <w:lang w:bidi="ar-SA"/>
              </w:rPr>
              <w:t>inch meter)</w:t>
            </w:r>
          </w:p>
        </w:tc>
        <w:tc>
          <w:tcPr>
            <w:tcW w:w="1285" w:type="pct"/>
          </w:tcPr>
          <w:p w:rsidR="009270B9" w:rsidRPr="009270B9" w:rsidRDefault="009270B9" w:rsidP="000625B1">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w:t>
            </w:r>
            <w:r w:rsidR="000625B1">
              <w:rPr>
                <w:rFonts w:eastAsia="Times New Roman"/>
                <w:lang w:bidi="ar-SA"/>
              </w:rPr>
              <w:t>5</w:t>
            </w:r>
            <w:r w:rsidRPr="009270B9">
              <w:rPr>
                <w:rFonts w:eastAsia="Times New Roman"/>
                <w:lang w:bidi="ar-SA"/>
              </w:rPr>
              <w:t>.</w:t>
            </w:r>
            <w:r w:rsidR="000625B1">
              <w:rPr>
                <w:rFonts w:eastAsia="Times New Roman"/>
                <w:lang w:bidi="ar-SA"/>
              </w:rPr>
              <w:t>80</w:t>
            </w:r>
          </w:p>
        </w:tc>
        <w:tc>
          <w:tcPr>
            <w:tcW w:w="1549" w:type="pct"/>
          </w:tcPr>
          <w:p w:rsidR="009270B9" w:rsidRPr="009270B9" w:rsidRDefault="009270B9" w:rsidP="009270B9">
            <w:pPr>
              <w:widowControl w:val="0"/>
              <w:autoSpaceDE w:val="0"/>
              <w:autoSpaceDN w:val="0"/>
              <w:adjustRightInd w:val="0"/>
              <w:jc w:val="center"/>
              <w:rPr>
                <w:rFonts w:eastAsia="Times New Roman"/>
                <w:lang w:bidi="ar-SA"/>
              </w:rPr>
            </w:pPr>
            <w:r w:rsidRPr="009270B9">
              <w:rPr>
                <w:rFonts w:eastAsia="Times New Roman"/>
                <w:lang w:bidi="ar-SA"/>
              </w:rPr>
              <w:t>$</w:t>
            </w:r>
            <w:r w:rsidR="000625B1">
              <w:rPr>
                <w:rFonts w:eastAsia="Times New Roman"/>
                <w:lang w:bidi="ar-SA"/>
              </w:rPr>
              <w:t>12.20</w:t>
            </w:r>
          </w:p>
        </w:tc>
      </w:tr>
      <w:tr w:rsidR="009270B9" w:rsidRPr="009270B9" w:rsidTr="009270B9">
        <w:tc>
          <w:tcPr>
            <w:tcW w:w="2166" w:type="pct"/>
          </w:tcPr>
          <w:p w:rsidR="009270B9" w:rsidRPr="009270B9" w:rsidRDefault="009270B9" w:rsidP="000625B1">
            <w:pPr>
              <w:widowControl w:val="0"/>
              <w:autoSpaceDE w:val="0"/>
              <w:autoSpaceDN w:val="0"/>
              <w:adjustRightInd w:val="0"/>
              <w:rPr>
                <w:rFonts w:eastAsia="Times New Roman"/>
                <w:lang w:bidi="ar-SA"/>
              </w:rPr>
            </w:pPr>
            <w:r w:rsidRPr="009270B9">
              <w:rPr>
                <w:rFonts w:eastAsia="Times New Roman"/>
                <w:lang w:bidi="ar-SA"/>
              </w:rPr>
              <w:t xml:space="preserve">0 – </w:t>
            </w:r>
            <w:r w:rsidR="000625B1">
              <w:rPr>
                <w:rFonts w:eastAsia="Times New Roman"/>
                <w:lang w:bidi="ar-SA"/>
              </w:rPr>
              <w:t>5</w:t>
            </w:r>
            <w:r w:rsidRPr="009270B9">
              <w:rPr>
                <w:rFonts w:eastAsia="Times New Roman"/>
                <w:lang w:bidi="ar-SA"/>
              </w:rPr>
              <w:t>00 Cubic Feet</w:t>
            </w:r>
          </w:p>
        </w:tc>
        <w:tc>
          <w:tcPr>
            <w:tcW w:w="1285" w:type="pct"/>
          </w:tcPr>
          <w:p w:rsidR="009270B9" w:rsidRPr="009270B9" w:rsidRDefault="000625B1" w:rsidP="00B56E98">
            <w:pPr>
              <w:widowControl w:val="0"/>
              <w:autoSpaceDE w:val="0"/>
              <w:autoSpaceDN w:val="0"/>
              <w:adjustRightInd w:val="0"/>
              <w:jc w:val="center"/>
              <w:rPr>
                <w:rFonts w:eastAsia="Times New Roman"/>
                <w:lang w:bidi="ar-SA"/>
              </w:rPr>
            </w:pPr>
            <w:r>
              <w:rPr>
                <w:rFonts w:eastAsia="Times New Roman"/>
                <w:lang w:bidi="ar-SA"/>
              </w:rPr>
              <w:t>NA</w:t>
            </w:r>
          </w:p>
        </w:tc>
        <w:tc>
          <w:tcPr>
            <w:tcW w:w="1549" w:type="pct"/>
          </w:tcPr>
          <w:p w:rsidR="009270B9" w:rsidRPr="009270B9" w:rsidRDefault="009270B9" w:rsidP="000625B1">
            <w:pPr>
              <w:widowControl w:val="0"/>
              <w:autoSpaceDE w:val="0"/>
              <w:autoSpaceDN w:val="0"/>
              <w:adjustRightInd w:val="0"/>
              <w:jc w:val="center"/>
              <w:rPr>
                <w:rFonts w:eastAsia="Times New Roman"/>
                <w:lang w:bidi="ar-SA"/>
              </w:rPr>
            </w:pPr>
            <w:r w:rsidRPr="009270B9">
              <w:rPr>
                <w:rFonts w:eastAsia="Times New Roman"/>
                <w:lang w:bidi="ar-SA"/>
              </w:rPr>
              <w:t>$.</w:t>
            </w:r>
            <w:r w:rsidR="000625B1">
              <w:rPr>
                <w:rFonts w:eastAsia="Times New Roman"/>
                <w:lang w:bidi="ar-SA"/>
              </w:rPr>
              <w:t>90</w:t>
            </w:r>
          </w:p>
        </w:tc>
      </w:tr>
      <w:tr w:rsidR="009270B9" w:rsidRPr="009270B9" w:rsidTr="009270B9">
        <w:tc>
          <w:tcPr>
            <w:tcW w:w="2166" w:type="pct"/>
          </w:tcPr>
          <w:p w:rsidR="009270B9" w:rsidRPr="009270B9" w:rsidRDefault="000625B1" w:rsidP="000625B1">
            <w:pPr>
              <w:widowControl w:val="0"/>
              <w:autoSpaceDE w:val="0"/>
              <w:autoSpaceDN w:val="0"/>
              <w:adjustRightInd w:val="0"/>
              <w:rPr>
                <w:rFonts w:eastAsia="Times New Roman"/>
                <w:lang w:bidi="ar-SA"/>
              </w:rPr>
            </w:pPr>
            <w:r>
              <w:rPr>
                <w:rFonts w:eastAsia="Times New Roman"/>
                <w:lang w:bidi="ar-SA"/>
              </w:rPr>
              <w:t>500</w:t>
            </w:r>
            <w:r w:rsidR="009270B9" w:rsidRPr="009270B9">
              <w:rPr>
                <w:rFonts w:eastAsia="Times New Roman"/>
                <w:lang w:bidi="ar-SA"/>
              </w:rPr>
              <w:t xml:space="preserve"> – </w:t>
            </w:r>
            <w:r>
              <w:rPr>
                <w:rFonts w:eastAsia="Times New Roman"/>
                <w:lang w:bidi="ar-SA"/>
              </w:rPr>
              <w:t>3,</w:t>
            </w:r>
            <w:r w:rsidR="003C4EB8">
              <w:rPr>
                <w:rFonts w:eastAsia="Times New Roman"/>
                <w:lang w:bidi="ar-SA"/>
              </w:rPr>
              <w:t>0</w:t>
            </w:r>
            <w:r w:rsidR="009270B9" w:rsidRPr="009270B9">
              <w:rPr>
                <w:rFonts w:eastAsia="Times New Roman"/>
                <w:lang w:bidi="ar-SA"/>
              </w:rPr>
              <w:t>00 Cubic Feet</w:t>
            </w:r>
          </w:p>
        </w:tc>
        <w:tc>
          <w:tcPr>
            <w:tcW w:w="1285" w:type="pct"/>
          </w:tcPr>
          <w:p w:rsidR="009270B9" w:rsidRPr="009270B9" w:rsidRDefault="009270B9" w:rsidP="000625B1">
            <w:pPr>
              <w:widowControl w:val="0"/>
              <w:autoSpaceDE w:val="0"/>
              <w:autoSpaceDN w:val="0"/>
              <w:adjustRightInd w:val="0"/>
              <w:jc w:val="center"/>
              <w:rPr>
                <w:rFonts w:eastAsia="Times New Roman"/>
                <w:lang w:bidi="ar-SA"/>
              </w:rPr>
            </w:pPr>
            <w:r w:rsidRPr="009270B9">
              <w:rPr>
                <w:rFonts w:eastAsia="Times New Roman"/>
                <w:lang w:bidi="ar-SA"/>
              </w:rPr>
              <w:t>$.</w:t>
            </w:r>
            <w:r w:rsidR="000625B1">
              <w:rPr>
                <w:rFonts w:eastAsia="Times New Roman"/>
                <w:lang w:bidi="ar-SA"/>
              </w:rPr>
              <w:t>8</w:t>
            </w:r>
            <w:r w:rsidRPr="009270B9">
              <w:rPr>
                <w:rFonts w:eastAsia="Times New Roman"/>
                <w:lang w:bidi="ar-SA"/>
              </w:rPr>
              <w:t>5</w:t>
            </w:r>
          </w:p>
        </w:tc>
        <w:tc>
          <w:tcPr>
            <w:tcW w:w="1549" w:type="pct"/>
          </w:tcPr>
          <w:p w:rsidR="009270B9" w:rsidRPr="009270B9" w:rsidRDefault="009270B9" w:rsidP="000625B1">
            <w:pPr>
              <w:widowControl w:val="0"/>
              <w:autoSpaceDE w:val="0"/>
              <w:autoSpaceDN w:val="0"/>
              <w:adjustRightInd w:val="0"/>
              <w:jc w:val="center"/>
              <w:rPr>
                <w:rFonts w:eastAsia="Times New Roman"/>
                <w:lang w:bidi="ar-SA"/>
              </w:rPr>
            </w:pPr>
            <w:r w:rsidRPr="009270B9">
              <w:rPr>
                <w:rFonts w:eastAsia="Times New Roman"/>
                <w:lang w:bidi="ar-SA"/>
              </w:rPr>
              <w:t>$</w:t>
            </w:r>
            <w:r w:rsidR="000625B1">
              <w:rPr>
                <w:rFonts w:eastAsia="Times New Roman"/>
                <w:lang w:bidi="ar-SA"/>
              </w:rPr>
              <w:t>1</w:t>
            </w:r>
            <w:r w:rsidR="00B56E98">
              <w:rPr>
                <w:rFonts w:eastAsia="Times New Roman"/>
                <w:lang w:bidi="ar-SA"/>
              </w:rPr>
              <w:t>.</w:t>
            </w:r>
            <w:r w:rsidR="000625B1">
              <w:rPr>
                <w:rFonts w:eastAsia="Times New Roman"/>
                <w:lang w:bidi="ar-SA"/>
              </w:rPr>
              <w:t>85</w:t>
            </w:r>
          </w:p>
        </w:tc>
      </w:tr>
      <w:tr w:rsidR="009270B9" w:rsidRPr="009270B9" w:rsidTr="009270B9">
        <w:tc>
          <w:tcPr>
            <w:tcW w:w="2166" w:type="pct"/>
          </w:tcPr>
          <w:p w:rsidR="009270B9" w:rsidRPr="009270B9" w:rsidRDefault="009270B9" w:rsidP="000625B1">
            <w:pPr>
              <w:widowControl w:val="0"/>
              <w:autoSpaceDE w:val="0"/>
              <w:autoSpaceDN w:val="0"/>
              <w:adjustRightInd w:val="0"/>
              <w:rPr>
                <w:rFonts w:eastAsia="Times New Roman"/>
                <w:lang w:bidi="ar-SA"/>
              </w:rPr>
            </w:pPr>
            <w:r w:rsidRPr="009270B9">
              <w:rPr>
                <w:rFonts w:eastAsia="Times New Roman"/>
                <w:lang w:bidi="ar-SA"/>
              </w:rPr>
              <w:t xml:space="preserve">Over </w:t>
            </w:r>
            <w:r w:rsidR="000625B1">
              <w:rPr>
                <w:rFonts w:eastAsia="Times New Roman"/>
                <w:lang w:bidi="ar-SA"/>
              </w:rPr>
              <w:t>3,</w:t>
            </w:r>
            <w:r w:rsidRPr="009270B9">
              <w:rPr>
                <w:rFonts w:eastAsia="Times New Roman"/>
                <w:lang w:bidi="ar-SA"/>
              </w:rPr>
              <w:t>00</w:t>
            </w:r>
            <w:r w:rsidR="003C4EB8">
              <w:rPr>
                <w:rFonts w:eastAsia="Times New Roman"/>
                <w:lang w:bidi="ar-SA"/>
              </w:rPr>
              <w:t>0</w:t>
            </w:r>
            <w:r w:rsidRPr="009270B9">
              <w:rPr>
                <w:rFonts w:eastAsia="Times New Roman"/>
                <w:lang w:bidi="ar-SA"/>
              </w:rPr>
              <w:t xml:space="preserve"> Cubic Feet</w:t>
            </w:r>
            <w:r w:rsidR="000625B1">
              <w:rPr>
                <w:rFonts w:eastAsia="Times New Roman"/>
                <w:lang w:bidi="ar-SA"/>
              </w:rPr>
              <w:t>**</w:t>
            </w:r>
          </w:p>
        </w:tc>
        <w:tc>
          <w:tcPr>
            <w:tcW w:w="1285" w:type="pct"/>
          </w:tcPr>
          <w:p w:rsidR="009270B9" w:rsidRPr="009270B9" w:rsidRDefault="009270B9" w:rsidP="00B56E98">
            <w:pPr>
              <w:widowControl w:val="0"/>
              <w:autoSpaceDE w:val="0"/>
              <w:autoSpaceDN w:val="0"/>
              <w:adjustRightInd w:val="0"/>
              <w:jc w:val="center"/>
              <w:rPr>
                <w:rFonts w:eastAsia="Times New Roman"/>
                <w:lang w:bidi="ar-SA"/>
              </w:rPr>
            </w:pPr>
            <w:r w:rsidRPr="009270B9">
              <w:rPr>
                <w:rFonts w:eastAsia="Times New Roman"/>
                <w:lang w:bidi="ar-SA"/>
              </w:rPr>
              <w:t>$</w:t>
            </w:r>
            <w:r w:rsidR="009768A1">
              <w:rPr>
                <w:rFonts w:eastAsia="Times New Roman"/>
                <w:lang w:bidi="ar-SA"/>
              </w:rPr>
              <w:t>5.00</w:t>
            </w:r>
          </w:p>
        </w:tc>
        <w:tc>
          <w:tcPr>
            <w:tcW w:w="1549" w:type="pct"/>
          </w:tcPr>
          <w:p w:rsidR="009270B9" w:rsidRPr="009270B9" w:rsidRDefault="00B56E98" w:rsidP="000625B1">
            <w:pPr>
              <w:widowControl w:val="0"/>
              <w:autoSpaceDE w:val="0"/>
              <w:autoSpaceDN w:val="0"/>
              <w:adjustRightInd w:val="0"/>
              <w:jc w:val="center"/>
              <w:rPr>
                <w:rFonts w:eastAsia="Times New Roman"/>
                <w:lang w:bidi="ar-SA"/>
              </w:rPr>
            </w:pPr>
            <w:r>
              <w:rPr>
                <w:rFonts w:eastAsia="Times New Roman"/>
                <w:lang w:bidi="ar-SA"/>
              </w:rPr>
              <w:t>$</w:t>
            </w:r>
            <w:r w:rsidR="000625B1">
              <w:rPr>
                <w:rFonts w:eastAsia="Times New Roman"/>
                <w:lang w:bidi="ar-SA"/>
              </w:rPr>
              <w:t>5</w:t>
            </w:r>
            <w:r>
              <w:rPr>
                <w:rFonts w:eastAsia="Times New Roman"/>
                <w:lang w:bidi="ar-SA"/>
              </w:rPr>
              <w:t>.00</w:t>
            </w:r>
          </w:p>
        </w:tc>
      </w:tr>
      <w:tr w:rsidR="00C873CD" w:rsidRPr="009270B9" w:rsidTr="009A2FBE">
        <w:tc>
          <w:tcPr>
            <w:tcW w:w="2166" w:type="pct"/>
          </w:tcPr>
          <w:p w:rsidR="00C873CD" w:rsidRPr="009270B9" w:rsidRDefault="00C873CD" w:rsidP="009A2FBE">
            <w:pPr>
              <w:keepNext/>
              <w:widowControl w:val="0"/>
              <w:autoSpaceDE w:val="0"/>
              <w:autoSpaceDN w:val="0"/>
              <w:adjustRightInd w:val="0"/>
              <w:outlineLvl w:val="0"/>
              <w:rPr>
                <w:rFonts w:eastAsia="Times New Roman"/>
                <w:lang w:bidi="ar-SA"/>
              </w:rPr>
            </w:pPr>
          </w:p>
        </w:tc>
        <w:tc>
          <w:tcPr>
            <w:tcW w:w="1285" w:type="pct"/>
          </w:tcPr>
          <w:p w:rsidR="00C873CD" w:rsidRPr="009270B9" w:rsidRDefault="00C873CD" w:rsidP="009A2FBE">
            <w:pPr>
              <w:widowControl w:val="0"/>
              <w:autoSpaceDE w:val="0"/>
              <w:autoSpaceDN w:val="0"/>
              <w:adjustRightInd w:val="0"/>
              <w:jc w:val="center"/>
              <w:rPr>
                <w:rFonts w:eastAsia="Times New Roman"/>
                <w:lang w:bidi="ar-SA"/>
              </w:rPr>
            </w:pPr>
          </w:p>
        </w:tc>
        <w:tc>
          <w:tcPr>
            <w:tcW w:w="1549" w:type="pct"/>
          </w:tcPr>
          <w:p w:rsidR="00C873CD" w:rsidRDefault="00C873CD" w:rsidP="009A2FBE">
            <w:pPr>
              <w:widowControl w:val="0"/>
              <w:autoSpaceDE w:val="0"/>
              <w:autoSpaceDN w:val="0"/>
              <w:adjustRightInd w:val="0"/>
              <w:jc w:val="center"/>
              <w:rPr>
                <w:rFonts w:eastAsia="Times New Roman"/>
                <w:lang w:bidi="ar-SA"/>
              </w:rPr>
            </w:pPr>
          </w:p>
        </w:tc>
      </w:tr>
      <w:tr w:rsidR="00C873CD" w:rsidRPr="009270B9" w:rsidTr="009A2FBE">
        <w:tc>
          <w:tcPr>
            <w:tcW w:w="2166" w:type="pct"/>
          </w:tcPr>
          <w:p w:rsidR="00C873CD" w:rsidRPr="009270B9" w:rsidRDefault="00C873CD" w:rsidP="009A2FBE">
            <w:pPr>
              <w:keepNext/>
              <w:widowControl w:val="0"/>
              <w:autoSpaceDE w:val="0"/>
              <w:autoSpaceDN w:val="0"/>
              <w:adjustRightInd w:val="0"/>
              <w:outlineLvl w:val="0"/>
              <w:rPr>
                <w:rFonts w:eastAsia="Times New Roman"/>
                <w:lang w:bidi="ar-SA"/>
              </w:rPr>
            </w:pPr>
            <w:r w:rsidRPr="009270B9">
              <w:rPr>
                <w:rFonts w:eastAsia="Times New Roman"/>
                <w:lang w:bidi="ar-SA"/>
              </w:rPr>
              <w:t>Base Rate (1-inch meter)</w:t>
            </w:r>
            <w:r>
              <w:rPr>
                <w:rFonts w:eastAsia="Times New Roman"/>
                <w:lang w:bidi="ar-SA"/>
              </w:rPr>
              <w:t xml:space="preserve"> Residential</w:t>
            </w:r>
          </w:p>
        </w:tc>
        <w:tc>
          <w:tcPr>
            <w:tcW w:w="1285" w:type="pct"/>
          </w:tcPr>
          <w:p w:rsidR="00C873CD" w:rsidRPr="009270B9" w:rsidRDefault="00C873CD" w:rsidP="009A2FBE">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15.80</w:t>
            </w:r>
          </w:p>
        </w:tc>
        <w:tc>
          <w:tcPr>
            <w:tcW w:w="1549" w:type="pct"/>
          </w:tcPr>
          <w:p w:rsidR="00C873CD" w:rsidRPr="009270B9" w:rsidRDefault="00C873CD" w:rsidP="009A2FBE">
            <w:pPr>
              <w:widowControl w:val="0"/>
              <w:autoSpaceDE w:val="0"/>
              <w:autoSpaceDN w:val="0"/>
              <w:adjustRightInd w:val="0"/>
              <w:jc w:val="center"/>
              <w:rPr>
                <w:rFonts w:eastAsia="Times New Roman"/>
                <w:lang w:bidi="ar-SA"/>
              </w:rPr>
            </w:pPr>
            <w:r>
              <w:rPr>
                <w:rFonts w:eastAsia="Times New Roman"/>
                <w:lang w:bidi="ar-SA"/>
              </w:rPr>
              <w:t>$18.15</w:t>
            </w:r>
          </w:p>
        </w:tc>
      </w:tr>
      <w:tr w:rsidR="00C873CD" w:rsidRPr="009270B9" w:rsidTr="009A2FBE">
        <w:tc>
          <w:tcPr>
            <w:tcW w:w="2166" w:type="pct"/>
          </w:tcPr>
          <w:p w:rsidR="00C873CD" w:rsidRPr="009270B9" w:rsidRDefault="00C873CD" w:rsidP="009A2FBE">
            <w:pPr>
              <w:widowControl w:val="0"/>
              <w:autoSpaceDE w:val="0"/>
              <w:autoSpaceDN w:val="0"/>
              <w:adjustRightInd w:val="0"/>
              <w:rPr>
                <w:rFonts w:eastAsia="Times New Roman"/>
                <w:lang w:bidi="ar-SA"/>
              </w:rPr>
            </w:pPr>
            <w:r w:rsidRPr="009270B9">
              <w:rPr>
                <w:rFonts w:eastAsia="Times New Roman"/>
                <w:lang w:bidi="ar-SA"/>
              </w:rPr>
              <w:t xml:space="preserve">0 – </w:t>
            </w:r>
            <w:r>
              <w:rPr>
                <w:rFonts w:eastAsia="Times New Roman"/>
                <w:lang w:bidi="ar-SA"/>
              </w:rPr>
              <w:t>5</w:t>
            </w:r>
            <w:r w:rsidRPr="009270B9">
              <w:rPr>
                <w:rFonts w:eastAsia="Times New Roman"/>
                <w:lang w:bidi="ar-SA"/>
              </w:rPr>
              <w:t>00 Cubic Feet</w:t>
            </w:r>
          </w:p>
        </w:tc>
        <w:tc>
          <w:tcPr>
            <w:tcW w:w="1285" w:type="pct"/>
          </w:tcPr>
          <w:p w:rsidR="00C873CD" w:rsidRPr="009270B9" w:rsidRDefault="00C873CD" w:rsidP="009A2FBE">
            <w:pPr>
              <w:widowControl w:val="0"/>
              <w:autoSpaceDE w:val="0"/>
              <w:autoSpaceDN w:val="0"/>
              <w:adjustRightInd w:val="0"/>
              <w:jc w:val="center"/>
              <w:rPr>
                <w:rFonts w:eastAsia="Times New Roman"/>
                <w:lang w:bidi="ar-SA"/>
              </w:rPr>
            </w:pPr>
            <w:r>
              <w:rPr>
                <w:rFonts w:eastAsia="Times New Roman"/>
                <w:lang w:bidi="ar-SA"/>
              </w:rPr>
              <w:t>NA</w:t>
            </w:r>
          </w:p>
        </w:tc>
        <w:tc>
          <w:tcPr>
            <w:tcW w:w="1549" w:type="pct"/>
          </w:tcPr>
          <w:p w:rsidR="00C873CD" w:rsidRPr="009270B9" w:rsidRDefault="00C873CD" w:rsidP="00C873CD">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90</w:t>
            </w:r>
          </w:p>
        </w:tc>
      </w:tr>
      <w:tr w:rsidR="00C873CD" w:rsidRPr="009270B9" w:rsidTr="009A2FBE">
        <w:tc>
          <w:tcPr>
            <w:tcW w:w="2166" w:type="pct"/>
          </w:tcPr>
          <w:p w:rsidR="00C873CD" w:rsidRPr="009270B9" w:rsidRDefault="00C873CD" w:rsidP="009A2FBE">
            <w:pPr>
              <w:widowControl w:val="0"/>
              <w:autoSpaceDE w:val="0"/>
              <w:autoSpaceDN w:val="0"/>
              <w:adjustRightInd w:val="0"/>
              <w:rPr>
                <w:rFonts w:eastAsia="Times New Roman"/>
                <w:lang w:bidi="ar-SA"/>
              </w:rPr>
            </w:pPr>
            <w:r>
              <w:rPr>
                <w:rFonts w:eastAsia="Times New Roman"/>
                <w:lang w:bidi="ar-SA"/>
              </w:rPr>
              <w:t>500</w:t>
            </w:r>
            <w:r w:rsidRPr="009270B9">
              <w:rPr>
                <w:rFonts w:eastAsia="Times New Roman"/>
                <w:lang w:bidi="ar-SA"/>
              </w:rPr>
              <w:t xml:space="preserve"> – </w:t>
            </w:r>
            <w:r>
              <w:rPr>
                <w:rFonts w:eastAsia="Times New Roman"/>
                <w:lang w:bidi="ar-SA"/>
              </w:rPr>
              <w:t>3,</w:t>
            </w:r>
            <w:r w:rsidRPr="009270B9">
              <w:rPr>
                <w:rFonts w:eastAsia="Times New Roman"/>
                <w:lang w:bidi="ar-SA"/>
              </w:rPr>
              <w:t>00</w:t>
            </w:r>
            <w:r>
              <w:rPr>
                <w:rFonts w:eastAsia="Times New Roman"/>
                <w:lang w:bidi="ar-SA"/>
              </w:rPr>
              <w:t>0</w:t>
            </w:r>
            <w:r w:rsidRPr="009270B9">
              <w:rPr>
                <w:rFonts w:eastAsia="Times New Roman"/>
                <w:lang w:bidi="ar-SA"/>
              </w:rPr>
              <w:t xml:space="preserve"> Cubic Feet</w:t>
            </w:r>
          </w:p>
        </w:tc>
        <w:tc>
          <w:tcPr>
            <w:tcW w:w="1285" w:type="pct"/>
          </w:tcPr>
          <w:p w:rsidR="00C873CD" w:rsidRPr="009270B9" w:rsidRDefault="00C873CD" w:rsidP="009A2FBE">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8</w:t>
            </w:r>
            <w:r w:rsidRPr="009270B9">
              <w:rPr>
                <w:rFonts w:eastAsia="Times New Roman"/>
                <w:lang w:bidi="ar-SA"/>
              </w:rPr>
              <w:t>5</w:t>
            </w:r>
          </w:p>
        </w:tc>
        <w:tc>
          <w:tcPr>
            <w:tcW w:w="1549" w:type="pct"/>
          </w:tcPr>
          <w:p w:rsidR="00C873CD" w:rsidRPr="009270B9" w:rsidRDefault="00C873CD" w:rsidP="009A2FBE">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1.85</w:t>
            </w:r>
          </w:p>
        </w:tc>
      </w:tr>
      <w:tr w:rsidR="00C873CD" w:rsidRPr="009270B9" w:rsidTr="009A2FBE">
        <w:tc>
          <w:tcPr>
            <w:tcW w:w="2166" w:type="pct"/>
          </w:tcPr>
          <w:p w:rsidR="00C873CD" w:rsidRPr="009270B9" w:rsidRDefault="00C873CD" w:rsidP="009A2FBE">
            <w:pPr>
              <w:widowControl w:val="0"/>
              <w:autoSpaceDE w:val="0"/>
              <w:autoSpaceDN w:val="0"/>
              <w:adjustRightInd w:val="0"/>
              <w:rPr>
                <w:rFonts w:eastAsia="Times New Roman"/>
                <w:lang w:bidi="ar-SA"/>
              </w:rPr>
            </w:pPr>
            <w:r w:rsidRPr="009270B9">
              <w:rPr>
                <w:rFonts w:eastAsia="Times New Roman"/>
                <w:lang w:bidi="ar-SA"/>
              </w:rPr>
              <w:t xml:space="preserve">Over </w:t>
            </w:r>
            <w:r>
              <w:rPr>
                <w:rFonts w:eastAsia="Times New Roman"/>
                <w:lang w:bidi="ar-SA"/>
              </w:rPr>
              <w:t>3,</w:t>
            </w:r>
            <w:r w:rsidRPr="009270B9">
              <w:rPr>
                <w:rFonts w:eastAsia="Times New Roman"/>
                <w:lang w:bidi="ar-SA"/>
              </w:rPr>
              <w:t>00</w:t>
            </w:r>
            <w:r>
              <w:rPr>
                <w:rFonts w:eastAsia="Times New Roman"/>
                <w:lang w:bidi="ar-SA"/>
              </w:rPr>
              <w:t>0</w:t>
            </w:r>
            <w:r w:rsidRPr="009270B9">
              <w:rPr>
                <w:rFonts w:eastAsia="Times New Roman"/>
                <w:lang w:bidi="ar-SA"/>
              </w:rPr>
              <w:t xml:space="preserve"> Cubic Feet</w:t>
            </w:r>
            <w:r>
              <w:rPr>
                <w:rFonts w:eastAsia="Times New Roman"/>
                <w:lang w:bidi="ar-SA"/>
              </w:rPr>
              <w:t>**</w:t>
            </w:r>
          </w:p>
        </w:tc>
        <w:tc>
          <w:tcPr>
            <w:tcW w:w="1285" w:type="pct"/>
          </w:tcPr>
          <w:p w:rsidR="00C873CD" w:rsidRPr="009270B9" w:rsidRDefault="00C873CD" w:rsidP="009A2FBE">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5.00</w:t>
            </w:r>
          </w:p>
        </w:tc>
        <w:tc>
          <w:tcPr>
            <w:tcW w:w="1549" w:type="pct"/>
          </w:tcPr>
          <w:p w:rsidR="00C873CD" w:rsidRPr="009270B9" w:rsidRDefault="00C873CD" w:rsidP="00C873CD">
            <w:pPr>
              <w:widowControl w:val="0"/>
              <w:autoSpaceDE w:val="0"/>
              <w:autoSpaceDN w:val="0"/>
              <w:adjustRightInd w:val="0"/>
              <w:jc w:val="center"/>
              <w:rPr>
                <w:rFonts w:eastAsia="Times New Roman"/>
                <w:lang w:bidi="ar-SA"/>
              </w:rPr>
            </w:pPr>
            <w:r>
              <w:rPr>
                <w:rFonts w:eastAsia="Times New Roman"/>
                <w:lang w:bidi="ar-SA"/>
              </w:rPr>
              <w:t>$5.00</w:t>
            </w:r>
          </w:p>
        </w:tc>
      </w:tr>
      <w:tr w:rsidR="009270B9" w:rsidRPr="009270B9" w:rsidTr="009270B9">
        <w:tc>
          <w:tcPr>
            <w:tcW w:w="5000" w:type="pct"/>
            <w:gridSpan w:val="3"/>
          </w:tcPr>
          <w:p w:rsidR="009270B9" w:rsidRPr="009270B9" w:rsidRDefault="009270B9" w:rsidP="009270B9">
            <w:pPr>
              <w:widowControl w:val="0"/>
              <w:autoSpaceDE w:val="0"/>
              <w:autoSpaceDN w:val="0"/>
              <w:adjustRightInd w:val="0"/>
              <w:jc w:val="center"/>
              <w:rPr>
                <w:rFonts w:eastAsia="Times New Roman"/>
                <w:lang w:bidi="ar-SA"/>
              </w:rPr>
            </w:pPr>
          </w:p>
        </w:tc>
      </w:tr>
      <w:tr w:rsidR="009270B9" w:rsidRPr="009270B9" w:rsidTr="009270B9">
        <w:tc>
          <w:tcPr>
            <w:tcW w:w="2166" w:type="pct"/>
          </w:tcPr>
          <w:p w:rsidR="009270B9" w:rsidRPr="009270B9" w:rsidRDefault="009270B9" w:rsidP="009270B9">
            <w:pPr>
              <w:keepNext/>
              <w:widowControl w:val="0"/>
              <w:autoSpaceDE w:val="0"/>
              <w:autoSpaceDN w:val="0"/>
              <w:adjustRightInd w:val="0"/>
              <w:outlineLvl w:val="0"/>
              <w:rPr>
                <w:rFonts w:eastAsia="Times New Roman"/>
                <w:lang w:bidi="ar-SA"/>
              </w:rPr>
            </w:pPr>
            <w:r w:rsidRPr="009270B9">
              <w:rPr>
                <w:rFonts w:eastAsia="Times New Roman"/>
                <w:lang w:bidi="ar-SA"/>
              </w:rPr>
              <w:t>Base Rate (1-inch meter)</w:t>
            </w:r>
            <w:r w:rsidR="00C873CD">
              <w:rPr>
                <w:rFonts w:eastAsia="Times New Roman"/>
                <w:lang w:bidi="ar-SA"/>
              </w:rPr>
              <w:t xml:space="preserve"> Commercial</w:t>
            </w:r>
          </w:p>
        </w:tc>
        <w:tc>
          <w:tcPr>
            <w:tcW w:w="1285" w:type="pct"/>
          </w:tcPr>
          <w:p w:rsidR="009270B9" w:rsidRPr="009270B9" w:rsidRDefault="009270B9" w:rsidP="00E26DE6">
            <w:pPr>
              <w:widowControl w:val="0"/>
              <w:autoSpaceDE w:val="0"/>
              <w:autoSpaceDN w:val="0"/>
              <w:adjustRightInd w:val="0"/>
              <w:jc w:val="center"/>
              <w:rPr>
                <w:rFonts w:eastAsia="Times New Roman"/>
                <w:lang w:bidi="ar-SA"/>
              </w:rPr>
            </w:pPr>
            <w:r w:rsidRPr="009270B9">
              <w:rPr>
                <w:rFonts w:eastAsia="Times New Roman"/>
                <w:lang w:bidi="ar-SA"/>
              </w:rPr>
              <w:t>$</w:t>
            </w:r>
            <w:r w:rsidR="00E26DE6">
              <w:rPr>
                <w:rFonts w:eastAsia="Times New Roman"/>
                <w:lang w:bidi="ar-SA"/>
              </w:rPr>
              <w:t>1</w:t>
            </w:r>
            <w:r w:rsidR="000625B1">
              <w:rPr>
                <w:rFonts w:eastAsia="Times New Roman"/>
                <w:lang w:bidi="ar-SA"/>
              </w:rPr>
              <w:t>5.80</w:t>
            </w:r>
          </w:p>
        </w:tc>
        <w:tc>
          <w:tcPr>
            <w:tcW w:w="1549" w:type="pct"/>
          </w:tcPr>
          <w:p w:rsidR="009270B9" w:rsidRPr="009270B9" w:rsidRDefault="000625B1" w:rsidP="00D9246D">
            <w:pPr>
              <w:widowControl w:val="0"/>
              <w:autoSpaceDE w:val="0"/>
              <w:autoSpaceDN w:val="0"/>
              <w:adjustRightInd w:val="0"/>
              <w:jc w:val="center"/>
              <w:rPr>
                <w:rFonts w:eastAsia="Times New Roman"/>
                <w:lang w:bidi="ar-SA"/>
              </w:rPr>
            </w:pPr>
            <w:r>
              <w:rPr>
                <w:rFonts w:eastAsia="Times New Roman"/>
                <w:lang w:bidi="ar-SA"/>
              </w:rPr>
              <w:t>$18.</w:t>
            </w:r>
            <w:r w:rsidR="00D9246D">
              <w:rPr>
                <w:rFonts w:eastAsia="Times New Roman"/>
                <w:lang w:bidi="ar-SA"/>
              </w:rPr>
              <w:t>30</w:t>
            </w:r>
          </w:p>
        </w:tc>
      </w:tr>
      <w:tr w:rsidR="00CA50F7" w:rsidRPr="009270B9" w:rsidTr="00CA50F7">
        <w:tc>
          <w:tcPr>
            <w:tcW w:w="2166" w:type="pct"/>
          </w:tcPr>
          <w:p w:rsidR="00CA50F7" w:rsidRPr="009270B9" w:rsidRDefault="00CA50F7" w:rsidP="00CA50F7">
            <w:pPr>
              <w:widowControl w:val="0"/>
              <w:autoSpaceDE w:val="0"/>
              <w:autoSpaceDN w:val="0"/>
              <w:adjustRightInd w:val="0"/>
              <w:rPr>
                <w:rFonts w:eastAsia="Times New Roman"/>
                <w:lang w:bidi="ar-SA"/>
              </w:rPr>
            </w:pPr>
            <w:r w:rsidRPr="009270B9">
              <w:rPr>
                <w:rFonts w:eastAsia="Times New Roman"/>
                <w:lang w:bidi="ar-SA"/>
              </w:rPr>
              <w:t xml:space="preserve">0 – </w:t>
            </w:r>
            <w:r>
              <w:rPr>
                <w:rFonts w:eastAsia="Times New Roman"/>
                <w:lang w:bidi="ar-SA"/>
              </w:rPr>
              <w:t>5</w:t>
            </w:r>
            <w:r w:rsidRPr="009270B9">
              <w:rPr>
                <w:rFonts w:eastAsia="Times New Roman"/>
                <w:lang w:bidi="ar-SA"/>
              </w:rPr>
              <w:t>00 Cubic Feet</w:t>
            </w:r>
          </w:p>
        </w:tc>
        <w:tc>
          <w:tcPr>
            <w:tcW w:w="1285" w:type="pct"/>
          </w:tcPr>
          <w:p w:rsidR="00CA50F7" w:rsidRPr="009270B9" w:rsidRDefault="00CA50F7" w:rsidP="00CA50F7">
            <w:pPr>
              <w:widowControl w:val="0"/>
              <w:autoSpaceDE w:val="0"/>
              <w:autoSpaceDN w:val="0"/>
              <w:adjustRightInd w:val="0"/>
              <w:jc w:val="center"/>
              <w:rPr>
                <w:rFonts w:eastAsia="Times New Roman"/>
                <w:lang w:bidi="ar-SA"/>
              </w:rPr>
            </w:pPr>
            <w:r>
              <w:rPr>
                <w:rFonts w:eastAsia="Times New Roman"/>
                <w:lang w:bidi="ar-SA"/>
              </w:rPr>
              <w:t>NA</w:t>
            </w:r>
          </w:p>
        </w:tc>
        <w:tc>
          <w:tcPr>
            <w:tcW w:w="1549" w:type="pct"/>
          </w:tcPr>
          <w:p w:rsidR="00CA50F7" w:rsidRPr="009270B9" w:rsidRDefault="00CA50F7" w:rsidP="00D9246D">
            <w:pPr>
              <w:widowControl w:val="0"/>
              <w:autoSpaceDE w:val="0"/>
              <w:autoSpaceDN w:val="0"/>
              <w:adjustRightInd w:val="0"/>
              <w:jc w:val="center"/>
              <w:rPr>
                <w:rFonts w:eastAsia="Times New Roman"/>
                <w:lang w:bidi="ar-SA"/>
              </w:rPr>
            </w:pPr>
            <w:r w:rsidRPr="009270B9">
              <w:rPr>
                <w:rFonts w:eastAsia="Times New Roman"/>
                <w:lang w:bidi="ar-SA"/>
              </w:rPr>
              <w:t>$</w:t>
            </w:r>
            <w:r w:rsidR="00D9246D">
              <w:rPr>
                <w:rFonts w:eastAsia="Times New Roman"/>
                <w:lang w:bidi="ar-SA"/>
              </w:rPr>
              <w:t>1</w:t>
            </w:r>
            <w:r w:rsidRPr="009270B9">
              <w:rPr>
                <w:rFonts w:eastAsia="Times New Roman"/>
                <w:lang w:bidi="ar-SA"/>
              </w:rPr>
              <w:t>.</w:t>
            </w:r>
            <w:r w:rsidR="00D9246D">
              <w:rPr>
                <w:rFonts w:eastAsia="Times New Roman"/>
                <w:lang w:bidi="ar-SA"/>
              </w:rPr>
              <w:t>0</w:t>
            </w:r>
            <w:r>
              <w:rPr>
                <w:rFonts w:eastAsia="Times New Roman"/>
                <w:lang w:bidi="ar-SA"/>
              </w:rPr>
              <w:t>0</w:t>
            </w:r>
          </w:p>
        </w:tc>
      </w:tr>
      <w:tr w:rsidR="00CA50F7" w:rsidRPr="009270B9" w:rsidTr="00CA50F7">
        <w:tc>
          <w:tcPr>
            <w:tcW w:w="2166" w:type="pct"/>
          </w:tcPr>
          <w:p w:rsidR="00CA50F7" w:rsidRPr="009270B9" w:rsidRDefault="00CA50F7" w:rsidP="00CA50F7">
            <w:pPr>
              <w:widowControl w:val="0"/>
              <w:autoSpaceDE w:val="0"/>
              <w:autoSpaceDN w:val="0"/>
              <w:adjustRightInd w:val="0"/>
              <w:rPr>
                <w:rFonts w:eastAsia="Times New Roman"/>
                <w:lang w:bidi="ar-SA"/>
              </w:rPr>
            </w:pPr>
            <w:r>
              <w:rPr>
                <w:rFonts w:eastAsia="Times New Roman"/>
                <w:lang w:bidi="ar-SA"/>
              </w:rPr>
              <w:t>500</w:t>
            </w:r>
            <w:r w:rsidRPr="009270B9">
              <w:rPr>
                <w:rFonts w:eastAsia="Times New Roman"/>
                <w:lang w:bidi="ar-SA"/>
              </w:rPr>
              <w:t xml:space="preserve"> – </w:t>
            </w:r>
            <w:r>
              <w:rPr>
                <w:rFonts w:eastAsia="Times New Roman"/>
                <w:lang w:bidi="ar-SA"/>
              </w:rPr>
              <w:t>3,</w:t>
            </w:r>
            <w:r w:rsidRPr="009270B9">
              <w:rPr>
                <w:rFonts w:eastAsia="Times New Roman"/>
                <w:lang w:bidi="ar-SA"/>
              </w:rPr>
              <w:t>00</w:t>
            </w:r>
            <w:r w:rsidR="003C4EB8">
              <w:rPr>
                <w:rFonts w:eastAsia="Times New Roman"/>
                <w:lang w:bidi="ar-SA"/>
              </w:rPr>
              <w:t>0</w:t>
            </w:r>
            <w:r w:rsidRPr="009270B9">
              <w:rPr>
                <w:rFonts w:eastAsia="Times New Roman"/>
                <w:lang w:bidi="ar-SA"/>
              </w:rPr>
              <w:t xml:space="preserve"> Cubic Feet</w:t>
            </w:r>
          </w:p>
        </w:tc>
        <w:tc>
          <w:tcPr>
            <w:tcW w:w="1285" w:type="pct"/>
          </w:tcPr>
          <w:p w:rsidR="00CA50F7" w:rsidRPr="009270B9" w:rsidRDefault="00CA50F7" w:rsidP="00CA50F7">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8</w:t>
            </w:r>
            <w:r w:rsidRPr="009270B9">
              <w:rPr>
                <w:rFonts w:eastAsia="Times New Roman"/>
                <w:lang w:bidi="ar-SA"/>
              </w:rPr>
              <w:t>5</w:t>
            </w:r>
          </w:p>
        </w:tc>
        <w:tc>
          <w:tcPr>
            <w:tcW w:w="1549" w:type="pct"/>
          </w:tcPr>
          <w:p w:rsidR="00CA50F7" w:rsidRPr="009270B9" w:rsidRDefault="00CA50F7" w:rsidP="00CA50F7">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1.85</w:t>
            </w:r>
          </w:p>
        </w:tc>
      </w:tr>
      <w:tr w:rsidR="00CA50F7" w:rsidRPr="009270B9" w:rsidTr="00CA50F7">
        <w:tc>
          <w:tcPr>
            <w:tcW w:w="2166" w:type="pct"/>
          </w:tcPr>
          <w:p w:rsidR="00CA50F7" w:rsidRPr="009270B9" w:rsidRDefault="00CA50F7" w:rsidP="00CA50F7">
            <w:pPr>
              <w:widowControl w:val="0"/>
              <w:autoSpaceDE w:val="0"/>
              <w:autoSpaceDN w:val="0"/>
              <w:adjustRightInd w:val="0"/>
              <w:rPr>
                <w:rFonts w:eastAsia="Times New Roman"/>
                <w:lang w:bidi="ar-SA"/>
              </w:rPr>
            </w:pPr>
            <w:r w:rsidRPr="009270B9">
              <w:rPr>
                <w:rFonts w:eastAsia="Times New Roman"/>
                <w:lang w:bidi="ar-SA"/>
              </w:rPr>
              <w:t xml:space="preserve">Over </w:t>
            </w:r>
            <w:r>
              <w:rPr>
                <w:rFonts w:eastAsia="Times New Roman"/>
                <w:lang w:bidi="ar-SA"/>
              </w:rPr>
              <w:t>3,</w:t>
            </w:r>
            <w:r w:rsidRPr="009270B9">
              <w:rPr>
                <w:rFonts w:eastAsia="Times New Roman"/>
                <w:lang w:bidi="ar-SA"/>
              </w:rPr>
              <w:t>00</w:t>
            </w:r>
            <w:r w:rsidR="003C4EB8">
              <w:rPr>
                <w:rFonts w:eastAsia="Times New Roman"/>
                <w:lang w:bidi="ar-SA"/>
              </w:rPr>
              <w:t>0</w:t>
            </w:r>
            <w:r w:rsidRPr="009270B9">
              <w:rPr>
                <w:rFonts w:eastAsia="Times New Roman"/>
                <w:lang w:bidi="ar-SA"/>
              </w:rPr>
              <w:t xml:space="preserve"> Cubic Feet</w:t>
            </w:r>
            <w:r>
              <w:rPr>
                <w:rFonts w:eastAsia="Times New Roman"/>
                <w:lang w:bidi="ar-SA"/>
              </w:rPr>
              <w:t>**</w:t>
            </w:r>
          </w:p>
        </w:tc>
        <w:tc>
          <w:tcPr>
            <w:tcW w:w="1285" w:type="pct"/>
          </w:tcPr>
          <w:p w:rsidR="00CA50F7" w:rsidRPr="009270B9" w:rsidRDefault="00CA50F7" w:rsidP="00CA50F7">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5.00</w:t>
            </w:r>
          </w:p>
        </w:tc>
        <w:tc>
          <w:tcPr>
            <w:tcW w:w="1549" w:type="pct"/>
          </w:tcPr>
          <w:p w:rsidR="00CA50F7" w:rsidRPr="009270B9" w:rsidRDefault="00D9246D" w:rsidP="00CA50F7">
            <w:pPr>
              <w:widowControl w:val="0"/>
              <w:autoSpaceDE w:val="0"/>
              <w:autoSpaceDN w:val="0"/>
              <w:adjustRightInd w:val="0"/>
              <w:jc w:val="center"/>
              <w:rPr>
                <w:rFonts w:eastAsia="Times New Roman"/>
                <w:lang w:bidi="ar-SA"/>
              </w:rPr>
            </w:pPr>
            <w:r>
              <w:rPr>
                <w:rFonts w:eastAsia="Times New Roman"/>
                <w:lang w:bidi="ar-SA"/>
              </w:rPr>
              <w:t>$1.85</w:t>
            </w:r>
          </w:p>
        </w:tc>
      </w:tr>
    </w:tbl>
    <w:p w:rsidR="00C873CD" w:rsidRDefault="00C873CD"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3B4D1C" w:rsidRPr="00C873CD" w:rsidRDefault="00CA50F7"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sz w:val="22"/>
          <w:szCs w:val="22"/>
          <w:lang w:bidi="ar-SA"/>
        </w:rPr>
      </w:pPr>
      <w:r w:rsidRPr="00C873CD">
        <w:rPr>
          <w:rFonts w:eastAsia="Times New Roman"/>
          <w:sz w:val="22"/>
          <w:szCs w:val="22"/>
          <w:lang w:bidi="ar-SA"/>
        </w:rPr>
        <w:t>* Other</w:t>
      </w:r>
      <w:r w:rsidR="00F40EE9" w:rsidRPr="00C873CD">
        <w:rPr>
          <w:rFonts w:eastAsia="Times New Roman"/>
          <w:sz w:val="22"/>
          <w:szCs w:val="22"/>
          <w:lang w:bidi="ar-SA"/>
        </w:rPr>
        <w:t xml:space="preserve"> upsize meter rates are also changed</w:t>
      </w:r>
      <w:r w:rsidR="000625B1" w:rsidRPr="00C873CD">
        <w:rPr>
          <w:rFonts w:eastAsia="Times New Roman"/>
          <w:sz w:val="22"/>
          <w:szCs w:val="22"/>
          <w:lang w:bidi="ar-SA"/>
        </w:rPr>
        <w:t xml:space="preserve"> and available in the proposed tariff.</w:t>
      </w:r>
    </w:p>
    <w:p w:rsidR="00C873CD" w:rsidRPr="00C873CD" w:rsidRDefault="00C873CD"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sz w:val="22"/>
          <w:szCs w:val="22"/>
          <w:lang w:bidi="ar-SA"/>
        </w:rPr>
      </w:pPr>
    </w:p>
    <w:p w:rsidR="000625B1" w:rsidRPr="00C873CD" w:rsidRDefault="000625B1"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sz w:val="22"/>
          <w:szCs w:val="22"/>
          <w:lang w:bidi="ar-SA"/>
        </w:rPr>
      </w:pPr>
      <w:r w:rsidRPr="00C873CD">
        <w:rPr>
          <w:rFonts w:eastAsia="Times New Roman"/>
          <w:sz w:val="22"/>
          <w:szCs w:val="22"/>
          <w:lang w:bidi="ar-SA"/>
        </w:rPr>
        <w:t xml:space="preserve">** </w:t>
      </w:r>
      <w:r w:rsidR="00CA50F7" w:rsidRPr="00C873CD">
        <w:rPr>
          <w:rFonts w:eastAsia="Times New Roman"/>
          <w:sz w:val="22"/>
          <w:szCs w:val="22"/>
          <w:lang w:bidi="ar-SA"/>
        </w:rPr>
        <w:t>Previously,</w:t>
      </w:r>
      <w:r w:rsidR="009768A1" w:rsidRPr="00C873CD">
        <w:rPr>
          <w:rFonts w:eastAsia="Times New Roman"/>
          <w:sz w:val="22"/>
          <w:szCs w:val="22"/>
          <w:lang w:bidi="ar-SA"/>
        </w:rPr>
        <w:t xml:space="preserve"> </w:t>
      </w:r>
      <w:r w:rsidR="00CA50F7" w:rsidRPr="00C873CD">
        <w:rPr>
          <w:rFonts w:eastAsia="Times New Roman"/>
          <w:sz w:val="22"/>
          <w:szCs w:val="22"/>
          <w:lang w:bidi="ar-SA"/>
        </w:rPr>
        <w:t>o</w:t>
      </w:r>
      <w:r w:rsidRPr="00C873CD">
        <w:rPr>
          <w:rFonts w:eastAsia="Times New Roman"/>
          <w:sz w:val="22"/>
          <w:szCs w:val="22"/>
          <w:lang w:bidi="ar-SA"/>
        </w:rPr>
        <w:t>ver 3,000 cubic feet</w:t>
      </w:r>
      <w:r w:rsidR="009768A1" w:rsidRPr="00C873CD">
        <w:rPr>
          <w:rFonts w:eastAsia="Times New Roman"/>
          <w:sz w:val="22"/>
          <w:szCs w:val="22"/>
          <w:lang w:bidi="ar-SA"/>
        </w:rPr>
        <w:t>, per 100 cubic feet or fraction thereof during the period May 1 to September 30.</w:t>
      </w:r>
      <w:r w:rsidRPr="00C873CD">
        <w:rPr>
          <w:rFonts w:eastAsia="Times New Roman"/>
          <w:sz w:val="22"/>
          <w:szCs w:val="22"/>
          <w:lang w:bidi="ar-SA"/>
        </w:rPr>
        <w:t xml:space="preserve"> </w:t>
      </w:r>
    </w:p>
    <w:p w:rsidR="009270B9" w:rsidRPr="009270B9" w:rsidRDefault="009270B9" w:rsidP="0099460C">
      <w:pPr>
        <w:jc w:val="center"/>
        <w:rPr>
          <w:rFonts w:eastAsia="Times New Roman"/>
          <w:b/>
          <w:u w:val="single"/>
          <w:lang w:bidi="ar-SA"/>
        </w:rPr>
      </w:pPr>
      <w:r w:rsidRPr="009270B9">
        <w:rPr>
          <w:rFonts w:eastAsia="Times New Roman"/>
          <w:b/>
          <w:u w:val="single"/>
          <w:lang w:bidi="ar-SA"/>
        </w:rPr>
        <w:t>Average Bill Comparison</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538"/>
        <w:gridCol w:w="2865"/>
      </w:tblGrid>
      <w:tr w:rsidR="009270B9" w:rsidRPr="009270B9" w:rsidTr="009270B9">
        <w:tc>
          <w:tcPr>
            <w:tcW w:w="2179" w:type="pct"/>
          </w:tcPr>
          <w:p w:rsidR="009270B9" w:rsidRPr="009270B9" w:rsidRDefault="009270B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rsidR="009270B9" w:rsidRPr="009270B9" w:rsidRDefault="00E864B6" w:rsidP="00E864B6">
            <w:pPr>
              <w:keepNext/>
              <w:widowControl w:val="0"/>
              <w:autoSpaceDE w:val="0"/>
              <w:autoSpaceDN w:val="0"/>
              <w:adjustRightInd w:val="0"/>
              <w:jc w:val="center"/>
              <w:outlineLvl w:val="0"/>
              <w:rPr>
                <w:rFonts w:eastAsia="Times New Roman"/>
                <w:b/>
                <w:lang w:bidi="ar-SA"/>
              </w:rPr>
            </w:pPr>
            <w:r>
              <w:rPr>
                <w:rFonts w:eastAsia="Times New Roman"/>
                <w:b/>
                <w:lang w:bidi="ar-SA"/>
              </w:rPr>
              <w:t>9</w:t>
            </w:r>
            <w:r w:rsidR="0080117F">
              <w:rPr>
                <w:rFonts w:eastAsia="Times New Roman"/>
                <w:b/>
                <w:lang w:bidi="ar-SA"/>
              </w:rPr>
              <w:t>3</w:t>
            </w:r>
            <w:r w:rsidR="00D65C0A">
              <w:rPr>
                <w:rFonts w:eastAsia="Times New Roman"/>
                <w:b/>
                <w:lang w:bidi="ar-SA"/>
              </w:rPr>
              <w:t>0</w:t>
            </w:r>
            <w:r w:rsidR="009270B9" w:rsidRPr="009270B9">
              <w:rPr>
                <w:rFonts w:eastAsia="Times New Roman"/>
                <w:b/>
                <w:lang w:bidi="ar-SA"/>
              </w:rPr>
              <w:t xml:space="preserve"> cubic feet</w:t>
            </w:r>
          </w:p>
        </w:tc>
        <w:tc>
          <w:tcPr>
            <w:tcW w:w="1325" w:type="pct"/>
            <w:vAlign w:val="center"/>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496" w:type="pct"/>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9270B9" w:rsidRPr="009270B9" w:rsidTr="009270B9">
        <w:tc>
          <w:tcPr>
            <w:tcW w:w="2179" w:type="pct"/>
          </w:tcPr>
          <w:p w:rsidR="009270B9" w:rsidRPr="009270B9" w:rsidRDefault="00CA3026" w:rsidP="00CA3026">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009270B9" w:rsidRPr="009270B9">
              <w:rPr>
                <w:rFonts w:eastAsia="Times New Roman"/>
                <w:lang w:bidi="ar-SA"/>
              </w:rPr>
              <w:t>inch meter)</w:t>
            </w:r>
          </w:p>
        </w:tc>
        <w:tc>
          <w:tcPr>
            <w:tcW w:w="1325" w:type="pct"/>
          </w:tcPr>
          <w:p w:rsidR="009270B9" w:rsidRPr="009270B9" w:rsidRDefault="009270B9" w:rsidP="0080117F">
            <w:pPr>
              <w:widowControl w:val="0"/>
              <w:autoSpaceDE w:val="0"/>
              <w:autoSpaceDN w:val="0"/>
              <w:adjustRightInd w:val="0"/>
              <w:jc w:val="center"/>
              <w:rPr>
                <w:rFonts w:eastAsia="Times New Roman"/>
                <w:lang w:bidi="ar-SA"/>
              </w:rPr>
            </w:pPr>
            <w:r w:rsidRPr="009270B9">
              <w:rPr>
                <w:rFonts w:eastAsia="Times New Roman"/>
                <w:lang w:bidi="ar-SA"/>
              </w:rPr>
              <w:t>$</w:t>
            </w:r>
            <w:r w:rsidR="004A5C6A">
              <w:rPr>
                <w:rFonts w:eastAsia="Times New Roman"/>
                <w:lang w:bidi="ar-SA"/>
              </w:rPr>
              <w:t>1</w:t>
            </w:r>
            <w:r w:rsidR="0080117F">
              <w:rPr>
                <w:rFonts w:eastAsia="Times New Roman"/>
                <w:lang w:bidi="ar-SA"/>
              </w:rPr>
              <w:t>5</w:t>
            </w:r>
            <w:r w:rsidR="004A5C6A">
              <w:rPr>
                <w:rFonts w:eastAsia="Times New Roman"/>
                <w:lang w:bidi="ar-SA"/>
              </w:rPr>
              <w:t>.</w:t>
            </w:r>
            <w:r w:rsidR="0080117F">
              <w:rPr>
                <w:rFonts w:eastAsia="Times New Roman"/>
                <w:lang w:bidi="ar-SA"/>
              </w:rPr>
              <w:t>80</w:t>
            </w:r>
          </w:p>
        </w:tc>
        <w:tc>
          <w:tcPr>
            <w:tcW w:w="1496" w:type="pct"/>
          </w:tcPr>
          <w:p w:rsidR="009270B9" w:rsidRPr="009270B9" w:rsidRDefault="009270B9" w:rsidP="00F40EE9">
            <w:pPr>
              <w:widowControl w:val="0"/>
              <w:autoSpaceDE w:val="0"/>
              <w:autoSpaceDN w:val="0"/>
              <w:adjustRightInd w:val="0"/>
              <w:jc w:val="center"/>
              <w:rPr>
                <w:rFonts w:eastAsia="Times New Roman"/>
                <w:lang w:bidi="ar-SA"/>
              </w:rPr>
            </w:pPr>
            <w:r w:rsidRPr="009270B9">
              <w:rPr>
                <w:rFonts w:eastAsia="Times New Roman"/>
                <w:lang w:bidi="ar-SA"/>
              </w:rPr>
              <w:t>$</w:t>
            </w:r>
            <w:r w:rsidR="00F40EE9">
              <w:rPr>
                <w:rFonts w:eastAsia="Times New Roman"/>
                <w:lang w:bidi="ar-SA"/>
              </w:rPr>
              <w:t>12.20</w:t>
            </w:r>
          </w:p>
        </w:tc>
      </w:tr>
      <w:tr w:rsidR="00666148" w:rsidRPr="009270B9" w:rsidTr="00E652AE">
        <w:tc>
          <w:tcPr>
            <w:tcW w:w="2179" w:type="pct"/>
          </w:tcPr>
          <w:p w:rsidR="00666148" w:rsidRDefault="00666148" w:rsidP="00D82D68">
            <w:pPr>
              <w:keepNext/>
              <w:widowControl w:val="0"/>
              <w:autoSpaceDE w:val="0"/>
              <w:autoSpaceDN w:val="0"/>
              <w:adjustRightInd w:val="0"/>
              <w:outlineLvl w:val="0"/>
              <w:rPr>
                <w:rFonts w:eastAsia="Times New Roman"/>
                <w:lang w:bidi="ar-SA"/>
              </w:rPr>
            </w:pPr>
            <w:r>
              <w:rPr>
                <w:rFonts w:eastAsia="Times New Roman"/>
                <w:lang w:bidi="ar-SA"/>
              </w:rPr>
              <w:t>Generator Surcharge</w:t>
            </w:r>
          </w:p>
        </w:tc>
        <w:tc>
          <w:tcPr>
            <w:tcW w:w="1325" w:type="pct"/>
            <w:vAlign w:val="center"/>
          </w:tcPr>
          <w:p w:rsidR="00666148" w:rsidRPr="009270B9" w:rsidRDefault="00666148" w:rsidP="00D82D68">
            <w:pPr>
              <w:widowControl w:val="0"/>
              <w:autoSpaceDE w:val="0"/>
              <w:autoSpaceDN w:val="0"/>
              <w:adjustRightInd w:val="0"/>
              <w:jc w:val="center"/>
              <w:rPr>
                <w:rFonts w:eastAsia="Times New Roman"/>
                <w:lang w:bidi="ar-SA"/>
              </w:rPr>
            </w:pPr>
            <w:r>
              <w:rPr>
                <w:rFonts w:eastAsia="Times New Roman"/>
                <w:lang w:bidi="ar-SA"/>
              </w:rPr>
              <w:t>$0.61</w:t>
            </w:r>
          </w:p>
        </w:tc>
        <w:tc>
          <w:tcPr>
            <w:tcW w:w="1496" w:type="pct"/>
          </w:tcPr>
          <w:p w:rsidR="00666148" w:rsidRPr="009270B9" w:rsidRDefault="00666148" w:rsidP="00D82D68">
            <w:pPr>
              <w:widowControl w:val="0"/>
              <w:autoSpaceDE w:val="0"/>
              <w:autoSpaceDN w:val="0"/>
              <w:adjustRightInd w:val="0"/>
              <w:jc w:val="center"/>
              <w:rPr>
                <w:rFonts w:eastAsia="Times New Roman"/>
                <w:lang w:bidi="ar-SA"/>
              </w:rPr>
            </w:pPr>
            <w:r>
              <w:rPr>
                <w:rFonts w:eastAsia="Times New Roman"/>
                <w:lang w:bidi="ar-SA"/>
              </w:rPr>
              <w:t>NA</w:t>
            </w:r>
          </w:p>
        </w:tc>
      </w:tr>
      <w:tr w:rsidR="0080117F" w:rsidRPr="009270B9" w:rsidTr="0080117F">
        <w:tc>
          <w:tcPr>
            <w:tcW w:w="2179" w:type="pct"/>
          </w:tcPr>
          <w:p w:rsidR="0080117F" w:rsidRPr="009270B9" w:rsidRDefault="0080117F" w:rsidP="0080117F">
            <w:pPr>
              <w:widowControl w:val="0"/>
              <w:autoSpaceDE w:val="0"/>
              <w:autoSpaceDN w:val="0"/>
              <w:adjustRightInd w:val="0"/>
              <w:rPr>
                <w:rFonts w:eastAsia="Times New Roman"/>
                <w:lang w:bidi="ar-SA"/>
              </w:rPr>
            </w:pPr>
            <w:r>
              <w:rPr>
                <w:rFonts w:eastAsia="Times New Roman"/>
                <w:lang w:bidi="ar-SA"/>
              </w:rPr>
              <w:t>0 - 500 cubic feet</w:t>
            </w:r>
          </w:p>
        </w:tc>
        <w:tc>
          <w:tcPr>
            <w:tcW w:w="1325" w:type="pct"/>
          </w:tcPr>
          <w:p w:rsidR="0080117F" w:rsidRPr="009270B9" w:rsidRDefault="0080117F" w:rsidP="0080117F">
            <w:pPr>
              <w:widowControl w:val="0"/>
              <w:autoSpaceDE w:val="0"/>
              <w:autoSpaceDN w:val="0"/>
              <w:adjustRightInd w:val="0"/>
              <w:jc w:val="center"/>
              <w:rPr>
                <w:rFonts w:eastAsia="Times New Roman"/>
                <w:lang w:bidi="ar-SA"/>
              </w:rPr>
            </w:pPr>
            <w:r>
              <w:rPr>
                <w:rFonts w:eastAsia="Times New Roman"/>
                <w:lang w:bidi="ar-SA"/>
              </w:rPr>
              <w:t>NA</w:t>
            </w:r>
          </w:p>
        </w:tc>
        <w:tc>
          <w:tcPr>
            <w:tcW w:w="1496" w:type="pct"/>
          </w:tcPr>
          <w:p w:rsidR="0080117F" w:rsidRPr="009270B9" w:rsidRDefault="0080117F" w:rsidP="0080117F">
            <w:pPr>
              <w:widowControl w:val="0"/>
              <w:autoSpaceDE w:val="0"/>
              <w:autoSpaceDN w:val="0"/>
              <w:adjustRightInd w:val="0"/>
              <w:jc w:val="center"/>
              <w:rPr>
                <w:rFonts w:eastAsia="Times New Roman"/>
                <w:lang w:bidi="ar-SA"/>
              </w:rPr>
            </w:pPr>
            <w:r w:rsidRPr="009270B9">
              <w:rPr>
                <w:rFonts w:eastAsia="Times New Roman"/>
                <w:lang w:bidi="ar-SA"/>
              </w:rPr>
              <w:t>$</w:t>
            </w:r>
            <w:r w:rsidR="00F40EE9">
              <w:rPr>
                <w:rFonts w:eastAsia="Times New Roman"/>
                <w:lang w:bidi="ar-SA"/>
              </w:rPr>
              <w:t>4.50</w:t>
            </w:r>
          </w:p>
        </w:tc>
      </w:tr>
      <w:tr w:rsidR="009270B9" w:rsidRPr="009270B9" w:rsidTr="009270B9">
        <w:tc>
          <w:tcPr>
            <w:tcW w:w="2179" w:type="pct"/>
          </w:tcPr>
          <w:p w:rsidR="009270B9" w:rsidRPr="009270B9" w:rsidRDefault="0080117F" w:rsidP="0080117F">
            <w:pPr>
              <w:widowControl w:val="0"/>
              <w:autoSpaceDE w:val="0"/>
              <w:autoSpaceDN w:val="0"/>
              <w:adjustRightInd w:val="0"/>
              <w:rPr>
                <w:rFonts w:eastAsia="Times New Roman"/>
                <w:lang w:bidi="ar-SA"/>
              </w:rPr>
            </w:pPr>
            <w:r>
              <w:rPr>
                <w:rFonts w:eastAsia="Times New Roman"/>
                <w:lang w:bidi="ar-SA"/>
              </w:rPr>
              <w:t>500</w:t>
            </w:r>
            <w:r w:rsidR="004A5C6A">
              <w:rPr>
                <w:rFonts w:eastAsia="Times New Roman"/>
                <w:lang w:bidi="ar-SA"/>
              </w:rPr>
              <w:t xml:space="preserve"> </w:t>
            </w:r>
            <w:r w:rsidR="00CA3026">
              <w:rPr>
                <w:rFonts w:eastAsia="Times New Roman"/>
                <w:lang w:bidi="ar-SA"/>
              </w:rPr>
              <w:t xml:space="preserve">- </w:t>
            </w:r>
            <w:r>
              <w:rPr>
                <w:rFonts w:eastAsia="Times New Roman"/>
                <w:lang w:bidi="ar-SA"/>
              </w:rPr>
              <w:t>893</w:t>
            </w:r>
            <w:r w:rsidR="004A5C6A">
              <w:rPr>
                <w:rFonts w:eastAsia="Times New Roman"/>
                <w:lang w:bidi="ar-SA"/>
              </w:rPr>
              <w:t xml:space="preserve"> cubic feet</w:t>
            </w:r>
          </w:p>
        </w:tc>
        <w:tc>
          <w:tcPr>
            <w:tcW w:w="1325" w:type="pct"/>
          </w:tcPr>
          <w:p w:rsidR="009270B9" w:rsidRPr="009270B9" w:rsidRDefault="009270B9" w:rsidP="00D65C0A">
            <w:pPr>
              <w:widowControl w:val="0"/>
              <w:autoSpaceDE w:val="0"/>
              <w:autoSpaceDN w:val="0"/>
              <w:adjustRightInd w:val="0"/>
              <w:jc w:val="center"/>
              <w:rPr>
                <w:rFonts w:eastAsia="Times New Roman"/>
                <w:lang w:bidi="ar-SA"/>
              </w:rPr>
            </w:pPr>
            <w:r w:rsidRPr="009270B9">
              <w:rPr>
                <w:rFonts w:eastAsia="Times New Roman"/>
                <w:lang w:bidi="ar-SA"/>
              </w:rPr>
              <w:t>$</w:t>
            </w:r>
            <w:r w:rsidR="0080117F">
              <w:rPr>
                <w:rFonts w:eastAsia="Times New Roman"/>
                <w:lang w:bidi="ar-SA"/>
              </w:rPr>
              <w:t>3.</w:t>
            </w:r>
            <w:r w:rsidR="00D65C0A">
              <w:rPr>
                <w:rFonts w:eastAsia="Times New Roman"/>
                <w:lang w:bidi="ar-SA"/>
              </w:rPr>
              <w:t>66</w:t>
            </w:r>
          </w:p>
        </w:tc>
        <w:tc>
          <w:tcPr>
            <w:tcW w:w="1496" w:type="pct"/>
          </w:tcPr>
          <w:p w:rsidR="009270B9" w:rsidRPr="009270B9" w:rsidRDefault="009270B9" w:rsidP="00D65C0A">
            <w:pPr>
              <w:widowControl w:val="0"/>
              <w:autoSpaceDE w:val="0"/>
              <w:autoSpaceDN w:val="0"/>
              <w:adjustRightInd w:val="0"/>
              <w:jc w:val="center"/>
              <w:rPr>
                <w:rFonts w:eastAsia="Times New Roman"/>
                <w:lang w:bidi="ar-SA"/>
              </w:rPr>
            </w:pPr>
            <w:r w:rsidRPr="009270B9">
              <w:rPr>
                <w:rFonts w:eastAsia="Times New Roman"/>
                <w:lang w:bidi="ar-SA"/>
              </w:rPr>
              <w:t>$</w:t>
            </w:r>
            <w:r w:rsidR="00F40EE9">
              <w:rPr>
                <w:rFonts w:eastAsia="Times New Roman"/>
                <w:lang w:bidi="ar-SA"/>
              </w:rPr>
              <w:t>7.</w:t>
            </w:r>
            <w:r w:rsidR="00D65C0A">
              <w:rPr>
                <w:rFonts w:eastAsia="Times New Roman"/>
                <w:lang w:bidi="ar-SA"/>
              </w:rPr>
              <w:t>96</w:t>
            </w:r>
          </w:p>
        </w:tc>
      </w:tr>
      <w:tr w:rsidR="009270B9" w:rsidRPr="009270B9" w:rsidTr="009270B9">
        <w:tc>
          <w:tcPr>
            <w:tcW w:w="2179" w:type="pct"/>
          </w:tcPr>
          <w:p w:rsidR="009270B9" w:rsidRPr="009270B9" w:rsidRDefault="009270B9" w:rsidP="009270B9">
            <w:pPr>
              <w:widowControl w:val="0"/>
              <w:autoSpaceDE w:val="0"/>
              <w:autoSpaceDN w:val="0"/>
              <w:adjustRightInd w:val="0"/>
              <w:rPr>
                <w:rFonts w:eastAsia="Times New Roman"/>
                <w:lang w:bidi="ar-SA"/>
              </w:rPr>
            </w:pPr>
            <w:r w:rsidRPr="009270B9">
              <w:rPr>
                <w:rFonts w:eastAsia="Times New Roman"/>
                <w:lang w:bidi="ar-SA"/>
              </w:rPr>
              <w:lastRenderedPageBreak/>
              <w:t>Average Monthly Bill</w:t>
            </w:r>
          </w:p>
        </w:tc>
        <w:tc>
          <w:tcPr>
            <w:tcW w:w="1325" w:type="pct"/>
            <w:tcBorders>
              <w:top w:val="single" w:sz="18" w:space="0" w:color="auto"/>
              <w:bottom w:val="single" w:sz="18" w:space="0" w:color="auto"/>
            </w:tcBorders>
          </w:tcPr>
          <w:p w:rsidR="009270B9" w:rsidRPr="009270B9" w:rsidRDefault="009270B9" w:rsidP="00666148">
            <w:pPr>
              <w:widowControl w:val="0"/>
              <w:autoSpaceDE w:val="0"/>
              <w:autoSpaceDN w:val="0"/>
              <w:adjustRightInd w:val="0"/>
              <w:jc w:val="center"/>
              <w:rPr>
                <w:rFonts w:eastAsia="Times New Roman"/>
                <w:lang w:bidi="ar-SA"/>
              </w:rPr>
            </w:pPr>
            <w:r w:rsidRPr="009270B9">
              <w:rPr>
                <w:rFonts w:eastAsia="Times New Roman"/>
                <w:lang w:bidi="ar-SA"/>
              </w:rPr>
              <w:t>$</w:t>
            </w:r>
            <w:r w:rsidR="00666148">
              <w:rPr>
                <w:rFonts w:eastAsia="Times New Roman"/>
                <w:lang w:bidi="ar-SA"/>
              </w:rPr>
              <w:t>20.07</w:t>
            </w:r>
          </w:p>
        </w:tc>
        <w:tc>
          <w:tcPr>
            <w:tcW w:w="1496" w:type="pct"/>
            <w:tcBorders>
              <w:top w:val="single" w:sz="18" w:space="0" w:color="auto"/>
              <w:bottom w:val="single" w:sz="18" w:space="0" w:color="auto"/>
            </w:tcBorders>
          </w:tcPr>
          <w:p w:rsidR="009270B9" w:rsidRPr="009270B9" w:rsidRDefault="009270B9" w:rsidP="00D65C0A">
            <w:pPr>
              <w:widowControl w:val="0"/>
              <w:autoSpaceDE w:val="0"/>
              <w:autoSpaceDN w:val="0"/>
              <w:adjustRightInd w:val="0"/>
              <w:jc w:val="center"/>
              <w:rPr>
                <w:rFonts w:eastAsia="Times New Roman"/>
                <w:lang w:bidi="ar-SA"/>
              </w:rPr>
            </w:pPr>
            <w:r w:rsidRPr="009270B9">
              <w:rPr>
                <w:rFonts w:eastAsia="Times New Roman"/>
                <w:lang w:bidi="ar-SA"/>
              </w:rPr>
              <w:t>$</w:t>
            </w:r>
            <w:r w:rsidR="00F40EE9">
              <w:rPr>
                <w:rFonts w:eastAsia="Times New Roman"/>
                <w:lang w:bidi="ar-SA"/>
              </w:rPr>
              <w:t>2</w:t>
            </w:r>
            <w:r w:rsidR="00D65C0A">
              <w:rPr>
                <w:rFonts w:eastAsia="Times New Roman"/>
                <w:lang w:bidi="ar-SA"/>
              </w:rPr>
              <w:t>4</w:t>
            </w:r>
            <w:r w:rsidR="00F40EE9">
              <w:rPr>
                <w:rFonts w:eastAsia="Times New Roman"/>
                <w:lang w:bidi="ar-SA"/>
              </w:rPr>
              <w:t>.</w:t>
            </w:r>
            <w:r w:rsidR="00D65C0A">
              <w:rPr>
                <w:rFonts w:eastAsia="Times New Roman"/>
                <w:lang w:bidi="ar-SA"/>
              </w:rPr>
              <w:t>66</w:t>
            </w:r>
          </w:p>
        </w:tc>
      </w:tr>
      <w:tr w:rsidR="009270B9" w:rsidRPr="009270B9" w:rsidTr="009270B9">
        <w:tc>
          <w:tcPr>
            <w:tcW w:w="2179" w:type="pct"/>
          </w:tcPr>
          <w:p w:rsidR="009270B9" w:rsidRPr="009270B9" w:rsidRDefault="00CA3026" w:rsidP="009270B9">
            <w:pPr>
              <w:widowControl w:val="0"/>
              <w:autoSpaceDE w:val="0"/>
              <w:autoSpaceDN w:val="0"/>
              <w:adjustRightInd w:val="0"/>
              <w:rPr>
                <w:rFonts w:eastAsia="Times New Roman"/>
                <w:lang w:bidi="ar-SA"/>
              </w:rPr>
            </w:pPr>
            <w:r w:rsidRPr="007C07AE">
              <w:t>Increase From Current Rates</w:t>
            </w:r>
          </w:p>
        </w:tc>
        <w:tc>
          <w:tcPr>
            <w:tcW w:w="1325" w:type="pct"/>
            <w:tcBorders>
              <w:top w:val="single" w:sz="18" w:space="0" w:color="auto"/>
              <w:bottom w:val="double" w:sz="4" w:space="0" w:color="auto"/>
            </w:tcBorders>
          </w:tcPr>
          <w:p w:rsidR="009270B9" w:rsidRPr="009270B9" w:rsidRDefault="009270B9" w:rsidP="009270B9">
            <w:pPr>
              <w:widowControl w:val="0"/>
              <w:autoSpaceDE w:val="0"/>
              <w:autoSpaceDN w:val="0"/>
              <w:adjustRightInd w:val="0"/>
              <w:jc w:val="center"/>
              <w:rPr>
                <w:rFonts w:eastAsia="Times New Roman"/>
                <w:lang w:bidi="ar-SA"/>
              </w:rPr>
            </w:pPr>
          </w:p>
        </w:tc>
        <w:tc>
          <w:tcPr>
            <w:tcW w:w="1496" w:type="pct"/>
            <w:tcBorders>
              <w:top w:val="single" w:sz="18" w:space="0" w:color="auto"/>
              <w:bottom w:val="double" w:sz="4" w:space="0" w:color="auto"/>
            </w:tcBorders>
          </w:tcPr>
          <w:p w:rsidR="009270B9" w:rsidRPr="009270B9" w:rsidRDefault="004A5C6A" w:rsidP="00666148">
            <w:pPr>
              <w:widowControl w:val="0"/>
              <w:autoSpaceDE w:val="0"/>
              <w:autoSpaceDN w:val="0"/>
              <w:adjustRightInd w:val="0"/>
              <w:jc w:val="center"/>
              <w:rPr>
                <w:rFonts w:eastAsia="Times New Roman"/>
                <w:lang w:bidi="ar-SA"/>
              </w:rPr>
            </w:pPr>
            <w:r>
              <w:rPr>
                <w:rFonts w:eastAsia="Times New Roman"/>
                <w:lang w:bidi="ar-SA"/>
              </w:rPr>
              <w:t>2</w:t>
            </w:r>
            <w:r w:rsidR="00666148">
              <w:rPr>
                <w:rFonts w:eastAsia="Times New Roman"/>
                <w:lang w:bidi="ar-SA"/>
              </w:rPr>
              <w:t>2</w:t>
            </w:r>
            <w:r w:rsidR="009270B9" w:rsidRPr="009270B9">
              <w:rPr>
                <w:rFonts w:eastAsia="Times New Roman"/>
                <w:lang w:bidi="ar-SA"/>
              </w:rPr>
              <w:t>.</w:t>
            </w:r>
            <w:r w:rsidR="00666148">
              <w:rPr>
                <w:rFonts w:eastAsia="Times New Roman"/>
                <w:lang w:bidi="ar-SA"/>
              </w:rPr>
              <w:t>9</w:t>
            </w:r>
            <w:r w:rsidR="009270B9" w:rsidRPr="009270B9">
              <w:rPr>
                <w:rFonts w:eastAsia="Times New Roman"/>
                <w:lang w:bidi="ar-SA"/>
              </w:rPr>
              <w:t xml:space="preserve"> %</w:t>
            </w:r>
          </w:p>
        </w:tc>
      </w:tr>
    </w:tbl>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AE389D" w:rsidRPr="00AE389D" w:rsidRDefault="00AE389D" w:rsidP="00AE38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r w:rsidRPr="00AE389D">
        <w:rPr>
          <w:rFonts w:eastAsia="Times New Roman"/>
          <w:lang w:bidi="ar-SA"/>
        </w:rPr>
        <w:t xml:space="preserve">Commission staff has not completed its review of the company’s supporting financial documents, books and records. </w:t>
      </w:r>
      <w:r w:rsidR="00C873CD">
        <w:rPr>
          <w:rFonts w:eastAsia="Times New Roman"/>
          <w:lang w:bidi="ar-SA"/>
        </w:rPr>
        <w:t>Data request</w:t>
      </w:r>
      <w:r w:rsidR="0099460C">
        <w:rPr>
          <w:rFonts w:eastAsia="Times New Roman"/>
          <w:lang w:bidi="ar-SA"/>
        </w:rPr>
        <w:t>s</w:t>
      </w:r>
      <w:r w:rsidR="00C873CD">
        <w:rPr>
          <w:rFonts w:eastAsia="Times New Roman"/>
          <w:lang w:bidi="ar-SA"/>
        </w:rPr>
        <w:t xml:space="preserve"> are outstanding and the company is working to answer them. </w:t>
      </w:r>
      <w:r w:rsidRPr="00AE389D">
        <w:rPr>
          <w:rFonts w:eastAsia="Times New Roman"/>
          <w:lang w:bidi="ar-SA"/>
        </w:rPr>
        <w:t>Therefore, the company has not demonstrated that the proposed rates are fair, just, reasonable and sufficient.</w:t>
      </w:r>
    </w:p>
    <w:p w:rsidR="00C873CD" w:rsidRPr="00EB4CE3" w:rsidRDefault="00C873CD" w:rsidP="00BE5610"/>
    <w:p w:rsidR="003B700C" w:rsidRDefault="003B700C" w:rsidP="00BE5610">
      <w:pPr>
        <w:rPr>
          <w:b/>
          <w:u w:val="single"/>
        </w:rPr>
      </w:pPr>
      <w:r w:rsidRPr="00935AF2">
        <w:rPr>
          <w:b/>
          <w:u w:val="single"/>
        </w:rPr>
        <w:t xml:space="preserve">Conclusion </w:t>
      </w:r>
    </w:p>
    <w:p w:rsidR="00EE7659" w:rsidRDefault="00EE7659" w:rsidP="00BE5610">
      <w:pPr>
        <w:rPr>
          <w:b/>
          <w:u w:val="single"/>
        </w:rPr>
      </w:pPr>
    </w:p>
    <w:p w:rsidR="00EE7659" w:rsidRPr="00D9246D" w:rsidRDefault="00A52858" w:rsidP="00D9246D">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w:t>
      </w:r>
      <w:r>
        <w:rPr>
          <w:rFonts w:eastAsia="Times New Roman"/>
          <w:color w:val="000000"/>
          <w:lang w:bidi="ar-SA"/>
        </w:rPr>
        <w:t>s</w:t>
      </w:r>
      <w:r w:rsidRPr="004D7E01">
        <w:rPr>
          <w:rFonts w:eastAsia="Times New Roman"/>
          <w:color w:val="000000"/>
          <w:lang w:bidi="ar-SA"/>
        </w:rPr>
        <w:t xml:space="preserve"> filed by</w:t>
      </w:r>
      <w:r w:rsidRPr="004D7E01">
        <w:t xml:space="preserve"> </w:t>
      </w:r>
      <w:r w:rsidR="00143CDB">
        <w:t>Rainier View</w:t>
      </w:r>
      <w:r>
        <w:t xml:space="preserve"> Water Company, Inc., </w:t>
      </w:r>
      <w:r w:rsidR="00F40EE9">
        <w:t>on September 15</w:t>
      </w:r>
      <w:r w:rsidRPr="00A52858">
        <w:t>, 2009</w:t>
      </w:r>
      <w:r>
        <w:t>.</w:t>
      </w:r>
    </w:p>
    <w:sectPr w:rsidR="00EE7659" w:rsidRPr="00D9246D" w:rsidSect="008A5841">
      <w:headerReference w:type="default" r:id="rId12"/>
      <w:pgSz w:w="12240" w:h="15840"/>
      <w:pgMar w:top="1440" w:right="1440" w:bottom="13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353" w:rsidRDefault="00E60353" w:rsidP="00BE5610">
      <w:r>
        <w:separator/>
      </w:r>
    </w:p>
  </w:endnote>
  <w:endnote w:type="continuationSeparator" w:id="0">
    <w:p w:rsidR="00E60353" w:rsidRDefault="00E60353"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353" w:rsidRDefault="00E60353" w:rsidP="00BE5610">
      <w:r>
        <w:separator/>
      </w:r>
    </w:p>
  </w:footnote>
  <w:footnote w:type="continuationSeparator" w:id="0">
    <w:p w:rsidR="00E60353" w:rsidRDefault="00E60353"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353" w:rsidRPr="003B700C" w:rsidRDefault="00E60353" w:rsidP="00BE5610">
    <w:pPr>
      <w:pStyle w:val="Header"/>
    </w:pPr>
    <w:r w:rsidRPr="003B700C">
      <w:t>Docket UW-09</w:t>
    </w:r>
    <w:r>
      <w:t>1466</w:t>
    </w:r>
  </w:p>
  <w:p w:rsidR="00E60353" w:rsidRPr="003B700C" w:rsidRDefault="00E60353" w:rsidP="00BE5610">
    <w:pPr>
      <w:pStyle w:val="Header"/>
    </w:pPr>
    <w:r>
      <w:t>October 15</w:t>
    </w:r>
    <w:r w:rsidRPr="003B700C">
      <w:t>, 2009</w:t>
    </w:r>
  </w:p>
  <w:p w:rsidR="00E60353" w:rsidRPr="003B700C" w:rsidRDefault="00E60353" w:rsidP="00BE5610">
    <w:pPr>
      <w:pStyle w:val="Header"/>
    </w:pPr>
    <w:r w:rsidRPr="003B700C">
      <w:t xml:space="preserve">Page </w:t>
    </w:r>
    <w:fldSimple w:instr=" PAGE   \* MERGEFORMAT ">
      <w:r w:rsidR="00F34BD4">
        <w:rPr>
          <w:noProof/>
        </w:rPr>
        <w:t>3</w:t>
      </w:r>
    </w:fldSimple>
  </w:p>
  <w:p w:rsidR="00E60353" w:rsidRDefault="00E60353"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06B00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2"/>
  </w:num>
  <w:num w:numId="7">
    <w:abstractNumId w:val="5"/>
  </w:num>
  <w:num w:numId="8">
    <w:abstractNumId w:val="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17761"/>
  </w:hdrShapeDefaults>
  <w:footnotePr>
    <w:footnote w:id="-1"/>
    <w:footnote w:id="0"/>
  </w:footnotePr>
  <w:endnotePr>
    <w:endnote w:id="-1"/>
    <w:endnote w:id="0"/>
  </w:endnotePr>
  <w:compat/>
  <w:rsids>
    <w:rsidRoot w:val="00154718"/>
    <w:rsid w:val="000020C4"/>
    <w:rsid w:val="00005828"/>
    <w:rsid w:val="00015DD8"/>
    <w:rsid w:val="000208BA"/>
    <w:rsid w:val="000458AC"/>
    <w:rsid w:val="00053628"/>
    <w:rsid w:val="00054CC9"/>
    <w:rsid w:val="00055945"/>
    <w:rsid w:val="000625B1"/>
    <w:rsid w:val="0006481C"/>
    <w:rsid w:val="00066C40"/>
    <w:rsid w:val="0008268C"/>
    <w:rsid w:val="00082892"/>
    <w:rsid w:val="000908F4"/>
    <w:rsid w:val="000909CD"/>
    <w:rsid w:val="000B0C16"/>
    <w:rsid w:val="000C2481"/>
    <w:rsid w:val="000C3D4F"/>
    <w:rsid w:val="000D3CE0"/>
    <w:rsid w:val="000D6DAF"/>
    <w:rsid w:val="000E640C"/>
    <w:rsid w:val="000E714E"/>
    <w:rsid w:val="000F29ED"/>
    <w:rsid w:val="00111151"/>
    <w:rsid w:val="00111EF9"/>
    <w:rsid w:val="0013089B"/>
    <w:rsid w:val="00130B3D"/>
    <w:rsid w:val="00140589"/>
    <w:rsid w:val="00141434"/>
    <w:rsid w:val="001423FE"/>
    <w:rsid w:val="00142B36"/>
    <w:rsid w:val="00143A7A"/>
    <w:rsid w:val="00143CDB"/>
    <w:rsid w:val="0014659D"/>
    <w:rsid w:val="00154718"/>
    <w:rsid w:val="001603B0"/>
    <w:rsid w:val="0016055D"/>
    <w:rsid w:val="0016348F"/>
    <w:rsid w:val="0016545B"/>
    <w:rsid w:val="00173A9E"/>
    <w:rsid w:val="00173F60"/>
    <w:rsid w:val="00177491"/>
    <w:rsid w:val="00190825"/>
    <w:rsid w:val="001A0A16"/>
    <w:rsid w:val="001B5D29"/>
    <w:rsid w:val="001C5AB1"/>
    <w:rsid w:val="001C7DFD"/>
    <w:rsid w:val="001D2A48"/>
    <w:rsid w:val="001D34D3"/>
    <w:rsid w:val="001E0047"/>
    <w:rsid w:val="001E0702"/>
    <w:rsid w:val="001E1BE5"/>
    <w:rsid w:val="001F2258"/>
    <w:rsid w:val="001F30F9"/>
    <w:rsid w:val="001F3D7A"/>
    <w:rsid w:val="001F465E"/>
    <w:rsid w:val="002027E0"/>
    <w:rsid w:val="0021363E"/>
    <w:rsid w:val="00227DC0"/>
    <w:rsid w:val="00241B80"/>
    <w:rsid w:val="00244A84"/>
    <w:rsid w:val="00260D57"/>
    <w:rsid w:val="002622A8"/>
    <w:rsid w:val="00283AD9"/>
    <w:rsid w:val="00285152"/>
    <w:rsid w:val="002863C0"/>
    <w:rsid w:val="00294AE3"/>
    <w:rsid w:val="00295745"/>
    <w:rsid w:val="002A70D7"/>
    <w:rsid w:val="002B5724"/>
    <w:rsid w:val="002C039A"/>
    <w:rsid w:val="002C6110"/>
    <w:rsid w:val="002E50C7"/>
    <w:rsid w:val="002F70BE"/>
    <w:rsid w:val="00300789"/>
    <w:rsid w:val="00300D92"/>
    <w:rsid w:val="003219B9"/>
    <w:rsid w:val="00324289"/>
    <w:rsid w:val="00330C32"/>
    <w:rsid w:val="00334A7C"/>
    <w:rsid w:val="00337C05"/>
    <w:rsid w:val="00340C02"/>
    <w:rsid w:val="00355F2E"/>
    <w:rsid w:val="00367ED5"/>
    <w:rsid w:val="00385F54"/>
    <w:rsid w:val="0038689A"/>
    <w:rsid w:val="00392579"/>
    <w:rsid w:val="00396F67"/>
    <w:rsid w:val="003B4D1C"/>
    <w:rsid w:val="003B700C"/>
    <w:rsid w:val="003C166B"/>
    <w:rsid w:val="003C16E8"/>
    <w:rsid w:val="003C4EB8"/>
    <w:rsid w:val="003D2276"/>
    <w:rsid w:val="003D25A3"/>
    <w:rsid w:val="003D717F"/>
    <w:rsid w:val="003F0972"/>
    <w:rsid w:val="00405F3D"/>
    <w:rsid w:val="00410E9F"/>
    <w:rsid w:val="00411F64"/>
    <w:rsid w:val="00420FE4"/>
    <w:rsid w:val="00424794"/>
    <w:rsid w:val="004456FB"/>
    <w:rsid w:val="00450175"/>
    <w:rsid w:val="00450267"/>
    <w:rsid w:val="00450CAB"/>
    <w:rsid w:val="0045370F"/>
    <w:rsid w:val="00455301"/>
    <w:rsid w:val="00472DF2"/>
    <w:rsid w:val="004943A8"/>
    <w:rsid w:val="00496744"/>
    <w:rsid w:val="00497530"/>
    <w:rsid w:val="004A5C6A"/>
    <w:rsid w:val="004A691E"/>
    <w:rsid w:val="004D4EF6"/>
    <w:rsid w:val="004D5E19"/>
    <w:rsid w:val="004D7E01"/>
    <w:rsid w:val="004E0141"/>
    <w:rsid w:val="004F009E"/>
    <w:rsid w:val="00504DB9"/>
    <w:rsid w:val="00512F12"/>
    <w:rsid w:val="005131DE"/>
    <w:rsid w:val="00533DBE"/>
    <w:rsid w:val="00540728"/>
    <w:rsid w:val="00552600"/>
    <w:rsid w:val="0056400F"/>
    <w:rsid w:val="0056751B"/>
    <w:rsid w:val="00594B87"/>
    <w:rsid w:val="00595023"/>
    <w:rsid w:val="00597882"/>
    <w:rsid w:val="00597C9F"/>
    <w:rsid w:val="005A6C74"/>
    <w:rsid w:val="005B4C72"/>
    <w:rsid w:val="005C15D1"/>
    <w:rsid w:val="005D4CA4"/>
    <w:rsid w:val="005D7925"/>
    <w:rsid w:val="005F51F2"/>
    <w:rsid w:val="00616813"/>
    <w:rsid w:val="0062191D"/>
    <w:rsid w:val="0062474A"/>
    <w:rsid w:val="00626264"/>
    <w:rsid w:val="006308C7"/>
    <w:rsid w:val="00631C8E"/>
    <w:rsid w:val="00641A44"/>
    <w:rsid w:val="00642AC3"/>
    <w:rsid w:val="00645A0C"/>
    <w:rsid w:val="00654D5A"/>
    <w:rsid w:val="00661F4F"/>
    <w:rsid w:val="00666148"/>
    <w:rsid w:val="006700B0"/>
    <w:rsid w:val="00672F7B"/>
    <w:rsid w:val="00683780"/>
    <w:rsid w:val="0068432F"/>
    <w:rsid w:val="00695625"/>
    <w:rsid w:val="006A41EE"/>
    <w:rsid w:val="006A4895"/>
    <w:rsid w:val="006B495A"/>
    <w:rsid w:val="006B51B8"/>
    <w:rsid w:val="006B6D42"/>
    <w:rsid w:val="006C013C"/>
    <w:rsid w:val="006C3712"/>
    <w:rsid w:val="006D15C2"/>
    <w:rsid w:val="006D52E1"/>
    <w:rsid w:val="006E3B58"/>
    <w:rsid w:val="0071402F"/>
    <w:rsid w:val="007228E4"/>
    <w:rsid w:val="00724475"/>
    <w:rsid w:val="007261E5"/>
    <w:rsid w:val="007335C6"/>
    <w:rsid w:val="00746397"/>
    <w:rsid w:val="00751B5E"/>
    <w:rsid w:val="00754ED6"/>
    <w:rsid w:val="00756A44"/>
    <w:rsid w:val="0076679B"/>
    <w:rsid w:val="00774275"/>
    <w:rsid w:val="00790302"/>
    <w:rsid w:val="007913E9"/>
    <w:rsid w:val="0079709F"/>
    <w:rsid w:val="007E228B"/>
    <w:rsid w:val="007E5B2C"/>
    <w:rsid w:val="0080117F"/>
    <w:rsid w:val="008020A5"/>
    <w:rsid w:val="008111DE"/>
    <w:rsid w:val="008165AD"/>
    <w:rsid w:val="00816612"/>
    <w:rsid w:val="00825773"/>
    <w:rsid w:val="00826F11"/>
    <w:rsid w:val="00827BE3"/>
    <w:rsid w:val="00832CE0"/>
    <w:rsid w:val="0085598E"/>
    <w:rsid w:val="008630EA"/>
    <w:rsid w:val="00863543"/>
    <w:rsid w:val="00877282"/>
    <w:rsid w:val="008A350E"/>
    <w:rsid w:val="008A5841"/>
    <w:rsid w:val="008A6E88"/>
    <w:rsid w:val="008B479D"/>
    <w:rsid w:val="008B4AA0"/>
    <w:rsid w:val="008C168F"/>
    <w:rsid w:val="008C26CE"/>
    <w:rsid w:val="009006ED"/>
    <w:rsid w:val="00901675"/>
    <w:rsid w:val="00901E60"/>
    <w:rsid w:val="00922DEA"/>
    <w:rsid w:val="009270B9"/>
    <w:rsid w:val="0093048B"/>
    <w:rsid w:val="00935AF2"/>
    <w:rsid w:val="00936B39"/>
    <w:rsid w:val="009642AB"/>
    <w:rsid w:val="009768A1"/>
    <w:rsid w:val="009826E3"/>
    <w:rsid w:val="00983416"/>
    <w:rsid w:val="00984AEE"/>
    <w:rsid w:val="0099460C"/>
    <w:rsid w:val="009B2F83"/>
    <w:rsid w:val="009B5DCE"/>
    <w:rsid w:val="009B696D"/>
    <w:rsid w:val="009C55E2"/>
    <w:rsid w:val="009D109C"/>
    <w:rsid w:val="009D6B89"/>
    <w:rsid w:val="00A07C97"/>
    <w:rsid w:val="00A201C0"/>
    <w:rsid w:val="00A24E0B"/>
    <w:rsid w:val="00A26FD3"/>
    <w:rsid w:val="00A41C23"/>
    <w:rsid w:val="00A5145E"/>
    <w:rsid w:val="00A52858"/>
    <w:rsid w:val="00A67402"/>
    <w:rsid w:val="00A7048A"/>
    <w:rsid w:val="00A70E29"/>
    <w:rsid w:val="00A726C4"/>
    <w:rsid w:val="00A8090E"/>
    <w:rsid w:val="00A822CA"/>
    <w:rsid w:val="00A84C2A"/>
    <w:rsid w:val="00A85688"/>
    <w:rsid w:val="00A87EEB"/>
    <w:rsid w:val="00A902E8"/>
    <w:rsid w:val="00AB363A"/>
    <w:rsid w:val="00AD3312"/>
    <w:rsid w:val="00AE0900"/>
    <w:rsid w:val="00AE389D"/>
    <w:rsid w:val="00AF1D42"/>
    <w:rsid w:val="00AF2613"/>
    <w:rsid w:val="00AF5800"/>
    <w:rsid w:val="00B00171"/>
    <w:rsid w:val="00B03361"/>
    <w:rsid w:val="00B13041"/>
    <w:rsid w:val="00B34845"/>
    <w:rsid w:val="00B35380"/>
    <w:rsid w:val="00B360DD"/>
    <w:rsid w:val="00B41BE8"/>
    <w:rsid w:val="00B451F0"/>
    <w:rsid w:val="00B45CF2"/>
    <w:rsid w:val="00B5241C"/>
    <w:rsid w:val="00B55CD3"/>
    <w:rsid w:val="00B56E98"/>
    <w:rsid w:val="00B603AA"/>
    <w:rsid w:val="00B71DC1"/>
    <w:rsid w:val="00B84E56"/>
    <w:rsid w:val="00B97113"/>
    <w:rsid w:val="00BB2331"/>
    <w:rsid w:val="00BE5610"/>
    <w:rsid w:val="00BF1969"/>
    <w:rsid w:val="00BF1C43"/>
    <w:rsid w:val="00BF2510"/>
    <w:rsid w:val="00C011D5"/>
    <w:rsid w:val="00C014AF"/>
    <w:rsid w:val="00C03AA9"/>
    <w:rsid w:val="00C0624C"/>
    <w:rsid w:val="00C062C0"/>
    <w:rsid w:val="00C07C24"/>
    <w:rsid w:val="00C36001"/>
    <w:rsid w:val="00C36D30"/>
    <w:rsid w:val="00C41B31"/>
    <w:rsid w:val="00C42A41"/>
    <w:rsid w:val="00C505D4"/>
    <w:rsid w:val="00C626F6"/>
    <w:rsid w:val="00C64275"/>
    <w:rsid w:val="00C71EF8"/>
    <w:rsid w:val="00C873CD"/>
    <w:rsid w:val="00C921C4"/>
    <w:rsid w:val="00C92705"/>
    <w:rsid w:val="00CA22AF"/>
    <w:rsid w:val="00CA3026"/>
    <w:rsid w:val="00CA50F7"/>
    <w:rsid w:val="00CA6007"/>
    <w:rsid w:val="00CC4FE2"/>
    <w:rsid w:val="00CD43F1"/>
    <w:rsid w:val="00CD758B"/>
    <w:rsid w:val="00CF1AA4"/>
    <w:rsid w:val="00CF66D8"/>
    <w:rsid w:val="00D00B3A"/>
    <w:rsid w:val="00D0403B"/>
    <w:rsid w:val="00D108C7"/>
    <w:rsid w:val="00D12604"/>
    <w:rsid w:val="00D12988"/>
    <w:rsid w:val="00D32DDA"/>
    <w:rsid w:val="00D33FD2"/>
    <w:rsid w:val="00D37D59"/>
    <w:rsid w:val="00D44D58"/>
    <w:rsid w:val="00D47789"/>
    <w:rsid w:val="00D53F2F"/>
    <w:rsid w:val="00D65C0A"/>
    <w:rsid w:val="00D662D4"/>
    <w:rsid w:val="00D70105"/>
    <w:rsid w:val="00D7596F"/>
    <w:rsid w:val="00D7659F"/>
    <w:rsid w:val="00D77A03"/>
    <w:rsid w:val="00D9246D"/>
    <w:rsid w:val="00D96F9A"/>
    <w:rsid w:val="00DA1B86"/>
    <w:rsid w:val="00DB145D"/>
    <w:rsid w:val="00DC7B92"/>
    <w:rsid w:val="00DD2A47"/>
    <w:rsid w:val="00DD65A6"/>
    <w:rsid w:val="00E02017"/>
    <w:rsid w:val="00E21E65"/>
    <w:rsid w:val="00E256DF"/>
    <w:rsid w:val="00E26DE6"/>
    <w:rsid w:val="00E35D9D"/>
    <w:rsid w:val="00E37996"/>
    <w:rsid w:val="00E50A27"/>
    <w:rsid w:val="00E60353"/>
    <w:rsid w:val="00E8074A"/>
    <w:rsid w:val="00E8562C"/>
    <w:rsid w:val="00E864B6"/>
    <w:rsid w:val="00E941B2"/>
    <w:rsid w:val="00EA52A5"/>
    <w:rsid w:val="00EB3A93"/>
    <w:rsid w:val="00EB41E4"/>
    <w:rsid w:val="00EB4CE3"/>
    <w:rsid w:val="00ED3FED"/>
    <w:rsid w:val="00EE576C"/>
    <w:rsid w:val="00EE6798"/>
    <w:rsid w:val="00EE7659"/>
    <w:rsid w:val="00EF3D5E"/>
    <w:rsid w:val="00EF436B"/>
    <w:rsid w:val="00F00561"/>
    <w:rsid w:val="00F167E4"/>
    <w:rsid w:val="00F21B68"/>
    <w:rsid w:val="00F27C98"/>
    <w:rsid w:val="00F330AF"/>
    <w:rsid w:val="00F34BD4"/>
    <w:rsid w:val="00F35DB6"/>
    <w:rsid w:val="00F40EE9"/>
    <w:rsid w:val="00F435A5"/>
    <w:rsid w:val="00F469E5"/>
    <w:rsid w:val="00F541D0"/>
    <w:rsid w:val="00F632EE"/>
    <w:rsid w:val="00F700D9"/>
    <w:rsid w:val="00F716BB"/>
    <w:rsid w:val="00F72760"/>
    <w:rsid w:val="00F8306C"/>
    <w:rsid w:val="00F90612"/>
    <w:rsid w:val="00F93D9C"/>
    <w:rsid w:val="00F96ED4"/>
    <w:rsid w:val="00FB741F"/>
    <w:rsid w:val="00FC239F"/>
    <w:rsid w:val="00FE2453"/>
    <w:rsid w:val="00FE5608"/>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2009-09-15T07:00:00+00:00</OpenedDate>
    <Date1 xmlns="dc463f71-b30c-4ab2-9473-d307f9d35888">2009-10-15T07:00:00+00:00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091466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B5F341A018724DA3BF5105168943B6" ma:contentTypeVersion="131" ma:contentTypeDescription="" ma:contentTypeScope="" ma:versionID="2651db1f25901870be90b1bd5d420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27816-F000-4174-9D2D-0767F5EBBD00}"/>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BD3E558D-EAB6-44B0-97C1-5B5CDE33D753}"/>
</file>

<file path=customXml/itemProps5.xml><?xml version="1.0" encoding="utf-8"?>
<ds:datastoreItem xmlns:ds="http://schemas.openxmlformats.org/officeDocument/2006/customXml" ds:itemID="{DCC2BA96-559D-4DE1-B97E-DD3F337F6E71}"/>
</file>

<file path=customXml/itemProps6.xml><?xml version="1.0" encoding="utf-8"?>
<ds:datastoreItem xmlns:ds="http://schemas.openxmlformats.org/officeDocument/2006/customXml" ds:itemID="{8548EF86-140C-49F2-8A96-D52F5425EBAA}"/>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Rainier View Water Company general rates</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Rainier View Water Company general rates</dc:title>
  <dc:subject/>
  <dc:creator>JWard</dc:creator>
  <cp:keywords/>
  <dc:description/>
  <cp:lastModifiedBy>Catherine Hudspeth</cp:lastModifiedBy>
  <cp:revision>2</cp:revision>
  <cp:lastPrinted>2009-10-12T17:42:00Z</cp:lastPrinted>
  <dcterms:created xsi:type="dcterms:W3CDTF">2009-10-12T22:24:00Z</dcterms:created>
  <dcterms:modified xsi:type="dcterms:W3CDTF">2009-10-12T22:24:00Z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0x0101006E56B4D1795A2E4DB2F0B01679ED314A0064B5F341A018724DA3BF5105168943B6</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