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4F" w:rsidRPr="00AD4D61" w:rsidRDefault="00454D4F" w:rsidP="00454D4F">
      <w:pPr>
        <w:outlineLvl w:val="0"/>
        <w:rPr>
          <w:rFonts w:ascii="Times New Roman" w:hAnsi="Times New Roman"/>
        </w:rPr>
      </w:pPr>
      <w:r w:rsidRPr="00AD4D61">
        <w:rPr>
          <w:rFonts w:ascii="Times New Roman" w:hAnsi="Times New Roman"/>
        </w:rPr>
        <w:t>Agenda Date:</w:t>
      </w:r>
      <w:r>
        <w:rPr>
          <w:rFonts w:ascii="Times New Roman" w:hAnsi="Times New Roman"/>
        </w:rPr>
        <w:tab/>
      </w:r>
      <w:r w:rsidRPr="00AD4D61">
        <w:rPr>
          <w:rFonts w:ascii="Times New Roman" w:hAnsi="Times New Roman"/>
        </w:rPr>
        <w:tab/>
      </w:r>
      <w:r w:rsidR="00EB46BC">
        <w:rPr>
          <w:rFonts w:ascii="Times New Roman" w:hAnsi="Times New Roman"/>
        </w:rPr>
        <w:t>January 29, 2009</w:t>
      </w:r>
    </w:p>
    <w:p w:rsidR="00454D4F" w:rsidRPr="00AD4D61" w:rsidRDefault="00454D4F" w:rsidP="00454D4F">
      <w:pPr>
        <w:ind w:left="2160" w:hanging="2160"/>
        <w:rPr>
          <w:rFonts w:ascii="Times New Roman" w:hAnsi="Times New Roman"/>
        </w:rPr>
      </w:pPr>
      <w:r w:rsidRPr="00AD4D61">
        <w:rPr>
          <w:rFonts w:ascii="Times New Roman" w:hAnsi="Times New Roman"/>
        </w:rPr>
        <w:t>Item Number</w:t>
      </w:r>
      <w:r w:rsidR="00850CD9">
        <w:rPr>
          <w:rFonts w:ascii="Times New Roman" w:hAnsi="Times New Roman"/>
        </w:rPr>
        <w:t>s</w:t>
      </w:r>
      <w:r w:rsidRPr="00AD4D61">
        <w:rPr>
          <w:rFonts w:ascii="Times New Roman" w:hAnsi="Times New Roman"/>
        </w:rPr>
        <w:t>:</w:t>
      </w:r>
      <w:r w:rsidRPr="00AD4D61">
        <w:rPr>
          <w:rFonts w:ascii="Times New Roman" w:hAnsi="Times New Roman"/>
        </w:rPr>
        <w:tab/>
      </w:r>
      <w:r w:rsidR="00850CD9">
        <w:rPr>
          <w:rFonts w:ascii="Times New Roman" w:hAnsi="Times New Roman"/>
        </w:rPr>
        <w:t>A2 and A3</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293942">
        <w:rPr>
          <w:rFonts w:ascii="Times New Roman" w:hAnsi="Times New Roman"/>
          <w:b/>
          <w:bCs/>
        </w:rPr>
        <w:t>UE-082272 and UG-090052</w:t>
      </w:r>
    </w:p>
    <w:p w:rsidR="00454D4F" w:rsidRPr="00AD4D61" w:rsidRDefault="00454D4F" w:rsidP="00454D4F">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293942">
        <w:rPr>
          <w:rFonts w:ascii="Times New Roman" w:hAnsi="Times New Roman"/>
        </w:rPr>
        <w:t>Avista Corporation</w:t>
      </w:r>
    </w:p>
    <w:p w:rsidR="00454D4F" w:rsidRPr="00AD4D61" w:rsidRDefault="00454D4F" w:rsidP="00454D4F">
      <w:pPr>
        <w:rPr>
          <w:rFonts w:ascii="Times New Roman" w:hAnsi="Times New Roman"/>
        </w:rPr>
      </w:pPr>
    </w:p>
    <w:p w:rsidR="00454D4F" w:rsidRDefault="00454D4F" w:rsidP="00454D4F">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Deborah Reynolds, Regulatory Analyst</w:t>
      </w:r>
    </w:p>
    <w:p w:rsidR="00944960" w:rsidRDefault="00944960" w:rsidP="00454D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Vanda Novak, </w:t>
      </w:r>
      <w:r w:rsidR="00AD316E">
        <w:rPr>
          <w:rFonts w:ascii="Times New Roman" w:hAnsi="Times New Roman"/>
        </w:rPr>
        <w:t>Quantitative Analyst</w:t>
      </w:r>
    </w:p>
    <w:p w:rsidR="00454D4F" w:rsidRPr="00AD4D61" w:rsidRDefault="00454D4F" w:rsidP="00454D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D4D61">
        <w:rPr>
          <w:rFonts w:ascii="Times New Roman" w:hAnsi="Times New Roman"/>
        </w:rPr>
        <w:t xml:space="preserve"> </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bCs/>
          <w:u w:val="single"/>
        </w:rPr>
      </w:pPr>
      <w:r w:rsidRPr="00AD4D61">
        <w:rPr>
          <w:rFonts w:ascii="Times New Roman" w:hAnsi="Times New Roman"/>
          <w:b/>
          <w:bCs/>
          <w:u w:val="single"/>
        </w:rPr>
        <w:t>Recommendation</w:t>
      </w:r>
    </w:p>
    <w:p w:rsidR="00454D4F" w:rsidRDefault="00454D4F" w:rsidP="00454D4F">
      <w:pPr>
        <w:rPr>
          <w:rFonts w:ascii="Times New Roman" w:hAnsi="Times New Roman"/>
        </w:rPr>
      </w:pPr>
    </w:p>
    <w:p w:rsidR="00454D4F" w:rsidRDefault="00454D4F" w:rsidP="00454D4F">
      <w:pPr>
        <w:rPr>
          <w:rFonts w:ascii="Times New Roman" w:hAnsi="Times New Roman"/>
        </w:rPr>
      </w:pPr>
      <w:r>
        <w:rPr>
          <w:rFonts w:ascii="Times New Roman" w:hAnsi="Times New Roman"/>
        </w:rPr>
        <w:t xml:space="preserve">Take no action, thereby allowing </w:t>
      </w:r>
      <w:r w:rsidR="00293942">
        <w:rPr>
          <w:rFonts w:ascii="Times New Roman" w:hAnsi="Times New Roman"/>
        </w:rPr>
        <w:t>Avista Corporation</w:t>
      </w:r>
      <w:r>
        <w:rPr>
          <w:rFonts w:ascii="Times New Roman" w:hAnsi="Times New Roman"/>
        </w:rPr>
        <w:t>’s (</w:t>
      </w:r>
      <w:r w:rsidR="00293942">
        <w:rPr>
          <w:rFonts w:ascii="Times New Roman" w:hAnsi="Times New Roman"/>
        </w:rPr>
        <w:t>Avista</w:t>
      </w:r>
      <w:r>
        <w:rPr>
          <w:rFonts w:ascii="Times New Roman" w:hAnsi="Times New Roman"/>
        </w:rPr>
        <w:t xml:space="preserve"> or company) proposed </w:t>
      </w:r>
      <w:r w:rsidR="00293942">
        <w:rPr>
          <w:rFonts w:ascii="Times New Roman" w:hAnsi="Times New Roman"/>
        </w:rPr>
        <w:t>energy efficiency</w:t>
      </w:r>
      <w:r>
        <w:rPr>
          <w:rFonts w:ascii="Times New Roman" w:hAnsi="Times New Roman"/>
        </w:rPr>
        <w:t xml:space="preserve"> tariff</w:t>
      </w:r>
      <w:r w:rsidR="00293942">
        <w:rPr>
          <w:rFonts w:ascii="Times New Roman" w:hAnsi="Times New Roman"/>
        </w:rPr>
        <w:t xml:space="preserve"> rider</w:t>
      </w:r>
      <w:r>
        <w:rPr>
          <w:rFonts w:ascii="Times New Roman" w:hAnsi="Times New Roman"/>
        </w:rPr>
        <w:t xml:space="preserve"> revisions filed in Docket</w:t>
      </w:r>
      <w:r w:rsidR="00293942">
        <w:rPr>
          <w:rFonts w:ascii="Times New Roman" w:hAnsi="Times New Roman"/>
        </w:rPr>
        <w:t>s</w:t>
      </w:r>
      <w:r>
        <w:rPr>
          <w:rFonts w:ascii="Times New Roman" w:hAnsi="Times New Roman"/>
        </w:rPr>
        <w:t xml:space="preserve"> </w:t>
      </w:r>
      <w:r w:rsidR="00293942">
        <w:rPr>
          <w:rFonts w:ascii="Times New Roman" w:hAnsi="Times New Roman"/>
        </w:rPr>
        <w:t>UE-082272 and UG-090052</w:t>
      </w:r>
      <w:r>
        <w:rPr>
          <w:rFonts w:ascii="Times New Roman" w:hAnsi="Times New Roman"/>
        </w:rPr>
        <w:t xml:space="preserve"> to become effective </w:t>
      </w:r>
      <w:r w:rsidR="00293942">
        <w:rPr>
          <w:rFonts w:ascii="Times New Roman" w:hAnsi="Times New Roman"/>
        </w:rPr>
        <w:t>February 1</w:t>
      </w:r>
      <w:r>
        <w:rPr>
          <w:rFonts w:ascii="Times New Roman" w:hAnsi="Times New Roman"/>
        </w:rPr>
        <w:t>, 2009, by operation of law.</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u w:val="single"/>
        </w:rPr>
      </w:pPr>
      <w:r>
        <w:rPr>
          <w:rFonts w:ascii="Times New Roman" w:hAnsi="Times New Roman"/>
          <w:b/>
          <w:u w:val="single"/>
        </w:rPr>
        <w:t>Background</w:t>
      </w:r>
    </w:p>
    <w:p w:rsidR="00454D4F" w:rsidRDefault="00454D4F" w:rsidP="00454D4F">
      <w:pPr>
        <w:rPr>
          <w:rFonts w:ascii="Times New Roman" w:hAnsi="Times New Roman"/>
        </w:rPr>
      </w:pPr>
    </w:p>
    <w:p w:rsidR="00F113E7" w:rsidRDefault="00293942" w:rsidP="00B92B73">
      <w:pPr>
        <w:rPr>
          <w:rFonts w:ascii="Times New Roman" w:hAnsi="Times New Roman"/>
        </w:rPr>
      </w:pPr>
      <w:r>
        <w:rPr>
          <w:rFonts w:ascii="Times New Roman" w:hAnsi="Times New Roman"/>
        </w:rPr>
        <w:t>Avista</w:t>
      </w:r>
      <w:r w:rsidR="00B92B73">
        <w:rPr>
          <w:rFonts w:ascii="Times New Roman" w:hAnsi="Times New Roman"/>
        </w:rPr>
        <w:t xml:space="preserve"> funds its energy efficiency programs through </w:t>
      </w:r>
      <w:r w:rsidR="00FD6C03">
        <w:rPr>
          <w:rFonts w:ascii="Times New Roman" w:hAnsi="Times New Roman"/>
        </w:rPr>
        <w:t>two</w:t>
      </w:r>
      <w:r w:rsidR="00B92B73">
        <w:rPr>
          <w:rFonts w:ascii="Times New Roman" w:hAnsi="Times New Roman"/>
        </w:rPr>
        <w:t xml:space="preserve"> </w:t>
      </w:r>
      <w:r w:rsidR="00FD6C03">
        <w:rPr>
          <w:rFonts w:ascii="Times New Roman" w:hAnsi="Times New Roman"/>
        </w:rPr>
        <w:t>special</w:t>
      </w:r>
      <w:r w:rsidR="00B92B73">
        <w:rPr>
          <w:rFonts w:ascii="Times New Roman" w:hAnsi="Times New Roman"/>
        </w:rPr>
        <w:t xml:space="preserve"> tariff</w:t>
      </w:r>
      <w:r w:rsidR="00FD6C03">
        <w:rPr>
          <w:rFonts w:ascii="Times New Roman" w:hAnsi="Times New Roman"/>
        </w:rPr>
        <w:t xml:space="preserve"> riders</w:t>
      </w:r>
      <w:r w:rsidR="00B92B73">
        <w:rPr>
          <w:rFonts w:ascii="Times New Roman" w:hAnsi="Times New Roman"/>
        </w:rPr>
        <w:t>.</w:t>
      </w:r>
      <w:r w:rsidR="00B92B73">
        <w:rPr>
          <w:rStyle w:val="FootnoteReference"/>
          <w:rFonts w:ascii="Times New Roman" w:hAnsi="Times New Roman"/>
        </w:rPr>
        <w:footnoteReference w:id="2"/>
      </w:r>
      <w:r w:rsidR="00B92B73" w:rsidRPr="00B92B73">
        <w:rPr>
          <w:rFonts w:ascii="Times New Roman" w:hAnsi="Times New Roman"/>
        </w:rPr>
        <w:t xml:space="preserve"> </w:t>
      </w:r>
      <w:r w:rsidR="00B7130A">
        <w:rPr>
          <w:rFonts w:ascii="Times New Roman" w:hAnsi="Times New Roman"/>
        </w:rPr>
        <w:t>As detailed in its filing, t</w:t>
      </w:r>
      <w:r w:rsidR="003A52B1">
        <w:rPr>
          <w:rFonts w:ascii="Times New Roman" w:hAnsi="Times New Roman"/>
        </w:rPr>
        <w:t>he energy efficiency</w:t>
      </w:r>
      <w:r w:rsidR="002774CD">
        <w:rPr>
          <w:rFonts w:ascii="Times New Roman" w:hAnsi="Times New Roman"/>
        </w:rPr>
        <w:t xml:space="preserve"> tariff</w:t>
      </w:r>
      <w:r w:rsidR="003A52B1">
        <w:rPr>
          <w:rFonts w:ascii="Times New Roman" w:hAnsi="Times New Roman"/>
        </w:rPr>
        <w:t xml:space="preserve"> riders support a range of programs, from rebates for the installation of residential high efficiency furnaces to complex site specific industrial energy efficiency improvements. As with other utilities, </w:t>
      </w:r>
      <w:r w:rsidR="00294D3E">
        <w:rPr>
          <w:rFonts w:ascii="Times New Roman" w:hAnsi="Times New Roman"/>
        </w:rPr>
        <w:t>the program</w:t>
      </w:r>
      <w:r w:rsidR="003A52B1">
        <w:rPr>
          <w:rFonts w:ascii="Times New Roman" w:hAnsi="Times New Roman"/>
        </w:rPr>
        <w:t xml:space="preserve"> includes participation in the Northwest Energy Efficiency Alliance, a regional market transformation effort.</w:t>
      </w:r>
    </w:p>
    <w:p w:rsidR="00294D3E" w:rsidRDefault="00294D3E" w:rsidP="00B92B73">
      <w:pPr>
        <w:rPr>
          <w:rFonts w:ascii="Times New Roman" w:hAnsi="Times New Roman"/>
        </w:rPr>
      </w:pPr>
    </w:p>
    <w:p w:rsidR="00294D3E" w:rsidRDefault="00294D3E" w:rsidP="00B92B73">
      <w:pPr>
        <w:rPr>
          <w:rFonts w:ascii="Times New Roman" w:hAnsi="Times New Roman"/>
        </w:rPr>
      </w:pPr>
      <w:r>
        <w:rPr>
          <w:rFonts w:ascii="Times New Roman" w:hAnsi="Times New Roman"/>
        </w:rPr>
        <w:t xml:space="preserve">Avista’s filing details the programs it offers and its progress toward its energy efficiency targets. </w:t>
      </w:r>
      <w:r w:rsidR="007B1334">
        <w:rPr>
          <w:rFonts w:ascii="Times New Roman" w:hAnsi="Times New Roman"/>
        </w:rPr>
        <w:t>The</w:t>
      </w:r>
      <w:r>
        <w:rPr>
          <w:rFonts w:ascii="Times New Roman" w:hAnsi="Times New Roman"/>
        </w:rPr>
        <w:t xml:space="preserve"> cost effectiveness of </w:t>
      </w:r>
      <w:r w:rsidR="007B1334">
        <w:rPr>
          <w:rFonts w:ascii="Times New Roman" w:hAnsi="Times New Roman"/>
        </w:rPr>
        <w:t>Avista’s</w:t>
      </w:r>
      <w:r>
        <w:rPr>
          <w:rFonts w:ascii="Times New Roman" w:hAnsi="Times New Roman"/>
        </w:rPr>
        <w:t xml:space="preserve"> programs</w:t>
      </w:r>
      <w:r w:rsidR="007B1334">
        <w:rPr>
          <w:rFonts w:ascii="Times New Roman" w:hAnsi="Times New Roman"/>
        </w:rPr>
        <w:t xml:space="preserve"> is reviewed during a general rate case as proposed in the original 1994 filing.</w:t>
      </w:r>
      <w:r>
        <w:rPr>
          <w:rFonts w:ascii="Times New Roman" w:hAnsi="Times New Roman"/>
        </w:rPr>
        <w:t xml:space="preserve"> </w:t>
      </w:r>
      <w:r w:rsidR="007B1334">
        <w:rPr>
          <w:rFonts w:ascii="Times New Roman" w:hAnsi="Times New Roman"/>
        </w:rPr>
        <w:t>T</w:t>
      </w:r>
      <w:r>
        <w:rPr>
          <w:rFonts w:ascii="Times New Roman" w:hAnsi="Times New Roman"/>
        </w:rPr>
        <w:t>he</w:t>
      </w:r>
      <w:r w:rsidR="007B1334">
        <w:rPr>
          <w:rFonts w:ascii="Times New Roman" w:hAnsi="Times New Roman"/>
        </w:rPr>
        <w:t xml:space="preserve"> parties to the</w:t>
      </w:r>
      <w:r>
        <w:rPr>
          <w:rFonts w:ascii="Times New Roman" w:hAnsi="Times New Roman"/>
        </w:rPr>
        <w:t xml:space="preserve"> recently approved settlement in Dockets UE-080416 and UG-080417 stipulated that the </w:t>
      </w:r>
      <w:r w:rsidR="003F4B8E">
        <w:rPr>
          <w:rFonts w:ascii="Times New Roman" w:hAnsi="Times New Roman"/>
        </w:rPr>
        <w:t>demand side management (</w:t>
      </w:r>
      <w:r>
        <w:rPr>
          <w:rFonts w:ascii="Times New Roman" w:hAnsi="Times New Roman"/>
        </w:rPr>
        <w:t>DSM</w:t>
      </w:r>
      <w:r w:rsidR="003F4B8E">
        <w:rPr>
          <w:rFonts w:ascii="Times New Roman" w:hAnsi="Times New Roman"/>
        </w:rPr>
        <w:t>)</w:t>
      </w:r>
      <w:r>
        <w:rPr>
          <w:rFonts w:ascii="Times New Roman" w:hAnsi="Times New Roman"/>
        </w:rPr>
        <w:t xml:space="preserve"> investment in the 2007 test period was prudent.</w:t>
      </w:r>
      <w:r w:rsidR="00D1367E">
        <w:rPr>
          <w:rFonts w:ascii="Times New Roman" w:hAnsi="Times New Roman"/>
        </w:rPr>
        <w:t xml:space="preserve"> </w:t>
      </w:r>
      <w:r w:rsidR="00BE66F1">
        <w:rPr>
          <w:rFonts w:ascii="Times New Roman" w:hAnsi="Times New Roman"/>
        </w:rPr>
        <w:t xml:space="preserve">Staff believes future </w:t>
      </w:r>
      <w:r w:rsidR="00D1367E">
        <w:rPr>
          <w:rFonts w:ascii="Times New Roman" w:hAnsi="Times New Roman"/>
        </w:rPr>
        <w:t>rate cases should include a discussion of the</w:t>
      </w:r>
      <w:r w:rsidR="002774CD">
        <w:rPr>
          <w:rFonts w:ascii="Times New Roman" w:hAnsi="Times New Roman"/>
        </w:rPr>
        <w:t xml:space="preserve"> tariff</w:t>
      </w:r>
      <w:r w:rsidR="00D1367E">
        <w:rPr>
          <w:rFonts w:ascii="Times New Roman" w:hAnsi="Times New Roman"/>
        </w:rPr>
        <w:t xml:space="preserve"> rider balances as well as the cost effectiveness</w:t>
      </w:r>
      <w:r w:rsidR="002774CD">
        <w:rPr>
          <w:rFonts w:ascii="Times New Roman" w:hAnsi="Times New Roman"/>
        </w:rPr>
        <w:t xml:space="preserve"> of the resource</w:t>
      </w:r>
      <w:r w:rsidR="00D1367E">
        <w:rPr>
          <w:rFonts w:ascii="Times New Roman" w:hAnsi="Times New Roman"/>
        </w:rPr>
        <w:t>.</w:t>
      </w:r>
    </w:p>
    <w:p w:rsidR="00BE66F1" w:rsidRDefault="00BE66F1" w:rsidP="00B92B73">
      <w:pPr>
        <w:rPr>
          <w:rFonts w:ascii="Times New Roman" w:hAnsi="Times New Roman"/>
        </w:rPr>
      </w:pPr>
    </w:p>
    <w:p w:rsidR="00BE66F1" w:rsidRDefault="00BE66F1" w:rsidP="00B92B73">
      <w:pPr>
        <w:rPr>
          <w:rFonts w:ascii="Times New Roman" w:hAnsi="Times New Roman"/>
        </w:rPr>
      </w:pPr>
      <w:r>
        <w:rPr>
          <w:rFonts w:ascii="Times New Roman" w:hAnsi="Times New Roman"/>
        </w:rPr>
        <w:t>Avista’s External Energy Efficiency Board (Triple E)</w:t>
      </w:r>
      <w:r>
        <w:rPr>
          <w:rStyle w:val="FootnoteReference"/>
          <w:rFonts w:ascii="Times New Roman" w:hAnsi="Times New Roman"/>
        </w:rPr>
        <w:footnoteReference w:id="3"/>
      </w:r>
      <w:r>
        <w:rPr>
          <w:rFonts w:ascii="Times New Roman" w:hAnsi="Times New Roman"/>
        </w:rPr>
        <w:t xml:space="preserve"> reviews the company’s program results and future plans. Staff is a member of the Triple</w:t>
      </w:r>
      <w:r w:rsidR="001E2AC9">
        <w:rPr>
          <w:rFonts w:ascii="Times New Roman" w:hAnsi="Times New Roman"/>
        </w:rPr>
        <w:t xml:space="preserve"> E</w:t>
      </w:r>
      <w:r>
        <w:rPr>
          <w:rFonts w:ascii="Times New Roman" w:hAnsi="Times New Roman"/>
        </w:rPr>
        <w:t xml:space="preserve"> Board and attends twice-yearly meetings and provides comments on the DSM business plan.</w:t>
      </w:r>
    </w:p>
    <w:p w:rsidR="006C4ED5" w:rsidRDefault="006C4ED5" w:rsidP="00454D4F">
      <w:pPr>
        <w:outlineLvl w:val="0"/>
        <w:rPr>
          <w:rFonts w:ascii="Times New Roman" w:hAnsi="Times New Roman"/>
        </w:rPr>
      </w:pPr>
    </w:p>
    <w:p w:rsidR="00454D4F" w:rsidRDefault="00454D4F" w:rsidP="00454D4F">
      <w:pPr>
        <w:outlineLvl w:val="0"/>
        <w:rPr>
          <w:rFonts w:ascii="Times New Roman" w:hAnsi="Times New Roman"/>
          <w:b/>
          <w:u w:val="single"/>
        </w:rPr>
      </w:pPr>
      <w:r>
        <w:rPr>
          <w:rFonts w:ascii="Times New Roman" w:hAnsi="Times New Roman"/>
          <w:b/>
          <w:u w:val="single"/>
        </w:rPr>
        <w:t>Discussion</w:t>
      </w:r>
    </w:p>
    <w:p w:rsidR="00454D4F" w:rsidRPr="008D02FA" w:rsidRDefault="00454D4F" w:rsidP="00454D4F">
      <w:pPr>
        <w:outlineLvl w:val="0"/>
        <w:rPr>
          <w:rFonts w:ascii="Times New Roman" w:hAnsi="Times New Roman"/>
          <w:b/>
          <w:u w:val="single"/>
        </w:rPr>
      </w:pPr>
    </w:p>
    <w:p w:rsidR="003074F6" w:rsidRDefault="00454D4F" w:rsidP="00454D4F">
      <w:pPr>
        <w:outlineLvl w:val="0"/>
        <w:rPr>
          <w:rFonts w:ascii="Times New Roman" w:hAnsi="Times New Roman"/>
        </w:rPr>
      </w:pPr>
      <w:r>
        <w:rPr>
          <w:rFonts w:ascii="Times New Roman" w:hAnsi="Times New Roman"/>
        </w:rPr>
        <w:t xml:space="preserve">On </w:t>
      </w:r>
      <w:r w:rsidR="00293942">
        <w:rPr>
          <w:rFonts w:ascii="Times New Roman" w:hAnsi="Times New Roman"/>
        </w:rPr>
        <w:t>December 31</w:t>
      </w:r>
      <w:r>
        <w:rPr>
          <w:rFonts w:ascii="Times New Roman" w:hAnsi="Times New Roman"/>
        </w:rPr>
        <w:t xml:space="preserve">, 2008, </w:t>
      </w:r>
      <w:r w:rsidR="00293942">
        <w:rPr>
          <w:rFonts w:ascii="Times New Roman" w:hAnsi="Times New Roman"/>
        </w:rPr>
        <w:t>Avista</w:t>
      </w:r>
      <w:r>
        <w:rPr>
          <w:rFonts w:ascii="Times New Roman" w:hAnsi="Times New Roman"/>
        </w:rPr>
        <w:t xml:space="preserve"> filed tariff sheets </w:t>
      </w:r>
      <w:r w:rsidR="002F3F34">
        <w:rPr>
          <w:rFonts w:ascii="Times New Roman" w:hAnsi="Times New Roman"/>
        </w:rPr>
        <w:t>increasing the amount collected under its energy efficiency tariff riders</w:t>
      </w:r>
      <w:r w:rsidR="00F113E7">
        <w:rPr>
          <w:rFonts w:ascii="Times New Roman" w:hAnsi="Times New Roman"/>
        </w:rPr>
        <w:t>. The company later requested the tariff sheets</w:t>
      </w:r>
      <w:r w:rsidR="005044D6">
        <w:rPr>
          <w:rFonts w:ascii="Times New Roman" w:hAnsi="Times New Roman"/>
        </w:rPr>
        <w:t xml:space="preserve"> become</w:t>
      </w:r>
      <w:r>
        <w:rPr>
          <w:rFonts w:ascii="Times New Roman" w:hAnsi="Times New Roman"/>
        </w:rPr>
        <w:t xml:space="preserve"> effective </w:t>
      </w:r>
      <w:r w:rsidR="00293942">
        <w:rPr>
          <w:rFonts w:ascii="Times New Roman" w:hAnsi="Times New Roman"/>
        </w:rPr>
        <w:t>February 1</w:t>
      </w:r>
      <w:r>
        <w:rPr>
          <w:rFonts w:ascii="Times New Roman" w:hAnsi="Times New Roman"/>
        </w:rPr>
        <w:t xml:space="preserve">, 2009. </w:t>
      </w:r>
      <w:r w:rsidR="00D1367E">
        <w:rPr>
          <w:rFonts w:ascii="Times New Roman" w:hAnsi="Times New Roman"/>
        </w:rPr>
        <w:t xml:space="preserve">The increased collection is intended to </w:t>
      </w:r>
      <w:r w:rsidR="002774CD">
        <w:rPr>
          <w:rFonts w:ascii="Times New Roman" w:hAnsi="Times New Roman"/>
        </w:rPr>
        <w:t xml:space="preserve">eliminate, over two years, negative </w:t>
      </w:r>
      <w:r w:rsidR="009B1A58">
        <w:rPr>
          <w:rFonts w:ascii="Times New Roman" w:hAnsi="Times New Roman"/>
        </w:rPr>
        <w:t xml:space="preserve">tariff rider balances and cover an increase in the annual budget for energy efficiency services. </w:t>
      </w:r>
      <w:r w:rsidR="002774CD">
        <w:rPr>
          <w:rFonts w:ascii="Times New Roman" w:hAnsi="Times New Roman"/>
        </w:rPr>
        <w:t>The proposed budget was submitted to Avista’s Triple E Board for comments in October, 2008.</w:t>
      </w:r>
      <w:r w:rsidR="009B1A58">
        <w:rPr>
          <w:rFonts w:ascii="Times New Roman" w:hAnsi="Times New Roman"/>
        </w:rPr>
        <w:t xml:space="preserve"> </w:t>
      </w:r>
    </w:p>
    <w:p w:rsidR="003074F6" w:rsidRDefault="003074F6" w:rsidP="00454D4F">
      <w:pPr>
        <w:outlineLvl w:val="0"/>
        <w:rPr>
          <w:rFonts w:ascii="Times New Roman" w:hAnsi="Times New Roman"/>
        </w:rPr>
      </w:pPr>
    </w:p>
    <w:p w:rsidR="003074F6" w:rsidRPr="003074F6" w:rsidRDefault="003074F6" w:rsidP="003074F6">
      <w:pPr>
        <w:outlineLvl w:val="0"/>
        <w:rPr>
          <w:rFonts w:ascii="Times New Roman" w:hAnsi="Times New Roman"/>
        </w:rPr>
      </w:pPr>
      <w:r>
        <w:rPr>
          <w:rFonts w:ascii="Times New Roman" w:hAnsi="Times New Roman"/>
        </w:rPr>
        <w:lastRenderedPageBreak/>
        <w:t xml:space="preserve">In its review of the filings, Staff was concerned about the size of the negative tariff rider balances, and the length of time over which the company had been collecting the budget over-runs. </w:t>
      </w:r>
      <w:r w:rsidR="001444C7">
        <w:rPr>
          <w:rFonts w:ascii="Times New Roman" w:hAnsi="Times New Roman"/>
        </w:rPr>
        <w:t>As a result</w:t>
      </w:r>
      <w:r w:rsidR="003F4B8E">
        <w:rPr>
          <w:rFonts w:ascii="Times New Roman" w:hAnsi="Times New Roman"/>
        </w:rPr>
        <w:t>,</w:t>
      </w:r>
      <w:r w:rsidR="001444C7">
        <w:rPr>
          <w:rFonts w:ascii="Times New Roman" w:hAnsi="Times New Roman"/>
        </w:rPr>
        <w:t xml:space="preserve"> </w:t>
      </w:r>
      <w:r>
        <w:rPr>
          <w:rFonts w:ascii="Times New Roman" w:hAnsi="Times New Roman"/>
        </w:rPr>
        <w:t>Staff revisited the previous rate case finding regarding</w:t>
      </w:r>
      <w:r w:rsidRPr="003074F6">
        <w:rPr>
          <w:rFonts w:ascii="Times New Roman" w:hAnsi="Times New Roman"/>
        </w:rPr>
        <w:t xml:space="preserve"> whether energy efficiency dollars</w:t>
      </w:r>
      <w:r w:rsidR="001444C7">
        <w:rPr>
          <w:rFonts w:ascii="Times New Roman" w:hAnsi="Times New Roman"/>
        </w:rPr>
        <w:t xml:space="preserve"> from 2007</w:t>
      </w:r>
      <w:r w:rsidRPr="003074F6">
        <w:rPr>
          <w:rFonts w:ascii="Times New Roman" w:hAnsi="Times New Roman"/>
        </w:rPr>
        <w:t xml:space="preserve"> </w:t>
      </w:r>
      <w:r>
        <w:rPr>
          <w:rFonts w:ascii="Times New Roman" w:hAnsi="Times New Roman"/>
        </w:rPr>
        <w:t>had</w:t>
      </w:r>
      <w:r w:rsidRPr="003074F6">
        <w:rPr>
          <w:rFonts w:ascii="Times New Roman" w:hAnsi="Times New Roman"/>
        </w:rPr>
        <w:t xml:space="preserve"> been spent wisely. </w:t>
      </w:r>
      <w:r>
        <w:rPr>
          <w:rFonts w:ascii="Times New Roman" w:hAnsi="Times New Roman"/>
        </w:rPr>
        <w:t>Staff</w:t>
      </w:r>
      <w:r w:rsidRPr="003074F6">
        <w:rPr>
          <w:rFonts w:ascii="Times New Roman" w:hAnsi="Times New Roman"/>
        </w:rPr>
        <w:t xml:space="preserve"> asked three overarching questions. First, </w:t>
      </w:r>
      <w:r w:rsidR="003F4B8E">
        <w:rPr>
          <w:rFonts w:ascii="Times New Roman" w:hAnsi="Times New Roman"/>
        </w:rPr>
        <w:t>staff considered whether</w:t>
      </w:r>
      <w:r w:rsidR="00280A1B">
        <w:rPr>
          <w:rFonts w:ascii="Times New Roman" w:hAnsi="Times New Roman"/>
        </w:rPr>
        <w:t xml:space="preserve"> </w:t>
      </w:r>
      <w:r w:rsidRPr="003074F6">
        <w:rPr>
          <w:rFonts w:ascii="Times New Roman" w:hAnsi="Times New Roman"/>
        </w:rPr>
        <w:t xml:space="preserve">the cost of the program per </w:t>
      </w:r>
      <w:r w:rsidR="003F4B8E">
        <w:rPr>
          <w:rFonts w:ascii="Times New Roman" w:hAnsi="Times New Roman"/>
        </w:rPr>
        <w:t>kilowatt hour (</w:t>
      </w:r>
      <w:r w:rsidR="00477592">
        <w:rPr>
          <w:rFonts w:ascii="Times New Roman" w:hAnsi="Times New Roman"/>
        </w:rPr>
        <w:t>k</w:t>
      </w:r>
      <w:r w:rsidRPr="003074F6">
        <w:rPr>
          <w:rFonts w:ascii="Times New Roman" w:hAnsi="Times New Roman"/>
        </w:rPr>
        <w:t>Wh</w:t>
      </w:r>
      <w:r w:rsidR="003F4B8E">
        <w:rPr>
          <w:rFonts w:ascii="Times New Roman" w:hAnsi="Times New Roman"/>
        </w:rPr>
        <w:t>)</w:t>
      </w:r>
      <w:r w:rsidR="001444C7">
        <w:rPr>
          <w:rFonts w:ascii="Times New Roman" w:hAnsi="Times New Roman"/>
        </w:rPr>
        <w:t xml:space="preserve"> or therm</w:t>
      </w:r>
      <w:r w:rsidRPr="003074F6">
        <w:rPr>
          <w:rFonts w:ascii="Times New Roman" w:hAnsi="Times New Roman"/>
        </w:rPr>
        <w:t xml:space="preserve"> saved less than the cost of adding new generation</w:t>
      </w:r>
      <w:r w:rsidR="003F4B8E">
        <w:rPr>
          <w:rFonts w:ascii="Times New Roman" w:hAnsi="Times New Roman"/>
        </w:rPr>
        <w:t>.</w:t>
      </w:r>
      <w:r w:rsidRPr="003074F6">
        <w:rPr>
          <w:rFonts w:ascii="Times New Roman" w:hAnsi="Times New Roman"/>
        </w:rPr>
        <w:t xml:space="preserve"> The </w:t>
      </w:r>
      <w:r w:rsidR="001444C7">
        <w:rPr>
          <w:rFonts w:ascii="Times New Roman" w:hAnsi="Times New Roman"/>
        </w:rPr>
        <w:t xml:space="preserve">company’s business plan </w:t>
      </w:r>
      <w:r w:rsidRPr="003074F6">
        <w:rPr>
          <w:rFonts w:ascii="Times New Roman" w:hAnsi="Times New Roman"/>
        </w:rPr>
        <w:t xml:space="preserve">provided support for the total energy efficiency resource cost, and </w:t>
      </w:r>
      <w:r w:rsidR="003F4B8E">
        <w:rPr>
          <w:rFonts w:ascii="Times New Roman" w:hAnsi="Times New Roman"/>
        </w:rPr>
        <w:t xml:space="preserve">Staff compared this cost to </w:t>
      </w:r>
      <w:r w:rsidRPr="003074F6">
        <w:rPr>
          <w:rFonts w:ascii="Times New Roman" w:hAnsi="Times New Roman"/>
        </w:rPr>
        <w:t xml:space="preserve">the avoided cost based on the </w:t>
      </w:r>
      <w:r w:rsidR="00921423">
        <w:rPr>
          <w:rFonts w:ascii="Times New Roman" w:hAnsi="Times New Roman"/>
        </w:rPr>
        <w:t>integrated resource plan (</w:t>
      </w:r>
      <w:r w:rsidRPr="003074F6">
        <w:rPr>
          <w:rFonts w:ascii="Times New Roman" w:hAnsi="Times New Roman"/>
        </w:rPr>
        <w:t>IRP</w:t>
      </w:r>
      <w:r w:rsidR="00921423">
        <w:rPr>
          <w:rFonts w:ascii="Times New Roman" w:hAnsi="Times New Roman"/>
        </w:rPr>
        <w:t>)</w:t>
      </w:r>
      <w:r w:rsidRPr="003074F6">
        <w:rPr>
          <w:rFonts w:ascii="Times New Roman" w:hAnsi="Times New Roman"/>
        </w:rPr>
        <w:t xml:space="preserve">. The price per </w:t>
      </w:r>
      <w:r w:rsidR="003F4B8E">
        <w:rPr>
          <w:rFonts w:ascii="Times New Roman" w:hAnsi="Times New Roman"/>
        </w:rPr>
        <w:t>megawatt hour (</w:t>
      </w:r>
      <w:r w:rsidRPr="003074F6">
        <w:rPr>
          <w:rFonts w:ascii="Times New Roman" w:hAnsi="Times New Roman"/>
        </w:rPr>
        <w:t>MWh</w:t>
      </w:r>
      <w:r w:rsidR="003F4B8E">
        <w:rPr>
          <w:rFonts w:ascii="Times New Roman" w:hAnsi="Times New Roman"/>
        </w:rPr>
        <w:t>)</w:t>
      </w:r>
      <w:r w:rsidRPr="003074F6">
        <w:rPr>
          <w:rFonts w:ascii="Times New Roman" w:hAnsi="Times New Roman"/>
        </w:rPr>
        <w:t xml:space="preserve"> of energy efficiency</w:t>
      </w:r>
      <w:r w:rsidR="001444C7">
        <w:rPr>
          <w:rFonts w:ascii="Times New Roman" w:hAnsi="Times New Roman"/>
        </w:rPr>
        <w:t xml:space="preserve"> was</w:t>
      </w:r>
      <w:r w:rsidRPr="003074F6">
        <w:rPr>
          <w:rFonts w:ascii="Times New Roman" w:hAnsi="Times New Roman"/>
        </w:rPr>
        <w:t xml:space="preserve"> $4</w:t>
      </w:r>
      <w:r w:rsidR="00C2551B">
        <w:rPr>
          <w:rFonts w:ascii="Times New Roman" w:hAnsi="Times New Roman"/>
        </w:rPr>
        <w:t>0</w:t>
      </w:r>
      <w:r w:rsidRPr="003074F6">
        <w:rPr>
          <w:rFonts w:ascii="Times New Roman" w:hAnsi="Times New Roman"/>
        </w:rPr>
        <w:t>, while the avoided cost</w:t>
      </w:r>
      <w:r w:rsidR="00C2551B">
        <w:rPr>
          <w:rFonts w:ascii="Times New Roman" w:hAnsi="Times New Roman"/>
        </w:rPr>
        <w:t xml:space="preserve"> of additional generation</w:t>
      </w:r>
      <w:r w:rsidRPr="003074F6">
        <w:rPr>
          <w:rFonts w:ascii="Times New Roman" w:hAnsi="Times New Roman"/>
        </w:rPr>
        <w:t xml:space="preserve"> </w:t>
      </w:r>
      <w:r w:rsidR="001444C7">
        <w:rPr>
          <w:rFonts w:ascii="Times New Roman" w:hAnsi="Times New Roman"/>
        </w:rPr>
        <w:t>was $66</w:t>
      </w:r>
      <w:r w:rsidRPr="003074F6">
        <w:rPr>
          <w:rFonts w:ascii="Times New Roman" w:hAnsi="Times New Roman"/>
        </w:rPr>
        <w:t xml:space="preserve">. </w:t>
      </w:r>
    </w:p>
    <w:p w:rsidR="003074F6" w:rsidRPr="003074F6" w:rsidRDefault="003074F6" w:rsidP="003074F6">
      <w:pPr>
        <w:outlineLvl w:val="0"/>
        <w:rPr>
          <w:rFonts w:ascii="Times New Roman" w:hAnsi="Times New Roman"/>
        </w:rPr>
      </w:pPr>
    </w:p>
    <w:p w:rsidR="003074F6" w:rsidRPr="003074F6" w:rsidRDefault="003074F6" w:rsidP="003074F6">
      <w:pPr>
        <w:outlineLvl w:val="0"/>
        <w:rPr>
          <w:rFonts w:ascii="Times New Roman" w:hAnsi="Times New Roman"/>
        </w:rPr>
      </w:pPr>
      <w:r w:rsidRPr="003074F6">
        <w:rPr>
          <w:rFonts w:ascii="Times New Roman" w:hAnsi="Times New Roman"/>
        </w:rPr>
        <w:t xml:space="preserve">Second, </w:t>
      </w:r>
      <w:r w:rsidR="003F4B8E">
        <w:rPr>
          <w:rFonts w:ascii="Times New Roman" w:hAnsi="Times New Roman"/>
        </w:rPr>
        <w:t xml:space="preserve">staff looked at whether </w:t>
      </w:r>
      <w:r w:rsidRPr="003074F6">
        <w:rPr>
          <w:rFonts w:ascii="Times New Roman" w:hAnsi="Times New Roman"/>
        </w:rPr>
        <w:t xml:space="preserve">the individual energy efficiency programs </w:t>
      </w:r>
      <w:r w:rsidR="00280A1B">
        <w:rPr>
          <w:rFonts w:ascii="Times New Roman" w:hAnsi="Times New Roman"/>
        </w:rPr>
        <w:t>had</w:t>
      </w:r>
      <w:r w:rsidR="00280A1B" w:rsidRPr="003074F6">
        <w:rPr>
          <w:rFonts w:ascii="Times New Roman" w:hAnsi="Times New Roman"/>
        </w:rPr>
        <w:t xml:space="preserve"> </w:t>
      </w:r>
      <w:r w:rsidRPr="003074F6">
        <w:rPr>
          <w:rFonts w:ascii="Times New Roman" w:hAnsi="Times New Roman"/>
        </w:rPr>
        <w:t>reasonable energy savings</w:t>
      </w:r>
      <w:r w:rsidR="003F4B8E">
        <w:rPr>
          <w:rFonts w:ascii="Times New Roman" w:hAnsi="Times New Roman"/>
        </w:rPr>
        <w:t>.</w:t>
      </w:r>
      <w:r w:rsidR="00850CD9">
        <w:rPr>
          <w:rFonts w:ascii="Times New Roman" w:hAnsi="Times New Roman"/>
        </w:rPr>
        <w:t xml:space="preserve"> </w:t>
      </w:r>
      <w:r w:rsidRPr="003074F6">
        <w:rPr>
          <w:rFonts w:ascii="Times New Roman" w:hAnsi="Times New Roman"/>
        </w:rPr>
        <w:t>The company used deemed savings as determined by the Regional Technical Forum.</w:t>
      </w:r>
      <w:r w:rsidR="00280A1B">
        <w:rPr>
          <w:rStyle w:val="FootnoteReference"/>
          <w:rFonts w:ascii="Times New Roman" w:hAnsi="Times New Roman"/>
        </w:rPr>
        <w:footnoteReference w:id="4"/>
      </w:r>
      <w:r w:rsidRPr="003074F6">
        <w:rPr>
          <w:rFonts w:ascii="Times New Roman" w:hAnsi="Times New Roman"/>
        </w:rPr>
        <w:t xml:space="preserve"> Deemed savings start out as technically feasible savings, and are reduced to an achievable number by various assumptions. </w:t>
      </w:r>
      <w:r w:rsidR="00C2551B">
        <w:rPr>
          <w:rFonts w:ascii="Times New Roman" w:hAnsi="Times New Roman"/>
        </w:rPr>
        <w:t>Staff</w:t>
      </w:r>
      <w:r w:rsidRPr="003074F6">
        <w:rPr>
          <w:rFonts w:ascii="Times New Roman" w:hAnsi="Times New Roman"/>
        </w:rPr>
        <w:t xml:space="preserve"> also asked for an explanation of </w:t>
      </w:r>
      <w:r w:rsidR="00C2551B">
        <w:rPr>
          <w:rFonts w:ascii="Times New Roman" w:hAnsi="Times New Roman"/>
        </w:rPr>
        <w:t>Avista’s</w:t>
      </w:r>
      <w:r w:rsidRPr="003074F6">
        <w:rPr>
          <w:rFonts w:ascii="Times New Roman" w:hAnsi="Times New Roman"/>
        </w:rPr>
        <w:t xml:space="preserve"> process for refining those savings where it had better data, and was satisfied that </w:t>
      </w:r>
      <w:r w:rsidR="00C2551B">
        <w:rPr>
          <w:rFonts w:ascii="Times New Roman" w:hAnsi="Times New Roman"/>
        </w:rPr>
        <w:t>Avista</w:t>
      </w:r>
      <w:r w:rsidRPr="003074F6">
        <w:rPr>
          <w:rFonts w:ascii="Times New Roman" w:hAnsi="Times New Roman"/>
        </w:rPr>
        <w:t xml:space="preserve"> was conservative when it adjusted savings. </w:t>
      </w:r>
    </w:p>
    <w:p w:rsidR="003074F6" w:rsidRPr="003074F6" w:rsidRDefault="003074F6" w:rsidP="003074F6">
      <w:pPr>
        <w:outlineLvl w:val="0"/>
        <w:rPr>
          <w:rFonts w:ascii="Times New Roman" w:hAnsi="Times New Roman"/>
        </w:rPr>
      </w:pPr>
    </w:p>
    <w:p w:rsidR="003074F6" w:rsidRPr="003074F6" w:rsidRDefault="00C2551B" w:rsidP="003074F6">
      <w:pPr>
        <w:outlineLvl w:val="0"/>
        <w:rPr>
          <w:rFonts w:ascii="Times New Roman" w:hAnsi="Times New Roman"/>
        </w:rPr>
      </w:pPr>
      <w:r>
        <w:rPr>
          <w:rFonts w:ascii="Times New Roman" w:hAnsi="Times New Roman"/>
        </w:rPr>
        <w:t>Third,</w:t>
      </w:r>
      <w:r w:rsidR="003F4B8E">
        <w:rPr>
          <w:rFonts w:ascii="Times New Roman" w:hAnsi="Times New Roman"/>
        </w:rPr>
        <w:t xml:space="preserve"> staff reviewed</w:t>
      </w:r>
      <w:r w:rsidR="003074F6" w:rsidRPr="003074F6">
        <w:rPr>
          <w:rFonts w:ascii="Times New Roman" w:hAnsi="Times New Roman"/>
        </w:rPr>
        <w:t xml:space="preserve"> how much of the energy efficiency money collected by tariff flow</w:t>
      </w:r>
      <w:r w:rsidR="003F4B8E">
        <w:rPr>
          <w:rFonts w:ascii="Times New Roman" w:hAnsi="Times New Roman"/>
        </w:rPr>
        <w:t>s</w:t>
      </w:r>
      <w:r w:rsidR="003074F6" w:rsidRPr="003074F6">
        <w:rPr>
          <w:rFonts w:ascii="Times New Roman" w:hAnsi="Times New Roman"/>
        </w:rPr>
        <w:t xml:space="preserve"> through to consumers</w:t>
      </w:r>
      <w:r w:rsidR="003F4B8E">
        <w:rPr>
          <w:rFonts w:ascii="Times New Roman" w:hAnsi="Times New Roman"/>
        </w:rPr>
        <w:t>.</w:t>
      </w:r>
      <w:r w:rsidR="003074F6" w:rsidRPr="003074F6">
        <w:rPr>
          <w:rFonts w:ascii="Times New Roman" w:hAnsi="Times New Roman"/>
        </w:rPr>
        <w:t xml:space="preserve"> </w:t>
      </w:r>
      <w:r>
        <w:rPr>
          <w:rFonts w:ascii="Times New Roman" w:hAnsi="Times New Roman"/>
        </w:rPr>
        <w:t>The company routinely reports this value in its Triple E reports. In 2007, 72</w:t>
      </w:r>
      <w:r w:rsidR="003F4B8E">
        <w:rPr>
          <w:rFonts w:ascii="Times New Roman" w:hAnsi="Times New Roman"/>
        </w:rPr>
        <w:t xml:space="preserve"> percent</w:t>
      </w:r>
      <w:r>
        <w:rPr>
          <w:rFonts w:ascii="Times New Roman" w:hAnsi="Times New Roman"/>
        </w:rPr>
        <w:t xml:space="preserve"> of expenditures were returned to ratepayers through incentives</w:t>
      </w:r>
      <w:r w:rsidR="003074F6" w:rsidRPr="003074F6">
        <w:rPr>
          <w:rFonts w:ascii="Times New Roman" w:hAnsi="Times New Roman"/>
        </w:rPr>
        <w:t>.</w:t>
      </w:r>
      <w:r>
        <w:rPr>
          <w:rFonts w:ascii="Times New Roman" w:hAnsi="Times New Roman"/>
        </w:rPr>
        <w:t xml:space="preserve"> In the 2009 budget used to develop the rates in this filing, the company is aiming for 79</w:t>
      </w:r>
      <w:r w:rsidR="00237578">
        <w:rPr>
          <w:rFonts w:ascii="Times New Roman" w:hAnsi="Times New Roman"/>
        </w:rPr>
        <w:t xml:space="preserve"> percent</w:t>
      </w:r>
      <w:r>
        <w:rPr>
          <w:rFonts w:ascii="Times New Roman" w:hAnsi="Times New Roman"/>
        </w:rPr>
        <w:t xml:space="preserve"> of expenditures to flow through to customers.</w:t>
      </w:r>
    </w:p>
    <w:p w:rsidR="003074F6" w:rsidRDefault="003074F6" w:rsidP="00454D4F">
      <w:pPr>
        <w:outlineLvl w:val="0"/>
        <w:rPr>
          <w:rFonts w:ascii="Times New Roman" w:hAnsi="Times New Roman"/>
        </w:rPr>
      </w:pPr>
    </w:p>
    <w:p w:rsidR="00280A1B" w:rsidRDefault="00C2551B" w:rsidP="00454D4F">
      <w:pPr>
        <w:outlineLvl w:val="0"/>
        <w:rPr>
          <w:rFonts w:ascii="Times New Roman" w:hAnsi="Times New Roman"/>
        </w:rPr>
      </w:pPr>
      <w:r>
        <w:rPr>
          <w:rFonts w:ascii="Times New Roman" w:hAnsi="Times New Roman"/>
        </w:rPr>
        <w:t xml:space="preserve">In addition to these questions, staff reviewed the results of the </w:t>
      </w:r>
      <w:r w:rsidR="00C07823">
        <w:rPr>
          <w:rFonts w:ascii="Times New Roman" w:hAnsi="Times New Roman"/>
        </w:rPr>
        <w:t xml:space="preserve">Total Resource Cost and Utility Cost tests, and found that the benefits of the acquired energy efficiency outweighed the costs by 2.24 for the electric portfolio and 1.06 for the natural gas portfolio. </w:t>
      </w:r>
      <w:r>
        <w:rPr>
          <w:rFonts w:ascii="Times New Roman" w:hAnsi="Times New Roman"/>
        </w:rPr>
        <w:t xml:space="preserve">Overall, even though the company has exceeded its budget in three of the last </w:t>
      </w:r>
      <w:r w:rsidR="00C07823">
        <w:rPr>
          <w:rFonts w:ascii="Times New Roman" w:hAnsi="Times New Roman"/>
        </w:rPr>
        <w:t>six</w:t>
      </w:r>
      <w:r>
        <w:rPr>
          <w:rFonts w:ascii="Times New Roman" w:hAnsi="Times New Roman"/>
        </w:rPr>
        <w:t xml:space="preserve"> years, staff is satisfied that the additional expenditures </w:t>
      </w:r>
      <w:r w:rsidR="00C07823">
        <w:rPr>
          <w:rFonts w:ascii="Times New Roman" w:hAnsi="Times New Roman"/>
        </w:rPr>
        <w:t>should be recovered</w:t>
      </w:r>
      <w:r>
        <w:rPr>
          <w:rFonts w:ascii="Times New Roman" w:hAnsi="Times New Roman"/>
        </w:rPr>
        <w:t>.</w:t>
      </w:r>
      <w:r w:rsidR="00C07823">
        <w:rPr>
          <w:rFonts w:ascii="Times New Roman" w:hAnsi="Times New Roman"/>
        </w:rPr>
        <w:t xml:space="preserve"> </w:t>
      </w:r>
    </w:p>
    <w:p w:rsidR="00280A1B" w:rsidRDefault="00280A1B" w:rsidP="00454D4F">
      <w:pPr>
        <w:outlineLvl w:val="0"/>
        <w:rPr>
          <w:rFonts w:ascii="Times New Roman" w:hAnsi="Times New Roman"/>
        </w:rPr>
      </w:pPr>
    </w:p>
    <w:p w:rsidR="002774CD" w:rsidRDefault="00C07823" w:rsidP="00454D4F">
      <w:pPr>
        <w:outlineLvl w:val="0"/>
        <w:rPr>
          <w:rFonts w:ascii="Times New Roman" w:hAnsi="Times New Roman"/>
        </w:rPr>
      </w:pPr>
      <w:r>
        <w:rPr>
          <w:rFonts w:ascii="Times New Roman" w:hAnsi="Times New Roman"/>
        </w:rPr>
        <w:t>To reduce the likelihood of a similar situation recurring, Staff, Public Counsel, and the company consulted and the company has revised its filing to include a required annual filing going forward and additional reporting.</w:t>
      </w:r>
      <w:r w:rsidR="00E04931">
        <w:rPr>
          <w:rFonts w:ascii="Times New Roman" w:hAnsi="Times New Roman"/>
        </w:rPr>
        <w:t xml:space="preserve"> </w:t>
      </w:r>
      <w:r w:rsidR="00073F3D">
        <w:rPr>
          <w:rFonts w:ascii="Times New Roman" w:hAnsi="Times New Roman"/>
        </w:rPr>
        <w:t>The “Attachment to Avista’s January 22, 2009 ‘Revised’ Application in Docket Nos. UE-082272 and UG-090052” is</w:t>
      </w:r>
      <w:r w:rsidR="00237578">
        <w:rPr>
          <w:rFonts w:ascii="Times New Roman" w:hAnsi="Times New Roman"/>
        </w:rPr>
        <w:t xml:space="preserve"> i</w:t>
      </w:r>
      <w:r w:rsidR="005935C2" w:rsidRPr="005935C2">
        <w:rPr>
          <w:rFonts w:ascii="Times New Roman" w:hAnsi="Times New Roman"/>
        </w:rPr>
        <w:t xml:space="preserve">ncluded </w:t>
      </w:r>
      <w:r w:rsidR="00073F3D">
        <w:rPr>
          <w:rFonts w:ascii="Times New Roman" w:hAnsi="Times New Roman"/>
        </w:rPr>
        <w:t>with</w:t>
      </w:r>
      <w:r w:rsidR="00237578">
        <w:rPr>
          <w:rFonts w:ascii="Times New Roman" w:hAnsi="Times New Roman"/>
        </w:rPr>
        <w:t xml:space="preserve"> this memorandum</w:t>
      </w:r>
      <w:r w:rsidR="005935C2" w:rsidRPr="005935C2">
        <w:rPr>
          <w:rFonts w:ascii="Times New Roman" w:hAnsi="Times New Roman"/>
        </w:rPr>
        <w:t>.</w:t>
      </w:r>
      <w:r>
        <w:rPr>
          <w:rFonts w:ascii="Times New Roman" w:hAnsi="Times New Roman"/>
        </w:rPr>
        <w:t xml:space="preserve"> Staff will be closely monitoring the results of the </w:t>
      </w:r>
      <w:r w:rsidR="00073F3D">
        <w:rPr>
          <w:rFonts w:ascii="Times New Roman" w:hAnsi="Times New Roman"/>
        </w:rPr>
        <w:t>revised application</w:t>
      </w:r>
      <w:r>
        <w:rPr>
          <w:rFonts w:ascii="Times New Roman" w:hAnsi="Times New Roman"/>
        </w:rPr>
        <w:t>. In light of these changes to the filing, staff believes the filing should be allowed to go into effect.</w:t>
      </w:r>
      <w:r w:rsidR="00C2551B">
        <w:rPr>
          <w:rFonts w:ascii="Times New Roman" w:hAnsi="Times New Roman"/>
        </w:rPr>
        <w:t xml:space="preserve"> </w:t>
      </w:r>
      <w:r w:rsidR="009B1A58">
        <w:rPr>
          <w:rFonts w:ascii="Times New Roman" w:hAnsi="Times New Roman"/>
        </w:rPr>
        <w:t>The individual changes</w:t>
      </w:r>
      <w:r>
        <w:rPr>
          <w:rFonts w:ascii="Times New Roman" w:hAnsi="Times New Roman"/>
        </w:rPr>
        <w:t xml:space="preserve"> from</w:t>
      </w:r>
      <w:r w:rsidR="009B1A58">
        <w:rPr>
          <w:rFonts w:ascii="Times New Roman" w:hAnsi="Times New Roman"/>
        </w:rPr>
        <w:t xml:space="preserve"> the tariff rider</w:t>
      </w:r>
      <w:r>
        <w:rPr>
          <w:rFonts w:ascii="Times New Roman" w:hAnsi="Times New Roman"/>
        </w:rPr>
        <w:t xml:space="preserve"> filings</w:t>
      </w:r>
      <w:r w:rsidR="009B1A58">
        <w:rPr>
          <w:rFonts w:ascii="Times New Roman" w:hAnsi="Times New Roman"/>
        </w:rPr>
        <w:t xml:space="preserve"> are detailed below.</w:t>
      </w:r>
    </w:p>
    <w:p w:rsidR="002774CD" w:rsidRDefault="002774CD" w:rsidP="00454D4F">
      <w:pPr>
        <w:outlineLvl w:val="0"/>
        <w:rPr>
          <w:rFonts w:ascii="Times New Roman" w:hAnsi="Times New Roman"/>
        </w:rPr>
      </w:pPr>
    </w:p>
    <w:p w:rsidR="00073F3D" w:rsidRDefault="00073F3D" w:rsidP="00454D4F">
      <w:pPr>
        <w:outlineLvl w:val="0"/>
        <w:rPr>
          <w:rFonts w:ascii="Times New Roman" w:hAnsi="Times New Roman"/>
        </w:rPr>
      </w:pPr>
    </w:p>
    <w:p w:rsidR="00926484" w:rsidRDefault="00926484" w:rsidP="00454D4F">
      <w:pPr>
        <w:outlineLvl w:val="0"/>
        <w:rPr>
          <w:rFonts w:ascii="Times New Roman" w:hAnsi="Times New Roman"/>
        </w:rPr>
      </w:pPr>
    </w:p>
    <w:tbl>
      <w:tblPr>
        <w:tblW w:w="0" w:type="auto"/>
        <w:tblBorders>
          <w:top w:val="single" w:sz="12" w:space="0" w:color="000000"/>
          <w:bottom w:val="single" w:sz="12" w:space="0" w:color="000000"/>
          <w:insideH w:val="single" w:sz="6" w:space="0" w:color="000000"/>
        </w:tblBorders>
        <w:tblLook w:val="04A0"/>
      </w:tblPr>
      <w:tblGrid>
        <w:gridCol w:w="2430"/>
        <w:gridCol w:w="2898"/>
        <w:gridCol w:w="1980"/>
        <w:gridCol w:w="1818"/>
      </w:tblGrid>
      <w:tr w:rsidR="00926484" w:rsidRPr="00351A27" w:rsidTr="009B1A58">
        <w:tc>
          <w:tcPr>
            <w:tcW w:w="2430" w:type="dxa"/>
            <w:tcBorders>
              <w:bottom w:val="single" w:sz="12" w:space="0" w:color="000000"/>
            </w:tcBorders>
            <w:shd w:val="clear" w:color="auto" w:fill="auto"/>
          </w:tcPr>
          <w:p w:rsidR="00926484" w:rsidRPr="00351A27" w:rsidRDefault="00926484" w:rsidP="00926484">
            <w:pPr>
              <w:rPr>
                <w:rFonts w:ascii="Times New Roman" w:hAnsi="Times New Roman"/>
                <w:b/>
                <w:bCs/>
                <w:color w:val="000080"/>
              </w:rPr>
            </w:pPr>
            <w:r>
              <w:rPr>
                <w:rFonts w:ascii="Times New Roman" w:hAnsi="Times New Roman"/>
                <w:b/>
                <w:bCs/>
                <w:color w:val="000080"/>
              </w:rPr>
              <w:lastRenderedPageBreak/>
              <w:t xml:space="preserve">Electric </w:t>
            </w:r>
            <w:r w:rsidRPr="00351A27">
              <w:rPr>
                <w:rFonts w:ascii="Times New Roman" w:hAnsi="Times New Roman"/>
                <w:b/>
                <w:bCs/>
                <w:color w:val="000080"/>
              </w:rPr>
              <w:t>Service</w:t>
            </w:r>
          </w:p>
        </w:tc>
        <w:tc>
          <w:tcPr>
            <w:tcW w:w="2898" w:type="dxa"/>
            <w:tcBorders>
              <w:bottom w:val="single" w:sz="12" w:space="0" w:color="000000"/>
            </w:tcBorders>
            <w:shd w:val="clear" w:color="auto" w:fill="auto"/>
          </w:tcPr>
          <w:p w:rsidR="00926484" w:rsidRPr="00351A27" w:rsidRDefault="00926484" w:rsidP="00926484">
            <w:pPr>
              <w:rPr>
                <w:rFonts w:ascii="Times New Roman" w:hAnsi="Times New Roman"/>
                <w:b/>
                <w:bCs/>
                <w:color w:val="000080"/>
              </w:rPr>
            </w:pPr>
            <w:r w:rsidRPr="00351A27">
              <w:rPr>
                <w:rFonts w:ascii="Times New Roman" w:hAnsi="Times New Roman"/>
                <w:b/>
                <w:bCs/>
                <w:color w:val="000080"/>
              </w:rPr>
              <w:t>Schedule</w:t>
            </w:r>
          </w:p>
        </w:tc>
        <w:tc>
          <w:tcPr>
            <w:tcW w:w="1980" w:type="dxa"/>
            <w:tcBorders>
              <w:bottom w:val="single" w:sz="12" w:space="0" w:color="000000"/>
            </w:tcBorders>
          </w:tcPr>
          <w:p w:rsidR="00926484" w:rsidRPr="00351A27" w:rsidRDefault="009B1A58" w:rsidP="00926484">
            <w:pPr>
              <w:rPr>
                <w:rFonts w:ascii="Times New Roman" w:hAnsi="Times New Roman"/>
                <w:b/>
                <w:bCs/>
                <w:color w:val="000080"/>
              </w:rPr>
            </w:pPr>
            <w:r>
              <w:rPr>
                <w:rFonts w:ascii="Times New Roman" w:hAnsi="Times New Roman"/>
                <w:b/>
                <w:bCs/>
                <w:color w:val="000080"/>
              </w:rPr>
              <w:t>Existing</w:t>
            </w:r>
            <w:r w:rsidR="00926484">
              <w:rPr>
                <w:rFonts w:ascii="Times New Roman" w:hAnsi="Times New Roman"/>
                <w:b/>
                <w:bCs/>
                <w:color w:val="000080"/>
              </w:rPr>
              <w:t xml:space="preserve"> Rate</w:t>
            </w:r>
          </w:p>
        </w:tc>
        <w:tc>
          <w:tcPr>
            <w:tcW w:w="1818" w:type="dxa"/>
            <w:tcBorders>
              <w:bottom w:val="single" w:sz="12" w:space="0" w:color="000000"/>
            </w:tcBorders>
            <w:shd w:val="clear" w:color="auto" w:fill="auto"/>
          </w:tcPr>
          <w:p w:rsidR="00926484" w:rsidRPr="00351A27" w:rsidRDefault="009B1A58" w:rsidP="00926484">
            <w:pPr>
              <w:rPr>
                <w:rFonts w:ascii="Times New Roman" w:hAnsi="Times New Roman"/>
                <w:b/>
                <w:bCs/>
                <w:color w:val="000080"/>
              </w:rPr>
            </w:pPr>
            <w:r>
              <w:rPr>
                <w:rFonts w:ascii="Times New Roman" w:hAnsi="Times New Roman"/>
                <w:b/>
                <w:bCs/>
                <w:color w:val="000080"/>
              </w:rPr>
              <w:t>Proposed</w:t>
            </w:r>
            <w:r w:rsidR="00926484">
              <w:rPr>
                <w:rFonts w:ascii="Times New Roman" w:hAnsi="Times New Roman"/>
                <w:b/>
                <w:bCs/>
                <w:color w:val="000080"/>
              </w:rPr>
              <w:t xml:space="preserve"> Rate</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Residential Service</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 1</w:t>
            </w:r>
          </w:p>
        </w:tc>
        <w:tc>
          <w:tcPr>
            <w:tcW w:w="1980" w:type="dxa"/>
          </w:tcPr>
          <w:p w:rsidR="00926484" w:rsidRPr="00351A27" w:rsidRDefault="00926484" w:rsidP="00926484">
            <w:pPr>
              <w:rPr>
                <w:rFonts w:ascii="Times New Roman" w:hAnsi="Times New Roman"/>
              </w:rPr>
            </w:pPr>
            <w:r>
              <w:rPr>
                <w:rFonts w:ascii="Times New Roman" w:hAnsi="Times New Roman"/>
              </w:rPr>
              <w:t>.00186</w:t>
            </w:r>
          </w:p>
        </w:tc>
        <w:tc>
          <w:tcPr>
            <w:tcW w:w="1818" w:type="dxa"/>
            <w:shd w:val="clear" w:color="auto" w:fill="auto"/>
          </w:tcPr>
          <w:p w:rsidR="00926484" w:rsidRPr="00351A27" w:rsidRDefault="009B1A58" w:rsidP="00926484">
            <w:pPr>
              <w:rPr>
                <w:rFonts w:ascii="Times New Roman" w:hAnsi="Times New Roman"/>
              </w:rPr>
            </w:pPr>
            <w:r>
              <w:rPr>
                <w:rFonts w:ascii="Times New Roman" w:hAnsi="Times New Roman"/>
              </w:rPr>
              <w:t>.00317</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Commercial Service</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Schedules 11 &amp; 12</w:t>
            </w:r>
          </w:p>
        </w:tc>
        <w:tc>
          <w:tcPr>
            <w:tcW w:w="1980" w:type="dxa"/>
          </w:tcPr>
          <w:p w:rsidR="00926484" w:rsidRPr="00351A27" w:rsidRDefault="00926484" w:rsidP="00926484">
            <w:pPr>
              <w:rPr>
                <w:rFonts w:ascii="Times New Roman" w:hAnsi="Times New Roman"/>
              </w:rPr>
            </w:pPr>
            <w:r>
              <w:rPr>
                <w:rFonts w:ascii="Times New Roman" w:hAnsi="Times New Roman"/>
              </w:rPr>
              <w:t>.00263</w:t>
            </w:r>
          </w:p>
        </w:tc>
        <w:tc>
          <w:tcPr>
            <w:tcW w:w="1818" w:type="dxa"/>
            <w:shd w:val="clear" w:color="auto" w:fill="auto"/>
          </w:tcPr>
          <w:p w:rsidR="00926484" w:rsidRPr="00351A27" w:rsidRDefault="009B1A58" w:rsidP="00926484">
            <w:pPr>
              <w:rPr>
                <w:rFonts w:ascii="Times New Roman" w:hAnsi="Times New Roman"/>
              </w:rPr>
            </w:pPr>
            <w:r>
              <w:rPr>
                <w:rFonts w:ascii="Times New Roman" w:hAnsi="Times New Roman"/>
              </w:rPr>
              <w:t>.00449</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Pr>
                <w:rFonts w:ascii="Times New Roman" w:hAnsi="Times New Roman"/>
              </w:rPr>
              <w:t>Industrial</w:t>
            </w:r>
            <w:r w:rsidRPr="00351A27">
              <w:rPr>
                <w:rFonts w:ascii="Times New Roman" w:hAnsi="Times New Roman"/>
              </w:rPr>
              <w:t xml:space="preserve"> Service</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Schedules 21 &amp; 22</w:t>
            </w:r>
            <w:r w:rsidRPr="00351A27">
              <w:rPr>
                <w:rFonts w:ascii="Times New Roman" w:hAnsi="Times New Roman"/>
              </w:rPr>
              <w:t xml:space="preserve"> </w:t>
            </w:r>
          </w:p>
        </w:tc>
        <w:tc>
          <w:tcPr>
            <w:tcW w:w="1980" w:type="dxa"/>
          </w:tcPr>
          <w:p w:rsidR="00926484" w:rsidRPr="00351A27" w:rsidRDefault="00926484" w:rsidP="00926484">
            <w:pPr>
              <w:rPr>
                <w:rFonts w:ascii="Times New Roman" w:hAnsi="Times New Roman"/>
              </w:rPr>
            </w:pPr>
            <w:r>
              <w:rPr>
                <w:rFonts w:ascii="Times New Roman" w:hAnsi="Times New Roman"/>
              </w:rPr>
              <w:t>.00194</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.00331</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Large User Services</w:t>
            </w:r>
          </w:p>
        </w:tc>
        <w:tc>
          <w:tcPr>
            <w:tcW w:w="2898"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 xml:space="preserve">Schedule </w:t>
            </w:r>
            <w:r>
              <w:rPr>
                <w:rFonts w:ascii="Times New Roman" w:hAnsi="Times New Roman"/>
              </w:rPr>
              <w:t>25</w:t>
            </w:r>
          </w:p>
        </w:tc>
        <w:tc>
          <w:tcPr>
            <w:tcW w:w="1980" w:type="dxa"/>
          </w:tcPr>
          <w:p w:rsidR="00926484" w:rsidRPr="00351A27" w:rsidRDefault="00926484" w:rsidP="00926484">
            <w:pPr>
              <w:rPr>
                <w:rFonts w:ascii="Times New Roman" w:hAnsi="Times New Roman"/>
              </w:rPr>
            </w:pPr>
            <w:r>
              <w:rPr>
                <w:rFonts w:ascii="Times New Roman" w:hAnsi="Times New Roman"/>
              </w:rPr>
              <w:t>.00127</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.00217</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Pr>
                <w:rFonts w:ascii="Times New Roman" w:hAnsi="Times New Roman"/>
              </w:rPr>
              <w:t>Pumping Services</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Schedules 31 &amp; 32</w:t>
            </w:r>
          </w:p>
        </w:tc>
        <w:tc>
          <w:tcPr>
            <w:tcW w:w="1980" w:type="dxa"/>
          </w:tcPr>
          <w:p w:rsidR="00926484" w:rsidRPr="00351A27" w:rsidRDefault="00926484" w:rsidP="00926484">
            <w:pPr>
              <w:rPr>
                <w:rFonts w:ascii="Times New Roman" w:hAnsi="Times New Roman"/>
              </w:rPr>
            </w:pPr>
            <w:r>
              <w:rPr>
                <w:rFonts w:ascii="Times New Roman" w:hAnsi="Times New Roman"/>
              </w:rPr>
              <w:t>.00173</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.00295</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Outdoor Lighting</w:t>
            </w:r>
          </w:p>
        </w:tc>
        <w:tc>
          <w:tcPr>
            <w:tcW w:w="2898"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 xml:space="preserve">Schedules </w:t>
            </w:r>
            <w:r>
              <w:rPr>
                <w:rFonts w:ascii="Times New Roman" w:hAnsi="Times New Roman"/>
              </w:rPr>
              <w:t>41-48</w:t>
            </w:r>
          </w:p>
        </w:tc>
        <w:tc>
          <w:tcPr>
            <w:tcW w:w="1980" w:type="dxa"/>
          </w:tcPr>
          <w:p w:rsidR="00926484" w:rsidRPr="00351A27" w:rsidRDefault="00926484" w:rsidP="00926484">
            <w:pPr>
              <w:rPr>
                <w:rFonts w:ascii="Times New Roman" w:hAnsi="Times New Roman"/>
              </w:rPr>
            </w:pPr>
            <w:r>
              <w:rPr>
                <w:rFonts w:ascii="Times New Roman" w:hAnsi="Times New Roman"/>
              </w:rPr>
              <w:t>2.81%</w:t>
            </w:r>
            <w:r w:rsidR="00073F3D">
              <w:rPr>
                <w:rFonts w:ascii="Times New Roman" w:hAnsi="Times New Roman"/>
              </w:rPr>
              <w:t xml:space="preserve"> of bill</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4.79%</w:t>
            </w:r>
            <w:r w:rsidR="00073F3D">
              <w:rPr>
                <w:rFonts w:ascii="Times New Roman" w:hAnsi="Times New Roman"/>
              </w:rPr>
              <w:t xml:space="preserve"> of bill</w:t>
            </w:r>
          </w:p>
        </w:tc>
      </w:tr>
    </w:tbl>
    <w:p w:rsidR="009B1A58" w:rsidRDefault="009B1A58" w:rsidP="00454D4F">
      <w:pPr>
        <w:outlineLvl w:val="0"/>
        <w:rPr>
          <w:rFonts w:ascii="Times New Roman" w:hAnsi="Times New Roman"/>
        </w:rPr>
      </w:pPr>
    </w:p>
    <w:p w:rsidR="00926484" w:rsidRDefault="009B1A58" w:rsidP="00454D4F">
      <w:pPr>
        <w:outlineLvl w:val="0"/>
        <w:rPr>
          <w:rFonts w:ascii="Times New Roman" w:hAnsi="Times New Roman"/>
        </w:rPr>
      </w:pPr>
      <w:r>
        <w:rPr>
          <w:rFonts w:ascii="Times New Roman" w:hAnsi="Times New Roman"/>
        </w:rPr>
        <w:t>The negative electric tariff rider balance is currently $5.</w:t>
      </w:r>
      <w:r w:rsidR="00557825">
        <w:rPr>
          <w:rFonts w:ascii="Times New Roman" w:hAnsi="Times New Roman"/>
        </w:rPr>
        <w:t xml:space="preserve">9 </w:t>
      </w:r>
      <w:r>
        <w:rPr>
          <w:rFonts w:ascii="Times New Roman" w:hAnsi="Times New Roman"/>
        </w:rPr>
        <w:t xml:space="preserve">million. The </w:t>
      </w:r>
      <w:r w:rsidR="003074F6">
        <w:rPr>
          <w:rFonts w:ascii="Times New Roman" w:hAnsi="Times New Roman"/>
        </w:rPr>
        <w:t>proposed</w:t>
      </w:r>
      <w:r>
        <w:rPr>
          <w:rFonts w:ascii="Times New Roman" w:hAnsi="Times New Roman"/>
        </w:rPr>
        <w:t xml:space="preserve"> rates</w:t>
      </w:r>
      <w:r w:rsidR="003074F6">
        <w:rPr>
          <w:rFonts w:ascii="Times New Roman" w:hAnsi="Times New Roman"/>
        </w:rPr>
        <w:t xml:space="preserve"> above</w:t>
      </w:r>
      <w:r>
        <w:rPr>
          <w:rFonts w:ascii="Times New Roman" w:hAnsi="Times New Roman"/>
        </w:rPr>
        <w:t xml:space="preserve"> will recover that amount over two years, as well as budgeted electric energy efficiency spending of $12,825,032. The proposed electric tariff rider reflects a 1.68</w:t>
      </w:r>
      <w:r w:rsidR="00237578">
        <w:rPr>
          <w:rFonts w:ascii="Times New Roman" w:hAnsi="Times New Roman"/>
        </w:rPr>
        <w:t xml:space="preserve"> percent</w:t>
      </w:r>
      <w:r>
        <w:rPr>
          <w:rFonts w:ascii="Times New Roman" w:hAnsi="Times New Roman"/>
        </w:rPr>
        <w:t xml:space="preserve"> increase in the company’s base electric revenues</w:t>
      </w:r>
      <w:r w:rsidR="00836B8F">
        <w:rPr>
          <w:rFonts w:ascii="Times New Roman" w:hAnsi="Times New Roman"/>
        </w:rPr>
        <w:t>, increasing the average bill for an electric residential customer using 1000 kWh per month by $1.31</w:t>
      </w:r>
      <w:r>
        <w:rPr>
          <w:rFonts w:ascii="Times New Roman" w:hAnsi="Times New Roman"/>
        </w:rPr>
        <w:t>.</w:t>
      </w:r>
    </w:p>
    <w:p w:rsidR="009B1A58" w:rsidRDefault="009B1A58" w:rsidP="00454D4F">
      <w:pPr>
        <w:outlineLvl w:val="0"/>
        <w:rPr>
          <w:rFonts w:ascii="Times New Roman" w:hAnsi="Times New Roman"/>
        </w:rPr>
      </w:pPr>
    </w:p>
    <w:tbl>
      <w:tblPr>
        <w:tblW w:w="0" w:type="auto"/>
        <w:tblBorders>
          <w:top w:val="single" w:sz="12" w:space="0" w:color="000000"/>
          <w:bottom w:val="single" w:sz="12" w:space="0" w:color="000000"/>
          <w:insideH w:val="single" w:sz="6" w:space="0" w:color="000000"/>
        </w:tblBorders>
        <w:tblLook w:val="04A0"/>
      </w:tblPr>
      <w:tblGrid>
        <w:gridCol w:w="2430"/>
        <w:gridCol w:w="2988"/>
        <w:gridCol w:w="1980"/>
        <w:gridCol w:w="1818"/>
      </w:tblGrid>
      <w:tr w:rsidR="009B1A58" w:rsidRPr="00351A27" w:rsidTr="003074F6">
        <w:tc>
          <w:tcPr>
            <w:tcW w:w="2430" w:type="dxa"/>
            <w:tcBorders>
              <w:bottom w:val="single" w:sz="12" w:space="0" w:color="000000"/>
            </w:tcBorders>
            <w:shd w:val="clear" w:color="auto" w:fill="auto"/>
          </w:tcPr>
          <w:p w:rsidR="009B1A58" w:rsidRPr="00351A27" w:rsidRDefault="009B1A58" w:rsidP="009B1A58">
            <w:pPr>
              <w:rPr>
                <w:rFonts w:ascii="Times New Roman" w:hAnsi="Times New Roman"/>
                <w:b/>
                <w:bCs/>
                <w:color w:val="000080"/>
              </w:rPr>
            </w:pPr>
            <w:r>
              <w:rPr>
                <w:rFonts w:ascii="Times New Roman" w:hAnsi="Times New Roman"/>
                <w:b/>
                <w:bCs/>
                <w:color w:val="000080"/>
              </w:rPr>
              <w:t xml:space="preserve">Natural Gas </w:t>
            </w:r>
            <w:r w:rsidRPr="00351A27">
              <w:rPr>
                <w:rFonts w:ascii="Times New Roman" w:hAnsi="Times New Roman"/>
                <w:b/>
                <w:bCs/>
                <w:color w:val="000080"/>
              </w:rPr>
              <w:t>Service</w:t>
            </w:r>
          </w:p>
        </w:tc>
        <w:tc>
          <w:tcPr>
            <w:tcW w:w="2988" w:type="dxa"/>
            <w:tcBorders>
              <w:bottom w:val="single" w:sz="12" w:space="0" w:color="000000"/>
            </w:tcBorders>
            <w:shd w:val="clear" w:color="auto" w:fill="auto"/>
          </w:tcPr>
          <w:p w:rsidR="009B1A58" w:rsidRPr="00351A27" w:rsidRDefault="009B1A58" w:rsidP="009B1A58">
            <w:pPr>
              <w:rPr>
                <w:rFonts w:ascii="Times New Roman" w:hAnsi="Times New Roman"/>
                <w:b/>
                <w:bCs/>
                <w:color w:val="000080"/>
              </w:rPr>
            </w:pPr>
            <w:r w:rsidRPr="00351A27">
              <w:rPr>
                <w:rFonts w:ascii="Times New Roman" w:hAnsi="Times New Roman"/>
                <w:b/>
                <w:bCs/>
                <w:color w:val="000080"/>
              </w:rPr>
              <w:t>Schedule</w:t>
            </w:r>
          </w:p>
        </w:tc>
        <w:tc>
          <w:tcPr>
            <w:tcW w:w="1980" w:type="dxa"/>
            <w:tcBorders>
              <w:bottom w:val="single" w:sz="12" w:space="0" w:color="000000"/>
            </w:tcBorders>
          </w:tcPr>
          <w:p w:rsidR="009B1A58" w:rsidRPr="00351A27" w:rsidRDefault="003074F6" w:rsidP="009B1A58">
            <w:pPr>
              <w:rPr>
                <w:rFonts w:ascii="Times New Roman" w:hAnsi="Times New Roman"/>
                <w:b/>
                <w:bCs/>
                <w:color w:val="000080"/>
              </w:rPr>
            </w:pPr>
            <w:r>
              <w:rPr>
                <w:rFonts w:ascii="Times New Roman" w:hAnsi="Times New Roman"/>
                <w:b/>
                <w:bCs/>
                <w:color w:val="000080"/>
              </w:rPr>
              <w:t>Existing</w:t>
            </w:r>
            <w:r w:rsidR="009B1A58">
              <w:rPr>
                <w:rFonts w:ascii="Times New Roman" w:hAnsi="Times New Roman"/>
                <w:b/>
                <w:bCs/>
                <w:color w:val="000080"/>
              </w:rPr>
              <w:t xml:space="preserve"> Rate</w:t>
            </w:r>
          </w:p>
        </w:tc>
        <w:tc>
          <w:tcPr>
            <w:tcW w:w="1818" w:type="dxa"/>
            <w:tcBorders>
              <w:bottom w:val="single" w:sz="12" w:space="0" w:color="000000"/>
            </w:tcBorders>
            <w:shd w:val="clear" w:color="auto" w:fill="auto"/>
          </w:tcPr>
          <w:p w:rsidR="009B1A58" w:rsidRPr="00351A27" w:rsidRDefault="003074F6" w:rsidP="009B1A58">
            <w:pPr>
              <w:rPr>
                <w:rFonts w:ascii="Times New Roman" w:hAnsi="Times New Roman"/>
                <w:b/>
                <w:bCs/>
                <w:color w:val="000080"/>
              </w:rPr>
            </w:pPr>
            <w:r>
              <w:rPr>
                <w:rFonts w:ascii="Times New Roman" w:hAnsi="Times New Roman"/>
                <w:b/>
                <w:bCs/>
                <w:color w:val="000080"/>
              </w:rPr>
              <w:t>Proposed</w:t>
            </w:r>
            <w:r w:rsidR="009B1A58">
              <w:rPr>
                <w:rFonts w:ascii="Times New Roman" w:hAnsi="Times New Roman"/>
                <w:b/>
                <w:bCs/>
                <w:color w:val="000080"/>
              </w:rPr>
              <w:t xml:space="preserve"> Rate</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sidRPr="00351A27">
              <w:rPr>
                <w:rFonts w:ascii="Times New Roman" w:hAnsi="Times New Roman"/>
              </w:rPr>
              <w:t>Residential Service</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 101</w:t>
            </w:r>
          </w:p>
        </w:tc>
        <w:tc>
          <w:tcPr>
            <w:tcW w:w="1980" w:type="dxa"/>
          </w:tcPr>
          <w:p w:rsidR="009B1A58" w:rsidRPr="00351A27" w:rsidRDefault="009B1A58" w:rsidP="009B1A58">
            <w:pPr>
              <w:rPr>
                <w:rFonts w:ascii="Times New Roman" w:hAnsi="Times New Roman"/>
              </w:rPr>
            </w:pPr>
            <w:r>
              <w:rPr>
                <w:rFonts w:ascii="Times New Roman" w:hAnsi="Times New Roman"/>
              </w:rPr>
              <w:t>.01837</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.03344</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sidRPr="00351A27">
              <w:rPr>
                <w:rFonts w:ascii="Times New Roman" w:hAnsi="Times New Roman"/>
              </w:rPr>
              <w:t>Commercial Service</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Schedules 111 &amp; 112</w:t>
            </w:r>
          </w:p>
        </w:tc>
        <w:tc>
          <w:tcPr>
            <w:tcW w:w="1980" w:type="dxa"/>
          </w:tcPr>
          <w:p w:rsidR="009B1A58" w:rsidRPr="00351A27" w:rsidRDefault="009B1A58" w:rsidP="009B1A58">
            <w:pPr>
              <w:rPr>
                <w:rFonts w:ascii="Times New Roman" w:hAnsi="Times New Roman"/>
              </w:rPr>
            </w:pPr>
            <w:r>
              <w:rPr>
                <w:rFonts w:ascii="Times New Roman" w:hAnsi="Times New Roman"/>
              </w:rPr>
              <w:t>.01617</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.02944</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Pr>
                <w:rFonts w:ascii="Times New Roman" w:hAnsi="Times New Roman"/>
              </w:rPr>
              <w:t>Industrial</w:t>
            </w:r>
            <w:r w:rsidRPr="00351A27">
              <w:rPr>
                <w:rFonts w:ascii="Times New Roman" w:hAnsi="Times New Roman"/>
              </w:rPr>
              <w:t xml:space="preserve"> Service</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Schedules 121 &amp; 122</w:t>
            </w:r>
            <w:r w:rsidRPr="00351A27">
              <w:rPr>
                <w:rFonts w:ascii="Times New Roman" w:hAnsi="Times New Roman"/>
              </w:rPr>
              <w:t xml:space="preserve"> </w:t>
            </w:r>
          </w:p>
        </w:tc>
        <w:tc>
          <w:tcPr>
            <w:tcW w:w="1980" w:type="dxa"/>
          </w:tcPr>
          <w:p w:rsidR="009B1A58" w:rsidRPr="00351A27" w:rsidRDefault="009B1A58" w:rsidP="009B1A58">
            <w:pPr>
              <w:rPr>
                <w:rFonts w:ascii="Times New Roman" w:hAnsi="Times New Roman"/>
              </w:rPr>
            </w:pPr>
            <w:r>
              <w:rPr>
                <w:rFonts w:ascii="Times New Roman" w:hAnsi="Times New Roman"/>
              </w:rPr>
              <w:t>.01514</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.02756</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Pr>
                <w:rFonts w:ascii="Times New Roman" w:hAnsi="Times New Roman"/>
              </w:rPr>
              <w:t>Contract Services</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Schedules 131 &amp; 132</w:t>
            </w:r>
          </w:p>
        </w:tc>
        <w:tc>
          <w:tcPr>
            <w:tcW w:w="1980" w:type="dxa"/>
          </w:tcPr>
          <w:p w:rsidR="009B1A58" w:rsidRPr="00351A27" w:rsidRDefault="009B1A58" w:rsidP="009B1A58">
            <w:pPr>
              <w:rPr>
                <w:rFonts w:ascii="Times New Roman" w:hAnsi="Times New Roman"/>
              </w:rPr>
            </w:pPr>
            <w:r>
              <w:rPr>
                <w:rFonts w:ascii="Times New Roman" w:hAnsi="Times New Roman"/>
              </w:rPr>
              <w:t>.01463</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.02663</w:t>
            </w:r>
          </w:p>
        </w:tc>
      </w:tr>
    </w:tbl>
    <w:p w:rsidR="00926484" w:rsidRDefault="00926484" w:rsidP="00454D4F">
      <w:pPr>
        <w:outlineLvl w:val="0"/>
        <w:rPr>
          <w:rFonts w:ascii="Times New Roman" w:hAnsi="Times New Roman"/>
        </w:rPr>
      </w:pPr>
    </w:p>
    <w:p w:rsidR="003074F6" w:rsidRDefault="003074F6" w:rsidP="003074F6">
      <w:pPr>
        <w:outlineLvl w:val="0"/>
        <w:rPr>
          <w:rFonts w:ascii="Times New Roman" w:hAnsi="Times New Roman"/>
        </w:rPr>
      </w:pPr>
      <w:r>
        <w:rPr>
          <w:rFonts w:ascii="Times New Roman" w:hAnsi="Times New Roman"/>
        </w:rPr>
        <w:t>The negative natural gas tariff rider balance is currently $2.</w:t>
      </w:r>
      <w:r w:rsidR="00557825">
        <w:rPr>
          <w:rFonts w:ascii="Times New Roman" w:hAnsi="Times New Roman"/>
        </w:rPr>
        <w:t xml:space="preserve">8 </w:t>
      </w:r>
      <w:r>
        <w:rPr>
          <w:rFonts w:ascii="Times New Roman" w:hAnsi="Times New Roman"/>
        </w:rPr>
        <w:t>million. The proposed rates above will recover that amount over two years, as well as budgeted natural gas energy efficiency spending of $3,663,703. The proposed natural gas tariff rider reflects a 0.95</w:t>
      </w:r>
      <w:r w:rsidR="00237578">
        <w:rPr>
          <w:rFonts w:ascii="Times New Roman" w:hAnsi="Times New Roman"/>
        </w:rPr>
        <w:t xml:space="preserve"> percent</w:t>
      </w:r>
      <w:r>
        <w:rPr>
          <w:rFonts w:ascii="Times New Roman" w:hAnsi="Times New Roman"/>
        </w:rPr>
        <w:t xml:space="preserve"> increase in the company’s base natural gas revenues</w:t>
      </w:r>
      <w:r w:rsidR="00836B8F">
        <w:rPr>
          <w:rFonts w:ascii="Times New Roman" w:hAnsi="Times New Roman"/>
        </w:rPr>
        <w:t>, increasing the average bill for a natural gas residential customer using 80 therms per month by $1.21</w:t>
      </w:r>
      <w:r>
        <w:rPr>
          <w:rFonts w:ascii="Times New Roman" w:hAnsi="Times New Roman"/>
        </w:rPr>
        <w:t>.</w:t>
      </w:r>
    </w:p>
    <w:p w:rsidR="003A036F" w:rsidRDefault="003A036F" w:rsidP="003074F6">
      <w:pPr>
        <w:outlineLvl w:val="0"/>
        <w:rPr>
          <w:rFonts w:ascii="Times New Roman" w:hAnsi="Times New Roman"/>
        </w:rPr>
      </w:pPr>
    </w:p>
    <w:p w:rsidR="00454D4F" w:rsidRDefault="00454D4F" w:rsidP="00454D4F">
      <w:pPr>
        <w:outlineLvl w:val="0"/>
        <w:rPr>
          <w:rFonts w:ascii="Times New Roman" w:hAnsi="Times New Roman"/>
        </w:rPr>
      </w:pPr>
    </w:p>
    <w:p w:rsidR="00454D4F" w:rsidRPr="00AD4D61" w:rsidRDefault="00454D4F" w:rsidP="00454D4F">
      <w:pPr>
        <w:outlineLvl w:val="0"/>
        <w:rPr>
          <w:rFonts w:ascii="Times New Roman" w:hAnsi="Times New Roman"/>
          <w:b/>
          <w:u w:val="single"/>
        </w:rPr>
      </w:pPr>
      <w:r w:rsidRPr="00AD4D61">
        <w:rPr>
          <w:rFonts w:ascii="Times New Roman" w:hAnsi="Times New Roman"/>
          <w:b/>
          <w:u w:val="single"/>
        </w:rPr>
        <w:t>Conclusion</w:t>
      </w:r>
    </w:p>
    <w:p w:rsidR="00454D4F" w:rsidRDefault="00454D4F" w:rsidP="00454D4F">
      <w:pPr>
        <w:rPr>
          <w:rFonts w:ascii="Times New Roman" w:hAnsi="Times New Roman"/>
        </w:rPr>
      </w:pPr>
    </w:p>
    <w:p w:rsidR="00850CD9" w:rsidRDefault="00454D4F" w:rsidP="00454D4F">
      <w:pPr>
        <w:rPr>
          <w:rFonts w:ascii="Times New Roman" w:hAnsi="Times New Roman"/>
        </w:rPr>
      </w:pPr>
      <w:r>
        <w:rPr>
          <w:rFonts w:ascii="Times New Roman" w:hAnsi="Times New Roman"/>
        </w:rPr>
        <w:t>Staff reviewed the proposed tariff</w:t>
      </w:r>
      <w:r w:rsidDel="00361BC2">
        <w:rPr>
          <w:rFonts w:ascii="Times New Roman" w:hAnsi="Times New Roman"/>
        </w:rPr>
        <w:t xml:space="preserve"> </w:t>
      </w:r>
      <w:r>
        <w:rPr>
          <w:rFonts w:ascii="Times New Roman" w:hAnsi="Times New Roman"/>
        </w:rPr>
        <w:t xml:space="preserve">revisions filed by </w:t>
      </w:r>
      <w:r w:rsidR="00293942">
        <w:rPr>
          <w:rFonts w:ascii="Times New Roman" w:hAnsi="Times New Roman"/>
        </w:rPr>
        <w:t>Avista</w:t>
      </w:r>
      <w:r>
        <w:rPr>
          <w:rFonts w:ascii="Times New Roman" w:hAnsi="Times New Roman"/>
        </w:rPr>
        <w:t xml:space="preserve"> in Docket</w:t>
      </w:r>
      <w:r w:rsidR="00237578">
        <w:rPr>
          <w:rFonts w:ascii="Times New Roman" w:hAnsi="Times New Roman"/>
        </w:rPr>
        <w:t>s</w:t>
      </w:r>
      <w:r>
        <w:rPr>
          <w:rFonts w:ascii="Times New Roman" w:hAnsi="Times New Roman"/>
        </w:rPr>
        <w:t xml:space="preserve"> </w:t>
      </w:r>
      <w:r w:rsidR="00293942">
        <w:rPr>
          <w:rFonts w:ascii="Times New Roman" w:hAnsi="Times New Roman"/>
        </w:rPr>
        <w:t xml:space="preserve">UE-082272 </w:t>
      </w:r>
      <w:r w:rsidR="00C43BFB">
        <w:rPr>
          <w:rFonts w:ascii="Times New Roman" w:hAnsi="Times New Roman"/>
        </w:rPr>
        <w:t>and</w:t>
      </w:r>
      <w:r w:rsidR="00293942">
        <w:rPr>
          <w:rFonts w:ascii="Times New Roman" w:hAnsi="Times New Roman"/>
        </w:rPr>
        <w:t xml:space="preserve"> </w:t>
      </w:r>
    </w:p>
    <w:p w:rsidR="00454D4F" w:rsidRDefault="00293942" w:rsidP="00454D4F">
      <w:pPr>
        <w:rPr>
          <w:rFonts w:ascii="Times New Roman" w:hAnsi="Times New Roman"/>
        </w:rPr>
      </w:pPr>
      <w:r>
        <w:rPr>
          <w:rFonts w:ascii="Times New Roman" w:hAnsi="Times New Roman"/>
        </w:rPr>
        <w:t>UG-090052</w:t>
      </w:r>
      <w:r w:rsidR="00454D4F">
        <w:rPr>
          <w:rFonts w:ascii="Times New Roman" w:hAnsi="Times New Roman"/>
        </w:rPr>
        <w:t xml:space="preserve"> and found them to be </w:t>
      </w:r>
      <w:r w:rsidR="008A3EDE">
        <w:rPr>
          <w:rFonts w:ascii="Times New Roman" w:hAnsi="Times New Roman"/>
        </w:rPr>
        <w:t>reasonable</w:t>
      </w:r>
      <w:r w:rsidR="00454D4F">
        <w:rPr>
          <w:rFonts w:ascii="Times New Roman" w:hAnsi="Times New Roman"/>
        </w:rPr>
        <w:t xml:space="preserve">. Therefore, Staff recommends the Commission take no action thereby allowing </w:t>
      </w:r>
      <w:r>
        <w:rPr>
          <w:rFonts w:ascii="Times New Roman" w:hAnsi="Times New Roman"/>
        </w:rPr>
        <w:t>Avista</w:t>
      </w:r>
      <w:r w:rsidR="00454D4F">
        <w:rPr>
          <w:rFonts w:ascii="Times New Roman" w:hAnsi="Times New Roman"/>
        </w:rPr>
        <w:t xml:space="preserve">’s proposed </w:t>
      </w:r>
      <w:r w:rsidR="006550F5">
        <w:rPr>
          <w:rFonts w:ascii="Times New Roman" w:hAnsi="Times New Roman"/>
        </w:rPr>
        <w:t>energy efficiency</w:t>
      </w:r>
      <w:r w:rsidR="005044D6">
        <w:rPr>
          <w:rFonts w:ascii="Times New Roman" w:hAnsi="Times New Roman"/>
        </w:rPr>
        <w:t xml:space="preserve"> tariff</w:t>
      </w:r>
      <w:r w:rsidR="006550F5">
        <w:rPr>
          <w:rFonts w:ascii="Times New Roman" w:hAnsi="Times New Roman"/>
        </w:rPr>
        <w:t xml:space="preserve"> rider</w:t>
      </w:r>
      <w:r w:rsidR="005044D6">
        <w:rPr>
          <w:rFonts w:ascii="Times New Roman" w:hAnsi="Times New Roman"/>
        </w:rPr>
        <w:t xml:space="preserve"> revisions</w:t>
      </w:r>
      <w:r w:rsidR="00454D4F">
        <w:rPr>
          <w:rFonts w:ascii="Times New Roman" w:hAnsi="Times New Roman"/>
        </w:rPr>
        <w:t xml:space="preserve"> in Docket</w:t>
      </w:r>
      <w:r w:rsidR="00237578">
        <w:rPr>
          <w:rFonts w:ascii="Times New Roman" w:hAnsi="Times New Roman"/>
        </w:rPr>
        <w:t>s</w:t>
      </w:r>
      <w:r w:rsidR="00454D4F">
        <w:rPr>
          <w:rFonts w:ascii="Times New Roman" w:hAnsi="Times New Roman"/>
        </w:rPr>
        <w:t xml:space="preserve"> </w:t>
      </w:r>
      <w:r w:rsidR="00C43BFB">
        <w:rPr>
          <w:rFonts w:ascii="Times New Roman" w:hAnsi="Times New Roman"/>
        </w:rPr>
        <w:t>UE-082272 and</w:t>
      </w:r>
      <w:r>
        <w:rPr>
          <w:rFonts w:ascii="Times New Roman" w:hAnsi="Times New Roman"/>
        </w:rPr>
        <w:t xml:space="preserve"> UG-090052</w:t>
      </w:r>
      <w:r w:rsidR="00454D4F">
        <w:rPr>
          <w:rFonts w:ascii="Times New Roman" w:hAnsi="Times New Roman"/>
        </w:rPr>
        <w:t xml:space="preserve"> to become effective </w:t>
      </w:r>
      <w:r>
        <w:rPr>
          <w:rFonts w:ascii="Times New Roman" w:hAnsi="Times New Roman"/>
        </w:rPr>
        <w:t>February 1</w:t>
      </w:r>
      <w:r w:rsidR="00454D4F">
        <w:rPr>
          <w:rFonts w:ascii="Times New Roman" w:hAnsi="Times New Roman"/>
        </w:rPr>
        <w:t>, 2009, by operation of law.</w:t>
      </w:r>
    </w:p>
    <w:p w:rsidR="00705407" w:rsidRDefault="00705407" w:rsidP="00454D4F">
      <w:pPr>
        <w:rPr>
          <w:rFonts w:ascii="Times New Roman" w:hAnsi="Times New Roman"/>
        </w:rPr>
      </w:pPr>
    </w:p>
    <w:p w:rsidR="00705407" w:rsidRDefault="00705407" w:rsidP="00454D4F">
      <w:pPr>
        <w:rPr>
          <w:rFonts w:ascii="Times New Roman" w:hAnsi="Times New Roman"/>
        </w:rPr>
      </w:pPr>
      <w:r>
        <w:rPr>
          <w:rFonts w:ascii="Times New Roman" w:hAnsi="Times New Roman"/>
        </w:rPr>
        <w:t>Attachment</w:t>
      </w:r>
    </w:p>
    <w:p w:rsidR="00454D4F" w:rsidRDefault="00454D4F" w:rsidP="00454D4F">
      <w:pPr>
        <w:rPr>
          <w:rFonts w:ascii="Times New Roman" w:hAnsi="Times New Roman"/>
        </w:rPr>
      </w:pPr>
    </w:p>
    <w:p w:rsidR="00454D4F" w:rsidRPr="00AD4D61" w:rsidRDefault="00454D4F" w:rsidP="00454D4F">
      <w:pPr>
        <w:rPr>
          <w:rFonts w:ascii="Times New Roman" w:hAnsi="Times New Roman"/>
        </w:rPr>
      </w:pPr>
    </w:p>
    <w:p w:rsidR="002C039A" w:rsidRPr="00454D4F" w:rsidRDefault="002C039A" w:rsidP="00454D4F"/>
    <w:sectPr w:rsidR="002C039A" w:rsidRPr="00454D4F" w:rsidSect="00EB46BC">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13" w:rsidRDefault="00756913" w:rsidP="00454D4F">
      <w:r>
        <w:separator/>
      </w:r>
    </w:p>
  </w:endnote>
  <w:endnote w:type="continuationSeparator" w:id="1">
    <w:p w:rsidR="00756913" w:rsidRDefault="00756913" w:rsidP="00454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13" w:rsidRDefault="00756913" w:rsidP="00454D4F">
      <w:r>
        <w:separator/>
      </w:r>
    </w:p>
  </w:footnote>
  <w:footnote w:type="continuationSeparator" w:id="1">
    <w:p w:rsidR="00756913" w:rsidRDefault="00756913" w:rsidP="00454D4F">
      <w:r>
        <w:continuationSeparator/>
      </w:r>
    </w:p>
  </w:footnote>
  <w:footnote w:id="2">
    <w:p w:rsidR="00C2551B" w:rsidRPr="009A7219" w:rsidRDefault="00C2551B" w:rsidP="00B92B73">
      <w:pPr>
        <w:pStyle w:val="FootnoteText"/>
        <w:rPr>
          <w:rFonts w:ascii="Times New Roman" w:hAnsi="Times New Roman"/>
        </w:rPr>
      </w:pPr>
      <w:r w:rsidRPr="009A7219">
        <w:rPr>
          <w:rStyle w:val="FootnoteReference"/>
          <w:rFonts w:ascii="Times New Roman" w:hAnsi="Times New Roman"/>
        </w:rPr>
        <w:footnoteRef/>
      </w:r>
      <w:r w:rsidRPr="009A7219">
        <w:rPr>
          <w:rFonts w:ascii="Times New Roman" w:hAnsi="Times New Roman"/>
        </w:rPr>
        <w:t xml:space="preserve"> See Docket</w:t>
      </w:r>
      <w:r>
        <w:rPr>
          <w:rFonts w:ascii="Times New Roman" w:hAnsi="Times New Roman"/>
        </w:rPr>
        <w:t>s</w:t>
      </w:r>
      <w:r w:rsidRPr="009A7219">
        <w:rPr>
          <w:rFonts w:ascii="Times New Roman" w:hAnsi="Times New Roman"/>
        </w:rPr>
        <w:t xml:space="preserve"> UE-</w:t>
      </w:r>
      <w:r>
        <w:rPr>
          <w:rFonts w:ascii="Times New Roman" w:hAnsi="Times New Roman"/>
        </w:rPr>
        <w:t>941377</w:t>
      </w:r>
      <w:r w:rsidRPr="009A7219">
        <w:rPr>
          <w:rFonts w:ascii="Times New Roman" w:hAnsi="Times New Roman"/>
        </w:rPr>
        <w:t xml:space="preserve"> and UG-</w:t>
      </w:r>
      <w:r>
        <w:rPr>
          <w:rFonts w:ascii="Times New Roman" w:hAnsi="Times New Roman"/>
        </w:rPr>
        <w:t>941378</w:t>
      </w:r>
      <w:r w:rsidRPr="009A7219">
        <w:rPr>
          <w:rFonts w:ascii="Times New Roman" w:hAnsi="Times New Roman"/>
        </w:rPr>
        <w:t>.</w:t>
      </w:r>
    </w:p>
  </w:footnote>
  <w:footnote w:id="3">
    <w:p w:rsidR="00BE66F1" w:rsidRPr="00BE66F1" w:rsidRDefault="00BE66F1">
      <w:pPr>
        <w:pStyle w:val="FootnoteText"/>
        <w:rPr>
          <w:rFonts w:ascii="Times New Roman" w:hAnsi="Times New Roman"/>
        </w:rPr>
      </w:pPr>
      <w:r w:rsidRPr="00BE66F1">
        <w:rPr>
          <w:rStyle w:val="FootnoteReference"/>
          <w:rFonts w:ascii="Times New Roman" w:hAnsi="Times New Roman"/>
        </w:rPr>
        <w:footnoteRef/>
      </w:r>
      <w:r w:rsidRPr="00BE66F1">
        <w:rPr>
          <w:rFonts w:ascii="Times New Roman" w:hAnsi="Times New Roman"/>
        </w:rPr>
        <w:t xml:space="preserve"> See Docket UE-981126.</w:t>
      </w:r>
    </w:p>
  </w:footnote>
  <w:footnote w:id="4">
    <w:p w:rsidR="00280A1B" w:rsidRPr="00280A1B" w:rsidRDefault="00280A1B">
      <w:pPr>
        <w:pStyle w:val="FootnoteText"/>
        <w:rPr>
          <w:rFonts w:ascii="Times New Roman" w:hAnsi="Times New Roman"/>
        </w:rPr>
      </w:pPr>
      <w:r w:rsidRPr="00280A1B">
        <w:rPr>
          <w:rStyle w:val="FootnoteReference"/>
          <w:rFonts w:ascii="Times New Roman" w:hAnsi="Times New Roman"/>
        </w:rPr>
        <w:footnoteRef/>
      </w:r>
      <w:r w:rsidRPr="00280A1B">
        <w:rPr>
          <w:rFonts w:ascii="Times New Roman" w:hAnsi="Times New Roman"/>
        </w:rPr>
        <w:t xml:space="preserve"> The Regional Technical Forum is an advisory committee of the Northwest Power and Conservation Council that establishes energy efficiency verification standards. Its website is http://www.nwcouncil.org/energy/rtf/Default.htm.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1B" w:rsidRPr="0004445D" w:rsidRDefault="00C2551B">
    <w:pPr>
      <w:pStyle w:val="Header"/>
      <w:rPr>
        <w:rFonts w:ascii="Times New Roman" w:hAnsi="Times New Roman"/>
        <w:sz w:val="20"/>
        <w:szCs w:val="20"/>
      </w:rPr>
    </w:pPr>
    <w:r w:rsidRPr="0004445D">
      <w:rPr>
        <w:rFonts w:ascii="Times New Roman" w:hAnsi="Times New Roman"/>
        <w:sz w:val="20"/>
        <w:szCs w:val="20"/>
      </w:rPr>
      <w:t>D</w:t>
    </w:r>
    <w:r>
      <w:rPr>
        <w:rFonts w:ascii="Times New Roman" w:hAnsi="Times New Roman"/>
        <w:sz w:val="20"/>
        <w:szCs w:val="20"/>
      </w:rPr>
      <w:t>ocket</w:t>
    </w:r>
    <w:r w:rsidR="00850CD9">
      <w:rPr>
        <w:rFonts w:ascii="Times New Roman" w:hAnsi="Times New Roman"/>
        <w:sz w:val="20"/>
        <w:szCs w:val="20"/>
      </w:rPr>
      <w:t>s</w:t>
    </w:r>
    <w:r>
      <w:rPr>
        <w:rFonts w:ascii="Times New Roman" w:hAnsi="Times New Roman"/>
        <w:sz w:val="20"/>
        <w:szCs w:val="20"/>
      </w:rPr>
      <w:t xml:space="preserve"> UE-082272 </w:t>
    </w:r>
    <w:r w:rsidR="003F4B8E">
      <w:rPr>
        <w:rFonts w:ascii="Times New Roman" w:hAnsi="Times New Roman"/>
        <w:sz w:val="20"/>
        <w:szCs w:val="20"/>
      </w:rPr>
      <w:t>&amp;</w:t>
    </w:r>
    <w:r>
      <w:rPr>
        <w:rFonts w:ascii="Times New Roman" w:hAnsi="Times New Roman"/>
        <w:sz w:val="20"/>
        <w:szCs w:val="20"/>
      </w:rPr>
      <w:t xml:space="preserve"> UG-090052</w:t>
    </w:r>
  </w:p>
  <w:p w:rsidR="00C2551B" w:rsidRPr="0004445D" w:rsidRDefault="00C2551B">
    <w:pPr>
      <w:pStyle w:val="Header"/>
      <w:rPr>
        <w:rFonts w:ascii="Times New Roman" w:hAnsi="Times New Roman"/>
        <w:sz w:val="20"/>
        <w:szCs w:val="20"/>
      </w:rPr>
    </w:pPr>
    <w:r>
      <w:rPr>
        <w:rFonts w:ascii="Times New Roman" w:hAnsi="Times New Roman"/>
        <w:sz w:val="20"/>
        <w:szCs w:val="20"/>
      </w:rPr>
      <w:t>January 29, 2009</w:t>
    </w:r>
  </w:p>
  <w:p w:rsidR="00C2551B" w:rsidRPr="0004445D" w:rsidRDefault="00C2551B">
    <w:pPr>
      <w:pStyle w:val="Header"/>
      <w:rPr>
        <w:rStyle w:val="PageNumber"/>
        <w:rFonts w:ascii="Times New Roman" w:hAnsi="Times New Roman"/>
      </w:rPr>
    </w:pPr>
    <w:r w:rsidRPr="0004445D">
      <w:rPr>
        <w:rFonts w:ascii="Times New Roman" w:hAnsi="Times New Roman"/>
        <w:sz w:val="20"/>
        <w:szCs w:val="20"/>
      </w:rPr>
      <w:t xml:space="preserve">Page </w:t>
    </w:r>
    <w:r w:rsidR="00B85B00" w:rsidRPr="0004445D">
      <w:rPr>
        <w:rStyle w:val="PageNumber"/>
        <w:rFonts w:ascii="Times New Roman" w:hAnsi="Times New Roman"/>
      </w:rPr>
      <w:fldChar w:fldCharType="begin"/>
    </w:r>
    <w:r w:rsidRPr="0004445D">
      <w:rPr>
        <w:rStyle w:val="PageNumber"/>
        <w:rFonts w:ascii="Times New Roman" w:hAnsi="Times New Roman"/>
      </w:rPr>
      <w:instrText xml:space="preserve"> PAGE </w:instrText>
    </w:r>
    <w:r w:rsidR="00B85B00" w:rsidRPr="0004445D">
      <w:rPr>
        <w:rStyle w:val="PageNumber"/>
        <w:rFonts w:ascii="Times New Roman" w:hAnsi="Times New Roman"/>
      </w:rPr>
      <w:fldChar w:fldCharType="separate"/>
    </w:r>
    <w:r w:rsidR="003333E4">
      <w:rPr>
        <w:rStyle w:val="PageNumber"/>
        <w:rFonts w:ascii="Times New Roman" w:hAnsi="Times New Roman"/>
        <w:noProof/>
      </w:rPr>
      <w:t>3</w:t>
    </w:r>
    <w:r w:rsidR="00B85B00" w:rsidRPr="0004445D">
      <w:rPr>
        <w:rStyle w:val="PageNumber"/>
        <w:rFonts w:ascii="Times New Roman" w:hAnsi="Times New Roman"/>
      </w:rPr>
      <w:fldChar w:fldCharType="end"/>
    </w:r>
  </w:p>
  <w:p w:rsidR="00C2551B" w:rsidRPr="0004445D" w:rsidRDefault="00C2551B">
    <w:pPr>
      <w:pStyle w:val="Header"/>
      <w:rPr>
        <w:rStyle w:val="PageNumber"/>
        <w:rFonts w:ascii="Times New Roman" w:hAnsi="Times New Roman"/>
      </w:rPr>
    </w:pPr>
  </w:p>
  <w:p w:rsidR="00C2551B" w:rsidRPr="0004445D" w:rsidRDefault="00C2551B">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7E06"/>
    <w:multiLevelType w:val="hybridMultilevel"/>
    <w:tmpl w:val="EA6E4136"/>
    <w:lvl w:ilvl="0" w:tplc="067C1A5C">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886F50"/>
    <w:multiLevelType w:val="hybridMultilevel"/>
    <w:tmpl w:val="F3A0CE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27649"/>
  </w:hdrShapeDefaults>
  <w:footnotePr>
    <w:footnote w:id="0"/>
    <w:footnote w:id="1"/>
  </w:footnotePr>
  <w:endnotePr>
    <w:endnote w:id="0"/>
    <w:endnote w:id="1"/>
  </w:endnotePr>
  <w:compat/>
  <w:rsids>
    <w:rsidRoot w:val="00454D4F"/>
    <w:rsid w:val="00073F3D"/>
    <w:rsid w:val="000C2504"/>
    <w:rsid w:val="000E640C"/>
    <w:rsid w:val="001444C7"/>
    <w:rsid w:val="0014579F"/>
    <w:rsid w:val="0015516E"/>
    <w:rsid w:val="001A7633"/>
    <w:rsid w:val="001B16C6"/>
    <w:rsid w:val="001C5216"/>
    <w:rsid w:val="001C5AB1"/>
    <w:rsid w:val="001E2AC9"/>
    <w:rsid w:val="00237578"/>
    <w:rsid w:val="0025443C"/>
    <w:rsid w:val="002774CD"/>
    <w:rsid w:val="00280A1B"/>
    <w:rsid w:val="00293942"/>
    <w:rsid w:val="00294D3E"/>
    <w:rsid w:val="002B70E1"/>
    <w:rsid w:val="002C039A"/>
    <w:rsid w:val="002D05BE"/>
    <w:rsid w:val="002F3F34"/>
    <w:rsid w:val="003074F6"/>
    <w:rsid w:val="003333E4"/>
    <w:rsid w:val="003A036F"/>
    <w:rsid w:val="003A2C57"/>
    <w:rsid w:val="003A52B1"/>
    <w:rsid w:val="003F4B8E"/>
    <w:rsid w:val="00454D4F"/>
    <w:rsid w:val="00477592"/>
    <w:rsid w:val="005044D6"/>
    <w:rsid w:val="0052114A"/>
    <w:rsid w:val="00542A15"/>
    <w:rsid w:val="00552600"/>
    <w:rsid w:val="00557825"/>
    <w:rsid w:val="005935C2"/>
    <w:rsid w:val="005A4A41"/>
    <w:rsid w:val="005A6C74"/>
    <w:rsid w:val="00600C87"/>
    <w:rsid w:val="00611B68"/>
    <w:rsid w:val="006550F5"/>
    <w:rsid w:val="00672F7B"/>
    <w:rsid w:val="00686DB7"/>
    <w:rsid w:val="006A1BD4"/>
    <w:rsid w:val="006A41EE"/>
    <w:rsid w:val="006C4ED5"/>
    <w:rsid w:val="00705407"/>
    <w:rsid w:val="0072168E"/>
    <w:rsid w:val="007269F7"/>
    <w:rsid w:val="00756913"/>
    <w:rsid w:val="00771214"/>
    <w:rsid w:val="007959A6"/>
    <w:rsid w:val="007B1334"/>
    <w:rsid w:val="007C189B"/>
    <w:rsid w:val="007F4CC0"/>
    <w:rsid w:val="00836B8F"/>
    <w:rsid w:val="00850CD9"/>
    <w:rsid w:val="008726A8"/>
    <w:rsid w:val="00894812"/>
    <w:rsid w:val="008A3EDE"/>
    <w:rsid w:val="008B306B"/>
    <w:rsid w:val="00921423"/>
    <w:rsid w:val="00926484"/>
    <w:rsid w:val="00944960"/>
    <w:rsid w:val="00983845"/>
    <w:rsid w:val="009A7219"/>
    <w:rsid w:val="009B1A58"/>
    <w:rsid w:val="00A046DE"/>
    <w:rsid w:val="00A648AA"/>
    <w:rsid w:val="00A84C2A"/>
    <w:rsid w:val="00AD316E"/>
    <w:rsid w:val="00AD3312"/>
    <w:rsid w:val="00B13041"/>
    <w:rsid w:val="00B1574A"/>
    <w:rsid w:val="00B7130A"/>
    <w:rsid w:val="00B85B00"/>
    <w:rsid w:val="00B92B73"/>
    <w:rsid w:val="00BB55DB"/>
    <w:rsid w:val="00BE66F1"/>
    <w:rsid w:val="00C07823"/>
    <w:rsid w:val="00C17CED"/>
    <w:rsid w:val="00C24092"/>
    <w:rsid w:val="00C2551B"/>
    <w:rsid w:val="00C43BFB"/>
    <w:rsid w:val="00D1367E"/>
    <w:rsid w:val="00DA1B86"/>
    <w:rsid w:val="00DB300D"/>
    <w:rsid w:val="00DD2A47"/>
    <w:rsid w:val="00DD77F5"/>
    <w:rsid w:val="00E04931"/>
    <w:rsid w:val="00E35498"/>
    <w:rsid w:val="00E724C3"/>
    <w:rsid w:val="00EA7CF3"/>
    <w:rsid w:val="00EB46BC"/>
    <w:rsid w:val="00F113E7"/>
    <w:rsid w:val="00F21B68"/>
    <w:rsid w:val="00FB2FF5"/>
    <w:rsid w:val="00FD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4F"/>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454D4F"/>
    <w:rPr>
      <w:sz w:val="20"/>
      <w:szCs w:val="20"/>
    </w:rPr>
  </w:style>
  <w:style w:type="character" w:customStyle="1" w:styleId="FootnoteTextChar">
    <w:name w:val="Footnote Text Char"/>
    <w:basedOn w:val="DefaultParagraphFont"/>
    <w:link w:val="FootnoteText"/>
    <w:rsid w:val="00454D4F"/>
    <w:rPr>
      <w:rFonts w:ascii="Palatino Linotype" w:eastAsia="Times New Roman" w:hAnsi="Palatino Linotype" w:cs="Times New Roman"/>
      <w:sz w:val="20"/>
      <w:szCs w:val="20"/>
    </w:rPr>
  </w:style>
  <w:style w:type="character" w:styleId="FootnoteReference">
    <w:name w:val="footnote reference"/>
    <w:basedOn w:val="DefaultParagraphFont"/>
    <w:rsid w:val="00454D4F"/>
    <w:rPr>
      <w:vertAlign w:val="superscript"/>
    </w:rPr>
  </w:style>
  <w:style w:type="paragraph" w:styleId="Header">
    <w:name w:val="header"/>
    <w:basedOn w:val="Normal"/>
    <w:link w:val="HeaderChar"/>
    <w:rsid w:val="00454D4F"/>
    <w:pPr>
      <w:tabs>
        <w:tab w:val="center" w:pos="4320"/>
        <w:tab w:val="right" w:pos="8640"/>
      </w:tabs>
    </w:pPr>
  </w:style>
  <w:style w:type="character" w:customStyle="1" w:styleId="HeaderChar">
    <w:name w:val="Header Char"/>
    <w:basedOn w:val="DefaultParagraphFont"/>
    <w:link w:val="Header"/>
    <w:rsid w:val="00454D4F"/>
    <w:rPr>
      <w:rFonts w:ascii="Palatino Linotype" w:eastAsia="Times New Roman" w:hAnsi="Palatino Linotype" w:cs="Times New Roman"/>
      <w:sz w:val="24"/>
      <w:szCs w:val="24"/>
    </w:rPr>
  </w:style>
  <w:style w:type="paragraph" w:styleId="Footer">
    <w:name w:val="footer"/>
    <w:basedOn w:val="Normal"/>
    <w:link w:val="FooterChar"/>
    <w:rsid w:val="00454D4F"/>
    <w:pPr>
      <w:tabs>
        <w:tab w:val="center" w:pos="4320"/>
        <w:tab w:val="right" w:pos="8640"/>
      </w:tabs>
    </w:pPr>
  </w:style>
  <w:style w:type="character" w:customStyle="1" w:styleId="FooterChar">
    <w:name w:val="Footer Char"/>
    <w:basedOn w:val="DefaultParagraphFont"/>
    <w:link w:val="Footer"/>
    <w:rsid w:val="00454D4F"/>
    <w:rPr>
      <w:rFonts w:ascii="Palatino Linotype" w:eastAsia="Times New Roman" w:hAnsi="Palatino Linotype" w:cs="Times New Roman"/>
      <w:sz w:val="24"/>
      <w:szCs w:val="24"/>
    </w:rPr>
  </w:style>
  <w:style w:type="character" w:styleId="PageNumber">
    <w:name w:val="page number"/>
    <w:basedOn w:val="DefaultParagraphFont"/>
    <w:rsid w:val="00454D4F"/>
  </w:style>
  <w:style w:type="paragraph" w:styleId="ListParagraph">
    <w:name w:val="List Paragraph"/>
    <w:basedOn w:val="Normal"/>
    <w:uiPriority w:val="34"/>
    <w:qFormat/>
    <w:rsid w:val="00454D4F"/>
    <w:pPr>
      <w:ind w:left="720"/>
      <w:contextualSpacing/>
    </w:pPr>
  </w:style>
  <w:style w:type="paragraph" w:styleId="BalloonText">
    <w:name w:val="Balloon Text"/>
    <w:basedOn w:val="Normal"/>
    <w:link w:val="BalloonTextChar"/>
    <w:uiPriority w:val="99"/>
    <w:semiHidden/>
    <w:unhideWhenUsed/>
    <w:rsid w:val="00DB300D"/>
    <w:rPr>
      <w:rFonts w:ascii="Tahoma" w:hAnsi="Tahoma" w:cs="Tahoma"/>
      <w:sz w:val="16"/>
      <w:szCs w:val="16"/>
    </w:rPr>
  </w:style>
  <w:style w:type="character" w:customStyle="1" w:styleId="BalloonTextChar">
    <w:name w:val="Balloon Text Char"/>
    <w:basedOn w:val="DefaultParagraphFont"/>
    <w:link w:val="BalloonText"/>
    <w:uiPriority w:val="99"/>
    <w:semiHidden/>
    <w:rsid w:val="00DB300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4B8E"/>
    <w:rPr>
      <w:sz w:val="16"/>
      <w:szCs w:val="16"/>
    </w:rPr>
  </w:style>
  <w:style w:type="paragraph" w:styleId="CommentText">
    <w:name w:val="annotation text"/>
    <w:basedOn w:val="Normal"/>
    <w:link w:val="CommentTextChar"/>
    <w:uiPriority w:val="99"/>
    <w:semiHidden/>
    <w:unhideWhenUsed/>
    <w:rsid w:val="003F4B8E"/>
    <w:rPr>
      <w:sz w:val="20"/>
      <w:szCs w:val="20"/>
    </w:rPr>
  </w:style>
  <w:style w:type="character" w:customStyle="1" w:styleId="CommentTextChar">
    <w:name w:val="Comment Text Char"/>
    <w:basedOn w:val="DefaultParagraphFont"/>
    <w:link w:val="CommentText"/>
    <w:uiPriority w:val="99"/>
    <w:semiHidden/>
    <w:rsid w:val="003F4B8E"/>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3F4B8E"/>
    <w:rPr>
      <w:b/>
      <w:bCs/>
    </w:rPr>
  </w:style>
  <w:style w:type="character" w:customStyle="1" w:styleId="CommentSubjectChar">
    <w:name w:val="Comment Subject Char"/>
    <w:basedOn w:val="CommentTextChar"/>
    <w:link w:val="CommentSubject"/>
    <w:uiPriority w:val="99"/>
    <w:semiHidden/>
    <w:rsid w:val="003F4B8E"/>
    <w:rPr>
      <w:b/>
      <w:bCs/>
    </w:rPr>
  </w:style>
  <w:style w:type="paragraph" w:styleId="Revision">
    <w:name w:val="Revision"/>
    <w:hidden/>
    <w:uiPriority w:val="99"/>
    <w:semiHidden/>
    <w:rsid w:val="003F4B8E"/>
    <w:pPr>
      <w:spacing w:after="0" w:line="240" w:lineRule="auto"/>
    </w:pPr>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divs>
    <w:div w:id="16557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2008-12-31T08:00:00+00:00</OpenedDate>
    <Date1 xmlns="dc463f71-b30c-4ab2-9473-d307f9d35888">2009-01-29T08:00:00+00:00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090052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63A9072D9D1C4099467E9BDD13868D" ma:contentTypeVersion="131" ma:contentTypeDescription="" ma:contentTypeScope="" ma:versionID="56588f3ce54e6e5cf9da39a9a82d05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81A5EB-B833-422A-876A-D08A0B8996FE}"/>
</file>

<file path=customXml/itemProps2.xml><?xml version="1.0" encoding="utf-8"?>
<ds:datastoreItem xmlns:ds="http://schemas.openxmlformats.org/officeDocument/2006/customXml" ds:itemID="{949ED374-7CA9-4C7B-867F-61F5B3160E02}"/>
</file>

<file path=customXml/itemProps3.xml><?xml version="1.0" encoding="utf-8"?>
<ds:datastoreItem xmlns:ds="http://schemas.openxmlformats.org/officeDocument/2006/customXml" ds:itemID="{786F525D-9A68-4ABD-9245-7A565B061D29}"/>
</file>

<file path=customXml/itemProps4.xml><?xml version="1.0" encoding="utf-8"?>
<ds:datastoreItem xmlns:ds="http://schemas.openxmlformats.org/officeDocument/2006/customXml" ds:itemID="{CC3EDC6E-CD9E-4C22-A209-CFE36F17E5FF}"/>
</file>

<file path=customXml/itemProps5.xml><?xml version="1.0" encoding="utf-8"?>
<ds:datastoreItem xmlns:ds="http://schemas.openxmlformats.org/officeDocument/2006/customXml" ds:itemID="{BE1293F0-5C43-451C-801E-8543721C29C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dc:creator>
  <cp:keywords/>
  <dc:description/>
  <cp:lastModifiedBy>Lisa Wyse, Records Manager</cp:lastModifiedBy>
  <cp:revision>2</cp:revision>
  <cp:lastPrinted>2009-01-26T18:33:00Z</cp:lastPrinted>
  <dcterms:created xsi:type="dcterms:W3CDTF">2009-01-27T00:02:00Z</dcterms:created>
  <dcterms:modified xsi:type="dcterms:W3CDTF">2009-01-27T00:02:00Z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0x0101006E56B4D1795A2E4DB2F0B01679ED314A005063A9072D9D1C4099467E9BDD13868D</vt:lpwstr>
  </property>
  <property fmtid="{D5CDD505-2E9C-101B-9397-08002B2CF9AE}" pid="3" name="_docset_NoMedatataSyncRequired">
    <vt:lpwstr>False</vt:lpwstr>
  </property>
</Properties>
</file>