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6B2" w:rsidRDefault="00FB66B2" w:rsidP="00FB66B2">
      <w:pPr>
        <w:tabs>
          <w:tab w:val="center" w:pos="4680"/>
        </w:tabs>
        <w:spacing w:after="0" w:line="240" w:lineRule="auto"/>
        <w:ind w:right="-108" w:hanging="180"/>
        <w:jc w:val="both"/>
        <w:rPr>
          <w:rFonts w:ascii="Times New Roman" w:hAnsi="Times New Roman" w:cs="Times New Roman"/>
          <w:sz w:val="24"/>
          <w:szCs w:val="24"/>
        </w:rPr>
      </w:pPr>
      <w:bookmarkStart w:id="0" w:name="_GoBack"/>
      <w:bookmarkEnd w:id="0"/>
    </w:p>
    <w:p w:rsidR="00B738B4" w:rsidRDefault="00B738B4" w:rsidP="00FB66B2">
      <w:pPr>
        <w:tabs>
          <w:tab w:val="center" w:pos="4680"/>
        </w:tabs>
        <w:spacing w:after="0" w:line="240" w:lineRule="auto"/>
        <w:ind w:right="-108" w:hanging="180"/>
        <w:jc w:val="both"/>
        <w:rPr>
          <w:rFonts w:ascii="Times New Roman" w:hAnsi="Times New Roman" w:cs="Times New Roman"/>
          <w:sz w:val="24"/>
          <w:szCs w:val="24"/>
        </w:rPr>
      </w:pPr>
    </w:p>
    <w:p w:rsidR="00B738B4" w:rsidRDefault="00B738B4" w:rsidP="00FB66B2">
      <w:pPr>
        <w:tabs>
          <w:tab w:val="center" w:pos="4680"/>
        </w:tabs>
        <w:spacing w:after="0" w:line="240" w:lineRule="auto"/>
        <w:ind w:right="-108" w:hanging="180"/>
        <w:jc w:val="both"/>
        <w:rPr>
          <w:rFonts w:ascii="Times New Roman" w:hAnsi="Times New Roman" w:cs="Times New Roman"/>
          <w:sz w:val="24"/>
          <w:szCs w:val="24"/>
        </w:rPr>
      </w:pPr>
    </w:p>
    <w:p w:rsidR="00B738B4" w:rsidRDefault="00B738B4" w:rsidP="00FB66B2">
      <w:pPr>
        <w:tabs>
          <w:tab w:val="center" w:pos="4680"/>
        </w:tabs>
        <w:spacing w:after="0" w:line="240" w:lineRule="auto"/>
        <w:ind w:right="-108" w:hanging="180"/>
        <w:jc w:val="both"/>
        <w:rPr>
          <w:rFonts w:ascii="Times New Roman" w:hAnsi="Times New Roman" w:cs="Times New Roman"/>
          <w:sz w:val="24"/>
          <w:szCs w:val="24"/>
        </w:rPr>
      </w:pPr>
    </w:p>
    <w:p w:rsidR="00FB66B2" w:rsidRPr="00FB66B2" w:rsidRDefault="00FB66B2" w:rsidP="00FB66B2">
      <w:pPr>
        <w:tabs>
          <w:tab w:val="center" w:pos="4680"/>
        </w:tabs>
        <w:spacing w:after="0" w:line="240" w:lineRule="auto"/>
        <w:ind w:right="-108" w:hanging="180"/>
        <w:jc w:val="both"/>
        <w:rPr>
          <w:rFonts w:ascii="Times New Roman" w:hAnsi="Times New Roman" w:cs="Times New Roman"/>
          <w:sz w:val="24"/>
          <w:szCs w:val="24"/>
        </w:rPr>
      </w:pPr>
    </w:p>
    <w:p w:rsidR="00FB66B2" w:rsidRPr="00FB66B2" w:rsidRDefault="00FB66B2" w:rsidP="00FB66B2">
      <w:pPr>
        <w:tabs>
          <w:tab w:val="center" w:pos="4680"/>
        </w:tabs>
        <w:spacing w:after="0" w:line="240" w:lineRule="auto"/>
        <w:ind w:right="-108" w:hanging="180"/>
        <w:jc w:val="both"/>
        <w:rPr>
          <w:rFonts w:ascii="Times New Roman" w:hAnsi="Times New Roman" w:cs="Times New Roman"/>
          <w:sz w:val="24"/>
          <w:szCs w:val="24"/>
        </w:rPr>
      </w:pPr>
    </w:p>
    <w:p w:rsidR="00FB66B2" w:rsidRPr="00FB66B2" w:rsidRDefault="00FB66B2" w:rsidP="00FB66B2">
      <w:pPr>
        <w:tabs>
          <w:tab w:val="center" w:pos="4680"/>
        </w:tabs>
        <w:spacing w:after="0" w:line="240" w:lineRule="auto"/>
        <w:ind w:right="-360" w:hanging="360"/>
        <w:jc w:val="both"/>
        <w:rPr>
          <w:rFonts w:ascii="Times New Roman" w:hAnsi="Times New Roman" w:cs="Times New Roman"/>
          <w:sz w:val="24"/>
          <w:szCs w:val="24"/>
        </w:rPr>
      </w:pPr>
    </w:p>
    <w:p w:rsidR="00FB66B2" w:rsidRPr="00FB66B2" w:rsidRDefault="00FB66B2" w:rsidP="00FB66B2">
      <w:pPr>
        <w:tabs>
          <w:tab w:val="center" w:pos="4680"/>
        </w:tabs>
        <w:spacing w:after="0" w:line="240" w:lineRule="auto"/>
        <w:ind w:right="-360" w:hanging="360"/>
        <w:jc w:val="both"/>
        <w:rPr>
          <w:rFonts w:ascii="Times New Roman" w:hAnsi="Times New Roman" w:cs="Times New Roman"/>
          <w:sz w:val="24"/>
          <w:szCs w:val="24"/>
        </w:rPr>
      </w:pPr>
      <w:r w:rsidRPr="00FB66B2">
        <w:rPr>
          <w:rFonts w:ascii="Times New Roman" w:hAnsi="Times New Roman" w:cs="Times New Roman"/>
          <w:sz w:val="24"/>
          <w:szCs w:val="24"/>
        </w:rPr>
        <w:t>BEFORE THE WASHINGTON UTILITIES AND TRANSPORTATION COMMISSION</w:t>
      </w:r>
    </w:p>
    <w:p w:rsidR="00FB66B2" w:rsidRDefault="00FB66B2" w:rsidP="00FB66B2">
      <w:pPr>
        <w:spacing w:after="0" w:line="240" w:lineRule="auto"/>
        <w:jc w:val="both"/>
        <w:rPr>
          <w:rFonts w:ascii="Times New Roman" w:hAnsi="Times New Roman" w:cs="Times New Roman"/>
          <w:sz w:val="24"/>
          <w:szCs w:val="24"/>
        </w:rPr>
      </w:pPr>
    </w:p>
    <w:p w:rsidR="00B738B4" w:rsidRPr="00FB66B2" w:rsidRDefault="00B738B4" w:rsidP="00FB66B2">
      <w:pPr>
        <w:spacing w:after="0" w:line="240" w:lineRule="auto"/>
        <w:jc w:val="both"/>
        <w:rPr>
          <w:rFonts w:ascii="Times New Roman" w:hAnsi="Times New Roman" w:cs="Times New Roman"/>
          <w:sz w:val="24"/>
          <w:szCs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B66B2" w:rsidRPr="00FB66B2" w:rsidTr="00B11D73">
        <w:tc>
          <w:tcPr>
            <w:tcW w:w="4590" w:type="dxa"/>
            <w:tcBorders>
              <w:top w:val="single" w:sz="6" w:space="0" w:color="FFFFFF"/>
              <w:left w:val="single" w:sz="6" w:space="0" w:color="FFFFFF"/>
              <w:bottom w:val="single" w:sz="7" w:space="0" w:color="000000"/>
              <w:right w:val="single" w:sz="6" w:space="0" w:color="FFFFFF"/>
            </w:tcBorders>
          </w:tcPr>
          <w:p w:rsidR="00FB66B2" w:rsidRPr="00FB66B2" w:rsidRDefault="00FB66B2" w:rsidP="00FB66B2">
            <w:pPr>
              <w:spacing w:after="0" w:line="240" w:lineRule="auto"/>
              <w:rPr>
                <w:rFonts w:ascii="Times New Roman" w:hAnsi="Times New Roman" w:cs="Times New Roman"/>
                <w:sz w:val="24"/>
                <w:szCs w:val="24"/>
              </w:rPr>
            </w:pPr>
            <w:r w:rsidRPr="00FB66B2">
              <w:rPr>
                <w:rFonts w:ascii="Times New Roman" w:hAnsi="Times New Roman" w:cs="Times New Roman"/>
                <w:sz w:val="24"/>
                <w:szCs w:val="24"/>
              </w:rPr>
              <w:t xml:space="preserve">WASHINGTON UTILITIES AND TRANSPORTATION COMMISSION, </w:t>
            </w:r>
          </w:p>
          <w:p w:rsidR="00FB66B2" w:rsidRPr="00FB66B2" w:rsidRDefault="00FB66B2" w:rsidP="00FB66B2">
            <w:pPr>
              <w:spacing w:after="0" w:line="240" w:lineRule="auto"/>
              <w:rPr>
                <w:rFonts w:ascii="Times New Roman" w:hAnsi="Times New Roman" w:cs="Times New Roman"/>
                <w:sz w:val="24"/>
                <w:szCs w:val="24"/>
              </w:rPr>
            </w:pPr>
          </w:p>
          <w:p w:rsidR="00FB66B2" w:rsidRPr="00FB66B2" w:rsidRDefault="00FB66B2" w:rsidP="00FB66B2">
            <w:pPr>
              <w:spacing w:after="0" w:line="240" w:lineRule="auto"/>
              <w:rPr>
                <w:rFonts w:ascii="Times New Roman" w:hAnsi="Times New Roman" w:cs="Times New Roman"/>
                <w:sz w:val="24"/>
                <w:szCs w:val="24"/>
              </w:rPr>
            </w:pPr>
            <w:r w:rsidRPr="00FB66B2">
              <w:rPr>
                <w:rFonts w:ascii="Times New Roman" w:hAnsi="Times New Roman" w:cs="Times New Roman"/>
                <w:sz w:val="24"/>
                <w:szCs w:val="24"/>
              </w:rPr>
              <w:tab/>
            </w:r>
            <w:r w:rsidRPr="00FB66B2">
              <w:rPr>
                <w:rFonts w:ascii="Times New Roman" w:hAnsi="Times New Roman" w:cs="Times New Roman"/>
                <w:sz w:val="24"/>
                <w:szCs w:val="24"/>
              </w:rPr>
              <w:tab/>
              <w:t>Complainant,</w:t>
            </w:r>
          </w:p>
          <w:p w:rsidR="00FB66B2" w:rsidRPr="00FB66B2" w:rsidRDefault="00FB66B2" w:rsidP="00FB66B2">
            <w:pPr>
              <w:spacing w:after="0" w:line="240" w:lineRule="auto"/>
              <w:rPr>
                <w:rFonts w:ascii="Times New Roman" w:hAnsi="Times New Roman" w:cs="Times New Roman"/>
                <w:sz w:val="24"/>
                <w:szCs w:val="24"/>
              </w:rPr>
            </w:pPr>
          </w:p>
          <w:p w:rsidR="00FB66B2" w:rsidRPr="00FB66B2" w:rsidRDefault="00FB66B2" w:rsidP="00FB66B2">
            <w:pPr>
              <w:spacing w:after="0" w:line="240" w:lineRule="auto"/>
              <w:rPr>
                <w:rFonts w:ascii="Times New Roman" w:hAnsi="Times New Roman" w:cs="Times New Roman"/>
                <w:sz w:val="24"/>
                <w:szCs w:val="24"/>
              </w:rPr>
            </w:pPr>
            <w:r w:rsidRPr="00FB66B2">
              <w:rPr>
                <w:rFonts w:ascii="Times New Roman" w:hAnsi="Times New Roman" w:cs="Times New Roman"/>
                <w:sz w:val="24"/>
                <w:szCs w:val="24"/>
              </w:rPr>
              <w:tab/>
              <w:t>v.</w:t>
            </w:r>
          </w:p>
          <w:p w:rsidR="00FB66B2" w:rsidRPr="00FB66B2" w:rsidRDefault="00FB66B2" w:rsidP="00FB66B2">
            <w:pPr>
              <w:spacing w:after="0" w:line="240" w:lineRule="auto"/>
              <w:rPr>
                <w:rFonts w:ascii="Times New Roman" w:hAnsi="Times New Roman" w:cs="Times New Roman"/>
                <w:sz w:val="24"/>
                <w:szCs w:val="24"/>
              </w:rPr>
            </w:pPr>
          </w:p>
          <w:p w:rsidR="00FB66B2" w:rsidRPr="00FB66B2" w:rsidRDefault="00FB66B2" w:rsidP="00FB66B2">
            <w:pPr>
              <w:spacing w:after="0" w:line="240" w:lineRule="auto"/>
              <w:rPr>
                <w:rFonts w:ascii="Times New Roman" w:hAnsi="Times New Roman" w:cs="Times New Roman"/>
                <w:sz w:val="24"/>
                <w:szCs w:val="24"/>
              </w:rPr>
            </w:pPr>
            <w:r w:rsidRPr="00FB66B2">
              <w:rPr>
                <w:rFonts w:ascii="Times New Roman" w:hAnsi="Times New Roman" w:cs="Times New Roman"/>
                <w:sz w:val="24"/>
                <w:szCs w:val="24"/>
              </w:rPr>
              <w:t xml:space="preserve">PACIFICORP D/B/A PACIFIC POWER &amp; LIGHT COMPANY, </w:t>
            </w:r>
          </w:p>
          <w:p w:rsidR="00FB66B2" w:rsidRPr="00FB66B2" w:rsidRDefault="00FB66B2" w:rsidP="00FB66B2">
            <w:pPr>
              <w:spacing w:after="0" w:line="240" w:lineRule="auto"/>
              <w:rPr>
                <w:rFonts w:ascii="Times New Roman" w:hAnsi="Times New Roman" w:cs="Times New Roman"/>
                <w:sz w:val="24"/>
                <w:szCs w:val="24"/>
              </w:rPr>
            </w:pPr>
          </w:p>
          <w:p w:rsidR="00FB66B2" w:rsidRPr="00FB66B2" w:rsidRDefault="00FB66B2" w:rsidP="00FB66B2">
            <w:pPr>
              <w:spacing w:after="0" w:line="240" w:lineRule="auto"/>
              <w:rPr>
                <w:rFonts w:ascii="Times New Roman" w:hAnsi="Times New Roman" w:cs="Times New Roman"/>
                <w:sz w:val="24"/>
                <w:szCs w:val="24"/>
              </w:rPr>
            </w:pPr>
            <w:r w:rsidRPr="00FB66B2">
              <w:rPr>
                <w:rFonts w:ascii="Times New Roman" w:hAnsi="Times New Roman" w:cs="Times New Roman"/>
                <w:sz w:val="24"/>
                <w:szCs w:val="24"/>
              </w:rPr>
              <w:tab/>
            </w:r>
            <w:r w:rsidRPr="00FB66B2">
              <w:rPr>
                <w:rFonts w:ascii="Times New Roman" w:hAnsi="Times New Roman" w:cs="Times New Roman"/>
                <w:sz w:val="24"/>
                <w:szCs w:val="24"/>
              </w:rPr>
              <w:tab/>
              <w:t>Respondent.</w:t>
            </w:r>
          </w:p>
          <w:p w:rsidR="00FB66B2" w:rsidRPr="00FB66B2" w:rsidRDefault="00FB66B2" w:rsidP="00FB66B2">
            <w:pPr>
              <w:spacing w:after="0" w:line="240" w:lineRule="auto"/>
              <w:rPr>
                <w:rFonts w:ascii="Times New Roman" w:hAnsi="Times New Roman" w:cs="Times New Roman"/>
                <w:sz w:val="24"/>
                <w:szCs w:val="24"/>
              </w:rPr>
            </w:pPr>
          </w:p>
        </w:tc>
        <w:tc>
          <w:tcPr>
            <w:tcW w:w="4590" w:type="dxa"/>
            <w:tcBorders>
              <w:top w:val="single" w:sz="6" w:space="0" w:color="FFFFFF"/>
              <w:left w:val="single" w:sz="7" w:space="0" w:color="000000"/>
              <w:bottom w:val="single" w:sz="6" w:space="0" w:color="FFFFFF"/>
              <w:right w:val="single" w:sz="6" w:space="0" w:color="FFFFFF"/>
            </w:tcBorders>
          </w:tcPr>
          <w:p w:rsidR="00FB66B2" w:rsidRPr="00FB66B2" w:rsidRDefault="00FB66B2" w:rsidP="00FB66B2">
            <w:pPr>
              <w:spacing w:after="0" w:line="240" w:lineRule="auto"/>
              <w:ind w:firstLine="720"/>
              <w:rPr>
                <w:rFonts w:ascii="Times New Roman" w:hAnsi="Times New Roman" w:cs="Times New Roman"/>
                <w:sz w:val="24"/>
                <w:szCs w:val="24"/>
              </w:rPr>
            </w:pPr>
            <w:r w:rsidRPr="00FB66B2">
              <w:rPr>
                <w:rFonts w:ascii="Times New Roman" w:hAnsi="Times New Roman" w:cs="Times New Roman"/>
                <w:sz w:val="24"/>
                <w:szCs w:val="24"/>
              </w:rPr>
              <w:t xml:space="preserve">DOCKET UE-100749 </w:t>
            </w:r>
          </w:p>
          <w:p w:rsidR="00FB66B2" w:rsidRPr="00FB66B2" w:rsidRDefault="00FB66B2" w:rsidP="00FB66B2">
            <w:pPr>
              <w:spacing w:after="0" w:line="240" w:lineRule="auto"/>
              <w:rPr>
                <w:rFonts w:ascii="Times New Roman" w:hAnsi="Times New Roman" w:cs="Times New Roman"/>
                <w:sz w:val="24"/>
                <w:szCs w:val="24"/>
              </w:rPr>
            </w:pPr>
          </w:p>
          <w:p w:rsidR="00FB66B2" w:rsidRPr="00FB66B2" w:rsidRDefault="00F65661" w:rsidP="00FB66B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COMMISSION STAFF </w:t>
            </w:r>
            <w:r w:rsidR="00FB66B2" w:rsidRPr="00FB66B2">
              <w:rPr>
                <w:rFonts w:ascii="Times New Roman" w:hAnsi="Times New Roman" w:cs="Times New Roman"/>
                <w:sz w:val="24"/>
                <w:szCs w:val="24"/>
              </w:rPr>
              <w:t xml:space="preserve">PETITION FOR RECONSIDERATION </w:t>
            </w:r>
          </w:p>
        </w:tc>
      </w:tr>
    </w:tbl>
    <w:p w:rsidR="00FB66B2" w:rsidRPr="00FB66B2" w:rsidRDefault="00FB66B2" w:rsidP="00FB66B2">
      <w:pPr>
        <w:spacing w:after="0" w:line="240" w:lineRule="auto"/>
        <w:jc w:val="both"/>
        <w:rPr>
          <w:rFonts w:ascii="Times New Roman" w:hAnsi="Times New Roman" w:cs="Times New Roman"/>
          <w:sz w:val="24"/>
          <w:szCs w:val="24"/>
        </w:rPr>
      </w:pPr>
    </w:p>
    <w:p w:rsidR="00AA35F5" w:rsidRDefault="00AA35F5" w:rsidP="00FB66B2">
      <w:pPr>
        <w:spacing w:after="0" w:line="240" w:lineRule="auto"/>
        <w:jc w:val="both"/>
        <w:rPr>
          <w:rFonts w:ascii="Times New Roman" w:hAnsi="Times New Roman" w:cs="Times New Roman"/>
          <w:sz w:val="24"/>
          <w:szCs w:val="24"/>
        </w:rPr>
      </w:pPr>
    </w:p>
    <w:p w:rsidR="00B738B4" w:rsidRDefault="00B738B4" w:rsidP="00FB66B2">
      <w:pPr>
        <w:spacing w:after="0" w:line="240" w:lineRule="auto"/>
        <w:jc w:val="both"/>
        <w:rPr>
          <w:rFonts w:ascii="Times New Roman" w:hAnsi="Times New Roman" w:cs="Times New Roman"/>
          <w:sz w:val="24"/>
          <w:szCs w:val="24"/>
        </w:rPr>
      </w:pPr>
    </w:p>
    <w:p w:rsidR="00775561" w:rsidRPr="00684526" w:rsidRDefault="00684526" w:rsidP="00AA35F5">
      <w:pPr>
        <w:spacing w:after="0" w:line="240" w:lineRule="auto"/>
        <w:jc w:val="center"/>
        <w:rPr>
          <w:rFonts w:ascii="Times New Roman" w:hAnsi="Times New Roman" w:cs="Times New Roman"/>
          <w:b/>
          <w:sz w:val="24"/>
          <w:szCs w:val="24"/>
        </w:rPr>
      </w:pPr>
      <w:r w:rsidRPr="00684526">
        <w:rPr>
          <w:rFonts w:ascii="Times New Roman" w:hAnsi="Times New Roman" w:cs="Times New Roman"/>
          <w:b/>
          <w:sz w:val="24"/>
          <w:szCs w:val="24"/>
        </w:rPr>
        <w:t>I.</w:t>
      </w:r>
      <w:r w:rsidR="00AA35F5">
        <w:rPr>
          <w:rFonts w:ascii="Times New Roman" w:hAnsi="Times New Roman" w:cs="Times New Roman"/>
          <w:b/>
          <w:sz w:val="24"/>
          <w:szCs w:val="24"/>
        </w:rPr>
        <w:tab/>
      </w:r>
      <w:r w:rsidRPr="00684526">
        <w:rPr>
          <w:rFonts w:ascii="Times New Roman" w:hAnsi="Times New Roman" w:cs="Times New Roman"/>
          <w:b/>
          <w:sz w:val="24"/>
          <w:szCs w:val="24"/>
        </w:rPr>
        <w:t>Introduction</w:t>
      </w:r>
    </w:p>
    <w:p w:rsidR="00684526" w:rsidRDefault="00684526" w:rsidP="00FB66B2">
      <w:pPr>
        <w:spacing w:after="0" w:line="240" w:lineRule="auto"/>
        <w:jc w:val="both"/>
        <w:rPr>
          <w:rFonts w:ascii="Times New Roman" w:hAnsi="Times New Roman" w:cs="Times New Roman"/>
          <w:sz w:val="24"/>
          <w:szCs w:val="24"/>
        </w:rPr>
      </w:pPr>
    </w:p>
    <w:p w:rsidR="00E219C9" w:rsidRDefault="00684526" w:rsidP="00FB66B2">
      <w:pPr>
        <w:pStyle w:val="FootnoteText"/>
        <w:numPr>
          <w:ilvl w:val="0"/>
          <w:numId w:val="4"/>
        </w:numPr>
        <w:spacing w:line="480" w:lineRule="auto"/>
        <w:rPr>
          <w:sz w:val="24"/>
          <w:szCs w:val="24"/>
        </w:rPr>
      </w:pPr>
      <w:r>
        <w:rPr>
          <w:rFonts w:cs="Times New Roman"/>
          <w:sz w:val="24"/>
          <w:szCs w:val="24"/>
        </w:rPr>
        <w:tab/>
        <w:t xml:space="preserve">Pursuant to WAC 480-07-850, </w:t>
      </w:r>
      <w:r w:rsidR="00343694">
        <w:rPr>
          <w:rFonts w:cs="Times New Roman"/>
          <w:sz w:val="24"/>
          <w:szCs w:val="24"/>
        </w:rPr>
        <w:t xml:space="preserve">Commission </w:t>
      </w:r>
      <w:r>
        <w:rPr>
          <w:rFonts w:cs="Times New Roman"/>
          <w:sz w:val="24"/>
          <w:szCs w:val="24"/>
        </w:rPr>
        <w:t xml:space="preserve">Staff </w:t>
      </w:r>
      <w:r w:rsidR="00343694">
        <w:rPr>
          <w:rFonts w:cs="Times New Roman"/>
          <w:sz w:val="24"/>
          <w:szCs w:val="24"/>
        </w:rPr>
        <w:t xml:space="preserve">(Staff) </w:t>
      </w:r>
      <w:r>
        <w:rPr>
          <w:rFonts w:cs="Times New Roman"/>
          <w:sz w:val="24"/>
          <w:szCs w:val="24"/>
        </w:rPr>
        <w:t>seeks reconsideration of the Commission’s decision on capital structure in Order 06</w:t>
      </w:r>
      <w:r w:rsidR="00AA35F5">
        <w:rPr>
          <w:rStyle w:val="FootnoteReference"/>
          <w:rFonts w:cs="Times New Roman"/>
          <w:sz w:val="24"/>
          <w:szCs w:val="24"/>
        </w:rPr>
        <w:footnoteReference w:id="1"/>
      </w:r>
      <w:r w:rsidR="00AA35F5">
        <w:rPr>
          <w:rFonts w:cs="Times New Roman"/>
          <w:sz w:val="24"/>
          <w:szCs w:val="24"/>
        </w:rPr>
        <w:t xml:space="preserve"> (Order)</w:t>
      </w:r>
      <w:r>
        <w:rPr>
          <w:rFonts w:cs="Times New Roman"/>
          <w:sz w:val="24"/>
          <w:szCs w:val="24"/>
        </w:rPr>
        <w:t xml:space="preserve"> issued March 25, 2011.  Specifically, </w:t>
      </w:r>
      <w:r w:rsidR="00EF0222" w:rsidRPr="00FB66B2">
        <w:rPr>
          <w:sz w:val="24"/>
          <w:szCs w:val="24"/>
        </w:rPr>
        <w:t xml:space="preserve">Staff seeks reconsideration of the Commission’s decision to use a 49.1 percent equity ratio in the ratemaking capital structure and to exclude short-term debt.  The Commission should reconsider that decision and adopt Staff’s recommended capital structure of 46.5 percent equity, </w:t>
      </w:r>
      <w:r w:rsidR="003C3712" w:rsidRPr="00FB66B2">
        <w:rPr>
          <w:sz w:val="24"/>
          <w:szCs w:val="24"/>
        </w:rPr>
        <w:t>3.0</w:t>
      </w:r>
      <w:r w:rsidR="00EF0222" w:rsidRPr="00FB66B2">
        <w:rPr>
          <w:sz w:val="24"/>
          <w:szCs w:val="24"/>
        </w:rPr>
        <w:t xml:space="preserve"> percent short-term debt, 0.30 percent preferred and 50.20 percent long-term debt.</w:t>
      </w:r>
    </w:p>
    <w:p w:rsidR="00684526" w:rsidRPr="00684526" w:rsidRDefault="00684526" w:rsidP="00684526">
      <w:pPr>
        <w:pStyle w:val="FootnoteText"/>
        <w:spacing w:line="480" w:lineRule="auto"/>
        <w:jc w:val="center"/>
        <w:rPr>
          <w:b/>
          <w:sz w:val="24"/>
          <w:szCs w:val="24"/>
        </w:rPr>
      </w:pPr>
      <w:r>
        <w:rPr>
          <w:b/>
          <w:sz w:val="24"/>
          <w:szCs w:val="24"/>
        </w:rPr>
        <w:lastRenderedPageBreak/>
        <w:t>II.</w:t>
      </w:r>
      <w:r>
        <w:rPr>
          <w:b/>
          <w:sz w:val="24"/>
          <w:szCs w:val="24"/>
        </w:rPr>
        <w:tab/>
        <w:t>Discussion</w:t>
      </w:r>
      <w:r w:rsidR="00EC2D97">
        <w:rPr>
          <w:rStyle w:val="FootnoteReference"/>
          <w:b/>
          <w:sz w:val="24"/>
          <w:szCs w:val="24"/>
        </w:rPr>
        <w:footnoteReference w:id="2"/>
      </w:r>
    </w:p>
    <w:p w:rsidR="009D2BE0" w:rsidRDefault="009D2BE0" w:rsidP="005E1FE1">
      <w:pPr>
        <w:pStyle w:val="ListParagraph"/>
        <w:spacing w:after="0" w:line="240" w:lineRule="auto"/>
        <w:ind w:hanging="720"/>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A Ratemaking Capital Structure Containing an Equity Ratio of 46.5 Percent Is Safe and Economical, and Consistent With How Most Electric Utilities in This Country Are Capitalized</w:t>
      </w:r>
    </w:p>
    <w:p w:rsidR="009D2BE0" w:rsidRPr="005E1FE1" w:rsidRDefault="009D2BE0" w:rsidP="005E1FE1">
      <w:pPr>
        <w:pStyle w:val="ListParagraph"/>
        <w:spacing w:after="0" w:line="240" w:lineRule="auto"/>
        <w:ind w:left="0"/>
        <w:rPr>
          <w:rFonts w:ascii="Times New Roman" w:hAnsi="Times New Roman" w:cs="Times New Roman"/>
          <w:b/>
          <w:sz w:val="24"/>
          <w:szCs w:val="24"/>
        </w:rPr>
      </w:pPr>
    </w:p>
    <w:p w:rsidR="00420BBD" w:rsidRPr="00FB66B2" w:rsidRDefault="00FB66B2" w:rsidP="00FB66B2">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65395" w:rsidRPr="00FB66B2">
        <w:rPr>
          <w:rFonts w:ascii="Times New Roman" w:hAnsi="Times New Roman" w:cs="Times New Roman"/>
          <w:sz w:val="24"/>
          <w:szCs w:val="24"/>
        </w:rPr>
        <w:t>At</w:t>
      </w:r>
      <w:r w:rsidR="00420BBD" w:rsidRPr="00FB66B2">
        <w:rPr>
          <w:rFonts w:ascii="Times New Roman" w:hAnsi="Times New Roman" w:cs="Times New Roman"/>
          <w:sz w:val="24"/>
          <w:szCs w:val="24"/>
        </w:rPr>
        <w:t xml:space="preserve"> the outset, Staff </w:t>
      </w:r>
      <w:r w:rsidR="003C3712" w:rsidRPr="00FB66B2">
        <w:rPr>
          <w:rFonts w:ascii="Times New Roman" w:hAnsi="Times New Roman" w:cs="Times New Roman"/>
          <w:sz w:val="24"/>
          <w:szCs w:val="24"/>
        </w:rPr>
        <w:t xml:space="preserve">recognizes </w:t>
      </w:r>
      <w:r w:rsidR="00343694">
        <w:rPr>
          <w:rFonts w:ascii="Times New Roman" w:hAnsi="Times New Roman" w:cs="Times New Roman"/>
          <w:sz w:val="24"/>
          <w:szCs w:val="24"/>
        </w:rPr>
        <w:t xml:space="preserve">the bulk </w:t>
      </w:r>
      <w:r w:rsidR="00AA35F5">
        <w:rPr>
          <w:rFonts w:ascii="Times New Roman" w:hAnsi="Times New Roman" w:cs="Times New Roman"/>
          <w:sz w:val="24"/>
          <w:szCs w:val="24"/>
        </w:rPr>
        <w:t xml:space="preserve">of </w:t>
      </w:r>
      <w:r w:rsidR="00420BBD" w:rsidRPr="00FB66B2">
        <w:rPr>
          <w:rFonts w:ascii="Times New Roman" w:hAnsi="Times New Roman" w:cs="Times New Roman"/>
          <w:sz w:val="24"/>
          <w:szCs w:val="24"/>
        </w:rPr>
        <w:t xml:space="preserve">the Commission’s discussion of the capital structure issue </w:t>
      </w:r>
      <w:r w:rsidR="00AA35F5">
        <w:rPr>
          <w:rFonts w:ascii="Times New Roman" w:hAnsi="Times New Roman" w:cs="Times New Roman"/>
          <w:sz w:val="24"/>
          <w:szCs w:val="24"/>
        </w:rPr>
        <w:t xml:space="preserve">is </w:t>
      </w:r>
      <w:r w:rsidR="003C3712" w:rsidRPr="00FB66B2">
        <w:rPr>
          <w:rFonts w:ascii="Times New Roman" w:hAnsi="Times New Roman" w:cs="Times New Roman"/>
          <w:sz w:val="24"/>
          <w:szCs w:val="24"/>
        </w:rPr>
        <w:t xml:space="preserve">fundamentally correct and well-supported, </w:t>
      </w:r>
      <w:r w:rsidR="00420BBD" w:rsidRPr="00FB66B2">
        <w:rPr>
          <w:rFonts w:ascii="Times New Roman" w:hAnsi="Times New Roman" w:cs="Times New Roman"/>
          <w:sz w:val="24"/>
          <w:szCs w:val="24"/>
        </w:rPr>
        <w:t xml:space="preserve">beginning with </w:t>
      </w:r>
      <w:r w:rsidR="00D27ECF">
        <w:rPr>
          <w:rFonts w:ascii="Times New Roman" w:hAnsi="Times New Roman" w:cs="Times New Roman"/>
          <w:sz w:val="24"/>
          <w:szCs w:val="24"/>
        </w:rPr>
        <w:t xml:space="preserve">how the Commission </w:t>
      </w:r>
      <w:r w:rsidR="00D97B84" w:rsidRPr="00FB66B2">
        <w:rPr>
          <w:rFonts w:ascii="Times New Roman" w:hAnsi="Times New Roman" w:cs="Times New Roman"/>
          <w:sz w:val="24"/>
          <w:szCs w:val="24"/>
        </w:rPr>
        <w:t>plac</w:t>
      </w:r>
      <w:r w:rsidR="00D27ECF">
        <w:rPr>
          <w:rFonts w:ascii="Times New Roman" w:hAnsi="Times New Roman" w:cs="Times New Roman"/>
          <w:sz w:val="24"/>
          <w:szCs w:val="24"/>
        </w:rPr>
        <w:t>ed</w:t>
      </w:r>
      <w:r w:rsidR="00D97B84" w:rsidRPr="00FB66B2">
        <w:rPr>
          <w:rFonts w:ascii="Times New Roman" w:hAnsi="Times New Roman" w:cs="Times New Roman"/>
          <w:sz w:val="24"/>
          <w:szCs w:val="24"/>
        </w:rPr>
        <w:t xml:space="preserve"> the </w:t>
      </w:r>
      <w:r w:rsidR="00420BBD" w:rsidRPr="00FB66B2">
        <w:rPr>
          <w:rFonts w:ascii="Times New Roman" w:hAnsi="Times New Roman" w:cs="Times New Roman"/>
          <w:sz w:val="24"/>
          <w:szCs w:val="24"/>
        </w:rPr>
        <w:t xml:space="preserve">issue in the correct context by </w:t>
      </w:r>
      <w:r w:rsidR="00285E41" w:rsidRPr="00FB66B2">
        <w:rPr>
          <w:rFonts w:ascii="Times New Roman" w:hAnsi="Times New Roman" w:cs="Times New Roman"/>
          <w:sz w:val="24"/>
          <w:szCs w:val="24"/>
        </w:rPr>
        <w:t>not</w:t>
      </w:r>
      <w:r w:rsidR="00420BBD" w:rsidRPr="00FB66B2">
        <w:rPr>
          <w:rFonts w:ascii="Times New Roman" w:hAnsi="Times New Roman" w:cs="Times New Roman"/>
          <w:sz w:val="24"/>
          <w:szCs w:val="24"/>
        </w:rPr>
        <w:t>ing</w:t>
      </w:r>
      <w:r w:rsidR="00285E41" w:rsidRPr="00FB66B2">
        <w:rPr>
          <w:rFonts w:ascii="Times New Roman" w:hAnsi="Times New Roman" w:cs="Times New Roman"/>
          <w:sz w:val="24"/>
          <w:szCs w:val="24"/>
        </w:rPr>
        <w:t xml:space="preserve"> that capital structure and rate of return “have the greatest impact on revenue requirements in this case.”</w:t>
      </w:r>
      <w:r w:rsidR="00285E41">
        <w:rPr>
          <w:rStyle w:val="FootnoteReference"/>
          <w:rFonts w:ascii="Times New Roman" w:hAnsi="Times New Roman" w:cs="Times New Roman"/>
          <w:sz w:val="24"/>
          <w:szCs w:val="24"/>
        </w:rPr>
        <w:footnoteReference w:id="3"/>
      </w:r>
      <w:r w:rsidR="00285E41" w:rsidRPr="00FB66B2">
        <w:rPr>
          <w:rFonts w:ascii="Times New Roman" w:hAnsi="Times New Roman" w:cs="Times New Roman"/>
          <w:sz w:val="24"/>
          <w:szCs w:val="24"/>
        </w:rPr>
        <w:t xml:space="preserve">  </w:t>
      </w:r>
    </w:p>
    <w:p w:rsidR="00EF0222" w:rsidRPr="00FB66B2" w:rsidRDefault="00FB66B2" w:rsidP="00FB66B2">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85E41" w:rsidRPr="00FB66B2">
        <w:rPr>
          <w:rFonts w:ascii="Times New Roman" w:hAnsi="Times New Roman" w:cs="Times New Roman"/>
          <w:sz w:val="24"/>
          <w:szCs w:val="24"/>
        </w:rPr>
        <w:t xml:space="preserve">The </w:t>
      </w:r>
      <w:r w:rsidR="00AA35F5">
        <w:rPr>
          <w:rFonts w:ascii="Times New Roman" w:hAnsi="Times New Roman" w:cs="Times New Roman"/>
          <w:sz w:val="24"/>
          <w:szCs w:val="24"/>
        </w:rPr>
        <w:t xml:space="preserve">Commission </w:t>
      </w:r>
      <w:r w:rsidR="00285E41" w:rsidRPr="00FB66B2">
        <w:rPr>
          <w:rFonts w:ascii="Times New Roman" w:hAnsi="Times New Roman" w:cs="Times New Roman"/>
          <w:sz w:val="24"/>
          <w:szCs w:val="24"/>
        </w:rPr>
        <w:t>adopt</w:t>
      </w:r>
      <w:r w:rsidR="00A704AF" w:rsidRPr="00FB66B2">
        <w:rPr>
          <w:rFonts w:ascii="Times New Roman" w:hAnsi="Times New Roman" w:cs="Times New Roman"/>
          <w:sz w:val="24"/>
          <w:szCs w:val="24"/>
        </w:rPr>
        <w:t>ed</w:t>
      </w:r>
      <w:r w:rsidR="00285E41" w:rsidRPr="00FB66B2">
        <w:rPr>
          <w:rFonts w:ascii="Times New Roman" w:hAnsi="Times New Roman" w:cs="Times New Roman"/>
          <w:sz w:val="24"/>
          <w:szCs w:val="24"/>
        </w:rPr>
        <w:t xml:space="preserve"> the correct standard</w:t>
      </w:r>
      <w:r w:rsidR="00D97B84" w:rsidRPr="00FB66B2">
        <w:rPr>
          <w:rFonts w:ascii="Times New Roman" w:hAnsi="Times New Roman" w:cs="Times New Roman"/>
          <w:sz w:val="24"/>
          <w:szCs w:val="24"/>
        </w:rPr>
        <w:t xml:space="preserve"> for evaluating capital structure for ratemaking</w:t>
      </w:r>
      <w:r w:rsidR="00285E41" w:rsidRPr="00FB66B2">
        <w:rPr>
          <w:rFonts w:ascii="Times New Roman" w:hAnsi="Times New Roman" w:cs="Times New Roman"/>
          <w:sz w:val="24"/>
          <w:szCs w:val="24"/>
        </w:rPr>
        <w:t xml:space="preserve">:  </w:t>
      </w:r>
      <w:r w:rsidR="008E1DC3" w:rsidRPr="00FB66B2">
        <w:rPr>
          <w:rFonts w:ascii="Times New Roman" w:hAnsi="Times New Roman" w:cs="Times New Roman"/>
          <w:sz w:val="24"/>
          <w:szCs w:val="24"/>
        </w:rPr>
        <w:t>“…a capital structure should be balanced in a way that achieves financial safety while minimizing financial risk so the company may finance its operations at least cost”</w:t>
      </w:r>
      <w:r w:rsidR="00285E41" w:rsidRPr="00FB66B2">
        <w:rPr>
          <w:rFonts w:ascii="Times New Roman" w:hAnsi="Times New Roman" w:cs="Times New Roman"/>
          <w:sz w:val="24"/>
          <w:szCs w:val="24"/>
        </w:rPr>
        <w:t>.</w:t>
      </w:r>
      <w:r w:rsidR="00285E41">
        <w:rPr>
          <w:rStyle w:val="FootnoteReference"/>
          <w:rFonts w:ascii="Times New Roman" w:hAnsi="Times New Roman" w:cs="Times New Roman"/>
          <w:sz w:val="24"/>
          <w:szCs w:val="24"/>
        </w:rPr>
        <w:footnoteReference w:id="4"/>
      </w:r>
      <w:r w:rsidR="00EF0222" w:rsidRPr="00FB66B2">
        <w:rPr>
          <w:rFonts w:ascii="Times New Roman" w:hAnsi="Times New Roman" w:cs="Times New Roman"/>
          <w:sz w:val="24"/>
          <w:szCs w:val="24"/>
        </w:rPr>
        <w:t xml:space="preserve">  </w:t>
      </w:r>
      <w:r w:rsidR="00D97B84" w:rsidRPr="00FB66B2">
        <w:rPr>
          <w:rFonts w:ascii="Times New Roman" w:hAnsi="Times New Roman" w:cs="Times New Roman"/>
          <w:sz w:val="24"/>
          <w:szCs w:val="24"/>
        </w:rPr>
        <w:t xml:space="preserve">The </w:t>
      </w:r>
      <w:r w:rsidR="00420BBD" w:rsidRPr="00FB66B2">
        <w:rPr>
          <w:rFonts w:ascii="Times New Roman" w:hAnsi="Times New Roman" w:cs="Times New Roman"/>
          <w:sz w:val="24"/>
          <w:szCs w:val="24"/>
        </w:rPr>
        <w:t>Commission correctly recognized the Company should be capitalized with “sufficient equity to provide financial security” but nor more than necessary to keep costs reasonable</w:t>
      </w:r>
      <w:r w:rsidR="00965395" w:rsidRPr="00FB66B2">
        <w:rPr>
          <w:rFonts w:ascii="Times New Roman" w:hAnsi="Times New Roman" w:cs="Times New Roman"/>
          <w:sz w:val="24"/>
          <w:szCs w:val="24"/>
        </w:rPr>
        <w:t>.</w:t>
      </w:r>
      <w:r w:rsidR="00420BBD">
        <w:rPr>
          <w:rStyle w:val="FootnoteReference"/>
          <w:rFonts w:ascii="Times New Roman" w:hAnsi="Times New Roman" w:cs="Times New Roman"/>
          <w:sz w:val="24"/>
          <w:szCs w:val="24"/>
        </w:rPr>
        <w:footnoteReference w:id="5"/>
      </w:r>
      <w:r w:rsidR="00420BBD" w:rsidRPr="00FB66B2">
        <w:rPr>
          <w:rFonts w:ascii="Times New Roman" w:hAnsi="Times New Roman" w:cs="Times New Roman"/>
          <w:sz w:val="24"/>
          <w:szCs w:val="24"/>
        </w:rPr>
        <w:t xml:space="preserve"> </w:t>
      </w:r>
    </w:p>
    <w:p w:rsidR="00420BBD" w:rsidRDefault="00FB66B2" w:rsidP="00FB66B2">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20BBD" w:rsidRPr="00FB66B2">
        <w:rPr>
          <w:rFonts w:ascii="Times New Roman" w:hAnsi="Times New Roman" w:cs="Times New Roman"/>
          <w:sz w:val="24"/>
          <w:szCs w:val="24"/>
        </w:rPr>
        <w:t xml:space="preserve">The Commission </w:t>
      </w:r>
      <w:r w:rsidR="00AA35F5">
        <w:rPr>
          <w:rFonts w:ascii="Times New Roman" w:hAnsi="Times New Roman" w:cs="Times New Roman"/>
          <w:sz w:val="24"/>
          <w:szCs w:val="24"/>
        </w:rPr>
        <w:t xml:space="preserve">was also </w:t>
      </w:r>
      <w:r w:rsidR="00420BBD" w:rsidRPr="00FB66B2">
        <w:rPr>
          <w:rFonts w:ascii="Times New Roman" w:hAnsi="Times New Roman" w:cs="Times New Roman"/>
          <w:sz w:val="24"/>
          <w:szCs w:val="24"/>
        </w:rPr>
        <w:t>astute</w:t>
      </w:r>
      <w:r w:rsidR="00AA35F5">
        <w:rPr>
          <w:rFonts w:ascii="Times New Roman" w:hAnsi="Times New Roman" w:cs="Times New Roman"/>
          <w:sz w:val="24"/>
          <w:szCs w:val="24"/>
        </w:rPr>
        <w:t xml:space="preserve"> </w:t>
      </w:r>
      <w:r w:rsidR="00B11D73">
        <w:rPr>
          <w:rFonts w:ascii="Times New Roman" w:hAnsi="Times New Roman" w:cs="Times New Roman"/>
          <w:sz w:val="24"/>
          <w:szCs w:val="24"/>
        </w:rPr>
        <w:t xml:space="preserve">and </w:t>
      </w:r>
      <w:r w:rsidR="00AA35F5">
        <w:rPr>
          <w:rFonts w:ascii="Times New Roman" w:hAnsi="Times New Roman" w:cs="Times New Roman"/>
          <w:sz w:val="24"/>
          <w:szCs w:val="24"/>
        </w:rPr>
        <w:t>accurate to</w:t>
      </w:r>
      <w:r w:rsidR="00420BBD" w:rsidRPr="00FB66B2">
        <w:rPr>
          <w:rFonts w:ascii="Times New Roman" w:hAnsi="Times New Roman" w:cs="Times New Roman"/>
          <w:sz w:val="24"/>
          <w:szCs w:val="24"/>
        </w:rPr>
        <w:t xml:space="preserve"> </w:t>
      </w:r>
      <w:r w:rsidR="00AA35F5">
        <w:rPr>
          <w:rFonts w:ascii="Times New Roman" w:hAnsi="Times New Roman" w:cs="Times New Roman"/>
          <w:sz w:val="24"/>
          <w:szCs w:val="24"/>
        </w:rPr>
        <w:t>note that</w:t>
      </w:r>
      <w:r w:rsidR="00AA35F5" w:rsidRPr="00AA35F5">
        <w:rPr>
          <w:rFonts w:ascii="Times New Roman" w:hAnsi="Times New Roman" w:cs="Times New Roman"/>
          <w:sz w:val="24"/>
          <w:szCs w:val="24"/>
        </w:rPr>
        <w:t xml:space="preserve"> </w:t>
      </w:r>
      <w:r w:rsidR="00420BBD" w:rsidRPr="00FB66B2">
        <w:rPr>
          <w:rFonts w:ascii="Times New Roman" w:hAnsi="Times New Roman" w:cs="Times New Roman"/>
          <w:sz w:val="24"/>
          <w:szCs w:val="24"/>
        </w:rPr>
        <w:t xml:space="preserve">MEHC (PacifiCorp’s owner) </w:t>
      </w:r>
      <w:r w:rsidR="00AA35F5">
        <w:rPr>
          <w:rFonts w:ascii="Times New Roman" w:hAnsi="Times New Roman" w:cs="Times New Roman"/>
          <w:sz w:val="24"/>
          <w:szCs w:val="24"/>
        </w:rPr>
        <w:t xml:space="preserve">has the </w:t>
      </w:r>
      <w:r w:rsidR="00343694">
        <w:rPr>
          <w:rFonts w:ascii="Times New Roman" w:hAnsi="Times New Roman" w:cs="Times New Roman"/>
          <w:sz w:val="24"/>
          <w:szCs w:val="24"/>
        </w:rPr>
        <w:t xml:space="preserve">financial </w:t>
      </w:r>
      <w:r w:rsidR="00420BBD" w:rsidRPr="00FB66B2">
        <w:rPr>
          <w:rFonts w:ascii="Times New Roman" w:hAnsi="Times New Roman" w:cs="Times New Roman"/>
          <w:sz w:val="24"/>
          <w:szCs w:val="24"/>
        </w:rPr>
        <w:t>incentive to maximize its returns by means of higher and higher equity ratios:  “we understand MEH</w:t>
      </w:r>
      <w:r w:rsidR="000E138E" w:rsidRPr="00FB66B2">
        <w:rPr>
          <w:rFonts w:ascii="Times New Roman" w:hAnsi="Times New Roman" w:cs="Times New Roman"/>
          <w:sz w:val="24"/>
          <w:szCs w:val="24"/>
        </w:rPr>
        <w:t>C</w:t>
      </w:r>
      <w:r w:rsidR="00420BBD" w:rsidRPr="00FB66B2">
        <w:rPr>
          <w:rFonts w:ascii="Times New Roman" w:hAnsi="Times New Roman" w:cs="Times New Roman"/>
          <w:sz w:val="24"/>
          <w:szCs w:val="24"/>
        </w:rPr>
        <w:t>’s interest in expanding the equity ratio to reap greater equity returns”</w:t>
      </w:r>
      <w:r w:rsidR="00965395" w:rsidRPr="00FB66B2">
        <w:rPr>
          <w:rFonts w:ascii="Times New Roman" w:hAnsi="Times New Roman" w:cs="Times New Roman"/>
          <w:sz w:val="24"/>
          <w:szCs w:val="24"/>
        </w:rPr>
        <w:t>,</w:t>
      </w:r>
      <w:r w:rsidR="00420BBD">
        <w:rPr>
          <w:rStyle w:val="FootnoteReference"/>
          <w:rFonts w:ascii="Times New Roman" w:hAnsi="Times New Roman" w:cs="Times New Roman"/>
          <w:sz w:val="24"/>
          <w:szCs w:val="24"/>
        </w:rPr>
        <w:footnoteReference w:id="6"/>
      </w:r>
      <w:r w:rsidR="00965395" w:rsidRPr="00FB66B2">
        <w:rPr>
          <w:rFonts w:ascii="Times New Roman" w:hAnsi="Times New Roman" w:cs="Times New Roman"/>
          <w:sz w:val="24"/>
          <w:szCs w:val="24"/>
        </w:rPr>
        <w:t xml:space="preserve">  and </w:t>
      </w:r>
      <w:r w:rsidR="00AA35F5">
        <w:rPr>
          <w:rFonts w:ascii="Times New Roman" w:hAnsi="Times New Roman" w:cs="Times New Roman"/>
          <w:sz w:val="24"/>
          <w:szCs w:val="24"/>
        </w:rPr>
        <w:t xml:space="preserve">the Commission </w:t>
      </w:r>
      <w:r w:rsidR="008E111C" w:rsidRPr="00FB66B2">
        <w:rPr>
          <w:rFonts w:ascii="Times New Roman" w:hAnsi="Times New Roman" w:cs="Times New Roman"/>
          <w:sz w:val="24"/>
          <w:szCs w:val="24"/>
        </w:rPr>
        <w:t xml:space="preserve">properly concluded </w:t>
      </w:r>
      <w:r w:rsidR="00965395" w:rsidRPr="00FB66B2">
        <w:rPr>
          <w:rFonts w:ascii="Times New Roman" w:hAnsi="Times New Roman" w:cs="Times New Roman"/>
          <w:sz w:val="24"/>
          <w:szCs w:val="24"/>
        </w:rPr>
        <w:t>that PacifiCorp’s actual equity ratio is excessive and favors shareholders.</w:t>
      </w:r>
      <w:r w:rsidR="00965395">
        <w:rPr>
          <w:rStyle w:val="FootnoteReference"/>
          <w:rFonts w:ascii="Times New Roman" w:hAnsi="Times New Roman" w:cs="Times New Roman"/>
          <w:sz w:val="24"/>
          <w:szCs w:val="24"/>
        </w:rPr>
        <w:footnoteReference w:id="7"/>
      </w:r>
      <w:r w:rsidR="00B738B4">
        <w:rPr>
          <w:rFonts w:ascii="Times New Roman" w:hAnsi="Times New Roman" w:cs="Times New Roman"/>
          <w:sz w:val="24"/>
          <w:szCs w:val="24"/>
        </w:rPr>
        <w:t xml:space="preserve">  </w:t>
      </w:r>
    </w:p>
    <w:p w:rsidR="00E30698" w:rsidRPr="00B738B4" w:rsidRDefault="00FB66B2" w:rsidP="00B738B4">
      <w:pPr>
        <w:pStyle w:val="ListParagraph"/>
        <w:numPr>
          <w:ilvl w:val="0"/>
          <w:numId w:val="4"/>
        </w:numPr>
        <w:spacing w:after="0" w:line="480" w:lineRule="auto"/>
        <w:rPr>
          <w:rFonts w:ascii="Times New Roman" w:hAnsi="Times New Roman" w:cs="Times New Roman"/>
          <w:sz w:val="24"/>
          <w:szCs w:val="24"/>
        </w:rPr>
      </w:pPr>
      <w:r w:rsidRPr="00B738B4">
        <w:rPr>
          <w:rFonts w:ascii="Times New Roman" w:hAnsi="Times New Roman" w:cs="Times New Roman"/>
          <w:sz w:val="24"/>
          <w:szCs w:val="24"/>
        </w:rPr>
        <w:tab/>
      </w:r>
      <w:r w:rsidR="00D97B84" w:rsidRPr="00B738B4">
        <w:rPr>
          <w:rFonts w:ascii="Times New Roman" w:hAnsi="Times New Roman" w:cs="Times New Roman"/>
          <w:sz w:val="24"/>
          <w:szCs w:val="24"/>
        </w:rPr>
        <w:t xml:space="preserve">However, the Commission should have applied the foregoing </w:t>
      </w:r>
      <w:r w:rsidR="003C3712" w:rsidRPr="00B738B4">
        <w:rPr>
          <w:rFonts w:ascii="Times New Roman" w:hAnsi="Times New Roman" w:cs="Times New Roman"/>
          <w:sz w:val="24"/>
          <w:szCs w:val="24"/>
        </w:rPr>
        <w:t>statements</w:t>
      </w:r>
      <w:r w:rsidR="00E30698" w:rsidRPr="00B738B4">
        <w:rPr>
          <w:rFonts w:ascii="Times New Roman" w:hAnsi="Times New Roman" w:cs="Times New Roman"/>
          <w:sz w:val="24"/>
          <w:szCs w:val="24"/>
        </w:rPr>
        <w:t xml:space="preserve"> </w:t>
      </w:r>
      <w:r w:rsidR="00ED0B3D" w:rsidRPr="00B738B4">
        <w:rPr>
          <w:rFonts w:ascii="Times New Roman" w:hAnsi="Times New Roman" w:cs="Times New Roman"/>
          <w:sz w:val="24"/>
          <w:szCs w:val="24"/>
        </w:rPr>
        <w:t xml:space="preserve">and analysis in the Order </w:t>
      </w:r>
      <w:r w:rsidR="00D97B84" w:rsidRPr="00B738B4">
        <w:rPr>
          <w:rFonts w:ascii="Times New Roman" w:hAnsi="Times New Roman" w:cs="Times New Roman"/>
          <w:sz w:val="24"/>
          <w:szCs w:val="24"/>
        </w:rPr>
        <w:t xml:space="preserve">to </w:t>
      </w:r>
      <w:r w:rsidR="00B632C3" w:rsidRPr="00B738B4">
        <w:rPr>
          <w:rFonts w:ascii="Times New Roman" w:hAnsi="Times New Roman" w:cs="Times New Roman"/>
          <w:sz w:val="24"/>
          <w:szCs w:val="24"/>
        </w:rPr>
        <w:t>accept the ca</w:t>
      </w:r>
      <w:r w:rsidR="00273E25" w:rsidRPr="00B738B4">
        <w:rPr>
          <w:rFonts w:ascii="Times New Roman" w:hAnsi="Times New Roman" w:cs="Times New Roman"/>
          <w:sz w:val="24"/>
          <w:szCs w:val="24"/>
        </w:rPr>
        <w:t>p</w:t>
      </w:r>
      <w:r w:rsidR="00B632C3" w:rsidRPr="00B738B4">
        <w:rPr>
          <w:rFonts w:ascii="Times New Roman" w:hAnsi="Times New Roman" w:cs="Times New Roman"/>
          <w:sz w:val="24"/>
          <w:szCs w:val="24"/>
        </w:rPr>
        <w:t>ital structure proposed by Staff</w:t>
      </w:r>
      <w:r w:rsidR="00D97B84" w:rsidRPr="00B738B4">
        <w:rPr>
          <w:rFonts w:ascii="Times New Roman" w:hAnsi="Times New Roman" w:cs="Times New Roman"/>
          <w:sz w:val="24"/>
          <w:szCs w:val="24"/>
        </w:rPr>
        <w:t xml:space="preserve">.  First, </w:t>
      </w:r>
      <w:r w:rsidR="00C96CB9" w:rsidRPr="00B738B4">
        <w:rPr>
          <w:rFonts w:ascii="Times New Roman" w:hAnsi="Times New Roman" w:cs="Times New Roman"/>
          <w:sz w:val="24"/>
          <w:szCs w:val="24"/>
        </w:rPr>
        <w:t xml:space="preserve">Staff’s proposed </w:t>
      </w:r>
      <w:r w:rsidR="00273E25" w:rsidRPr="00B738B4">
        <w:rPr>
          <w:rFonts w:ascii="Times New Roman" w:hAnsi="Times New Roman" w:cs="Times New Roman"/>
          <w:sz w:val="24"/>
          <w:szCs w:val="24"/>
        </w:rPr>
        <w:t xml:space="preserve">capital structure contains a level of common </w:t>
      </w:r>
      <w:r w:rsidR="00D97B84" w:rsidRPr="00B738B4">
        <w:rPr>
          <w:rFonts w:ascii="Times New Roman" w:hAnsi="Times New Roman" w:cs="Times New Roman"/>
          <w:sz w:val="24"/>
          <w:szCs w:val="24"/>
        </w:rPr>
        <w:t xml:space="preserve">equity </w:t>
      </w:r>
      <w:r w:rsidR="00273E25" w:rsidRPr="00B738B4">
        <w:rPr>
          <w:rFonts w:ascii="Times New Roman" w:hAnsi="Times New Roman" w:cs="Times New Roman"/>
          <w:sz w:val="24"/>
          <w:szCs w:val="24"/>
        </w:rPr>
        <w:t xml:space="preserve">(46.5 percent) that is </w:t>
      </w:r>
      <w:r w:rsidR="00B632C3" w:rsidRPr="00B738B4">
        <w:rPr>
          <w:rFonts w:ascii="Times New Roman" w:hAnsi="Times New Roman" w:cs="Times New Roman"/>
          <w:sz w:val="24"/>
          <w:szCs w:val="24"/>
        </w:rPr>
        <w:t>consistent with</w:t>
      </w:r>
      <w:r w:rsidR="00D97B84" w:rsidRPr="00B738B4">
        <w:rPr>
          <w:rFonts w:ascii="Times New Roman" w:hAnsi="Times New Roman" w:cs="Times New Roman"/>
          <w:sz w:val="24"/>
          <w:szCs w:val="24"/>
        </w:rPr>
        <w:t xml:space="preserve"> the </w:t>
      </w:r>
      <w:r w:rsidR="00E30698" w:rsidRPr="00B738B4">
        <w:rPr>
          <w:rFonts w:ascii="Times New Roman" w:hAnsi="Times New Roman" w:cs="Times New Roman"/>
          <w:sz w:val="24"/>
          <w:szCs w:val="24"/>
        </w:rPr>
        <w:t>average level of equity ratio for electric utilities in this countr</w:t>
      </w:r>
      <w:r w:rsidR="003B2414" w:rsidRPr="00B738B4">
        <w:rPr>
          <w:rFonts w:ascii="Times New Roman" w:hAnsi="Times New Roman" w:cs="Times New Roman"/>
          <w:sz w:val="24"/>
          <w:szCs w:val="24"/>
        </w:rPr>
        <w:t>y:</w:t>
      </w:r>
      <w:r w:rsidR="00B53297" w:rsidRPr="00B738B4">
        <w:rPr>
          <w:rFonts w:ascii="Times New Roman" w:hAnsi="Times New Roman" w:cs="Times New Roman"/>
          <w:sz w:val="24"/>
          <w:szCs w:val="24"/>
          <w:highlight w:val="yellow"/>
        </w:rPr>
        <w:t xml:space="preserve"> </w:t>
      </w:r>
    </w:p>
    <w:p w:rsidR="008E1DC3" w:rsidRPr="00FE5AFF" w:rsidRDefault="00E30698" w:rsidP="00A704AF">
      <w:pPr>
        <w:spacing w:line="240" w:lineRule="auto"/>
        <w:ind w:left="720"/>
        <w:rPr>
          <w:rFonts w:ascii="Times New Roman" w:hAnsi="Times New Roman" w:cs="Times New Roman"/>
          <w:sz w:val="24"/>
          <w:szCs w:val="24"/>
        </w:rPr>
      </w:pPr>
      <w:r w:rsidRPr="00E30698">
        <w:rPr>
          <w:rFonts w:ascii="Times New Roman" w:hAnsi="Times New Roman" w:cs="Times New Roman"/>
          <w:sz w:val="24"/>
          <w:szCs w:val="24"/>
        </w:rPr>
        <w:t>That data show the following for 2009, on average:  1) AUS reports electric companies were capitalized with 46 percent equity and combination electric/gas companies with 45 percent equity; 2) SNL reports the average common equity ratio for electric companies of 43.7 percent.  The SNL data includes short-term debt in the calculation of the capitalization ratios.</w:t>
      </w:r>
      <w:r>
        <w:rPr>
          <w:rStyle w:val="FootnoteReference"/>
          <w:rFonts w:ascii="Times New Roman" w:hAnsi="Times New Roman" w:cs="Times New Roman"/>
          <w:sz w:val="24"/>
          <w:szCs w:val="24"/>
        </w:rPr>
        <w:footnoteReference w:id="8"/>
      </w:r>
      <w:r w:rsidR="00D97B84">
        <w:rPr>
          <w:rFonts w:ascii="Times New Roman" w:hAnsi="Times New Roman" w:cs="Times New Roman"/>
          <w:sz w:val="24"/>
          <w:szCs w:val="24"/>
        </w:rPr>
        <w:t xml:space="preserve">  </w:t>
      </w:r>
    </w:p>
    <w:p w:rsidR="00E30698" w:rsidRPr="00FB66B2" w:rsidRDefault="00FB66B2" w:rsidP="00FB66B2">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73E25">
        <w:rPr>
          <w:rFonts w:ascii="Times New Roman" w:hAnsi="Times New Roman" w:cs="Times New Roman"/>
          <w:sz w:val="24"/>
          <w:szCs w:val="24"/>
        </w:rPr>
        <w:t xml:space="preserve">There is no reason </w:t>
      </w:r>
      <w:r w:rsidR="003B2414">
        <w:rPr>
          <w:rFonts w:ascii="Times New Roman" w:hAnsi="Times New Roman" w:cs="Times New Roman"/>
          <w:sz w:val="24"/>
          <w:szCs w:val="24"/>
        </w:rPr>
        <w:t xml:space="preserve">on this record </w:t>
      </w:r>
      <w:r w:rsidR="00273E25">
        <w:rPr>
          <w:rFonts w:ascii="Times New Roman" w:hAnsi="Times New Roman" w:cs="Times New Roman"/>
          <w:sz w:val="24"/>
          <w:szCs w:val="24"/>
        </w:rPr>
        <w:t xml:space="preserve">why PacifiCorp cannot finance successfully </w:t>
      </w:r>
      <w:r w:rsidR="003B2414">
        <w:rPr>
          <w:rFonts w:ascii="Times New Roman" w:hAnsi="Times New Roman" w:cs="Times New Roman"/>
          <w:sz w:val="24"/>
          <w:szCs w:val="24"/>
        </w:rPr>
        <w:t xml:space="preserve">based </w:t>
      </w:r>
      <w:r w:rsidR="00273E25">
        <w:rPr>
          <w:rFonts w:ascii="Times New Roman" w:hAnsi="Times New Roman" w:cs="Times New Roman"/>
          <w:sz w:val="24"/>
          <w:szCs w:val="24"/>
        </w:rPr>
        <w:t xml:space="preserve">on </w:t>
      </w:r>
      <w:r w:rsidR="003B2414">
        <w:rPr>
          <w:rFonts w:ascii="Times New Roman" w:hAnsi="Times New Roman" w:cs="Times New Roman"/>
          <w:sz w:val="24"/>
          <w:szCs w:val="24"/>
        </w:rPr>
        <w:t xml:space="preserve">a 46.5 percent </w:t>
      </w:r>
      <w:r w:rsidR="00273E25">
        <w:rPr>
          <w:rFonts w:ascii="Times New Roman" w:hAnsi="Times New Roman" w:cs="Times New Roman"/>
          <w:sz w:val="24"/>
          <w:szCs w:val="24"/>
        </w:rPr>
        <w:t>equity</w:t>
      </w:r>
      <w:r w:rsidR="003B2414">
        <w:rPr>
          <w:rFonts w:ascii="Times New Roman" w:hAnsi="Times New Roman" w:cs="Times New Roman"/>
          <w:sz w:val="24"/>
          <w:szCs w:val="24"/>
        </w:rPr>
        <w:t xml:space="preserve"> ratio</w:t>
      </w:r>
      <w:r w:rsidR="00273E25">
        <w:rPr>
          <w:rFonts w:ascii="Times New Roman" w:hAnsi="Times New Roman" w:cs="Times New Roman"/>
          <w:sz w:val="24"/>
          <w:szCs w:val="24"/>
        </w:rPr>
        <w:t xml:space="preserve">.  </w:t>
      </w:r>
      <w:r w:rsidR="00C96CB9">
        <w:rPr>
          <w:rFonts w:ascii="Times New Roman" w:hAnsi="Times New Roman" w:cs="Times New Roman"/>
          <w:sz w:val="24"/>
          <w:szCs w:val="24"/>
        </w:rPr>
        <w:t>In fact, a</w:t>
      </w:r>
      <w:r w:rsidR="00E30698" w:rsidRPr="00FB66B2">
        <w:rPr>
          <w:rFonts w:ascii="Times New Roman" w:hAnsi="Times New Roman" w:cs="Times New Roman"/>
          <w:sz w:val="24"/>
          <w:szCs w:val="24"/>
        </w:rPr>
        <w:t>ccording to Standard and Poor’s</w:t>
      </w:r>
      <w:r w:rsidR="00AA35F5">
        <w:rPr>
          <w:rFonts w:ascii="Times New Roman" w:hAnsi="Times New Roman" w:cs="Times New Roman"/>
          <w:sz w:val="24"/>
          <w:szCs w:val="24"/>
        </w:rPr>
        <w:t>,</w:t>
      </w:r>
      <w:r w:rsidR="00E30698" w:rsidRPr="00FB66B2">
        <w:rPr>
          <w:rFonts w:ascii="Times New Roman" w:hAnsi="Times New Roman" w:cs="Times New Roman"/>
          <w:sz w:val="24"/>
          <w:szCs w:val="24"/>
        </w:rPr>
        <w:t xml:space="preserve"> a 46.5 percent common equity ratio is “firmly investment grade” and consistent with the capital structure parameters for the credit ratings enjoyed by the “predominance” of electric utilities in this country.</w:t>
      </w:r>
      <w:r w:rsidR="00E30698" w:rsidRPr="00E30698">
        <w:rPr>
          <w:vertAlign w:val="superscript"/>
        </w:rPr>
        <w:footnoteReference w:id="9"/>
      </w:r>
      <w:r w:rsidR="00E30698" w:rsidRPr="00FB66B2">
        <w:rPr>
          <w:rFonts w:ascii="Times New Roman" w:hAnsi="Times New Roman" w:cs="Times New Roman"/>
          <w:sz w:val="24"/>
          <w:szCs w:val="24"/>
        </w:rPr>
        <w:t xml:space="preserve">  The Order fails to recognize or appropriately consider these undisputed facts.  </w:t>
      </w:r>
    </w:p>
    <w:p w:rsidR="00273E25" w:rsidRDefault="00FB66B2" w:rsidP="00FB66B2">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C3712" w:rsidRPr="00FB66B2">
        <w:rPr>
          <w:rFonts w:ascii="Times New Roman" w:hAnsi="Times New Roman" w:cs="Times New Roman"/>
          <w:sz w:val="24"/>
          <w:szCs w:val="24"/>
        </w:rPr>
        <w:t>T</w:t>
      </w:r>
      <w:r w:rsidR="00E30698" w:rsidRPr="00FB66B2">
        <w:rPr>
          <w:rFonts w:ascii="Times New Roman" w:hAnsi="Times New Roman" w:cs="Times New Roman"/>
          <w:sz w:val="24"/>
          <w:szCs w:val="24"/>
        </w:rPr>
        <w:t xml:space="preserve">he </w:t>
      </w:r>
      <w:r w:rsidR="00EC2D97">
        <w:rPr>
          <w:rFonts w:ascii="Times New Roman" w:hAnsi="Times New Roman" w:cs="Times New Roman"/>
          <w:sz w:val="24"/>
          <w:szCs w:val="24"/>
        </w:rPr>
        <w:t xml:space="preserve">specific </w:t>
      </w:r>
      <w:r w:rsidR="00E30698" w:rsidRPr="00FB66B2">
        <w:rPr>
          <w:rFonts w:ascii="Times New Roman" w:hAnsi="Times New Roman" w:cs="Times New Roman"/>
          <w:sz w:val="24"/>
          <w:szCs w:val="24"/>
        </w:rPr>
        <w:t xml:space="preserve">reason the Commission gave for rejecting Staff’s 46.5 percent equity ratio </w:t>
      </w:r>
      <w:r w:rsidR="00AA35F5">
        <w:rPr>
          <w:rFonts w:ascii="Times New Roman" w:hAnsi="Times New Roman" w:cs="Times New Roman"/>
          <w:sz w:val="24"/>
          <w:szCs w:val="24"/>
        </w:rPr>
        <w:t xml:space="preserve">was </w:t>
      </w:r>
      <w:r w:rsidR="003C3712" w:rsidRPr="00FB66B2">
        <w:rPr>
          <w:rFonts w:ascii="Times New Roman" w:hAnsi="Times New Roman" w:cs="Times New Roman"/>
          <w:sz w:val="24"/>
          <w:szCs w:val="24"/>
        </w:rPr>
        <w:t xml:space="preserve">because </w:t>
      </w:r>
      <w:r w:rsidR="00E30698" w:rsidRPr="00FB66B2">
        <w:rPr>
          <w:rFonts w:ascii="Times New Roman" w:hAnsi="Times New Roman" w:cs="Times New Roman"/>
          <w:sz w:val="24"/>
          <w:szCs w:val="24"/>
        </w:rPr>
        <w:t xml:space="preserve">“a substantial part of </w:t>
      </w:r>
      <w:r w:rsidR="004354E3" w:rsidRPr="00FB66B2">
        <w:rPr>
          <w:rFonts w:ascii="Times New Roman" w:hAnsi="Times New Roman" w:cs="Times New Roman"/>
          <w:sz w:val="24"/>
          <w:szCs w:val="24"/>
        </w:rPr>
        <w:t>P</w:t>
      </w:r>
      <w:r w:rsidR="00E30698" w:rsidRPr="00FB66B2">
        <w:rPr>
          <w:rFonts w:ascii="Times New Roman" w:hAnsi="Times New Roman" w:cs="Times New Roman"/>
          <w:sz w:val="24"/>
          <w:szCs w:val="24"/>
        </w:rPr>
        <w:t>acifiCorp’s increased equity financing is being used for c</w:t>
      </w:r>
      <w:r w:rsidR="004354E3" w:rsidRPr="00FB66B2">
        <w:rPr>
          <w:rFonts w:ascii="Times New Roman" w:hAnsi="Times New Roman" w:cs="Times New Roman"/>
          <w:sz w:val="24"/>
          <w:szCs w:val="24"/>
        </w:rPr>
        <w:t>a</w:t>
      </w:r>
      <w:r w:rsidR="00E30698" w:rsidRPr="00FB66B2">
        <w:rPr>
          <w:rFonts w:ascii="Times New Roman" w:hAnsi="Times New Roman" w:cs="Times New Roman"/>
          <w:sz w:val="24"/>
          <w:szCs w:val="24"/>
        </w:rPr>
        <w:t>pital expen</w:t>
      </w:r>
      <w:r w:rsidR="004354E3" w:rsidRPr="00FB66B2">
        <w:rPr>
          <w:rFonts w:ascii="Times New Roman" w:hAnsi="Times New Roman" w:cs="Times New Roman"/>
          <w:sz w:val="24"/>
          <w:szCs w:val="24"/>
        </w:rPr>
        <w:t>d</w:t>
      </w:r>
      <w:r w:rsidR="00E30698" w:rsidRPr="00FB66B2">
        <w:rPr>
          <w:rFonts w:ascii="Times New Roman" w:hAnsi="Times New Roman" w:cs="Times New Roman"/>
          <w:sz w:val="24"/>
          <w:szCs w:val="24"/>
        </w:rPr>
        <w:t>itures … that provide value for ratepayers.”</w:t>
      </w:r>
      <w:r w:rsidR="00E30698">
        <w:rPr>
          <w:rStyle w:val="FootnoteReference"/>
          <w:rFonts w:ascii="Times New Roman" w:hAnsi="Times New Roman" w:cs="Times New Roman"/>
          <w:sz w:val="24"/>
          <w:szCs w:val="24"/>
        </w:rPr>
        <w:footnoteReference w:id="10"/>
      </w:r>
      <w:r w:rsidR="00E30698" w:rsidRPr="00FB66B2">
        <w:rPr>
          <w:rFonts w:ascii="Times New Roman" w:hAnsi="Times New Roman" w:cs="Times New Roman"/>
          <w:sz w:val="24"/>
          <w:szCs w:val="24"/>
        </w:rPr>
        <w:t xml:space="preserve">  </w:t>
      </w:r>
      <w:r w:rsidR="00273E25">
        <w:rPr>
          <w:rFonts w:ascii="Times New Roman" w:hAnsi="Times New Roman" w:cs="Times New Roman"/>
          <w:sz w:val="24"/>
          <w:szCs w:val="24"/>
        </w:rPr>
        <w:t>However, t</w:t>
      </w:r>
      <w:r w:rsidR="004354E3" w:rsidRPr="00FB66B2">
        <w:rPr>
          <w:rFonts w:ascii="Times New Roman" w:hAnsi="Times New Roman" w:cs="Times New Roman"/>
          <w:sz w:val="24"/>
          <w:szCs w:val="24"/>
        </w:rPr>
        <w:t xml:space="preserve">his reason lacks record support because there is no evidence PacifiCorp could not </w:t>
      </w:r>
      <w:r w:rsidR="001A5FA6" w:rsidRPr="00FB66B2">
        <w:rPr>
          <w:rFonts w:ascii="Times New Roman" w:hAnsi="Times New Roman" w:cs="Times New Roman"/>
          <w:sz w:val="24"/>
          <w:szCs w:val="24"/>
        </w:rPr>
        <w:t xml:space="preserve">successfully </w:t>
      </w:r>
      <w:r w:rsidR="004354E3" w:rsidRPr="00FB66B2">
        <w:rPr>
          <w:rFonts w:ascii="Times New Roman" w:hAnsi="Times New Roman" w:cs="Times New Roman"/>
          <w:sz w:val="24"/>
          <w:szCs w:val="24"/>
        </w:rPr>
        <w:t xml:space="preserve">make the same capital expenditures were </w:t>
      </w:r>
      <w:r w:rsidR="00C96CB9">
        <w:rPr>
          <w:rFonts w:ascii="Times New Roman" w:hAnsi="Times New Roman" w:cs="Times New Roman"/>
          <w:sz w:val="24"/>
          <w:szCs w:val="24"/>
        </w:rPr>
        <w:t xml:space="preserve">it </w:t>
      </w:r>
      <w:r w:rsidR="0046058E" w:rsidRPr="00FB66B2">
        <w:rPr>
          <w:rFonts w:ascii="Times New Roman" w:hAnsi="Times New Roman" w:cs="Times New Roman"/>
          <w:sz w:val="24"/>
          <w:szCs w:val="24"/>
        </w:rPr>
        <w:t xml:space="preserve">more economically </w:t>
      </w:r>
      <w:r w:rsidR="004354E3" w:rsidRPr="00FB66B2">
        <w:rPr>
          <w:rFonts w:ascii="Times New Roman" w:hAnsi="Times New Roman" w:cs="Times New Roman"/>
          <w:sz w:val="24"/>
          <w:szCs w:val="24"/>
        </w:rPr>
        <w:t>capitalized with 46.5 percent equity.</w:t>
      </w:r>
    </w:p>
    <w:p w:rsidR="004354E3" w:rsidRPr="00B632C3" w:rsidRDefault="00684526" w:rsidP="00FB66B2">
      <w:pPr>
        <w:pStyle w:val="ListParagraph"/>
        <w:numPr>
          <w:ilvl w:val="0"/>
          <w:numId w:val="4"/>
        </w:numPr>
        <w:spacing w:after="0" w:line="480" w:lineRule="auto"/>
        <w:rPr>
          <w:rFonts w:ascii="Times New Roman" w:hAnsi="Times New Roman" w:cs="Times New Roman"/>
          <w:sz w:val="24"/>
          <w:szCs w:val="24"/>
        </w:rPr>
      </w:pPr>
      <w:r w:rsidRPr="00B632C3">
        <w:rPr>
          <w:rFonts w:ascii="Times New Roman" w:hAnsi="Times New Roman" w:cs="Times New Roman"/>
          <w:sz w:val="24"/>
          <w:szCs w:val="24"/>
        </w:rPr>
        <w:tab/>
      </w:r>
      <w:r w:rsidR="004354E3" w:rsidRPr="00B632C3">
        <w:rPr>
          <w:rFonts w:ascii="Times New Roman" w:hAnsi="Times New Roman" w:cs="Times New Roman"/>
          <w:sz w:val="24"/>
          <w:szCs w:val="24"/>
        </w:rPr>
        <w:t>In</w:t>
      </w:r>
      <w:r w:rsidR="0046058E" w:rsidRPr="00B632C3">
        <w:rPr>
          <w:rFonts w:ascii="Times New Roman" w:hAnsi="Times New Roman" w:cs="Times New Roman"/>
          <w:sz w:val="24"/>
          <w:szCs w:val="24"/>
        </w:rPr>
        <w:t xml:space="preserve"> fact, </w:t>
      </w:r>
      <w:r w:rsidR="004354E3" w:rsidRPr="00B632C3">
        <w:rPr>
          <w:rFonts w:ascii="Times New Roman" w:hAnsi="Times New Roman" w:cs="Times New Roman"/>
          <w:sz w:val="24"/>
          <w:szCs w:val="24"/>
        </w:rPr>
        <w:t xml:space="preserve">the </w:t>
      </w:r>
      <w:r w:rsidR="00141C3C" w:rsidRPr="00B632C3">
        <w:rPr>
          <w:rFonts w:ascii="Times New Roman" w:hAnsi="Times New Roman" w:cs="Times New Roman"/>
          <w:sz w:val="24"/>
          <w:szCs w:val="24"/>
        </w:rPr>
        <w:t xml:space="preserve">evidence </w:t>
      </w:r>
      <w:r w:rsidR="0046058E" w:rsidRPr="00B632C3">
        <w:rPr>
          <w:rFonts w:ascii="Times New Roman" w:hAnsi="Times New Roman" w:cs="Times New Roman"/>
          <w:sz w:val="24"/>
          <w:szCs w:val="24"/>
        </w:rPr>
        <w:t xml:space="preserve">shows </w:t>
      </w:r>
      <w:r w:rsidR="00141C3C" w:rsidRPr="00B632C3">
        <w:rPr>
          <w:rFonts w:ascii="Times New Roman" w:hAnsi="Times New Roman" w:cs="Times New Roman"/>
          <w:sz w:val="24"/>
          <w:szCs w:val="24"/>
        </w:rPr>
        <w:t xml:space="preserve">the </w:t>
      </w:r>
      <w:r w:rsidR="004354E3" w:rsidRPr="00B632C3">
        <w:rPr>
          <w:rFonts w:ascii="Times New Roman" w:hAnsi="Times New Roman" w:cs="Times New Roman"/>
          <w:sz w:val="24"/>
          <w:szCs w:val="24"/>
        </w:rPr>
        <w:t>electric industry as a whole has been un</w:t>
      </w:r>
      <w:r w:rsidR="00B11D73" w:rsidRPr="00B632C3">
        <w:rPr>
          <w:rFonts w:ascii="Times New Roman" w:hAnsi="Times New Roman" w:cs="Times New Roman"/>
          <w:sz w:val="24"/>
          <w:szCs w:val="24"/>
        </w:rPr>
        <w:t xml:space="preserve">dertaking large </w:t>
      </w:r>
      <w:r w:rsidR="004354E3" w:rsidRPr="00B632C3">
        <w:rPr>
          <w:rFonts w:ascii="Times New Roman" w:hAnsi="Times New Roman" w:cs="Times New Roman"/>
          <w:sz w:val="24"/>
          <w:szCs w:val="24"/>
        </w:rPr>
        <w:t xml:space="preserve">capital </w:t>
      </w:r>
      <w:r w:rsidR="00B53297">
        <w:rPr>
          <w:rFonts w:ascii="Times New Roman" w:hAnsi="Times New Roman" w:cs="Times New Roman"/>
          <w:sz w:val="24"/>
          <w:szCs w:val="24"/>
        </w:rPr>
        <w:t>programs for several years and has successfully accomplished that with equity ratios averaging well below 49 percent.</w:t>
      </w:r>
      <w:r w:rsidR="00965395" w:rsidRPr="00B632C3">
        <w:rPr>
          <w:rStyle w:val="FootnoteReference"/>
          <w:rFonts w:ascii="Times New Roman" w:hAnsi="Times New Roman" w:cs="Times New Roman"/>
          <w:sz w:val="24"/>
          <w:szCs w:val="24"/>
        </w:rPr>
        <w:footnoteReference w:id="11"/>
      </w:r>
      <w:r w:rsidR="004354E3" w:rsidRPr="00B632C3">
        <w:rPr>
          <w:rFonts w:ascii="Times New Roman" w:hAnsi="Times New Roman" w:cs="Times New Roman"/>
          <w:sz w:val="24"/>
          <w:szCs w:val="24"/>
        </w:rPr>
        <w:t xml:space="preserve">  </w:t>
      </w:r>
      <w:r w:rsidR="00AA35F5" w:rsidRPr="00B632C3">
        <w:rPr>
          <w:rFonts w:ascii="Times New Roman" w:hAnsi="Times New Roman" w:cs="Times New Roman"/>
          <w:sz w:val="24"/>
          <w:szCs w:val="24"/>
        </w:rPr>
        <w:t>There is no</w:t>
      </w:r>
      <w:r w:rsidR="00B11D73" w:rsidRPr="00B632C3">
        <w:rPr>
          <w:rFonts w:ascii="Times New Roman" w:hAnsi="Times New Roman" w:cs="Times New Roman"/>
          <w:sz w:val="24"/>
          <w:szCs w:val="24"/>
        </w:rPr>
        <w:t xml:space="preserve"> reason </w:t>
      </w:r>
      <w:r w:rsidR="00C96CB9">
        <w:rPr>
          <w:rFonts w:ascii="Times New Roman" w:hAnsi="Times New Roman" w:cs="Times New Roman"/>
          <w:sz w:val="24"/>
          <w:szCs w:val="24"/>
        </w:rPr>
        <w:t xml:space="preserve">on this record why </w:t>
      </w:r>
      <w:r w:rsidR="00ED0B3D" w:rsidRPr="00B632C3">
        <w:rPr>
          <w:rFonts w:ascii="Times New Roman" w:hAnsi="Times New Roman" w:cs="Times New Roman"/>
          <w:sz w:val="24"/>
          <w:szCs w:val="24"/>
        </w:rPr>
        <w:t>Paci</w:t>
      </w:r>
      <w:r w:rsidR="00ED0B3D" w:rsidRPr="00FB66B2">
        <w:rPr>
          <w:rFonts w:ascii="Times New Roman" w:hAnsi="Times New Roman" w:cs="Times New Roman"/>
          <w:sz w:val="24"/>
          <w:szCs w:val="24"/>
        </w:rPr>
        <w:t>f</w:t>
      </w:r>
      <w:r w:rsidR="00ED0B3D" w:rsidRPr="00B632C3">
        <w:rPr>
          <w:rFonts w:ascii="Times New Roman" w:hAnsi="Times New Roman" w:cs="Times New Roman"/>
          <w:sz w:val="24"/>
          <w:szCs w:val="24"/>
        </w:rPr>
        <w:t xml:space="preserve">iCorp </w:t>
      </w:r>
      <w:r w:rsidR="00B11D73" w:rsidRPr="00B632C3">
        <w:rPr>
          <w:rFonts w:ascii="Times New Roman" w:hAnsi="Times New Roman" w:cs="Times New Roman"/>
          <w:sz w:val="24"/>
          <w:szCs w:val="24"/>
        </w:rPr>
        <w:t>cannot do the same</w:t>
      </w:r>
      <w:r w:rsidR="00B632C3">
        <w:rPr>
          <w:rFonts w:ascii="Times New Roman" w:hAnsi="Times New Roman" w:cs="Times New Roman"/>
          <w:sz w:val="24"/>
          <w:szCs w:val="24"/>
        </w:rPr>
        <w:t xml:space="preserve">. </w:t>
      </w:r>
    </w:p>
    <w:p w:rsidR="003B2414" w:rsidRDefault="003B2414" w:rsidP="003B2414">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Commission accepted the </w:t>
      </w:r>
      <w:r w:rsidR="00C96CB9">
        <w:rPr>
          <w:rFonts w:ascii="Times New Roman" w:hAnsi="Times New Roman" w:cs="Times New Roman"/>
          <w:sz w:val="24"/>
          <w:szCs w:val="24"/>
        </w:rPr>
        <w:t xml:space="preserve">equity </w:t>
      </w:r>
      <w:r>
        <w:rPr>
          <w:rFonts w:ascii="Times New Roman" w:hAnsi="Times New Roman" w:cs="Times New Roman"/>
          <w:sz w:val="24"/>
          <w:szCs w:val="24"/>
        </w:rPr>
        <w:t xml:space="preserve">structure recommendation of Mr. Gorman, which is based on his calculation of the amount of </w:t>
      </w:r>
      <w:r w:rsidR="00C96CB9">
        <w:rPr>
          <w:rFonts w:ascii="Times New Roman" w:hAnsi="Times New Roman" w:cs="Times New Roman"/>
          <w:sz w:val="24"/>
          <w:szCs w:val="24"/>
        </w:rPr>
        <w:t xml:space="preserve">equity </w:t>
      </w:r>
      <w:r>
        <w:rPr>
          <w:rFonts w:ascii="Times New Roman" w:hAnsi="Times New Roman" w:cs="Times New Roman"/>
          <w:sz w:val="24"/>
          <w:szCs w:val="24"/>
        </w:rPr>
        <w:t xml:space="preserve">capital </w:t>
      </w:r>
      <w:r w:rsidR="00C96CB9">
        <w:rPr>
          <w:rFonts w:ascii="Times New Roman" w:hAnsi="Times New Roman" w:cs="Times New Roman"/>
          <w:sz w:val="24"/>
          <w:szCs w:val="24"/>
        </w:rPr>
        <w:t>PacifiCorp actually devotes to supporting utility investments.</w:t>
      </w:r>
      <w:r w:rsidR="00C96CB9">
        <w:rPr>
          <w:rStyle w:val="FootnoteReference"/>
          <w:rFonts w:ascii="Times New Roman" w:hAnsi="Times New Roman" w:cs="Times New Roman"/>
          <w:sz w:val="24"/>
          <w:szCs w:val="24"/>
        </w:rPr>
        <w:footnoteReference w:id="12"/>
      </w:r>
      <w:r w:rsidR="00C96CB9">
        <w:rPr>
          <w:rFonts w:ascii="Times New Roman" w:hAnsi="Times New Roman" w:cs="Times New Roman"/>
          <w:sz w:val="24"/>
          <w:szCs w:val="24"/>
        </w:rPr>
        <w:t xml:space="preserve">  However, Mr. Gorman provided no evidence this level of equity appropriately balanced safety </w:t>
      </w:r>
      <w:r w:rsidR="00343694">
        <w:rPr>
          <w:rFonts w:ascii="Times New Roman" w:hAnsi="Times New Roman" w:cs="Times New Roman"/>
          <w:sz w:val="24"/>
          <w:szCs w:val="24"/>
        </w:rPr>
        <w:t xml:space="preserve">and </w:t>
      </w:r>
      <w:r w:rsidR="00C96CB9">
        <w:rPr>
          <w:rFonts w:ascii="Times New Roman" w:hAnsi="Times New Roman" w:cs="Times New Roman"/>
          <w:sz w:val="24"/>
          <w:szCs w:val="24"/>
        </w:rPr>
        <w:t>economy, in compliance with the Commission’s standard.  Notably, Mr. Gorman did not challenge Staff’s equity ratio recommendation.</w:t>
      </w:r>
    </w:p>
    <w:p w:rsidR="00A704AF" w:rsidRPr="00FB66B2" w:rsidRDefault="00B53297" w:rsidP="00FB66B2">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Staff is also concerned about the Commission’s comment in Paragraph 42, that a 49.1 percent equity ratio will likely “maintain the Company’s current credit ratings”, which is A-.  As the Commission is well aware, A-rated utilities </w:t>
      </w:r>
      <w:r w:rsidR="00B632C3">
        <w:rPr>
          <w:rFonts w:ascii="Times New Roman" w:hAnsi="Times New Roman" w:cs="Times New Roman"/>
          <w:sz w:val="24"/>
          <w:szCs w:val="24"/>
        </w:rPr>
        <w:t xml:space="preserve">will </w:t>
      </w:r>
      <w:r w:rsidR="004354E3" w:rsidRPr="00B632C3">
        <w:rPr>
          <w:rFonts w:ascii="Times New Roman" w:hAnsi="Times New Roman" w:cs="Times New Roman"/>
          <w:sz w:val="24"/>
          <w:szCs w:val="24"/>
        </w:rPr>
        <w:t>have high equity ratios</w:t>
      </w:r>
      <w:r w:rsidR="00B632C3">
        <w:rPr>
          <w:rFonts w:ascii="Times New Roman" w:hAnsi="Times New Roman" w:cs="Times New Roman"/>
          <w:sz w:val="24"/>
          <w:szCs w:val="24"/>
        </w:rPr>
        <w:t xml:space="preserve"> and </w:t>
      </w:r>
      <w:r w:rsidR="00273E25">
        <w:rPr>
          <w:rFonts w:ascii="Times New Roman" w:hAnsi="Times New Roman" w:cs="Times New Roman"/>
          <w:sz w:val="24"/>
          <w:szCs w:val="24"/>
        </w:rPr>
        <w:t xml:space="preserve">thus higher equity </w:t>
      </w:r>
      <w:r w:rsidR="00B632C3">
        <w:rPr>
          <w:rFonts w:ascii="Times New Roman" w:hAnsi="Times New Roman" w:cs="Times New Roman"/>
          <w:sz w:val="24"/>
          <w:szCs w:val="24"/>
        </w:rPr>
        <w:t>costs</w:t>
      </w:r>
      <w:r w:rsidR="004354E3" w:rsidRPr="00B632C3">
        <w:rPr>
          <w:rFonts w:ascii="Times New Roman" w:hAnsi="Times New Roman" w:cs="Times New Roman"/>
          <w:sz w:val="24"/>
          <w:szCs w:val="24"/>
        </w:rPr>
        <w:t xml:space="preserve">.  </w:t>
      </w:r>
      <w:r w:rsidR="00A704AF" w:rsidRPr="00B632C3">
        <w:rPr>
          <w:rFonts w:ascii="Times New Roman" w:hAnsi="Times New Roman" w:cs="Times New Roman"/>
          <w:sz w:val="24"/>
          <w:szCs w:val="24"/>
        </w:rPr>
        <w:t xml:space="preserve">It is significant that no </w:t>
      </w:r>
      <w:r w:rsidR="00B632C3">
        <w:rPr>
          <w:rFonts w:ascii="Times New Roman" w:hAnsi="Times New Roman" w:cs="Times New Roman"/>
          <w:sz w:val="24"/>
          <w:szCs w:val="24"/>
        </w:rPr>
        <w:t>electric company</w:t>
      </w:r>
      <w:r w:rsidR="00B632C3" w:rsidRPr="00B632C3">
        <w:rPr>
          <w:rFonts w:ascii="Times New Roman" w:hAnsi="Times New Roman" w:cs="Times New Roman"/>
          <w:sz w:val="24"/>
          <w:szCs w:val="24"/>
        </w:rPr>
        <w:t xml:space="preserve"> </w:t>
      </w:r>
      <w:r w:rsidR="00A704AF" w:rsidRPr="00B632C3">
        <w:rPr>
          <w:rFonts w:ascii="Times New Roman" w:hAnsi="Times New Roman" w:cs="Times New Roman"/>
          <w:sz w:val="24"/>
          <w:szCs w:val="24"/>
        </w:rPr>
        <w:t>in this state other than PacifiCorp</w:t>
      </w:r>
      <w:r w:rsidR="00AD0211" w:rsidRPr="00B632C3">
        <w:rPr>
          <w:rFonts w:ascii="Times New Roman" w:hAnsi="Times New Roman" w:cs="Times New Roman"/>
          <w:sz w:val="24"/>
          <w:szCs w:val="24"/>
        </w:rPr>
        <w:t xml:space="preserve"> is A-rated</w:t>
      </w:r>
      <w:r w:rsidR="00A704AF" w:rsidRPr="00B632C3">
        <w:rPr>
          <w:rFonts w:ascii="Times New Roman" w:hAnsi="Times New Roman" w:cs="Times New Roman"/>
          <w:sz w:val="24"/>
          <w:szCs w:val="24"/>
        </w:rPr>
        <w:t xml:space="preserve">, and PacifiCorp has attained that rating by building up its </w:t>
      </w:r>
      <w:r w:rsidR="00A704AF" w:rsidRPr="00FB66B2">
        <w:rPr>
          <w:rFonts w:ascii="Times New Roman" w:hAnsi="Times New Roman" w:cs="Times New Roman"/>
          <w:sz w:val="24"/>
          <w:szCs w:val="24"/>
        </w:rPr>
        <w:t>e</w:t>
      </w:r>
      <w:r w:rsidR="00A704AF" w:rsidRPr="00B632C3">
        <w:rPr>
          <w:rFonts w:ascii="Times New Roman" w:hAnsi="Times New Roman" w:cs="Times New Roman"/>
          <w:sz w:val="24"/>
          <w:szCs w:val="24"/>
        </w:rPr>
        <w:t xml:space="preserve">quity ratio consistent with its owner’s interest in </w:t>
      </w:r>
      <w:r w:rsidR="00A704AF" w:rsidRPr="00FB66B2">
        <w:rPr>
          <w:rFonts w:ascii="Times New Roman" w:hAnsi="Times New Roman" w:cs="Times New Roman"/>
          <w:sz w:val="24"/>
          <w:szCs w:val="24"/>
        </w:rPr>
        <w:t>“reaping the benefit of greater equity returns”.</w:t>
      </w:r>
      <w:r w:rsidR="00A704AF" w:rsidRPr="00A704AF">
        <w:rPr>
          <w:vertAlign w:val="superscript"/>
        </w:rPr>
        <w:footnoteReference w:id="13"/>
      </w:r>
      <w:r w:rsidR="00A704AF" w:rsidRPr="00FB66B2">
        <w:rPr>
          <w:rFonts w:ascii="Times New Roman" w:hAnsi="Times New Roman" w:cs="Times New Roman"/>
          <w:sz w:val="24"/>
          <w:szCs w:val="24"/>
        </w:rPr>
        <w:t xml:space="preserve">  A consequence is an A</w:t>
      </w:r>
      <w:r w:rsidR="0006703D">
        <w:rPr>
          <w:rFonts w:ascii="Times New Roman" w:hAnsi="Times New Roman" w:cs="Times New Roman"/>
          <w:sz w:val="24"/>
          <w:szCs w:val="24"/>
        </w:rPr>
        <w:t>-</w:t>
      </w:r>
      <w:r w:rsidR="00A704AF" w:rsidRPr="00FB66B2">
        <w:rPr>
          <w:rFonts w:ascii="Times New Roman" w:hAnsi="Times New Roman" w:cs="Times New Roman"/>
          <w:sz w:val="24"/>
          <w:szCs w:val="24"/>
        </w:rPr>
        <w:t xml:space="preserve"> rating, and the Order suggests or implies an equity ratio consistent with such a consequence is </w:t>
      </w:r>
      <w:r w:rsidR="00B632C3">
        <w:rPr>
          <w:rFonts w:ascii="Times New Roman" w:hAnsi="Times New Roman" w:cs="Times New Roman"/>
          <w:sz w:val="24"/>
          <w:szCs w:val="24"/>
        </w:rPr>
        <w:t>consistent with the Commission’s capital structure policy</w:t>
      </w:r>
      <w:r w:rsidR="00A704AF" w:rsidRPr="00FB66B2">
        <w:rPr>
          <w:rFonts w:ascii="Times New Roman" w:hAnsi="Times New Roman" w:cs="Times New Roman"/>
          <w:sz w:val="24"/>
          <w:szCs w:val="24"/>
        </w:rPr>
        <w:t>.</w:t>
      </w:r>
    </w:p>
    <w:p w:rsidR="00E30698" w:rsidRPr="00FB66B2" w:rsidRDefault="00FB66B2" w:rsidP="00FB66B2">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354E3" w:rsidRPr="00FB66B2">
        <w:rPr>
          <w:rFonts w:ascii="Times New Roman" w:hAnsi="Times New Roman" w:cs="Times New Roman"/>
          <w:sz w:val="24"/>
          <w:szCs w:val="24"/>
        </w:rPr>
        <w:t>Staff’s concern is that if the</w:t>
      </w:r>
      <w:r w:rsidR="003C3712" w:rsidRPr="00FB66B2">
        <w:rPr>
          <w:rFonts w:ascii="Times New Roman" w:hAnsi="Times New Roman" w:cs="Times New Roman"/>
          <w:sz w:val="24"/>
          <w:szCs w:val="24"/>
        </w:rPr>
        <w:t xml:space="preserve"> “safety and economy” test can be met with a</w:t>
      </w:r>
      <w:r w:rsidR="007A327A">
        <w:rPr>
          <w:rFonts w:ascii="Times New Roman" w:hAnsi="Times New Roman" w:cs="Times New Roman"/>
          <w:sz w:val="24"/>
          <w:szCs w:val="24"/>
        </w:rPr>
        <w:t xml:space="preserve">n equity ratio supporting </w:t>
      </w:r>
      <w:r w:rsidR="003C3712" w:rsidRPr="00FB66B2">
        <w:rPr>
          <w:rFonts w:ascii="Times New Roman" w:hAnsi="Times New Roman" w:cs="Times New Roman"/>
          <w:sz w:val="24"/>
          <w:szCs w:val="24"/>
        </w:rPr>
        <w:t>an A</w:t>
      </w:r>
      <w:r w:rsidR="0006703D">
        <w:rPr>
          <w:rFonts w:ascii="Times New Roman" w:hAnsi="Times New Roman" w:cs="Times New Roman"/>
          <w:sz w:val="24"/>
          <w:szCs w:val="24"/>
        </w:rPr>
        <w:t>-</w:t>
      </w:r>
      <w:r w:rsidR="003C3712" w:rsidRPr="00FB66B2">
        <w:rPr>
          <w:rFonts w:ascii="Times New Roman" w:hAnsi="Times New Roman" w:cs="Times New Roman"/>
          <w:sz w:val="24"/>
          <w:szCs w:val="24"/>
        </w:rPr>
        <w:t xml:space="preserve"> rating, </w:t>
      </w:r>
      <w:r w:rsidR="00A704AF" w:rsidRPr="00FB66B2">
        <w:rPr>
          <w:rFonts w:ascii="Times New Roman" w:hAnsi="Times New Roman" w:cs="Times New Roman"/>
          <w:sz w:val="24"/>
          <w:szCs w:val="24"/>
        </w:rPr>
        <w:t>o</w:t>
      </w:r>
      <w:r w:rsidR="004354E3" w:rsidRPr="00FB66B2">
        <w:rPr>
          <w:rFonts w:ascii="Times New Roman" w:hAnsi="Times New Roman" w:cs="Times New Roman"/>
          <w:sz w:val="24"/>
          <w:szCs w:val="24"/>
        </w:rPr>
        <w:t xml:space="preserve">ther utilities in this state </w:t>
      </w:r>
      <w:r w:rsidR="00EC2D97">
        <w:rPr>
          <w:rFonts w:ascii="Times New Roman" w:hAnsi="Times New Roman" w:cs="Times New Roman"/>
          <w:sz w:val="24"/>
          <w:szCs w:val="24"/>
        </w:rPr>
        <w:t>will</w:t>
      </w:r>
      <w:r w:rsidR="00965395" w:rsidRPr="00FB66B2">
        <w:rPr>
          <w:rFonts w:ascii="Times New Roman" w:hAnsi="Times New Roman" w:cs="Times New Roman"/>
          <w:sz w:val="24"/>
          <w:szCs w:val="24"/>
        </w:rPr>
        <w:t xml:space="preserve"> </w:t>
      </w:r>
      <w:r w:rsidR="00586AC6" w:rsidRPr="00FB66B2">
        <w:rPr>
          <w:rFonts w:ascii="Times New Roman" w:hAnsi="Times New Roman" w:cs="Times New Roman"/>
          <w:sz w:val="24"/>
          <w:szCs w:val="24"/>
        </w:rPr>
        <w:t>increase</w:t>
      </w:r>
      <w:r w:rsidR="00A704AF" w:rsidRPr="00FB66B2">
        <w:rPr>
          <w:rFonts w:ascii="Times New Roman" w:hAnsi="Times New Roman" w:cs="Times New Roman"/>
          <w:sz w:val="24"/>
          <w:szCs w:val="24"/>
        </w:rPr>
        <w:t xml:space="preserve"> their equity ratios to </w:t>
      </w:r>
      <w:r w:rsidR="004354E3" w:rsidRPr="00FB66B2">
        <w:rPr>
          <w:rFonts w:ascii="Times New Roman" w:hAnsi="Times New Roman" w:cs="Times New Roman"/>
          <w:sz w:val="24"/>
          <w:szCs w:val="24"/>
        </w:rPr>
        <w:t xml:space="preserve">achieve </w:t>
      </w:r>
      <w:r w:rsidR="007A327A">
        <w:rPr>
          <w:rFonts w:ascii="Times New Roman" w:hAnsi="Times New Roman" w:cs="Times New Roman"/>
          <w:sz w:val="24"/>
          <w:szCs w:val="24"/>
        </w:rPr>
        <w:t>it</w:t>
      </w:r>
      <w:r w:rsidR="00A704AF" w:rsidRPr="00FB66B2">
        <w:rPr>
          <w:rFonts w:ascii="Times New Roman" w:hAnsi="Times New Roman" w:cs="Times New Roman"/>
          <w:sz w:val="24"/>
          <w:szCs w:val="24"/>
        </w:rPr>
        <w:t>.</w:t>
      </w:r>
      <w:r w:rsidR="004354E3" w:rsidRPr="00FB66B2">
        <w:rPr>
          <w:rFonts w:ascii="Times New Roman" w:hAnsi="Times New Roman" w:cs="Times New Roman"/>
          <w:sz w:val="24"/>
          <w:szCs w:val="24"/>
        </w:rPr>
        <w:t xml:space="preserve">  We therefore encourage the Commission to reconsider what </w:t>
      </w:r>
      <w:r w:rsidR="00ED0B3D" w:rsidRPr="00FB66B2">
        <w:rPr>
          <w:rFonts w:ascii="Times New Roman" w:hAnsi="Times New Roman" w:cs="Times New Roman"/>
          <w:sz w:val="24"/>
          <w:szCs w:val="24"/>
        </w:rPr>
        <w:t xml:space="preserve">may well be interpreted as </w:t>
      </w:r>
      <w:r w:rsidR="004354E3" w:rsidRPr="00FB66B2">
        <w:rPr>
          <w:rFonts w:ascii="Times New Roman" w:hAnsi="Times New Roman" w:cs="Times New Roman"/>
          <w:sz w:val="24"/>
          <w:szCs w:val="24"/>
        </w:rPr>
        <w:t>a</w:t>
      </w:r>
      <w:r w:rsidR="005A54B4" w:rsidRPr="00FB66B2">
        <w:rPr>
          <w:rFonts w:ascii="Times New Roman" w:hAnsi="Times New Roman" w:cs="Times New Roman"/>
          <w:sz w:val="24"/>
          <w:szCs w:val="24"/>
        </w:rPr>
        <w:t>n explicit or implicit policy objective to move toward A-rated utilities in this state</w:t>
      </w:r>
      <w:r w:rsidR="004354E3" w:rsidRPr="00FB66B2">
        <w:rPr>
          <w:rFonts w:ascii="Times New Roman" w:hAnsi="Times New Roman" w:cs="Times New Roman"/>
          <w:sz w:val="24"/>
          <w:szCs w:val="24"/>
        </w:rPr>
        <w:t>.</w:t>
      </w:r>
      <w:r w:rsidR="005A54B4">
        <w:rPr>
          <w:rStyle w:val="FootnoteReference"/>
          <w:rFonts w:ascii="Times New Roman" w:hAnsi="Times New Roman" w:cs="Times New Roman"/>
          <w:sz w:val="24"/>
          <w:szCs w:val="24"/>
        </w:rPr>
        <w:footnoteReference w:id="14"/>
      </w:r>
      <w:r w:rsidR="00E30698" w:rsidRPr="00FB66B2">
        <w:rPr>
          <w:rFonts w:ascii="Times New Roman" w:hAnsi="Times New Roman" w:cs="Times New Roman"/>
          <w:sz w:val="24"/>
          <w:szCs w:val="24"/>
        </w:rPr>
        <w:t xml:space="preserve">  </w:t>
      </w:r>
    </w:p>
    <w:p w:rsidR="009D2BE0" w:rsidRDefault="009D2BE0" w:rsidP="005E1FE1">
      <w:pPr>
        <w:pStyle w:val="ListParagraph"/>
        <w:spacing w:after="0" w:line="240" w:lineRule="auto"/>
        <w:ind w:hanging="720"/>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t xml:space="preserve">The Commission’s Order in Docket UE-050684 Provides No Impediment to Including A Layer of Short-Term Debt in the Ratemaking Capital Structure </w:t>
      </w:r>
    </w:p>
    <w:p w:rsidR="009D2BE0" w:rsidRDefault="00FB66B2" w:rsidP="005E1FE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p>
    <w:p w:rsidR="00E97976" w:rsidRPr="00FB66B2" w:rsidRDefault="009D2BE0" w:rsidP="00FB66B2">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C2D97">
        <w:rPr>
          <w:rFonts w:ascii="Times New Roman" w:hAnsi="Times New Roman" w:cs="Times New Roman"/>
          <w:sz w:val="24"/>
          <w:szCs w:val="24"/>
        </w:rPr>
        <w:t>T</w:t>
      </w:r>
      <w:r>
        <w:rPr>
          <w:rFonts w:ascii="Times New Roman" w:hAnsi="Times New Roman" w:cs="Times New Roman"/>
          <w:sz w:val="24"/>
          <w:szCs w:val="24"/>
        </w:rPr>
        <w:t>he</w:t>
      </w:r>
      <w:r w:rsidR="005A54B4" w:rsidRPr="00FB66B2">
        <w:rPr>
          <w:rFonts w:ascii="Times New Roman" w:hAnsi="Times New Roman" w:cs="Times New Roman"/>
          <w:sz w:val="24"/>
          <w:szCs w:val="24"/>
        </w:rPr>
        <w:t xml:space="preserve"> Commission gave two reasons for excluding short-term </w:t>
      </w:r>
      <w:r w:rsidR="00684526">
        <w:rPr>
          <w:rFonts w:ascii="Times New Roman" w:hAnsi="Times New Roman" w:cs="Times New Roman"/>
          <w:sz w:val="24"/>
          <w:szCs w:val="24"/>
        </w:rPr>
        <w:t xml:space="preserve">debt </w:t>
      </w:r>
      <w:r w:rsidR="005A54B4" w:rsidRPr="00FB66B2">
        <w:rPr>
          <w:rFonts w:ascii="Times New Roman" w:hAnsi="Times New Roman" w:cs="Times New Roman"/>
          <w:sz w:val="24"/>
          <w:szCs w:val="24"/>
        </w:rPr>
        <w:t xml:space="preserve">from PacifiCorp’s capital structure, but neither </w:t>
      </w:r>
      <w:r w:rsidR="001A5FA6" w:rsidRPr="00FB66B2">
        <w:rPr>
          <w:rFonts w:ascii="Times New Roman" w:hAnsi="Times New Roman" w:cs="Times New Roman"/>
          <w:sz w:val="24"/>
          <w:szCs w:val="24"/>
        </w:rPr>
        <w:t>is sufficient</w:t>
      </w:r>
      <w:r w:rsidR="005A54B4" w:rsidRPr="00FB66B2">
        <w:rPr>
          <w:rFonts w:ascii="Times New Roman" w:hAnsi="Times New Roman" w:cs="Times New Roman"/>
          <w:sz w:val="24"/>
          <w:szCs w:val="24"/>
        </w:rPr>
        <w:t xml:space="preserve">.  First, the </w:t>
      </w:r>
      <w:r w:rsidR="001A5FA6" w:rsidRPr="00FB66B2">
        <w:rPr>
          <w:rFonts w:ascii="Times New Roman" w:hAnsi="Times New Roman" w:cs="Times New Roman"/>
          <w:sz w:val="24"/>
          <w:szCs w:val="24"/>
        </w:rPr>
        <w:t xml:space="preserve">Commission </w:t>
      </w:r>
      <w:r w:rsidR="000E138E" w:rsidRPr="00FB66B2">
        <w:rPr>
          <w:rFonts w:ascii="Times New Roman" w:hAnsi="Times New Roman" w:cs="Times New Roman"/>
          <w:sz w:val="24"/>
          <w:szCs w:val="24"/>
        </w:rPr>
        <w:t xml:space="preserve">applied </w:t>
      </w:r>
      <w:r w:rsidR="001A5FA6" w:rsidRPr="00FB66B2">
        <w:rPr>
          <w:rFonts w:ascii="Times New Roman" w:hAnsi="Times New Roman" w:cs="Times New Roman"/>
          <w:sz w:val="24"/>
          <w:szCs w:val="24"/>
        </w:rPr>
        <w:t xml:space="preserve">language from </w:t>
      </w:r>
      <w:r w:rsidR="000B4135" w:rsidRPr="00FB66B2">
        <w:rPr>
          <w:rFonts w:ascii="Times New Roman" w:hAnsi="Times New Roman" w:cs="Times New Roman"/>
          <w:sz w:val="24"/>
          <w:szCs w:val="24"/>
        </w:rPr>
        <w:t xml:space="preserve">the second sentence of </w:t>
      </w:r>
      <w:r w:rsidR="005F6A0C" w:rsidRPr="00FB66B2">
        <w:rPr>
          <w:rFonts w:ascii="Times New Roman" w:hAnsi="Times New Roman" w:cs="Times New Roman"/>
          <w:sz w:val="24"/>
          <w:szCs w:val="24"/>
        </w:rPr>
        <w:t xml:space="preserve">Paragraph 224 of </w:t>
      </w:r>
      <w:r w:rsidR="000B4135" w:rsidRPr="00FB66B2">
        <w:rPr>
          <w:rFonts w:ascii="Times New Roman" w:hAnsi="Times New Roman" w:cs="Times New Roman"/>
          <w:sz w:val="24"/>
          <w:szCs w:val="24"/>
        </w:rPr>
        <w:t xml:space="preserve">the Commission’s </w:t>
      </w:r>
      <w:r w:rsidR="005A54B4" w:rsidRPr="00FB66B2">
        <w:rPr>
          <w:rFonts w:ascii="Times New Roman" w:hAnsi="Times New Roman" w:cs="Times New Roman"/>
          <w:sz w:val="24"/>
          <w:szCs w:val="24"/>
        </w:rPr>
        <w:t>order in PacifiCorp Docket UE-</w:t>
      </w:r>
      <w:r w:rsidR="001A5FA6" w:rsidRPr="00FB66B2">
        <w:rPr>
          <w:rFonts w:ascii="Times New Roman" w:hAnsi="Times New Roman" w:cs="Times New Roman"/>
          <w:sz w:val="24"/>
          <w:szCs w:val="24"/>
        </w:rPr>
        <w:t xml:space="preserve">050684, emphasizing </w:t>
      </w:r>
      <w:r w:rsidR="00E97976" w:rsidRPr="00FB66B2">
        <w:rPr>
          <w:rFonts w:ascii="Times New Roman" w:hAnsi="Times New Roman" w:cs="Times New Roman"/>
          <w:sz w:val="24"/>
          <w:szCs w:val="24"/>
        </w:rPr>
        <w:t>that “[t]he Commis</w:t>
      </w:r>
      <w:r w:rsidR="00A704AF" w:rsidRPr="00FB66B2">
        <w:rPr>
          <w:rFonts w:ascii="Times New Roman" w:hAnsi="Times New Roman" w:cs="Times New Roman"/>
          <w:sz w:val="24"/>
          <w:szCs w:val="24"/>
        </w:rPr>
        <w:t>s</w:t>
      </w:r>
      <w:r w:rsidR="00E97976" w:rsidRPr="00FB66B2">
        <w:rPr>
          <w:rFonts w:ascii="Times New Roman" w:hAnsi="Times New Roman" w:cs="Times New Roman"/>
          <w:sz w:val="24"/>
          <w:szCs w:val="24"/>
        </w:rPr>
        <w:t xml:space="preserve">ion has traditionally included a component for short-term debt </w:t>
      </w:r>
      <w:r w:rsidR="00E97976" w:rsidRPr="00FB66B2">
        <w:rPr>
          <w:rFonts w:ascii="Times New Roman" w:hAnsi="Times New Roman" w:cs="Times New Roman"/>
          <w:i/>
          <w:sz w:val="24"/>
          <w:szCs w:val="24"/>
        </w:rPr>
        <w:t>based on a company’s actual capital structure</w:t>
      </w:r>
      <w:r w:rsidR="00E97976" w:rsidRPr="00FB66B2">
        <w:rPr>
          <w:rFonts w:ascii="Times New Roman" w:hAnsi="Times New Roman" w:cs="Times New Roman"/>
          <w:sz w:val="24"/>
          <w:szCs w:val="24"/>
        </w:rPr>
        <w:t>.”</w:t>
      </w:r>
      <w:r w:rsidR="00E97976">
        <w:rPr>
          <w:rStyle w:val="FootnoteReference"/>
          <w:rFonts w:ascii="Times New Roman" w:hAnsi="Times New Roman" w:cs="Times New Roman"/>
          <w:sz w:val="24"/>
          <w:szCs w:val="24"/>
        </w:rPr>
        <w:footnoteReference w:id="15"/>
      </w:r>
      <w:r w:rsidR="00E97976" w:rsidRPr="00FB66B2">
        <w:rPr>
          <w:rFonts w:ascii="Times New Roman" w:hAnsi="Times New Roman" w:cs="Times New Roman"/>
          <w:sz w:val="24"/>
          <w:szCs w:val="24"/>
        </w:rPr>
        <w:t xml:space="preserve">  </w:t>
      </w:r>
    </w:p>
    <w:p w:rsidR="00EC2D97" w:rsidRDefault="00FB66B2" w:rsidP="00FB66B2">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C2D97">
        <w:rPr>
          <w:rFonts w:ascii="Times New Roman" w:hAnsi="Times New Roman" w:cs="Times New Roman"/>
          <w:sz w:val="24"/>
          <w:szCs w:val="24"/>
        </w:rPr>
        <w:t>However, t</w:t>
      </w:r>
      <w:r w:rsidR="000B4135" w:rsidRPr="00FB66B2">
        <w:rPr>
          <w:rFonts w:ascii="Times New Roman" w:hAnsi="Times New Roman" w:cs="Times New Roman"/>
          <w:sz w:val="24"/>
          <w:szCs w:val="24"/>
        </w:rPr>
        <w:t xml:space="preserve">he Commission </w:t>
      </w:r>
      <w:r w:rsidR="00EC2D97">
        <w:rPr>
          <w:rFonts w:ascii="Times New Roman" w:hAnsi="Times New Roman" w:cs="Times New Roman"/>
          <w:sz w:val="24"/>
          <w:szCs w:val="24"/>
        </w:rPr>
        <w:t xml:space="preserve">should have read that </w:t>
      </w:r>
      <w:r w:rsidR="000B4135" w:rsidRPr="00FB66B2">
        <w:rPr>
          <w:rFonts w:ascii="Times New Roman" w:hAnsi="Times New Roman" w:cs="Times New Roman"/>
          <w:sz w:val="24"/>
          <w:szCs w:val="24"/>
        </w:rPr>
        <w:t xml:space="preserve">language </w:t>
      </w:r>
      <w:r w:rsidR="00EC2D97">
        <w:rPr>
          <w:rFonts w:ascii="Times New Roman" w:hAnsi="Times New Roman" w:cs="Times New Roman"/>
          <w:sz w:val="24"/>
          <w:szCs w:val="24"/>
        </w:rPr>
        <w:t xml:space="preserve">in the </w:t>
      </w:r>
      <w:r w:rsidR="000B4135" w:rsidRPr="00FB66B2">
        <w:rPr>
          <w:rFonts w:ascii="Times New Roman" w:hAnsi="Times New Roman" w:cs="Times New Roman"/>
          <w:sz w:val="24"/>
          <w:szCs w:val="24"/>
        </w:rPr>
        <w:t xml:space="preserve">context </w:t>
      </w:r>
      <w:r w:rsidR="00EC2D97">
        <w:rPr>
          <w:rFonts w:ascii="Times New Roman" w:hAnsi="Times New Roman" w:cs="Times New Roman"/>
          <w:sz w:val="24"/>
          <w:szCs w:val="24"/>
        </w:rPr>
        <w:t>of the first sentence of Paragraph 224</w:t>
      </w:r>
      <w:r w:rsidR="00C96CB9">
        <w:rPr>
          <w:rFonts w:ascii="Times New Roman" w:hAnsi="Times New Roman" w:cs="Times New Roman"/>
          <w:sz w:val="24"/>
          <w:szCs w:val="24"/>
        </w:rPr>
        <w:t xml:space="preserve"> from </w:t>
      </w:r>
      <w:r w:rsidR="00F65661">
        <w:rPr>
          <w:rFonts w:ascii="Times New Roman" w:hAnsi="Times New Roman" w:cs="Times New Roman"/>
          <w:sz w:val="24"/>
          <w:szCs w:val="24"/>
        </w:rPr>
        <w:t xml:space="preserve">that </w:t>
      </w:r>
      <w:r w:rsidR="00C96CB9">
        <w:rPr>
          <w:rFonts w:ascii="Times New Roman" w:hAnsi="Times New Roman" w:cs="Times New Roman"/>
          <w:sz w:val="24"/>
          <w:szCs w:val="24"/>
        </w:rPr>
        <w:t>prior order</w:t>
      </w:r>
      <w:r w:rsidR="00EC2D97">
        <w:rPr>
          <w:rFonts w:ascii="Times New Roman" w:hAnsi="Times New Roman" w:cs="Times New Roman"/>
          <w:sz w:val="24"/>
          <w:szCs w:val="24"/>
        </w:rPr>
        <w:t xml:space="preserve">, where the </w:t>
      </w:r>
      <w:r w:rsidR="008E111C" w:rsidRPr="00FB66B2">
        <w:rPr>
          <w:rFonts w:ascii="Times New Roman" w:hAnsi="Times New Roman" w:cs="Times New Roman"/>
          <w:sz w:val="24"/>
          <w:szCs w:val="24"/>
        </w:rPr>
        <w:t>Commission state</w:t>
      </w:r>
      <w:r w:rsidR="00EC2D97">
        <w:rPr>
          <w:rFonts w:ascii="Times New Roman" w:hAnsi="Times New Roman" w:cs="Times New Roman"/>
          <w:sz w:val="24"/>
          <w:szCs w:val="24"/>
        </w:rPr>
        <w:t>d</w:t>
      </w:r>
      <w:r w:rsidR="008E111C" w:rsidRPr="00FB66B2">
        <w:rPr>
          <w:rFonts w:ascii="Times New Roman" w:hAnsi="Times New Roman" w:cs="Times New Roman"/>
          <w:sz w:val="24"/>
          <w:szCs w:val="24"/>
        </w:rPr>
        <w:t xml:space="preserve"> that</w:t>
      </w:r>
      <w:r w:rsidR="000B4135" w:rsidRPr="00FB66B2">
        <w:rPr>
          <w:rFonts w:ascii="Times New Roman" w:hAnsi="Times New Roman" w:cs="Times New Roman"/>
          <w:sz w:val="24"/>
          <w:szCs w:val="24"/>
        </w:rPr>
        <w:t xml:space="preserve"> an appropriate capital structure examines “…all the sources of capital available to a company.”</w:t>
      </w:r>
      <w:r w:rsidR="000B4135" w:rsidRPr="000B4135">
        <w:rPr>
          <w:vertAlign w:val="superscript"/>
        </w:rPr>
        <w:footnoteReference w:id="16"/>
      </w:r>
      <w:r w:rsidR="000B4135" w:rsidRPr="00FB66B2">
        <w:rPr>
          <w:rFonts w:ascii="Times New Roman" w:hAnsi="Times New Roman" w:cs="Times New Roman"/>
          <w:sz w:val="24"/>
          <w:szCs w:val="24"/>
        </w:rPr>
        <w:t xml:space="preserve">  Short-term debt is a source of readily available capital, so it is consistent with </w:t>
      </w:r>
      <w:r w:rsidR="00AA35F5">
        <w:rPr>
          <w:rFonts w:ascii="Times New Roman" w:hAnsi="Times New Roman" w:cs="Times New Roman"/>
          <w:sz w:val="24"/>
          <w:szCs w:val="24"/>
        </w:rPr>
        <w:t xml:space="preserve">Paragraph 224 </w:t>
      </w:r>
      <w:r w:rsidR="00D27ECF">
        <w:rPr>
          <w:rFonts w:ascii="Times New Roman" w:hAnsi="Times New Roman" w:cs="Times New Roman"/>
          <w:sz w:val="24"/>
          <w:szCs w:val="24"/>
        </w:rPr>
        <w:t xml:space="preserve">overall for </w:t>
      </w:r>
      <w:r w:rsidR="000B4135" w:rsidRPr="00FB66B2">
        <w:rPr>
          <w:rFonts w:ascii="Times New Roman" w:hAnsi="Times New Roman" w:cs="Times New Roman"/>
          <w:sz w:val="24"/>
          <w:szCs w:val="24"/>
        </w:rPr>
        <w:t xml:space="preserve">the Commission to consider </w:t>
      </w:r>
      <w:r w:rsidR="00D27ECF">
        <w:rPr>
          <w:rFonts w:ascii="Times New Roman" w:hAnsi="Times New Roman" w:cs="Times New Roman"/>
          <w:sz w:val="24"/>
          <w:szCs w:val="24"/>
        </w:rPr>
        <w:t>short-term debt in the capital structure in this case</w:t>
      </w:r>
      <w:r w:rsidR="000B4135" w:rsidRPr="00FB66B2">
        <w:rPr>
          <w:rFonts w:ascii="Times New Roman" w:hAnsi="Times New Roman" w:cs="Times New Roman"/>
          <w:sz w:val="24"/>
          <w:szCs w:val="24"/>
        </w:rPr>
        <w:t xml:space="preserve">.  </w:t>
      </w:r>
    </w:p>
    <w:p w:rsidR="00EC2D97" w:rsidRDefault="00EC2D97" w:rsidP="00FB66B2">
      <w:pPr>
        <w:pStyle w:val="ListParagraph"/>
        <w:numPr>
          <w:ilvl w:val="0"/>
          <w:numId w:val="4"/>
        </w:numPr>
        <w:spacing w:after="0" w:line="480" w:lineRule="auto"/>
        <w:rPr>
          <w:rFonts w:ascii="Times New Roman" w:hAnsi="Times New Roman" w:cs="Times New Roman"/>
          <w:sz w:val="24"/>
          <w:szCs w:val="24"/>
        </w:rPr>
      </w:pPr>
      <w:r w:rsidRPr="00EC2D97">
        <w:rPr>
          <w:rFonts w:ascii="Times New Roman" w:hAnsi="Times New Roman" w:cs="Times New Roman"/>
          <w:sz w:val="24"/>
          <w:szCs w:val="24"/>
        </w:rPr>
        <w:tab/>
      </w:r>
      <w:r w:rsidR="00684526" w:rsidRPr="00EC2D97">
        <w:rPr>
          <w:rFonts w:ascii="Times New Roman" w:hAnsi="Times New Roman" w:cs="Times New Roman"/>
          <w:sz w:val="24"/>
          <w:szCs w:val="24"/>
        </w:rPr>
        <w:t>In other words, the Commission should not interpret t</w:t>
      </w:r>
      <w:r w:rsidR="000B4135" w:rsidRPr="00EC2D97">
        <w:rPr>
          <w:rFonts w:ascii="Times New Roman" w:hAnsi="Times New Roman" w:cs="Times New Roman"/>
          <w:sz w:val="24"/>
          <w:szCs w:val="24"/>
        </w:rPr>
        <w:t xml:space="preserve">he reference </w:t>
      </w:r>
      <w:r w:rsidR="0046058E" w:rsidRPr="00EC2D97">
        <w:rPr>
          <w:rFonts w:ascii="Times New Roman" w:hAnsi="Times New Roman" w:cs="Times New Roman"/>
          <w:sz w:val="24"/>
          <w:szCs w:val="24"/>
        </w:rPr>
        <w:t xml:space="preserve">to short-term debt </w:t>
      </w:r>
      <w:r w:rsidR="000B4135" w:rsidRPr="00EC2D97">
        <w:rPr>
          <w:rFonts w:ascii="Times New Roman" w:hAnsi="Times New Roman" w:cs="Times New Roman"/>
          <w:sz w:val="24"/>
          <w:szCs w:val="24"/>
        </w:rPr>
        <w:t xml:space="preserve">in the second sentence </w:t>
      </w:r>
      <w:r w:rsidR="00AA35F5" w:rsidRPr="00EC2D97">
        <w:rPr>
          <w:rFonts w:ascii="Times New Roman" w:hAnsi="Times New Roman" w:cs="Times New Roman"/>
          <w:sz w:val="24"/>
          <w:szCs w:val="24"/>
        </w:rPr>
        <w:t xml:space="preserve">of Paragraph 224 </w:t>
      </w:r>
      <w:r w:rsidR="0046058E" w:rsidRPr="00EC2D97">
        <w:rPr>
          <w:rFonts w:ascii="Times New Roman" w:hAnsi="Times New Roman" w:cs="Times New Roman"/>
          <w:sz w:val="24"/>
          <w:szCs w:val="24"/>
        </w:rPr>
        <w:t xml:space="preserve">as a policy </w:t>
      </w:r>
      <w:r w:rsidR="00684526" w:rsidRPr="00EC2D97">
        <w:rPr>
          <w:rFonts w:ascii="Times New Roman" w:hAnsi="Times New Roman" w:cs="Times New Roman"/>
          <w:sz w:val="24"/>
          <w:szCs w:val="24"/>
        </w:rPr>
        <w:t xml:space="preserve">to </w:t>
      </w:r>
      <w:r w:rsidR="000B4135" w:rsidRPr="00EC2D97">
        <w:rPr>
          <w:rFonts w:ascii="Times New Roman" w:hAnsi="Times New Roman" w:cs="Times New Roman"/>
          <w:i/>
          <w:sz w:val="24"/>
          <w:szCs w:val="24"/>
        </w:rPr>
        <w:t>exclud</w:t>
      </w:r>
      <w:r w:rsidR="00684526" w:rsidRPr="00EC2D97">
        <w:rPr>
          <w:rFonts w:ascii="Times New Roman" w:hAnsi="Times New Roman" w:cs="Times New Roman"/>
          <w:i/>
          <w:sz w:val="24"/>
          <w:szCs w:val="24"/>
        </w:rPr>
        <w:t>e</w:t>
      </w:r>
      <w:r w:rsidR="000B4135" w:rsidRPr="00EC2D97">
        <w:rPr>
          <w:rFonts w:ascii="Times New Roman" w:hAnsi="Times New Roman" w:cs="Times New Roman"/>
          <w:i/>
          <w:sz w:val="24"/>
          <w:szCs w:val="24"/>
        </w:rPr>
        <w:t xml:space="preserve"> </w:t>
      </w:r>
      <w:r w:rsidR="000B4135" w:rsidRPr="00EC2D97">
        <w:rPr>
          <w:rFonts w:ascii="Times New Roman" w:hAnsi="Times New Roman" w:cs="Times New Roman"/>
          <w:sz w:val="24"/>
          <w:szCs w:val="24"/>
        </w:rPr>
        <w:t>short-term debt from a hypothetical capital structure</w:t>
      </w:r>
      <w:r w:rsidR="00684526" w:rsidRPr="00EC2D97">
        <w:rPr>
          <w:rFonts w:ascii="Times New Roman" w:hAnsi="Times New Roman" w:cs="Times New Roman"/>
          <w:sz w:val="24"/>
          <w:szCs w:val="24"/>
        </w:rPr>
        <w:t xml:space="preserve"> when the utility has no</w:t>
      </w:r>
      <w:r w:rsidRPr="00EC2D97">
        <w:rPr>
          <w:rFonts w:ascii="Times New Roman" w:hAnsi="Times New Roman" w:cs="Times New Roman"/>
          <w:sz w:val="24"/>
          <w:szCs w:val="24"/>
        </w:rPr>
        <w:t xml:space="preserve"> short-term debt</w:t>
      </w:r>
      <w:r w:rsidR="000B4135" w:rsidRPr="00EC2D97">
        <w:rPr>
          <w:rFonts w:ascii="Times New Roman" w:hAnsi="Times New Roman" w:cs="Times New Roman"/>
          <w:sz w:val="24"/>
          <w:szCs w:val="24"/>
        </w:rPr>
        <w:t xml:space="preserve">, but rather </w:t>
      </w:r>
      <w:r w:rsidR="00D27ECF">
        <w:rPr>
          <w:rFonts w:ascii="Times New Roman" w:hAnsi="Times New Roman" w:cs="Times New Roman"/>
          <w:sz w:val="24"/>
          <w:szCs w:val="24"/>
        </w:rPr>
        <w:t xml:space="preserve">as a general </w:t>
      </w:r>
      <w:r w:rsidR="000B4135" w:rsidRPr="00EC2D97">
        <w:rPr>
          <w:rFonts w:ascii="Times New Roman" w:hAnsi="Times New Roman" w:cs="Times New Roman"/>
          <w:sz w:val="24"/>
          <w:szCs w:val="24"/>
        </w:rPr>
        <w:t>indicat</w:t>
      </w:r>
      <w:r w:rsidR="00D27ECF">
        <w:rPr>
          <w:rFonts w:ascii="Times New Roman" w:hAnsi="Times New Roman" w:cs="Times New Roman"/>
          <w:sz w:val="24"/>
          <w:szCs w:val="24"/>
        </w:rPr>
        <w:t>ion of</w:t>
      </w:r>
      <w:r w:rsidR="000B4135" w:rsidRPr="00EC2D97">
        <w:rPr>
          <w:rFonts w:ascii="Times New Roman" w:hAnsi="Times New Roman" w:cs="Times New Roman"/>
          <w:sz w:val="24"/>
          <w:szCs w:val="24"/>
        </w:rPr>
        <w:t xml:space="preserve"> the level of short-term debt the Commission </w:t>
      </w:r>
      <w:r w:rsidR="00D27ECF">
        <w:rPr>
          <w:rFonts w:ascii="Times New Roman" w:hAnsi="Times New Roman" w:cs="Times New Roman"/>
          <w:sz w:val="24"/>
          <w:szCs w:val="24"/>
        </w:rPr>
        <w:t xml:space="preserve">might </w:t>
      </w:r>
      <w:r w:rsidR="000B4135" w:rsidRPr="00EC2D97">
        <w:rPr>
          <w:rFonts w:ascii="Times New Roman" w:hAnsi="Times New Roman" w:cs="Times New Roman"/>
          <w:sz w:val="24"/>
          <w:szCs w:val="24"/>
        </w:rPr>
        <w:t xml:space="preserve">use when the utility has </w:t>
      </w:r>
      <w:r w:rsidR="00684526" w:rsidRPr="00EC2D97">
        <w:rPr>
          <w:rFonts w:ascii="Times New Roman" w:hAnsi="Times New Roman" w:cs="Times New Roman"/>
          <w:sz w:val="24"/>
          <w:szCs w:val="24"/>
        </w:rPr>
        <w:t>some</w:t>
      </w:r>
      <w:r w:rsidRPr="00EC2D97">
        <w:rPr>
          <w:rFonts w:ascii="Times New Roman" w:hAnsi="Times New Roman" w:cs="Times New Roman"/>
          <w:sz w:val="24"/>
          <w:szCs w:val="24"/>
        </w:rPr>
        <w:t xml:space="preserve"> short-term debt</w:t>
      </w:r>
      <w:r>
        <w:rPr>
          <w:rFonts w:ascii="Times New Roman" w:hAnsi="Times New Roman" w:cs="Times New Roman"/>
          <w:sz w:val="24"/>
          <w:szCs w:val="24"/>
        </w:rPr>
        <w:t>.</w:t>
      </w:r>
    </w:p>
    <w:p w:rsidR="00684526" w:rsidRPr="00EC2D97" w:rsidRDefault="00FB66B2" w:rsidP="00FB66B2">
      <w:pPr>
        <w:pStyle w:val="ListParagraph"/>
        <w:numPr>
          <w:ilvl w:val="0"/>
          <w:numId w:val="4"/>
        </w:numPr>
        <w:spacing w:after="0" w:line="480" w:lineRule="auto"/>
        <w:rPr>
          <w:rFonts w:ascii="Times New Roman" w:hAnsi="Times New Roman" w:cs="Times New Roman"/>
          <w:sz w:val="24"/>
          <w:szCs w:val="24"/>
        </w:rPr>
      </w:pPr>
      <w:r w:rsidRPr="00EC2D97">
        <w:rPr>
          <w:rFonts w:ascii="Times New Roman" w:hAnsi="Times New Roman" w:cs="Times New Roman"/>
          <w:sz w:val="24"/>
          <w:szCs w:val="24"/>
        </w:rPr>
        <w:tab/>
      </w:r>
      <w:r w:rsidR="00AA35F5" w:rsidRPr="00EC2D97">
        <w:rPr>
          <w:rFonts w:ascii="Times New Roman" w:hAnsi="Times New Roman" w:cs="Times New Roman"/>
          <w:sz w:val="24"/>
          <w:szCs w:val="24"/>
        </w:rPr>
        <w:t xml:space="preserve">In any event, </w:t>
      </w:r>
      <w:r w:rsidR="000B4135" w:rsidRPr="00EC2D97">
        <w:rPr>
          <w:rFonts w:ascii="Times New Roman" w:hAnsi="Times New Roman" w:cs="Times New Roman"/>
          <w:sz w:val="24"/>
          <w:szCs w:val="24"/>
        </w:rPr>
        <w:t xml:space="preserve">even if the Commission intended to articulate a policy in Docket UE-050684 that a source of capital must be excluded </w:t>
      </w:r>
      <w:r w:rsidR="008E111C" w:rsidRPr="00EC2D97">
        <w:rPr>
          <w:rFonts w:ascii="Times New Roman" w:hAnsi="Times New Roman" w:cs="Times New Roman"/>
          <w:sz w:val="24"/>
          <w:szCs w:val="24"/>
        </w:rPr>
        <w:t xml:space="preserve">from a hypothetical capital structure </w:t>
      </w:r>
      <w:r w:rsidR="000B4135" w:rsidRPr="00EC2D97">
        <w:rPr>
          <w:rFonts w:ascii="Times New Roman" w:hAnsi="Times New Roman" w:cs="Times New Roman"/>
          <w:sz w:val="24"/>
          <w:szCs w:val="24"/>
        </w:rPr>
        <w:t xml:space="preserve">when the utility has no capital from that source, the Commission should abandon that policy because it </w:t>
      </w:r>
      <w:r w:rsidR="003C3712" w:rsidRPr="00EC2D97">
        <w:rPr>
          <w:rFonts w:ascii="Times New Roman" w:hAnsi="Times New Roman" w:cs="Times New Roman"/>
          <w:sz w:val="24"/>
          <w:szCs w:val="24"/>
        </w:rPr>
        <w:t xml:space="preserve">improperly deprives the Commission of an important </w:t>
      </w:r>
      <w:r w:rsidR="00A704AF" w:rsidRPr="00EC2D97">
        <w:rPr>
          <w:rFonts w:ascii="Times New Roman" w:hAnsi="Times New Roman" w:cs="Times New Roman"/>
          <w:sz w:val="24"/>
          <w:szCs w:val="24"/>
        </w:rPr>
        <w:t xml:space="preserve">regulatory </w:t>
      </w:r>
      <w:r w:rsidR="003C3712" w:rsidRPr="00EC2D97">
        <w:rPr>
          <w:rFonts w:ascii="Times New Roman" w:hAnsi="Times New Roman" w:cs="Times New Roman"/>
          <w:sz w:val="24"/>
          <w:szCs w:val="24"/>
        </w:rPr>
        <w:t xml:space="preserve">tool (i.e., imputing a lower cost source of capital to achieve a balanced capital structure).  </w:t>
      </w:r>
    </w:p>
    <w:p w:rsidR="000B4135" w:rsidRPr="00FB66B2" w:rsidRDefault="00684526" w:rsidP="00FB66B2">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C3712" w:rsidRPr="00FB66B2">
        <w:rPr>
          <w:rFonts w:ascii="Times New Roman" w:hAnsi="Times New Roman" w:cs="Times New Roman"/>
          <w:sz w:val="24"/>
          <w:szCs w:val="24"/>
        </w:rPr>
        <w:t>For example, if a utility moved to 100 percent equity, surely no one (</w:t>
      </w:r>
      <w:r w:rsidR="00D27ECF">
        <w:rPr>
          <w:rFonts w:ascii="Times New Roman" w:hAnsi="Times New Roman" w:cs="Times New Roman"/>
          <w:sz w:val="24"/>
          <w:szCs w:val="24"/>
        </w:rPr>
        <w:t xml:space="preserve">except </w:t>
      </w:r>
      <w:r w:rsidR="003C3712" w:rsidRPr="00FB66B2">
        <w:rPr>
          <w:rFonts w:ascii="Times New Roman" w:hAnsi="Times New Roman" w:cs="Times New Roman"/>
          <w:sz w:val="24"/>
          <w:szCs w:val="24"/>
        </w:rPr>
        <w:t>perhaps the utility) would argue against the imputation of debt for ratemaking purposes, despite the lack of such capital in the utility’s actual capital structure.</w:t>
      </w:r>
    </w:p>
    <w:p w:rsidR="005F6A0C" w:rsidRPr="00FB66B2" w:rsidRDefault="00FB66B2" w:rsidP="00FB66B2">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B4135" w:rsidRPr="00FB66B2">
        <w:rPr>
          <w:rFonts w:ascii="Times New Roman" w:hAnsi="Times New Roman" w:cs="Times New Roman"/>
          <w:sz w:val="24"/>
          <w:szCs w:val="24"/>
        </w:rPr>
        <w:t xml:space="preserve">There are </w:t>
      </w:r>
      <w:r w:rsidR="008E111C" w:rsidRPr="00FB66B2">
        <w:rPr>
          <w:rFonts w:ascii="Times New Roman" w:hAnsi="Times New Roman" w:cs="Times New Roman"/>
          <w:sz w:val="24"/>
          <w:szCs w:val="24"/>
        </w:rPr>
        <w:t xml:space="preserve">ample </w:t>
      </w:r>
      <w:r w:rsidR="000B4135" w:rsidRPr="00FB66B2">
        <w:rPr>
          <w:rFonts w:ascii="Times New Roman" w:hAnsi="Times New Roman" w:cs="Times New Roman"/>
          <w:sz w:val="24"/>
          <w:szCs w:val="24"/>
        </w:rPr>
        <w:t xml:space="preserve">other reasons </w:t>
      </w:r>
      <w:r w:rsidR="00684526">
        <w:rPr>
          <w:rFonts w:ascii="Times New Roman" w:hAnsi="Times New Roman" w:cs="Times New Roman"/>
          <w:sz w:val="24"/>
          <w:szCs w:val="24"/>
        </w:rPr>
        <w:t xml:space="preserve">why the Commission should not </w:t>
      </w:r>
      <w:r w:rsidR="000B4135" w:rsidRPr="00FB66B2">
        <w:rPr>
          <w:rFonts w:ascii="Times New Roman" w:hAnsi="Times New Roman" w:cs="Times New Roman"/>
          <w:sz w:val="24"/>
          <w:szCs w:val="24"/>
        </w:rPr>
        <w:t xml:space="preserve">apply </w:t>
      </w:r>
      <w:r w:rsidR="00D27ECF">
        <w:rPr>
          <w:rFonts w:ascii="Times New Roman" w:hAnsi="Times New Roman" w:cs="Times New Roman"/>
          <w:sz w:val="24"/>
          <w:szCs w:val="24"/>
        </w:rPr>
        <w:t xml:space="preserve">literally </w:t>
      </w:r>
      <w:r w:rsidR="000B4135" w:rsidRPr="00FB66B2">
        <w:rPr>
          <w:rFonts w:ascii="Times New Roman" w:hAnsi="Times New Roman" w:cs="Times New Roman"/>
          <w:sz w:val="24"/>
          <w:szCs w:val="24"/>
        </w:rPr>
        <w:t xml:space="preserve">the second sentence of Paragraph 224.  </w:t>
      </w:r>
      <w:r w:rsidR="009D2BE0">
        <w:rPr>
          <w:rFonts w:ascii="Times New Roman" w:hAnsi="Times New Roman" w:cs="Times New Roman"/>
          <w:sz w:val="24"/>
          <w:szCs w:val="24"/>
        </w:rPr>
        <w:t>T</w:t>
      </w:r>
      <w:r w:rsidR="00684526">
        <w:rPr>
          <w:rFonts w:ascii="Times New Roman" w:hAnsi="Times New Roman" w:cs="Times New Roman"/>
          <w:sz w:val="24"/>
          <w:szCs w:val="24"/>
        </w:rPr>
        <w:t xml:space="preserve">hat sentence </w:t>
      </w:r>
      <w:r w:rsidR="00C96CB9">
        <w:rPr>
          <w:rFonts w:ascii="Times New Roman" w:hAnsi="Times New Roman" w:cs="Times New Roman"/>
          <w:sz w:val="24"/>
          <w:szCs w:val="24"/>
        </w:rPr>
        <w:t xml:space="preserve">is unsupported by </w:t>
      </w:r>
      <w:r w:rsidR="003C3712" w:rsidRPr="00FB66B2">
        <w:rPr>
          <w:rFonts w:ascii="Times New Roman" w:hAnsi="Times New Roman" w:cs="Times New Roman"/>
          <w:sz w:val="24"/>
          <w:szCs w:val="24"/>
        </w:rPr>
        <w:t>precedent or other justification</w:t>
      </w:r>
      <w:r w:rsidR="00C96CB9">
        <w:rPr>
          <w:rFonts w:ascii="Times New Roman" w:hAnsi="Times New Roman" w:cs="Times New Roman"/>
          <w:sz w:val="24"/>
          <w:szCs w:val="24"/>
        </w:rPr>
        <w:t>,</w:t>
      </w:r>
      <w:r w:rsidR="003C3712" w:rsidRPr="003C3712">
        <w:rPr>
          <w:vertAlign w:val="superscript"/>
        </w:rPr>
        <w:footnoteReference w:id="17"/>
      </w:r>
      <w:r w:rsidR="008E111C" w:rsidRPr="00FB66B2">
        <w:rPr>
          <w:rFonts w:ascii="Times New Roman" w:hAnsi="Times New Roman" w:cs="Times New Roman"/>
          <w:sz w:val="24"/>
          <w:szCs w:val="24"/>
        </w:rPr>
        <w:t xml:space="preserve"> </w:t>
      </w:r>
      <w:r w:rsidR="00C96CB9">
        <w:rPr>
          <w:rFonts w:ascii="Times New Roman" w:hAnsi="Times New Roman" w:cs="Times New Roman"/>
          <w:sz w:val="24"/>
          <w:szCs w:val="24"/>
        </w:rPr>
        <w:t xml:space="preserve">and it is </w:t>
      </w:r>
      <w:r w:rsidR="00036488" w:rsidRPr="00FB66B2">
        <w:rPr>
          <w:rFonts w:ascii="Times New Roman" w:hAnsi="Times New Roman" w:cs="Times New Roman"/>
          <w:sz w:val="24"/>
          <w:szCs w:val="24"/>
        </w:rPr>
        <w:t>dicta</w:t>
      </w:r>
      <w:r w:rsidR="00C96CB9">
        <w:rPr>
          <w:rFonts w:ascii="Times New Roman" w:hAnsi="Times New Roman" w:cs="Times New Roman"/>
          <w:sz w:val="24"/>
          <w:szCs w:val="24"/>
        </w:rPr>
        <w:t>,</w:t>
      </w:r>
      <w:r w:rsidR="00036488" w:rsidRPr="00FB66B2">
        <w:rPr>
          <w:rFonts w:ascii="Times New Roman" w:hAnsi="Times New Roman" w:cs="Times New Roman"/>
          <w:sz w:val="24"/>
          <w:szCs w:val="24"/>
        </w:rPr>
        <w:t xml:space="preserve"> because PacifiCorp actually had short-term debt in </w:t>
      </w:r>
      <w:r w:rsidR="001A5FA6" w:rsidRPr="00FB66B2">
        <w:rPr>
          <w:rFonts w:ascii="Times New Roman" w:hAnsi="Times New Roman" w:cs="Times New Roman"/>
          <w:sz w:val="24"/>
          <w:szCs w:val="24"/>
        </w:rPr>
        <w:t>Docket UE-050684</w:t>
      </w:r>
      <w:r w:rsidR="00EC2D97">
        <w:rPr>
          <w:rFonts w:ascii="Times New Roman" w:hAnsi="Times New Roman" w:cs="Times New Roman"/>
          <w:sz w:val="24"/>
          <w:szCs w:val="24"/>
        </w:rPr>
        <w:t xml:space="preserve"> (that docket </w:t>
      </w:r>
      <w:r w:rsidR="00965395" w:rsidRPr="00FB66B2">
        <w:rPr>
          <w:rFonts w:ascii="Times New Roman" w:hAnsi="Times New Roman" w:cs="Times New Roman"/>
          <w:sz w:val="24"/>
          <w:szCs w:val="24"/>
        </w:rPr>
        <w:t>predated MEHC’s acquisition of PacifiCorp and the subsequent efforts by MEHC to maximize the equity ratio</w:t>
      </w:r>
      <w:r w:rsidR="000B4135" w:rsidRPr="00FB66B2">
        <w:rPr>
          <w:rFonts w:ascii="Times New Roman" w:hAnsi="Times New Roman" w:cs="Times New Roman"/>
          <w:sz w:val="24"/>
          <w:szCs w:val="24"/>
        </w:rPr>
        <w:t xml:space="preserve"> for its benefit</w:t>
      </w:r>
      <w:r w:rsidR="00EC2D97">
        <w:rPr>
          <w:rFonts w:ascii="Times New Roman" w:hAnsi="Times New Roman" w:cs="Times New Roman"/>
          <w:sz w:val="24"/>
          <w:szCs w:val="24"/>
        </w:rPr>
        <w:t>)</w:t>
      </w:r>
      <w:r w:rsidR="000B4135" w:rsidRPr="00FB66B2">
        <w:rPr>
          <w:rFonts w:ascii="Times New Roman" w:hAnsi="Times New Roman" w:cs="Times New Roman"/>
          <w:sz w:val="24"/>
          <w:szCs w:val="24"/>
        </w:rPr>
        <w:t>.</w:t>
      </w:r>
    </w:p>
    <w:p w:rsidR="00AC092C" w:rsidRPr="00FB66B2" w:rsidRDefault="00FB66B2" w:rsidP="00FB66B2">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E111C" w:rsidRPr="00FB66B2">
        <w:rPr>
          <w:rFonts w:ascii="Times New Roman" w:hAnsi="Times New Roman" w:cs="Times New Roman"/>
          <w:sz w:val="24"/>
          <w:szCs w:val="24"/>
        </w:rPr>
        <w:t xml:space="preserve">But, even if </w:t>
      </w:r>
      <w:r w:rsidR="000B4135" w:rsidRPr="00FB66B2">
        <w:rPr>
          <w:rFonts w:ascii="Times New Roman" w:hAnsi="Times New Roman" w:cs="Times New Roman"/>
          <w:sz w:val="24"/>
          <w:szCs w:val="24"/>
        </w:rPr>
        <w:t xml:space="preserve">the Commission </w:t>
      </w:r>
      <w:r w:rsidR="00343694">
        <w:rPr>
          <w:rFonts w:ascii="Times New Roman" w:hAnsi="Times New Roman" w:cs="Times New Roman"/>
          <w:sz w:val="24"/>
          <w:szCs w:val="24"/>
        </w:rPr>
        <w:t xml:space="preserve">still believes </w:t>
      </w:r>
      <w:r w:rsidR="00EC2D97">
        <w:rPr>
          <w:rFonts w:ascii="Times New Roman" w:hAnsi="Times New Roman" w:cs="Times New Roman"/>
          <w:sz w:val="24"/>
          <w:szCs w:val="24"/>
        </w:rPr>
        <w:t>the second sentence of Paragraph 224</w:t>
      </w:r>
      <w:r w:rsidR="00343694">
        <w:rPr>
          <w:rFonts w:ascii="Times New Roman" w:hAnsi="Times New Roman" w:cs="Times New Roman"/>
          <w:sz w:val="24"/>
          <w:szCs w:val="24"/>
        </w:rPr>
        <w:t xml:space="preserve"> should be applied literally</w:t>
      </w:r>
      <w:r w:rsidR="00EC2D97">
        <w:rPr>
          <w:rFonts w:ascii="Times New Roman" w:hAnsi="Times New Roman" w:cs="Times New Roman"/>
          <w:sz w:val="24"/>
          <w:szCs w:val="24"/>
        </w:rPr>
        <w:t xml:space="preserve">, </w:t>
      </w:r>
      <w:r w:rsidR="000B4135" w:rsidRPr="00FB66B2">
        <w:rPr>
          <w:rFonts w:ascii="Times New Roman" w:hAnsi="Times New Roman" w:cs="Times New Roman"/>
          <w:sz w:val="24"/>
          <w:szCs w:val="24"/>
        </w:rPr>
        <w:t>the Commission should recognize an exception where, as here, the utility actually maintains short-term credit lines and exacts the cost of those credit lines from its ratepayers.</w:t>
      </w:r>
      <w:r w:rsidR="00B11D73" w:rsidRPr="00B11D73">
        <w:rPr>
          <w:rFonts w:ascii="Times New Roman" w:hAnsi="Times New Roman" w:cs="Times New Roman"/>
          <w:sz w:val="24"/>
          <w:szCs w:val="24"/>
          <w:vertAlign w:val="superscript"/>
        </w:rPr>
        <w:footnoteReference w:id="18"/>
      </w:r>
      <w:r w:rsidR="00AC092C" w:rsidRPr="00FB66B2">
        <w:rPr>
          <w:rFonts w:ascii="Times New Roman" w:hAnsi="Times New Roman" w:cs="Times New Roman"/>
          <w:sz w:val="24"/>
          <w:szCs w:val="24"/>
        </w:rPr>
        <w:t xml:space="preserve">  </w:t>
      </w:r>
    </w:p>
    <w:p w:rsidR="00EC2D97" w:rsidRDefault="00FB66B2" w:rsidP="00FB66B2">
      <w:pPr>
        <w:pStyle w:val="ListParagraph"/>
        <w:numPr>
          <w:ilvl w:val="0"/>
          <w:numId w:val="4"/>
        </w:numPr>
        <w:spacing w:after="0" w:line="480" w:lineRule="auto"/>
        <w:rPr>
          <w:rFonts w:ascii="Times New Roman" w:hAnsi="Times New Roman" w:cs="Times New Roman"/>
          <w:sz w:val="24"/>
          <w:szCs w:val="24"/>
        </w:rPr>
      </w:pPr>
      <w:r w:rsidRPr="00EC2D97">
        <w:rPr>
          <w:rFonts w:ascii="Times New Roman" w:hAnsi="Times New Roman" w:cs="Times New Roman"/>
          <w:sz w:val="24"/>
          <w:szCs w:val="24"/>
        </w:rPr>
        <w:tab/>
      </w:r>
      <w:r w:rsidR="000810E7" w:rsidRPr="00EC2D97">
        <w:rPr>
          <w:rFonts w:ascii="Times New Roman" w:hAnsi="Times New Roman" w:cs="Times New Roman"/>
          <w:sz w:val="24"/>
          <w:szCs w:val="24"/>
        </w:rPr>
        <w:t xml:space="preserve">The </w:t>
      </w:r>
      <w:r w:rsidR="006032B4" w:rsidRPr="00EC2D97">
        <w:rPr>
          <w:rFonts w:ascii="Times New Roman" w:hAnsi="Times New Roman" w:cs="Times New Roman"/>
          <w:sz w:val="24"/>
          <w:szCs w:val="24"/>
        </w:rPr>
        <w:t>Commission</w:t>
      </w:r>
      <w:r w:rsidR="000810E7" w:rsidRPr="00EC2D97">
        <w:rPr>
          <w:rFonts w:ascii="Times New Roman" w:hAnsi="Times New Roman" w:cs="Times New Roman"/>
          <w:sz w:val="24"/>
          <w:szCs w:val="24"/>
        </w:rPr>
        <w:t xml:space="preserve"> also said excluding </w:t>
      </w:r>
      <w:r w:rsidR="006032B4" w:rsidRPr="00EC2D97">
        <w:rPr>
          <w:rFonts w:ascii="Times New Roman" w:hAnsi="Times New Roman" w:cs="Times New Roman"/>
          <w:sz w:val="24"/>
          <w:szCs w:val="24"/>
        </w:rPr>
        <w:t>short</w:t>
      </w:r>
      <w:r w:rsidR="000810E7" w:rsidRPr="00EC2D97">
        <w:rPr>
          <w:rFonts w:ascii="Times New Roman" w:hAnsi="Times New Roman" w:cs="Times New Roman"/>
          <w:sz w:val="24"/>
          <w:szCs w:val="24"/>
        </w:rPr>
        <w:t>-</w:t>
      </w:r>
      <w:r w:rsidR="006032B4" w:rsidRPr="00EC2D97">
        <w:rPr>
          <w:rFonts w:ascii="Times New Roman" w:hAnsi="Times New Roman" w:cs="Times New Roman"/>
          <w:sz w:val="24"/>
          <w:szCs w:val="24"/>
        </w:rPr>
        <w:t>term debt from the capital structure “ameliorates the potential adverse effects of the Company’s proposed capital structure</w:t>
      </w:r>
      <w:r w:rsidR="000810E7" w:rsidRPr="00EC2D97">
        <w:rPr>
          <w:rFonts w:ascii="Times New Roman" w:hAnsi="Times New Roman" w:cs="Times New Roman"/>
          <w:sz w:val="24"/>
          <w:szCs w:val="24"/>
        </w:rPr>
        <w:t xml:space="preserve">” that </w:t>
      </w:r>
      <w:r w:rsidR="00036488" w:rsidRPr="00EC2D97">
        <w:rPr>
          <w:rFonts w:ascii="Times New Roman" w:hAnsi="Times New Roman" w:cs="Times New Roman"/>
          <w:sz w:val="24"/>
          <w:szCs w:val="24"/>
        </w:rPr>
        <w:t xml:space="preserve">already </w:t>
      </w:r>
      <w:r w:rsidR="000810E7" w:rsidRPr="00EC2D97">
        <w:rPr>
          <w:rFonts w:ascii="Times New Roman" w:hAnsi="Times New Roman" w:cs="Times New Roman"/>
          <w:sz w:val="24"/>
          <w:szCs w:val="24"/>
        </w:rPr>
        <w:t>has excessive equity</w:t>
      </w:r>
      <w:r w:rsidR="0046058E" w:rsidRPr="00EC2D97">
        <w:rPr>
          <w:rFonts w:ascii="Times New Roman" w:hAnsi="Times New Roman" w:cs="Times New Roman"/>
          <w:sz w:val="24"/>
          <w:szCs w:val="24"/>
        </w:rPr>
        <w:t>,</w:t>
      </w:r>
      <w:r w:rsidR="000810E7">
        <w:rPr>
          <w:rStyle w:val="FootnoteReference"/>
          <w:rFonts w:ascii="Times New Roman" w:hAnsi="Times New Roman" w:cs="Times New Roman"/>
          <w:sz w:val="24"/>
          <w:szCs w:val="24"/>
        </w:rPr>
        <w:footnoteReference w:id="19"/>
      </w:r>
      <w:r w:rsidR="000810E7" w:rsidRPr="00EC2D97">
        <w:rPr>
          <w:rFonts w:ascii="Times New Roman" w:hAnsi="Times New Roman" w:cs="Times New Roman"/>
          <w:sz w:val="24"/>
          <w:szCs w:val="24"/>
        </w:rPr>
        <w:t xml:space="preserve"> </w:t>
      </w:r>
      <w:r w:rsidR="0046058E" w:rsidRPr="00EC2D97">
        <w:rPr>
          <w:rFonts w:ascii="Times New Roman" w:hAnsi="Times New Roman" w:cs="Times New Roman"/>
          <w:sz w:val="24"/>
          <w:szCs w:val="24"/>
        </w:rPr>
        <w:t>but t</w:t>
      </w:r>
      <w:r w:rsidR="000B4135" w:rsidRPr="00EC2D97">
        <w:rPr>
          <w:rFonts w:ascii="Times New Roman" w:hAnsi="Times New Roman" w:cs="Times New Roman"/>
          <w:sz w:val="24"/>
          <w:szCs w:val="24"/>
        </w:rPr>
        <w:t xml:space="preserve">his statement is insufficient </w:t>
      </w:r>
      <w:r w:rsidR="00EC2D97" w:rsidRPr="00EC2D97">
        <w:rPr>
          <w:rFonts w:ascii="Times New Roman" w:hAnsi="Times New Roman" w:cs="Times New Roman"/>
          <w:sz w:val="24"/>
          <w:szCs w:val="24"/>
        </w:rPr>
        <w:t xml:space="preserve">absent </w:t>
      </w:r>
      <w:r w:rsidR="000B4135" w:rsidRPr="00EC2D97">
        <w:rPr>
          <w:rFonts w:ascii="Times New Roman" w:hAnsi="Times New Roman" w:cs="Times New Roman"/>
          <w:sz w:val="24"/>
          <w:szCs w:val="24"/>
        </w:rPr>
        <w:t>a</w:t>
      </w:r>
      <w:r w:rsidR="00036488" w:rsidRPr="00EC2D97">
        <w:rPr>
          <w:rFonts w:ascii="Times New Roman" w:hAnsi="Times New Roman" w:cs="Times New Roman"/>
          <w:sz w:val="24"/>
          <w:szCs w:val="24"/>
        </w:rPr>
        <w:t xml:space="preserve"> calculation </w:t>
      </w:r>
      <w:r w:rsidR="001A5FA6" w:rsidRPr="00EC2D97">
        <w:rPr>
          <w:rFonts w:ascii="Times New Roman" w:hAnsi="Times New Roman" w:cs="Times New Roman"/>
          <w:sz w:val="24"/>
          <w:szCs w:val="24"/>
        </w:rPr>
        <w:t xml:space="preserve">of </w:t>
      </w:r>
      <w:r w:rsidR="000E138E" w:rsidRPr="00EC2D97">
        <w:rPr>
          <w:rFonts w:ascii="Times New Roman" w:hAnsi="Times New Roman" w:cs="Times New Roman"/>
          <w:sz w:val="24"/>
          <w:szCs w:val="24"/>
        </w:rPr>
        <w:t xml:space="preserve">the impact of the Company’s excessive equity </w:t>
      </w:r>
      <w:r w:rsidR="00965395" w:rsidRPr="00EC2D97">
        <w:rPr>
          <w:rFonts w:ascii="Times New Roman" w:hAnsi="Times New Roman" w:cs="Times New Roman"/>
          <w:sz w:val="24"/>
          <w:szCs w:val="24"/>
        </w:rPr>
        <w:t xml:space="preserve">ratio </w:t>
      </w:r>
      <w:r w:rsidR="000E138E" w:rsidRPr="00EC2D97">
        <w:rPr>
          <w:rFonts w:ascii="Times New Roman" w:hAnsi="Times New Roman" w:cs="Times New Roman"/>
          <w:sz w:val="24"/>
          <w:szCs w:val="24"/>
        </w:rPr>
        <w:t xml:space="preserve">and the amount </w:t>
      </w:r>
      <w:r w:rsidR="00965395" w:rsidRPr="00EC2D97">
        <w:rPr>
          <w:rFonts w:ascii="Times New Roman" w:hAnsi="Times New Roman" w:cs="Times New Roman"/>
          <w:sz w:val="24"/>
          <w:szCs w:val="24"/>
        </w:rPr>
        <w:t xml:space="preserve">and means </w:t>
      </w:r>
      <w:r w:rsidR="000E138E" w:rsidRPr="00EC2D97">
        <w:rPr>
          <w:rFonts w:ascii="Times New Roman" w:hAnsi="Times New Roman" w:cs="Times New Roman"/>
          <w:sz w:val="24"/>
          <w:szCs w:val="24"/>
        </w:rPr>
        <w:t xml:space="preserve">necessary to </w:t>
      </w:r>
      <w:r w:rsidR="00036488" w:rsidRPr="00EC2D97">
        <w:rPr>
          <w:rFonts w:ascii="Times New Roman" w:hAnsi="Times New Roman" w:cs="Times New Roman"/>
          <w:sz w:val="24"/>
          <w:szCs w:val="24"/>
        </w:rPr>
        <w:t>ameliorat</w:t>
      </w:r>
      <w:r w:rsidR="000E138E" w:rsidRPr="00EC2D97">
        <w:rPr>
          <w:rFonts w:ascii="Times New Roman" w:hAnsi="Times New Roman" w:cs="Times New Roman"/>
          <w:sz w:val="24"/>
          <w:szCs w:val="24"/>
        </w:rPr>
        <w:t>e it</w:t>
      </w:r>
      <w:r w:rsidR="00036488" w:rsidRPr="00EC2D97">
        <w:rPr>
          <w:rFonts w:ascii="Times New Roman" w:hAnsi="Times New Roman" w:cs="Times New Roman"/>
          <w:sz w:val="24"/>
          <w:szCs w:val="24"/>
        </w:rPr>
        <w:t>.</w:t>
      </w:r>
      <w:r w:rsidR="00EC2D97" w:rsidRPr="00EC2D97">
        <w:rPr>
          <w:rFonts w:ascii="Times New Roman" w:hAnsi="Times New Roman" w:cs="Times New Roman"/>
          <w:sz w:val="24"/>
          <w:szCs w:val="24"/>
        </w:rPr>
        <w:t xml:space="preserve">  </w:t>
      </w:r>
      <w:r w:rsidR="00D27ECF">
        <w:rPr>
          <w:rFonts w:ascii="Times New Roman" w:hAnsi="Times New Roman" w:cs="Times New Roman"/>
          <w:sz w:val="24"/>
          <w:szCs w:val="24"/>
        </w:rPr>
        <w:t>Yet</w:t>
      </w:r>
      <w:r w:rsidR="00EC2D97">
        <w:rPr>
          <w:rFonts w:ascii="Times New Roman" w:hAnsi="Times New Roman" w:cs="Times New Roman"/>
          <w:sz w:val="24"/>
          <w:szCs w:val="24"/>
        </w:rPr>
        <w:t>,</w:t>
      </w:r>
      <w:r w:rsidR="00EC2D97" w:rsidRPr="00EC2D97">
        <w:rPr>
          <w:rFonts w:ascii="Times New Roman" w:hAnsi="Times New Roman" w:cs="Times New Roman"/>
          <w:sz w:val="24"/>
          <w:szCs w:val="24"/>
        </w:rPr>
        <w:t xml:space="preserve"> such a</w:t>
      </w:r>
      <w:r w:rsidR="0006703D">
        <w:rPr>
          <w:rFonts w:ascii="Times New Roman" w:hAnsi="Times New Roman" w:cs="Times New Roman"/>
          <w:sz w:val="24"/>
          <w:szCs w:val="24"/>
        </w:rPr>
        <w:t xml:space="preserve">n adjustment </w:t>
      </w:r>
      <w:r w:rsidR="00EC2D97" w:rsidRPr="00EC2D97">
        <w:rPr>
          <w:rFonts w:ascii="Times New Roman" w:hAnsi="Times New Roman" w:cs="Times New Roman"/>
          <w:sz w:val="24"/>
          <w:szCs w:val="24"/>
        </w:rPr>
        <w:t xml:space="preserve">still </w:t>
      </w:r>
      <w:r w:rsidR="0006703D">
        <w:rPr>
          <w:rFonts w:ascii="Times New Roman" w:hAnsi="Times New Roman" w:cs="Times New Roman"/>
          <w:sz w:val="24"/>
          <w:szCs w:val="24"/>
        </w:rPr>
        <w:t xml:space="preserve">would </w:t>
      </w:r>
      <w:r w:rsidR="00EC2D97" w:rsidRPr="00EC2D97">
        <w:rPr>
          <w:rFonts w:ascii="Times New Roman" w:hAnsi="Times New Roman" w:cs="Times New Roman"/>
          <w:sz w:val="24"/>
          <w:szCs w:val="24"/>
        </w:rPr>
        <w:t xml:space="preserve">miss the point, because </w:t>
      </w:r>
      <w:r w:rsidR="00036488" w:rsidRPr="00EC2D97">
        <w:rPr>
          <w:rFonts w:ascii="Times New Roman" w:hAnsi="Times New Roman" w:cs="Times New Roman"/>
          <w:sz w:val="24"/>
          <w:szCs w:val="24"/>
        </w:rPr>
        <w:t xml:space="preserve">the Commission’s </w:t>
      </w:r>
      <w:r w:rsidR="00AA35F5" w:rsidRPr="00EC2D97">
        <w:rPr>
          <w:rFonts w:ascii="Times New Roman" w:hAnsi="Times New Roman" w:cs="Times New Roman"/>
          <w:sz w:val="24"/>
          <w:szCs w:val="24"/>
        </w:rPr>
        <w:t>correctly</w:t>
      </w:r>
      <w:r w:rsidR="00AF5643">
        <w:rPr>
          <w:rFonts w:ascii="Times New Roman" w:hAnsi="Times New Roman" w:cs="Times New Roman"/>
          <w:sz w:val="24"/>
          <w:szCs w:val="24"/>
        </w:rPr>
        <w:t>-</w:t>
      </w:r>
      <w:r w:rsidR="0046058E" w:rsidRPr="00EC2D97">
        <w:rPr>
          <w:rFonts w:ascii="Times New Roman" w:hAnsi="Times New Roman" w:cs="Times New Roman"/>
          <w:sz w:val="24"/>
          <w:szCs w:val="24"/>
        </w:rPr>
        <w:t xml:space="preserve">stated </w:t>
      </w:r>
      <w:r w:rsidR="00036488" w:rsidRPr="00EC2D97">
        <w:rPr>
          <w:rFonts w:ascii="Times New Roman" w:hAnsi="Times New Roman" w:cs="Times New Roman"/>
          <w:sz w:val="24"/>
          <w:szCs w:val="24"/>
        </w:rPr>
        <w:t xml:space="preserve">goal </w:t>
      </w:r>
      <w:r w:rsidR="0046058E" w:rsidRPr="00EC2D97">
        <w:rPr>
          <w:rFonts w:ascii="Times New Roman" w:hAnsi="Times New Roman" w:cs="Times New Roman"/>
          <w:sz w:val="24"/>
          <w:szCs w:val="24"/>
        </w:rPr>
        <w:t xml:space="preserve">is </w:t>
      </w:r>
      <w:r w:rsidR="000810E7" w:rsidRPr="00EC2D97">
        <w:rPr>
          <w:rFonts w:ascii="Times New Roman" w:hAnsi="Times New Roman" w:cs="Times New Roman"/>
          <w:sz w:val="24"/>
          <w:szCs w:val="24"/>
        </w:rPr>
        <w:t>to find a capital structure that properly balances safety and economy</w:t>
      </w:r>
      <w:r w:rsidR="007A327A">
        <w:rPr>
          <w:rFonts w:ascii="Times New Roman" w:hAnsi="Times New Roman" w:cs="Times New Roman"/>
          <w:sz w:val="24"/>
          <w:szCs w:val="24"/>
        </w:rPr>
        <w:t xml:space="preserve"> consider</w:t>
      </w:r>
      <w:r w:rsidR="00273E25">
        <w:rPr>
          <w:rFonts w:ascii="Times New Roman" w:hAnsi="Times New Roman" w:cs="Times New Roman"/>
          <w:sz w:val="24"/>
          <w:szCs w:val="24"/>
        </w:rPr>
        <w:t>ing</w:t>
      </w:r>
      <w:r w:rsidR="007A327A">
        <w:rPr>
          <w:rFonts w:ascii="Times New Roman" w:hAnsi="Times New Roman" w:cs="Times New Roman"/>
          <w:sz w:val="24"/>
          <w:szCs w:val="24"/>
        </w:rPr>
        <w:t xml:space="preserve"> all </w:t>
      </w:r>
      <w:r w:rsidR="00273E25">
        <w:rPr>
          <w:rFonts w:ascii="Times New Roman" w:hAnsi="Times New Roman" w:cs="Times New Roman"/>
          <w:sz w:val="24"/>
          <w:szCs w:val="24"/>
        </w:rPr>
        <w:t xml:space="preserve">available </w:t>
      </w:r>
      <w:r w:rsidR="007A327A">
        <w:rPr>
          <w:rFonts w:ascii="Times New Roman" w:hAnsi="Times New Roman" w:cs="Times New Roman"/>
          <w:sz w:val="24"/>
          <w:szCs w:val="24"/>
        </w:rPr>
        <w:t>sources of capital</w:t>
      </w:r>
      <w:r w:rsidR="00036488" w:rsidRPr="00EC2D97">
        <w:rPr>
          <w:rFonts w:ascii="Times New Roman" w:hAnsi="Times New Roman" w:cs="Times New Roman"/>
          <w:sz w:val="24"/>
          <w:szCs w:val="24"/>
        </w:rPr>
        <w:t xml:space="preserve">, not simply </w:t>
      </w:r>
      <w:r w:rsidR="0006703D">
        <w:rPr>
          <w:rFonts w:ascii="Times New Roman" w:hAnsi="Times New Roman" w:cs="Times New Roman"/>
          <w:sz w:val="24"/>
          <w:szCs w:val="24"/>
        </w:rPr>
        <w:t>adjusting the equity ratio</w:t>
      </w:r>
      <w:r w:rsidR="00C96CB9">
        <w:rPr>
          <w:rFonts w:ascii="Times New Roman" w:hAnsi="Times New Roman" w:cs="Times New Roman"/>
          <w:sz w:val="24"/>
          <w:szCs w:val="24"/>
        </w:rPr>
        <w:t xml:space="preserve"> to </w:t>
      </w:r>
      <w:r w:rsidR="0006703D">
        <w:rPr>
          <w:rFonts w:ascii="Times New Roman" w:hAnsi="Times New Roman" w:cs="Times New Roman"/>
          <w:sz w:val="24"/>
          <w:szCs w:val="24"/>
        </w:rPr>
        <w:t xml:space="preserve">ameliorate </w:t>
      </w:r>
      <w:r w:rsidR="000E138E" w:rsidRPr="00EC2D97">
        <w:rPr>
          <w:rFonts w:ascii="Times New Roman" w:hAnsi="Times New Roman" w:cs="Times New Roman"/>
          <w:sz w:val="24"/>
          <w:szCs w:val="24"/>
        </w:rPr>
        <w:t xml:space="preserve">certain </w:t>
      </w:r>
      <w:r w:rsidR="00036488" w:rsidRPr="00EC2D97">
        <w:rPr>
          <w:rFonts w:ascii="Times New Roman" w:hAnsi="Times New Roman" w:cs="Times New Roman"/>
          <w:sz w:val="24"/>
          <w:szCs w:val="24"/>
        </w:rPr>
        <w:t>adverse impacts</w:t>
      </w:r>
      <w:r w:rsidR="0046058E" w:rsidRPr="00EC2D97">
        <w:rPr>
          <w:rFonts w:ascii="Times New Roman" w:hAnsi="Times New Roman" w:cs="Times New Roman"/>
          <w:sz w:val="24"/>
          <w:szCs w:val="24"/>
        </w:rPr>
        <w:t xml:space="preserve"> of an actual, excessive equity ratio</w:t>
      </w:r>
      <w:r w:rsidR="007A327A">
        <w:rPr>
          <w:rFonts w:ascii="Times New Roman" w:hAnsi="Times New Roman" w:cs="Times New Roman"/>
          <w:sz w:val="24"/>
          <w:szCs w:val="24"/>
        </w:rPr>
        <w:t xml:space="preserve"> and </w:t>
      </w:r>
      <w:r w:rsidR="00273E25">
        <w:rPr>
          <w:rFonts w:ascii="Times New Roman" w:hAnsi="Times New Roman" w:cs="Times New Roman"/>
          <w:sz w:val="24"/>
          <w:szCs w:val="24"/>
        </w:rPr>
        <w:t>the utility</w:t>
      </w:r>
      <w:r w:rsidR="007A327A">
        <w:rPr>
          <w:rFonts w:ascii="Times New Roman" w:hAnsi="Times New Roman" w:cs="Times New Roman"/>
          <w:sz w:val="24"/>
          <w:szCs w:val="24"/>
        </w:rPr>
        <w:t xml:space="preserve"> </w:t>
      </w:r>
      <w:r w:rsidR="00273E25">
        <w:rPr>
          <w:rFonts w:ascii="Times New Roman" w:hAnsi="Times New Roman" w:cs="Times New Roman"/>
          <w:sz w:val="24"/>
          <w:szCs w:val="24"/>
        </w:rPr>
        <w:t xml:space="preserve">owner’s </w:t>
      </w:r>
      <w:r w:rsidR="007A327A">
        <w:rPr>
          <w:rFonts w:ascii="Times New Roman" w:hAnsi="Times New Roman" w:cs="Times New Roman"/>
          <w:sz w:val="24"/>
          <w:szCs w:val="24"/>
        </w:rPr>
        <w:t xml:space="preserve">decision to </w:t>
      </w:r>
      <w:r w:rsidR="00C96CB9">
        <w:rPr>
          <w:rFonts w:ascii="Times New Roman" w:hAnsi="Times New Roman" w:cs="Times New Roman"/>
          <w:sz w:val="24"/>
          <w:szCs w:val="24"/>
        </w:rPr>
        <w:t xml:space="preserve">abandon </w:t>
      </w:r>
      <w:r w:rsidR="007A327A">
        <w:rPr>
          <w:rFonts w:ascii="Times New Roman" w:hAnsi="Times New Roman" w:cs="Times New Roman"/>
          <w:sz w:val="24"/>
          <w:szCs w:val="24"/>
        </w:rPr>
        <w:t xml:space="preserve">use </w:t>
      </w:r>
      <w:r w:rsidR="00C96CB9">
        <w:rPr>
          <w:rFonts w:ascii="Times New Roman" w:hAnsi="Times New Roman" w:cs="Times New Roman"/>
          <w:sz w:val="24"/>
          <w:szCs w:val="24"/>
        </w:rPr>
        <w:t xml:space="preserve">of </w:t>
      </w:r>
      <w:r w:rsidR="007A327A">
        <w:rPr>
          <w:rFonts w:ascii="Times New Roman" w:hAnsi="Times New Roman" w:cs="Times New Roman"/>
          <w:sz w:val="24"/>
          <w:szCs w:val="24"/>
        </w:rPr>
        <w:t>short-term debt</w:t>
      </w:r>
      <w:r w:rsidR="00273E25">
        <w:rPr>
          <w:rFonts w:ascii="Times New Roman" w:hAnsi="Times New Roman" w:cs="Times New Roman"/>
          <w:sz w:val="24"/>
          <w:szCs w:val="24"/>
        </w:rPr>
        <w:t>.</w:t>
      </w:r>
      <w:r w:rsidR="000810E7" w:rsidRPr="00EC2D97">
        <w:rPr>
          <w:rFonts w:ascii="Times New Roman" w:hAnsi="Times New Roman" w:cs="Times New Roman"/>
          <w:sz w:val="24"/>
          <w:szCs w:val="24"/>
        </w:rPr>
        <w:t xml:space="preserve"> </w:t>
      </w:r>
    </w:p>
    <w:p w:rsidR="00343694" w:rsidRDefault="00EC2D97" w:rsidP="00FB66B2">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96CB9">
        <w:rPr>
          <w:rFonts w:ascii="Times New Roman" w:hAnsi="Times New Roman" w:cs="Times New Roman"/>
          <w:sz w:val="24"/>
          <w:szCs w:val="24"/>
        </w:rPr>
        <w:t xml:space="preserve">The bottom line is that </w:t>
      </w:r>
      <w:r w:rsidR="000810E7" w:rsidRPr="00EC2D97">
        <w:rPr>
          <w:rFonts w:ascii="Times New Roman" w:hAnsi="Times New Roman" w:cs="Times New Roman"/>
          <w:sz w:val="24"/>
          <w:szCs w:val="24"/>
        </w:rPr>
        <w:t xml:space="preserve">Staff’s evidence showed </w:t>
      </w:r>
      <w:r w:rsidR="00036488" w:rsidRPr="00EC2D97">
        <w:rPr>
          <w:rFonts w:ascii="Times New Roman" w:hAnsi="Times New Roman" w:cs="Times New Roman"/>
          <w:sz w:val="24"/>
          <w:szCs w:val="24"/>
        </w:rPr>
        <w:t>th</w:t>
      </w:r>
      <w:r w:rsidR="00D27ECF">
        <w:rPr>
          <w:rFonts w:ascii="Times New Roman" w:hAnsi="Times New Roman" w:cs="Times New Roman"/>
          <w:sz w:val="24"/>
          <w:szCs w:val="24"/>
        </w:rPr>
        <w:t>e</w:t>
      </w:r>
      <w:r w:rsidR="00036488" w:rsidRPr="00EC2D97">
        <w:rPr>
          <w:rFonts w:ascii="Times New Roman" w:hAnsi="Times New Roman" w:cs="Times New Roman"/>
          <w:sz w:val="24"/>
          <w:szCs w:val="24"/>
        </w:rPr>
        <w:t xml:space="preserve"> </w:t>
      </w:r>
      <w:r w:rsidR="003C3712" w:rsidRPr="00EC2D97">
        <w:rPr>
          <w:rFonts w:ascii="Times New Roman" w:hAnsi="Times New Roman" w:cs="Times New Roman"/>
          <w:sz w:val="24"/>
          <w:szCs w:val="24"/>
        </w:rPr>
        <w:t xml:space="preserve">goal </w:t>
      </w:r>
      <w:r w:rsidR="00D27ECF">
        <w:rPr>
          <w:rFonts w:ascii="Times New Roman" w:hAnsi="Times New Roman" w:cs="Times New Roman"/>
          <w:sz w:val="24"/>
          <w:szCs w:val="24"/>
        </w:rPr>
        <w:t xml:space="preserve">of safety and economy </w:t>
      </w:r>
      <w:r w:rsidR="000810E7" w:rsidRPr="00EC2D97">
        <w:rPr>
          <w:rFonts w:ascii="Times New Roman" w:hAnsi="Times New Roman" w:cs="Times New Roman"/>
          <w:sz w:val="24"/>
          <w:szCs w:val="24"/>
        </w:rPr>
        <w:t xml:space="preserve">can be </w:t>
      </w:r>
      <w:r w:rsidR="003C3712" w:rsidRPr="00EC2D97">
        <w:rPr>
          <w:rFonts w:ascii="Times New Roman" w:hAnsi="Times New Roman" w:cs="Times New Roman"/>
          <w:sz w:val="24"/>
          <w:szCs w:val="24"/>
        </w:rPr>
        <w:t xml:space="preserve">attained </w:t>
      </w:r>
      <w:r w:rsidR="000810E7" w:rsidRPr="00EC2D97">
        <w:rPr>
          <w:rFonts w:ascii="Times New Roman" w:hAnsi="Times New Roman" w:cs="Times New Roman"/>
          <w:sz w:val="24"/>
          <w:szCs w:val="24"/>
        </w:rPr>
        <w:t>using a 46.5 percent equity ratio</w:t>
      </w:r>
      <w:r w:rsidR="0046058E" w:rsidRPr="00EC2D97">
        <w:rPr>
          <w:rFonts w:ascii="Times New Roman" w:hAnsi="Times New Roman" w:cs="Times New Roman"/>
          <w:sz w:val="24"/>
          <w:szCs w:val="24"/>
        </w:rPr>
        <w:t xml:space="preserve"> and 3.0 percent short-term debt</w:t>
      </w:r>
      <w:r w:rsidR="000810E7" w:rsidRPr="00EC2D97">
        <w:rPr>
          <w:rFonts w:ascii="Times New Roman" w:hAnsi="Times New Roman" w:cs="Times New Roman"/>
          <w:sz w:val="24"/>
          <w:szCs w:val="24"/>
        </w:rPr>
        <w:t>, which</w:t>
      </w:r>
      <w:r w:rsidR="00273E25">
        <w:rPr>
          <w:rFonts w:ascii="Times New Roman" w:hAnsi="Times New Roman" w:cs="Times New Roman"/>
          <w:sz w:val="24"/>
          <w:szCs w:val="24"/>
        </w:rPr>
        <w:t>, again,</w:t>
      </w:r>
      <w:r w:rsidR="000810E7" w:rsidRPr="00EC2D97">
        <w:rPr>
          <w:rFonts w:ascii="Times New Roman" w:hAnsi="Times New Roman" w:cs="Times New Roman"/>
          <w:sz w:val="24"/>
          <w:szCs w:val="24"/>
        </w:rPr>
        <w:t xml:space="preserve"> is consistent with how the large majority of electric utilities in this country are </w:t>
      </w:r>
      <w:r w:rsidR="00273E25">
        <w:rPr>
          <w:rFonts w:ascii="Times New Roman" w:hAnsi="Times New Roman" w:cs="Times New Roman"/>
          <w:sz w:val="24"/>
          <w:szCs w:val="24"/>
        </w:rPr>
        <w:t xml:space="preserve">successfully </w:t>
      </w:r>
      <w:r w:rsidR="000810E7" w:rsidRPr="00EC2D97">
        <w:rPr>
          <w:rFonts w:ascii="Times New Roman" w:hAnsi="Times New Roman" w:cs="Times New Roman"/>
          <w:sz w:val="24"/>
          <w:szCs w:val="24"/>
        </w:rPr>
        <w:t>capitalized.</w:t>
      </w:r>
      <w:r w:rsidR="009D2BE0">
        <w:rPr>
          <w:rFonts w:ascii="Times New Roman" w:hAnsi="Times New Roman" w:cs="Times New Roman"/>
          <w:sz w:val="24"/>
          <w:szCs w:val="24"/>
        </w:rPr>
        <w:t xml:space="preserve">  </w:t>
      </w:r>
      <w:r w:rsidR="00ED35A1" w:rsidRPr="00ED35A1">
        <w:rPr>
          <w:rFonts w:ascii="Times New Roman" w:hAnsi="Times New Roman" w:cs="Times New Roman"/>
          <w:sz w:val="24"/>
          <w:szCs w:val="24"/>
        </w:rPr>
        <w:t xml:space="preserve">Under the Order, ratepayers will experience a very large rate increase. </w:t>
      </w:r>
      <w:r w:rsidR="00ED35A1">
        <w:rPr>
          <w:rFonts w:ascii="Times New Roman" w:hAnsi="Times New Roman" w:cs="Times New Roman"/>
          <w:sz w:val="24"/>
          <w:szCs w:val="24"/>
        </w:rPr>
        <w:t xml:space="preserve"> </w:t>
      </w:r>
      <w:r w:rsidR="009D2BE0">
        <w:rPr>
          <w:rFonts w:ascii="Times New Roman" w:hAnsi="Times New Roman" w:cs="Times New Roman"/>
          <w:sz w:val="24"/>
          <w:szCs w:val="24"/>
        </w:rPr>
        <w:t>There is no reason to increase the rate of return via an excessive equity ratio and the elimination of short-term debt.</w:t>
      </w:r>
      <w:r w:rsidR="000810E7" w:rsidRPr="00EC2D97">
        <w:rPr>
          <w:rFonts w:ascii="Times New Roman" w:hAnsi="Times New Roman" w:cs="Times New Roman"/>
          <w:sz w:val="24"/>
          <w:szCs w:val="24"/>
        </w:rPr>
        <w:t xml:space="preserve">  </w:t>
      </w:r>
    </w:p>
    <w:p w:rsidR="0044571B" w:rsidRDefault="0044571B" w:rsidP="0044571B">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w:t>
      </w:r>
    </w:p>
    <w:p w:rsidR="0044571B" w:rsidRDefault="0044571B" w:rsidP="0044571B">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w:t>
      </w:r>
    </w:p>
    <w:p w:rsidR="0044571B" w:rsidRDefault="0044571B" w:rsidP="0044571B">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w:t>
      </w:r>
    </w:p>
    <w:p w:rsidR="0044571B" w:rsidRDefault="0044571B" w:rsidP="0044571B">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w:t>
      </w:r>
    </w:p>
    <w:p w:rsidR="0044571B" w:rsidRDefault="0044571B">
      <w:pPr>
        <w:rPr>
          <w:rFonts w:ascii="Times New Roman" w:hAnsi="Times New Roman" w:cs="Times New Roman"/>
          <w:sz w:val="24"/>
          <w:szCs w:val="24"/>
        </w:rPr>
      </w:pPr>
      <w:r>
        <w:rPr>
          <w:rFonts w:ascii="Times New Roman" w:hAnsi="Times New Roman" w:cs="Times New Roman"/>
          <w:sz w:val="24"/>
          <w:szCs w:val="24"/>
        </w:rPr>
        <w:br w:type="page"/>
      </w:r>
    </w:p>
    <w:p w:rsidR="00684526" w:rsidRPr="00684526" w:rsidRDefault="00684526" w:rsidP="009D2BE0">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Conclusion</w:t>
      </w:r>
    </w:p>
    <w:p w:rsidR="008644A3" w:rsidRDefault="00FB66B2" w:rsidP="00FB66B2">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36488" w:rsidRPr="00FB66B2">
        <w:rPr>
          <w:rFonts w:ascii="Times New Roman" w:hAnsi="Times New Roman" w:cs="Times New Roman"/>
          <w:sz w:val="24"/>
          <w:szCs w:val="24"/>
        </w:rPr>
        <w:t xml:space="preserve">For the foregoing reasons, the </w:t>
      </w:r>
      <w:r w:rsidR="001A5FA6" w:rsidRPr="00FB66B2">
        <w:rPr>
          <w:rFonts w:ascii="Times New Roman" w:hAnsi="Times New Roman" w:cs="Times New Roman"/>
          <w:sz w:val="24"/>
          <w:szCs w:val="24"/>
        </w:rPr>
        <w:t>Commission should reconsider its decision on capital structure and adopt Staff’s recommended capital structure</w:t>
      </w:r>
      <w:r w:rsidR="00AA35F5">
        <w:rPr>
          <w:rFonts w:ascii="Times New Roman" w:hAnsi="Times New Roman" w:cs="Times New Roman"/>
          <w:sz w:val="24"/>
          <w:szCs w:val="24"/>
        </w:rPr>
        <w:t xml:space="preserve"> of </w:t>
      </w:r>
      <w:r w:rsidR="00AA35F5" w:rsidRPr="00AA35F5">
        <w:rPr>
          <w:rFonts w:ascii="Times New Roman" w:hAnsi="Times New Roman" w:cs="Times New Roman"/>
          <w:sz w:val="24"/>
          <w:szCs w:val="24"/>
        </w:rPr>
        <w:t>46.5 percent equity, 3.0 percent short-term debt, 0.30 percent preferred and 50.20 percent long-term debt.</w:t>
      </w:r>
    </w:p>
    <w:p w:rsidR="00D85CDA" w:rsidRDefault="00D85CDA" w:rsidP="00D85CD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D85CDA">
        <w:rPr>
          <w:rFonts w:ascii="Times New Roman" w:hAnsi="Times New Roman" w:cs="Times New Roman"/>
          <w:sz w:val="24"/>
          <w:szCs w:val="24"/>
        </w:rPr>
        <w:t xml:space="preserve">DATED this </w:t>
      </w:r>
      <w:r w:rsidR="00B738B4">
        <w:rPr>
          <w:rFonts w:ascii="Times New Roman" w:hAnsi="Times New Roman" w:cs="Times New Roman"/>
          <w:sz w:val="24"/>
          <w:szCs w:val="24"/>
        </w:rPr>
        <w:t>4</w:t>
      </w:r>
      <w:r w:rsidR="00B738B4" w:rsidRPr="00B738B4">
        <w:rPr>
          <w:rFonts w:ascii="Times New Roman" w:hAnsi="Times New Roman" w:cs="Times New Roman"/>
          <w:sz w:val="24"/>
          <w:szCs w:val="24"/>
          <w:vertAlign w:val="superscript"/>
        </w:rPr>
        <w:t>th</w:t>
      </w:r>
      <w:r w:rsidR="00B738B4">
        <w:rPr>
          <w:rFonts w:ascii="Times New Roman" w:hAnsi="Times New Roman" w:cs="Times New Roman"/>
          <w:sz w:val="24"/>
          <w:szCs w:val="24"/>
        </w:rPr>
        <w:t xml:space="preserve"> </w:t>
      </w:r>
      <w:r w:rsidRPr="00D85CDA">
        <w:rPr>
          <w:rFonts w:ascii="Times New Roman" w:hAnsi="Times New Roman" w:cs="Times New Roman"/>
          <w:sz w:val="24"/>
          <w:szCs w:val="24"/>
        </w:rPr>
        <w:t xml:space="preserve">day of </w:t>
      </w:r>
      <w:r>
        <w:rPr>
          <w:rFonts w:ascii="Times New Roman" w:hAnsi="Times New Roman" w:cs="Times New Roman"/>
          <w:sz w:val="24"/>
          <w:szCs w:val="24"/>
        </w:rPr>
        <w:t>April</w:t>
      </w:r>
      <w:r w:rsidRPr="00D85CDA">
        <w:rPr>
          <w:rFonts w:ascii="Times New Roman" w:hAnsi="Times New Roman" w:cs="Times New Roman"/>
          <w:sz w:val="24"/>
          <w:szCs w:val="24"/>
        </w:rPr>
        <w:t xml:space="preserve"> 2011.</w:t>
      </w:r>
    </w:p>
    <w:p w:rsidR="00D85CDA" w:rsidRPr="00D85CDA" w:rsidRDefault="00D85CDA" w:rsidP="00D85CDA">
      <w:pPr>
        <w:spacing w:after="0" w:line="240" w:lineRule="auto"/>
        <w:rPr>
          <w:rFonts w:ascii="Times New Roman" w:hAnsi="Times New Roman" w:cs="Times New Roman"/>
          <w:sz w:val="24"/>
          <w:szCs w:val="24"/>
        </w:rPr>
      </w:pPr>
    </w:p>
    <w:p w:rsidR="00D85CDA" w:rsidRPr="00D85CDA" w:rsidRDefault="00D85CDA" w:rsidP="00D85CDA">
      <w:pPr>
        <w:spacing w:after="0" w:line="240" w:lineRule="auto"/>
        <w:ind w:left="4320"/>
        <w:jc w:val="both"/>
        <w:rPr>
          <w:rFonts w:ascii="Times New Roman" w:hAnsi="Times New Roman" w:cs="Times New Roman"/>
          <w:sz w:val="24"/>
          <w:szCs w:val="24"/>
        </w:rPr>
      </w:pPr>
      <w:r w:rsidRPr="00D85CDA">
        <w:rPr>
          <w:rFonts w:ascii="Times New Roman" w:hAnsi="Times New Roman" w:cs="Times New Roman"/>
          <w:sz w:val="24"/>
          <w:szCs w:val="24"/>
        </w:rPr>
        <w:t xml:space="preserve">ROBERT M. MCKENNA </w:t>
      </w:r>
    </w:p>
    <w:p w:rsidR="00D85CDA" w:rsidRPr="00D85CDA" w:rsidRDefault="00D85CDA" w:rsidP="00D85CDA">
      <w:pPr>
        <w:spacing w:after="0" w:line="240" w:lineRule="auto"/>
        <w:ind w:left="4320"/>
        <w:jc w:val="both"/>
        <w:rPr>
          <w:rFonts w:ascii="Times New Roman" w:hAnsi="Times New Roman" w:cs="Times New Roman"/>
          <w:sz w:val="24"/>
          <w:szCs w:val="24"/>
        </w:rPr>
      </w:pPr>
      <w:r w:rsidRPr="00D85CDA">
        <w:rPr>
          <w:rFonts w:ascii="Times New Roman" w:hAnsi="Times New Roman" w:cs="Times New Roman"/>
          <w:sz w:val="24"/>
          <w:szCs w:val="24"/>
        </w:rPr>
        <w:t>Attorney General</w:t>
      </w:r>
    </w:p>
    <w:p w:rsidR="00D85CDA" w:rsidRPr="00D85CDA" w:rsidRDefault="00D85CDA" w:rsidP="00D85CDA">
      <w:pPr>
        <w:spacing w:after="0" w:line="240" w:lineRule="auto"/>
        <w:ind w:left="4320"/>
        <w:jc w:val="both"/>
        <w:rPr>
          <w:rFonts w:ascii="Times New Roman" w:hAnsi="Times New Roman" w:cs="Times New Roman"/>
          <w:sz w:val="24"/>
          <w:szCs w:val="24"/>
        </w:rPr>
      </w:pPr>
    </w:p>
    <w:p w:rsidR="00D85CDA" w:rsidRPr="00D85CDA" w:rsidRDefault="00D85CDA" w:rsidP="00D85CDA">
      <w:pPr>
        <w:spacing w:after="0" w:line="240" w:lineRule="auto"/>
        <w:ind w:left="4320"/>
        <w:jc w:val="both"/>
        <w:rPr>
          <w:rFonts w:ascii="Times New Roman" w:hAnsi="Times New Roman" w:cs="Times New Roman"/>
          <w:sz w:val="24"/>
          <w:szCs w:val="24"/>
        </w:rPr>
      </w:pPr>
    </w:p>
    <w:p w:rsidR="00D85CDA" w:rsidRPr="00D85CDA" w:rsidRDefault="00D85CDA" w:rsidP="00D85CDA">
      <w:pPr>
        <w:spacing w:after="0" w:line="240" w:lineRule="auto"/>
        <w:ind w:left="4320"/>
        <w:jc w:val="both"/>
        <w:rPr>
          <w:rFonts w:ascii="Times New Roman" w:hAnsi="Times New Roman" w:cs="Times New Roman"/>
          <w:sz w:val="24"/>
          <w:szCs w:val="24"/>
        </w:rPr>
      </w:pPr>
      <w:r w:rsidRPr="00D85CDA">
        <w:rPr>
          <w:rFonts w:ascii="Times New Roman" w:hAnsi="Times New Roman" w:cs="Times New Roman"/>
          <w:sz w:val="24"/>
          <w:szCs w:val="24"/>
        </w:rPr>
        <w:t>_______________________________</w:t>
      </w:r>
    </w:p>
    <w:p w:rsidR="00D85CDA" w:rsidRPr="00D85CDA" w:rsidRDefault="00D85CDA" w:rsidP="00D85CDA">
      <w:pPr>
        <w:spacing w:after="0" w:line="240" w:lineRule="auto"/>
        <w:ind w:left="4320"/>
        <w:jc w:val="both"/>
        <w:rPr>
          <w:rFonts w:ascii="Times New Roman" w:hAnsi="Times New Roman" w:cs="Times New Roman"/>
          <w:sz w:val="24"/>
          <w:szCs w:val="24"/>
        </w:rPr>
      </w:pPr>
      <w:r w:rsidRPr="00D85CDA">
        <w:rPr>
          <w:rFonts w:ascii="Times New Roman" w:hAnsi="Times New Roman" w:cs="Times New Roman"/>
          <w:sz w:val="24"/>
          <w:szCs w:val="24"/>
        </w:rPr>
        <w:t xml:space="preserve">DONALD T. TROTTER </w:t>
      </w:r>
    </w:p>
    <w:p w:rsidR="00D85CDA" w:rsidRPr="00D85CDA" w:rsidRDefault="00D85CDA" w:rsidP="00D85CDA">
      <w:pPr>
        <w:spacing w:after="0" w:line="240" w:lineRule="auto"/>
        <w:ind w:left="4320"/>
        <w:jc w:val="both"/>
        <w:rPr>
          <w:rFonts w:ascii="Times New Roman" w:hAnsi="Times New Roman" w:cs="Times New Roman"/>
          <w:sz w:val="24"/>
          <w:szCs w:val="24"/>
        </w:rPr>
      </w:pPr>
      <w:r w:rsidRPr="00D85CDA">
        <w:rPr>
          <w:rFonts w:ascii="Times New Roman" w:hAnsi="Times New Roman" w:cs="Times New Roman"/>
          <w:sz w:val="24"/>
          <w:szCs w:val="24"/>
        </w:rPr>
        <w:t>Assistant Attorney General</w:t>
      </w:r>
    </w:p>
    <w:p w:rsidR="00D85CDA" w:rsidRPr="00D85CDA" w:rsidRDefault="00D85CDA" w:rsidP="00D85CDA">
      <w:pPr>
        <w:spacing w:after="0" w:line="240" w:lineRule="auto"/>
        <w:ind w:left="4320"/>
        <w:jc w:val="both"/>
        <w:rPr>
          <w:rFonts w:ascii="Times New Roman" w:hAnsi="Times New Roman" w:cs="Times New Roman"/>
          <w:sz w:val="24"/>
          <w:szCs w:val="24"/>
        </w:rPr>
      </w:pPr>
      <w:r w:rsidRPr="00D85CDA">
        <w:rPr>
          <w:rFonts w:ascii="Times New Roman" w:hAnsi="Times New Roman" w:cs="Times New Roman"/>
          <w:sz w:val="24"/>
          <w:szCs w:val="24"/>
        </w:rPr>
        <w:t>Counsel for Washington Utilities and</w:t>
      </w:r>
    </w:p>
    <w:p w:rsidR="00D85CDA" w:rsidRPr="00D85CDA" w:rsidRDefault="00D85CDA" w:rsidP="00D85CDA">
      <w:pPr>
        <w:spacing w:after="0" w:line="240" w:lineRule="auto"/>
        <w:ind w:left="4320"/>
        <w:jc w:val="both"/>
        <w:rPr>
          <w:rFonts w:ascii="Times New Roman" w:hAnsi="Times New Roman" w:cs="Times New Roman"/>
          <w:sz w:val="24"/>
          <w:szCs w:val="24"/>
        </w:rPr>
      </w:pPr>
      <w:r w:rsidRPr="00D85CDA">
        <w:rPr>
          <w:rFonts w:ascii="Times New Roman" w:hAnsi="Times New Roman" w:cs="Times New Roman"/>
          <w:sz w:val="24"/>
          <w:szCs w:val="24"/>
        </w:rPr>
        <w:t>Transportation Commission Staff</w:t>
      </w:r>
    </w:p>
    <w:p w:rsidR="00FB66B2" w:rsidRPr="00FB66B2" w:rsidRDefault="00FB66B2" w:rsidP="00D85CDA">
      <w:pPr>
        <w:pStyle w:val="ListParagraph"/>
        <w:spacing w:after="0" w:line="480" w:lineRule="auto"/>
        <w:ind w:left="0"/>
        <w:rPr>
          <w:rFonts w:ascii="Times New Roman" w:hAnsi="Times New Roman" w:cs="Times New Roman"/>
          <w:sz w:val="24"/>
          <w:szCs w:val="24"/>
        </w:rPr>
      </w:pPr>
    </w:p>
    <w:sectPr w:rsidR="00FB66B2" w:rsidRPr="00FB66B2" w:rsidSect="00FB66B2">
      <w:footerReference w:type="default" r:id="rId9"/>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B21" w:rsidRDefault="00B36B21" w:rsidP="00EF0222">
      <w:pPr>
        <w:spacing w:after="0" w:line="240" w:lineRule="auto"/>
      </w:pPr>
      <w:r>
        <w:separator/>
      </w:r>
    </w:p>
  </w:endnote>
  <w:endnote w:type="continuationSeparator" w:id="0">
    <w:p w:rsidR="00B36B21" w:rsidRDefault="00B36B21" w:rsidP="00EF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661" w:rsidRPr="00F65661" w:rsidRDefault="00F65661">
    <w:pPr>
      <w:pStyle w:val="Footer"/>
      <w:rPr>
        <w:rFonts w:ascii="Times New Roman" w:hAnsi="Times New Roman" w:cs="Times New Roman"/>
        <w:sz w:val="20"/>
        <w:szCs w:val="20"/>
      </w:rPr>
    </w:pPr>
  </w:p>
  <w:p w:rsidR="00F65661" w:rsidRPr="00F65661" w:rsidRDefault="00F65661">
    <w:pPr>
      <w:pStyle w:val="Footer"/>
      <w:rPr>
        <w:rFonts w:ascii="Times New Roman" w:hAnsi="Times New Roman" w:cs="Times New Roman"/>
        <w:sz w:val="20"/>
        <w:szCs w:val="20"/>
      </w:rPr>
    </w:pPr>
    <w:r w:rsidRPr="00F65661">
      <w:rPr>
        <w:rFonts w:ascii="Times New Roman" w:hAnsi="Times New Roman" w:cs="Times New Roman"/>
        <w:sz w:val="20"/>
        <w:szCs w:val="20"/>
      </w:rPr>
      <w:t xml:space="preserve">COMMISSION STAFF PETITION FOR RECONSIDERATION - </w:t>
    </w:r>
    <w:r w:rsidR="00C33512" w:rsidRPr="00F65661">
      <w:rPr>
        <w:rFonts w:ascii="Times New Roman" w:hAnsi="Times New Roman" w:cs="Times New Roman"/>
        <w:sz w:val="20"/>
        <w:szCs w:val="20"/>
      </w:rPr>
      <w:fldChar w:fldCharType="begin"/>
    </w:r>
    <w:r w:rsidRPr="00F65661">
      <w:rPr>
        <w:rFonts w:ascii="Times New Roman" w:hAnsi="Times New Roman" w:cs="Times New Roman"/>
        <w:sz w:val="20"/>
        <w:szCs w:val="20"/>
      </w:rPr>
      <w:instrText xml:space="preserve"> PAGE   \* MERGEFORMAT </w:instrText>
    </w:r>
    <w:r w:rsidR="00C33512" w:rsidRPr="00F65661">
      <w:rPr>
        <w:rFonts w:ascii="Times New Roman" w:hAnsi="Times New Roman" w:cs="Times New Roman"/>
        <w:sz w:val="20"/>
        <w:szCs w:val="20"/>
      </w:rPr>
      <w:fldChar w:fldCharType="separate"/>
    </w:r>
    <w:r w:rsidR="008D5B5B">
      <w:rPr>
        <w:rFonts w:ascii="Times New Roman" w:hAnsi="Times New Roman" w:cs="Times New Roman"/>
        <w:noProof/>
        <w:sz w:val="20"/>
        <w:szCs w:val="20"/>
      </w:rPr>
      <w:t>8</w:t>
    </w:r>
    <w:r w:rsidR="00C33512" w:rsidRPr="00F65661">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B21" w:rsidRDefault="00B36B21" w:rsidP="00EF0222">
      <w:pPr>
        <w:spacing w:after="0" w:line="240" w:lineRule="auto"/>
      </w:pPr>
      <w:r>
        <w:separator/>
      </w:r>
    </w:p>
  </w:footnote>
  <w:footnote w:type="continuationSeparator" w:id="0">
    <w:p w:rsidR="00B36B21" w:rsidRDefault="00B36B21" w:rsidP="00EF0222">
      <w:pPr>
        <w:spacing w:after="0" w:line="240" w:lineRule="auto"/>
      </w:pPr>
      <w:r>
        <w:continuationSeparator/>
      </w:r>
    </w:p>
  </w:footnote>
  <w:footnote w:id="1">
    <w:p w:rsidR="009D2BE0" w:rsidRPr="00AA35F5" w:rsidRDefault="009D2BE0">
      <w:pPr>
        <w:pStyle w:val="FootnoteText"/>
      </w:pPr>
      <w:r>
        <w:rPr>
          <w:rStyle w:val="FootnoteReference"/>
        </w:rPr>
        <w:footnoteRef/>
      </w:r>
      <w:r>
        <w:t xml:space="preserve"> Order 06, </w:t>
      </w:r>
      <w:r>
        <w:rPr>
          <w:i/>
        </w:rPr>
        <w:t xml:space="preserve">Final Order Rejecting Tariff Sheets; Authorizing Increased Rates; and Requiring Compliance Filing </w:t>
      </w:r>
      <w:r>
        <w:t>(March 25, 2011).</w:t>
      </w:r>
    </w:p>
  </w:footnote>
  <w:footnote w:id="2">
    <w:p w:rsidR="009D2BE0" w:rsidRDefault="009D2BE0">
      <w:pPr>
        <w:pStyle w:val="FootnoteText"/>
      </w:pPr>
      <w:r>
        <w:rPr>
          <w:rStyle w:val="FootnoteReference"/>
        </w:rPr>
        <w:footnoteRef/>
      </w:r>
      <w:r>
        <w:t xml:space="preserve"> WAC 480-09-850(2) requires argument in reconsideration petitions to be “brief”.  Staff has complied, but would refer the Commission to Staff’s briefing and the testimony of Mr. Elgin in this case for a full presentation of Staff’s position on capital structure. </w:t>
      </w:r>
    </w:p>
  </w:footnote>
  <w:footnote w:id="3">
    <w:p w:rsidR="009D2BE0" w:rsidRPr="001A5FA6" w:rsidRDefault="009D2BE0">
      <w:pPr>
        <w:pStyle w:val="FootnoteText"/>
      </w:pPr>
      <w:r w:rsidRPr="001A5FA6">
        <w:rPr>
          <w:rStyle w:val="FootnoteReference"/>
        </w:rPr>
        <w:footnoteRef/>
      </w:r>
      <w:r w:rsidRPr="001A5FA6">
        <w:t xml:space="preserve"> Order at 13, Paragraph 18.</w:t>
      </w:r>
    </w:p>
  </w:footnote>
  <w:footnote w:id="4">
    <w:p w:rsidR="009D2BE0" w:rsidRPr="001A5FA6" w:rsidRDefault="009D2BE0">
      <w:pPr>
        <w:pStyle w:val="FootnoteText"/>
        <w:rPr>
          <w:i/>
        </w:rPr>
      </w:pPr>
      <w:r w:rsidRPr="001A5FA6">
        <w:rPr>
          <w:rStyle w:val="FootnoteReference"/>
        </w:rPr>
        <w:footnoteRef/>
      </w:r>
      <w:r w:rsidRPr="001A5FA6">
        <w:t xml:space="preserve"> Order at</w:t>
      </w:r>
      <w:r w:rsidR="00F65661">
        <w:t xml:space="preserve"> 14</w:t>
      </w:r>
      <w:r w:rsidRPr="001A5FA6">
        <w:t>, Paragraph 21.  Later in the Order</w:t>
      </w:r>
      <w:r>
        <w:t>,</w:t>
      </w:r>
      <w:r w:rsidRPr="001A5FA6">
        <w:t xml:space="preserve"> the Commission recognized the “general principle that </w:t>
      </w:r>
      <w:r>
        <w:t>‘</w:t>
      </w:r>
      <w:r w:rsidRPr="001A5FA6">
        <w:t xml:space="preserve">[t]he appropriate capital structure for ratemaking purposes is one that </w:t>
      </w:r>
      <w:r w:rsidRPr="001A5FA6">
        <w:rPr>
          <w:i/>
        </w:rPr>
        <w:t xml:space="preserve">balances economy with safety </w:t>
      </w:r>
      <w:r w:rsidRPr="001A5FA6">
        <w:t>in view of all of the sources of capital available to the company.</w:t>
      </w:r>
      <w:r>
        <w:t>’</w:t>
      </w:r>
      <w:r w:rsidRPr="001A5FA6">
        <w:t xml:space="preserve">”  (Emphasis in the original)  Order at </w:t>
      </w:r>
      <w:r>
        <w:t xml:space="preserve">17, </w:t>
      </w:r>
      <w:r w:rsidRPr="001A5FA6">
        <w:t xml:space="preserve">Paragraph 27, citing </w:t>
      </w:r>
      <w:r w:rsidRPr="001A5FA6">
        <w:rPr>
          <w:i/>
        </w:rPr>
        <w:t xml:space="preserve">Utilities and Transp. Comm’n v. PacifiCorp, </w:t>
      </w:r>
      <w:r>
        <w:t xml:space="preserve">Docket UE-050684, Order 04 at 79, </w:t>
      </w:r>
      <w:r>
        <w:rPr>
          <w:rFonts w:cs="Times New Roman"/>
        </w:rPr>
        <w:t>¶</w:t>
      </w:r>
      <w:r>
        <w:t xml:space="preserve"> 224 (A</w:t>
      </w:r>
      <w:r w:rsidRPr="001A5FA6">
        <w:t xml:space="preserve">pril 17, 2006). </w:t>
      </w:r>
      <w:r w:rsidRPr="001A5FA6">
        <w:rPr>
          <w:i/>
        </w:rPr>
        <w:t xml:space="preserve"> </w:t>
      </w:r>
    </w:p>
  </w:footnote>
  <w:footnote w:id="5">
    <w:p w:rsidR="009D2BE0" w:rsidRPr="001A5FA6" w:rsidRDefault="009D2BE0">
      <w:pPr>
        <w:pStyle w:val="FootnoteText"/>
        <w:rPr>
          <w:b/>
        </w:rPr>
      </w:pPr>
      <w:r w:rsidRPr="001A5FA6">
        <w:rPr>
          <w:rStyle w:val="FootnoteReference"/>
        </w:rPr>
        <w:footnoteRef/>
      </w:r>
      <w:r w:rsidRPr="001A5FA6">
        <w:t xml:space="preserve"> Order at 20, Paragraph 39.  The Commission was also correct in not requiring a “compelling reason” for departing from PacifiCorp’s actual capital structure, as the Company argued.</w:t>
      </w:r>
    </w:p>
  </w:footnote>
  <w:footnote w:id="6">
    <w:p w:rsidR="009D2BE0" w:rsidRPr="001A5FA6" w:rsidRDefault="009D2BE0">
      <w:pPr>
        <w:pStyle w:val="FootnoteText"/>
      </w:pPr>
      <w:r w:rsidRPr="001A5FA6">
        <w:rPr>
          <w:rStyle w:val="FootnoteReference"/>
        </w:rPr>
        <w:footnoteRef/>
      </w:r>
      <w:r w:rsidRPr="001A5FA6">
        <w:t xml:space="preserve"> Order at 21, Paragraph 40.</w:t>
      </w:r>
    </w:p>
  </w:footnote>
  <w:footnote w:id="7">
    <w:p w:rsidR="009D2BE0" w:rsidRPr="0046058E" w:rsidRDefault="009D2BE0">
      <w:pPr>
        <w:pStyle w:val="FootnoteText"/>
      </w:pPr>
      <w:r w:rsidRPr="00965395">
        <w:rPr>
          <w:rStyle w:val="FootnoteReference"/>
        </w:rPr>
        <w:footnoteRef/>
      </w:r>
      <w:r w:rsidRPr="00965395">
        <w:t xml:space="preserve"> Order at 20, Paragraph 39.</w:t>
      </w:r>
      <w:r>
        <w:t xml:space="preserve">  Indeed, MEHC’s actions (infusing large amounts of equity, implementing a no-dividend policy, and paying off all short-term debt) call into question Merger Commitment 21, which prohibits MEHC and PacifiCorp from advocating for a cost of capital higher than it would have been absent the transaction. </w:t>
      </w:r>
      <w:r>
        <w:rPr>
          <w:i/>
        </w:rPr>
        <w:t xml:space="preserve">In re Application of MEHC and PacifiCorp, </w:t>
      </w:r>
      <w:r>
        <w:t>Docket UE-05090, Order 07 at Appendix A, page 5, Commitment 21 (February 22, 2006).</w:t>
      </w:r>
    </w:p>
  </w:footnote>
  <w:footnote w:id="8">
    <w:p w:rsidR="009D2BE0" w:rsidRPr="001A5FA6" w:rsidRDefault="009D2BE0">
      <w:pPr>
        <w:pStyle w:val="FootnoteText"/>
      </w:pPr>
      <w:r w:rsidRPr="001A5FA6">
        <w:rPr>
          <w:rStyle w:val="FootnoteReference"/>
        </w:rPr>
        <w:footnoteRef/>
      </w:r>
      <w:r w:rsidRPr="001A5FA6">
        <w:t xml:space="preserve"> Elgin, Exhibit KLE-1T at 16:9-13. </w:t>
      </w:r>
    </w:p>
  </w:footnote>
  <w:footnote w:id="9">
    <w:p w:rsidR="009D2BE0" w:rsidRPr="001A5FA6" w:rsidRDefault="009D2BE0" w:rsidP="00E30698">
      <w:pPr>
        <w:pStyle w:val="FootnoteText"/>
      </w:pPr>
      <w:r w:rsidRPr="001A5FA6">
        <w:rPr>
          <w:rStyle w:val="FootnoteReference"/>
        </w:rPr>
        <w:footnoteRef/>
      </w:r>
      <w:r w:rsidRPr="001A5FA6">
        <w:t xml:space="preserve"> Williams, Exhibit No. BNW-17 at 1 (per S&amp;P): “predominance of ratings is in the ‘BBB’ category, firmly investment grade.”</w:t>
      </w:r>
    </w:p>
  </w:footnote>
  <w:footnote w:id="10">
    <w:p w:rsidR="009D2BE0" w:rsidRPr="001A5FA6" w:rsidRDefault="009D2BE0">
      <w:pPr>
        <w:pStyle w:val="FootnoteText"/>
      </w:pPr>
      <w:r w:rsidRPr="001A5FA6">
        <w:rPr>
          <w:rStyle w:val="FootnoteReference"/>
        </w:rPr>
        <w:footnoteRef/>
      </w:r>
      <w:r w:rsidRPr="001A5FA6">
        <w:t xml:space="preserve"> Order at 21, Paragraph 41.</w:t>
      </w:r>
    </w:p>
  </w:footnote>
  <w:footnote w:id="11">
    <w:p w:rsidR="009D2BE0" w:rsidRPr="00965395" w:rsidRDefault="009D2BE0">
      <w:pPr>
        <w:pStyle w:val="FootnoteText"/>
      </w:pPr>
      <w:r w:rsidRPr="00965395">
        <w:rPr>
          <w:rStyle w:val="FootnoteReference"/>
        </w:rPr>
        <w:footnoteRef/>
      </w:r>
      <w:r w:rsidRPr="00965395">
        <w:rPr>
          <w:vertAlign w:val="superscript"/>
        </w:rPr>
        <w:t xml:space="preserve"> </w:t>
      </w:r>
      <w:r w:rsidRPr="00965395">
        <w:t xml:space="preserve">Elgin, Exhibit </w:t>
      </w:r>
      <w:r>
        <w:t xml:space="preserve">No. </w:t>
      </w:r>
      <w:r w:rsidRPr="00965395">
        <w:t>KLE-1T at 51:3-10</w:t>
      </w:r>
      <w:r>
        <w:t>.</w:t>
      </w:r>
    </w:p>
  </w:footnote>
  <w:footnote w:id="12">
    <w:p w:rsidR="009D2BE0" w:rsidRDefault="009D2BE0">
      <w:pPr>
        <w:pStyle w:val="FootnoteText"/>
      </w:pPr>
      <w:r>
        <w:rPr>
          <w:rStyle w:val="FootnoteReference"/>
        </w:rPr>
        <w:footnoteRef/>
      </w:r>
      <w:r>
        <w:t xml:space="preserve"> Order at 21-22, Paragraph 42.</w:t>
      </w:r>
    </w:p>
  </w:footnote>
  <w:footnote w:id="13">
    <w:p w:rsidR="009D2BE0" w:rsidRPr="00A704AF" w:rsidRDefault="009D2BE0" w:rsidP="00A704AF">
      <w:pPr>
        <w:pStyle w:val="FootnoteText"/>
      </w:pPr>
      <w:r w:rsidRPr="00A704AF">
        <w:rPr>
          <w:rStyle w:val="FootnoteReference"/>
        </w:rPr>
        <w:footnoteRef/>
      </w:r>
      <w:r w:rsidRPr="00A704AF">
        <w:t xml:space="preserve"> See Order at 21, Paragraph 40.</w:t>
      </w:r>
    </w:p>
  </w:footnote>
  <w:footnote w:id="14">
    <w:p w:rsidR="009D2BE0" w:rsidRPr="001A5FA6" w:rsidRDefault="009D2BE0">
      <w:pPr>
        <w:pStyle w:val="FootnoteText"/>
      </w:pPr>
      <w:r w:rsidRPr="001A5FA6">
        <w:rPr>
          <w:rStyle w:val="FootnoteReference"/>
        </w:rPr>
        <w:footnoteRef/>
      </w:r>
      <w:r w:rsidRPr="001A5FA6">
        <w:t xml:space="preserve"> If moving to A ratings is not a general Commission policy objective for utilities in this state, the Order is still a problem from Staff’s perspective, because the Commission has effectively condoned PacifiCorp’s movement to that rating, without proving that is more economical than its prior rating.  We suggest PacifiCorp did not prove this because it cannot prove this.  For example, assume an A rating (and the higher equity ratio that goes with it</w:t>
      </w:r>
      <w:r w:rsidR="00F65661">
        <w:t>)</w:t>
      </w:r>
      <w:r w:rsidRPr="001A5FA6">
        <w:t xml:space="preserve"> is more economical</w:t>
      </w:r>
      <w:r w:rsidR="00F65661">
        <w:t xml:space="preserve"> than a BBB rating</w:t>
      </w:r>
      <w:r w:rsidRPr="001A5FA6">
        <w:t xml:space="preserve">.  Given that the predominance of electric utilities in this country are </w:t>
      </w:r>
      <w:r w:rsidR="00671CA4">
        <w:t>BBB-rated,</w:t>
      </w:r>
      <w:r w:rsidRPr="001A5FA6">
        <w:t xml:space="preserve"> this suggests either: (1) the </w:t>
      </w:r>
      <w:r w:rsidR="00671CA4">
        <w:t>preponderance</w:t>
      </w:r>
      <w:r w:rsidRPr="001A5FA6">
        <w:t xml:space="preserve"> of electric utilities in this country are being regulated under unsafe and/or uneconomical equity ratios, or (2) an equity ratio in the 46 percent range is safe and economical.  Staff has seen no evidence to support (1) and all the evidence supports (2). </w:t>
      </w:r>
    </w:p>
  </w:footnote>
  <w:footnote w:id="15">
    <w:p w:rsidR="009D2BE0" w:rsidRPr="00A704AF" w:rsidRDefault="009D2BE0">
      <w:pPr>
        <w:pStyle w:val="FootnoteText"/>
        <w:rPr>
          <w:i/>
        </w:rPr>
      </w:pPr>
      <w:r w:rsidRPr="001A5FA6">
        <w:rPr>
          <w:rStyle w:val="FootnoteReference"/>
        </w:rPr>
        <w:footnoteRef/>
      </w:r>
      <w:r w:rsidRPr="001A5FA6">
        <w:t xml:space="preserve"> Order at 22, Paragraph 43, quoting </w:t>
      </w:r>
      <w:r w:rsidRPr="001A5FA6">
        <w:rPr>
          <w:i/>
        </w:rPr>
        <w:t>Utilities and Transp. Comm’n v. PacifiCorp</w:t>
      </w:r>
      <w:r w:rsidRPr="001A5FA6">
        <w:t xml:space="preserve">, Docket UE-050684, Order 04 at </w:t>
      </w:r>
      <w:r w:rsidRPr="00A704AF">
        <w:t>79 (April 17, 2006).</w:t>
      </w:r>
    </w:p>
  </w:footnote>
  <w:footnote w:id="16">
    <w:p w:rsidR="009D2BE0" w:rsidRPr="001A5FA6" w:rsidRDefault="009D2BE0" w:rsidP="000B4135">
      <w:pPr>
        <w:pStyle w:val="FootnoteText"/>
        <w:rPr>
          <w:rFonts w:cs="Times New Roman"/>
        </w:rPr>
      </w:pPr>
      <w:r w:rsidRPr="001A5FA6">
        <w:rPr>
          <w:rStyle w:val="FootnoteReference"/>
          <w:rFonts w:cs="Times New Roman"/>
        </w:rPr>
        <w:footnoteRef/>
      </w:r>
      <w:r w:rsidRPr="001A5FA6">
        <w:rPr>
          <w:rFonts w:cs="Times New Roman"/>
        </w:rPr>
        <w:t xml:space="preserve"> </w:t>
      </w:r>
      <w:r w:rsidRPr="001A5FA6">
        <w:rPr>
          <w:rFonts w:cs="Times New Roman"/>
          <w:i/>
        </w:rPr>
        <w:t>Utilities and Transp</w:t>
      </w:r>
      <w:r>
        <w:rPr>
          <w:rFonts w:cs="Times New Roman"/>
          <w:i/>
        </w:rPr>
        <w:t>.</w:t>
      </w:r>
      <w:r w:rsidRPr="001A5FA6">
        <w:rPr>
          <w:rFonts w:cs="Times New Roman"/>
          <w:i/>
        </w:rPr>
        <w:t xml:space="preserve"> Comm</w:t>
      </w:r>
      <w:r>
        <w:rPr>
          <w:rFonts w:cs="Times New Roman"/>
          <w:i/>
        </w:rPr>
        <w:t>’n</w:t>
      </w:r>
      <w:r w:rsidRPr="001A5FA6">
        <w:rPr>
          <w:rFonts w:cs="Times New Roman"/>
          <w:i/>
        </w:rPr>
        <w:t xml:space="preserve"> v. PacifiCorp,</w:t>
      </w:r>
      <w:r w:rsidRPr="001A5FA6">
        <w:rPr>
          <w:rFonts w:cs="Times New Roman"/>
        </w:rPr>
        <w:t xml:space="preserve"> Docket UE-050684, Order 04 (April 17, 2006) at 79, ¶</w:t>
      </w:r>
      <w:r>
        <w:rPr>
          <w:rFonts w:cs="Times New Roman"/>
        </w:rPr>
        <w:t xml:space="preserve"> </w:t>
      </w:r>
      <w:r w:rsidRPr="001A5FA6">
        <w:rPr>
          <w:rFonts w:cs="Times New Roman"/>
        </w:rPr>
        <w:t xml:space="preserve">224.  </w:t>
      </w:r>
    </w:p>
  </w:footnote>
  <w:footnote w:id="17">
    <w:p w:rsidR="009D2BE0" w:rsidRPr="001A5FA6" w:rsidRDefault="009D2BE0" w:rsidP="003C3712">
      <w:pPr>
        <w:pStyle w:val="FootnoteText"/>
      </w:pPr>
      <w:r w:rsidRPr="001A5FA6">
        <w:rPr>
          <w:rStyle w:val="FootnoteReference"/>
        </w:rPr>
        <w:footnoteRef/>
      </w:r>
      <w:r w:rsidRPr="001A5FA6">
        <w:t xml:space="preserve"> In the prior order, the Commission did not </w:t>
      </w:r>
      <w:r w:rsidR="00F65661">
        <w:t xml:space="preserve">cite any precedent to </w:t>
      </w:r>
      <w:r w:rsidRPr="001A5FA6">
        <w:t>support</w:t>
      </w:r>
      <w:r w:rsidR="00F65661">
        <w:t xml:space="preserve"> the second sentence of Paragraph 224</w:t>
      </w:r>
      <w:r w:rsidRPr="001A5FA6">
        <w:t xml:space="preserve">. </w:t>
      </w:r>
      <w:r w:rsidR="0006703D">
        <w:t xml:space="preserve"> </w:t>
      </w:r>
      <w:r w:rsidRPr="001A5FA6">
        <w:t>Staff could not find any prior order in which the Commission excluded short-term debt from a hypothetical capital structure on the basis the utility did not use such financing.  The Commission’s practice has been to include a layer of such capital in ratemaking capital structures.</w:t>
      </w:r>
    </w:p>
  </w:footnote>
  <w:footnote w:id="18">
    <w:p w:rsidR="009D2BE0" w:rsidRPr="001A5FA6" w:rsidRDefault="009D2BE0" w:rsidP="00B11D73">
      <w:pPr>
        <w:pStyle w:val="FootnoteText"/>
        <w:rPr>
          <w:rFonts w:cs="Times New Roman"/>
        </w:rPr>
      </w:pPr>
      <w:r w:rsidRPr="001A5FA6">
        <w:rPr>
          <w:rStyle w:val="FootnoteReference"/>
          <w:rFonts w:cs="Times New Roman"/>
        </w:rPr>
        <w:footnoteRef/>
      </w:r>
      <w:r w:rsidRPr="001A5FA6">
        <w:rPr>
          <w:rFonts w:cs="Times New Roman"/>
        </w:rPr>
        <w:t xml:space="preserve"> </w:t>
      </w:r>
      <w:r w:rsidRPr="00B11D73">
        <w:rPr>
          <w:rFonts w:cs="Times New Roman"/>
        </w:rPr>
        <w:t>It is undisputed that PacifiCorp maintains short-term credit lines of around $1.4 billion and includes the costs of maintaining these credit lines in its books of account for recovery in rates.</w:t>
      </w:r>
      <w:r>
        <w:rPr>
          <w:rFonts w:cs="Times New Roman"/>
        </w:rPr>
        <w:t xml:space="preserve">  </w:t>
      </w:r>
      <w:r w:rsidRPr="001A5FA6">
        <w:rPr>
          <w:rFonts w:cs="Times New Roman"/>
        </w:rPr>
        <w:t>Williams, Exhibit No. 14C at 2, and TR. 276:12 to 277:11</w:t>
      </w:r>
      <w:r>
        <w:rPr>
          <w:rFonts w:cs="Times New Roman"/>
        </w:rPr>
        <w:t>, and at 1,</w:t>
      </w:r>
      <w:r w:rsidRPr="00B11D73">
        <w:rPr>
          <w:rFonts w:asciiTheme="minorHAnsi" w:hAnsiTheme="minorHAnsi" w:cs="Times New Roman"/>
          <w:sz w:val="22"/>
          <w:szCs w:val="22"/>
        </w:rPr>
        <w:t xml:space="preserve"> </w:t>
      </w:r>
      <w:r w:rsidRPr="00B11D73">
        <w:rPr>
          <w:rFonts w:cs="Times New Roman"/>
        </w:rPr>
        <w:t>part (b).  No party recommended remov</w:t>
      </w:r>
      <w:r>
        <w:rPr>
          <w:rFonts w:cs="Times New Roman"/>
        </w:rPr>
        <w:t xml:space="preserve">ing </w:t>
      </w:r>
      <w:r w:rsidRPr="00B11D73">
        <w:rPr>
          <w:rFonts w:cs="Times New Roman"/>
        </w:rPr>
        <w:t>the costs</w:t>
      </w:r>
      <w:r>
        <w:rPr>
          <w:rFonts w:cs="Times New Roman"/>
        </w:rPr>
        <w:t xml:space="preserve"> of these credit facilities</w:t>
      </w:r>
      <w:r w:rsidRPr="00B11D73">
        <w:rPr>
          <w:rFonts w:cs="Times New Roman"/>
        </w:rPr>
        <w:t>.</w:t>
      </w:r>
    </w:p>
  </w:footnote>
  <w:footnote w:id="19">
    <w:p w:rsidR="009D2BE0" w:rsidRDefault="009D2BE0">
      <w:pPr>
        <w:pStyle w:val="FootnoteText"/>
      </w:pPr>
      <w:r w:rsidRPr="001A5FA6">
        <w:rPr>
          <w:rStyle w:val="FootnoteReference"/>
        </w:rPr>
        <w:footnoteRef/>
      </w:r>
      <w:r w:rsidRPr="001A5FA6">
        <w:t xml:space="preserve"> Order at 22, Paragraph 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0E43"/>
    <w:multiLevelType w:val="hybridMultilevel"/>
    <w:tmpl w:val="83F0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52260E"/>
    <w:multiLevelType w:val="hybridMultilevel"/>
    <w:tmpl w:val="5EAE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5E7047"/>
    <w:multiLevelType w:val="hybridMultilevel"/>
    <w:tmpl w:val="3FD40650"/>
    <w:lvl w:ilvl="0" w:tplc="8E7A817C">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FC36706"/>
    <w:multiLevelType w:val="hybridMultilevel"/>
    <w:tmpl w:val="78EC6972"/>
    <w:lvl w:ilvl="0" w:tplc="04090001">
      <w:start w:val="1"/>
      <w:numFmt w:val="bullet"/>
      <w:lvlText w:val=""/>
      <w:lvlJc w:val="left"/>
      <w:pPr>
        <w:ind w:left="1482" w:hanging="360"/>
      </w:pPr>
      <w:rPr>
        <w:rFonts w:ascii="Symbol" w:hAnsi="Symbol"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4">
    <w:nsid w:val="62FF2076"/>
    <w:multiLevelType w:val="hybridMultilevel"/>
    <w:tmpl w:val="AEDA8674"/>
    <w:lvl w:ilvl="0" w:tplc="8E7A817C">
      <w:start w:val="1"/>
      <w:numFmt w:val="decimal"/>
      <w:lvlText w:val="%1"/>
      <w:lvlJc w:val="left"/>
      <w:pPr>
        <w:ind w:left="0" w:hanging="72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E1DC3"/>
    <w:rsid w:val="00036488"/>
    <w:rsid w:val="00041AFD"/>
    <w:rsid w:val="0006703D"/>
    <w:rsid w:val="000810E7"/>
    <w:rsid w:val="000B4135"/>
    <w:rsid w:val="000E138E"/>
    <w:rsid w:val="00107E1B"/>
    <w:rsid w:val="00141C3C"/>
    <w:rsid w:val="001A5FA6"/>
    <w:rsid w:val="002023D9"/>
    <w:rsid w:val="00273E25"/>
    <w:rsid w:val="00285E41"/>
    <w:rsid w:val="00314A45"/>
    <w:rsid w:val="00343694"/>
    <w:rsid w:val="00374018"/>
    <w:rsid w:val="003B2414"/>
    <w:rsid w:val="003C3712"/>
    <w:rsid w:val="003E0AE3"/>
    <w:rsid w:val="003E62E8"/>
    <w:rsid w:val="003F4DB8"/>
    <w:rsid w:val="00420BBD"/>
    <w:rsid w:val="0043044F"/>
    <w:rsid w:val="004354E3"/>
    <w:rsid w:val="0044571B"/>
    <w:rsid w:val="0046058E"/>
    <w:rsid w:val="004B7367"/>
    <w:rsid w:val="005178FB"/>
    <w:rsid w:val="005716D8"/>
    <w:rsid w:val="00586AC6"/>
    <w:rsid w:val="005A54B4"/>
    <w:rsid w:val="005C313F"/>
    <w:rsid w:val="005E1FE1"/>
    <w:rsid w:val="005F6A0C"/>
    <w:rsid w:val="006032B4"/>
    <w:rsid w:val="00671CA4"/>
    <w:rsid w:val="00684526"/>
    <w:rsid w:val="00691188"/>
    <w:rsid w:val="006E5412"/>
    <w:rsid w:val="00745C8E"/>
    <w:rsid w:val="007515BB"/>
    <w:rsid w:val="00775561"/>
    <w:rsid w:val="007A327A"/>
    <w:rsid w:val="007C53C4"/>
    <w:rsid w:val="00800652"/>
    <w:rsid w:val="008644A3"/>
    <w:rsid w:val="008D5B5B"/>
    <w:rsid w:val="008E111C"/>
    <w:rsid w:val="008E1DC3"/>
    <w:rsid w:val="00965395"/>
    <w:rsid w:val="009B67C0"/>
    <w:rsid w:val="009C1EF5"/>
    <w:rsid w:val="009D015D"/>
    <w:rsid w:val="009D2BE0"/>
    <w:rsid w:val="00A704AF"/>
    <w:rsid w:val="00AA35F5"/>
    <w:rsid w:val="00AC092C"/>
    <w:rsid w:val="00AD0211"/>
    <w:rsid w:val="00AF5643"/>
    <w:rsid w:val="00B07FB3"/>
    <w:rsid w:val="00B11D73"/>
    <w:rsid w:val="00B36B21"/>
    <w:rsid w:val="00B53297"/>
    <w:rsid w:val="00B632C3"/>
    <w:rsid w:val="00B738B4"/>
    <w:rsid w:val="00BB4B27"/>
    <w:rsid w:val="00C14BB2"/>
    <w:rsid w:val="00C33512"/>
    <w:rsid w:val="00C96CB9"/>
    <w:rsid w:val="00CB4F66"/>
    <w:rsid w:val="00D27ECF"/>
    <w:rsid w:val="00D628CB"/>
    <w:rsid w:val="00D85CDA"/>
    <w:rsid w:val="00D97B84"/>
    <w:rsid w:val="00DA6D49"/>
    <w:rsid w:val="00E219C9"/>
    <w:rsid w:val="00E30698"/>
    <w:rsid w:val="00E44A06"/>
    <w:rsid w:val="00E97976"/>
    <w:rsid w:val="00EC2D97"/>
    <w:rsid w:val="00ED0B3D"/>
    <w:rsid w:val="00ED35A1"/>
    <w:rsid w:val="00EF0222"/>
    <w:rsid w:val="00F65661"/>
    <w:rsid w:val="00FA3D1E"/>
    <w:rsid w:val="00FB66B2"/>
    <w:rsid w:val="00FE5AFF"/>
    <w:rsid w:val="00FE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DC3"/>
    <w:pPr>
      <w:ind w:left="720"/>
      <w:contextualSpacing/>
    </w:pPr>
  </w:style>
  <w:style w:type="paragraph" w:styleId="FootnoteText">
    <w:name w:val="footnote text"/>
    <w:basedOn w:val="Normal"/>
    <w:link w:val="FootnoteTextChar"/>
    <w:uiPriority w:val="99"/>
    <w:unhideWhenUsed/>
    <w:rsid w:val="00FB66B2"/>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B66B2"/>
    <w:rPr>
      <w:rFonts w:ascii="Times New Roman" w:hAnsi="Times New Roman"/>
      <w:sz w:val="20"/>
      <w:szCs w:val="20"/>
    </w:rPr>
  </w:style>
  <w:style w:type="character" w:styleId="FootnoteReference">
    <w:name w:val="footnote reference"/>
    <w:basedOn w:val="DefaultParagraphFont"/>
    <w:uiPriority w:val="99"/>
    <w:unhideWhenUsed/>
    <w:rsid w:val="00EF0222"/>
    <w:rPr>
      <w:vertAlign w:val="superscript"/>
    </w:rPr>
  </w:style>
  <w:style w:type="paragraph" w:styleId="BalloonText">
    <w:name w:val="Balloon Text"/>
    <w:basedOn w:val="Normal"/>
    <w:link w:val="BalloonTextChar"/>
    <w:uiPriority w:val="99"/>
    <w:semiHidden/>
    <w:unhideWhenUsed/>
    <w:rsid w:val="00965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395"/>
    <w:rPr>
      <w:rFonts w:ascii="Tahoma" w:hAnsi="Tahoma" w:cs="Tahoma"/>
      <w:sz w:val="16"/>
      <w:szCs w:val="16"/>
    </w:rPr>
  </w:style>
  <w:style w:type="character" w:styleId="CommentReference">
    <w:name w:val="annotation reference"/>
    <w:basedOn w:val="DefaultParagraphFont"/>
    <w:uiPriority w:val="99"/>
    <w:semiHidden/>
    <w:unhideWhenUsed/>
    <w:rsid w:val="00AD0211"/>
    <w:rPr>
      <w:sz w:val="16"/>
      <w:szCs w:val="16"/>
    </w:rPr>
  </w:style>
  <w:style w:type="paragraph" w:styleId="CommentText">
    <w:name w:val="annotation text"/>
    <w:basedOn w:val="Normal"/>
    <w:link w:val="CommentTextChar"/>
    <w:uiPriority w:val="99"/>
    <w:semiHidden/>
    <w:unhideWhenUsed/>
    <w:rsid w:val="00AD0211"/>
    <w:pPr>
      <w:spacing w:line="240" w:lineRule="auto"/>
    </w:pPr>
    <w:rPr>
      <w:sz w:val="20"/>
      <w:szCs w:val="20"/>
    </w:rPr>
  </w:style>
  <w:style w:type="character" w:customStyle="1" w:styleId="CommentTextChar">
    <w:name w:val="Comment Text Char"/>
    <w:basedOn w:val="DefaultParagraphFont"/>
    <w:link w:val="CommentText"/>
    <w:uiPriority w:val="99"/>
    <w:semiHidden/>
    <w:rsid w:val="00AD0211"/>
    <w:rPr>
      <w:sz w:val="20"/>
      <w:szCs w:val="20"/>
    </w:rPr>
  </w:style>
  <w:style w:type="paragraph" w:styleId="CommentSubject">
    <w:name w:val="annotation subject"/>
    <w:basedOn w:val="CommentText"/>
    <w:next w:val="CommentText"/>
    <w:link w:val="CommentSubjectChar"/>
    <w:uiPriority w:val="99"/>
    <w:semiHidden/>
    <w:unhideWhenUsed/>
    <w:rsid w:val="00AD0211"/>
    <w:rPr>
      <w:b/>
      <w:bCs/>
    </w:rPr>
  </w:style>
  <w:style w:type="character" w:customStyle="1" w:styleId="CommentSubjectChar">
    <w:name w:val="Comment Subject Char"/>
    <w:basedOn w:val="CommentTextChar"/>
    <w:link w:val="CommentSubject"/>
    <w:uiPriority w:val="99"/>
    <w:semiHidden/>
    <w:rsid w:val="00AD0211"/>
    <w:rPr>
      <w:b/>
      <w:bCs/>
      <w:sz w:val="20"/>
      <w:szCs w:val="20"/>
    </w:rPr>
  </w:style>
  <w:style w:type="paragraph" w:styleId="Header">
    <w:name w:val="header"/>
    <w:basedOn w:val="Normal"/>
    <w:link w:val="HeaderChar"/>
    <w:uiPriority w:val="99"/>
    <w:unhideWhenUsed/>
    <w:rsid w:val="00F65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661"/>
  </w:style>
  <w:style w:type="paragraph" w:styleId="Footer">
    <w:name w:val="footer"/>
    <w:basedOn w:val="Normal"/>
    <w:link w:val="FooterChar"/>
    <w:uiPriority w:val="99"/>
    <w:unhideWhenUsed/>
    <w:rsid w:val="00F65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6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2011-04-04T07:00:00+00:00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30D341-2AD6-4487-A67D-8B0CB5A42A9E}"/>
</file>

<file path=customXml/itemProps2.xml><?xml version="1.0" encoding="utf-8"?>
<ds:datastoreItem xmlns:ds="http://schemas.openxmlformats.org/officeDocument/2006/customXml" ds:itemID="{2BC8C029-6ADF-4F07-863B-92F2CD667CD4}"/>
</file>

<file path=customXml/itemProps3.xml><?xml version="1.0" encoding="utf-8"?>
<ds:datastoreItem xmlns:ds="http://schemas.openxmlformats.org/officeDocument/2006/customXml" ds:itemID="{512F3BC0-3E33-48DA-8110-9F656BCB2FAB}"/>
</file>

<file path=customXml/itemProps4.xml><?xml version="1.0" encoding="utf-8"?>
<ds:datastoreItem xmlns:ds="http://schemas.openxmlformats.org/officeDocument/2006/customXml" ds:itemID="{2049397B-A2FE-41D9-B7B3-C35035498977}"/>
</file>

<file path=customXml/itemProps5.xml><?xml version="1.0" encoding="utf-8"?>
<ds:datastoreItem xmlns:ds="http://schemas.openxmlformats.org/officeDocument/2006/customXml" ds:itemID="{B011944C-270C-40E8-AB3C-B109F2C661BE}"/>
</file>

<file path=docProps/app.xml><?xml version="1.0" encoding="utf-8"?>
<Properties xmlns="http://schemas.openxmlformats.org/officeDocument/2006/extended-properties" xmlns:vt="http://schemas.openxmlformats.org/officeDocument/2006/docPropsVTypes">
  <Template>Normal.dotm</Template>
  <TotalTime>2</TotalTime>
  <Pages>8</Pages>
  <Words>1518</Words>
  <Characters>8658</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Ken Elgin</dc:creator>
  <cp:keywords/>
  <dc:description/>
  <cp:lastModifiedBy>Krista Gross</cp:lastModifiedBy>
  <cp:revision>2</cp:revision>
  <cp:lastPrinted>2011-04-04T23:04:00Z</cp:lastPrinted>
  <dcterms:created xsi:type="dcterms:W3CDTF">2011-04-04T23:05:00Z</dcterms:created>
  <dcterms:modified xsi:type="dcterms:W3CDTF">2011-04-04T23:05:00Z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