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E3DB2" w14:textId="77777777" w:rsidR="00C841E2" w:rsidRDefault="00C841E2" w:rsidP="004A5966">
      <w:pPr>
        <w:jc w:val="center"/>
        <w:outlineLvl w:val="0"/>
        <w:rPr>
          <w:rFonts w:ascii="Arial" w:hAnsi="Arial"/>
          <w:b/>
        </w:rPr>
      </w:pPr>
      <w:r>
        <w:rPr>
          <w:rFonts w:ascii="Arial" w:hAnsi="Arial"/>
          <w:b/>
        </w:rPr>
        <w:t>BEFORE THE WASHINGTON UTILITIES AND TRANSPORTATION COMMISSION</w:t>
      </w:r>
    </w:p>
    <w:p w14:paraId="63F1A47D" w14:textId="77777777" w:rsidR="00C841E2" w:rsidRDefault="00C841E2" w:rsidP="000838C7">
      <w:pPr>
        <w:jc w:val="center"/>
        <w:rPr>
          <w:rFonts w:ascii="Arial" w:hAnsi="Arial"/>
          <w:b/>
        </w:rPr>
      </w:pPr>
    </w:p>
    <w:p w14:paraId="48402C8C" w14:textId="77777777" w:rsidR="000838C7" w:rsidRDefault="000838C7" w:rsidP="000838C7">
      <w:pPr>
        <w:jc w:val="center"/>
        <w:rPr>
          <w:rFonts w:ascii="Arial" w:hAnsi="Arial"/>
          <w:b/>
        </w:rPr>
      </w:pPr>
    </w:p>
    <w:p w14:paraId="60F9C83B" w14:textId="77777777" w:rsidR="00C841E2" w:rsidRDefault="00C841E2" w:rsidP="004A5966">
      <w:pPr>
        <w:jc w:val="center"/>
        <w:outlineLvl w:val="0"/>
        <w:rPr>
          <w:rFonts w:ascii="Arial" w:hAnsi="Arial" w:cs="Arial"/>
          <w:b/>
        </w:rPr>
      </w:pPr>
      <w:r>
        <w:rPr>
          <w:rFonts w:ascii="Arial" w:hAnsi="Arial" w:cs="Arial"/>
          <w:b/>
        </w:rPr>
        <w:t>Docket</w:t>
      </w:r>
      <w:r w:rsidRPr="00EF7B46">
        <w:rPr>
          <w:rFonts w:ascii="Arial" w:hAnsi="Arial" w:cs="Arial"/>
          <w:b/>
        </w:rPr>
        <w:t xml:space="preserve"> N</w:t>
      </w:r>
      <w:r>
        <w:rPr>
          <w:rFonts w:ascii="Arial" w:hAnsi="Arial" w:cs="Arial"/>
          <w:b/>
        </w:rPr>
        <w:t>os</w:t>
      </w:r>
      <w:r w:rsidRPr="00EF7B46">
        <w:rPr>
          <w:rFonts w:ascii="Arial" w:hAnsi="Arial" w:cs="Arial"/>
          <w:b/>
        </w:rPr>
        <w:t xml:space="preserve">. </w:t>
      </w:r>
      <w:r>
        <w:rPr>
          <w:rFonts w:ascii="Arial" w:hAnsi="Arial" w:cs="Arial"/>
          <w:b/>
        </w:rPr>
        <w:t xml:space="preserve">UE-151871 </w:t>
      </w:r>
      <w:r w:rsidRPr="00EF7B46">
        <w:rPr>
          <w:rFonts w:ascii="Arial" w:hAnsi="Arial" w:cs="Arial"/>
          <w:b/>
        </w:rPr>
        <w:t>U</w:t>
      </w:r>
      <w:r>
        <w:rPr>
          <w:rFonts w:ascii="Arial" w:hAnsi="Arial" w:cs="Arial"/>
          <w:b/>
        </w:rPr>
        <w:t>G</w:t>
      </w:r>
      <w:r w:rsidRPr="00EF7B46">
        <w:rPr>
          <w:rFonts w:ascii="Arial" w:hAnsi="Arial" w:cs="Arial"/>
          <w:b/>
        </w:rPr>
        <w:t>-</w:t>
      </w:r>
      <w:r>
        <w:rPr>
          <w:rFonts w:ascii="Arial" w:hAnsi="Arial" w:cs="Arial"/>
          <w:b/>
        </w:rPr>
        <w:t>151872</w:t>
      </w:r>
    </w:p>
    <w:p w14:paraId="69836350" w14:textId="77777777" w:rsidR="00C841E2" w:rsidRDefault="00C841E2" w:rsidP="00C841E2">
      <w:pPr>
        <w:jc w:val="center"/>
        <w:rPr>
          <w:rFonts w:ascii="Arial" w:hAnsi="Arial"/>
          <w:b/>
        </w:rPr>
      </w:pPr>
      <w:r>
        <w:rPr>
          <w:rFonts w:ascii="Arial" w:hAnsi="Arial"/>
          <w:b/>
        </w:rPr>
        <w:t xml:space="preserve">Puget Sound Energy’s </w:t>
      </w:r>
    </w:p>
    <w:p w14:paraId="7085D2C5" w14:textId="77777777" w:rsidR="00C841E2" w:rsidRDefault="00C841E2" w:rsidP="00C841E2">
      <w:pPr>
        <w:jc w:val="center"/>
        <w:rPr>
          <w:rFonts w:ascii="Arial" w:hAnsi="Arial"/>
          <w:b/>
        </w:rPr>
      </w:pPr>
      <w:r>
        <w:rPr>
          <w:rFonts w:ascii="Arial" w:hAnsi="Arial"/>
          <w:b/>
        </w:rPr>
        <w:t>Electric and Natural Gas Equipment Lease Service</w:t>
      </w:r>
    </w:p>
    <w:p w14:paraId="58F3C02F" w14:textId="77777777" w:rsidR="00C841E2" w:rsidRDefault="00C841E2" w:rsidP="00C841E2">
      <w:pPr>
        <w:jc w:val="center"/>
        <w:rPr>
          <w:rFonts w:ascii="Arial" w:hAnsi="Arial"/>
          <w:b/>
        </w:rPr>
      </w:pPr>
    </w:p>
    <w:p w14:paraId="1A20A537" w14:textId="77777777" w:rsidR="00C841E2" w:rsidRDefault="00C841E2" w:rsidP="004A5966">
      <w:pPr>
        <w:jc w:val="center"/>
        <w:outlineLvl w:val="0"/>
        <w:rPr>
          <w:rFonts w:ascii="Arial" w:hAnsi="Arial"/>
          <w:b/>
        </w:rPr>
      </w:pPr>
      <w:r>
        <w:rPr>
          <w:rFonts w:ascii="Arial" w:hAnsi="Arial"/>
          <w:b/>
        </w:rPr>
        <w:t xml:space="preserve">WUTC STAFF </w:t>
      </w:r>
      <w:r w:rsidRPr="00BF0C31">
        <w:rPr>
          <w:rFonts w:ascii="Arial" w:hAnsi="Arial"/>
          <w:b/>
        </w:rPr>
        <w:t xml:space="preserve">DATA REQUEST NO. </w:t>
      </w:r>
      <w:r w:rsidR="0041214F">
        <w:rPr>
          <w:rFonts w:ascii="Arial" w:hAnsi="Arial"/>
          <w:b/>
        </w:rPr>
        <w:t>044</w:t>
      </w:r>
    </w:p>
    <w:p w14:paraId="716EF629" w14:textId="77777777" w:rsidR="00C841E2" w:rsidRDefault="00C841E2" w:rsidP="00C841E2">
      <w:pPr>
        <w:rPr>
          <w:rFonts w:ascii="Arial" w:hAnsi="Arial"/>
          <w:b/>
        </w:rPr>
      </w:pPr>
    </w:p>
    <w:p w14:paraId="48E6722A" w14:textId="77777777" w:rsidR="00C841E2" w:rsidRPr="00BF0C31" w:rsidRDefault="00C841E2" w:rsidP="00C841E2">
      <w:pPr>
        <w:rPr>
          <w:rFonts w:ascii="Arial" w:hAnsi="Arial"/>
          <w:b/>
        </w:rPr>
      </w:pPr>
    </w:p>
    <w:p w14:paraId="4BB6850E" w14:textId="77777777" w:rsidR="00C841E2" w:rsidRDefault="00C841E2" w:rsidP="004A5966">
      <w:pPr>
        <w:outlineLvl w:val="0"/>
        <w:rPr>
          <w:rFonts w:ascii="Arial" w:hAnsi="Arial"/>
          <w:b/>
          <w:u w:val="single"/>
        </w:rPr>
      </w:pPr>
      <w:r>
        <w:rPr>
          <w:rFonts w:ascii="Arial" w:hAnsi="Arial"/>
          <w:b/>
          <w:u w:val="single"/>
        </w:rPr>
        <w:t xml:space="preserve">WUTC STAFF </w:t>
      </w:r>
      <w:r w:rsidRPr="00BF0C31">
        <w:rPr>
          <w:rFonts w:ascii="Arial" w:hAnsi="Arial"/>
          <w:b/>
          <w:u w:val="single"/>
        </w:rPr>
        <w:t xml:space="preserve">DATA REQUEST NO. </w:t>
      </w:r>
      <w:r w:rsidR="0041214F">
        <w:rPr>
          <w:rFonts w:ascii="Arial" w:hAnsi="Arial"/>
          <w:b/>
          <w:u w:val="single"/>
        </w:rPr>
        <w:t>044</w:t>
      </w:r>
      <w:r w:rsidRPr="00BF0C31">
        <w:rPr>
          <w:rFonts w:ascii="Arial" w:hAnsi="Arial"/>
          <w:b/>
          <w:u w:val="single"/>
        </w:rPr>
        <w:t>:</w:t>
      </w:r>
    </w:p>
    <w:p w14:paraId="341B5516" w14:textId="77777777" w:rsidR="00C841E2" w:rsidRPr="00F13843" w:rsidRDefault="00C841E2" w:rsidP="00C841E2">
      <w:pPr>
        <w:autoSpaceDE w:val="0"/>
        <w:autoSpaceDN w:val="0"/>
        <w:adjustRightInd w:val="0"/>
        <w:spacing w:line="240" w:lineRule="atLeast"/>
        <w:rPr>
          <w:rFonts w:ascii="Arial" w:hAnsi="Arial" w:cs="Arial"/>
        </w:rPr>
      </w:pPr>
    </w:p>
    <w:p w14:paraId="179BEF28" w14:textId="77777777" w:rsidR="00F5025F" w:rsidRDefault="0041214F" w:rsidP="00C841E2">
      <w:pPr>
        <w:rPr>
          <w:rFonts w:ascii="Arial" w:hAnsi="Arial" w:cs="Arial"/>
        </w:rPr>
      </w:pPr>
      <w:r w:rsidRPr="0041214F">
        <w:rPr>
          <w:rFonts w:ascii="Arial" w:hAnsi="Arial" w:cs="Arial"/>
        </w:rPr>
        <w:t xml:space="preserve">Referring to Schedule 75, please provide all evidence relied on by PSE, including industry documents, service agreements, contracts, or company documents, that </w:t>
      </w:r>
      <w:r w:rsidRPr="003D4A26">
        <w:rPr>
          <w:rFonts w:ascii="Arial" w:hAnsi="Arial" w:cs="Arial"/>
        </w:rPr>
        <w:t>establishes or supports</w:t>
      </w:r>
      <w:r w:rsidRPr="0041214F">
        <w:rPr>
          <w:rFonts w:ascii="Arial" w:hAnsi="Arial" w:cs="Arial"/>
        </w:rPr>
        <w:t xml:space="preserve"> all executory costs as defined by the Financial Accounting Standards Board Accounting Standards Update for Leases (Topic 842) No. 2016-02 issued in February 2016, for each one of the appliances (equipment) proposed in the tariff. Please sort information by customer class.</w:t>
      </w:r>
    </w:p>
    <w:p w14:paraId="543293EB" w14:textId="77777777" w:rsidR="0041214F" w:rsidRPr="00F13843" w:rsidRDefault="0041214F" w:rsidP="00C841E2">
      <w:pPr>
        <w:rPr>
          <w:rFonts w:ascii="Arial" w:hAnsi="Arial" w:cs="Arial"/>
        </w:rPr>
      </w:pPr>
    </w:p>
    <w:p w14:paraId="336175AA" w14:textId="77777777" w:rsidR="00F13843" w:rsidRPr="00F13843" w:rsidRDefault="00F13843" w:rsidP="00C841E2">
      <w:pPr>
        <w:rPr>
          <w:rFonts w:ascii="Arial" w:hAnsi="Arial" w:cs="Arial"/>
        </w:rPr>
      </w:pPr>
    </w:p>
    <w:p w14:paraId="3CEBC5B0" w14:textId="77777777" w:rsidR="00C841E2" w:rsidRDefault="00C841E2" w:rsidP="004A5966">
      <w:pPr>
        <w:outlineLvl w:val="0"/>
        <w:rPr>
          <w:rFonts w:ascii="Arial" w:hAnsi="Arial"/>
          <w:b/>
          <w:u w:val="single"/>
        </w:rPr>
      </w:pPr>
      <w:r>
        <w:rPr>
          <w:rFonts w:ascii="Arial" w:hAnsi="Arial"/>
          <w:b/>
          <w:u w:val="single"/>
        </w:rPr>
        <w:t>Response:</w:t>
      </w:r>
    </w:p>
    <w:p w14:paraId="3C0BBCFE" w14:textId="77777777" w:rsidR="00C841E2" w:rsidRDefault="00C841E2" w:rsidP="00C841E2">
      <w:pPr>
        <w:rPr>
          <w:rFonts w:ascii="Arial" w:hAnsi="Arial"/>
          <w:b/>
          <w:u w:val="single"/>
        </w:rPr>
      </w:pPr>
    </w:p>
    <w:p w14:paraId="295E1DC3" w14:textId="77777777" w:rsidR="0053445D" w:rsidRDefault="0053445D" w:rsidP="0053445D">
      <w:pPr>
        <w:autoSpaceDE w:val="0"/>
        <w:autoSpaceDN w:val="0"/>
        <w:adjustRightInd w:val="0"/>
        <w:spacing w:line="240" w:lineRule="atLeast"/>
        <w:rPr>
          <w:rFonts w:ascii="Arial" w:hAnsi="Arial"/>
        </w:rPr>
      </w:pPr>
      <w:r>
        <w:rPr>
          <w:rFonts w:ascii="Arial" w:hAnsi="Arial"/>
        </w:rPr>
        <w:t xml:space="preserve">Puget Sound Energy (“PSE”) does not believe </w:t>
      </w:r>
      <w:r w:rsidR="0021582B">
        <w:rPr>
          <w:rFonts w:ascii="Arial" w:hAnsi="Arial"/>
        </w:rPr>
        <w:t xml:space="preserve">that </w:t>
      </w:r>
      <w:r>
        <w:rPr>
          <w:rFonts w:ascii="Arial" w:hAnsi="Arial"/>
        </w:rPr>
        <w:t xml:space="preserve">Financial Accounting Standards Board Accounting Standards Update for Leases (Topic 842) is applicable to leased assets proposed to be leased under PSE’s Schedule 75 Tariff </w:t>
      </w:r>
      <w:r w:rsidR="0021582B">
        <w:rPr>
          <w:rFonts w:ascii="Arial" w:hAnsi="Arial"/>
        </w:rPr>
        <w:t xml:space="preserve">because </w:t>
      </w:r>
      <w:r>
        <w:rPr>
          <w:rFonts w:ascii="Arial" w:hAnsi="Arial"/>
        </w:rPr>
        <w:t>PSE will follow General Instructions 19 “</w:t>
      </w:r>
      <w:r w:rsidRPr="000F2423">
        <w:rPr>
          <w:rFonts w:ascii="Arial" w:hAnsi="Arial"/>
        </w:rPr>
        <w:t>Criteria for classifying leases</w:t>
      </w:r>
      <w:r>
        <w:rPr>
          <w:rFonts w:ascii="Arial" w:hAnsi="Arial"/>
        </w:rPr>
        <w:t>” and 20 “Accounting for leases” of the Uniform System of Accounts in Title 18, Chapter I, Subchapter F, Parts 101 and 201 in the Code of Federal Regulations (“CFR”) for regulatory reporting.</w:t>
      </w:r>
    </w:p>
    <w:p w14:paraId="1AA8923E" w14:textId="77777777" w:rsidR="00C12FBE" w:rsidRDefault="00C12FBE" w:rsidP="00396662">
      <w:pPr>
        <w:autoSpaceDE w:val="0"/>
        <w:autoSpaceDN w:val="0"/>
        <w:adjustRightInd w:val="0"/>
        <w:spacing w:line="240" w:lineRule="atLeast"/>
        <w:rPr>
          <w:rFonts w:ascii="Arial" w:hAnsi="Arial"/>
        </w:rPr>
      </w:pPr>
    </w:p>
    <w:p w14:paraId="4FFF042D" w14:textId="77777777" w:rsidR="00336352" w:rsidRDefault="00E57193" w:rsidP="00E730E9">
      <w:pPr>
        <w:autoSpaceDE w:val="0"/>
        <w:autoSpaceDN w:val="0"/>
        <w:adjustRightInd w:val="0"/>
        <w:spacing w:line="240" w:lineRule="atLeast"/>
        <w:rPr>
          <w:rFonts w:ascii="Arial" w:hAnsi="Arial"/>
        </w:rPr>
      </w:pPr>
      <w:r>
        <w:rPr>
          <w:rFonts w:ascii="Arial" w:hAnsi="Arial"/>
        </w:rPr>
        <w:t xml:space="preserve">Executory costs are defined in Topic 842 </w:t>
      </w:r>
      <w:r w:rsidR="00E730E9">
        <w:rPr>
          <w:rFonts w:ascii="Arial" w:hAnsi="Arial"/>
        </w:rPr>
        <w:t xml:space="preserve">as well as in General Instructions 19 and 20 in the CFR </w:t>
      </w:r>
      <w:r>
        <w:rPr>
          <w:rFonts w:ascii="Arial" w:hAnsi="Arial"/>
        </w:rPr>
        <w:t xml:space="preserve">as </w:t>
      </w:r>
      <w:r w:rsidR="009B2B80">
        <w:rPr>
          <w:rFonts w:ascii="Arial" w:hAnsi="Arial"/>
        </w:rPr>
        <w:t>taxes, insurance and maintenance</w:t>
      </w:r>
      <w:r>
        <w:rPr>
          <w:rFonts w:ascii="Arial" w:hAnsi="Arial"/>
        </w:rPr>
        <w:t xml:space="preserve">.  </w:t>
      </w:r>
    </w:p>
    <w:p w14:paraId="05502045" w14:textId="77777777" w:rsidR="00973DE0" w:rsidRDefault="00973DE0" w:rsidP="00E730E9">
      <w:pPr>
        <w:autoSpaceDE w:val="0"/>
        <w:autoSpaceDN w:val="0"/>
        <w:adjustRightInd w:val="0"/>
        <w:spacing w:line="240" w:lineRule="atLeast"/>
        <w:rPr>
          <w:rFonts w:ascii="Arial" w:hAnsi="Arial"/>
        </w:rPr>
      </w:pPr>
    </w:p>
    <w:p w14:paraId="6DF2BC73" w14:textId="77777777" w:rsidR="00973DE0" w:rsidRDefault="00973DE0" w:rsidP="004A5966">
      <w:pPr>
        <w:autoSpaceDE w:val="0"/>
        <w:autoSpaceDN w:val="0"/>
        <w:adjustRightInd w:val="0"/>
        <w:spacing w:line="240" w:lineRule="atLeast"/>
        <w:outlineLvl w:val="0"/>
        <w:rPr>
          <w:rFonts w:ascii="Arial" w:hAnsi="Arial"/>
        </w:rPr>
      </w:pPr>
      <w:r w:rsidRPr="00973DE0">
        <w:rPr>
          <w:rFonts w:ascii="Arial" w:hAnsi="Arial"/>
          <w:b/>
          <w:u w:val="single"/>
        </w:rPr>
        <w:t>Taxes:</w:t>
      </w:r>
    </w:p>
    <w:p w14:paraId="14346943" w14:textId="77777777" w:rsidR="0021582B" w:rsidRDefault="0021582B" w:rsidP="009B2B80">
      <w:pPr>
        <w:rPr>
          <w:rFonts w:ascii="Arial" w:hAnsi="Arial"/>
        </w:rPr>
      </w:pPr>
    </w:p>
    <w:p w14:paraId="39B6EEF4" w14:textId="77777777" w:rsidR="00033044" w:rsidRDefault="00973DE0" w:rsidP="009B2B80">
      <w:pPr>
        <w:rPr>
          <w:rFonts w:ascii="Arial" w:hAnsi="Arial"/>
        </w:rPr>
      </w:pPr>
      <w:r>
        <w:rPr>
          <w:rFonts w:ascii="Arial" w:hAnsi="Arial"/>
        </w:rPr>
        <w:t xml:space="preserve">Please see </w:t>
      </w:r>
      <w:r w:rsidR="0021582B">
        <w:rPr>
          <w:rFonts w:ascii="Arial" w:hAnsi="Arial"/>
        </w:rPr>
        <w:t>PSE’s Response</w:t>
      </w:r>
      <w:r>
        <w:rPr>
          <w:rFonts w:ascii="Arial" w:hAnsi="Arial"/>
        </w:rPr>
        <w:t xml:space="preserve"> to SMACNA Data Request No.</w:t>
      </w:r>
      <w:r w:rsidR="0021582B">
        <w:rPr>
          <w:rFonts w:ascii="Arial" w:hAnsi="Arial"/>
        </w:rPr>
        <w:t> 0</w:t>
      </w:r>
      <w:r>
        <w:rPr>
          <w:rFonts w:ascii="Arial" w:hAnsi="Arial"/>
        </w:rPr>
        <w:t xml:space="preserve">16 and </w:t>
      </w:r>
      <w:r w:rsidR="0021582B">
        <w:rPr>
          <w:rFonts w:ascii="Arial" w:hAnsi="Arial"/>
        </w:rPr>
        <w:t xml:space="preserve">PSE’s Response to </w:t>
      </w:r>
      <w:r>
        <w:rPr>
          <w:rFonts w:ascii="Arial" w:hAnsi="Arial"/>
        </w:rPr>
        <w:t>WUTC Staff Data Request No.</w:t>
      </w:r>
      <w:r w:rsidR="0021582B">
        <w:rPr>
          <w:rFonts w:ascii="Arial" w:hAnsi="Arial"/>
        </w:rPr>
        <w:t> 0</w:t>
      </w:r>
      <w:r>
        <w:rPr>
          <w:rFonts w:ascii="Arial" w:hAnsi="Arial"/>
        </w:rPr>
        <w:t>20</w:t>
      </w:r>
      <w:r w:rsidR="0021582B">
        <w:rPr>
          <w:rFonts w:ascii="Arial" w:hAnsi="Arial"/>
        </w:rPr>
        <w:t>,</w:t>
      </w:r>
      <w:r w:rsidR="003B7E52">
        <w:rPr>
          <w:rFonts w:ascii="Arial" w:hAnsi="Arial"/>
        </w:rPr>
        <w:t xml:space="preserve"> </w:t>
      </w:r>
      <w:r w:rsidR="0021582B">
        <w:rPr>
          <w:rFonts w:ascii="Arial" w:hAnsi="Arial"/>
        </w:rPr>
        <w:t xml:space="preserve">each of </w:t>
      </w:r>
      <w:r>
        <w:rPr>
          <w:rFonts w:ascii="Arial" w:hAnsi="Arial"/>
        </w:rPr>
        <w:t>which outline the treatment and type of tax included directly in lease pricing and those that will be recove</w:t>
      </w:r>
      <w:r w:rsidR="0021582B">
        <w:rPr>
          <w:rFonts w:ascii="Arial" w:hAnsi="Arial"/>
        </w:rPr>
        <w:t xml:space="preserve">red under separate schedules.  </w:t>
      </w:r>
      <w:r w:rsidR="000A60CF">
        <w:rPr>
          <w:rFonts w:ascii="Arial" w:hAnsi="Arial"/>
        </w:rPr>
        <w:t>The below</w:t>
      </w:r>
      <w:r w:rsidR="003B7E52">
        <w:rPr>
          <w:rFonts w:ascii="Arial" w:hAnsi="Arial"/>
        </w:rPr>
        <w:t xml:space="preserve"> </w:t>
      </w:r>
      <w:r w:rsidR="000A60CF">
        <w:rPr>
          <w:rFonts w:ascii="Arial" w:hAnsi="Arial"/>
        </w:rPr>
        <w:t xml:space="preserve">provides </w:t>
      </w:r>
      <w:r w:rsidR="003B7E52" w:rsidRPr="003B7E52">
        <w:rPr>
          <w:rFonts w:ascii="Arial" w:hAnsi="Arial"/>
        </w:rPr>
        <w:t xml:space="preserve">the various taxes that may be applied to the lease business, how and when such taxes are calculated, and what authority or responsibility </w:t>
      </w:r>
      <w:r w:rsidR="0021582B">
        <w:rPr>
          <w:rFonts w:ascii="Arial" w:hAnsi="Arial"/>
        </w:rPr>
        <w:t xml:space="preserve">PSE </w:t>
      </w:r>
      <w:r w:rsidR="003B7E52" w:rsidRPr="003B7E52">
        <w:rPr>
          <w:rFonts w:ascii="Arial" w:hAnsi="Arial"/>
        </w:rPr>
        <w:t xml:space="preserve">has in </w:t>
      </w:r>
      <w:r w:rsidR="003B7E52">
        <w:rPr>
          <w:rFonts w:ascii="Arial" w:hAnsi="Arial"/>
        </w:rPr>
        <w:t>collection and remittance.</w:t>
      </w:r>
    </w:p>
    <w:p w14:paraId="39F9E8A6" w14:textId="77777777" w:rsidR="00033044" w:rsidRDefault="00033044" w:rsidP="009B2B80">
      <w:pPr>
        <w:rPr>
          <w:rFonts w:ascii="Arial" w:hAnsi="Arial"/>
        </w:rPr>
      </w:pPr>
    </w:p>
    <w:p w14:paraId="435EF242" w14:textId="77777777" w:rsidR="00033044" w:rsidRPr="00B772A5" w:rsidRDefault="00033044" w:rsidP="004A5966">
      <w:pPr>
        <w:ind w:left="720"/>
        <w:outlineLvl w:val="0"/>
        <w:rPr>
          <w:rFonts w:ascii="Arial" w:hAnsi="Arial" w:cs="Arial"/>
          <w:b/>
          <w:i/>
        </w:rPr>
      </w:pPr>
      <w:r w:rsidRPr="00B772A5">
        <w:rPr>
          <w:rFonts w:ascii="Arial" w:hAnsi="Arial" w:cs="Arial"/>
          <w:b/>
          <w:i/>
        </w:rPr>
        <w:t>Property Taxes</w:t>
      </w:r>
    </w:p>
    <w:p w14:paraId="2C80B288" w14:textId="77777777" w:rsidR="0021582B" w:rsidRDefault="0021582B" w:rsidP="003D4A26">
      <w:pPr>
        <w:autoSpaceDE w:val="0"/>
        <w:autoSpaceDN w:val="0"/>
        <w:adjustRightInd w:val="0"/>
        <w:spacing w:line="240" w:lineRule="atLeast"/>
        <w:ind w:left="720"/>
        <w:rPr>
          <w:rFonts w:ascii="Arial" w:hAnsi="Arial"/>
        </w:rPr>
      </w:pPr>
    </w:p>
    <w:p w14:paraId="604DDC1A" w14:textId="77777777" w:rsidR="002C6319" w:rsidRDefault="002C6319" w:rsidP="003D4A26">
      <w:pPr>
        <w:autoSpaceDE w:val="0"/>
        <w:autoSpaceDN w:val="0"/>
        <w:adjustRightInd w:val="0"/>
        <w:spacing w:line="240" w:lineRule="atLeast"/>
        <w:ind w:left="720"/>
        <w:rPr>
          <w:rFonts w:ascii="Arial" w:hAnsi="Arial"/>
        </w:rPr>
      </w:pPr>
      <w:r>
        <w:rPr>
          <w:rFonts w:ascii="Arial" w:hAnsi="Arial"/>
        </w:rPr>
        <w:t xml:space="preserve">Actual Property tax system ratios and levy rates for 2015 </w:t>
      </w:r>
      <w:r w:rsidR="0021582B">
        <w:rPr>
          <w:rFonts w:ascii="Arial" w:hAnsi="Arial"/>
        </w:rPr>
        <w:t xml:space="preserve">are </w:t>
      </w:r>
      <w:r>
        <w:rPr>
          <w:rFonts w:ascii="Arial" w:hAnsi="Arial"/>
        </w:rPr>
        <w:t>provided in PSE’s Response to WUTC Staff Data Request No.</w:t>
      </w:r>
      <w:r w:rsidR="0021582B">
        <w:rPr>
          <w:rFonts w:ascii="Arial" w:hAnsi="Arial"/>
        </w:rPr>
        <w:t> </w:t>
      </w:r>
      <w:r>
        <w:rPr>
          <w:rFonts w:ascii="Arial" w:hAnsi="Arial"/>
        </w:rPr>
        <w:t xml:space="preserve">067.  </w:t>
      </w:r>
      <w:r w:rsidR="000A60CF">
        <w:rPr>
          <w:rFonts w:ascii="Arial" w:hAnsi="Arial"/>
        </w:rPr>
        <w:t xml:space="preserve">As advised in </w:t>
      </w:r>
      <w:r w:rsidR="000A60CF" w:rsidRPr="005A6244">
        <w:rPr>
          <w:rFonts w:ascii="Arial" w:hAnsi="Arial" w:cs="Arial"/>
        </w:rPr>
        <w:t>PSE</w:t>
      </w:r>
      <w:r w:rsidR="00AA2F05">
        <w:rPr>
          <w:rFonts w:ascii="Arial" w:hAnsi="Arial" w:cs="Arial"/>
        </w:rPr>
        <w:t>’s</w:t>
      </w:r>
      <w:r w:rsidR="000A60CF">
        <w:rPr>
          <w:rFonts w:ascii="Arial" w:hAnsi="Arial" w:cs="Arial"/>
        </w:rPr>
        <w:t xml:space="preserve"> </w:t>
      </w:r>
      <w:r w:rsidR="0021582B">
        <w:rPr>
          <w:rFonts w:ascii="Arial" w:hAnsi="Arial" w:cs="Arial"/>
        </w:rPr>
        <w:t>R</w:t>
      </w:r>
      <w:r w:rsidR="000A60CF">
        <w:rPr>
          <w:rFonts w:ascii="Arial" w:hAnsi="Arial" w:cs="Arial"/>
        </w:rPr>
        <w:t xml:space="preserve">esponse </w:t>
      </w:r>
      <w:r w:rsidR="000A60CF">
        <w:rPr>
          <w:rFonts w:ascii="Arial" w:hAnsi="Arial" w:cs="Arial"/>
        </w:rPr>
        <w:lastRenderedPageBreak/>
        <w:t>to WUTC Data Request No.</w:t>
      </w:r>
      <w:r w:rsidR="0021582B">
        <w:rPr>
          <w:rFonts w:ascii="Arial" w:hAnsi="Arial" w:cs="Arial"/>
        </w:rPr>
        <w:t> </w:t>
      </w:r>
      <w:r w:rsidR="000A60CF">
        <w:rPr>
          <w:rFonts w:ascii="Arial" w:hAnsi="Arial" w:cs="Arial"/>
        </w:rPr>
        <w:t>020, PSE</w:t>
      </w:r>
      <w:r w:rsidR="000A60CF" w:rsidRPr="005A6244">
        <w:rPr>
          <w:rFonts w:ascii="Arial" w:hAnsi="Arial" w:cs="Arial"/>
        </w:rPr>
        <w:t xml:space="preserve"> </w:t>
      </w:r>
      <w:r w:rsidR="000A60CF">
        <w:rPr>
          <w:rFonts w:ascii="Arial" w:hAnsi="Arial" w:cs="Arial"/>
        </w:rPr>
        <w:t>will</w:t>
      </w:r>
      <w:r w:rsidR="000A60CF" w:rsidRPr="005A6244">
        <w:rPr>
          <w:rFonts w:ascii="Arial" w:hAnsi="Arial" w:cs="Arial"/>
        </w:rPr>
        <w:t xml:space="preserve"> </w:t>
      </w:r>
      <w:r w:rsidR="000A60CF">
        <w:rPr>
          <w:rFonts w:ascii="Arial" w:hAnsi="Arial" w:cs="Arial"/>
        </w:rPr>
        <w:t>revise</w:t>
      </w:r>
      <w:r w:rsidR="000A60CF" w:rsidRPr="005A6244">
        <w:rPr>
          <w:rFonts w:ascii="Arial" w:hAnsi="Arial" w:cs="Arial"/>
        </w:rPr>
        <w:t xml:space="preserve"> the pricing worksheet to recover the property taxes through Schedule 140</w:t>
      </w:r>
      <w:r w:rsidR="0021582B">
        <w:rPr>
          <w:rFonts w:ascii="Arial" w:hAnsi="Arial" w:cs="Arial"/>
        </w:rPr>
        <w:t xml:space="preserve"> </w:t>
      </w:r>
      <w:r w:rsidR="000A60CF" w:rsidRPr="002417B0">
        <w:rPr>
          <w:rFonts w:ascii="Arial" w:hAnsi="Arial" w:cs="Arial"/>
        </w:rPr>
        <w:t>and will update the lease rates to reflect this change in its rebuttal testimony</w:t>
      </w:r>
      <w:r w:rsidR="000A60CF">
        <w:rPr>
          <w:rFonts w:ascii="Arial" w:hAnsi="Arial" w:cs="Arial"/>
        </w:rPr>
        <w:t>.</w:t>
      </w:r>
    </w:p>
    <w:p w14:paraId="2601C357" w14:textId="77777777" w:rsidR="003D4A26" w:rsidRDefault="003D4A26" w:rsidP="003D4A26">
      <w:pPr>
        <w:autoSpaceDE w:val="0"/>
        <w:autoSpaceDN w:val="0"/>
        <w:adjustRightInd w:val="0"/>
        <w:spacing w:line="240" w:lineRule="atLeast"/>
        <w:ind w:left="720"/>
        <w:rPr>
          <w:rFonts w:ascii="Arial" w:hAnsi="Arial"/>
        </w:rPr>
      </w:pPr>
    </w:p>
    <w:p w14:paraId="2CAF97AE" w14:textId="77777777" w:rsidR="00033044" w:rsidRPr="00033044" w:rsidRDefault="007B1B53" w:rsidP="004A5966">
      <w:pPr>
        <w:ind w:left="720"/>
        <w:outlineLvl w:val="0"/>
        <w:rPr>
          <w:rFonts w:ascii="Arial" w:hAnsi="Arial" w:cs="Arial"/>
          <w:i/>
        </w:rPr>
      </w:pPr>
      <w:r w:rsidRPr="00B772A5">
        <w:rPr>
          <w:rFonts w:ascii="Arial" w:hAnsi="Arial" w:cs="Arial"/>
          <w:b/>
          <w:i/>
        </w:rPr>
        <w:t>WUTC Annual Filing Fee</w:t>
      </w:r>
    </w:p>
    <w:p w14:paraId="675AB517" w14:textId="77777777" w:rsidR="0021582B" w:rsidRDefault="0021582B" w:rsidP="002C6319">
      <w:pPr>
        <w:ind w:left="720"/>
        <w:rPr>
          <w:rFonts w:ascii="Arial" w:hAnsi="Arial" w:cs="Arial"/>
        </w:rPr>
      </w:pPr>
    </w:p>
    <w:p w14:paraId="1DE22D1E" w14:textId="77777777" w:rsidR="002C6319" w:rsidRDefault="00033044" w:rsidP="002C6319">
      <w:pPr>
        <w:ind w:left="720"/>
        <w:rPr>
          <w:rFonts w:ascii="Arial" w:hAnsi="Arial" w:cs="Arial"/>
        </w:rPr>
      </w:pPr>
      <w:r>
        <w:rPr>
          <w:rFonts w:ascii="Arial" w:hAnsi="Arial" w:cs="Arial"/>
        </w:rPr>
        <w:t xml:space="preserve">Amounts assigned by product for </w:t>
      </w:r>
      <w:r w:rsidR="007B1B53">
        <w:rPr>
          <w:rFonts w:ascii="Arial" w:hAnsi="Arial" w:cs="Arial"/>
        </w:rPr>
        <w:t>the WUTC Annual Filing Fee</w:t>
      </w:r>
      <w:r>
        <w:rPr>
          <w:rFonts w:ascii="Arial" w:hAnsi="Arial" w:cs="Arial"/>
        </w:rPr>
        <w:t xml:space="preserve"> were</w:t>
      </w:r>
      <w:r w:rsidR="00DA74BF">
        <w:rPr>
          <w:rFonts w:ascii="Arial" w:hAnsi="Arial" w:cs="Arial"/>
        </w:rPr>
        <w:t xml:space="preserve"> based on </w:t>
      </w:r>
      <w:r w:rsidR="00DA74BF" w:rsidRPr="00DA74BF">
        <w:rPr>
          <w:rFonts w:ascii="Arial" w:hAnsi="Arial" w:cs="Arial"/>
        </w:rPr>
        <w:t>RCW</w:t>
      </w:r>
      <w:r w:rsidR="0021582B">
        <w:rPr>
          <w:rFonts w:ascii="Arial" w:hAnsi="Arial" w:cs="Arial"/>
        </w:rPr>
        <w:t> </w:t>
      </w:r>
      <w:r w:rsidR="00DA74BF" w:rsidRPr="00DA74BF">
        <w:rPr>
          <w:rFonts w:ascii="Arial" w:hAnsi="Arial" w:cs="Arial"/>
        </w:rPr>
        <w:t>80.24.010</w:t>
      </w:r>
      <w:r>
        <w:rPr>
          <w:rFonts w:ascii="Arial" w:hAnsi="Arial" w:cs="Arial"/>
        </w:rPr>
        <w:t xml:space="preserve"> </w:t>
      </w:r>
      <w:r w:rsidR="00DA74BF">
        <w:rPr>
          <w:rFonts w:ascii="Arial" w:hAnsi="Arial" w:cs="Arial"/>
        </w:rPr>
        <w:t xml:space="preserve">and were </w:t>
      </w:r>
      <w:r>
        <w:rPr>
          <w:rFonts w:ascii="Arial" w:hAnsi="Arial" w:cs="Arial"/>
        </w:rPr>
        <w:t xml:space="preserve">provided in </w:t>
      </w:r>
      <w:r w:rsidR="002C6319">
        <w:rPr>
          <w:rFonts w:ascii="Arial" w:hAnsi="Arial" w:cs="Arial"/>
        </w:rPr>
        <w:t xml:space="preserve">PSE’s highly confidential </w:t>
      </w:r>
      <w:r w:rsidR="0021582B" w:rsidRPr="007B1B53">
        <w:rPr>
          <w:rFonts w:ascii="Arial" w:hAnsi="Arial" w:cs="Arial"/>
        </w:rPr>
        <w:t xml:space="preserve">pricing worksheet </w:t>
      </w:r>
      <w:r w:rsidR="007B1B53" w:rsidRPr="007B1B53">
        <w:rPr>
          <w:rFonts w:ascii="Arial" w:hAnsi="Arial" w:cs="Arial"/>
        </w:rPr>
        <w:t xml:space="preserve">that PSE provided on February </w:t>
      </w:r>
      <w:r w:rsidR="0021582B">
        <w:rPr>
          <w:rFonts w:ascii="Arial" w:hAnsi="Arial" w:cs="Arial"/>
        </w:rPr>
        <w:t>19</w:t>
      </w:r>
      <w:r w:rsidR="007B1B53" w:rsidRPr="007B1B53">
        <w:rPr>
          <w:rFonts w:ascii="Arial" w:hAnsi="Arial" w:cs="Arial"/>
        </w:rPr>
        <w:t>, 2016</w:t>
      </w:r>
      <w:r w:rsidR="0021582B">
        <w:rPr>
          <w:rFonts w:ascii="Arial" w:hAnsi="Arial" w:cs="Arial"/>
        </w:rPr>
        <w:t>,</w:t>
      </w:r>
      <w:r w:rsidR="007B1B53">
        <w:rPr>
          <w:rFonts w:ascii="Arial" w:hAnsi="Arial" w:cs="Arial"/>
        </w:rPr>
        <w:t xml:space="preserve"> </w:t>
      </w:r>
      <w:r>
        <w:rPr>
          <w:rFonts w:ascii="Arial" w:hAnsi="Arial" w:cs="Arial"/>
        </w:rPr>
        <w:t xml:space="preserve">on row 82 of the </w:t>
      </w:r>
      <w:r w:rsidR="002C6319">
        <w:rPr>
          <w:rFonts w:ascii="Arial" w:hAnsi="Arial" w:cs="Arial"/>
        </w:rPr>
        <w:t>following tabs:</w:t>
      </w:r>
    </w:p>
    <w:p w14:paraId="08E991BF" w14:textId="77777777" w:rsidR="002C6319" w:rsidRDefault="002C6319" w:rsidP="002C6319">
      <w:pPr>
        <w:rPr>
          <w:rFonts w:ascii="Arial" w:hAnsi="Arial" w:cs="Arial"/>
        </w:rPr>
      </w:pP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1190"/>
        <w:gridCol w:w="1190"/>
        <w:gridCol w:w="1190"/>
      </w:tblGrid>
      <w:tr w:rsidR="002C6319" w14:paraId="4520B3ED" w14:textId="77777777" w:rsidTr="00D03B63">
        <w:tc>
          <w:tcPr>
            <w:tcW w:w="1190" w:type="dxa"/>
          </w:tcPr>
          <w:p w14:paraId="0389088F" w14:textId="77777777" w:rsidR="002C6319" w:rsidRDefault="002C6319" w:rsidP="00D03B63">
            <w:pPr>
              <w:jc w:val="center"/>
              <w:rPr>
                <w:rFonts w:ascii="Arial" w:hAnsi="Arial" w:cs="Arial"/>
              </w:rPr>
            </w:pPr>
            <w:r>
              <w:rPr>
                <w:rFonts w:ascii="Arial" w:hAnsi="Arial" w:cs="Arial"/>
              </w:rPr>
              <w:t>35 (HC)</w:t>
            </w:r>
          </w:p>
        </w:tc>
        <w:tc>
          <w:tcPr>
            <w:tcW w:w="1190" w:type="dxa"/>
          </w:tcPr>
          <w:p w14:paraId="3B1A03F5" w14:textId="77777777" w:rsidR="002C6319" w:rsidRDefault="002C6319" w:rsidP="00D03B63">
            <w:pPr>
              <w:jc w:val="center"/>
              <w:rPr>
                <w:rFonts w:ascii="Arial" w:hAnsi="Arial" w:cs="Arial"/>
              </w:rPr>
            </w:pPr>
            <w:r>
              <w:rPr>
                <w:rFonts w:ascii="Arial" w:hAnsi="Arial" w:cs="Arial"/>
              </w:rPr>
              <w:t>39 (HC)</w:t>
            </w:r>
          </w:p>
        </w:tc>
        <w:tc>
          <w:tcPr>
            <w:tcW w:w="1190" w:type="dxa"/>
          </w:tcPr>
          <w:p w14:paraId="701695B5" w14:textId="77777777" w:rsidR="002C6319" w:rsidRDefault="002C6319" w:rsidP="00D03B63">
            <w:pPr>
              <w:jc w:val="center"/>
              <w:rPr>
                <w:rFonts w:ascii="Arial" w:hAnsi="Arial" w:cs="Arial"/>
              </w:rPr>
            </w:pPr>
            <w:r>
              <w:rPr>
                <w:rFonts w:ascii="Arial" w:hAnsi="Arial" w:cs="Arial"/>
              </w:rPr>
              <w:t>42 (HC)</w:t>
            </w:r>
          </w:p>
        </w:tc>
        <w:tc>
          <w:tcPr>
            <w:tcW w:w="1190" w:type="dxa"/>
          </w:tcPr>
          <w:p w14:paraId="2D7A3A70" w14:textId="77777777" w:rsidR="002C6319" w:rsidRDefault="002C6319" w:rsidP="00D03B63">
            <w:pPr>
              <w:jc w:val="center"/>
              <w:rPr>
                <w:rFonts w:ascii="Arial" w:hAnsi="Arial" w:cs="Arial"/>
              </w:rPr>
            </w:pPr>
            <w:r>
              <w:rPr>
                <w:rFonts w:ascii="Arial" w:hAnsi="Arial" w:cs="Arial"/>
              </w:rPr>
              <w:t>32 (HC)</w:t>
            </w:r>
          </w:p>
        </w:tc>
      </w:tr>
      <w:tr w:rsidR="002C6319" w14:paraId="18C622BC" w14:textId="77777777" w:rsidTr="00D03B63">
        <w:tc>
          <w:tcPr>
            <w:tcW w:w="1190" w:type="dxa"/>
          </w:tcPr>
          <w:p w14:paraId="12A371C1" w14:textId="77777777" w:rsidR="002C6319" w:rsidRDefault="002C6319" w:rsidP="00D03B63">
            <w:pPr>
              <w:jc w:val="center"/>
              <w:rPr>
                <w:rFonts w:ascii="Arial" w:hAnsi="Arial" w:cs="Arial"/>
              </w:rPr>
            </w:pPr>
            <w:r>
              <w:rPr>
                <w:rFonts w:ascii="Arial" w:hAnsi="Arial" w:cs="Arial"/>
              </w:rPr>
              <w:t>36 (HC)</w:t>
            </w:r>
          </w:p>
        </w:tc>
        <w:tc>
          <w:tcPr>
            <w:tcW w:w="1190" w:type="dxa"/>
          </w:tcPr>
          <w:p w14:paraId="234FA6BF" w14:textId="77777777" w:rsidR="002C6319" w:rsidRDefault="002C6319" w:rsidP="00D03B63">
            <w:pPr>
              <w:jc w:val="center"/>
              <w:rPr>
                <w:rFonts w:ascii="Arial" w:hAnsi="Arial" w:cs="Arial"/>
              </w:rPr>
            </w:pPr>
            <w:r>
              <w:rPr>
                <w:rFonts w:ascii="Arial" w:hAnsi="Arial" w:cs="Arial"/>
              </w:rPr>
              <w:t>40 (HC)</w:t>
            </w:r>
          </w:p>
        </w:tc>
        <w:tc>
          <w:tcPr>
            <w:tcW w:w="1190" w:type="dxa"/>
          </w:tcPr>
          <w:p w14:paraId="41BCB89D" w14:textId="77777777" w:rsidR="002C6319" w:rsidRDefault="002C6319" w:rsidP="00D03B63">
            <w:pPr>
              <w:jc w:val="center"/>
              <w:rPr>
                <w:rFonts w:ascii="Arial" w:hAnsi="Arial" w:cs="Arial"/>
              </w:rPr>
            </w:pPr>
            <w:r>
              <w:rPr>
                <w:rFonts w:ascii="Arial" w:hAnsi="Arial" w:cs="Arial"/>
              </w:rPr>
              <w:t>44 (HC)</w:t>
            </w:r>
          </w:p>
        </w:tc>
        <w:tc>
          <w:tcPr>
            <w:tcW w:w="1190" w:type="dxa"/>
          </w:tcPr>
          <w:p w14:paraId="000346F7" w14:textId="77777777" w:rsidR="002C6319" w:rsidRDefault="002C6319" w:rsidP="00D03B63">
            <w:pPr>
              <w:jc w:val="center"/>
              <w:rPr>
                <w:rFonts w:ascii="Arial" w:hAnsi="Arial" w:cs="Arial"/>
              </w:rPr>
            </w:pPr>
            <w:r>
              <w:rPr>
                <w:rFonts w:ascii="Arial" w:hAnsi="Arial" w:cs="Arial"/>
              </w:rPr>
              <w:t>33 (HC)</w:t>
            </w:r>
          </w:p>
        </w:tc>
      </w:tr>
      <w:tr w:rsidR="002C6319" w14:paraId="5A76809B" w14:textId="77777777" w:rsidTr="00D03B63">
        <w:tc>
          <w:tcPr>
            <w:tcW w:w="1190" w:type="dxa"/>
          </w:tcPr>
          <w:p w14:paraId="042F5833" w14:textId="77777777" w:rsidR="002C6319" w:rsidRDefault="002C6319" w:rsidP="00D03B63">
            <w:pPr>
              <w:jc w:val="center"/>
              <w:rPr>
                <w:rFonts w:ascii="Arial" w:hAnsi="Arial" w:cs="Arial"/>
              </w:rPr>
            </w:pPr>
            <w:r>
              <w:rPr>
                <w:rFonts w:ascii="Arial" w:hAnsi="Arial" w:cs="Arial"/>
              </w:rPr>
              <w:t>38 (HC)</w:t>
            </w:r>
          </w:p>
        </w:tc>
        <w:tc>
          <w:tcPr>
            <w:tcW w:w="1190" w:type="dxa"/>
          </w:tcPr>
          <w:p w14:paraId="27574BEC" w14:textId="77777777" w:rsidR="002C6319" w:rsidRDefault="002C6319" w:rsidP="00D03B63">
            <w:pPr>
              <w:jc w:val="center"/>
              <w:rPr>
                <w:rFonts w:ascii="Arial" w:hAnsi="Arial" w:cs="Arial"/>
              </w:rPr>
            </w:pPr>
            <w:r>
              <w:rPr>
                <w:rFonts w:ascii="Arial" w:hAnsi="Arial" w:cs="Arial"/>
              </w:rPr>
              <w:t>41 (HC)</w:t>
            </w:r>
          </w:p>
        </w:tc>
        <w:tc>
          <w:tcPr>
            <w:tcW w:w="1190" w:type="dxa"/>
          </w:tcPr>
          <w:p w14:paraId="5B085F15" w14:textId="77777777" w:rsidR="002C6319" w:rsidRDefault="002C6319" w:rsidP="00D03B63">
            <w:pPr>
              <w:jc w:val="center"/>
              <w:rPr>
                <w:rFonts w:ascii="Arial" w:hAnsi="Arial" w:cs="Arial"/>
              </w:rPr>
            </w:pPr>
            <w:r>
              <w:rPr>
                <w:rFonts w:ascii="Arial" w:hAnsi="Arial" w:cs="Arial"/>
              </w:rPr>
              <w:t>45 (HC)</w:t>
            </w:r>
          </w:p>
        </w:tc>
        <w:tc>
          <w:tcPr>
            <w:tcW w:w="1190" w:type="dxa"/>
          </w:tcPr>
          <w:p w14:paraId="6B348F9E" w14:textId="77777777" w:rsidR="002C6319" w:rsidRDefault="002C6319" w:rsidP="00D03B63">
            <w:pPr>
              <w:jc w:val="center"/>
              <w:rPr>
                <w:rFonts w:ascii="Arial" w:hAnsi="Arial" w:cs="Arial"/>
              </w:rPr>
            </w:pPr>
            <w:r>
              <w:rPr>
                <w:rFonts w:ascii="Arial" w:hAnsi="Arial" w:cs="Arial"/>
              </w:rPr>
              <w:t>34 (HC)</w:t>
            </w:r>
          </w:p>
        </w:tc>
      </w:tr>
    </w:tbl>
    <w:p w14:paraId="0F309CD8" w14:textId="77777777" w:rsidR="003B7E52" w:rsidRDefault="003B7E52" w:rsidP="00E730E9">
      <w:pPr>
        <w:autoSpaceDE w:val="0"/>
        <w:autoSpaceDN w:val="0"/>
        <w:adjustRightInd w:val="0"/>
        <w:spacing w:line="240" w:lineRule="atLeast"/>
        <w:rPr>
          <w:rFonts w:ascii="Arial" w:hAnsi="Arial"/>
        </w:rPr>
      </w:pPr>
    </w:p>
    <w:p w14:paraId="56FDB879" w14:textId="77777777" w:rsidR="00033044" w:rsidRPr="00B772A5" w:rsidRDefault="00033044" w:rsidP="004A5966">
      <w:pPr>
        <w:autoSpaceDE w:val="0"/>
        <w:autoSpaceDN w:val="0"/>
        <w:adjustRightInd w:val="0"/>
        <w:spacing w:line="240" w:lineRule="atLeast"/>
        <w:ind w:left="720"/>
        <w:outlineLvl w:val="0"/>
        <w:rPr>
          <w:rFonts w:ascii="Arial" w:hAnsi="Arial"/>
          <w:b/>
          <w:i/>
        </w:rPr>
      </w:pPr>
      <w:r w:rsidRPr="00B772A5">
        <w:rPr>
          <w:rFonts w:ascii="Arial" w:hAnsi="Arial"/>
          <w:b/>
          <w:i/>
        </w:rPr>
        <w:t>State/City Sales Tax &amp; City Utility Tax (where applicable)</w:t>
      </w:r>
    </w:p>
    <w:p w14:paraId="5E9AE806" w14:textId="77777777" w:rsidR="0021582B" w:rsidRDefault="0021582B" w:rsidP="00033044">
      <w:pPr>
        <w:autoSpaceDE w:val="0"/>
        <w:autoSpaceDN w:val="0"/>
        <w:adjustRightInd w:val="0"/>
        <w:spacing w:line="240" w:lineRule="atLeast"/>
        <w:ind w:left="720"/>
        <w:rPr>
          <w:rFonts w:ascii="Arial" w:hAnsi="Arial"/>
        </w:rPr>
      </w:pPr>
    </w:p>
    <w:p w14:paraId="77C427DC" w14:textId="77777777" w:rsidR="00033044" w:rsidRPr="00033044" w:rsidRDefault="00033044" w:rsidP="00033044">
      <w:pPr>
        <w:autoSpaceDE w:val="0"/>
        <w:autoSpaceDN w:val="0"/>
        <w:adjustRightInd w:val="0"/>
        <w:spacing w:line="240" w:lineRule="atLeast"/>
        <w:ind w:left="720"/>
        <w:rPr>
          <w:rFonts w:ascii="Arial" w:hAnsi="Arial"/>
        </w:rPr>
      </w:pPr>
      <w:r w:rsidRPr="00033044">
        <w:rPr>
          <w:rFonts w:ascii="Arial" w:hAnsi="Arial"/>
        </w:rPr>
        <w:t>A lease is treated as a retail transaction</w:t>
      </w:r>
      <w:r w:rsidR="0021582B">
        <w:rPr>
          <w:rFonts w:ascii="Arial" w:hAnsi="Arial"/>
        </w:rPr>
        <w:t xml:space="preserve">; </w:t>
      </w:r>
      <w:r w:rsidRPr="00033044">
        <w:rPr>
          <w:rFonts w:ascii="Arial" w:hAnsi="Arial"/>
        </w:rPr>
        <w:t>therefore</w:t>
      </w:r>
      <w:r w:rsidR="0021582B">
        <w:rPr>
          <w:rFonts w:ascii="Arial" w:hAnsi="Arial"/>
        </w:rPr>
        <w:t>,</w:t>
      </w:r>
      <w:r w:rsidRPr="00033044">
        <w:rPr>
          <w:rFonts w:ascii="Arial" w:hAnsi="Arial"/>
        </w:rPr>
        <w:t xml:space="preserve"> sales tax is the responsibility of the buyer.  </w:t>
      </w:r>
      <w:r>
        <w:rPr>
          <w:rFonts w:ascii="Arial" w:hAnsi="Arial"/>
        </w:rPr>
        <w:t>PSE</w:t>
      </w:r>
      <w:r w:rsidRPr="00033044">
        <w:rPr>
          <w:rFonts w:ascii="Arial" w:hAnsi="Arial"/>
        </w:rPr>
        <w:t xml:space="preserve"> as the seller is the collector of the sales tax for the state and will remit applicable sales tax to the Washington Department of Revenue (DOR).  </w:t>
      </w:r>
    </w:p>
    <w:p w14:paraId="3B3A2286" w14:textId="77777777" w:rsidR="00033044" w:rsidRPr="00033044" w:rsidRDefault="00033044" w:rsidP="00033044">
      <w:pPr>
        <w:autoSpaceDE w:val="0"/>
        <w:autoSpaceDN w:val="0"/>
        <w:adjustRightInd w:val="0"/>
        <w:spacing w:line="240" w:lineRule="atLeast"/>
        <w:ind w:left="720"/>
        <w:rPr>
          <w:rFonts w:ascii="Arial" w:hAnsi="Arial"/>
        </w:rPr>
      </w:pPr>
    </w:p>
    <w:p w14:paraId="404B5568" w14:textId="77777777" w:rsidR="00033044" w:rsidRPr="00033044" w:rsidRDefault="00033044" w:rsidP="00033044">
      <w:pPr>
        <w:autoSpaceDE w:val="0"/>
        <w:autoSpaceDN w:val="0"/>
        <w:adjustRightInd w:val="0"/>
        <w:spacing w:line="240" w:lineRule="atLeast"/>
        <w:ind w:left="720"/>
        <w:rPr>
          <w:rFonts w:ascii="Arial" w:hAnsi="Arial"/>
        </w:rPr>
      </w:pPr>
      <w:r w:rsidRPr="00033044">
        <w:rPr>
          <w:rFonts w:ascii="Arial" w:hAnsi="Arial"/>
        </w:rPr>
        <w:t>In the case of leased equipment</w:t>
      </w:r>
      <w:r w:rsidR="0021582B">
        <w:rPr>
          <w:rFonts w:ascii="Arial" w:hAnsi="Arial"/>
        </w:rPr>
        <w:t xml:space="preserve"> </w:t>
      </w:r>
      <w:r w:rsidRPr="00033044">
        <w:rPr>
          <w:rFonts w:ascii="Arial" w:hAnsi="Arial"/>
        </w:rPr>
        <w:t xml:space="preserve">purchased and installed through </w:t>
      </w:r>
      <w:r w:rsidR="0021582B">
        <w:rPr>
          <w:rFonts w:ascii="Arial" w:hAnsi="Arial"/>
        </w:rPr>
        <w:t xml:space="preserve">third </w:t>
      </w:r>
      <w:r w:rsidRPr="00033044">
        <w:rPr>
          <w:rFonts w:ascii="Arial" w:hAnsi="Arial"/>
        </w:rPr>
        <w:t xml:space="preserve">parties on behalf of PSE, </w:t>
      </w:r>
      <w:r w:rsidR="0021582B">
        <w:rPr>
          <w:rFonts w:ascii="Arial" w:hAnsi="Arial"/>
        </w:rPr>
        <w:t xml:space="preserve">PSE </w:t>
      </w:r>
      <w:r w:rsidRPr="00033044">
        <w:rPr>
          <w:rFonts w:ascii="Arial" w:hAnsi="Arial"/>
        </w:rPr>
        <w:t xml:space="preserve">will provide reseller permits to said vendors so they can install the equipment for </w:t>
      </w:r>
      <w:r w:rsidR="0021582B">
        <w:rPr>
          <w:rFonts w:ascii="Arial" w:hAnsi="Arial"/>
        </w:rPr>
        <w:t xml:space="preserve">the customer </w:t>
      </w:r>
      <w:r w:rsidRPr="00033044">
        <w:rPr>
          <w:rFonts w:ascii="Arial" w:hAnsi="Arial"/>
        </w:rPr>
        <w:t>and charge PSE for the equipment and installation costs without sales tax.  PSE then leverages its Customer Information System to determine the appropriate tax code for the installation location and adds any appropriate sales tax to the monthly lease</w:t>
      </w:r>
      <w:r w:rsidR="0021582B">
        <w:rPr>
          <w:rFonts w:ascii="Arial" w:hAnsi="Arial"/>
        </w:rPr>
        <w:t xml:space="preserve"> rate at the time of billing.</w:t>
      </w:r>
    </w:p>
    <w:p w14:paraId="251851BF" w14:textId="77777777" w:rsidR="00033044" w:rsidRPr="00033044" w:rsidRDefault="00033044" w:rsidP="00033044">
      <w:pPr>
        <w:autoSpaceDE w:val="0"/>
        <w:autoSpaceDN w:val="0"/>
        <w:adjustRightInd w:val="0"/>
        <w:spacing w:line="240" w:lineRule="atLeast"/>
        <w:ind w:left="720"/>
        <w:rPr>
          <w:rFonts w:ascii="Arial" w:hAnsi="Arial"/>
        </w:rPr>
      </w:pPr>
    </w:p>
    <w:p w14:paraId="3104D37F" w14:textId="77777777" w:rsidR="00033044" w:rsidRDefault="00033044" w:rsidP="00033044">
      <w:pPr>
        <w:autoSpaceDE w:val="0"/>
        <w:autoSpaceDN w:val="0"/>
        <w:adjustRightInd w:val="0"/>
        <w:spacing w:line="240" w:lineRule="atLeast"/>
        <w:ind w:left="720"/>
        <w:rPr>
          <w:rFonts w:ascii="Arial" w:hAnsi="Arial"/>
        </w:rPr>
      </w:pPr>
      <w:r w:rsidRPr="00033044">
        <w:rPr>
          <w:rFonts w:ascii="Arial" w:hAnsi="Arial"/>
        </w:rPr>
        <w:t xml:space="preserve">Additionally, some cities have received authority to bill </w:t>
      </w:r>
      <w:r w:rsidR="0021582B">
        <w:rPr>
          <w:rFonts w:ascii="Arial" w:hAnsi="Arial"/>
        </w:rPr>
        <w:t>c</w:t>
      </w:r>
      <w:r w:rsidRPr="00033044">
        <w:rPr>
          <w:rFonts w:ascii="Arial" w:hAnsi="Arial"/>
        </w:rPr>
        <w:t xml:space="preserve">ity </w:t>
      </w:r>
      <w:r w:rsidR="0021582B">
        <w:rPr>
          <w:rFonts w:ascii="Arial" w:hAnsi="Arial"/>
        </w:rPr>
        <w:t>u</w:t>
      </w:r>
      <w:r w:rsidRPr="00033044">
        <w:rPr>
          <w:rFonts w:ascii="Arial" w:hAnsi="Arial"/>
        </w:rPr>
        <w:t xml:space="preserve">tility taxes on PSE retail sales activities, which may include leased equipment.  For installations </w:t>
      </w:r>
      <w:r>
        <w:rPr>
          <w:rFonts w:ascii="Arial" w:hAnsi="Arial"/>
        </w:rPr>
        <w:t>i</w:t>
      </w:r>
      <w:r w:rsidRPr="00033044">
        <w:rPr>
          <w:rFonts w:ascii="Arial" w:hAnsi="Arial"/>
        </w:rPr>
        <w:t>n those cities, PSE again will leverage its Customer Information System to determine the appropriate tax code for the installation location and add any appropriate city utility tax to the monthly lease rate at the time of billing.</w:t>
      </w:r>
    </w:p>
    <w:p w14:paraId="21327113" w14:textId="77777777" w:rsidR="002B0F41" w:rsidRDefault="002B0F41" w:rsidP="00033044">
      <w:pPr>
        <w:autoSpaceDE w:val="0"/>
        <w:autoSpaceDN w:val="0"/>
        <w:adjustRightInd w:val="0"/>
        <w:spacing w:line="240" w:lineRule="atLeast"/>
        <w:ind w:left="720"/>
        <w:rPr>
          <w:rFonts w:ascii="Arial" w:hAnsi="Arial"/>
        </w:rPr>
      </w:pPr>
    </w:p>
    <w:p w14:paraId="2728B9C0" w14:textId="77777777" w:rsidR="002B0F41" w:rsidRDefault="002B0F41" w:rsidP="00033044">
      <w:pPr>
        <w:autoSpaceDE w:val="0"/>
        <w:autoSpaceDN w:val="0"/>
        <w:adjustRightInd w:val="0"/>
        <w:spacing w:line="240" w:lineRule="atLeast"/>
        <w:ind w:left="720"/>
        <w:rPr>
          <w:rFonts w:ascii="Arial" w:hAnsi="Arial"/>
        </w:rPr>
      </w:pPr>
      <w:r>
        <w:rPr>
          <w:rFonts w:ascii="Arial" w:hAnsi="Arial"/>
        </w:rPr>
        <w:t xml:space="preserve">Current sales tax rates </w:t>
      </w:r>
      <w:r w:rsidR="0021582B">
        <w:rPr>
          <w:rFonts w:ascii="Arial" w:hAnsi="Arial"/>
        </w:rPr>
        <w:t xml:space="preserve">are </w:t>
      </w:r>
      <w:r>
        <w:rPr>
          <w:rFonts w:ascii="Arial" w:hAnsi="Arial"/>
        </w:rPr>
        <w:t>provided in PSE’s Response to WUTC Staff Data Request No.</w:t>
      </w:r>
      <w:r w:rsidR="0021582B">
        <w:rPr>
          <w:rFonts w:ascii="Arial" w:hAnsi="Arial"/>
        </w:rPr>
        <w:t> </w:t>
      </w:r>
      <w:r>
        <w:rPr>
          <w:rFonts w:ascii="Arial" w:hAnsi="Arial"/>
        </w:rPr>
        <w:t>068.</w:t>
      </w:r>
      <w:r w:rsidR="003D4A26">
        <w:rPr>
          <w:rFonts w:ascii="Arial" w:hAnsi="Arial"/>
        </w:rPr>
        <w:t xml:space="preserve">  City utility taxes are included in PSE’s Electric Tariff Schedule</w:t>
      </w:r>
      <w:r w:rsidR="0021582B">
        <w:rPr>
          <w:rFonts w:ascii="Arial" w:hAnsi="Arial"/>
        </w:rPr>
        <w:t> </w:t>
      </w:r>
      <w:r w:rsidR="003D4A26">
        <w:rPr>
          <w:rFonts w:ascii="Arial" w:hAnsi="Arial"/>
        </w:rPr>
        <w:t>81 and Gas Tariff Schedule 1.</w:t>
      </w:r>
    </w:p>
    <w:p w14:paraId="606AB80A" w14:textId="77777777" w:rsidR="00AC48E1" w:rsidRDefault="00AC48E1" w:rsidP="00033044">
      <w:pPr>
        <w:autoSpaceDE w:val="0"/>
        <w:autoSpaceDN w:val="0"/>
        <w:adjustRightInd w:val="0"/>
        <w:spacing w:line="240" w:lineRule="atLeast"/>
        <w:ind w:left="720"/>
        <w:rPr>
          <w:rFonts w:ascii="Arial" w:hAnsi="Arial"/>
        </w:rPr>
      </w:pPr>
    </w:p>
    <w:p w14:paraId="792347CC" w14:textId="77777777" w:rsidR="00AC48E1" w:rsidRPr="00B772A5" w:rsidRDefault="00AC48E1" w:rsidP="004A5966">
      <w:pPr>
        <w:autoSpaceDE w:val="0"/>
        <w:autoSpaceDN w:val="0"/>
        <w:adjustRightInd w:val="0"/>
        <w:spacing w:line="240" w:lineRule="atLeast"/>
        <w:ind w:left="720"/>
        <w:outlineLvl w:val="0"/>
        <w:rPr>
          <w:rFonts w:ascii="Arial" w:hAnsi="Arial"/>
          <w:b/>
          <w:i/>
        </w:rPr>
      </w:pPr>
      <w:r w:rsidRPr="00B772A5">
        <w:rPr>
          <w:rFonts w:ascii="Arial" w:hAnsi="Arial"/>
          <w:b/>
          <w:i/>
        </w:rPr>
        <w:t>State Retailing B&amp;O Tax</w:t>
      </w:r>
    </w:p>
    <w:p w14:paraId="59865A17" w14:textId="77777777" w:rsidR="0021582B" w:rsidRDefault="0021582B" w:rsidP="00AC48E1">
      <w:pPr>
        <w:autoSpaceDE w:val="0"/>
        <w:autoSpaceDN w:val="0"/>
        <w:adjustRightInd w:val="0"/>
        <w:spacing w:line="240" w:lineRule="atLeast"/>
        <w:ind w:left="720"/>
        <w:rPr>
          <w:rFonts w:ascii="Arial" w:hAnsi="Arial"/>
        </w:rPr>
      </w:pPr>
    </w:p>
    <w:p w14:paraId="123AFD4C" w14:textId="77777777" w:rsidR="00033044" w:rsidRDefault="00AC48E1" w:rsidP="00AC48E1">
      <w:pPr>
        <w:autoSpaceDE w:val="0"/>
        <w:autoSpaceDN w:val="0"/>
        <w:adjustRightInd w:val="0"/>
        <w:spacing w:line="240" w:lineRule="atLeast"/>
        <w:ind w:left="720"/>
        <w:rPr>
          <w:rFonts w:ascii="Arial" w:hAnsi="Arial"/>
        </w:rPr>
      </w:pPr>
      <w:r>
        <w:rPr>
          <w:rFonts w:ascii="Arial" w:hAnsi="Arial"/>
        </w:rPr>
        <w:t>Gross revenues from Schedule 75 are not subject to State Utility Tax, but they will be subject to the State Retailing B&amp;O Tax (“B&amp;O Tax”).  The State B&amp;O tax rate is .471% (</w:t>
      </w:r>
      <w:hyperlink r:id="rId8" w:history="1">
        <w:r w:rsidRPr="00E651D0">
          <w:rPr>
            <w:rStyle w:val="Hyperlink"/>
            <w:rFonts w:ascii="Arial" w:hAnsi="Arial"/>
          </w:rPr>
          <w:t>http://dor.wa.gov/Content/FindTaxesAndRates/BAndOTax/BandOrates.aspx</w:t>
        </w:r>
      </w:hyperlink>
      <w:r>
        <w:rPr>
          <w:rFonts w:ascii="Arial" w:hAnsi="Arial"/>
        </w:rPr>
        <w:t xml:space="preserve">).  State B&amp;O tax is not collected in a separate tariff schedule and therefore should have been included in the pricing of Schedule 75 rates. However, this rate was </w:t>
      </w:r>
      <w:r>
        <w:rPr>
          <w:rFonts w:ascii="Arial" w:hAnsi="Arial"/>
        </w:rPr>
        <w:lastRenderedPageBreak/>
        <w:t xml:space="preserve">inadvertently not included in the </w:t>
      </w:r>
      <w:r w:rsidR="0021582B">
        <w:rPr>
          <w:rFonts w:ascii="Arial" w:hAnsi="Arial"/>
        </w:rPr>
        <w:t>p</w:t>
      </w:r>
      <w:r>
        <w:rPr>
          <w:rFonts w:ascii="Arial" w:hAnsi="Arial"/>
        </w:rPr>
        <w:t xml:space="preserve">ricing </w:t>
      </w:r>
      <w:r w:rsidR="0021582B">
        <w:rPr>
          <w:rFonts w:ascii="Arial" w:hAnsi="Arial"/>
        </w:rPr>
        <w:t>w</w:t>
      </w:r>
      <w:r>
        <w:rPr>
          <w:rFonts w:ascii="Arial" w:hAnsi="Arial"/>
        </w:rPr>
        <w:t xml:space="preserve">orksheet.  Accordingly, the B&amp;O Tax will be added to the </w:t>
      </w:r>
      <w:r w:rsidR="0021582B">
        <w:rPr>
          <w:rFonts w:ascii="Arial" w:hAnsi="Arial"/>
        </w:rPr>
        <w:t>p</w:t>
      </w:r>
      <w:r>
        <w:rPr>
          <w:rFonts w:ascii="Arial" w:hAnsi="Arial"/>
        </w:rPr>
        <w:t xml:space="preserve">ricing </w:t>
      </w:r>
      <w:r w:rsidR="0021582B">
        <w:rPr>
          <w:rFonts w:ascii="Arial" w:hAnsi="Arial"/>
        </w:rPr>
        <w:t>w</w:t>
      </w:r>
      <w:r>
        <w:rPr>
          <w:rFonts w:ascii="Arial" w:hAnsi="Arial"/>
        </w:rPr>
        <w:t>orksheet along with the change to Property Taxes discussed above.</w:t>
      </w:r>
      <w:r w:rsidR="00863000">
        <w:rPr>
          <w:rFonts w:ascii="Arial" w:hAnsi="Arial"/>
        </w:rPr>
        <w:t xml:space="preserve">  Please see PSE’s </w:t>
      </w:r>
      <w:r w:rsidR="0021582B">
        <w:rPr>
          <w:rFonts w:ascii="Arial" w:hAnsi="Arial"/>
        </w:rPr>
        <w:t>R</w:t>
      </w:r>
      <w:r w:rsidR="00863000">
        <w:rPr>
          <w:rFonts w:ascii="Arial" w:hAnsi="Arial"/>
        </w:rPr>
        <w:t>esponse to SMACNA Data Request No.</w:t>
      </w:r>
      <w:r w:rsidR="0021582B">
        <w:rPr>
          <w:rFonts w:ascii="Arial" w:hAnsi="Arial"/>
        </w:rPr>
        <w:t> 0</w:t>
      </w:r>
      <w:r w:rsidR="00863000">
        <w:rPr>
          <w:rFonts w:ascii="Arial" w:hAnsi="Arial"/>
        </w:rPr>
        <w:t>23.</w:t>
      </w:r>
    </w:p>
    <w:p w14:paraId="7C141762" w14:textId="77777777" w:rsidR="00AC48E1" w:rsidRDefault="00AC48E1" w:rsidP="00E730E9">
      <w:pPr>
        <w:autoSpaceDE w:val="0"/>
        <w:autoSpaceDN w:val="0"/>
        <w:adjustRightInd w:val="0"/>
        <w:spacing w:line="240" w:lineRule="atLeast"/>
        <w:rPr>
          <w:rFonts w:ascii="Arial" w:hAnsi="Arial"/>
        </w:rPr>
      </w:pPr>
    </w:p>
    <w:p w14:paraId="29D21572" w14:textId="77777777" w:rsidR="003B7E52" w:rsidRDefault="003B7E52" w:rsidP="004A5966">
      <w:pPr>
        <w:autoSpaceDE w:val="0"/>
        <w:autoSpaceDN w:val="0"/>
        <w:adjustRightInd w:val="0"/>
        <w:spacing w:line="240" w:lineRule="atLeast"/>
        <w:outlineLvl w:val="0"/>
        <w:rPr>
          <w:rFonts w:ascii="Arial" w:hAnsi="Arial"/>
        </w:rPr>
      </w:pPr>
      <w:r>
        <w:rPr>
          <w:rFonts w:ascii="Arial" w:hAnsi="Arial"/>
          <w:b/>
          <w:u w:val="single"/>
        </w:rPr>
        <w:t>Insurance:</w:t>
      </w:r>
    </w:p>
    <w:p w14:paraId="7B8D8037" w14:textId="77777777" w:rsidR="0021582B" w:rsidRDefault="0021582B" w:rsidP="00E730E9">
      <w:pPr>
        <w:autoSpaceDE w:val="0"/>
        <w:autoSpaceDN w:val="0"/>
        <w:adjustRightInd w:val="0"/>
        <w:spacing w:line="240" w:lineRule="atLeast"/>
        <w:rPr>
          <w:rFonts w:ascii="Arial" w:hAnsi="Arial"/>
        </w:rPr>
      </w:pPr>
    </w:p>
    <w:p w14:paraId="7E7CBAF5" w14:textId="77777777" w:rsidR="00033044" w:rsidRDefault="0021582B" w:rsidP="00E730E9">
      <w:pPr>
        <w:autoSpaceDE w:val="0"/>
        <w:autoSpaceDN w:val="0"/>
        <w:adjustRightInd w:val="0"/>
        <w:spacing w:line="240" w:lineRule="atLeast"/>
        <w:rPr>
          <w:rFonts w:ascii="Arial" w:hAnsi="Arial"/>
        </w:rPr>
      </w:pPr>
      <w:r>
        <w:rPr>
          <w:rFonts w:ascii="Arial" w:hAnsi="Arial"/>
        </w:rPr>
        <w:t>Please see PSE’s Response</w:t>
      </w:r>
      <w:r w:rsidR="003B7E52">
        <w:rPr>
          <w:rFonts w:ascii="Arial" w:hAnsi="Arial"/>
        </w:rPr>
        <w:t xml:space="preserve"> to SMACNA Data Request No.</w:t>
      </w:r>
      <w:r>
        <w:rPr>
          <w:rFonts w:ascii="Arial" w:hAnsi="Arial"/>
        </w:rPr>
        <w:t> </w:t>
      </w:r>
      <w:r w:rsidR="00AA2F05">
        <w:rPr>
          <w:rFonts w:ascii="Arial" w:hAnsi="Arial"/>
        </w:rPr>
        <w:t>0</w:t>
      </w:r>
      <w:r w:rsidR="003B7E52">
        <w:rPr>
          <w:rFonts w:ascii="Arial" w:hAnsi="Arial"/>
        </w:rPr>
        <w:t>13.</w:t>
      </w:r>
      <w:r w:rsidR="009B2B80">
        <w:rPr>
          <w:rFonts w:ascii="Arial" w:hAnsi="Arial"/>
        </w:rPr>
        <w:t xml:space="preserve">  General corporate insurance </w:t>
      </w:r>
      <w:r w:rsidR="00AF3794">
        <w:rPr>
          <w:rFonts w:ascii="Arial" w:hAnsi="Arial"/>
        </w:rPr>
        <w:t xml:space="preserve">, as incorporated in internal cost allocation assumptions, have been </w:t>
      </w:r>
      <w:r w:rsidR="009B2B80">
        <w:rPr>
          <w:rFonts w:ascii="Arial" w:hAnsi="Arial"/>
        </w:rPr>
        <w:t xml:space="preserve">used to develop proposed leasing rates.  Additionally, customers taking service under commercial tariff schedules will be required to maintain </w:t>
      </w:r>
      <w:r w:rsidR="00AF3794" w:rsidRPr="008E5860">
        <w:rPr>
          <w:rFonts w:ascii="Arial" w:hAnsi="Arial" w:cs="Arial"/>
        </w:rPr>
        <w:t xml:space="preserve">general liability and property damage insurance </w:t>
      </w:r>
      <w:r w:rsidR="00AF3794">
        <w:rPr>
          <w:rFonts w:ascii="Arial" w:hAnsi="Arial"/>
        </w:rPr>
        <w:t xml:space="preserve">as detailed in PSE’s </w:t>
      </w:r>
      <w:r>
        <w:rPr>
          <w:rFonts w:ascii="Arial" w:hAnsi="Arial"/>
        </w:rPr>
        <w:t>R</w:t>
      </w:r>
      <w:r w:rsidR="00AF3794">
        <w:rPr>
          <w:rFonts w:ascii="Arial" w:hAnsi="Arial"/>
        </w:rPr>
        <w:t>esponse to WUTC Staff DR No.</w:t>
      </w:r>
      <w:r>
        <w:rPr>
          <w:rFonts w:ascii="Arial" w:hAnsi="Arial"/>
        </w:rPr>
        <w:t> </w:t>
      </w:r>
      <w:r w:rsidR="00AF3794">
        <w:rPr>
          <w:rFonts w:ascii="Arial" w:hAnsi="Arial"/>
        </w:rPr>
        <w:t>025</w:t>
      </w:r>
      <w:r w:rsidR="009B2B80">
        <w:rPr>
          <w:rFonts w:ascii="Arial" w:hAnsi="Arial"/>
        </w:rPr>
        <w:t>.</w:t>
      </w:r>
    </w:p>
    <w:p w14:paraId="121D484F" w14:textId="77777777" w:rsidR="009B2B80" w:rsidRDefault="009B2B80" w:rsidP="00E730E9">
      <w:pPr>
        <w:autoSpaceDE w:val="0"/>
        <w:autoSpaceDN w:val="0"/>
        <w:adjustRightInd w:val="0"/>
        <w:spacing w:line="240" w:lineRule="atLeast"/>
        <w:rPr>
          <w:rFonts w:ascii="Arial" w:hAnsi="Arial"/>
        </w:rPr>
      </w:pPr>
    </w:p>
    <w:p w14:paraId="086BC98E" w14:textId="77777777" w:rsidR="009B2B80" w:rsidRDefault="009B2B80" w:rsidP="004A5966">
      <w:pPr>
        <w:autoSpaceDE w:val="0"/>
        <w:autoSpaceDN w:val="0"/>
        <w:adjustRightInd w:val="0"/>
        <w:spacing w:line="240" w:lineRule="atLeast"/>
        <w:outlineLvl w:val="0"/>
        <w:rPr>
          <w:rFonts w:ascii="Arial" w:hAnsi="Arial"/>
        </w:rPr>
      </w:pPr>
      <w:r>
        <w:rPr>
          <w:rFonts w:ascii="Arial" w:hAnsi="Arial"/>
          <w:b/>
          <w:u w:val="single"/>
        </w:rPr>
        <w:t>Maintenance:</w:t>
      </w:r>
    </w:p>
    <w:p w14:paraId="2A2011AC" w14:textId="77777777" w:rsidR="000838C7" w:rsidRDefault="000838C7" w:rsidP="00E730E9">
      <w:pPr>
        <w:autoSpaceDE w:val="0"/>
        <w:autoSpaceDN w:val="0"/>
        <w:adjustRightInd w:val="0"/>
        <w:spacing w:line="240" w:lineRule="atLeast"/>
        <w:rPr>
          <w:rFonts w:ascii="Arial" w:hAnsi="Arial"/>
        </w:rPr>
      </w:pPr>
    </w:p>
    <w:p w14:paraId="2B52B918" w14:textId="77777777" w:rsidR="009B2B80" w:rsidRDefault="009B2B80" w:rsidP="00E730E9">
      <w:pPr>
        <w:autoSpaceDE w:val="0"/>
        <w:autoSpaceDN w:val="0"/>
        <w:adjustRightInd w:val="0"/>
        <w:spacing w:line="240" w:lineRule="atLeast"/>
        <w:rPr>
          <w:rFonts w:ascii="Arial" w:hAnsi="Arial" w:cs="Arial"/>
        </w:rPr>
      </w:pPr>
      <w:r>
        <w:rPr>
          <w:rFonts w:ascii="Arial" w:hAnsi="Arial"/>
        </w:rPr>
        <w:t xml:space="preserve">Please see PSE’s </w:t>
      </w:r>
      <w:r w:rsidR="000838C7">
        <w:rPr>
          <w:rFonts w:ascii="Arial" w:hAnsi="Arial"/>
        </w:rPr>
        <w:t>R</w:t>
      </w:r>
      <w:r>
        <w:rPr>
          <w:rFonts w:ascii="Arial" w:hAnsi="Arial"/>
        </w:rPr>
        <w:t>esponse to WUTC Staff Data Request No.</w:t>
      </w:r>
      <w:r w:rsidR="000838C7">
        <w:rPr>
          <w:rFonts w:ascii="Arial" w:hAnsi="Arial"/>
        </w:rPr>
        <w:t> </w:t>
      </w:r>
      <w:r>
        <w:rPr>
          <w:rFonts w:ascii="Arial" w:hAnsi="Arial"/>
        </w:rPr>
        <w:t>0</w:t>
      </w:r>
      <w:r w:rsidR="000838C7">
        <w:rPr>
          <w:rFonts w:ascii="Arial" w:hAnsi="Arial"/>
        </w:rPr>
        <w:t>59 and PSE’s Response to WUTC Staff Data Request No. 061,</w:t>
      </w:r>
      <w:r w:rsidR="001F49C9">
        <w:rPr>
          <w:rFonts w:ascii="Arial" w:hAnsi="Arial"/>
        </w:rPr>
        <w:t xml:space="preserve"> </w:t>
      </w:r>
      <w:r w:rsidR="000838C7">
        <w:rPr>
          <w:rFonts w:ascii="Arial" w:hAnsi="Arial"/>
        </w:rPr>
        <w:t xml:space="preserve">each of </w:t>
      </w:r>
      <w:r w:rsidR="001F49C9">
        <w:rPr>
          <w:rFonts w:ascii="Arial" w:hAnsi="Arial"/>
        </w:rPr>
        <w:t xml:space="preserve">which </w:t>
      </w:r>
      <w:r w:rsidR="001F49C9">
        <w:rPr>
          <w:rFonts w:ascii="Arial" w:hAnsi="Arial" w:cs="Arial"/>
        </w:rPr>
        <w:t xml:space="preserve">references where </w:t>
      </w:r>
      <w:r w:rsidR="001F49C9" w:rsidRPr="00D1388D">
        <w:rPr>
          <w:rFonts w:ascii="Arial" w:hAnsi="Arial" w:cs="Arial"/>
        </w:rPr>
        <w:t xml:space="preserve">all values used to calculate the maintenance cost for each </w:t>
      </w:r>
      <w:r w:rsidR="001F49C9">
        <w:rPr>
          <w:rFonts w:ascii="Arial" w:hAnsi="Arial" w:cs="Arial"/>
        </w:rPr>
        <w:t>type of equipment</w:t>
      </w:r>
      <w:r w:rsidR="001F49C9" w:rsidRPr="00D1388D">
        <w:rPr>
          <w:rFonts w:ascii="Arial" w:hAnsi="Arial" w:cs="Arial"/>
        </w:rPr>
        <w:t xml:space="preserve"> included in the Equipment Lease Service </w:t>
      </w:r>
      <w:r w:rsidR="001F49C9">
        <w:rPr>
          <w:rFonts w:ascii="Arial" w:hAnsi="Arial" w:cs="Arial"/>
        </w:rPr>
        <w:t xml:space="preserve">proposed in this filing can be found.  Maintenance costs used were derived from individual bidder response, which were used to establish average costs for each product and the associated services and then bundled based on aligned characteristics.  </w:t>
      </w:r>
      <w:r w:rsidR="001F49C9" w:rsidRPr="001F49C9">
        <w:rPr>
          <w:rFonts w:ascii="Arial" w:hAnsi="Arial" w:cs="Arial"/>
        </w:rPr>
        <w:t xml:space="preserve">The individual bidder responses were provided in the highly confidential attachments to PSE’s </w:t>
      </w:r>
      <w:r w:rsidR="000838C7">
        <w:rPr>
          <w:rFonts w:ascii="Arial" w:hAnsi="Arial" w:cs="Arial"/>
        </w:rPr>
        <w:t>R</w:t>
      </w:r>
      <w:r w:rsidR="001F49C9" w:rsidRPr="001F49C9">
        <w:rPr>
          <w:rFonts w:ascii="Arial" w:hAnsi="Arial" w:cs="Arial"/>
        </w:rPr>
        <w:t>esponse to WUTC Staff Data Request No.</w:t>
      </w:r>
      <w:r w:rsidR="000838C7">
        <w:rPr>
          <w:rFonts w:ascii="Arial" w:hAnsi="Arial" w:cs="Arial"/>
        </w:rPr>
        <w:t> </w:t>
      </w:r>
      <w:r w:rsidR="001F49C9" w:rsidRPr="001F49C9">
        <w:rPr>
          <w:rFonts w:ascii="Arial" w:hAnsi="Arial" w:cs="Arial"/>
        </w:rPr>
        <w:t>016</w:t>
      </w:r>
      <w:r w:rsidR="000838C7">
        <w:rPr>
          <w:rFonts w:ascii="Arial" w:hAnsi="Arial" w:cs="Arial"/>
        </w:rPr>
        <w:t>,</w:t>
      </w:r>
      <w:r w:rsidR="001F49C9" w:rsidRPr="001F49C9">
        <w:rPr>
          <w:rFonts w:ascii="Arial" w:hAnsi="Arial" w:cs="Arial"/>
        </w:rPr>
        <w:t xml:space="preserve"> which was communicated in PSE’s </w:t>
      </w:r>
      <w:r w:rsidR="000838C7">
        <w:rPr>
          <w:rFonts w:ascii="Arial" w:hAnsi="Arial" w:cs="Arial"/>
        </w:rPr>
        <w:t>R</w:t>
      </w:r>
      <w:r w:rsidR="001F49C9" w:rsidRPr="001F49C9">
        <w:rPr>
          <w:rFonts w:ascii="Arial" w:hAnsi="Arial" w:cs="Arial"/>
        </w:rPr>
        <w:t xml:space="preserve">esponses to SMACNA Data Requests </w:t>
      </w:r>
      <w:r w:rsidR="000838C7">
        <w:rPr>
          <w:rFonts w:ascii="Arial" w:hAnsi="Arial" w:cs="Arial"/>
        </w:rPr>
        <w:t>Nos. </w:t>
      </w:r>
      <w:r w:rsidR="001F49C9" w:rsidRPr="001F49C9">
        <w:rPr>
          <w:rFonts w:ascii="Arial" w:hAnsi="Arial" w:cs="Arial"/>
        </w:rPr>
        <w:t xml:space="preserve">008 and 009.  Additionally, highly confidential </w:t>
      </w:r>
      <w:r w:rsidR="000838C7">
        <w:rPr>
          <w:rFonts w:ascii="Arial" w:hAnsi="Arial" w:cs="Arial"/>
        </w:rPr>
        <w:t>A</w:t>
      </w:r>
      <w:r w:rsidR="001F49C9" w:rsidRPr="001F49C9">
        <w:rPr>
          <w:rFonts w:ascii="Arial" w:hAnsi="Arial" w:cs="Arial"/>
        </w:rPr>
        <w:t xml:space="preserve">ttachment </w:t>
      </w:r>
      <w:r w:rsidR="000838C7">
        <w:rPr>
          <w:rFonts w:ascii="Arial" w:hAnsi="Arial" w:cs="Arial"/>
        </w:rPr>
        <w:t xml:space="preserve">A </w:t>
      </w:r>
      <w:r w:rsidR="001F49C9" w:rsidRPr="001F49C9">
        <w:rPr>
          <w:rFonts w:ascii="Arial" w:hAnsi="Arial" w:cs="Arial"/>
        </w:rPr>
        <w:t xml:space="preserve">to PSE’s </w:t>
      </w:r>
      <w:r w:rsidR="000838C7">
        <w:rPr>
          <w:rFonts w:ascii="Arial" w:hAnsi="Arial" w:cs="Arial"/>
        </w:rPr>
        <w:t>R</w:t>
      </w:r>
      <w:r w:rsidR="001F49C9" w:rsidRPr="001F49C9">
        <w:rPr>
          <w:rFonts w:ascii="Arial" w:hAnsi="Arial" w:cs="Arial"/>
        </w:rPr>
        <w:t>esponse to WUTC Staff Data Request No. 059 provides all values used to calculate the equipment and service per unit cost</w:t>
      </w:r>
      <w:r w:rsidR="00AF3794">
        <w:rPr>
          <w:rFonts w:ascii="Arial" w:hAnsi="Arial" w:cs="Arial"/>
        </w:rPr>
        <w:t>s</w:t>
      </w:r>
      <w:r w:rsidR="001F49C9" w:rsidRPr="001F49C9">
        <w:rPr>
          <w:rFonts w:ascii="Arial" w:hAnsi="Arial" w:cs="Arial"/>
        </w:rPr>
        <w:t xml:space="preserve"> for each type of equipment included in the Equipment Lease Se</w:t>
      </w:r>
      <w:r w:rsidR="000838C7">
        <w:rPr>
          <w:rFonts w:ascii="Arial" w:hAnsi="Arial" w:cs="Arial"/>
        </w:rPr>
        <w:t>rvice proposed in this filing.</w:t>
      </w:r>
    </w:p>
    <w:sectPr w:rsidR="009B2B8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3398D" w14:textId="77777777" w:rsidR="005C7F4E" w:rsidRDefault="005C7F4E">
      <w:r>
        <w:separator/>
      </w:r>
    </w:p>
  </w:endnote>
  <w:endnote w:type="continuationSeparator" w:id="0">
    <w:p w14:paraId="1F8FB134" w14:textId="77777777" w:rsidR="005C7F4E" w:rsidRDefault="005C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1BCD5" w14:textId="77777777" w:rsidR="00F66161" w:rsidRDefault="00F661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0E052" w14:textId="77777777" w:rsidR="00AA2F05" w:rsidRDefault="00AA2F05" w:rsidP="001F49C9">
    <w:pPr>
      <w:widowControl w:val="0"/>
      <w:tabs>
        <w:tab w:val="right" w:pos="9360"/>
      </w:tabs>
      <w:rPr>
        <w:rFonts w:ascii="Arial" w:hAnsi="Arial"/>
        <w:sz w:val="20"/>
      </w:rPr>
    </w:pPr>
  </w:p>
  <w:p w14:paraId="134A57B9" w14:textId="77777777" w:rsidR="001F49C9" w:rsidRDefault="001F49C9" w:rsidP="001F49C9">
    <w:pPr>
      <w:widowControl w:val="0"/>
      <w:tabs>
        <w:tab w:val="right" w:pos="9360"/>
      </w:tabs>
      <w:rPr>
        <w:rFonts w:ascii="Arial" w:hAnsi="Arial"/>
        <w:sz w:val="20"/>
      </w:rPr>
    </w:pPr>
    <w:r>
      <w:rPr>
        <w:rFonts w:ascii="Arial" w:hAnsi="Arial"/>
        <w:sz w:val="20"/>
      </w:rPr>
      <w:t xml:space="preserve">PSE’s Response to WUTC </w:t>
    </w:r>
    <w:r w:rsidR="000838C7">
      <w:rPr>
        <w:rFonts w:ascii="Arial" w:hAnsi="Arial"/>
        <w:sz w:val="20"/>
      </w:rPr>
      <w:t xml:space="preserve">Staff </w:t>
    </w:r>
    <w:r>
      <w:rPr>
        <w:rFonts w:ascii="Arial" w:hAnsi="Arial"/>
        <w:sz w:val="20"/>
      </w:rPr>
      <w:t>Data Request No. 044</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816D8E">
      <w:rPr>
        <w:rStyle w:val="PageNumber"/>
        <w:rFonts w:ascii="Arial" w:hAnsi="Arial"/>
        <w:noProof/>
        <w:sz w:val="20"/>
      </w:rPr>
      <w:t>1</w:t>
    </w:r>
    <w:r>
      <w:rPr>
        <w:rStyle w:val="PageNumber"/>
        <w:rFonts w:ascii="Arial" w:hAnsi="Arial"/>
        <w:sz w:val="20"/>
      </w:rPr>
      <w:fldChar w:fldCharType="end"/>
    </w:r>
  </w:p>
  <w:p w14:paraId="261414F2" w14:textId="77777777" w:rsidR="001F49C9" w:rsidRDefault="001F49C9" w:rsidP="001F49C9">
    <w:pPr>
      <w:widowControl w:val="0"/>
      <w:tabs>
        <w:tab w:val="right" w:pos="9360"/>
      </w:tabs>
      <w:rPr>
        <w:rFonts w:ascii="Arial" w:hAnsi="Arial"/>
        <w:sz w:val="20"/>
      </w:rPr>
    </w:pPr>
    <w:r>
      <w:rPr>
        <w:rFonts w:ascii="Arial" w:hAnsi="Arial"/>
        <w:sz w:val="20"/>
      </w:rPr>
      <w:t>Date of Response:  May 4, 2016</w:t>
    </w:r>
  </w:p>
  <w:p w14:paraId="6B745F5A" w14:textId="77777777" w:rsidR="001F49C9" w:rsidRPr="008A10D2" w:rsidRDefault="001F49C9" w:rsidP="001F49C9">
    <w:pPr>
      <w:rPr>
        <w:rFonts w:ascii="Arial" w:hAnsi="Arial" w:cs="Arial"/>
        <w:sz w:val="20"/>
      </w:rPr>
    </w:pPr>
    <w:r w:rsidRPr="00B973B6">
      <w:rPr>
        <w:rFonts w:ascii="Arial" w:hAnsi="Arial" w:cs="Arial"/>
        <w:sz w:val="20"/>
        <w:szCs w:val="20"/>
      </w:rPr>
      <w:t>Person who Prepared the Response</w:t>
    </w:r>
    <w:r>
      <w:rPr>
        <w:rFonts w:ascii="Arial" w:hAnsi="Arial" w:cs="Arial"/>
        <w:sz w:val="20"/>
        <w:szCs w:val="20"/>
      </w:rPr>
      <w:t xml:space="preserve">:  </w:t>
    </w:r>
    <w:r>
      <w:rPr>
        <w:rFonts w:ascii="Arial" w:hAnsi="Arial" w:cs="Arial"/>
        <w:sz w:val="20"/>
      </w:rPr>
      <w:t>Susan Free</w:t>
    </w:r>
    <w:r w:rsidR="000838C7">
      <w:rPr>
        <w:rFonts w:ascii="Arial" w:hAnsi="Arial" w:cs="Arial"/>
        <w:sz w:val="20"/>
      </w:rPr>
      <w:t xml:space="preserve">; </w:t>
    </w:r>
    <w:r>
      <w:rPr>
        <w:rFonts w:ascii="Arial" w:hAnsi="Arial" w:cs="Arial"/>
        <w:sz w:val="20"/>
      </w:rPr>
      <w:t>Malcolm B. McCulloch</w:t>
    </w:r>
  </w:p>
  <w:p w14:paraId="6A7AFEEC" w14:textId="77777777" w:rsidR="0072502B" w:rsidRPr="00AA2F05" w:rsidRDefault="001F49C9" w:rsidP="00AA2F05">
    <w:pPr>
      <w:rPr>
        <w:rFonts w:ascii="Arial" w:hAnsi="Arial" w:cs="Arial"/>
        <w:sz w:val="20"/>
      </w:rPr>
    </w:pPr>
    <w:r w:rsidRPr="00B973B6">
      <w:rPr>
        <w:rFonts w:ascii="Arial" w:hAnsi="Arial" w:cs="Arial"/>
        <w:sz w:val="20"/>
        <w:szCs w:val="20"/>
      </w:rPr>
      <w:t xml:space="preserve">Witness Knowledgeable About the Response:  </w:t>
    </w:r>
    <w:r>
      <w:rPr>
        <w:rFonts w:ascii="Arial" w:hAnsi="Arial" w:cs="Arial"/>
        <w:sz w:val="20"/>
      </w:rPr>
      <w:t>Malcolm B. McCulloch</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BC3DA" w14:textId="77777777" w:rsidR="00F66161" w:rsidRDefault="00F661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64CA2" w14:textId="77777777" w:rsidR="005C7F4E" w:rsidRDefault="005C7F4E">
      <w:r>
        <w:separator/>
      </w:r>
    </w:p>
  </w:footnote>
  <w:footnote w:type="continuationSeparator" w:id="0">
    <w:p w14:paraId="719148B3" w14:textId="77777777" w:rsidR="005C7F4E" w:rsidRDefault="005C7F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FFF5A" w14:textId="77777777" w:rsidR="00F66161" w:rsidRDefault="00F6616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6488C" w14:textId="4A4B7802" w:rsidR="004A5966" w:rsidRPr="00340CAB" w:rsidRDefault="004A5966" w:rsidP="004A5966">
    <w:pPr>
      <w:pStyle w:val="Header"/>
      <w:jc w:val="right"/>
      <w:rPr>
        <w:rFonts w:ascii="Arial" w:hAnsi="Arial" w:cs="Arial"/>
        <w:b/>
        <w:sz w:val="22"/>
        <w:szCs w:val="22"/>
      </w:rPr>
    </w:pPr>
    <w:r w:rsidRPr="00340CAB">
      <w:rPr>
        <w:rFonts w:ascii="Arial" w:hAnsi="Arial" w:cs="Arial"/>
        <w:b/>
        <w:sz w:val="22"/>
        <w:szCs w:val="22"/>
      </w:rPr>
      <w:t>Docket Nos. UE-151871</w:t>
    </w:r>
    <w:r w:rsidR="00F66161">
      <w:rPr>
        <w:rFonts w:ascii="Arial" w:hAnsi="Arial" w:cs="Arial"/>
        <w:b/>
        <w:sz w:val="22"/>
        <w:szCs w:val="22"/>
      </w:rPr>
      <w:t>/</w:t>
    </w:r>
    <w:r w:rsidRPr="00340CAB">
      <w:rPr>
        <w:rFonts w:ascii="Arial" w:hAnsi="Arial" w:cs="Arial"/>
        <w:b/>
        <w:sz w:val="22"/>
        <w:szCs w:val="22"/>
      </w:rPr>
      <w:t>UG</w:t>
    </w:r>
    <w:r w:rsidR="00F66161">
      <w:rPr>
        <w:rFonts w:ascii="Arial" w:hAnsi="Arial" w:cs="Arial"/>
        <w:b/>
        <w:sz w:val="22"/>
        <w:szCs w:val="22"/>
      </w:rPr>
      <w:t>-</w:t>
    </w:r>
    <w:bookmarkStart w:id="0" w:name="_GoBack"/>
    <w:bookmarkEnd w:id="0"/>
    <w:r w:rsidRPr="00340CAB">
      <w:rPr>
        <w:rFonts w:ascii="Arial" w:hAnsi="Arial" w:cs="Arial"/>
        <w:b/>
        <w:sz w:val="22"/>
        <w:szCs w:val="22"/>
      </w:rPr>
      <w:t>151872</w:t>
    </w:r>
  </w:p>
  <w:p w14:paraId="0849F103" w14:textId="77777777" w:rsidR="004A5966" w:rsidRPr="00340CAB" w:rsidRDefault="004A5966" w:rsidP="004A5966">
    <w:pPr>
      <w:pStyle w:val="Header"/>
      <w:jc w:val="right"/>
      <w:rPr>
        <w:rFonts w:ascii="Arial" w:hAnsi="Arial" w:cs="Arial"/>
        <w:b/>
        <w:sz w:val="22"/>
        <w:szCs w:val="22"/>
      </w:rPr>
    </w:pPr>
    <w:r w:rsidRPr="00340CAB">
      <w:rPr>
        <w:rFonts w:ascii="Arial" w:hAnsi="Arial" w:cs="Arial"/>
        <w:b/>
        <w:sz w:val="22"/>
        <w:szCs w:val="22"/>
      </w:rPr>
      <w:t xml:space="preserve">Exhibit No. </w:t>
    </w:r>
    <w:r>
      <w:rPr>
        <w:rFonts w:ascii="Arial" w:hAnsi="Arial" w:cs="Arial"/>
        <w:b/>
        <w:sz w:val="22"/>
        <w:szCs w:val="22"/>
      </w:rPr>
      <w:t>MBM</w:t>
    </w:r>
    <w:r w:rsidRPr="00340CAB">
      <w:rPr>
        <w:rFonts w:ascii="Arial" w:hAnsi="Arial" w:cs="Arial"/>
        <w:b/>
        <w:sz w:val="22"/>
        <w:szCs w:val="22"/>
      </w:rPr>
      <w:t>-__</w:t>
    </w:r>
    <w:r>
      <w:rPr>
        <w:rFonts w:ascii="Arial" w:hAnsi="Arial" w:cs="Arial"/>
        <w:b/>
        <w:sz w:val="22"/>
        <w:szCs w:val="22"/>
      </w:rPr>
      <w:t>_</w:t>
    </w:r>
    <w:r w:rsidRPr="00340CAB">
      <w:rPr>
        <w:rFonts w:ascii="Arial" w:hAnsi="Arial" w:cs="Arial"/>
        <w:b/>
        <w:sz w:val="22"/>
        <w:szCs w:val="22"/>
      </w:rPr>
      <w:t>_</w:t>
    </w:r>
  </w:p>
  <w:p w14:paraId="17AFC4E0" w14:textId="77777777" w:rsidR="004A5966" w:rsidRDefault="004A5966" w:rsidP="004A5966">
    <w:pPr>
      <w:pStyle w:val="Header"/>
      <w:jc w:val="right"/>
    </w:pPr>
    <w:r w:rsidRPr="00340CAB">
      <w:rPr>
        <w:rFonts w:ascii="Arial" w:hAnsi="Arial" w:cs="Arial"/>
        <w:b/>
        <w:sz w:val="22"/>
        <w:szCs w:val="22"/>
      </w:rPr>
      <w:t xml:space="preserve">Page </w:t>
    </w:r>
    <w:r w:rsidRPr="00340CAB">
      <w:rPr>
        <w:rFonts w:ascii="Arial" w:hAnsi="Arial" w:cs="Arial"/>
        <w:b/>
        <w:sz w:val="22"/>
        <w:szCs w:val="22"/>
      </w:rPr>
      <w:fldChar w:fldCharType="begin"/>
    </w:r>
    <w:r w:rsidRPr="00340CAB">
      <w:rPr>
        <w:rFonts w:ascii="Arial" w:hAnsi="Arial" w:cs="Arial"/>
        <w:b/>
        <w:sz w:val="22"/>
        <w:szCs w:val="22"/>
      </w:rPr>
      <w:instrText xml:space="preserve"> PAGE </w:instrText>
    </w:r>
    <w:r w:rsidRPr="00340CAB">
      <w:rPr>
        <w:rFonts w:ascii="Arial" w:hAnsi="Arial" w:cs="Arial"/>
        <w:b/>
        <w:sz w:val="22"/>
        <w:szCs w:val="22"/>
      </w:rPr>
      <w:fldChar w:fldCharType="separate"/>
    </w:r>
    <w:r w:rsidR="00816D8E">
      <w:rPr>
        <w:rFonts w:ascii="Arial" w:hAnsi="Arial" w:cs="Arial"/>
        <w:b/>
        <w:noProof/>
        <w:sz w:val="22"/>
        <w:szCs w:val="22"/>
      </w:rPr>
      <w:t>1</w:t>
    </w:r>
    <w:r w:rsidRPr="00340CAB">
      <w:rPr>
        <w:rFonts w:ascii="Arial" w:hAnsi="Arial" w:cs="Arial"/>
        <w:b/>
        <w:sz w:val="22"/>
        <w:szCs w:val="22"/>
      </w:rPr>
      <w:fldChar w:fldCharType="end"/>
    </w:r>
    <w:r w:rsidRPr="00340CAB">
      <w:rPr>
        <w:rFonts w:ascii="Arial" w:hAnsi="Arial" w:cs="Arial"/>
        <w:b/>
        <w:sz w:val="22"/>
        <w:szCs w:val="22"/>
      </w:rPr>
      <w:t xml:space="preserve"> of </w:t>
    </w:r>
    <w:r w:rsidRPr="00340CAB">
      <w:rPr>
        <w:rFonts w:ascii="Arial" w:hAnsi="Arial" w:cs="Arial"/>
        <w:b/>
        <w:sz w:val="22"/>
        <w:szCs w:val="22"/>
      </w:rPr>
      <w:fldChar w:fldCharType="begin"/>
    </w:r>
    <w:r w:rsidRPr="00340CAB">
      <w:rPr>
        <w:rFonts w:ascii="Arial" w:hAnsi="Arial" w:cs="Arial"/>
        <w:b/>
        <w:sz w:val="22"/>
        <w:szCs w:val="22"/>
      </w:rPr>
      <w:instrText xml:space="preserve"> NUMPAGES </w:instrText>
    </w:r>
    <w:r w:rsidRPr="00340CAB">
      <w:rPr>
        <w:rFonts w:ascii="Arial" w:hAnsi="Arial" w:cs="Arial"/>
        <w:b/>
        <w:sz w:val="22"/>
        <w:szCs w:val="22"/>
      </w:rPr>
      <w:fldChar w:fldCharType="separate"/>
    </w:r>
    <w:r w:rsidR="00816D8E">
      <w:rPr>
        <w:rFonts w:ascii="Arial" w:hAnsi="Arial" w:cs="Arial"/>
        <w:b/>
        <w:noProof/>
        <w:sz w:val="22"/>
        <w:szCs w:val="22"/>
      </w:rPr>
      <w:t>3</w:t>
    </w:r>
    <w:r w:rsidRPr="00340CAB">
      <w:rPr>
        <w:rFonts w:ascii="Arial" w:hAnsi="Arial" w:cs="Arial"/>
        <w:b/>
        <w:sz w:val="22"/>
        <w:szCs w:val="22"/>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2AA76" w14:textId="77777777" w:rsidR="00F66161" w:rsidRDefault="00F6616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2C7C"/>
    <w:multiLevelType w:val="hybridMultilevel"/>
    <w:tmpl w:val="86004D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165673"/>
    <w:multiLevelType w:val="hybridMultilevel"/>
    <w:tmpl w:val="7D28C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E2A38"/>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5C13337"/>
    <w:multiLevelType w:val="hybridMultilevel"/>
    <w:tmpl w:val="0CB6F8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CC377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15C7C41"/>
    <w:multiLevelType w:val="hybridMultilevel"/>
    <w:tmpl w:val="5A749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9B637D"/>
    <w:multiLevelType w:val="hybridMultilevel"/>
    <w:tmpl w:val="F5FA1D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C46652"/>
    <w:multiLevelType w:val="hybridMultilevel"/>
    <w:tmpl w:val="652A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9A4D2A"/>
    <w:multiLevelType w:val="hybridMultilevel"/>
    <w:tmpl w:val="C262B9E4"/>
    <w:lvl w:ilvl="0" w:tplc="0409000F">
      <w:start w:val="1"/>
      <w:numFmt w:val="decimal"/>
      <w:lvlText w:val="%1."/>
      <w:lvlJc w:val="left"/>
      <w:pPr>
        <w:ind w:left="720" w:hanging="360"/>
      </w:p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F53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90720E3"/>
    <w:multiLevelType w:val="hybridMultilevel"/>
    <w:tmpl w:val="57108B4C"/>
    <w:lvl w:ilvl="0" w:tplc="714851E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C07665"/>
    <w:multiLevelType w:val="hybridMultilevel"/>
    <w:tmpl w:val="C68EB9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C2C5781"/>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8FC4C52"/>
    <w:multiLevelType w:val="hybridMultilevel"/>
    <w:tmpl w:val="255C8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DF3DBE"/>
    <w:multiLevelType w:val="hybridMultilevel"/>
    <w:tmpl w:val="8FE8325E"/>
    <w:lvl w:ilvl="0" w:tplc="946457F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BF513C"/>
    <w:multiLevelType w:val="hybridMultilevel"/>
    <w:tmpl w:val="7F52E39C"/>
    <w:lvl w:ilvl="0" w:tplc="360253D4">
      <w:start w:val="1"/>
      <w:numFmt w:val="lowerLetter"/>
      <w:lvlText w:val="%1."/>
      <w:lvlJc w:val="left"/>
      <w:pPr>
        <w:ind w:left="720" w:hanging="360"/>
      </w:pPr>
      <w:rPr>
        <w:rFonts w:hint="default"/>
        <w:color w:val="1C1C1C"/>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E365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A925D02"/>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3D4766E"/>
    <w:multiLevelType w:val="hybridMultilevel"/>
    <w:tmpl w:val="629EE7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4001B6"/>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CC22640"/>
    <w:multiLevelType w:val="hybridMultilevel"/>
    <w:tmpl w:val="82CE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3E0289C"/>
    <w:multiLevelType w:val="hybridMultilevel"/>
    <w:tmpl w:val="DF9E30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567590"/>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F995AF3"/>
    <w:multiLevelType w:val="hybridMultilevel"/>
    <w:tmpl w:val="52529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0"/>
  </w:num>
  <w:num w:numId="6">
    <w:abstractNumId w:val="17"/>
  </w:num>
  <w:num w:numId="7">
    <w:abstractNumId w:val="12"/>
  </w:num>
  <w:num w:numId="8">
    <w:abstractNumId w:val="24"/>
  </w:num>
  <w:num w:numId="9">
    <w:abstractNumId w:val="18"/>
  </w:num>
  <w:num w:numId="10">
    <w:abstractNumId w:val="2"/>
  </w:num>
  <w:num w:numId="11">
    <w:abstractNumId w:val="9"/>
  </w:num>
  <w:num w:numId="12">
    <w:abstractNumId w:val="5"/>
  </w:num>
  <w:num w:numId="13">
    <w:abstractNumId w:val="7"/>
  </w:num>
  <w:num w:numId="14">
    <w:abstractNumId w:val="21"/>
  </w:num>
  <w:num w:numId="15">
    <w:abstractNumId w:val="13"/>
  </w:num>
  <w:num w:numId="16">
    <w:abstractNumId w:val="8"/>
  </w:num>
  <w:num w:numId="17">
    <w:abstractNumId w:val="23"/>
  </w:num>
  <w:num w:numId="18">
    <w:abstractNumId w:val="16"/>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0"/>
  </w:num>
  <w:num w:numId="23">
    <w:abstractNumId w:val="19"/>
  </w:num>
  <w:num w:numId="24">
    <w:abstractNumId w:val="3"/>
  </w:num>
  <w:num w:numId="25">
    <w:abstractNumId w:val="15"/>
  </w:num>
  <w:num w:numId="26">
    <w:abstractNumId w:val="6"/>
  </w:num>
  <w:num w:numId="2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B1"/>
    <w:rsid w:val="00004023"/>
    <w:rsid w:val="00007EC0"/>
    <w:rsid w:val="000142A2"/>
    <w:rsid w:val="00016935"/>
    <w:rsid w:val="00026872"/>
    <w:rsid w:val="00027D5C"/>
    <w:rsid w:val="00033044"/>
    <w:rsid w:val="00035AF9"/>
    <w:rsid w:val="00036EA9"/>
    <w:rsid w:val="0004492A"/>
    <w:rsid w:val="0005469F"/>
    <w:rsid w:val="000600DB"/>
    <w:rsid w:val="000619FC"/>
    <w:rsid w:val="000628C7"/>
    <w:rsid w:val="00062DDC"/>
    <w:rsid w:val="000663D9"/>
    <w:rsid w:val="00071DC2"/>
    <w:rsid w:val="00071F42"/>
    <w:rsid w:val="00074327"/>
    <w:rsid w:val="000752E7"/>
    <w:rsid w:val="000838C7"/>
    <w:rsid w:val="00084E33"/>
    <w:rsid w:val="000865E9"/>
    <w:rsid w:val="00087A45"/>
    <w:rsid w:val="00092B91"/>
    <w:rsid w:val="0009514A"/>
    <w:rsid w:val="0009630E"/>
    <w:rsid w:val="000A0214"/>
    <w:rsid w:val="000A60CF"/>
    <w:rsid w:val="000B01AA"/>
    <w:rsid w:val="000B16C7"/>
    <w:rsid w:val="000B5C56"/>
    <w:rsid w:val="000B7288"/>
    <w:rsid w:val="000C318F"/>
    <w:rsid w:val="000C3668"/>
    <w:rsid w:val="000D0339"/>
    <w:rsid w:val="000D61F5"/>
    <w:rsid w:val="000E29B8"/>
    <w:rsid w:val="000E3644"/>
    <w:rsid w:val="000E624D"/>
    <w:rsid w:val="000E6582"/>
    <w:rsid w:val="000E66DC"/>
    <w:rsid w:val="000E6FB0"/>
    <w:rsid w:val="000F0034"/>
    <w:rsid w:val="000F5192"/>
    <w:rsid w:val="000F565A"/>
    <w:rsid w:val="0010333E"/>
    <w:rsid w:val="00112EC8"/>
    <w:rsid w:val="00113806"/>
    <w:rsid w:val="00114D24"/>
    <w:rsid w:val="00114DCB"/>
    <w:rsid w:val="001161F6"/>
    <w:rsid w:val="00117A63"/>
    <w:rsid w:val="001214FD"/>
    <w:rsid w:val="00123B0D"/>
    <w:rsid w:val="00127873"/>
    <w:rsid w:val="00133AE3"/>
    <w:rsid w:val="00142B32"/>
    <w:rsid w:val="001510FC"/>
    <w:rsid w:val="00154D92"/>
    <w:rsid w:val="00155A2F"/>
    <w:rsid w:val="00157C49"/>
    <w:rsid w:val="00165072"/>
    <w:rsid w:val="00171380"/>
    <w:rsid w:val="00171A3F"/>
    <w:rsid w:val="00172DD7"/>
    <w:rsid w:val="00173A95"/>
    <w:rsid w:val="00173C95"/>
    <w:rsid w:val="001764DE"/>
    <w:rsid w:val="0018068B"/>
    <w:rsid w:val="00181B99"/>
    <w:rsid w:val="00183CF1"/>
    <w:rsid w:val="001A0177"/>
    <w:rsid w:val="001A389B"/>
    <w:rsid w:val="001B06EF"/>
    <w:rsid w:val="001B0980"/>
    <w:rsid w:val="001B1D17"/>
    <w:rsid w:val="001C4221"/>
    <w:rsid w:val="001C59DA"/>
    <w:rsid w:val="001C7503"/>
    <w:rsid w:val="001D0316"/>
    <w:rsid w:val="001D0C85"/>
    <w:rsid w:val="001D1435"/>
    <w:rsid w:val="001D2EC1"/>
    <w:rsid w:val="001D34C4"/>
    <w:rsid w:val="001D49F6"/>
    <w:rsid w:val="001E1214"/>
    <w:rsid w:val="001E56BC"/>
    <w:rsid w:val="001F106C"/>
    <w:rsid w:val="001F49C9"/>
    <w:rsid w:val="001F6CA8"/>
    <w:rsid w:val="001F7F95"/>
    <w:rsid w:val="00201FE5"/>
    <w:rsid w:val="002045C1"/>
    <w:rsid w:val="00204AEC"/>
    <w:rsid w:val="0021582B"/>
    <w:rsid w:val="00221799"/>
    <w:rsid w:val="00222E28"/>
    <w:rsid w:val="00224157"/>
    <w:rsid w:val="002251B9"/>
    <w:rsid w:val="002259C1"/>
    <w:rsid w:val="0023151B"/>
    <w:rsid w:val="002318AF"/>
    <w:rsid w:val="00234CFA"/>
    <w:rsid w:val="0023622E"/>
    <w:rsid w:val="00240CEB"/>
    <w:rsid w:val="00246A43"/>
    <w:rsid w:val="00247480"/>
    <w:rsid w:val="002508AE"/>
    <w:rsid w:val="00254974"/>
    <w:rsid w:val="00255BC5"/>
    <w:rsid w:val="00260CF7"/>
    <w:rsid w:val="00264231"/>
    <w:rsid w:val="00280524"/>
    <w:rsid w:val="00284B29"/>
    <w:rsid w:val="00284FD2"/>
    <w:rsid w:val="002A2BCD"/>
    <w:rsid w:val="002A431E"/>
    <w:rsid w:val="002A4709"/>
    <w:rsid w:val="002A52E3"/>
    <w:rsid w:val="002A5E42"/>
    <w:rsid w:val="002A6096"/>
    <w:rsid w:val="002B003A"/>
    <w:rsid w:val="002B0F41"/>
    <w:rsid w:val="002B2064"/>
    <w:rsid w:val="002C0C83"/>
    <w:rsid w:val="002C42EB"/>
    <w:rsid w:val="002C6319"/>
    <w:rsid w:val="002C7E01"/>
    <w:rsid w:val="002D0CB2"/>
    <w:rsid w:val="002D2B74"/>
    <w:rsid w:val="002D327D"/>
    <w:rsid w:val="002F5BDA"/>
    <w:rsid w:val="00300CE9"/>
    <w:rsid w:val="00302D65"/>
    <w:rsid w:val="00331674"/>
    <w:rsid w:val="00331C9A"/>
    <w:rsid w:val="00334159"/>
    <w:rsid w:val="003348AF"/>
    <w:rsid w:val="00336352"/>
    <w:rsid w:val="00343307"/>
    <w:rsid w:val="00343807"/>
    <w:rsid w:val="00353378"/>
    <w:rsid w:val="00354501"/>
    <w:rsid w:val="00360399"/>
    <w:rsid w:val="00364681"/>
    <w:rsid w:val="00365D39"/>
    <w:rsid w:val="003806B7"/>
    <w:rsid w:val="00393F78"/>
    <w:rsid w:val="00396662"/>
    <w:rsid w:val="003A4565"/>
    <w:rsid w:val="003A7A8A"/>
    <w:rsid w:val="003B06BE"/>
    <w:rsid w:val="003B08B7"/>
    <w:rsid w:val="003B7E52"/>
    <w:rsid w:val="003C46B1"/>
    <w:rsid w:val="003C4959"/>
    <w:rsid w:val="003D4A26"/>
    <w:rsid w:val="003D59B7"/>
    <w:rsid w:val="003D79C2"/>
    <w:rsid w:val="003E0D3C"/>
    <w:rsid w:val="003E1F43"/>
    <w:rsid w:val="003E6430"/>
    <w:rsid w:val="003F1A9B"/>
    <w:rsid w:val="003F55D3"/>
    <w:rsid w:val="003F6336"/>
    <w:rsid w:val="003F6E9C"/>
    <w:rsid w:val="00400ED9"/>
    <w:rsid w:val="004018B6"/>
    <w:rsid w:val="0040207E"/>
    <w:rsid w:val="0040563F"/>
    <w:rsid w:val="004074AC"/>
    <w:rsid w:val="0041214F"/>
    <w:rsid w:val="00413642"/>
    <w:rsid w:val="00414BC3"/>
    <w:rsid w:val="00416B68"/>
    <w:rsid w:val="00417378"/>
    <w:rsid w:val="0042072F"/>
    <w:rsid w:val="004216C3"/>
    <w:rsid w:val="004226EB"/>
    <w:rsid w:val="004319E9"/>
    <w:rsid w:val="004324D2"/>
    <w:rsid w:val="004449E1"/>
    <w:rsid w:val="00451A3B"/>
    <w:rsid w:val="004529FF"/>
    <w:rsid w:val="00452FC4"/>
    <w:rsid w:val="00455B83"/>
    <w:rsid w:val="00455D46"/>
    <w:rsid w:val="004575C8"/>
    <w:rsid w:val="00460401"/>
    <w:rsid w:val="004606C2"/>
    <w:rsid w:val="00460EF4"/>
    <w:rsid w:val="00462A4C"/>
    <w:rsid w:val="00462F09"/>
    <w:rsid w:val="00464855"/>
    <w:rsid w:val="00467FCD"/>
    <w:rsid w:val="004902AD"/>
    <w:rsid w:val="00496883"/>
    <w:rsid w:val="004A1B07"/>
    <w:rsid w:val="004A1D64"/>
    <w:rsid w:val="004A4E55"/>
    <w:rsid w:val="004A5966"/>
    <w:rsid w:val="004A665B"/>
    <w:rsid w:val="004B4D99"/>
    <w:rsid w:val="004B57DD"/>
    <w:rsid w:val="004C46CE"/>
    <w:rsid w:val="004C7F2A"/>
    <w:rsid w:val="004D66EC"/>
    <w:rsid w:val="004E119B"/>
    <w:rsid w:val="004F4653"/>
    <w:rsid w:val="004F4DD6"/>
    <w:rsid w:val="004F65DB"/>
    <w:rsid w:val="004F7747"/>
    <w:rsid w:val="00501A9F"/>
    <w:rsid w:val="00501EEC"/>
    <w:rsid w:val="00502AC8"/>
    <w:rsid w:val="00502C44"/>
    <w:rsid w:val="00506B03"/>
    <w:rsid w:val="0050775C"/>
    <w:rsid w:val="00514C7C"/>
    <w:rsid w:val="00516509"/>
    <w:rsid w:val="00516B7E"/>
    <w:rsid w:val="005273BA"/>
    <w:rsid w:val="00532DB7"/>
    <w:rsid w:val="00533FF0"/>
    <w:rsid w:val="0053445D"/>
    <w:rsid w:val="0053663A"/>
    <w:rsid w:val="005424E7"/>
    <w:rsid w:val="00552F61"/>
    <w:rsid w:val="0056134F"/>
    <w:rsid w:val="0056403E"/>
    <w:rsid w:val="00571A11"/>
    <w:rsid w:val="00573CA8"/>
    <w:rsid w:val="00574DC8"/>
    <w:rsid w:val="00576794"/>
    <w:rsid w:val="00590CA6"/>
    <w:rsid w:val="005A549D"/>
    <w:rsid w:val="005B3AA2"/>
    <w:rsid w:val="005B6576"/>
    <w:rsid w:val="005B670E"/>
    <w:rsid w:val="005C489A"/>
    <w:rsid w:val="005C7F4E"/>
    <w:rsid w:val="005D5E7A"/>
    <w:rsid w:val="005D7D73"/>
    <w:rsid w:val="005F1AA1"/>
    <w:rsid w:val="005F51A7"/>
    <w:rsid w:val="005F7766"/>
    <w:rsid w:val="00600731"/>
    <w:rsid w:val="006040B8"/>
    <w:rsid w:val="00604E08"/>
    <w:rsid w:val="006063BB"/>
    <w:rsid w:val="006066C0"/>
    <w:rsid w:val="00612DBC"/>
    <w:rsid w:val="00617369"/>
    <w:rsid w:val="006201A6"/>
    <w:rsid w:val="0062348E"/>
    <w:rsid w:val="00626B72"/>
    <w:rsid w:val="00637428"/>
    <w:rsid w:val="00643C87"/>
    <w:rsid w:val="0064524D"/>
    <w:rsid w:val="006453CA"/>
    <w:rsid w:val="006500F4"/>
    <w:rsid w:val="00651F46"/>
    <w:rsid w:val="006613FB"/>
    <w:rsid w:val="00666819"/>
    <w:rsid w:val="00670C60"/>
    <w:rsid w:val="006718D4"/>
    <w:rsid w:val="006823DE"/>
    <w:rsid w:val="00692E09"/>
    <w:rsid w:val="00694C75"/>
    <w:rsid w:val="006968D6"/>
    <w:rsid w:val="00697009"/>
    <w:rsid w:val="006A0580"/>
    <w:rsid w:val="006A2C4F"/>
    <w:rsid w:val="006A6C2D"/>
    <w:rsid w:val="006B0CF0"/>
    <w:rsid w:val="006B1A8C"/>
    <w:rsid w:val="006B1E8D"/>
    <w:rsid w:val="006B2FB7"/>
    <w:rsid w:val="006C118B"/>
    <w:rsid w:val="006C197A"/>
    <w:rsid w:val="006C3B2E"/>
    <w:rsid w:val="006D3362"/>
    <w:rsid w:val="006D38FD"/>
    <w:rsid w:val="006D39B1"/>
    <w:rsid w:val="006D5D1C"/>
    <w:rsid w:val="006E6047"/>
    <w:rsid w:val="006F39B2"/>
    <w:rsid w:val="006F7F8E"/>
    <w:rsid w:val="007044BB"/>
    <w:rsid w:val="0070537E"/>
    <w:rsid w:val="00705914"/>
    <w:rsid w:val="00713065"/>
    <w:rsid w:val="00717BB1"/>
    <w:rsid w:val="007212AA"/>
    <w:rsid w:val="007235C2"/>
    <w:rsid w:val="00723E72"/>
    <w:rsid w:val="0072502B"/>
    <w:rsid w:val="007319CA"/>
    <w:rsid w:val="0073228E"/>
    <w:rsid w:val="0073720F"/>
    <w:rsid w:val="007403E3"/>
    <w:rsid w:val="00742C4C"/>
    <w:rsid w:val="007477D9"/>
    <w:rsid w:val="00751F56"/>
    <w:rsid w:val="007557D7"/>
    <w:rsid w:val="00761CBE"/>
    <w:rsid w:val="00767986"/>
    <w:rsid w:val="007708E5"/>
    <w:rsid w:val="00777BA9"/>
    <w:rsid w:val="007A2B01"/>
    <w:rsid w:val="007A674A"/>
    <w:rsid w:val="007B1B53"/>
    <w:rsid w:val="007B4692"/>
    <w:rsid w:val="007C0FE5"/>
    <w:rsid w:val="007C45D9"/>
    <w:rsid w:val="007C7009"/>
    <w:rsid w:val="007C721C"/>
    <w:rsid w:val="007D091D"/>
    <w:rsid w:val="007D2A13"/>
    <w:rsid w:val="007D78DD"/>
    <w:rsid w:val="007E07EB"/>
    <w:rsid w:val="007F1A24"/>
    <w:rsid w:val="007F57E8"/>
    <w:rsid w:val="008026F7"/>
    <w:rsid w:val="0080498E"/>
    <w:rsid w:val="00806937"/>
    <w:rsid w:val="00816436"/>
    <w:rsid w:val="00816D8E"/>
    <w:rsid w:val="00820AE3"/>
    <w:rsid w:val="00823F8C"/>
    <w:rsid w:val="0083276F"/>
    <w:rsid w:val="008344A6"/>
    <w:rsid w:val="008404B0"/>
    <w:rsid w:val="00845EF9"/>
    <w:rsid w:val="008512EA"/>
    <w:rsid w:val="008518B0"/>
    <w:rsid w:val="00861BBD"/>
    <w:rsid w:val="00863000"/>
    <w:rsid w:val="0086492F"/>
    <w:rsid w:val="008669AD"/>
    <w:rsid w:val="00874E75"/>
    <w:rsid w:val="00881E0E"/>
    <w:rsid w:val="00881E45"/>
    <w:rsid w:val="0088613F"/>
    <w:rsid w:val="008873A9"/>
    <w:rsid w:val="0089040C"/>
    <w:rsid w:val="00890B60"/>
    <w:rsid w:val="0089305A"/>
    <w:rsid w:val="00896A29"/>
    <w:rsid w:val="008A10D2"/>
    <w:rsid w:val="008A3F33"/>
    <w:rsid w:val="008B6123"/>
    <w:rsid w:val="008C3B19"/>
    <w:rsid w:val="008C4AD6"/>
    <w:rsid w:val="008C7CC2"/>
    <w:rsid w:val="008C7DAE"/>
    <w:rsid w:val="008D1501"/>
    <w:rsid w:val="008D2347"/>
    <w:rsid w:val="008D4210"/>
    <w:rsid w:val="008D4CDF"/>
    <w:rsid w:val="008D787B"/>
    <w:rsid w:val="008E5E0A"/>
    <w:rsid w:val="008E7D6A"/>
    <w:rsid w:val="008F11D9"/>
    <w:rsid w:val="0091279C"/>
    <w:rsid w:val="00913E7C"/>
    <w:rsid w:val="00922EC9"/>
    <w:rsid w:val="009253BC"/>
    <w:rsid w:val="00925DF5"/>
    <w:rsid w:val="00936120"/>
    <w:rsid w:val="00936768"/>
    <w:rsid w:val="00940B44"/>
    <w:rsid w:val="00944E5D"/>
    <w:rsid w:val="00944FA7"/>
    <w:rsid w:val="00951464"/>
    <w:rsid w:val="009529C8"/>
    <w:rsid w:val="009544E8"/>
    <w:rsid w:val="00960BD3"/>
    <w:rsid w:val="00960ED2"/>
    <w:rsid w:val="00961BC9"/>
    <w:rsid w:val="00966BFC"/>
    <w:rsid w:val="00971FE1"/>
    <w:rsid w:val="00973C7F"/>
    <w:rsid w:val="00973DE0"/>
    <w:rsid w:val="00980B4D"/>
    <w:rsid w:val="00980CA4"/>
    <w:rsid w:val="00986367"/>
    <w:rsid w:val="00990C90"/>
    <w:rsid w:val="009A21CC"/>
    <w:rsid w:val="009B0931"/>
    <w:rsid w:val="009B0FDB"/>
    <w:rsid w:val="009B2B80"/>
    <w:rsid w:val="009C373C"/>
    <w:rsid w:val="009C6CFB"/>
    <w:rsid w:val="009C767D"/>
    <w:rsid w:val="009D04DA"/>
    <w:rsid w:val="009D3E83"/>
    <w:rsid w:val="009E5BC8"/>
    <w:rsid w:val="009E6CE5"/>
    <w:rsid w:val="009F2E64"/>
    <w:rsid w:val="009F6388"/>
    <w:rsid w:val="00A01237"/>
    <w:rsid w:val="00A11366"/>
    <w:rsid w:val="00A15522"/>
    <w:rsid w:val="00A2044B"/>
    <w:rsid w:val="00A2530A"/>
    <w:rsid w:val="00A2740A"/>
    <w:rsid w:val="00A30A35"/>
    <w:rsid w:val="00A402D2"/>
    <w:rsid w:val="00A4249A"/>
    <w:rsid w:val="00A42B8C"/>
    <w:rsid w:val="00A4347C"/>
    <w:rsid w:val="00A4507B"/>
    <w:rsid w:val="00A56E50"/>
    <w:rsid w:val="00A6155C"/>
    <w:rsid w:val="00A62758"/>
    <w:rsid w:val="00A63B48"/>
    <w:rsid w:val="00A64823"/>
    <w:rsid w:val="00A66588"/>
    <w:rsid w:val="00A6798C"/>
    <w:rsid w:val="00A71D73"/>
    <w:rsid w:val="00A72038"/>
    <w:rsid w:val="00A7742C"/>
    <w:rsid w:val="00A90199"/>
    <w:rsid w:val="00AA258D"/>
    <w:rsid w:val="00AA2F05"/>
    <w:rsid w:val="00AA70D0"/>
    <w:rsid w:val="00AA7872"/>
    <w:rsid w:val="00AB0BF9"/>
    <w:rsid w:val="00AB1878"/>
    <w:rsid w:val="00AB308C"/>
    <w:rsid w:val="00AB67E9"/>
    <w:rsid w:val="00AB791D"/>
    <w:rsid w:val="00AC41BF"/>
    <w:rsid w:val="00AC48E1"/>
    <w:rsid w:val="00AC5D27"/>
    <w:rsid w:val="00AD09BA"/>
    <w:rsid w:val="00AD0C77"/>
    <w:rsid w:val="00AD4DE3"/>
    <w:rsid w:val="00AE0501"/>
    <w:rsid w:val="00AF3794"/>
    <w:rsid w:val="00AF396C"/>
    <w:rsid w:val="00B12AB7"/>
    <w:rsid w:val="00B13EBF"/>
    <w:rsid w:val="00B16A78"/>
    <w:rsid w:val="00B20D17"/>
    <w:rsid w:val="00B21BE7"/>
    <w:rsid w:val="00B230AB"/>
    <w:rsid w:val="00B27DD1"/>
    <w:rsid w:val="00B3394C"/>
    <w:rsid w:val="00B34FDB"/>
    <w:rsid w:val="00B36757"/>
    <w:rsid w:val="00B40D4E"/>
    <w:rsid w:val="00B41613"/>
    <w:rsid w:val="00B43443"/>
    <w:rsid w:val="00B520B2"/>
    <w:rsid w:val="00B56DBE"/>
    <w:rsid w:val="00B64529"/>
    <w:rsid w:val="00B64C9B"/>
    <w:rsid w:val="00B67F50"/>
    <w:rsid w:val="00B70418"/>
    <w:rsid w:val="00B73F53"/>
    <w:rsid w:val="00B772A5"/>
    <w:rsid w:val="00B847B5"/>
    <w:rsid w:val="00B92FBF"/>
    <w:rsid w:val="00B973B6"/>
    <w:rsid w:val="00BA1236"/>
    <w:rsid w:val="00BA272C"/>
    <w:rsid w:val="00BA540A"/>
    <w:rsid w:val="00BA61AA"/>
    <w:rsid w:val="00BB42B6"/>
    <w:rsid w:val="00BC1464"/>
    <w:rsid w:val="00BC175B"/>
    <w:rsid w:val="00BC2C13"/>
    <w:rsid w:val="00BC5EC2"/>
    <w:rsid w:val="00BC7C1C"/>
    <w:rsid w:val="00BD583A"/>
    <w:rsid w:val="00BD5E71"/>
    <w:rsid w:val="00BE2561"/>
    <w:rsid w:val="00BE3230"/>
    <w:rsid w:val="00BE341E"/>
    <w:rsid w:val="00BE5104"/>
    <w:rsid w:val="00BE7784"/>
    <w:rsid w:val="00BF0C31"/>
    <w:rsid w:val="00C00C25"/>
    <w:rsid w:val="00C053FE"/>
    <w:rsid w:val="00C12FBE"/>
    <w:rsid w:val="00C14116"/>
    <w:rsid w:val="00C153CC"/>
    <w:rsid w:val="00C16281"/>
    <w:rsid w:val="00C21CF5"/>
    <w:rsid w:val="00C221DF"/>
    <w:rsid w:val="00C224A9"/>
    <w:rsid w:val="00C239C5"/>
    <w:rsid w:val="00C24B93"/>
    <w:rsid w:val="00C30DB7"/>
    <w:rsid w:val="00C32C73"/>
    <w:rsid w:val="00C37A52"/>
    <w:rsid w:val="00C471DE"/>
    <w:rsid w:val="00C505AA"/>
    <w:rsid w:val="00C50B98"/>
    <w:rsid w:val="00C532E9"/>
    <w:rsid w:val="00C54041"/>
    <w:rsid w:val="00C6236A"/>
    <w:rsid w:val="00C62628"/>
    <w:rsid w:val="00C640D5"/>
    <w:rsid w:val="00C666CB"/>
    <w:rsid w:val="00C70808"/>
    <w:rsid w:val="00C76086"/>
    <w:rsid w:val="00C76D32"/>
    <w:rsid w:val="00C77D58"/>
    <w:rsid w:val="00C841E2"/>
    <w:rsid w:val="00C86F6E"/>
    <w:rsid w:val="00C90D14"/>
    <w:rsid w:val="00CB08C8"/>
    <w:rsid w:val="00CB24B2"/>
    <w:rsid w:val="00CB7D7B"/>
    <w:rsid w:val="00CC3D5B"/>
    <w:rsid w:val="00CC44E7"/>
    <w:rsid w:val="00CC49BF"/>
    <w:rsid w:val="00CD0752"/>
    <w:rsid w:val="00CD189D"/>
    <w:rsid w:val="00CE0434"/>
    <w:rsid w:val="00CE3524"/>
    <w:rsid w:val="00CF0B67"/>
    <w:rsid w:val="00CF1ADA"/>
    <w:rsid w:val="00CF1DA9"/>
    <w:rsid w:val="00CF34FF"/>
    <w:rsid w:val="00CF7722"/>
    <w:rsid w:val="00D0086E"/>
    <w:rsid w:val="00D054F2"/>
    <w:rsid w:val="00D07021"/>
    <w:rsid w:val="00D07699"/>
    <w:rsid w:val="00D10414"/>
    <w:rsid w:val="00D11A7F"/>
    <w:rsid w:val="00D21358"/>
    <w:rsid w:val="00D2385A"/>
    <w:rsid w:val="00D24C6B"/>
    <w:rsid w:val="00D25A40"/>
    <w:rsid w:val="00D3385B"/>
    <w:rsid w:val="00D412B5"/>
    <w:rsid w:val="00D42F99"/>
    <w:rsid w:val="00D46561"/>
    <w:rsid w:val="00D571DE"/>
    <w:rsid w:val="00D5789D"/>
    <w:rsid w:val="00D57940"/>
    <w:rsid w:val="00D73A3A"/>
    <w:rsid w:val="00D756D9"/>
    <w:rsid w:val="00D81557"/>
    <w:rsid w:val="00D86583"/>
    <w:rsid w:val="00D90959"/>
    <w:rsid w:val="00D9159E"/>
    <w:rsid w:val="00D9260A"/>
    <w:rsid w:val="00D9404D"/>
    <w:rsid w:val="00D94F59"/>
    <w:rsid w:val="00D95547"/>
    <w:rsid w:val="00D97EF4"/>
    <w:rsid w:val="00DA2650"/>
    <w:rsid w:val="00DA291E"/>
    <w:rsid w:val="00DA5958"/>
    <w:rsid w:val="00DA6C2C"/>
    <w:rsid w:val="00DA74BF"/>
    <w:rsid w:val="00DB2803"/>
    <w:rsid w:val="00DC325F"/>
    <w:rsid w:val="00DC5800"/>
    <w:rsid w:val="00DD2E50"/>
    <w:rsid w:val="00DE00C0"/>
    <w:rsid w:val="00DF0E42"/>
    <w:rsid w:val="00DF2CA9"/>
    <w:rsid w:val="00DF36FB"/>
    <w:rsid w:val="00DF5C51"/>
    <w:rsid w:val="00E06EA5"/>
    <w:rsid w:val="00E07DE6"/>
    <w:rsid w:val="00E121E1"/>
    <w:rsid w:val="00E133B9"/>
    <w:rsid w:val="00E13ACE"/>
    <w:rsid w:val="00E20FC9"/>
    <w:rsid w:val="00E21DB1"/>
    <w:rsid w:val="00E277EB"/>
    <w:rsid w:val="00E354AA"/>
    <w:rsid w:val="00E43F29"/>
    <w:rsid w:val="00E474F8"/>
    <w:rsid w:val="00E5019B"/>
    <w:rsid w:val="00E55C4D"/>
    <w:rsid w:val="00E569AD"/>
    <w:rsid w:val="00E57193"/>
    <w:rsid w:val="00E64A17"/>
    <w:rsid w:val="00E730E9"/>
    <w:rsid w:val="00E91B10"/>
    <w:rsid w:val="00E92177"/>
    <w:rsid w:val="00E93BC2"/>
    <w:rsid w:val="00E97839"/>
    <w:rsid w:val="00EA1CB0"/>
    <w:rsid w:val="00EA4627"/>
    <w:rsid w:val="00EA63C3"/>
    <w:rsid w:val="00EA6441"/>
    <w:rsid w:val="00EB0BDF"/>
    <w:rsid w:val="00EB111C"/>
    <w:rsid w:val="00EB161E"/>
    <w:rsid w:val="00EB2D91"/>
    <w:rsid w:val="00EB41D0"/>
    <w:rsid w:val="00EB70AE"/>
    <w:rsid w:val="00EC2570"/>
    <w:rsid w:val="00EC7B0F"/>
    <w:rsid w:val="00ED28C3"/>
    <w:rsid w:val="00ED431C"/>
    <w:rsid w:val="00ED6906"/>
    <w:rsid w:val="00EE1817"/>
    <w:rsid w:val="00EE32B4"/>
    <w:rsid w:val="00EE66C6"/>
    <w:rsid w:val="00EE7C6E"/>
    <w:rsid w:val="00EF10C3"/>
    <w:rsid w:val="00EF3066"/>
    <w:rsid w:val="00EF372A"/>
    <w:rsid w:val="00EF5255"/>
    <w:rsid w:val="00F00742"/>
    <w:rsid w:val="00F01DA1"/>
    <w:rsid w:val="00F07D87"/>
    <w:rsid w:val="00F11105"/>
    <w:rsid w:val="00F13649"/>
    <w:rsid w:val="00F13843"/>
    <w:rsid w:val="00F20A32"/>
    <w:rsid w:val="00F31818"/>
    <w:rsid w:val="00F3259B"/>
    <w:rsid w:val="00F409FC"/>
    <w:rsid w:val="00F40C6B"/>
    <w:rsid w:val="00F43224"/>
    <w:rsid w:val="00F4404A"/>
    <w:rsid w:val="00F5025F"/>
    <w:rsid w:val="00F51FF4"/>
    <w:rsid w:val="00F52511"/>
    <w:rsid w:val="00F66161"/>
    <w:rsid w:val="00F6710A"/>
    <w:rsid w:val="00F67831"/>
    <w:rsid w:val="00F81867"/>
    <w:rsid w:val="00F90519"/>
    <w:rsid w:val="00F941A1"/>
    <w:rsid w:val="00F9775E"/>
    <w:rsid w:val="00FA7BC8"/>
    <w:rsid w:val="00FD17D3"/>
    <w:rsid w:val="00FD2E69"/>
    <w:rsid w:val="00FD693C"/>
    <w:rsid w:val="00FE15C8"/>
    <w:rsid w:val="00FE40F0"/>
    <w:rsid w:val="00FE5F9A"/>
    <w:rsid w:val="00FE61BC"/>
    <w:rsid w:val="00FF1B33"/>
    <w:rsid w:val="00FF323A"/>
    <w:rsid w:val="00FF3AE5"/>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332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character" w:styleId="CommentReference">
    <w:name w:val="annotation reference"/>
    <w:basedOn w:val="DefaultParagraphFont"/>
    <w:rsid w:val="009B2B80"/>
    <w:rPr>
      <w:sz w:val="16"/>
      <w:szCs w:val="16"/>
    </w:rPr>
  </w:style>
  <w:style w:type="paragraph" w:styleId="CommentText">
    <w:name w:val="annotation text"/>
    <w:basedOn w:val="Normal"/>
    <w:link w:val="CommentTextChar"/>
    <w:rsid w:val="009B2B80"/>
    <w:rPr>
      <w:sz w:val="20"/>
      <w:szCs w:val="20"/>
    </w:rPr>
  </w:style>
  <w:style w:type="character" w:customStyle="1" w:styleId="CommentTextChar">
    <w:name w:val="Comment Text Char"/>
    <w:basedOn w:val="DefaultParagraphFont"/>
    <w:link w:val="CommentText"/>
    <w:rsid w:val="009B2B80"/>
  </w:style>
  <w:style w:type="paragraph" w:styleId="CommentSubject">
    <w:name w:val="annotation subject"/>
    <w:basedOn w:val="CommentText"/>
    <w:next w:val="CommentText"/>
    <w:link w:val="CommentSubjectChar"/>
    <w:rsid w:val="009B2B80"/>
    <w:rPr>
      <w:b/>
      <w:bCs/>
    </w:rPr>
  </w:style>
  <w:style w:type="character" w:customStyle="1" w:styleId="CommentSubjectChar">
    <w:name w:val="Comment Subject Char"/>
    <w:basedOn w:val="CommentTextChar"/>
    <w:link w:val="CommentSubject"/>
    <w:rsid w:val="009B2B80"/>
    <w:rPr>
      <w:b/>
      <w:bCs/>
    </w:rPr>
  </w:style>
  <w:style w:type="table" w:styleId="TableGrid">
    <w:name w:val="Table Grid"/>
    <w:basedOn w:val="TableNormal"/>
    <w:rsid w:val="009B2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48E1"/>
    <w:rPr>
      <w:color w:val="800080" w:themeColor="followedHyperlink"/>
      <w:u w:val="single"/>
    </w:rPr>
  </w:style>
  <w:style w:type="paragraph" w:styleId="DocumentMap">
    <w:name w:val="Document Map"/>
    <w:basedOn w:val="Normal"/>
    <w:link w:val="DocumentMapChar"/>
    <w:semiHidden/>
    <w:unhideWhenUsed/>
    <w:rsid w:val="004A5966"/>
  </w:style>
  <w:style w:type="character" w:customStyle="1" w:styleId="DocumentMapChar">
    <w:name w:val="Document Map Char"/>
    <w:basedOn w:val="DefaultParagraphFont"/>
    <w:link w:val="DocumentMap"/>
    <w:semiHidden/>
    <w:rsid w:val="004A5966"/>
    <w:rPr>
      <w:sz w:val="24"/>
      <w:szCs w:val="24"/>
    </w:rPr>
  </w:style>
  <w:style w:type="character" w:customStyle="1" w:styleId="HeaderChar">
    <w:name w:val="Header Char"/>
    <w:basedOn w:val="DefaultParagraphFont"/>
    <w:link w:val="Header"/>
    <w:rsid w:val="004A59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8869">
      <w:bodyDiv w:val="1"/>
      <w:marLeft w:val="0"/>
      <w:marRight w:val="0"/>
      <w:marTop w:val="0"/>
      <w:marBottom w:val="0"/>
      <w:divBdr>
        <w:top w:val="none" w:sz="0" w:space="0" w:color="auto"/>
        <w:left w:val="none" w:sz="0" w:space="0" w:color="auto"/>
        <w:bottom w:val="none" w:sz="0" w:space="0" w:color="auto"/>
        <w:right w:val="none" w:sz="0" w:space="0" w:color="auto"/>
      </w:divBdr>
    </w:div>
    <w:div w:id="92896775">
      <w:bodyDiv w:val="1"/>
      <w:marLeft w:val="0"/>
      <w:marRight w:val="0"/>
      <w:marTop w:val="0"/>
      <w:marBottom w:val="0"/>
      <w:divBdr>
        <w:top w:val="none" w:sz="0" w:space="0" w:color="auto"/>
        <w:left w:val="none" w:sz="0" w:space="0" w:color="auto"/>
        <w:bottom w:val="none" w:sz="0" w:space="0" w:color="auto"/>
        <w:right w:val="none" w:sz="0" w:space="0" w:color="auto"/>
      </w:divBdr>
    </w:div>
    <w:div w:id="97220026">
      <w:bodyDiv w:val="1"/>
      <w:marLeft w:val="0"/>
      <w:marRight w:val="0"/>
      <w:marTop w:val="0"/>
      <w:marBottom w:val="0"/>
      <w:divBdr>
        <w:top w:val="none" w:sz="0" w:space="0" w:color="auto"/>
        <w:left w:val="none" w:sz="0" w:space="0" w:color="auto"/>
        <w:bottom w:val="none" w:sz="0" w:space="0" w:color="auto"/>
        <w:right w:val="none" w:sz="0" w:space="0" w:color="auto"/>
      </w:divBdr>
    </w:div>
    <w:div w:id="237633702">
      <w:bodyDiv w:val="1"/>
      <w:marLeft w:val="0"/>
      <w:marRight w:val="0"/>
      <w:marTop w:val="0"/>
      <w:marBottom w:val="0"/>
      <w:divBdr>
        <w:top w:val="none" w:sz="0" w:space="0" w:color="auto"/>
        <w:left w:val="none" w:sz="0" w:space="0" w:color="auto"/>
        <w:bottom w:val="none" w:sz="0" w:space="0" w:color="auto"/>
        <w:right w:val="none" w:sz="0" w:space="0" w:color="auto"/>
      </w:divBdr>
    </w:div>
    <w:div w:id="492838181">
      <w:bodyDiv w:val="1"/>
      <w:marLeft w:val="0"/>
      <w:marRight w:val="0"/>
      <w:marTop w:val="0"/>
      <w:marBottom w:val="0"/>
      <w:divBdr>
        <w:top w:val="none" w:sz="0" w:space="0" w:color="auto"/>
        <w:left w:val="none" w:sz="0" w:space="0" w:color="auto"/>
        <w:bottom w:val="none" w:sz="0" w:space="0" w:color="auto"/>
        <w:right w:val="none" w:sz="0" w:space="0" w:color="auto"/>
      </w:divBdr>
    </w:div>
    <w:div w:id="750083727">
      <w:bodyDiv w:val="1"/>
      <w:marLeft w:val="0"/>
      <w:marRight w:val="0"/>
      <w:marTop w:val="0"/>
      <w:marBottom w:val="0"/>
      <w:divBdr>
        <w:top w:val="none" w:sz="0" w:space="0" w:color="auto"/>
        <w:left w:val="none" w:sz="0" w:space="0" w:color="auto"/>
        <w:bottom w:val="none" w:sz="0" w:space="0" w:color="auto"/>
        <w:right w:val="none" w:sz="0" w:space="0" w:color="auto"/>
      </w:divBdr>
    </w:div>
    <w:div w:id="875045779">
      <w:bodyDiv w:val="1"/>
      <w:marLeft w:val="0"/>
      <w:marRight w:val="0"/>
      <w:marTop w:val="0"/>
      <w:marBottom w:val="0"/>
      <w:divBdr>
        <w:top w:val="none" w:sz="0" w:space="0" w:color="auto"/>
        <w:left w:val="none" w:sz="0" w:space="0" w:color="auto"/>
        <w:bottom w:val="none" w:sz="0" w:space="0" w:color="auto"/>
        <w:right w:val="none" w:sz="0" w:space="0" w:color="auto"/>
      </w:divBdr>
    </w:div>
    <w:div w:id="1269122542">
      <w:bodyDiv w:val="1"/>
      <w:marLeft w:val="0"/>
      <w:marRight w:val="0"/>
      <w:marTop w:val="0"/>
      <w:marBottom w:val="0"/>
      <w:divBdr>
        <w:top w:val="none" w:sz="0" w:space="0" w:color="auto"/>
        <w:left w:val="none" w:sz="0" w:space="0" w:color="auto"/>
        <w:bottom w:val="none" w:sz="0" w:space="0" w:color="auto"/>
        <w:right w:val="none" w:sz="0" w:space="0" w:color="auto"/>
      </w:divBdr>
    </w:div>
    <w:div w:id="1356616427">
      <w:bodyDiv w:val="1"/>
      <w:marLeft w:val="0"/>
      <w:marRight w:val="0"/>
      <w:marTop w:val="0"/>
      <w:marBottom w:val="0"/>
      <w:divBdr>
        <w:top w:val="none" w:sz="0" w:space="0" w:color="auto"/>
        <w:left w:val="none" w:sz="0" w:space="0" w:color="auto"/>
        <w:bottom w:val="none" w:sz="0" w:space="0" w:color="auto"/>
        <w:right w:val="none" w:sz="0" w:space="0" w:color="auto"/>
      </w:divBdr>
    </w:div>
    <w:div w:id="1421753649">
      <w:bodyDiv w:val="1"/>
      <w:marLeft w:val="0"/>
      <w:marRight w:val="0"/>
      <w:marTop w:val="0"/>
      <w:marBottom w:val="0"/>
      <w:divBdr>
        <w:top w:val="none" w:sz="0" w:space="0" w:color="auto"/>
        <w:left w:val="none" w:sz="0" w:space="0" w:color="auto"/>
        <w:bottom w:val="none" w:sz="0" w:space="0" w:color="auto"/>
        <w:right w:val="none" w:sz="0" w:space="0" w:color="auto"/>
      </w:divBdr>
    </w:div>
    <w:div w:id="1439520847">
      <w:bodyDiv w:val="1"/>
      <w:marLeft w:val="0"/>
      <w:marRight w:val="0"/>
      <w:marTop w:val="0"/>
      <w:marBottom w:val="0"/>
      <w:divBdr>
        <w:top w:val="none" w:sz="0" w:space="0" w:color="auto"/>
        <w:left w:val="none" w:sz="0" w:space="0" w:color="auto"/>
        <w:bottom w:val="none" w:sz="0" w:space="0" w:color="auto"/>
        <w:right w:val="none" w:sz="0" w:space="0" w:color="auto"/>
      </w:divBdr>
    </w:div>
    <w:div w:id="1510870264">
      <w:bodyDiv w:val="1"/>
      <w:marLeft w:val="0"/>
      <w:marRight w:val="0"/>
      <w:marTop w:val="0"/>
      <w:marBottom w:val="0"/>
      <w:divBdr>
        <w:top w:val="none" w:sz="0" w:space="0" w:color="auto"/>
        <w:left w:val="none" w:sz="0" w:space="0" w:color="auto"/>
        <w:bottom w:val="none" w:sz="0" w:space="0" w:color="auto"/>
        <w:right w:val="none" w:sz="0" w:space="0" w:color="auto"/>
      </w:divBdr>
    </w:div>
    <w:div w:id="1714302711">
      <w:bodyDiv w:val="1"/>
      <w:marLeft w:val="0"/>
      <w:marRight w:val="0"/>
      <w:marTop w:val="0"/>
      <w:marBottom w:val="0"/>
      <w:divBdr>
        <w:top w:val="none" w:sz="0" w:space="0" w:color="auto"/>
        <w:left w:val="none" w:sz="0" w:space="0" w:color="auto"/>
        <w:bottom w:val="none" w:sz="0" w:space="0" w:color="auto"/>
        <w:right w:val="none" w:sz="0" w:space="0" w:color="auto"/>
      </w:divBdr>
    </w:div>
    <w:div w:id="1853253013">
      <w:bodyDiv w:val="1"/>
      <w:marLeft w:val="0"/>
      <w:marRight w:val="0"/>
      <w:marTop w:val="0"/>
      <w:marBottom w:val="0"/>
      <w:divBdr>
        <w:top w:val="none" w:sz="0" w:space="0" w:color="auto"/>
        <w:left w:val="none" w:sz="0" w:space="0" w:color="auto"/>
        <w:bottom w:val="none" w:sz="0" w:space="0" w:color="auto"/>
        <w:right w:val="none" w:sz="0" w:space="0" w:color="auto"/>
      </w:divBdr>
    </w:div>
    <w:div w:id="1853688756">
      <w:bodyDiv w:val="1"/>
      <w:marLeft w:val="0"/>
      <w:marRight w:val="0"/>
      <w:marTop w:val="0"/>
      <w:marBottom w:val="0"/>
      <w:divBdr>
        <w:top w:val="none" w:sz="0" w:space="0" w:color="auto"/>
        <w:left w:val="none" w:sz="0" w:space="0" w:color="auto"/>
        <w:bottom w:val="none" w:sz="0" w:space="0" w:color="auto"/>
        <w:right w:val="none" w:sz="0" w:space="0" w:color="auto"/>
      </w:divBdr>
    </w:div>
    <w:div w:id="1946573642">
      <w:bodyDiv w:val="1"/>
      <w:marLeft w:val="0"/>
      <w:marRight w:val="0"/>
      <w:marTop w:val="0"/>
      <w:marBottom w:val="0"/>
      <w:divBdr>
        <w:top w:val="none" w:sz="0" w:space="0" w:color="auto"/>
        <w:left w:val="none" w:sz="0" w:space="0" w:color="auto"/>
        <w:bottom w:val="none" w:sz="0" w:space="0" w:color="auto"/>
        <w:right w:val="none" w:sz="0" w:space="0" w:color="auto"/>
      </w:divBdr>
    </w:div>
    <w:div w:id="2034845943">
      <w:bodyDiv w:val="1"/>
      <w:marLeft w:val="0"/>
      <w:marRight w:val="0"/>
      <w:marTop w:val="0"/>
      <w:marBottom w:val="0"/>
      <w:divBdr>
        <w:top w:val="none" w:sz="0" w:space="0" w:color="auto"/>
        <w:left w:val="none" w:sz="0" w:space="0" w:color="auto"/>
        <w:bottom w:val="none" w:sz="0" w:space="0" w:color="auto"/>
        <w:right w:val="none" w:sz="0" w:space="0" w:color="auto"/>
      </w:divBdr>
    </w:div>
    <w:div w:id="21069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hyperlink" Target="http://dor.wa.gov/Content/FindTaxesAndRates/BAndOTax/BandOrates.aspx" TargetMode="Externa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ustomXml" Target="../customXml/item5.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customXml" Target="../customXml/item4.xml"/><Relationship Id="rId1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2E14DD5-631C-4AA8-98A6-6BBAABDB38B6}"/>
</file>

<file path=customXml/itemProps2.xml><?xml version="1.0" encoding="utf-8"?>
<ds:datastoreItem xmlns:ds="http://schemas.openxmlformats.org/officeDocument/2006/customXml" ds:itemID="{B32B38F2-CC0C-4984-98EE-08A3EDE42744}"/>
</file>

<file path=customXml/itemProps3.xml><?xml version="1.0" encoding="utf-8"?>
<ds:datastoreItem xmlns:ds="http://schemas.openxmlformats.org/officeDocument/2006/customXml" ds:itemID="{DF7BAA4C-81CA-9442-8E0D-A498388669AE}"/>
</file>

<file path=customXml/itemProps4.xml><?xml version="1.0" encoding="utf-8"?>
<ds:datastoreItem xmlns:ds="http://schemas.openxmlformats.org/officeDocument/2006/customXml" ds:itemID="{9716FCDB-10F6-4F13-B015-DB3CF86646C7}"/>
</file>

<file path=customXml/itemProps5.xml><?xml version="1.0" encoding="utf-8"?>
<ds:datastoreItem xmlns:ds="http://schemas.openxmlformats.org/officeDocument/2006/customXml" ds:itemID="{2176B8F7-BC47-4573-8E2D-B16F3DEC37DD}"/>
</file>

<file path=docProps/app.xml><?xml version="1.0" encoding="utf-8"?>
<Properties xmlns="http://schemas.openxmlformats.org/officeDocument/2006/extended-properties" xmlns:vt="http://schemas.openxmlformats.org/officeDocument/2006/docPropsVTypes">
  <Template>Normal.dotm</Template>
  <TotalTime>8</TotalTime>
  <Pages>3</Pages>
  <Words>908</Words>
  <Characters>5181</Characters>
  <Application>Microsoft Macintosh Word</Application>
  <DocSecurity>0</DocSecurity>
  <PresentationFormat/>
  <Lines>43</Lines>
  <Paragraphs>12</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
  <LinksUpToDate>false</LinksUpToDate>
  <CharactersWithSpaces>6077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Eleanor Nickelson</cp:lastModifiedBy>
  <cp:revision>5</cp:revision>
  <cp:lastPrinted>2016-07-21T21:46:00Z</cp:lastPrinted>
  <dcterms:created xsi:type="dcterms:W3CDTF">2016-07-11T17:32:00Z</dcterms:created>
  <dcterms:modified xsi:type="dcterms:W3CDTF">2016-07-21T21:46:00Z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