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EEF" w:rsidRDefault="00747EEF">
      <w:pPr>
        <w:spacing w:line="480" w:lineRule="auto"/>
        <w:jc w:val="center"/>
        <w:rPr>
          <w:rFonts w:ascii="Times" w:hAnsi="Times"/>
        </w:rPr>
      </w:pPr>
    </w:p>
    <w:p w:rsidR="00747EEF" w:rsidRDefault="00747EEF">
      <w:pPr>
        <w:spacing w:line="480" w:lineRule="auto"/>
        <w:jc w:val="center"/>
        <w:rPr>
          <w:rFonts w:ascii="Times" w:hAnsi="Times"/>
        </w:rPr>
      </w:pPr>
    </w:p>
    <w:p w:rsidR="00747EEF" w:rsidRPr="00610CEF" w:rsidRDefault="00747EEF">
      <w:pPr>
        <w:spacing w:line="480" w:lineRule="auto"/>
        <w:jc w:val="center"/>
        <w:rPr>
          <w:rFonts w:ascii="Times" w:hAnsi="Times"/>
          <w:b/>
        </w:rPr>
      </w:pPr>
    </w:p>
    <w:p w:rsidR="004D2BC4" w:rsidRPr="00610CEF" w:rsidRDefault="00556720">
      <w:pPr>
        <w:spacing w:line="480" w:lineRule="auto"/>
        <w:jc w:val="center"/>
        <w:rPr>
          <w:rFonts w:ascii="Times" w:hAnsi="Times"/>
          <w:b/>
        </w:rPr>
      </w:pPr>
      <w:r>
        <w:rPr>
          <w:rFonts w:ascii="Times" w:hAnsi="Times"/>
          <w:b/>
        </w:rPr>
        <w:t>BEFORE THE WASHINGTON</w:t>
      </w:r>
      <w:r w:rsidR="0079455F" w:rsidRPr="00610CEF">
        <w:rPr>
          <w:rFonts w:ascii="Times" w:hAnsi="Times"/>
          <w:b/>
        </w:rPr>
        <w:t xml:space="preserve"> </w:t>
      </w:r>
    </w:p>
    <w:p w:rsidR="00747EEF" w:rsidRPr="00610CEF" w:rsidRDefault="00747EEF">
      <w:pPr>
        <w:spacing w:line="480" w:lineRule="auto"/>
        <w:jc w:val="center"/>
        <w:rPr>
          <w:rFonts w:ascii="Times" w:hAnsi="Times"/>
          <w:b/>
        </w:rPr>
      </w:pPr>
      <w:r w:rsidRPr="00610CEF">
        <w:rPr>
          <w:rFonts w:ascii="Times" w:hAnsi="Times"/>
          <w:b/>
        </w:rPr>
        <w:t>UTILITIES &amp; TRANSPORTATION COMMISSION</w:t>
      </w:r>
    </w:p>
    <w:p w:rsidR="00747EEF" w:rsidRDefault="00747EEF">
      <w:pPr>
        <w:jc w:val="center"/>
      </w:pPr>
    </w:p>
    <w:p w:rsidR="00AC0336" w:rsidRDefault="00AC0336">
      <w:pPr>
        <w:jc w:val="center"/>
      </w:pPr>
    </w:p>
    <w:p w:rsidR="00AC0336" w:rsidRDefault="00AC0336">
      <w:pPr>
        <w:jc w:val="center"/>
      </w:pPr>
      <w:r>
        <w:t>WASHINGTON UTILITIES AND TRANSPORTATION COMMISSION,</w:t>
      </w:r>
    </w:p>
    <w:p w:rsidR="00AC0336" w:rsidRDefault="00AC0336">
      <w:pPr>
        <w:jc w:val="center"/>
      </w:pPr>
    </w:p>
    <w:p w:rsidR="00AC0336" w:rsidRDefault="00AC0336">
      <w:pPr>
        <w:jc w:val="center"/>
      </w:pPr>
      <w:r>
        <w:t>Complainant,</w:t>
      </w:r>
    </w:p>
    <w:p w:rsidR="00AC0336" w:rsidRDefault="00AC0336">
      <w:pPr>
        <w:jc w:val="center"/>
      </w:pPr>
    </w:p>
    <w:p w:rsidR="00AC0336" w:rsidRDefault="00AC0336">
      <w:pPr>
        <w:jc w:val="center"/>
      </w:pPr>
      <w:r>
        <w:t>v.</w:t>
      </w:r>
    </w:p>
    <w:p w:rsidR="00AC0336" w:rsidRDefault="00AC0336">
      <w:pPr>
        <w:jc w:val="center"/>
      </w:pPr>
    </w:p>
    <w:p w:rsidR="00AC0336" w:rsidRDefault="00AC0336">
      <w:pPr>
        <w:jc w:val="center"/>
      </w:pPr>
      <w:r>
        <w:t>QWEST CORPORATION D/B/A</w:t>
      </w:r>
    </w:p>
    <w:p w:rsidR="00AC0336" w:rsidRDefault="00AC0336">
      <w:pPr>
        <w:jc w:val="center"/>
      </w:pPr>
      <w:r>
        <w:t>CENTURY LINK QC</w:t>
      </w:r>
    </w:p>
    <w:p w:rsidR="00AC0336" w:rsidRDefault="00AC0336">
      <w:pPr>
        <w:jc w:val="center"/>
      </w:pPr>
    </w:p>
    <w:p w:rsidR="00AC0336" w:rsidRPr="00AC0336" w:rsidRDefault="00AC0336">
      <w:pPr>
        <w:jc w:val="center"/>
      </w:pPr>
      <w:r>
        <w:t>Respondent.</w:t>
      </w:r>
    </w:p>
    <w:p w:rsidR="00747EEF" w:rsidRDefault="00747EEF" w:rsidP="00AC0336">
      <w:pPr>
        <w:pBdr>
          <w:bottom w:val="single" w:sz="4" w:space="1" w:color="auto"/>
        </w:pBdr>
        <w:jc w:val="center"/>
      </w:pPr>
    </w:p>
    <w:p w:rsidR="00747EEF" w:rsidRDefault="00747EEF">
      <w:pPr>
        <w:jc w:val="center"/>
      </w:pPr>
    </w:p>
    <w:p w:rsidR="00AC0336" w:rsidRDefault="00AC0336">
      <w:pPr>
        <w:jc w:val="center"/>
      </w:pPr>
    </w:p>
    <w:p w:rsidR="00AC0336" w:rsidRDefault="00AC0336">
      <w:pPr>
        <w:jc w:val="center"/>
      </w:pPr>
      <w:r>
        <w:t>DOCKET UT-171082</w:t>
      </w:r>
    </w:p>
    <w:p w:rsidR="00AC0336" w:rsidRDefault="00AC0336">
      <w:pPr>
        <w:jc w:val="center"/>
      </w:pPr>
    </w:p>
    <w:p w:rsidR="0055451A" w:rsidRDefault="0055451A">
      <w:pPr>
        <w:jc w:val="center"/>
      </w:pPr>
    </w:p>
    <w:p w:rsidR="00AC0336" w:rsidRDefault="00AC0336">
      <w:pPr>
        <w:jc w:val="center"/>
      </w:pPr>
    </w:p>
    <w:p w:rsidR="00747EEF" w:rsidRDefault="0055451A">
      <w:pPr>
        <w:spacing w:line="480" w:lineRule="auto"/>
        <w:jc w:val="center"/>
      </w:pPr>
      <w:r>
        <w:t>RESPONSE</w:t>
      </w:r>
      <w:r w:rsidR="00E404C8">
        <w:t xml:space="preserve"> TESTIMONY OF </w:t>
      </w:r>
      <w:r>
        <w:t>SUSAN M. BALDWIN</w:t>
      </w:r>
    </w:p>
    <w:p w:rsidR="00747EEF" w:rsidRDefault="00747EEF">
      <w:pPr>
        <w:spacing w:line="480" w:lineRule="auto"/>
        <w:jc w:val="center"/>
      </w:pPr>
      <w:r>
        <w:t xml:space="preserve">ON BEHALF OF PUBLIC COUNSEL </w:t>
      </w:r>
    </w:p>
    <w:p w:rsidR="00747EEF" w:rsidRDefault="00747EEF">
      <w:pPr>
        <w:spacing w:line="480" w:lineRule="auto"/>
        <w:jc w:val="center"/>
      </w:pPr>
    </w:p>
    <w:p w:rsidR="0055451A" w:rsidRPr="0055451A" w:rsidRDefault="0055451A">
      <w:pPr>
        <w:spacing w:line="480" w:lineRule="auto"/>
        <w:jc w:val="center"/>
        <w:rPr>
          <w:b/>
        </w:rPr>
      </w:pPr>
      <w:r w:rsidRPr="0055451A">
        <w:rPr>
          <w:b/>
        </w:rPr>
        <w:t>EXHIBIT SMB-1T</w:t>
      </w:r>
    </w:p>
    <w:p w:rsidR="0055451A" w:rsidRDefault="0055451A">
      <w:pPr>
        <w:spacing w:line="480" w:lineRule="auto"/>
      </w:pPr>
    </w:p>
    <w:p w:rsidR="0055451A" w:rsidRDefault="0055451A">
      <w:pPr>
        <w:spacing w:line="480" w:lineRule="auto"/>
      </w:pPr>
    </w:p>
    <w:p w:rsidR="002104A6" w:rsidRPr="003C6103" w:rsidRDefault="00425FD1" w:rsidP="002104A6">
      <w:pPr>
        <w:spacing w:line="480" w:lineRule="auto"/>
        <w:jc w:val="center"/>
        <w:rPr>
          <w:b/>
        </w:rPr>
      </w:pPr>
      <w:r>
        <w:rPr>
          <w:b/>
        </w:rPr>
        <w:t>J</w:t>
      </w:r>
      <w:r w:rsidR="0055451A">
        <w:rPr>
          <w:b/>
        </w:rPr>
        <w:t xml:space="preserve">une </w:t>
      </w:r>
      <w:r w:rsidR="003C6103">
        <w:rPr>
          <w:b/>
        </w:rPr>
        <w:t>1, 2018</w:t>
      </w:r>
    </w:p>
    <w:p w:rsidR="00747EEF" w:rsidRDefault="00747EEF">
      <w:pPr>
        <w:jc w:val="center"/>
        <w:rPr>
          <w:b/>
          <w:bCs/>
          <w:sz w:val="28"/>
          <w:szCs w:val="28"/>
        </w:rPr>
      </w:pPr>
    </w:p>
    <w:p w:rsidR="00747EEF" w:rsidRDefault="00747EEF" w:rsidP="003C6103">
      <w:pPr>
        <w:jc w:val="center"/>
        <w:rPr>
          <w:rFonts w:ascii="Times" w:hAnsi="Times"/>
        </w:rPr>
      </w:pPr>
      <w:r>
        <w:rPr>
          <w:rFonts w:ascii="Times" w:hAnsi="Times"/>
        </w:rPr>
        <w:br w:type="page"/>
      </w:r>
      <w:r w:rsidR="0055451A">
        <w:rPr>
          <w:rFonts w:ascii="Times" w:hAnsi="Times"/>
        </w:rPr>
        <w:lastRenderedPageBreak/>
        <w:t>RESPONSE</w:t>
      </w:r>
      <w:r w:rsidR="00E404C8">
        <w:rPr>
          <w:rFonts w:ascii="Times" w:hAnsi="Times"/>
        </w:rPr>
        <w:t xml:space="preserve"> TESTIMONY OF </w:t>
      </w:r>
      <w:r w:rsidR="003C6103">
        <w:rPr>
          <w:rFonts w:ascii="Times" w:hAnsi="Times"/>
        </w:rPr>
        <w:t xml:space="preserve">SUSAN M. BALDWIN </w:t>
      </w:r>
      <w:r w:rsidR="00E404C8">
        <w:rPr>
          <w:rFonts w:ascii="Times" w:hAnsi="Times"/>
        </w:rPr>
        <w:t>(</w:t>
      </w:r>
      <w:r w:rsidR="003C6103">
        <w:rPr>
          <w:rFonts w:ascii="Times" w:hAnsi="Times"/>
        </w:rPr>
        <w:t>SMB</w:t>
      </w:r>
      <w:r>
        <w:rPr>
          <w:rFonts w:ascii="Times" w:hAnsi="Times"/>
        </w:rPr>
        <w:t>-1</w:t>
      </w:r>
      <w:r w:rsidR="00556720">
        <w:rPr>
          <w:rFonts w:ascii="Times" w:hAnsi="Times"/>
        </w:rPr>
        <w:t>T</w:t>
      </w:r>
      <w:r>
        <w:rPr>
          <w:rFonts w:ascii="Times" w:hAnsi="Times"/>
        </w:rPr>
        <w:t>)</w:t>
      </w:r>
    </w:p>
    <w:p w:rsidR="00747EEF" w:rsidRDefault="003C6103" w:rsidP="003C6103">
      <w:pPr>
        <w:jc w:val="center"/>
      </w:pPr>
      <w:r>
        <w:br/>
        <w:t>DOCKET UT-171082</w:t>
      </w:r>
    </w:p>
    <w:p w:rsidR="003C6103" w:rsidRDefault="003C6103" w:rsidP="003C6103">
      <w:pPr>
        <w:jc w:val="center"/>
      </w:pPr>
    </w:p>
    <w:p w:rsidR="00747EEF" w:rsidRDefault="00747EEF">
      <w:pPr>
        <w:jc w:val="center"/>
        <w:rPr>
          <w:rFonts w:ascii="Times" w:hAnsi="Times"/>
        </w:rPr>
      </w:pPr>
    </w:p>
    <w:p w:rsidR="00611F6D" w:rsidRPr="003C6103" w:rsidRDefault="00747EEF" w:rsidP="003C6103">
      <w:pPr>
        <w:jc w:val="center"/>
        <w:rPr>
          <w:rFonts w:ascii="Times" w:hAnsi="Times"/>
          <w:b/>
          <w:u w:val="single"/>
        </w:rPr>
      </w:pPr>
      <w:r w:rsidRPr="003C6103">
        <w:rPr>
          <w:rFonts w:ascii="Times" w:hAnsi="Times"/>
          <w:b/>
          <w:u w:val="single"/>
        </w:rPr>
        <w:t>TABLE OF CONTENTS</w:t>
      </w:r>
    </w:p>
    <w:p w:rsidR="003C6103" w:rsidRDefault="003C6103" w:rsidP="003C6103">
      <w:pPr>
        <w:jc w:val="center"/>
        <w:rPr>
          <w:rFonts w:ascii="Times" w:hAnsi="Times"/>
          <w:b/>
        </w:rPr>
      </w:pPr>
    </w:p>
    <w:p w:rsidR="00D07104" w:rsidRDefault="00D07104" w:rsidP="00D07104">
      <w:pPr>
        <w:pStyle w:val="TOCHeading"/>
        <w:numPr>
          <w:ilvl w:val="0"/>
          <w:numId w:val="0"/>
        </w:numPr>
        <w:jc w:val="left"/>
      </w:pPr>
    </w:p>
    <w:p w:rsidR="008C7BE0" w:rsidRDefault="00D07104" w:rsidP="008C7BE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5543045" w:history="1">
        <w:r w:rsidR="008C7BE0" w:rsidRPr="002C37FF">
          <w:rPr>
            <w:rStyle w:val="Hyperlink"/>
            <w:noProof/>
          </w:rPr>
          <w:t>I.</w:t>
        </w:r>
        <w:r w:rsidR="008C7BE0">
          <w:rPr>
            <w:rFonts w:asciiTheme="minorHAnsi" w:eastAsiaTheme="minorEastAsia" w:hAnsiTheme="minorHAnsi" w:cstheme="minorBidi"/>
            <w:noProof/>
            <w:sz w:val="22"/>
            <w:szCs w:val="22"/>
          </w:rPr>
          <w:tab/>
        </w:r>
        <w:r w:rsidR="008C7BE0" w:rsidRPr="002C37FF">
          <w:rPr>
            <w:rStyle w:val="Hyperlink"/>
            <w:noProof/>
          </w:rPr>
          <w:t>INTRODUCTION / SUMMARY</w:t>
        </w:r>
        <w:r w:rsidR="008C7BE0">
          <w:rPr>
            <w:noProof/>
            <w:webHidden/>
          </w:rPr>
          <w:tab/>
        </w:r>
        <w:r w:rsidR="008C7BE0">
          <w:rPr>
            <w:noProof/>
            <w:webHidden/>
          </w:rPr>
          <w:fldChar w:fldCharType="begin"/>
        </w:r>
        <w:r w:rsidR="008C7BE0">
          <w:rPr>
            <w:noProof/>
            <w:webHidden/>
          </w:rPr>
          <w:instrText xml:space="preserve"> PAGEREF _Toc515543045 \h </w:instrText>
        </w:r>
        <w:r w:rsidR="008C7BE0">
          <w:rPr>
            <w:noProof/>
            <w:webHidden/>
          </w:rPr>
        </w:r>
        <w:r w:rsidR="008C7BE0">
          <w:rPr>
            <w:noProof/>
            <w:webHidden/>
          </w:rPr>
          <w:fldChar w:fldCharType="separate"/>
        </w:r>
        <w:r w:rsidR="00551C5F">
          <w:rPr>
            <w:noProof/>
            <w:webHidden/>
          </w:rPr>
          <w:t>1</w:t>
        </w:r>
        <w:r w:rsidR="008C7BE0">
          <w:rPr>
            <w:noProof/>
            <w:webHidden/>
          </w:rPr>
          <w:fldChar w:fldCharType="end"/>
        </w:r>
      </w:hyperlink>
    </w:p>
    <w:p w:rsidR="008C7BE0" w:rsidRDefault="00B73AB6" w:rsidP="008C7BE0">
      <w:pPr>
        <w:pStyle w:val="TOC1"/>
        <w:rPr>
          <w:rFonts w:asciiTheme="minorHAnsi" w:eastAsiaTheme="minorEastAsia" w:hAnsiTheme="minorHAnsi" w:cstheme="minorBidi"/>
          <w:noProof/>
          <w:sz w:val="22"/>
          <w:szCs w:val="22"/>
        </w:rPr>
      </w:pPr>
      <w:hyperlink w:anchor="_Toc515543046" w:history="1">
        <w:r w:rsidR="008C7BE0" w:rsidRPr="002C37FF">
          <w:rPr>
            <w:rStyle w:val="Hyperlink"/>
            <w:noProof/>
          </w:rPr>
          <w:t>II.</w:t>
        </w:r>
        <w:r w:rsidR="008C7BE0">
          <w:rPr>
            <w:rFonts w:asciiTheme="minorHAnsi" w:eastAsiaTheme="minorEastAsia" w:hAnsiTheme="minorHAnsi" w:cstheme="minorBidi"/>
            <w:noProof/>
            <w:sz w:val="22"/>
            <w:szCs w:val="22"/>
          </w:rPr>
          <w:tab/>
        </w:r>
        <w:r w:rsidR="008C7BE0" w:rsidRPr="002C37FF">
          <w:rPr>
            <w:rStyle w:val="Hyperlink"/>
            <w:noProof/>
          </w:rPr>
          <w:t>OVERVIEW OF CASE</w:t>
        </w:r>
        <w:r w:rsidR="008C7BE0">
          <w:rPr>
            <w:noProof/>
            <w:webHidden/>
          </w:rPr>
          <w:tab/>
        </w:r>
        <w:r w:rsidR="008C7BE0">
          <w:rPr>
            <w:noProof/>
            <w:webHidden/>
          </w:rPr>
          <w:fldChar w:fldCharType="begin"/>
        </w:r>
        <w:r w:rsidR="008C7BE0">
          <w:rPr>
            <w:noProof/>
            <w:webHidden/>
          </w:rPr>
          <w:instrText xml:space="preserve"> PAGEREF _Toc515543046 \h </w:instrText>
        </w:r>
        <w:r w:rsidR="008C7BE0">
          <w:rPr>
            <w:noProof/>
            <w:webHidden/>
          </w:rPr>
        </w:r>
        <w:r w:rsidR="008C7BE0">
          <w:rPr>
            <w:noProof/>
            <w:webHidden/>
          </w:rPr>
          <w:fldChar w:fldCharType="separate"/>
        </w:r>
        <w:r w:rsidR="00551C5F">
          <w:rPr>
            <w:noProof/>
            <w:webHidden/>
          </w:rPr>
          <w:t>4</w:t>
        </w:r>
        <w:r w:rsidR="008C7BE0">
          <w:rPr>
            <w:noProof/>
            <w:webHidden/>
          </w:rPr>
          <w:fldChar w:fldCharType="end"/>
        </w:r>
      </w:hyperlink>
    </w:p>
    <w:p w:rsidR="008C7BE0" w:rsidRDefault="00B73AB6" w:rsidP="008C7BE0">
      <w:pPr>
        <w:pStyle w:val="TOC2"/>
        <w:tabs>
          <w:tab w:val="left" w:pos="1080"/>
        </w:tabs>
        <w:spacing w:after="240" w:line="240" w:lineRule="auto"/>
        <w:ind w:left="720"/>
        <w:jc w:val="left"/>
        <w:rPr>
          <w:rFonts w:asciiTheme="minorHAnsi" w:eastAsiaTheme="minorEastAsia" w:hAnsiTheme="minorHAnsi" w:cstheme="minorBidi"/>
          <w:noProof/>
          <w:sz w:val="22"/>
          <w:szCs w:val="22"/>
        </w:rPr>
      </w:pPr>
      <w:hyperlink w:anchor="_Toc515543047" w:history="1">
        <w:r w:rsidR="008C7BE0" w:rsidRPr="002C37FF">
          <w:rPr>
            <w:rStyle w:val="Hyperlink"/>
            <w:noProof/>
          </w:rPr>
          <w:t>A.</w:t>
        </w:r>
        <w:r w:rsidR="008C7BE0">
          <w:rPr>
            <w:rFonts w:asciiTheme="minorHAnsi" w:eastAsiaTheme="minorEastAsia" w:hAnsiTheme="minorHAnsi" w:cstheme="minorBidi"/>
            <w:noProof/>
            <w:sz w:val="22"/>
            <w:szCs w:val="22"/>
          </w:rPr>
          <w:tab/>
        </w:r>
        <w:r w:rsidR="008C7BE0" w:rsidRPr="002C37FF">
          <w:rPr>
            <w:rStyle w:val="Hyperlink"/>
            <w:noProof/>
          </w:rPr>
          <w:t>Brief description of complaint</w:t>
        </w:r>
        <w:r w:rsidR="008C7BE0">
          <w:rPr>
            <w:noProof/>
            <w:webHidden/>
          </w:rPr>
          <w:tab/>
        </w:r>
        <w:r w:rsidR="008C7BE0">
          <w:rPr>
            <w:noProof/>
            <w:webHidden/>
          </w:rPr>
          <w:fldChar w:fldCharType="begin"/>
        </w:r>
        <w:r w:rsidR="008C7BE0">
          <w:rPr>
            <w:noProof/>
            <w:webHidden/>
          </w:rPr>
          <w:instrText xml:space="preserve"> PAGEREF _Toc515543047 \h </w:instrText>
        </w:r>
        <w:r w:rsidR="008C7BE0">
          <w:rPr>
            <w:noProof/>
            <w:webHidden/>
          </w:rPr>
        </w:r>
        <w:r w:rsidR="008C7BE0">
          <w:rPr>
            <w:noProof/>
            <w:webHidden/>
          </w:rPr>
          <w:fldChar w:fldCharType="separate"/>
        </w:r>
        <w:r w:rsidR="00551C5F">
          <w:rPr>
            <w:noProof/>
            <w:webHidden/>
          </w:rPr>
          <w:t>4</w:t>
        </w:r>
        <w:r w:rsidR="008C7BE0">
          <w:rPr>
            <w:noProof/>
            <w:webHidden/>
          </w:rPr>
          <w:fldChar w:fldCharType="end"/>
        </w:r>
      </w:hyperlink>
    </w:p>
    <w:p w:rsidR="008C7BE0" w:rsidRDefault="00B73AB6" w:rsidP="008C7BE0">
      <w:pPr>
        <w:pStyle w:val="TOC2"/>
        <w:tabs>
          <w:tab w:val="left" w:pos="1080"/>
        </w:tabs>
        <w:spacing w:after="240" w:line="240" w:lineRule="auto"/>
        <w:ind w:left="720"/>
        <w:jc w:val="left"/>
        <w:rPr>
          <w:rFonts w:asciiTheme="minorHAnsi" w:eastAsiaTheme="minorEastAsia" w:hAnsiTheme="minorHAnsi" w:cstheme="minorBidi"/>
          <w:noProof/>
          <w:sz w:val="22"/>
          <w:szCs w:val="22"/>
        </w:rPr>
      </w:pPr>
      <w:hyperlink w:anchor="_Toc515543048" w:history="1">
        <w:r w:rsidR="008C7BE0" w:rsidRPr="002C37FF">
          <w:rPr>
            <w:rStyle w:val="Hyperlink"/>
            <w:noProof/>
          </w:rPr>
          <w:t>B.</w:t>
        </w:r>
        <w:r w:rsidR="008C7BE0">
          <w:rPr>
            <w:rFonts w:asciiTheme="minorHAnsi" w:eastAsiaTheme="minorEastAsia" w:hAnsiTheme="minorHAnsi" w:cstheme="minorBidi"/>
            <w:noProof/>
            <w:sz w:val="22"/>
            <w:szCs w:val="22"/>
          </w:rPr>
          <w:tab/>
        </w:r>
        <w:r w:rsidR="008C7BE0" w:rsidRPr="002C37FF">
          <w:rPr>
            <w:rStyle w:val="Hyperlink"/>
            <w:noProof/>
          </w:rPr>
          <w:t>Issues in case</w:t>
        </w:r>
        <w:r w:rsidR="008C7BE0">
          <w:rPr>
            <w:noProof/>
            <w:webHidden/>
          </w:rPr>
          <w:tab/>
        </w:r>
        <w:r w:rsidR="008C7BE0">
          <w:rPr>
            <w:noProof/>
            <w:webHidden/>
          </w:rPr>
          <w:fldChar w:fldCharType="begin"/>
        </w:r>
        <w:r w:rsidR="008C7BE0">
          <w:rPr>
            <w:noProof/>
            <w:webHidden/>
          </w:rPr>
          <w:instrText xml:space="preserve"> PAGEREF _Toc515543048 \h </w:instrText>
        </w:r>
        <w:r w:rsidR="008C7BE0">
          <w:rPr>
            <w:noProof/>
            <w:webHidden/>
          </w:rPr>
        </w:r>
        <w:r w:rsidR="008C7BE0">
          <w:rPr>
            <w:noProof/>
            <w:webHidden/>
          </w:rPr>
          <w:fldChar w:fldCharType="separate"/>
        </w:r>
        <w:r w:rsidR="00551C5F">
          <w:rPr>
            <w:noProof/>
            <w:webHidden/>
          </w:rPr>
          <w:t>6</w:t>
        </w:r>
        <w:r w:rsidR="008C7BE0">
          <w:rPr>
            <w:noProof/>
            <w:webHidden/>
          </w:rPr>
          <w:fldChar w:fldCharType="end"/>
        </w:r>
      </w:hyperlink>
    </w:p>
    <w:p w:rsidR="008C7BE0" w:rsidRDefault="00B73AB6" w:rsidP="008C7BE0">
      <w:pPr>
        <w:pStyle w:val="TOC1"/>
        <w:rPr>
          <w:rFonts w:asciiTheme="minorHAnsi" w:eastAsiaTheme="minorEastAsia" w:hAnsiTheme="minorHAnsi" w:cstheme="minorBidi"/>
          <w:noProof/>
          <w:sz w:val="22"/>
          <w:szCs w:val="22"/>
        </w:rPr>
      </w:pPr>
      <w:hyperlink w:anchor="_Toc515543049" w:history="1">
        <w:r w:rsidR="008C7BE0" w:rsidRPr="002C37FF">
          <w:rPr>
            <w:rStyle w:val="Hyperlink"/>
            <w:noProof/>
          </w:rPr>
          <w:t>III.</w:t>
        </w:r>
        <w:r w:rsidR="008C7BE0">
          <w:rPr>
            <w:rFonts w:asciiTheme="minorHAnsi" w:eastAsiaTheme="minorEastAsia" w:hAnsiTheme="minorHAnsi" w:cstheme="minorBidi"/>
            <w:noProof/>
            <w:sz w:val="22"/>
            <w:szCs w:val="22"/>
          </w:rPr>
          <w:tab/>
        </w:r>
        <w:r w:rsidR="008C7BE0" w:rsidRPr="002C37FF">
          <w:rPr>
            <w:rStyle w:val="Hyperlink"/>
            <w:noProof/>
          </w:rPr>
          <w:t>ANALYSIS OF COMPLAINT</w:t>
        </w:r>
        <w:r w:rsidR="008C7BE0">
          <w:rPr>
            <w:noProof/>
            <w:webHidden/>
          </w:rPr>
          <w:tab/>
        </w:r>
        <w:r w:rsidR="008C7BE0">
          <w:rPr>
            <w:noProof/>
            <w:webHidden/>
          </w:rPr>
          <w:fldChar w:fldCharType="begin"/>
        </w:r>
        <w:r w:rsidR="008C7BE0">
          <w:rPr>
            <w:noProof/>
            <w:webHidden/>
          </w:rPr>
          <w:instrText xml:space="preserve"> PAGEREF _Toc515543049 \h </w:instrText>
        </w:r>
        <w:r w:rsidR="008C7BE0">
          <w:rPr>
            <w:noProof/>
            <w:webHidden/>
          </w:rPr>
        </w:r>
        <w:r w:rsidR="008C7BE0">
          <w:rPr>
            <w:noProof/>
            <w:webHidden/>
          </w:rPr>
          <w:fldChar w:fldCharType="separate"/>
        </w:r>
        <w:r w:rsidR="00551C5F">
          <w:rPr>
            <w:noProof/>
            <w:webHidden/>
          </w:rPr>
          <w:t>8</w:t>
        </w:r>
        <w:r w:rsidR="008C7BE0">
          <w:rPr>
            <w:noProof/>
            <w:webHidden/>
          </w:rPr>
          <w:fldChar w:fldCharType="end"/>
        </w:r>
      </w:hyperlink>
    </w:p>
    <w:p w:rsidR="008C7BE0" w:rsidRDefault="00B73AB6" w:rsidP="008C7BE0">
      <w:pPr>
        <w:pStyle w:val="TOC2"/>
        <w:tabs>
          <w:tab w:val="left" w:pos="1080"/>
        </w:tabs>
        <w:spacing w:after="240" w:line="240" w:lineRule="auto"/>
        <w:ind w:left="720"/>
        <w:jc w:val="left"/>
        <w:rPr>
          <w:rFonts w:asciiTheme="minorHAnsi" w:eastAsiaTheme="minorEastAsia" w:hAnsiTheme="minorHAnsi" w:cstheme="minorBidi"/>
          <w:noProof/>
          <w:sz w:val="22"/>
          <w:szCs w:val="22"/>
        </w:rPr>
      </w:pPr>
      <w:hyperlink w:anchor="_Toc515543050" w:history="1">
        <w:r w:rsidR="008C7BE0" w:rsidRPr="002C37FF">
          <w:rPr>
            <w:rStyle w:val="Hyperlink"/>
            <w:noProof/>
          </w:rPr>
          <w:t>A.</w:t>
        </w:r>
        <w:r w:rsidR="008C7BE0">
          <w:rPr>
            <w:rFonts w:asciiTheme="minorHAnsi" w:eastAsiaTheme="minorEastAsia" w:hAnsiTheme="minorHAnsi" w:cstheme="minorBidi"/>
            <w:noProof/>
            <w:sz w:val="22"/>
            <w:szCs w:val="22"/>
          </w:rPr>
          <w:tab/>
        </w:r>
        <w:r w:rsidR="008C7BE0" w:rsidRPr="002C37FF">
          <w:rPr>
            <w:rStyle w:val="Hyperlink"/>
            <w:noProof/>
          </w:rPr>
          <w:t>CenturyLink’s obligation to serve customers within its service territory upon reasonable request</w:t>
        </w:r>
        <w:r w:rsidR="008C7BE0">
          <w:rPr>
            <w:noProof/>
            <w:webHidden/>
          </w:rPr>
          <w:tab/>
        </w:r>
        <w:r w:rsidR="008C7BE0">
          <w:rPr>
            <w:noProof/>
            <w:webHidden/>
          </w:rPr>
          <w:fldChar w:fldCharType="begin"/>
        </w:r>
        <w:r w:rsidR="008C7BE0">
          <w:rPr>
            <w:noProof/>
            <w:webHidden/>
          </w:rPr>
          <w:instrText xml:space="preserve"> PAGEREF _Toc515543050 \h </w:instrText>
        </w:r>
        <w:r w:rsidR="008C7BE0">
          <w:rPr>
            <w:noProof/>
            <w:webHidden/>
          </w:rPr>
        </w:r>
        <w:r w:rsidR="008C7BE0">
          <w:rPr>
            <w:noProof/>
            <w:webHidden/>
          </w:rPr>
          <w:fldChar w:fldCharType="separate"/>
        </w:r>
        <w:r w:rsidR="00551C5F">
          <w:rPr>
            <w:noProof/>
            <w:webHidden/>
          </w:rPr>
          <w:t>8</w:t>
        </w:r>
        <w:r w:rsidR="008C7BE0">
          <w:rPr>
            <w:noProof/>
            <w:webHidden/>
          </w:rPr>
          <w:fldChar w:fldCharType="end"/>
        </w:r>
      </w:hyperlink>
    </w:p>
    <w:p w:rsidR="008C7BE0" w:rsidRDefault="00B73AB6" w:rsidP="008C7BE0">
      <w:pPr>
        <w:pStyle w:val="TOC2"/>
        <w:tabs>
          <w:tab w:val="left" w:pos="660"/>
          <w:tab w:val="left" w:pos="1080"/>
        </w:tabs>
        <w:spacing w:after="240" w:line="240" w:lineRule="auto"/>
        <w:ind w:left="720"/>
        <w:jc w:val="left"/>
        <w:rPr>
          <w:rFonts w:asciiTheme="minorHAnsi" w:eastAsiaTheme="minorEastAsia" w:hAnsiTheme="minorHAnsi" w:cstheme="minorBidi"/>
          <w:noProof/>
          <w:sz w:val="22"/>
          <w:szCs w:val="22"/>
        </w:rPr>
      </w:pPr>
      <w:hyperlink w:anchor="_Toc515543051" w:history="1">
        <w:r w:rsidR="008C7BE0" w:rsidRPr="002C37FF">
          <w:rPr>
            <w:rStyle w:val="Hyperlink"/>
            <w:noProof/>
          </w:rPr>
          <w:t>B.</w:t>
        </w:r>
        <w:r w:rsidR="008C7BE0">
          <w:rPr>
            <w:rFonts w:asciiTheme="minorHAnsi" w:eastAsiaTheme="minorEastAsia" w:hAnsiTheme="minorHAnsi" w:cstheme="minorBidi"/>
            <w:noProof/>
            <w:sz w:val="22"/>
            <w:szCs w:val="22"/>
          </w:rPr>
          <w:tab/>
        </w:r>
        <w:r w:rsidR="008C7BE0" w:rsidRPr="002C37FF">
          <w:rPr>
            <w:rStyle w:val="Hyperlink"/>
            <w:noProof/>
          </w:rPr>
          <w:t>CenturyLink failed to comply with the Commission’s line extension rule.</w:t>
        </w:r>
        <w:r w:rsidR="008C7BE0">
          <w:rPr>
            <w:noProof/>
            <w:webHidden/>
          </w:rPr>
          <w:tab/>
        </w:r>
        <w:r w:rsidR="008C7BE0">
          <w:rPr>
            <w:noProof/>
            <w:webHidden/>
          </w:rPr>
          <w:fldChar w:fldCharType="begin"/>
        </w:r>
        <w:r w:rsidR="008C7BE0">
          <w:rPr>
            <w:noProof/>
            <w:webHidden/>
          </w:rPr>
          <w:instrText xml:space="preserve"> PAGEREF _Toc515543051 \h </w:instrText>
        </w:r>
        <w:r w:rsidR="008C7BE0">
          <w:rPr>
            <w:noProof/>
            <w:webHidden/>
          </w:rPr>
        </w:r>
        <w:r w:rsidR="008C7BE0">
          <w:rPr>
            <w:noProof/>
            <w:webHidden/>
          </w:rPr>
          <w:fldChar w:fldCharType="separate"/>
        </w:r>
        <w:r w:rsidR="00551C5F">
          <w:rPr>
            <w:noProof/>
            <w:webHidden/>
          </w:rPr>
          <w:t>10</w:t>
        </w:r>
        <w:r w:rsidR="008C7BE0">
          <w:rPr>
            <w:noProof/>
            <w:webHidden/>
          </w:rPr>
          <w:fldChar w:fldCharType="end"/>
        </w:r>
      </w:hyperlink>
    </w:p>
    <w:p w:rsidR="008C7BE0" w:rsidRDefault="00B73AB6" w:rsidP="008C7BE0">
      <w:pPr>
        <w:pStyle w:val="TOC2"/>
        <w:tabs>
          <w:tab w:val="left" w:pos="660"/>
          <w:tab w:val="left" w:pos="1080"/>
        </w:tabs>
        <w:spacing w:after="240" w:line="240" w:lineRule="auto"/>
        <w:ind w:left="720"/>
        <w:jc w:val="left"/>
        <w:rPr>
          <w:rFonts w:asciiTheme="minorHAnsi" w:eastAsiaTheme="minorEastAsia" w:hAnsiTheme="minorHAnsi" w:cstheme="minorBidi"/>
          <w:noProof/>
          <w:sz w:val="22"/>
          <w:szCs w:val="22"/>
        </w:rPr>
      </w:pPr>
      <w:hyperlink w:anchor="_Toc515543052" w:history="1">
        <w:r w:rsidR="008C7BE0" w:rsidRPr="002C37FF">
          <w:rPr>
            <w:rStyle w:val="Hyperlink"/>
            <w:noProof/>
          </w:rPr>
          <w:t>C.</w:t>
        </w:r>
        <w:r w:rsidR="008C7BE0">
          <w:rPr>
            <w:rFonts w:asciiTheme="minorHAnsi" w:eastAsiaTheme="minorEastAsia" w:hAnsiTheme="minorHAnsi" w:cstheme="minorBidi"/>
            <w:noProof/>
            <w:sz w:val="22"/>
            <w:szCs w:val="22"/>
          </w:rPr>
          <w:tab/>
        </w:r>
        <w:r w:rsidR="008C7BE0" w:rsidRPr="002C37FF">
          <w:rPr>
            <w:rStyle w:val="Hyperlink"/>
            <w:noProof/>
          </w:rPr>
          <w:t>CenturyLink’s assertion that it purportedly followed policy that has been in place for “many years” does not justify its failure to comply with statutory requirements and Commission rules.</w:t>
        </w:r>
        <w:r w:rsidR="008C7BE0">
          <w:rPr>
            <w:noProof/>
            <w:webHidden/>
          </w:rPr>
          <w:tab/>
        </w:r>
        <w:r w:rsidR="008C7BE0">
          <w:rPr>
            <w:noProof/>
            <w:webHidden/>
          </w:rPr>
          <w:fldChar w:fldCharType="begin"/>
        </w:r>
        <w:r w:rsidR="008C7BE0">
          <w:rPr>
            <w:noProof/>
            <w:webHidden/>
          </w:rPr>
          <w:instrText xml:space="preserve"> PAGEREF _Toc515543052 \h </w:instrText>
        </w:r>
        <w:r w:rsidR="008C7BE0">
          <w:rPr>
            <w:noProof/>
            <w:webHidden/>
          </w:rPr>
        </w:r>
        <w:r w:rsidR="008C7BE0">
          <w:rPr>
            <w:noProof/>
            <w:webHidden/>
          </w:rPr>
          <w:fldChar w:fldCharType="separate"/>
        </w:r>
        <w:r w:rsidR="00551C5F">
          <w:rPr>
            <w:noProof/>
            <w:webHidden/>
          </w:rPr>
          <w:t>15</w:t>
        </w:r>
        <w:r w:rsidR="008C7BE0">
          <w:rPr>
            <w:noProof/>
            <w:webHidden/>
          </w:rPr>
          <w:fldChar w:fldCharType="end"/>
        </w:r>
      </w:hyperlink>
    </w:p>
    <w:p w:rsidR="008C7BE0" w:rsidRDefault="00B73AB6" w:rsidP="008C7BE0">
      <w:pPr>
        <w:pStyle w:val="TOC2"/>
        <w:tabs>
          <w:tab w:val="left" w:pos="1080"/>
        </w:tabs>
        <w:spacing w:after="240" w:line="240" w:lineRule="auto"/>
        <w:ind w:left="720"/>
        <w:jc w:val="left"/>
        <w:rPr>
          <w:rFonts w:asciiTheme="minorHAnsi" w:eastAsiaTheme="minorEastAsia" w:hAnsiTheme="minorHAnsi" w:cstheme="minorBidi"/>
          <w:noProof/>
          <w:sz w:val="22"/>
          <w:szCs w:val="22"/>
        </w:rPr>
      </w:pPr>
      <w:hyperlink w:anchor="_Toc515543053" w:history="1">
        <w:r w:rsidR="008C7BE0" w:rsidRPr="002C37FF">
          <w:rPr>
            <w:rStyle w:val="Hyperlink"/>
            <w:noProof/>
          </w:rPr>
          <w:t>D.</w:t>
        </w:r>
        <w:r w:rsidR="008C7BE0">
          <w:rPr>
            <w:rFonts w:asciiTheme="minorHAnsi" w:eastAsiaTheme="minorEastAsia" w:hAnsiTheme="minorHAnsi" w:cstheme="minorBidi"/>
            <w:noProof/>
            <w:sz w:val="22"/>
            <w:szCs w:val="22"/>
          </w:rPr>
          <w:tab/>
        </w:r>
        <w:r w:rsidR="008C7BE0" w:rsidRPr="002C37FF">
          <w:rPr>
            <w:rStyle w:val="Hyperlink"/>
            <w:noProof/>
          </w:rPr>
          <w:t>CenturyLink’s inadequate record-keeping prevents the Commission from assessing the broader harm that the Company’s policy caused.</w:t>
        </w:r>
        <w:r w:rsidR="008C7BE0">
          <w:rPr>
            <w:noProof/>
            <w:webHidden/>
          </w:rPr>
          <w:tab/>
        </w:r>
        <w:r w:rsidR="008C7BE0">
          <w:rPr>
            <w:noProof/>
            <w:webHidden/>
          </w:rPr>
          <w:fldChar w:fldCharType="begin"/>
        </w:r>
        <w:r w:rsidR="008C7BE0">
          <w:rPr>
            <w:noProof/>
            <w:webHidden/>
          </w:rPr>
          <w:instrText xml:space="preserve"> PAGEREF _Toc515543053 \h </w:instrText>
        </w:r>
        <w:r w:rsidR="008C7BE0">
          <w:rPr>
            <w:noProof/>
            <w:webHidden/>
          </w:rPr>
        </w:r>
        <w:r w:rsidR="008C7BE0">
          <w:rPr>
            <w:noProof/>
            <w:webHidden/>
          </w:rPr>
          <w:fldChar w:fldCharType="separate"/>
        </w:r>
        <w:r w:rsidR="00551C5F">
          <w:rPr>
            <w:noProof/>
            <w:webHidden/>
          </w:rPr>
          <w:t>25</w:t>
        </w:r>
        <w:r w:rsidR="008C7BE0">
          <w:rPr>
            <w:noProof/>
            <w:webHidden/>
          </w:rPr>
          <w:fldChar w:fldCharType="end"/>
        </w:r>
      </w:hyperlink>
    </w:p>
    <w:p w:rsidR="008C7BE0" w:rsidRDefault="00B73AB6" w:rsidP="008C7BE0">
      <w:pPr>
        <w:pStyle w:val="TOC2"/>
        <w:tabs>
          <w:tab w:val="left" w:pos="440"/>
          <w:tab w:val="left" w:pos="1080"/>
        </w:tabs>
        <w:spacing w:after="240" w:line="240" w:lineRule="auto"/>
        <w:ind w:left="720"/>
        <w:jc w:val="left"/>
        <w:rPr>
          <w:rFonts w:asciiTheme="minorHAnsi" w:eastAsiaTheme="minorEastAsia" w:hAnsiTheme="minorHAnsi" w:cstheme="minorBidi"/>
          <w:noProof/>
          <w:sz w:val="22"/>
          <w:szCs w:val="22"/>
        </w:rPr>
      </w:pPr>
      <w:hyperlink w:anchor="_Toc515543054" w:history="1">
        <w:r w:rsidR="008C7BE0" w:rsidRPr="002C37FF">
          <w:rPr>
            <w:rStyle w:val="Hyperlink"/>
            <w:noProof/>
          </w:rPr>
          <w:t>E.</w:t>
        </w:r>
        <w:r w:rsidR="008C7BE0">
          <w:rPr>
            <w:rFonts w:asciiTheme="minorHAnsi" w:eastAsiaTheme="minorEastAsia" w:hAnsiTheme="minorHAnsi" w:cstheme="minorBidi"/>
            <w:noProof/>
            <w:sz w:val="22"/>
            <w:szCs w:val="22"/>
          </w:rPr>
          <w:tab/>
        </w:r>
        <w:r w:rsidR="008C7BE0" w:rsidRPr="002C37FF">
          <w:rPr>
            <w:rStyle w:val="Hyperlink"/>
            <w:noProof/>
          </w:rPr>
          <w:t>CenturyLink should be penalized for its statutory and rule violations</w:t>
        </w:r>
        <w:r w:rsidR="00621191">
          <w:rPr>
            <w:rStyle w:val="Hyperlink"/>
            <w:noProof/>
          </w:rPr>
          <w:t>.</w:t>
        </w:r>
        <w:r w:rsidR="008C7BE0">
          <w:rPr>
            <w:noProof/>
            <w:webHidden/>
          </w:rPr>
          <w:tab/>
        </w:r>
        <w:r w:rsidR="008C7BE0">
          <w:rPr>
            <w:noProof/>
            <w:webHidden/>
          </w:rPr>
          <w:fldChar w:fldCharType="begin"/>
        </w:r>
        <w:r w:rsidR="008C7BE0">
          <w:rPr>
            <w:noProof/>
            <w:webHidden/>
          </w:rPr>
          <w:instrText xml:space="preserve"> PAGEREF _Toc515543054 \h </w:instrText>
        </w:r>
        <w:r w:rsidR="008C7BE0">
          <w:rPr>
            <w:noProof/>
            <w:webHidden/>
          </w:rPr>
        </w:r>
        <w:r w:rsidR="008C7BE0">
          <w:rPr>
            <w:noProof/>
            <w:webHidden/>
          </w:rPr>
          <w:fldChar w:fldCharType="separate"/>
        </w:r>
        <w:r w:rsidR="00551C5F">
          <w:rPr>
            <w:noProof/>
            <w:webHidden/>
          </w:rPr>
          <w:t>27</w:t>
        </w:r>
        <w:r w:rsidR="008C7BE0">
          <w:rPr>
            <w:noProof/>
            <w:webHidden/>
          </w:rPr>
          <w:fldChar w:fldCharType="end"/>
        </w:r>
      </w:hyperlink>
    </w:p>
    <w:p w:rsidR="008C7BE0" w:rsidRDefault="00B73AB6" w:rsidP="008C7BE0">
      <w:pPr>
        <w:pStyle w:val="TOC1"/>
        <w:rPr>
          <w:rFonts w:asciiTheme="minorHAnsi" w:eastAsiaTheme="minorEastAsia" w:hAnsiTheme="minorHAnsi" w:cstheme="minorBidi"/>
          <w:noProof/>
          <w:sz w:val="22"/>
          <w:szCs w:val="22"/>
        </w:rPr>
      </w:pPr>
      <w:hyperlink w:anchor="_Toc515543055" w:history="1">
        <w:r w:rsidR="008C7BE0" w:rsidRPr="002C37FF">
          <w:rPr>
            <w:rStyle w:val="Hyperlink"/>
            <w:noProof/>
          </w:rPr>
          <w:t>IV.</w:t>
        </w:r>
        <w:r w:rsidR="008C7BE0">
          <w:rPr>
            <w:rFonts w:asciiTheme="minorHAnsi" w:eastAsiaTheme="minorEastAsia" w:hAnsiTheme="minorHAnsi" w:cstheme="minorBidi"/>
            <w:noProof/>
            <w:sz w:val="22"/>
            <w:szCs w:val="22"/>
          </w:rPr>
          <w:tab/>
        </w:r>
        <w:r w:rsidR="008C7BE0" w:rsidRPr="002C37FF">
          <w:rPr>
            <w:rStyle w:val="Hyperlink"/>
            <w:noProof/>
          </w:rPr>
          <w:t>ISSUES THAT GO BEYOND THE CURRENT DOCKET</w:t>
        </w:r>
        <w:r w:rsidR="008C7BE0">
          <w:rPr>
            <w:noProof/>
            <w:webHidden/>
          </w:rPr>
          <w:tab/>
        </w:r>
        <w:r w:rsidR="008C7BE0">
          <w:rPr>
            <w:noProof/>
            <w:webHidden/>
          </w:rPr>
          <w:fldChar w:fldCharType="begin"/>
        </w:r>
        <w:r w:rsidR="008C7BE0">
          <w:rPr>
            <w:noProof/>
            <w:webHidden/>
          </w:rPr>
          <w:instrText xml:space="preserve"> PAGEREF _Toc515543055 \h </w:instrText>
        </w:r>
        <w:r w:rsidR="008C7BE0">
          <w:rPr>
            <w:noProof/>
            <w:webHidden/>
          </w:rPr>
        </w:r>
        <w:r w:rsidR="008C7BE0">
          <w:rPr>
            <w:noProof/>
            <w:webHidden/>
          </w:rPr>
          <w:fldChar w:fldCharType="separate"/>
        </w:r>
        <w:r w:rsidR="00551C5F">
          <w:rPr>
            <w:noProof/>
            <w:webHidden/>
          </w:rPr>
          <w:t>32</w:t>
        </w:r>
        <w:r w:rsidR="008C7BE0">
          <w:rPr>
            <w:noProof/>
            <w:webHidden/>
          </w:rPr>
          <w:fldChar w:fldCharType="end"/>
        </w:r>
      </w:hyperlink>
    </w:p>
    <w:p w:rsidR="008C7BE0" w:rsidRDefault="00B73AB6" w:rsidP="008C7BE0">
      <w:pPr>
        <w:pStyle w:val="TOC1"/>
        <w:rPr>
          <w:rFonts w:asciiTheme="minorHAnsi" w:eastAsiaTheme="minorEastAsia" w:hAnsiTheme="minorHAnsi" w:cstheme="minorBidi"/>
          <w:noProof/>
          <w:sz w:val="22"/>
          <w:szCs w:val="22"/>
        </w:rPr>
      </w:pPr>
      <w:hyperlink w:anchor="_Toc515543056" w:history="1">
        <w:r w:rsidR="008C7BE0" w:rsidRPr="002C37FF">
          <w:rPr>
            <w:rStyle w:val="Hyperlink"/>
            <w:noProof/>
          </w:rPr>
          <w:t>V.</w:t>
        </w:r>
        <w:r w:rsidR="008C7BE0">
          <w:rPr>
            <w:rFonts w:asciiTheme="minorHAnsi" w:eastAsiaTheme="minorEastAsia" w:hAnsiTheme="minorHAnsi" w:cstheme="minorBidi"/>
            <w:noProof/>
            <w:sz w:val="22"/>
            <w:szCs w:val="22"/>
          </w:rPr>
          <w:tab/>
        </w:r>
        <w:r w:rsidR="008C7BE0" w:rsidRPr="002C37FF">
          <w:rPr>
            <w:rStyle w:val="Hyperlink"/>
            <w:noProof/>
          </w:rPr>
          <w:t>CONCLUSION</w:t>
        </w:r>
        <w:r w:rsidR="008C7BE0">
          <w:rPr>
            <w:noProof/>
            <w:webHidden/>
          </w:rPr>
          <w:tab/>
        </w:r>
        <w:r w:rsidR="008C7BE0">
          <w:rPr>
            <w:noProof/>
            <w:webHidden/>
          </w:rPr>
          <w:fldChar w:fldCharType="begin"/>
        </w:r>
        <w:r w:rsidR="008C7BE0">
          <w:rPr>
            <w:noProof/>
            <w:webHidden/>
          </w:rPr>
          <w:instrText xml:space="preserve"> PAGEREF _Toc515543056 \h </w:instrText>
        </w:r>
        <w:r w:rsidR="008C7BE0">
          <w:rPr>
            <w:noProof/>
            <w:webHidden/>
          </w:rPr>
        </w:r>
        <w:r w:rsidR="008C7BE0">
          <w:rPr>
            <w:noProof/>
            <w:webHidden/>
          </w:rPr>
          <w:fldChar w:fldCharType="separate"/>
        </w:r>
        <w:r w:rsidR="00551C5F">
          <w:rPr>
            <w:noProof/>
            <w:webHidden/>
          </w:rPr>
          <w:t>37</w:t>
        </w:r>
        <w:r w:rsidR="008C7BE0">
          <w:rPr>
            <w:noProof/>
            <w:webHidden/>
          </w:rPr>
          <w:fldChar w:fldCharType="end"/>
        </w:r>
      </w:hyperlink>
    </w:p>
    <w:p w:rsidR="00D07104" w:rsidRDefault="00D07104" w:rsidP="008C7BE0">
      <w:pPr>
        <w:spacing w:after="240"/>
      </w:pPr>
      <w:r>
        <w:fldChar w:fldCharType="end"/>
      </w:r>
    </w:p>
    <w:p w:rsidR="00D07104" w:rsidRDefault="00D07104" w:rsidP="00D07104">
      <w:pPr>
        <w:rPr>
          <w:rFonts w:ascii="Times" w:hAnsi="Times"/>
          <w:b/>
        </w:rPr>
      </w:pPr>
    </w:p>
    <w:p w:rsidR="003C6103" w:rsidRDefault="00D07104" w:rsidP="00D07104">
      <w:pPr>
        <w:pStyle w:val="TOC2"/>
      </w:pPr>
      <w:r>
        <w:br w:type="page"/>
      </w:r>
      <w:r w:rsidR="0055451A">
        <w:lastRenderedPageBreak/>
        <w:t>RESPONSE</w:t>
      </w:r>
      <w:r w:rsidR="003C6103">
        <w:t xml:space="preserve"> TESTI</w:t>
      </w:r>
      <w:r w:rsidR="00624F68">
        <w:t>MONY OF SUSAN M. BALDWIN (SMB-1</w:t>
      </w:r>
      <w:r w:rsidR="003C6103">
        <w:t>T)</w:t>
      </w:r>
    </w:p>
    <w:p w:rsidR="003C6103" w:rsidRDefault="003C6103" w:rsidP="003C6103">
      <w:pPr>
        <w:jc w:val="center"/>
      </w:pPr>
      <w:r>
        <w:br/>
        <w:t>DOCKET UT-171082</w:t>
      </w:r>
    </w:p>
    <w:p w:rsidR="003C6103" w:rsidRDefault="003C6103" w:rsidP="003C6103">
      <w:pPr>
        <w:jc w:val="center"/>
      </w:pPr>
    </w:p>
    <w:p w:rsidR="00747EEF" w:rsidRDefault="00747EEF" w:rsidP="003C6103">
      <w:pPr>
        <w:jc w:val="center"/>
        <w:rPr>
          <w:rFonts w:ascii="Times" w:hAnsi="Times"/>
          <w:b/>
          <w:u w:val="single"/>
        </w:rPr>
      </w:pPr>
      <w:r>
        <w:rPr>
          <w:rFonts w:ascii="Times" w:hAnsi="Times"/>
          <w:b/>
          <w:u w:val="single"/>
        </w:rPr>
        <w:t>EXHIBIT</w:t>
      </w:r>
      <w:r w:rsidR="003C6103">
        <w:rPr>
          <w:rFonts w:ascii="Times" w:hAnsi="Times"/>
          <w:b/>
          <w:u w:val="single"/>
        </w:rPr>
        <w:t>S</w:t>
      </w:r>
      <w:r>
        <w:rPr>
          <w:rFonts w:ascii="Times" w:hAnsi="Times"/>
          <w:b/>
          <w:u w:val="single"/>
        </w:rPr>
        <w:t xml:space="preserve"> LIST</w:t>
      </w:r>
    </w:p>
    <w:p w:rsidR="00747EEF" w:rsidRDefault="00747EEF">
      <w:pPr>
        <w:jc w:val="center"/>
        <w:rPr>
          <w:rFonts w:ascii="Times" w:hAnsi="Times"/>
          <w:u w:val="single"/>
        </w:rPr>
      </w:pPr>
    </w:p>
    <w:p w:rsidR="00F238D1" w:rsidRDefault="00F238D1" w:rsidP="00F238D1">
      <w:r>
        <w:t>Exhibit SMB-2</w:t>
      </w:r>
      <w:r>
        <w:tab/>
        <w:t>Susan M. Baldwin Statement of Qualifications</w:t>
      </w:r>
    </w:p>
    <w:p w:rsidR="00F238D1" w:rsidRDefault="00F238D1" w:rsidP="00F238D1"/>
    <w:p w:rsidR="00F238D1" w:rsidRPr="003B65EB" w:rsidRDefault="00F238D1" w:rsidP="00F238D1">
      <w:pPr>
        <w:ind w:left="2160" w:hanging="2160"/>
      </w:pPr>
      <w:r>
        <w:t>Exhibit SMB-3</w:t>
      </w:r>
      <w:r>
        <w:tab/>
        <w:t xml:space="preserve">Sherry Lichtenberg, Ph.D., </w:t>
      </w:r>
      <w:r>
        <w:rPr>
          <w:i/>
        </w:rPr>
        <w:t>Carrier of Last Resort: Anachronism or Necessity?</w:t>
      </w:r>
      <w:r>
        <w:t>, NRRI Report No. 16-06 (Jul. 2016)</w:t>
      </w:r>
    </w:p>
    <w:p w:rsidR="00F238D1" w:rsidRDefault="00F238D1" w:rsidP="00F238D1"/>
    <w:p w:rsidR="00F238D1" w:rsidRDefault="00F238D1" w:rsidP="00F238D1">
      <w:r>
        <w:t xml:space="preserve">Exhibit SMB-4 </w:t>
      </w:r>
      <w:r>
        <w:tab/>
        <w:t>CenturyLink’s Response to Public Counsel Data Request 6</w:t>
      </w:r>
    </w:p>
    <w:p w:rsidR="00F238D1" w:rsidRDefault="00F238D1" w:rsidP="00F238D1"/>
    <w:p w:rsidR="00F238D1" w:rsidRDefault="00F238D1" w:rsidP="00F238D1">
      <w:pPr>
        <w:ind w:left="2160" w:hanging="2160"/>
      </w:pPr>
      <w:r>
        <w:t>Exhibit SMB-5</w:t>
      </w:r>
      <w:r>
        <w:tab/>
        <w:t>CenturyLink’s Response to Public Couns</w:t>
      </w:r>
      <w:r w:rsidR="00D42B53">
        <w:t>el Data Request 2, and pages 20</w:t>
      </w:r>
      <w:r w:rsidR="00D42B53">
        <w:noBreakHyphen/>
      </w:r>
      <w:r>
        <w:t>23 of Attachment (PAHD Tariff)</w:t>
      </w:r>
    </w:p>
    <w:p w:rsidR="00F238D1" w:rsidRDefault="00F238D1" w:rsidP="00F238D1"/>
    <w:p w:rsidR="00F238D1" w:rsidRDefault="00F238D1" w:rsidP="00F238D1">
      <w:r>
        <w:t>Exhibit SMB-6</w:t>
      </w:r>
      <w:r>
        <w:tab/>
        <w:t>CenturyLink’s Response to Public Counsel Data Request 12</w:t>
      </w:r>
    </w:p>
    <w:p w:rsidR="00F238D1" w:rsidRDefault="00F238D1" w:rsidP="00F238D1"/>
    <w:p w:rsidR="00F238D1" w:rsidRDefault="00F238D1" w:rsidP="00F238D1">
      <w:pPr>
        <w:ind w:left="2160" w:hanging="2160"/>
      </w:pPr>
      <w:r>
        <w:t>Exhibit SMB-7C</w:t>
      </w:r>
      <w:r>
        <w:tab/>
        <w:t>CenturyLink’s CONFIDENTIAL Response to Public Counsel Data Request 13</w:t>
      </w:r>
    </w:p>
    <w:p w:rsidR="00F238D1" w:rsidRDefault="00F238D1" w:rsidP="00F238D1"/>
    <w:p w:rsidR="00C118BD" w:rsidRDefault="00F238D1" w:rsidP="00573379">
      <w:pPr>
        <w:ind w:left="2160" w:hanging="2160"/>
      </w:pPr>
      <w:r>
        <w:t>Exhibit SMB-8</w:t>
      </w:r>
      <w:r>
        <w:tab/>
      </w:r>
      <w:r w:rsidR="00C118BD">
        <w:t>CenturyLink’s</w:t>
      </w:r>
      <w:r w:rsidR="00FB1506">
        <w:t xml:space="preserve"> Supplemental</w:t>
      </w:r>
      <w:r w:rsidR="00C118BD">
        <w:t xml:space="preserve"> Response </w:t>
      </w:r>
      <w:r w:rsidR="00FB1506">
        <w:t>to Public Counsel Data Request 3</w:t>
      </w:r>
      <w:r w:rsidR="0055451A">
        <w:t>, and Attachment PC-3</w:t>
      </w:r>
    </w:p>
    <w:p w:rsidR="00C118BD" w:rsidRDefault="00C118BD" w:rsidP="00F238D1"/>
    <w:p w:rsidR="00F238D1" w:rsidRDefault="00C118BD" w:rsidP="00F238D1">
      <w:r>
        <w:t>Exhibit SMB-9</w:t>
      </w:r>
      <w:r>
        <w:tab/>
      </w:r>
      <w:r w:rsidR="00F238D1">
        <w:t>CenturyLink’s Response to Public Counsel Data Request 11</w:t>
      </w:r>
    </w:p>
    <w:p w:rsidR="00F238D1" w:rsidRDefault="00F238D1" w:rsidP="00F238D1"/>
    <w:p w:rsidR="00E754AC" w:rsidRDefault="00F238D1" w:rsidP="00972D8A">
      <w:r>
        <w:t>Exhibit SMB-</w:t>
      </w:r>
      <w:r w:rsidR="0072720A">
        <w:t>10</w:t>
      </w:r>
      <w:r>
        <w:tab/>
        <w:t>CenturyLink’s Response to Public Counsel Data Request 8</w:t>
      </w:r>
      <w:r w:rsidR="00E754AC">
        <w:tab/>
      </w:r>
      <w:r w:rsidR="00E754AC">
        <w:tab/>
      </w:r>
    </w:p>
    <w:p w:rsidR="00747EEF" w:rsidRDefault="00747EEF"/>
    <w:p w:rsidR="00747EEF" w:rsidRDefault="00747EEF">
      <w:pPr>
        <w:sectPr w:rsidR="00747EE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1440" w:gutter="0"/>
          <w:pgNumType w:start="1"/>
          <w:cols w:space="720"/>
          <w:noEndnote/>
          <w:titlePg/>
        </w:sectPr>
      </w:pPr>
    </w:p>
    <w:p w:rsidR="00B226DA" w:rsidRPr="00D07104" w:rsidRDefault="00B226DA" w:rsidP="00D07104">
      <w:pPr>
        <w:pStyle w:val="Heading1"/>
      </w:pPr>
      <w:bookmarkStart w:id="0" w:name="_Toc514341586"/>
      <w:bookmarkStart w:id="1" w:name="_Toc514342484"/>
      <w:bookmarkStart w:id="2" w:name="_Toc514345299"/>
      <w:bookmarkStart w:id="3" w:name="_Toc514651344"/>
      <w:bookmarkStart w:id="4" w:name="_Toc514673427"/>
      <w:bookmarkStart w:id="5" w:name="_Toc515443389"/>
      <w:bookmarkStart w:id="6" w:name="_Toc515543045"/>
      <w:r w:rsidRPr="00D07104">
        <w:lastRenderedPageBreak/>
        <w:t>INTRODUCTION / SUMMARY</w:t>
      </w:r>
      <w:bookmarkEnd w:id="0"/>
      <w:bookmarkEnd w:id="1"/>
      <w:bookmarkEnd w:id="2"/>
      <w:bookmarkEnd w:id="3"/>
      <w:bookmarkEnd w:id="4"/>
      <w:bookmarkEnd w:id="5"/>
      <w:bookmarkEnd w:id="6"/>
    </w:p>
    <w:p w:rsidR="004A65EF" w:rsidRDefault="004A65EF" w:rsidP="00E059E4">
      <w:pPr>
        <w:spacing w:line="480" w:lineRule="auto"/>
        <w:rPr>
          <w:b/>
        </w:rPr>
      </w:pPr>
      <w:r>
        <w:rPr>
          <w:b/>
        </w:rPr>
        <w:t>Q:</w:t>
      </w:r>
      <w:r>
        <w:rPr>
          <w:b/>
        </w:rPr>
        <w:tab/>
        <w:t>Please state your name and business address.</w:t>
      </w:r>
    </w:p>
    <w:p w:rsidR="002104A6" w:rsidRPr="00EE423F" w:rsidRDefault="004A65EF" w:rsidP="00E059E4">
      <w:pPr>
        <w:pStyle w:val="BodyText2"/>
        <w:spacing w:line="480" w:lineRule="auto"/>
        <w:ind w:left="720" w:hanging="720"/>
        <w:rPr>
          <w:b w:val="0"/>
        </w:rPr>
      </w:pPr>
      <w:r w:rsidRPr="00C02C3C">
        <w:rPr>
          <w:b w:val="0"/>
        </w:rPr>
        <w:t>A:</w:t>
      </w:r>
      <w:r>
        <w:tab/>
      </w:r>
      <w:r w:rsidR="002104A6" w:rsidRPr="002104A6">
        <w:rPr>
          <w:b w:val="0"/>
        </w:rPr>
        <w:t>My name is Susan M. Baldwin.  I am a</w:t>
      </w:r>
      <w:r w:rsidR="001E3731">
        <w:rPr>
          <w:b w:val="0"/>
        </w:rPr>
        <w:t>n independent</w:t>
      </w:r>
      <w:r w:rsidR="002104A6" w:rsidRPr="002104A6">
        <w:rPr>
          <w:b w:val="0"/>
        </w:rPr>
        <w:t xml:space="preserve"> consultant</w:t>
      </w:r>
      <w:r w:rsidR="00864534">
        <w:rPr>
          <w:b w:val="0"/>
        </w:rPr>
        <w:t>,</w:t>
      </w:r>
      <w:r w:rsidR="001E3731">
        <w:rPr>
          <w:b w:val="0"/>
        </w:rPr>
        <w:t xml:space="preserve"> and </w:t>
      </w:r>
      <w:r w:rsidR="00296E83">
        <w:rPr>
          <w:b w:val="0"/>
        </w:rPr>
        <w:t>my business is</w:t>
      </w:r>
      <w:r w:rsidR="001E3731">
        <w:rPr>
          <w:b w:val="0"/>
        </w:rPr>
        <w:t xml:space="preserve"> located at</w:t>
      </w:r>
      <w:r w:rsidR="002104A6" w:rsidRPr="002104A6">
        <w:rPr>
          <w:b w:val="0"/>
        </w:rPr>
        <w:t xml:space="preserve"> 13 Church Hill Street, Watertown, Massachusetts 02472</w:t>
      </w:r>
      <w:r w:rsidR="006E625C">
        <w:rPr>
          <w:b w:val="0"/>
        </w:rPr>
        <w:t xml:space="preserve">.  </w:t>
      </w:r>
      <w:r w:rsidR="002104A6" w:rsidRPr="002104A6">
        <w:rPr>
          <w:b w:val="0"/>
        </w:rPr>
        <w:t xml:space="preserve">   </w:t>
      </w:r>
    </w:p>
    <w:p w:rsidR="004A65EF" w:rsidRDefault="004A65EF" w:rsidP="00E059E4">
      <w:pPr>
        <w:tabs>
          <w:tab w:val="left" w:pos="-1440"/>
        </w:tabs>
        <w:spacing w:line="480" w:lineRule="auto"/>
        <w:ind w:left="720" w:hanging="720"/>
        <w:rPr>
          <w:b/>
        </w:rPr>
      </w:pPr>
      <w:r>
        <w:rPr>
          <w:b/>
        </w:rPr>
        <w:t>Q:</w:t>
      </w:r>
      <w:r>
        <w:tab/>
      </w:r>
      <w:r>
        <w:rPr>
          <w:b/>
        </w:rPr>
        <w:t>On whose behalf are you testifying?</w:t>
      </w:r>
    </w:p>
    <w:p w:rsidR="004A65EF" w:rsidRDefault="004A65EF" w:rsidP="00E059E4">
      <w:pPr>
        <w:tabs>
          <w:tab w:val="left" w:pos="-1440"/>
        </w:tabs>
        <w:spacing w:line="480" w:lineRule="auto"/>
        <w:ind w:left="720" w:hanging="720"/>
      </w:pPr>
      <w:r w:rsidRPr="00A5137E">
        <w:t>A</w:t>
      </w:r>
      <w:r>
        <w:rPr>
          <w:b/>
        </w:rPr>
        <w:t>:</w:t>
      </w:r>
      <w:r>
        <w:rPr>
          <w:b/>
        </w:rPr>
        <w:tab/>
      </w:r>
      <w:r>
        <w:t xml:space="preserve">I am testifying on behalf of the Public Counsel </w:t>
      </w:r>
      <w:r w:rsidR="005B01F7">
        <w:t>Unit</w:t>
      </w:r>
      <w:r>
        <w:t xml:space="preserve"> of the </w:t>
      </w:r>
      <w:r w:rsidR="005B01F7">
        <w:t xml:space="preserve">Attorney General’s Office of </w:t>
      </w:r>
      <w:r>
        <w:t>Washington (Public Counsel)</w:t>
      </w:r>
      <w:r w:rsidR="006E625C">
        <w:t xml:space="preserve">. </w:t>
      </w:r>
      <w:r>
        <w:t xml:space="preserve"> </w:t>
      </w:r>
    </w:p>
    <w:p w:rsidR="002104A6" w:rsidRDefault="004A65EF" w:rsidP="00E059E4">
      <w:pPr>
        <w:pStyle w:val="BodyText2"/>
        <w:spacing w:line="480" w:lineRule="auto"/>
        <w:ind w:left="720" w:hanging="720"/>
        <w:rPr>
          <w:b w:val="0"/>
        </w:rPr>
      </w:pPr>
      <w:r w:rsidRPr="002104A6">
        <w:t>Q:</w:t>
      </w:r>
      <w:r>
        <w:tab/>
      </w:r>
      <w:r w:rsidR="002104A6">
        <w:t>Please summarize your educational background and professional experience.</w:t>
      </w:r>
    </w:p>
    <w:p w:rsidR="00D361F6" w:rsidRDefault="002104A6" w:rsidP="00E059E4">
      <w:pPr>
        <w:pStyle w:val="BodyText2"/>
        <w:spacing w:line="480" w:lineRule="auto"/>
        <w:ind w:left="720" w:hanging="720"/>
        <w:rPr>
          <w:b w:val="0"/>
        </w:rPr>
      </w:pPr>
      <w:r w:rsidRPr="00C02C3C">
        <w:rPr>
          <w:b w:val="0"/>
        </w:rPr>
        <w:t>A:</w:t>
      </w:r>
      <w:r>
        <w:tab/>
      </w:r>
      <w:r w:rsidRPr="002104A6">
        <w:rPr>
          <w:b w:val="0"/>
        </w:rPr>
        <w:t>Since 1984, I have specializ</w:t>
      </w:r>
      <w:r w:rsidR="001E3731">
        <w:rPr>
          <w:b w:val="0"/>
        </w:rPr>
        <w:t>ed</w:t>
      </w:r>
      <w:r w:rsidRPr="002104A6">
        <w:rPr>
          <w:b w:val="0"/>
        </w:rPr>
        <w:t xml:space="preserve"> in the economics, regulation, and public policy of utilities, with a long-standing focus on telecommunications </w:t>
      </w:r>
      <w:r w:rsidR="0018728D">
        <w:rPr>
          <w:b w:val="0"/>
        </w:rPr>
        <w:t xml:space="preserve">markets </w:t>
      </w:r>
      <w:r w:rsidRPr="002104A6">
        <w:rPr>
          <w:b w:val="0"/>
        </w:rPr>
        <w:t>and</w:t>
      </w:r>
      <w:r w:rsidR="006E6268">
        <w:rPr>
          <w:b w:val="0"/>
        </w:rPr>
        <w:t>, more recently,</w:t>
      </w:r>
      <w:r w:rsidR="009E6680">
        <w:rPr>
          <w:b w:val="0"/>
        </w:rPr>
        <w:t xml:space="preserve"> </w:t>
      </w:r>
      <w:r w:rsidRPr="002104A6">
        <w:rPr>
          <w:b w:val="0"/>
        </w:rPr>
        <w:t>consumer issues in electric and gas markets.</w:t>
      </w:r>
      <w:r w:rsidR="006E6268">
        <w:rPr>
          <w:b w:val="0"/>
        </w:rPr>
        <w:t xml:space="preserve">  I have testified before 23 </w:t>
      </w:r>
      <w:r w:rsidR="00763CC5">
        <w:rPr>
          <w:b w:val="0"/>
        </w:rPr>
        <w:t xml:space="preserve">state public utility commissions </w:t>
      </w:r>
      <w:r w:rsidR="004C37BE">
        <w:rPr>
          <w:b w:val="0"/>
        </w:rPr>
        <w:t>nationwide</w:t>
      </w:r>
      <w:r w:rsidR="006E6268">
        <w:rPr>
          <w:b w:val="0"/>
        </w:rPr>
        <w:t>, including Arkansas, California, Colorado, Connecticut, District of Columbia, Idaho, Illinois, Indiana, Iowa, Maryland, Massachusetts, Nevada, New Hamps</w:t>
      </w:r>
      <w:r w:rsidR="004C37BE">
        <w:rPr>
          <w:b w:val="0"/>
        </w:rPr>
        <w:t>h</w:t>
      </w:r>
      <w:r w:rsidR="006E6268">
        <w:rPr>
          <w:b w:val="0"/>
        </w:rPr>
        <w:t>ire</w:t>
      </w:r>
      <w:r w:rsidR="004C37BE">
        <w:rPr>
          <w:b w:val="0"/>
        </w:rPr>
        <w:t>, New Jersey, New York, Ohio, Pennsylvania, Rhode Island, Tennessee, Vermont, Washington State, West Virginia, and Wyoming</w:t>
      </w:r>
      <w:r w:rsidR="00FD5F45">
        <w:rPr>
          <w:b w:val="0"/>
        </w:rPr>
        <w:t>.</w:t>
      </w:r>
      <w:r w:rsidR="0018728D">
        <w:rPr>
          <w:b w:val="0"/>
        </w:rPr>
        <w:t xml:space="preserve"> </w:t>
      </w:r>
      <w:r w:rsidR="0013257C">
        <w:rPr>
          <w:b w:val="0"/>
        </w:rPr>
        <w:t xml:space="preserve">I have </w:t>
      </w:r>
      <w:r w:rsidR="00FD5F45">
        <w:rPr>
          <w:b w:val="0"/>
        </w:rPr>
        <w:t xml:space="preserve">also </w:t>
      </w:r>
      <w:r w:rsidR="0018728D">
        <w:rPr>
          <w:b w:val="0"/>
        </w:rPr>
        <w:t xml:space="preserve">participated in dozens of Federal Communications Commission </w:t>
      </w:r>
      <w:r w:rsidR="00763CC5">
        <w:rPr>
          <w:b w:val="0"/>
        </w:rPr>
        <w:t xml:space="preserve">(FCC) </w:t>
      </w:r>
      <w:r w:rsidR="0018728D">
        <w:rPr>
          <w:b w:val="0"/>
        </w:rPr>
        <w:t>proceedings</w:t>
      </w:r>
      <w:r w:rsidR="006E625C">
        <w:rPr>
          <w:b w:val="0"/>
        </w:rPr>
        <w:t xml:space="preserve">.  </w:t>
      </w:r>
    </w:p>
    <w:p w:rsidR="002104A6" w:rsidRDefault="00864534" w:rsidP="00BC27BB">
      <w:pPr>
        <w:pStyle w:val="BodyText2"/>
        <w:spacing w:line="480" w:lineRule="auto"/>
        <w:ind w:left="720" w:firstLine="720"/>
      </w:pPr>
      <w:r>
        <w:rPr>
          <w:b w:val="0"/>
        </w:rPr>
        <w:t xml:space="preserve">As an independent consultant, I have worked on many diverse issues, including </w:t>
      </w:r>
      <w:r w:rsidR="00116F85">
        <w:rPr>
          <w:b w:val="0"/>
        </w:rPr>
        <w:t>a</w:t>
      </w:r>
      <w:r>
        <w:rPr>
          <w:b w:val="0"/>
        </w:rPr>
        <w:t>nalyz</w:t>
      </w:r>
      <w:r w:rsidR="00116F85">
        <w:rPr>
          <w:b w:val="0"/>
        </w:rPr>
        <w:t>ing</w:t>
      </w:r>
      <w:r>
        <w:rPr>
          <w:b w:val="0"/>
        </w:rPr>
        <w:t xml:space="preserve"> carrier of last resort obligations in state public utility commission proceedings and FCC proceedings.  I have also analyzed various state legislative proposals that would modify or eliminate regulatory oversight of the withdrawal of basic telecommunications service and carrier of last resort obligations.  </w:t>
      </w:r>
      <w:r w:rsidR="00FE0A0C">
        <w:rPr>
          <w:b w:val="0"/>
        </w:rPr>
        <w:t>Earlier in my career, I served as</w:t>
      </w:r>
      <w:r w:rsidR="0065322F">
        <w:rPr>
          <w:b w:val="0"/>
        </w:rPr>
        <w:t xml:space="preserve"> Director of Publications and Tariff </w:t>
      </w:r>
      <w:r w:rsidR="0065322F">
        <w:rPr>
          <w:b w:val="0"/>
        </w:rPr>
        <w:lastRenderedPageBreak/>
        <w:t>Research for a consulting firm that specialized in telecommunications</w:t>
      </w:r>
      <w:r w:rsidR="00FE0A0C">
        <w:rPr>
          <w:b w:val="0"/>
        </w:rPr>
        <w:t xml:space="preserve"> regulation</w:t>
      </w:r>
      <w:r w:rsidR="00D361F6">
        <w:rPr>
          <w:b w:val="0"/>
        </w:rPr>
        <w:t xml:space="preserve">.  I also served </w:t>
      </w:r>
      <w:r w:rsidR="0065322F">
        <w:rPr>
          <w:b w:val="0"/>
        </w:rPr>
        <w:t>as Dire</w:t>
      </w:r>
      <w:r w:rsidR="00D361F6">
        <w:rPr>
          <w:b w:val="0"/>
        </w:rPr>
        <w:t>ctor of the Telecommunications Division f</w:t>
      </w:r>
      <w:r w:rsidR="0065322F">
        <w:rPr>
          <w:b w:val="0"/>
        </w:rPr>
        <w:t xml:space="preserve">or the Massachusetts Department of Public Utilities </w:t>
      </w:r>
      <w:r w:rsidR="00D361F6">
        <w:rPr>
          <w:b w:val="0"/>
        </w:rPr>
        <w:t xml:space="preserve">where I </w:t>
      </w:r>
      <w:r w:rsidR="00D361F6" w:rsidRPr="00D361F6">
        <w:rPr>
          <w:b w:val="0"/>
        </w:rPr>
        <w:t xml:space="preserve">advised and drafted decisions for the </w:t>
      </w:r>
      <w:r w:rsidR="00D361F6">
        <w:rPr>
          <w:b w:val="0"/>
        </w:rPr>
        <w:t>Massachusetts c</w:t>
      </w:r>
      <w:r w:rsidR="00D361F6" w:rsidRPr="00D361F6">
        <w:rPr>
          <w:b w:val="0"/>
        </w:rPr>
        <w:t>ommission</w:t>
      </w:r>
      <w:r w:rsidR="00D361F6">
        <w:rPr>
          <w:b w:val="0"/>
        </w:rPr>
        <w:t>ers in numerous p</w:t>
      </w:r>
      <w:r w:rsidR="00D361F6" w:rsidRPr="00D361F6">
        <w:rPr>
          <w:b w:val="0"/>
        </w:rPr>
        <w:t>roceedings</w:t>
      </w:r>
      <w:r w:rsidR="00D361F6">
        <w:rPr>
          <w:b w:val="0"/>
        </w:rPr>
        <w:t>.  Under my</w:t>
      </w:r>
      <w:r w:rsidR="00D361F6" w:rsidRPr="00D361F6">
        <w:rPr>
          <w:b w:val="0"/>
        </w:rPr>
        <w:t xml:space="preserve"> supervision, staff analyzed all telecommunications matters relating to </w:t>
      </w:r>
      <w:r w:rsidR="00FE0A0C">
        <w:rPr>
          <w:b w:val="0"/>
        </w:rPr>
        <w:t>regulating</w:t>
      </w:r>
      <w:r w:rsidR="00D361F6" w:rsidRPr="00D361F6">
        <w:rPr>
          <w:b w:val="0"/>
        </w:rPr>
        <w:t xml:space="preserve"> the then $1.7-billion telecommunications industry in Massachusetts, including the review of all telecommunications tariff filings; petitions; cost, revenue, and quality of service data; and certification applications</w:t>
      </w:r>
      <w:r w:rsidR="006E625C">
        <w:rPr>
          <w:b w:val="0"/>
        </w:rPr>
        <w:t xml:space="preserve">.  </w:t>
      </w:r>
      <w:r w:rsidR="002104A6" w:rsidRPr="002104A6">
        <w:rPr>
          <w:b w:val="0"/>
        </w:rPr>
        <w:t xml:space="preserve">I have prepared a </w:t>
      </w:r>
      <w:r w:rsidR="0013257C">
        <w:rPr>
          <w:b w:val="0"/>
        </w:rPr>
        <w:t xml:space="preserve">detailed </w:t>
      </w:r>
      <w:r w:rsidR="002104A6" w:rsidRPr="002104A6">
        <w:rPr>
          <w:b w:val="0"/>
        </w:rPr>
        <w:t xml:space="preserve">Statement of Qualifications, which is </w:t>
      </w:r>
      <w:r w:rsidR="00FE0A0C">
        <w:rPr>
          <w:b w:val="0"/>
        </w:rPr>
        <w:t>filed with this testimony as Exhibit SMB-2</w:t>
      </w:r>
      <w:r w:rsidR="002104A6" w:rsidRPr="002104A6">
        <w:rPr>
          <w:b w:val="0"/>
        </w:rPr>
        <w:t>.</w:t>
      </w:r>
    </w:p>
    <w:p w:rsidR="004863CD" w:rsidRDefault="004863CD" w:rsidP="00E059E4">
      <w:pPr>
        <w:tabs>
          <w:tab w:val="left" w:pos="-1440"/>
        </w:tabs>
        <w:spacing w:line="480" w:lineRule="auto"/>
        <w:ind w:left="720" w:hanging="720"/>
        <w:rPr>
          <w:b/>
        </w:rPr>
      </w:pPr>
      <w:r>
        <w:rPr>
          <w:b/>
        </w:rPr>
        <w:t>Q:</w:t>
      </w:r>
      <w:r>
        <w:rPr>
          <w:b/>
        </w:rPr>
        <w:tab/>
        <w:t>What exhibits are you sponsoring in this proceeding?</w:t>
      </w:r>
    </w:p>
    <w:p w:rsidR="00CA16D5" w:rsidRDefault="00CA16D5" w:rsidP="00E059E4">
      <w:pPr>
        <w:tabs>
          <w:tab w:val="left" w:pos="-1440"/>
        </w:tabs>
        <w:spacing w:line="480" w:lineRule="auto"/>
        <w:ind w:left="720" w:hanging="720"/>
      </w:pPr>
      <w:r>
        <w:t>A:</w:t>
      </w:r>
      <w:r>
        <w:tab/>
      </w:r>
      <w:r w:rsidR="00BA70F1">
        <w:t>In addition to this testimony, I am sponsoring Exhibits</w:t>
      </w:r>
      <w:r w:rsidR="00FE0A0C">
        <w:t xml:space="preserve"> SMB-2</w:t>
      </w:r>
      <w:r w:rsidR="00BA70F1">
        <w:t xml:space="preserve"> through</w:t>
      </w:r>
      <w:r w:rsidR="00FE0A0C">
        <w:t xml:space="preserve"> SMB-10, which are listed below.</w:t>
      </w:r>
      <w:r w:rsidR="006E625C">
        <w:t xml:space="preserve">  </w:t>
      </w:r>
    </w:p>
    <w:p w:rsidR="0048670A" w:rsidRDefault="0048670A" w:rsidP="00BC27BB">
      <w:pPr>
        <w:spacing w:line="480" w:lineRule="auto"/>
      </w:pPr>
      <w:r>
        <w:t>Exhibit SMB-2</w:t>
      </w:r>
      <w:r>
        <w:tab/>
        <w:t>Susan M. Baldwin Statement of Qualifications</w:t>
      </w:r>
    </w:p>
    <w:p w:rsidR="0048670A" w:rsidRPr="003B65EB" w:rsidRDefault="0048670A" w:rsidP="00BC27BB">
      <w:pPr>
        <w:spacing w:line="480" w:lineRule="auto"/>
        <w:ind w:left="2160" w:hanging="2160"/>
      </w:pPr>
      <w:r>
        <w:t>Exhibit SMB-3</w:t>
      </w:r>
      <w:r>
        <w:tab/>
        <w:t xml:space="preserve">Sherry Lichtenberg, Ph.D., </w:t>
      </w:r>
      <w:r>
        <w:rPr>
          <w:i/>
        </w:rPr>
        <w:t>Carrier of Last Resort: Anachronism or Necessity?</w:t>
      </w:r>
      <w:r>
        <w:t>, NRRI Report No. 16-06 (Jul. 2016)</w:t>
      </w:r>
    </w:p>
    <w:p w:rsidR="0048670A" w:rsidRDefault="0048670A" w:rsidP="00BC27BB">
      <w:pPr>
        <w:spacing w:line="480" w:lineRule="auto"/>
      </w:pPr>
      <w:r>
        <w:t xml:space="preserve">Exhibit SMB-4 </w:t>
      </w:r>
      <w:r>
        <w:tab/>
        <w:t>CenturyLink’s Response to Public Counsel Data Request 6</w:t>
      </w:r>
    </w:p>
    <w:p w:rsidR="0048670A" w:rsidRDefault="0048670A" w:rsidP="00BC27BB">
      <w:pPr>
        <w:spacing w:line="480" w:lineRule="auto"/>
        <w:ind w:left="2160" w:hanging="2160"/>
      </w:pPr>
      <w:r>
        <w:t>Exhibit SMB-5</w:t>
      </w:r>
      <w:r>
        <w:tab/>
        <w:t>CenturyLink’s Response to Public Counsel Data Request 2, and pages 20-23 of Attachment (PAHD Tariff)</w:t>
      </w:r>
    </w:p>
    <w:p w:rsidR="0048670A" w:rsidRDefault="0048670A" w:rsidP="00BC27BB">
      <w:pPr>
        <w:spacing w:line="480" w:lineRule="auto"/>
      </w:pPr>
      <w:r>
        <w:t>Exhibit SMB-6</w:t>
      </w:r>
      <w:r>
        <w:tab/>
        <w:t>CenturyLink’s Response to Public Counsel Data Request 12</w:t>
      </w:r>
    </w:p>
    <w:p w:rsidR="0048670A" w:rsidRDefault="0048670A" w:rsidP="00BC27BB">
      <w:pPr>
        <w:spacing w:line="480" w:lineRule="auto"/>
        <w:ind w:left="2160" w:hanging="2160"/>
      </w:pPr>
      <w:r>
        <w:t>Exhibit SMB-7C</w:t>
      </w:r>
      <w:r>
        <w:tab/>
        <w:t>CenturyLink’s CONFIDENTIAL Response to Public Counsel Data Request 13</w:t>
      </w:r>
    </w:p>
    <w:p w:rsidR="00DD3C1A" w:rsidRDefault="0048670A" w:rsidP="00FB1506">
      <w:pPr>
        <w:spacing w:line="480" w:lineRule="auto"/>
        <w:ind w:left="2160" w:hanging="2160"/>
      </w:pPr>
      <w:r>
        <w:lastRenderedPageBreak/>
        <w:t>Exhibit SMB-8</w:t>
      </w:r>
      <w:r>
        <w:tab/>
      </w:r>
      <w:r w:rsidR="00DD3C1A">
        <w:t xml:space="preserve">CenturyLink’s </w:t>
      </w:r>
      <w:r w:rsidR="00FB1506">
        <w:t xml:space="preserve">Supplemental </w:t>
      </w:r>
      <w:r w:rsidR="00DD3C1A">
        <w:t>Response</w:t>
      </w:r>
      <w:r w:rsidR="00FB1506">
        <w:t xml:space="preserve"> to Public Counsel Dat</w:t>
      </w:r>
      <w:r w:rsidR="0055451A">
        <w:t>a Request 3, and Attachment PC-3</w:t>
      </w:r>
    </w:p>
    <w:p w:rsidR="0048670A" w:rsidRDefault="00DD3C1A" w:rsidP="00BC27BB">
      <w:pPr>
        <w:spacing w:line="480" w:lineRule="auto"/>
      </w:pPr>
      <w:r>
        <w:t>Exhibit SMB-9</w:t>
      </w:r>
      <w:r>
        <w:tab/>
      </w:r>
      <w:r w:rsidR="0048670A">
        <w:t>CenturyLink’s Response to Public Counsel Data Request 11</w:t>
      </w:r>
    </w:p>
    <w:p w:rsidR="0048670A" w:rsidRDefault="00DD3C1A" w:rsidP="0048670A">
      <w:pPr>
        <w:tabs>
          <w:tab w:val="left" w:pos="-1440"/>
        </w:tabs>
        <w:spacing w:line="480" w:lineRule="auto"/>
        <w:ind w:left="720" w:hanging="720"/>
      </w:pPr>
      <w:r>
        <w:t>Exhibit SMB-10</w:t>
      </w:r>
      <w:r w:rsidR="0048670A">
        <w:tab/>
        <w:t>CenturyLink’s Response to Public Counsel Data Request 8</w:t>
      </w:r>
    </w:p>
    <w:p w:rsidR="00CA16D5" w:rsidRDefault="00CA16D5" w:rsidP="00E059E4">
      <w:pPr>
        <w:tabs>
          <w:tab w:val="left" w:pos="-1440"/>
        </w:tabs>
        <w:spacing w:line="480" w:lineRule="auto"/>
        <w:ind w:left="720" w:hanging="720"/>
        <w:rPr>
          <w:b/>
        </w:rPr>
      </w:pPr>
      <w:r>
        <w:rPr>
          <w:b/>
        </w:rPr>
        <w:t>Q:</w:t>
      </w:r>
      <w:r>
        <w:rPr>
          <w:b/>
        </w:rPr>
        <w:tab/>
        <w:t xml:space="preserve">What is </w:t>
      </w:r>
      <w:r w:rsidR="004C37BE">
        <w:rPr>
          <w:b/>
        </w:rPr>
        <w:t>the subject matter of your testimony</w:t>
      </w:r>
      <w:r>
        <w:rPr>
          <w:b/>
        </w:rPr>
        <w:t xml:space="preserve"> in this case?</w:t>
      </w:r>
    </w:p>
    <w:p w:rsidR="00CA16D5" w:rsidRDefault="00CA16D5" w:rsidP="00E059E4">
      <w:pPr>
        <w:tabs>
          <w:tab w:val="left" w:pos="-1440"/>
        </w:tabs>
        <w:spacing w:line="480" w:lineRule="auto"/>
        <w:ind w:left="720" w:hanging="720"/>
      </w:pPr>
      <w:r>
        <w:t>A:</w:t>
      </w:r>
      <w:r>
        <w:tab/>
      </w:r>
      <w:r w:rsidR="0048670A">
        <w:t xml:space="preserve">Public Counsel asked that I evaluate and respond to </w:t>
      </w:r>
      <w:r w:rsidR="004C37BE">
        <w:t>the Washington Utilities an</w:t>
      </w:r>
      <w:r w:rsidR="00FD5F45">
        <w:t>d Transportation Commission’s (WUTC</w:t>
      </w:r>
      <w:r w:rsidR="004C37BE">
        <w:t xml:space="preserve"> or Commission)</w:t>
      </w:r>
      <w:r w:rsidR="009A5AE8">
        <w:t xml:space="preserve"> complaint against </w:t>
      </w:r>
      <w:r w:rsidR="009A5AE8" w:rsidRPr="00CA16D5">
        <w:t xml:space="preserve">Qwest Corporation d/b/a CenturyLink QC (CenturyLink or Company) </w:t>
      </w:r>
      <w:r w:rsidRPr="00CA16D5">
        <w:t>regarding the</w:t>
      </w:r>
      <w:r w:rsidR="009A5AE8">
        <w:t xml:space="preserve"> Company’s</w:t>
      </w:r>
      <w:r w:rsidRPr="00CA16D5">
        <w:t xml:space="preserve"> business practices related to extension of residential basic local exchange service.  </w:t>
      </w:r>
      <w:r w:rsidR="009A5AE8">
        <w:t xml:space="preserve">I discuss both the merits of the complaint against CenturyLink and </w:t>
      </w:r>
      <w:r w:rsidRPr="00CA16D5">
        <w:t>the broader policy issues that the complaint raises</w:t>
      </w:r>
      <w:r w:rsidR="006E625C">
        <w:t xml:space="preserve">.  </w:t>
      </w:r>
      <w:r w:rsidRPr="00CA16D5">
        <w:t xml:space="preserve">  </w:t>
      </w:r>
    </w:p>
    <w:p w:rsidR="00CA16D5" w:rsidRDefault="00CA16D5" w:rsidP="00E059E4">
      <w:pPr>
        <w:tabs>
          <w:tab w:val="left" w:pos="-1440"/>
        </w:tabs>
        <w:spacing w:line="480" w:lineRule="auto"/>
        <w:ind w:left="720" w:hanging="720"/>
        <w:rPr>
          <w:b/>
        </w:rPr>
      </w:pPr>
      <w:r>
        <w:rPr>
          <w:b/>
        </w:rPr>
        <w:t>Q:</w:t>
      </w:r>
      <w:r>
        <w:rPr>
          <w:b/>
        </w:rPr>
        <w:tab/>
      </w:r>
      <w:r w:rsidR="0048670A">
        <w:rPr>
          <w:b/>
        </w:rPr>
        <w:t>Briefly, p</w:t>
      </w:r>
      <w:r>
        <w:rPr>
          <w:b/>
        </w:rPr>
        <w:t>lease summarize your testimony.</w:t>
      </w:r>
    </w:p>
    <w:p w:rsidR="00537CC7" w:rsidRDefault="00CA16D5" w:rsidP="00E059E4">
      <w:pPr>
        <w:tabs>
          <w:tab w:val="left" w:pos="-1440"/>
        </w:tabs>
        <w:spacing w:line="480" w:lineRule="auto"/>
        <w:ind w:left="720" w:hanging="720"/>
      </w:pPr>
      <w:r>
        <w:t>A:</w:t>
      </w:r>
      <w:r>
        <w:tab/>
      </w:r>
      <w:r w:rsidR="00152726">
        <w:t xml:space="preserve">First, </w:t>
      </w:r>
      <w:r w:rsidR="00D76767">
        <w:t xml:space="preserve">CenturyLink </w:t>
      </w:r>
      <w:r w:rsidR="007510ED">
        <w:t xml:space="preserve">violated </w:t>
      </w:r>
      <w:r w:rsidR="00D76767">
        <w:t xml:space="preserve">its </w:t>
      </w:r>
      <w:r w:rsidR="00B15E72">
        <w:t xml:space="preserve">statutory and regulatory </w:t>
      </w:r>
      <w:r w:rsidR="00D76767">
        <w:t>obligation</w:t>
      </w:r>
      <w:r w:rsidR="00F25D9B">
        <w:t>s</w:t>
      </w:r>
      <w:r w:rsidR="007510ED">
        <w:t xml:space="preserve"> when it refused to provide a line extension and service to an individual requesting residential service within </w:t>
      </w:r>
      <w:r w:rsidR="00763CC5">
        <w:t xml:space="preserve">the Company’s </w:t>
      </w:r>
      <w:r w:rsidR="007510ED">
        <w:t>service territory.  CenturyLink also violated Commission rules when it</w:t>
      </w:r>
      <w:r w:rsidR="00381FEC">
        <w:t xml:space="preserve"> </w:t>
      </w:r>
      <w:r w:rsidR="00537CC7">
        <w:t>failed to maintain</w:t>
      </w:r>
      <w:r w:rsidR="007510ED">
        <w:t xml:space="preserve"> certain</w:t>
      </w:r>
      <w:r w:rsidR="00537CC7">
        <w:t xml:space="preserve"> records.  T</w:t>
      </w:r>
      <w:r w:rsidR="00D76767">
        <w:t>herefore, consistent with Staff’s recommendations</w:t>
      </w:r>
      <w:r w:rsidR="00570B6B">
        <w:t>,</w:t>
      </w:r>
      <w:r w:rsidR="00D76767">
        <w:t xml:space="preserve"> </w:t>
      </w:r>
      <w:r w:rsidR="00537CC7">
        <w:t>I recommend that the Commission impose penalt</w:t>
      </w:r>
      <w:r w:rsidR="00F25D9B">
        <w:t>ies</w:t>
      </w:r>
      <w:r w:rsidR="00537CC7">
        <w:t xml:space="preserve"> </w:t>
      </w:r>
      <w:r w:rsidR="007746E0">
        <w:t>up to $35</w:t>
      </w:r>
      <w:r w:rsidR="000146F1">
        <w:t>1</w:t>
      </w:r>
      <w:r w:rsidR="007746E0">
        <w:t>,000 on CenturyLink</w:t>
      </w:r>
      <w:r w:rsidR="00537CC7">
        <w:t>.</w:t>
      </w:r>
    </w:p>
    <w:p w:rsidR="00381FEC" w:rsidRDefault="00537CC7" w:rsidP="00E059E4">
      <w:pPr>
        <w:tabs>
          <w:tab w:val="left" w:pos="-1440"/>
        </w:tabs>
        <w:spacing w:line="480" w:lineRule="auto"/>
        <w:ind w:left="720" w:hanging="720"/>
      </w:pPr>
      <w:r>
        <w:tab/>
      </w:r>
      <w:r w:rsidR="00E059E4">
        <w:tab/>
      </w:r>
      <w:r w:rsidR="00635018">
        <w:t>Second</w:t>
      </w:r>
      <w:r w:rsidR="00B57B22">
        <w:t xml:space="preserve">, the Commission should </w:t>
      </w:r>
      <w:r w:rsidR="00622A03">
        <w:t xml:space="preserve">make clear </w:t>
      </w:r>
      <w:r w:rsidR="00D76767">
        <w:t xml:space="preserve">that </w:t>
      </w:r>
      <w:r w:rsidR="000F4571">
        <w:t>the obligation to serve is absolute, and as a result,</w:t>
      </w:r>
      <w:r w:rsidR="00D76767">
        <w:t xml:space="preserve"> </w:t>
      </w:r>
      <w:r w:rsidR="00635018">
        <w:t xml:space="preserve">CenturyLink </w:t>
      </w:r>
      <w:r w:rsidR="00D76767">
        <w:t>does not have the discretion to decide wh</w:t>
      </w:r>
      <w:r w:rsidR="00570B6B">
        <w:t>en and where to serve customers</w:t>
      </w:r>
      <w:r w:rsidR="00635018">
        <w:t>.  If</w:t>
      </w:r>
      <w:r w:rsidR="0023065F">
        <w:t xml:space="preserve"> CenturyLink believes there are </w:t>
      </w:r>
      <w:r w:rsidR="00B15E72">
        <w:t xml:space="preserve">instances </w:t>
      </w:r>
      <w:r w:rsidR="0023065F">
        <w:t>where it should not be obligated to serve</w:t>
      </w:r>
      <w:r w:rsidR="003971AC">
        <w:t>,</w:t>
      </w:r>
      <w:r w:rsidR="00B15E72">
        <w:t xml:space="preserve"> CenturyLink</w:t>
      </w:r>
      <w:r w:rsidR="000F4571">
        <w:t>’s recourse is to</w:t>
      </w:r>
      <w:r w:rsidR="00B15E72">
        <w:t xml:space="preserve"> </w:t>
      </w:r>
      <w:r w:rsidR="00622A03">
        <w:t xml:space="preserve">seek </w:t>
      </w:r>
      <w:r w:rsidR="00381FEC">
        <w:t xml:space="preserve">the </w:t>
      </w:r>
      <w:r w:rsidR="00381FEC">
        <w:lastRenderedPageBreak/>
        <w:t xml:space="preserve">appropriate waivers </w:t>
      </w:r>
      <w:r w:rsidR="00622A03">
        <w:t xml:space="preserve">from </w:t>
      </w:r>
      <w:r w:rsidR="00B15E72">
        <w:t>the Commission</w:t>
      </w:r>
      <w:r w:rsidR="00622A03">
        <w:t xml:space="preserve"> rather than acting unilaterally to deny service</w:t>
      </w:r>
      <w:r w:rsidR="000F4571">
        <w:t xml:space="preserve"> to individuals who are reasonably entitled to service</w:t>
      </w:r>
      <w:r w:rsidR="006E625C">
        <w:t xml:space="preserve">.  </w:t>
      </w:r>
      <w:r w:rsidR="009E6680">
        <w:t xml:space="preserve"> </w:t>
      </w:r>
    </w:p>
    <w:p w:rsidR="00537CC7" w:rsidRDefault="00570B6B" w:rsidP="00E059E4">
      <w:pPr>
        <w:tabs>
          <w:tab w:val="left" w:pos="-1440"/>
        </w:tabs>
        <w:spacing w:line="480" w:lineRule="auto"/>
        <w:ind w:left="720" w:hanging="720"/>
      </w:pPr>
      <w:r>
        <w:tab/>
      </w:r>
      <w:r w:rsidR="00BA70F1">
        <w:tab/>
      </w:r>
      <w:r w:rsidR="003971AC">
        <w:t xml:space="preserve">Third, </w:t>
      </w:r>
      <w:r w:rsidR="00622A03">
        <w:t>the</w:t>
      </w:r>
      <w:r w:rsidR="00D76767">
        <w:t xml:space="preserve"> Commission should direct CenturyLink to improve its re</w:t>
      </w:r>
      <w:r w:rsidR="00381FEC">
        <w:t>c</w:t>
      </w:r>
      <w:r w:rsidR="00D76767">
        <w:t xml:space="preserve">ord-keeping </w:t>
      </w:r>
      <w:r w:rsidR="003971AC">
        <w:t>to track</w:t>
      </w:r>
      <w:r w:rsidR="00D76767">
        <w:t xml:space="preserve"> </w:t>
      </w:r>
      <w:r w:rsidR="00622A03">
        <w:t xml:space="preserve">all </w:t>
      </w:r>
      <w:r w:rsidR="000F4571">
        <w:t>requests for service, whether the requests are granted or denied, and the reasons for denial of service</w:t>
      </w:r>
      <w:r w:rsidR="00622A03" w:rsidRPr="008157EC">
        <w:t>.</w:t>
      </w:r>
      <w:r w:rsidR="00D76767" w:rsidRPr="008157EC">
        <w:t xml:space="preserve">  The obligation to serve has financial implications</w:t>
      </w:r>
      <w:r w:rsidR="008157EC">
        <w:t xml:space="preserve"> </w:t>
      </w:r>
      <w:r w:rsidR="00824FEE">
        <w:t xml:space="preserve">for the Company </w:t>
      </w:r>
      <w:r w:rsidR="008157EC">
        <w:t>that the Commission should be able to evaluate as part of its continuing oversight of CenturyLink</w:t>
      </w:r>
      <w:r w:rsidR="007746E0">
        <w:t>.  Therefore,</w:t>
      </w:r>
      <w:r w:rsidR="008157EC">
        <w:t xml:space="preserve"> </w:t>
      </w:r>
      <w:r w:rsidR="00316AC9">
        <w:t>this information should be tracked and records retained</w:t>
      </w:r>
      <w:r>
        <w:t xml:space="preserve"> pursuant to Commission regulations</w:t>
      </w:r>
      <w:r w:rsidR="00D76767">
        <w:t xml:space="preserve">.  </w:t>
      </w:r>
      <w:r w:rsidR="003971AC">
        <w:t xml:space="preserve">Further, </w:t>
      </w:r>
      <w:r w:rsidR="00B57B22">
        <w:t xml:space="preserve">I also recommend that the Commission </w:t>
      </w:r>
      <w:r w:rsidR="0060451F">
        <w:t>reinforce</w:t>
      </w:r>
      <w:r w:rsidR="00381FEC">
        <w:t xml:space="preserve"> </w:t>
      </w:r>
      <w:r w:rsidR="00812BCF">
        <w:t xml:space="preserve">the </w:t>
      </w:r>
      <w:r w:rsidR="00381FEC">
        <w:t xml:space="preserve">importance of </w:t>
      </w:r>
      <w:r w:rsidR="00537CC7">
        <w:t>retain</w:t>
      </w:r>
      <w:r w:rsidR="00681E31">
        <w:t>ing</w:t>
      </w:r>
      <w:r w:rsidR="00537CC7">
        <w:t xml:space="preserve"> comprehensive information about Commission-referred complaints</w:t>
      </w:r>
      <w:r w:rsidR="006E625C">
        <w:t xml:space="preserve">.  </w:t>
      </w:r>
      <w:r w:rsidR="00537CC7">
        <w:t>Consumer complaints provide an invaluable window into how well markets are</w:t>
      </w:r>
      <w:r w:rsidR="00B57B22">
        <w:t xml:space="preserve"> </w:t>
      </w:r>
      <w:r w:rsidR="005E728B">
        <w:t xml:space="preserve">or are not </w:t>
      </w:r>
      <w:r w:rsidR="00B57B22">
        <w:t>functioning, which, in turn, can inform future policy making.</w:t>
      </w:r>
    </w:p>
    <w:p w:rsidR="00D76767" w:rsidRDefault="00537CC7" w:rsidP="00E059E4">
      <w:pPr>
        <w:tabs>
          <w:tab w:val="left" w:pos="-1440"/>
        </w:tabs>
        <w:spacing w:line="480" w:lineRule="auto"/>
        <w:ind w:left="720" w:hanging="720"/>
      </w:pPr>
      <w:r>
        <w:tab/>
      </w:r>
      <w:r w:rsidR="00E059E4">
        <w:tab/>
      </w:r>
      <w:r w:rsidR="00D76767">
        <w:t xml:space="preserve">Finally, I recommend that if the Commission wishes to address broader policy issues </w:t>
      </w:r>
      <w:r w:rsidR="00B15E72">
        <w:t>relating to CenturyLink’s common carrier obligations</w:t>
      </w:r>
      <w:r w:rsidR="005E728B">
        <w:t xml:space="preserve"> going forward</w:t>
      </w:r>
      <w:r w:rsidR="00B15E72">
        <w:t xml:space="preserve">, </w:t>
      </w:r>
      <w:r w:rsidR="00D76767">
        <w:t>it do so in a separate proceeding</w:t>
      </w:r>
      <w:r w:rsidR="006E625C">
        <w:t xml:space="preserve">.  </w:t>
      </w:r>
      <w:r w:rsidR="005E728B">
        <w:t xml:space="preserve">The specific circumstances of a single complaint case provide too narrow a lens for considering </w:t>
      </w:r>
      <w:r w:rsidR="0060451F">
        <w:t xml:space="preserve">modifications to long-standing policies that would broadly </w:t>
      </w:r>
      <w:r w:rsidR="00763CC5">
        <w:t>a</w:t>
      </w:r>
      <w:r w:rsidR="0060451F">
        <w:t>ffect Washington telecommunications customers</w:t>
      </w:r>
      <w:r w:rsidR="006E625C">
        <w:t xml:space="preserve">.  </w:t>
      </w:r>
    </w:p>
    <w:p w:rsidR="00CA16D5" w:rsidRDefault="00CA16D5" w:rsidP="00D07104">
      <w:pPr>
        <w:pStyle w:val="Heading1"/>
      </w:pPr>
      <w:bookmarkStart w:id="7" w:name="_Toc514340876"/>
      <w:bookmarkStart w:id="8" w:name="_Toc514341587"/>
      <w:bookmarkStart w:id="9" w:name="_Toc514342485"/>
      <w:bookmarkStart w:id="10" w:name="_Toc514345300"/>
      <w:bookmarkStart w:id="11" w:name="_Toc514651345"/>
      <w:bookmarkStart w:id="12" w:name="_Toc514673428"/>
      <w:bookmarkStart w:id="13" w:name="_Toc515443390"/>
      <w:bookmarkStart w:id="14" w:name="_Toc515543046"/>
      <w:r>
        <w:t>OVERVIEW OF CASE</w:t>
      </w:r>
      <w:bookmarkEnd w:id="7"/>
      <w:bookmarkEnd w:id="8"/>
      <w:bookmarkEnd w:id="9"/>
      <w:bookmarkEnd w:id="10"/>
      <w:bookmarkEnd w:id="11"/>
      <w:bookmarkEnd w:id="12"/>
      <w:bookmarkEnd w:id="13"/>
      <w:bookmarkEnd w:id="14"/>
    </w:p>
    <w:p w:rsidR="00CA16D5" w:rsidRPr="00D07104" w:rsidRDefault="00CA16D5" w:rsidP="001066B0">
      <w:pPr>
        <w:pStyle w:val="Heading2"/>
      </w:pPr>
      <w:bookmarkStart w:id="15" w:name="_Toc514340877"/>
      <w:bookmarkStart w:id="16" w:name="_Toc514341588"/>
      <w:bookmarkStart w:id="17" w:name="_Toc514342486"/>
      <w:bookmarkStart w:id="18" w:name="_Toc514345301"/>
      <w:bookmarkStart w:id="19" w:name="_Toc514651346"/>
      <w:bookmarkStart w:id="20" w:name="_Toc514673429"/>
      <w:bookmarkStart w:id="21" w:name="_Toc515443391"/>
      <w:bookmarkStart w:id="22" w:name="_Toc515543047"/>
      <w:r w:rsidRPr="00D07104">
        <w:t xml:space="preserve">Brief </w:t>
      </w:r>
      <w:r w:rsidRPr="001066B0">
        <w:t>description</w:t>
      </w:r>
      <w:r w:rsidRPr="00D07104">
        <w:t xml:space="preserve"> of complaint</w:t>
      </w:r>
      <w:bookmarkEnd w:id="15"/>
      <w:bookmarkEnd w:id="16"/>
      <w:bookmarkEnd w:id="17"/>
      <w:bookmarkEnd w:id="18"/>
      <w:bookmarkEnd w:id="19"/>
      <w:bookmarkEnd w:id="20"/>
      <w:bookmarkEnd w:id="21"/>
      <w:bookmarkEnd w:id="22"/>
    </w:p>
    <w:p w:rsidR="005B2120" w:rsidRDefault="005B2120" w:rsidP="00E059E4">
      <w:pPr>
        <w:tabs>
          <w:tab w:val="left" w:pos="-1440"/>
        </w:tabs>
        <w:spacing w:line="480" w:lineRule="auto"/>
        <w:rPr>
          <w:b/>
        </w:rPr>
      </w:pPr>
      <w:r>
        <w:rPr>
          <w:b/>
        </w:rPr>
        <w:t>Q:</w:t>
      </w:r>
      <w:r>
        <w:rPr>
          <w:b/>
        </w:rPr>
        <w:tab/>
      </w:r>
      <w:r w:rsidR="005B01F7">
        <w:rPr>
          <w:b/>
        </w:rPr>
        <w:t>Please d</w:t>
      </w:r>
      <w:r>
        <w:rPr>
          <w:b/>
        </w:rPr>
        <w:t xml:space="preserve">escribe </w:t>
      </w:r>
      <w:r w:rsidR="00763CC5">
        <w:rPr>
          <w:b/>
        </w:rPr>
        <w:t xml:space="preserve">the </w:t>
      </w:r>
      <w:r w:rsidR="00A41C7F">
        <w:rPr>
          <w:b/>
        </w:rPr>
        <w:t xml:space="preserve">facts that gave rise to </w:t>
      </w:r>
      <w:r>
        <w:rPr>
          <w:b/>
        </w:rPr>
        <w:t>the complaint in this proceeding.</w:t>
      </w:r>
    </w:p>
    <w:p w:rsidR="00E059E4" w:rsidRDefault="005B2120" w:rsidP="00E059E4">
      <w:pPr>
        <w:pStyle w:val="testimony"/>
        <w:widowControl w:val="0"/>
        <w:spacing w:line="480" w:lineRule="auto"/>
        <w:ind w:left="720" w:hanging="720"/>
      </w:pPr>
      <w:r>
        <w:lastRenderedPageBreak/>
        <w:t>A:</w:t>
      </w:r>
      <w:r>
        <w:tab/>
      </w:r>
      <w:r w:rsidRPr="0035406E">
        <w:t xml:space="preserve">On January 5, 2017, when a </w:t>
      </w:r>
      <w:r w:rsidR="004D60D7">
        <w:t xml:space="preserve">technician from </w:t>
      </w:r>
      <w:r w:rsidRPr="0035406E">
        <w:t>CenturyLink</w:t>
      </w:r>
      <w:r w:rsidR="004D60D7">
        <w:rPr>
          <w:rStyle w:val="FootnoteReference"/>
        </w:rPr>
        <w:footnoteReference w:id="1"/>
      </w:r>
      <w:r w:rsidR="008C0C6D">
        <w:t xml:space="preserve"> </w:t>
      </w:r>
      <w:r w:rsidRPr="0035406E">
        <w:t xml:space="preserve">arrived to install telephone service for </w:t>
      </w:r>
      <w:r w:rsidR="00A41C7F">
        <w:t xml:space="preserve">Robert Saum, </w:t>
      </w:r>
      <w:r w:rsidRPr="0035406E">
        <w:t xml:space="preserve">a consumer residing in CenturyLink’s service territory, the technician informed </w:t>
      </w:r>
      <w:r w:rsidR="00A41C7F">
        <w:t>Mr. Saum</w:t>
      </w:r>
      <w:r w:rsidRPr="0035406E">
        <w:t xml:space="preserve"> that there were no facilities within the subdivision where </w:t>
      </w:r>
      <w:r w:rsidR="00A41C7F">
        <w:t>he</w:t>
      </w:r>
      <w:r w:rsidRPr="0035406E">
        <w:t xml:space="preserve"> reside</w:t>
      </w:r>
      <w:r w:rsidR="00A41C7F">
        <w:t>s</w:t>
      </w:r>
      <w:r w:rsidR="005E728B">
        <w:t>.  U</w:t>
      </w:r>
      <w:r w:rsidRPr="0035406E">
        <w:t>pon repeated requests by</w:t>
      </w:r>
      <w:r w:rsidR="00A41C7F">
        <w:t xml:space="preserve"> Mr. Saum</w:t>
      </w:r>
      <w:r w:rsidRPr="0035406E">
        <w:t xml:space="preserve"> for service, CenturyLink refused to provide service on grounds that a line extension would be required</w:t>
      </w:r>
      <w:r w:rsidR="005E728B">
        <w:t xml:space="preserve">, which, in its view, </w:t>
      </w:r>
      <w:r w:rsidRPr="0035406E">
        <w:t xml:space="preserve">it was </w:t>
      </w:r>
      <w:r w:rsidR="005E728B">
        <w:t xml:space="preserve">not </w:t>
      </w:r>
      <w:r w:rsidRPr="0035406E">
        <w:t xml:space="preserve">obligated </w:t>
      </w:r>
      <w:r w:rsidR="00381FEC">
        <w:t xml:space="preserve">to </w:t>
      </w:r>
      <w:r w:rsidR="005E728B">
        <w:t>provide</w:t>
      </w:r>
      <w:r w:rsidRPr="0035406E">
        <w:t>.</w:t>
      </w:r>
      <w:r w:rsidR="005E728B">
        <w:t xml:space="preserve"> </w:t>
      </w:r>
      <w:r w:rsidRPr="0035406E">
        <w:t xml:space="preserve"> </w:t>
      </w:r>
      <w:r w:rsidR="00763CC5">
        <w:t>Mr. Saum</w:t>
      </w:r>
      <w:r w:rsidRPr="0035406E">
        <w:t xml:space="preserve"> fil</w:t>
      </w:r>
      <w:r w:rsidR="0097411E">
        <w:t>ed</w:t>
      </w:r>
      <w:r w:rsidRPr="0035406E">
        <w:t xml:space="preserve"> an informal complaint with the Commission</w:t>
      </w:r>
      <w:r w:rsidR="0097411E">
        <w:t>, resulting in a</w:t>
      </w:r>
      <w:r w:rsidRPr="0035406E">
        <w:t xml:space="preserve"> compliance investigation</w:t>
      </w:r>
      <w:r w:rsidR="0097411E">
        <w:t xml:space="preserve"> by </w:t>
      </w:r>
      <w:r w:rsidR="0097411E" w:rsidRPr="0035406E">
        <w:t>the Co</w:t>
      </w:r>
      <w:r w:rsidR="000B512C">
        <w:t>mmission’s Consumer Protection D</w:t>
      </w:r>
      <w:r w:rsidR="0097411E" w:rsidRPr="0035406E">
        <w:t>ivision</w:t>
      </w:r>
      <w:r w:rsidRPr="0035406E">
        <w:t>.</w:t>
      </w:r>
      <w:r w:rsidRPr="0035406E">
        <w:rPr>
          <w:rStyle w:val="FootnoteReference"/>
        </w:rPr>
        <w:footnoteReference w:id="2"/>
      </w:r>
      <w:r w:rsidRPr="0035406E">
        <w:t xml:space="preserve"> </w:t>
      </w:r>
      <w:r w:rsidR="008C0C6D">
        <w:t xml:space="preserve"> </w:t>
      </w:r>
    </w:p>
    <w:p w:rsidR="005B2120" w:rsidRDefault="00E059E4" w:rsidP="00E059E4">
      <w:pPr>
        <w:pStyle w:val="testimony"/>
        <w:widowControl w:val="0"/>
        <w:tabs>
          <w:tab w:val="clear" w:pos="2160"/>
          <w:tab w:val="left" w:pos="1440"/>
        </w:tabs>
        <w:spacing w:line="480" w:lineRule="auto"/>
        <w:ind w:left="720" w:hanging="720"/>
      </w:pPr>
      <w:r>
        <w:tab/>
      </w:r>
      <w:r>
        <w:tab/>
      </w:r>
      <w:r w:rsidR="00DF2C0B">
        <w:t xml:space="preserve">Investigator </w:t>
      </w:r>
      <w:r w:rsidR="005B2120" w:rsidRPr="0035406E">
        <w:t>Susie Paul conducted the investigation</w:t>
      </w:r>
      <w:r w:rsidR="0097411E">
        <w:t xml:space="preserve">, which </w:t>
      </w:r>
      <w:r w:rsidR="00A41C7F">
        <w:t xml:space="preserve">resulted in Commission Staff noting </w:t>
      </w:r>
      <w:r w:rsidR="005B2120" w:rsidRPr="0035406E">
        <w:t xml:space="preserve">one violation </w:t>
      </w:r>
      <w:r w:rsidR="0097411E">
        <w:t>of</w:t>
      </w:r>
      <w:r w:rsidR="0097411E" w:rsidRPr="0035406E">
        <w:t xml:space="preserve"> </w:t>
      </w:r>
      <w:r w:rsidR="005B2120" w:rsidRPr="0035406E">
        <w:t>WAC 480-120-071(3) for failing to provide the consumer an application for extension of service within seven days and one violation of WAC 480-120-017(4) for failing to allow an extension of service up to 1,000 feet at no charge to the consumer.</w:t>
      </w:r>
      <w:r w:rsidR="005B2120" w:rsidRPr="0035406E">
        <w:rPr>
          <w:rStyle w:val="FootnoteReference"/>
        </w:rPr>
        <w:footnoteReference w:id="3"/>
      </w:r>
      <w:r w:rsidR="00BA70F1">
        <w:t xml:space="preserve">  </w:t>
      </w:r>
      <w:r w:rsidR="005B2120" w:rsidRPr="0035406E">
        <w:t>As a result of the Staff’s investigation, the Commission initiated a formal complaint proceeding in this docket.</w:t>
      </w:r>
      <w:r w:rsidR="005B2120" w:rsidRPr="0035406E">
        <w:rPr>
          <w:rStyle w:val="FootnoteReference"/>
        </w:rPr>
        <w:footnoteReference w:id="4"/>
      </w:r>
      <w:r w:rsidR="00BA70F1">
        <w:t xml:space="preserve">  </w:t>
      </w:r>
      <w:r w:rsidR="003403EB">
        <w:t>S</w:t>
      </w:r>
      <w:r w:rsidR="003403EB" w:rsidRPr="0035406E">
        <w:t xml:space="preserve">taff and CenturyLink have communicated multiple times during the </w:t>
      </w:r>
      <w:r w:rsidR="003403EB" w:rsidRPr="0035406E">
        <w:lastRenderedPageBreak/>
        <w:t>more than seventeen months that have passed since the consumer originally requested service from CenturyLink on December 22, 2016.</w:t>
      </w:r>
      <w:r w:rsidR="003403EB" w:rsidRPr="0035406E">
        <w:rPr>
          <w:rStyle w:val="FootnoteReference"/>
        </w:rPr>
        <w:footnoteReference w:id="5"/>
      </w:r>
    </w:p>
    <w:p w:rsidR="005B2120" w:rsidRDefault="005B2120" w:rsidP="00E059E4">
      <w:pPr>
        <w:tabs>
          <w:tab w:val="left" w:pos="-1440"/>
        </w:tabs>
        <w:spacing w:line="480" w:lineRule="auto"/>
        <w:ind w:left="720" w:hanging="720"/>
        <w:rPr>
          <w:b/>
        </w:rPr>
      </w:pPr>
      <w:r>
        <w:rPr>
          <w:b/>
        </w:rPr>
        <w:t>Q:</w:t>
      </w:r>
      <w:r>
        <w:rPr>
          <w:b/>
        </w:rPr>
        <w:tab/>
        <w:t>Which documents have you reviewed to prepare your testimony</w:t>
      </w:r>
      <w:r w:rsidR="003403EB">
        <w:rPr>
          <w:b/>
        </w:rPr>
        <w:t>?</w:t>
      </w:r>
    </w:p>
    <w:p w:rsidR="005B2120" w:rsidRPr="0035406E" w:rsidRDefault="005B2120" w:rsidP="00E059E4">
      <w:pPr>
        <w:tabs>
          <w:tab w:val="left" w:pos="-1440"/>
        </w:tabs>
        <w:spacing w:line="480" w:lineRule="auto"/>
        <w:ind w:left="720" w:hanging="720"/>
      </w:pPr>
      <w:r>
        <w:t>A</w:t>
      </w:r>
      <w:r w:rsidR="0013257C">
        <w:t>:</w:t>
      </w:r>
      <w:r>
        <w:tab/>
      </w:r>
      <w:r w:rsidR="00824FEE">
        <w:t>The key</w:t>
      </w:r>
      <w:r w:rsidR="00687A40">
        <w:t xml:space="preserve"> documents that </w:t>
      </w:r>
      <w:r>
        <w:t>I reviewed</w:t>
      </w:r>
      <w:r w:rsidR="00687A40">
        <w:t xml:space="preserve"> are: </w:t>
      </w:r>
      <w:r w:rsidRPr="0035406E">
        <w:t>Staff’s Investigation Report, dated November 2017 (</w:t>
      </w:r>
      <w:r w:rsidR="009F0C83">
        <w:t>Exhibit to Testimony of Susie Paul,</w:t>
      </w:r>
      <w:r w:rsidRPr="0035406E">
        <w:t xml:space="preserve"> Exh</w:t>
      </w:r>
      <w:r w:rsidR="009F0C83">
        <w:t>.</w:t>
      </w:r>
      <w:r w:rsidRPr="0035406E">
        <w:t xml:space="preserve"> SP-3); </w:t>
      </w:r>
      <w:r w:rsidR="00E4662F">
        <w:t>the</w:t>
      </w:r>
      <w:r w:rsidR="00E4662F" w:rsidRPr="0035406E">
        <w:t xml:space="preserve"> </w:t>
      </w:r>
      <w:r w:rsidRPr="0035406E">
        <w:t>Complaint, dated December 8, 2017; CenturyLink’s Answer, dated January 9, 2018; and Staff Testimony</w:t>
      </w:r>
      <w:r w:rsidR="00E4662F">
        <w:t xml:space="preserve"> and exhibits</w:t>
      </w:r>
      <w:r w:rsidRPr="0035406E">
        <w:t>, dated April 6, 2018 (</w:t>
      </w:r>
      <w:r w:rsidR="000A163F">
        <w:t>Testimony of Susie Paul</w:t>
      </w:r>
      <w:r w:rsidR="009F0C83">
        <w:t xml:space="preserve"> Exh.</w:t>
      </w:r>
      <w:r w:rsidRPr="0035406E">
        <w:t xml:space="preserve"> SP-1</w:t>
      </w:r>
      <w:r w:rsidR="00E4662F">
        <w:t>T and</w:t>
      </w:r>
      <w:r w:rsidR="000A163F">
        <w:t xml:space="preserve"> Exhibits</w:t>
      </w:r>
      <w:r w:rsidR="009F0C83">
        <w:t xml:space="preserve"> to Testimony of Susie Paul, Exhs.</w:t>
      </w:r>
      <w:r w:rsidR="00E4662F">
        <w:t xml:space="preserve"> SP-2 through </w:t>
      </w:r>
      <w:r w:rsidR="000A163F">
        <w:t>SP-</w:t>
      </w:r>
      <w:r w:rsidR="00E4662F">
        <w:t>23</w:t>
      </w:r>
      <w:r w:rsidRPr="0035406E">
        <w:t xml:space="preserve">).  </w:t>
      </w:r>
      <w:r w:rsidR="00812BCF">
        <w:t xml:space="preserve">I reviewed the Company’s responses to </w:t>
      </w:r>
      <w:r w:rsidRPr="0035406E">
        <w:t>Public Counsel</w:t>
      </w:r>
      <w:r w:rsidR="00812BCF">
        <w:t xml:space="preserve">’s discovery (which </w:t>
      </w:r>
      <w:r w:rsidR="00824FEE">
        <w:t>include</w:t>
      </w:r>
      <w:r w:rsidR="00812BCF">
        <w:t xml:space="preserve"> </w:t>
      </w:r>
      <w:r w:rsidR="00812BCF" w:rsidRPr="00812BCF">
        <w:t xml:space="preserve">CenturyLink’s responses to the </w:t>
      </w:r>
      <w:r w:rsidR="004E00DD">
        <w:t>d</w:t>
      </w:r>
      <w:r w:rsidR="00812BCF" w:rsidRPr="00812BCF">
        <w:t xml:space="preserve">ata </w:t>
      </w:r>
      <w:r w:rsidR="004E00DD">
        <w:t>r</w:t>
      </w:r>
      <w:r w:rsidR="00812BCF" w:rsidRPr="00812BCF">
        <w:t>equests or requests for information</w:t>
      </w:r>
      <w:r w:rsidR="00812BCF">
        <w:t xml:space="preserve"> from Staff).</w:t>
      </w:r>
      <w:r w:rsidR="007C43CB">
        <w:t xml:space="preserve">  I also reviewed Staff’s responses to CenturyLink’s discovery.</w:t>
      </w:r>
    </w:p>
    <w:p w:rsidR="00FA7838" w:rsidRDefault="00FA7838" w:rsidP="001066B0">
      <w:pPr>
        <w:pStyle w:val="Heading2"/>
      </w:pPr>
      <w:bookmarkStart w:id="23" w:name="_Toc514340878"/>
      <w:bookmarkStart w:id="24" w:name="_Toc514341589"/>
      <w:bookmarkStart w:id="25" w:name="_Toc514342487"/>
      <w:bookmarkStart w:id="26" w:name="_Toc514345302"/>
      <w:bookmarkStart w:id="27" w:name="_Toc514651347"/>
      <w:bookmarkStart w:id="28" w:name="_Toc514673430"/>
      <w:bookmarkStart w:id="29" w:name="_Toc515443392"/>
      <w:bookmarkStart w:id="30" w:name="_Toc515543048"/>
      <w:r>
        <w:t>Issues in case</w:t>
      </w:r>
      <w:bookmarkEnd w:id="23"/>
      <w:bookmarkEnd w:id="24"/>
      <w:bookmarkEnd w:id="25"/>
      <w:bookmarkEnd w:id="26"/>
      <w:bookmarkEnd w:id="27"/>
      <w:bookmarkEnd w:id="28"/>
      <w:bookmarkEnd w:id="29"/>
      <w:bookmarkEnd w:id="30"/>
    </w:p>
    <w:p w:rsidR="00FA7838" w:rsidRDefault="00FA7838" w:rsidP="00E059E4">
      <w:pPr>
        <w:pStyle w:val="testimony"/>
        <w:widowControl w:val="0"/>
        <w:spacing w:line="480" w:lineRule="auto"/>
        <w:ind w:left="720" w:hanging="720"/>
        <w:rPr>
          <w:b/>
        </w:rPr>
      </w:pPr>
      <w:r w:rsidRPr="00FA7838">
        <w:rPr>
          <w:b/>
        </w:rPr>
        <w:t>Q:</w:t>
      </w:r>
      <w:r w:rsidRPr="00FA7838">
        <w:rPr>
          <w:b/>
        </w:rPr>
        <w:tab/>
      </w:r>
      <w:r w:rsidR="008C0C6D">
        <w:rPr>
          <w:b/>
        </w:rPr>
        <w:t>W</w:t>
      </w:r>
      <w:r w:rsidRPr="00FA7838">
        <w:rPr>
          <w:b/>
        </w:rPr>
        <w:t xml:space="preserve">hat </w:t>
      </w:r>
      <w:r w:rsidR="004E00DD">
        <w:rPr>
          <w:b/>
        </w:rPr>
        <w:t>is</w:t>
      </w:r>
      <w:r w:rsidR="004E00DD" w:rsidRPr="00FA7838">
        <w:rPr>
          <w:b/>
        </w:rPr>
        <w:t xml:space="preserve"> </w:t>
      </w:r>
      <w:r w:rsidRPr="00FA7838">
        <w:rPr>
          <w:b/>
        </w:rPr>
        <w:t>the key issue for the Commission to address in this proceeding?</w:t>
      </w:r>
    </w:p>
    <w:p w:rsidR="00FA7838" w:rsidRDefault="00FA7838" w:rsidP="00E059E4">
      <w:pPr>
        <w:pStyle w:val="testimony"/>
        <w:widowControl w:val="0"/>
        <w:spacing w:line="480" w:lineRule="auto"/>
        <w:ind w:left="720" w:hanging="720"/>
      </w:pPr>
      <w:r>
        <w:t>A:</w:t>
      </w:r>
      <w:r>
        <w:tab/>
        <w:t>I</w:t>
      </w:r>
      <w:r w:rsidRPr="0035406E">
        <w:t xml:space="preserve">n </w:t>
      </w:r>
      <w:r w:rsidRPr="00FA7838">
        <w:t xml:space="preserve">my view, the key issue in this proceeding is whether CenturyLink has </w:t>
      </w:r>
      <w:r w:rsidR="00D87CE8">
        <w:t xml:space="preserve">fulfilled its obligations under </w:t>
      </w:r>
      <w:r w:rsidRPr="00FA7838">
        <w:t xml:space="preserve">state law and the Commission’s rules, and, if it has not, what sanctions or remedies the Commission should </w:t>
      </w:r>
      <w:r w:rsidR="00570B6B">
        <w:t>impose</w:t>
      </w:r>
      <w:r w:rsidRPr="00FA7838">
        <w:t xml:space="preserve">.  </w:t>
      </w:r>
    </w:p>
    <w:p w:rsidR="00FA7838" w:rsidRDefault="00FA7838" w:rsidP="00E059E4">
      <w:pPr>
        <w:pStyle w:val="testimony"/>
        <w:widowControl w:val="0"/>
        <w:spacing w:line="480" w:lineRule="auto"/>
        <w:ind w:left="720" w:hanging="720"/>
        <w:rPr>
          <w:b/>
        </w:rPr>
      </w:pPr>
      <w:r>
        <w:rPr>
          <w:b/>
        </w:rPr>
        <w:t>Q:</w:t>
      </w:r>
      <w:r>
        <w:rPr>
          <w:b/>
        </w:rPr>
        <w:tab/>
        <w:t>Has CenturyLink</w:t>
      </w:r>
      <w:r w:rsidR="00DC3B85">
        <w:rPr>
          <w:b/>
        </w:rPr>
        <w:t xml:space="preserve"> </w:t>
      </w:r>
      <w:r w:rsidR="004412C4">
        <w:rPr>
          <w:b/>
        </w:rPr>
        <w:t>indicated</w:t>
      </w:r>
      <w:r>
        <w:rPr>
          <w:b/>
        </w:rPr>
        <w:t xml:space="preserve"> that the Commission should consider</w:t>
      </w:r>
      <w:r w:rsidR="004412C4">
        <w:rPr>
          <w:b/>
        </w:rPr>
        <w:t xml:space="preserve"> </w:t>
      </w:r>
      <w:r w:rsidR="0013257C">
        <w:rPr>
          <w:b/>
        </w:rPr>
        <w:t xml:space="preserve">broader policy issues </w:t>
      </w:r>
      <w:r w:rsidR="004412C4">
        <w:rPr>
          <w:b/>
        </w:rPr>
        <w:t>in this proceeding</w:t>
      </w:r>
      <w:r>
        <w:rPr>
          <w:b/>
        </w:rPr>
        <w:t>?</w:t>
      </w:r>
    </w:p>
    <w:p w:rsidR="006C4FB0" w:rsidRDefault="00FA7838" w:rsidP="00E059E4">
      <w:pPr>
        <w:pStyle w:val="testimony"/>
        <w:widowControl w:val="0"/>
        <w:spacing w:line="480" w:lineRule="auto"/>
        <w:ind w:left="720" w:hanging="720"/>
      </w:pPr>
      <w:r w:rsidRPr="004B1A8F">
        <w:t>A:</w:t>
      </w:r>
      <w:r w:rsidRPr="004B1A8F">
        <w:tab/>
        <w:t>Yes.  In CenturyLink’s various communications with Staff</w:t>
      </w:r>
      <w:r w:rsidR="0012022A">
        <w:t xml:space="preserve"> and</w:t>
      </w:r>
      <w:r w:rsidR="00BF3677">
        <w:t xml:space="preserve"> in</w:t>
      </w:r>
      <w:r w:rsidR="0012022A">
        <w:t xml:space="preserve"> its </w:t>
      </w:r>
      <w:r w:rsidRPr="00FA7838">
        <w:t>Answer</w:t>
      </w:r>
      <w:r w:rsidR="00504A69">
        <w:t>,</w:t>
      </w:r>
      <w:r w:rsidRPr="00FA7838">
        <w:t xml:space="preserve"> </w:t>
      </w:r>
    </w:p>
    <w:p w:rsidR="00FA7838" w:rsidRDefault="00FA7838" w:rsidP="00F673A8">
      <w:pPr>
        <w:pStyle w:val="testimony"/>
        <w:widowControl w:val="0"/>
        <w:spacing w:line="480" w:lineRule="auto"/>
        <w:ind w:left="720" w:firstLine="0"/>
        <w:rPr>
          <w:b/>
        </w:rPr>
      </w:pPr>
      <w:r w:rsidRPr="00FA7838">
        <w:t xml:space="preserve">CenturyLink </w:t>
      </w:r>
      <w:r w:rsidR="004412C4">
        <w:t>raises</w:t>
      </w:r>
      <w:r w:rsidRPr="00FA7838">
        <w:t xml:space="preserve"> arguments that go well beyond the specific scope of this proceeding.</w:t>
      </w:r>
      <w:r>
        <w:rPr>
          <w:rStyle w:val="FootnoteReference"/>
        </w:rPr>
        <w:footnoteReference w:id="6"/>
      </w:r>
      <w:r w:rsidRPr="00FA7838">
        <w:t xml:space="preserve"> </w:t>
      </w:r>
      <w:r w:rsidR="008C0C6D">
        <w:t xml:space="preserve"> </w:t>
      </w:r>
      <w:r w:rsidRPr="00FA7838">
        <w:t xml:space="preserve">The broader issues raised by CenturyLink </w:t>
      </w:r>
      <w:r w:rsidR="00761F85">
        <w:t xml:space="preserve">include the scope of </w:t>
      </w:r>
      <w:r w:rsidR="00761F85">
        <w:lastRenderedPageBreak/>
        <w:t>telecom</w:t>
      </w:r>
      <w:r w:rsidR="00824FEE">
        <w:t>munications</w:t>
      </w:r>
      <w:r w:rsidR="00761F85">
        <w:t xml:space="preserve"> company obligations as common carriers, </w:t>
      </w:r>
      <w:r w:rsidR="00DD6B3F">
        <w:t>incumbent local exchange carrier (</w:t>
      </w:r>
      <w:r w:rsidR="00761F85">
        <w:t>ILECs</w:t>
      </w:r>
      <w:r w:rsidR="00DD6B3F">
        <w:t>)</w:t>
      </w:r>
      <w:r w:rsidR="00761F85">
        <w:t xml:space="preserve">, carriers of last resort (COLR), and eligible telecommunications carriers (ETCs).  </w:t>
      </w:r>
      <w:r w:rsidR="00421467">
        <w:t>If t</w:t>
      </w:r>
      <w:r w:rsidR="00761F85">
        <w:t>he broader issues</w:t>
      </w:r>
      <w:r w:rsidR="00421467">
        <w:t xml:space="preserve"> merit discussion, they</w:t>
      </w:r>
      <w:r w:rsidR="00761F85">
        <w:t xml:space="preserve"> are more appropriately addressed in a </w:t>
      </w:r>
      <w:r w:rsidR="00421467">
        <w:t>separate policy proceeding</w:t>
      </w:r>
      <w:r w:rsidR="006E625C">
        <w:t xml:space="preserve">.  </w:t>
      </w:r>
      <w:r w:rsidR="00421467">
        <w:t>T</w:t>
      </w:r>
      <w:r w:rsidRPr="00FA7838">
        <w:t xml:space="preserve">he issues here revolve specifically around CenturyLink’s compliance with existing law and regulations, not what </w:t>
      </w:r>
      <w:r w:rsidR="00BB4871">
        <w:t>CenturyLink</w:t>
      </w:r>
      <w:r w:rsidR="00BB4871" w:rsidRPr="00FA7838">
        <w:t xml:space="preserve"> </w:t>
      </w:r>
      <w:r w:rsidRPr="00FA7838">
        <w:t>believes the legal framework should be</w:t>
      </w:r>
      <w:r w:rsidR="006E625C">
        <w:t xml:space="preserve">.  </w:t>
      </w:r>
      <w:r>
        <w:rPr>
          <w:b/>
        </w:rPr>
        <w:t xml:space="preserve"> </w:t>
      </w:r>
    </w:p>
    <w:p w:rsidR="00FA7838" w:rsidRDefault="00FA7838" w:rsidP="00E059E4">
      <w:pPr>
        <w:pStyle w:val="testimony"/>
        <w:widowControl w:val="0"/>
        <w:spacing w:line="480" w:lineRule="auto"/>
        <w:ind w:left="720" w:hanging="720"/>
        <w:rPr>
          <w:b/>
        </w:rPr>
      </w:pPr>
      <w:r>
        <w:rPr>
          <w:b/>
        </w:rPr>
        <w:t>Q:</w:t>
      </w:r>
      <w:r>
        <w:rPr>
          <w:b/>
        </w:rPr>
        <w:tab/>
      </w:r>
      <w:r w:rsidR="00570B6B">
        <w:rPr>
          <w:b/>
        </w:rPr>
        <w:t xml:space="preserve">Please elaborate on the </w:t>
      </w:r>
      <w:r>
        <w:rPr>
          <w:b/>
        </w:rPr>
        <w:t xml:space="preserve">issues that you consider to be </w:t>
      </w:r>
      <w:r w:rsidR="00570B6B">
        <w:rPr>
          <w:b/>
        </w:rPr>
        <w:t xml:space="preserve">germane to </w:t>
      </w:r>
      <w:r>
        <w:rPr>
          <w:b/>
        </w:rPr>
        <w:t>this proceeding.</w:t>
      </w:r>
    </w:p>
    <w:p w:rsidR="008C0C6D" w:rsidRDefault="00FA7838" w:rsidP="00E059E4">
      <w:pPr>
        <w:pStyle w:val="testimony"/>
        <w:widowControl w:val="0"/>
        <w:spacing w:line="480" w:lineRule="auto"/>
        <w:ind w:left="720" w:hanging="720"/>
      </w:pPr>
      <w:r>
        <w:t>A:</w:t>
      </w:r>
      <w:r>
        <w:tab/>
      </w:r>
      <w:r w:rsidRPr="00FA7838">
        <w:t>The following issues</w:t>
      </w:r>
      <w:r w:rsidR="009E6680">
        <w:t xml:space="preserve">, </w:t>
      </w:r>
      <w:r>
        <w:t>in my view, are directly germane to the Commission’s deliberations</w:t>
      </w:r>
      <w:r w:rsidR="00BB4871">
        <w:t xml:space="preserve"> in this case</w:t>
      </w:r>
      <w:r>
        <w:t>:</w:t>
      </w:r>
    </w:p>
    <w:p w:rsidR="00FA7838" w:rsidRDefault="00FA7838" w:rsidP="002C214E">
      <w:pPr>
        <w:pStyle w:val="testimony"/>
        <w:widowControl w:val="0"/>
        <w:numPr>
          <w:ilvl w:val="0"/>
          <w:numId w:val="6"/>
        </w:numPr>
        <w:tabs>
          <w:tab w:val="clear" w:pos="2160"/>
          <w:tab w:val="left" w:pos="1440"/>
        </w:tabs>
        <w:spacing w:line="480" w:lineRule="auto"/>
        <w:ind w:left="1440"/>
      </w:pPr>
      <w:r w:rsidRPr="00FA7838">
        <w:t xml:space="preserve">Did </w:t>
      </w:r>
      <w:r w:rsidR="00D361F6">
        <w:t xml:space="preserve">the </w:t>
      </w:r>
      <w:r w:rsidRPr="00FA7838">
        <w:t xml:space="preserve">request </w:t>
      </w:r>
      <w:r w:rsidR="00D361F6">
        <w:t xml:space="preserve">by </w:t>
      </w:r>
      <w:r w:rsidR="00DD6B3F">
        <w:t>Mr.</w:t>
      </w:r>
      <w:r w:rsidR="004E00DD">
        <w:t xml:space="preserve"> </w:t>
      </w:r>
      <w:r w:rsidR="00D361F6">
        <w:t xml:space="preserve">Saum </w:t>
      </w:r>
      <w:r w:rsidRPr="00FA7838">
        <w:t xml:space="preserve">trigger CenturyLink’s obligation to </w:t>
      </w:r>
      <w:r w:rsidR="00D72FCB">
        <w:t>provide service, and was CenturyLink obligated to provide a line extension</w:t>
      </w:r>
      <w:r w:rsidRPr="00FA7838">
        <w:t xml:space="preserve">?  </w:t>
      </w:r>
    </w:p>
    <w:p w:rsidR="00FA7838" w:rsidRDefault="00FA7838" w:rsidP="002C214E">
      <w:pPr>
        <w:pStyle w:val="testimony"/>
        <w:widowControl w:val="0"/>
        <w:numPr>
          <w:ilvl w:val="0"/>
          <w:numId w:val="6"/>
        </w:numPr>
        <w:tabs>
          <w:tab w:val="clear" w:pos="2160"/>
          <w:tab w:val="left" w:pos="1440"/>
        </w:tabs>
        <w:spacing w:line="480" w:lineRule="auto"/>
        <w:ind w:left="1440"/>
      </w:pPr>
      <w:r w:rsidRPr="00FA7838">
        <w:t>What, if any, relevance does the developer’s decision not to enter into a Provisioning Agre</w:t>
      </w:r>
      <w:r w:rsidR="00F01376">
        <w:t>ement for Housing Development (PAHD</w:t>
      </w:r>
      <w:r w:rsidRPr="00FA7838">
        <w:t xml:space="preserve">) have on </w:t>
      </w:r>
      <w:r w:rsidR="00D72FCB">
        <w:t>Mr. Saum’s</w:t>
      </w:r>
      <w:r w:rsidRPr="00FA7838">
        <w:t xml:space="preserve"> rights to obtain service from CenturyLink?  </w:t>
      </w:r>
    </w:p>
    <w:p w:rsidR="00606B83" w:rsidRDefault="00BB4871" w:rsidP="002C214E">
      <w:pPr>
        <w:pStyle w:val="testimony"/>
        <w:widowControl w:val="0"/>
        <w:numPr>
          <w:ilvl w:val="0"/>
          <w:numId w:val="6"/>
        </w:numPr>
        <w:tabs>
          <w:tab w:val="clear" w:pos="2160"/>
          <w:tab w:val="left" w:pos="1440"/>
        </w:tabs>
        <w:spacing w:line="480" w:lineRule="auto"/>
        <w:ind w:left="1440"/>
      </w:pPr>
      <w:r>
        <w:t xml:space="preserve">Do </w:t>
      </w:r>
      <w:r w:rsidR="00570B6B">
        <w:t xml:space="preserve">CenturyLink’s </w:t>
      </w:r>
      <w:r w:rsidR="00381FEC">
        <w:t xml:space="preserve">lapses in </w:t>
      </w:r>
      <w:r w:rsidR="00570B6B">
        <w:t xml:space="preserve">record keeping </w:t>
      </w:r>
      <w:r w:rsidR="00381FEC">
        <w:t xml:space="preserve">make it more difficult for </w:t>
      </w:r>
      <w:r w:rsidR="00570B6B">
        <w:t xml:space="preserve">the Commission to exercise its </w:t>
      </w:r>
      <w:r w:rsidR="00381FEC">
        <w:t xml:space="preserve">legitimate </w:t>
      </w:r>
      <w:r w:rsidR="00570B6B">
        <w:t>oversight</w:t>
      </w:r>
      <w:r w:rsidR="00381FEC">
        <w:t xml:space="preserve"> functions</w:t>
      </w:r>
      <w:r>
        <w:t>, and</w:t>
      </w:r>
      <w:r w:rsidR="007A6D4E">
        <w:t xml:space="preserve"> do those lapses violate</w:t>
      </w:r>
      <w:r>
        <w:t xml:space="preserve"> record-keeping requirements</w:t>
      </w:r>
      <w:r w:rsidR="00570B6B">
        <w:t>?</w:t>
      </w:r>
      <w:r w:rsidR="00D72FCB" w:rsidRPr="00FA7838">
        <w:t xml:space="preserve">  </w:t>
      </w:r>
      <w:r w:rsidR="00D72FCB">
        <w:t>Has CenturyLink’s lack of adequate record keeping negatively affected the Commission’s ability to assess potential broader consumer harm resulting from CenturyLink’s business practices?</w:t>
      </w:r>
    </w:p>
    <w:p w:rsidR="00835032" w:rsidRDefault="00570B6B" w:rsidP="002C214E">
      <w:pPr>
        <w:pStyle w:val="testimony"/>
        <w:widowControl w:val="0"/>
        <w:numPr>
          <w:ilvl w:val="0"/>
          <w:numId w:val="6"/>
        </w:numPr>
        <w:tabs>
          <w:tab w:val="clear" w:pos="2160"/>
          <w:tab w:val="left" w:pos="1440"/>
        </w:tabs>
        <w:spacing w:line="480" w:lineRule="auto"/>
        <w:ind w:left="1440" w:hanging="720"/>
      </w:pPr>
      <w:r w:rsidRPr="00FA7838">
        <w:t>Has CenturyLink identified any grounds that excuse</w:t>
      </w:r>
      <w:r w:rsidR="00BD7413">
        <w:t xml:space="preserve"> or mitigate</w:t>
      </w:r>
      <w:r w:rsidRPr="00FA7838">
        <w:t xml:space="preserve"> its failure to maintain records relating to requests for service, consistent with </w:t>
      </w:r>
      <w:r w:rsidRPr="00FA7838">
        <w:lastRenderedPageBreak/>
        <w:t>Commission rules?</w:t>
      </w:r>
      <w:r w:rsidR="005D5374" w:rsidDel="005D5374">
        <w:t xml:space="preserve"> </w:t>
      </w:r>
    </w:p>
    <w:p w:rsidR="00C00880" w:rsidRPr="000544F9" w:rsidRDefault="00D07104" w:rsidP="00D07104">
      <w:pPr>
        <w:pStyle w:val="Heading1"/>
      </w:pPr>
      <w:bookmarkStart w:id="31" w:name="_Toc514340879"/>
      <w:bookmarkStart w:id="32" w:name="_Toc514341590"/>
      <w:bookmarkStart w:id="33" w:name="_Toc514342488"/>
      <w:bookmarkStart w:id="34" w:name="_Toc514345303"/>
      <w:bookmarkStart w:id="35" w:name="_Toc514651348"/>
      <w:bookmarkStart w:id="36" w:name="_Toc514673431"/>
      <w:bookmarkStart w:id="37" w:name="_Toc515443393"/>
      <w:r>
        <w:t xml:space="preserve"> </w:t>
      </w:r>
      <w:bookmarkStart w:id="38" w:name="_Toc515543049"/>
      <w:r w:rsidR="0085399A" w:rsidRPr="000544F9">
        <w:t>ANALYSIS OF COMPLAINT</w:t>
      </w:r>
      <w:bookmarkEnd w:id="31"/>
      <w:bookmarkEnd w:id="32"/>
      <w:bookmarkEnd w:id="33"/>
      <w:bookmarkEnd w:id="34"/>
      <w:bookmarkEnd w:id="35"/>
      <w:bookmarkEnd w:id="36"/>
      <w:bookmarkEnd w:id="37"/>
      <w:bookmarkEnd w:id="38"/>
    </w:p>
    <w:p w:rsidR="007D43B4" w:rsidRDefault="007D43B4" w:rsidP="001066B0">
      <w:pPr>
        <w:pStyle w:val="Heading2"/>
        <w:numPr>
          <w:ilvl w:val="0"/>
          <w:numId w:val="16"/>
        </w:numPr>
        <w:ind w:left="0" w:firstLine="0"/>
      </w:pPr>
      <w:bookmarkStart w:id="39" w:name="_Toc514651349"/>
      <w:bookmarkStart w:id="40" w:name="_Toc514673432"/>
      <w:bookmarkStart w:id="41" w:name="_Toc515443394"/>
      <w:bookmarkStart w:id="42" w:name="_Toc515543050"/>
      <w:bookmarkStart w:id="43" w:name="_Toc514340880"/>
      <w:bookmarkStart w:id="44" w:name="_Toc514341591"/>
      <w:bookmarkStart w:id="45" w:name="_Toc514342489"/>
      <w:bookmarkStart w:id="46" w:name="_Toc514345304"/>
      <w:r>
        <w:t>CenturyLink’s obligation to serve customers within its service territory upon reasonable request</w:t>
      </w:r>
      <w:bookmarkEnd w:id="39"/>
      <w:bookmarkEnd w:id="40"/>
      <w:bookmarkEnd w:id="41"/>
      <w:bookmarkEnd w:id="42"/>
    </w:p>
    <w:p w:rsidR="00DA71F5" w:rsidRDefault="00DA71F5" w:rsidP="00E059E4">
      <w:pPr>
        <w:pStyle w:val="testimony"/>
        <w:widowControl w:val="0"/>
        <w:spacing w:line="480" w:lineRule="auto"/>
        <w:ind w:left="720" w:hanging="720"/>
        <w:rPr>
          <w:b/>
        </w:rPr>
      </w:pPr>
      <w:r>
        <w:rPr>
          <w:b/>
        </w:rPr>
        <w:t>Q:</w:t>
      </w:r>
      <w:r>
        <w:rPr>
          <w:b/>
        </w:rPr>
        <w:tab/>
      </w:r>
      <w:r w:rsidR="00104321">
        <w:rPr>
          <w:b/>
        </w:rPr>
        <w:t>Please describe CenturyLink’s obligation</w:t>
      </w:r>
      <w:r w:rsidR="00DD6B3F">
        <w:rPr>
          <w:b/>
        </w:rPr>
        <w:t xml:space="preserve"> to provide service </w:t>
      </w:r>
      <w:r w:rsidR="00104321">
        <w:rPr>
          <w:b/>
        </w:rPr>
        <w:t xml:space="preserve"> within its service territory.</w:t>
      </w:r>
    </w:p>
    <w:p w:rsidR="00DA71F5" w:rsidRDefault="00DA71F5" w:rsidP="00E059E4">
      <w:pPr>
        <w:pStyle w:val="testimony"/>
        <w:widowControl w:val="0"/>
        <w:spacing w:line="480" w:lineRule="auto"/>
        <w:ind w:left="720" w:hanging="720"/>
        <w:rPr>
          <w:rFonts w:ascii="Times New Roman" w:hAnsi="Times New Roman"/>
          <w:szCs w:val="24"/>
        </w:rPr>
      </w:pPr>
      <w:r>
        <w:t xml:space="preserve"> A:</w:t>
      </w:r>
      <w:r>
        <w:tab/>
      </w:r>
      <w:r w:rsidR="00B957F1">
        <w:t>Under</w:t>
      </w:r>
      <w:r>
        <w:rPr>
          <w:rFonts w:ascii="Times New Roman" w:hAnsi="Times New Roman"/>
          <w:szCs w:val="24"/>
        </w:rPr>
        <w:t xml:space="preserve"> </w:t>
      </w:r>
      <w:r w:rsidRPr="0035406E">
        <w:rPr>
          <w:rFonts w:ascii="Times New Roman" w:hAnsi="Times New Roman"/>
          <w:szCs w:val="24"/>
        </w:rPr>
        <w:t>RCW 80.36.090</w:t>
      </w:r>
      <w:r w:rsidR="00B957F1">
        <w:rPr>
          <w:rFonts w:ascii="Times New Roman" w:hAnsi="Times New Roman"/>
          <w:szCs w:val="24"/>
        </w:rPr>
        <w:t>, telecommunications companies</w:t>
      </w:r>
      <w:r w:rsidR="009D781B">
        <w:rPr>
          <w:rFonts w:ascii="Times New Roman" w:hAnsi="Times New Roman"/>
          <w:szCs w:val="24"/>
        </w:rPr>
        <w:t>,</w:t>
      </w:r>
      <w:r w:rsidR="00B957F1">
        <w:rPr>
          <w:rFonts w:ascii="Times New Roman" w:hAnsi="Times New Roman"/>
          <w:szCs w:val="24"/>
        </w:rPr>
        <w:t xml:space="preserve"> such as CenturyLink</w:t>
      </w:r>
      <w:r w:rsidR="009D781B">
        <w:rPr>
          <w:rFonts w:ascii="Times New Roman" w:hAnsi="Times New Roman"/>
          <w:szCs w:val="24"/>
        </w:rPr>
        <w:t>,</w:t>
      </w:r>
      <w:r w:rsidR="00B957F1">
        <w:rPr>
          <w:rFonts w:ascii="Times New Roman" w:hAnsi="Times New Roman"/>
          <w:szCs w:val="24"/>
        </w:rPr>
        <w:t xml:space="preserve"> are </w:t>
      </w:r>
      <w:r w:rsidR="00824FEE">
        <w:rPr>
          <w:rFonts w:ascii="Times New Roman" w:hAnsi="Times New Roman"/>
          <w:szCs w:val="24"/>
        </w:rPr>
        <w:t>subject to the following requirement:</w:t>
      </w:r>
    </w:p>
    <w:p w:rsidR="000F26F3" w:rsidRDefault="00DA71F5" w:rsidP="00E059E4">
      <w:pPr>
        <w:pStyle w:val="testimony"/>
        <w:widowControl w:val="0"/>
        <w:spacing w:line="240" w:lineRule="auto"/>
        <w:ind w:left="1440" w:right="720" w:hanging="720"/>
        <w:jc w:val="both"/>
        <w:rPr>
          <w:rFonts w:ascii="Times New Roman" w:hAnsi="Times New Roman"/>
          <w:szCs w:val="24"/>
        </w:rPr>
      </w:pPr>
      <w:r>
        <w:tab/>
      </w:r>
      <w:r w:rsidRPr="0035406E">
        <w:rPr>
          <w:rFonts w:ascii="Times New Roman" w:hAnsi="Times New Roman"/>
          <w:szCs w:val="24"/>
        </w:rPr>
        <w:t xml:space="preserve">Every telecommunications company operating in this state shall provide and maintain suitable and adequate buildings and facilities therein, or connected therewith, for the accommodation, comfort and convenience of its patrons and employees. </w:t>
      </w:r>
    </w:p>
    <w:p w:rsidR="00DA71F5" w:rsidRDefault="000F26F3" w:rsidP="0071048B">
      <w:pPr>
        <w:pStyle w:val="testimony"/>
        <w:widowControl w:val="0"/>
        <w:spacing w:after="240" w:line="240" w:lineRule="auto"/>
        <w:ind w:left="1440" w:right="720" w:hanging="720"/>
        <w:jc w:val="both"/>
      </w:pPr>
      <w:r>
        <w:rPr>
          <w:rFonts w:ascii="Times New Roman" w:hAnsi="Times New Roman"/>
          <w:szCs w:val="24"/>
        </w:rPr>
        <w:tab/>
      </w:r>
      <w:r w:rsidR="00DA71F5" w:rsidRPr="0035406E">
        <w:rPr>
          <w:rFonts w:ascii="Times New Roman" w:hAnsi="Times New Roman"/>
          <w:szCs w:val="24"/>
        </w:rPr>
        <w:t xml:space="preserve">Every telecommunications company shall, upon reasonable notice, furnish to all persons and corporations who may apply therefor </w:t>
      </w:r>
      <w:r w:rsidR="00DA71F5" w:rsidRPr="00451FDE">
        <w:rPr>
          <w:rFonts w:ascii="Times New Roman" w:hAnsi="Times New Roman"/>
          <w:szCs w:val="24"/>
        </w:rPr>
        <w:t>and be reasonably entitled thereto</w:t>
      </w:r>
      <w:r w:rsidR="00DA71F5" w:rsidRPr="0035406E">
        <w:rPr>
          <w:rFonts w:ascii="Times New Roman" w:hAnsi="Times New Roman"/>
          <w:szCs w:val="24"/>
        </w:rPr>
        <w:t xml:space="preserve"> suitable and proper facilities and connections for telephonic communication and furnish</w:t>
      </w:r>
      <w:r w:rsidR="00DA71F5">
        <w:rPr>
          <w:rFonts w:ascii="Times New Roman" w:hAnsi="Times New Roman"/>
          <w:szCs w:val="24"/>
        </w:rPr>
        <w:t xml:space="preserve"> telephone service as demanded. </w:t>
      </w:r>
    </w:p>
    <w:p w:rsidR="000D5E75" w:rsidRDefault="00DA71F5" w:rsidP="00E059E4">
      <w:pPr>
        <w:pStyle w:val="testimony"/>
        <w:widowControl w:val="0"/>
        <w:spacing w:line="480" w:lineRule="auto"/>
        <w:ind w:left="720" w:hanging="720"/>
      </w:pPr>
      <w:r>
        <w:tab/>
      </w:r>
      <w:r w:rsidR="00B957F1">
        <w:t>Washington State’s statute</w:t>
      </w:r>
      <w:r>
        <w:t xml:space="preserve"> encompasses several key obligations of a telecommunications “common carrier</w:t>
      </w:r>
      <w:r w:rsidR="000F26F3">
        <w:t>,</w:t>
      </w:r>
      <w:r>
        <w:t>”</w:t>
      </w:r>
      <w:r w:rsidR="000F26F3">
        <w:t xml:space="preserve"> including the obligation to provide service upon request.</w:t>
      </w:r>
      <w:r>
        <w:t xml:space="preserve"> Another key obligation associated with telecommunications common carriers, arising from common law and </w:t>
      </w:r>
      <w:r w:rsidR="002E7F97">
        <w:t xml:space="preserve">also </w:t>
      </w:r>
      <w:r>
        <w:t>codified in federal law</w:t>
      </w:r>
      <w:r w:rsidR="00890404">
        <w:t>,</w:t>
      </w:r>
      <w:r w:rsidR="00AE2B36">
        <w:rPr>
          <w:rStyle w:val="FootnoteReference"/>
        </w:rPr>
        <w:footnoteReference w:id="7"/>
      </w:r>
      <w:r>
        <w:t xml:space="preserve"> is the requirement to obtain regulatory approval to withdraw service </w:t>
      </w:r>
      <w:r w:rsidR="00215DB4">
        <w:t xml:space="preserve">and </w:t>
      </w:r>
      <w:r>
        <w:t>exit the market.</w:t>
      </w:r>
      <w:r w:rsidR="005533EF">
        <w:t xml:space="preserve">  In Washington State</w:t>
      </w:r>
      <w:r w:rsidR="00215DB4">
        <w:t>,</w:t>
      </w:r>
      <w:r w:rsidR="005533EF">
        <w:t xml:space="preserve"> the requirement to obtain regulatory approval to </w:t>
      </w:r>
      <w:r w:rsidR="005533EF">
        <w:lastRenderedPageBreak/>
        <w:t xml:space="preserve">exit the market is set forth in </w:t>
      </w:r>
      <w:r w:rsidR="00824FEE">
        <w:t xml:space="preserve">Commission </w:t>
      </w:r>
      <w:r w:rsidR="005533EF">
        <w:t>rules</w:t>
      </w:r>
      <w:r w:rsidR="00BC67D3">
        <w:rPr>
          <w:rStyle w:val="FootnoteReference"/>
        </w:rPr>
        <w:footnoteReference w:id="8"/>
      </w:r>
      <w:r w:rsidR="005533EF">
        <w:t xml:space="preserve"> and </w:t>
      </w:r>
      <w:r w:rsidR="00BC67D3">
        <w:t xml:space="preserve">in </w:t>
      </w:r>
      <w:r w:rsidR="005533EF">
        <w:t>Commission directives</w:t>
      </w:r>
      <w:r w:rsidR="006E625C">
        <w:t xml:space="preserve">.  </w:t>
      </w:r>
      <w:r w:rsidR="00874B0C">
        <w:t xml:space="preserve">Specifically, </w:t>
      </w:r>
      <w:r w:rsidR="00BC67D3">
        <w:t>a</w:t>
      </w:r>
      <w:r w:rsidR="000D5E75">
        <w:t xml:space="preserve">lthough CenturyLink’s </w:t>
      </w:r>
      <w:r>
        <w:t>obligations have been partially modified by the terms of the Alternative Form of Regulation</w:t>
      </w:r>
      <w:r w:rsidR="00482FE8">
        <w:t xml:space="preserve"> (AFOR)</w:t>
      </w:r>
      <w:r>
        <w:t xml:space="preserve"> the Commission</w:t>
      </w:r>
      <w:r w:rsidR="00215DB4">
        <w:t xml:space="preserve"> adopted</w:t>
      </w:r>
      <w:r>
        <w:t xml:space="preserve"> in </w:t>
      </w:r>
      <w:r w:rsidR="00215DB4" w:rsidRPr="00CB282D">
        <w:t>Docket UT</w:t>
      </w:r>
      <w:r w:rsidR="00215DB4">
        <w:t>-130477</w:t>
      </w:r>
      <w:r w:rsidR="000D5E75">
        <w:t xml:space="preserve">, the modifications do not </w:t>
      </w:r>
      <w:r w:rsidR="00215DB4">
        <w:t>relax CenturyLink’s</w:t>
      </w:r>
      <w:r w:rsidR="000D5E75">
        <w:t xml:space="preserve"> service obligation, particularly in the case of residential voice service customers</w:t>
      </w:r>
      <w:r w:rsidR="00874B0C">
        <w:t>.</w:t>
      </w:r>
      <w:r w:rsidR="00381FEC">
        <w:rPr>
          <w:rStyle w:val="FootnoteReference"/>
        </w:rPr>
        <w:footnoteReference w:id="9"/>
      </w:r>
      <w:r>
        <w:t xml:space="preserve"> </w:t>
      </w:r>
    </w:p>
    <w:p w:rsidR="00DA71F5" w:rsidRDefault="000D5E75" w:rsidP="00E059E4">
      <w:pPr>
        <w:pStyle w:val="testimony"/>
        <w:widowControl w:val="0"/>
        <w:tabs>
          <w:tab w:val="clear" w:pos="2160"/>
          <w:tab w:val="left" w:pos="1440"/>
        </w:tabs>
        <w:spacing w:line="480" w:lineRule="auto"/>
        <w:ind w:left="720" w:hanging="720"/>
      </w:pPr>
      <w:r>
        <w:tab/>
      </w:r>
      <w:r w:rsidR="00E059E4">
        <w:tab/>
      </w:r>
      <w:r w:rsidR="00682DEA">
        <w:t>C</w:t>
      </w:r>
      <w:r>
        <w:t xml:space="preserve">ommon carrier </w:t>
      </w:r>
      <w:r w:rsidR="00DA71F5">
        <w:t xml:space="preserve">obligations are generally applicable to all providers, </w:t>
      </w:r>
      <w:r w:rsidR="00682DEA">
        <w:t xml:space="preserve">but </w:t>
      </w:r>
      <w:r w:rsidR="00DA71F5">
        <w:t>regulators often appl</w:t>
      </w:r>
      <w:r w:rsidR="004F51ED">
        <w:t>y</w:t>
      </w:r>
      <w:r w:rsidR="00DA71F5">
        <w:t xml:space="preserve"> them more flexibly to </w:t>
      </w:r>
      <w:r w:rsidR="00867495">
        <w:t>new entrants</w:t>
      </w:r>
      <w:r w:rsidR="008C08BF">
        <w:rPr>
          <w:rStyle w:val="FootnoteReference"/>
        </w:rPr>
        <w:footnoteReference w:id="10"/>
      </w:r>
      <w:r w:rsidR="00DA71F5">
        <w:t xml:space="preserve"> than to the</w:t>
      </w:r>
      <w:r w:rsidR="00DD6B3F">
        <w:t xml:space="preserve"> ILEC</w:t>
      </w:r>
      <w:r w:rsidR="00682DEA">
        <w:t xml:space="preserve">.  The ILEC is usually </w:t>
      </w:r>
      <w:r w:rsidR="00DA71F5">
        <w:t xml:space="preserve">designated </w:t>
      </w:r>
      <w:r w:rsidR="00682DEA">
        <w:t xml:space="preserve">formally or informally </w:t>
      </w:r>
      <w:r w:rsidR="00DA71F5">
        <w:t>as a</w:t>
      </w:r>
      <w:r w:rsidR="000E3162">
        <w:t xml:space="preserve"> COLR</w:t>
      </w:r>
      <w:r w:rsidR="006E625C">
        <w:t xml:space="preserve">.  </w:t>
      </w:r>
      <w:r w:rsidR="00DA71F5">
        <w:t xml:space="preserve">In a recent comprehensive survey regarding state-level COLR obligations, the National Regulatory Research Institute </w:t>
      </w:r>
      <w:r w:rsidR="00DD6B3F">
        <w:t xml:space="preserve">(NRRI) </w:t>
      </w:r>
      <w:r w:rsidR="00DA71F5">
        <w:t xml:space="preserve">identified RCW 80.36.090 </w:t>
      </w:r>
      <w:r w:rsidR="00682DEA">
        <w:t xml:space="preserve">as </w:t>
      </w:r>
      <w:r w:rsidR="00381FEC">
        <w:t xml:space="preserve">an ongoing </w:t>
      </w:r>
      <w:r w:rsidR="00DA71F5">
        <w:t>ILEC COLR obligation in Washington State.</w:t>
      </w:r>
      <w:r w:rsidR="00E20542">
        <w:rPr>
          <w:rStyle w:val="FootnoteReference"/>
        </w:rPr>
        <w:footnoteReference w:id="11"/>
      </w:r>
      <w:r w:rsidR="00DA71F5">
        <w:t xml:space="preserve"> </w:t>
      </w:r>
      <w:r w:rsidR="0060710C">
        <w:t xml:space="preserve"> When</w:t>
      </w:r>
      <w:r w:rsidR="003C33C5">
        <w:t xml:space="preserve"> the</w:t>
      </w:r>
      <w:r w:rsidR="0060710C">
        <w:t xml:space="preserve"> NRRI surveyed state </w:t>
      </w:r>
      <w:r w:rsidR="0060710C">
        <w:lastRenderedPageBreak/>
        <w:t xml:space="preserve">commissions regarding the ILEC COLR obligation, the Washington </w:t>
      </w:r>
      <w:r w:rsidR="00C54B7B">
        <w:t>C</w:t>
      </w:r>
      <w:r w:rsidR="00C97DCE">
        <w:t>ommission</w:t>
      </w:r>
      <w:r w:rsidR="00C54B7B">
        <w:t xml:space="preserve"> </w:t>
      </w:r>
      <w:r w:rsidR="0060710C">
        <w:t>responded that the COLR obligation in this state was “explicit” in state law</w:t>
      </w:r>
      <w:r w:rsidR="00DD6B3F">
        <w:t xml:space="preserve"> as opposed to “implicit” or “limited</w:t>
      </w:r>
      <w:r w:rsidR="003C33C5">
        <w:t>.</w:t>
      </w:r>
      <w:r w:rsidR="00DD6B3F">
        <w:t>”</w:t>
      </w:r>
      <w:r w:rsidR="0060710C">
        <w:rPr>
          <w:rStyle w:val="FootnoteReference"/>
        </w:rPr>
        <w:footnoteReference w:id="12"/>
      </w:r>
      <w:r w:rsidR="00DA71F5">
        <w:t xml:space="preserve"> </w:t>
      </w:r>
    </w:p>
    <w:p w:rsidR="00DA71F5" w:rsidRPr="00AE2B36" w:rsidRDefault="00DA71F5" w:rsidP="00E059E4">
      <w:pPr>
        <w:pStyle w:val="testimony"/>
        <w:widowControl w:val="0"/>
        <w:spacing w:line="480" w:lineRule="auto"/>
        <w:ind w:left="720" w:hanging="720"/>
        <w:rPr>
          <w:b/>
        </w:rPr>
      </w:pPr>
      <w:r w:rsidRPr="00AE2B36">
        <w:rPr>
          <w:b/>
        </w:rPr>
        <w:t xml:space="preserve">Q:  </w:t>
      </w:r>
      <w:r w:rsidR="00882663" w:rsidRPr="00AE2B36">
        <w:rPr>
          <w:b/>
        </w:rPr>
        <w:tab/>
      </w:r>
      <w:r w:rsidR="00DC64A1">
        <w:rPr>
          <w:b/>
        </w:rPr>
        <w:t xml:space="preserve">How does an explicit COLR obligation inform the issue of </w:t>
      </w:r>
      <w:r w:rsidRPr="00AE2B36">
        <w:rPr>
          <w:b/>
        </w:rPr>
        <w:t>CenturyLink’s obligation to serve a new customer located within its service territory?</w:t>
      </w:r>
    </w:p>
    <w:p w:rsidR="004F51ED" w:rsidRDefault="00DA71F5" w:rsidP="00E059E4">
      <w:pPr>
        <w:pStyle w:val="testimony"/>
        <w:widowControl w:val="0"/>
        <w:spacing w:line="480" w:lineRule="auto"/>
        <w:ind w:left="720" w:hanging="720"/>
      </w:pPr>
      <w:r>
        <w:t xml:space="preserve">A:  </w:t>
      </w:r>
      <w:r w:rsidR="00882663">
        <w:tab/>
      </w:r>
      <w:r>
        <w:t>In view of the longstanding and well-established common carrier obligations of the ILEC</w:t>
      </w:r>
      <w:r w:rsidR="00523128">
        <w:t xml:space="preserve"> and its role as COLR</w:t>
      </w:r>
      <w:r>
        <w:t xml:space="preserve">, the presumption </w:t>
      </w:r>
      <w:r w:rsidR="00A1060C">
        <w:t xml:space="preserve">is </w:t>
      </w:r>
      <w:r>
        <w:t>that the customer is entitled to receive service.</w:t>
      </w:r>
      <w:r w:rsidR="0098121E">
        <w:t xml:space="preserve">  Indeed, the Commission specifically sets out the circumstances under which a company may refuse service in WAC 480-120-061.  Unless the conditions are met in WAC 480-120-061, the Company must provide service as contemplated under RCW 80.36.</w:t>
      </w:r>
      <w:r w:rsidR="00E96724">
        <w:t>090</w:t>
      </w:r>
      <w:r w:rsidR="006E625C">
        <w:t xml:space="preserve">.  </w:t>
      </w:r>
      <w:r w:rsidR="0098121E">
        <w:t xml:space="preserve"> </w:t>
      </w:r>
    </w:p>
    <w:p w:rsidR="00DA71F5" w:rsidRDefault="004F51ED" w:rsidP="00E059E4">
      <w:pPr>
        <w:pStyle w:val="testimony"/>
        <w:widowControl w:val="0"/>
        <w:tabs>
          <w:tab w:val="clear" w:pos="720"/>
          <w:tab w:val="clear" w:pos="2160"/>
        </w:tabs>
        <w:spacing w:line="480" w:lineRule="auto"/>
        <w:ind w:left="720" w:hanging="720"/>
      </w:pPr>
      <w:r>
        <w:tab/>
      </w:r>
      <w:r w:rsidR="00E059E4">
        <w:tab/>
      </w:r>
      <w:r w:rsidR="00E96724">
        <w:t>Further, unless a company may deny service under WAC 480-120-</w:t>
      </w:r>
      <w:r w:rsidR="001C4046">
        <w:t>061, telecommunication</w:t>
      </w:r>
      <w:r w:rsidR="00824FEE">
        <w:t>s</w:t>
      </w:r>
      <w:r w:rsidR="001C4046">
        <w:t xml:space="preserve"> companies</w:t>
      </w:r>
      <w:r w:rsidR="000605C8">
        <w:t xml:space="preserve"> receiving federal funds</w:t>
      </w:r>
      <w:r w:rsidR="001C4046">
        <w:t xml:space="preserve"> must allow for an extension of service up to 1,000 feet at no charge to the customer under WAC 480-120-071</w:t>
      </w:r>
      <w:r w:rsidR="006E625C">
        <w:t xml:space="preserve">.  </w:t>
      </w:r>
      <w:r w:rsidR="001C4046">
        <w:t>The Commission has explicitly declined to limit the line extension rule to situations where no other ETC serves the location at which the consumer applies for service</w:t>
      </w:r>
      <w:r w:rsidR="006E625C">
        <w:t>.</w:t>
      </w:r>
      <w:r w:rsidR="005B017C">
        <w:rPr>
          <w:rStyle w:val="FootnoteReference"/>
        </w:rPr>
        <w:footnoteReference w:id="13"/>
      </w:r>
      <w:r w:rsidR="006E625C">
        <w:t xml:space="preserve">  </w:t>
      </w:r>
      <w:r w:rsidR="00882663">
        <w:t xml:space="preserve">Also, as </w:t>
      </w:r>
      <w:r w:rsidR="001C4046">
        <w:t>I will discuss further</w:t>
      </w:r>
      <w:r w:rsidR="00882663">
        <w:t xml:space="preserve">, the Commission has an existing procedure that allows a </w:t>
      </w:r>
      <w:r w:rsidR="001C4046">
        <w:t xml:space="preserve">company </w:t>
      </w:r>
      <w:r w:rsidR="00882663">
        <w:t>to request a waiver to the line exte</w:t>
      </w:r>
      <w:r w:rsidR="00F43D60">
        <w:t>nsion rule</w:t>
      </w:r>
      <w:r w:rsidR="006E625C">
        <w:t xml:space="preserve">.  </w:t>
      </w:r>
      <w:r w:rsidR="00523128">
        <w:t xml:space="preserve"> </w:t>
      </w:r>
    </w:p>
    <w:p w:rsidR="0085399A" w:rsidRPr="0085399A" w:rsidRDefault="008D6A71" w:rsidP="001066B0">
      <w:pPr>
        <w:pStyle w:val="Heading2"/>
      </w:pPr>
      <w:bookmarkStart w:id="48" w:name="_Toc514340881"/>
      <w:bookmarkStart w:id="49" w:name="_Toc514341592"/>
      <w:bookmarkStart w:id="50" w:name="_Toc514342490"/>
      <w:bookmarkStart w:id="51" w:name="_Toc514345305"/>
      <w:bookmarkStart w:id="52" w:name="_Toc514651350"/>
      <w:bookmarkStart w:id="53" w:name="_Toc514673433"/>
      <w:bookmarkStart w:id="54" w:name="_Toc515443395"/>
      <w:bookmarkStart w:id="55" w:name="_Toc515543051"/>
      <w:bookmarkEnd w:id="43"/>
      <w:bookmarkEnd w:id="44"/>
      <w:bookmarkEnd w:id="45"/>
      <w:bookmarkEnd w:id="46"/>
      <w:r>
        <w:t>CenturyLink failed to comply with the Commission’s line extension rule</w:t>
      </w:r>
      <w:bookmarkEnd w:id="48"/>
      <w:bookmarkEnd w:id="49"/>
      <w:bookmarkEnd w:id="50"/>
      <w:bookmarkEnd w:id="51"/>
      <w:bookmarkEnd w:id="52"/>
      <w:bookmarkEnd w:id="53"/>
      <w:r w:rsidR="006E625C">
        <w:t>.</w:t>
      </w:r>
      <w:bookmarkEnd w:id="54"/>
      <w:bookmarkEnd w:id="55"/>
      <w:r w:rsidR="006E625C">
        <w:t xml:space="preserve">  </w:t>
      </w:r>
    </w:p>
    <w:p w:rsidR="00A912B9" w:rsidRPr="00A912B9" w:rsidRDefault="00A912B9" w:rsidP="00E059E4">
      <w:pPr>
        <w:pStyle w:val="testimony"/>
        <w:widowControl w:val="0"/>
        <w:spacing w:line="480" w:lineRule="auto"/>
        <w:ind w:left="720" w:hanging="720"/>
        <w:rPr>
          <w:b/>
        </w:rPr>
      </w:pPr>
      <w:r>
        <w:rPr>
          <w:b/>
        </w:rPr>
        <w:lastRenderedPageBreak/>
        <w:t>Q:</w:t>
      </w:r>
      <w:r>
        <w:rPr>
          <w:b/>
        </w:rPr>
        <w:tab/>
      </w:r>
      <w:r w:rsidR="002142A8">
        <w:rPr>
          <w:b/>
        </w:rPr>
        <w:t xml:space="preserve">Please describe </w:t>
      </w:r>
      <w:r>
        <w:rPr>
          <w:b/>
        </w:rPr>
        <w:t>the Commission’s line extension rule</w:t>
      </w:r>
      <w:r w:rsidR="000605C8">
        <w:rPr>
          <w:b/>
        </w:rPr>
        <w:t>.</w:t>
      </w:r>
    </w:p>
    <w:p w:rsidR="001C55C9" w:rsidRDefault="001C55C9" w:rsidP="00E059E4">
      <w:pPr>
        <w:pStyle w:val="testimony"/>
        <w:widowControl w:val="0"/>
        <w:spacing w:line="480" w:lineRule="auto"/>
        <w:ind w:left="720" w:hanging="720"/>
        <w:rPr>
          <w:rFonts w:ascii="Times New Roman" w:hAnsi="Times New Roman"/>
          <w:szCs w:val="24"/>
        </w:rPr>
      </w:pPr>
      <w:r>
        <w:t>A:</w:t>
      </w:r>
      <w:r w:rsidR="00A912B9">
        <w:tab/>
      </w:r>
      <w:r w:rsidR="000605C8">
        <w:rPr>
          <w:rFonts w:ascii="Times New Roman" w:hAnsi="Times New Roman"/>
          <w:szCs w:val="24"/>
        </w:rPr>
        <w:t>Under</w:t>
      </w:r>
      <w:r w:rsidR="00FA01D4">
        <w:rPr>
          <w:rFonts w:ascii="Times New Roman" w:hAnsi="Times New Roman"/>
          <w:szCs w:val="24"/>
        </w:rPr>
        <w:t xml:space="preserve"> the Commission</w:t>
      </w:r>
      <w:r w:rsidR="00A750F0">
        <w:rPr>
          <w:rFonts w:ascii="Times New Roman" w:hAnsi="Times New Roman"/>
          <w:szCs w:val="24"/>
        </w:rPr>
        <w:t>’s</w:t>
      </w:r>
      <w:r w:rsidR="00FA01D4">
        <w:rPr>
          <w:rFonts w:ascii="Times New Roman" w:hAnsi="Times New Roman"/>
          <w:szCs w:val="24"/>
        </w:rPr>
        <w:t xml:space="preserve"> line extension rule, set forth in </w:t>
      </w:r>
      <w:r w:rsidRPr="00E31A72">
        <w:rPr>
          <w:rFonts w:ascii="Times New Roman" w:hAnsi="Times New Roman"/>
          <w:szCs w:val="24"/>
        </w:rPr>
        <w:t>WAC 480-120-071</w:t>
      </w:r>
      <w:r w:rsidR="00FA01D4">
        <w:rPr>
          <w:rFonts w:ascii="Times New Roman" w:hAnsi="Times New Roman"/>
          <w:szCs w:val="24"/>
        </w:rPr>
        <w:t xml:space="preserve">, local exchange companies receiving federal high cost support </w:t>
      </w:r>
      <w:r w:rsidR="00FA43CD">
        <w:rPr>
          <w:rFonts w:ascii="Times New Roman" w:hAnsi="Times New Roman"/>
          <w:szCs w:val="24"/>
        </w:rPr>
        <w:t xml:space="preserve">must allow for an extension of service up to </w:t>
      </w:r>
      <w:r w:rsidR="003721CB">
        <w:rPr>
          <w:rFonts w:ascii="Times New Roman" w:hAnsi="Times New Roman"/>
          <w:szCs w:val="24"/>
        </w:rPr>
        <w:t>1,000</w:t>
      </w:r>
      <w:r w:rsidR="00FA43CD">
        <w:rPr>
          <w:rFonts w:ascii="Times New Roman" w:hAnsi="Times New Roman"/>
          <w:szCs w:val="24"/>
        </w:rPr>
        <w:t xml:space="preserve"> feet at no charge to customers</w:t>
      </w:r>
      <w:r w:rsidR="00B7421A">
        <w:rPr>
          <w:rFonts w:ascii="Times New Roman" w:hAnsi="Times New Roman"/>
          <w:szCs w:val="24"/>
        </w:rPr>
        <w:t xml:space="preserve"> who apply for service</w:t>
      </w:r>
      <w:r w:rsidR="00FA43CD">
        <w:rPr>
          <w:rFonts w:ascii="Times New Roman" w:hAnsi="Times New Roman"/>
          <w:szCs w:val="24"/>
        </w:rPr>
        <w:t>.</w:t>
      </w:r>
      <w:r w:rsidR="00FA43CD">
        <w:rPr>
          <w:rStyle w:val="FootnoteReference"/>
          <w:rFonts w:ascii="Times New Roman" w:hAnsi="Times New Roman"/>
          <w:szCs w:val="24"/>
        </w:rPr>
        <w:footnoteReference w:id="14"/>
      </w:r>
      <w:r w:rsidR="00FA43CD">
        <w:rPr>
          <w:rFonts w:ascii="Times New Roman" w:hAnsi="Times New Roman"/>
          <w:szCs w:val="24"/>
        </w:rPr>
        <w:t xml:space="preserve"> </w:t>
      </w:r>
      <w:r w:rsidR="00A912B9">
        <w:rPr>
          <w:rFonts w:ascii="Times New Roman" w:hAnsi="Times New Roman"/>
          <w:szCs w:val="24"/>
        </w:rPr>
        <w:t xml:space="preserve"> CenturyLink has been</w:t>
      </w:r>
      <w:r w:rsidR="00FA43CD" w:rsidRPr="00FA43CD">
        <w:rPr>
          <w:rFonts w:ascii="Times New Roman" w:hAnsi="Times New Roman"/>
          <w:szCs w:val="24"/>
        </w:rPr>
        <w:t xml:space="preserve"> designated and certified in the state of Washington as a wireline ETC and receives federal high-cost universal service support</w:t>
      </w:r>
      <w:r w:rsidR="008D6A71">
        <w:rPr>
          <w:rFonts w:ascii="Times New Roman" w:hAnsi="Times New Roman"/>
          <w:szCs w:val="24"/>
        </w:rPr>
        <w:t>.</w:t>
      </w:r>
      <w:r w:rsidR="00FA43CD">
        <w:rPr>
          <w:rStyle w:val="FootnoteReference"/>
          <w:rFonts w:ascii="Times New Roman" w:hAnsi="Times New Roman"/>
          <w:szCs w:val="24"/>
        </w:rPr>
        <w:footnoteReference w:id="15"/>
      </w:r>
      <w:r w:rsidR="002E7F97">
        <w:rPr>
          <w:rFonts w:ascii="Times New Roman" w:hAnsi="Times New Roman"/>
          <w:szCs w:val="24"/>
        </w:rPr>
        <w:t xml:space="preserve">  </w:t>
      </w:r>
      <w:r w:rsidR="00A912B9">
        <w:rPr>
          <w:rFonts w:ascii="Times New Roman" w:hAnsi="Times New Roman"/>
          <w:szCs w:val="24"/>
        </w:rPr>
        <w:t xml:space="preserve">As Staff witness </w:t>
      </w:r>
      <w:r w:rsidR="00A7697E">
        <w:rPr>
          <w:rFonts w:ascii="Times New Roman" w:hAnsi="Times New Roman"/>
          <w:szCs w:val="24"/>
        </w:rPr>
        <w:t xml:space="preserve">Ms. </w:t>
      </w:r>
      <w:r w:rsidR="00A912B9">
        <w:rPr>
          <w:rFonts w:ascii="Times New Roman" w:hAnsi="Times New Roman"/>
          <w:szCs w:val="24"/>
        </w:rPr>
        <w:t>Paul explains, the Commission’s AFOR decision includes a list of all statutes and rules that the Commission waived for CenturyLink, and WAC 480-120-071 is not on that list.</w:t>
      </w:r>
      <w:r w:rsidR="00A912B9" w:rsidRPr="00E31A72">
        <w:rPr>
          <w:rStyle w:val="FootnoteReference"/>
          <w:rFonts w:ascii="Times New Roman" w:hAnsi="Times New Roman"/>
          <w:szCs w:val="24"/>
        </w:rPr>
        <w:footnoteReference w:id="16"/>
      </w:r>
      <w:r w:rsidR="00542A50">
        <w:rPr>
          <w:rFonts w:ascii="Times New Roman" w:hAnsi="Times New Roman"/>
          <w:szCs w:val="24"/>
        </w:rPr>
        <w:t xml:space="preserve"> </w:t>
      </w:r>
      <w:r w:rsidR="008D6A71">
        <w:rPr>
          <w:rFonts w:ascii="Times New Roman" w:hAnsi="Times New Roman"/>
          <w:szCs w:val="24"/>
        </w:rPr>
        <w:t xml:space="preserve"> Therefore</w:t>
      </w:r>
      <w:r w:rsidR="002142A8">
        <w:rPr>
          <w:rFonts w:ascii="Times New Roman" w:hAnsi="Times New Roman"/>
          <w:szCs w:val="24"/>
        </w:rPr>
        <w:t xml:space="preserve">, </w:t>
      </w:r>
      <w:r w:rsidR="00F17F6D">
        <w:rPr>
          <w:rFonts w:ascii="Times New Roman" w:hAnsi="Times New Roman"/>
          <w:szCs w:val="24"/>
        </w:rPr>
        <w:t xml:space="preserve">WAC 480-120-071 </w:t>
      </w:r>
      <w:r w:rsidR="002142A8">
        <w:rPr>
          <w:rFonts w:ascii="Times New Roman" w:hAnsi="Times New Roman"/>
          <w:szCs w:val="24"/>
        </w:rPr>
        <w:t>continues to fully appl</w:t>
      </w:r>
      <w:r w:rsidR="00F17F6D">
        <w:rPr>
          <w:rFonts w:ascii="Times New Roman" w:hAnsi="Times New Roman"/>
          <w:szCs w:val="24"/>
        </w:rPr>
        <w:t>y</w:t>
      </w:r>
      <w:r w:rsidR="002142A8">
        <w:rPr>
          <w:rFonts w:ascii="Times New Roman" w:hAnsi="Times New Roman"/>
          <w:szCs w:val="24"/>
        </w:rPr>
        <w:t xml:space="preserve"> to CenturyLink</w:t>
      </w:r>
      <w:r w:rsidR="006E625C">
        <w:rPr>
          <w:rFonts w:ascii="Times New Roman" w:hAnsi="Times New Roman"/>
          <w:szCs w:val="24"/>
        </w:rPr>
        <w:t xml:space="preserve">.  </w:t>
      </w:r>
    </w:p>
    <w:p w:rsidR="000845F5" w:rsidRDefault="000845F5" w:rsidP="00E059E4">
      <w:pPr>
        <w:pStyle w:val="testimony"/>
        <w:widowControl w:val="0"/>
        <w:spacing w:line="480" w:lineRule="auto"/>
        <w:ind w:left="720" w:hanging="720"/>
      </w:pPr>
      <w:r>
        <w:rPr>
          <w:b/>
        </w:rPr>
        <w:t xml:space="preserve">Q: </w:t>
      </w:r>
      <w:r>
        <w:rPr>
          <w:b/>
        </w:rPr>
        <w:tab/>
        <w:t xml:space="preserve">In its </w:t>
      </w:r>
      <w:r w:rsidR="00F17F6D">
        <w:rPr>
          <w:b/>
        </w:rPr>
        <w:t>Answer</w:t>
      </w:r>
      <w:r w:rsidR="00A750F0">
        <w:rPr>
          <w:b/>
        </w:rPr>
        <w:t>,</w:t>
      </w:r>
      <w:r>
        <w:rPr>
          <w:b/>
        </w:rPr>
        <w:t xml:space="preserve"> CenturyLink states that it does not receive federal high cost universal service support for the census block in which the customer resides</w:t>
      </w:r>
      <w:r w:rsidR="008D6A71">
        <w:rPr>
          <w:b/>
        </w:rPr>
        <w:t>, therefore</w:t>
      </w:r>
      <w:r w:rsidR="002142A8">
        <w:rPr>
          <w:b/>
        </w:rPr>
        <w:t>,</w:t>
      </w:r>
      <w:r w:rsidR="008D6A71">
        <w:rPr>
          <w:b/>
        </w:rPr>
        <w:t xml:space="preserve"> the line extension rules do not apply.</w:t>
      </w:r>
      <w:r>
        <w:rPr>
          <w:rStyle w:val="FootnoteReference"/>
          <w:b/>
        </w:rPr>
        <w:footnoteReference w:id="17"/>
      </w:r>
      <w:r>
        <w:rPr>
          <w:b/>
        </w:rPr>
        <w:t xml:space="preserve"> </w:t>
      </w:r>
      <w:r w:rsidR="005533EF">
        <w:rPr>
          <w:b/>
        </w:rPr>
        <w:t xml:space="preserve"> </w:t>
      </w:r>
      <w:r w:rsidR="008D6A71">
        <w:rPr>
          <w:b/>
        </w:rPr>
        <w:t>Is the Company correct</w:t>
      </w:r>
      <w:r>
        <w:rPr>
          <w:b/>
        </w:rPr>
        <w:t>?</w:t>
      </w:r>
    </w:p>
    <w:p w:rsidR="008765FE" w:rsidRDefault="000845F5" w:rsidP="00E059E4">
      <w:pPr>
        <w:pStyle w:val="testimony"/>
        <w:widowControl w:val="0"/>
        <w:spacing w:line="480" w:lineRule="auto"/>
        <w:ind w:left="720" w:hanging="720"/>
      </w:pPr>
      <w:r>
        <w:t>A:</w:t>
      </w:r>
      <w:r>
        <w:tab/>
      </w:r>
      <w:r w:rsidR="00B7421A">
        <w:t>No</w:t>
      </w:r>
      <w:r w:rsidR="00A750F0">
        <w:t xml:space="preserve">.  </w:t>
      </w:r>
      <w:r w:rsidR="00B7421A">
        <w:t xml:space="preserve">I am unaware of any Commission ruling or decision that would </w:t>
      </w:r>
      <w:r w:rsidR="00944F03">
        <w:t xml:space="preserve">limit the line extension rule’s applicability to </w:t>
      </w:r>
      <w:r w:rsidR="00B7421A">
        <w:t xml:space="preserve">the receipt of </w:t>
      </w:r>
      <w:r w:rsidR="00A750F0">
        <w:t xml:space="preserve">federal </w:t>
      </w:r>
      <w:r w:rsidR="00B7421A">
        <w:t xml:space="preserve">high cost support </w:t>
      </w:r>
      <w:r w:rsidR="00944F03">
        <w:t>in</w:t>
      </w:r>
      <w:r w:rsidR="00B7421A">
        <w:t xml:space="preserve"> the </w:t>
      </w:r>
      <w:r w:rsidR="00944F03">
        <w:lastRenderedPageBreak/>
        <w:t xml:space="preserve">specific </w:t>
      </w:r>
      <w:r w:rsidR="00A750F0">
        <w:t xml:space="preserve">census block associated with the residence of the </w:t>
      </w:r>
      <w:r w:rsidR="00B7421A">
        <w:t xml:space="preserve">customer seeking </w:t>
      </w:r>
      <w:r w:rsidR="00944F03">
        <w:t>service</w:t>
      </w:r>
      <w:r w:rsidR="006E625C">
        <w:t xml:space="preserve">.  </w:t>
      </w:r>
      <w:r w:rsidR="002142A8">
        <w:t xml:space="preserve"> </w:t>
      </w:r>
    </w:p>
    <w:p w:rsidR="00A720FE" w:rsidRPr="00FD4339" w:rsidRDefault="00A720FE" w:rsidP="00E059E4">
      <w:pPr>
        <w:pStyle w:val="testimony"/>
        <w:widowControl w:val="0"/>
        <w:tabs>
          <w:tab w:val="clear" w:pos="720"/>
          <w:tab w:val="clear" w:pos="2160"/>
        </w:tabs>
        <w:spacing w:line="480" w:lineRule="auto"/>
        <w:ind w:left="720" w:hanging="720"/>
        <w:rPr>
          <w:rFonts w:ascii="Times New Roman" w:hAnsi="Times New Roman"/>
          <w:szCs w:val="24"/>
        </w:rPr>
      </w:pPr>
      <w:r>
        <w:tab/>
      </w:r>
      <w:r w:rsidR="00DA639A">
        <w:tab/>
      </w:r>
      <w:r>
        <w:t>Further</w:t>
      </w:r>
      <w:r w:rsidRPr="00FD4339">
        <w:rPr>
          <w:rFonts w:ascii="Times New Roman" w:hAnsi="Times New Roman"/>
          <w:szCs w:val="24"/>
        </w:rPr>
        <w:t xml:space="preserve">, I recommend that the Commission reject any future attempts by CenturyLink to so narrowly prescribe its obligation to serve.  It is well understood that some places cost less to serve </w:t>
      </w:r>
      <w:r>
        <w:rPr>
          <w:rFonts w:ascii="Times New Roman" w:hAnsi="Times New Roman"/>
          <w:szCs w:val="24"/>
        </w:rPr>
        <w:t>while</w:t>
      </w:r>
      <w:r w:rsidRPr="00FD4339">
        <w:rPr>
          <w:rFonts w:ascii="Times New Roman" w:hAnsi="Times New Roman"/>
          <w:szCs w:val="24"/>
        </w:rPr>
        <w:t xml:space="preserve"> other places cost more to serve</w:t>
      </w:r>
      <w:r>
        <w:rPr>
          <w:rFonts w:ascii="Times New Roman" w:hAnsi="Times New Roman"/>
          <w:szCs w:val="24"/>
        </w:rPr>
        <w:t>.  C</w:t>
      </w:r>
      <w:r w:rsidRPr="00FD4339">
        <w:rPr>
          <w:rFonts w:ascii="Times New Roman" w:hAnsi="Times New Roman"/>
          <w:szCs w:val="24"/>
        </w:rPr>
        <w:t>reating an obligation to serve as constrained as CenturyLink implies would</w:t>
      </w:r>
      <w:r w:rsidR="00542A50">
        <w:rPr>
          <w:rFonts w:ascii="Times New Roman" w:hAnsi="Times New Roman"/>
          <w:szCs w:val="24"/>
        </w:rPr>
        <w:t xml:space="preserve"> </w:t>
      </w:r>
      <w:r w:rsidRPr="00FD4339">
        <w:rPr>
          <w:rFonts w:ascii="Times New Roman" w:hAnsi="Times New Roman"/>
          <w:szCs w:val="24"/>
        </w:rPr>
        <w:t>inappropriately erode CenturyLink’s line extension obligations.  The fact that CenturyLink does not require public subsidies to serve a particular neighborhood does not then mean that other suppliers, which lack the unique incumbency advantages that CenturyLink possesses, would be able to enter the local market profitably</w:t>
      </w:r>
      <w:r>
        <w:rPr>
          <w:rFonts w:ascii="Times New Roman" w:hAnsi="Times New Roman"/>
          <w:szCs w:val="24"/>
        </w:rPr>
        <w:t>.</w:t>
      </w:r>
    </w:p>
    <w:p w:rsidR="00B7421A" w:rsidRDefault="00B7421A" w:rsidP="00E059E4">
      <w:pPr>
        <w:pStyle w:val="testimony"/>
        <w:widowControl w:val="0"/>
        <w:spacing w:line="480" w:lineRule="auto"/>
        <w:ind w:left="720" w:hanging="720"/>
        <w:rPr>
          <w:b/>
        </w:rPr>
      </w:pPr>
      <w:r>
        <w:rPr>
          <w:b/>
        </w:rPr>
        <w:t>Q:</w:t>
      </w:r>
      <w:r>
        <w:rPr>
          <w:b/>
        </w:rPr>
        <w:tab/>
        <w:t>How do</w:t>
      </w:r>
      <w:r w:rsidR="00BC67D3">
        <w:rPr>
          <w:b/>
        </w:rPr>
        <w:t>es</w:t>
      </w:r>
      <w:r>
        <w:rPr>
          <w:b/>
        </w:rPr>
        <w:t xml:space="preserve"> </w:t>
      </w:r>
      <w:r w:rsidR="00F54391">
        <w:rPr>
          <w:b/>
        </w:rPr>
        <w:t>WAC 480-120-071</w:t>
      </w:r>
      <w:r>
        <w:rPr>
          <w:b/>
        </w:rPr>
        <w:t xml:space="preserve"> define applicants for line extension?</w:t>
      </w:r>
    </w:p>
    <w:p w:rsidR="00247F2D" w:rsidRDefault="00B7421A" w:rsidP="00E059E4">
      <w:pPr>
        <w:pStyle w:val="testimony"/>
        <w:widowControl w:val="0"/>
        <w:spacing w:line="480" w:lineRule="auto"/>
        <w:ind w:left="720" w:hanging="720"/>
      </w:pPr>
      <w:r>
        <w:t>A:</w:t>
      </w:r>
      <w:r>
        <w:tab/>
      </w:r>
      <w:r w:rsidR="00A720FE">
        <w:t>The Commission modified WAC 480-120-071 in 2008 to, among other things, include a definition of “applicant.”</w:t>
      </w:r>
      <w:r w:rsidR="000B5C86">
        <w:rPr>
          <w:rStyle w:val="FootnoteReference"/>
        </w:rPr>
        <w:footnoteReference w:id="18"/>
      </w:r>
      <w:r w:rsidR="00BD6123">
        <w:t xml:space="preserve"> </w:t>
      </w:r>
      <w:r>
        <w:t xml:space="preserve"> </w:t>
      </w:r>
      <w:r w:rsidR="00477993">
        <w:t>A</w:t>
      </w:r>
      <w:r w:rsidR="000B5C86">
        <w:t>n applicant i</w:t>
      </w:r>
      <w:r>
        <w:t>s “any person applying to a telecommunications company for new residential basic local exchange service.”</w:t>
      </w:r>
      <w:r>
        <w:rPr>
          <w:rStyle w:val="FootnoteReference"/>
        </w:rPr>
        <w:footnoteReference w:id="19"/>
      </w:r>
      <w:r w:rsidR="004D60D7">
        <w:t xml:space="preserve">  The rule</w:t>
      </w:r>
      <w:r w:rsidR="000B5C86">
        <w:t xml:space="preserve"> also state</w:t>
      </w:r>
      <w:r w:rsidR="004D60D7">
        <w:t>s</w:t>
      </w:r>
      <w:r w:rsidR="000B5C86">
        <w:t xml:space="preserve"> that </w:t>
      </w:r>
      <w:r w:rsidR="000A5612">
        <w:t>the term a</w:t>
      </w:r>
      <w:r w:rsidR="000B5C86">
        <w:t>pplicant does not include developers requesting service for developments.</w:t>
      </w:r>
      <w:r w:rsidR="000B5C86">
        <w:rPr>
          <w:rStyle w:val="FootnoteReference"/>
        </w:rPr>
        <w:footnoteReference w:id="20"/>
      </w:r>
      <w:r w:rsidR="002E7F97">
        <w:t xml:space="preserve"> </w:t>
      </w:r>
      <w:r w:rsidR="00D96EE4">
        <w:t xml:space="preserve"> </w:t>
      </w:r>
      <w:r w:rsidR="000A5612">
        <w:t>Mr. Saum</w:t>
      </w:r>
      <w:r w:rsidR="00944F03">
        <w:t xml:space="preserve"> </w:t>
      </w:r>
      <w:r w:rsidR="004D60D7">
        <w:t>is no</w:t>
      </w:r>
      <w:r w:rsidR="00247F2D">
        <w:t>t a developer and, according to the rule’s definition, is an applicant.</w:t>
      </w:r>
      <w:r w:rsidR="004D60D7">
        <w:t xml:space="preserve"> </w:t>
      </w:r>
    </w:p>
    <w:p w:rsidR="00247F2D" w:rsidRDefault="00247F2D" w:rsidP="00E059E4">
      <w:pPr>
        <w:pStyle w:val="testimony"/>
        <w:widowControl w:val="0"/>
        <w:spacing w:line="480" w:lineRule="auto"/>
        <w:ind w:left="720" w:hanging="720"/>
        <w:rPr>
          <w:b/>
        </w:rPr>
      </w:pPr>
      <w:r>
        <w:rPr>
          <w:b/>
        </w:rPr>
        <w:t>Q:</w:t>
      </w:r>
      <w:r>
        <w:rPr>
          <w:b/>
        </w:rPr>
        <w:tab/>
        <w:t>How does the line extension rule define developments?</w:t>
      </w:r>
    </w:p>
    <w:p w:rsidR="00247F2D" w:rsidRDefault="00247F2D" w:rsidP="00E059E4">
      <w:pPr>
        <w:pStyle w:val="testimony"/>
        <w:widowControl w:val="0"/>
        <w:spacing w:line="480" w:lineRule="auto"/>
        <w:ind w:left="720" w:hanging="720"/>
      </w:pPr>
      <w:r>
        <w:lastRenderedPageBreak/>
        <w:t>A:</w:t>
      </w:r>
      <w:r>
        <w:tab/>
      </w:r>
      <w:r w:rsidR="00477993">
        <w:t>A</w:t>
      </w:r>
      <w:r w:rsidR="000B5C86">
        <w:t xml:space="preserve"> development </w:t>
      </w:r>
      <w:r w:rsidR="00542A50">
        <w:t xml:space="preserve">is </w:t>
      </w:r>
      <w:r w:rsidR="000B5C86">
        <w:t xml:space="preserve">“land which is divided or is proposed to be divided for the purpose of disposition into </w:t>
      </w:r>
      <w:r w:rsidR="000B5C86" w:rsidRPr="00FD4339">
        <w:rPr>
          <w:b/>
          <w:i/>
        </w:rPr>
        <w:t xml:space="preserve">four </w:t>
      </w:r>
      <w:r w:rsidR="008D6A71" w:rsidRPr="00FD4339">
        <w:rPr>
          <w:b/>
          <w:i/>
        </w:rPr>
        <w:t>or more</w:t>
      </w:r>
      <w:r w:rsidR="008D6A71">
        <w:t xml:space="preserve"> lots, parcels, or units.</w:t>
      </w:r>
      <w:r w:rsidR="000B5C86">
        <w:t>”</w:t>
      </w:r>
      <w:r w:rsidR="00477993">
        <w:t xml:space="preserve"> (Emphasis added.)</w:t>
      </w:r>
      <w:r w:rsidR="000B5C86">
        <w:t xml:space="preserve"> </w:t>
      </w:r>
      <w:r w:rsidR="008D6A71">
        <w:t xml:space="preserve">This definition </w:t>
      </w:r>
      <w:r w:rsidR="000B5C86">
        <w:t>replaced the earlier definition that develo</w:t>
      </w:r>
      <w:r w:rsidR="008D6A71">
        <w:t>pment “has the same meaning as ‘</w:t>
      </w:r>
      <w:r w:rsidR="000B5C86">
        <w:t>development</w:t>
      </w:r>
      <w:r w:rsidR="008D6A71">
        <w:t>’</w:t>
      </w:r>
      <w:r w:rsidR="000B5C86">
        <w:t xml:space="preserve"> </w:t>
      </w:r>
      <w:r w:rsidR="008D6A71">
        <w:t>and ‘</w:t>
      </w:r>
      <w:r w:rsidR="000B5C86">
        <w:t>developed lands</w:t>
      </w:r>
      <w:r w:rsidR="008D6A71">
        <w:t>’</w:t>
      </w:r>
      <w:r w:rsidR="000B5C86">
        <w:t xml:space="preserve"> in RCW 58.19.020.”</w:t>
      </w:r>
      <w:r w:rsidR="000B5C86">
        <w:rPr>
          <w:rStyle w:val="FootnoteReference"/>
        </w:rPr>
        <w:footnoteReference w:id="21"/>
      </w:r>
      <w:r w:rsidR="002E7F97">
        <w:rPr>
          <w:rStyle w:val="FootnoteReference"/>
        </w:rPr>
        <w:t xml:space="preserve"> </w:t>
      </w:r>
      <w:r w:rsidR="002E7F97">
        <w:t xml:space="preserve"> </w:t>
      </w:r>
      <w:r>
        <w:t>The superseded definition of development (in the context of the line extension rule) was as follows:</w:t>
      </w:r>
    </w:p>
    <w:p w:rsidR="00247F2D" w:rsidRDefault="00247F2D" w:rsidP="00E059E4">
      <w:pPr>
        <w:pStyle w:val="testimony"/>
        <w:widowControl w:val="0"/>
        <w:spacing w:line="240" w:lineRule="auto"/>
        <w:ind w:left="1440" w:right="720" w:hanging="720"/>
        <w:jc w:val="both"/>
      </w:pPr>
      <w:r>
        <w:tab/>
      </w:r>
      <w:r w:rsidRPr="00247F2D">
        <w:t xml:space="preserve">"Development" or "developed lands" means land which is divided or is proposed to be divided for the purpose of disposition into </w:t>
      </w:r>
      <w:r w:rsidRPr="00FD4339">
        <w:rPr>
          <w:b/>
          <w:i/>
        </w:rPr>
        <w:t>twenty-six or more</w:t>
      </w:r>
      <w:r w:rsidRPr="00247F2D">
        <w:t xml:space="preserve"> lots, parcels, or units (excluding interests in camping resorts regulated under chapter 19.105 RCW and interests in condominiums regulated under chapter 64.34 RCW) or any other land whether contiguous or not, if twenty-six or more lots, parcels, units, or interests are offered as a part of a common promotional plan of advertising and sale.</w:t>
      </w:r>
      <w:r>
        <w:rPr>
          <w:rStyle w:val="FootnoteReference"/>
        </w:rPr>
        <w:footnoteReference w:id="22"/>
      </w:r>
    </w:p>
    <w:p w:rsidR="00397D50" w:rsidRDefault="00247F2D" w:rsidP="00E059E4">
      <w:pPr>
        <w:pStyle w:val="testimony"/>
        <w:widowControl w:val="0"/>
        <w:tabs>
          <w:tab w:val="clear" w:pos="2160"/>
          <w:tab w:val="left" w:pos="1440"/>
        </w:tabs>
        <w:spacing w:before="240" w:line="480" w:lineRule="auto"/>
        <w:ind w:left="720" w:hanging="720"/>
      </w:pPr>
      <w:r>
        <w:tab/>
      </w:r>
      <w:r w:rsidR="00E059E4">
        <w:tab/>
      </w:r>
      <w:r>
        <w:t xml:space="preserve">I am unaware of the Commission’s intentions in changing the definition </w:t>
      </w:r>
      <w:r w:rsidR="002378A9">
        <w:t xml:space="preserve">of development </w:t>
      </w:r>
      <w:r>
        <w:t>to encompass smaller subdivisions (from 26 or more lots to four or more lots)</w:t>
      </w:r>
      <w:r w:rsidR="005533EF">
        <w:t xml:space="preserve">.  </w:t>
      </w:r>
      <w:r>
        <w:t>In any event, the place to which the line would be extended</w:t>
      </w:r>
      <w:r w:rsidR="00477993">
        <w:t xml:space="preserve"> in this case</w:t>
      </w:r>
      <w:r>
        <w:t xml:space="preserve"> is not land “which is divided or is proposed to be divided for the purpose of disposition into four or more lots, parcels, or units</w:t>
      </w:r>
      <w:r w:rsidR="00477993">
        <w:t>.</w:t>
      </w:r>
      <w:r>
        <w:t>”</w:t>
      </w:r>
      <w:r w:rsidR="00CC237C">
        <w:t xml:space="preserve"> </w:t>
      </w:r>
      <w:r>
        <w:t xml:space="preserve"> </w:t>
      </w:r>
      <w:r w:rsidR="00477993">
        <w:t>I</w:t>
      </w:r>
      <w:r>
        <w:t xml:space="preserve">nstead, </w:t>
      </w:r>
      <w:r w:rsidR="00477993">
        <w:t>the line extension was requested to</w:t>
      </w:r>
      <w:r w:rsidR="000A5612">
        <w:t xml:space="preserve"> an individual lot to an individual residence</w:t>
      </w:r>
      <w:r w:rsidR="00397D50">
        <w:t xml:space="preserve">, which, at the time of </w:t>
      </w:r>
      <w:r w:rsidR="000A5612">
        <w:t>Mr. Saum</w:t>
      </w:r>
      <w:r w:rsidR="00397D50">
        <w:t>’s application for service, was occupied by the customer</w:t>
      </w:r>
      <w:r w:rsidR="006E625C">
        <w:t xml:space="preserve">.  </w:t>
      </w:r>
      <w:r w:rsidR="00397D50">
        <w:t>As Staff points out:</w:t>
      </w:r>
    </w:p>
    <w:p w:rsidR="00397D50" w:rsidRPr="00247F2D" w:rsidRDefault="00397D50" w:rsidP="00E059E4">
      <w:pPr>
        <w:ind w:left="1440" w:right="720"/>
        <w:jc w:val="both"/>
      </w:pPr>
      <w:r>
        <w:t>In the line extension rule, WAC 480-120-071, “development” is defined as “</w:t>
      </w:r>
      <w:r w:rsidRPr="00E824A3">
        <w:rPr>
          <w:b/>
        </w:rPr>
        <w:t xml:space="preserve">land </w:t>
      </w:r>
      <w:r>
        <w:t xml:space="preserve">which is divided…for the purpose of disposition into four or more lots, parcels, or units” (emphasis added). Per the plain language of the rule, a development is land, which, arguably, is not the same as an occupied home. Because the customer is asking </w:t>
      </w:r>
      <w:r>
        <w:lastRenderedPageBreak/>
        <w:t>for service to his home and not to a “development,” the line extension rule requires CenturyLink to extend service.</w:t>
      </w:r>
      <w:r>
        <w:rPr>
          <w:rStyle w:val="FootnoteReference"/>
        </w:rPr>
        <w:footnoteReference w:id="23"/>
      </w:r>
    </w:p>
    <w:p w:rsidR="000B5C86" w:rsidRDefault="00556E0A" w:rsidP="00E059E4">
      <w:pPr>
        <w:pStyle w:val="testimony"/>
        <w:widowControl w:val="0"/>
        <w:spacing w:before="240" w:line="480" w:lineRule="auto"/>
        <w:ind w:left="720" w:hanging="720"/>
      </w:pPr>
      <w:r>
        <w:rPr>
          <w:b/>
        </w:rPr>
        <w:t>Q:</w:t>
      </w:r>
      <w:r>
        <w:rPr>
          <w:b/>
        </w:rPr>
        <w:tab/>
      </w:r>
      <w:r w:rsidR="00F97007">
        <w:rPr>
          <w:b/>
        </w:rPr>
        <w:t>Please elaborate on whether the request made in this case was for</w:t>
      </w:r>
      <w:r>
        <w:rPr>
          <w:b/>
        </w:rPr>
        <w:t xml:space="preserve"> extension of service</w:t>
      </w:r>
      <w:r w:rsidR="00083277">
        <w:rPr>
          <w:b/>
        </w:rPr>
        <w:t>.</w:t>
      </w:r>
      <w:r>
        <w:t xml:space="preserve"> </w:t>
      </w:r>
    </w:p>
    <w:p w:rsidR="00556E0A" w:rsidRDefault="000B5C86" w:rsidP="00E059E4">
      <w:pPr>
        <w:pStyle w:val="testimony"/>
        <w:widowControl w:val="0"/>
        <w:spacing w:line="480" w:lineRule="auto"/>
        <w:ind w:left="720" w:hanging="720"/>
      </w:pPr>
      <w:r>
        <w:t>A:</w:t>
      </w:r>
      <w:r>
        <w:tab/>
      </w:r>
      <w:r w:rsidR="000A5612">
        <w:t>The request in this case triggered the line extension</w:t>
      </w:r>
      <w:r w:rsidR="00BE1369">
        <w:t xml:space="preserve"> rule.  </w:t>
      </w:r>
      <w:r>
        <w:t xml:space="preserve">As set forth in </w:t>
      </w:r>
      <w:r w:rsidR="00F97007">
        <w:t>WAC 480-120-071(</w:t>
      </w:r>
      <w:r w:rsidR="00EE1EB7">
        <w:t>2</w:t>
      </w:r>
      <w:r w:rsidR="00F97007">
        <w:t>)</w:t>
      </w:r>
      <w:r>
        <w:t xml:space="preserve">, extension of service </w:t>
      </w:r>
    </w:p>
    <w:p w:rsidR="00556E0A" w:rsidRDefault="00556E0A" w:rsidP="00E059E4">
      <w:pPr>
        <w:pStyle w:val="testimony"/>
        <w:widowControl w:val="0"/>
        <w:spacing w:after="240" w:line="240" w:lineRule="auto"/>
        <w:ind w:left="1440" w:right="720" w:hanging="720"/>
        <w:jc w:val="both"/>
      </w:pPr>
      <w:r>
        <w:tab/>
      </w:r>
      <w:r w:rsidR="000B5C86">
        <w:t xml:space="preserve">means an extension of company distribution plant for new tariffed residential basic local exchange service to a location where no distribution plant of the extending company exists at the </w:t>
      </w:r>
      <w:r>
        <w:t>time an extension of service is</w:t>
      </w:r>
      <w:r w:rsidR="000B5C86">
        <w:t xml:space="preserve"> requested</w:t>
      </w:r>
      <w:r w:rsidR="006E625C">
        <w:t xml:space="preserve">. </w:t>
      </w:r>
      <w:r w:rsidR="000B5C86">
        <w:t>An extension is constructed at the request of one or more applicants for service. Extensions of service do not include trenches, conduits, or other support structure for placement of company-provided facilities from the applicant's property line to the premises to be served. Extension of service, as defined in this rule, does not apply to extensions of service to developments or to extensions of service for temporary occupancy or temporary service.</w:t>
      </w:r>
      <w:r>
        <w:rPr>
          <w:rStyle w:val="FootnoteReference"/>
        </w:rPr>
        <w:footnoteReference w:id="24"/>
      </w:r>
    </w:p>
    <w:p w:rsidR="00F97007" w:rsidRDefault="00F97007" w:rsidP="00E059E4">
      <w:pPr>
        <w:pStyle w:val="testimony"/>
        <w:widowControl w:val="0"/>
        <w:tabs>
          <w:tab w:val="clear" w:pos="720"/>
          <w:tab w:val="clear" w:pos="2160"/>
          <w:tab w:val="left" w:pos="1440"/>
        </w:tabs>
        <w:spacing w:line="480" w:lineRule="auto"/>
        <w:ind w:left="720" w:right="720" w:hanging="720"/>
      </w:pPr>
      <w:r>
        <w:tab/>
      </w:r>
      <w:r w:rsidR="00E059E4">
        <w:tab/>
      </w:r>
      <w:r w:rsidR="00BE1369">
        <w:t>Mr. Saum</w:t>
      </w:r>
      <w:r>
        <w:t xml:space="preserve"> requested to transfer service to his new residence, and his request was for </w:t>
      </w:r>
      <w:r w:rsidR="00D361F6">
        <w:t>a residential line to support voice service and internet access service.</w:t>
      </w:r>
      <w:r w:rsidR="00D361F6">
        <w:rPr>
          <w:rStyle w:val="FootnoteReference"/>
        </w:rPr>
        <w:footnoteReference w:id="25"/>
      </w:r>
      <w:r w:rsidR="00BA3E28">
        <w:t xml:space="preserve">  CenturyLink did not have facilities in place to serve the customer, and the customer’s residence was within the 1,000-foot allowance provided for in WAC 480-120-071.</w:t>
      </w:r>
    </w:p>
    <w:p w:rsidR="00B7421A" w:rsidRDefault="00B7421A" w:rsidP="00E059E4">
      <w:pPr>
        <w:pStyle w:val="testimony"/>
        <w:widowControl w:val="0"/>
        <w:spacing w:line="480" w:lineRule="auto"/>
        <w:ind w:left="720" w:hanging="720"/>
      </w:pPr>
      <w:r>
        <w:rPr>
          <w:b/>
        </w:rPr>
        <w:t>Q:</w:t>
      </w:r>
      <w:r>
        <w:rPr>
          <w:b/>
        </w:rPr>
        <w:tab/>
        <w:t>Do</w:t>
      </w:r>
      <w:r w:rsidR="00BA3E28">
        <w:rPr>
          <w:b/>
        </w:rPr>
        <w:t>es WAC 480-120-071</w:t>
      </w:r>
      <w:r>
        <w:rPr>
          <w:b/>
        </w:rPr>
        <w:t xml:space="preserve"> include any time parameters?</w:t>
      </w:r>
    </w:p>
    <w:p w:rsidR="00B7421A" w:rsidRDefault="00B7421A" w:rsidP="00E059E4">
      <w:pPr>
        <w:pStyle w:val="testimony"/>
        <w:widowControl w:val="0"/>
        <w:spacing w:line="480" w:lineRule="auto"/>
        <w:ind w:left="720" w:hanging="720"/>
      </w:pPr>
      <w:r>
        <w:t>A:</w:t>
      </w:r>
      <w:r>
        <w:tab/>
        <w:t xml:space="preserve">Yes.  </w:t>
      </w:r>
      <w:r w:rsidR="00BA3E28">
        <w:t>Each</w:t>
      </w:r>
      <w:r>
        <w:t xml:space="preserve"> </w:t>
      </w:r>
      <w:r w:rsidR="00BA3E28">
        <w:t>“</w:t>
      </w:r>
      <w:r>
        <w:t>wire line ETC must, within seven business days, of an applicant’s initial request, provide the applicant with an application for extension of service,” and must process applications “in a timely manner.”</w:t>
      </w:r>
      <w:r>
        <w:rPr>
          <w:rStyle w:val="FootnoteReference"/>
        </w:rPr>
        <w:footnoteReference w:id="26"/>
      </w:r>
    </w:p>
    <w:p w:rsidR="00B7421A" w:rsidRDefault="00B7421A" w:rsidP="00E059E4">
      <w:pPr>
        <w:pStyle w:val="testimony"/>
        <w:widowControl w:val="0"/>
        <w:spacing w:line="480" w:lineRule="auto"/>
        <w:ind w:left="720" w:hanging="720"/>
      </w:pPr>
      <w:r>
        <w:rPr>
          <w:b/>
        </w:rPr>
        <w:lastRenderedPageBreak/>
        <w:t>Q:</w:t>
      </w:r>
      <w:r>
        <w:rPr>
          <w:b/>
        </w:rPr>
        <w:tab/>
        <w:t>Did CenturyLink provide the customer with an application for service</w:t>
      </w:r>
      <w:r w:rsidR="006B0F44">
        <w:rPr>
          <w:b/>
        </w:rPr>
        <w:t xml:space="preserve"> </w:t>
      </w:r>
      <w:r w:rsidR="00BA3E28">
        <w:rPr>
          <w:b/>
        </w:rPr>
        <w:t xml:space="preserve">within seven days </w:t>
      </w:r>
      <w:r w:rsidR="006B0F44">
        <w:rPr>
          <w:b/>
        </w:rPr>
        <w:t>and then process the application in a timely manner</w:t>
      </w:r>
      <w:r>
        <w:rPr>
          <w:b/>
        </w:rPr>
        <w:t>?</w:t>
      </w:r>
    </w:p>
    <w:p w:rsidR="00646747" w:rsidRPr="00F65B92" w:rsidRDefault="00B7421A" w:rsidP="00E059E4">
      <w:pPr>
        <w:pStyle w:val="testimony"/>
        <w:widowControl w:val="0"/>
        <w:spacing w:line="480" w:lineRule="auto"/>
        <w:ind w:left="720" w:hanging="720"/>
      </w:pPr>
      <w:r>
        <w:t>A:</w:t>
      </w:r>
      <w:r>
        <w:tab/>
        <w:t>No.</w:t>
      </w:r>
      <w:r w:rsidR="002C34FF">
        <w:t xml:space="preserve"> </w:t>
      </w:r>
      <w:r w:rsidR="001A43A0">
        <w:t xml:space="preserve"> </w:t>
      </w:r>
      <w:r w:rsidR="00F64666">
        <w:t>Accordingly, CenturyLink violated the line extension rule</w:t>
      </w:r>
      <w:r w:rsidR="00BA3E28">
        <w:t>, and continues violating the rule each day that it does not provide an application and process that application in a timely manner</w:t>
      </w:r>
      <w:r w:rsidR="00F64666">
        <w:t>.</w:t>
      </w:r>
    </w:p>
    <w:p w:rsidR="00B7421A" w:rsidRDefault="00B7421A" w:rsidP="001066B0">
      <w:pPr>
        <w:pStyle w:val="Heading2"/>
      </w:pPr>
      <w:bookmarkStart w:id="56" w:name="_Toc514341593"/>
      <w:bookmarkStart w:id="57" w:name="_Toc514342491"/>
      <w:bookmarkStart w:id="58" w:name="_Toc514345306"/>
      <w:bookmarkStart w:id="59" w:name="_Toc514651351"/>
      <w:bookmarkStart w:id="60" w:name="_Toc514673434"/>
      <w:bookmarkStart w:id="61" w:name="_Toc515443396"/>
      <w:bookmarkStart w:id="62" w:name="_Toc515543052"/>
      <w:r>
        <w:t>CenturyLink’s assertion</w:t>
      </w:r>
      <w:r w:rsidRPr="0035406E">
        <w:t xml:space="preserve"> that it </w:t>
      </w:r>
      <w:r w:rsidR="00537CC7">
        <w:t xml:space="preserve">purportedly </w:t>
      </w:r>
      <w:r w:rsidRPr="0035406E">
        <w:t>followed policy that ha</w:t>
      </w:r>
      <w:r>
        <w:t>s been in place for “many years</w:t>
      </w:r>
      <w:r w:rsidRPr="0035406E">
        <w:t>”</w:t>
      </w:r>
      <w:r>
        <w:t xml:space="preserve"> does not justify its failure to comply with statutory requirements and Commission rules.</w:t>
      </w:r>
      <w:bookmarkEnd w:id="56"/>
      <w:bookmarkEnd w:id="57"/>
      <w:bookmarkEnd w:id="58"/>
      <w:bookmarkEnd w:id="59"/>
      <w:bookmarkEnd w:id="60"/>
      <w:bookmarkEnd w:id="61"/>
      <w:bookmarkEnd w:id="62"/>
      <w:r>
        <w:t xml:space="preserve"> </w:t>
      </w:r>
    </w:p>
    <w:p w:rsidR="00F65B92" w:rsidRDefault="00F65B92" w:rsidP="00E059E4">
      <w:pPr>
        <w:pStyle w:val="testimony"/>
        <w:widowControl w:val="0"/>
        <w:spacing w:line="480" w:lineRule="auto"/>
        <w:ind w:left="720" w:hanging="720"/>
        <w:rPr>
          <w:b/>
        </w:rPr>
      </w:pPr>
      <w:r>
        <w:rPr>
          <w:b/>
        </w:rPr>
        <w:t>Q:</w:t>
      </w:r>
      <w:r>
        <w:rPr>
          <w:b/>
        </w:rPr>
        <w:tab/>
      </w:r>
      <w:r w:rsidR="00BE1369">
        <w:rPr>
          <w:b/>
        </w:rPr>
        <w:t xml:space="preserve">CenturyLink points to </w:t>
      </w:r>
      <w:r>
        <w:rPr>
          <w:b/>
        </w:rPr>
        <w:t xml:space="preserve">its tariff relating to service provided to developers.  What is your understanding of how that tariff relates to the complaint at issue in this case? </w:t>
      </w:r>
    </w:p>
    <w:p w:rsidR="00F65B92" w:rsidRDefault="00F65B92" w:rsidP="00E059E4">
      <w:pPr>
        <w:pStyle w:val="testimony"/>
        <w:widowControl w:val="0"/>
        <w:spacing w:line="480" w:lineRule="auto"/>
        <w:ind w:left="720" w:hanging="720"/>
      </w:pPr>
      <w:r>
        <w:t>A:</w:t>
      </w:r>
      <w:r>
        <w:tab/>
      </w:r>
      <w:r w:rsidR="00B7421A">
        <w:t xml:space="preserve">CenturyLink </w:t>
      </w:r>
      <w:r w:rsidR="00964237">
        <w:t>argues that it does not</w:t>
      </w:r>
      <w:r w:rsidR="00E14ACB">
        <w:t xml:space="preserve"> – and need not – </w:t>
      </w:r>
      <w:r w:rsidR="00964237">
        <w:t>serve</w:t>
      </w:r>
      <w:r w:rsidR="00E14ACB">
        <w:t xml:space="preserve"> </w:t>
      </w:r>
      <w:r w:rsidR="00964237">
        <w:t>neighborhoods in which the developer did not enter into</w:t>
      </w:r>
      <w:r w:rsidR="00297B32">
        <w:t xml:space="preserve"> a </w:t>
      </w:r>
      <w:r w:rsidR="002142A8">
        <w:t>PAH</w:t>
      </w:r>
      <w:r w:rsidR="00F01376">
        <w:t>D</w:t>
      </w:r>
      <w:r w:rsidR="002142A8">
        <w:t>.</w:t>
      </w:r>
      <w:r w:rsidR="0088303E">
        <w:rPr>
          <w:rStyle w:val="FootnoteReference"/>
        </w:rPr>
        <w:footnoteReference w:id="27"/>
      </w:r>
      <w:r w:rsidR="00E14ACB">
        <w:t xml:space="preserve">  In essence, CenturyLink takes the position that its tariff allowing for PAHDs creates a condition that must exist before CenturyLink will extend its facilities.</w:t>
      </w:r>
      <w:r w:rsidR="002142A8">
        <w:t xml:space="preserve">  </w:t>
      </w:r>
      <w:r w:rsidR="00944F03">
        <w:t>CenturyLink uses the designation</w:t>
      </w:r>
      <w:r w:rsidR="00B7421A">
        <w:t xml:space="preserve"> “</w:t>
      </w:r>
      <w:r w:rsidR="00B7421A" w:rsidRPr="0035406E">
        <w:t xml:space="preserve">no serve housing development” </w:t>
      </w:r>
      <w:r w:rsidR="00944F03">
        <w:t xml:space="preserve">for </w:t>
      </w:r>
      <w:r w:rsidR="00545531">
        <w:t>(</w:t>
      </w:r>
      <w:r w:rsidR="00944F03">
        <w:t xml:space="preserve">1) </w:t>
      </w:r>
      <w:r w:rsidR="00B7421A" w:rsidRPr="0035406E">
        <w:t xml:space="preserve">a housing development where a developer refuses to execute a </w:t>
      </w:r>
      <w:r w:rsidR="00F01376">
        <w:t>PAHD</w:t>
      </w:r>
      <w:r w:rsidR="00944F03">
        <w:t>;</w:t>
      </w:r>
      <w:r w:rsidR="00B7421A" w:rsidRPr="0035406E">
        <w:t xml:space="preserve"> </w:t>
      </w:r>
      <w:r w:rsidR="00B7421A">
        <w:t>(</w:t>
      </w:r>
      <w:r w:rsidR="00944F03">
        <w:t>2</w:t>
      </w:r>
      <w:r w:rsidR="00B7421A">
        <w:t xml:space="preserve">) </w:t>
      </w:r>
      <w:r w:rsidR="00944F03">
        <w:t xml:space="preserve">a </w:t>
      </w:r>
      <w:r w:rsidR="00B7421A" w:rsidRPr="0035406E">
        <w:t xml:space="preserve">development where the developer </w:t>
      </w:r>
      <w:r w:rsidR="00297B32">
        <w:t>never</w:t>
      </w:r>
      <w:r w:rsidR="00B7421A" w:rsidRPr="0035406E">
        <w:t xml:space="preserve"> request</w:t>
      </w:r>
      <w:r w:rsidR="00297B32">
        <w:t>ed</w:t>
      </w:r>
      <w:r w:rsidR="00B7421A" w:rsidRPr="0035406E">
        <w:t xml:space="preserve"> service from CenturyLink and therefore would not have been</w:t>
      </w:r>
      <w:r w:rsidR="00B7421A">
        <w:t xml:space="preserve"> offered a PAHD</w:t>
      </w:r>
      <w:r w:rsidR="00944F03">
        <w:t>;</w:t>
      </w:r>
      <w:r w:rsidR="00B7421A">
        <w:t xml:space="preserve"> </w:t>
      </w:r>
      <w:r w:rsidR="00944F03">
        <w:t>and</w:t>
      </w:r>
      <w:r w:rsidR="00B7421A">
        <w:t xml:space="preserve"> (</w:t>
      </w:r>
      <w:r w:rsidR="00944F03">
        <w:t>3</w:t>
      </w:r>
      <w:r w:rsidR="00B7421A">
        <w:t xml:space="preserve">) </w:t>
      </w:r>
      <w:r w:rsidR="00B7421A" w:rsidRPr="0035406E">
        <w:t xml:space="preserve">situations where the developer may have had preliminary discussions with CenturyLink but </w:t>
      </w:r>
      <w:r w:rsidR="00944F03">
        <w:t>decided against proceeding</w:t>
      </w:r>
      <w:r w:rsidR="00B7421A" w:rsidRPr="0035406E">
        <w:t>.</w:t>
      </w:r>
      <w:r w:rsidR="00B7421A">
        <w:rPr>
          <w:rStyle w:val="FootnoteReference"/>
        </w:rPr>
        <w:footnoteReference w:id="28"/>
      </w:r>
      <w:r w:rsidR="00297B32">
        <w:t xml:space="preserve">  </w:t>
      </w:r>
      <w:r w:rsidR="0088303E">
        <w:t>In this case</w:t>
      </w:r>
      <w:r w:rsidR="00E14ACB">
        <w:t>,</w:t>
      </w:r>
      <w:r w:rsidR="0088303E">
        <w:t xml:space="preserve"> the developer did not enter into a PAHD</w:t>
      </w:r>
      <w:r w:rsidR="00E34E86">
        <w:t xml:space="preserve">.  </w:t>
      </w:r>
      <w:r w:rsidR="00E14ACB">
        <w:t xml:space="preserve">CenturyLink stated that </w:t>
      </w:r>
      <w:r w:rsidR="00297B32">
        <w:t>it</w:t>
      </w:r>
      <w:r w:rsidR="00E14ACB">
        <w:t xml:space="preserve"> </w:t>
      </w:r>
      <w:r w:rsidR="00E14ACB">
        <w:lastRenderedPageBreak/>
        <w:t xml:space="preserve">failed </w:t>
      </w:r>
      <w:r w:rsidR="00297B32">
        <w:t xml:space="preserve">to serve </w:t>
      </w:r>
      <w:r w:rsidR="00A1163D">
        <w:t>Mr. Saum</w:t>
      </w:r>
      <w:r w:rsidR="00E14ACB">
        <w:t xml:space="preserve"> because</w:t>
      </w:r>
      <w:r w:rsidR="00297B32">
        <w:t xml:space="preserve"> he had</w:t>
      </w:r>
      <w:r w:rsidR="00A753D1" w:rsidRPr="00A753D1">
        <w:t xml:space="preserve"> </w:t>
      </w:r>
      <w:r w:rsidR="00A753D1">
        <w:t>“</w:t>
      </w:r>
      <w:r w:rsidR="00A753D1" w:rsidRPr="00A753D1">
        <w:t xml:space="preserve">moved into what </w:t>
      </w:r>
      <w:r w:rsidR="00A753D1">
        <w:t>[it] call[ed]</w:t>
      </w:r>
      <w:r w:rsidR="00A753D1" w:rsidRPr="00A753D1">
        <w:t xml:space="preserve"> a no serve housing development.</w:t>
      </w:r>
      <w:r w:rsidR="00A753D1">
        <w:t>”</w:t>
      </w:r>
      <w:r w:rsidR="00A753D1">
        <w:rPr>
          <w:rStyle w:val="FootnoteReference"/>
        </w:rPr>
        <w:footnoteReference w:id="29"/>
      </w:r>
      <w:r w:rsidR="00A753D1" w:rsidRPr="00A753D1">
        <w:t xml:space="preserve"> </w:t>
      </w:r>
      <w:r w:rsidR="00297B32">
        <w:t xml:space="preserve"> </w:t>
      </w:r>
      <w:r w:rsidR="001206C3">
        <w:rPr>
          <w:b/>
        </w:rPr>
        <w:t xml:space="preserve"> </w:t>
      </w:r>
      <w:r w:rsidR="00297B32">
        <w:t xml:space="preserve">  </w:t>
      </w:r>
    </w:p>
    <w:p w:rsidR="0056226F" w:rsidRDefault="00F65B92" w:rsidP="005B6CC8">
      <w:pPr>
        <w:pStyle w:val="testimony"/>
        <w:widowControl w:val="0"/>
        <w:tabs>
          <w:tab w:val="clear" w:pos="2160"/>
          <w:tab w:val="left" w:pos="1440"/>
        </w:tabs>
        <w:spacing w:line="480" w:lineRule="auto"/>
        <w:ind w:left="720" w:hanging="720"/>
        <w:rPr>
          <w:color w:val="000000"/>
        </w:rPr>
      </w:pPr>
      <w:r>
        <w:tab/>
      </w:r>
      <w:r w:rsidR="005B6CC8">
        <w:tab/>
      </w:r>
      <w:r w:rsidR="00B7421A" w:rsidRPr="004D6143">
        <w:rPr>
          <w:color w:val="000000"/>
        </w:rPr>
        <w:t xml:space="preserve">Section 4.4.C of the </w:t>
      </w:r>
      <w:r w:rsidR="00F64666">
        <w:rPr>
          <w:color w:val="000000"/>
        </w:rPr>
        <w:t xml:space="preserve">PAHD </w:t>
      </w:r>
      <w:r w:rsidR="00B7421A" w:rsidRPr="004D6143">
        <w:rPr>
          <w:color w:val="000000"/>
        </w:rPr>
        <w:t xml:space="preserve">tariff </w:t>
      </w:r>
      <w:r>
        <w:rPr>
          <w:color w:val="000000"/>
        </w:rPr>
        <w:t>states:</w:t>
      </w:r>
      <w:r w:rsidR="00B7421A" w:rsidRPr="004D6143">
        <w:rPr>
          <w:color w:val="000000"/>
        </w:rPr>
        <w:t xml:space="preserve"> “If a Developer/Builder does not enter into a PAHD, the Company, at its option, may accept requests for service from individual customers in the subdivision/development area a</w:t>
      </w:r>
      <w:r w:rsidR="00F64666">
        <w:rPr>
          <w:color w:val="000000"/>
        </w:rPr>
        <w:t>s provided for in Section 4.2.2 [the line extension tariff].</w:t>
      </w:r>
      <w:r w:rsidR="00B7421A" w:rsidRPr="004D6143">
        <w:rPr>
          <w:color w:val="000000"/>
        </w:rPr>
        <w:t>”</w:t>
      </w:r>
      <w:r w:rsidR="0088303E">
        <w:rPr>
          <w:rStyle w:val="FootnoteReference"/>
        </w:rPr>
        <w:footnoteReference w:id="30"/>
      </w:r>
      <w:r w:rsidR="00B7421A" w:rsidRPr="004D6143">
        <w:rPr>
          <w:color w:val="000000"/>
        </w:rPr>
        <w:t xml:space="preserve"> </w:t>
      </w:r>
      <w:r w:rsidR="00F64666">
        <w:rPr>
          <w:color w:val="000000"/>
        </w:rPr>
        <w:t xml:space="preserve"> </w:t>
      </w:r>
      <w:r w:rsidR="00B7421A">
        <w:rPr>
          <w:color w:val="000000"/>
        </w:rPr>
        <w:t xml:space="preserve">CenturyLink, in refusing to serve the customer, </w:t>
      </w:r>
      <w:r w:rsidR="0056226F">
        <w:rPr>
          <w:color w:val="000000"/>
        </w:rPr>
        <w:t xml:space="preserve">interprets its self-appointed option to accept service requests as an </w:t>
      </w:r>
      <w:r w:rsidR="00F64666">
        <w:rPr>
          <w:color w:val="000000"/>
        </w:rPr>
        <w:t>option</w:t>
      </w:r>
      <w:r w:rsidR="0056226F">
        <w:rPr>
          <w:color w:val="000000"/>
        </w:rPr>
        <w:t xml:space="preserve"> </w:t>
      </w:r>
      <w:r w:rsidR="00F64666">
        <w:rPr>
          <w:color w:val="000000"/>
        </w:rPr>
        <w:t>to deny service.</w:t>
      </w:r>
      <w:r w:rsidR="0056226F">
        <w:rPr>
          <w:color w:val="000000"/>
        </w:rPr>
        <w:t xml:space="preserve">  </w:t>
      </w:r>
      <w:r w:rsidR="00AD17E2">
        <w:rPr>
          <w:color w:val="000000"/>
        </w:rPr>
        <w:t>However, the tariff does not say that CenturyLink will deny service to individual customers, and such a provision would be contrary to RCW 80.36.090 and WAC 480-120-071</w:t>
      </w:r>
      <w:r w:rsidR="006E625C">
        <w:rPr>
          <w:color w:val="000000"/>
        </w:rPr>
        <w:t xml:space="preserve">.  </w:t>
      </w:r>
      <w:r>
        <w:rPr>
          <w:color w:val="000000"/>
        </w:rPr>
        <w:t xml:space="preserve"> </w:t>
      </w:r>
      <w:r w:rsidR="00F64666">
        <w:rPr>
          <w:color w:val="000000"/>
        </w:rPr>
        <w:t xml:space="preserve"> </w:t>
      </w:r>
    </w:p>
    <w:p w:rsidR="00475EA8" w:rsidRDefault="00F65B92" w:rsidP="00E059E4">
      <w:pPr>
        <w:pStyle w:val="testimony"/>
        <w:widowControl w:val="0"/>
        <w:spacing w:line="480" w:lineRule="auto"/>
        <w:ind w:left="720" w:hanging="720"/>
        <w:rPr>
          <w:b/>
          <w:color w:val="000000"/>
        </w:rPr>
      </w:pPr>
      <w:r>
        <w:rPr>
          <w:b/>
          <w:color w:val="000000"/>
        </w:rPr>
        <w:t>Q:</w:t>
      </w:r>
      <w:r>
        <w:rPr>
          <w:b/>
          <w:color w:val="000000"/>
        </w:rPr>
        <w:tab/>
      </w:r>
      <w:r w:rsidR="00475EA8">
        <w:rPr>
          <w:b/>
          <w:color w:val="000000"/>
        </w:rPr>
        <w:t xml:space="preserve">How does </w:t>
      </w:r>
      <w:r>
        <w:rPr>
          <w:b/>
          <w:color w:val="000000"/>
        </w:rPr>
        <w:t xml:space="preserve">CenturyLink </w:t>
      </w:r>
      <w:r w:rsidR="00475EA8">
        <w:rPr>
          <w:b/>
          <w:color w:val="000000"/>
        </w:rPr>
        <w:t xml:space="preserve">rely on the PAHD tariff to justify </w:t>
      </w:r>
      <w:r>
        <w:rPr>
          <w:b/>
          <w:color w:val="000000"/>
        </w:rPr>
        <w:t>its refusal to serve th</w:t>
      </w:r>
      <w:r w:rsidR="00475EA8">
        <w:rPr>
          <w:b/>
          <w:color w:val="000000"/>
        </w:rPr>
        <w:t xml:space="preserve">is </w:t>
      </w:r>
      <w:r>
        <w:rPr>
          <w:b/>
          <w:color w:val="000000"/>
        </w:rPr>
        <w:t>customer</w:t>
      </w:r>
      <w:r w:rsidR="00475EA8">
        <w:rPr>
          <w:b/>
          <w:color w:val="000000"/>
        </w:rPr>
        <w:t xml:space="preserve">? </w:t>
      </w:r>
    </w:p>
    <w:p w:rsidR="00B7421A" w:rsidRPr="0035406E" w:rsidRDefault="00F65B92" w:rsidP="00E059E4">
      <w:pPr>
        <w:pStyle w:val="testimony"/>
        <w:widowControl w:val="0"/>
        <w:spacing w:line="480" w:lineRule="auto"/>
        <w:ind w:left="720" w:hanging="720"/>
      </w:pPr>
      <w:r>
        <w:rPr>
          <w:color w:val="000000"/>
        </w:rPr>
        <w:t>A:</w:t>
      </w:r>
      <w:r>
        <w:rPr>
          <w:color w:val="000000"/>
        </w:rPr>
        <w:tab/>
        <w:t>CenturyLink states (</w:t>
      </w:r>
      <w:r w:rsidR="00B7421A">
        <w:t xml:space="preserve">emphasis added): </w:t>
      </w:r>
    </w:p>
    <w:p w:rsidR="00F65B92" w:rsidRPr="0035406E" w:rsidRDefault="00B7421A" w:rsidP="005B6CC8">
      <w:pPr>
        <w:shd w:val="clear" w:color="auto" w:fill="FFFFFF"/>
        <w:spacing w:after="240" w:line="235" w:lineRule="atLeast"/>
        <w:ind w:left="1440" w:right="720"/>
        <w:jc w:val="both"/>
        <w:rPr>
          <w:color w:val="222222"/>
        </w:rPr>
      </w:pPr>
      <w:r w:rsidRPr="0035406E">
        <w:rPr>
          <w:color w:val="222222"/>
        </w:rPr>
        <w:t>This has been CenturyLink’s policy and approach for many years (this PAHD provis</w:t>
      </w:r>
      <w:r w:rsidR="0088303E">
        <w:rPr>
          <w:color w:val="222222"/>
        </w:rPr>
        <w:t>i</w:t>
      </w:r>
      <w:r w:rsidRPr="0035406E">
        <w:rPr>
          <w:color w:val="222222"/>
        </w:rPr>
        <w:t xml:space="preserve">on has been in place since 2008), and CenturyLink does not serve in developments where the developer has not signed a PAHD for the provision of service to the housing development.  </w:t>
      </w:r>
      <w:r w:rsidRPr="007C142C">
        <w:rPr>
          <w:i/>
          <w:color w:val="222222"/>
        </w:rPr>
        <w:t>CenturyLink had further reviewed this approach with telecom Staff, and they were in concurrence with this approach, especially when the customers had alternative service providers available.</w:t>
      </w:r>
      <w:r w:rsidRPr="0035406E">
        <w:rPr>
          <w:color w:val="222222"/>
        </w:rPr>
        <w:t xml:space="preserve"> </w:t>
      </w:r>
    </w:p>
    <w:p w:rsidR="0056226F" w:rsidRDefault="00B7421A" w:rsidP="005B6CC8">
      <w:pPr>
        <w:shd w:val="clear" w:color="auto" w:fill="FFFFFF"/>
        <w:spacing w:after="240" w:line="235" w:lineRule="atLeast"/>
        <w:ind w:left="1440" w:right="720"/>
        <w:jc w:val="both"/>
        <w:rPr>
          <w:color w:val="000000"/>
        </w:rPr>
      </w:pPr>
      <w:r w:rsidRPr="0035406E">
        <w:rPr>
          <w:color w:val="222222"/>
        </w:rPr>
        <w:t xml:space="preserve">At this time, if the homeowner will provide a conduit under the street between the pedestal and his home, CenturyLink can provide service.  Because the line extension rule does not apply, there is no allowance for the extension and the homeowner is responsible to provide the path.  Otherwise, there is an alternative service provider in the development for landline service.  Similarly, other </w:t>
      </w:r>
      <w:r w:rsidRPr="0035406E">
        <w:rPr>
          <w:color w:val="222222"/>
        </w:rPr>
        <w:lastRenderedPageBreak/>
        <w:t xml:space="preserve">homeowners in this development would be required to provide a path to their homes if they wanted service from CenturyLink. </w:t>
      </w:r>
      <w:r w:rsidRPr="0035406E">
        <w:rPr>
          <w:rStyle w:val="FootnoteReference"/>
          <w:color w:val="222222"/>
        </w:rPr>
        <w:footnoteReference w:id="31"/>
      </w:r>
    </w:p>
    <w:p w:rsidR="0056226F" w:rsidRPr="00E754AC" w:rsidRDefault="0056226F" w:rsidP="00545531">
      <w:pPr>
        <w:pStyle w:val="testimony"/>
        <w:widowControl w:val="0"/>
        <w:tabs>
          <w:tab w:val="clear" w:pos="2160"/>
          <w:tab w:val="left" w:pos="1440"/>
        </w:tabs>
        <w:spacing w:line="480" w:lineRule="auto"/>
        <w:ind w:left="720" w:hanging="720"/>
        <w:rPr>
          <w:color w:val="000000"/>
        </w:rPr>
      </w:pPr>
      <w:r>
        <w:rPr>
          <w:color w:val="000000"/>
        </w:rPr>
        <w:tab/>
      </w:r>
      <w:r w:rsidR="00545531">
        <w:rPr>
          <w:color w:val="000000"/>
        </w:rPr>
        <w:tab/>
      </w:r>
      <w:r>
        <w:rPr>
          <w:color w:val="000000"/>
        </w:rPr>
        <w:t xml:space="preserve">CenturyLink contends that, pursuant to </w:t>
      </w:r>
      <w:r w:rsidR="00E34E86">
        <w:rPr>
          <w:color w:val="000000"/>
        </w:rPr>
        <w:t>its policy of requiring a PAHD to extend its line</w:t>
      </w:r>
      <w:r>
        <w:rPr>
          <w:color w:val="000000"/>
        </w:rPr>
        <w:t xml:space="preserve">, </w:t>
      </w:r>
      <w:r w:rsidRPr="000F7094">
        <w:rPr>
          <w:color w:val="000000"/>
          <w:szCs w:val="24"/>
        </w:rPr>
        <w:t>it has never previously opt</w:t>
      </w:r>
      <w:r w:rsidR="006D0F00">
        <w:rPr>
          <w:color w:val="000000"/>
          <w:szCs w:val="24"/>
        </w:rPr>
        <w:t xml:space="preserve">ed to serve a customer in a no </w:t>
      </w:r>
      <w:r w:rsidRPr="000F7094">
        <w:rPr>
          <w:color w:val="000000"/>
          <w:szCs w:val="24"/>
        </w:rPr>
        <w:t>serve area.</w:t>
      </w:r>
      <w:r w:rsidR="00CB1753">
        <w:rPr>
          <w:rStyle w:val="FootnoteReference"/>
          <w:color w:val="000000"/>
        </w:rPr>
        <w:footnoteReference w:id="32"/>
      </w:r>
      <w:r w:rsidR="0088303E">
        <w:t>/</w:t>
      </w:r>
      <w:r>
        <w:rPr>
          <w:rStyle w:val="FootnoteReference"/>
        </w:rPr>
        <w:footnoteReference w:id="33"/>
      </w:r>
      <w:r>
        <w:t xml:space="preserve">  </w:t>
      </w:r>
    </w:p>
    <w:p w:rsidR="00F65B92" w:rsidRDefault="00F65B92" w:rsidP="00E059E4">
      <w:pPr>
        <w:pStyle w:val="testimony"/>
        <w:widowControl w:val="0"/>
        <w:spacing w:line="480" w:lineRule="auto"/>
        <w:ind w:left="720" w:hanging="720"/>
        <w:rPr>
          <w:b/>
          <w:color w:val="000000"/>
        </w:rPr>
      </w:pPr>
      <w:r>
        <w:rPr>
          <w:b/>
          <w:color w:val="000000"/>
        </w:rPr>
        <w:t>Q:</w:t>
      </w:r>
      <w:r>
        <w:rPr>
          <w:b/>
          <w:color w:val="000000"/>
        </w:rPr>
        <w:tab/>
      </w:r>
      <w:r w:rsidR="00CF6BC6">
        <w:rPr>
          <w:b/>
          <w:color w:val="000000"/>
        </w:rPr>
        <w:t xml:space="preserve">Do you find CenturyLink’s </w:t>
      </w:r>
      <w:r>
        <w:rPr>
          <w:b/>
          <w:color w:val="000000"/>
        </w:rPr>
        <w:t>argument persuasive?</w:t>
      </w:r>
    </w:p>
    <w:p w:rsidR="00143719" w:rsidRDefault="00F65B92" w:rsidP="00E059E4">
      <w:pPr>
        <w:pStyle w:val="testimony"/>
        <w:widowControl w:val="0"/>
        <w:spacing w:line="480" w:lineRule="auto"/>
        <w:ind w:left="720" w:hanging="720"/>
        <w:rPr>
          <w:color w:val="000000"/>
        </w:rPr>
      </w:pPr>
      <w:r>
        <w:rPr>
          <w:color w:val="000000"/>
        </w:rPr>
        <w:t>A:</w:t>
      </w:r>
      <w:r>
        <w:rPr>
          <w:color w:val="000000"/>
        </w:rPr>
        <w:tab/>
        <w:t>No</w:t>
      </w:r>
      <w:r w:rsidR="00F44F70">
        <w:rPr>
          <w:color w:val="000000"/>
        </w:rPr>
        <w:t xml:space="preserve">.  </w:t>
      </w:r>
      <w:r w:rsidR="00C05909">
        <w:rPr>
          <w:color w:val="000000"/>
        </w:rPr>
        <w:t>Whether or not a PAHD exists</w:t>
      </w:r>
      <w:r w:rsidR="00CF6BC6">
        <w:rPr>
          <w:color w:val="000000"/>
        </w:rPr>
        <w:t xml:space="preserve"> between CenturyLink and the developer </w:t>
      </w:r>
      <w:r w:rsidR="00C05909">
        <w:rPr>
          <w:color w:val="000000"/>
        </w:rPr>
        <w:t xml:space="preserve">does </w:t>
      </w:r>
      <w:r w:rsidR="00CF6BC6">
        <w:rPr>
          <w:color w:val="000000"/>
        </w:rPr>
        <w:t xml:space="preserve">not bar a person </w:t>
      </w:r>
      <w:r w:rsidR="00A1585B">
        <w:rPr>
          <w:color w:val="000000"/>
        </w:rPr>
        <w:t xml:space="preserve">from </w:t>
      </w:r>
      <w:r w:rsidR="00C05909">
        <w:rPr>
          <w:color w:val="000000"/>
        </w:rPr>
        <w:t>seeking</w:t>
      </w:r>
      <w:r w:rsidR="00CF6BC6">
        <w:rPr>
          <w:color w:val="000000"/>
        </w:rPr>
        <w:t xml:space="preserve"> service from CenturyLink</w:t>
      </w:r>
      <w:r w:rsidR="006E625C">
        <w:rPr>
          <w:color w:val="000000"/>
        </w:rPr>
        <w:t xml:space="preserve">.  </w:t>
      </w:r>
      <w:r w:rsidR="00C05909">
        <w:rPr>
          <w:color w:val="000000"/>
        </w:rPr>
        <w:t>CenturyLink has a clear obligation to serve customers within its service territory under it</w:t>
      </w:r>
      <w:r w:rsidR="00CF6BC6">
        <w:rPr>
          <w:color w:val="000000"/>
        </w:rPr>
        <w:t xml:space="preserve">s statutory obligation to serve </w:t>
      </w:r>
      <w:r w:rsidR="00C05909">
        <w:rPr>
          <w:color w:val="000000"/>
        </w:rPr>
        <w:t xml:space="preserve">(RCW 80.36.090) </w:t>
      </w:r>
      <w:r w:rsidR="00CF6BC6">
        <w:rPr>
          <w:color w:val="000000"/>
        </w:rPr>
        <w:t>and the</w:t>
      </w:r>
      <w:r w:rsidR="00C05909">
        <w:rPr>
          <w:color w:val="000000"/>
        </w:rPr>
        <w:t xml:space="preserve"> line extension</w:t>
      </w:r>
      <w:r w:rsidR="00CF6BC6">
        <w:rPr>
          <w:color w:val="000000"/>
        </w:rPr>
        <w:t xml:space="preserve"> provisions </w:t>
      </w:r>
      <w:r w:rsidR="002E23FC">
        <w:rPr>
          <w:color w:val="000000"/>
        </w:rPr>
        <w:t>(</w:t>
      </w:r>
      <w:r w:rsidR="00C05909">
        <w:rPr>
          <w:color w:val="000000"/>
        </w:rPr>
        <w:t>WAC 480-120-071</w:t>
      </w:r>
      <w:r w:rsidR="002E23FC">
        <w:rPr>
          <w:color w:val="000000"/>
        </w:rPr>
        <w:t>)</w:t>
      </w:r>
      <w:r w:rsidR="00CF6BC6">
        <w:rPr>
          <w:color w:val="000000"/>
        </w:rPr>
        <w:t xml:space="preserve">.  </w:t>
      </w:r>
      <w:r w:rsidR="00C05909">
        <w:rPr>
          <w:color w:val="000000"/>
        </w:rPr>
        <w:t xml:space="preserve">While there may be a </w:t>
      </w:r>
      <w:r w:rsidR="00CB1753">
        <w:rPr>
          <w:color w:val="000000"/>
        </w:rPr>
        <w:t xml:space="preserve">legitimate policy basis for encouraging pre-construction collaboration between developers and CenturyLink, </w:t>
      </w:r>
      <w:r w:rsidR="00C05909">
        <w:rPr>
          <w:color w:val="000000"/>
        </w:rPr>
        <w:t>that policy goal is separate from, and in addition to, the obligation to serve and the line extension policies</w:t>
      </w:r>
      <w:r w:rsidR="00143719">
        <w:rPr>
          <w:color w:val="000000"/>
        </w:rPr>
        <w:t>.  T</w:t>
      </w:r>
      <w:r w:rsidR="00CB1753">
        <w:rPr>
          <w:color w:val="000000"/>
        </w:rPr>
        <w:t>he rights of a person seeking service should not depend on whether the</w:t>
      </w:r>
      <w:r w:rsidR="00143719">
        <w:rPr>
          <w:color w:val="000000"/>
        </w:rPr>
        <w:t>ir residence is in or out of a development and whether the developer signed a PAHD</w:t>
      </w:r>
      <w:r w:rsidR="006E625C">
        <w:rPr>
          <w:color w:val="000000"/>
        </w:rPr>
        <w:t xml:space="preserve">.  </w:t>
      </w:r>
      <w:r w:rsidR="00CB1753">
        <w:rPr>
          <w:color w:val="000000"/>
        </w:rPr>
        <w:t xml:space="preserve"> </w:t>
      </w:r>
    </w:p>
    <w:p w:rsidR="00A1585B" w:rsidRDefault="00143719" w:rsidP="005B6CC8">
      <w:pPr>
        <w:pStyle w:val="testimony"/>
        <w:widowControl w:val="0"/>
        <w:tabs>
          <w:tab w:val="clear" w:pos="2160"/>
          <w:tab w:val="left" w:pos="1440"/>
        </w:tabs>
        <w:spacing w:line="480" w:lineRule="auto"/>
        <w:ind w:left="720" w:hanging="720"/>
        <w:rPr>
          <w:color w:val="000000"/>
        </w:rPr>
      </w:pPr>
      <w:r>
        <w:rPr>
          <w:color w:val="000000"/>
        </w:rPr>
        <w:tab/>
      </w:r>
      <w:r w:rsidR="005B6CC8">
        <w:rPr>
          <w:color w:val="000000"/>
        </w:rPr>
        <w:tab/>
      </w:r>
      <w:r>
        <w:rPr>
          <w:color w:val="000000"/>
        </w:rPr>
        <w:t xml:space="preserve">At most, CenturyLink’s PAHD tariff conflicts with statute and rule.  </w:t>
      </w:r>
      <w:r w:rsidR="00A1585B">
        <w:rPr>
          <w:color w:val="000000"/>
        </w:rPr>
        <w:t>I</w:t>
      </w:r>
      <w:r w:rsidR="00A0306E">
        <w:rPr>
          <w:color w:val="000000"/>
        </w:rPr>
        <w:t>n any instance of potential ambiguity, higher priority</w:t>
      </w:r>
      <w:r w:rsidR="00A1585B">
        <w:rPr>
          <w:color w:val="000000"/>
        </w:rPr>
        <w:t xml:space="preserve"> should be given</w:t>
      </w:r>
      <w:r w:rsidR="00A0306E">
        <w:rPr>
          <w:color w:val="000000"/>
        </w:rPr>
        <w:t xml:space="preserve"> to the statute and its rules than to the tariff.</w:t>
      </w:r>
      <w:r w:rsidR="00A1585B">
        <w:rPr>
          <w:rStyle w:val="FootnoteReference"/>
          <w:color w:val="000000"/>
        </w:rPr>
        <w:footnoteReference w:id="34"/>
      </w:r>
      <w:r w:rsidR="00A0306E">
        <w:rPr>
          <w:color w:val="000000"/>
        </w:rPr>
        <w:t xml:space="preserve"> </w:t>
      </w:r>
    </w:p>
    <w:p w:rsidR="00F65B92" w:rsidRDefault="00A1585B" w:rsidP="005B6CC8">
      <w:pPr>
        <w:pStyle w:val="testimony"/>
        <w:widowControl w:val="0"/>
        <w:tabs>
          <w:tab w:val="clear" w:pos="2160"/>
          <w:tab w:val="left" w:pos="1440"/>
        </w:tabs>
        <w:spacing w:line="480" w:lineRule="auto"/>
        <w:ind w:left="720" w:hanging="720"/>
        <w:rPr>
          <w:color w:val="222222"/>
        </w:rPr>
      </w:pPr>
      <w:r>
        <w:rPr>
          <w:color w:val="000000"/>
        </w:rPr>
        <w:lastRenderedPageBreak/>
        <w:tab/>
      </w:r>
      <w:r>
        <w:rPr>
          <w:color w:val="000000"/>
        </w:rPr>
        <w:tab/>
      </w:r>
      <w:r w:rsidR="00CF6BC6">
        <w:rPr>
          <w:color w:val="000000"/>
        </w:rPr>
        <w:t xml:space="preserve">I am also not persuaded that the Company’s </w:t>
      </w:r>
      <w:r w:rsidR="00AD17E2">
        <w:rPr>
          <w:color w:val="000000"/>
        </w:rPr>
        <w:t xml:space="preserve">refusal to provide service </w:t>
      </w:r>
      <w:r w:rsidR="00CF6BC6">
        <w:rPr>
          <w:color w:val="000000"/>
        </w:rPr>
        <w:t xml:space="preserve">is supported, as </w:t>
      </w:r>
      <w:r>
        <w:rPr>
          <w:color w:val="000000"/>
        </w:rPr>
        <w:t>CenturyLink</w:t>
      </w:r>
      <w:r w:rsidR="00CF6BC6">
        <w:rPr>
          <w:color w:val="000000"/>
        </w:rPr>
        <w:t xml:space="preserve"> claims, by long-standing precedent or the </w:t>
      </w:r>
      <w:r w:rsidR="00AC53F9">
        <w:rPr>
          <w:color w:val="000000"/>
        </w:rPr>
        <w:t xml:space="preserve">alleged </w:t>
      </w:r>
      <w:r w:rsidR="00CF6BC6">
        <w:rPr>
          <w:color w:val="000000"/>
        </w:rPr>
        <w:t>acquiescence of the regulator</w:t>
      </w:r>
      <w:r w:rsidR="006E625C">
        <w:rPr>
          <w:color w:val="000000"/>
        </w:rPr>
        <w:t xml:space="preserve">.  </w:t>
      </w:r>
      <w:r w:rsidR="00CF6BC6">
        <w:rPr>
          <w:color w:val="000000"/>
        </w:rPr>
        <w:t>CenturyLink</w:t>
      </w:r>
      <w:r w:rsidR="00B7421A">
        <w:rPr>
          <w:color w:val="222222"/>
        </w:rPr>
        <w:t xml:space="preserve"> has failed to provide evidence to support its assertion that </w:t>
      </w:r>
      <w:r w:rsidR="00CF6BC6">
        <w:rPr>
          <w:color w:val="222222"/>
        </w:rPr>
        <w:t>it</w:t>
      </w:r>
      <w:r w:rsidR="00AC53F9">
        <w:rPr>
          <w:color w:val="222222"/>
        </w:rPr>
        <w:t xml:space="preserve"> </w:t>
      </w:r>
      <w:r w:rsidR="00B7421A">
        <w:rPr>
          <w:color w:val="222222"/>
        </w:rPr>
        <w:t>“</w:t>
      </w:r>
      <w:r w:rsidR="00B7421A" w:rsidRPr="007C142C">
        <w:rPr>
          <w:color w:val="222222"/>
        </w:rPr>
        <w:t>had further reviewed this approach with telecom Staff, and they were in concurrence with this approach, especially when the customers had alternative service providers available.</w:t>
      </w:r>
      <w:r w:rsidR="00B7421A">
        <w:rPr>
          <w:color w:val="222222"/>
        </w:rPr>
        <w:t>”</w:t>
      </w:r>
      <w:r w:rsidR="00B7421A" w:rsidRPr="0035406E">
        <w:rPr>
          <w:rStyle w:val="FootnoteReference"/>
          <w:color w:val="222222"/>
        </w:rPr>
        <w:footnoteReference w:id="35"/>
      </w:r>
      <w:r w:rsidR="00B7421A">
        <w:rPr>
          <w:color w:val="222222"/>
        </w:rPr>
        <w:t xml:space="preserve">  </w:t>
      </w:r>
      <w:r w:rsidR="00DD354D">
        <w:rPr>
          <w:color w:val="222222"/>
        </w:rPr>
        <w:t>Regardless, w</w:t>
      </w:r>
      <w:r w:rsidR="00AD17E2">
        <w:rPr>
          <w:color w:val="222222"/>
        </w:rPr>
        <w:t xml:space="preserve">hile Commission Staff </w:t>
      </w:r>
      <w:r w:rsidR="00126F15">
        <w:rPr>
          <w:color w:val="222222"/>
        </w:rPr>
        <w:t>may provide</w:t>
      </w:r>
      <w:r w:rsidR="00AD17E2">
        <w:rPr>
          <w:color w:val="222222"/>
        </w:rPr>
        <w:t xml:space="preserve"> technical assistance to regulated companies, that assistance does not </w:t>
      </w:r>
      <w:r w:rsidR="00B7421A">
        <w:rPr>
          <w:color w:val="222222"/>
        </w:rPr>
        <w:t>constitute a formal Commission finding.</w:t>
      </w:r>
    </w:p>
    <w:p w:rsidR="00E81588" w:rsidRDefault="00E81588" w:rsidP="00E059E4">
      <w:pPr>
        <w:pStyle w:val="testimony"/>
        <w:widowControl w:val="0"/>
        <w:spacing w:line="480" w:lineRule="auto"/>
        <w:ind w:left="720" w:hanging="720"/>
        <w:rPr>
          <w:b/>
          <w:color w:val="000000"/>
        </w:rPr>
      </w:pPr>
      <w:r>
        <w:rPr>
          <w:b/>
          <w:color w:val="000000"/>
        </w:rPr>
        <w:t>Q:</w:t>
      </w:r>
      <w:r>
        <w:rPr>
          <w:b/>
          <w:color w:val="000000"/>
        </w:rPr>
        <w:tab/>
      </w:r>
      <w:r w:rsidR="00AC53F9">
        <w:rPr>
          <w:b/>
          <w:color w:val="000000"/>
        </w:rPr>
        <w:t xml:space="preserve">What does </w:t>
      </w:r>
      <w:r>
        <w:rPr>
          <w:b/>
          <w:color w:val="000000"/>
        </w:rPr>
        <w:t>CenturyLink</w:t>
      </w:r>
      <w:r w:rsidR="00AC53F9">
        <w:rPr>
          <w:b/>
          <w:color w:val="000000"/>
        </w:rPr>
        <w:t xml:space="preserve"> </w:t>
      </w:r>
      <w:r w:rsidR="00DD354D">
        <w:rPr>
          <w:b/>
          <w:color w:val="000000"/>
        </w:rPr>
        <w:t xml:space="preserve">argue </w:t>
      </w:r>
      <w:r w:rsidR="00AC53F9">
        <w:rPr>
          <w:b/>
          <w:color w:val="000000"/>
        </w:rPr>
        <w:t>about the impact of requiring service connections to consumers within a development where no PAHD was signed?</w:t>
      </w:r>
      <w:r>
        <w:rPr>
          <w:b/>
          <w:color w:val="000000"/>
        </w:rPr>
        <w:t xml:space="preserve">  </w:t>
      </w:r>
    </w:p>
    <w:p w:rsidR="00E81588" w:rsidRPr="00422118" w:rsidRDefault="00E81588" w:rsidP="00E059E4">
      <w:pPr>
        <w:pStyle w:val="testimony"/>
        <w:widowControl w:val="0"/>
        <w:spacing w:line="480" w:lineRule="auto"/>
        <w:ind w:left="720" w:hanging="720"/>
      </w:pPr>
      <w:r>
        <w:rPr>
          <w:color w:val="000000"/>
        </w:rPr>
        <w:t>A:</w:t>
      </w:r>
      <w:r>
        <w:rPr>
          <w:color w:val="000000"/>
        </w:rPr>
        <w:tab/>
      </w:r>
      <w:r w:rsidRPr="008E2B35">
        <w:t>CenturyLink states that</w:t>
      </w:r>
      <w:r w:rsidR="00DD354D">
        <w:t>,</w:t>
      </w:r>
      <w:r w:rsidRPr="008E2B35">
        <w:t xml:space="preserve"> “</w:t>
      </w:r>
      <w:r w:rsidRPr="0035406E">
        <w:rPr>
          <w:color w:val="222222"/>
        </w:rPr>
        <w:t xml:space="preserve">If the Commission interprets the WAC to require </w:t>
      </w:r>
      <w:r w:rsidRPr="008E2B35">
        <w:rPr>
          <w:color w:val="222222"/>
        </w:rPr>
        <w:t>1000’</w:t>
      </w:r>
      <w:r w:rsidRPr="00AE04C7">
        <w:rPr>
          <w:b/>
          <w:color w:val="222222"/>
        </w:rPr>
        <w:t xml:space="preserve"> </w:t>
      </w:r>
      <w:r w:rsidRPr="008E2B35">
        <w:rPr>
          <w:color w:val="222222"/>
        </w:rPr>
        <w:t>of f</w:t>
      </w:r>
      <w:r w:rsidRPr="0035406E">
        <w:rPr>
          <w:color w:val="222222"/>
        </w:rPr>
        <w:t>ree line extension to lots in developments where the developer could have entered into a provisioning agreement for housing development (PAHD) and didn’t, that will de-incentivize future developers from entering into PAHDs because they will know that they can shift the cost of creating a path for our facilities onto CenturyLink through free line ext</w:t>
      </w:r>
      <w:r>
        <w:rPr>
          <w:color w:val="222222"/>
        </w:rPr>
        <w:t>ensions into their developments</w:t>
      </w:r>
      <w:r w:rsidR="00DD354D">
        <w:rPr>
          <w:color w:val="222222"/>
        </w:rPr>
        <w:t>.</w:t>
      </w:r>
      <w:r w:rsidR="001C0A18">
        <w:rPr>
          <w:color w:val="222222"/>
        </w:rPr>
        <w:t xml:space="preserve">  I</w:t>
      </w:r>
      <w:r w:rsidRPr="0035406E">
        <w:rPr>
          <w:color w:val="222222"/>
        </w:rPr>
        <w:t>n that case, we might as well n</w:t>
      </w:r>
      <w:r>
        <w:rPr>
          <w:color w:val="222222"/>
        </w:rPr>
        <w:t>ot have the PAHD requirements.”</w:t>
      </w:r>
      <w:r>
        <w:rPr>
          <w:rStyle w:val="FootnoteReference"/>
          <w:color w:val="222222"/>
        </w:rPr>
        <w:footnoteReference w:id="36"/>
      </w:r>
    </w:p>
    <w:p w:rsidR="00E81588" w:rsidRDefault="00E81588" w:rsidP="00E059E4">
      <w:pPr>
        <w:pStyle w:val="testimony"/>
        <w:widowControl w:val="0"/>
        <w:spacing w:line="480" w:lineRule="auto"/>
        <w:ind w:left="720" w:hanging="720"/>
      </w:pPr>
      <w:r>
        <w:rPr>
          <w:b/>
        </w:rPr>
        <w:t>Q:</w:t>
      </w:r>
      <w:r>
        <w:rPr>
          <w:b/>
        </w:rPr>
        <w:tab/>
        <w:t>How do you respond to that position?</w:t>
      </w:r>
    </w:p>
    <w:p w:rsidR="00B2513C" w:rsidRDefault="00E81588" w:rsidP="00E059E4">
      <w:pPr>
        <w:pStyle w:val="testimony"/>
        <w:widowControl w:val="0"/>
        <w:spacing w:line="480" w:lineRule="auto"/>
        <w:ind w:left="720" w:hanging="720"/>
      </w:pPr>
      <w:r>
        <w:t>A:</w:t>
      </w:r>
      <w:r>
        <w:tab/>
      </w:r>
      <w:r w:rsidR="00DD554B">
        <w:t xml:space="preserve">I strongly disagree that </w:t>
      </w:r>
      <w:r w:rsidR="001C0A18">
        <w:t>the line extension rule</w:t>
      </w:r>
      <w:r w:rsidR="00DD554B">
        <w:t xml:space="preserve"> </w:t>
      </w:r>
      <w:r w:rsidR="00C85721">
        <w:t xml:space="preserve">negates developers’ incentives to enter into </w:t>
      </w:r>
      <w:r w:rsidR="001C0A18">
        <w:t xml:space="preserve">PAHD </w:t>
      </w:r>
      <w:r w:rsidR="00C85721">
        <w:t>agreements</w:t>
      </w:r>
      <w:r w:rsidR="006E625C">
        <w:t xml:space="preserve">.  </w:t>
      </w:r>
      <w:r w:rsidR="00B2513C">
        <w:t>T</w:t>
      </w:r>
      <w:r>
        <w:t xml:space="preserve">he PAHD enables developers to provide “turn-key” residences – new homes in which all utilities, including telecommunications, </w:t>
      </w:r>
      <w:r>
        <w:lastRenderedPageBreak/>
        <w:t>have already been established</w:t>
      </w:r>
      <w:r w:rsidR="00126F15">
        <w:t>.  Thus, PAHDs</w:t>
      </w:r>
      <w:r w:rsidR="00544B05">
        <w:t xml:space="preserve"> add</w:t>
      </w:r>
      <w:r>
        <w:t xml:space="preserve"> value to development</w:t>
      </w:r>
      <w:r w:rsidR="00126F15">
        <w:t>s</w:t>
      </w:r>
      <w:r>
        <w:t xml:space="preserve">.  </w:t>
      </w:r>
      <w:r w:rsidR="00AF3995">
        <w:t>Also, depending on the size of the development and customer interest, not every home will be located within 1</w:t>
      </w:r>
      <w:r w:rsidR="00126F15">
        <w:t>,</w:t>
      </w:r>
      <w:r w:rsidR="00AF3995">
        <w:t xml:space="preserve">000 feet of existing CenturyLink facilities, so some homeowners may be outside of the line extension allowance.  </w:t>
      </w:r>
      <w:r>
        <w:t>By entering into a PAHD with CenturyLink, developers can enhance the marketab</w:t>
      </w:r>
      <w:r w:rsidR="00544B05">
        <w:t>ility of their homes.</w:t>
      </w:r>
      <w:r w:rsidR="006E625C">
        <w:t xml:space="preserve">  </w:t>
      </w:r>
      <w:r w:rsidR="00126F15">
        <w:t>Therefore</w:t>
      </w:r>
      <w:r w:rsidR="001251A6">
        <w:t>, i</w:t>
      </w:r>
      <w:r w:rsidR="00B2513C">
        <w:t xml:space="preserve">t </w:t>
      </w:r>
      <w:r w:rsidR="00AF3995">
        <w:t>remains</w:t>
      </w:r>
      <w:r w:rsidR="00B2513C">
        <w:t xml:space="preserve"> in the developer’s interest to ensure </w:t>
      </w:r>
      <w:r w:rsidR="00C85721">
        <w:t>broad</w:t>
      </w:r>
      <w:r w:rsidR="00B2513C">
        <w:t xml:space="preserve"> availability of telephone service</w:t>
      </w:r>
      <w:r w:rsidR="00C85721">
        <w:t xml:space="preserve"> while the area is under development</w:t>
      </w:r>
      <w:r w:rsidR="006E625C">
        <w:t xml:space="preserve">.  </w:t>
      </w:r>
      <w:r w:rsidR="00B2513C">
        <w:t xml:space="preserve"> </w:t>
      </w:r>
    </w:p>
    <w:p w:rsidR="00E81588" w:rsidRDefault="00B2513C" w:rsidP="005B6CC8">
      <w:pPr>
        <w:pStyle w:val="testimony"/>
        <w:widowControl w:val="0"/>
        <w:tabs>
          <w:tab w:val="left" w:pos="1440"/>
        </w:tabs>
        <w:spacing w:line="480" w:lineRule="auto"/>
        <w:ind w:left="720" w:hanging="720"/>
      </w:pPr>
      <w:r>
        <w:tab/>
      </w:r>
      <w:r w:rsidR="001206C3">
        <w:tab/>
      </w:r>
      <w:r w:rsidR="00C85721">
        <w:t>Finally, I would note that a</w:t>
      </w:r>
      <w:r w:rsidR="00E81588">
        <w:t xml:space="preserve">ll homes, at one point in time, were newly constructed.  </w:t>
      </w:r>
      <w:r w:rsidR="001251A6">
        <w:t>It would be inequitable to treat a home that is not part of a development differently from a home that is included in a development based on whether the underlying developer entered into a PAHD</w:t>
      </w:r>
      <w:r w:rsidR="006E625C">
        <w:t xml:space="preserve">.  </w:t>
      </w:r>
    </w:p>
    <w:p w:rsidR="00E81588" w:rsidRPr="001206C3" w:rsidRDefault="00475EA8" w:rsidP="00E059E4">
      <w:pPr>
        <w:pStyle w:val="testimony"/>
        <w:widowControl w:val="0"/>
        <w:spacing w:line="480" w:lineRule="auto"/>
        <w:ind w:left="720" w:hanging="720"/>
        <w:rPr>
          <w:b/>
        </w:rPr>
      </w:pPr>
      <w:r w:rsidRPr="001206C3">
        <w:rPr>
          <w:b/>
        </w:rPr>
        <w:t>Q:</w:t>
      </w:r>
      <w:r w:rsidRPr="001206C3">
        <w:rPr>
          <w:b/>
        </w:rPr>
        <w:tab/>
        <w:t>Is it reasonable to presume that a Company-initiated tariff addressing its dealings with developers would be allowed to interfere with the statutory rights of a customer to obtain service or the rule that sets the terms for customer entitlement to a line extension?</w:t>
      </w:r>
    </w:p>
    <w:p w:rsidR="00922694" w:rsidRDefault="00475EA8" w:rsidP="00E059E4">
      <w:pPr>
        <w:pStyle w:val="testimony"/>
        <w:widowControl w:val="0"/>
        <w:spacing w:line="480" w:lineRule="auto"/>
        <w:ind w:left="720" w:hanging="720"/>
      </w:pPr>
      <w:r>
        <w:t>A:</w:t>
      </w:r>
      <w:r>
        <w:tab/>
        <w:t xml:space="preserve">No.  </w:t>
      </w:r>
      <w:r w:rsidR="00B977BF">
        <w:t>Tariffs should be read in harmony with s</w:t>
      </w:r>
      <w:r w:rsidR="00F17522">
        <w:t>tatute</w:t>
      </w:r>
      <w:r w:rsidR="00B977BF">
        <w:t>s</w:t>
      </w:r>
      <w:r w:rsidR="00F17522">
        <w:t xml:space="preserve"> and rule</w:t>
      </w:r>
      <w:r w:rsidR="00B977BF">
        <w:t>s</w:t>
      </w:r>
      <w:r w:rsidR="00F17522">
        <w:t xml:space="preserve">.  </w:t>
      </w:r>
      <w:r w:rsidR="00B977BF">
        <w:t>Indeed</w:t>
      </w:r>
      <w:r w:rsidR="00F17522">
        <w:t xml:space="preserve">, the tariff </w:t>
      </w:r>
      <w:r w:rsidR="00B977BF">
        <w:t>addresses</w:t>
      </w:r>
      <w:r w:rsidR="00F17522">
        <w:t xml:space="preserve"> the relationship between a developer and CenturyLink, and as such should not impose limitations on an individual customer’s right to obtain service. </w:t>
      </w:r>
      <w:r w:rsidR="00AF3995">
        <w:t>Any ambiguity regarding CenturyLink’s obligations should be resolved in favor of the customer.</w:t>
      </w:r>
    </w:p>
    <w:p w:rsidR="00E81588" w:rsidRDefault="00922694" w:rsidP="005B6CC8">
      <w:pPr>
        <w:pStyle w:val="testimony"/>
        <w:widowControl w:val="0"/>
        <w:tabs>
          <w:tab w:val="clear" w:pos="2160"/>
          <w:tab w:val="left" w:pos="1440"/>
        </w:tabs>
        <w:spacing w:line="480" w:lineRule="auto"/>
        <w:ind w:left="720" w:hanging="720"/>
      </w:pPr>
      <w:r>
        <w:tab/>
      </w:r>
      <w:r>
        <w:tab/>
      </w:r>
      <w:r w:rsidR="00F17522">
        <w:t xml:space="preserve">Importantly, the Company should not be allowed to unilaterally exempt itself from its obligation to service </w:t>
      </w:r>
      <w:r w:rsidR="00AC53F9">
        <w:t xml:space="preserve">simply </w:t>
      </w:r>
      <w:r w:rsidR="00F17522">
        <w:t xml:space="preserve">because it believes that market conditions have changed.  If there are compelling policy reasons to modify </w:t>
      </w:r>
      <w:r w:rsidR="00F17522">
        <w:lastRenderedPageBreak/>
        <w:t>CenturyLink’s obligations, they should be fully vetted by the Commission and not adjudicated in a single-issue complaint proceeding</w:t>
      </w:r>
      <w:r w:rsidR="006E625C">
        <w:t xml:space="preserve">.  </w:t>
      </w:r>
      <w:r w:rsidR="00F17522">
        <w:t xml:space="preserve"> </w:t>
      </w:r>
    </w:p>
    <w:p w:rsidR="00F65B92" w:rsidRDefault="00F65B92" w:rsidP="00E059E4">
      <w:pPr>
        <w:pStyle w:val="testimony"/>
        <w:widowControl w:val="0"/>
        <w:spacing w:line="480" w:lineRule="auto"/>
        <w:ind w:left="720" w:hanging="720"/>
        <w:rPr>
          <w:b/>
        </w:rPr>
      </w:pPr>
      <w:r w:rsidRPr="00C8559D">
        <w:rPr>
          <w:b/>
        </w:rPr>
        <w:t>Q:</w:t>
      </w:r>
      <w:r w:rsidRPr="00C8559D">
        <w:rPr>
          <w:b/>
        </w:rPr>
        <w:tab/>
      </w:r>
      <w:r w:rsidR="0071650C">
        <w:rPr>
          <w:b/>
        </w:rPr>
        <w:t>R</w:t>
      </w:r>
      <w:r w:rsidR="00097132">
        <w:rPr>
          <w:b/>
        </w:rPr>
        <w:t>CW 80.36.090</w:t>
      </w:r>
      <w:r w:rsidR="009C33C7" w:rsidRPr="00C8559D">
        <w:rPr>
          <w:b/>
        </w:rPr>
        <w:t xml:space="preserve"> </w:t>
      </w:r>
      <w:r w:rsidR="004640E2" w:rsidRPr="00C8559D">
        <w:rPr>
          <w:b/>
        </w:rPr>
        <w:t>requires</w:t>
      </w:r>
      <w:r w:rsidR="004D7C74">
        <w:rPr>
          <w:b/>
        </w:rPr>
        <w:t xml:space="preserve"> a</w:t>
      </w:r>
      <w:r w:rsidR="004640E2">
        <w:rPr>
          <w:b/>
        </w:rPr>
        <w:t xml:space="preserve"> telecommunications company </w:t>
      </w:r>
      <w:r w:rsidR="004D7C74">
        <w:rPr>
          <w:b/>
        </w:rPr>
        <w:t xml:space="preserve">to </w:t>
      </w:r>
      <w:r w:rsidR="004640E2">
        <w:rPr>
          <w:b/>
        </w:rPr>
        <w:t>“</w:t>
      </w:r>
      <w:r w:rsidR="004640E2" w:rsidRPr="00E754AC">
        <w:rPr>
          <w:rFonts w:ascii="Times New Roman" w:hAnsi="Times New Roman"/>
          <w:b/>
          <w:szCs w:val="24"/>
        </w:rPr>
        <w:t xml:space="preserve">furnish to all persons and corporations who may apply therefor and be </w:t>
      </w:r>
      <w:r w:rsidR="004640E2" w:rsidRPr="00E754AC">
        <w:rPr>
          <w:rFonts w:ascii="Times New Roman" w:hAnsi="Times New Roman"/>
          <w:b/>
          <w:i/>
          <w:szCs w:val="24"/>
        </w:rPr>
        <w:t>reasonably entitled</w:t>
      </w:r>
      <w:r w:rsidR="004640E2" w:rsidRPr="00E754AC">
        <w:rPr>
          <w:rFonts w:ascii="Times New Roman" w:hAnsi="Times New Roman"/>
          <w:b/>
          <w:szCs w:val="24"/>
        </w:rPr>
        <w:t xml:space="preserve"> thereto suitable and proper facilities and connections for telephonic communication and furnish telephone service as demanded</w:t>
      </w:r>
      <w:r w:rsidR="004D7C74">
        <w:rPr>
          <w:rFonts w:ascii="Times New Roman" w:hAnsi="Times New Roman"/>
          <w:b/>
          <w:szCs w:val="24"/>
        </w:rPr>
        <w:t>.</w:t>
      </w:r>
      <w:r w:rsidR="004640E2">
        <w:rPr>
          <w:b/>
        </w:rPr>
        <w:t>”</w:t>
      </w:r>
      <w:r w:rsidR="001206C3">
        <w:rPr>
          <w:b/>
        </w:rPr>
        <w:t xml:space="preserve"> (</w:t>
      </w:r>
      <w:r w:rsidR="004D7C74">
        <w:rPr>
          <w:b/>
        </w:rPr>
        <w:t>E</w:t>
      </w:r>
      <w:r w:rsidR="001206C3">
        <w:rPr>
          <w:b/>
        </w:rPr>
        <w:t>mphasis added</w:t>
      </w:r>
      <w:r w:rsidR="004D7C74">
        <w:rPr>
          <w:b/>
        </w:rPr>
        <w:t>.</w:t>
      </w:r>
      <w:r w:rsidR="001206C3">
        <w:rPr>
          <w:b/>
        </w:rPr>
        <w:t>)</w:t>
      </w:r>
      <w:r>
        <w:rPr>
          <w:b/>
        </w:rPr>
        <w:t xml:space="preserve"> </w:t>
      </w:r>
      <w:r w:rsidR="004D7C74">
        <w:rPr>
          <w:b/>
        </w:rPr>
        <w:t xml:space="preserve">Was </w:t>
      </w:r>
      <w:r w:rsidR="00FB5140">
        <w:rPr>
          <w:b/>
        </w:rPr>
        <w:t xml:space="preserve">Mr. Saum </w:t>
      </w:r>
      <w:r w:rsidR="004D7C74">
        <w:rPr>
          <w:b/>
        </w:rPr>
        <w:t>reasonably entitled to service from CenturyLink</w:t>
      </w:r>
      <w:r w:rsidR="00992E17">
        <w:rPr>
          <w:b/>
        </w:rPr>
        <w:t>?</w:t>
      </w:r>
    </w:p>
    <w:p w:rsidR="00690A3C" w:rsidRDefault="0012303A" w:rsidP="00E059E4">
      <w:pPr>
        <w:pStyle w:val="testimony"/>
        <w:widowControl w:val="0"/>
        <w:spacing w:line="480" w:lineRule="auto"/>
        <w:ind w:left="720" w:hanging="720"/>
      </w:pPr>
      <w:r>
        <w:t>A:</w:t>
      </w:r>
      <w:r>
        <w:tab/>
      </w:r>
      <w:r w:rsidR="004D7C74">
        <w:t>Yes</w:t>
      </w:r>
      <w:r w:rsidR="006E625C">
        <w:t xml:space="preserve">.  </w:t>
      </w:r>
      <w:r w:rsidR="007560FB">
        <w:t xml:space="preserve">The Commission has defined when a telecommunications company may refuse service.  If </w:t>
      </w:r>
      <w:r w:rsidR="00690A3C">
        <w:t>n</w:t>
      </w:r>
      <w:r w:rsidR="007560FB">
        <w:t>one of the conditions in WAC 480-120-</w:t>
      </w:r>
      <w:r w:rsidR="00690A3C">
        <w:t>061 exists, the company must provide service</w:t>
      </w:r>
      <w:r w:rsidR="006E625C">
        <w:t xml:space="preserve">.  </w:t>
      </w:r>
      <w:r w:rsidR="009C33C7">
        <w:t>I</w:t>
      </w:r>
      <w:r>
        <w:t>n my view</w:t>
      </w:r>
      <w:r w:rsidR="004D7C74">
        <w:t>,</w:t>
      </w:r>
      <w:r>
        <w:t xml:space="preserve"> </w:t>
      </w:r>
      <w:r w:rsidR="00FB5140">
        <w:t>Mr. Saum</w:t>
      </w:r>
      <w:r w:rsidR="00690A3C">
        <w:t xml:space="preserve"> </w:t>
      </w:r>
      <w:r w:rsidR="00121E95">
        <w:t xml:space="preserve">was </w:t>
      </w:r>
      <w:r>
        <w:t xml:space="preserve">reasonably entitled to </w:t>
      </w:r>
      <w:r w:rsidR="004640E2">
        <w:t>obtain</w:t>
      </w:r>
      <w:r>
        <w:t xml:space="preserve"> CenturyLink’s phone service</w:t>
      </w:r>
      <w:r w:rsidR="006E625C">
        <w:t xml:space="preserve">.  </w:t>
      </w:r>
      <w:r w:rsidR="00121E95">
        <w:t>The customer was located within CenturyLink’s service territory</w:t>
      </w:r>
      <w:r w:rsidR="007560FB">
        <w:t>.</w:t>
      </w:r>
      <w:r w:rsidR="00690A3C">
        <w:t xml:space="preserve">  There is no evidence that </w:t>
      </w:r>
      <w:r w:rsidR="00126F15">
        <w:t xml:space="preserve">Mr. Saum </w:t>
      </w:r>
      <w:r w:rsidR="00690A3C">
        <w:t xml:space="preserve">had an overdue unpaid prior obligation, that service to </w:t>
      </w:r>
      <w:r w:rsidR="00126F15">
        <w:t>his residence</w:t>
      </w:r>
      <w:r w:rsidR="00690A3C">
        <w:t xml:space="preserve"> would adversely affect service to existing customers, or that installation would be hazardous.  In fact, CenturyLink confirmed installation of the requested service before it became clear that facilities did not exist.</w:t>
      </w:r>
      <w:r w:rsidR="00FB5140">
        <w:rPr>
          <w:rStyle w:val="FootnoteReference"/>
        </w:rPr>
        <w:footnoteReference w:id="37"/>
      </w:r>
    </w:p>
    <w:p w:rsidR="008C7345" w:rsidRDefault="00690A3C" w:rsidP="005B6CC8">
      <w:pPr>
        <w:pStyle w:val="testimony"/>
        <w:widowControl w:val="0"/>
        <w:tabs>
          <w:tab w:val="left" w:pos="1440"/>
        </w:tabs>
        <w:spacing w:line="480" w:lineRule="auto"/>
        <w:ind w:left="720" w:hanging="720"/>
        <w:rPr>
          <w:color w:val="222222"/>
        </w:rPr>
      </w:pPr>
      <w:r>
        <w:tab/>
      </w:r>
      <w:r w:rsidR="00836573">
        <w:tab/>
      </w:r>
      <w:r>
        <w:t xml:space="preserve">Since no facilities existed, </w:t>
      </w:r>
      <w:r w:rsidR="00121E95">
        <w:t>a line extension was necessary</w:t>
      </w:r>
      <w:r>
        <w:t xml:space="preserve"> to provide service</w:t>
      </w:r>
      <w:r w:rsidR="00121E95">
        <w:t xml:space="preserve">.  </w:t>
      </w:r>
      <w:r w:rsidR="0012303A">
        <w:t xml:space="preserve">The home </w:t>
      </w:r>
      <w:r w:rsidR="00992E17">
        <w:t xml:space="preserve">in question </w:t>
      </w:r>
      <w:r w:rsidR="0012303A">
        <w:t xml:space="preserve">is </w:t>
      </w:r>
      <w:r w:rsidR="0059611C">
        <w:t xml:space="preserve">located </w:t>
      </w:r>
      <w:r w:rsidR="0012303A">
        <w:t xml:space="preserve">easily within 1,000 feet </w:t>
      </w:r>
      <w:r w:rsidR="0059611C">
        <w:t>from</w:t>
      </w:r>
      <w:r w:rsidR="0012303A">
        <w:t xml:space="preserve"> CenturyLink’s facilities</w:t>
      </w:r>
      <w:r w:rsidR="00FB5140">
        <w:t xml:space="preserve">.  </w:t>
      </w:r>
      <w:r w:rsidR="003B4BD8" w:rsidRPr="0035406E">
        <w:rPr>
          <w:color w:val="222222"/>
        </w:rPr>
        <w:t xml:space="preserve">Staff Exhibit SP-6 clearly shows the proximity of the </w:t>
      </w:r>
      <w:r w:rsidR="00FB5140">
        <w:rPr>
          <w:color w:val="222222"/>
        </w:rPr>
        <w:t>Mr. Saum’s</w:t>
      </w:r>
      <w:r w:rsidR="00FB5140" w:rsidRPr="0035406E">
        <w:rPr>
          <w:color w:val="222222"/>
        </w:rPr>
        <w:t xml:space="preserve"> </w:t>
      </w:r>
      <w:r w:rsidR="003B4BD8" w:rsidRPr="0035406E">
        <w:rPr>
          <w:color w:val="222222"/>
        </w:rPr>
        <w:t>residence to CenturyLink’s network</w:t>
      </w:r>
      <w:r w:rsidR="006F3B61">
        <w:rPr>
          <w:color w:val="222222"/>
        </w:rPr>
        <w:t xml:space="preserve"> – the Company’s pedestal is 45 feet from </w:t>
      </w:r>
      <w:r w:rsidR="00FB5140">
        <w:rPr>
          <w:color w:val="222222"/>
        </w:rPr>
        <w:t>his</w:t>
      </w:r>
      <w:r w:rsidR="006F3B61">
        <w:rPr>
          <w:color w:val="222222"/>
        </w:rPr>
        <w:t xml:space="preserve"> property line.</w:t>
      </w:r>
      <w:r w:rsidR="006F3B61">
        <w:rPr>
          <w:rStyle w:val="FootnoteReference"/>
          <w:color w:val="222222"/>
        </w:rPr>
        <w:footnoteReference w:id="38"/>
      </w:r>
      <w:r w:rsidR="003B4BD8" w:rsidRPr="0035406E">
        <w:rPr>
          <w:color w:val="222222"/>
        </w:rPr>
        <w:t xml:space="preserve"> </w:t>
      </w:r>
      <w:r w:rsidR="009C33C7">
        <w:rPr>
          <w:color w:val="222222"/>
        </w:rPr>
        <w:t xml:space="preserve"> </w:t>
      </w:r>
      <w:r w:rsidR="008C7345">
        <w:rPr>
          <w:color w:val="222222"/>
        </w:rPr>
        <w:t xml:space="preserve">Although there is </w:t>
      </w:r>
      <w:r w:rsidR="00FB5140">
        <w:rPr>
          <w:color w:val="222222"/>
        </w:rPr>
        <w:t xml:space="preserve">a </w:t>
      </w:r>
      <w:r w:rsidR="008C7345">
        <w:rPr>
          <w:color w:val="222222"/>
        </w:rPr>
        <w:t xml:space="preserve">potential question about whether </w:t>
      </w:r>
      <w:r w:rsidR="008C7345">
        <w:rPr>
          <w:color w:val="222222"/>
        </w:rPr>
        <w:lastRenderedPageBreak/>
        <w:t xml:space="preserve">the residence is 45 feet or </w:t>
      </w:r>
      <w:r w:rsidR="000D2810">
        <w:rPr>
          <w:color w:val="222222"/>
        </w:rPr>
        <w:t xml:space="preserve">152 </w:t>
      </w:r>
      <w:r w:rsidR="008C7345">
        <w:rPr>
          <w:color w:val="222222"/>
        </w:rPr>
        <w:t>feet from the pedestal, it remains well within the 1,000-foot allowance provided for under WAC 480-120-071.</w:t>
      </w:r>
      <w:r w:rsidR="00836573">
        <w:rPr>
          <w:rStyle w:val="FootnoteReference"/>
          <w:color w:val="222222"/>
        </w:rPr>
        <w:footnoteReference w:id="39"/>
      </w:r>
    </w:p>
    <w:p w:rsidR="00F65B92" w:rsidRDefault="008C7345" w:rsidP="005B6CC8">
      <w:pPr>
        <w:pStyle w:val="testimony"/>
        <w:widowControl w:val="0"/>
        <w:tabs>
          <w:tab w:val="clear" w:pos="2160"/>
          <w:tab w:val="left" w:pos="1440"/>
        </w:tabs>
        <w:spacing w:line="480" w:lineRule="auto"/>
        <w:ind w:left="720" w:hanging="720"/>
      </w:pPr>
      <w:r>
        <w:rPr>
          <w:color w:val="222222"/>
        </w:rPr>
        <w:tab/>
      </w:r>
      <w:r w:rsidR="005B6CC8">
        <w:rPr>
          <w:color w:val="222222"/>
        </w:rPr>
        <w:tab/>
      </w:r>
      <w:r>
        <w:rPr>
          <w:color w:val="222222"/>
        </w:rPr>
        <w:t xml:space="preserve">As a result, </w:t>
      </w:r>
      <w:r w:rsidR="000D2810">
        <w:rPr>
          <w:color w:val="222222"/>
        </w:rPr>
        <w:t xml:space="preserve">Robert Saum </w:t>
      </w:r>
      <w:r>
        <w:rPr>
          <w:color w:val="222222"/>
        </w:rPr>
        <w:t>was reasonably entitled to service from CenturyLink</w:t>
      </w:r>
      <w:r w:rsidR="006E625C">
        <w:rPr>
          <w:color w:val="222222"/>
        </w:rPr>
        <w:t xml:space="preserve">.  </w:t>
      </w:r>
      <w:r w:rsidR="00F65B92">
        <w:t xml:space="preserve">  </w:t>
      </w:r>
    </w:p>
    <w:p w:rsidR="009F0BAA" w:rsidRDefault="009F0BAA" w:rsidP="00E059E4">
      <w:pPr>
        <w:pStyle w:val="testimony"/>
        <w:widowControl w:val="0"/>
        <w:spacing w:line="480" w:lineRule="auto"/>
        <w:ind w:left="720" w:hanging="720"/>
        <w:rPr>
          <w:b/>
        </w:rPr>
      </w:pPr>
      <w:r>
        <w:rPr>
          <w:b/>
        </w:rPr>
        <w:t>Q:</w:t>
      </w:r>
      <w:r>
        <w:rPr>
          <w:b/>
        </w:rPr>
        <w:tab/>
        <w:t xml:space="preserve">CenturyLink </w:t>
      </w:r>
      <w:r w:rsidR="00AC53F9">
        <w:rPr>
          <w:b/>
        </w:rPr>
        <w:t xml:space="preserve">has a different </w:t>
      </w:r>
      <w:r w:rsidR="00476AA5">
        <w:rPr>
          <w:b/>
        </w:rPr>
        <w:t xml:space="preserve">interpretation regarding the meaning of </w:t>
      </w:r>
      <w:r w:rsidR="00AC53F9">
        <w:rPr>
          <w:b/>
        </w:rPr>
        <w:t>“reasonably entitled</w:t>
      </w:r>
      <w:r w:rsidR="00476AA5">
        <w:rPr>
          <w:b/>
        </w:rPr>
        <w:t>.</w:t>
      </w:r>
      <w:r w:rsidR="00AC53F9">
        <w:rPr>
          <w:b/>
        </w:rPr>
        <w:t xml:space="preserve">”  </w:t>
      </w:r>
      <w:r w:rsidR="000F048E">
        <w:rPr>
          <w:b/>
        </w:rPr>
        <w:t>Please explain your understanding of CenturyLink’s interpretation and your response.</w:t>
      </w:r>
    </w:p>
    <w:p w:rsidR="009F0BAA" w:rsidRPr="009C33C7" w:rsidRDefault="009F0BAA" w:rsidP="00E059E4">
      <w:pPr>
        <w:pStyle w:val="testimony"/>
        <w:widowControl w:val="0"/>
        <w:spacing w:line="480" w:lineRule="auto"/>
        <w:ind w:left="720" w:hanging="720"/>
      </w:pPr>
      <w:r>
        <w:t>A:</w:t>
      </w:r>
      <w:r>
        <w:tab/>
      </w:r>
      <w:r w:rsidRPr="0035406E">
        <w:rPr>
          <w:color w:val="222222"/>
        </w:rPr>
        <w:t xml:space="preserve">CenturyLink states: </w:t>
      </w:r>
    </w:p>
    <w:p w:rsidR="006B0F44" w:rsidRDefault="009F0BAA" w:rsidP="005B6CC8">
      <w:pPr>
        <w:shd w:val="clear" w:color="auto" w:fill="FFFFFF"/>
        <w:spacing w:after="240" w:line="235" w:lineRule="atLeast"/>
        <w:ind w:left="1440" w:right="720"/>
        <w:jc w:val="both"/>
      </w:pPr>
      <w:r w:rsidRPr="0035406E">
        <w:rPr>
          <w:color w:val="222222"/>
        </w:rPr>
        <w:t>The word “reasonably” is important here.  Our point is that if another telecommunications company is ready and willing to serve a lot in a development where the ILEC has no facilities, the entitlement to service is being met, and there is no reasonable entitlement to ser</w:t>
      </w:r>
      <w:r>
        <w:rPr>
          <w:color w:val="222222"/>
        </w:rPr>
        <w:t>vice from a second provider.</w:t>
      </w:r>
      <w:r w:rsidR="006E625C">
        <w:rPr>
          <w:color w:val="222222"/>
        </w:rPr>
        <w:t xml:space="preserve"> </w:t>
      </w:r>
      <w:r>
        <w:rPr>
          <w:color w:val="222222"/>
        </w:rPr>
        <w:t xml:space="preserve"> </w:t>
      </w:r>
      <w:r w:rsidRPr="0035406E">
        <w:rPr>
          <w:color w:val="222222"/>
        </w:rPr>
        <w:t>This interpretation of “reasonably entitled” is more economically sound than an interpretation that assumes ILECs (which are now a very small part of the voice ecosystem) must serve any customer anywhere in their serving territory even when another telecommunications provider is already serving there.</w:t>
      </w:r>
      <w:r w:rsidRPr="0035406E">
        <w:rPr>
          <w:rStyle w:val="FootnoteReference"/>
          <w:color w:val="222222"/>
        </w:rPr>
        <w:footnoteReference w:id="40"/>
      </w:r>
      <w:r w:rsidRPr="0035406E">
        <w:rPr>
          <w:color w:val="222222"/>
        </w:rPr>
        <w:t xml:space="preserve"> </w:t>
      </w:r>
    </w:p>
    <w:p w:rsidR="001206C3" w:rsidRDefault="00AC53F9" w:rsidP="00E059E4">
      <w:pPr>
        <w:pStyle w:val="testimony"/>
        <w:widowControl w:val="0"/>
        <w:spacing w:line="480" w:lineRule="auto"/>
        <w:ind w:left="720" w:hanging="720"/>
      </w:pPr>
      <w:r>
        <w:tab/>
        <w:t xml:space="preserve">Neither the statutory language nor the Commission’s line extension rule suggest that the presence of another provider is relevant to the telecommunications company’s obligation.  </w:t>
      </w:r>
      <w:r w:rsidR="00317475">
        <w:t>As noted by Staff witness Paul, “[t]</w:t>
      </w:r>
      <w:r w:rsidR="00317475" w:rsidRPr="0035406E">
        <w:t xml:space="preserve">he potential availability of another service provider is not listed as an exception </w:t>
      </w:r>
      <w:r w:rsidR="00317475">
        <w:t>t</w:t>
      </w:r>
      <w:r w:rsidR="00317475" w:rsidRPr="0035406E">
        <w:t>o the line extension requirements in WAC 480-120-071 and does not mean that CenturyLink can unilaterally decide that it has no obligation to serve a particular customer.</w:t>
      </w:r>
      <w:r w:rsidR="00317475">
        <w:t>”</w:t>
      </w:r>
      <w:r w:rsidR="00317475">
        <w:rPr>
          <w:rStyle w:val="FootnoteReference"/>
        </w:rPr>
        <w:footnoteReference w:id="41"/>
      </w:r>
      <w:r w:rsidR="00317475">
        <w:tab/>
      </w:r>
    </w:p>
    <w:p w:rsidR="006B0F44" w:rsidRDefault="001206C3" w:rsidP="005B6CC8">
      <w:pPr>
        <w:pStyle w:val="testimony"/>
        <w:widowControl w:val="0"/>
        <w:tabs>
          <w:tab w:val="clear" w:pos="2160"/>
          <w:tab w:val="left" w:pos="1440"/>
        </w:tabs>
        <w:spacing w:line="480" w:lineRule="auto"/>
        <w:ind w:left="720" w:hanging="720"/>
      </w:pPr>
      <w:r>
        <w:lastRenderedPageBreak/>
        <w:tab/>
      </w:r>
      <w:r w:rsidR="005B6CC8">
        <w:tab/>
      </w:r>
      <w:r w:rsidR="00521BD0">
        <w:t>I</w:t>
      </w:r>
      <w:r w:rsidR="006B0F44">
        <w:t xml:space="preserve">n </w:t>
      </w:r>
      <w:r w:rsidR="00AC53F9">
        <w:t xml:space="preserve">fact, in </w:t>
      </w:r>
      <w:r w:rsidR="006B0F44">
        <w:t xml:space="preserve">its Order adopting the line extension rules, </w:t>
      </w:r>
      <w:r w:rsidR="00521BD0">
        <w:t>the Commission</w:t>
      </w:r>
      <w:r w:rsidR="006B0F44">
        <w:t xml:space="preserve"> </w:t>
      </w:r>
      <w:r w:rsidR="00AC53F9">
        <w:t xml:space="preserve">specifically </w:t>
      </w:r>
      <w:r w:rsidR="006B0F44">
        <w:t>reject</w:t>
      </w:r>
      <w:r w:rsidR="00521BD0">
        <w:t>ed</w:t>
      </w:r>
      <w:r w:rsidR="006B0F44">
        <w:t xml:space="preserve"> an industry proposal that would have allowed for a</w:t>
      </w:r>
      <w:r w:rsidR="00521BD0">
        <w:t>n automatic</w:t>
      </w:r>
      <w:r w:rsidR="006B0F44">
        <w:t xml:space="preserve"> waiver if there were an</w:t>
      </w:r>
      <w:r w:rsidR="00521BD0">
        <w:t>other</w:t>
      </w:r>
      <w:r w:rsidR="006B0F44">
        <w:t xml:space="preserve"> ETC in the location where the extension was requested</w:t>
      </w:r>
      <w:r w:rsidR="00521BD0">
        <w:t xml:space="preserve">.  </w:t>
      </w:r>
      <w:r w:rsidR="00317475">
        <w:t>Rather, t</w:t>
      </w:r>
      <w:r w:rsidR="006B0F44">
        <w:t xml:space="preserve">he Commission </w:t>
      </w:r>
      <w:r w:rsidR="00317475">
        <w:t xml:space="preserve">confirmed its preference for having companies file location-specific waivers so that the Commission could consider whether an exception to the rule was warranted.  The Commission’s order </w:t>
      </w:r>
      <w:r w:rsidR="006B0F44">
        <w:t>stat</w:t>
      </w:r>
      <w:r w:rsidR="00317475">
        <w:t>ed</w:t>
      </w:r>
      <w:r w:rsidR="006B0F44">
        <w:t xml:space="preserve">: </w:t>
      </w:r>
    </w:p>
    <w:p w:rsidR="006B0F44" w:rsidRDefault="006B0F44" w:rsidP="005B6CC8">
      <w:pPr>
        <w:pStyle w:val="testimony"/>
        <w:widowControl w:val="0"/>
        <w:spacing w:after="240" w:line="240" w:lineRule="auto"/>
        <w:ind w:left="1440" w:right="720" w:hanging="720"/>
        <w:jc w:val="both"/>
        <w:rPr>
          <w:b/>
        </w:rPr>
      </w:pPr>
      <w:r>
        <w:tab/>
        <w:t>The Commission rejects the Industry Coalition’s proposed new subsection (3)(d). The rule as drafted achieves a bright line standard for companies concerning the obligation to construct a line extension. Adding a waiver option would detract from this standard. A company may seek a waiver under WAC 480-120-015 whenever it thinks it appropriate and the Commission may consider any pertinent information, including the existence of an ETC alternative, without adding the suggested language.</w:t>
      </w:r>
      <w:r>
        <w:rPr>
          <w:rStyle w:val="FootnoteReference"/>
        </w:rPr>
        <w:footnoteReference w:id="42"/>
      </w:r>
    </w:p>
    <w:p w:rsidR="00440A2D" w:rsidRDefault="006B0F44" w:rsidP="005B6CC8">
      <w:pPr>
        <w:pStyle w:val="testimony"/>
        <w:widowControl w:val="0"/>
        <w:tabs>
          <w:tab w:val="clear" w:pos="2160"/>
          <w:tab w:val="left" w:pos="1440"/>
        </w:tabs>
        <w:spacing w:line="480" w:lineRule="auto"/>
        <w:ind w:left="720" w:hanging="720"/>
      </w:pPr>
      <w:r>
        <w:rPr>
          <w:b/>
        </w:rPr>
        <w:tab/>
      </w:r>
      <w:r w:rsidR="005B6CC8">
        <w:rPr>
          <w:b/>
        </w:rPr>
        <w:tab/>
      </w:r>
      <w:r w:rsidR="00521BD0">
        <w:t>In the current case, w</w:t>
      </w:r>
      <w:r>
        <w:t xml:space="preserve">hen confronted with </w:t>
      </w:r>
      <w:r w:rsidR="005B017C">
        <w:t>Mr. Saum’s</w:t>
      </w:r>
      <w:r>
        <w:t xml:space="preserve"> line extension request, th</w:t>
      </w:r>
      <w:r w:rsidR="003B4BD8">
        <w:t xml:space="preserve">e Company did not seek a waiver but rather took it upon itself to </w:t>
      </w:r>
      <w:r w:rsidR="00521BD0">
        <w:t>declare the customer ineligible for a line extension.  The reasons now advanced by CenturyLink for its decision include the very argument that the Commission rejected in adopting the current rule</w:t>
      </w:r>
      <w:r w:rsidR="006E625C">
        <w:t xml:space="preserve">.  </w:t>
      </w:r>
      <w:r w:rsidR="009F0BAA">
        <w:t xml:space="preserve"> </w:t>
      </w:r>
      <w:r w:rsidR="00317475">
        <w:t xml:space="preserve">  </w:t>
      </w:r>
    </w:p>
    <w:p w:rsidR="009F0BAA" w:rsidRPr="001206C3" w:rsidRDefault="009F0BAA" w:rsidP="00E059E4">
      <w:pPr>
        <w:pStyle w:val="testimony"/>
        <w:widowControl w:val="0"/>
        <w:spacing w:line="480" w:lineRule="auto"/>
        <w:ind w:left="720" w:hanging="720"/>
        <w:rPr>
          <w:b/>
        </w:rPr>
      </w:pPr>
      <w:bookmarkStart w:id="63" w:name="_Toc514340882"/>
      <w:bookmarkStart w:id="64" w:name="_Toc514341596"/>
      <w:bookmarkStart w:id="65" w:name="_Toc514342494"/>
      <w:bookmarkStart w:id="66" w:name="_Toc514345308"/>
      <w:r w:rsidRPr="001206C3">
        <w:rPr>
          <w:b/>
        </w:rPr>
        <w:t>Q:</w:t>
      </w:r>
      <w:r w:rsidRPr="001206C3">
        <w:rPr>
          <w:b/>
        </w:rPr>
        <w:tab/>
        <w:t xml:space="preserve">Is it possible to verify CenturyLink’s claim that no one has previously contested its policy of denying service to persons who reside in developments the Company has unilaterally designated as “no-serve housing </w:t>
      </w:r>
      <w:r w:rsidRPr="001206C3">
        <w:rPr>
          <w:b/>
        </w:rPr>
        <w:lastRenderedPageBreak/>
        <w:t>developments”?</w:t>
      </w:r>
    </w:p>
    <w:p w:rsidR="00274AE2" w:rsidRDefault="009F0BAA" w:rsidP="00E059E4">
      <w:pPr>
        <w:pStyle w:val="testimony"/>
        <w:widowControl w:val="0"/>
        <w:spacing w:line="480" w:lineRule="auto"/>
        <w:ind w:left="720" w:hanging="720"/>
        <w:rPr>
          <w:color w:val="222222"/>
        </w:rPr>
      </w:pPr>
      <w:r>
        <w:t xml:space="preserve"> A:</w:t>
      </w:r>
      <w:r>
        <w:tab/>
        <w:t>No</w:t>
      </w:r>
      <w:r w:rsidR="00274AE2">
        <w:t>, but even if it was possible, it is important to note that</w:t>
      </w:r>
      <w:r>
        <w:t xml:space="preserve"> this defense is not particularly compelling.  </w:t>
      </w:r>
      <w:r>
        <w:rPr>
          <w:color w:val="222222"/>
        </w:rPr>
        <w:t xml:space="preserve">The Company’s poor record-keeping (discussed below) means that it is impossible to know whether other customers in new developments complained to the Company as a result </w:t>
      </w:r>
      <w:r w:rsidR="001206C3">
        <w:rPr>
          <w:color w:val="222222"/>
        </w:rPr>
        <w:t xml:space="preserve">of having been denied service.  </w:t>
      </w:r>
      <w:r>
        <w:rPr>
          <w:color w:val="222222"/>
        </w:rPr>
        <w:t>Apparently, in CenturyLink’s practice, potential customers are not actual customers and so fall through the loopholes of CenturyLink’s complaint tracking.</w:t>
      </w:r>
      <w:r>
        <w:rPr>
          <w:rStyle w:val="FootnoteReference"/>
          <w:color w:val="222222"/>
        </w:rPr>
        <w:footnoteReference w:id="43"/>
      </w:r>
      <w:r>
        <w:rPr>
          <w:color w:val="222222"/>
        </w:rPr>
        <w:t xml:space="preserve"> </w:t>
      </w:r>
    </w:p>
    <w:p w:rsidR="00C4287A" w:rsidRPr="001206C3" w:rsidRDefault="00274AE2" w:rsidP="00E059E4">
      <w:pPr>
        <w:pStyle w:val="testimony"/>
        <w:widowControl w:val="0"/>
        <w:tabs>
          <w:tab w:val="clear" w:pos="2160"/>
        </w:tabs>
        <w:spacing w:line="480" w:lineRule="auto"/>
        <w:ind w:left="720" w:hanging="720"/>
        <w:rPr>
          <w:color w:val="222222"/>
        </w:rPr>
      </w:pPr>
      <w:r>
        <w:tab/>
      </w:r>
      <w:r w:rsidR="00922694">
        <w:tab/>
      </w:r>
      <w:r w:rsidR="009F0BAA">
        <w:rPr>
          <w:color w:val="222222"/>
        </w:rPr>
        <w:t xml:space="preserve">Moreover, </w:t>
      </w:r>
      <w:r w:rsidR="00BC2AC2">
        <w:rPr>
          <w:color w:val="222222"/>
        </w:rPr>
        <w:t xml:space="preserve">individuals </w:t>
      </w:r>
      <w:r w:rsidR="009F0BAA">
        <w:rPr>
          <w:color w:val="222222"/>
        </w:rPr>
        <w:t>cannot be expected to negotiate with CenturyLink or to delve into the complexities of tariff language, statutory requirements</w:t>
      </w:r>
      <w:r w:rsidR="00BC2AC2">
        <w:rPr>
          <w:color w:val="222222"/>
        </w:rPr>
        <w:t>,</w:t>
      </w:r>
      <w:r w:rsidR="009F0BAA">
        <w:rPr>
          <w:color w:val="222222"/>
        </w:rPr>
        <w:t xml:space="preserve"> and Commission rules to obtain service.  That customers may have been “going along with” Company practices does not legitimize those practices.</w:t>
      </w:r>
      <w:bookmarkEnd w:id="63"/>
      <w:bookmarkEnd w:id="64"/>
      <w:bookmarkEnd w:id="65"/>
      <w:bookmarkEnd w:id="66"/>
    </w:p>
    <w:p w:rsidR="00422118" w:rsidRDefault="006D0F00" w:rsidP="00E059E4">
      <w:pPr>
        <w:pStyle w:val="testimony"/>
        <w:widowControl w:val="0"/>
        <w:spacing w:line="480" w:lineRule="auto"/>
        <w:ind w:left="720" w:hanging="720"/>
        <w:rPr>
          <w:color w:val="222222"/>
        </w:rPr>
      </w:pPr>
      <w:r>
        <w:rPr>
          <w:b/>
          <w:color w:val="222222"/>
        </w:rPr>
        <w:t>Q</w:t>
      </w:r>
      <w:r w:rsidR="00422118">
        <w:rPr>
          <w:b/>
          <w:color w:val="222222"/>
        </w:rPr>
        <w:t>:</w:t>
      </w:r>
      <w:r w:rsidR="00422118">
        <w:rPr>
          <w:b/>
          <w:color w:val="222222"/>
        </w:rPr>
        <w:tab/>
      </w:r>
      <w:r w:rsidR="00BC2AC2">
        <w:rPr>
          <w:b/>
          <w:color w:val="222222"/>
        </w:rPr>
        <w:t>Ms.</w:t>
      </w:r>
      <w:r w:rsidR="00274AE2">
        <w:rPr>
          <w:b/>
          <w:color w:val="222222"/>
        </w:rPr>
        <w:t xml:space="preserve"> Paul’s Exhibit SP-14</w:t>
      </w:r>
      <w:r w:rsidR="00646747">
        <w:rPr>
          <w:b/>
          <w:color w:val="222222"/>
        </w:rPr>
        <w:t xml:space="preserve"> </w:t>
      </w:r>
      <w:r w:rsidR="00422118">
        <w:rPr>
          <w:b/>
          <w:color w:val="222222"/>
        </w:rPr>
        <w:t>show</w:t>
      </w:r>
      <w:r w:rsidR="00646747">
        <w:rPr>
          <w:b/>
          <w:color w:val="222222"/>
        </w:rPr>
        <w:t>s</w:t>
      </w:r>
      <w:r w:rsidR="00422118">
        <w:rPr>
          <w:b/>
          <w:color w:val="222222"/>
        </w:rPr>
        <w:t xml:space="preserve"> that CenturyLink opted out of serving a different subdivision despite the developer’s </w:t>
      </w:r>
      <w:r w:rsidR="00C4287A">
        <w:rPr>
          <w:b/>
          <w:color w:val="222222"/>
        </w:rPr>
        <w:t>potential interest in CenturyLink’s service.</w:t>
      </w:r>
      <w:r w:rsidR="00274AE2" w:rsidRPr="0035406E">
        <w:rPr>
          <w:rStyle w:val="FootnoteReference"/>
          <w:color w:val="222222"/>
        </w:rPr>
        <w:footnoteReference w:id="44"/>
      </w:r>
      <w:r w:rsidR="00C4287A">
        <w:rPr>
          <w:b/>
          <w:color w:val="222222"/>
        </w:rPr>
        <w:t xml:space="preserve">  </w:t>
      </w:r>
      <w:r w:rsidR="00A125DB">
        <w:rPr>
          <w:b/>
          <w:color w:val="222222"/>
        </w:rPr>
        <w:t>What bearing does this have on the current case?</w:t>
      </w:r>
      <w:r w:rsidR="00C4287A">
        <w:rPr>
          <w:color w:val="222222"/>
        </w:rPr>
        <w:t xml:space="preserve"> </w:t>
      </w:r>
    </w:p>
    <w:p w:rsidR="00CE0194" w:rsidRDefault="00C4287A" w:rsidP="00E059E4">
      <w:pPr>
        <w:pStyle w:val="testimony"/>
        <w:widowControl w:val="0"/>
        <w:spacing w:line="480" w:lineRule="auto"/>
        <w:ind w:left="720" w:hanging="720"/>
        <w:rPr>
          <w:color w:val="222222"/>
        </w:rPr>
      </w:pPr>
      <w:r>
        <w:rPr>
          <w:color w:val="222222"/>
        </w:rPr>
        <w:t>A:</w:t>
      </w:r>
      <w:r>
        <w:rPr>
          <w:color w:val="222222"/>
        </w:rPr>
        <w:tab/>
      </w:r>
      <w:r w:rsidR="00A125DB">
        <w:rPr>
          <w:color w:val="222222"/>
        </w:rPr>
        <w:t xml:space="preserve">According to </w:t>
      </w:r>
      <w:r w:rsidR="00274AE2">
        <w:rPr>
          <w:color w:val="222222"/>
        </w:rPr>
        <w:t>Exh. SP-14</w:t>
      </w:r>
      <w:r w:rsidR="00A125DB">
        <w:rPr>
          <w:color w:val="222222"/>
        </w:rPr>
        <w:t xml:space="preserve">, </w:t>
      </w:r>
      <w:r w:rsidR="00422118" w:rsidRPr="0035406E">
        <w:rPr>
          <w:color w:val="222222"/>
        </w:rPr>
        <w:t>Cent</w:t>
      </w:r>
      <w:r w:rsidR="00422118">
        <w:rPr>
          <w:color w:val="222222"/>
        </w:rPr>
        <w:t>uryLink opted out of serving the</w:t>
      </w:r>
      <w:r w:rsidR="00422118" w:rsidRPr="0035406E">
        <w:rPr>
          <w:color w:val="222222"/>
        </w:rPr>
        <w:t xml:space="preserve"> Applewood subdivision</w:t>
      </w:r>
      <w:r w:rsidR="00274AE2">
        <w:rPr>
          <w:color w:val="222222"/>
        </w:rPr>
        <w:t xml:space="preserve"> located in </w:t>
      </w:r>
      <w:r w:rsidR="00D74F4E">
        <w:rPr>
          <w:color w:val="222222"/>
        </w:rPr>
        <w:t>Vancouver</w:t>
      </w:r>
      <w:r w:rsidR="00422118" w:rsidRPr="0035406E">
        <w:rPr>
          <w:color w:val="222222"/>
        </w:rPr>
        <w:t>,</w:t>
      </w:r>
      <w:r w:rsidR="00D74F4E">
        <w:rPr>
          <w:color w:val="222222"/>
        </w:rPr>
        <w:t xml:space="preserve"> </w:t>
      </w:r>
      <w:r w:rsidR="00422118" w:rsidRPr="0035406E">
        <w:rPr>
          <w:color w:val="222222"/>
        </w:rPr>
        <w:t>even though the developer</w:t>
      </w:r>
      <w:r w:rsidR="00274AE2">
        <w:rPr>
          <w:color w:val="222222"/>
        </w:rPr>
        <w:t xml:space="preserve"> contacted</w:t>
      </w:r>
      <w:r w:rsidR="00422118" w:rsidRPr="0035406E">
        <w:rPr>
          <w:color w:val="222222"/>
        </w:rPr>
        <w:t xml:space="preserve"> CenturyLink regarding the possibility of </w:t>
      </w:r>
      <w:r w:rsidR="00A125DB">
        <w:rPr>
          <w:color w:val="222222"/>
        </w:rPr>
        <w:t>installing</w:t>
      </w:r>
      <w:r w:rsidR="00422118" w:rsidRPr="0035406E">
        <w:rPr>
          <w:color w:val="222222"/>
        </w:rPr>
        <w:t xml:space="preserve"> lines to serve the new homes.</w:t>
      </w:r>
      <w:r w:rsidR="00422118" w:rsidRPr="0035406E">
        <w:rPr>
          <w:rStyle w:val="FootnoteReference"/>
          <w:color w:val="222222"/>
        </w:rPr>
        <w:footnoteReference w:id="45"/>
      </w:r>
      <w:r w:rsidR="00422118" w:rsidRPr="0035406E">
        <w:rPr>
          <w:color w:val="222222"/>
        </w:rPr>
        <w:t xml:space="preserve">  </w:t>
      </w:r>
      <w:r w:rsidR="00D347C9">
        <w:rPr>
          <w:color w:val="222222"/>
        </w:rPr>
        <w:lastRenderedPageBreak/>
        <w:t xml:space="preserve">While, in the current case, CenturyLink relies on the developer’s alleged lack of interest in pursuing a PAHD, </w:t>
      </w:r>
      <w:r w:rsidR="00CE0194">
        <w:rPr>
          <w:color w:val="222222"/>
        </w:rPr>
        <w:t>the Applewood development presents</w:t>
      </w:r>
      <w:r w:rsidR="00D347C9">
        <w:rPr>
          <w:color w:val="222222"/>
        </w:rPr>
        <w:t xml:space="preserve"> an example where CenturyLink foreclosed possible service expansion by its own disinclination to provide service.  This suggests that the PAHD process places a great deal of discretion in the provider’s hands, which the provider (under CenturyLink’s theory) could later rely on to decline to extend service to any household within the development. </w:t>
      </w:r>
    </w:p>
    <w:p w:rsidR="00422118" w:rsidRDefault="00CE0194" w:rsidP="00E059E4">
      <w:pPr>
        <w:pStyle w:val="testimony"/>
        <w:widowControl w:val="0"/>
        <w:tabs>
          <w:tab w:val="clear" w:pos="2160"/>
        </w:tabs>
        <w:spacing w:line="480" w:lineRule="auto"/>
        <w:ind w:left="720" w:hanging="720"/>
      </w:pPr>
      <w:r>
        <w:rPr>
          <w:color w:val="222222"/>
        </w:rPr>
        <w:tab/>
      </w:r>
      <w:r>
        <w:rPr>
          <w:color w:val="222222"/>
        </w:rPr>
        <w:tab/>
      </w:r>
      <w:r w:rsidR="00422118">
        <w:rPr>
          <w:color w:val="222222"/>
          <w:shd w:val="clear" w:color="auto" w:fill="FFFFFF"/>
        </w:rPr>
        <w:t xml:space="preserve">Moreover, </w:t>
      </w:r>
      <w:r w:rsidR="00422118">
        <w:rPr>
          <w:color w:val="222222"/>
        </w:rPr>
        <w:t>this example undermines</w:t>
      </w:r>
      <w:r w:rsidR="00422118" w:rsidRPr="0035406E">
        <w:rPr>
          <w:color w:val="222222"/>
        </w:rPr>
        <w:t xml:space="preserve"> </w:t>
      </w:r>
      <w:r w:rsidR="00F404DF">
        <w:rPr>
          <w:color w:val="222222"/>
        </w:rPr>
        <w:t xml:space="preserve">the </w:t>
      </w:r>
      <w:r w:rsidR="00422118" w:rsidRPr="0035406E">
        <w:rPr>
          <w:color w:val="222222"/>
        </w:rPr>
        <w:t>Company’s assertion</w:t>
      </w:r>
      <w:r w:rsidR="00F404DF">
        <w:rPr>
          <w:color w:val="222222"/>
        </w:rPr>
        <w:t xml:space="preserve">s </w:t>
      </w:r>
      <w:r w:rsidR="006D0F00">
        <w:rPr>
          <w:color w:val="222222"/>
        </w:rPr>
        <w:t xml:space="preserve">that </w:t>
      </w:r>
      <w:r w:rsidR="00F404DF">
        <w:rPr>
          <w:color w:val="222222"/>
        </w:rPr>
        <w:t>customers can rely on competition to meet their needs.</w:t>
      </w:r>
      <w:r w:rsidR="00422118">
        <w:rPr>
          <w:rStyle w:val="FootnoteReference"/>
          <w:color w:val="222222"/>
        </w:rPr>
        <w:footnoteReference w:id="46"/>
      </w:r>
      <w:r w:rsidR="00013F02">
        <w:rPr>
          <w:color w:val="222222"/>
        </w:rPr>
        <w:t xml:space="preserve">  </w:t>
      </w:r>
      <w:r w:rsidR="006D0F00">
        <w:rPr>
          <w:color w:val="222222"/>
        </w:rPr>
        <w:t>In fact, if the presence of another provider causes CenturyLink to opt out of serving the same area, it is not facing competition</w:t>
      </w:r>
      <w:r w:rsidR="00A42935">
        <w:rPr>
          <w:color w:val="222222"/>
        </w:rPr>
        <w:t>,</w:t>
      </w:r>
      <w:r w:rsidR="006D0F00">
        <w:rPr>
          <w:color w:val="222222"/>
        </w:rPr>
        <w:t xml:space="preserve"> </w:t>
      </w:r>
      <w:r w:rsidR="00F404DF">
        <w:rPr>
          <w:color w:val="222222"/>
        </w:rPr>
        <w:t xml:space="preserve">but </w:t>
      </w:r>
      <w:r w:rsidR="006D0F00">
        <w:rPr>
          <w:color w:val="222222"/>
        </w:rPr>
        <w:t xml:space="preserve">rather </w:t>
      </w:r>
      <w:r w:rsidR="00BA44FF">
        <w:rPr>
          <w:color w:val="222222"/>
        </w:rPr>
        <w:t xml:space="preserve">is </w:t>
      </w:r>
      <w:r w:rsidR="006D0F00">
        <w:rPr>
          <w:color w:val="222222"/>
        </w:rPr>
        <w:t xml:space="preserve">tacitly agreeing to segment the market.  </w:t>
      </w:r>
      <w:r>
        <w:rPr>
          <w:color w:val="222222"/>
        </w:rPr>
        <w:t xml:space="preserve">Thus, it appears that the developer’s </w:t>
      </w:r>
      <w:r w:rsidR="00BC2AC2">
        <w:rPr>
          <w:color w:val="222222"/>
        </w:rPr>
        <w:t xml:space="preserve">decision </w:t>
      </w:r>
      <w:r>
        <w:rPr>
          <w:color w:val="222222"/>
        </w:rPr>
        <w:t>is not necessarily the determining factor in whether a PAHD is executed.</w:t>
      </w:r>
      <w:r w:rsidR="00422118">
        <w:rPr>
          <w:rStyle w:val="FootnoteReference"/>
        </w:rPr>
        <w:footnoteReference w:id="47"/>
      </w:r>
      <w:r w:rsidR="00422118" w:rsidRPr="0035406E">
        <w:t xml:space="preserve"> </w:t>
      </w:r>
      <w:r w:rsidR="00422118">
        <w:t xml:space="preserve"> </w:t>
      </w:r>
    </w:p>
    <w:p w:rsidR="00BC2AC2" w:rsidRPr="00BC27BB" w:rsidRDefault="00BC2AC2" w:rsidP="00E059E4">
      <w:pPr>
        <w:pStyle w:val="testimony"/>
        <w:widowControl w:val="0"/>
        <w:tabs>
          <w:tab w:val="clear" w:pos="2160"/>
        </w:tabs>
        <w:spacing w:line="480" w:lineRule="auto"/>
        <w:ind w:left="720" w:hanging="720"/>
        <w:rPr>
          <w:b/>
        </w:rPr>
      </w:pPr>
      <w:r w:rsidRPr="00BC27BB">
        <w:rPr>
          <w:b/>
        </w:rPr>
        <w:t>Q:</w:t>
      </w:r>
      <w:r w:rsidRPr="00BC27BB">
        <w:rPr>
          <w:b/>
        </w:rPr>
        <w:tab/>
        <w:t>What do we know about the impact of CenturyLink’s PAHD policy?</w:t>
      </w:r>
    </w:p>
    <w:p w:rsidR="00BC2AC2" w:rsidRDefault="00BC2AC2" w:rsidP="00E059E4">
      <w:pPr>
        <w:pStyle w:val="testimony"/>
        <w:widowControl w:val="0"/>
        <w:tabs>
          <w:tab w:val="clear" w:pos="2160"/>
        </w:tabs>
        <w:spacing w:line="480" w:lineRule="auto"/>
        <w:ind w:left="720" w:hanging="720"/>
      </w:pPr>
      <w:r>
        <w:t>A:</w:t>
      </w:r>
      <w:r>
        <w:tab/>
      </w:r>
      <w:r w:rsidR="00DD3C1A">
        <w:t>CenturyLink has identified almost 30,000 housing units that are located within “no serve housing developments.”</w:t>
      </w:r>
      <w:r w:rsidR="00DD3C1A">
        <w:rPr>
          <w:rStyle w:val="FootnoteReference"/>
        </w:rPr>
        <w:footnoteReference w:id="48"/>
      </w:r>
      <w:r w:rsidR="00DD3C1A">
        <w:t xml:space="preserve">  </w:t>
      </w:r>
      <w:r w:rsidR="00A3564B">
        <w:t>The housing units identified do not represent all housing units affected.  CenturyLink states that it may not be aware of all potential “no serve housing developments,” particularly in the case where a developer does not contact CenturyLink.</w:t>
      </w:r>
      <w:r w:rsidR="00A3564B">
        <w:rPr>
          <w:rStyle w:val="FootnoteReference"/>
        </w:rPr>
        <w:footnoteReference w:id="49"/>
      </w:r>
    </w:p>
    <w:p w:rsidR="00092145" w:rsidRPr="00C4287A" w:rsidRDefault="00092145" w:rsidP="00E059E4">
      <w:pPr>
        <w:pStyle w:val="testimony"/>
        <w:widowControl w:val="0"/>
        <w:tabs>
          <w:tab w:val="clear" w:pos="2160"/>
        </w:tabs>
        <w:spacing w:line="480" w:lineRule="auto"/>
        <w:ind w:left="720" w:hanging="720"/>
      </w:pPr>
      <w:r>
        <w:lastRenderedPageBreak/>
        <w:tab/>
      </w:r>
      <w:r>
        <w:tab/>
        <w:t>The housing units identified are located throughout the state, including Eastern Washington, the Seattle metro area, Tacoma, Vancouver, Olympia, and Lacey.</w:t>
      </w:r>
    </w:p>
    <w:p w:rsidR="00422118" w:rsidRPr="0035406E" w:rsidRDefault="00422118" w:rsidP="001066B0">
      <w:pPr>
        <w:pStyle w:val="Heading2"/>
      </w:pPr>
      <w:bookmarkStart w:id="67" w:name="_Toc514341598"/>
      <w:bookmarkStart w:id="68" w:name="_Toc514342496"/>
      <w:bookmarkStart w:id="69" w:name="_Toc514345310"/>
      <w:bookmarkStart w:id="70" w:name="_Toc514651352"/>
      <w:bookmarkStart w:id="71" w:name="_Toc514673435"/>
      <w:bookmarkStart w:id="72" w:name="_Toc515443397"/>
      <w:bookmarkStart w:id="73" w:name="_Toc515543053"/>
      <w:r w:rsidRPr="0035406E">
        <w:t>CenturyLink’s inadequate record-keeping prevents the Commission from assessing the broader harm</w:t>
      </w:r>
      <w:r w:rsidR="0027016B">
        <w:t xml:space="preserve"> that the Company’s policy caused.</w:t>
      </w:r>
      <w:bookmarkEnd w:id="67"/>
      <w:bookmarkEnd w:id="68"/>
      <w:bookmarkEnd w:id="69"/>
      <w:bookmarkEnd w:id="70"/>
      <w:bookmarkEnd w:id="71"/>
      <w:bookmarkEnd w:id="72"/>
      <w:bookmarkEnd w:id="73"/>
      <w:r w:rsidR="0027016B">
        <w:t xml:space="preserve"> </w:t>
      </w:r>
    </w:p>
    <w:p w:rsidR="004F0C8B" w:rsidRDefault="004F0C8B" w:rsidP="00E059E4">
      <w:pPr>
        <w:pStyle w:val="testimony"/>
        <w:keepNext/>
        <w:keepLines/>
        <w:spacing w:line="480" w:lineRule="auto"/>
        <w:ind w:left="720" w:hanging="720"/>
        <w:rPr>
          <w:b/>
        </w:rPr>
      </w:pPr>
      <w:r>
        <w:rPr>
          <w:b/>
        </w:rPr>
        <w:t>Q:</w:t>
      </w:r>
      <w:r>
        <w:rPr>
          <w:b/>
        </w:rPr>
        <w:tab/>
        <w:t>Have there been other instances similar to this case</w:t>
      </w:r>
      <w:r w:rsidR="0027016B">
        <w:rPr>
          <w:b/>
        </w:rPr>
        <w:t xml:space="preserve"> where customers in subdivisions were denied service</w:t>
      </w:r>
      <w:r>
        <w:rPr>
          <w:b/>
        </w:rPr>
        <w:t>?</w:t>
      </w:r>
    </w:p>
    <w:p w:rsidR="0027016B" w:rsidRDefault="004F0C8B" w:rsidP="00E059E4">
      <w:pPr>
        <w:pStyle w:val="testimony"/>
        <w:widowControl w:val="0"/>
        <w:spacing w:line="480" w:lineRule="auto"/>
        <w:ind w:left="720" w:hanging="720"/>
      </w:pPr>
      <w:r>
        <w:t>A:</w:t>
      </w:r>
      <w:r>
        <w:tab/>
        <w:t xml:space="preserve">It is impossible to know.  </w:t>
      </w:r>
      <w:r w:rsidR="006F3B61">
        <w:t xml:space="preserve">The Company </w:t>
      </w:r>
      <w:r w:rsidR="006D0F00">
        <w:t xml:space="preserve">has acknowledged that it </w:t>
      </w:r>
      <w:r>
        <w:t>does not keep track of instances whe</w:t>
      </w:r>
      <w:r w:rsidR="006D0F00">
        <w:t>re</w:t>
      </w:r>
      <w:r>
        <w:t xml:space="preserve"> it has denied service to a </w:t>
      </w:r>
      <w:r w:rsidR="00060893">
        <w:t xml:space="preserve">potential </w:t>
      </w:r>
      <w:r>
        <w:t>customer</w:t>
      </w:r>
      <w:r w:rsidR="006D0F00">
        <w:t xml:space="preserve"> </w:t>
      </w:r>
      <w:r w:rsidR="00EF6918">
        <w:t xml:space="preserve">(including those </w:t>
      </w:r>
      <w:r w:rsidR="006D0F00">
        <w:t>residing within what CenturyLink has designated as a “no serve housing development.”</w:t>
      </w:r>
      <w:r w:rsidR="00EF6918">
        <w:t>)</w:t>
      </w:r>
      <w:r w:rsidR="006F3B61">
        <w:rPr>
          <w:rStyle w:val="FootnoteReference"/>
        </w:rPr>
        <w:footnoteReference w:id="50"/>
      </w:r>
    </w:p>
    <w:p w:rsidR="004F0C8B" w:rsidRDefault="004F0C8B" w:rsidP="00E059E4">
      <w:pPr>
        <w:pStyle w:val="testimony"/>
        <w:widowControl w:val="0"/>
        <w:spacing w:line="480" w:lineRule="auto"/>
        <w:ind w:left="720" w:hanging="720"/>
      </w:pPr>
      <w:r>
        <w:rPr>
          <w:b/>
        </w:rPr>
        <w:t>Q:</w:t>
      </w:r>
      <w:r>
        <w:rPr>
          <w:b/>
        </w:rPr>
        <w:tab/>
        <w:t>What are the Commission’s record-keeping requirements?</w:t>
      </w:r>
    </w:p>
    <w:p w:rsidR="0027016B" w:rsidRDefault="004F0C8B" w:rsidP="00E059E4">
      <w:pPr>
        <w:pStyle w:val="testimony"/>
        <w:widowControl w:val="0"/>
        <w:spacing w:line="480" w:lineRule="auto"/>
        <w:ind w:left="720" w:hanging="720"/>
      </w:pPr>
      <w:r>
        <w:t>A</w:t>
      </w:r>
      <w:r w:rsidR="001378DA">
        <w:t>:</w:t>
      </w:r>
      <w:r>
        <w:t xml:space="preserve"> </w:t>
      </w:r>
      <w:r w:rsidR="001378DA">
        <w:tab/>
      </w:r>
      <w:r w:rsidR="001378DA" w:rsidRPr="001378DA">
        <w:t>Part VIII of the Commission’s rules for telephone companies (Chapter 480-120) encompasses various rules for “financial records and reporting,” one of which concerns retaining and</w:t>
      </w:r>
      <w:r w:rsidR="00F404DF">
        <w:t xml:space="preserve"> preserving records and reports</w:t>
      </w:r>
      <w:r w:rsidR="001378DA" w:rsidRPr="001378DA">
        <w:t xml:space="preserve"> (WAC 480-120-349).  </w:t>
      </w:r>
      <w:r w:rsidR="00A3564B">
        <w:t>CenturyLink’s</w:t>
      </w:r>
      <w:r w:rsidR="001378DA" w:rsidRPr="001378DA">
        <w:t xml:space="preserve"> actions regarding denial of service has financial implications for the Company</w:t>
      </w:r>
      <w:r w:rsidR="00A42935">
        <w:t>, including</w:t>
      </w:r>
      <w:r w:rsidR="001378DA" w:rsidRPr="001378DA">
        <w:t xml:space="preserve"> avoided cost and for</w:t>
      </w:r>
      <w:r w:rsidR="001378DA">
        <w:t>e</w:t>
      </w:r>
      <w:r w:rsidR="001378DA" w:rsidRPr="001378DA">
        <w:t>gone revenues</w:t>
      </w:r>
      <w:r w:rsidR="00A42935">
        <w:t>.  T</w:t>
      </w:r>
      <w:r w:rsidR="001378DA" w:rsidRPr="001378DA">
        <w:t xml:space="preserve">herefore, </w:t>
      </w:r>
      <w:r w:rsidR="00A42935">
        <w:t xml:space="preserve">records of such requests and denials </w:t>
      </w:r>
      <w:r w:rsidR="001378DA" w:rsidRPr="001378DA">
        <w:t xml:space="preserve">should be included in </w:t>
      </w:r>
      <w:r w:rsidR="00A3564B">
        <w:t>CenturyLink</w:t>
      </w:r>
      <w:r w:rsidR="001378DA" w:rsidRPr="001378DA">
        <w:t>’s record-keeping system.</w:t>
      </w:r>
      <w:r w:rsidR="0085254A">
        <w:t xml:space="preserve">  Pursuant to </w:t>
      </w:r>
      <w:r w:rsidR="0085254A" w:rsidRPr="001378DA">
        <w:t>WAC 480-120-349</w:t>
      </w:r>
      <w:r w:rsidR="0085254A">
        <w:t>, companies must retain “all records and reports required by these rules or commission order for three years” (unless a different retention interval is required by the FCC, pursuant to federal rules)</w:t>
      </w:r>
      <w:r w:rsidR="006E625C">
        <w:t>.</w:t>
      </w:r>
      <w:r w:rsidR="00A3564B">
        <w:t xml:space="preserve">  </w:t>
      </w:r>
      <w:r w:rsidR="00A3564B">
        <w:lastRenderedPageBreak/>
        <w:t>CenturyLink failed to retain its records.</w:t>
      </w:r>
      <w:r w:rsidR="006E625C">
        <w:t xml:space="preserve">  </w:t>
      </w:r>
    </w:p>
    <w:p w:rsidR="00EC4465" w:rsidRDefault="00EC4465" w:rsidP="00E059E4">
      <w:pPr>
        <w:pStyle w:val="testimony"/>
        <w:widowControl w:val="0"/>
        <w:spacing w:line="480" w:lineRule="auto"/>
        <w:ind w:left="720" w:hanging="720"/>
        <w:rPr>
          <w:b/>
        </w:rPr>
      </w:pPr>
      <w:r w:rsidRPr="000F7094">
        <w:rPr>
          <w:b/>
        </w:rPr>
        <w:t>Q:</w:t>
      </w:r>
      <w:r>
        <w:rPr>
          <w:b/>
        </w:rPr>
        <w:tab/>
      </w:r>
      <w:r w:rsidR="004B0AE0">
        <w:rPr>
          <w:b/>
        </w:rPr>
        <w:t xml:space="preserve">What </w:t>
      </w:r>
      <w:r w:rsidR="00A42935">
        <w:rPr>
          <w:b/>
        </w:rPr>
        <w:t xml:space="preserve">is the </w:t>
      </w:r>
      <w:r w:rsidR="004B0AE0">
        <w:rPr>
          <w:b/>
        </w:rPr>
        <w:t xml:space="preserve">effect </w:t>
      </w:r>
      <w:r w:rsidR="00A42935">
        <w:rPr>
          <w:b/>
        </w:rPr>
        <w:t xml:space="preserve">of </w:t>
      </w:r>
      <w:r>
        <w:rPr>
          <w:b/>
        </w:rPr>
        <w:t xml:space="preserve">CenturyLink’s </w:t>
      </w:r>
      <w:r w:rsidR="004B0AE0">
        <w:rPr>
          <w:b/>
        </w:rPr>
        <w:t xml:space="preserve">recordkeeping </w:t>
      </w:r>
      <w:r>
        <w:rPr>
          <w:b/>
        </w:rPr>
        <w:t>practice?</w:t>
      </w:r>
    </w:p>
    <w:p w:rsidR="0027016B" w:rsidRDefault="00EC4465" w:rsidP="00E059E4">
      <w:pPr>
        <w:pStyle w:val="testimony"/>
        <w:widowControl w:val="0"/>
        <w:spacing w:line="480" w:lineRule="auto"/>
        <w:ind w:left="720" w:hanging="720"/>
      </w:pPr>
      <w:r>
        <w:t>A:</w:t>
      </w:r>
      <w:r>
        <w:tab/>
      </w:r>
      <w:r w:rsidR="001B0A58">
        <w:t xml:space="preserve">As </w:t>
      </w:r>
      <w:r w:rsidRPr="0035406E">
        <w:t>Staff explains: “CenturyLink has created a kind of loophole for records retention</w:t>
      </w:r>
      <w:r w:rsidR="006E625C">
        <w:t xml:space="preserve">.  </w:t>
      </w:r>
      <w:r w:rsidRPr="0035406E">
        <w:t>It appears that, since the Company does not consider consumers who are denied service to be customers, it does not maintain any record of the service denial.”</w:t>
      </w:r>
      <w:r w:rsidRPr="0035406E">
        <w:rPr>
          <w:rStyle w:val="FootnoteReference"/>
        </w:rPr>
        <w:footnoteReference w:id="51"/>
      </w:r>
      <w:r>
        <w:t xml:space="preserve">  </w:t>
      </w:r>
      <w:r w:rsidR="001B0A58">
        <w:t>CenturyLink’s practice of not retaining appropriate records</w:t>
      </w:r>
      <w:r>
        <w:t xml:space="preserve"> creates a significant and unjustifiable gap in the Company’s record keeping</w:t>
      </w:r>
      <w:r w:rsidR="0085254A">
        <w:t xml:space="preserve"> and interferes with the Commission’s ability</w:t>
      </w:r>
      <w:r w:rsidR="0027016B" w:rsidRPr="0027678F">
        <w:t xml:space="preserve"> to assess the larger consumer harm that may have occurred</w:t>
      </w:r>
      <w:r w:rsidR="001B0A58">
        <w:t xml:space="preserve"> from </w:t>
      </w:r>
      <w:r w:rsidR="0027016B" w:rsidRPr="0027678F">
        <w:t>the Company denying service</w:t>
      </w:r>
      <w:r w:rsidR="001B0A58">
        <w:t xml:space="preserve"> to customers</w:t>
      </w:r>
      <w:r w:rsidR="006E625C">
        <w:t xml:space="preserve">.  </w:t>
      </w:r>
      <w:r w:rsidR="0027016B">
        <w:t xml:space="preserve"> </w:t>
      </w:r>
    </w:p>
    <w:p w:rsidR="0027016B" w:rsidRDefault="0027016B" w:rsidP="00E059E4">
      <w:pPr>
        <w:pStyle w:val="testimony"/>
        <w:widowControl w:val="0"/>
        <w:spacing w:line="480" w:lineRule="auto"/>
        <w:ind w:left="720" w:hanging="720"/>
      </w:pPr>
      <w:r>
        <w:rPr>
          <w:b/>
        </w:rPr>
        <w:t>Q:</w:t>
      </w:r>
      <w:r>
        <w:rPr>
          <w:b/>
        </w:rPr>
        <w:tab/>
        <w:t>What are the Commission’s rules regarding the retention of records about complaints referred by the Commission to the Company?</w:t>
      </w:r>
    </w:p>
    <w:p w:rsidR="0027016B" w:rsidRDefault="0027016B" w:rsidP="00E059E4">
      <w:pPr>
        <w:pStyle w:val="testimony"/>
        <w:widowControl w:val="0"/>
        <w:spacing w:line="480" w:lineRule="auto"/>
        <w:ind w:left="720" w:hanging="720"/>
      </w:pPr>
      <w:r>
        <w:t>A:</w:t>
      </w:r>
      <w:r>
        <w:tab/>
      </w:r>
      <w:r w:rsidR="001B0A58">
        <w:t xml:space="preserve">WAC 480-120-166 </w:t>
      </w:r>
      <w:r w:rsidR="00D74F4E">
        <w:t xml:space="preserve">(which concerns “Commission-referred complaints”) </w:t>
      </w:r>
      <w:r w:rsidR="001B0A58">
        <w:t>provides</w:t>
      </w:r>
      <w:r>
        <w:t xml:space="preserve">, among other things:  </w:t>
      </w:r>
    </w:p>
    <w:p w:rsidR="00155973" w:rsidRDefault="0027016B" w:rsidP="005B6CC8">
      <w:pPr>
        <w:pStyle w:val="testimony"/>
        <w:widowControl w:val="0"/>
        <w:spacing w:after="240" w:line="240" w:lineRule="auto"/>
        <w:ind w:left="1440" w:right="720" w:hanging="720"/>
        <w:jc w:val="both"/>
      </w:pPr>
      <w:r>
        <w:tab/>
      </w:r>
      <w:r w:rsidRPr="0027016B">
        <w:t>Each company must keep a record of all complaints concerning service or rates for at least two years and, on request, make them readily available for commission review. The records must contain complainant's name and address, date and the nature of the complaint, action taken, and final result.</w:t>
      </w:r>
      <w:r>
        <w:rPr>
          <w:rStyle w:val="FootnoteReference"/>
        </w:rPr>
        <w:footnoteReference w:id="52"/>
      </w:r>
    </w:p>
    <w:p w:rsidR="0027016B" w:rsidRDefault="0027016B" w:rsidP="00E059E4">
      <w:pPr>
        <w:pStyle w:val="testimony"/>
        <w:widowControl w:val="0"/>
        <w:spacing w:line="480" w:lineRule="auto"/>
        <w:ind w:left="720" w:hanging="720"/>
      </w:pPr>
      <w:r>
        <w:rPr>
          <w:b/>
        </w:rPr>
        <w:t>Q:</w:t>
      </w:r>
      <w:r>
        <w:rPr>
          <w:b/>
        </w:rPr>
        <w:tab/>
        <w:t>Did CenturyLink comply with this rule?</w:t>
      </w:r>
    </w:p>
    <w:p w:rsidR="00BD2ED2" w:rsidRDefault="0027016B" w:rsidP="00E059E4">
      <w:pPr>
        <w:pStyle w:val="testimony"/>
        <w:widowControl w:val="0"/>
        <w:spacing w:line="480" w:lineRule="auto"/>
        <w:ind w:left="720" w:hanging="720"/>
      </w:pPr>
      <w:r>
        <w:t>A:</w:t>
      </w:r>
      <w:r>
        <w:tab/>
        <w:t>No.</w:t>
      </w:r>
      <w:r w:rsidR="00155973">
        <w:t xml:space="preserve">  The Company failed to provide </w:t>
      </w:r>
      <w:r w:rsidR="0085254A">
        <w:t xml:space="preserve">records </w:t>
      </w:r>
      <w:r w:rsidR="00954080">
        <w:t xml:space="preserve">for a full </w:t>
      </w:r>
      <w:r w:rsidR="00155973">
        <w:t>two years of complaints in response to Staff’s request</w:t>
      </w:r>
      <w:r w:rsidR="00954080">
        <w:t xml:space="preserve">s </w:t>
      </w:r>
      <w:r w:rsidR="002B2D8E">
        <w:t xml:space="preserve">made during its investigation.  Staff requested records </w:t>
      </w:r>
      <w:r w:rsidR="00155973">
        <w:lastRenderedPageBreak/>
        <w:t>in the summer and fall of 2017</w:t>
      </w:r>
      <w:r w:rsidR="006E625C">
        <w:t xml:space="preserve">.  </w:t>
      </w:r>
      <w:r w:rsidR="002B2D8E">
        <w:t xml:space="preserve">CenturyLink </w:t>
      </w:r>
      <w:r w:rsidR="00954080">
        <w:t>responded</w:t>
      </w:r>
      <w:r w:rsidR="00155973">
        <w:t xml:space="preserve"> that it </w:t>
      </w:r>
      <w:r w:rsidR="00954080">
        <w:t xml:space="preserve">only </w:t>
      </w:r>
      <w:r w:rsidR="00155973">
        <w:t xml:space="preserve">had complaints </w:t>
      </w:r>
      <w:r w:rsidR="00954080">
        <w:t>as far</w:t>
      </w:r>
      <w:r w:rsidR="00155973">
        <w:t xml:space="preserve"> back </w:t>
      </w:r>
      <w:r w:rsidR="00954080">
        <w:t xml:space="preserve">as </w:t>
      </w:r>
      <w:r w:rsidR="00155973">
        <w:t>the beginning of 2016</w:t>
      </w:r>
      <w:r w:rsidR="002B2D8E">
        <w:t>, whereas</w:t>
      </w:r>
      <w:r w:rsidR="00954080">
        <w:t xml:space="preserve"> a full two years would have extended </w:t>
      </w:r>
      <w:r w:rsidR="00155973">
        <w:t xml:space="preserve">to </w:t>
      </w:r>
      <w:r w:rsidR="00954080">
        <w:t xml:space="preserve">summer and fall of </w:t>
      </w:r>
      <w:r w:rsidR="00155973">
        <w:t>2015</w:t>
      </w:r>
      <w:r w:rsidR="00C70516">
        <w:t>, respectively</w:t>
      </w:r>
      <w:r w:rsidR="00954080">
        <w:t>.</w:t>
      </w:r>
      <w:r w:rsidR="00155973">
        <w:rPr>
          <w:rStyle w:val="FootnoteReference"/>
        </w:rPr>
        <w:footnoteReference w:id="53"/>
      </w:r>
    </w:p>
    <w:p w:rsidR="00D74F4E" w:rsidRDefault="00D74F4E" w:rsidP="00E059E4">
      <w:pPr>
        <w:pStyle w:val="testimony"/>
        <w:widowControl w:val="0"/>
        <w:spacing w:line="480" w:lineRule="auto"/>
        <w:ind w:left="720" w:hanging="720"/>
      </w:pPr>
      <w:r>
        <w:rPr>
          <w:b/>
        </w:rPr>
        <w:t>Q:</w:t>
      </w:r>
      <w:r>
        <w:rPr>
          <w:b/>
        </w:rPr>
        <w:tab/>
        <w:t>In sum, what do you conclude about the Company’s record-keeping?</w:t>
      </w:r>
    </w:p>
    <w:p w:rsidR="00ED214E" w:rsidRDefault="00D74F4E" w:rsidP="00E059E4">
      <w:pPr>
        <w:pStyle w:val="testimony"/>
        <w:widowControl w:val="0"/>
        <w:spacing w:line="480" w:lineRule="auto"/>
        <w:ind w:left="720" w:hanging="720"/>
      </w:pPr>
      <w:r>
        <w:t>A:</w:t>
      </w:r>
      <w:r>
        <w:tab/>
      </w:r>
      <w:r w:rsidR="002B2D8E">
        <w:t xml:space="preserve">CenturyLink’s </w:t>
      </w:r>
      <w:r>
        <w:t>record-keeping was inadequate, both in regard to customers’ requests for service as well as customers’ complaints referred by the Commission to the Company.  As a consequence the Commission should impose penalties</w:t>
      </w:r>
      <w:r w:rsidR="006E625C">
        <w:t xml:space="preserve">.  </w:t>
      </w:r>
    </w:p>
    <w:p w:rsidR="002B2D8E" w:rsidRPr="00BC27BB" w:rsidRDefault="002B2D8E" w:rsidP="001066B0">
      <w:pPr>
        <w:pStyle w:val="Heading2"/>
      </w:pPr>
      <w:bookmarkStart w:id="74" w:name="_Toc515543054"/>
      <w:r>
        <w:t>CenturyLink should be penalized for its statutory and rule violations</w:t>
      </w:r>
      <w:bookmarkEnd w:id="74"/>
      <w:r w:rsidR="00947C30">
        <w:t>.</w:t>
      </w:r>
    </w:p>
    <w:p w:rsidR="00BD2ED2" w:rsidRPr="00BD2ED2" w:rsidRDefault="00BD2ED2" w:rsidP="00E059E4">
      <w:pPr>
        <w:pStyle w:val="testimony"/>
        <w:widowControl w:val="0"/>
        <w:spacing w:line="480" w:lineRule="auto"/>
        <w:ind w:left="720" w:hanging="720"/>
        <w:rPr>
          <w:b/>
        </w:rPr>
      </w:pPr>
      <w:r>
        <w:rPr>
          <w:b/>
        </w:rPr>
        <w:t>Q:</w:t>
      </w:r>
      <w:r>
        <w:rPr>
          <w:b/>
        </w:rPr>
        <w:tab/>
        <w:t>Staff recommends that the Co</w:t>
      </w:r>
      <w:r w:rsidR="00155973">
        <w:rPr>
          <w:b/>
        </w:rPr>
        <w:t xml:space="preserve">mmission impose a penalty of </w:t>
      </w:r>
      <w:r w:rsidR="00725B50">
        <w:rPr>
          <w:b/>
        </w:rPr>
        <w:t xml:space="preserve">“up to </w:t>
      </w:r>
      <w:r w:rsidR="00155973">
        <w:rPr>
          <w:b/>
        </w:rPr>
        <w:t>$351,000</w:t>
      </w:r>
      <w:r w:rsidR="00725B50">
        <w:rPr>
          <w:b/>
        </w:rPr>
        <w:t>” for its failure to comply with applicable laws and rules.</w:t>
      </w:r>
      <w:r w:rsidR="00BC05ED">
        <w:rPr>
          <w:rStyle w:val="FootnoteReference"/>
        </w:rPr>
        <w:footnoteReference w:id="54"/>
      </w:r>
      <w:r w:rsidR="00BC05ED">
        <w:rPr>
          <w:b/>
        </w:rPr>
        <w:t xml:space="preserve"> </w:t>
      </w:r>
      <w:r w:rsidR="00725B50">
        <w:rPr>
          <w:b/>
        </w:rPr>
        <w:t xml:space="preserve"> Do you agree with this recommendation?</w:t>
      </w:r>
    </w:p>
    <w:p w:rsidR="006B0F44" w:rsidRDefault="00840FF4" w:rsidP="00E059E4">
      <w:pPr>
        <w:pStyle w:val="testimony"/>
        <w:widowControl w:val="0"/>
        <w:spacing w:line="480" w:lineRule="auto"/>
        <w:ind w:left="720" w:hanging="720"/>
      </w:pPr>
      <w:r>
        <w:t>A:</w:t>
      </w:r>
      <w:r>
        <w:tab/>
      </w:r>
      <w:r w:rsidR="00725B50">
        <w:t>Yes.</w:t>
      </w:r>
      <w:r w:rsidR="00BC05ED">
        <w:t xml:space="preserve">  It is important that the Commission hold CenturyLink accountable to consumers and to the Commission.  CenturyLink possesses significantly greater negotiating strength than do individual customers, and therefore, it is especially important that the Commission send a clear signal that the Company must abide by the laws and rules as they now exist, and not as the Company might want them </w:t>
      </w:r>
      <w:r w:rsidR="00BC05ED">
        <w:lastRenderedPageBreak/>
        <w:t>to be.</w:t>
      </w:r>
    </w:p>
    <w:p w:rsidR="00060CD1" w:rsidRPr="00060CD1" w:rsidRDefault="00060CD1" w:rsidP="00E059E4">
      <w:pPr>
        <w:pStyle w:val="testimony"/>
        <w:widowControl w:val="0"/>
        <w:spacing w:line="480" w:lineRule="auto"/>
        <w:ind w:left="720" w:hanging="720"/>
        <w:rPr>
          <w:b/>
        </w:rPr>
      </w:pPr>
      <w:r>
        <w:rPr>
          <w:b/>
        </w:rPr>
        <w:t>Q:</w:t>
      </w:r>
      <w:r>
        <w:rPr>
          <w:b/>
        </w:rPr>
        <w:tab/>
        <w:t>What is your understanding of the Commission’s authority to impose penalties?</w:t>
      </w:r>
    </w:p>
    <w:p w:rsidR="00C70516" w:rsidRDefault="00060CD1" w:rsidP="00E059E4">
      <w:pPr>
        <w:pStyle w:val="testimony"/>
        <w:widowControl w:val="0"/>
        <w:spacing w:line="480" w:lineRule="auto"/>
        <w:ind w:left="720" w:hanging="720"/>
      </w:pPr>
      <w:r>
        <w:t>A:</w:t>
      </w:r>
      <w:r>
        <w:tab/>
      </w:r>
      <w:r w:rsidR="007C1552">
        <w:t>The C</w:t>
      </w:r>
      <w:r w:rsidR="00655D12" w:rsidRPr="00655D12">
        <w:t>ommission has the authority to assess penalties of up to $1,000 per violation, per day, following a formal complaint and hearing</w:t>
      </w:r>
      <w:r w:rsidR="00655D12">
        <w:t>.</w:t>
      </w:r>
      <w:r w:rsidR="00655D12">
        <w:rPr>
          <w:rStyle w:val="FootnoteReference"/>
        </w:rPr>
        <w:footnoteReference w:id="55"/>
      </w:r>
      <w:r w:rsidR="00C70516">
        <w:t xml:space="preserve"> </w:t>
      </w:r>
      <w:r w:rsidR="00655D12">
        <w:t xml:space="preserve"> </w:t>
      </w:r>
      <w:r w:rsidR="00BF1805">
        <w:t>In considering whether to take enforcement action, the Commission considers eleven factors.</w:t>
      </w:r>
      <w:r w:rsidR="00BF1805">
        <w:rPr>
          <w:rStyle w:val="FootnoteReference"/>
        </w:rPr>
        <w:footnoteReference w:id="56"/>
      </w:r>
      <w:r w:rsidR="00ED214E">
        <w:t xml:space="preserve">  The Commission has discretion to take other factors into consideration as well.</w:t>
      </w:r>
      <w:r w:rsidR="00E75210" w:rsidRPr="00E75210">
        <w:t xml:space="preserve"> </w:t>
      </w:r>
      <w:r w:rsidR="00280F66">
        <w:t>Ms.</w:t>
      </w:r>
      <w:r w:rsidR="00E75210">
        <w:t xml:space="preserve"> Paul comprehensively addressed each of these factors and fully supported her total recommended penalty of up to $351,000.</w:t>
      </w:r>
      <w:r w:rsidR="00E75210">
        <w:rPr>
          <w:rStyle w:val="FootnoteReference"/>
        </w:rPr>
        <w:footnoteReference w:id="57"/>
      </w:r>
      <w:r w:rsidR="000146F1">
        <w:t xml:space="preserve">  </w:t>
      </w:r>
    </w:p>
    <w:p w:rsidR="00280F66" w:rsidRDefault="00C70516" w:rsidP="00C70516">
      <w:pPr>
        <w:pStyle w:val="testimony"/>
        <w:widowControl w:val="0"/>
        <w:tabs>
          <w:tab w:val="clear" w:pos="2160"/>
          <w:tab w:val="left" w:pos="1440"/>
        </w:tabs>
        <w:spacing w:line="480" w:lineRule="auto"/>
        <w:ind w:left="720" w:hanging="720"/>
      </w:pPr>
      <w:r>
        <w:tab/>
      </w:r>
      <w:r>
        <w:tab/>
      </w:r>
      <w:r w:rsidR="000146F1">
        <w:t>Additionally, my testimony further support</w:t>
      </w:r>
      <w:r w:rsidR="00280F66">
        <w:t>s</w:t>
      </w:r>
      <w:r w:rsidR="000146F1">
        <w:t xml:space="preserve"> penalizing CenturyLink for its failure to provide service, to provide a line extension, and to keep proper records</w:t>
      </w:r>
      <w:r w:rsidR="00280F66">
        <w:t>.  I evaluated the Commission’s factors and conclude that the Commission should penalize CenturyLink</w:t>
      </w:r>
      <w:r w:rsidR="006E625C">
        <w:t>.</w:t>
      </w:r>
    </w:p>
    <w:p w:rsidR="00280F66" w:rsidRDefault="00280F66" w:rsidP="00E059E4">
      <w:pPr>
        <w:pStyle w:val="testimony"/>
        <w:widowControl w:val="0"/>
        <w:spacing w:line="480" w:lineRule="auto"/>
        <w:ind w:left="720" w:hanging="720"/>
        <w:rPr>
          <w:b/>
        </w:rPr>
      </w:pPr>
      <w:r>
        <w:rPr>
          <w:b/>
        </w:rPr>
        <w:lastRenderedPageBreak/>
        <w:t>Q:</w:t>
      </w:r>
      <w:r>
        <w:rPr>
          <w:b/>
        </w:rPr>
        <w:tab/>
        <w:t>Please share your evaluation of the Commission’s enforcement factors.</w:t>
      </w:r>
    </w:p>
    <w:p w:rsidR="005A4745" w:rsidRDefault="00280F66" w:rsidP="005A4745">
      <w:pPr>
        <w:pStyle w:val="testimony"/>
        <w:widowControl w:val="0"/>
        <w:spacing w:line="480" w:lineRule="auto"/>
        <w:ind w:left="720" w:hanging="720"/>
        <w:jc w:val="both"/>
      </w:pPr>
      <w:r>
        <w:t>A:</w:t>
      </w:r>
      <w:r>
        <w:tab/>
      </w:r>
      <w:r w:rsidR="00BB0BA4">
        <w:t>Below is my evaluation of the Commission’s enforcement factors.</w:t>
      </w:r>
    </w:p>
    <w:p w:rsidR="00AC6908" w:rsidRDefault="00BB0BA4" w:rsidP="00C70516">
      <w:pPr>
        <w:pStyle w:val="testimony"/>
        <w:widowControl w:val="0"/>
        <w:numPr>
          <w:ilvl w:val="0"/>
          <w:numId w:val="14"/>
        </w:numPr>
        <w:tabs>
          <w:tab w:val="clear" w:pos="720"/>
          <w:tab w:val="left" w:pos="1080"/>
        </w:tabs>
        <w:spacing w:line="480" w:lineRule="auto"/>
        <w:ind w:left="1080"/>
      </w:pPr>
      <w:r>
        <w:rPr>
          <w:i/>
        </w:rPr>
        <w:t>How serious or harmful the violation is to the public.</w:t>
      </w:r>
      <w:r w:rsidR="00C70516">
        <w:rPr>
          <w:i/>
        </w:rPr>
        <w:t xml:space="preserve"> </w:t>
      </w:r>
      <w:r>
        <w:rPr>
          <w:i/>
        </w:rPr>
        <w:t xml:space="preserve"> </w:t>
      </w:r>
      <w:r w:rsidR="005A4745">
        <w:t>The violation</w:t>
      </w:r>
      <w:r>
        <w:t>s in this case are</w:t>
      </w:r>
      <w:r w:rsidR="005A4745">
        <w:t xml:space="preserve"> serious </w:t>
      </w:r>
      <w:r>
        <w:t xml:space="preserve">although the full extent of harm is unknowable.  </w:t>
      </w:r>
      <w:r w:rsidR="005A4745">
        <w:t xml:space="preserve">CenturyLink exercised undue discretion in </w:t>
      </w:r>
      <w:r>
        <w:t>deciding to not provide</w:t>
      </w:r>
      <w:r w:rsidR="005A4745">
        <w:t xml:space="preserve"> basic voice service to Mr. Saum </w:t>
      </w:r>
      <w:r>
        <w:t xml:space="preserve">because the decision is contrary to its statutory and rule obligations.  </w:t>
      </w:r>
      <w:r w:rsidR="00092145">
        <w:t xml:space="preserve">As an individual seeking service, </w:t>
      </w:r>
      <w:r w:rsidR="005A4745">
        <w:t>Mr. Saum had negligible negotiating strength relative to CenturyLink.</w:t>
      </w:r>
      <w:r w:rsidR="00092145">
        <w:t xml:space="preserve">  Others have likely found themselves in the same situation given that CenturyLink has never chosen to serve an individual residing in a “no serve housing development.”</w:t>
      </w:r>
      <w:r w:rsidR="00AC6908">
        <w:t xml:space="preserve">  A company’s obligation to serve is a paramount obligation, and violations based on failure to provide service are serious and harmful.  Additionally, failure to keep proper records dampens the Commission’s ability to accurately assess the harm in this case.</w:t>
      </w:r>
    </w:p>
    <w:p w:rsidR="005A4745" w:rsidRDefault="00AC6908" w:rsidP="00C70516">
      <w:pPr>
        <w:pStyle w:val="testimony"/>
        <w:widowControl w:val="0"/>
        <w:numPr>
          <w:ilvl w:val="0"/>
          <w:numId w:val="14"/>
        </w:numPr>
        <w:tabs>
          <w:tab w:val="clear" w:pos="720"/>
          <w:tab w:val="left" w:pos="1080"/>
        </w:tabs>
        <w:spacing w:line="480" w:lineRule="auto"/>
        <w:ind w:left="1080"/>
      </w:pPr>
      <w:r>
        <w:rPr>
          <w:i/>
        </w:rPr>
        <w:t xml:space="preserve">Whether the violation is intentional. </w:t>
      </w:r>
      <w:r w:rsidR="00C70516">
        <w:rPr>
          <w:i/>
        </w:rPr>
        <w:t xml:space="preserve"> </w:t>
      </w:r>
      <w:r w:rsidR="005A4745">
        <w:t>It is not clear whether the Company’s violation</w:t>
      </w:r>
      <w:r w:rsidR="00C82526">
        <w:t>s</w:t>
      </w:r>
      <w:r w:rsidR="005A4745">
        <w:t xml:space="preserve"> </w:t>
      </w:r>
      <w:r w:rsidR="00C82526">
        <w:t xml:space="preserve">are </w:t>
      </w:r>
      <w:r w:rsidR="005A4745">
        <w:t>intentional</w:t>
      </w:r>
      <w:r>
        <w:t>;</w:t>
      </w:r>
      <w:r w:rsidR="005A4745">
        <w:t xml:space="preserve"> however, </w:t>
      </w:r>
      <w:r>
        <w:t>CenturyLink’s policy of not fulfilling its line extension obligation is purposeful</w:t>
      </w:r>
      <w:r w:rsidR="00C82526">
        <w:t xml:space="preserve"> and deliberate</w:t>
      </w:r>
      <w:r>
        <w:t xml:space="preserve">.  Additionally, </w:t>
      </w:r>
      <w:r w:rsidR="005A4745">
        <w:t>the Company clearly ignored Staff’s findings and, despite these findings, continued to refuse to provide service to Mr. Saum.</w:t>
      </w:r>
      <w:r w:rsidR="00C82526">
        <w:t xml:space="preserve">  </w:t>
      </w:r>
    </w:p>
    <w:p w:rsidR="005A4745" w:rsidRDefault="00C82526" w:rsidP="00C70516">
      <w:pPr>
        <w:pStyle w:val="testimony"/>
        <w:widowControl w:val="0"/>
        <w:numPr>
          <w:ilvl w:val="0"/>
          <w:numId w:val="14"/>
        </w:numPr>
        <w:tabs>
          <w:tab w:val="clear" w:pos="720"/>
          <w:tab w:val="left" w:pos="1080"/>
        </w:tabs>
        <w:spacing w:line="480" w:lineRule="auto"/>
        <w:ind w:left="1080"/>
      </w:pPr>
      <w:r>
        <w:rPr>
          <w:i/>
        </w:rPr>
        <w:t>Whether the Company self-reported the violation.</w:t>
      </w:r>
      <w:r w:rsidR="00C70516">
        <w:rPr>
          <w:i/>
        </w:rPr>
        <w:t xml:space="preserve"> </w:t>
      </w:r>
      <w:r>
        <w:rPr>
          <w:i/>
        </w:rPr>
        <w:t xml:space="preserve"> </w:t>
      </w:r>
      <w:r w:rsidR="005A4745">
        <w:t>The Company did not self-report its violation</w:t>
      </w:r>
      <w:r>
        <w:t>s</w:t>
      </w:r>
      <w:r w:rsidR="005A4745">
        <w:t xml:space="preserve"> and, despite the Commission’s earlier directive that “[a] company may seek a waiver under WAC 480-120-015 whenever it thinks it appropriate and the Commission may consider any pertinent information, including the existence of an ETC alternative, without adding the suggested </w:t>
      </w:r>
      <w:r w:rsidR="005A4745">
        <w:lastRenderedPageBreak/>
        <w:t>language,”</w:t>
      </w:r>
      <w:r w:rsidR="005A4745">
        <w:rPr>
          <w:rStyle w:val="FootnoteReference"/>
        </w:rPr>
        <w:footnoteReference w:id="58"/>
      </w:r>
      <w:r w:rsidR="005A4745">
        <w:t xml:space="preserve"> the Company failed to seek a waiver.</w:t>
      </w:r>
    </w:p>
    <w:p w:rsidR="005A4745" w:rsidRDefault="00C82526" w:rsidP="00C70516">
      <w:pPr>
        <w:pStyle w:val="testimony"/>
        <w:widowControl w:val="0"/>
        <w:numPr>
          <w:ilvl w:val="0"/>
          <w:numId w:val="14"/>
        </w:numPr>
        <w:tabs>
          <w:tab w:val="clear" w:pos="720"/>
          <w:tab w:val="left" w:pos="1080"/>
        </w:tabs>
        <w:spacing w:line="480" w:lineRule="auto"/>
        <w:ind w:left="1080"/>
      </w:pPr>
      <w:r>
        <w:rPr>
          <w:i/>
        </w:rPr>
        <w:t>Whether the company was cooperative and responsive.</w:t>
      </w:r>
      <w:r w:rsidR="00C70516">
        <w:rPr>
          <w:i/>
        </w:rPr>
        <w:t xml:space="preserve"> </w:t>
      </w:r>
      <w:r>
        <w:rPr>
          <w:i/>
        </w:rPr>
        <w:t xml:space="preserve"> </w:t>
      </w:r>
      <w:r w:rsidR="005A4745">
        <w:t>Despite repeated efforts by Staff, the Company refused to cooperate with Staff’s request for the Company to serve Mr. Saum.</w:t>
      </w:r>
      <w:r>
        <w:t xml:space="preserve">  Additionally, CenturyLink was unable to provide the documentation necessary to fully assess the scope of its statute and rule violations.</w:t>
      </w:r>
    </w:p>
    <w:p w:rsidR="005A4745" w:rsidRDefault="00C82526" w:rsidP="00C70516">
      <w:pPr>
        <w:pStyle w:val="testimony"/>
        <w:widowControl w:val="0"/>
        <w:numPr>
          <w:ilvl w:val="0"/>
          <w:numId w:val="14"/>
        </w:numPr>
        <w:tabs>
          <w:tab w:val="clear" w:pos="720"/>
          <w:tab w:val="left" w:pos="1080"/>
        </w:tabs>
        <w:spacing w:line="480" w:lineRule="auto"/>
        <w:ind w:left="1080"/>
      </w:pPr>
      <w:r>
        <w:rPr>
          <w:i/>
        </w:rPr>
        <w:t xml:space="preserve">Whether the company promptly corrected the violations and remedied the impacts.  </w:t>
      </w:r>
      <w:r>
        <w:t>CenturyLink</w:t>
      </w:r>
      <w:r w:rsidR="005A4745">
        <w:t xml:space="preserve"> failed to promptly address the situation despite Staff’s complaint and investigation</w:t>
      </w:r>
      <w:r>
        <w:t xml:space="preserve"> and has not remedied its violations or the impacts</w:t>
      </w:r>
      <w:r w:rsidR="005A4745">
        <w:t>.</w:t>
      </w:r>
    </w:p>
    <w:p w:rsidR="005A4745" w:rsidRDefault="00C82526" w:rsidP="00C70516">
      <w:pPr>
        <w:pStyle w:val="testimony"/>
        <w:widowControl w:val="0"/>
        <w:numPr>
          <w:ilvl w:val="0"/>
          <w:numId w:val="14"/>
        </w:numPr>
        <w:tabs>
          <w:tab w:val="clear" w:pos="720"/>
          <w:tab w:val="left" w:pos="1080"/>
        </w:tabs>
        <w:spacing w:line="480" w:lineRule="auto"/>
        <w:ind w:left="1080"/>
      </w:pPr>
      <w:r>
        <w:rPr>
          <w:i/>
        </w:rPr>
        <w:t>Number of violations.</w:t>
      </w:r>
      <w:r w:rsidR="00C70516">
        <w:rPr>
          <w:i/>
        </w:rPr>
        <w:t xml:space="preserve"> </w:t>
      </w:r>
      <w:r>
        <w:rPr>
          <w:i/>
        </w:rPr>
        <w:t xml:space="preserve"> </w:t>
      </w:r>
      <w:r w:rsidR="005A4745">
        <w:t>It is impossible to discern how many violations of the type at issue in this proceeding have occurred because the Company failed to maintain records of individuals who sought and were denied service, and because the Company failed to maintain records of complaints for the required two-year period.</w:t>
      </w:r>
      <w:r w:rsidR="002F3F04">
        <w:t xml:space="preserve">  The number of violations related to this particular instance is relatively low; however, as the Commission noted in Docket A-120061, the number of violations alone does not determine whether an enforcement action is appropriate.</w:t>
      </w:r>
      <w:r w:rsidR="002F3F04">
        <w:rPr>
          <w:rStyle w:val="FootnoteReference"/>
        </w:rPr>
        <w:footnoteReference w:id="59"/>
      </w:r>
    </w:p>
    <w:p w:rsidR="005A4745" w:rsidRDefault="002F3F04" w:rsidP="00C70516">
      <w:pPr>
        <w:pStyle w:val="testimony"/>
        <w:widowControl w:val="0"/>
        <w:numPr>
          <w:ilvl w:val="0"/>
          <w:numId w:val="14"/>
        </w:numPr>
        <w:tabs>
          <w:tab w:val="clear" w:pos="720"/>
          <w:tab w:val="left" w:pos="1080"/>
        </w:tabs>
        <w:spacing w:line="480" w:lineRule="auto"/>
        <w:ind w:left="1080"/>
      </w:pPr>
      <w:r>
        <w:rPr>
          <w:i/>
        </w:rPr>
        <w:t xml:space="preserve">The number of customers affected. </w:t>
      </w:r>
      <w:r w:rsidR="009E5938">
        <w:rPr>
          <w:i/>
        </w:rPr>
        <w:t xml:space="preserve"> </w:t>
      </w:r>
      <w:r w:rsidR="005A4745">
        <w:t xml:space="preserve">Similarly, it is impossible to know how many customers have been affected by the Company’s practice because the Company has failed to maintain records of individuals who sought and were </w:t>
      </w:r>
      <w:r w:rsidR="005A4745">
        <w:lastRenderedPageBreak/>
        <w:t>denied service and because the Company failed to maintain records of complaints for the required two-year period</w:t>
      </w:r>
      <w:r>
        <w:t>.  At minimum, almost 30,000 housing units have been affected directly or indirectly.</w:t>
      </w:r>
    </w:p>
    <w:p w:rsidR="005A4745" w:rsidRDefault="002F3F04" w:rsidP="00C70516">
      <w:pPr>
        <w:pStyle w:val="testimony"/>
        <w:widowControl w:val="0"/>
        <w:numPr>
          <w:ilvl w:val="0"/>
          <w:numId w:val="14"/>
        </w:numPr>
        <w:tabs>
          <w:tab w:val="clear" w:pos="720"/>
          <w:tab w:val="left" w:pos="1080"/>
        </w:tabs>
        <w:spacing w:line="480" w:lineRule="auto"/>
        <w:ind w:left="1080"/>
      </w:pPr>
      <w:r>
        <w:rPr>
          <w:i/>
        </w:rPr>
        <w:t>Likelihood of recurrence.</w:t>
      </w:r>
      <w:r w:rsidR="009E5938">
        <w:rPr>
          <w:i/>
        </w:rPr>
        <w:t xml:space="preserve"> </w:t>
      </w:r>
      <w:r>
        <w:rPr>
          <w:i/>
        </w:rPr>
        <w:t xml:space="preserve"> </w:t>
      </w:r>
      <w:r w:rsidR="005A4745">
        <w:t>Without a clear finding by the Commission, the Company may well persist in denying service to customers seeking service.</w:t>
      </w:r>
      <w:r>
        <w:t xml:space="preserve">  CenturyLink has been very firm in its belief that WAC 480-120-071 does not apply in situations where a developer has not executed a PAHD. </w:t>
      </w:r>
    </w:p>
    <w:p w:rsidR="005A4745" w:rsidRDefault="00FB35F0" w:rsidP="00C70516">
      <w:pPr>
        <w:pStyle w:val="testimony"/>
        <w:widowControl w:val="0"/>
        <w:numPr>
          <w:ilvl w:val="0"/>
          <w:numId w:val="14"/>
        </w:numPr>
        <w:tabs>
          <w:tab w:val="clear" w:pos="720"/>
          <w:tab w:val="left" w:pos="1080"/>
        </w:tabs>
        <w:spacing w:line="480" w:lineRule="auto"/>
        <w:ind w:left="1080"/>
      </w:pPr>
      <w:r>
        <w:rPr>
          <w:i/>
        </w:rPr>
        <w:t>The company’s past performance regarding compliance, violations, and penalties.</w:t>
      </w:r>
      <w:r>
        <w:t xml:space="preserve">  CenturyLink has had prior enforcement actions, although to the best of my knowledge, those actions did not involve violations of its COLR or line extension obligations.</w:t>
      </w:r>
    </w:p>
    <w:p w:rsidR="005A4745" w:rsidRDefault="00FB35F0" w:rsidP="00C70516">
      <w:pPr>
        <w:pStyle w:val="testimony"/>
        <w:widowControl w:val="0"/>
        <w:numPr>
          <w:ilvl w:val="0"/>
          <w:numId w:val="14"/>
        </w:numPr>
        <w:tabs>
          <w:tab w:val="clear" w:pos="720"/>
          <w:tab w:val="left" w:pos="1080"/>
        </w:tabs>
        <w:spacing w:line="480" w:lineRule="auto"/>
        <w:ind w:left="1080"/>
      </w:pPr>
      <w:r>
        <w:rPr>
          <w:i/>
        </w:rPr>
        <w:t xml:space="preserve">The company’s existing compliance program. </w:t>
      </w:r>
      <w:r w:rsidR="009E5938">
        <w:rPr>
          <w:i/>
        </w:rPr>
        <w:t xml:space="preserve"> </w:t>
      </w:r>
      <w:r w:rsidR="005A4745">
        <w:t>Because of its failure to maintain records properly, it is clear that the Company lacks an adequate compliance program in place.</w:t>
      </w:r>
    </w:p>
    <w:p w:rsidR="005A4745" w:rsidRDefault="00FB35F0" w:rsidP="00C70516">
      <w:pPr>
        <w:pStyle w:val="testimony"/>
        <w:widowControl w:val="0"/>
        <w:numPr>
          <w:ilvl w:val="0"/>
          <w:numId w:val="14"/>
        </w:numPr>
        <w:tabs>
          <w:tab w:val="clear" w:pos="720"/>
          <w:tab w:val="left" w:pos="1080"/>
        </w:tabs>
        <w:spacing w:line="480" w:lineRule="auto"/>
        <w:ind w:left="1080"/>
      </w:pPr>
      <w:r w:rsidRPr="00BC27BB">
        <w:rPr>
          <w:i/>
        </w:rPr>
        <w:t>The size of the company.</w:t>
      </w:r>
      <w:r>
        <w:t xml:space="preserve"> </w:t>
      </w:r>
      <w:r w:rsidR="009E5938">
        <w:t xml:space="preserve"> </w:t>
      </w:r>
      <w:r w:rsidR="005A4745">
        <w:t xml:space="preserve">CenturyLink </w:t>
      </w:r>
      <w:r>
        <w:t>has approximately 720,000 access lines in Washington and generated approximately $308,000,000 in intrastate revenues in 2016.</w:t>
      </w:r>
      <w:r w:rsidR="002E28CE">
        <w:rPr>
          <w:rStyle w:val="FootnoteReference"/>
        </w:rPr>
        <w:footnoteReference w:id="60"/>
      </w:r>
      <w:r>
        <w:t xml:space="preserve"> </w:t>
      </w:r>
    </w:p>
    <w:p w:rsidR="00BC05ED" w:rsidRPr="0065322F" w:rsidRDefault="009E5938" w:rsidP="009E5938">
      <w:pPr>
        <w:spacing w:line="480" w:lineRule="auto"/>
        <w:rPr>
          <w:strike/>
        </w:rPr>
      </w:pPr>
      <w:r>
        <w:t xml:space="preserve"> </w:t>
      </w:r>
      <w:r>
        <w:tab/>
      </w:r>
      <w:r w:rsidR="00206646">
        <w:t>The factors applied to the facts of this case support imposition of penalties.  Holding CenturyLink accountable for violations is important to achieve compliance, to deter future non-compliance, and to preserve customer protection.</w:t>
      </w:r>
      <w:r w:rsidR="006E625C">
        <w:t xml:space="preserve">  </w:t>
      </w:r>
      <w:r w:rsidR="00BF1805" w:rsidRPr="0065322F">
        <w:rPr>
          <w:strike/>
        </w:rPr>
        <w:t xml:space="preserve"> </w:t>
      </w:r>
    </w:p>
    <w:p w:rsidR="00840FF4" w:rsidRDefault="00551C5F" w:rsidP="00551C5F">
      <w:pPr>
        <w:pStyle w:val="Heading1"/>
      </w:pPr>
      <w:bookmarkStart w:id="75" w:name="_Toc514342497"/>
      <w:bookmarkStart w:id="76" w:name="_Toc514345311"/>
      <w:bookmarkStart w:id="77" w:name="_Toc514651353"/>
      <w:bookmarkStart w:id="78" w:name="_Toc514673436"/>
      <w:bookmarkStart w:id="79" w:name="_Toc515443398"/>
      <w:r>
        <w:rPr>
          <w:highlight w:val="lightGray"/>
        </w:rPr>
        <w:br w:type="page"/>
      </w:r>
      <w:r w:rsidR="00D07104">
        <w:lastRenderedPageBreak/>
        <w:t xml:space="preserve"> </w:t>
      </w:r>
      <w:bookmarkStart w:id="80" w:name="_Toc515543055"/>
      <w:r w:rsidR="00840FF4">
        <w:t xml:space="preserve">ISSUES THAT </w:t>
      </w:r>
      <w:r w:rsidR="009D353D">
        <w:t>GO BEYOND THE CURRENT DOCKET</w:t>
      </w:r>
      <w:bookmarkEnd w:id="75"/>
      <w:bookmarkEnd w:id="76"/>
      <w:bookmarkEnd w:id="77"/>
      <w:bookmarkEnd w:id="78"/>
      <w:bookmarkEnd w:id="79"/>
      <w:bookmarkEnd w:id="80"/>
    </w:p>
    <w:p w:rsidR="00E425DB" w:rsidRDefault="005E6CBE" w:rsidP="00E059E4">
      <w:pPr>
        <w:pStyle w:val="testimony"/>
        <w:widowControl w:val="0"/>
        <w:spacing w:line="480" w:lineRule="auto"/>
        <w:ind w:left="720" w:hanging="720"/>
        <w:rPr>
          <w:b/>
        </w:rPr>
      </w:pPr>
      <w:r>
        <w:rPr>
          <w:b/>
        </w:rPr>
        <w:t>Q:</w:t>
      </w:r>
      <w:r>
        <w:rPr>
          <w:b/>
        </w:rPr>
        <w:tab/>
        <w:t>CenturyLink raises concerns about “uneconomic investment.”</w:t>
      </w:r>
      <w:r w:rsidRPr="0035406E">
        <w:rPr>
          <w:rStyle w:val="FootnoteReference"/>
          <w:color w:val="222222"/>
        </w:rPr>
        <w:footnoteReference w:id="61"/>
      </w:r>
      <w:r>
        <w:rPr>
          <w:b/>
        </w:rPr>
        <w:t xml:space="preserve">  </w:t>
      </w:r>
      <w:r w:rsidR="00E425DB">
        <w:rPr>
          <w:b/>
        </w:rPr>
        <w:t>What are those concerns?</w:t>
      </w:r>
    </w:p>
    <w:p w:rsidR="00E425DB" w:rsidRDefault="00E425DB" w:rsidP="00E059E4">
      <w:pPr>
        <w:pStyle w:val="testimony"/>
        <w:widowControl w:val="0"/>
        <w:spacing w:line="480" w:lineRule="auto"/>
        <w:ind w:left="720" w:hanging="720"/>
        <w:rPr>
          <w:color w:val="222222"/>
        </w:rPr>
      </w:pPr>
      <w:r>
        <w:t>A:</w:t>
      </w:r>
      <w:r>
        <w:tab/>
      </w:r>
      <w:r w:rsidR="005E6CBE" w:rsidRPr="0035406E">
        <w:rPr>
          <w:color w:val="222222"/>
        </w:rPr>
        <w:t xml:space="preserve">CenturyLink states: </w:t>
      </w:r>
    </w:p>
    <w:p w:rsidR="00E425DB" w:rsidRDefault="00E425DB" w:rsidP="005B6CC8">
      <w:pPr>
        <w:shd w:val="clear" w:color="auto" w:fill="FFFFFF"/>
        <w:spacing w:after="240" w:line="235" w:lineRule="atLeast"/>
        <w:ind w:left="1440" w:right="720"/>
        <w:jc w:val="both"/>
        <w:rPr>
          <w:color w:val="222222"/>
        </w:rPr>
      </w:pPr>
      <w:r w:rsidRPr="0035406E">
        <w:rPr>
          <w:color w:val="222222"/>
        </w:rPr>
        <w:t>Requiring 1000’ of free line extension to developments where wireline and wireless services are already available from other providers will waste the ILEC’s very limited (and ever shrinking) resources that could be used for economically viable investments, including further deployment of broadband.  CenturyLink and other ILECs must be free to decline unnecessary uneconomic investment.  This is especially important because the revenues available to operate a wireline voice network for people who have no other option continue their rapid decline.</w:t>
      </w:r>
      <w:r w:rsidRPr="0035406E">
        <w:rPr>
          <w:rStyle w:val="FootnoteReference"/>
          <w:color w:val="222222"/>
        </w:rPr>
        <w:footnoteReference w:id="62"/>
      </w:r>
    </w:p>
    <w:p w:rsidR="005E6CBE" w:rsidRPr="00E425DB" w:rsidRDefault="00E425DB" w:rsidP="00E059E4">
      <w:pPr>
        <w:pStyle w:val="testimony"/>
        <w:widowControl w:val="0"/>
        <w:spacing w:line="480" w:lineRule="auto"/>
        <w:ind w:left="720" w:hanging="720"/>
        <w:rPr>
          <w:b/>
          <w:color w:val="222222"/>
        </w:rPr>
      </w:pPr>
      <w:r>
        <w:rPr>
          <w:b/>
          <w:color w:val="222222"/>
        </w:rPr>
        <w:t>Q:</w:t>
      </w:r>
      <w:r>
        <w:rPr>
          <w:b/>
          <w:color w:val="222222"/>
        </w:rPr>
        <w:tab/>
        <w:t xml:space="preserve">In your view, </w:t>
      </w:r>
      <w:r w:rsidR="00E62011">
        <w:rPr>
          <w:b/>
          <w:color w:val="222222"/>
        </w:rPr>
        <w:t>is</w:t>
      </w:r>
      <w:r>
        <w:rPr>
          <w:b/>
          <w:color w:val="222222"/>
        </w:rPr>
        <w:t xml:space="preserve"> this proceeding the appropriate forum for addressing CenturyLink’s investments and revenues?</w:t>
      </w:r>
    </w:p>
    <w:p w:rsidR="005E6CBE" w:rsidRDefault="00E425DB" w:rsidP="00E059E4">
      <w:pPr>
        <w:pStyle w:val="testimony"/>
        <w:widowControl w:val="0"/>
        <w:spacing w:line="480" w:lineRule="auto"/>
        <w:ind w:left="720" w:hanging="720"/>
        <w:rPr>
          <w:color w:val="222222"/>
        </w:rPr>
      </w:pPr>
      <w:r>
        <w:rPr>
          <w:color w:val="222222"/>
        </w:rPr>
        <w:t>A:</w:t>
      </w:r>
      <w:r>
        <w:rPr>
          <w:color w:val="222222"/>
        </w:rPr>
        <w:tab/>
        <w:t xml:space="preserve">No.  </w:t>
      </w:r>
      <w:r w:rsidR="005E6CBE" w:rsidRPr="0035406E">
        <w:rPr>
          <w:color w:val="222222"/>
        </w:rPr>
        <w:t xml:space="preserve">CenturyLink’s assertion that it “must be free to decline unnecessary uneconomic investment” is not only irrelevant to this proceeding, but also troubling.  As a </w:t>
      </w:r>
      <w:r>
        <w:rPr>
          <w:color w:val="222222"/>
        </w:rPr>
        <w:t>common carrier</w:t>
      </w:r>
      <w:r w:rsidR="005E6CBE" w:rsidRPr="0035406E">
        <w:rPr>
          <w:color w:val="222222"/>
        </w:rPr>
        <w:t xml:space="preserve">, CenturyLink does not have the option to choose when and where to serve customers </w:t>
      </w:r>
      <w:r w:rsidR="005E6CBE">
        <w:rPr>
          <w:color w:val="222222"/>
        </w:rPr>
        <w:t>with voice service</w:t>
      </w:r>
      <w:r w:rsidR="005E6CBE" w:rsidRPr="0035406E">
        <w:rPr>
          <w:color w:val="222222"/>
        </w:rPr>
        <w:t>.  If CenturyLink seeks authority to have such discretion, this request should be considered in a fully vetted regulatory proceeding</w:t>
      </w:r>
      <w:r w:rsidR="00B47B02">
        <w:rPr>
          <w:color w:val="222222"/>
        </w:rPr>
        <w:t xml:space="preserve"> in which all stakeholders participate</w:t>
      </w:r>
      <w:r w:rsidR="005E6CBE" w:rsidRPr="0035406E">
        <w:rPr>
          <w:color w:val="222222"/>
        </w:rPr>
        <w:t>.  Moreover, in the excerpt above, although CenturyLink implies that</w:t>
      </w:r>
      <w:r w:rsidR="009C3CF5">
        <w:rPr>
          <w:color w:val="222222"/>
        </w:rPr>
        <w:t xml:space="preserve"> </w:t>
      </w:r>
      <w:r w:rsidR="005E6CBE" w:rsidRPr="0035406E">
        <w:rPr>
          <w:color w:val="222222"/>
        </w:rPr>
        <w:t>it might deploy more broadband</w:t>
      </w:r>
      <w:r w:rsidR="005E6CBE">
        <w:rPr>
          <w:color w:val="222222"/>
        </w:rPr>
        <w:t xml:space="preserve"> than it otherwise would</w:t>
      </w:r>
      <w:r w:rsidR="009C3CF5">
        <w:rPr>
          <w:color w:val="222222"/>
        </w:rPr>
        <w:t xml:space="preserve"> if it were to be relieved of its obligation to serve</w:t>
      </w:r>
      <w:r w:rsidR="005E6CBE" w:rsidRPr="0035406E">
        <w:rPr>
          <w:color w:val="222222"/>
        </w:rPr>
        <w:t xml:space="preserve">, CenturyLink refused to respond to Public Counsel discovery that sought additional information related to this </w:t>
      </w:r>
      <w:r w:rsidR="009C3CF5">
        <w:rPr>
          <w:color w:val="222222"/>
        </w:rPr>
        <w:t>assertion</w:t>
      </w:r>
      <w:r w:rsidR="005E6CBE" w:rsidRPr="0035406E">
        <w:rPr>
          <w:color w:val="222222"/>
        </w:rPr>
        <w:t>.</w:t>
      </w:r>
      <w:r w:rsidR="005E6CBE" w:rsidRPr="0035406E">
        <w:rPr>
          <w:rStyle w:val="FootnoteReference"/>
          <w:color w:val="222222"/>
        </w:rPr>
        <w:footnoteReference w:id="63"/>
      </w:r>
    </w:p>
    <w:p w:rsidR="0060710C" w:rsidRDefault="0060710C" w:rsidP="00E059E4">
      <w:pPr>
        <w:pStyle w:val="testimony"/>
        <w:widowControl w:val="0"/>
        <w:spacing w:line="480" w:lineRule="auto"/>
        <w:ind w:left="720" w:hanging="720"/>
      </w:pPr>
      <w:r>
        <w:rPr>
          <w:b/>
        </w:rPr>
        <w:lastRenderedPageBreak/>
        <w:t>Q:</w:t>
      </w:r>
      <w:r>
        <w:rPr>
          <w:b/>
        </w:rPr>
        <w:tab/>
        <w:t xml:space="preserve">Why is CenturyLink’s </w:t>
      </w:r>
      <w:r w:rsidR="009C3CF5">
        <w:rPr>
          <w:b/>
        </w:rPr>
        <w:t xml:space="preserve">COLR </w:t>
      </w:r>
      <w:r>
        <w:rPr>
          <w:b/>
        </w:rPr>
        <w:t>obligation to serve relevant to this case?</w:t>
      </w:r>
    </w:p>
    <w:p w:rsidR="0060710C" w:rsidRDefault="0060710C" w:rsidP="00E059E4">
      <w:pPr>
        <w:pStyle w:val="testimony"/>
        <w:widowControl w:val="0"/>
        <w:spacing w:line="480" w:lineRule="auto"/>
        <w:ind w:left="720" w:hanging="720"/>
      </w:pPr>
      <w:r>
        <w:t>A:</w:t>
      </w:r>
      <w:r>
        <w:tab/>
      </w:r>
      <w:r w:rsidR="009C3CF5">
        <w:t xml:space="preserve">The COLR </w:t>
      </w:r>
      <w:r>
        <w:t xml:space="preserve">obligation is fundamental to being a common carrier, and it ensures that service is available at reasonable rates, terms, and conditions to every person or business within the telecommunications carrier’s service territory. </w:t>
      </w:r>
    </w:p>
    <w:p w:rsidR="0060710C" w:rsidRDefault="0060710C" w:rsidP="00E059E4">
      <w:pPr>
        <w:pStyle w:val="testimony"/>
        <w:widowControl w:val="0"/>
        <w:spacing w:line="480" w:lineRule="auto"/>
        <w:ind w:left="720" w:hanging="720"/>
      </w:pPr>
      <w:r>
        <w:rPr>
          <w:b/>
        </w:rPr>
        <w:t>Q:</w:t>
      </w:r>
      <w:r>
        <w:rPr>
          <w:b/>
        </w:rPr>
        <w:tab/>
        <w:t>CenturyLink raises concerns about the impact on its financial he</w:t>
      </w:r>
      <w:r w:rsidR="000E3162">
        <w:rPr>
          <w:b/>
        </w:rPr>
        <w:t>alth of requiring it to serve the customer whose complaint originated this proceeding</w:t>
      </w:r>
      <w:r>
        <w:rPr>
          <w:b/>
        </w:rPr>
        <w:t>.</w:t>
      </w:r>
      <w:r>
        <w:rPr>
          <w:rStyle w:val="FootnoteReference"/>
          <w:b/>
        </w:rPr>
        <w:footnoteReference w:id="64"/>
      </w:r>
      <w:r>
        <w:rPr>
          <w:b/>
        </w:rPr>
        <w:t xml:space="preserve">  Is that a legitimate concern?</w:t>
      </w:r>
    </w:p>
    <w:p w:rsidR="00C360C9" w:rsidRDefault="0060710C" w:rsidP="00E059E4">
      <w:pPr>
        <w:pStyle w:val="testimony"/>
        <w:widowControl w:val="0"/>
        <w:spacing w:line="480" w:lineRule="auto"/>
        <w:ind w:left="720" w:hanging="720"/>
      </w:pPr>
      <w:r>
        <w:t>A:</w:t>
      </w:r>
      <w:r>
        <w:tab/>
      </w:r>
      <w:r w:rsidR="00E42937">
        <w:t xml:space="preserve">This case involves a single customer and a residence </w:t>
      </w:r>
      <w:r w:rsidR="00E81EDB">
        <w:t xml:space="preserve">fewer </w:t>
      </w:r>
      <w:r w:rsidR="00E42937">
        <w:t>than 200 feet from CenturyLink’s pedestal.</w:t>
      </w:r>
      <w:r>
        <w:t xml:space="preserve"> </w:t>
      </w:r>
      <w:r w:rsidR="00596E62">
        <w:t xml:space="preserve"> </w:t>
      </w:r>
      <w:r w:rsidR="00596E62" w:rsidRPr="00596E62">
        <w:t>In any event, this particular customer request is not, on its face, financially onerous</w:t>
      </w:r>
      <w:r w:rsidR="006E625C">
        <w:t xml:space="preserve">.  </w:t>
      </w:r>
      <w:r w:rsidR="00596E62" w:rsidRPr="00596E62">
        <w:t xml:space="preserve">  </w:t>
      </w:r>
    </w:p>
    <w:p w:rsidR="00C360C9" w:rsidRDefault="00C360C9" w:rsidP="005B6CC8">
      <w:pPr>
        <w:pStyle w:val="testimony"/>
        <w:widowControl w:val="0"/>
        <w:tabs>
          <w:tab w:val="clear" w:pos="2160"/>
          <w:tab w:val="left" w:pos="1440"/>
        </w:tabs>
        <w:spacing w:line="480" w:lineRule="auto"/>
        <w:ind w:left="720" w:hanging="720"/>
      </w:pPr>
      <w:r>
        <w:tab/>
      </w:r>
      <w:r w:rsidR="005B6CC8">
        <w:tab/>
      </w:r>
      <w:r w:rsidR="00596E62" w:rsidRPr="00596E62">
        <w:t>Company documents estimate a cost of $1,670 to serve the customer if it were not necessary to bore through cobble and a cost of $3</w:t>
      </w:r>
      <w:r w:rsidR="009D353D">
        <w:t>,</w:t>
      </w:r>
      <w:r w:rsidR="00596E62" w:rsidRPr="00596E62">
        <w:t>000.00 should boring through cobble be necessary.</w:t>
      </w:r>
      <w:r w:rsidR="00596E62">
        <w:rPr>
          <w:rStyle w:val="FootnoteReference"/>
        </w:rPr>
        <w:footnoteReference w:id="65"/>
      </w:r>
      <w:r w:rsidR="00596E62" w:rsidRPr="00596E62">
        <w:t xml:space="preserve">  The customer ordered service on December 22, 2016.</w:t>
      </w:r>
      <w:r w:rsidR="00596E62">
        <w:rPr>
          <w:rStyle w:val="FootnoteReference"/>
        </w:rPr>
        <w:footnoteReference w:id="66"/>
      </w:r>
      <w:r w:rsidR="00596E62" w:rsidRPr="00596E62">
        <w:t xml:space="preserve">  Had CenturyLink been providing the service that the customer ordered (</w:t>
      </w:r>
      <w:r w:rsidR="00E81EDB">
        <w:t xml:space="preserve">with recurring charges of, among others, $45.99 per month for </w:t>
      </w:r>
      <w:r w:rsidR="00596E62" w:rsidRPr="00596E62">
        <w:t xml:space="preserve">high speed internet, </w:t>
      </w:r>
      <w:r w:rsidR="00E81EDB">
        <w:t>$35.00 per month for</w:t>
      </w:r>
      <w:r w:rsidR="00596E62" w:rsidRPr="00596E62">
        <w:t xml:space="preserve"> “Home Phone</w:t>
      </w:r>
      <w:r w:rsidR="00E81EDB">
        <w:t>,</w:t>
      </w:r>
      <w:r w:rsidR="00596E62" w:rsidRPr="00596E62">
        <w:t>” and an apparent discount of $25</w:t>
      </w:r>
      <w:r w:rsidR="00E81EDB">
        <w:t>.50</w:t>
      </w:r>
      <w:r w:rsidR="00596E62" w:rsidRPr="00596E62">
        <w:t xml:space="preserve"> per month), the Company would have </w:t>
      </w:r>
      <w:r w:rsidR="00E81EDB">
        <w:t>generated more than</w:t>
      </w:r>
      <w:r w:rsidR="00596E62" w:rsidRPr="00596E62">
        <w:t xml:space="preserve"> $</w:t>
      </w:r>
      <w:r w:rsidR="00E81EDB">
        <w:t>665</w:t>
      </w:r>
      <w:r w:rsidR="00596E62" w:rsidRPr="00596E62">
        <w:t xml:space="preserve"> annually as well as a one-time charge of $31 for the Home Phone service (and may well have been successful in marketing to other residents of the sub-division).</w:t>
      </w:r>
      <w:r w:rsidR="00596E62">
        <w:rPr>
          <w:rStyle w:val="FootnoteReference"/>
        </w:rPr>
        <w:footnoteReference w:id="67"/>
      </w:r>
      <w:r w:rsidR="00596E62" w:rsidRPr="00596E62">
        <w:t xml:space="preserve">  </w:t>
      </w:r>
    </w:p>
    <w:p w:rsidR="00C360C9" w:rsidRDefault="00C360C9" w:rsidP="005B6CC8">
      <w:pPr>
        <w:pStyle w:val="testimony"/>
        <w:widowControl w:val="0"/>
        <w:tabs>
          <w:tab w:val="clear" w:pos="2160"/>
          <w:tab w:val="left" w:pos="1440"/>
        </w:tabs>
        <w:spacing w:line="480" w:lineRule="auto"/>
        <w:ind w:left="720" w:hanging="720"/>
      </w:pPr>
      <w:r>
        <w:tab/>
      </w:r>
      <w:r w:rsidR="005B6CC8">
        <w:tab/>
      </w:r>
      <w:r w:rsidR="00596E62" w:rsidRPr="00596E62">
        <w:t xml:space="preserve">I am unaware of any reason for the service to cause CenturyLink to incur </w:t>
      </w:r>
      <w:r w:rsidR="00596E62" w:rsidRPr="00596E62">
        <w:lastRenderedPageBreak/>
        <w:t>any significant additional maintenance cost.  Even if it were necessary to bore through the cobble, the single customer would generate revenues that cover the installation cost in under five years</w:t>
      </w:r>
      <w:r>
        <w:t>,</w:t>
      </w:r>
      <w:r w:rsidR="00596E62" w:rsidRPr="00596E62">
        <w:t xml:space="preserve"> and if it is not necessary to bore, the payback would occur in under three years</w:t>
      </w:r>
      <w:r w:rsidR="006E625C">
        <w:t xml:space="preserve">.  </w:t>
      </w:r>
      <w:r w:rsidR="00596E62" w:rsidRPr="00596E62">
        <w:t xml:space="preserve"> </w:t>
      </w:r>
    </w:p>
    <w:p w:rsidR="00596E62" w:rsidRDefault="00C360C9" w:rsidP="005B6CC8">
      <w:pPr>
        <w:pStyle w:val="testimony"/>
        <w:widowControl w:val="0"/>
        <w:tabs>
          <w:tab w:val="clear" w:pos="2160"/>
          <w:tab w:val="left" w:pos="1440"/>
        </w:tabs>
        <w:spacing w:line="480" w:lineRule="auto"/>
        <w:ind w:left="720" w:hanging="720"/>
      </w:pPr>
      <w:r>
        <w:tab/>
      </w:r>
      <w:r w:rsidR="005B6CC8">
        <w:tab/>
      </w:r>
      <w:r w:rsidR="00596E62" w:rsidRPr="00596E62">
        <w:t>I understand that the customer is a retired employee entitled to free phone service, but that is a benefit CenturyLink provides its retirees</w:t>
      </w:r>
      <w:r w:rsidR="00B877FC">
        <w:t>, and therefore the fact that it would not have actually generated those revenues is immaterial</w:t>
      </w:r>
      <w:r w:rsidR="009D353D">
        <w:t>.</w:t>
      </w:r>
      <w:r w:rsidR="00B877FC">
        <w:t xml:space="preserve"> </w:t>
      </w:r>
      <w:r w:rsidR="009E5938">
        <w:t xml:space="preserve"> </w:t>
      </w:r>
      <w:r w:rsidR="009D353D">
        <w:t>A</w:t>
      </w:r>
      <w:r w:rsidR="00B877FC">
        <w:t>ny foregone revenues associated with the benefit have been taken into account as part of CenturyLink’s employee compensation decisions</w:t>
      </w:r>
      <w:r w:rsidR="00596E62" w:rsidRPr="00596E62">
        <w:t>.  That CenturyLink may not recover the cost of this particular line extension should not affect the</w:t>
      </w:r>
      <w:r>
        <w:t xml:space="preserve"> Commission’s</w:t>
      </w:r>
      <w:r w:rsidR="00596E62" w:rsidRPr="00596E62">
        <w:t xml:space="preserve"> decision in this case regarding whether CenturyLink complied with its COLR obligations and the Commission’s line extension rule.</w:t>
      </w:r>
    </w:p>
    <w:p w:rsidR="00596E62" w:rsidRPr="0065322F" w:rsidRDefault="00B877FC" w:rsidP="00E059E4">
      <w:pPr>
        <w:pStyle w:val="testimony"/>
        <w:widowControl w:val="0"/>
        <w:spacing w:line="480" w:lineRule="auto"/>
        <w:ind w:left="720" w:hanging="720"/>
        <w:rPr>
          <w:b/>
        </w:rPr>
      </w:pPr>
      <w:r>
        <w:rPr>
          <w:b/>
        </w:rPr>
        <w:t>Q:</w:t>
      </w:r>
      <w:r>
        <w:rPr>
          <w:b/>
        </w:rPr>
        <w:tab/>
        <w:t xml:space="preserve">Are there other considerations that make this proceeding in inappropriate time to consider the potential impact of the </w:t>
      </w:r>
      <w:r w:rsidR="00801B52">
        <w:rPr>
          <w:b/>
        </w:rPr>
        <w:t>request for line extension</w:t>
      </w:r>
      <w:r>
        <w:rPr>
          <w:b/>
        </w:rPr>
        <w:t xml:space="preserve"> on the Company’s finances?</w:t>
      </w:r>
    </w:p>
    <w:p w:rsidR="0060710C" w:rsidRDefault="00B877FC" w:rsidP="00E059E4">
      <w:pPr>
        <w:pStyle w:val="testimony"/>
        <w:widowControl w:val="0"/>
        <w:spacing w:line="480" w:lineRule="auto"/>
        <w:ind w:left="720" w:hanging="720"/>
      </w:pPr>
      <w:r>
        <w:t>A:</w:t>
      </w:r>
      <w:r>
        <w:tab/>
        <w:t>Yes.  T</w:t>
      </w:r>
      <w:r w:rsidR="0060710C">
        <w:t xml:space="preserve">his is not </w:t>
      </w:r>
      <w:r w:rsidR="00E42937">
        <w:t>an appropriate venue</w:t>
      </w:r>
      <w:r w:rsidR="0060710C">
        <w:t xml:space="preserve"> to consider CenturyLink’s </w:t>
      </w:r>
      <w:r w:rsidR="00485485">
        <w:t xml:space="preserve">overall </w:t>
      </w:r>
      <w:r w:rsidR="0060710C">
        <w:t xml:space="preserve">financial soundness, nor is the record sufficiently comprehensive for the Commission to make such an assessment.  If CenturyLink has concerns that the current laws and rules that </w:t>
      </w:r>
      <w:r w:rsidR="00D964B2">
        <w:t>establish</w:t>
      </w:r>
      <w:r w:rsidR="0060710C">
        <w:t xml:space="preserve"> its obligation to serve are putting an unreasonable financial strain on the Company, the Company should petition the Commission </w:t>
      </w:r>
      <w:r w:rsidR="00485485">
        <w:t>for a rule waiver</w:t>
      </w:r>
      <w:r w:rsidR="0060710C">
        <w:t xml:space="preserve">.  Such a petition </w:t>
      </w:r>
      <w:r w:rsidR="00BE44B8">
        <w:t>would address</w:t>
      </w:r>
      <w:r w:rsidR="0060710C">
        <w:t xml:space="preserve"> the essence of CenturyLink’s service obligation, which has broad implications beyond the present case and raise</w:t>
      </w:r>
      <w:r w:rsidR="00D964B2">
        <w:t>s</w:t>
      </w:r>
      <w:r w:rsidR="0060710C">
        <w:t xml:space="preserve"> a variety of questions that require both factual and policy analysis </w:t>
      </w:r>
      <w:r w:rsidR="00BE44B8">
        <w:t xml:space="preserve">not on point for </w:t>
      </w:r>
      <w:r w:rsidR="00BE44B8">
        <w:lastRenderedPageBreak/>
        <w:t>this case</w:t>
      </w:r>
      <w:r w:rsidR="0060710C">
        <w:t>.</w:t>
      </w:r>
    </w:p>
    <w:p w:rsidR="0060710C" w:rsidRDefault="0060710C" w:rsidP="005B6CC8">
      <w:pPr>
        <w:pStyle w:val="testimony"/>
        <w:widowControl w:val="0"/>
        <w:tabs>
          <w:tab w:val="clear" w:pos="2160"/>
          <w:tab w:val="left" w:pos="1440"/>
        </w:tabs>
        <w:spacing w:line="480" w:lineRule="auto"/>
        <w:ind w:left="720" w:hanging="720"/>
      </w:pPr>
      <w:r>
        <w:tab/>
      </w:r>
      <w:r w:rsidR="000E3162">
        <w:tab/>
      </w:r>
      <w:r>
        <w:t>As CenturyLink itself demonstrates, the erosion of its access lines has not occurred overnight, but rather has been occurring steadily over a number of years.</w:t>
      </w:r>
      <w:r w:rsidR="00146AFE">
        <w:rPr>
          <w:rStyle w:val="FootnoteReference"/>
        </w:rPr>
        <w:footnoteReference w:id="68"/>
      </w:r>
      <w:r>
        <w:t xml:space="preserve">  While CenturyLink is quick to rely on this change, it was reluctant to answer specific questions about its assertions.</w:t>
      </w:r>
      <w:r>
        <w:rPr>
          <w:rStyle w:val="FootnoteReference"/>
        </w:rPr>
        <w:footnoteReference w:id="69"/>
      </w:r>
      <w:r>
        <w:t xml:space="preserve">  Still, it is reasonable to believe that the line loss CenturyLink has identified (as well as any other sources of weakness in its current financial condition) does</w:t>
      </w:r>
      <w:r w:rsidR="00BE44B8">
        <w:t xml:space="preserve"> not</w:t>
      </w:r>
      <w:r>
        <w:t xml:space="preserve"> arise from one single change in the market and may implicate multiple aspects of the Company’s practices or business strategies.  Such an examination would need to assess, among other things, the costs and revenues associated with CenturyLink’s operations in Washington (which, in turn, would entail an examination of the way in which CenturyLink assigns and allocates costs and revenues between its intrastate and interstate operations,</w:t>
      </w:r>
      <w:r>
        <w:rPr>
          <w:rStyle w:val="FootnoteReference"/>
        </w:rPr>
        <w:footnoteReference w:id="70"/>
      </w:r>
      <w:r>
        <w:t xml:space="preserve"> between its regulated and unregulated services,</w:t>
      </w:r>
      <w:r>
        <w:rPr>
          <w:rStyle w:val="FootnoteReference"/>
        </w:rPr>
        <w:footnoteReference w:id="71"/>
      </w:r>
      <w:r>
        <w:t xml:space="preserve"> and among its affiliate operations</w:t>
      </w:r>
      <w:r>
        <w:rPr>
          <w:rStyle w:val="FootnoteReference"/>
        </w:rPr>
        <w:footnoteReference w:id="72"/>
      </w:r>
      <w:r>
        <w:t xml:space="preserve"> as well as the impact of recent federal tax reform </w:t>
      </w:r>
      <w:r>
        <w:lastRenderedPageBreak/>
        <w:t>on its finances).</w:t>
      </w:r>
    </w:p>
    <w:p w:rsidR="0060710C" w:rsidRPr="00B114D4" w:rsidRDefault="0060710C" w:rsidP="006E625C">
      <w:pPr>
        <w:pStyle w:val="testimony"/>
        <w:widowControl w:val="0"/>
        <w:tabs>
          <w:tab w:val="clear" w:pos="2160"/>
          <w:tab w:val="left" w:pos="1440"/>
        </w:tabs>
        <w:spacing w:line="480" w:lineRule="auto"/>
        <w:ind w:left="720" w:hanging="720"/>
      </w:pPr>
      <w:r>
        <w:tab/>
      </w:r>
      <w:r w:rsidR="00146AFE">
        <w:tab/>
      </w:r>
      <w:r>
        <w:t>It is also important to recognize that any regulatory response</w:t>
      </w:r>
      <w:r w:rsidR="0072720A">
        <w:t xml:space="preserve"> involving</w:t>
      </w:r>
      <w:r>
        <w:t xml:space="preserve"> any modification of CenturyLink’s obligations to serve would have br</w:t>
      </w:r>
      <w:r w:rsidR="009E5938">
        <w:t>oad implications for consumers</w:t>
      </w:r>
      <w:r>
        <w:t xml:space="preserve"> in a wide variety of situations that cannot be adequately assessed in the context of a complaint proceeding.</w:t>
      </w:r>
    </w:p>
    <w:p w:rsidR="0060710C" w:rsidRDefault="0060710C" w:rsidP="00E059E4">
      <w:pPr>
        <w:pStyle w:val="testimony"/>
        <w:widowControl w:val="0"/>
        <w:spacing w:line="480" w:lineRule="auto"/>
        <w:ind w:left="720" w:hanging="720"/>
      </w:pPr>
      <w:r>
        <w:rPr>
          <w:b/>
        </w:rPr>
        <w:t>Q:</w:t>
      </w:r>
      <w:r>
        <w:rPr>
          <w:b/>
        </w:rPr>
        <w:tab/>
      </w:r>
      <w:r w:rsidR="00875756">
        <w:rPr>
          <w:b/>
        </w:rPr>
        <w:t>What is your opinion regarding CenturyLink’s COLR obligation?</w:t>
      </w:r>
      <w:r w:rsidDel="00CA65B9">
        <w:rPr>
          <w:b/>
        </w:rPr>
        <w:t xml:space="preserve"> </w:t>
      </w:r>
    </w:p>
    <w:p w:rsidR="0060710C" w:rsidRDefault="0060710C" w:rsidP="00E059E4">
      <w:pPr>
        <w:pStyle w:val="testimony"/>
        <w:widowControl w:val="0"/>
        <w:spacing w:line="480" w:lineRule="auto"/>
        <w:ind w:left="720" w:hanging="720"/>
      </w:pPr>
      <w:r>
        <w:t>A:</w:t>
      </w:r>
      <w:r>
        <w:tab/>
      </w:r>
      <w:r w:rsidR="00875756">
        <w:t xml:space="preserve">I </w:t>
      </w:r>
      <w:r>
        <w:t xml:space="preserve">believe very strongly that there is an important continuing role for a </w:t>
      </w:r>
      <w:r w:rsidR="00146AFE">
        <w:t xml:space="preserve">COLR, </w:t>
      </w:r>
      <w:r>
        <w:t xml:space="preserve">and that, in </w:t>
      </w:r>
      <w:r w:rsidR="00146AFE">
        <w:t>most</w:t>
      </w:r>
      <w:r>
        <w:t xml:space="preserve"> cases, the ILEC remains the most appropriate choice for that role</w:t>
      </w:r>
      <w:r w:rsidR="006E625C">
        <w:t xml:space="preserve">.  </w:t>
      </w:r>
      <w:r>
        <w:t>As NRRI states:</w:t>
      </w:r>
    </w:p>
    <w:p w:rsidR="0060710C" w:rsidRDefault="0060710C" w:rsidP="006E625C">
      <w:pPr>
        <w:pStyle w:val="testimony"/>
        <w:widowControl w:val="0"/>
        <w:spacing w:after="240" w:line="240" w:lineRule="auto"/>
        <w:ind w:left="1440" w:right="720" w:firstLine="0"/>
        <w:jc w:val="both"/>
      </w:pPr>
      <w:r>
        <w:t>COLR policies give regulators a tool to ensure that no user is left behind when a carrier seeks to discontinue service.  States should review their COLR policy on an on-going basis to ensure that all citizens have access to affordable service that meets their needs.  States and carriers can work together to develop a new regulatory compact that maintains the best parts of both carrier of last resort duties and competitive offerings.</w:t>
      </w:r>
    </w:p>
    <w:p w:rsidR="0060710C" w:rsidRDefault="0060710C" w:rsidP="00DC6957">
      <w:pPr>
        <w:pStyle w:val="testimony"/>
        <w:widowControl w:val="0"/>
        <w:tabs>
          <w:tab w:val="clear" w:pos="720"/>
          <w:tab w:val="clear" w:pos="2160"/>
          <w:tab w:val="left" w:pos="1440"/>
        </w:tabs>
        <w:spacing w:after="240" w:line="240" w:lineRule="auto"/>
        <w:ind w:left="1440" w:right="720" w:firstLine="0"/>
        <w:jc w:val="both"/>
      </w:pPr>
      <w:r>
        <w:t>COLR is not an anachronism, but is a living regulatory compact that must be evaluated and modified on an on-going basis.</w:t>
      </w:r>
      <w:r>
        <w:rPr>
          <w:rStyle w:val="FootnoteReference"/>
        </w:rPr>
        <w:footnoteReference w:id="73"/>
      </w:r>
      <w:r>
        <w:t xml:space="preserve"> </w:t>
      </w:r>
    </w:p>
    <w:p w:rsidR="0060710C" w:rsidRPr="0035406E" w:rsidRDefault="0060710C" w:rsidP="006E625C">
      <w:pPr>
        <w:pStyle w:val="Testimony0"/>
        <w:spacing w:after="0" w:line="480" w:lineRule="auto"/>
        <w:rPr>
          <w:b/>
          <w:snapToGrid w:val="0"/>
        </w:rPr>
      </w:pPr>
      <w:r w:rsidRPr="0035406E">
        <w:rPr>
          <w:b/>
          <w:snapToGrid w:val="0"/>
        </w:rPr>
        <w:t>Q:</w:t>
      </w:r>
      <w:r w:rsidRPr="0035406E">
        <w:rPr>
          <w:b/>
          <w:snapToGrid w:val="0"/>
        </w:rPr>
        <w:tab/>
        <w:t>Has the rationale for the ILEC’s traditional role as carrier of last resort been affected by the introduction of competition?</w:t>
      </w:r>
    </w:p>
    <w:p w:rsidR="0060710C" w:rsidRDefault="0060710C" w:rsidP="006E625C">
      <w:pPr>
        <w:pStyle w:val="Testimony0"/>
        <w:spacing w:after="0" w:line="480" w:lineRule="auto"/>
        <w:rPr>
          <w:color w:val="1A1A1A"/>
        </w:rPr>
      </w:pPr>
      <w:r w:rsidRPr="0035406E">
        <w:rPr>
          <w:color w:val="1A1A1A"/>
        </w:rPr>
        <w:t>A:</w:t>
      </w:r>
      <w:r w:rsidRPr="0035406E">
        <w:rPr>
          <w:color w:val="1A1A1A"/>
        </w:rPr>
        <w:tab/>
        <w:t>Of course, to some extent, but the important public policy function</w:t>
      </w:r>
      <w:r w:rsidR="005476AC">
        <w:rPr>
          <w:color w:val="1A1A1A"/>
        </w:rPr>
        <w:t xml:space="preserve"> protected by having</w:t>
      </w:r>
      <w:r w:rsidRPr="0035406E">
        <w:rPr>
          <w:color w:val="1A1A1A"/>
        </w:rPr>
        <w:t xml:space="preserve"> a COLR– universal service – </w:t>
      </w:r>
      <w:r w:rsidR="00920CDA">
        <w:rPr>
          <w:color w:val="1A1A1A"/>
        </w:rPr>
        <w:t>endures and must be preserved</w:t>
      </w:r>
      <w:r w:rsidRPr="0035406E">
        <w:rPr>
          <w:color w:val="1A1A1A"/>
        </w:rPr>
        <w:t xml:space="preserve">. </w:t>
      </w:r>
      <w:r>
        <w:rPr>
          <w:color w:val="1A1A1A"/>
        </w:rPr>
        <w:t xml:space="preserve"> The ILEC has the most ubiquitous wireline coverage, having deployed its core network </w:t>
      </w:r>
      <w:r w:rsidRPr="0035406E">
        <w:rPr>
          <w:color w:val="1A1A1A"/>
        </w:rPr>
        <w:t xml:space="preserve">with a guarantee of full cost recovery from ratepayers when it was the monopoly provider.  Moreover, as an ILEC, CenturyLink benefits from unique access to </w:t>
      </w:r>
      <w:r w:rsidRPr="0035406E">
        <w:rPr>
          <w:color w:val="1A1A1A"/>
        </w:rPr>
        <w:lastRenderedPageBreak/>
        <w:t xml:space="preserve">valuable rights of way throughout its serve territory.  The value of these monopoly-era benefits does not simply vanish when competition (especially the limited competition available in more sparsely populated areas) arises.  </w:t>
      </w:r>
    </w:p>
    <w:p w:rsidR="00A47DC2" w:rsidRDefault="0060710C" w:rsidP="00A47DC2">
      <w:pPr>
        <w:pStyle w:val="Testimony0"/>
        <w:spacing w:after="0" w:line="480" w:lineRule="auto"/>
        <w:ind w:firstLine="720"/>
        <w:rPr>
          <w:color w:val="1A1A1A"/>
        </w:rPr>
      </w:pPr>
      <w:r>
        <w:rPr>
          <w:color w:val="1A1A1A"/>
        </w:rPr>
        <w:t>Other providers who have entered as competitors have not necessarily entered with expectations that they will provide “universal” coverage, and their rates, terms, and conditions have often been assumed to be constrained to reasonable levels by some continuing regulatory oversight of the incumbent provider.  In other words, while they may also have common carrier obligations, they have not typically been seen as good candidates for the “carrier of last resort” function.   Any decision to consider a modification of the present framework, in which the ILEC acts as carrier of last resort, must incorporate</w:t>
      </w:r>
      <w:r w:rsidRPr="0035406E">
        <w:rPr>
          <w:color w:val="1A1A1A"/>
        </w:rPr>
        <w:t xml:space="preserve"> an affirmative plan for ensuring the transfer of COLR responsibilities to a provider who is likely to remain viable and offer reliable, affordable service to all affected consumers.  Because of its expertise in understanding conditions in local communities, it is important that the Commission </w:t>
      </w:r>
      <w:r>
        <w:rPr>
          <w:color w:val="1A1A1A"/>
        </w:rPr>
        <w:t xml:space="preserve">continue to </w:t>
      </w:r>
      <w:r w:rsidRPr="0035406E">
        <w:rPr>
          <w:color w:val="1A1A1A"/>
        </w:rPr>
        <w:t xml:space="preserve">be fully engaged in this determination and not defer to a second-hand decision by the </w:t>
      </w:r>
      <w:r w:rsidR="002E32C0">
        <w:rPr>
          <w:color w:val="1A1A1A"/>
        </w:rPr>
        <w:t xml:space="preserve">FCC </w:t>
      </w:r>
      <w:r w:rsidRPr="0035406E">
        <w:rPr>
          <w:color w:val="1A1A1A"/>
        </w:rPr>
        <w:t>(</w:t>
      </w:r>
      <w:r w:rsidRPr="007450BB">
        <w:rPr>
          <w:i/>
          <w:color w:val="1A1A1A"/>
        </w:rPr>
        <w:t>e.g.</w:t>
      </w:r>
      <w:r w:rsidRPr="0035406E">
        <w:rPr>
          <w:color w:val="1A1A1A"/>
        </w:rPr>
        <w:t xml:space="preserve">, based on the award of ETC status to </w:t>
      </w:r>
      <w:r>
        <w:rPr>
          <w:color w:val="1A1A1A"/>
        </w:rPr>
        <w:t xml:space="preserve">a provider other than the ILEC or based on an application </w:t>
      </w:r>
      <w:r w:rsidR="00146AFE">
        <w:rPr>
          <w:color w:val="1A1A1A"/>
        </w:rPr>
        <w:t>for “Section 214” discontinuance</w:t>
      </w:r>
      <w:r>
        <w:rPr>
          <w:color w:val="1A1A1A"/>
        </w:rPr>
        <w:t>).</w:t>
      </w:r>
      <w:bookmarkStart w:id="81" w:name="_Toc514340883"/>
      <w:bookmarkStart w:id="82" w:name="_Toc514341599"/>
      <w:bookmarkStart w:id="83" w:name="_Toc514342498"/>
      <w:bookmarkStart w:id="84" w:name="_Toc514345312"/>
      <w:bookmarkStart w:id="85" w:name="_Toc514651354"/>
      <w:bookmarkStart w:id="86" w:name="_Toc514673437"/>
      <w:bookmarkStart w:id="87" w:name="_Toc515443399"/>
    </w:p>
    <w:p w:rsidR="00BE2573" w:rsidRPr="00840FF4" w:rsidRDefault="00840FF4" w:rsidP="00A47DC2">
      <w:pPr>
        <w:pStyle w:val="Heading1"/>
      </w:pPr>
      <w:bookmarkStart w:id="88" w:name="_Toc515543056"/>
      <w:r w:rsidRPr="00840FF4">
        <w:t>CONCLUSION</w:t>
      </w:r>
      <w:bookmarkEnd w:id="81"/>
      <w:bookmarkEnd w:id="82"/>
      <w:bookmarkEnd w:id="83"/>
      <w:bookmarkEnd w:id="84"/>
      <w:bookmarkEnd w:id="85"/>
      <w:bookmarkEnd w:id="86"/>
      <w:bookmarkEnd w:id="87"/>
      <w:bookmarkEnd w:id="88"/>
    </w:p>
    <w:p w:rsidR="006A5755" w:rsidRDefault="006B0F44" w:rsidP="006E625C">
      <w:pPr>
        <w:pStyle w:val="testimony"/>
        <w:keepNext/>
        <w:keepLines/>
        <w:spacing w:line="480" w:lineRule="auto"/>
        <w:ind w:left="720" w:hanging="720"/>
        <w:rPr>
          <w:b/>
        </w:rPr>
      </w:pPr>
      <w:r>
        <w:t xml:space="preserve"> </w:t>
      </w:r>
      <w:r w:rsidR="008F668E">
        <w:rPr>
          <w:b/>
        </w:rPr>
        <w:t>Q:</w:t>
      </w:r>
      <w:r w:rsidR="008F668E">
        <w:rPr>
          <w:b/>
        </w:rPr>
        <w:tab/>
        <w:t>Please summarize your recommendations.</w:t>
      </w:r>
    </w:p>
    <w:p w:rsidR="00BF1805" w:rsidRDefault="008F668E" w:rsidP="006E625C">
      <w:pPr>
        <w:tabs>
          <w:tab w:val="left" w:pos="-1440"/>
        </w:tabs>
        <w:spacing w:line="480" w:lineRule="auto"/>
        <w:ind w:left="720" w:hanging="720"/>
      </w:pPr>
      <w:r>
        <w:t>A:</w:t>
      </w:r>
      <w:r>
        <w:tab/>
      </w:r>
      <w:r w:rsidR="00BF1805">
        <w:t xml:space="preserve">CenturyLink has failed to comply with its statutory and regulatory obligation to provide service to the complaining customer and failed to maintain records in accordance with Commission rules.  Therefore, consistent with Staff’s </w:t>
      </w:r>
      <w:r w:rsidR="00BF1805">
        <w:lastRenderedPageBreak/>
        <w:t>recommendations, I recommend that the Commission impose a penalty on the Company</w:t>
      </w:r>
      <w:r w:rsidR="005476AC">
        <w:t xml:space="preserve"> of up to $351,000</w:t>
      </w:r>
      <w:r w:rsidR="00BF1805">
        <w:t>.</w:t>
      </w:r>
    </w:p>
    <w:p w:rsidR="00BF1805" w:rsidRDefault="00BF1805" w:rsidP="006E625C">
      <w:pPr>
        <w:tabs>
          <w:tab w:val="left" w:pos="-1440"/>
        </w:tabs>
        <w:spacing w:line="480" w:lineRule="auto"/>
        <w:ind w:left="720" w:hanging="720"/>
      </w:pPr>
      <w:r>
        <w:tab/>
      </w:r>
      <w:r w:rsidR="006E625C">
        <w:tab/>
      </w:r>
      <w:r>
        <w:t xml:space="preserve">Moreover, </w:t>
      </w:r>
      <w:r w:rsidR="005476AC">
        <w:t xml:space="preserve">the statute and rule are clear with respect to the obligation to serve and line extensions.  Unless the statute or rule are modified or permit otherwise, the Commission should instruct </w:t>
      </w:r>
      <w:r>
        <w:t>CenturyLink that it does not have the discretion to decide when and where to serve customers</w:t>
      </w:r>
      <w:r w:rsidR="005476AC">
        <w:t>.  Further,</w:t>
      </w:r>
      <w:r>
        <w:t xml:space="preserve"> in any instances of possible ambiguity concerning its obligations, rather than</w:t>
      </w:r>
      <w:r w:rsidR="005476AC">
        <w:t xml:space="preserve"> unilaterally</w:t>
      </w:r>
      <w:r>
        <w:t xml:space="preserve"> refusing service, the CenturyLink should seek the appropriate waivers from the Commission.  </w:t>
      </w:r>
    </w:p>
    <w:p w:rsidR="00BF1805" w:rsidRDefault="00BF1805" w:rsidP="006E625C">
      <w:pPr>
        <w:tabs>
          <w:tab w:val="left" w:pos="-1440"/>
        </w:tabs>
        <w:spacing w:line="480" w:lineRule="auto"/>
        <w:ind w:left="720" w:hanging="720"/>
      </w:pPr>
      <w:r>
        <w:tab/>
      </w:r>
      <w:r>
        <w:tab/>
        <w:t>To facilitate</w:t>
      </w:r>
      <w:r w:rsidR="00FC31C2">
        <w:t xml:space="preserve"> the Commission’s regulatory oversight of CenturyLink</w:t>
      </w:r>
      <w:r>
        <w:t xml:space="preserve">, the Commission should direct CenturyLink to improve its record-keeping </w:t>
      </w:r>
      <w:r w:rsidR="00FC31C2">
        <w:t xml:space="preserve">to include requests from </w:t>
      </w:r>
      <w:r>
        <w:t>all customers who seek service and, if the Company declines to provide service, the reasons it has relied on for that decision</w:t>
      </w:r>
      <w:r w:rsidRPr="008157EC">
        <w:t xml:space="preserve">.  </w:t>
      </w:r>
      <w:r w:rsidRPr="00CC237C">
        <w:t>The obligation to serve has</w:t>
      </w:r>
      <w:r w:rsidR="002E32C0">
        <w:t xml:space="preserve"> a</w:t>
      </w:r>
      <w:r w:rsidRPr="00CC237C">
        <w:t xml:space="preserve"> financial </w:t>
      </w:r>
      <w:r w:rsidR="00FC31C2" w:rsidRPr="00CC237C">
        <w:t xml:space="preserve">impact on CenturyLink, and information regarding requests </w:t>
      </w:r>
      <w:r w:rsidR="002E32C0">
        <w:t>for service and the Company’s response</w:t>
      </w:r>
      <w:r w:rsidR="00FC31C2" w:rsidRPr="00CC237C">
        <w:t xml:space="preserve"> should be retained.</w:t>
      </w:r>
      <w:r>
        <w:t xml:space="preserve">  I also recommend that the Commission </w:t>
      </w:r>
      <w:r w:rsidR="00FC31C2">
        <w:t xml:space="preserve">reinforce </w:t>
      </w:r>
      <w:r>
        <w:t xml:space="preserve">to </w:t>
      </w:r>
      <w:r w:rsidR="002E32C0">
        <w:t>CenturyLink</w:t>
      </w:r>
      <w:r>
        <w:t xml:space="preserve"> </w:t>
      </w:r>
      <w:r w:rsidR="007450BB">
        <w:t xml:space="preserve">the </w:t>
      </w:r>
      <w:r>
        <w:t xml:space="preserve">importance of fulfilling its obligation to retain comprehensive information about Commission-referred complaints. </w:t>
      </w:r>
      <w:r w:rsidR="006E625C">
        <w:t xml:space="preserve"> </w:t>
      </w:r>
      <w:r>
        <w:t>Consumer complaints provide an invaluable window into how well markets are or are not functioning, which, in turn, can inform future policy making.</w:t>
      </w:r>
    </w:p>
    <w:p w:rsidR="008F668E" w:rsidRDefault="00BF1805" w:rsidP="006E625C">
      <w:pPr>
        <w:tabs>
          <w:tab w:val="left" w:pos="-1440"/>
        </w:tabs>
        <w:spacing w:line="480" w:lineRule="auto"/>
        <w:ind w:left="720" w:hanging="720"/>
      </w:pPr>
      <w:r>
        <w:tab/>
      </w:r>
      <w:r w:rsidR="006E625C">
        <w:tab/>
      </w:r>
      <w:r>
        <w:t>Finally, I recommend that if the Commission wishes to address the broader policy issues relating to CenturyLink’s common carrier obligations going forward, it do so in a separate proceeding</w:t>
      </w:r>
      <w:r w:rsidR="006E625C">
        <w:t xml:space="preserve">.  </w:t>
      </w:r>
      <w:r>
        <w:t xml:space="preserve">The specific circumstances of a single </w:t>
      </w:r>
      <w:r>
        <w:lastRenderedPageBreak/>
        <w:t>complaint case provide too narrow a lens for considering actions with such a broad range of public policy implications</w:t>
      </w:r>
      <w:r w:rsidR="006E625C">
        <w:t xml:space="preserve">.  </w:t>
      </w:r>
    </w:p>
    <w:p w:rsidR="00C253D9" w:rsidRDefault="008F668E" w:rsidP="006E625C">
      <w:pPr>
        <w:pStyle w:val="testimony"/>
        <w:widowControl w:val="0"/>
        <w:spacing w:line="480" w:lineRule="auto"/>
        <w:ind w:left="720" w:hanging="720"/>
      </w:pPr>
      <w:r>
        <w:rPr>
          <w:b/>
        </w:rPr>
        <w:t>Q:</w:t>
      </w:r>
      <w:r>
        <w:rPr>
          <w:b/>
        </w:rPr>
        <w:tab/>
        <w:t>Does this conclude your testimony?</w:t>
      </w:r>
    </w:p>
    <w:p w:rsidR="008F668E" w:rsidRPr="008F668E" w:rsidRDefault="008F668E" w:rsidP="006E625C">
      <w:pPr>
        <w:pStyle w:val="testimony"/>
        <w:widowControl w:val="0"/>
        <w:spacing w:line="480" w:lineRule="auto"/>
        <w:ind w:firstLine="0"/>
      </w:pPr>
      <w:r>
        <w:t>A:</w:t>
      </w:r>
      <w:r>
        <w:tab/>
        <w:t>Yes.</w:t>
      </w:r>
    </w:p>
    <w:sectPr w:rsidR="008F668E" w:rsidRPr="008F668E" w:rsidSect="00B226DA">
      <w:headerReference w:type="default" r:id="rId14"/>
      <w:footerReference w:type="even" r:id="rId15"/>
      <w:footerReference w:type="default" r:id="rId16"/>
      <w:pgSz w:w="12240" w:h="15840"/>
      <w:pgMar w:top="1440" w:right="1440" w:bottom="720" w:left="2160" w:header="720" w:footer="720" w:gutter="0"/>
      <w:lnNumType w:countBy="1" w:distance="72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007" w:rsidRDefault="00DF2007">
      <w:r>
        <w:separator/>
      </w:r>
    </w:p>
  </w:endnote>
  <w:endnote w:type="continuationSeparator" w:id="0">
    <w:p w:rsidR="00DF2007" w:rsidRDefault="00DF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EE" w:rsidRDefault="00824F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FEE" w:rsidRDefault="00824FE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EE" w:rsidRDefault="00824FEE">
    <w:pPr>
      <w:tabs>
        <w:tab w:val="center" w:pos="4680"/>
      </w:tabs>
      <w:spacing w:line="240" w:lineRule="exact"/>
    </w:pPr>
  </w:p>
  <w:p w:rsidR="00824FEE" w:rsidRDefault="00C02C3C" w:rsidP="00C02C3C">
    <w:pPr>
      <w:tabs>
        <w:tab w:val="center" w:pos="4680"/>
      </w:tabs>
      <w:spacing w:line="240" w:lineRule="exact"/>
      <w:jc w:val="center"/>
      <w:rPr>
        <w:sz w:val="18"/>
      </w:rPr>
    </w:pPr>
    <w:r w:rsidRPr="00C02C3C">
      <w:rPr>
        <w:sz w:val="18"/>
      </w:rPr>
      <w:t xml:space="preserve">Page </w:t>
    </w:r>
    <w:r>
      <w:rPr>
        <w:b/>
        <w:bCs/>
        <w:sz w:val="18"/>
      </w:rPr>
      <w:fldChar w:fldCharType="begin"/>
    </w:r>
    <w:r>
      <w:rPr>
        <w:b/>
        <w:bCs/>
        <w:sz w:val="18"/>
      </w:rPr>
      <w:instrText xml:space="preserve"> PAGE  \* roman  \* MERGEFORMAT </w:instrText>
    </w:r>
    <w:r>
      <w:rPr>
        <w:b/>
        <w:bCs/>
        <w:sz w:val="18"/>
      </w:rPr>
      <w:fldChar w:fldCharType="separate"/>
    </w:r>
    <w:r w:rsidR="00B73AB6">
      <w:rPr>
        <w:b/>
        <w:bCs/>
        <w:noProof/>
        <w:sz w:val="18"/>
      </w:rPr>
      <w:t>iii</w:t>
    </w:r>
    <w:r>
      <w:rPr>
        <w:b/>
        <w:bCs/>
        <w:sz w:val="18"/>
      </w:rPr>
      <w:fldChar w:fldCharType="end"/>
    </w:r>
    <w:r w:rsidRPr="00C02C3C">
      <w:rPr>
        <w:sz w:val="18"/>
      </w:rPr>
      <w:t xml:space="preserve"> of </w:t>
    </w:r>
    <w:r>
      <w:rPr>
        <w:b/>
        <w:bCs/>
        <w:sz w:val="18"/>
      </w:rPr>
      <w:fldChar w:fldCharType="begin"/>
    </w:r>
    <w:r>
      <w:rPr>
        <w:b/>
        <w:bCs/>
        <w:sz w:val="18"/>
      </w:rPr>
      <w:instrText xml:space="preserve"> SECTIONPAGES  \* roman  \* MERGEFORMAT </w:instrText>
    </w:r>
    <w:r>
      <w:rPr>
        <w:b/>
        <w:bCs/>
        <w:sz w:val="18"/>
      </w:rPr>
      <w:fldChar w:fldCharType="separate"/>
    </w:r>
    <w:r w:rsidR="00B73AB6">
      <w:rPr>
        <w:b/>
        <w:bCs/>
        <w:noProof/>
        <w:sz w:val="18"/>
      </w:rPr>
      <w:t>iii</w:t>
    </w:r>
    <w:r>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EE" w:rsidRDefault="00824FEE">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EE" w:rsidRDefault="00824FEE">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824FEE" w:rsidRDefault="00824FEE">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EE" w:rsidRDefault="00824FEE">
    <w:pPr>
      <w:pStyle w:val="Footer"/>
      <w:framePr w:w="576" w:wrap="around" w:vAnchor="page" w:hAnchor="page" w:x="5545" w:y="15121"/>
      <w:jc w:val="right"/>
      <w:rPr>
        <w:rStyle w:val="PageNumber"/>
      </w:rPr>
    </w:pPr>
  </w:p>
  <w:p w:rsidR="00824FEE" w:rsidRPr="00C02C3C" w:rsidRDefault="00C02C3C" w:rsidP="00C02C3C">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73AB6">
      <w:rPr>
        <w:b/>
        <w:bCs/>
        <w:noProof/>
      </w:rPr>
      <w:t>39</w:t>
    </w:r>
    <w:r>
      <w:rPr>
        <w:b/>
        <w:bCs/>
      </w:rPr>
      <w:fldChar w:fldCharType="end"/>
    </w:r>
    <w:r>
      <w:t xml:space="preserve"> of </w:t>
    </w:r>
    <w:r>
      <w:rPr>
        <w:b/>
        <w:bCs/>
      </w:rPr>
      <w:fldChar w:fldCharType="begin"/>
    </w:r>
    <w:r>
      <w:rPr>
        <w:b/>
        <w:bCs/>
      </w:rPr>
      <w:instrText xml:space="preserve"> SECTIONPAGES   \* MERGEFORMAT </w:instrText>
    </w:r>
    <w:r>
      <w:rPr>
        <w:b/>
        <w:bCs/>
      </w:rPr>
      <w:fldChar w:fldCharType="separate"/>
    </w:r>
    <w:r w:rsidR="00B73AB6">
      <w:rPr>
        <w:b/>
        <w:bCs/>
        <w:noProof/>
      </w:rPr>
      <w:t>39</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007" w:rsidRDefault="00DF2007">
      <w:r>
        <w:separator/>
      </w:r>
    </w:p>
  </w:footnote>
  <w:footnote w:type="continuationSeparator" w:id="0">
    <w:p w:rsidR="00DF2007" w:rsidRDefault="00DF2007">
      <w:r>
        <w:continuationSeparator/>
      </w:r>
    </w:p>
  </w:footnote>
  <w:footnote w:id="1">
    <w:p w:rsidR="00824FEE" w:rsidRPr="00BB0F46" w:rsidRDefault="00824FEE" w:rsidP="00646C41">
      <w:pPr>
        <w:pStyle w:val="FootnoteText"/>
      </w:pPr>
      <w:r w:rsidRPr="00BB0F46">
        <w:rPr>
          <w:rStyle w:val="FootnoteReference"/>
        </w:rPr>
        <w:footnoteRef/>
      </w:r>
      <w:r w:rsidRPr="00BB0F46">
        <w:t xml:space="preserve"> CenturyLink is one of five Washington incu</w:t>
      </w:r>
      <w:r w:rsidR="00916425">
        <w:t>mbent local exchange carriers (</w:t>
      </w:r>
      <w:r w:rsidRPr="00BB0F46">
        <w:t xml:space="preserve">ILECs) under common ownership of CenturyTel, Inc., which include CenturyTel of Washington, CenturyTel of Inter Island, CenturyTel of Cowiche, and United Telephone Company of the Northwest. </w:t>
      </w:r>
      <w:r w:rsidR="000B512C" w:rsidRPr="00BB0F46">
        <w:t xml:space="preserve"> </w:t>
      </w:r>
      <w:r w:rsidR="006C4FB0">
        <w:t xml:space="preserve">Testimony of Susie </w:t>
      </w:r>
      <w:r w:rsidR="000B512C" w:rsidRPr="00BB0F46">
        <w:t>Paul,</w:t>
      </w:r>
      <w:r w:rsidRPr="00BB0F46">
        <w:t xml:space="preserve"> Exh.</w:t>
      </w:r>
      <w:r w:rsidR="00BB0F46" w:rsidRPr="00BB0F46">
        <w:t> </w:t>
      </w:r>
      <w:r w:rsidRPr="00BB0F46">
        <w:t>SP-1T at 3</w:t>
      </w:r>
      <w:r w:rsidR="00AB03CF" w:rsidRPr="00BB0F46">
        <w:t>:18-20</w:t>
      </w:r>
      <w:r w:rsidRPr="00BB0F46">
        <w:t>.</w:t>
      </w:r>
    </w:p>
  </w:footnote>
  <w:footnote w:id="2">
    <w:p w:rsidR="006C4FB0" w:rsidRDefault="00824FEE" w:rsidP="00646C41">
      <w:pPr>
        <w:pStyle w:val="FootnoteText"/>
      </w:pPr>
      <w:r w:rsidRPr="00BB0F46">
        <w:rPr>
          <w:rStyle w:val="FootnoteReference"/>
        </w:rPr>
        <w:footnoteRef/>
      </w:r>
      <w:r w:rsidRPr="00BB0F46">
        <w:t xml:space="preserve"> In her documentation of the complaint, Staff Witness </w:t>
      </w:r>
      <w:r w:rsidR="000B512C" w:rsidRPr="00BB0F46">
        <w:t xml:space="preserve">Susie </w:t>
      </w:r>
      <w:r w:rsidR="006C4FB0">
        <w:t xml:space="preserve">Paul states: </w:t>
      </w:r>
    </w:p>
    <w:p w:rsidR="006C4FB0" w:rsidRDefault="00824FEE" w:rsidP="00646C41">
      <w:pPr>
        <w:pStyle w:val="FootnoteText"/>
        <w:ind w:left="720" w:right="720"/>
        <w:jc w:val="both"/>
      </w:pPr>
      <w:r w:rsidRPr="00BB0F46">
        <w:t>The customer requested new phone service from CenturyLink and the service installation was scheduled for 1/5/2017.</w:t>
      </w:r>
      <w:r w:rsidR="007B2674">
        <w:t xml:space="preserve"> </w:t>
      </w:r>
      <w:r w:rsidRPr="00BB0F46">
        <w:t xml:space="preserve"> The technician came to install phone service but said there was no facilities within subdivision.</w:t>
      </w:r>
      <w:r w:rsidR="007B2674">
        <w:t xml:space="preserve"> </w:t>
      </w:r>
      <w:r w:rsidRPr="00BB0F46">
        <w:t xml:space="preserve"> It is a new subdivision, called Anna Marie with approximately 12 homes.</w:t>
      </w:r>
      <w:r w:rsidR="007B2674">
        <w:t xml:space="preserve"> </w:t>
      </w:r>
      <w:r w:rsidRPr="00BB0F46">
        <w:t xml:space="preserve"> The customer stated there is a pedestal across the street from their property. The customer contacted the CenturyLink engineer three times, and engineer said that the customer was responsible to provide a way for the company to run line to their house. </w:t>
      </w:r>
      <w:r w:rsidR="007B2674">
        <w:t xml:space="preserve"> </w:t>
      </w:r>
      <w:r w:rsidRPr="00BB0F46">
        <w:t>2/10/2017 2:55 p.m.</w:t>
      </w:r>
      <w:r w:rsidR="007B2674">
        <w:t xml:space="preserve"> </w:t>
      </w:r>
      <w:r w:rsidRPr="00BB0F46">
        <w:t xml:space="preserve"> Passed complaint to CenturyLink via email. </w:t>
      </w:r>
      <w:r w:rsidR="007B2674">
        <w:t xml:space="preserve"> </w:t>
      </w:r>
      <w:r w:rsidRPr="00BB0F46">
        <w:t xml:space="preserve">Response </w:t>
      </w:r>
      <w:r w:rsidR="006C4FB0">
        <w:t>due by 2/14/2017 by 5 p.m.</w:t>
      </w:r>
    </w:p>
    <w:p w:rsidR="00824FEE" w:rsidRPr="00BB0F46" w:rsidRDefault="002E39AE" w:rsidP="00646C41">
      <w:pPr>
        <w:pStyle w:val="FootnoteText"/>
      </w:pPr>
      <w:r w:rsidRPr="00BB0F46">
        <w:t xml:space="preserve">Paul, </w:t>
      </w:r>
      <w:r w:rsidR="00824FEE" w:rsidRPr="00BB0F46">
        <w:t>Exh</w:t>
      </w:r>
      <w:r w:rsidR="000B512C" w:rsidRPr="00BB0F46">
        <w:t>.</w:t>
      </w:r>
      <w:r w:rsidR="00824FEE" w:rsidRPr="00BB0F46">
        <w:t xml:space="preserve"> SP-2</w:t>
      </w:r>
      <w:r w:rsidRPr="00BB0F46">
        <w:t xml:space="preserve"> at </w:t>
      </w:r>
      <w:r w:rsidR="00824FEE" w:rsidRPr="00BB0F46">
        <w:t>2.</w:t>
      </w:r>
    </w:p>
  </w:footnote>
  <w:footnote w:id="3">
    <w:p w:rsidR="00824FEE" w:rsidRPr="00BB0F46" w:rsidRDefault="00824FEE" w:rsidP="00646C41">
      <w:pPr>
        <w:pStyle w:val="FootnoteText"/>
      </w:pPr>
      <w:r w:rsidRPr="00BB0F46">
        <w:rPr>
          <w:rStyle w:val="FootnoteReference"/>
        </w:rPr>
        <w:footnoteRef/>
      </w:r>
      <w:r w:rsidRPr="00BB0F46">
        <w:t xml:space="preserve"> </w:t>
      </w:r>
      <w:r w:rsidR="000A163F" w:rsidRPr="00BB0F46">
        <w:t>Paul, Exh. SP-3</w:t>
      </w:r>
      <w:r w:rsidRPr="00BB0F46">
        <w:t xml:space="preserve"> at 4.</w:t>
      </w:r>
    </w:p>
  </w:footnote>
  <w:footnote w:id="4">
    <w:p w:rsidR="006C4FB0" w:rsidRPr="00BB0F46" w:rsidRDefault="00824FEE" w:rsidP="00646C41">
      <w:pPr>
        <w:pStyle w:val="FootnoteText"/>
      </w:pPr>
      <w:r w:rsidRPr="00BB0F46">
        <w:rPr>
          <w:rStyle w:val="FootnoteReference"/>
        </w:rPr>
        <w:footnoteRef/>
      </w:r>
      <w:r w:rsidRPr="00BB0F46">
        <w:t xml:space="preserve"> </w:t>
      </w:r>
      <w:r w:rsidR="000A163F" w:rsidRPr="00BB0F46">
        <w:t xml:space="preserve">Paul, </w:t>
      </w:r>
      <w:r w:rsidRPr="00BB0F46">
        <w:t>Exh. SP-1T at 6</w:t>
      </w:r>
      <w:r w:rsidR="00C82467" w:rsidRPr="00BB0F46">
        <w:t>:16-17</w:t>
      </w:r>
      <w:r w:rsidR="006C4FB0">
        <w:t>.</w:t>
      </w:r>
    </w:p>
  </w:footnote>
  <w:footnote w:id="5">
    <w:p w:rsidR="00824FEE" w:rsidRPr="00BB0F46" w:rsidRDefault="00824FEE" w:rsidP="00646C41">
      <w:pPr>
        <w:pStyle w:val="FootnoteText"/>
      </w:pPr>
      <w:r w:rsidRPr="00BB0F46">
        <w:rPr>
          <w:rStyle w:val="FootnoteReference"/>
        </w:rPr>
        <w:footnoteRef/>
      </w:r>
      <w:r w:rsidR="000A163F" w:rsidRPr="00BB0F46">
        <w:t xml:space="preserve"> </w:t>
      </w:r>
      <w:r w:rsidR="00B57A80" w:rsidRPr="00B57A80">
        <w:rPr>
          <w:i/>
        </w:rPr>
        <w:t>See, e.g.,</w:t>
      </w:r>
      <w:r w:rsidR="000A163F" w:rsidRPr="00BB0F46">
        <w:t xml:space="preserve"> Paul, Exhs.</w:t>
      </w:r>
      <w:r w:rsidRPr="00BB0F46">
        <w:t xml:space="preserve"> SP-7 through SP-10, </w:t>
      </w:r>
      <w:r w:rsidR="006C4FB0">
        <w:t xml:space="preserve">Exh. </w:t>
      </w:r>
      <w:r w:rsidRPr="00BB0F46">
        <w:t>SP-12,</w:t>
      </w:r>
      <w:r w:rsidR="006C4FB0">
        <w:t xml:space="preserve"> Exh.</w:t>
      </w:r>
      <w:r w:rsidRPr="00BB0F46">
        <w:t xml:space="preserve"> SP-13,</w:t>
      </w:r>
      <w:r w:rsidR="006C4FB0">
        <w:t xml:space="preserve"> Exh.</w:t>
      </w:r>
      <w:r w:rsidRPr="00BB0F46">
        <w:t xml:space="preserve"> SP-16,</w:t>
      </w:r>
      <w:r w:rsidR="006C4FB0">
        <w:t xml:space="preserve"> Exhs. SP-18 through SP</w:t>
      </w:r>
      <w:r w:rsidR="006C4FB0">
        <w:noBreakHyphen/>
      </w:r>
      <w:r w:rsidRPr="00BB0F46">
        <w:t>23.</w:t>
      </w:r>
    </w:p>
  </w:footnote>
  <w:footnote w:id="6">
    <w:p w:rsidR="00824FEE" w:rsidRPr="00BB0F46" w:rsidRDefault="00824FEE" w:rsidP="00646C41">
      <w:pPr>
        <w:pStyle w:val="FootnoteText"/>
      </w:pPr>
      <w:r w:rsidRPr="00BB0F46">
        <w:rPr>
          <w:rStyle w:val="FootnoteReference"/>
        </w:rPr>
        <w:footnoteRef/>
      </w:r>
      <w:r w:rsidRPr="00BB0F46">
        <w:t xml:space="preserve"> </w:t>
      </w:r>
      <w:r w:rsidR="00B57A80" w:rsidRPr="00B57A80">
        <w:rPr>
          <w:i/>
        </w:rPr>
        <w:t>See, e.g.,</w:t>
      </w:r>
      <w:r w:rsidRPr="00BB0F46">
        <w:t xml:space="preserve"> </w:t>
      </w:r>
      <w:r w:rsidR="004E00DD">
        <w:t xml:space="preserve">Paul, </w:t>
      </w:r>
      <w:r w:rsidRPr="00BB0F46">
        <w:t xml:space="preserve">Exh. SP-3 at 8, 17, 21; Exh. SP-8. </w:t>
      </w:r>
    </w:p>
  </w:footnote>
  <w:footnote w:id="7">
    <w:p w:rsidR="00824FEE" w:rsidRPr="00BB0F46" w:rsidRDefault="00824FEE" w:rsidP="00646C41">
      <w:pPr>
        <w:pStyle w:val="FootnoteText"/>
      </w:pPr>
      <w:r w:rsidRPr="00BB0F46">
        <w:rPr>
          <w:rStyle w:val="FootnoteReference"/>
        </w:rPr>
        <w:footnoteRef/>
      </w:r>
      <w:r w:rsidRPr="00BB0F46">
        <w:t xml:space="preserve"> 47 U.S.C., § 214. </w:t>
      </w:r>
      <w:r w:rsidR="00625993" w:rsidRPr="00BB0F46">
        <w:t>(</w:t>
      </w:r>
      <w:r w:rsidRPr="00BB0F46">
        <w:t>“No carrier shall discontinue, reduce, or impair service to a community, or part of a community, unless and until there shall first have been obtained from the Commission a certificate that neither the present nor future public convenience and necessity will be adversely affected thereby; except that the Commission may, upon appropriate request being made, authorize temporary or emergency discontinuance, reduction, or impairment of service, or partial discontinuance, reduction, or impairment of service, without regard to the provisions of this section.”</w:t>
      </w:r>
      <w:r w:rsidR="00625993" w:rsidRPr="00BB0F46">
        <w:t>)</w:t>
      </w:r>
    </w:p>
  </w:footnote>
  <w:footnote w:id="8">
    <w:p w:rsidR="00824FEE" w:rsidRPr="00BB0F46" w:rsidRDefault="00824FEE" w:rsidP="00D01612">
      <w:pPr>
        <w:pStyle w:val="FootnoteText"/>
        <w:spacing w:after="120"/>
      </w:pPr>
      <w:r w:rsidRPr="00BB0F46">
        <w:rPr>
          <w:rStyle w:val="FootnoteReference"/>
        </w:rPr>
        <w:footnoteRef/>
      </w:r>
      <w:r w:rsidRPr="00BB0F46">
        <w:t xml:space="preserve"> WAC 480-120-083.  </w:t>
      </w:r>
    </w:p>
  </w:footnote>
  <w:footnote w:id="9">
    <w:p w:rsidR="00824FEE" w:rsidRPr="00BB0F46" w:rsidRDefault="00824FEE" w:rsidP="00D01612">
      <w:pPr>
        <w:pStyle w:val="FootnoteText"/>
        <w:spacing w:after="120"/>
      </w:pPr>
      <w:r w:rsidRPr="00BB0F46">
        <w:rPr>
          <w:rStyle w:val="FootnoteReference"/>
        </w:rPr>
        <w:footnoteRef/>
      </w:r>
      <w:r w:rsidRPr="00BB0F46">
        <w:t xml:space="preserve"> In its order approving an AFOR for CenturyLink, the Commission stated:</w:t>
      </w:r>
    </w:p>
    <w:p w:rsidR="00824FEE" w:rsidRPr="00BB0F46" w:rsidRDefault="00824FEE" w:rsidP="00D01612">
      <w:pPr>
        <w:pStyle w:val="FootnoteText"/>
        <w:spacing w:after="120"/>
        <w:ind w:left="720" w:right="720"/>
        <w:jc w:val="both"/>
      </w:pPr>
      <w:r w:rsidRPr="00BB0F46">
        <w:t>WAC 480-120-083 (Cessation of telecommunications services) sets forth the regulations a carrier must follow when ceasing to provide a specific telecommunications service, including local exchange service. To a large extent, the rule requires notice and a reasonable opportunity to customers to migrate to an alternative service or provider before the contemplated service may be terminated. The Stipulated AFOR specifies that these requirements will continue to apply to all services that are treated as competitively classified except that, in the event CenturyLink wishes to cease offering stand-alone residential or business service in any way, the Company will file a petition with the Commission for approval of the discontinuance.</w:t>
      </w:r>
      <w:bookmarkStart w:id="47" w:name="_GoBack"/>
      <w:bookmarkEnd w:id="47"/>
    </w:p>
    <w:p w:rsidR="00824FEE" w:rsidRPr="00BB0F46" w:rsidRDefault="00824FEE" w:rsidP="00D01612">
      <w:pPr>
        <w:pStyle w:val="FootnoteText"/>
        <w:spacing w:after="120"/>
        <w:ind w:right="720"/>
      </w:pPr>
      <w:r w:rsidRPr="00BB0F46">
        <w:rPr>
          <w:i/>
        </w:rPr>
        <w:t xml:space="preserve">In </w:t>
      </w:r>
      <w:r w:rsidR="00F673A8">
        <w:rPr>
          <w:i/>
        </w:rPr>
        <w:t>re:</w:t>
      </w:r>
      <w:r w:rsidR="0071048B">
        <w:rPr>
          <w:i/>
        </w:rPr>
        <w:t xml:space="preserve"> the</w:t>
      </w:r>
      <w:r w:rsidRPr="00BB0F46">
        <w:rPr>
          <w:i/>
        </w:rPr>
        <w:t xml:space="preserve"> Petition of The CenturyLink Companies – Qwest Corporation; CenturyTel of Washington; CenturyTel of InterIsland; CenturyTel of Cowiche; and United Telephone Company of the Northwest To Be Regulated Under an Alternative Form of Regulation Pursuant to RCW 80.36.135</w:t>
      </w:r>
      <w:r w:rsidRPr="00BB0F46">
        <w:t>, Docket UT-130477, Order 4</w:t>
      </w:r>
      <w:r w:rsidR="00625993" w:rsidRPr="00BB0F46">
        <w:t xml:space="preserve">: Final Order </w:t>
      </w:r>
      <w:r w:rsidR="00AB593B">
        <w:t>Approving Settlement Agreements</w:t>
      </w:r>
      <w:r w:rsidR="00625993" w:rsidRPr="00BB0F46">
        <w:t xml:space="preserve"> and Establishing an Alternative Form of Regulation ¶ 27 (Jan. 9, 2014)</w:t>
      </w:r>
      <w:r w:rsidRPr="00BB0F46">
        <w:t xml:space="preserve">.  </w:t>
      </w:r>
      <w:r w:rsidRPr="00BB0F46">
        <w:rPr>
          <w:i/>
        </w:rPr>
        <w:t>See also</w:t>
      </w:r>
      <w:r w:rsidRPr="00BB0F46">
        <w:t xml:space="preserve">, </w:t>
      </w:r>
      <w:r w:rsidRPr="00BB0F46">
        <w:rPr>
          <w:i/>
        </w:rPr>
        <w:t>id.</w:t>
      </w:r>
      <w:r w:rsidR="000C5898">
        <w:t xml:space="preserve">, Appendix A </w:t>
      </w:r>
      <w:r w:rsidR="0012755C">
        <w:t>(</w:t>
      </w:r>
      <w:r w:rsidRPr="00BB0F46">
        <w:t>Staff/Public Counsel Settlemen</w:t>
      </w:r>
      <w:r w:rsidR="000C5898">
        <w:t>t</w:t>
      </w:r>
      <w:r w:rsidR="0012755C">
        <w:t>)</w:t>
      </w:r>
      <w:r w:rsidR="000C5898">
        <w:t xml:space="preserve">; </w:t>
      </w:r>
      <w:r w:rsidR="00916425">
        <w:rPr>
          <w:i/>
        </w:rPr>
        <w:t>i</w:t>
      </w:r>
      <w:r w:rsidR="000C5898">
        <w:rPr>
          <w:i/>
        </w:rPr>
        <w:t>d.</w:t>
      </w:r>
      <w:r w:rsidR="000C5898">
        <w:t xml:space="preserve">, Attachment A </w:t>
      </w:r>
      <w:r w:rsidR="0012755C">
        <w:t>(</w:t>
      </w:r>
      <w:r w:rsidR="00916425">
        <w:t>Amended Stipulated Plan for Alternative Form of Regulation</w:t>
      </w:r>
      <w:r w:rsidR="0012755C">
        <w:t>) to Appendix A (</w:t>
      </w:r>
      <w:r w:rsidR="0012755C" w:rsidRPr="00BB0F46">
        <w:t>Staff/Public Counsel Settlemen</w:t>
      </w:r>
      <w:r w:rsidR="0012755C">
        <w:t>t)</w:t>
      </w:r>
      <w:r w:rsidRPr="00BB0F46">
        <w:t xml:space="preserve"> at 4</w:t>
      </w:r>
      <w:r w:rsidR="000C5898">
        <w:t>, Provision No. 11</w:t>
      </w:r>
      <w:r w:rsidRPr="00BB0F46">
        <w:t xml:space="preserve">.  </w:t>
      </w:r>
    </w:p>
  </w:footnote>
  <w:footnote w:id="10">
    <w:p w:rsidR="00824FEE" w:rsidRPr="00BB0F46" w:rsidRDefault="00824FEE" w:rsidP="00D01612">
      <w:pPr>
        <w:pStyle w:val="FootnoteText"/>
        <w:spacing w:after="120"/>
      </w:pPr>
      <w:r w:rsidRPr="00BB0F46">
        <w:rPr>
          <w:rStyle w:val="FootnoteReference"/>
        </w:rPr>
        <w:footnoteRef/>
      </w:r>
      <w:r w:rsidRPr="00BB0F46">
        <w:t xml:space="preserve"> In the past, new entrants were often referred to as compet</w:t>
      </w:r>
      <w:r w:rsidR="00916425">
        <w:t>itive local exchange carriers (CLECs</w:t>
      </w:r>
      <w:r w:rsidRPr="00BB0F46">
        <w:t xml:space="preserve">).  As local markets evolved, the carriers other than ILECs serving residential customers have narrowed to include typically only the cable company with the franchise to serve any particular local market as the landline alternative to the ILEC, and wireless carriers.  </w:t>
      </w:r>
    </w:p>
  </w:footnote>
  <w:footnote w:id="11">
    <w:p w:rsidR="00824FEE" w:rsidRPr="00BB0F46" w:rsidRDefault="00824FEE" w:rsidP="00D01612">
      <w:pPr>
        <w:pStyle w:val="FootnoteText"/>
        <w:spacing w:after="120"/>
      </w:pPr>
      <w:r w:rsidRPr="00BB0F46">
        <w:rPr>
          <w:rStyle w:val="FootnoteReference"/>
        </w:rPr>
        <w:footnoteRef/>
      </w:r>
      <w:r w:rsidRPr="00BB0F46">
        <w:t xml:space="preserve">  </w:t>
      </w:r>
      <w:r w:rsidR="00944D86" w:rsidRPr="00BB0F46">
        <w:t>Sherry Lichtenberg, Ph.D.</w:t>
      </w:r>
      <w:r w:rsidR="00944D86">
        <w:t xml:space="preserve">, </w:t>
      </w:r>
      <w:r w:rsidRPr="00944D86">
        <w:rPr>
          <w:i/>
        </w:rPr>
        <w:t>Carrier of Last Resort:</w:t>
      </w:r>
      <w:r w:rsidR="00944D86" w:rsidRPr="00944D86">
        <w:rPr>
          <w:i/>
        </w:rPr>
        <w:t xml:space="preserve"> Anachronism or Necessity?</w:t>
      </w:r>
      <w:r w:rsidR="00944D86">
        <w:t>,</w:t>
      </w:r>
      <w:r w:rsidRPr="00BB0F46">
        <w:t xml:space="preserve"> National Regulatory Research Institute</w:t>
      </w:r>
      <w:r w:rsidR="00944D86">
        <w:t>, Report No. 16–06</w:t>
      </w:r>
      <w:r w:rsidR="00F673A8">
        <w:t xml:space="preserve"> at 61 </w:t>
      </w:r>
      <w:r w:rsidR="00944D86">
        <w:t>(</w:t>
      </w:r>
      <w:r w:rsidR="00F01376">
        <w:t>July 2016</w:t>
      </w:r>
      <w:r w:rsidR="00DC6957">
        <w:t xml:space="preserve">) </w:t>
      </w:r>
      <w:r w:rsidR="00F673A8">
        <w:t>(</w:t>
      </w:r>
      <w:r w:rsidR="00732D51" w:rsidRPr="0071048B">
        <w:t>provided as Exhibit SMB-</w:t>
      </w:r>
      <w:r w:rsidR="00E74162">
        <w:t>3</w:t>
      </w:r>
      <w:r w:rsidR="00F673A8">
        <w:t>)</w:t>
      </w:r>
      <w:r w:rsidRPr="00BB0F46">
        <w:t>.</w:t>
      </w:r>
    </w:p>
  </w:footnote>
  <w:footnote w:id="12">
    <w:p w:rsidR="00625993" w:rsidRPr="00BB0F46" w:rsidRDefault="00824FEE" w:rsidP="00646C41">
      <w:pPr>
        <w:pStyle w:val="FootnoteText"/>
      </w:pPr>
      <w:r w:rsidRPr="00BB0F46">
        <w:rPr>
          <w:rStyle w:val="FootnoteReference"/>
        </w:rPr>
        <w:footnoteRef/>
      </w:r>
      <w:r w:rsidRPr="00BB0F46">
        <w:t xml:space="preserve"> </w:t>
      </w:r>
      <w:r w:rsidR="00F673A8">
        <w:t xml:space="preserve">Baldwin, </w:t>
      </w:r>
      <w:r w:rsidR="00E74162">
        <w:t>Exh. SMB-3</w:t>
      </w:r>
      <w:r w:rsidR="00DC6957">
        <w:t xml:space="preserve"> at 25</w:t>
      </w:r>
      <w:r w:rsidRPr="00BB0F46">
        <w:t>.</w:t>
      </w:r>
    </w:p>
  </w:footnote>
  <w:footnote w:id="13">
    <w:p w:rsidR="005B017C" w:rsidRDefault="005B017C" w:rsidP="00646C41">
      <w:pPr>
        <w:pStyle w:val="FootnoteText"/>
      </w:pPr>
      <w:r>
        <w:rPr>
          <w:rStyle w:val="FootnoteReference"/>
        </w:rPr>
        <w:footnoteRef/>
      </w:r>
      <w:r>
        <w:t xml:space="preserve"> </w:t>
      </w:r>
      <w:r w:rsidRPr="007914AB">
        <w:rPr>
          <w:i/>
        </w:rPr>
        <w:t xml:space="preserve">In </w:t>
      </w:r>
      <w:r w:rsidR="00F673A8">
        <w:rPr>
          <w:i/>
        </w:rPr>
        <w:t>re:</w:t>
      </w:r>
      <w:r w:rsidRPr="007914AB">
        <w:rPr>
          <w:i/>
        </w:rPr>
        <w:t xml:space="preserve"> Amending WAC 480-120-071 and WAC 480-120-103 Relating to Extension of Service and Application for Service</w:t>
      </w:r>
      <w:r w:rsidRPr="00BB0F46">
        <w:t>,</w:t>
      </w:r>
      <w:r>
        <w:t xml:space="preserve"> Docket UT-073014, General Order R-551:</w:t>
      </w:r>
      <w:r w:rsidRPr="00BB0F46">
        <w:t xml:space="preserve"> Order Amending</w:t>
      </w:r>
      <w:r>
        <w:t xml:space="preserve"> and Adopting Rules Permanently ¶ 28</w:t>
      </w:r>
      <w:r w:rsidRPr="00BB0F46">
        <w:t xml:space="preserve"> </w:t>
      </w:r>
      <w:r>
        <w:t>(</w:t>
      </w:r>
      <w:r w:rsidR="00F673A8">
        <w:t>Sept.</w:t>
      </w:r>
      <w:r w:rsidRPr="00BB0F46">
        <w:t xml:space="preserve"> 3, 2008</w:t>
      </w:r>
      <w:r>
        <w:t>)</w:t>
      </w:r>
      <w:r w:rsidRPr="00BB0F46">
        <w:t>.</w:t>
      </w:r>
    </w:p>
    <w:p w:rsidR="00083277" w:rsidRDefault="00083277" w:rsidP="00646C41">
      <w:pPr>
        <w:pStyle w:val="FootnoteText"/>
      </w:pPr>
    </w:p>
  </w:footnote>
  <w:footnote w:id="14">
    <w:p w:rsidR="00824FEE" w:rsidRPr="00BB0F46" w:rsidRDefault="00824FEE" w:rsidP="008F6FBB">
      <w:pPr>
        <w:pStyle w:val="FootnoteText"/>
        <w:spacing w:after="120"/>
      </w:pPr>
      <w:r w:rsidRPr="00BB0F46">
        <w:rPr>
          <w:rStyle w:val="FootnoteReference"/>
        </w:rPr>
        <w:footnoteRef/>
      </w:r>
      <w:r w:rsidRPr="00BB0F46">
        <w:t xml:space="preserve"> WAC 480-120-071(4)(a).  Customers must pay for the cost of the portion of the service that exceeds 1,000 feet.  WAC 480-120-071(4)(b).</w:t>
      </w:r>
    </w:p>
  </w:footnote>
  <w:footnote w:id="15">
    <w:p w:rsidR="00824FEE" w:rsidRPr="00BB0F46" w:rsidRDefault="00824FEE" w:rsidP="008F6FBB">
      <w:pPr>
        <w:pStyle w:val="FootnoteText"/>
        <w:spacing w:after="120"/>
      </w:pPr>
      <w:r w:rsidRPr="00BB0F46">
        <w:rPr>
          <w:rStyle w:val="FootnoteReference"/>
        </w:rPr>
        <w:footnoteRef/>
      </w:r>
      <w:r w:rsidRPr="00BB0F46">
        <w:t xml:space="preserve"> </w:t>
      </w:r>
      <w:r w:rsidR="003D2BBD" w:rsidRPr="00BB0F46">
        <w:t>Paul, Exh. SP-1T at 4:1-3</w:t>
      </w:r>
      <w:r w:rsidR="00A33E44">
        <w:t xml:space="preserve">;  </w:t>
      </w:r>
      <w:r w:rsidR="00A7697E">
        <w:rPr>
          <w:i/>
        </w:rPr>
        <w:t>I</w:t>
      </w:r>
      <w:r w:rsidR="00A33E44">
        <w:rPr>
          <w:i/>
        </w:rPr>
        <w:t>d.</w:t>
      </w:r>
      <w:r w:rsidR="00A33E44">
        <w:t xml:space="preserve"> at</w:t>
      </w:r>
      <w:r w:rsidR="003D2BBD" w:rsidRPr="00BB0F46">
        <w:t xml:space="preserve"> 4:13-16</w:t>
      </w:r>
      <w:r w:rsidR="00B435CB">
        <w:t xml:space="preserve"> n.2</w:t>
      </w:r>
      <w:r w:rsidR="003D2BBD" w:rsidRPr="00BB0F46">
        <w:t xml:space="preserve"> </w:t>
      </w:r>
      <w:r w:rsidR="003D2BBD">
        <w:t>(</w:t>
      </w:r>
      <w:r w:rsidR="003D2BBD" w:rsidRPr="00BB0F46">
        <w:t xml:space="preserve">citing </w:t>
      </w:r>
      <w:r w:rsidR="003D2BBD" w:rsidRPr="00886096">
        <w:rPr>
          <w:i/>
        </w:rPr>
        <w:t>Qwest Corp</w:t>
      </w:r>
      <w:r w:rsidR="003D2BBD">
        <w:rPr>
          <w:i/>
        </w:rPr>
        <w:t>. 2017 ETC Certification F</w:t>
      </w:r>
      <w:r w:rsidR="003D2BBD" w:rsidRPr="00886096">
        <w:rPr>
          <w:i/>
        </w:rPr>
        <w:t>iling</w:t>
      </w:r>
      <w:r w:rsidR="003D2BBD">
        <w:rPr>
          <w:i/>
        </w:rPr>
        <w:t xml:space="preserve"> and Request for Certification</w:t>
      </w:r>
      <w:r w:rsidR="003D2BBD">
        <w:t>, Docket UT-170765</w:t>
      </w:r>
      <w:r w:rsidR="003D2BBD" w:rsidRPr="00BB0F46">
        <w:t>,</w:t>
      </w:r>
      <w:r w:rsidR="003D2BBD">
        <w:t xml:space="preserve"> Exhibit A</w:t>
      </w:r>
      <w:r w:rsidR="00B435CB">
        <w:t xml:space="preserve"> (Jul. 13, 2017))</w:t>
      </w:r>
      <w:r w:rsidR="003D2BBD" w:rsidRPr="00BB0F46">
        <w:t xml:space="preserve"> </w:t>
      </w:r>
      <w:r w:rsidR="003D2BBD">
        <w:t>(</w:t>
      </w:r>
      <w:r w:rsidR="003D2BBD" w:rsidRPr="00BB0F46">
        <w:t>“</w:t>
      </w:r>
      <w:r w:rsidR="00B435CB">
        <w:t xml:space="preserve">[Qwest Corporation’s 2017 ETC certification filing] </w:t>
      </w:r>
      <w:r w:rsidR="003D2BBD" w:rsidRPr="00BB0F46">
        <w:t>includes the Company’s certification regarding its use of federal high-cost support.”</w:t>
      </w:r>
      <w:r w:rsidR="003D2BBD">
        <w:t>)</w:t>
      </w:r>
      <w:r w:rsidR="00B435CB">
        <w:t xml:space="preserve">; </w:t>
      </w:r>
      <w:r w:rsidR="003D2BBD" w:rsidRPr="00BB0F46">
        <w:t xml:space="preserve"> </w:t>
      </w:r>
      <w:r w:rsidR="00A7697E">
        <w:rPr>
          <w:i/>
        </w:rPr>
        <w:t>I</w:t>
      </w:r>
      <w:r w:rsidR="00A33E44">
        <w:rPr>
          <w:i/>
        </w:rPr>
        <w:t>d</w:t>
      </w:r>
      <w:r w:rsidR="00A33E44" w:rsidRPr="00A33E44">
        <w:t>.</w:t>
      </w:r>
      <w:r w:rsidR="00A33E44">
        <w:t xml:space="preserve"> </w:t>
      </w:r>
      <w:r w:rsidR="003D2BBD" w:rsidRPr="00A33E44">
        <w:t>at</w:t>
      </w:r>
      <w:r w:rsidR="003D2BBD" w:rsidRPr="00BB0F46">
        <w:t xml:space="preserve"> 4</w:t>
      </w:r>
      <w:r w:rsidR="00A33E44">
        <w:t>:13-16</w:t>
      </w:r>
      <w:r w:rsidR="00B435CB">
        <w:t xml:space="preserve"> (“</w:t>
      </w:r>
      <w:r w:rsidR="00B435CB" w:rsidRPr="00BB0F46">
        <w:t>The Company was designated as an ETC for its Vancouver, Washington exchange in Docket UT-970354 on December 23, 1997.</w:t>
      </w:r>
      <w:r w:rsidR="00B435CB">
        <w:t>”)</w:t>
      </w:r>
      <w:r w:rsidR="00A33E44">
        <w:t>;</w:t>
      </w:r>
      <w:r w:rsidR="00B435CB">
        <w:t xml:space="preserve"> </w:t>
      </w:r>
      <w:r w:rsidR="00A7697E">
        <w:rPr>
          <w:i/>
        </w:rPr>
        <w:t>I</w:t>
      </w:r>
      <w:r w:rsidR="00B435CB" w:rsidRPr="00B435CB">
        <w:rPr>
          <w:i/>
        </w:rPr>
        <w:t>d</w:t>
      </w:r>
      <w:r w:rsidR="00B435CB">
        <w:t>.</w:t>
      </w:r>
      <w:r w:rsidR="00B435CB" w:rsidRPr="00BB0F46">
        <w:t xml:space="preserve"> at </w:t>
      </w:r>
      <w:r w:rsidR="00A33E44">
        <w:t>6</w:t>
      </w:r>
      <w:r w:rsidR="000A1C46">
        <w:t>:8-10</w:t>
      </w:r>
      <w:r w:rsidR="003D2BBD" w:rsidRPr="00BB0F46">
        <w:t xml:space="preserve"> </w:t>
      </w:r>
      <w:r w:rsidR="00A33E44">
        <w:t>(t</w:t>
      </w:r>
      <w:r w:rsidR="003D2BBD" w:rsidRPr="00BB0F46">
        <w:t>he customer lives outside of Vancouver in the Company’s service territory.</w:t>
      </w:r>
      <w:r w:rsidR="00B435CB">
        <w:t>).</w:t>
      </w:r>
      <w:r w:rsidR="003D2BBD" w:rsidRPr="00BB0F46">
        <w:t xml:space="preserve">  </w:t>
      </w:r>
    </w:p>
  </w:footnote>
  <w:footnote w:id="16">
    <w:p w:rsidR="00824FEE" w:rsidRPr="00BB0F46" w:rsidRDefault="00824FEE" w:rsidP="008F6FBB">
      <w:pPr>
        <w:pStyle w:val="FootnoteText"/>
        <w:spacing w:after="120"/>
      </w:pPr>
      <w:r w:rsidRPr="00BB0F46">
        <w:rPr>
          <w:rStyle w:val="FootnoteReference"/>
        </w:rPr>
        <w:footnoteRef/>
      </w:r>
      <w:r w:rsidRPr="00BB0F46">
        <w:t xml:space="preserve"> </w:t>
      </w:r>
      <w:r w:rsidR="000A1C46">
        <w:t xml:space="preserve">Paul, </w:t>
      </w:r>
      <w:r w:rsidRPr="00BB0F46">
        <w:t>Exh. SP-1T at 12</w:t>
      </w:r>
      <w:r w:rsidR="00BA4169" w:rsidRPr="00BB0F46">
        <w:t>:4-12</w:t>
      </w:r>
      <w:r w:rsidRPr="00BB0F46">
        <w:t xml:space="preserve"> </w:t>
      </w:r>
      <w:r w:rsidR="000A1C46">
        <w:t>(</w:t>
      </w:r>
      <w:r w:rsidRPr="00BB0F46">
        <w:t xml:space="preserve">citing </w:t>
      </w:r>
      <w:r w:rsidR="000A1C46" w:rsidRPr="00BB0F46">
        <w:rPr>
          <w:i/>
        </w:rPr>
        <w:t xml:space="preserve">In </w:t>
      </w:r>
      <w:r w:rsidR="00F673A8">
        <w:rPr>
          <w:i/>
        </w:rPr>
        <w:t>re:</w:t>
      </w:r>
      <w:r w:rsidR="00AB593B">
        <w:rPr>
          <w:i/>
        </w:rPr>
        <w:t xml:space="preserve"> the</w:t>
      </w:r>
      <w:r w:rsidR="000A1C46" w:rsidRPr="00BB0F46">
        <w:rPr>
          <w:i/>
        </w:rPr>
        <w:t xml:space="preserve"> Petition of The CenturyLink Companies – Qwest Corporation; CenturyTel of Washington; CenturyTel of InterIsland; CenturyTel of Cowiche; and United Telephone Company of the Northwest To Be Regulated Under an Alternative Form of Regulation Pursuant to RCW 80.36.135</w:t>
      </w:r>
      <w:r w:rsidR="000A1C46" w:rsidRPr="00BB0F46">
        <w:t>, Docket UT-130477, Order 4</w:t>
      </w:r>
      <w:r w:rsidR="00F673A8">
        <w:t>, Appendix A (</w:t>
      </w:r>
      <w:r w:rsidR="00F673A8" w:rsidRPr="00BB0F46">
        <w:t xml:space="preserve">Statute, Rule, </w:t>
      </w:r>
      <w:r w:rsidR="00F673A8">
        <w:t>or Other Provision to be Waived) to Attachment A (</w:t>
      </w:r>
      <w:r w:rsidR="00F673A8" w:rsidRPr="00BB0F46">
        <w:t>Stipulated Plan for Alter</w:t>
      </w:r>
      <w:r w:rsidR="00F673A8">
        <w:t>native Form of Regulation) to Appendix A (Staff/Public Counsel Settlement)</w:t>
      </w:r>
      <w:r w:rsidR="00F673A8" w:rsidRPr="00BB0F46">
        <w:t xml:space="preserve"> </w:t>
      </w:r>
      <w:r w:rsidR="000A1C46" w:rsidRPr="00BB0F46">
        <w:t>(Jan. 9, 2014)</w:t>
      </w:r>
      <w:r w:rsidR="007914AB">
        <w:t>)</w:t>
      </w:r>
      <w:r w:rsidRPr="00BB0F46">
        <w:t>.</w:t>
      </w:r>
      <w:r w:rsidR="00AB593B">
        <w:t xml:space="preserve"> </w:t>
      </w:r>
    </w:p>
  </w:footnote>
  <w:footnote w:id="17">
    <w:p w:rsidR="00824FEE" w:rsidRPr="00BB0F46" w:rsidRDefault="00824FEE" w:rsidP="008F6FBB">
      <w:pPr>
        <w:pStyle w:val="FootnoteText"/>
        <w:spacing w:after="120"/>
      </w:pPr>
      <w:r w:rsidRPr="00BB0F46">
        <w:rPr>
          <w:rStyle w:val="FootnoteReference"/>
        </w:rPr>
        <w:footnoteRef/>
      </w:r>
      <w:r w:rsidRPr="00BB0F46">
        <w:t xml:space="preserve"> CenturyLink </w:t>
      </w:r>
      <w:r w:rsidR="00052A8E">
        <w:t>Answer</w:t>
      </w:r>
      <w:r w:rsidRPr="00BB0F46">
        <w:t xml:space="preserve"> at 2</w:t>
      </w:r>
      <w:r w:rsidR="00052A8E">
        <w:t>:2</w:t>
      </w:r>
      <w:r w:rsidRPr="00BB0F46">
        <w:t>.</w:t>
      </w:r>
    </w:p>
  </w:footnote>
  <w:footnote w:id="18">
    <w:p w:rsidR="00824FEE" w:rsidRPr="00BB0F46" w:rsidRDefault="00824FEE" w:rsidP="00646C41">
      <w:pPr>
        <w:pStyle w:val="FootnoteText"/>
      </w:pPr>
      <w:r w:rsidRPr="00BB0F46">
        <w:rPr>
          <w:rStyle w:val="FootnoteReference"/>
        </w:rPr>
        <w:footnoteRef/>
      </w:r>
      <w:r w:rsidR="007914AB">
        <w:t xml:space="preserve"> </w:t>
      </w:r>
      <w:r w:rsidRPr="007914AB">
        <w:rPr>
          <w:i/>
        </w:rPr>
        <w:t xml:space="preserve">In </w:t>
      </w:r>
      <w:r w:rsidR="00F673A8">
        <w:rPr>
          <w:i/>
        </w:rPr>
        <w:t>re:</w:t>
      </w:r>
      <w:r w:rsidRPr="007914AB">
        <w:rPr>
          <w:i/>
        </w:rPr>
        <w:t xml:space="preserve"> Amending WAC 480-120-071 and WAC 480-120-103 Relating to Extension of Service and Application for Service</w:t>
      </w:r>
      <w:r w:rsidRPr="00BB0F46">
        <w:t>,</w:t>
      </w:r>
      <w:r w:rsidR="007914AB">
        <w:t xml:space="preserve"> Docket UT-073014,</w:t>
      </w:r>
      <w:r w:rsidR="00BD6123">
        <w:t xml:space="preserve"> General Order R-551:</w:t>
      </w:r>
      <w:r w:rsidRPr="00BB0F46">
        <w:t xml:space="preserve"> Order Amending</w:t>
      </w:r>
      <w:r w:rsidR="007914AB">
        <w:t xml:space="preserve"> and Adopting Rules Permanently</w:t>
      </w:r>
      <w:r w:rsidRPr="00BB0F46">
        <w:t xml:space="preserve"> </w:t>
      </w:r>
      <w:r w:rsidR="007914AB">
        <w:t>(</w:t>
      </w:r>
      <w:r w:rsidRPr="00BB0F46">
        <w:t>Sep</w:t>
      </w:r>
      <w:r w:rsidR="00F673A8">
        <w:t>t</w:t>
      </w:r>
      <w:r w:rsidR="007914AB">
        <w:t>.</w:t>
      </w:r>
      <w:r w:rsidRPr="00BB0F46">
        <w:t xml:space="preserve"> 3, 2008</w:t>
      </w:r>
      <w:r w:rsidR="007914AB">
        <w:t>)</w:t>
      </w:r>
      <w:r w:rsidRPr="00BB0F46">
        <w:t xml:space="preserve"> (Amending Order R-474, Docket No. UT-991737, filed 12/5/00, effective 1/15/01). </w:t>
      </w:r>
      <w:r w:rsidR="004B1BBB" w:rsidRPr="007914AB">
        <w:rPr>
          <w:i/>
        </w:rPr>
        <w:t>See</w:t>
      </w:r>
      <w:r w:rsidR="004B1BBB" w:rsidRPr="00BB0F46">
        <w:t xml:space="preserve"> </w:t>
      </w:r>
      <w:r w:rsidR="007914AB" w:rsidRPr="007914AB">
        <w:rPr>
          <w:i/>
        </w:rPr>
        <w:t>id</w:t>
      </w:r>
      <w:r w:rsidR="007914AB">
        <w:t xml:space="preserve">. </w:t>
      </w:r>
      <w:r w:rsidR="004B1BBB" w:rsidRPr="00BB0F46">
        <w:t xml:space="preserve">Line Extension Rule Text – Final at 6. </w:t>
      </w:r>
      <w:r w:rsidR="0013257C" w:rsidRPr="00BB0F46">
        <w:t xml:space="preserve"> </w:t>
      </w:r>
    </w:p>
  </w:footnote>
  <w:footnote w:id="19">
    <w:p w:rsidR="00824FEE" w:rsidRPr="00BB0F46" w:rsidRDefault="00824FEE" w:rsidP="00646C41">
      <w:pPr>
        <w:pStyle w:val="FootnoteText"/>
      </w:pPr>
      <w:r w:rsidRPr="00BB0F46">
        <w:rPr>
          <w:rStyle w:val="FootnoteReference"/>
        </w:rPr>
        <w:footnoteRef/>
      </w:r>
      <w:r w:rsidRPr="00BB0F46">
        <w:t xml:space="preserve"> WAC 480-120-071(2).</w:t>
      </w:r>
    </w:p>
  </w:footnote>
  <w:footnote w:id="20">
    <w:p w:rsidR="00824FEE" w:rsidRPr="00BB0F46" w:rsidRDefault="00824FEE" w:rsidP="00646C41">
      <w:pPr>
        <w:pStyle w:val="FootnoteText"/>
      </w:pPr>
      <w:r w:rsidRPr="00BB0F46">
        <w:rPr>
          <w:rStyle w:val="FootnoteReference"/>
        </w:rPr>
        <w:footnoteRef/>
      </w:r>
      <w:r w:rsidRPr="00BB0F46">
        <w:t xml:space="preserve"> </w:t>
      </w:r>
      <w:r w:rsidR="00BD6123" w:rsidRPr="007914AB">
        <w:rPr>
          <w:i/>
        </w:rPr>
        <w:t xml:space="preserve">In </w:t>
      </w:r>
      <w:r w:rsidR="00F673A8">
        <w:rPr>
          <w:i/>
        </w:rPr>
        <w:t>re:</w:t>
      </w:r>
      <w:r w:rsidR="00BD6123" w:rsidRPr="007914AB">
        <w:rPr>
          <w:i/>
        </w:rPr>
        <w:t xml:space="preserve"> Amending WAC 480-120-071 and WAC 480-120-103 Relating to Extension of Service and Application for Service</w:t>
      </w:r>
      <w:r w:rsidR="00BD6123" w:rsidRPr="00BB0F46">
        <w:t>,</w:t>
      </w:r>
      <w:r w:rsidR="00BD6123">
        <w:t xml:space="preserve"> Docket UT-073014, General Order R-551</w:t>
      </w:r>
      <w:r w:rsidR="00646C41">
        <w:t xml:space="preserve">, </w:t>
      </w:r>
      <w:r w:rsidR="00646C41" w:rsidRPr="00BB0F46">
        <w:t>Line Extension Rule Text – Final at 6</w:t>
      </w:r>
      <w:r w:rsidR="00BD6123" w:rsidRPr="00BB0F46">
        <w:t xml:space="preserve"> </w:t>
      </w:r>
      <w:r w:rsidR="00BD6123">
        <w:t>(</w:t>
      </w:r>
      <w:r w:rsidR="00F673A8">
        <w:t>Sept.</w:t>
      </w:r>
      <w:r w:rsidR="00BD6123" w:rsidRPr="00BB0F46">
        <w:t xml:space="preserve"> 3, 2008</w:t>
      </w:r>
      <w:r w:rsidR="00646C41">
        <w:t>)</w:t>
      </w:r>
      <w:r w:rsidR="00BD6123">
        <w:t>.</w:t>
      </w:r>
    </w:p>
  </w:footnote>
  <w:footnote w:id="21">
    <w:p w:rsidR="00824FEE" w:rsidRPr="00BB0F46" w:rsidRDefault="00824FEE" w:rsidP="00646C41">
      <w:pPr>
        <w:pStyle w:val="FootnoteText"/>
      </w:pPr>
      <w:r w:rsidRPr="00BB0F46">
        <w:rPr>
          <w:rStyle w:val="FootnoteReference"/>
        </w:rPr>
        <w:footnoteRef/>
      </w:r>
      <w:r w:rsidRPr="00BB0F46">
        <w:t xml:space="preserve"> </w:t>
      </w:r>
      <w:r w:rsidR="004B1BBB" w:rsidRPr="00BB0F46">
        <w:t xml:space="preserve"> </w:t>
      </w:r>
      <w:r w:rsidR="00BD6123">
        <w:rPr>
          <w:i/>
        </w:rPr>
        <w:t>Id.</w:t>
      </w:r>
      <w:r w:rsidR="00BD6123">
        <w:t xml:space="preserve"> at 1,</w:t>
      </w:r>
      <w:r w:rsidR="004B1BBB" w:rsidRPr="00BB0F46">
        <w:t xml:space="preserve"> 6.</w:t>
      </w:r>
    </w:p>
  </w:footnote>
  <w:footnote w:id="22">
    <w:p w:rsidR="00646C41" w:rsidRPr="00BB0F46" w:rsidRDefault="00824FEE" w:rsidP="00646C41">
      <w:pPr>
        <w:pStyle w:val="FootnoteText"/>
      </w:pPr>
      <w:r w:rsidRPr="00BB0F46">
        <w:rPr>
          <w:rStyle w:val="FootnoteReference"/>
        </w:rPr>
        <w:footnoteRef/>
      </w:r>
      <w:r w:rsidR="00BD6123">
        <w:t xml:space="preserve"> RCW 58.19.020(5) (emphasis added</w:t>
      </w:r>
      <w:r w:rsidRPr="00BB0F46">
        <w:t>)</w:t>
      </w:r>
      <w:r w:rsidR="00BD6123">
        <w:t>.</w:t>
      </w:r>
    </w:p>
  </w:footnote>
  <w:footnote w:id="23">
    <w:p w:rsidR="00824FEE" w:rsidRPr="00BB0F46" w:rsidRDefault="00824FEE" w:rsidP="00646C41">
      <w:pPr>
        <w:pStyle w:val="FootnoteText"/>
      </w:pPr>
      <w:r w:rsidRPr="00BB0F46">
        <w:rPr>
          <w:rStyle w:val="FootnoteReference"/>
        </w:rPr>
        <w:footnoteRef/>
      </w:r>
      <w:r w:rsidRPr="00BB0F46">
        <w:t xml:space="preserve"> </w:t>
      </w:r>
      <w:r w:rsidR="0077603A">
        <w:t xml:space="preserve">Paul, </w:t>
      </w:r>
      <w:r w:rsidRPr="00BB0F46">
        <w:t>Exh. SP-</w:t>
      </w:r>
      <w:r w:rsidR="0077603A">
        <w:t>3 at 8</w:t>
      </w:r>
      <w:r w:rsidRPr="00BB0F46">
        <w:t xml:space="preserve"> </w:t>
      </w:r>
      <w:r w:rsidR="0077603A">
        <w:t>(</w:t>
      </w:r>
      <w:r w:rsidRPr="00BB0F46">
        <w:t>citing Appendix B to Staff Investigation Report</w:t>
      </w:r>
      <w:r w:rsidR="0077603A">
        <w:t>)</w:t>
      </w:r>
      <w:r w:rsidR="008F6FBB">
        <w:t xml:space="preserve"> </w:t>
      </w:r>
      <w:r w:rsidR="00083277">
        <w:t>(emphasis in original)</w:t>
      </w:r>
      <w:r w:rsidRPr="00BB0F46">
        <w:t>.</w:t>
      </w:r>
    </w:p>
  </w:footnote>
  <w:footnote w:id="24">
    <w:p w:rsidR="00824FEE" w:rsidRPr="00BB0F46" w:rsidRDefault="00824FEE" w:rsidP="00646C41">
      <w:pPr>
        <w:pStyle w:val="FootnoteText"/>
      </w:pPr>
      <w:r w:rsidRPr="00BB0F46">
        <w:rPr>
          <w:rStyle w:val="FootnoteReference"/>
        </w:rPr>
        <w:footnoteRef/>
      </w:r>
      <w:r w:rsidRPr="00BB0F46">
        <w:t xml:space="preserve"> WAC 480-120-071(2).</w:t>
      </w:r>
    </w:p>
  </w:footnote>
  <w:footnote w:id="25">
    <w:p w:rsidR="00D361F6" w:rsidRPr="00BB0F46" w:rsidRDefault="00D361F6" w:rsidP="00646C41">
      <w:pPr>
        <w:pStyle w:val="FootnoteText"/>
      </w:pPr>
      <w:r w:rsidRPr="00BB0F46">
        <w:rPr>
          <w:rStyle w:val="FootnoteReference"/>
        </w:rPr>
        <w:footnoteRef/>
      </w:r>
      <w:r w:rsidRPr="00BB0F46">
        <w:t xml:space="preserve"> </w:t>
      </w:r>
      <w:r w:rsidR="00752FC8">
        <w:t>Pau</w:t>
      </w:r>
      <w:r w:rsidR="00BE1369">
        <w:t>l</w:t>
      </w:r>
      <w:r w:rsidR="00752FC8">
        <w:t xml:space="preserve">, </w:t>
      </w:r>
      <w:r w:rsidRPr="00BB0F46">
        <w:t>Exh. SP-5.</w:t>
      </w:r>
    </w:p>
  </w:footnote>
  <w:footnote w:id="26">
    <w:p w:rsidR="00824FEE" w:rsidRPr="00BB0F46" w:rsidRDefault="00824FEE" w:rsidP="00646C41">
      <w:pPr>
        <w:pStyle w:val="FootnoteText"/>
      </w:pPr>
      <w:r w:rsidRPr="00BB0F46">
        <w:rPr>
          <w:rStyle w:val="FootnoteReference"/>
        </w:rPr>
        <w:footnoteRef/>
      </w:r>
      <w:r w:rsidRPr="00BB0F46">
        <w:t xml:space="preserve"> WAC 480-120-071(3).</w:t>
      </w:r>
    </w:p>
  </w:footnote>
  <w:footnote w:id="27">
    <w:p w:rsidR="00824FEE" w:rsidRPr="00BB0F46" w:rsidRDefault="00824FEE" w:rsidP="00646C41">
      <w:pPr>
        <w:pStyle w:val="FootnoteText"/>
      </w:pPr>
      <w:r w:rsidRPr="00BB0F46">
        <w:rPr>
          <w:rStyle w:val="FootnoteReference"/>
        </w:rPr>
        <w:footnoteRef/>
      </w:r>
      <w:r w:rsidRPr="00BB0F46">
        <w:t xml:space="preserve"> </w:t>
      </w:r>
      <w:r w:rsidR="00752FC8">
        <w:t xml:space="preserve">Paul, </w:t>
      </w:r>
      <w:r w:rsidR="00D42B53">
        <w:t>Exh. SP-7.</w:t>
      </w:r>
      <w:r w:rsidRPr="00BB0F46">
        <w:t xml:space="preserve"> </w:t>
      </w:r>
      <w:r w:rsidR="00D42B53">
        <w:t xml:space="preserve"> </w:t>
      </w:r>
      <w:r w:rsidRPr="00BB0F46">
        <w:t xml:space="preserve">PAHDs presumably facilitate installing facilities development-wide during the construction phase.  </w:t>
      </w:r>
    </w:p>
  </w:footnote>
  <w:footnote w:id="28">
    <w:p w:rsidR="00824FEE" w:rsidRPr="00BB0F46" w:rsidRDefault="00824FEE" w:rsidP="00646C41">
      <w:pPr>
        <w:pStyle w:val="FootnoteText"/>
      </w:pPr>
      <w:r w:rsidRPr="00BB0F46">
        <w:rPr>
          <w:rStyle w:val="FootnoteReference"/>
        </w:rPr>
        <w:footnoteRef/>
      </w:r>
      <w:r w:rsidRPr="00BB0F46">
        <w:t xml:space="preserve"> </w:t>
      </w:r>
      <w:r w:rsidR="00BC5AA9">
        <w:t>CenturyLink</w:t>
      </w:r>
      <w:r w:rsidR="00B4534D">
        <w:t>’s</w:t>
      </w:r>
      <w:r w:rsidR="00BC5AA9">
        <w:t xml:space="preserve"> R</w:t>
      </w:r>
      <w:r w:rsidR="00752ADC">
        <w:t xml:space="preserve">esponse to Public Counsel Data Request 6 provided as </w:t>
      </w:r>
      <w:r w:rsidR="00752ADC" w:rsidRPr="00D42B53">
        <w:t>Exhibit</w:t>
      </w:r>
      <w:r w:rsidR="00D42B53" w:rsidRPr="00D42B53">
        <w:t xml:space="preserve"> SMB-4</w:t>
      </w:r>
      <w:r w:rsidRPr="00BB0F46">
        <w:t>.</w:t>
      </w:r>
    </w:p>
  </w:footnote>
  <w:footnote w:id="29">
    <w:p w:rsidR="00824FEE" w:rsidRPr="00BB0F46" w:rsidRDefault="00824FEE" w:rsidP="00646C41">
      <w:pPr>
        <w:pStyle w:val="FootnoteText"/>
      </w:pPr>
      <w:r w:rsidRPr="00BB0F46">
        <w:rPr>
          <w:rStyle w:val="FootnoteReference"/>
        </w:rPr>
        <w:footnoteRef/>
      </w:r>
      <w:r w:rsidR="00752ADC">
        <w:t xml:space="preserve"> Paul, </w:t>
      </w:r>
      <w:r w:rsidRPr="00BB0F46">
        <w:t xml:space="preserve">Exh. SP-3 </w:t>
      </w:r>
      <w:r w:rsidR="00752ADC">
        <w:t>at 6</w:t>
      </w:r>
      <w:r w:rsidRPr="00BB0F46">
        <w:t xml:space="preserve"> </w:t>
      </w:r>
      <w:r w:rsidR="00752ADC">
        <w:t>(</w:t>
      </w:r>
      <w:r w:rsidRPr="00BB0F46">
        <w:t>quoting February 14,</w:t>
      </w:r>
      <w:r w:rsidR="00752ADC">
        <w:t xml:space="preserve"> 2017</w:t>
      </w:r>
      <w:r w:rsidR="008F6FBB">
        <w:t>,</w:t>
      </w:r>
      <w:r w:rsidR="00752ADC">
        <w:t xml:space="preserve"> CenturyLink communication).</w:t>
      </w:r>
    </w:p>
  </w:footnote>
  <w:footnote w:id="30">
    <w:p w:rsidR="00824FEE" w:rsidRPr="00BB0F46" w:rsidRDefault="00824FEE" w:rsidP="00646C41">
      <w:pPr>
        <w:pStyle w:val="FootnoteText"/>
      </w:pPr>
      <w:r w:rsidRPr="00BB0F46">
        <w:rPr>
          <w:rStyle w:val="FootnoteReference"/>
        </w:rPr>
        <w:footnoteRef/>
      </w:r>
      <w:r w:rsidRPr="00BB0F46">
        <w:t xml:space="preserve"> CenturyLink’s </w:t>
      </w:r>
      <w:r w:rsidR="00BC5AA9">
        <w:t>R</w:t>
      </w:r>
      <w:r w:rsidRPr="00BB0F46">
        <w:t>esponse to P</w:t>
      </w:r>
      <w:r w:rsidR="00386430">
        <w:t xml:space="preserve">ublic Counsel Data Request </w:t>
      </w:r>
      <w:r w:rsidRPr="00BB0F46">
        <w:t>2</w:t>
      </w:r>
      <w:r w:rsidR="00002BAF">
        <w:t>,</w:t>
      </w:r>
      <w:r w:rsidR="000934F7">
        <w:t xml:space="preserve"> and pages</w:t>
      </w:r>
      <w:r w:rsidR="00386430" w:rsidRPr="00BB0F46">
        <w:t xml:space="preserve"> 20-23</w:t>
      </w:r>
      <w:r w:rsidR="000934F7">
        <w:t xml:space="preserve"> </w:t>
      </w:r>
      <w:r w:rsidR="00002BAF">
        <w:t xml:space="preserve">of Attachment </w:t>
      </w:r>
      <w:r w:rsidR="00386430">
        <w:t xml:space="preserve">provided as </w:t>
      </w:r>
      <w:r w:rsidR="00386430" w:rsidRPr="00B4534D">
        <w:t>Exhibit SMB-5</w:t>
      </w:r>
      <w:r w:rsidR="00386430">
        <w:t>.</w:t>
      </w:r>
    </w:p>
  </w:footnote>
  <w:footnote w:id="31">
    <w:p w:rsidR="00824FEE" w:rsidRPr="00BB0F46" w:rsidRDefault="00824FEE" w:rsidP="00646C41">
      <w:pPr>
        <w:pStyle w:val="FootnoteText"/>
      </w:pPr>
      <w:r w:rsidRPr="00BB0F46">
        <w:rPr>
          <w:rStyle w:val="FootnoteReference"/>
        </w:rPr>
        <w:footnoteRef/>
      </w:r>
      <w:r w:rsidRPr="00BB0F46">
        <w:t xml:space="preserve"> </w:t>
      </w:r>
      <w:r w:rsidR="00386430">
        <w:t xml:space="preserve">Paul, </w:t>
      </w:r>
      <w:r w:rsidRPr="00BB0F46">
        <w:t>Exh. SP-2 at 14 (Communication from Jerolyn Ochs, Regulatory Analyst, Customer Advocacy, CenturyLink)</w:t>
      </w:r>
      <w:r w:rsidR="008F6FBB">
        <w:t xml:space="preserve"> </w:t>
      </w:r>
      <w:r w:rsidR="00A1163D">
        <w:t>(emphasis added)</w:t>
      </w:r>
      <w:r w:rsidRPr="00BB0F46">
        <w:t xml:space="preserve">. </w:t>
      </w:r>
      <w:r w:rsidRPr="00386430">
        <w:rPr>
          <w:i/>
        </w:rPr>
        <w:t>See also</w:t>
      </w:r>
      <w:r w:rsidRPr="00BB0F46">
        <w:t xml:space="preserve"> </w:t>
      </w:r>
      <w:r w:rsidR="00386430">
        <w:t>Paul, Exh. SP-13</w:t>
      </w:r>
      <w:r w:rsidRPr="00BB0F46">
        <w:t xml:space="preserve"> at 3.</w:t>
      </w:r>
    </w:p>
  </w:footnote>
  <w:footnote w:id="32">
    <w:p w:rsidR="00824FEE" w:rsidRPr="00BB0F46" w:rsidRDefault="00824FEE" w:rsidP="00646C41">
      <w:pPr>
        <w:rPr>
          <w:sz w:val="20"/>
          <w:szCs w:val="20"/>
        </w:rPr>
      </w:pPr>
      <w:r w:rsidRPr="00BB0F46">
        <w:rPr>
          <w:rStyle w:val="FootnoteReference"/>
          <w:sz w:val="20"/>
          <w:szCs w:val="20"/>
        </w:rPr>
        <w:footnoteRef/>
      </w:r>
      <w:r w:rsidRPr="00BB0F46">
        <w:rPr>
          <w:color w:val="000000"/>
          <w:sz w:val="20"/>
          <w:szCs w:val="20"/>
        </w:rPr>
        <w:t xml:space="preserve"> </w:t>
      </w:r>
      <w:r w:rsidR="00A1585B">
        <w:rPr>
          <w:color w:val="000000"/>
          <w:sz w:val="20"/>
          <w:szCs w:val="20"/>
        </w:rPr>
        <w:t xml:space="preserve">In discovery, </w:t>
      </w:r>
      <w:r w:rsidRPr="00BB0F46">
        <w:rPr>
          <w:color w:val="000000"/>
          <w:sz w:val="20"/>
          <w:szCs w:val="20"/>
        </w:rPr>
        <w:t>CenturyLink responded:</w:t>
      </w:r>
      <w:r w:rsidR="00BB0F46" w:rsidRPr="00BB0F46">
        <w:rPr>
          <w:color w:val="000000"/>
          <w:sz w:val="20"/>
          <w:szCs w:val="20"/>
        </w:rPr>
        <w:t xml:space="preserve"> “</w:t>
      </w:r>
      <w:r w:rsidRPr="00BB0F46">
        <w:rPr>
          <w:color w:val="000000"/>
          <w:sz w:val="20"/>
          <w:szCs w:val="20"/>
        </w:rPr>
        <w:t>It is CenturyLink’s current policy to enter into PAHD agreements with developer/builders for all housing developments.  To the best of our knowledge, CenturyLink has not served an individual in a no-build development under Section 4.2.2.</w:t>
      </w:r>
      <w:r w:rsidR="00BB0F46" w:rsidRPr="00BB0F46">
        <w:rPr>
          <w:color w:val="000000"/>
          <w:sz w:val="20"/>
          <w:szCs w:val="20"/>
        </w:rPr>
        <w:t xml:space="preserve">” </w:t>
      </w:r>
      <w:r w:rsidR="00BB0F46" w:rsidRPr="00BB0F46">
        <w:rPr>
          <w:sz w:val="20"/>
          <w:szCs w:val="20"/>
        </w:rPr>
        <w:t xml:space="preserve"> </w:t>
      </w:r>
      <w:r w:rsidR="000764FC" w:rsidRPr="00BB0F46">
        <w:rPr>
          <w:sz w:val="20"/>
          <w:szCs w:val="20"/>
        </w:rPr>
        <w:t>Centu</w:t>
      </w:r>
      <w:r w:rsidR="000764FC">
        <w:rPr>
          <w:sz w:val="20"/>
          <w:szCs w:val="20"/>
        </w:rPr>
        <w:t>ryLink</w:t>
      </w:r>
      <w:r w:rsidR="00B4534D">
        <w:rPr>
          <w:sz w:val="20"/>
          <w:szCs w:val="20"/>
        </w:rPr>
        <w:t>’s</w:t>
      </w:r>
      <w:r w:rsidR="000764FC">
        <w:rPr>
          <w:sz w:val="20"/>
          <w:szCs w:val="20"/>
        </w:rPr>
        <w:t xml:space="preserve"> R</w:t>
      </w:r>
      <w:r w:rsidR="000764FC" w:rsidRPr="00BB0F46">
        <w:rPr>
          <w:sz w:val="20"/>
          <w:szCs w:val="20"/>
        </w:rPr>
        <w:t>esponse to P</w:t>
      </w:r>
      <w:r w:rsidR="000764FC">
        <w:rPr>
          <w:sz w:val="20"/>
          <w:szCs w:val="20"/>
        </w:rPr>
        <w:t xml:space="preserve">ublic </w:t>
      </w:r>
      <w:r w:rsidR="000764FC" w:rsidRPr="00BB0F46">
        <w:rPr>
          <w:sz w:val="20"/>
          <w:szCs w:val="20"/>
        </w:rPr>
        <w:t>C</w:t>
      </w:r>
      <w:r w:rsidR="000764FC">
        <w:rPr>
          <w:sz w:val="20"/>
          <w:szCs w:val="20"/>
        </w:rPr>
        <w:t xml:space="preserve">ounsel Data Request </w:t>
      </w:r>
      <w:r w:rsidR="000764FC" w:rsidRPr="00BB0F46">
        <w:rPr>
          <w:sz w:val="20"/>
          <w:szCs w:val="20"/>
        </w:rPr>
        <w:t>12</w:t>
      </w:r>
      <w:r w:rsidR="000764FC">
        <w:rPr>
          <w:sz w:val="20"/>
          <w:szCs w:val="20"/>
        </w:rPr>
        <w:t xml:space="preserve"> provided as </w:t>
      </w:r>
      <w:r w:rsidR="000764FC" w:rsidRPr="00B4534D">
        <w:rPr>
          <w:sz w:val="20"/>
          <w:szCs w:val="20"/>
        </w:rPr>
        <w:t>Exhibit</w:t>
      </w:r>
      <w:r w:rsidRPr="00B4534D">
        <w:rPr>
          <w:sz w:val="20"/>
          <w:szCs w:val="20"/>
        </w:rPr>
        <w:t xml:space="preserve"> SMB-6</w:t>
      </w:r>
      <w:r w:rsidRPr="00BB0F46">
        <w:rPr>
          <w:sz w:val="20"/>
          <w:szCs w:val="20"/>
        </w:rPr>
        <w:t>.</w:t>
      </w:r>
    </w:p>
  </w:footnote>
  <w:footnote w:id="33">
    <w:p w:rsidR="00824FEE" w:rsidRPr="00BB0F46" w:rsidRDefault="00824FEE" w:rsidP="00646C41">
      <w:pPr>
        <w:pStyle w:val="FootnoteText"/>
      </w:pPr>
      <w:r w:rsidRPr="00BB0F46">
        <w:rPr>
          <w:rStyle w:val="FootnoteReference"/>
        </w:rPr>
        <w:footnoteRef/>
      </w:r>
      <w:r w:rsidR="000764FC">
        <w:t xml:space="preserve"> </w:t>
      </w:r>
      <w:r w:rsidR="00B57A80" w:rsidRPr="00B57A80">
        <w:rPr>
          <w:i/>
        </w:rPr>
        <w:t>See, e.g.,</w:t>
      </w:r>
      <w:r w:rsidRPr="00BB0F46">
        <w:t xml:space="preserve"> </w:t>
      </w:r>
      <w:r w:rsidR="000764FC">
        <w:t xml:space="preserve">Paul, </w:t>
      </w:r>
      <w:r w:rsidRPr="00BB0F46">
        <w:t>Exh. SP-21.</w:t>
      </w:r>
    </w:p>
  </w:footnote>
  <w:footnote w:id="34">
    <w:p w:rsidR="00A1585B" w:rsidRDefault="00A1585B" w:rsidP="00646C41">
      <w:pPr>
        <w:pStyle w:val="FootnoteText"/>
      </w:pPr>
      <w:r>
        <w:rPr>
          <w:rStyle w:val="FootnoteReference"/>
        </w:rPr>
        <w:footnoteRef/>
      </w:r>
      <w:r>
        <w:t xml:space="preserve"> </w:t>
      </w:r>
      <w:r>
        <w:rPr>
          <w:i/>
        </w:rPr>
        <w:t>See</w:t>
      </w:r>
      <w:r>
        <w:t xml:space="preserve"> WAC 480-120-011(2).</w:t>
      </w:r>
    </w:p>
    <w:p w:rsidR="00126F15" w:rsidRPr="00A1585B" w:rsidRDefault="00126F15" w:rsidP="00646C41">
      <w:pPr>
        <w:pStyle w:val="FootnoteText"/>
      </w:pPr>
    </w:p>
  </w:footnote>
  <w:footnote w:id="35">
    <w:p w:rsidR="00824FEE" w:rsidRPr="00BB0F46" w:rsidRDefault="00824FEE" w:rsidP="00646C41">
      <w:pPr>
        <w:pStyle w:val="FootnoteText"/>
      </w:pPr>
      <w:r w:rsidRPr="00BB0F46">
        <w:rPr>
          <w:rStyle w:val="FootnoteReference"/>
        </w:rPr>
        <w:footnoteRef/>
      </w:r>
      <w:r w:rsidRPr="00BB0F46">
        <w:t xml:space="preserve"> </w:t>
      </w:r>
      <w:r w:rsidR="000764FC">
        <w:t xml:space="preserve">Paul, </w:t>
      </w:r>
      <w:r w:rsidRPr="00BB0F46">
        <w:t xml:space="preserve">Exh. SP-2 at 14 (Communication from Jerolyn Ochs, Regulatory Analyst, Customer Advocacy, CenturyLink).  </w:t>
      </w:r>
      <w:r w:rsidRPr="000764FC">
        <w:rPr>
          <w:i/>
        </w:rPr>
        <w:t>See also</w:t>
      </w:r>
      <w:r w:rsidRPr="00BB0F46">
        <w:t xml:space="preserve"> </w:t>
      </w:r>
      <w:r w:rsidR="000764FC">
        <w:t>Paul, Exh. SP-13</w:t>
      </w:r>
      <w:r w:rsidRPr="00BB0F46">
        <w:t xml:space="preserve"> at 3.</w:t>
      </w:r>
    </w:p>
  </w:footnote>
  <w:footnote w:id="36">
    <w:p w:rsidR="00824FEE" w:rsidRPr="00BB0F46" w:rsidRDefault="00824FEE" w:rsidP="00646C41">
      <w:pPr>
        <w:shd w:val="clear" w:color="auto" w:fill="FFFFFF"/>
        <w:rPr>
          <w:color w:val="222222"/>
          <w:sz w:val="20"/>
          <w:szCs w:val="20"/>
        </w:rPr>
      </w:pPr>
      <w:r w:rsidRPr="00BB0F46">
        <w:rPr>
          <w:rStyle w:val="FootnoteReference"/>
          <w:sz w:val="20"/>
          <w:szCs w:val="20"/>
        </w:rPr>
        <w:footnoteRef/>
      </w:r>
      <w:r w:rsidRPr="00BB0F46">
        <w:rPr>
          <w:sz w:val="20"/>
          <w:szCs w:val="20"/>
        </w:rPr>
        <w:t xml:space="preserve"> </w:t>
      </w:r>
      <w:r w:rsidR="001C0A18">
        <w:rPr>
          <w:sz w:val="20"/>
          <w:szCs w:val="20"/>
        </w:rPr>
        <w:t>Paul, Exh. SP-8 at 9.</w:t>
      </w:r>
    </w:p>
  </w:footnote>
  <w:footnote w:id="37">
    <w:p w:rsidR="00FB5140" w:rsidRDefault="00FB5140" w:rsidP="00646C41">
      <w:pPr>
        <w:pStyle w:val="FootnoteText"/>
      </w:pPr>
      <w:r>
        <w:rPr>
          <w:rStyle w:val="FootnoteReference"/>
        </w:rPr>
        <w:footnoteRef/>
      </w:r>
      <w:r>
        <w:t xml:space="preserve"> Paul, Exh. SP-5.</w:t>
      </w:r>
    </w:p>
  </w:footnote>
  <w:footnote w:id="38">
    <w:p w:rsidR="00824FEE" w:rsidRDefault="00824FEE" w:rsidP="00646C41">
      <w:pPr>
        <w:pStyle w:val="FootnoteText"/>
      </w:pPr>
      <w:r w:rsidRPr="00BB0F46">
        <w:rPr>
          <w:rStyle w:val="FootnoteReference"/>
        </w:rPr>
        <w:footnoteRef/>
      </w:r>
      <w:r w:rsidRPr="00BB0F46">
        <w:t xml:space="preserve"> </w:t>
      </w:r>
      <w:r w:rsidR="00BC5AA9">
        <w:t xml:space="preserve">Paul, </w:t>
      </w:r>
      <w:r w:rsidRPr="00BB0F46">
        <w:t>Exh. SP-1</w:t>
      </w:r>
      <w:r w:rsidR="004B1BBB" w:rsidRPr="00BB0F46">
        <w:t>T</w:t>
      </w:r>
      <w:r w:rsidRPr="00BB0F46">
        <w:t xml:space="preserve"> at 8</w:t>
      </w:r>
      <w:r w:rsidR="004B1BBB" w:rsidRPr="00BB0F46">
        <w:t>:12-14</w:t>
      </w:r>
      <w:r w:rsidRPr="00BB0F46">
        <w:t>.</w:t>
      </w:r>
    </w:p>
    <w:p w:rsidR="00DE3A8C" w:rsidRPr="00BB0F46" w:rsidRDefault="00DE3A8C" w:rsidP="00646C41">
      <w:pPr>
        <w:pStyle w:val="FootnoteText"/>
      </w:pPr>
    </w:p>
  </w:footnote>
  <w:footnote w:id="39">
    <w:p w:rsidR="00824FEE" w:rsidRPr="00BB0F46" w:rsidRDefault="00824FEE" w:rsidP="00646C41">
      <w:pPr>
        <w:pStyle w:val="FootnoteText"/>
      </w:pPr>
      <w:r w:rsidRPr="00BB0F46">
        <w:rPr>
          <w:rStyle w:val="FootnoteReference"/>
        </w:rPr>
        <w:footnoteRef/>
      </w:r>
      <w:r w:rsidRPr="00BB0F46">
        <w:t xml:space="preserve"> </w:t>
      </w:r>
      <w:r w:rsidR="00B4534D">
        <w:t>CenturyLink’s C</w:t>
      </w:r>
      <w:r w:rsidR="00DE3A8C">
        <w:t>onfidential</w:t>
      </w:r>
      <w:r w:rsidR="00B4534D">
        <w:t xml:space="preserve"> Response to Public Counsel Data Request 13 provided as Exh</w:t>
      </w:r>
      <w:r w:rsidR="00D2030B">
        <w:t>.</w:t>
      </w:r>
      <w:r w:rsidR="00FB5140">
        <w:t xml:space="preserve"> SMB-</w:t>
      </w:r>
      <w:r w:rsidR="00B4534D">
        <w:t xml:space="preserve">7C. </w:t>
      </w:r>
      <w:r w:rsidR="00FB5140">
        <w:t xml:space="preserve"> CenturyLink explains </w:t>
      </w:r>
      <w:r w:rsidR="005B017C">
        <w:t>the issue with Mr. Saum’s address.</w:t>
      </w:r>
      <w:r w:rsidRPr="00BB0F46">
        <w:t xml:space="preserve">  Regardless, the distance is well under 1,000 feet.</w:t>
      </w:r>
    </w:p>
  </w:footnote>
  <w:footnote w:id="40">
    <w:p w:rsidR="00824FEE" w:rsidRPr="00BB0F46" w:rsidRDefault="00824FEE" w:rsidP="00646C41">
      <w:pPr>
        <w:shd w:val="clear" w:color="auto" w:fill="FFFFFF"/>
        <w:rPr>
          <w:color w:val="222222"/>
          <w:sz w:val="20"/>
          <w:szCs w:val="20"/>
        </w:rPr>
      </w:pPr>
      <w:r w:rsidRPr="00BB0F46">
        <w:rPr>
          <w:rStyle w:val="FootnoteReference"/>
          <w:sz w:val="20"/>
          <w:szCs w:val="20"/>
        </w:rPr>
        <w:footnoteRef/>
      </w:r>
      <w:r w:rsidRPr="00BB0F46">
        <w:rPr>
          <w:sz w:val="20"/>
          <w:szCs w:val="20"/>
        </w:rPr>
        <w:t xml:space="preserve"> </w:t>
      </w:r>
      <w:r w:rsidR="00BC5AA9">
        <w:rPr>
          <w:sz w:val="20"/>
          <w:szCs w:val="20"/>
        </w:rPr>
        <w:t>Paul, Exh</w:t>
      </w:r>
      <w:r w:rsidR="00DE3A8C">
        <w:rPr>
          <w:sz w:val="20"/>
          <w:szCs w:val="20"/>
        </w:rPr>
        <w:t xml:space="preserve">. </w:t>
      </w:r>
      <w:r w:rsidR="00BC5AA9">
        <w:rPr>
          <w:color w:val="222222"/>
          <w:sz w:val="20"/>
          <w:szCs w:val="20"/>
        </w:rPr>
        <w:t>SP-8</w:t>
      </w:r>
      <w:r w:rsidRPr="00BB0F46">
        <w:rPr>
          <w:color w:val="222222"/>
          <w:sz w:val="20"/>
          <w:szCs w:val="20"/>
        </w:rPr>
        <w:t xml:space="preserve"> at 10.</w:t>
      </w:r>
    </w:p>
  </w:footnote>
  <w:footnote w:id="41">
    <w:p w:rsidR="00824FEE" w:rsidRPr="00BB0F46" w:rsidRDefault="00824FEE" w:rsidP="00646C41">
      <w:pPr>
        <w:pStyle w:val="FootnoteText"/>
      </w:pPr>
      <w:r w:rsidRPr="00BB0F46">
        <w:rPr>
          <w:rStyle w:val="FootnoteReference"/>
        </w:rPr>
        <w:footnoteRef/>
      </w:r>
      <w:r w:rsidRPr="00BB0F46">
        <w:t xml:space="preserve"> </w:t>
      </w:r>
      <w:r w:rsidR="00BC5AA9">
        <w:t xml:space="preserve">Paul, </w:t>
      </w:r>
      <w:r w:rsidRPr="00BB0F46">
        <w:t>Exh. SP-1</w:t>
      </w:r>
      <w:r w:rsidR="004B1BBB" w:rsidRPr="00BB0F46">
        <w:t>T</w:t>
      </w:r>
      <w:r w:rsidRPr="00BB0F46">
        <w:t xml:space="preserve"> at 11</w:t>
      </w:r>
      <w:r w:rsidR="004B1BBB" w:rsidRPr="00BB0F46">
        <w:t>:4-7</w:t>
      </w:r>
      <w:r w:rsidRPr="00BB0F46">
        <w:t>.</w:t>
      </w:r>
    </w:p>
  </w:footnote>
  <w:footnote w:id="42">
    <w:p w:rsidR="00BA44FF" w:rsidRDefault="00824FEE" w:rsidP="00646C41">
      <w:pPr>
        <w:pStyle w:val="CommentText"/>
      </w:pPr>
      <w:r w:rsidRPr="00BB0F46">
        <w:rPr>
          <w:rStyle w:val="FootnoteReference"/>
        </w:rPr>
        <w:footnoteRef/>
      </w:r>
      <w:r w:rsidRPr="00BB0F46">
        <w:t xml:space="preserve"> </w:t>
      </w:r>
      <w:r w:rsidR="00BC5AA9" w:rsidRPr="007914AB">
        <w:rPr>
          <w:i/>
        </w:rPr>
        <w:t xml:space="preserve">In </w:t>
      </w:r>
      <w:r w:rsidR="00F673A8">
        <w:rPr>
          <w:i/>
        </w:rPr>
        <w:t>re:</w:t>
      </w:r>
      <w:r w:rsidR="00BC5AA9" w:rsidRPr="007914AB">
        <w:rPr>
          <w:i/>
        </w:rPr>
        <w:t xml:space="preserve"> Amending WAC 480-120-071 and WAC 480-120-103 Relating to Extension of Service and Application for Service</w:t>
      </w:r>
      <w:r w:rsidR="00BC5AA9" w:rsidRPr="00BB0F46">
        <w:t>,</w:t>
      </w:r>
      <w:r w:rsidR="00BC5AA9">
        <w:t xml:space="preserve"> Docket UT-073014, General Order R-551:</w:t>
      </w:r>
      <w:r w:rsidR="00BC5AA9" w:rsidRPr="00BB0F46">
        <w:t xml:space="preserve"> Order Amending</w:t>
      </w:r>
      <w:r w:rsidR="00BC5AA9">
        <w:t xml:space="preserve"> and Adopting Rules Permanently</w:t>
      </w:r>
      <w:r w:rsidR="0013467C">
        <w:t xml:space="preserve"> ¶ 28</w:t>
      </w:r>
      <w:r w:rsidR="00BC5AA9" w:rsidRPr="00BB0F46">
        <w:t xml:space="preserve"> </w:t>
      </w:r>
      <w:r w:rsidR="00BC5AA9">
        <w:t>(</w:t>
      </w:r>
      <w:r w:rsidR="00F673A8">
        <w:t>Sept.</w:t>
      </w:r>
      <w:r w:rsidR="00BC5AA9" w:rsidRPr="00BB0F46">
        <w:t xml:space="preserve"> 3, 2008</w:t>
      </w:r>
      <w:r w:rsidR="00BC5AA9">
        <w:t>)</w:t>
      </w:r>
      <w:r w:rsidR="00DE3A8C">
        <w:t xml:space="preserve"> (</w:t>
      </w:r>
      <w:r w:rsidR="00BA44FF">
        <w:t xml:space="preserve">The Industry Coalition proposed this language: “(3)(d) A company may seek a waiver of the requirement to extend service under this rule pursuant to WAC 480-120-015. In making its determination whether to grant such a waiver, the Commission may take into consideration the existence of an alternative service provider that is an Eligible Telecommunications Carrier </w:t>
      </w:r>
    </w:p>
    <w:p w:rsidR="00BA44FF" w:rsidRPr="00BB0F46" w:rsidRDefault="00BA44FF" w:rsidP="00646C41">
      <w:pPr>
        <w:pStyle w:val="CommentText"/>
      </w:pPr>
      <w:r>
        <w:t>(“ETC”) for the location where an extension of service is requested.”</w:t>
      </w:r>
      <w:r w:rsidR="00DE3A8C">
        <w:t>)</w:t>
      </w:r>
      <w:r w:rsidR="006655DE">
        <w:t>.</w:t>
      </w:r>
    </w:p>
  </w:footnote>
  <w:footnote w:id="43">
    <w:p w:rsidR="00824FEE" w:rsidRPr="00BB0F46" w:rsidRDefault="00824FEE" w:rsidP="00646C41">
      <w:pPr>
        <w:pStyle w:val="FootnoteText"/>
      </w:pPr>
      <w:r w:rsidRPr="00BB0F46">
        <w:rPr>
          <w:rStyle w:val="FootnoteReference"/>
        </w:rPr>
        <w:footnoteRef/>
      </w:r>
      <w:r w:rsidRPr="00BB0F46">
        <w:t xml:space="preserve"> </w:t>
      </w:r>
      <w:r w:rsidR="0013467C">
        <w:t xml:space="preserve">Paul, </w:t>
      </w:r>
      <w:r w:rsidRPr="00BB0F46">
        <w:t>Exh. SP-1T at 23</w:t>
      </w:r>
      <w:r w:rsidR="0013467C">
        <w:t>:19-</w:t>
      </w:r>
      <w:r w:rsidRPr="00BB0F46">
        <w:t>24</w:t>
      </w:r>
      <w:r w:rsidR="00E73D5E" w:rsidRPr="00BB0F46">
        <w:t>:4.</w:t>
      </w:r>
      <w:r w:rsidRPr="00BB0F46">
        <w:t xml:space="preserve"> </w:t>
      </w:r>
    </w:p>
  </w:footnote>
  <w:footnote w:id="44">
    <w:p w:rsidR="00BB0F46" w:rsidRPr="00BB0F46" w:rsidRDefault="00824FEE" w:rsidP="00646C41">
      <w:pPr>
        <w:pStyle w:val="FootnoteText"/>
        <w:rPr>
          <w:color w:val="222222"/>
        </w:rPr>
      </w:pPr>
      <w:r w:rsidRPr="00BB0F46">
        <w:rPr>
          <w:rStyle w:val="FootnoteReference"/>
        </w:rPr>
        <w:footnoteRef/>
      </w:r>
      <w:r w:rsidRPr="00BB0F46">
        <w:t xml:space="preserve"> </w:t>
      </w:r>
      <w:r w:rsidR="0013467C">
        <w:t xml:space="preserve">Paul, </w:t>
      </w:r>
      <w:r w:rsidRPr="00BB0F46">
        <w:rPr>
          <w:color w:val="222222"/>
        </w:rPr>
        <w:t xml:space="preserve">Exh. SP-14.  </w:t>
      </w:r>
      <w:r w:rsidRPr="0013467C">
        <w:rPr>
          <w:i/>
          <w:color w:val="222222"/>
        </w:rPr>
        <w:t>See also</w:t>
      </w:r>
      <w:r w:rsidRPr="00BB0F46">
        <w:rPr>
          <w:color w:val="222222"/>
        </w:rPr>
        <w:t xml:space="preserve"> Exh. SP-1T at 15</w:t>
      </w:r>
      <w:r w:rsidR="00853652" w:rsidRPr="00BB0F46">
        <w:rPr>
          <w:color w:val="222222"/>
        </w:rPr>
        <w:t>:6-14</w:t>
      </w:r>
      <w:r w:rsidR="0013467C">
        <w:rPr>
          <w:color w:val="222222"/>
        </w:rPr>
        <w:t>,</w:t>
      </w:r>
      <w:r w:rsidRPr="00BB0F46">
        <w:rPr>
          <w:color w:val="222222"/>
        </w:rPr>
        <w:t xml:space="preserve"> 27</w:t>
      </w:r>
      <w:r w:rsidR="00853652" w:rsidRPr="00BB0F46">
        <w:rPr>
          <w:color w:val="222222"/>
        </w:rPr>
        <w:t>:8-13</w:t>
      </w:r>
      <w:r w:rsidRPr="00BB0F46">
        <w:rPr>
          <w:color w:val="222222"/>
        </w:rPr>
        <w:t>;</w:t>
      </w:r>
      <w:r w:rsidR="0013467C">
        <w:rPr>
          <w:color w:val="222222"/>
        </w:rPr>
        <w:t xml:space="preserve"> </w:t>
      </w:r>
      <w:r w:rsidRPr="00BB0F46">
        <w:rPr>
          <w:color w:val="222222"/>
        </w:rPr>
        <w:t>Exh. SP-15.</w:t>
      </w:r>
      <w:r w:rsidR="00BB0F46" w:rsidRPr="00BB0F46">
        <w:rPr>
          <w:color w:val="222222"/>
        </w:rPr>
        <w:t xml:space="preserve">  Staff witness Paul explains: </w:t>
      </w:r>
    </w:p>
    <w:p w:rsidR="00BB0F46" w:rsidRPr="00BB0F46" w:rsidRDefault="00824FEE" w:rsidP="00646C41">
      <w:pPr>
        <w:pStyle w:val="FootnoteText"/>
        <w:ind w:left="720" w:right="720"/>
        <w:jc w:val="both"/>
        <w:rPr>
          <w:color w:val="222222"/>
        </w:rPr>
      </w:pPr>
      <w:r w:rsidRPr="00BB0F46">
        <w:rPr>
          <w:color w:val="222222"/>
        </w:rPr>
        <w:t>One developer, Mr. Byron Brocker, owner of Brocker Company, stated that he contacted CenturyLink on July 6, 2017, to drop lines in the Applewood subdivision in Vancouver. Mr. Brocker stated that CenturyLink contacted Mr. Brocker and stated that the cost of coming in versus the opportunity for revenue is not worth it to CenturyLink financially and t</w:t>
      </w:r>
      <w:r w:rsidR="00BB0F46" w:rsidRPr="00BB0F46">
        <w:rPr>
          <w:color w:val="222222"/>
        </w:rPr>
        <w:t>hat the Company was opting out.</w:t>
      </w:r>
    </w:p>
    <w:p w:rsidR="00824FEE" w:rsidRPr="00BB0F46" w:rsidRDefault="00824FEE" w:rsidP="00646C41">
      <w:pPr>
        <w:pStyle w:val="FootnoteText"/>
      </w:pPr>
      <w:r w:rsidRPr="00BB0F46">
        <w:rPr>
          <w:color w:val="222222"/>
        </w:rPr>
        <w:t xml:space="preserve"> </w:t>
      </w:r>
      <w:r w:rsidR="00C96B37">
        <w:rPr>
          <w:color w:val="222222"/>
        </w:rPr>
        <w:t xml:space="preserve">Paul, </w:t>
      </w:r>
      <w:r w:rsidRPr="00BB0F46">
        <w:rPr>
          <w:color w:val="222222"/>
        </w:rPr>
        <w:t>Exh. SP-1T at 15</w:t>
      </w:r>
      <w:r w:rsidR="00853652" w:rsidRPr="00BB0F46">
        <w:rPr>
          <w:color w:val="222222"/>
        </w:rPr>
        <w:t>:10-14</w:t>
      </w:r>
      <w:r w:rsidRPr="00BB0F46">
        <w:rPr>
          <w:color w:val="222222"/>
        </w:rPr>
        <w:t>.</w:t>
      </w:r>
    </w:p>
  </w:footnote>
  <w:footnote w:id="45">
    <w:p w:rsidR="00824FEE" w:rsidRPr="00BB0F46" w:rsidRDefault="00824FEE" w:rsidP="00646C41">
      <w:pPr>
        <w:pStyle w:val="FootnoteText"/>
      </w:pPr>
      <w:r w:rsidRPr="00BB0F46">
        <w:rPr>
          <w:rStyle w:val="FootnoteReference"/>
        </w:rPr>
        <w:footnoteRef/>
      </w:r>
      <w:r w:rsidRPr="00BB0F46">
        <w:t xml:space="preserve"> </w:t>
      </w:r>
      <w:r w:rsidR="006B424D">
        <w:t>Paul, Exh. SP-14.</w:t>
      </w:r>
    </w:p>
  </w:footnote>
  <w:footnote w:id="46">
    <w:p w:rsidR="00824FEE" w:rsidRPr="00BB0F46" w:rsidRDefault="00824FEE" w:rsidP="00646C41">
      <w:pPr>
        <w:pStyle w:val="FootnoteText"/>
      </w:pPr>
      <w:r w:rsidRPr="00BB0F46">
        <w:rPr>
          <w:rStyle w:val="FootnoteReference"/>
        </w:rPr>
        <w:footnoteRef/>
      </w:r>
      <w:r w:rsidRPr="00BB0F46">
        <w:t xml:space="preserve"> </w:t>
      </w:r>
      <w:r w:rsidR="00B57A80" w:rsidRPr="00B57A80">
        <w:rPr>
          <w:i/>
        </w:rPr>
        <w:t>See, e.g.,</w:t>
      </w:r>
      <w:r w:rsidR="004E77A5">
        <w:t xml:space="preserve"> </w:t>
      </w:r>
      <w:r w:rsidR="00624447">
        <w:rPr>
          <w:color w:val="222222"/>
        </w:rPr>
        <w:t>Paul, Exh. SP-8 at 9-10</w:t>
      </w:r>
      <w:r w:rsidRPr="00BB0F46">
        <w:rPr>
          <w:color w:val="222222"/>
        </w:rPr>
        <w:t>.</w:t>
      </w:r>
    </w:p>
  </w:footnote>
  <w:footnote w:id="47">
    <w:p w:rsidR="00824FEE" w:rsidRPr="00BB0F46" w:rsidRDefault="00824FEE" w:rsidP="00646C41">
      <w:pPr>
        <w:pStyle w:val="FootnoteText"/>
      </w:pPr>
      <w:r w:rsidRPr="00BB0F46">
        <w:rPr>
          <w:rStyle w:val="FootnoteReference"/>
        </w:rPr>
        <w:footnoteRef/>
      </w:r>
      <w:r w:rsidRPr="00BB0F46">
        <w:t xml:space="preserve"> </w:t>
      </w:r>
      <w:r w:rsidRPr="004E77A5">
        <w:rPr>
          <w:i/>
        </w:rPr>
        <w:t>See</w:t>
      </w:r>
      <w:r w:rsidRPr="00BB0F46">
        <w:t xml:space="preserve"> </w:t>
      </w:r>
      <w:r w:rsidR="004E77A5">
        <w:t>Paul, Exh. SP-1T</w:t>
      </w:r>
      <w:r w:rsidRPr="00BB0F46">
        <w:t xml:space="preserve"> at </w:t>
      </w:r>
      <w:r w:rsidR="00624447">
        <w:rPr>
          <w:color w:val="222222"/>
        </w:rPr>
        <w:t>15:6-</w:t>
      </w:r>
      <w:r w:rsidR="00853652" w:rsidRPr="00BB0F46">
        <w:rPr>
          <w:color w:val="222222"/>
        </w:rPr>
        <w:t xml:space="preserve">16:5. </w:t>
      </w:r>
      <w:r w:rsidRPr="00BB0F46">
        <w:t xml:space="preserve"> </w:t>
      </w:r>
    </w:p>
  </w:footnote>
  <w:footnote w:id="48">
    <w:p w:rsidR="006B424D" w:rsidRDefault="00DD3C1A" w:rsidP="00646C41">
      <w:pPr>
        <w:pStyle w:val="FootnoteText"/>
      </w:pPr>
      <w:r>
        <w:rPr>
          <w:rStyle w:val="FootnoteReference"/>
        </w:rPr>
        <w:footnoteRef/>
      </w:r>
      <w:r>
        <w:t xml:space="preserve"> </w:t>
      </w:r>
      <w:r w:rsidR="00246598">
        <w:t>CenturyLink’s Response to Public Counsel Da</w:t>
      </w:r>
      <w:r w:rsidR="00573379">
        <w:t>ta Request No. 3</w:t>
      </w:r>
      <w:r w:rsidR="0055451A">
        <w:t>, Attachment PC-3</w:t>
      </w:r>
      <w:r w:rsidR="00246598">
        <w:t xml:space="preserve"> provided as Exhibit</w:t>
      </w:r>
      <w:r>
        <w:t xml:space="preserve"> </w:t>
      </w:r>
      <w:r w:rsidRPr="00573379">
        <w:t>SMB-8</w:t>
      </w:r>
      <w:r>
        <w:t xml:space="preserve"> identifies the units in each “no serve housing development.”  The sum of the units identified is 29,910.</w:t>
      </w:r>
    </w:p>
  </w:footnote>
  <w:footnote w:id="49">
    <w:p w:rsidR="00A3564B" w:rsidRDefault="00A3564B" w:rsidP="00646C41">
      <w:pPr>
        <w:pStyle w:val="FootnoteText"/>
      </w:pPr>
      <w:r>
        <w:rPr>
          <w:rStyle w:val="FootnoteReference"/>
        </w:rPr>
        <w:footnoteRef/>
      </w:r>
      <w:r>
        <w:t xml:space="preserve"> </w:t>
      </w:r>
      <w:r w:rsidR="006655DE">
        <w:t xml:space="preserve">Baldwin, </w:t>
      </w:r>
      <w:r>
        <w:t>Exh. SMB-8.</w:t>
      </w:r>
    </w:p>
    <w:p w:rsidR="006B424D" w:rsidRDefault="006B424D" w:rsidP="00646C41">
      <w:pPr>
        <w:pStyle w:val="FootnoteText"/>
      </w:pPr>
    </w:p>
  </w:footnote>
  <w:footnote w:id="50">
    <w:p w:rsidR="00824FEE" w:rsidRDefault="00824FEE" w:rsidP="00646C41">
      <w:pPr>
        <w:pStyle w:val="FootnoteText"/>
      </w:pPr>
      <w:r w:rsidRPr="00BB0F46">
        <w:rPr>
          <w:rStyle w:val="FootnoteReference"/>
        </w:rPr>
        <w:footnoteRef/>
      </w:r>
      <w:r w:rsidRPr="00BB0F46">
        <w:t xml:space="preserve"> </w:t>
      </w:r>
      <w:r w:rsidR="00246598">
        <w:t xml:space="preserve">Paul, </w:t>
      </w:r>
      <w:r w:rsidRPr="00BB0F46">
        <w:t>Exh. SP-10.</w:t>
      </w:r>
    </w:p>
    <w:p w:rsidR="006655DE" w:rsidRDefault="006655DE" w:rsidP="00646C41">
      <w:pPr>
        <w:pStyle w:val="FootnoteText"/>
      </w:pPr>
    </w:p>
    <w:p w:rsidR="006655DE" w:rsidRPr="00BB0F46" w:rsidRDefault="006655DE" w:rsidP="00646C41">
      <w:pPr>
        <w:pStyle w:val="FootnoteText"/>
      </w:pPr>
    </w:p>
  </w:footnote>
  <w:footnote w:id="51">
    <w:p w:rsidR="00824FEE" w:rsidRPr="00BB0F46" w:rsidRDefault="00824FEE" w:rsidP="00646C41">
      <w:pPr>
        <w:pStyle w:val="FootnoteText"/>
        <w:rPr>
          <w:i/>
        </w:rPr>
      </w:pPr>
      <w:r w:rsidRPr="00BB0F46">
        <w:rPr>
          <w:rStyle w:val="FootnoteReference"/>
        </w:rPr>
        <w:footnoteRef/>
      </w:r>
      <w:r w:rsidRPr="00BB0F46">
        <w:t xml:space="preserve"> </w:t>
      </w:r>
      <w:r w:rsidR="00227D6D">
        <w:t xml:space="preserve">Paul, </w:t>
      </w:r>
      <w:r w:rsidRPr="00BB0F46">
        <w:t>Exh. SP-1</w:t>
      </w:r>
      <w:r w:rsidR="00227D6D">
        <w:t xml:space="preserve">T </w:t>
      </w:r>
      <w:r w:rsidRPr="00BB0F46">
        <w:t xml:space="preserve">at </w:t>
      </w:r>
      <w:r w:rsidR="004C12C5" w:rsidRPr="00BB0F46">
        <w:t>2</w:t>
      </w:r>
      <w:r w:rsidRPr="00BB0F46">
        <w:t>4</w:t>
      </w:r>
      <w:r w:rsidR="004C12C5" w:rsidRPr="00BB0F46">
        <w:t>:1-4</w:t>
      </w:r>
      <w:r w:rsidRPr="00BB0F46">
        <w:t>; Exh. SP-10.</w:t>
      </w:r>
      <w:r w:rsidR="006655DE">
        <w:t xml:space="preserve"> </w:t>
      </w:r>
      <w:r w:rsidRPr="00BB0F46">
        <w:t xml:space="preserve"> </w:t>
      </w:r>
      <w:r w:rsidRPr="00227D6D">
        <w:rPr>
          <w:i/>
        </w:rPr>
        <w:t>See also</w:t>
      </w:r>
      <w:r w:rsidRPr="00BB0F46">
        <w:t xml:space="preserve"> Exh. SP-23, which reproduces an email dated October 12, 2017, and in which the Company indicates it had complaints only back to the beginning of January 2016.  Furthermore, even within this time frame of record-keeping, it is not clear that the Company’s complaint recordkeeping captures all complaints such as the one at issue in this proceeding because its record-keeping system may encompass only those associated with </w:t>
      </w:r>
      <w:r w:rsidRPr="00BB0F46">
        <w:rPr>
          <w:i/>
        </w:rPr>
        <w:t xml:space="preserve">existing </w:t>
      </w:r>
      <w:r w:rsidRPr="00BB0F46">
        <w:t xml:space="preserve">customers and not </w:t>
      </w:r>
      <w:r w:rsidRPr="00BB0F46">
        <w:rPr>
          <w:i/>
        </w:rPr>
        <w:t>potential customers.</w:t>
      </w:r>
    </w:p>
  </w:footnote>
  <w:footnote w:id="52">
    <w:p w:rsidR="00824FEE" w:rsidRPr="00BB0F46" w:rsidRDefault="00824FEE" w:rsidP="00646C41">
      <w:pPr>
        <w:pStyle w:val="FootnoteText"/>
      </w:pPr>
      <w:r w:rsidRPr="00BB0F46">
        <w:rPr>
          <w:rStyle w:val="FootnoteReference"/>
        </w:rPr>
        <w:footnoteRef/>
      </w:r>
      <w:r w:rsidRPr="00BB0F46">
        <w:t xml:space="preserve"> WAC 480-120-166.</w:t>
      </w:r>
    </w:p>
  </w:footnote>
  <w:footnote w:id="53">
    <w:p w:rsidR="00824FEE" w:rsidRPr="00BB0F46" w:rsidRDefault="00824FEE" w:rsidP="00646C41">
      <w:pPr>
        <w:pStyle w:val="FootnoteText"/>
      </w:pPr>
      <w:r w:rsidRPr="00BB0F46">
        <w:rPr>
          <w:rStyle w:val="FootnoteReference"/>
        </w:rPr>
        <w:footnoteRef/>
      </w:r>
      <w:r w:rsidRPr="00BB0F46">
        <w:t xml:space="preserve"> </w:t>
      </w:r>
      <w:r w:rsidR="00227D6D">
        <w:t xml:space="preserve">Paul, </w:t>
      </w:r>
      <w:r w:rsidRPr="00BB0F46">
        <w:t>Exh. SP-1</w:t>
      </w:r>
      <w:r w:rsidR="00227D6D">
        <w:t>T</w:t>
      </w:r>
      <w:r w:rsidRPr="00BB0F46">
        <w:t xml:space="preserve"> at 24</w:t>
      </w:r>
      <w:r w:rsidR="00227D6D">
        <w:t>:17-</w:t>
      </w:r>
      <w:r w:rsidRPr="00BB0F46">
        <w:t>25</w:t>
      </w:r>
      <w:r w:rsidR="005424DE" w:rsidRPr="00BB0F46">
        <w:t>:3</w:t>
      </w:r>
      <w:r w:rsidRPr="00BB0F46">
        <w:t>.</w:t>
      </w:r>
    </w:p>
  </w:footnote>
  <w:footnote w:id="54">
    <w:p w:rsidR="00824FEE" w:rsidRPr="00BB0F46" w:rsidRDefault="00824FEE" w:rsidP="00646C41">
      <w:pPr>
        <w:pStyle w:val="FootnoteText"/>
      </w:pPr>
      <w:r w:rsidRPr="00BB0F46">
        <w:rPr>
          <w:rStyle w:val="FootnoteReference"/>
        </w:rPr>
        <w:footnoteRef/>
      </w:r>
      <w:r w:rsidRPr="00BB0F46">
        <w:t xml:space="preserve"> </w:t>
      </w:r>
      <w:r w:rsidR="00227D6D">
        <w:t xml:space="preserve">Paul, </w:t>
      </w:r>
      <w:r w:rsidRPr="00BB0F46">
        <w:t>Exh. SP-1</w:t>
      </w:r>
      <w:r w:rsidR="00227D6D">
        <w:t>T</w:t>
      </w:r>
      <w:r w:rsidRPr="00BB0F46">
        <w:t xml:space="preserve"> at 25</w:t>
      </w:r>
      <w:r w:rsidR="005424DE" w:rsidRPr="00BB0F46">
        <w:t>:7-9</w:t>
      </w:r>
      <w:r w:rsidRPr="00BB0F46">
        <w:t xml:space="preserve">.  Staff computes the total penalty as follows: </w:t>
      </w:r>
    </w:p>
    <w:p w:rsidR="00824FEE" w:rsidRPr="00BB0F46" w:rsidRDefault="00824FEE" w:rsidP="00646C41">
      <w:pPr>
        <w:pStyle w:val="FootnoteText"/>
        <w:numPr>
          <w:ilvl w:val="0"/>
          <w:numId w:val="9"/>
        </w:numPr>
      </w:pPr>
      <w:r w:rsidRPr="00BB0F46">
        <w:t>Up to $1,000 per day for each of the 174 days the Company violated RCW 80.36.090 by refusing to provide service on demand.</w:t>
      </w:r>
    </w:p>
    <w:p w:rsidR="00824FEE" w:rsidRPr="00BB0F46" w:rsidRDefault="00824FEE" w:rsidP="00646C41">
      <w:pPr>
        <w:pStyle w:val="FootnoteText"/>
        <w:numPr>
          <w:ilvl w:val="0"/>
          <w:numId w:val="9"/>
        </w:numPr>
      </w:pPr>
      <w:r w:rsidRPr="00BB0F46">
        <w:t>Up to $1,000 for one violation of WAC 480-120-071(3) for failing to provide a customer an application for extension of service within seven days.</w:t>
      </w:r>
    </w:p>
    <w:p w:rsidR="00824FEE" w:rsidRPr="00BB0F46" w:rsidRDefault="00824FEE" w:rsidP="00646C41">
      <w:pPr>
        <w:pStyle w:val="FootnoteText"/>
        <w:numPr>
          <w:ilvl w:val="0"/>
          <w:numId w:val="9"/>
        </w:numPr>
      </w:pPr>
      <w:r w:rsidRPr="00BB0F46">
        <w:t>Up to $1,000 per day for each of the 174 days the Company violated WAC 480-120-071(4) by failing to allow an extension of service up to 1,000 feet at no charge to the customer.</w:t>
      </w:r>
    </w:p>
    <w:p w:rsidR="00824FEE" w:rsidRPr="00BB0F46" w:rsidRDefault="00824FEE" w:rsidP="00646C41">
      <w:pPr>
        <w:pStyle w:val="FootnoteText"/>
        <w:numPr>
          <w:ilvl w:val="0"/>
          <w:numId w:val="9"/>
        </w:numPr>
      </w:pPr>
      <w:r w:rsidRPr="00BB0F46">
        <w:t>Up to $1,000 for one violation of WAC 480-120-166, for failing to keep Commission-referred complaints for at least two years.</w:t>
      </w:r>
    </w:p>
    <w:p w:rsidR="00824FEE" w:rsidRPr="00BB0F46" w:rsidRDefault="00824FEE" w:rsidP="00646C41">
      <w:pPr>
        <w:pStyle w:val="FootnoteText"/>
        <w:numPr>
          <w:ilvl w:val="0"/>
          <w:numId w:val="9"/>
        </w:numPr>
      </w:pPr>
      <w:r w:rsidRPr="00BB0F46">
        <w:t>Up to $1,000 for one violation of WAC 480-120-349, for failing to keep all records and reports for three years.</w:t>
      </w:r>
    </w:p>
    <w:p w:rsidR="00824FEE" w:rsidRDefault="006C5BFC" w:rsidP="00646C41">
      <w:pPr>
        <w:pStyle w:val="FootnoteText"/>
      </w:pPr>
      <w:r>
        <w:t xml:space="preserve">Paul, </w:t>
      </w:r>
      <w:r w:rsidR="00BB0BA4">
        <w:t>Exh. SP-1T</w:t>
      </w:r>
      <w:r w:rsidR="005424DE" w:rsidRPr="00BB0F46">
        <w:t xml:space="preserve"> at </w:t>
      </w:r>
      <w:r w:rsidR="00F73595" w:rsidRPr="00BB0F46">
        <w:t>25:</w:t>
      </w:r>
      <w:r w:rsidR="00180D47" w:rsidRPr="00BB0F46">
        <w:t>10-20.</w:t>
      </w:r>
    </w:p>
    <w:p w:rsidR="006655DE" w:rsidRPr="00BB0F46" w:rsidRDefault="006655DE" w:rsidP="00646C41">
      <w:pPr>
        <w:pStyle w:val="FootnoteText"/>
      </w:pPr>
    </w:p>
  </w:footnote>
  <w:footnote w:id="55">
    <w:p w:rsidR="00824FEE" w:rsidRPr="00BB0F46" w:rsidRDefault="00824FEE" w:rsidP="00646C41">
      <w:pPr>
        <w:pStyle w:val="FootnoteText"/>
      </w:pPr>
      <w:r w:rsidRPr="00BB0F46">
        <w:rPr>
          <w:rStyle w:val="FootnoteReference"/>
        </w:rPr>
        <w:footnoteRef/>
      </w:r>
      <w:r w:rsidRPr="00BB0F46">
        <w:t xml:space="preserve"> RCW 80.04.380 states: </w:t>
      </w:r>
    </w:p>
    <w:p w:rsidR="00824FEE" w:rsidRPr="00BB0F46" w:rsidRDefault="00824FEE" w:rsidP="00646C41">
      <w:pPr>
        <w:pStyle w:val="FootnoteText"/>
        <w:ind w:left="720" w:right="720"/>
        <w:jc w:val="both"/>
      </w:pPr>
      <w:r w:rsidRPr="00BB0F46">
        <w:t xml:space="preserve">Every public service company, and all officers, agents and employees of any public service company, shall obey, observe and comply with every order, rule, direction or requirement made by the commission under authority of this title, so long as the same shall be and remain in force. Any public service company which shall violate or fail to comply with any provision of this title, or which fails, omits or neglects to obey, observe or comply with any order, rule, or any direction, demand or requirement of the commission, shall be subject to a penalty of not to exceed the sum of one thousand dollars for each and every offense. Every violation of any such order, direction or requirement of this title shall be a separate and distinct offense, and in case of a continuing violation every day's continuance thereof shall be and be deemed to be a separate and distinct offense. </w:t>
      </w:r>
    </w:p>
  </w:footnote>
  <w:footnote w:id="56">
    <w:p w:rsidR="00824FEE" w:rsidRPr="00BB0F46" w:rsidRDefault="00824FEE" w:rsidP="00646C41">
      <w:pPr>
        <w:pStyle w:val="FootnoteText"/>
      </w:pPr>
      <w:r w:rsidRPr="00BB0F46">
        <w:rPr>
          <w:rStyle w:val="FootnoteReference"/>
        </w:rPr>
        <w:footnoteRef/>
      </w:r>
      <w:r w:rsidRPr="00BB0F46">
        <w:t xml:space="preserve"> </w:t>
      </w:r>
      <w:r w:rsidRPr="006C5BFC">
        <w:rPr>
          <w:i/>
        </w:rPr>
        <w:t>See</w:t>
      </w:r>
      <w:r w:rsidRPr="00BB0F46">
        <w:t xml:space="preserve"> </w:t>
      </w:r>
      <w:r w:rsidR="006C5BFC">
        <w:rPr>
          <w:i/>
        </w:rPr>
        <w:t xml:space="preserve">In </w:t>
      </w:r>
      <w:r w:rsidR="00F673A8">
        <w:rPr>
          <w:i/>
        </w:rPr>
        <w:t>re:</w:t>
      </w:r>
      <w:r w:rsidR="006C5BFC">
        <w:rPr>
          <w:i/>
        </w:rPr>
        <w:t xml:space="preserve"> the Enforcement Policy of the </w:t>
      </w:r>
      <w:r w:rsidR="006655DE" w:rsidRPr="006655DE">
        <w:rPr>
          <w:i/>
        </w:rPr>
        <w:t>Wash. Utils. and Transp. Comm’n</w:t>
      </w:r>
      <w:r w:rsidR="006C5BFC">
        <w:t>,</w:t>
      </w:r>
      <w:r w:rsidR="006C5BFC">
        <w:rPr>
          <w:i/>
        </w:rPr>
        <w:t xml:space="preserve"> </w:t>
      </w:r>
      <w:r w:rsidRPr="00BB0F46">
        <w:t>Docket A-120061, Enforcement Policy for the Washington Utilitie</w:t>
      </w:r>
      <w:r w:rsidR="006C5BFC">
        <w:t>s and Transportation Commission</w:t>
      </w:r>
      <w:r w:rsidRPr="00BB0F46">
        <w:t xml:space="preserve"> </w:t>
      </w:r>
      <w:r w:rsidR="006C5BFC">
        <w:t>¶ 15 (</w:t>
      </w:r>
      <w:r w:rsidRPr="00BB0F46">
        <w:t>Jan</w:t>
      </w:r>
      <w:r w:rsidR="006C5BFC">
        <w:t>. </w:t>
      </w:r>
      <w:r w:rsidRPr="00BB0F46">
        <w:t>7, 2013</w:t>
      </w:r>
      <w:r w:rsidR="006C5BFC">
        <w:t>)</w:t>
      </w:r>
      <w:r w:rsidR="00044166">
        <w:t xml:space="preserve"> (the Policy</w:t>
      </w:r>
      <w:r w:rsidRPr="00BB0F46">
        <w:t xml:space="preserve"> lists and describes the eleven factors that the Commission considers in determining whether to take enforcement action</w:t>
      </w:r>
      <w:r w:rsidR="00044166">
        <w:t>)</w:t>
      </w:r>
      <w:r w:rsidRPr="00BB0F46">
        <w:t>.  Staff discusses the applicability of these factors at pages 23 through 26 of its Investigation Report</w:t>
      </w:r>
      <w:r w:rsidR="00BC27BB">
        <w:t>.  Paul,</w:t>
      </w:r>
      <w:r w:rsidRPr="00BB0F46">
        <w:t xml:space="preserve"> Exh. S</w:t>
      </w:r>
      <w:r w:rsidR="00044166">
        <w:t>P-3 at 23-26</w:t>
      </w:r>
      <w:r w:rsidR="00BC27BB">
        <w:t xml:space="preserve"> </w:t>
      </w:r>
      <w:r w:rsidR="00044166">
        <w:t>(</w:t>
      </w:r>
      <w:r w:rsidRPr="00BB0F46">
        <w:t>Staff enumerates ten factors</w:t>
      </w:r>
      <w:r w:rsidR="00BC27BB">
        <w:t>,</w:t>
      </w:r>
      <w:r w:rsidRPr="00BB0F46">
        <w:t xml:space="preserve"> but its sixth factor combines two of the eleven facto</w:t>
      </w:r>
      <w:r w:rsidR="00044166">
        <w:t>rs set forth by the Commission</w:t>
      </w:r>
      <w:r w:rsidR="000320F1">
        <w:t xml:space="preserve"> – </w:t>
      </w:r>
      <w:r w:rsidRPr="00BB0F46">
        <w:t>the</w:t>
      </w:r>
      <w:r w:rsidR="00044166">
        <w:t xml:space="preserve"> </w:t>
      </w:r>
      <w:r w:rsidRPr="00BB0F46">
        <w:t>number of violations and the</w:t>
      </w:r>
      <w:r w:rsidR="00BC27BB">
        <w:t xml:space="preserve"> number of customers affec</w:t>
      </w:r>
      <w:r w:rsidR="00044166">
        <w:t>ted)</w:t>
      </w:r>
      <w:r w:rsidR="00BC27BB">
        <w:t>.</w:t>
      </w:r>
    </w:p>
  </w:footnote>
  <w:footnote w:id="57">
    <w:p w:rsidR="00824FEE" w:rsidRDefault="00824FEE" w:rsidP="00646C41">
      <w:pPr>
        <w:pStyle w:val="FootnoteText"/>
      </w:pPr>
      <w:r w:rsidRPr="00BB0F46">
        <w:rPr>
          <w:rStyle w:val="FootnoteReference"/>
        </w:rPr>
        <w:footnoteRef/>
      </w:r>
      <w:r w:rsidRPr="00BB0F46">
        <w:t xml:space="preserve"> </w:t>
      </w:r>
      <w:r w:rsidR="00BC27BB">
        <w:rPr>
          <w:i/>
        </w:rPr>
        <w:t xml:space="preserve">In </w:t>
      </w:r>
      <w:r w:rsidR="00F673A8">
        <w:rPr>
          <w:i/>
        </w:rPr>
        <w:t>re:</w:t>
      </w:r>
      <w:r w:rsidR="00BC27BB">
        <w:rPr>
          <w:i/>
        </w:rPr>
        <w:t xml:space="preserve"> the Enforcement Policy of the </w:t>
      </w:r>
      <w:r w:rsidR="006655DE" w:rsidRPr="006655DE">
        <w:rPr>
          <w:i/>
        </w:rPr>
        <w:t>Wash. Utils. and Transp. Comm’n</w:t>
      </w:r>
      <w:r w:rsidR="00BC27BB">
        <w:t>,</w:t>
      </w:r>
      <w:r w:rsidR="00BC27BB">
        <w:rPr>
          <w:i/>
        </w:rPr>
        <w:t xml:space="preserve"> </w:t>
      </w:r>
      <w:r w:rsidR="00BC27BB" w:rsidRPr="00BB0F46">
        <w:t>Docket A-120061, Enforcement Policy for the Washington Utilitie</w:t>
      </w:r>
      <w:r w:rsidR="00BC27BB">
        <w:t>s and Transportation Commission ¶ 15 (</w:t>
      </w:r>
      <w:r w:rsidR="00BC27BB" w:rsidRPr="00BB0F46">
        <w:t>Jan</w:t>
      </w:r>
      <w:r w:rsidR="00BC27BB">
        <w:t>. </w:t>
      </w:r>
      <w:r w:rsidR="00BC27BB" w:rsidRPr="00BB0F46">
        <w:t>7, 2013</w:t>
      </w:r>
      <w:r w:rsidR="00BC27BB">
        <w:t>).</w:t>
      </w:r>
    </w:p>
    <w:p w:rsidR="000320F1" w:rsidRPr="00BB0F46" w:rsidRDefault="000320F1" w:rsidP="00646C41">
      <w:pPr>
        <w:pStyle w:val="FootnoteText"/>
      </w:pPr>
    </w:p>
  </w:footnote>
  <w:footnote w:id="58">
    <w:p w:rsidR="005A4745" w:rsidRDefault="005A4745" w:rsidP="00646C41">
      <w:pPr>
        <w:pStyle w:val="FootnoteText"/>
        <w:jc w:val="both"/>
      </w:pPr>
      <w:r>
        <w:rPr>
          <w:rStyle w:val="FootnoteReference"/>
        </w:rPr>
        <w:footnoteRef/>
      </w:r>
      <w:r>
        <w:t xml:space="preserve"> </w:t>
      </w:r>
      <w:r w:rsidR="00BC27BB" w:rsidRPr="007914AB">
        <w:rPr>
          <w:i/>
        </w:rPr>
        <w:t xml:space="preserve">In </w:t>
      </w:r>
      <w:r w:rsidR="00F673A8">
        <w:rPr>
          <w:i/>
        </w:rPr>
        <w:t>re:</w:t>
      </w:r>
      <w:r w:rsidR="00BC27BB" w:rsidRPr="007914AB">
        <w:rPr>
          <w:i/>
        </w:rPr>
        <w:t xml:space="preserve"> Amending WAC 480-120-071 and WAC 480-120-103 Relating to Extension of Service and Application for Service</w:t>
      </w:r>
      <w:r w:rsidR="00BC27BB" w:rsidRPr="00BB0F46">
        <w:t>,</w:t>
      </w:r>
      <w:r w:rsidR="00BC27BB">
        <w:t xml:space="preserve"> Docket UT-073014, General Order R-551:</w:t>
      </w:r>
      <w:r w:rsidR="00BC27BB" w:rsidRPr="00BB0F46">
        <w:t xml:space="preserve"> Order Amending</w:t>
      </w:r>
      <w:r w:rsidR="00BC27BB">
        <w:t xml:space="preserve"> and Adopting Rules Permanently ¶ 28</w:t>
      </w:r>
      <w:r w:rsidR="00BC27BB" w:rsidRPr="00BB0F46">
        <w:t xml:space="preserve"> </w:t>
      </w:r>
      <w:r w:rsidR="00BC27BB">
        <w:t>(</w:t>
      </w:r>
      <w:r w:rsidR="00F673A8">
        <w:t>Sept.</w:t>
      </w:r>
      <w:r w:rsidR="00BC27BB" w:rsidRPr="00BB0F46">
        <w:t xml:space="preserve"> 3, 2008</w:t>
      </w:r>
      <w:r w:rsidR="00BC27BB">
        <w:t>)</w:t>
      </w:r>
      <w:r w:rsidR="00BC27BB" w:rsidRPr="00BB0F46">
        <w:t>.</w:t>
      </w:r>
    </w:p>
  </w:footnote>
  <w:footnote w:id="59">
    <w:p w:rsidR="002E28CE" w:rsidRDefault="002F3F04" w:rsidP="00646C41">
      <w:pPr>
        <w:pStyle w:val="FootnoteText"/>
      </w:pPr>
      <w:r>
        <w:rPr>
          <w:rStyle w:val="FootnoteReference"/>
        </w:rPr>
        <w:footnoteRef/>
      </w:r>
      <w:r>
        <w:t xml:space="preserve"> </w:t>
      </w:r>
      <w:r w:rsidR="00737C49">
        <w:rPr>
          <w:i/>
        </w:rPr>
        <w:t xml:space="preserve">In </w:t>
      </w:r>
      <w:r w:rsidR="00F673A8">
        <w:rPr>
          <w:i/>
        </w:rPr>
        <w:t>re:</w:t>
      </w:r>
      <w:r w:rsidR="00737C49">
        <w:rPr>
          <w:i/>
        </w:rPr>
        <w:t xml:space="preserve"> the Enforcement Policy of the </w:t>
      </w:r>
      <w:r w:rsidR="006655DE" w:rsidRPr="006655DE">
        <w:rPr>
          <w:i/>
        </w:rPr>
        <w:t>Wash. Utils. and Transp. Comm’n</w:t>
      </w:r>
      <w:r w:rsidR="00737C49">
        <w:t>,</w:t>
      </w:r>
      <w:r w:rsidR="00737C49">
        <w:rPr>
          <w:i/>
        </w:rPr>
        <w:t xml:space="preserve"> </w:t>
      </w:r>
      <w:r w:rsidR="00737C49" w:rsidRPr="00BB0F46">
        <w:t>Docket A-120061, Enforcement Policy for the Washington Utilitie</w:t>
      </w:r>
      <w:r w:rsidR="00737C49">
        <w:t>s and Transportation Commission</w:t>
      </w:r>
      <w:r w:rsidR="00737C49" w:rsidRPr="00BB0F46">
        <w:t xml:space="preserve"> </w:t>
      </w:r>
      <w:r w:rsidR="00737C49">
        <w:t>(</w:t>
      </w:r>
      <w:r w:rsidR="00737C49" w:rsidRPr="00BB0F46">
        <w:t>Jan</w:t>
      </w:r>
      <w:r w:rsidR="00737C49">
        <w:t>. </w:t>
      </w:r>
      <w:r w:rsidR="00737C49" w:rsidRPr="00BB0F46">
        <w:t>7, 2013</w:t>
      </w:r>
      <w:r w:rsidR="00737C49">
        <w:t>).</w:t>
      </w:r>
    </w:p>
  </w:footnote>
  <w:footnote w:id="60">
    <w:p w:rsidR="002E28CE" w:rsidRDefault="002E28CE" w:rsidP="00646C41">
      <w:pPr>
        <w:pStyle w:val="FootnoteText"/>
      </w:pPr>
      <w:r>
        <w:rPr>
          <w:rStyle w:val="FootnoteReference"/>
        </w:rPr>
        <w:footnoteRef/>
      </w:r>
      <w:r>
        <w:t xml:space="preserve"> Paul, Exh. SP-8 at 7, </w:t>
      </w:r>
      <w:r w:rsidR="00E81EDB">
        <w:t>9.</w:t>
      </w:r>
    </w:p>
  </w:footnote>
  <w:footnote w:id="61">
    <w:p w:rsidR="00824FEE" w:rsidRPr="00BB0F46" w:rsidRDefault="00824FEE" w:rsidP="00646C41">
      <w:pPr>
        <w:shd w:val="clear" w:color="auto" w:fill="FFFFFF"/>
        <w:rPr>
          <w:color w:val="222222"/>
          <w:sz w:val="20"/>
          <w:szCs w:val="20"/>
        </w:rPr>
      </w:pPr>
      <w:r w:rsidRPr="00BB0F46">
        <w:rPr>
          <w:rStyle w:val="FootnoteReference"/>
          <w:sz w:val="20"/>
          <w:szCs w:val="20"/>
        </w:rPr>
        <w:footnoteRef/>
      </w:r>
      <w:r w:rsidRPr="00BB0F46">
        <w:rPr>
          <w:sz w:val="20"/>
          <w:szCs w:val="20"/>
        </w:rPr>
        <w:t xml:space="preserve"> </w:t>
      </w:r>
      <w:r w:rsidR="006408D2">
        <w:rPr>
          <w:sz w:val="20"/>
          <w:szCs w:val="20"/>
        </w:rPr>
        <w:t xml:space="preserve">Paul, </w:t>
      </w:r>
      <w:r w:rsidRPr="00BB0F46">
        <w:rPr>
          <w:sz w:val="20"/>
          <w:szCs w:val="20"/>
        </w:rPr>
        <w:t xml:space="preserve">Exh. </w:t>
      </w:r>
      <w:r w:rsidR="006408D2">
        <w:rPr>
          <w:sz w:val="20"/>
          <w:szCs w:val="20"/>
        </w:rPr>
        <w:t>SP-8 at 10</w:t>
      </w:r>
      <w:r w:rsidRPr="00BB0F46">
        <w:rPr>
          <w:color w:val="222222"/>
          <w:sz w:val="20"/>
          <w:szCs w:val="20"/>
        </w:rPr>
        <w:t xml:space="preserve">. </w:t>
      </w:r>
    </w:p>
  </w:footnote>
  <w:footnote w:id="62">
    <w:p w:rsidR="00737C49" w:rsidRPr="00BB0F46" w:rsidRDefault="00824FEE" w:rsidP="00646C41">
      <w:pPr>
        <w:shd w:val="clear" w:color="auto" w:fill="FFFFFF"/>
        <w:rPr>
          <w:color w:val="222222"/>
          <w:sz w:val="20"/>
          <w:szCs w:val="20"/>
        </w:rPr>
      </w:pPr>
      <w:r w:rsidRPr="00BB0F46">
        <w:rPr>
          <w:rStyle w:val="FootnoteReference"/>
          <w:sz w:val="20"/>
          <w:szCs w:val="20"/>
        </w:rPr>
        <w:footnoteRef/>
      </w:r>
      <w:r w:rsidRPr="00BB0F46">
        <w:rPr>
          <w:sz w:val="20"/>
          <w:szCs w:val="20"/>
        </w:rPr>
        <w:t xml:space="preserve"> </w:t>
      </w:r>
      <w:r w:rsidRPr="00737C49">
        <w:rPr>
          <w:i/>
          <w:color w:val="222222"/>
          <w:sz w:val="20"/>
          <w:szCs w:val="20"/>
        </w:rPr>
        <w:t>Id</w:t>
      </w:r>
      <w:r w:rsidRPr="00BB0F46">
        <w:rPr>
          <w:color w:val="222222"/>
          <w:sz w:val="20"/>
          <w:szCs w:val="20"/>
        </w:rPr>
        <w:t>.</w:t>
      </w:r>
    </w:p>
  </w:footnote>
  <w:footnote w:id="63">
    <w:p w:rsidR="00824FEE" w:rsidRDefault="00824FEE" w:rsidP="00646C41">
      <w:pPr>
        <w:pStyle w:val="FootnoteText"/>
      </w:pPr>
      <w:r w:rsidRPr="00BB0F46">
        <w:rPr>
          <w:rStyle w:val="FootnoteReference"/>
        </w:rPr>
        <w:footnoteRef/>
      </w:r>
      <w:r w:rsidRPr="00BB0F46">
        <w:t xml:space="preserve"> </w:t>
      </w:r>
      <w:r w:rsidR="00B16741" w:rsidRPr="00BB0F46">
        <w:t>CenturyLink</w:t>
      </w:r>
      <w:r w:rsidR="00B4534D">
        <w:t>’s</w:t>
      </w:r>
      <w:r w:rsidR="00B16741" w:rsidRPr="00BB0F46">
        <w:t xml:space="preserve"> </w:t>
      </w:r>
      <w:r w:rsidR="000320F1">
        <w:t>R</w:t>
      </w:r>
      <w:r w:rsidR="00B16741" w:rsidRPr="00BB0F46">
        <w:t>esponse to P</w:t>
      </w:r>
      <w:r w:rsidR="00B16741">
        <w:t xml:space="preserve">ublic </w:t>
      </w:r>
      <w:r w:rsidR="00B16741" w:rsidRPr="00BB0F46">
        <w:t>C</w:t>
      </w:r>
      <w:r w:rsidR="00B16741">
        <w:t xml:space="preserve">ounsel Data Request </w:t>
      </w:r>
      <w:r w:rsidR="00B16741" w:rsidRPr="00BB0F46">
        <w:t>11</w:t>
      </w:r>
      <w:r w:rsidR="00B16741">
        <w:t xml:space="preserve"> provided as </w:t>
      </w:r>
      <w:r w:rsidRPr="00BB0F46">
        <w:t>Exh</w:t>
      </w:r>
      <w:r w:rsidR="00B16741">
        <w:t xml:space="preserve">ibit </w:t>
      </w:r>
      <w:r w:rsidR="00B16741" w:rsidRPr="006408D2">
        <w:t>SMB-9</w:t>
      </w:r>
      <w:r w:rsidRPr="00BB0F46">
        <w:t>.</w:t>
      </w:r>
    </w:p>
    <w:p w:rsidR="000320F1" w:rsidRPr="00BB0F46" w:rsidRDefault="000320F1" w:rsidP="00646C41">
      <w:pPr>
        <w:pStyle w:val="FootnoteText"/>
      </w:pPr>
    </w:p>
  </w:footnote>
  <w:footnote w:id="64">
    <w:p w:rsidR="00737C49" w:rsidRPr="00737C49" w:rsidRDefault="00824FEE" w:rsidP="00646C41">
      <w:pPr>
        <w:pStyle w:val="FootnoteText"/>
        <w:rPr>
          <w:color w:val="222222"/>
        </w:rPr>
      </w:pPr>
      <w:r w:rsidRPr="00BB0F46">
        <w:rPr>
          <w:rStyle w:val="FootnoteReference"/>
        </w:rPr>
        <w:footnoteRef/>
      </w:r>
      <w:r w:rsidRPr="00BB0F46">
        <w:t xml:space="preserve"> </w:t>
      </w:r>
      <w:r w:rsidR="006408D2">
        <w:t xml:space="preserve">Paul, </w:t>
      </w:r>
      <w:r w:rsidRPr="00BB0F46">
        <w:t xml:space="preserve">Exh. </w:t>
      </w:r>
      <w:r w:rsidR="006408D2">
        <w:t xml:space="preserve">SP-8 </w:t>
      </w:r>
      <w:r w:rsidRPr="00BB0F46">
        <w:rPr>
          <w:color w:val="222222"/>
        </w:rPr>
        <w:t xml:space="preserve">at </w:t>
      </w:r>
      <w:r w:rsidR="006408D2">
        <w:rPr>
          <w:color w:val="222222"/>
        </w:rPr>
        <w:t>10</w:t>
      </w:r>
      <w:r w:rsidRPr="00BB0F46">
        <w:rPr>
          <w:color w:val="222222"/>
        </w:rPr>
        <w:t>.</w:t>
      </w:r>
    </w:p>
  </w:footnote>
  <w:footnote w:id="65">
    <w:p w:rsidR="00824FEE" w:rsidRPr="00BB0F46" w:rsidRDefault="00824FEE" w:rsidP="00646C41">
      <w:pPr>
        <w:pStyle w:val="FootnoteText"/>
      </w:pPr>
      <w:r w:rsidRPr="00BB0F46">
        <w:rPr>
          <w:rStyle w:val="FootnoteReference"/>
        </w:rPr>
        <w:footnoteRef/>
      </w:r>
      <w:r w:rsidRPr="00BB0F46">
        <w:t xml:space="preserve"> </w:t>
      </w:r>
      <w:r w:rsidR="00B16741">
        <w:t xml:space="preserve">Paul, </w:t>
      </w:r>
      <w:r w:rsidRPr="00BB0F46">
        <w:t>E</w:t>
      </w:r>
      <w:r w:rsidR="00B16741">
        <w:t>xh. SP-2</w:t>
      </w:r>
      <w:r w:rsidRPr="00BB0F46">
        <w:t xml:space="preserve"> at 22.</w:t>
      </w:r>
    </w:p>
  </w:footnote>
  <w:footnote w:id="66">
    <w:p w:rsidR="00824FEE" w:rsidRPr="00BB0F46" w:rsidRDefault="00824FEE" w:rsidP="00646C41">
      <w:pPr>
        <w:pStyle w:val="FootnoteText"/>
      </w:pPr>
      <w:r w:rsidRPr="00BB0F46">
        <w:rPr>
          <w:rStyle w:val="FootnoteReference"/>
        </w:rPr>
        <w:footnoteRef/>
      </w:r>
      <w:r w:rsidRPr="00BB0F46">
        <w:t xml:space="preserve"> </w:t>
      </w:r>
      <w:r w:rsidR="00B16741">
        <w:t xml:space="preserve">Paul, </w:t>
      </w:r>
      <w:r w:rsidRPr="00BB0F46">
        <w:t>Exh. SP-1T at 8</w:t>
      </w:r>
      <w:r w:rsidR="009630F5" w:rsidRPr="00BB0F46">
        <w:t>:3</w:t>
      </w:r>
      <w:r w:rsidRPr="00BB0F46">
        <w:t>.</w:t>
      </w:r>
    </w:p>
  </w:footnote>
  <w:footnote w:id="67">
    <w:p w:rsidR="00824FEE" w:rsidRPr="00BB0F46" w:rsidRDefault="00824FEE" w:rsidP="00646C41">
      <w:pPr>
        <w:pStyle w:val="FootnoteText"/>
      </w:pPr>
      <w:r w:rsidRPr="00BB0F46">
        <w:rPr>
          <w:rStyle w:val="FootnoteReference"/>
        </w:rPr>
        <w:footnoteRef/>
      </w:r>
      <w:r w:rsidRPr="00BB0F46">
        <w:t xml:space="preserve"> </w:t>
      </w:r>
      <w:r w:rsidR="00B16741">
        <w:t xml:space="preserve">Paul, </w:t>
      </w:r>
      <w:r w:rsidRPr="00BB0F46">
        <w:t>Exh. SP-5.</w:t>
      </w:r>
    </w:p>
  </w:footnote>
  <w:footnote w:id="68">
    <w:p w:rsidR="00824FEE" w:rsidRPr="00BB0F46" w:rsidRDefault="00824FEE" w:rsidP="00E005D4">
      <w:pPr>
        <w:pStyle w:val="FootnoteText"/>
        <w:spacing w:after="120"/>
      </w:pPr>
      <w:r w:rsidRPr="00BB0F46">
        <w:rPr>
          <w:rStyle w:val="FootnoteReference"/>
        </w:rPr>
        <w:footnoteRef/>
      </w:r>
      <w:r w:rsidR="00BB0F46" w:rsidRPr="00BB0F46">
        <w:t xml:space="preserve"> </w:t>
      </w:r>
      <w:r w:rsidR="00B16741">
        <w:t xml:space="preserve">Paul, </w:t>
      </w:r>
      <w:r w:rsidR="007B2674">
        <w:t xml:space="preserve">Exh. </w:t>
      </w:r>
      <w:r w:rsidR="00C118BD">
        <w:t>SP-8 at 2-8</w:t>
      </w:r>
      <w:r w:rsidRPr="00BB0F46">
        <w:t xml:space="preserve"> (tables and figures showing declining lines between 1999 and 2015).</w:t>
      </w:r>
    </w:p>
  </w:footnote>
  <w:footnote w:id="69">
    <w:p w:rsidR="00824FEE" w:rsidRPr="00BB0F46" w:rsidRDefault="00824FEE" w:rsidP="00E005D4">
      <w:pPr>
        <w:pStyle w:val="FootnoteText"/>
        <w:spacing w:after="120"/>
      </w:pPr>
      <w:r w:rsidRPr="00BB0F46">
        <w:rPr>
          <w:rStyle w:val="FootnoteReference"/>
        </w:rPr>
        <w:footnoteRef/>
      </w:r>
      <w:r w:rsidRPr="00BB0F46">
        <w:t xml:space="preserve"> </w:t>
      </w:r>
      <w:r w:rsidR="00B16741">
        <w:t xml:space="preserve">CenturyLink’s Response to Public Counsel Data Request 8 provided as </w:t>
      </w:r>
      <w:r w:rsidR="00C118BD">
        <w:t>Exh</w:t>
      </w:r>
      <w:r w:rsidR="00B16741">
        <w:t>ibit</w:t>
      </w:r>
      <w:r w:rsidR="00C118BD">
        <w:t xml:space="preserve"> SMB-</w:t>
      </w:r>
      <w:r w:rsidR="0072720A">
        <w:t>10.</w:t>
      </w:r>
    </w:p>
  </w:footnote>
  <w:footnote w:id="70">
    <w:p w:rsidR="00824FEE" w:rsidRPr="00BB0F46" w:rsidRDefault="00824FEE" w:rsidP="00E005D4">
      <w:pPr>
        <w:pStyle w:val="FootnoteText"/>
        <w:spacing w:after="120"/>
      </w:pPr>
      <w:r w:rsidRPr="00BB0F46">
        <w:rPr>
          <w:rStyle w:val="FootnoteReference"/>
        </w:rPr>
        <w:footnoteRef/>
      </w:r>
      <w:r w:rsidRPr="00BB0F46">
        <w:t xml:space="preserve"> For example, the Company’s network infrastructure enables it to offer business data services (previously referred to as “special access services”), which are a source of growth – wireless carriers require these dedicated circuits between their cell towers and the public switched network, and large business and government users also purchase business data services from CenturyLink.   Because the vast majority of these services are considered to be jurisdictionally </w:t>
      </w:r>
      <w:r w:rsidRPr="00BB0F46">
        <w:rPr>
          <w:i/>
        </w:rPr>
        <w:t xml:space="preserve">interstate, </w:t>
      </w:r>
      <w:r w:rsidRPr="00BB0F46">
        <w:t>it is important to assign and allocate a proportional share of the network cost to the interstate jurisdiction if and when the Commission considers the profitability of the Company’s intrastate operations.</w:t>
      </w:r>
    </w:p>
  </w:footnote>
  <w:footnote w:id="71">
    <w:p w:rsidR="00824FEE" w:rsidRPr="00BB0F46" w:rsidRDefault="00824FEE" w:rsidP="00E005D4">
      <w:pPr>
        <w:pStyle w:val="FootnoteText"/>
        <w:spacing w:after="120"/>
      </w:pPr>
      <w:r w:rsidRPr="00BB0F46">
        <w:rPr>
          <w:rStyle w:val="FootnoteReference"/>
        </w:rPr>
        <w:footnoteRef/>
      </w:r>
      <w:r w:rsidRPr="00BB0F46">
        <w:t xml:space="preserve"> For example, CenturyLink’s broadband internet services (typically digital subscri</w:t>
      </w:r>
      <w:r w:rsidR="00F01376">
        <w:t>ber line (DSL)</w:t>
      </w:r>
      <w:r w:rsidRPr="00BB0F46">
        <w:t>) services ride over the same copper loop as is used by CenturyLink to offer voice service.  It is important to assign and allocate a fair share of the copper loop cost to these unregulated services in order to assess accurately CenturyLink’s financial health relative to its intrastate regulated operations.</w:t>
      </w:r>
    </w:p>
  </w:footnote>
  <w:footnote w:id="72">
    <w:p w:rsidR="00824FEE" w:rsidRDefault="00824FEE" w:rsidP="00646C41">
      <w:pPr>
        <w:pStyle w:val="FootnoteText"/>
      </w:pPr>
      <w:r w:rsidRPr="00BB0F46">
        <w:rPr>
          <w:rStyle w:val="FootnoteReference"/>
        </w:rPr>
        <w:footnoteRef/>
      </w:r>
      <w:r w:rsidRPr="00BB0F46">
        <w:t xml:space="preserve"> This would encompass an examination, for example, of the payments that CenturyLink’s Washington operations make to its parent corporation as well as any assignments and allocations between the operations of its newly acquired subsidiary, Level 3 and its other operations.</w:t>
      </w:r>
    </w:p>
    <w:p w:rsidR="00E005D4" w:rsidRPr="00BB0F46" w:rsidRDefault="00E005D4" w:rsidP="00646C41">
      <w:pPr>
        <w:pStyle w:val="FootnoteText"/>
      </w:pPr>
    </w:p>
  </w:footnote>
  <w:footnote w:id="73">
    <w:p w:rsidR="00824FEE" w:rsidRPr="00BB0F46" w:rsidRDefault="00824FEE" w:rsidP="00646C41">
      <w:pPr>
        <w:pStyle w:val="FootnoteText"/>
      </w:pPr>
      <w:r w:rsidRPr="00BB0F46">
        <w:rPr>
          <w:rStyle w:val="FootnoteReference"/>
        </w:rPr>
        <w:footnoteRef/>
      </w:r>
      <w:r w:rsidRPr="00BB0F46">
        <w:t xml:space="preserve"> </w:t>
      </w:r>
      <w:r w:rsidR="007B2674" w:rsidRPr="00487CF1">
        <w:t>Exh. SMB-3</w:t>
      </w:r>
      <w:r w:rsidR="006408D2" w:rsidRPr="00487CF1">
        <w:t xml:space="preserve"> at 51</w:t>
      </w:r>
      <w:r w:rsidRPr="00487CF1">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AB6" w:rsidRDefault="00B73A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EE" w:rsidRPr="00610CEF" w:rsidRDefault="00824FEE" w:rsidP="00610CEF">
    <w:pPr>
      <w:jc w:val="right"/>
      <w:rPr>
        <w:sz w:val="20"/>
      </w:rPr>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AB6" w:rsidRDefault="00B73AB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EE" w:rsidRPr="00C02C3C" w:rsidRDefault="00824FEE" w:rsidP="008D22D1">
    <w:pPr>
      <w:jc w:val="right"/>
      <w:rPr>
        <w:b/>
        <w:sz w:val="20"/>
        <w:szCs w:val="20"/>
        <w:lang w:val="fr-FR"/>
      </w:rPr>
    </w:pPr>
    <w:r w:rsidRPr="00C02C3C">
      <w:rPr>
        <w:sz w:val="20"/>
        <w:szCs w:val="20"/>
        <w:lang w:val="fr-FR"/>
      </w:rPr>
      <w:t>Docket UT-171082</w:t>
    </w:r>
  </w:p>
  <w:p w:rsidR="00824FEE" w:rsidRPr="00C02C3C" w:rsidRDefault="00824FEE">
    <w:pPr>
      <w:jc w:val="right"/>
      <w:rPr>
        <w:sz w:val="20"/>
        <w:szCs w:val="20"/>
      </w:rPr>
    </w:pPr>
    <w:r w:rsidRPr="00C02C3C">
      <w:rPr>
        <w:sz w:val="20"/>
        <w:szCs w:val="20"/>
      </w:rPr>
      <w:t xml:space="preserve"> </w:t>
    </w:r>
    <w:r w:rsidR="0055451A">
      <w:rPr>
        <w:sz w:val="20"/>
        <w:szCs w:val="20"/>
      </w:rPr>
      <w:t xml:space="preserve">Response </w:t>
    </w:r>
    <w:r w:rsidRPr="00C02C3C">
      <w:rPr>
        <w:sz w:val="20"/>
        <w:szCs w:val="20"/>
      </w:rPr>
      <w:t>Testimony of Susan M. Baldwin</w:t>
    </w:r>
  </w:p>
  <w:p w:rsidR="00824FEE" w:rsidRPr="00C02C3C" w:rsidRDefault="00624F68">
    <w:pPr>
      <w:jc w:val="right"/>
      <w:rPr>
        <w:sz w:val="20"/>
        <w:szCs w:val="20"/>
      </w:rPr>
    </w:pPr>
    <w:r>
      <w:rPr>
        <w:sz w:val="20"/>
        <w:szCs w:val="20"/>
      </w:rPr>
      <w:t>Exhibit SMB-1</w:t>
    </w:r>
    <w:r w:rsidR="00824FEE" w:rsidRPr="00C02C3C">
      <w:rPr>
        <w:sz w:val="20"/>
        <w:szCs w:val="20"/>
      </w:rPr>
      <w:t>T</w:t>
    </w:r>
  </w:p>
  <w:p w:rsidR="00824FEE" w:rsidRDefault="00824FEE">
    <w:pPr>
      <w:pStyle w:val="Header"/>
    </w:pPr>
  </w:p>
  <w:p w:rsidR="00824FEE" w:rsidRDefault="00824FEE">
    <w:pPr>
      <w:pStyle w:val="Header"/>
      <w:jc w:val="right"/>
      <w:rPr>
        <w:rFonts w:ascii="Times" w:hAnsi="Times"/>
      </w:rPr>
    </w:pPr>
  </w:p>
  <w:p w:rsidR="00824FEE" w:rsidRDefault="00824FEE">
    <w:pPr>
      <w:pStyle w:val="Header"/>
      <w:jc w:val="right"/>
      <w:rPr>
        <w:rFonts w:ascii="Times" w:hAnsi="Tim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F0C"/>
    <w:multiLevelType w:val="hybridMultilevel"/>
    <w:tmpl w:val="97CAC0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990416"/>
    <w:multiLevelType w:val="hybridMultilevel"/>
    <w:tmpl w:val="F0BAB9DC"/>
    <w:lvl w:ilvl="0" w:tplc="F1D4F34C">
      <w:start w:val="1"/>
      <w:numFmt w:val="decimal"/>
      <w:pStyle w:val="Heading5"/>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94120ECA">
      <w:start w:val="1"/>
      <w:numFmt w:val="upperRoman"/>
      <w:lvlText w:val="%3."/>
      <w:lvlJc w:val="left"/>
      <w:pPr>
        <w:tabs>
          <w:tab w:val="num" w:pos="2700"/>
        </w:tabs>
        <w:ind w:left="2700" w:hanging="720"/>
      </w:pPr>
      <w:rPr>
        <w:rFonts w:hint="default"/>
      </w:rPr>
    </w:lvl>
    <w:lvl w:ilvl="3" w:tplc="A4EEE7DA">
      <w:start w:val="2"/>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E1C0944"/>
    <w:multiLevelType w:val="hybridMultilevel"/>
    <w:tmpl w:val="BBCE4A7E"/>
    <w:lvl w:ilvl="0" w:tplc="E87C5D5A">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7C17A1"/>
    <w:multiLevelType w:val="hybridMultilevel"/>
    <w:tmpl w:val="1C680EEA"/>
    <w:lvl w:ilvl="0" w:tplc="9DBCD0A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36FA6"/>
    <w:multiLevelType w:val="hybridMultilevel"/>
    <w:tmpl w:val="D84A40CA"/>
    <w:lvl w:ilvl="0" w:tplc="1B829202">
      <w:start w:val="1"/>
      <w:numFmt w:val="upperRoman"/>
      <w:pStyle w:val="Heading1"/>
      <w:lvlText w:val="%1."/>
      <w:lvlJc w:val="left"/>
      <w:pPr>
        <w:ind w:left="10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B32C1"/>
    <w:multiLevelType w:val="hybridMultilevel"/>
    <w:tmpl w:val="86420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1C32B4"/>
    <w:multiLevelType w:val="hybridMultilevel"/>
    <w:tmpl w:val="20245122"/>
    <w:lvl w:ilvl="0" w:tplc="58F4E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06590"/>
    <w:multiLevelType w:val="hybridMultilevel"/>
    <w:tmpl w:val="22F2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5762B"/>
    <w:multiLevelType w:val="hybridMultilevel"/>
    <w:tmpl w:val="3232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0445A"/>
    <w:multiLevelType w:val="hybridMultilevel"/>
    <w:tmpl w:val="CBC4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33275"/>
    <w:multiLevelType w:val="hybridMultilevel"/>
    <w:tmpl w:val="47747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B82B8C"/>
    <w:multiLevelType w:val="hybridMultilevel"/>
    <w:tmpl w:val="FA52D2CE"/>
    <w:lvl w:ilvl="0" w:tplc="E11EDE36">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36022E"/>
    <w:multiLevelType w:val="hybridMultilevel"/>
    <w:tmpl w:val="E6AAA6EC"/>
    <w:lvl w:ilvl="0" w:tplc="18AAB270">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31125F"/>
    <w:multiLevelType w:val="hybridMultilevel"/>
    <w:tmpl w:val="FE4E7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291A2D"/>
    <w:multiLevelType w:val="hybridMultilevel"/>
    <w:tmpl w:val="2564B1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13"/>
  </w:num>
  <w:num w:numId="6">
    <w:abstractNumId w:val="14"/>
  </w:num>
  <w:num w:numId="7">
    <w:abstractNumId w:val="8"/>
  </w:num>
  <w:num w:numId="8">
    <w:abstractNumId w:val="7"/>
  </w:num>
  <w:num w:numId="9">
    <w:abstractNumId w:val="9"/>
  </w:num>
  <w:num w:numId="10">
    <w:abstractNumId w:val="3"/>
  </w:num>
  <w:num w:numId="11">
    <w:abstractNumId w:val="12"/>
  </w:num>
  <w:num w:numId="12">
    <w:abstractNumId w:val="0"/>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8A"/>
    <w:rsid w:val="00002BAF"/>
    <w:rsid w:val="00003716"/>
    <w:rsid w:val="000069EE"/>
    <w:rsid w:val="000119B4"/>
    <w:rsid w:val="00013F02"/>
    <w:rsid w:val="000146F1"/>
    <w:rsid w:val="00017731"/>
    <w:rsid w:val="00024BF0"/>
    <w:rsid w:val="000320F1"/>
    <w:rsid w:val="0003264D"/>
    <w:rsid w:val="00043D5A"/>
    <w:rsid w:val="00044166"/>
    <w:rsid w:val="00052A8E"/>
    <w:rsid w:val="000544F9"/>
    <w:rsid w:val="000605C8"/>
    <w:rsid w:val="00060893"/>
    <w:rsid w:val="00060CD1"/>
    <w:rsid w:val="00073A3D"/>
    <w:rsid w:val="000764FC"/>
    <w:rsid w:val="00080F98"/>
    <w:rsid w:val="00083277"/>
    <w:rsid w:val="000845F5"/>
    <w:rsid w:val="00092145"/>
    <w:rsid w:val="000934F7"/>
    <w:rsid w:val="00097132"/>
    <w:rsid w:val="000A163F"/>
    <w:rsid w:val="000A1C46"/>
    <w:rsid w:val="000A5612"/>
    <w:rsid w:val="000B337E"/>
    <w:rsid w:val="000B512C"/>
    <w:rsid w:val="000B5C86"/>
    <w:rsid w:val="000B6611"/>
    <w:rsid w:val="000C5898"/>
    <w:rsid w:val="000D2810"/>
    <w:rsid w:val="000D5E75"/>
    <w:rsid w:val="000E3162"/>
    <w:rsid w:val="000E35E3"/>
    <w:rsid w:val="000F048E"/>
    <w:rsid w:val="000F26F3"/>
    <w:rsid w:val="000F4571"/>
    <w:rsid w:val="00104321"/>
    <w:rsid w:val="001066B0"/>
    <w:rsid w:val="00116F85"/>
    <w:rsid w:val="0012022A"/>
    <w:rsid w:val="001206C3"/>
    <w:rsid w:val="00121E95"/>
    <w:rsid w:val="0012303A"/>
    <w:rsid w:val="001251A6"/>
    <w:rsid w:val="00126F15"/>
    <w:rsid w:val="0012755C"/>
    <w:rsid w:val="0013257C"/>
    <w:rsid w:val="0013467C"/>
    <w:rsid w:val="001378DA"/>
    <w:rsid w:val="001413F1"/>
    <w:rsid w:val="00143719"/>
    <w:rsid w:val="00146360"/>
    <w:rsid w:val="00146AFE"/>
    <w:rsid w:val="00146FF8"/>
    <w:rsid w:val="00150C2C"/>
    <w:rsid w:val="00152726"/>
    <w:rsid w:val="00155973"/>
    <w:rsid w:val="00174DDB"/>
    <w:rsid w:val="00180D47"/>
    <w:rsid w:val="001827BD"/>
    <w:rsid w:val="0018573C"/>
    <w:rsid w:val="0018728D"/>
    <w:rsid w:val="001967D6"/>
    <w:rsid w:val="001A239D"/>
    <w:rsid w:val="001A2F5D"/>
    <w:rsid w:val="001A43A0"/>
    <w:rsid w:val="001A445F"/>
    <w:rsid w:val="001A5C61"/>
    <w:rsid w:val="001B0A58"/>
    <w:rsid w:val="001C0A18"/>
    <w:rsid w:val="001C4046"/>
    <w:rsid w:val="001C55C9"/>
    <w:rsid w:val="001E3731"/>
    <w:rsid w:val="001F4486"/>
    <w:rsid w:val="00206646"/>
    <w:rsid w:val="002104A6"/>
    <w:rsid w:val="002142A8"/>
    <w:rsid w:val="00215DB4"/>
    <w:rsid w:val="00227D6D"/>
    <w:rsid w:val="0023065F"/>
    <w:rsid w:val="00230763"/>
    <w:rsid w:val="002312A0"/>
    <w:rsid w:val="00233E9B"/>
    <w:rsid w:val="002378A9"/>
    <w:rsid w:val="00241DC5"/>
    <w:rsid w:val="00244251"/>
    <w:rsid w:val="00246598"/>
    <w:rsid w:val="00247F2D"/>
    <w:rsid w:val="00253845"/>
    <w:rsid w:val="00255B0E"/>
    <w:rsid w:val="00256677"/>
    <w:rsid w:val="00260548"/>
    <w:rsid w:val="0027016B"/>
    <w:rsid w:val="00270599"/>
    <w:rsid w:val="00274AE2"/>
    <w:rsid w:val="0027678F"/>
    <w:rsid w:val="00280F66"/>
    <w:rsid w:val="0029026B"/>
    <w:rsid w:val="00296E36"/>
    <w:rsid w:val="00296E83"/>
    <w:rsid w:val="00297B32"/>
    <w:rsid w:val="002B2D8E"/>
    <w:rsid w:val="002C214E"/>
    <w:rsid w:val="002C34FF"/>
    <w:rsid w:val="002E23FC"/>
    <w:rsid w:val="002E28CE"/>
    <w:rsid w:val="002E32C0"/>
    <w:rsid w:val="002E39AE"/>
    <w:rsid w:val="002E7F97"/>
    <w:rsid w:val="002F3F04"/>
    <w:rsid w:val="002F6B99"/>
    <w:rsid w:val="00316AC9"/>
    <w:rsid w:val="00317475"/>
    <w:rsid w:val="003403EB"/>
    <w:rsid w:val="0034373A"/>
    <w:rsid w:val="00355355"/>
    <w:rsid w:val="00355B34"/>
    <w:rsid w:val="00367F1C"/>
    <w:rsid w:val="003721CB"/>
    <w:rsid w:val="003751D3"/>
    <w:rsid w:val="00381FEC"/>
    <w:rsid w:val="00386430"/>
    <w:rsid w:val="003907C3"/>
    <w:rsid w:val="003971AC"/>
    <w:rsid w:val="00397D50"/>
    <w:rsid w:val="003B4BD8"/>
    <w:rsid w:val="003C33C5"/>
    <w:rsid w:val="003C6103"/>
    <w:rsid w:val="003D2BBD"/>
    <w:rsid w:val="003D7463"/>
    <w:rsid w:val="003E1414"/>
    <w:rsid w:val="003E7E5A"/>
    <w:rsid w:val="003F325B"/>
    <w:rsid w:val="003F48DE"/>
    <w:rsid w:val="00400763"/>
    <w:rsid w:val="00404090"/>
    <w:rsid w:val="00421467"/>
    <w:rsid w:val="00422118"/>
    <w:rsid w:val="0042338A"/>
    <w:rsid w:val="00425FD1"/>
    <w:rsid w:val="0043067A"/>
    <w:rsid w:val="00437E97"/>
    <w:rsid w:val="00440A2D"/>
    <w:rsid w:val="004412C4"/>
    <w:rsid w:val="0044298B"/>
    <w:rsid w:val="00453882"/>
    <w:rsid w:val="004640E2"/>
    <w:rsid w:val="00467AA7"/>
    <w:rsid w:val="00475EA8"/>
    <w:rsid w:val="00476AA5"/>
    <w:rsid w:val="00477993"/>
    <w:rsid w:val="00481EF6"/>
    <w:rsid w:val="00482FE8"/>
    <w:rsid w:val="00485485"/>
    <w:rsid w:val="004863CD"/>
    <w:rsid w:val="0048670A"/>
    <w:rsid w:val="00487CF1"/>
    <w:rsid w:val="00497470"/>
    <w:rsid w:val="004A1AA1"/>
    <w:rsid w:val="004A65EF"/>
    <w:rsid w:val="004B0AE0"/>
    <w:rsid w:val="004B1A8F"/>
    <w:rsid w:val="004B1BBB"/>
    <w:rsid w:val="004B27AF"/>
    <w:rsid w:val="004C12C5"/>
    <w:rsid w:val="004C37BE"/>
    <w:rsid w:val="004D2BC4"/>
    <w:rsid w:val="004D60D7"/>
    <w:rsid w:val="004D7C74"/>
    <w:rsid w:val="004E00DD"/>
    <w:rsid w:val="004E77A5"/>
    <w:rsid w:val="004F0C8B"/>
    <w:rsid w:val="004F51ED"/>
    <w:rsid w:val="004F52F4"/>
    <w:rsid w:val="00504A69"/>
    <w:rsid w:val="00505A2A"/>
    <w:rsid w:val="005135E5"/>
    <w:rsid w:val="00521BD0"/>
    <w:rsid w:val="00523128"/>
    <w:rsid w:val="00532480"/>
    <w:rsid w:val="005356C8"/>
    <w:rsid w:val="00536C76"/>
    <w:rsid w:val="0053769C"/>
    <w:rsid w:val="00537CC7"/>
    <w:rsid w:val="005424DE"/>
    <w:rsid w:val="00542A50"/>
    <w:rsid w:val="00544B05"/>
    <w:rsid w:val="00545531"/>
    <w:rsid w:val="005476AC"/>
    <w:rsid w:val="00551C5F"/>
    <w:rsid w:val="005533EF"/>
    <w:rsid w:val="0055422D"/>
    <w:rsid w:val="0055451A"/>
    <w:rsid w:val="00556720"/>
    <w:rsid w:val="00556E0A"/>
    <w:rsid w:val="0056226F"/>
    <w:rsid w:val="00570B6B"/>
    <w:rsid w:val="00573379"/>
    <w:rsid w:val="005827D2"/>
    <w:rsid w:val="00594398"/>
    <w:rsid w:val="0059611C"/>
    <w:rsid w:val="00596E62"/>
    <w:rsid w:val="005A4745"/>
    <w:rsid w:val="005B017C"/>
    <w:rsid w:val="005B01F7"/>
    <w:rsid w:val="005B2120"/>
    <w:rsid w:val="005B29D1"/>
    <w:rsid w:val="005B3519"/>
    <w:rsid w:val="005B6CC8"/>
    <w:rsid w:val="005B7F5E"/>
    <w:rsid w:val="005D5374"/>
    <w:rsid w:val="005E4B0F"/>
    <w:rsid w:val="005E6B81"/>
    <w:rsid w:val="005E6CBE"/>
    <w:rsid w:val="005E728B"/>
    <w:rsid w:val="005F7350"/>
    <w:rsid w:val="00602F4E"/>
    <w:rsid w:val="0060451F"/>
    <w:rsid w:val="00606B83"/>
    <w:rsid w:val="0060710C"/>
    <w:rsid w:val="00610CEF"/>
    <w:rsid w:val="00611F6D"/>
    <w:rsid w:val="00621191"/>
    <w:rsid w:val="00622A03"/>
    <w:rsid w:val="00624447"/>
    <w:rsid w:val="00624F68"/>
    <w:rsid w:val="00625993"/>
    <w:rsid w:val="0062688A"/>
    <w:rsid w:val="00635018"/>
    <w:rsid w:val="006408D2"/>
    <w:rsid w:val="00641BC0"/>
    <w:rsid w:val="0064575B"/>
    <w:rsid w:val="00646747"/>
    <w:rsid w:val="00646C41"/>
    <w:rsid w:val="0065322F"/>
    <w:rsid w:val="00655D12"/>
    <w:rsid w:val="00657A5E"/>
    <w:rsid w:val="0066084F"/>
    <w:rsid w:val="006655DE"/>
    <w:rsid w:val="00681E31"/>
    <w:rsid w:val="00682DEA"/>
    <w:rsid w:val="00683464"/>
    <w:rsid w:val="00684452"/>
    <w:rsid w:val="006873B9"/>
    <w:rsid w:val="00687A40"/>
    <w:rsid w:val="00690A3C"/>
    <w:rsid w:val="00690AFB"/>
    <w:rsid w:val="006972AD"/>
    <w:rsid w:val="006A5755"/>
    <w:rsid w:val="006B0F44"/>
    <w:rsid w:val="006B23B1"/>
    <w:rsid w:val="006B424D"/>
    <w:rsid w:val="006B6FFA"/>
    <w:rsid w:val="006C2FD7"/>
    <w:rsid w:val="006C4FB0"/>
    <w:rsid w:val="006C5BFC"/>
    <w:rsid w:val="006D0F00"/>
    <w:rsid w:val="006D6DF6"/>
    <w:rsid w:val="006E483B"/>
    <w:rsid w:val="006E625C"/>
    <w:rsid w:val="006E6268"/>
    <w:rsid w:val="006F0B30"/>
    <w:rsid w:val="006F3B61"/>
    <w:rsid w:val="00700DAA"/>
    <w:rsid w:val="0071048B"/>
    <w:rsid w:val="00714F67"/>
    <w:rsid w:val="0071650C"/>
    <w:rsid w:val="00725B50"/>
    <w:rsid w:val="0072720A"/>
    <w:rsid w:val="00732D51"/>
    <w:rsid w:val="00737C49"/>
    <w:rsid w:val="00741E07"/>
    <w:rsid w:val="007450BB"/>
    <w:rsid w:val="00747EEF"/>
    <w:rsid w:val="007510ED"/>
    <w:rsid w:val="00752ADC"/>
    <w:rsid w:val="00752FC8"/>
    <w:rsid w:val="007560FB"/>
    <w:rsid w:val="007615D7"/>
    <w:rsid w:val="00761F85"/>
    <w:rsid w:val="00763CC5"/>
    <w:rsid w:val="00764D5A"/>
    <w:rsid w:val="00766F72"/>
    <w:rsid w:val="00773F7E"/>
    <w:rsid w:val="007746E0"/>
    <w:rsid w:val="0077603A"/>
    <w:rsid w:val="007914AB"/>
    <w:rsid w:val="0079455F"/>
    <w:rsid w:val="007A15DD"/>
    <w:rsid w:val="007A2869"/>
    <w:rsid w:val="007A6D4E"/>
    <w:rsid w:val="007B2674"/>
    <w:rsid w:val="007C1552"/>
    <w:rsid w:val="007C2D39"/>
    <w:rsid w:val="007C43CB"/>
    <w:rsid w:val="007D43B4"/>
    <w:rsid w:val="007F2BD0"/>
    <w:rsid w:val="007F7ED1"/>
    <w:rsid w:val="00801B52"/>
    <w:rsid w:val="00801BB8"/>
    <w:rsid w:val="00804F1F"/>
    <w:rsid w:val="00812BCF"/>
    <w:rsid w:val="00813F62"/>
    <w:rsid w:val="008157EC"/>
    <w:rsid w:val="00824FEE"/>
    <w:rsid w:val="00830B00"/>
    <w:rsid w:val="008341DD"/>
    <w:rsid w:val="00835032"/>
    <w:rsid w:val="00836573"/>
    <w:rsid w:val="00840FF4"/>
    <w:rsid w:val="00844CEE"/>
    <w:rsid w:val="00846536"/>
    <w:rsid w:val="0085254A"/>
    <w:rsid w:val="00853652"/>
    <w:rsid w:val="0085399A"/>
    <w:rsid w:val="00862C44"/>
    <w:rsid w:val="00864534"/>
    <w:rsid w:val="00867495"/>
    <w:rsid w:val="00874B0C"/>
    <w:rsid w:val="00875756"/>
    <w:rsid w:val="008765FE"/>
    <w:rsid w:val="00882663"/>
    <w:rsid w:val="0088303E"/>
    <w:rsid w:val="00886096"/>
    <w:rsid w:val="00890404"/>
    <w:rsid w:val="00891C83"/>
    <w:rsid w:val="008A6AD0"/>
    <w:rsid w:val="008C060E"/>
    <w:rsid w:val="008C08BF"/>
    <w:rsid w:val="008C0C6D"/>
    <w:rsid w:val="008C6364"/>
    <w:rsid w:val="008C7345"/>
    <w:rsid w:val="008C7BE0"/>
    <w:rsid w:val="008D22D1"/>
    <w:rsid w:val="008D2F98"/>
    <w:rsid w:val="008D6A71"/>
    <w:rsid w:val="008E23B2"/>
    <w:rsid w:val="008E2B35"/>
    <w:rsid w:val="008F668E"/>
    <w:rsid w:val="008F6FBB"/>
    <w:rsid w:val="00904433"/>
    <w:rsid w:val="0091617E"/>
    <w:rsid w:val="00916425"/>
    <w:rsid w:val="00920CDA"/>
    <w:rsid w:val="00922694"/>
    <w:rsid w:val="00931805"/>
    <w:rsid w:val="009347E5"/>
    <w:rsid w:val="00944D86"/>
    <w:rsid w:val="00944F03"/>
    <w:rsid w:val="00947C30"/>
    <w:rsid w:val="00954080"/>
    <w:rsid w:val="00956FA4"/>
    <w:rsid w:val="009630F5"/>
    <w:rsid w:val="0096385D"/>
    <w:rsid w:val="00964237"/>
    <w:rsid w:val="00972D8A"/>
    <w:rsid w:val="0097411E"/>
    <w:rsid w:val="0098121E"/>
    <w:rsid w:val="00984BB3"/>
    <w:rsid w:val="0098552A"/>
    <w:rsid w:val="00992E17"/>
    <w:rsid w:val="009945B7"/>
    <w:rsid w:val="009A5AE8"/>
    <w:rsid w:val="009A5FFD"/>
    <w:rsid w:val="009B0C6D"/>
    <w:rsid w:val="009C1F3D"/>
    <w:rsid w:val="009C33C7"/>
    <w:rsid w:val="009C3CF5"/>
    <w:rsid w:val="009C49EE"/>
    <w:rsid w:val="009D2B97"/>
    <w:rsid w:val="009D353D"/>
    <w:rsid w:val="009D6E4E"/>
    <w:rsid w:val="009D781B"/>
    <w:rsid w:val="009E5938"/>
    <w:rsid w:val="009E5A08"/>
    <w:rsid w:val="009E6680"/>
    <w:rsid w:val="009F0BAA"/>
    <w:rsid w:val="009F0C83"/>
    <w:rsid w:val="009F2E6C"/>
    <w:rsid w:val="00A02442"/>
    <w:rsid w:val="00A0306E"/>
    <w:rsid w:val="00A07EC9"/>
    <w:rsid w:val="00A1060C"/>
    <w:rsid w:val="00A1163D"/>
    <w:rsid w:val="00A11F15"/>
    <w:rsid w:val="00A125DB"/>
    <w:rsid w:val="00A1585B"/>
    <w:rsid w:val="00A168AE"/>
    <w:rsid w:val="00A20459"/>
    <w:rsid w:val="00A220BB"/>
    <w:rsid w:val="00A33E44"/>
    <w:rsid w:val="00A3564B"/>
    <w:rsid w:val="00A41C7F"/>
    <w:rsid w:val="00A42935"/>
    <w:rsid w:val="00A47DC2"/>
    <w:rsid w:val="00A65332"/>
    <w:rsid w:val="00A66048"/>
    <w:rsid w:val="00A71AF4"/>
    <w:rsid w:val="00A720FE"/>
    <w:rsid w:val="00A750F0"/>
    <w:rsid w:val="00A753D1"/>
    <w:rsid w:val="00A75544"/>
    <w:rsid w:val="00A7697E"/>
    <w:rsid w:val="00A81BA8"/>
    <w:rsid w:val="00A9086A"/>
    <w:rsid w:val="00A912B9"/>
    <w:rsid w:val="00AB03CF"/>
    <w:rsid w:val="00AB593B"/>
    <w:rsid w:val="00AC0336"/>
    <w:rsid w:val="00AC46A2"/>
    <w:rsid w:val="00AC53F9"/>
    <w:rsid w:val="00AC6908"/>
    <w:rsid w:val="00AD17E2"/>
    <w:rsid w:val="00AD289C"/>
    <w:rsid w:val="00AD40C5"/>
    <w:rsid w:val="00AE04C7"/>
    <w:rsid w:val="00AE2B36"/>
    <w:rsid w:val="00AF3995"/>
    <w:rsid w:val="00AF5EF7"/>
    <w:rsid w:val="00AF74FE"/>
    <w:rsid w:val="00B0714B"/>
    <w:rsid w:val="00B114D4"/>
    <w:rsid w:val="00B1288B"/>
    <w:rsid w:val="00B15E72"/>
    <w:rsid w:val="00B16741"/>
    <w:rsid w:val="00B20326"/>
    <w:rsid w:val="00B226DA"/>
    <w:rsid w:val="00B2513C"/>
    <w:rsid w:val="00B3211D"/>
    <w:rsid w:val="00B379AA"/>
    <w:rsid w:val="00B43584"/>
    <w:rsid w:val="00B435CB"/>
    <w:rsid w:val="00B4534D"/>
    <w:rsid w:val="00B47B02"/>
    <w:rsid w:val="00B576D0"/>
    <w:rsid w:val="00B57A80"/>
    <w:rsid w:val="00B57B22"/>
    <w:rsid w:val="00B73AB6"/>
    <w:rsid w:val="00B7421A"/>
    <w:rsid w:val="00B877FC"/>
    <w:rsid w:val="00B926F7"/>
    <w:rsid w:val="00B957F1"/>
    <w:rsid w:val="00B977BF"/>
    <w:rsid w:val="00B97D77"/>
    <w:rsid w:val="00BA3E28"/>
    <w:rsid w:val="00BA4169"/>
    <w:rsid w:val="00BA43ED"/>
    <w:rsid w:val="00BA44FF"/>
    <w:rsid w:val="00BA702C"/>
    <w:rsid w:val="00BA70F1"/>
    <w:rsid w:val="00BB0BA4"/>
    <w:rsid w:val="00BB0D3C"/>
    <w:rsid w:val="00BB0F46"/>
    <w:rsid w:val="00BB4871"/>
    <w:rsid w:val="00BB50DC"/>
    <w:rsid w:val="00BB7C1C"/>
    <w:rsid w:val="00BC05ED"/>
    <w:rsid w:val="00BC16CD"/>
    <w:rsid w:val="00BC27BB"/>
    <w:rsid w:val="00BC2AC2"/>
    <w:rsid w:val="00BC5AA9"/>
    <w:rsid w:val="00BC67D3"/>
    <w:rsid w:val="00BD0238"/>
    <w:rsid w:val="00BD2ED2"/>
    <w:rsid w:val="00BD6123"/>
    <w:rsid w:val="00BD7413"/>
    <w:rsid w:val="00BE1369"/>
    <w:rsid w:val="00BE2573"/>
    <w:rsid w:val="00BE44B8"/>
    <w:rsid w:val="00BF1805"/>
    <w:rsid w:val="00BF3677"/>
    <w:rsid w:val="00C00096"/>
    <w:rsid w:val="00C00880"/>
    <w:rsid w:val="00C02C3C"/>
    <w:rsid w:val="00C05909"/>
    <w:rsid w:val="00C117A1"/>
    <w:rsid w:val="00C118BD"/>
    <w:rsid w:val="00C253D9"/>
    <w:rsid w:val="00C3209C"/>
    <w:rsid w:val="00C360C9"/>
    <w:rsid w:val="00C4287A"/>
    <w:rsid w:val="00C44E7B"/>
    <w:rsid w:val="00C44FFD"/>
    <w:rsid w:val="00C54B7B"/>
    <w:rsid w:val="00C70516"/>
    <w:rsid w:val="00C7360B"/>
    <w:rsid w:val="00C76EFB"/>
    <w:rsid w:val="00C82467"/>
    <w:rsid w:val="00C82526"/>
    <w:rsid w:val="00C8559D"/>
    <w:rsid w:val="00C85721"/>
    <w:rsid w:val="00C85806"/>
    <w:rsid w:val="00C96B37"/>
    <w:rsid w:val="00C97DCE"/>
    <w:rsid w:val="00CA16D5"/>
    <w:rsid w:val="00CA6211"/>
    <w:rsid w:val="00CA70B9"/>
    <w:rsid w:val="00CA7F34"/>
    <w:rsid w:val="00CB1753"/>
    <w:rsid w:val="00CB282D"/>
    <w:rsid w:val="00CC0706"/>
    <w:rsid w:val="00CC237C"/>
    <w:rsid w:val="00CC25EC"/>
    <w:rsid w:val="00CC6F81"/>
    <w:rsid w:val="00CE0194"/>
    <w:rsid w:val="00CE4AA8"/>
    <w:rsid w:val="00CF4C00"/>
    <w:rsid w:val="00CF6BC6"/>
    <w:rsid w:val="00D01612"/>
    <w:rsid w:val="00D07104"/>
    <w:rsid w:val="00D10AE9"/>
    <w:rsid w:val="00D2030B"/>
    <w:rsid w:val="00D25F26"/>
    <w:rsid w:val="00D302A8"/>
    <w:rsid w:val="00D33C19"/>
    <w:rsid w:val="00D347C9"/>
    <w:rsid w:val="00D361F6"/>
    <w:rsid w:val="00D4035E"/>
    <w:rsid w:val="00D42B53"/>
    <w:rsid w:val="00D468FB"/>
    <w:rsid w:val="00D61209"/>
    <w:rsid w:val="00D72FCB"/>
    <w:rsid w:val="00D74F4E"/>
    <w:rsid w:val="00D76767"/>
    <w:rsid w:val="00D774AA"/>
    <w:rsid w:val="00D87CE8"/>
    <w:rsid w:val="00D964B2"/>
    <w:rsid w:val="00D96EE4"/>
    <w:rsid w:val="00DA1B3F"/>
    <w:rsid w:val="00DA1E0F"/>
    <w:rsid w:val="00DA639A"/>
    <w:rsid w:val="00DA7113"/>
    <w:rsid w:val="00DA71F5"/>
    <w:rsid w:val="00DC04A5"/>
    <w:rsid w:val="00DC3B85"/>
    <w:rsid w:val="00DC64A1"/>
    <w:rsid w:val="00DC6957"/>
    <w:rsid w:val="00DD150B"/>
    <w:rsid w:val="00DD354D"/>
    <w:rsid w:val="00DD3C1A"/>
    <w:rsid w:val="00DD554B"/>
    <w:rsid w:val="00DD559E"/>
    <w:rsid w:val="00DD6B3F"/>
    <w:rsid w:val="00DD7FF6"/>
    <w:rsid w:val="00DE15F8"/>
    <w:rsid w:val="00DE3A8C"/>
    <w:rsid w:val="00DE5A59"/>
    <w:rsid w:val="00DE67BF"/>
    <w:rsid w:val="00DE78EE"/>
    <w:rsid w:val="00DF2007"/>
    <w:rsid w:val="00DF2C0B"/>
    <w:rsid w:val="00E005D4"/>
    <w:rsid w:val="00E059E4"/>
    <w:rsid w:val="00E14ACB"/>
    <w:rsid w:val="00E14F19"/>
    <w:rsid w:val="00E20542"/>
    <w:rsid w:val="00E26B04"/>
    <w:rsid w:val="00E27179"/>
    <w:rsid w:val="00E34E86"/>
    <w:rsid w:val="00E404C8"/>
    <w:rsid w:val="00E4199F"/>
    <w:rsid w:val="00E425DB"/>
    <w:rsid w:val="00E42937"/>
    <w:rsid w:val="00E4662F"/>
    <w:rsid w:val="00E5073A"/>
    <w:rsid w:val="00E62011"/>
    <w:rsid w:val="00E72B32"/>
    <w:rsid w:val="00E73D5E"/>
    <w:rsid w:val="00E74162"/>
    <w:rsid w:val="00E75210"/>
    <w:rsid w:val="00E754AC"/>
    <w:rsid w:val="00E81588"/>
    <w:rsid w:val="00E81EDB"/>
    <w:rsid w:val="00E85350"/>
    <w:rsid w:val="00E8767F"/>
    <w:rsid w:val="00E96724"/>
    <w:rsid w:val="00EB34AB"/>
    <w:rsid w:val="00EC4465"/>
    <w:rsid w:val="00ED1C4A"/>
    <w:rsid w:val="00ED214E"/>
    <w:rsid w:val="00EE1EB7"/>
    <w:rsid w:val="00EE423F"/>
    <w:rsid w:val="00EE73CF"/>
    <w:rsid w:val="00EF1374"/>
    <w:rsid w:val="00EF4746"/>
    <w:rsid w:val="00EF6918"/>
    <w:rsid w:val="00F00FB9"/>
    <w:rsid w:val="00F01376"/>
    <w:rsid w:val="00F05D29"/>
    <w:rsid w:val="00F17522"/>
    <w:rsid w:val="00F17F6D"/>
    <w:rsid w:val="00F238D1"/>
    <w:rsid w:val="00F25D9B"/>
    <w:rsid w:val="00F33CA6"/>
    <w:rsid w:val="00F404DF"/>
    <w:rsid w:val="00F43D60"/>
    <w:rsid w:val="00F44F70"/>
    <w:rsid w:val="00F45F25"/>
    <w:rsid w:val="00F54391"/>
    <w:rsid w:val="00F64666"/>
    <w:rsid w:val="00F65B92"/>
    <w:rsid w:val="00F673A8"/>
    <w:rsid w:val="00F67EBA"/>
    <w:rsid w:val="00F73595"/>
    <w:rsid w:val="00F97007"/>
    <w:rsid w:val="00FA01D4"/>
    <w:rsid w:val="00FA43CD"/>
    <w:rsid w:val="00FA7838"/>
    <w:rsid w:val="00FB1506"/>
    <w:rsid w:val="00FB35F0"/>
    <w:rsid w:val="00FB5140"/>
    <w:rsid w:val="00FC31C2"/>
    <w:rsid w:val="00FC3B67"/>
    <w:rsid w:val="00FD4339"/>
    <w:rsid w:val="00FD5F45"/>
    <w:rsid w:val="00FD634A"/>
    <w:rsid w:val="00FE0A0C"/>
    <w:rsid w:val="00FE2B9C"/>
    <w:rsid w:val="00FE617B"/>
    <w:rsid w:val="00FF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2DC52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testimony"/>
    <w:next w:val="Normal"/>
    <w:qFormat/>
    <w:rsid w:val="00D07104"/>
    <w:pPr>
      <w:widowControl w:val="0"/>
      <w:numPr>
        <w:numId w:val="3"/>
      </w:numPr>
      <w:spacing w:line="480" w:lineRule="auto"/>
      <w:jc w:val="center"/>
      <w:outlineLvl w:val="0"/>
    </w:pPr>
    <w:rPr>
      <w:b/>
    </w:rPr>
  </w:style>
  <w:style w:type="paragraph" w:styleId="Heading2">
    <w:name w:val="heading 2"/>
    <w:basedOn w:val="testimony"/>
    <w:next w:val="Normal"/>
    <w:qFormat/>
    <w:rsid w:val="001066B0"/>
    <w:pPr>
      <w:widowControl w:val="0"/>
      <w:numPr>
        <w:numId w:val="15"/>
      </w:numPr>
      <w:tabs>
        <w:tab w:val="clear" w:pos="720"/>
        <w:tab w:val="left" w:pos="360"/>
      </w:tabs>
      <w:spacing w:line="480" w:lineRule="auto"/>
      <w:ind w:left="0" w:firstLine="0"/>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FA7838"/>
    <w:pPr>
      <w:keepNext/>
      <w:spacing w:before="240" w:after="60"/>
      <w:outlineLvl w:val="3"/>
    </w:pPr>
    <w:rPr>
      <w:rFonts w:ascii="Calibri" w:hAnsi="Calibri"/>
      <w:b/>
      <w:bCs/>
      <w:sz w:val="28"/>
      <w:szCs w:val="28"/>
    </w:rPr>
  </w:style>
  <w:style w:type="paragraph" w:styleId="Heading5">
    <w:name w:val="heading 5"/>
    <w:basedOn w:val="Normal"/>
    <w:next w:val="Normal"/>
    <w:qFormat/>
    <w:pPr>
      <w:keepNext/>
      <w:numPr>
        <w:numId w:val="1"/>
      </w:numPr>
      <w:spacing w:before="240" w:line="288" w:lineRule="auto"/>
      <w:ind w:hanging="720"/>
      <w:outlineLvl w:val="4"/>
    </w:pPr>
    <w:rPr>
      <w:rFonts w:ascii="Palatino Linotype" w:hAnsi="Palatino Linotype"/>
      <w:b/>
      <w:bCs/>
    </w:rPr>
  </w:style>
  <w:style w:type="paragraph" w:styleId="Heading7">
    <w:name w:val="heading 7"/>
    <w:basedOn w:val="Normal"/>
    <w:next w:val="Normal"/>
    <w:qFormat/>
    <w:pPr>
      <w:widowControl w:val="0"/>
      <w:autoSpaceDE w:val="0"/>
      <w:autoSpaceDN w:val="0"/>
      <w:adjustRightInd w:val="0"/>
      <w:spacing w:before="240" w:after="60"/>
      <w:outlineLvl w:val="6"/>
    </w:pPr>
  </w:style>
  <w:style w:type="paragraph" w:styleId="Heading8">
    <w:name w:val="heading 8"/>
    <w:basedOn w:val="Normal"/>
    <w:next w:val="Normal"/>
    <w:qFormat/>
    <w:pPr>
      <w:widowControl w:val="0"/>
      <w:autoSpaceDE w:val="0"/>
      <w:autoSpaceDN w:val="0"/>
      <w:adjustRightInd w:val="0"/>
      <w:spacing w:before="240" w:after="60"/>
      <w:outlineLvl w:val="7"/>
    </w:pPr>
    <w:rPr>
      <w:i/>
      <w:iCs/>
    </w:rPr>
  </w:style>
  <w:style w:type="paragraph" w:styleId="Heading9">
    <w:name w:val="heading 9"/>
    <w:basedOn w:val="Normal"/>
    <w:next w:val="Normal"/>
    <w:qFormat/>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2,Footnote Text Char1 Char,Footnote Text Char Char Char,Footnote Text Char3 Char Char Char,Footnote Text Char2 Char Char1 Char Char,Footnote Text Char Char Char Char Char Char,fn Char1,Footnote Text Char1,fn Char,fn,f,fn "/>
    <w:basedOn w:val="Normal"/>
    <w:link w:val="FootnoteTextChar"/>
    <w:qFormat/>
    <w:rPr>
      <w:sz w:val="20"/>
      <w:szCs w:val="20"/>
    </w:rPr>
  </w:style>
  <w:style w:type="character" w:styleId="FootnoteReference">
    <w:name w:val="footnote reference"/>
    <w:aliases w:val="o,fr,Style 3,Style 13,Appel note de bas de p,Style 12,(NECG) Footnote Reference,Style 124,FR,Style 17,Footnote Reference/,Style 6,Style 4,Style 7,Footnote Reference1,Style 34,Style 9,o1,o2,o3,o4,o5,o6,o11,o21,o7,Style 20,Style 15"/>
    <w:rPr>
      <w:vertAlign w:val="superscript"/>
    </w:rPr>
  </w:style>
  <w:style w:type="paragraph" w:styleId="Title">
    <w:name w:val="Title"/>
    <w:basedOn w:val="Normal"/>
    <w:qFormat/>
    <w:pPr>
      <w:tabs>
        <w:tab w:val="left" w:pos="360"/>
      </w:tabs>
      <w:ind w:left="360" w:hanging="360"/>
      <w:jc w:val="center"/>
    </w:pPr>
    <w:rPr>
      <w:b/>
      <w:szCs w:val="20"/>
    </w:rPr>
  </w:style>
  <w:style w:type="paragraph" w:customStyle="1" w:styleId="Level1">
    <w:name w:val="Level 1"/>
    <w:basedOn w:val="Normal"/>
    <w:pPr>
      <w:widowControl w:val="0"/>
      <w:autoSpaceDE w:val="0"/>
      <w:autoSpaceDN w:val="0"/>
      <w:adjustRightInd w:val="0"/>
      <w:ind w:left="720" w:hanging="7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
    <w:name w:val="Body Text"/>
    <w:basedOn w:val="Normal"/>
    <w:pPr>
      <w:jc w:val="both"/>
    </w:pPr>
    <w:rPr>
      <w:szCs w:val="20"/>
    </w:rPr>
  </w:style>
  <w:style w:type="paragraph" w:styleId="BodyTextIndent">
    <w:name w:val="Body Text Indent"/>
    <w:basedOn w:val="Normal"/>
    <w:pPr>
      <w:spacing w:line="360" w:lineRule="auto"/>
      <w:ind w:left="720" w:hanging="720"/>
    </w:pPr>
    <w:rPr>
      <w:szCs w:val="20"/>
    </w:rPr>
  </w:style>
  <w:style w:type="paragraph" w:styleId="BodyTextIndent2">
    <w:name w:val="Body Text Indent 2"/>
    <w:basedOn w:val="Normal"/>
    <w:pPr>
      <w:spacing w:line="360" w:lineRule="auto"/>
      <w:ind w:left="720" w:hanging="720"/>
      <w:jc w:val="both"/>
    </w:pPr>
    <w:rPr>
      <w:szCs w:val="20"/>
    </w:rPr>
  </w:style>
  <w:style w:type="paragraph" w:styleId="BodyTextIndent3">
    <w:name w:val="Body Text Indent 3"/>
    <w:basedOn w:val="Normal"/>
    <w:pPr>
      <w:spacing w:line="360" w:lineRule="auto"/>
      <w:ind w:left="720" w:hanging="720"/>
      <w:jc w:val="both"/>
    </w:pPr>
    <w:rPr>
      <w:b/>
      <w:szCs w:val="20"/>
    </w:rPr>
  </w:style>
  <w:style w:type="paragraph" w:styleId="BodyText2">
    <w:name w:val="Body Text 2"/>
    <w:basedOn w:val="Normal"/>
    <w:pPr>
      <w:spacing w:line="360" w:lineRule="auto"/>
    </w:pPr>
    <w:rPr>
      <w:b/>
      <w:szCs w:val="20"/>
    </w:rPr>
  </w:style>
  <w:style w:type="paragraph" w:styleId="BodyText3">
    <w:name w:val="Body Text 3"/>
    <w:basedOn w:val="Normal"/>
    <w:pPr>
      <w:spacing w:line="360" w:lineRule="auto"/>
      <w:jc w:val="both"/>
    </w:pPr>
    <w:rPr>
      <w:b/>
      <w:szCs w:val="20"/>
    </w:rPr>
  </w:style>
  <w:style w:type="paragraph" w:customStyle="1" w:styleId="1Roman">
    <w:name w:val="1Roman"/>
    <w:pPr>
      <w:tabs>
        <w:tab w:val="left" w:pos="720"/>
      </w:tabs>
      <w:ind w:left="720" w:hanging="720"/>
    </w:pPr>
    <w:rPr>
      <w:snapToGrid w:val="0"/>
      <w:sz w:val="24"/>
    </w:rPr>
  </w:style>
  <w:style w:type="paragraph" w:customStyle="1" w:styleId="testimony">
    <w:name w:val="testimony"/>
    <w:basedOn w:val="Normal"/>
    <w:pPr>
      <w:tabs>
        <w:tab w:val="left" w:pos="720"/>
        <w:tab w:val="left" w:pos="2160"/>
      </w:tabs>
      <w:spacing w:line="440" w:lineRule="atLeast"/>
      <w:ind w:hanging="360"/>
    </w:pPr>
    <w:rPr>
      <w:rFonts w:ascii="Times" w:hAnsi="Times"/>
      <w:szCs w:val="20"/>
    </w:rPr>
  </w:style>
  <w:style w:type="paragraph" w:customStyle="1" w:styleId="Quote1">
    <w:name w:val="Quote1"/>
    <w:basedOn w:val="testimony"/>
    <w:pPr>
      <w:tabs>
        <w:tab w:val="clear" w:pos="720"/>
      </w:tabs>
      <w:spacing w:line="240" w:lineRule="auto"/>
      <w:ind w:left="1440" w:right="1440" w:firstLine="0"/>
    </w:pPr>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Footnote Text Char1 Char Char,Footnote Text Char Char Char Char,Footnote Text Char3 Char Char Char Char,Footnote Text Char2 Char Char1 Char Char Char,Footnote Text Char Char Char Char Char Char Char,fn Char2"/>
    <w:link w:val="FootnoteText"/>
    <w:rsid w:val="005B2120"/>
  </w:style>
  <w:style w:type="character" w:customStyle="1" w:styleId="Heading4Char">
    <w:name w:val="Heading 4 Char"/>
    <w:link w:val="Heading4"/>
    <w:uiPriority w:val="9"/>
    <w:rsid w:val="00FA7838"/>
    <w:rPr>
      <w:rFonts w:ascii="Calibri" w:eastAsia="Times New Roman" w:hAnsi="Calibri" w:cs="Times New Roman"/>
      <w:b/>
      <w:bCs/>
      <w:sz w:val="28"/>
      <w:szCs w:val="28"/>
    </w:rPr>
  </w:style>
  <w:style w:type="paragraph" w:styleId="ListParagraph">
    <w:name w:val="List Paragraph"/>
    <w:basedOn w:val="Normal"/>
    <w:uiPriority w:val="34"/>
    <w:qFormat/>
    <w:rsid w:val="006972AD"/>
    <w:pPr>
      <w:spacing w:after="160" w:line="259" w:lineRule="auto"/>
      <w:ind w:left="720"/>
      <w:contextualSpacing/>
    </w:pPr>
    <w:rPr>
      <w:rFonts w:ascii="Calibri" w:eastAsia="Calibri" w:hAnsi="Calibri"/>
      <w:sz w:val="22"/>
      <w:szCs w:val="22"/>
    </w:rPr>
  </w:style>
  <w:style w:type="paragraph" w:customStyle="1" w:styleId="Testimony0">
    <w:name w:val="Testimony"/>
    <w:basedOn w:val="Normal"/>
    <w:rsid w:val="00BC16CD"/>
    <w:pPr>
      <w:spacing w:after="180" w:line="360" w:lineRule="auto"/>
      <w:ind w:left="720" w:hanging="720"/>
    </w:pPr>
  </w:style>
  <w:style w:type="paragraph" w:styleId="TOCHeading">
    <w:name w:val="TOC Heading"/>
    <w:basedOn w:val="Heading1"/>
    <w:next w:val="Normal"/>
    <w:uiPriority w:val="39"/>
    <w:unhideWhenUsed/>
    <w:qFormat/>
    <w:rsid w:val="00537CC7"/>
    <w:pPr>
      <w:keepLines/>
      <w:spacing w:line="259" w:lineRule="auto"/>
      <w:outlineLvl w:val="9"/>
    </w:pPr>
    <w:rPr>
      <w:rFonts w:ascii="Calibri Light" w:hAnsi="Calibri Light"/>
      <w:b w:val="0"/>
      <w:bCs/>
      <w:color w:val="2E74B5"/>
    </w:rPr>
  </w:style>
  <w:style w:type="paragraph" w:styleId="TOC1">
    <w:name w:val="toc 1"/>
    <w:basedOn w:val="Normal"/>
    <w:next w:val="Normal"/>
    <w:autoRedefine/>
    <w:uiPriority w:val="39"/>
    <w:unhideWhenUsed/>
    <w:rsid w:val="001967D6"/>
    <w:pPr>
      <w:tabs>
        <w:tab w:val="left" w:pos="630"/>
        <w:tab w:val="right" w:leader="dot" w:pos="9350"/>
      </w:tabs>
      <w:spacing w:after="240"/>
    </w:pPr>
  </w:style>
  <w:style w:type="paragraph" w:styleId="TOC2">
    <w:name w:val="toc 2"/>
    <w:basedOn w:val="Normal"/>
    <w:next w:val="Normal"/>
    <w:autoRedefine/>
    <w:uiPriority w:val="39"/>
    <w:unhideWhenUsed/>
    <w:rsid w:val="00D07104"/>
    <w:pPr>
      <w:tabs>
        <w:tab w:val="right" w:leader="dot" w:pos="9350"/>
      </w:tabs>
      <w:spacing w:line="360" w:lineRule="auto"/>
      <w:jc w:val="center"/>
    </w:pPr>
  </w:style>
  <w:style w:type="paragraph" w:styleId="Revision">
    <w:name w:val="Revision"/>
    <w:hidden/>
    <w:uiPriority w:val="99"/>
    <w:semiHidden/>
    <w:rsid w:val="00622A03"/>
    <w:rPr>
      <w:sz w:val="24"/>
      <w:szCs w:val="24"/>
    </w:rPr>
  </w:style>
  <w:style w:type="paragraph" w:styleId="CommentSubject">
    <w:name w:val="annotation subject"/>
    <w:basedOn w:val="CommentText"/>
    <w:next w:val="CommentText"/>
    <w:link w:val="CommentSubjectChar"/>
    <w:uiPriority w:val="99"/>
    <w:semiHidden/>
    <w:unhideWhenUsed/>
    <w:rsid w:val="005E728B"/>
    <w:rPr>
      <w:b/>
      <w:bCs/>
    </w:rPr>
  </w:style>
  <w:style w:type="character" w:customStyle="1" w:styleId="CommentTextChar">
    <w:name w:val="Comment Text Char"/>
    <w:basedOn w:val="DefaultParagraphFont"/>
    <w:link w:val="CommentText"/>
    <w:semiHidden/>
    <w:rsid w:val="005E728B"/>
  </w:style>
  <w:style w:type="character" w:customStyle="1" w:styleId="CommentSubjectChar">
    <w:name w:val="Comment Subject Char"/>
    <w:link w:val="CommentSubject"/>
    <w:uiPriority w:val="99"/>
    <w:semiHidden/>
    <w:rsid w:val="005E7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58654">
      <w:bodyDiv w:val="1"/>
      <w:marLeft w:val="0"/>
      <w:marRight w:val="0"/>
      <w:marTop w:val="0"/>
      <w:marBottom w:val="0"/>
      <w:divBdr>
        <w:top w:val="none" w:sz="0" w:space="0" w:color="auto"/>
        <w:left w:val="none" w:sz="0" w:space="0" w:color="auto"/>
        <w:bottom w:val="none" w:sz="0" w:space="0" w:color="auto"/>
        <w:right w:val="none" w:sz="0" w:space="0" w:color="auto"/>
      </w:divBdr>
    </w:div>
    <w:div w:id="865020890">
      <w:bodyDiv w:val="1"/>
      <w:marLeft w:val="0"/>
      <w:marRight w:val="0"/>
      <w:marTop w:val="0"/>
      <w:marBottom w:val="0"/>
      <w:divBdr>
        <w:top w:val="none" w:sz="0" w:space="0" w:color="auto"/>
        <w:left w:val="none" w:sz="0" w:space="0" w:color="auto"/>
        <w:bottom w:val="none" w:sz="0" w:space="0" w:color="auto"/>
        <w:right w:val="none" w:sz="0" w:space="0" w:color="auto"/>
      </w:divBdr>
    </w:div>
    <w:div w:id="1121916709">
      <w:bodyDiv w:val="1"/>
      <w:marLeft w:val="0"/>
      <w:marRight w:val="0"/>
      <w:marTop w:val="0"/>
      <w:marBottom w:val="0"/>
      <w:divBdr>
        <w:top w:val="none" w:sz="0" w:space="0" w:color="auto"/>
        <w:left w:val="none" w:sz="0" w:space="0" w:color="auto"/>
        <w:bottom w:val="none" w:sz="0" w:space="0" w:color="auto"/>
        <w:right w:val="none" w:sz="0" w:space="0" w:color="auto"/>
      </w:divBdr>
    </w:div>
    <w:div w:id="1248995689">
      <w:bodyDiv w:val="1"/>
      <w:marLeft w:val="0"/>
      <w:marRight w:val="0"/>
      <w:marTop w:val="0"/>
      <w:marBottom w:val="0"/>
      <w:divBdr>
        <w:top w:val="none" w:sz="0" w:space="0" w:color="auto"/>
        <w:left w:val="none" w:sz="0" w:space="0" w:color="auto"/>
        <w:bottom w:val="none" w:sz="0" w:space="0" w:color="auto"/>
        <w:right w:val="none" w:sz="0" w:space="0" w:color="auto"/>
      </w:divBdr>
    </w:div>
    <w:div w:id="1506822606">
      <w:bodyDiv w:val="1"/>
      <w:marLeft w:val="0"/>
      <w:marRight w:val="0"/>
      <w:marTop w:val="0"/>
      <w:marBottom w:val="0"/>
      <w:divBdr>
        <w:top w:val="none" w:sz="0" w:space="0" w:color="auto"/>
        <w:left w:val="none" w:sz="0" w:space="0" w:color="auto"/>
        <w:bottom w:val="none" w:sz="0" w:space="0" w:color="auto"/>
        <w:right w:val="none" w:sz="0" w:space="0" w:color="auto"/>
      </w:divBdr>
    </w:div>
    <w:div w:id="1891922092">
      <w:bodyDiv w:val="1"/>
      <w:marLeft w:val="0"/>
      <w:marRight w:val="0"/>
      <w:marTop w:val="0"/>
      <w:marBottom w:val="0"/>
      <w:divBdr>
        <w:top w:val="none" w:sz="0" w:space="0" w:color="auto"/>
        <w:left w:val="none" w:sz="0" w:space="0" w:color="auto"/>
        <w:bottom w:val="none" w:sz="0" w:space="0" w:color="auto"/>
        <w:right w:val="none" w:sz="0" w:space="0" w:color="auto"/>
      </w:divBdr>
    </w:div>
    <w:div w:id="1958178633">
      <w:bodyDiv w:val="1"/>
      <w:marLeft w:val="0"/>
      <w:marRight w:val="0"/>
      <w:marTop w:val="0"/>
      <w:marBottom w:val="0"/>
      <w:divBdr>
        <w:top w:val="none" w:sz="0" w:space="0" w:color="auto"/>
        <w:left w:val="none" w:sz="0" w:space="0" w:color="auto"/>
        <w:bottom w:val="none" w:sz="0" w:space="0" w:color="auto"/>
        <w:right w:val="none" w:sz="0" w:space="0" w:color="auto"/>
      </w:divBdr>
    </w:div>
    <w:div w:id="21345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90817A385A0A4C85DA873F006238BE" ma:contentTypeVersion="104" ma:contentTypeDescription="" ma:contentTypeScope="" ma:versionID="16be4886609ca64a4e4515c362ef5b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2017-10-27T07:00:00+00:00</OpenedDate>
    <SignificantOrder xmlns="dc463f71-b30c-4ab2-9473-d307f9d35888">false</SignificantOrder>
    <Date1 xmlns="dc463f71-b30c-4ab2-9473-d307f9d35888">2018-06-01T07:00:00+00:00</Date1>
    <IsDocumentOrder xmlns="dc463f71-b30c-4ab2-9473-d307f9d35888">false</IsDocumentOrder>
    <IsHighlyConfidential xmlns="dc463f71-b30c-4ab2-9473-d307f9d35888">false</IsHighlyConfidential>
    <CaseCompanyNames xmlns="dc463f71-b30c-4ab2-9473-d307f9d35888">Qwest Corporation;CenturyLink Communications LLC</CaseCompanyNames>
    <Nickname xmlns="http://schemas.microsoft.com/sharepoint/v3" xsi:nil="true"/>
    <DocketNumber xmlns="dc463f71-b30c-4ab2-9473-d307f9d35888">171082</DocketNumber>
    <DelegatedOrder xmlns="dc463f71-b30c-4ab2-9473-d307f9d35888">false</DelegatedOrder>
  </documentManagement>
</p:properties>
</file>

<file path=customXml/itemProps1.xml><?xml version="1.0" encoding="utf-8"?>
<ds:datastoreItem xmlns:ds="http://schemas.openxmlformats.org/officeDocument/2006/customXml" ds:itemID="{6B2F117F-EEAB-4496-98B0-C3F8FCCBBDC2}">
  <ds:schemaRefs>
    <ds:schemaRef ds:uri="http://schemas.openxmlformats.org/officeDocument/2006/bibliography"/>
  </ds:schemaRefs>
</ds:datastoreItem>
</file>

<file path=customXml/itemProps2.xml><?xml version="1.0" encoding="utf-8"?>
<ds:datastoreItem xmlns:ds="http://schemas.openxmlformats.org/officeDocument/2006/customXml" ds:itemID="{753FCDF4-D107-4712-BC2D-364CFFF06EFD}"/>
</file>

<file path=customXml/itemProps3.xml><?xml version="1.0" encoding="utf-8"?>
<ds:datastoreItem xmlns:ds="http://schemas.openxmlformats.org/officeDocument/2006/customXml" ds:itemID="{585C648B-377D-49A1-9460-E61E577DB239}"/>
</file>

<file path=customXml/itemProps4.xml><?xml version="1.0" encoding="utf-8"?>
<ds:datastoreItem xmlns:ds="http://schemas.openxmlformats.org/officeDocument/2006/customXml" ds:itemID="{789908BC-9A1D-432F-B267-2BB418FF79E5}"/>
</file>

<file path=customXml/itemProps5.xml><?xml version="1.0" encoding="utf-8"?>
<ds:datastoreItem xmlns:ds="http://schemas.openxmlformats.org/officeDocument/2006/customXml" ds:itemID="{3CEEE230-3207-4360-AA68-D71D7419CFC0}"/>
</file>

<file path=docProps/app.xml><?xml version="1.0" encoding="utf-8"?>
<Properties xmlns="http://schemas.openxmlformats.org/officeDocument/2006/extended-properties" xmlns:vt="http://schemas.openxmlformats.org/officeDocument/2006/docPropsVTypes">
  <Template>Normal.dotm</Template>
  <TotalTime>0</TotalTime>
  <Pages>42</Pages>
  <Words>8462</Words>
  <Characters>48697</Characters>
  <Application>Microsoft Office Word</Application>
  <DocSecurity>0</DocSecurity>
  <Lines>405</Lines>
  <Paragraphs>114</Paragraphs>
  <ScaleCrop>false</ScaleCrop>
  <Company/>
  <LinksUpToDate>false</LinksUpToDate>
  <CharactersWithSpaces>57045</CharactersWithSpaces>
  <SharedDoc>false</SharedDoc>
  <HLinks>
    <vt:vector size="72" baseType="variant">
      <vt:variant>
        <vt:i4>1441843</vt:i4>
      </vt:variant>
      <vt:variant>
        <vt:i4>68</vt:i4>
      </vt:variant>
      <vt:variant>
        <vt:i4>0</vt:i4>
      </vt:variant>
      <vt:variant>
        <vt:i4>5</vt:i4>
      </vt:variant>
      <vt:variant>
        <vt:lpwstr/>
      </vt:variant>
      <vt:variant>
        <vt:lpwstr>_Toc515531046</vt:lpwstr>
      </vt:variant>
      <vt:variant>
        <vt:i4>1441843</vt:i4>
      </vt:variant>
      <vt:variant>
        <vt:i4>62</vt:i4>
      </vt:variant>
      <vt:variant>
        <vt:i4>0</vt:i4>
      </vt:variant>
      <vt:variant>
        <vt:i4>5</vt:i4>
      </vt:variant>
      <vt:variant>
        <vt:lpwstr/>
      </vt:variant>
      <vt:variant>
        <vt:lpwstr>_Toc515531045</vt:lpwstr>
      </vt:variant>
      <vt:variant>
        <vt:i4>1441843</vt:i4>
      </vt:variant>
      <vt:variant>
        <vt:i4>56</vt:i4>
      </vt:variant>
      <vt:variant>
        <vt:i4>0</vt:i4>
      </vt:variant>
      <vt:variant>
        <vt:i4>5</vt:i4>
      </vt:variant>
      <vt:variant>
        <vt:lpwstr/>
      </vt:variant>
      <vt:variant>
        <vt:lpwstr>_Toc515531044</vt:lpwstr>
      </vt:variant>
      <vt:variant>
        <vt:i4>1441843</vt:i4>
      </vt:variant>
      <vt:variant>
        <vt:i4>50</vt:i4>
      </vt:variant>
      <vt:variant>
        <vt:i4>0</vt:i4>
      </vt:variant>
      <vt:variant>
        <vt:i4>5</vt:i4>
      </vt:variant>
      <vt:variant>
        <vt:lpwstr/>
      </vt:variant>
      <vt:variant>
        <vt:lpwstr>_Toc515531043</vt:lpwstr>
      </vt:variant>
      <vt:variant>
        <vt:i4>1441843</vt:i4>
      </vt:variant>
      <vt:variant>
        <vt:i4>44</vt:i4>
      </vt:variant>
      <vt:variant>
        <vt:i4>0</vt:i4>
      </vt:variant>
      <vt:variant>
        <vt:i4>5</vt:i4>
      </vt:variant>
      <vt:variant>
        <vt:lpwstr/>
      </vt:variant>
      <vt:variant>
        <vt:lpwstr>_Toc515531042</vt:lpwstr>
      </vt:variant>
      <vt:variant>
        <vt:i4>1441843</vt:i4>
      </vt:variant>
      <vt:variant>
        <vt:i4>38</vt:i4>
      </vt:variant>
      <vt:variant>
        <vt:i4>0</vt:i4>
      </vt:variant>
      <vt:variant>
        <vt:i4>5</vt:i4>
      </vt:variant>
      <vt:variant>
        <vt:lpwstr/>
      </vt:variant>
      <vt:variant>
        <vt:lpwstr>_Toc515531041</vt:lpwstr>
      </vt:variant>
      <vt:variant>
        <vt:i4>1441843</vt:i4>
      </vt:variant>
      <vt:variant>
        <vt:i4>32</vt:i4>
      </vt:variant>
      <vt:variant>
        <vt:i4>0</vt:i4>
      </vt:variant>
      <vt:variant>
        <vt:i4>5</vt:i4>
      </vt:variant>
      <vt:variant>
        <vt:lpwstr/>
      </vt:variant>
      <vt:variant>
        <vt:lpwstr>_Toc515531040</vt:lpwstr>
      </vt:variant>
      <vt:variant>
        <vt:i4>1114163</vt:i4>
      </vt:variant>
      <vt:variant>
        <vt:i4>26</vt:i4>
      </vt:variant>
      <vt:variant>
        <vt:i4>0</vt:i4>
      </vt:variant>
      <vt:variant>
        <vt:i4>5</vt:i4>
      </vt:variant>
      <vt:variant>
        <vt:lpwstr/>
      </vt:variant>
      <vt:variant>
        <vt:lpwstr>_Toc515531039</vt:lpwstr>
      </vt:variant>
      <vt:variant>
        <vt:i4>1114163</vt:i4>
      </vt:variant>
      <vt:variant>
        <vt:i4>20</vt:i4>
      </vt:variant>
      <vt:variant>
        <vt:i4>0</vt:i4>
      </vt:variant>
      <vt:variant>
        <vt:i4>5</vt:i4>
      </vt:variant>
      <vt:variant>
        <vt:lpwstr/>
      </vt:variant>
      <vt:variant>
        <vt:lpwstr>_Toc515531038</vt:lpwstr>
      </vt:variant>
      <vt:variant>
        <vt:i4>1114163</vt:i4>
      </vt:variant>
      <vt:variant>
        <vt:i4>14</vt:i4>
      </vt:variant>
      <vt:variant>
        <vt:i4>0</vt:i4>
      </vt:variant>
      <vt:variant>
        <vt:i4>5</vt:i4>
      </vt:variant>
      <vt:variant>
        <vt:lpwstr/>
      </vt:variant>
      <vt:variant>
        <vt:lpwstr>_Toc515531037</vt:lpwstr>
      </vt:variant>
      <vt:variant>
        <vt:i4>1114163</vt:i4>
      </vt:variant>
      <vt:variant>
        <vt:i4>8</vt:i4>
      </vt:variant>
      <vt:variant>
        <vt:i4>0</vt:i4>
      </vt:variant>
      <vt:variant>
        <vt:i4>5</vt:i4>
      </vt:variant>
      <vt:variant>
        <vt:lpwstr/>
      </vt:variant>
      <vt:variant>
        <vt:lpwstr>_Toc515531036</vt:lpwstr>
      </vt:variant>
      <vt:variant>
        <vt:i4>1114163</vt:i4>
      </vt:variant>
      <vt:variant>
        <vt:i4>2</vt:i4>
      </vt:variant>
      <vt:variant>
        <vt:i4>0</vt:i4>
      </vt:variant>
      <vt:variant>
        <vt:i4>5</vt:i4>
      </vt:variant>
      <vt:variant>
        <vt:lpwstr/>
      </vt:variant>
      <vt:variant>
        <vt:lpwstr>_Toc515531035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2018-06-01T15:47:00Z</dcterms:created>
  <dcterms:modified xsi:type="dcterms:W3CDTF">2018-06-01T15:47:00Z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0x0101006E56B4D1795A2E4DB2F0B01679ED314A008590817A385A0A4C85DA873F006238BE</vt:lpwstr>
  </property>
  <property fmtid="{D5CDD505-2E9C-101B-9397-08002B2CF9AE}" pid="3" name="_docset_NoMedatataSyncRequired">
    <vt:lpwstr>False</vt:lpwstr>
  </property>
  <property fmtid="{D5CDD505-2E9C-101B-9397-08002B2CF9AE}" pid="4" name="IsEFSEC">
    <vt:bool>false</vt:bool>
  </property>
</Properties>
</file>