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2B" w:rsidRPr="00822FB4" w:rsidRDefault="00822FB4" w:rsidP="00CE410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3EFD76" wp14:editId="388E60EC">
            <wp:simplePos x="0" y="0"/>
            <wp:positionH relativeFrom="column">
              <wp:posOffset>-38100</wp:posOffset>
            </wp:positionH>
            <wp:positionV relativeFrom="paragraph">
              <wp:posOffset>17780</wp:posOffset>
            </wp:positionV>
            <wp:extent cx="2705100" cy="1028700"/>
            <wp:effectExtent l="0" t="0" r="0" b="0"/>
            <wp:wrapNone/>
            <wp:docPr id="2" name="Picture 2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91D" w:rsidRPr="00822FB4" w:rsidRDefault="00AB491D" w:rsidP="00CE4100">
      <w:pPr>
        <w:rPr>
          <w:sz w:val="24"/>
          <w:szCs w:val="24"/>
        </w:rPr>
      </w:pPr>
    </w:p>
    <w:p w:rsidR="00AB491D" w:rsidRPr="00822FB4" w:rsidRDefault="00AB491D" w:rsidP="00CE4100">
      <w:pPr>
        <w:rPr>
          <w:sz w:val="24"/>
          <w:szCs w:val="24"/>
        </w:rPr>
      </w:pPr>
    </w:p>
    <w:p w:rsidR="00AB491D" w:rsidRPr="00822FB4" w:rsidRDefault="00AB491D" w:rsidP="00CE4100">
      <w:pPr>
        <w:rPr>
          <w:sz w:val="24"/>
          <w:szCs w:val="24"/>
        </w:rPr>
      </w:pPr>
    </w:p>
    <w:p w:rsidR="00AB491D" w:rsidRPr="00822FB4" w:rsidRDefault="00AB491D" w:rsidP="00CE4100">
      <w:pPr>
        <w:rPr>
          <w:sz w:val="24"/>
          <w:szCs w:val="24"/>
        </w:rPr>
      </w:pPr>
    </w:p>
    <w:p w:rsidR="00CE4100" w:rsidRPr="00822FB4" w:rsidRDefault="00CE4100" w:rsidP="00CE4100">
      <w:pPr>
        <w:rPr>
          <w:sz w:val="24"/>
          <w:szCs w:val="24"/>
        </w:rPr>
      </w:pPr>
    </w:p>
    <w:p w:rsidR="008F252B" w:rsidRPr="00822FB4" w:rsidRDefault="008F252B">
      <w:pPr>
        <w:ind w:left="3600" w:firstLine="720"/>
        <w:rPr>
          <w:sz w:val="24"/>
          <w:szCs w:val="24"/>
        </w:rPr>
      </w:pPr>
    </w:p>
    <w:p w:rsidR="008F252B" w:rsidRPr="00BE3468" w:rsidRDefault="008F252B">
      <w:pPr>
        <w:rPr>
          <w:sz w:val="24"/>
          <w:szCs w:val="24"/>
        </w:rPr>
      </w:pPr>
    </w:p>
    <w:p w:rsidR="003C2111" w:rsidRPr="00BE3468" w:rsidRDefault="003C2111" w:rsidP="00C514E0">
      <w:pPr>
        <w:rPr>
          <w:sz w:val="24"/>
          <w:szCs w:val="24"/>
        </w:rPr>
      </w:pPr>
    </w:p>
    <w:p w:rsidR="00BE3468" w:rsidRPr="00BE3468" w:rsidRDefault="00BE3468" w:rsidP="00BE3468">
      <w:pPr>
        <w:tabs>
          <w:tab w:val="left" w:pos="3600"/>
        </w:tabs>
        <w:rPr>
          <w:sz w:val="24"/>
          <w:szCs w:val="24"/>
        </w:rPr>
      </w:pPr>
      <w:r w:rsidRPr="00BE3468">
        <w:rPr>
          <w:sz w:val="24"/>
          <w:szCs w:val="24"/>
        </w:rPr>
        <w:t>February 2</w:t>
      </w:r>
      <w:r w:rsidR="00EE6A6C">
        <w:rPr>
          <w:sz w:val="24"/>
          <w:szCs w:val="24"/>
        </w:rPr>
        <w:t>6</w:t>
      </w:r>
      <w:r w:rsidRPr="00BE3468">
        <w:rPr>
          <w:sz w:val="24"/>
          <w:szCs w:val="24"/>
        </w:rPr>
        <w:t>, 2016</w:t>
      </w:r>
    </w:p>
    <w:p w:rsid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outlineLvl w:val="0"/>
        <w:rPr>
          <w:b/>
          <w:sz w:val="24"/>
          <w:szCs w:val="24"/>
        </w:rPr>
      </w:pPr>
      <w:r w:rsidRPr="00BE3468">
        <w:rPr>
          <w:b/>
          <w:sz w:val="24"/>
          <w:szCs w:val="24"/>
        </w:rPr>
        <w:t>Via Web Portal and Overnight Courier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>Mr. Steven V. King, Executive Director and Secretary</w:t>
      </w: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>Washington Utilities and Transportation Commission</w:t>
      </w: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>P.O. Box 47250</w:t>
      </w: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>Olympia, WA 98504-7250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tabs>
          <w:tab w:val="left" w:pos="540"/>
        </w:tabs>
        <w:rPr>
          <w:b/>
          <w:sz w:val="24"/>
          <w:szCs w:val="24"/>
        </w:rPr>
      </w:pPr>
      <w:r w:rsidRPr="00BE3468">
        <w:rPr>
          <w:b/>
          <w:sz w:val="24"/>
          <w:szCs w:val="24"/>
        </w:rPr>
        <w:t>Re:</w:t>
      </w:r>
      <w:r w:rsidRPr="00BE3468">
        <w:rPr>
          <w:b/>
          <w:sz w:val="24"/>
          <w:szCs w:val="24"/>
        </w:rPr>
        <w:tab/>
        <w:t>Docket No. UE-132043</w:t>
      </w:r>
    </w:p>
    <w:p w:rsidR="00BE3468" w:rsidRPr="00BE3468" w:rsidRDefault="00BE3468" w:rsidP="00BE3468">
      <w:pPr>
        <w:autoSpaceDE w:val="0"/>
        <w:autoSpaceDN w:val="0"/>
        <w:adjustRightInd w:val="0"/>
        <w:ind w:left="540"/>
        <w:rPr>
          <w:b/>
          <w:bCs/>
          <w:sz w:val="24"/>
          <w:szCs w:val="24"/>
        </w:rPr>
      </w:pPr>
      <w:r w:rsidRPr="00BE3468">
        <w:rPr>
          <w:b/>
          <w:bCs/>
          <w:sz w:val="24"/>
          <w:szCs w:val="24"/>
        </w:rPr>
        <w:t>2015 Annual Report of Energy Conservation Accomplishments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>Dear Mr. King,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 xml:space="preserve">Enclosed are an original and three copies of Puget Sound Energy’s (“PSE”) 2015 Annual Report of Energy Efficiency Conservation Accomplishments (the “Annual Report”).  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>This Annual Report was prepared and is submitted in accordance with WAC 480-109-120(3) and Condition (8</w:t>
      </w:r>
      <w:proofErr w:type="gramStart"/>
      <w:r w:rsidRPr="00BE3468">
        <w:rPr>
          <w:sz w:val="24"/>
          <w:szCs w:val="24"/>
        </w:rPr>
        <w:t>)(</w:t>
      </w:r>
      <w:proofErr w:type="gramEnd"/>
      <w:r w:rsidRPr="00BE3468">
        <w:rPr>
          <w:sz w:val="24"/>
          <w:szCs w:val="24"/>
        </w:rPr>
        <w:t xml:space="preserve">b) of Attachment A - Amended in Order 04, Docket No. </w:t>
      </w:r>
      <w:proofErr w:type="gramStart"/>
      <w:r w:rsidRPr="00BE3468">
        <w:rPr>
          <w:sz w:val="24"/>
          <w:szCs w:val="24"/>
        </w:rPr>
        <w:t>UE</w:t>
      </w:r>
      <w:r w:rsidRPr="00BE3468">
        <w:rPr>
          <w:sz w:val="24"/>
          <w:szCs w:val="24"/>
        </w:rPr>
        <w:noBreakHyphen/>
        <w:t>132043, Required Reports and Filings.</w:t>
      </w:r>
      <w:proofErr w:type="gramEnd"/>
      <w:r w:rsidRPr="00BE3468">
        <w:rPr>
          <w:rStyle w:val="FootnoteReference"/>
          <w:sz w:val="24"/>
          <w:szCs w:val="24"/>
        </w:rPr>
        <w:footnoteReference w:id="1"/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>Results outlined in the Annual Report indicate that PSE’s Energy Efficiency Portfolio achieved 282,600 Megawatt-hours (MWh), or 32.3 average megawatts (</w:t>
      </w:r>
      <w:proofErr w:type="spellStart"/>
      <w:r w:rsidRPr="00BE3468">
        <w:rPr>
          <w:sz w:val="24"/>
          <w:szCs w:val="24"/>
        </w:rPr>
        <w:t>aMW</w:t>
      </w:r>
      <w:proofErr w:type="spellEnd"/>
      <w:r w:rsidRPr="00BE3468">
        <w:rPr>
          <w:sz w:val="24"/>
          <w:szCs w:val="24"/>
        </w:rPr>
        <w:t xml:space="preserve">) of electric conservation and 3.24 million therms of natural gas conservation in 2015.  These figures exceeded the overall 2015 goals by 2 percent and 5 percent, respectively.  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>Electric expenditures to acquire cost-effective energy conservation were $93.2</w:t>
      </w:r>
      <w:r w:rsidRPr="00BE3468">
        <w:rPr>
          <w:rStyle w:val="FootnoteReference"/>
          <w:sz w:val="24"/>
          <w:szCs w:val="24"/>
        </w:rPr>
        <w:footnoteReference w:id="2"/>
      </w:r>
      <w:r w:rsidRPr="00BE3468">
        <w:rPr>
          <w:sz w:val="24"/>
          <w:szCs w:val="24"/>
        </w:rPr>
        <w:t xml:space="preserve"> million or 6 percent under anticipated spending.  Natural gas program expenditures were $13.1 million, and were commensurate with anticipated spending.  PSE provides detailed expenditure and saving figures for electric and natural gas conservation programs in the Annual Report’s Exhibit 1: 2015 Savings and Expenditures.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 xml:space="preserve">As has been PSE’s long-standing continuous improvement practice, the 2015 Annual Report contains a number of enhancements, some in response to Regulatory Stakeholder requests and suggestions.  Most are readability and organizational improvements; including Chapter outline references, expanding Exhibit 1 into a two-page document, and simplified Business Energy Management program measure tables. 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tabs>
          <w:tab w:val="left" w:pos="1260"/>
        </w:tabs>
        <w:rPr>
          <w:sz w:val="24"/>
          <w:szCs w:val="24"/>
        </w:rPr>
      </w:pPr>
      <w:r w:rsidRPr="00BE3468">
        <w:rPr>
          <w:sz w:val="24"/>
          <w:szCs w:val="24"/>
        </w:rPr>
        <w:t>The entire Annual Report package consists of: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ind w:left="360"/>
        <w:rPr>
          <w:sz w:val="24"/>
          <w:szCs w:val="24"/>
        </w:rPr>
      </w:pPr>
      <w:r w:rsidRPr="00BE3468">
        <w:rPr>
          <w:sz w:val="24"/>
          <w:szCs w:val="24"/>
        </w:rPr>
        <w:t>Volume 1:  The 2015 Annual Report of Energy Conservation Accomplishments</w:t>
      </w:r>
    </w:p>
    <w:p w:rsidR="00BE3468" w:rsidRPr="00BE3468" w:rsidRDefault="00BE3468" w:rsidP="00BE3468">
      <w:pPr>
        <w:ind w:left="360" w:firstLine="360"/>
        <w:rPr>
          <w:sz w:val="24"/>
          <w:szCs w:val="24"/>
        </w:rPr>
      </w:pPr>
      <w:r w:rsidRPr="00BE3468">
        <w:rPr>
          <w:sz w:val="24"/>
          <w:szCs w:val="24"/>
        </w:rPr>
        <w:t>Exhibit 1 - 2015 Expenditures and Savings, including Supplements 1 through 4</w:t>
      </w:r>
    </w:p>
    <w:p w:rsidR="00BE3468" w:rsidRPr="00BE3468" w:rsidRDefault="00BE3468" w:rsidP="00BE3468">
      <w:pPr>
        <w:ind w:left="360" w:firstLine="360"/>
        <w:rPr>
          <w:sz w:val="24"/>
          <w:szCs w:val="24"/>
        </w:rPr>
      </w:pPr>
      <w:r w:rsidRPr="00BE3468">
        <w:rPr>
          <w:sz w:val="24"/>
          <w:szCs w:val="24"/>
        </w:rPr>
        <w:t>Exhibit 2 - 2015 Program-level Cost-Effectiveness Calculations</w:t>
      </w:r>
    </w:p>
    <w:p w:rsidR="00BE3468" w:rsidRPr="00BE3468" w:rsidRDefault="00BE3468" w:rsidP="00BE3468">
      <w:pPr>
        <w:ind w:left="360" w:firstLine="360"/>
        <w:rPr>
          <w:sz w:val="24"/>
          <w:szCs w:val="24"/>
        </w:rPr>
      </w:pPr>
      <w:r w:rsidRPr="00BE3468">
        <w:rPr>
          <w:sz w:val="24"/>
          <w:szCs w:val="24"/>
        </w:rPr>
        <w:t xml:space="preserve">Exhibit 5 - Prescriptive and Selected Calculated Measures, Supplements 1 and 2 </w:t>
      </w:r>
    </w:p>
    <w:p w:rsidR="00BE3468" w:rsidRPr="00BE3468" w:rsidRDefault="00BE3468" w:rsidP="00BE3468">
      <w:pPr>
        <w:ind w:left="360" w:firstLine="360"/>
        <w:rPr>
          <w:sz w:val="24"/>
          <w:szCs w:val="24"/>
        </w:rPr>
      </w:pPr>
      <w:r w:rsidRPr="00BE3468">
        <w:rPr>
          <w:sz w:val="24"/>
          <w:szCs w:val="24"/>
        </w:rPr>
        <w:t xml:space="preserve">Exhibit 9 - Condition Compliance Checklist </w:t>
      </w:r>
    </w:p>
    <w:p w:rsidR="00BE3468" w:rsidRPr="00BE3468" w:rsidRDefault="00BE3468" w:rsidP="00BE3468">
      <w:pPr>
        <w:ind w:left="360" w:firstLine="360"/>
        <w:rPr>
          <w:sz w:val="24"/>
          <w:szCs w:val="24"/>
        </w:rPr>
      </w:pPr>
      <w:r w:rsidRPr="00BE3468">
        <w:rPr>
          <w:sz w:val="24"/>
          <w:szCs w:val="24"/>
        </w:rPr>
        <w:t>Exhibit 10 - 2015 NEEA Accomplishments</w:t>
      </w:r>
    </w:p>
    <w:p w:rsidR="00BE3468" w:rsidRPr="00BE3468" w:rsidRDefault="00BE3468" w:rsidP="00BE3468">
      <w:pPr>
        <w:ind w:left="360"/>
        <w:rPr>
          <w:sz w:val="24"/>
          <w:szCs w:val="24"/>
        </w:rPr>
      </w:pPr>
      <w:r w:rsidRPr="00BE3468">
        <w:rPr>
          <w:sz w:val="24"/>
          <w:szCs w:val="24"/>
        </w:rPr>
        <w:t>Volume 2:  Exhibit 6, Supplement 1 - Completed 2015 Evaluation Studies.</w:t>
      </w:r>
      <w:r w:rsidRPr="00BE3468" w:rsidDel="00F47E02">
        <w:rPr>
          <w:sz w:val="24"/>
          <w:szCs w:val="24"/>
        </w:rPr>
        <w:t xml:space="preserve"> 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 xml:space="preserve">PSE </w:t>
      </w:r>
      <w:r w:rsidR="00EE6A6C">
        <w:rPr>
          <w:sz w:val="24"/>
          <w:szCs w:val="24"/>
        </w:rPr>
        <w:t>will</w:t>
      </w:r>
      <w:r w:rsidR="003F5DB7">
        <w:rPr>
          <w:sz w:val="24"/>
          <w:szCs w:val="24"/>
        </w:rPr>
        <w:t xml:space="preserve"> provid</w:t>
      </w:r>
      <w:r w:rsidR="00EE6A6C">
        <w:rPr>
          <w:sz w:val="24"/>
          <w:szCs w:val="24"/>
        </w:rPr>
        <w:t>e</w:t>
      </w:r>
      <w:r w:rsidRPr="00BE3468">
        <w:rPr>
          <w:sz w:val="24"/>
          <w:szCs w:val="24"/>
        </w:rPr>
        <w:t xml:space="preserve"> an electronic version of the Report to its Conservation Resource Advisory Group (“CRAG”</w:t>
      </w:r>
      <w:bookmarkStart w:id="0" w:name="_GoBack"/>
      <w:bookmarkEnd w:id="0"/>
      <w:r w:rsidRPr="00BE3468">
        <w:rPr>
          <w:sz w:val="24"/>
          <w:szCs w:val="24"/>
        </w:rPr>
        <w:t xml:space="preserve">) on February </w:t>
      </w:r>
      <w:r w:rsidRPr="003F5DB7">
        <w:rPr>
          <w:sz w:val="24"/>
          <w:szCs w:val="24"/>
        </w:rPr>
        <w:t>29</w:t>
      </w:r>
      <w:r w:rsidRPr="00BE3468">
        <w:rPr>
          <w:sz w:val="24"/>
          <w:szCs w:val="24"/>
        </w:rPr>
        <w:t>, 2016.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 xml:space="preserve">Please contact Chris Schaefer at (425) 456-2932 </w:t>
      </w:r>
      <w:r w:rsidR="003F5DB7">
        <w:rPr>
          <w:sz w:val="24"/>
          <w:szCs w:val="24"/>
        </w:rPr>
        <w:t xml:space="preserve">or </w:t>
      </w:r>
      <w:hyperlink r:id="rId8" w:history="1">
        <w:r w:rsidR="003F5DB7" w:rsidRPr="003F5DB7">
          <w:rPr>
            <w:rStyle w:val="Hyperlink"/>
            <w:color w:val="auto"/>
            <w:sz w:val="24"/>
            <w:szCs w:val="24"/>
            <w:u w:val="none"/>
          </w:rPr>
          <w:t>chris.schaefer@pse.com</w:t>
        </w:r>
      </w:hyperlink>
      <w:r w:rsidR="003F5DB7">
        <w:rPr>
          <w:sz w:val="24"/>
          <w:szCs w:val="24"/>
        </w:rPr>
        <w:t xml:space="preserve"> </w:t>
      </w:r>
      <w:r w:rsidRPr="00BE3468">
        <w:rPr>
          <w:sz w:val="24"/>
          <w:szCs w:val="24"/>
        </w:rPr>
        <w:t xml:space="preserve">for additional information about this filing.  If you have any other questions, please contact me at </w:t>
      </w:r>
      <w:r w:rsidR="003F5DB7">
        <w:rPr>
          <w:sz w:val="24"/>
          <w:szCs w:val="24"/>
        </w:rPr>
        <w:br/>
      </w:r>
      <w:r w:rsidRPr="00BE3468">
        <w:rPr>
          <w:sz w:val="24"/>
          <w:szCs w:val="24"/>
        </w:rPr>
        <w:t>(425) 456-2110.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ind w:left="2880" w:firstLine="720"/>
        <w:rPr>
          <w:sz w:val="24"/>
          <w:szCs w:val="24"/>
        </w:rPr>
      </w:pPr>
      <w:r w:rsidRPr="00BE3468">
        <w:rPr>
          <w:sz w:val="24"/>
          <w:szCs w:val="24"/>
        </w:rPr>
        <w:t>Sincerely,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ind w:left="2880" w:firstLine="720"/>
        <w:outlineLvl w:val="0"/>
        <w:rPr>
          <w:sz w:val="24"/>
          <w:szCs w:val="24"/>
        </w:rPr>
      </w:pPr>
      <w:r w:rsidRPr="00BE3468">
        <w:rPr>
          <w:sz w:val="24"/>
          <w:szCs w:val="24"/>
        </w:rPr>
        <w:t>Ken Johnson</w:t>
      </w:r>
    </w:p>
    <w:p w:rsidR="00BE3468" w:rsidRPr="00BE3468" w:rsidRDefault="00BE3468" w:rsidP="00BE3468">
      <w:pPr>
        <w:ind w:left="2880" w:firstLine="720"/>
        <w:rPr>
          <w:sz w:val="24"/>
          <w:szCs w:val="24"/>
        </w:rPr>
      </w:pPr>
      <w:r w:rsidRPr="00BE3468">
        <w:rPr>
          <w:sz w:val="24"/>
          <w:szCs w:val="24"/>
        </w:rPr>
        <w:t>Director, State Regulatory Affairs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>Enclosure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>cc:</w:t>
      </w:r>
      <w:r w:rsidRPr="00BE3468">
        <w:rPr>
          <w:sz w:val="24"/>
          <w:szCs w:val="24"/>
        </w:rPr>
        <w:tab/>
        <w:t>Simon J. ffitch</w:t>
      </w: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ab/>
        <w:t>Sheree Carson, Perkins Coie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</w:p>
    <w:sectPr w:rsidR="00BE3468" w:rsidRPr="00BE3468" w:rsidSect="0016581A">
      <w:headerReference w:type="default" r:id="rId9"/>
      <w:pgSz w:w="12240" w:h="15840" w:code="1"/>
      <w:pgMar w:top="1296" w:right="1440" w:bottom="129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17C" w:rsidRDefault="0030517C">
      <w:r>
        <w:separator/>
      </w:r>
    </w:p>
  </w:endnote>
  <w:endnote w:type="continuationSeparator" w:id="0">
    <w:p w:rsidR="0030517C" w:rsidRDefault="0030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17C" w:rsidRDefault="0030517C">
      <w:r>
        <w:separator/>
      </w:r>
    </w:p>
  </w:footnote>
  <w:footnote w:type="continuationSeparator" w:id="0">
    <w:p w:rsidR="0030517C" w:rsidRDefault="0030517C">
      <w:r>
        <w:continuationSeparator/>
      </w:r>
    </w:p>
  </w:footnote>
  <w:footnote w:id="1">
    <w:p w:rsidR="00BE3468" w:rsidRDefault="00BE3468" w:rsidP="00BE3468">
      <w:pPr>
        <w:pStyle w:val="FootnoteText"/>
      </w:pPr>
      <w:r>
        <w:rPr>
          <w:rStyle w:val="FootnoteReference"/>
        </w:rPr>
        <w:footnoteRef/>
      </w:r>
      <w:r>
        <w:t xml:space="preserve"> The 2015 Annual Report will be the last to reference reporting conditions, as reporting requirements are now enumerated in WAC 480-109.</w:t>
      </w:r>
    </w:p>
  </w:footnote>
  <w:footnote w:id="2">
    <w:p w:rsidR="00BE3468" w:rsidRDefault="00BE3468" w:rsidP="00BE3468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It is important to note that the total electric expenditures also include programs that do not acquire energy conservation; Net Metering and Electric Vehicle Charger Incentive.  These programs represented $1.61 million of the overall 2015 electric expenditures.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468" w:rsidRDefault="00BE3468" w:rsidP="00BE3468">
    <w:r>
      <w:t>Mr. Steven V. King, Executive Director and Secretary</w:t>
    </w:r>
  </w:p>
  <w:p w:rsidR="00BE3468" w:rsidRPr="00F70527" w:rsidRDefault="00BE3468" w:rsidP="00BE3468">
    <w:pPr>
      <w:tabs>
        <w:tab w:val="left" w:pos="540"/>
      </w:tabs>
    </w:pPr>
    <w:r w:rsidRPr="00F70527">
      <w:t>Docket Nos. UE-970686 and UE-132043</w:t>
    </w:r>
  </w:p>
  <w:p w:rsidR="00BE3468" w:rsidRDefault="00BE3468" w:rsidP="00BE3468">
    <w:pPr>
      <w:pStyle w:val="Header"/>
    </w:pPr>
    <w:r>
      <w:t>February 2</w:t>
    </w:r>
    <w:r w:rsidR="00EE6A6C">
      <w:t>6</w:t>
    </w:r>
    <w:r>
      <w:t>, 2016</w:t>
    </w:r>
  </w:p>
  <w:p w:rsidR="00BE3468" w:rsidRPr="00637772" w:rsidRDefault="00BE3468" w:rsidP="00BE3468">
    <w:pPr>
      <w:pStyle w:val="Header"/>
    </w:pPr>
    <w:r>
      <w:t xml:space="preserve">Page </w:t>
    </w:r>
    <w:r w:rsidRPr="00637772">
      <w:fldChar w:fldCharType="begin"/>
    </w:r>
    <w:r w:rsidRPr="00637772">
      <w:instrText xml:space="preserve"> PAGE  \* Arabic  \* MERGEFORMAT </w:instrText>
    </w:r>
    <w:r w:rsidRPr="00637772">
      <w:fldChar w:fldCharType="separate"/>
    </w:r>
    <w:r w:rsidR="00EE6A6C">
      <w:rPr>
        <w:noProof/>
      </w:rPr>
      <w:t>2</w:t>
    </w:r>
    <w:r w:rsidRPr="00637772">
      <w:fldChar w:fldCharType="end"/>
    </w:r>
    <w:r w:rsidRPr="00637772">
      <w:t xml:space="preserve"> of </w:t>
    </w:r>
    <w:r w:rsidR="00EE6A6C">
      <w:fldChar w:fldCharType="begin"/>
    </w:r>
    <w:r w:rsidR="00EE6A6C">
      <w:instrText xml:space="preserve"> NUMPAGES  \* Arabic  \* MERGEFORMAT </w:instrText>
    </w:r>
    <w:r w:rsidR="00EE6A6C">
      <w:fldChar w:fldCharType="separate"/>
    </w:r>
    <w:r w:rsidR="00EE6A6C">
      <w:rPr>
        <w:noProof/>
      </w:rPr>
      <w:t>2</w:t>
    </w:r>
    <w:r w:rsidR="00EE6A6C">
      <w:rPr>
        <w:noProof/>
      </w:rPr>
      <w:fldChar w:fldCharType="end"/>
    </w:r>
  </w:p>
  <w:p w:rsidR="008E0092" w:rsidRDefault="008E0092">
    <w:pPr>
      <w:pStyle w:val="Header"/>
      <w:rPr>
        <w:rStyle w:val="PageNumber"/>
        <w:sz w:val="24"/>
      </w:rPr>
    </w:pPr>
  </w:p>
  <w:p w:rsidR="008E0092" w:rsidRDefault="008E0092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8D9"/>
    <w:rsid w:val="00037A89"/>
    <w:rsid w:val="000853D9"/>
    <w:rsid w:val="001042A2"/>
    <w:rsid w:val="0015165F"/>
    <w:rsid w:val="0016581A"/>
    <w:rsid w:val="00175FBA"/>
    <w:rsid w:val="001A000A"/>
    <w:rsid w:val="001B0D31"/>
    <w:rsid w:val="001C422C"/>
    <w:rsid w:val="001D4CB6"/>
    <w:rsid w:val="001D745D"/>
    <w:rsid w:val="0021119A"/>
    <w:rsid w:val="0021605E"/>
    <w:rsid w:val="002215F8"/>
    <w:rsid w:val="002E1A97"/>
    <w:rsid w:val="002E383D"/>
    <w:rsid w:val="0030517C"/>
    <w:rsid w:val="00345041"/>
    <w:rsid w:val="00347F38"/>
    <w:rsid w:val="003678D9"/>
    <w:rsid w:val="003A76AC"/>
    <w:rsid w:val="003C2111"/>
    <w:rsid w:val="003E13F9"/>
    <w:rsid w:val="003F5DB7"/>
    <w:rsid w:val="00407A34"/>
    <w:rsid w:val="004600AC"/>
    <w:rsid w:val="004969C7"/>
    <w:rsid w:val="004D46D3"/>
    <w:rsid w:val="0050006D"/>
    <w:rsid w:val="005017E8"/>
    <w:rsid w:val="00510AE0"/>
    <w:rsid w:val="00531B58"/>
    <w:rsid w:val="00572303"/>
    <w:rsid w:val="005800A0"/>
    <w:rsid w:val="00643713"/>
    <w:rsid w:val="0068589D"/>
    <w:rsid w:val="006908A4"/>
    <w:rsid w:val="006D2397"/>
    <w:rsid w:val="006D7C39"/>
    <w:rsid w:val="007405F2"/>
    <w:rsid w:val="00785ACB"/>
    <w:rsid w:val="00790114"/>
    <w:rsid w:val="00792E54"/>
    <w:rsid w:val="007E1015"/>
    <w:rsid w:val="00811B8E"/>
    <w:rsid w:val="00822FB4"/>
    <w:rsid w:val="008A4013"/>
    <w:rsid w:val="008C7B25"/>
    <w:rsid w:val="008E0092"/>
    <w:rsid w:val="008F252B"/>
    <w:rsid w:val="00922FBD"/>
    <w:rsid w:val="00985516"/>
    <w:rsid w:val="009E612A"/>
    <w:rsid w:val="00A677BE"/>
    <w:rsid w:val="00AB0205"/>
    <w:rsid w:val="00AB491D"/>
    <w:rsid w:val="00AB6F6A"/>
    <w:rsid w:val="00B20B45"/>
    <w:rsid w:val="00B35FDE"/>
    <w:rsid w:val="00B40743"/>
    <w:rsid w:val="00B67452"/>
    <w:rsid w:val="00BA18B7"/>
    <w:rsid w:val="00BD2F72"/>
    <w:rsid w:val="00BE3468"/>
    <w:rsid w:val="00C26FAD"/>
    <w:rsid w:val="00C43642"/>
    <w:rsid w:val="00C514E0"/>
    <w:rsid w:val="00CA2520"/>
    <w:rsid w:val="00CE4100"/>
    <w:rsid w:val="00D07C97"/>
    <w:rsid w:val="00D30986"/>
    <w:rsid w:val="00D76BC2"/>
    <w:rsid w:val="00D84E5D"/>
    <w:rsid w:val="00DF5CCE"/>
    <w:rsid w:val="00E55FE0"/>
    <w:rsid w:val="00E80F47"/>
    <w:rsid w:val="00EA3F86"/>
    <w:rsid w:val="00EE6A6C"/>
    <w:rsid w:val="00F642D5"/>
    <w:rsid w:val="00FD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plain">
    <w:name w:val="plain"/>
    <w:basedOn w:val="Normal"/>
    <w:rsid w:val="00785ACB"/>
    <w:pPr>
      <w:spacing w:line="240" w:lineRule="atLeast"/>
    </w:pPr>
    <w:rPr>
      <w:sz w:val="26"/>
      <w:szCs w:val="26"/>
    </w:rPr>
  </w:style>
  <w:style w:type="paragraph" w:customStyle="1" w:styleId="footnoteblock">
    <w:name w:val="footnote block"/>
    <w:basedOn w:val="FootnoteText"/>
    <w:rsid w:val="00785ACB"/>
    <w:pPr>
      <w:spacing w:before="240" w:line="240" w:lineRule="atLeast"/>
    </w:pPr>
    <w:rPr>
      <w:sz w:val="22"/>
      <w:szCs w:val="22"/>
    </w:rPr>
  </w:style>
  <w:style w:type="paragraph" w:customStyle="1" w:styleId="righthalf">
    <w:name w:val="right half"/>
    <w:basedOn w:val="Normal"/>
    <w:rsid w:val="00785ACB"/>
    <w:pPr>
      <w:keepLines/>
      <w:tabs>
        <w:tab w:val="right" w:pos="8640"/>
      </w:tabs>
      <w:spacing w:before="240" w:line="240" w:lineRule="atLeast"/>
      <w:ind w:left="4320"/>
    </w:pPr>
    <w:rPr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rsid w:val="00785ACB"/>
  </w:style>
  <w:style w:type="paragraph" w:styleId="BalloonText">
    <w:name w:val="Balloon Text"/>
    <w:basedOn w:val="Normal"/>
    <w:semiHidden/>
    <w:rsid w:val="00D76BC2"/>
    <w:rPr>
      <w:rFonts w:ascii="Tahoma" w:hAnsi="Tahoma" w:cs="Tahoma"/>
      <w:sz w:val="16"/>
      <w:szCs w:val="16"/>
    </w:rPr>
  </w:style>
  <w:style w:type="paragraph" w:customStyle="1" w:styleId="block">
    <w:name w:val="block"/>
    <w:basedOn w:val="Normal"/>
    <w:rsid w:val="00572303"/>
    <w:pPr>
      <w:spacing w:before="240" w:line="240" w:lineRule="atLeast"/>
    </w:pPr>
    <w:rPr>
      <w:sz w:val="26"/>
    </w:rPr>
  </w:style>
  <w:style w:type="character" w:styleId="Hyperlink">
    <w:name w:val="Hyperlink"/>
    <w:rsid w:val="00572303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3468"/>
  </w:style>
  <w:style w:type="character" w:styleId="FootnoteReference">
    <w:name w:val="footnote reference"/>
    <w:basedOn w:val="DefaultParagraphFont"/>
    <w:uiPriority w:val="99"/>
    <w:unhideWhenUsed/>
    <w:rsid w:val="00BE3468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3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plain">
    <w:name w:val="plain"/>
    <w:basedOn w:val="Normal"/>
    <w:rsid w:val="00785ACB"/>
    <w:pPr>
      <w:spacing w:line="240" w:lineRule="atLeast"/>
    </w:pPr>
    <w:rPr>
      <w:sz w:val="26"/>
      <w:szCs w:val="26"/>
    </w:rPr>
  </w:style>
  <w:style w:type="paragraph" w:customStyle="1" w:styleId="footnoteblock">
    <w:name w:val="footnote block"/>
    <w:basedOn w:val="FootnoteText"/>
    <w:rsid w:val="00785ACB"/>
    <w:pPr>
      <w:spacing w:before="240" w:line="240" w:lineRule="atLeast"/>
    </w:pPr>
    <w:rPr>
      <w:sz w:val="22"/>
      <w:szCs w:val="22"/>
    </w:rPr>
  </w:style>
  <w:style w:type="paragraph" w:customStyle="1" w:styleId="righthalf">
    <w:name w:val="right half"/>
    <w:basedOn w:val="Normal"/>
    <w:rsid w:val="00785ACB"/>
    <w:pPr>
      <w:keepLines/>
      <w:tabs>
        <w:tab w:val="right" w:pos="8640"/>
      </w:tabs>
      <w:spacing w:before="240" w:line="240" w:lineRule="atLeast"/>
      <w:ind w:left="4320"/>
    </w:pPr>
    <w:rPr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rsid w:val="00785ACB"/>
  </w:style>
  <w:style w:type="paragraph" w:styleId="BalloonText">
    <w:name w:val="Balloon Text"/>
    <w:basedOn w:val="Normal"/>
    <w:semiHidden/>
    <w:rsid w:val="00D76BC2"/>
    <w:rPr>
      <w:rFonts w:ascii="Tahoma" w:hAnsi="Tahoma" w:cs="Tahoma"/>
      <w:sz w:val="16"/>
      <w:szCs w:val="16"/>
    </w:rPr>
  </w:style>
  <w:style w:type="paragraph" w:customStyle="1" w:styleId="block">
    <w:name w:val="block"/>
    <w:basedOn w:val="Normal"/>
    <w:rsid w:val="00572303"/>
    <w:pPr>
      <w:spacing w:before="240" w:line="240" w:lineRule="atLeast"/>
    </w:pPr>
    <w:rPr>
      <w:sz w:val="26"/>
    </w:rPr>
  </w:style>
  <w:style w:type="character" w:styleId="Hyperlink">
    <w:name w:val="Hyperlink"/>
    <w:rsid w:val="00572303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3468"/>
  </w:style>
  <w:style w:type="character" w:styleId="FootnoteReference">
    <w:name w:val="footnote reference"/>
    <w:basedOn w:val="DefaultParagraphFont"/>
    <w:uiPriority w:val="99"/>
    <w:unhideWhenUsed/>
    <w:rsid w:val="00BE3468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.schaefer@pse.com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1940A5867748F42B23F2496B49568D7" ma:contentTypeVersion="135" ma:contentTypeDescription="" ma:contentTypeScope="" ma:versionID="e2e13ec935221c26056da10e8a06728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Report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2013-10-31T07:00:00+00:00</OpenedDate>
    <Date1 xmlns="dc463f71-b30c-4ab2-9473-d307f9d35888">2016-02-26T08:00:00+00:00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132043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ABEE62A-7DEB-4F45-B74A-57F11F726816}"/>
</file>

<file path=customXml/itemProps2.xml><?xml version="1.0" encoding="utf-8"?>
<ds:datastoreItem xmlns:ds="http://schemas.openxmlformats.org/officeDocument/2006/customXml" ds:itemID="{0340271E-DAA8-4D72-9DC5-C06906E045F6}"/>
</file>

<file path=customXml/itemProps3.xml><?xml version="1.0" encoding="utf-8"?>
<ds:datastoreItem xmlns:ds="http://schemas.openxmlformats.org/officeDocument/2006/customXml" ds:itemID="{35B2B1B7-6848-4F30-A99A-2C4E06E00D38}"/>
</file>

<file path=customXml/itemProps4.xml><?xml version="1.0" encoding="utf-8"?>
<ds:datastoreItem xmlns:ds="http://schemas.openxmlformats.org/officeDocument/2006/customXml" ds:itemID="{B1B6E9C1-E796-406F-A5A0-FD7B013673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382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Curl 0304draft .doc</vt:lpstr>
    </vt:vector>
  </TitlesOfParts>
  <Company>PSE</Company>
  <LinksUpToDate>false</LinksUpToDate>
  <CharactersWithSpaces>2807</CharactersWithSpaces>
  <SharedDoc>false</SharedDoc>
  <HLinks>
    <vt:vector size="6" baseType="variant">
      <vt:variant>
        <vt:i4>262245</vt:i4>
      </vt:variant>
      <vt:variant>
        <vt:i4>0</vt:i4>
      </vt:variant>
      <vt:variant>
        <vt:i4>0</vt:i4>
      </vt:variant>
      <vt:variant>
        <vt:i4>5</vt:i4>
      </vt:variant>
      <vt:variant>
        <vt:lpwstr>mailto:mei.cass@pse.com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Curl 0304draft .doc</dc:title>
  <dc:creator>WNG</dc:creator>
  <cp:lastModifiedBy>Puget Sound Energy</cp:lastModifiedBy>
  <cp:revision>3</cp:revision>
  <cp:lastPrinted>2016-02-26T17:28:00Z</cp:lastPrinted>
  <dcterms:created xsi:type="dcterms:W3CDTF">2016-02-26T17:26:00Z</dcterms:created>
  <dcterms:modified xsi:type="dcterms:W3CDTF">2016-02-26T17:32:00Z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0x0101006E56B4D1795A2E4DB2F0B01679ED314A0011940A5867748F42B23F2496B49568D7</vt:lpwstr>
  </property>
  <property fmtid="{D5CDD505-2E9C-101B-9397-08002B2CF9AE}" pid="3" name="_docset_NoMedatataSyncRequired">
    <vt:lpwstr>False</vt:lpwstr>
  </property>
</Properties>
</file>