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132" w:rsidRPr="002532DF" w:rsidRDefault="00F27132" w:rsidP="00990877">
      <w:pPr>
        <w:pStyle w:val="Title"/>
        <w:rPr>
          <w:rFonts w:ascii="Times New Roman" w:hAnsi="Times New Roman"/>
          <w:sz w:val="25"/>
          <w:szCs w:val="25"/>
        </w:rPr>
      </w:pPr>
      <w:bookmarkStart w:id="0" w:name="_GoBack"/>
      <w:bookmarkEnd w:id="0"/>
      <w:r w:rsidRPr="002532DF">
        <w:rPr>
          <w:rFonts w:ascii="Times New Roman" w:hAnsi="Times New Roman"/>
          <w:sz w:val="25"/>
          <w:szCs w:val="25"/>
        </w:rPr>
        <w:t xml:space="preserve">BEFORE THE </w:t>
      </w:r>
      <w:smartTag w:uri="urn:schemas-microsoft-com:office:smarttags" w:element="place">
        <w:smartTag w:uri="urn:schemas-microsoft-com:office:smarttags" w:element="PlaceName">
          <w:r w:rsidRPr="002532DF">
            <w:rPr>
              <w:rFonts w:ascii="Times New Roman" w:hAnsi="Times New Roman"/>
              <w:sz w:val="25"/>
              <w:szCs w:val="25"/>
            </w:rPr>
            <w:t>WASHINGTON</w:t>
          </w:r>
        </w:smartTag>
        <w:r w:rsidRPr="002532DF">
          <w:rPr>
            <w:rFonts w:ascii="Times New Roman" w:hAnsi="Times New Roman"/>
            <w:sz w:val="25"/>
            <w:szCs w:val="25"/>
          </w:rPr>
          <w:t xml:space="preserve"> </w:t>
        </w:r>
        <w:smartTag w:uri="urn:schemas-microsoft-com:office:smarttags" w:element="PlaceType">
          <w:r w:rsidRPr="002532DF">
            <w:rPr>
              <w:rFonts w:ascii="Times New Roman" w:hAnsi="Times New Roman"/>
              <w:sz w:val="25"/>
              <w:szCs w:val="25"/>
            </w:rPr>
            <w:t>STATE</w:t>
          </w:r>
        </w:smartTag>
      </w:smartTag>
    </w:p>
    <w:p w:rsidR="00F27132" w:rsidRPr="002532DF" w:rsidRDefault="00F27132" w:rsidP="00990877">
      <w:pPr>
        <w:jc w:val="center"/>
        <w:rPr>
          <w:b/>
          <w:sz w:val="25"/>
          <w:szCs w:val="25"/>
        </w:rPr>
      </w:pPr>
      <w:r w:rsidRPr="002532DF">
        <w:rPr>
          <w:b/>
          <w:sz w:val="25"/>
          <w:szCs w:val="25"/>
        </w:rPr>
        <w:t>UTILITIES AND TRANSPORTATION COMMISSION</w:t>
      </w:r>
    </w:p>
    <w:p w:rsidR="00F27132" w:rsidRPr="002532DF" w:rsidRDefault="00F27132" w:rsidP="00990877">
      <w:pPr>
        <w:jc w:val="center"/>
        <w:rPr>
          <w:sz w:val="25"/>
          <w:szCs w:val="25"/>
        </w:rPr>
      </w:pPr>
    </w:p>
    <w:p w:rsidR="0028219C" w:rsidRPr="002532DF" w:rsidRDefault="0028219C" w:rsidP="00990877">
      <w:pPr>
        <w:jc w:val="center"/>
        <w:rPr>
          <w:sz w:val="25"/>
          <w:szCs w:val="25"/>
        </w:rPr>
      </w:pPr>
    </w:p>
    <w:tbl>
      <w:tblPr>
        <w:tblW w:w="0" w:type="auto"/>
        <w:tblLook w:val="01E0" w:firstRow="1" w:lastRow="1" w:firstColumn="1" w:lastColumn="1" w:noHBand="0" w:noVBand="0"/>
      </w:tblPr>
      <w:tblGrid>
        <w:gridCol w:w="4423"/>
        <w:gridCol w:w="365"/>
        <w:gridCol w:w="4068"/>
      </w:tblGrid>
      <w:tr w:rsidR="00DE0D92" w:rsidRPr="002532DF" w:rsidTr="00542187">
        <w:tc>
          <w:tcPr>
            <w:tcW w:w="4423" w:type="dxa"/>
          </w:tcPr>
          <w:p w:rsidR="00DE0D92" w:rsidRPr="002532DF" w:rsidRDefault="00470D0C" w:rsidP="00990877">
            <w:pPr>
              <w:rPr>
                <w:sz w:val="25"/>
                <w:szCs w:val="25"/>
              </w:rPr>
            </w:pPr>
            <w:smartTag w:uri="urn:schemas-microsoft-com:office:smarttags" w:element="State">
              <w:smartTag w:uri="urn:schemas-microsoft-com:office:smarttags" w:element="place">
                <w:r w:rsidRPr="002532DF">
                  <w:rPr>
                    <w:sz w:val="25"/>
                    <w:szCs w:val="25"/>
                  </w:rPr>
                  <w:t>WASHINGTON</w:t>
                </w:r>
              </w:smartTag>
            </w:smartTag>
            <w:r w:rsidRPr="002532DF">
              <w:rPr>
                <w:sz w:val="25"/>
                <w:szCs w:val="25"/>
              </w:rPr>
              <w:t xml:space="preserve"> U</w:t>
            </w:r>
            <w:r w:rsidR="00542187" w:rsidRPr="002532DF">
              <w:rPr>
                <w:sz w:val="25"/>
                <w:szCs w:val="25"/>
              </w:rPr>
              <w:t xml:space="preserve">TILITIES AND TRANSPORTATION </w:t>
            </w:r>
            <w:r w:rsidRPr="002532DF">
              <w:rPr>
                <w:sz w:val="25"/>
                <w:szCs w:val="25"/>
              </w:rPr>
              <w:t>COMMISSION,</w:t>
            </w:r>
          </w:p>
          <w:p w:rsidR="00470D0C" w:rsidRPr="002532DF" w:rsidRDefault="00470D0C" w:rsidP="00990877">
            <w:pPr>
              <w:rPr>
                <w:sz w:val="25"/>
                <w:szCs w:val="25"/>
              </w:rPr>
            </w:pPr>
          </w:p>
          <w:p w:rsidR="00470D0C" w:rsidRPr="002532DF" w:rsidRDefault="00470D0C" w:rsidP="00990877">
            <w:pPr>
              <w:tabs>
                <w:tab w:val="left" w:pos="2145"/>
              </w:tabs>
              <w:rPr>
                <w:sz w:val="25"/>
                <w:szCs w:val="25"/>
              </w:rPr>
            </w:pPr>
            <w:r w:rsidRPr="002532DF">
              <w:rPr>
                <w:sz w:val="25"/>
                <w:szCs w:val="25"/>
              </w:rPr>
              <w:tab/>
              <w:t>Complainant,</w:t>
            </w:r>
          </w:p>
          <w:p w:rsidR="00470D0C" w:rsidRPr="002532DF" w:rsidRDefault="00470D0C" w:rsidP="00990877">
            <w:pPr>
              <w:tabs>
                <w:tab w:val="left" w:pos="2145"/>
              </w:tabs>
              <w:rPr>
                <w:sz w:val="25"/>
                <w:szCs w:val="25"/>
              </w:rPr>
            </w:pPr>
          </w:p>
          <w:p w:rsidR="00470D0C" w:rsidRPr="002532DF" w:rsidRDefault="00470D0C" w:rsidP="00990877">
            <w:pPr>
              <w:tabs>
                <w:tab w:val="left" w:pos="2145"/>
              </w:tabs>
              <w:rPr>
                <w:sz w:val="25"/>
                <w:szCs w:val="25"/>
              </w:rPr>
            </w:pPr>
            <w:r w:rsidRPr="002532DF">
              <w:rPr>
                <w:sz w:val="25"/>
                <w:szCs w:val="25"/>
              </w:rPr>
              <w:t>v.</w:t>
            </w:r>
          </w:p>
          <w:p w:rsidR="00470D0C" w:rsidRPr="002532DF" w:rsidRDefault="00470D0C" w:rsidP="00990877">
            <w:pPr>
              <w:tabs>
                <w:tab w:val="left" w:pos="2145"/>
              </w:tabs>
              <w:rPr>
                <w:sz w:val="25"/>
                <w:szCs w:val="25"/>
              </w:rPr>
            </w:pPr>
          </w:p>
          <w:p w:rsidR="00470D0C" w:rsidRPr="002532DF" w:rsidRDefault="00470D0C" w:rsidP="00990877">
            <w:pPr>
              <w:tabs>
                <w:tab w:val="left" w:pos="2145"/>
              </w:tabs>
              <w:rPr>
                <w:sz w:val="25"/>
                <w:szCs w:val="25"/>
              </w:rPr>
            </w:pPr>
            <w:r w:rsidRPr="002532DF">
              <w:rPr>
                <w:sz w:val="25"/>
                <w:szCs w:val="25"/>
              </w:rPr>
              <w:t>PACIFICORP D/B/A PACIFIC POWER &amp; LIGHT COMPANY,</w:t>
            </w:r>
          </w:p>
          <w:p w:rsidR="00470D0C" w:rsidRPr="002532DF" w:rsidRDefault="00470D0C" w:rsidP="00990877">
            <w:pPr>
              <w:tabs>
                <w:tab w:val="left" w:pos="2145"/>
              </w:tabs>
              <w:rPr>
                <w:sz w:val="25"/>
                <w:szCs w:val="25"/>
              </w:rPr>
            </w:pPr>
          </w:p>
          <w:p w:rsidR="00470D0C" w:rsidRDefault="00470D0C" w:rsidP="00990877">
            <w:pPr>
              <w:tabs>
                <w:tab w:val="left" w:pos="2145"/>
              </w:tabs>
              <w:rPr>
                <w:sz w:val="25"/>
                <w:szCs w:val="25"/>
              </w:rPr>
            </w:pPr>
            <w:r w:rsidRPr="002532DF">
              <w:rPr>
                <w:sz w:val="25"/>
                <w:szCs w:val="25"/>
              </w:rPr>
              <w:tab/>
              <w:t>Respondent.</w:t>
            </w:r>
          </w:p>
          <w:p w:rsidR="007C1ABC" w:rsidRPr="002532DF" w:rsidRDefault="007C1ABC" w:rsidP="00990877">
            <w:pPr>
              <w:tabs>
                <w:tab w:val="left" w:pos="2145"/>
              </w:tabs>
              <w:rPr>
                <w:sz w:val="25"/>
                <w:szCs w:val="25"/>
              </w:rPr>
            </w:pPr>
          </w:p>
          <w:p w:rsidR="00F27132" w:rsidRPr="002532DF" w:rsidRDefault="00F27132" w:rsidP="00990877">
            <w:pPr>
              <w:rPr>
                <w:sz w:val="25"/>
                <w:szCs w:val="25"/>
              </w:rPr>
            </w:pPr>
            <w:r w:rsidRPr="002532DF">
              <w:rPr>
                <w:sz w:val="25"/>
                <w:szCs w:val="25"/>
              </w:rPr>
              <w:t xml:space="preserve">. . . . . . . . . . . . . . . . . . . . . . . . . . . . . . </w:t>
            </w:r>
            <w:r w:rsidR="00EF4D6E" w:rsidRPr="002532DF">
              <w:rPr>
                <w:sz w:val="25"/>
                <w:szCs w:val="25"/>
              </w:rPr>
              <w:t xml:space="preserve">. . . . </w:t>
            </w:r>
          </w:p>
        </w:tc>
        <w:tc>
          <w:tcPr>
            <w:tcW w:w="365" w:type="dxa"/>
          </w:tcPr>
          <w:p w:rsidR="00F27132" w:rsidRPr="002532DF" w:rsidRDefault="00F27132" w:rsidP="00990877">
            <w:pPr>
              <w:pStyle w:val="BodyText"/>
              <w:rPr>
                <w:rFonts w:ascii="Times New Roman" w:hAnsi="Times New Roman"/>
                <w:sz w:val="25"/>
                <w:szCs w:val="25"/>
              </w:rPr>
            </w:pPr>
            <w:r w:rsidRPr="002532DF">
              <w:rPr>
                <w:rFonts w:ascii="Times New Roman" w:hAnsi="Times New Roman"/>
                <w:sz w:val="25"/>
                <w:szCs w:val="25"/>
              </w:rPr>
              <w:t>)</w:t>
            </w:r>
            <w:r w:rsidRPr="002532DF">
              <w:rPr>
                <w:rFonts w:ascii="Times New Roman" w:hAnsi="Times New Roman"/>
                <w:sz w:val="25"/>
                <w:szCs w:val="25"/>
              </w:rPr>
              <w:br/>
              <w:t>)</w:t>
            </w:r>
            <w:r w:rsidRPr="002532DF">
              <w:rPr>
                <w:rFonts w:ascii="Times New Roman" w:hAnsi="Times New Roman"/>
                <w:sz w:val="25"/>
                <w:szCs w:val="25"/>
              </w:rPr>
              <w:br/>
              <w:t>)</w:t>
            </w:r>
            <w:r w:rsidRPr="002532DF">
              <w:rPr>
                <w:rFonts w:ascii="Times New Roman" w:hAnsi="Times New Roman"/>
                <w:sz w:val="25"/>
                <w:szCs w:val="25"/>
              </w:rPr>
              <w:br/>
              <w:t>)</w:t>
            </w:r>
            <w:r w:rsidRPr="002532DF">
              <w:rPr>
                <w:rFonts w:ascii="Times New Roman" w:hAnsi="Times New Roman"/>
                <w:sz w:val="25"/>
                <w:szCs w:val="25"/>
              </w:rPr>
              <w:br/>
              <w:t>)</w:t>
            </w:r>
            <w:r w:rsidRPr="002532DF">
              <w:rPr>
                <w:rFonts w:ascii="Times New Roman" w:hAnsi="Times New Roman"/>
                <w:sz w:val="25"/>
                <w:szCs w:val="25"/>
              </w:rPr>
              <w:br/>
              <w:t>)</w:t>
            </w:r>
            <w:r w:rsidRPr="002532DF">
              <w:rPr>
                <w:rFonts w:ascii="Times New Roman" w:hAnsi="Times New Roman"/>
                <w:sz w:val="25"/>
                <w:szCs w:val="25"/>
              </w:rPr>
              <w:br/>
              <w:t>)</w:t>
            </w:r>
            <w:r w:rsidRPr="002532DF">
              <w:rPr>
                <w:rFonts w:ascii="Times New Roman" w:hAnsi="Times New Roman"/>
                <w:sz w:val="25"/>
                <w:szCs w:val="25"/>
              </w:rPr>
              <w:br/>
              <w:t>)</w:t>
            </w:r>
            <w:r w:rsidRPr="002532DF">
              <w:rPr>
                <w:rFonts w:ascii="Times New Roman" w:hAnsi="Times New Roman"/>
                <w:sz w:val="25"/>
                <w:szCs w:val="25"/>
              </w:rPr>
              <w:br/>
              <w:t>)</w:t>
            </w:r>
            <w:r w:rsidRPr="002532DF">
              <w:rPr>
                <w:rFonts w:ascii="Times New Roman" w:hAnsi="Times New Roman"/>
                <w:sz w:val="25"/>
                <w:szCs w:val="25"/>
              </w:rPr>
              <w:br/>
              <w:t>)</w:t>
            </w:r>
          </w:p>
          <w:p w:rsidR="00470D0C" w:rsidRPr="002532DF" w:rsidRDefault="00470D0C" w:rsidP="00990877">
            <w:pPr>
              <w:pStyle w:val="BodyText"/>
              <w:rPr>
                <w:rFonts w:ascii="Times New Roman" w:hAnsi="Times New Roman"/>
                <w:sz w:val="25"/>
                <w:szCs w:val="25"/>
              </w:rPr>
            </w:pPr>
            <w:r w:rsidRPr="002532DF">
              <w:rPr>
                <w:rFonts w:ascii="Times New Roman" w:hAnsi="Times New Roman"/>
                <w:sz w:val="25"/>
                <w:szCs w:val="25"/>
              </w:rPr>
              <w:t>)</w:t>
            </w:r>
          </w:p>
          <w:p w:rsidR="00470D0C" w:rsidRDefault="00470D0C" w:rsidP="000E101D">
            <w:pPr>
              <w:pStyle w:val="BodyText"/>
              <w:rPr>
                <w:rFonts w:ascii="Times New Roman" w:hAnsi="Times New Roman"/>
                <w:sz w:val="25"/>
                <w:szCs w:val="25"/>
              </w:rPr>
            </w:pPr>
            <w:r w:rsidRPr="002532DF">
              <w:rPr>
                <w:rFonts w:ascii="Times New Roman" w:hAnsi="Times New Roman"/>
                <w:sz w:val="25"/>
                <w:szCs w:val="25"/>
              </w:rPr>
              <w:t>)</w:t>
            </w:r>
          </w:p>
          <w:p w:rsidR="007C1ABC" w:rsidRPr="002532DF" w:rsidRDefault="007C1ABC" w:rsidP="000E101D">
            <w:pPr>
              <w:pStyle w:val="BodyText"/>
              <w:rPr>
                <w:rFonts w:ascii="Times New Roman" w:hAnsi="Times New Roman"/>
                <w:sz w:val="25"/>
                <w:szCs w:val="25"/>
              </w:rPr>
            </w:pPr>
            <w:r>
              <w:rPr>
                <w:rFonts w:ascii="Times New Roman" w:hAnsi="Times New Roman"/>
                <w:sz w:val="25"/>
                <w:szCs w:val="25"/>
              </w:rPr>
              <w:t>)</w:t>
            </w:r>
          </w:p>
        </w:tc>
        <w:tc>
          <w:tcPr>
            <w:tcW w:w="4068" w:type="dxa"/>
          </w:tcPr>
          <w:p w:rsidR="00F27132" w:rsidRPr="002532DF" w:rsidRDefault="003F2878" w:rsidP="00990877">
            <w:pPr>
              <w:rPr>
                <w:sz w:val="25"/>
                <w:szCs w:val="25"/>
              </w:rPr>
            </w:pPr>
            <w:r w:rsidRPr="002532DF">
              <w:rPr>
                <w:sz w:val="25"/>
                <w:szCs w:val="25"/>
              </w:rPr>
              <w:t>DOCKET</w:t>
            </w:r>
            <w:r w:rsidR="00F27132" w:rsidRPr="002532DF">
              <w:rPr>
                <w:sz w:val="25"/>
                <w:szCs w:val="25"/>
              </w:rPr>
              <w:t xml:space="preserve"> </w:t>
            </w:r>
            <w:r w:rsidR="00DE0D92" w:rsidRPr="002532DF">
              <w:rPr>
                <w:sz w:val="25"/>
                <w:szCs w:val="25"/>
              </w:rPr>
              <w:t>UE-</w:t>
            </w:r>
            <w:r w:rsidR="00AA6684" w:rsidRPr="002532DF">
              <w:rPr>
                <w:sz w:val="25"/>
                <w:szCs w:val="25"/>
              </w:rPr>
              <w:t>100749</w:t>
            </w:r>
          </w:p>
          <w:p w:rsidR="00F27132" w:rsidRPr="002532DF" w:rsidRDefault="00F27132" w:rsidP="00990877">
            <w:pPr>
              <w:rPr>
                <w:sz w:val="25"/>
                <w:szCs w:val="25"/>
              </w:rPr>
            </w:pPr>
          </w:p>
          <w:p w:rsidR="00F27132" w:rsidRPr="002532DF" w:rsidRDefault="00F27132" w:rsidP="00990877">
            <w:pPr>
              <w:rPr>
                <w:sz w:val="25"/>
                <w:szCs w:val="25"/>
              </w:rPr>
            </w:pPr>
          </w:p>
          <w:p w:rsidR="000318CE" w:rsidRPr="002532DF" w:rsidRDefault="000318CE" w:rsidP="00990877">
            <w:pPr>
              <w:rPr>
                <w:sz w:val="25"/>
                <w:szCs w:val="25"/>
              </w:rPr>
            </w:pPr>
            <w:r w:rsidRPr="002532DF">
              <w:rPr>
                <w:sz w:val="25"/>
                <w:szCs w:val="25"/>
              </w:rPr>
              <w:t>ORDER 0</w:t>
            </w:r>
            <w:r w:rsidR="00AA6684" w:rsidRPr="002532DF">
              <w:rPr>
                <w:sz w:val="25"/>
                <w:szCs w:val="25"/>
              </w:rPr>
              <w:t>6</w:t>
            </w:r>
          </w:p>
          <w:p w:rsidR="00F27132" w:rsidRPr="002532DF" w:rsidRDefault="00F27132" w:rsidP="00990877">
            <w:pPr>
              <w:rPr>
                <w:sz w:val="25"/>
                <w:szCs w:val="25"/>
              </w:rPr>
            </w:pPr>
          </w:p>
          <w:p w:rsidR="00875868" w:rsidRPr="002532DF" w:rsidRDefault="00875868" w:rsidP="00990877">
            <w:pPr>
              <w:rPr>
                <w:sz w:val="25"/>
                <w:szCs w:val="25"/>
              </w:rPr>
            </w:pPr>
          </w:p>
          <w:p w:rsidR="00A15753" w:rsidRPr="002532DF" w:rsidRDefault="002D260B" w:rsidP="00990877">
            <w:r w:rsidRPr="002532DF">
              <w:rPr>
                <w:sz w:val="25"/>
                <w:szCs w:val="25"/>
              </w:rPr>
              <w:t>FINAL ORDER</w:t>
            </w:r>
            <w:r w:rsidR="00A15753" w:rsidRPr="002532DF">
              <w:rPr>
                <w:sz w:val="25"/>
                <w:szCs w:val="25"/>
              </w:rPr>
              <w:t xml:space="preserve"> </w:t>
            </w:r>
            <w:r w:rsidR="00A15753" w:rsidRPr="002532DF">
              <w:t>REJECTING TARIFF SHEETS;</w:t>
            </w:r>
            <w:r w:rsidR="009D251E" w:rsidRPr="002532DF">
              <w:t xml:space="preserve"> </w:t>
            </w:r>
          </w:p>
          <w:p w:rsidR="00A15753" w:rsidRPr="002532DF" w:rsidRDefault="00BF637A" w:rsidP="00990877">
            <w:r w:rsidRPr="002532DF">
              <w:t xml:space="preserve">AUTHORIZING INCREASED RATES; </w:t>
            </w:r>
            <w:r w:rsidR="00A15753" w:rsidRPr="002532DF">
              <w:t>AND REQUIRING COMPLIANCE FILING</w:t>
            </w:r>
          </w:p>
          <w:p w:rsidR="00F27132" w:rsidRPr="002532DF" w:rsidRDefault="00F27132" w:rsidP="00990877">
            <w:pPr>
              <w:rPr>
                <w:sz w:val="25"/>
                <w:szCs w:val="25"/>
              </w:rPr>
            </w:pPr>
          </w:p>
        </w:tc>
      </w:tr>
    </w:tbl>
    <w:p w:rsidR="002D260B" w:rsidRPr="002532DF" w:rsidRDefault="002D260B" w:rsidP="00990877">
      <w:pPr>
        <w:jc w:val="center"/>
        <w:rPr>
          <w:b/>
          <w:sz w:val="25"/>
          <w:szCs w:val="25"/>
        </w:rPr>
      </w:pPr>
    </w:p>
    <w:p w:rsidR="002D260B" w:rsidRPr="002532DF" w:rsidRDefault="002D260B" w:rsidP="000E101D">
      <w:pPr>
        <w:pStyle w:val="NoSpacing"/>
        <w:spacing w:line="264" w:lineRule="auto"/>
        <w:rPr>
          <w:sz w:val="25"/>
          <w:szCs w:val="25"/>
        </w:rPr>
      </w:pPr>
    </w:p>
    <w:p w:rsidR="009C39DF" w:rsidRDefault="00443686" w:rsidP="000E101D">
      <w:pPr>
        <w:pStyle w:val="NoSpacing"/>
        <w:spacing w:line="264" w:lineRule="auto"/>
        <w:rPr>
          <w:i/>
          <w:sz w:val="25"/>
          <w:szCs w:val="25"/>
        </w:rPr>
      </w:pPr>
      <w:bookmarkStart w:id="1" w:name="_Toc168986350"/>
      <w:r w:rsidRPr="002532DF">
        <w:rPr>
          <w:b/>
          <w:i/>
          <w:sz w:val="25"/>
          <w:szCs w:val="25"/>
        </w:rPr>
        <w:t>Synopsis</w:t>
      </w:r>
      <w:r w:rsidRPr="002532DF">
        <w:rPr>
          <w:i/>
          <w:sz w:val="25"/>
          <w:szCs w:val="25"/>
        </w:rPr>
        <w:t>:</w:t>
      </w:r>
      <w:bookmarkEnd w:id="1"/>
      <w:r w:rsidR="00883D91" w:rsidRPr="002532DF">
        <w:rPr>
          <w:sz w:val="25"/>
          <w:szCs w:val="25"/>
        </w:rPr>
        <w:t xml:space="preserve"> </w:t>
      </w:r>
      <w:r w:rsidR="00A16601" w:rsidRPr="002532DF">
        <w:rPr>
          <w:i/>
          <w:sz w:val="25"/>
          <w:szCs w:val="25"/>
        </w:rPr>
        <w:t xml:space="preserve">The Commission rejects revised tariff sheets PacifiCorp filed on </w:t>
      </w:r>
      <w:r w:rsidR="00A265FF" w:rsidRPr="002532DF">
        <w:rPr>
          <w:i/>
          <w:sz w:val="25"/>
          <w:szCs w:val="25"/>
        </w:rPr>
        <w:t>May 4, 2010</w:t>
      </w:r>
      <w:r w:rsidR="00A16601" w:rsidRPr="002532DF">
        <w:rPr>
          <w:i/>
          <w:sz w:val="25"/>
          <w:szCs w:val="25"/>
        </w:rPr>
        <w:t>, but authorizes and requires t</w:t>
      </w:r>
      <w:r w:rsidR="00635132" w:rsidRPr="002532DF">
        <w:rPr>
          <w:i/>
          <w:sz w:val="25"/>
          <w:szCs w:val="25"/>
        </w:rPr>
        <w:t>he Company to file tariff sheets stating rates</w:t>
      </w:r>
      <w:r w:rsidR="00A16601" w:rsidRPr="002532DF">
        <w:rPr>
          <w:i/>
          <w:sz w:val="25"/>
          <w:szCs w:val="25"/>
        </w:rPr>
        <w:t xml:space="preserve"> that will </w:t>
      </w:r>
      <w:r w:rsidR="00635132" w:rsidRPr="002532DF">
        <w:rPr>
          <w:i/>
          <w:sz w:val="25"/>
          <w:szCs w:val="25"/>
        </w:rPr>
        <w:t>recover</w:t>
      </w:r>
      <w:r w:rsidR="004B1ADD" w:rsidRPr="002532DF">
        <w:rPr>
          <w:i/>
          <w:sz w:val="25"/>
          <w:szCs w:val="25"/>
        </w:rPr>
        <w:t xml:space="preserve"> </w:t>
      </w:r>
      <w:r w:rsidR="008C1E25" w:rsidRPr="002532DF">
        <w:rPr>
          <w:i/>
          <w:sz w:val="25"/>
          <w:szCs w:val="25"/>
        </w:rPr>
        <w:t xml:space="preserve">approximately </w:t>
      </w:r>
      <w:r w:rsidR="00635132" w:rsidRPr="002532DF">
        <w:rPr>
          <w:i/>
          <w:sz w:val="25"/>
          <w:szCs w:val="25"/>
        </w:rPr>
        <w:t>$</w:t>
      </w:r>
      <w:r w:rsidR="008D7C61" w:rsidRPr="002532DF">
        <w:rPr>
          <w:i/>
          <w:sz w:val="25"/>
          <w:szCs w:val="25"/>
        </w:rPr>
        <w:t>3</w:t>
      </w:r>
      <w:r w:rsidR="00CE65F0">
        <w:rPr>
          <w:i/>
          <w:sz w:val="25"/>
          <w:szCs w:val="25"/>
        </w:rPr>
        <w:t>8</w:t>
      </w:r>
      <w:r w:rsidR="008D7C61" w:rsidRPr="002532DF">
        <w:rPr>
          <w:i/>
          <w:sz w:val="25"/>
          <w:szCs w:val="25"/>
        </w:rPr>
        <w:t xml:space="preserve"> million</w:t>
      </w:r>
      <w:r w:rsidR="00A265FF" w:rsidRPr="002532DF">
        <w:rPr>
          <w:i/>
          <w:sz w:val="25"/>
          <w:szCs w:val="25"/>
        </w:rPr>
        <w:t xml:space="preserve"> </w:t>
      </w:r>
      <w:r w:rsidR="004B1ADD" w:rsidRPr="002532DF">
        <w:rPr>
          <w:i/>
          <w:sz w:val="25"/>
          <w:szCs w:val="25"/>
        </w:rPr>
        <w:t xml:space="preserve">in </w:t>
      </w:r>
      <w:r w:rsidR="008C1E25" w:rsidRPr="002532DF">
        <w:rPr>
          <w:i/>
          <w:sz w:val="25"/>
          <w:szCs w:val="25"/>
        </w:rPr>
        <w:t xml:space="preserve">additional </w:t>
      </w:r>
      <w:r w:rsidR="004B1ADD" w:rsidRPr="002532DF">
        <w:rPr>
          <w:i/>
          <w:sz w:val="25"/>
          <w:szCs w:val="25"/>
        </w:rPr>
        <w:t>revenue</w:t>
      </w:r>
      <w:r w:rsidR="00BF637A" w:rsidRPr="002532DF">
        <w:rPr>
          <w:i/>
          <w:sz w:val="25"/>
          <w:szCs w:val="25"/>
        </w:rPr>
        <w:t>, an increase that the Commission finds to be reasonable</w:t>
      </w:r>
      <w:r w:rsidR="00A265FF" w:rsidRPr="002532DF">
        <w:rPr>
          <w:i/>
          <w:sz w:val="25"/>
          <w:szCs w:val="25"/>
        </w:rPr>
        <w:t xml:space="preserve">.  </w:t>
      </w:r>
      <w:r w:rsidR="009C39DF" w:rsidRPr="002532DF">
        <w:rPr>
          <w:i/>
          <w:sz w:val="25"/>
          <w:szCs w:val="25"/>
        </w:rPr>
        <w:t xml:space="preserve">At the same time, the Commission </w:t>
      </w:r>
      <w:r w:rsidR="00C82A76" w:rsidRPr="002532DF">
        <w:rPr>
          <w:i/>
          <w:sz w:val="25"/>
          <w:szCs w:val="25"/>
        </w:rPr>
        <w:t>requires</w:t>
      </w:r>
      <w:r w:rsidR="009C39DF" w:rsidRPr="002532DF">
        <w:rPr>
          <w:i/>
          <w:sz w:val="25"/>
          <w:szCs w:val="25"/>
        </w:rPr>
        <w:t xml:space="preserve"> the Company to </w:t>
      </w:r>
      <w:r w:rsidR="00CE65F0">
        <w:rPr>
          <w:i/>
          <w:sz w:val="25"/>
          <w:szCs w:val="25"/>
        </w:rPr>
        <w:t xml:space="preserve">establish a “tracker” mechanism to return to customers through a monthly bill credit revenues the Company receives from the sale of Renewable Energy Credits (RECs).  For the first year, the credit mechanism will be sized to </w:t>
      </w:r>
      <w:r w:rsidR="009C39DF" w:rsidRPr="002532DF">
        <w:rPr>
          <w:i/>
          <w:sz w:val="25"/>
          <w:szCs w:val="25"/>
        </w:rPr>
        <w:t>return $4.8 million to customers</w:t>
      </w:r>
      <w:r w:rsidR="00CE65F0">
        <w:rPr>
          <w:i/>
          <w:sz w:val="25"/>
          <w:szCs w:val="25"/>
        </w:rPr>
        <w:t xml:space="preserve">, </w:t>
      </w:r>
      <w:r w:rsidR="00C82A76">
        <w:rPr>
          <w:i/>
          <w:sz w:val="25"/>
          <w:szCs w:val="25"/>
        </w:rPr>
        <w:t>thereby</w:t>
      </w:r>
      <w:r w:rsidR="00CE65F0">
        <w:rPr>
          <w:i/>
          <w:sz w:val="25"/>
          <w:szCs w:val="25"/>
        </w:rPr>
        <w:t xml:space="preserve"> offsetting, in part, the impact of the rate increase.</w:t>
      </w:r>
    </w:p>
    <w:p w:rsidR="00CE65F0" w:rsidRPr="002532DF" w:rsidRDefault="00CE65F0" w:rsidP="000E101D">
      <w:pPr>
        <w:pStyle w:val="NoSpacing"/>
        <w:spacing w:line="264" w:lineRule="auto"/>
        <w:rPr>
          <w:i/>
          <w:sz w:val="25"/>
          <w:szCs w:val="25"/>
        </w:rPr>
      </w:pPr>
    </w:p>
    <w:p w:rsidR="009C39DF" w:rsidRPr="002532DF" w:rsidRDefault="009C39DF" w:rsidP="000E101D">
      <w:pPr>
        <w:pStyle w:val="NoSpacing"/>
        <w:spacing w:line="264" w:lineRule="auto"/>
        <w:rPr>
          <w:i/>
          <w:sz w:val="25"/>
          <w:szCs w:val="25"/>
        </w:rPr>
      </w:pPr>
      <w:r w:rsidRPr="002532DF">
        <w:rPr>
          <w:i/>
          <w:sz w:val="25"/>
          <w:szCs w:val="25"/>
        </w:rPr>
        <w:t xml:space="preserve">The </w:t>
      </w:r>
      <w:r w:rsidR="00CE65F0">
        <w:rPr>
          <w:i/>
          <w:sz w:val="25"/>
          <w:szCs w:val="25"/>
        </w:rPr>
        <w:t xml:space="preserve">increase results from a balancing of the statutory factors that rates must be fair, just, reasonable, and sufficient.  The Company’s </w:t>
      </w:r>
      <w:r w:rsidRPr="002532DF">
        <w:rPr>
          <w:i/>
          <w:sz w:val="25"/>
          <w:szCs w:val="25"/>
        </w:rPr>
        <w:t xml:space="preserve">increased revenue requirement is being driven by </w:t>
      </w:r>
      <w:r w:rsidR="00CE65F0">
        <w:rPr>
          <w:i/>
          <w:sz w:val="25"/>
          <w:szCs w:val="25"/>
        </w:rPr>
        <w:t xml:space="preserve">a number of factors, including an </w:t>
      </w:r>
      <w:r w:rsidRPr="002532DF">
        <w:rPr>
          <w:i/>
          <w:sz w:val="25"/>
          <w:szCs w:val="25"/>
        </w:rPr>
        <w:t>increase in net po</w:t>
      </w:r>
      <w:r w:rsidR="00CE65F0">
        <w:rPr>
          <w:i/>
          <w:sz w:val="25"/>
          <w:szCs w:val="25"/>
        </w:rPr>
        <w:t>w</w:t>
      </w:r>
      <w:r w:rsidRPr="002532DF">
        <w:rPr>
          <w:i/>
          <w:sz w:val="25"/>
          <w:szCs w:val="25"/>
        </w:rPr>
        <w:t xml:space="preserve">er costs </w:t>
      </w:r>
      <w:r w:rsidR="00CE65F0">
        <w:rPr>
          <w:i/>
          <w:sz w:val="25"/>
          <w:szCs w:val="25"/>
        </w:rPr>
        <w:t>caused by the</w:t>
      </w:r>
      <w:r w:rsidRPr="002532DF">
        <w:rPr>
          <w:i/>
          <w:sz w:val="25"/>
          <w:szCs w:val="25"/>
        </w:rPr>
        <w:t xml:space="preserve"> expiration of certain low-priced natural gas contacts and expiration of B</w:t>
      </w:r>
      <w:r w:rsidR="00CE65F0">
        <w:rPr>
          <w:i/>
          <w:sz w:val="25"/>
          <w:szCs w:val="25"/>
        </w:rPr>
        <w:t>o</w:t>
      </w:r>
      <w:r w:rsidRPr="002532DF">
        <w:rPr>
          <w:i/>
          <w:sz w:val="25"/>
          <w:szCs w:val="25"/>
        </w:rPr>
        <w:t>nnevi</w:t>
      </w:r>
      <w:r w:rsidR="00CE65F0">
        <w:rPr>
          <w:i/>
          <w:sz w:val="25"/>
          <w:szCs w:val="25"/>
        </w:rPr>
        <w:t>l</w:t>
      </w:r>
      <w:r w:rsidRPr="002532DF">
        <w:rPr>
          <w:i/>
          <w:sz w:val="25"/>
          <w:szCs w:val="25"/>
        </w:rPr>
        <w:t xml:space="preserve">le Power </w:t>
      </w:r>
      <w:r w:rsidR="00C82A76" w:rsidRPr="002532DF">
        <w:rPr>
          <w:i/>
          <w:sz w:val="25"/>
          <w:szCs w:val="25"/>
        </w:rPr>
        <w:t>Administration</w:t>
      </w:r>
      <w:r w:rsidRPr="002532DF">
        <w:rPr>
          <w:i/>
          <w:sz w:val="25"/>
          <w:szCs w:val="25"/>
        </w:rPr>
        <w:t xml:space="preserve"> and Mid-Columbia wholesale powe</w:t>
      </w:r>
      <w:r w:rsidR="00CE65F0">
        <w:rPr>
          <w:i/>
          <w:sz w:val="25"/>
          <w:szCs w:val="25"/>
        </w:rPr>
        <w:t>r</w:t>
      </w:r>
      <w:r w:rsidRPr="002532DF">
        <w:rPr>
          <w:i/>
          <w:sz w:val="25"/>
          <w:szCs w:val="25"/>
        </w:rPr>
        <w:t xml:space="preserve"> contracts</w:t>
      </w:r>
      <w:r w:rsidR="00CE65F0">
        <w:rPr>
          <w:i/>
          <w:sz w:val="25"/>
          <w:szCs w:val="25"/>
        </w:rPr>
        <w:t xml:space="preserve">; the collection of costs, previously deferred, and return on equity </w:t>
      </w:r>
      <w:r w:rsidR="00C82A76">
        <w:rPr>
          <w:i/>
          <w:sz w:val="25"/>
          <w:szCs w:val="25"/>
        </w:rPr>
        <w:t>associated</w:t>
      </w:r>
      <w:r w:rsidR="00CE65F0">
        <w:rPr>
          <w:i/>
          <w:sz w:val="25"/>
          <w:szCs w:val="25"/>
        </w:rPr>
        <w:t xml:space="preserve"> </w:t>
      </w:r>
      <w:r w:rsidRPr="002532DF">
        <w:rPr>
          <w:i/>
          <w:sz w:val="25"/>
          <w:szCs w:val="25"/>
        </w:rPr>
        <w:t xml:space="preserve">with the Chehalis natural gas generation plant </w:t>
      </w:r>
      <w:r w:rsidR="00CE65F0">
        <w:rPr>
          <w:i/>
          <w:sz w:val="25"/>
          <w:szCs w:val="25"/>
        </w:rPr>
        <w:t xml:space="preserve">approved </w:t>
      </w:r>
      <w:r w:rsidRPr="002532DF">
        <w:rPr>
          <w:i/>
          <w:sz w:val="25"/>
          <w:szCs w:val="25"/>
        </w:rPr>
        <w:t>in the last general rate case</w:t>
      </w:r>
      <w:r w:rsidR="00CE65F0">
        <w:rPr>
          <w:i/>
          <w:sz w:val="25"/>
          <w:szCs w:val="25"/>
        </w:rPr>
        <w:t xml:space="preserve">, and a substantial </w:t>
      </w:r>
      <w:r w:rsidR="00AD0D35">
        <w:rPr>
          <w:i/>
          <w:sz w:val="25"/>
          <w:szCs w:val="25"/>
        </w:rPr>
        <w:t xml:space="preserve">amount of investments in transmission and distribution.  The Commission is mindful that including these costs in PacifiCorp’s rates requires an unusually large increase, particularly in these economic times, but the </w:t>
      </w:r>
      <w:r w:rsidR="00C82A76">
        <w:rPr>
          <w:i/>
          <w:sz w:val="25"/>
          <w:szCs w:val="25"/>
        </w:rPr>
        <w:t>Commission</w:t>
      </w:r>
      <w:r w:rsidR="00AD0D35">
        <w:rPr>
          <w:i/>
          <w:sz w:val="25"/>
          <w:szCs w:val="25"/>
        </w:rPr>
        <w:t xml:space="preserve"> also recognizes that the Company must be able to </w:t>
      </w:r>
      <w:r w:rsidR="00C82A76">
        <w:rPr>
          <w:i/>
          <w:sz w:val="25"/>
          <w:szCs w:val="25"/>
        </w:rPr>
        <w:t>recover</w:t>
      </w:r>
      <w:r w:rsidR="00AD0D35">
        <w:rPr>
          <w:i/>
          <w:sz w:val="25"/>
          <w:szCs w:val="25"/>
        </w:rPr>
        <w:t xml:space="preserve"> its prudently incurred costs to be able to provide the service on which its customers depend.  </w:t>
      </w:r>
    </w:p>
    <w:p w:rsidR="00AD45E6" w:rsidRPr="002532DF" w:rsidRDefault="00AD45E6" w:rsidP="000E101D">
      <w:pPr>
        <w:pStyle w:val="NoSpacing"/>
        <w:spacing w:line="264" w:lineRule="auto"/>
        <w:rPr>
          <w:i/>
          <w:sz w:val="25"/>
          <w:szCs w:val="25"/>
        </w:rPr>
      </w:pPr>
    </w:p>
    <w:p w:rsidR="00AD45E6" w:rsidRPr="002532DF" w:rsidRDefault="00AD45E6" w:rsidP="000E101D">
      <w:pPr>
        <w:pStyle w:val="NoSpacing"/>
        <w:spacing w:line="264" w:lineRule="auto"/>
        <w:rPr>
          <w:sz w:val="25"/>
          <w:szCs w:val="25"/>
        </w:rPr>
      </w:pPr>
      <w:r w:rsidRPr="002532DF">
        <w:rPr>
          <w:i/>
          <w:sz w:val="25"/>
          <w:szCs w:val="25"/>
        </w:rPr>
        <w:lastRenderedPageBreak/>
        <w:t xml:space="preserve">The </w:t>
      </w:r>
      <w:r w:rsidR="00BF637A" w:rsidRPr="002532DF">
        <w:rPr>
          <w:i/>
          <w:sz w:val="25"/>
          <w:szCs w:val="25"/>
        </w:rPr>
        <w:t xml:space="preserve">resulting </w:t>
      </w:r>
      <w:r w:rsidRPr="002532DF">
        <w:rPr>
          <w:i/>
          <w:sz w:val="25"/>
          <w:szCs w:val="25"/>
        </w:rPr>
        <w:t>revenue requirement is based on a capital structure of 49.</w:t>
      </w:r>
      <w:r w:rsidR="00BF27AF" w:rsidRPr="002532DF">
        <w:rPr>
          <w:i/>
          <w:sz w:val="25"/>
          <w:szCs w:val="25"/>
        </w:rPr>
        <w:t>1</w:t>
      </w:r>
      <w:r w:rsidRPr="002532DF">
        <w:rPr>
          <w:i/>
          <w:sz w:val="25"/>
          <w:szCs w:val="25"/>
        </w:rPr>
        <w:t xml:space="preserve"> percent equity and 50.6 percent debt, with a </w:t>
      </w:r>
      <w:r w:rsidR="00BF27AF" w:rsidRPr="002532DF">
        <w:rPr>
          <w:i/>
          <w:sz w:val="25"/>
          <w:szCs w:val="25"/>
        </w:rPr>
        <w:t>9.8</w:t>
      </w:r>
      <w:r w:rsidRPr="002532DF">
        <w:rPr>
          <w:i/>
          <w:sz w:val="25"/>
          <w:szCs w:val="25"/>
        </w:rPr>
        <w:t xml:space="preserve"> percent return on equity resulting in an overall rate of return of</w:t>
      </w:r>
      <w:r w:rsidR="009C1543" w:rsidRPr="002532DF">
        <w:rPr>
          <w:i/>
          <w:sz w:val="25"/>
          <w:szCs w:val="25"/>
        </w:rPr>
        <w:t xml:space="preserve"> </w:t>
      </w:r>
      <w:r w:rsidR="008D7C61" w:rsidRPr="002532DF">
        <w:rPr>
          <w:i/>
          <w:sz w:val="25"/>
          <w:szCs w:val="25"/>
        </w:rPr>
        <w:t xml:space="preserve">7.81 </w:t>
      </w:r>
      <w:r w:rsidRPr="002532DF">
        <w:rPr>
          <w:i/>
          <w:sz w:val="25"/>
          <w:szCs w:val="25"/>
        </w:rPr>
        <w:t xml:space="preserve">percent.  The Commission also makes specific revenue, tax, and rate base adjustments proposed by the parties.  </w:t>
      </w:r>
      <w:r w:rsidR="00B2304A" w:rsidRPr="002532DF">
        <w:rPr>
          <w:i/>
          <w:sz w:val="25"/>
          <w:szCs w:val="25"/>
        </w:rPr>
        <w:t>The Commission increases</w:t>
      </w:r>
      <w:r w:rsidR="00586BD4" w:rsidRPr="002532DF">
        <w:rPr>
          <w:i/>
          <w:sz w:val="25"/>
          <w:szCs w:val="25"/>
        </w:rPr>
        <w:t>,</w:t>
      </w:r>
      <w:r w:rsidR="00B2304A" w:rsidRPr="002532DF">
        <w:rPr>
          <w:i/>
          <w:sz w:val="25"/>
          <w:szCs w:val="25"/>
        </w:rPr>
        <w:t xml:space="preserve"> </w:t>
      </w:r>
      <w:r w:rsidR="00586BD4" w:rsidRPr="002532DF">
        <w:rPr>
          <w:i/>
          <w:sz w:val="25"/>
          <w:szCs w:val="25"/>
        </w:rPr>
        <w:t xml:space="preserve">by 21 percent, </w:t>
      </w:r>
      <w:r w:rsidR="00B2304A" w:rsidRPr="002532DF">
        <w:rPr>
          <w:i/>
          <w:sz w:val="25"/>
          <w:szCs w:val="25"/>
        </w:rPr>
        <w:t xml:space="preserve">funding for its Low Income Bill Assistance Program.  </w:t>
      </w:r>
      <w:r w:rsidRPr="002532DF">
        <w:rPr>
          <w:i/>
          <w:sz w:val="25"/>
          <w:szCs w:val="25"/>
        </w:rPr>
        <w:t xml:space="preserve">Finally, the Commission concludes that the rate increase should be spread to all rate schedules, other than street lighting, on an equal percentage basis.  </w:t>
      </w:r>
    </w:p>
    <w:p w:rsidR="00883D91" w:rsidRPr="002532DF" w:rsidRDefault="00883D91" w:rsidP="00990877">
      <w:pPr>
        <w:rPr>
          <w:sz w:val="25"/>
          <w:szCs w:val="25"/>
        </w:rPr>
      </w:pPr>
    </w:p>
    <w:p w:rsidR="00267EB0" w:rsidRPr="002532DF" w:rsidRDefault="00267EB0" w:rsidP="000E101D">
      <w:pPr>
        <w:pStyle w:val="NoSpacing"/>
        <w:jc w:val="center"/>
        <w:rPr>
          <w:b/>
          <w:sz w:val="25"/>
          <w:szCs w:val="25"/>
        </w:rPr>
      </w:pPr>
      <w:r w:rsidRPr="002532DF">
        <w:rPr>
          <w:b/>
          <w:sz w:val="25"/>
          <w:szCs w:val="25"/>
        </w:rPr>
        <w:br w:type="page"/>
      </w:r>
      <w:r w:rsidRPr="002532DF">
        <w:rPr>
          <w:b/>
          <w:sz w:val="25"/>
          <w:szCs w:val="25"/>
        </w:rPr>
        <w:lastRenderedPageBreak/>
        <w:t>TABLE OF CONTENTS</w:t>
      </w:r>
    </w:p>
    <w:p w:rsidR="000E101D" w:rsidRPr="00DB4467" w:rsidRDefault="000E101D" w:rsidP="000E101D">
      <w:pPr>
        <w:pStyle w:val="NoSpacing"/>
        <w:rPr>
          <w:sz w:val="25"/>
          <w:szCs w:val="25"/>
        </w:rPr>
      </w:pPr>
    </w:p>
    <w:p w:rsidR="00DB4467" w:rsidRPr="00DB4467" w:rsidRDefault="006C0E0E">
      <w:pPr>
        <w:pStyle w:val="TOC1"/>
        <w:tabs>
          <w:tab w:val="right" w:leader="dot" w:pos="8630"/>
        </w:tabs>
        <w:rPr>
          <w:rFonts w:ascii="Times New Roman" w:eastAsiaTheme="minorEastAsia" w:hAnsi="Times New Roman"/>
          <w:b w:val="0"/>
          <w:bCs w:val="0"/>
          <w:caps w:val="0"/>
          <w:noProof/>
          <w:sz w:val="25"/>
          <w:szCs w:val="25"/>
        </w:rPr>
      </w:pPr>
      <w:r w:rsidRPr="00DB4467">
        <w:rPr>
          <w:rFonts w:ascii="Times New Roman" w:hAnsi="Times New Roman"/>
          <w:b w:val="0"/>
          <w:sz w:val="25"/>
          <w:szCs w:val="25"/>
        </w:rPr>
        <w:fldChar w:fldCharType="begin"/>
      </w:r>
      <w:r w:rsidR="00091DA9" w:rsidRPr="00DB4467">
        <w:rPr>
          <w:rFonts w:ascii="Times New Roman" w:hAnsi="Times New Roman"/>
          <w:b w:val="0"/>
          <w:sz w:val="25"/>
          <w:szCs w:val="25"/>
        </w:rPr>
        <w:instrText xml:space="preserve"> TOC \o "1-5" \h \z \u </w:instrText>
      </w:r>
      <w:r w:rsidRPr="00DB4467">
        <w:rPr>
          <w:rFonts w:ascii="Times New Roman" w:hAnsi="Times New Roman"/>
          <w:b w:val="0"/>
          <w:sz w:val="25"/>
          <w:szCs w:val="25"/>
        </w:rPr>
        <w:fldChar w:fldCharType="separate"/>
      </w:r>
      <w:hyperlink w:anchor="_Toc288813717" w:history="1">
        <w:r w:rsidR="00DB4467" w:rsidRPr="00DB4467">
          <w:rPr>
            <w:rStyle w:val="Hyperlink"/>
            <w:rFonts w:ascii="Times New Roman" w:hAnsi="Times New Roman"/>
            <w:b w:val="0"/>
            <w:noProof/>
            <w:sz w:val="25"/>
            <w:szCs w:val="25"/>
          </w:rPr>
          <w:t>MEMORANDUM</w:t>
        </w:r>
        <w:r w:rsidR="00DB4467" w:rsidRPr="00DB4467">
          <w:rPr>
            <w:rFonts w:ascii="Times New Roman" w:hAnsi="Times New Roman"/>
            <w:b w:val="0"/>
            <w:noProof/>
            <w:webHidden/>
            <w:sz w:val="25"/>
            <w:szCs w:val="25"/>
          </w:rPr>
          <w:tab/>
        </w:r>
        <w:r w:rsidR="00DB4467" w:rsidRPr="00DB4467">
          <w:rPr>
            <w:rFonts w:ascii="Times New Roman" w:hAnsi="Times New Roman"/>
            <w:b w:val="0"/>
            <w:noProof/>
            <w:webHidden/>
            <w:sz w:val="25"/>
            <w:szCs w:val="25"/>
          </w:rPr>
          <w:fldChar w:fldCharType="begin"/>
        </w:r>
        <w:r w:rsidR="00DB4467" w:rsidRPr="00DB4467">
          <w:rPr>
            <w:rFonts w:ascii="Times New Roman" w:hAnsi="Times New Roman"/>
            <w:b w:val="0"/>
            <w:noProof/>
            <w:webHidden/>
            <w:sz w:val="25"/>
            <w:szCs w:val="25"/>
          </w:rPr>
          <w:instrText xml:space="preserve"> PAGEREF _Toc288813717 \h </w:instrText>
        </w:r>
        <w:r w:rsidR="00DB4467" w:rsidRPr="00DB4467">
          <w:rPr>
            <w:rFonts w:ascii="Times New Roman" w:hAnsi="Times New Roman"/>
            <w:b w:val="0"/>
            <w:noProof/>
            <w:webHidden/>
            <w:sz w:val="25"/>
            <w:szCs w:val="25"/>
          </w:rPr>
        </w:r>
        <w:r w:rsidR="00DB4467" w:rsidRPr="00DB4467">
          <w:rPr>
            <w:rFonts w:ascii="Times New Roman" w:hAnsi="Times New Roman"/>
            <w:b w:val="0"/>
            <w:noProof/>
            <w:webHidden/>
            <w:sz w:val="25"/>
            <w:szCs w:val="25"/>
          </w:rPr>
          <w:fldChar w:fldCharType="separate"/>
        </w:r>
        <w:r w:rsidR="00EF486D">
          <w:rPr>
            <w:rFonts w:ascii="Times New Roman" w:hAnsi="Times New Roman"/>
            <w:b w:val="0"/>
            <w:noProof/>
            <w:webHidden/>
            <w:sz w:val="25"/>
            <w:szCs w:val="25"/>
          </w:rPr>
          <w:t>5</w:t>
        </w:r>
        <w:r w:rsidR="00DB4467" w:rsidRPr="00DB4467">
          <w:rPr>
            <w:rFonts w:ascii="Times New Roman" w:hAnsi="Times New Roman"/>
            <w:b w:val="0"/>
            <w:noProof/>
            <w:webHidden/>
            <w:sz w:val="25"/>
            <w:szCs w:val="25"/>
          </w:rPr>
          <w:fldChar w:fldCharType="end"/>
        </w:r>
      </w:hyperlink>
    </w:p>
    <w:p w:rsidR="00DB4467" w:rsidRPr="00DB4467" w:rsidRDefault="00EF486D">
      <w:pPr>
        <w:pStyle w:val="TOC2"/>
        <w:tabs>
          <w:tab w:val="left" w:pos="475"/>
          <w:tab w:val="right" w:leader="dot" w:pos="8630"/>
        </w:tabs>
        <w:rPr>
          <w:rFonts w:ascii="Times New Roman" w:eastAsiaTheme="minorEastAsia" w:hAnsi="Times New Roman" w:cs="Times New Roman"/>
          <w:b w:val="0"/>
          <w:bCs w:val="0"/>
          <w:noProof/>
          <w:sz w:val="25"/>
          <w:szCs w:val="25"/>
        </w:rPr>
      </w:pPr>
      <w:hyperlink w:anchor="_Toc288813718" w:history="1">
        <w:r w:rsidR="00DB4467" w:rsidRPr="00DB4467">
          <w:rPr>
            <w:rStyle w:val="Hyperlink"/>
            <w:rFonts w:ascii="Times New Roman" w:hAnsi="Times New Roman" w:cs="Times New Roman"/>
            <w:b w:val="0"/>
            <w:noProof/>
            <w:sz w:val="25"/>
            <w:szCs w:val="25"/>
          </w:rPr>
          <w:t>I.</w:t>
        </w:r>
        <w:r w:rsidR="00DB4467" w:rsidRPr="00DB4467">
          <w:rPr>
            <w:rFonts w:ascii="Times New Roman" w:eastAsiaTheme="minorEastAsia" w:hAnsi="Times New Roman" w:cs="Times New Roman"/>
            <w:b w:val="0"/>
            <w:bCs w:val="0"/>
            <w:noProof/>
            <w:sz w:val="25"/>
            <w:szCs w:val="25"/>
          </w:rPr>
          <w:tab/>
        </w:r>
        <w:r w:rsidR="00DB4467" w:rsidRPr="00DB4467">
          <w:rPr>
            <w:rStyle w:val="Hyperlink"/>
            <w:rFonts w:ascii="Times New Roman" w:hAnsi="Times New Roman" w:cs="Times New Roman"/>
            <w:b w:val="0"/>
            <w:noProof/>
            <w:sz w:val="25"/>
            <w:szCs w:val="25"/>
          </w:rPr>
          <w:t>Background and Procedural History</w:t>
        </w:r>
        <w:r w:rsidR="00DB4467" w:rsidRPr="00DB4467">
          <w:rPr>
            <w:rFonts w:ascii="Times New Roman" w:hAnsi="Times New Roman" w:cs="Times New Roman"/>
            <w:b w:val="0"/>
            <w:noProof/>
            <w:webHidden/>
            <w:sz w:val="25"/>
            <w:szCs w:val="25"/>
          </w:rPr>
          <w:tab/>
        </w:r>
        <w:r w:rsidR="00DB4467" w:rsidRPr="00DB4467">
          <w:rPr>
            <w:rFonts w:ascii="Times New Roman" w:hAnsi="Times New Roman" w:cs="Times New Roman"/>
            <w:b w:val="0"/>
            <w:noProof/>
            <w:webHidden/>
            <w:sz w:val="25"/>
            <w:szCs w:val="25"/>
          </w:rPr>
          <w:fldChar w:fldCharType="begin"/>
        </w:r>
        <w:r w:rsidR="00DB4467" w:rsidRPr="00DB4467">
          <w:rPr>
            <w:rFonts w:ascii="Times New Roman" w:hAnsi="Times New Roman" w:cs="Times New Roman"/>
            <w:b w:val="0"/>
            <w:noProof/>
            <w:webHidden/>
            <w:sz w:val="25"/>
            <w:szCs w:val="25"/>
          </w:rPr>
          <w:instrText xml:space="preserve"> PAGEREF _Toc288813718 \h </w:instrText>
        </w:r>
        <w:r w:rsidR="00DB4467" w:rsidRPr="00DB4467">
          <w:rPr>
            <w:rFonts w:ascii="Times New Roman" w:hAnsi="Times New Roman" w:cs="Times New Roman"/>
            <w:b w:val="0"/>
            <w:noProof/>
            <w:webHidden/>
            <w:sz w:val="25"/>
            <w:szCs w:val="25"/>
          </w:rPr>
        </w:r>
        <w:r w:rsidR="00DB4467" w:rsidRPr="00DB4467">
          <w:rPr>
            <w:rFonts w:ascii="Times New Roman" w:hAnsi="Times New Roman" w:cs="Times New Roman"/>
            <w:b w:val="0"/>
            <w:noProof/>
            <w:webHidden/>
            <w:sz w:val="25"/>
            <w:szCs w:val="25"/>
          </w:rPr>
          <w:fldChar w:fldCharType="separate"/>
        </w:r>
        <w:r>
          <w:rPr>
            <w:rFonts w:ascii="Times New Roman" w:hAnsi="Times New Roman" w:cs="Times New Roman"/>
            <w:b w:val="0"/>
            <w:noProof/>
            <w:webHidden/>
            <w:sz w:val="25"/>
            <w:szCs w:val="25"/>
          </w:rPr>
          <w:t>5</w:t>
        </w:r>
        <w:r w:rsidR="00DB4467" w:rsidRPr="00DB4467">
          <w:rPr>
            <w:rFonts w:ascii="Times New Roman" w:hAnsi="Times New Roman" w:cs="Times New Roman"/>
            <w:b w:val="0"/>
            <w:noProof/>
            <w:webHidden/>
            <w:sz w:val="25"/>
            <w:szCs w:val="25"/>
          </w:rPr>
          <w:fldChar w:fldCharType="end"/>
        </w:r>
      </w:hyperlink>
    </w:p>
    <w:p w:rsidR="00DB4467" w:rsidRPr="00DB4467" w:rsidRDefault="00EF486D">
      <w:pPr>
        <w:pStyle w:val="TOC2"/>
        <w:tabs>
          <w:tab w:val="left" w:pos="475"/>
          <w:tab w:val="right" w:leader="dot" w:pos="8630"/>
        </w:tabs>
        <w:rPr>
          <w:rFonts w:ascii="Times New Roman" w:eastAsiaTheme="minorEastAsia" w:hAnsi="Times New Roman" w:cs="Times New Roman"/>
          <w:b w:val="0"/>
          <w:bCs w:val="0"/>
          <w:noProof/>
          <w:sz w:val="25"/>
          <w:szCs w:val="25"/>
        </w:rPr>
      </w:pPr>
      <w:hyperlink w:anchor="_Toc288813719" w:history="1">
        <w:r w:rsidR="00DB4467" w:rsidRPr="00DB4467">
          <w:rPr>
            <w:rStyle w:val="Hyperlink"/>
            <w:rFonts w:ascii="Times New Roman" w:hAnsi="Times New Roman" w:cs="Times New Roman"/>
            <w:b w:val="0"/>
            <w:noProof/>
            <w:sz w:val="25"/>
            <w:szCs w:val="25"/>
          </w:rPr>
          <w:t>II.</w:t>
        </w:r>
        <w:r w:rsidR="00DB4467" w:rsidRPr="00DB4467">
          <w:rPr>
            <w:rFonts w:ascii="Times New Roman" w:eastAsiaTheme="minorEastAsia" w:hAnsi="Times New Roman" w:cs="Times New Roman"/>
            <w:b w:val="0"/>
            <w:bCs w:val="0"/>
            <w:noProof/>
            <w:sz w:val="25"/>
            <w:szCs w:val="25"/>
          </w:rPr>
          <w:tab/>
        </w:r>
        <w:r w:rsidR="00DB4467" w:rsidRPr="00DB4467">
          <w:rPr>
            <w:rStyle w:val="Hyperlink"/>
            <w:rFonts w:ascii="Times New Roman" w:hAnsi="Times New Roman" w:cs="Times New Roman"/>
            <w:b w:val="0"/>
            <w:noProof/>
            <w:sz w:val="25"/>
            <w:szCs w:val="25"/>
          </w:rPr>
          <w:t>Discussion and Decisions</w:t>
        </w:r>
        <w:r w:rsidR="00DB4467" w:rsidRPr="00DB4467">
          <w:rPr>
            <w:rFonts w:ascii="Times New Roman" w:hAnsi="Times New Roman" w:cs="Times New Roman"/>
            <w:b w:val="0"/>
            <w:noProof/>
            <w:webHidden/>
            <w:sz w:val="25"/>
            <w:szCs w:val="25"/>
          </w:rPr>
          <w:tab/>
        </w:r>
        <w:r w:rsidR="00DB4467" w:rsidRPr="00DB4467">
          <w:rPr>
            <w:rFonts w:ascii="Times New Roman" w:hAnsi="Times New Roman" w:cs="Times New Roman"/>
            <w:b w:val="0"/>
            <w:noProof/>
            <w:webHidden/>
            <w:sz w:val="25"/>
            <w:szCs w:val="25"/>
          </w:rPr>
          <w:fldChar w:fldCharType="begin"/>
        </w:r>
        <w:r w:rsidR="00DB4467" w:rsidRPr="00DB4467">
          <w:rPr>
            <w:rFonts w:ascii="Times New Roman" w:hAnsi="Times New Roman" w:cs="Times New Roman"/>
            <w:b w:val="0"/>
            <w:noProof/>
            <w:webHidden/>
            <w:sz w:val="25"/>
            <w:szCs w:val="25"/>
          </w:rPr>
          <w:instrText xml:space="preserve"> PAGEREF _Toc288813719 \h </w:instrText>
        </w:r>
        <w:r w:rsidR="00DB4467" w:rsidRPr="00DB4467">
          <w:rPr>
            <w:rFonts w:ascii="Times New Roman" w:hAnsi="Times New Roman" w:cs="Times New Roman"/>
            <w:b w:val="0"/>
            <w:noProof/>
            <w:webHidden/>
            <w:sz w:val="25"/>
            <w:szCs w:val="25"/>
          </w:rPr>
        </w:r>
        <w:r w:rsidR="00DB4467" w:rsidRPr="00DB4467">
          <w:rPr>
            <w:rFonts w:ascii="Times New Roman" w:hAnsi="Times New Roman" w:cs="Times New Roman"/>
            <w:b w:val="0"/>
            <w:noProof/>
            <w:webHidden/>
            <w:sz w:val="25"/>
            <w:szCs w:val="25"/>
          </w:rPr>
          <w:fldChar w:fldCharType="separate"/>
        </w:r>
        <w:r>
          <w:rPr>
            <w:rFonts w:ascii="Times New Roman" w:hAnsi="Times New Roman" w:cs="Times New Roman"/>
            <w:b w:val="0"/>
            <w:noProof/>
            <w:webHidden/>
            <w:sz w:val="25"/>
            <w:szCs w:val="25"/>
          </w:rPr>
          <w:t>9</w:t>
        </w:r>
        <w:r w:rsidR="00DB4467" w:rsidRPr="00DB4467">
          <w:rPr>
            <w:rFonts w:ascii="Times New Roman" w:hAnsi="Times New Roman" w:cs="Times New Roman"/>
            <w:b w:val="0"/>
            <w:noProof/>
            <w:webHidden/>
            <w:sz w:val="25"/>
            <w:szCs w:val="25"/>
          </w:rPr>
          <w:fldChar w:fldCharType="end"/>
        </w:r>
      </w:hyperlink>
    </w:p>
    <w:p w:rsidR="00DB4467" w:rsidRPr="00DB4467" w:rsidRDefault="00EF486D">
      <w:pPr>
        <w:pStyle w:val="TOC3"/>
        <w:tabs>
          <w:tab w:val="left" w:pos="720"/>
          <w:tab w:val="right" w:leader="dot" w:pos="8630"/>
        </w:tabs>
        <w:rPr>
          <w:rFonts w:ascii="Times New Roman" w:eastAsiaTheme="minorEastAsia" w:hAnsi="Times New Roman" w:cs="Times New Roman"/>
          <w:noProof/>
          <w:sz w:val="25"/>
          <w:szCs w:val="25"/>
        </w:rPr>
      </w:pPr>
      <w:hyperlink w:anchor="_Toc288813720" w:history="1">
        <w:r w:rsidR="00DB4467" w:rsidRPr="00DB4467">
          <w:rPr>
            <w:rStyle w:val="Hyperlink"/>
            <w:rFonts w:ascii="Times New Roman" w:hAnsi="Times New Roman" w:cs="Times New Roman"/>
            <w:noProof/>
            <w:sz w:val="25"/>
            <w:szCs w:val="25"/>
          </w:rPr>
          <w:t>A.</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Introduction</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_Toc288813720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9</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3"/>
        <w:tabs>
          <w:tab w:val="left" w:pos="720"/>
          <w:tab w:val="right" w:leader="dot" w:pos="8630"/>
        </w:tabs>
        <w:rPr>
          <w:rFonts w:ascii="Times New Roman" w:eastAsiaTheme="minorEastAsia" w:hAnsi="Times New Roman" w:cs="Times New Roman"/>
          <w:noProof/>
          <w:sz w:val="25"/>
          <w:szCs w:val="25"/>
        </w:rPr>
      </w:pPr>
      <w:hyperlink w:anchor="_Toc288813721" w:history="1">
        <w:r w:rsidR="00DB4467" w:rsidRPr="00DB4467">
          <w:rPr>
            <w:rStyle w:val="Hyperlink"/>
            <w:rFonts w:ascii="Times New Roman" w:hAnsi="Times New Roman" w:cs="Times New Roman"/>
            <w:noProof/>
            <w:sz w:val="25"/>
            <w:szCs w:val="25"/>
          </w:rPr>
          <w:t>B.</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Capital Structure and Rate of Return</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_Toc288813721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14</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4"/>
        <w:rPr>
          <w:rFonts w:ascii="Times New Roman" w:eastAsiaTheme="minorEastAsia" w:hAnsi="Times New Roman" w:cs="Times New Roman"/>
          <w:noProof/>
          <w:sz w:val="25"/>
          <w:szCs w:val="25"/>
        </w:rPr>
      </w:pPr>
      <w:hyperlink w:anchor="_Toc288813722" w:history="1">
        <w:r w:rsidR="00DB4467" w:rsidRPr="00DB4467">
          <w:rPr>
            <w:rStyle w:val="Hyperlink"/>
            <w:rFonts w:ascii="Times New Roman" w:hAnsi="Times New Roman" w:cs="Times New Roman"/>
            <w:noProof/>
            <w:sz w:val="25"/>
            <w:szCs w:val="25"/>
          </w:rPr>
          <w:t>1.</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Capital Structure</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_Toc288813722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14</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4"/>
        <w:rPr>
          <w:rFonts w:ascii="Times New Roman" w:eastAsiaTheme="minorEastAsia" w:hAnsi="Times New Roman" w:cs="Times New Roman"/>
          <w:noProof/>
          <w:sz w:val="25"/>
          <w:szCs w:val="25"/>
        </w:rPr>
      </w:pPr>
      <w:hyperlink w:anchor="_Toc288813723" w:history="1">
        <w:r w:rsidR="00DB4467" w:rsidRPr="00DB4467">
          <w:rPr>
            <w:rStyle w:val="Hyperlink"/>
            <w:rFonts w:ascii="Times New Roman" w:hAnsi="Times New Roman" w:cs="Times New Roman"/>
            <w:noProof/>
            <w:sz w:val="25"/>
            <w:szCs w:val="25"/>
          </w:rPr>
          <w:t>2.</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Cost of Common Equity</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_Toc288813723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22</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4"/>
        <w:rPr>
          <w:rFonts w:ascii="Times New Roman" w:eastAsiaTheme="minorEastAsia" w:hAnsi="Times New Roman" w:cs="Times New Roman"/>
          <w:noProof/>
          <w:sz w:val="25"/>
          <w:szCs w:val="25"/>
        </w:rPr>
      </w:pPr>
      <w:hyperlink w:anchor="_Toc288813724" w:history="1">
        <w:r w:rsidR="00DB4467" w:rsidRPr="00DB4467">
          <w:rPr>
            <w:rStyle w:val="Hyperlink"/>
            <w:rFonts w:ascii="Times New Roman" w:hAnsi="Times New Roman" w:cs="Times New Roman"/>
            <w:noProof/>
            <w:sz w:val="25"/>
            <w:szCs w:val="25"/>
          </w:rPr>
          <w:t>3.</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Cost of Preferred Stock</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_Toc288813724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39</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4"/>
        <w:rPr>
          <w:rFonts w:ascii="Times New Roman" w:eastAsiaTheme="minorEastAsia" w:hAnsi="Times New Roman" w:cs="Times New Roman"/>
          <w:noProof/>
          <w:sz w:val="25"/>
          <w:szCs w:val="25"/>
        </w:rPr>
      </w:pPr>
      <w:hyperlink w:anchor="_Toc288813725" w:history="1">
        <w:r w:rsidR="00DB4467" w:rsidRPr="00DB4467">
          <w:rPr>
            <w:rStyle w:val="Hyperlink"/>
            <w:rFonts w:ascii="Times New Roman" w:hAnsi="Times New Roman" w:cs="Times New Roman"/>
            <w:noProof/>
            <w:sz w:val="25"/>
            <w:szCs w:val="25"/>
          </w:rPr>
          <w:t>4.</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Cost of Long-Term Debt</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_Toc288813725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39</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4"/>
        <w:rPr>
          <w:rFonts w:ascii="Times New Roman" w:eastAsiaTheme="minorEastAsia" w:hAnsi="Times New Roman" w:cs="Times New Roman"/>
          <w:noProof/>
          <w:sz w:val="25"/>
          <w:szCs w:val="25"/>
        </w:rPr>
      </w:pPr>
      <w:hyperlink w:anchor="_Toc288813726" w:history="1">
        <w:r w:rsidR="00DB4467" w:rsidRPr="00DB4467">
          <w:rPr>
            <w:rStyle w:val="Hyperlink"/>
            <w:rFonts w:ascii="Times New Roman" w:hAnsi="Times New Roman" w:cs="Times New Roman"/>
            <w:noProof/>
            <w:sz w:val="25"/>
            <w:szCs w:val="25"/>
          </w:rPr>
          <w:t>5.</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General Commitment 37</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_Toc288813726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40</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3"/>
        <w:tabs>
          <w:tab w:val="left" w:pos="720"/>
          <w:tab w:val="right" w:leader="dot" w:pos="8630"/>
        </w:tabs>
        <w:rPr>
          <w:rFonts w:ascii="Times New Roman" w:eastAsiaTheme="minorEastAsia" w:hAnsi="Times New Roman" w:cs="Times New Roman"/>
          <w:noProof/>
          <w:sz w:val="25"/>
          <w:szCs w:val="25"/>
        </w:rPr>
      </w:pPr>
      <w:hyperlink w:anchor="_Toc288813727" w:history="1">
        <w:r w:rsidR="00DB4467" w:rsidRPr="00DB4467">
          <w:rPr>
            <w:rStyle w:val="Hyperlink"/>
            <w:rFonts w:ascii="Times New Roman" w:hAnsi="Times New Roman" w:cs="Times New Roman"/>
            <w:noProof/>
            <w:sz w:val="25"/>
            <w:szCs w:val="25"/>
          </w:rPr>
          <w:t>C.</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Revenue Adjustments</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_Toc288813727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41</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4"/>
        <w:rPr>
          <w:rFonts w:ascii="Times New Roman" w:eastAsiaTheme="minorEastAsia" w:hAnsi="Times New Roman" w:cs="Times New Roman"/>
          <w:noProof/>
          <w:sz w:val="25"/>
          <w:szCs w:val="25"/>
        </w:rPr>
      </w:pPr>
      <w:hyperlink w:anchor="_Toc288813728" w:history="1">
        <w:r w:rsidR="00DB4467" w:rsidRPr="00DB4467">
          <w:rPr>
            <w:rStyle w:val="Hyperlink"/>
            <w:rFonts w:ascii="Times New Roman" w:hAnsi="Times New Roman" w:cs="Times New Roman"/>
            <w:noProof/>
            <w:sz w:val="25"/>
            <w:szCs w:val="25"/>
          </w:rPr>
          <w:t>1.</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Net Power Costs</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_Toc288813728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41</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5"/>
        <w:tabs>
          <w:tab w:val="left" w:pos="1200"/>
          <w:tab w:val="right" w:leader="dot" w:pos="8630"/>
        </w:tabs>
        <w:rPr>
          <w:rFonts w:ascii="Times New Roman" w:eastAsiaTheme="minorEastAsia" w:hAnsi="Times New Roman" w:cs="Times New Roman"/>
          <w:noProof/>
          <w:sz w:val="25"/>
          <w:szCs w:val="25"/>
        </w:rPr>
      </w:pPr>
      <w:hyperlink w:anchor="_Toc288813729" w:history="1">
        <w:r w:rsidR="00DB4467" w:rsidRPr="00DB4467">
          <w:rPr>
            <w:rStyle w:val="Hyperlink"/>
            <w:rFonts w:ascii="Times New Roman" w:hAnsi="Times New Roman" w:cs="Times New Roman"/>
            <w:noProof/>
            <w:sz w:val="25"/>
            <w:szCs w:val="25"/>
          </w:rPr>
          <w:t>a.</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Introduction.</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_Toc288813729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41</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5"/>
        <w:tabs>
          <w:tab w:val="left" w:pos="1200"/>
          <w:tab w:val="right" w:leader="dot" w:pos="8630"/>
        </w:tabs>
        <w:rPr>
          <w:rFonts w:ascii="Times New Roman" w:eastAsiaTheme="minorEastAsia" w:hAnsi="Times New Roman" w:cs="Times New Roman"/>
          <w:noProof/>
          <w:sz w:val="25"/>
          <w:szCs w:val="25"/>
        </w:rPr>
      </w:pPr>
      <w:hyperlink w:anchor="_Toc288813730" w:history="1">
        <w:r w:rsidR="00DB4467" w:rsidRPr="00DB4467">
          <w:rPr>
            <w:rStyle w:val="Hyperlink"/>
            <w:rFonts w:ascii="Times New Roman" w:hAnsi="Times New Roman" w:cs="Times New Roman"/>
            <w:noProof/>
            <w:sz w:val="25"/>
            <w:szCs w:val="25"/>
          </w:rPr>
          <w:t>b.</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Arbitrage Sales Margin</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_Toc288813730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42</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5"/>
        <w:tabs>
          <w:tab w:val="left" w:pos="1200"/>
          <w:tab w:val="right" w:leader="dot" w:pos="8630"/>
        </w:tabs>
        <w:rPr>
          <w:rFonts w:ascii="Times New Roman" w:eastAsiaTheme="minorEastAsia" w:hAnsi="Times New Roman" w:cs="Times New Roman"/>
          <w:noProof/>
          <w:sz w:val="25"/>
          <w:szCs w:val="25"/>
        </w:rPr>
      </w:pPr>
      <w:hyperlink w:anchor="_Toc288813731" w:history="1">
        <w:r w:rsidR="00DB4467" w:rsidRPr="00DB4467">
          <w:rPr>
            <w:rStyle w:val="Hyperlink"/>
            <w:rFonts w:ascii="Times New Roman" w:hAnsi="Times New Roman" w:cs="Times New Roman"/>
            <w:noProof/>
            <w:sz w:val="25"/>
            <w:szCs w:val="25"/>
          </w:rPr>
          <w:t>c.</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Seattle City Light (SCL) Stateline Contact</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_Toc288813731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44</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5"/>
        <w:tabs>
          <w:tab w:val="left" w:pos="1200"/>
          <w:tab w:val="right" w:leader="dot" w:pos="8630"/>
        </w:tabs>
        <w:rPr>
          <w:rFonts w:ascii="Times New Roman" w:eastAsiaTheme="minorEastAsia" w:hAnsi="Times New Roman" w:cs="Times New Roman"/>
          <w:noProof/>
          <w:sz w:val="25"/>
          <w:szCs w:val="25"/>
        </w:rPr>
      </w:pPr>
      <w:hyperlink w:anchor="_Toc288813732" w:history="1">
        <w:r w:rsidR="00DB4467" w:rsidRPr="00DB4467">
          <w:rPr>
            <w:rStyle w:val="Hyperlink"/>
            <w:rFonts w:ascii="Times New Roman" w:hAnsi="Times New Roman" w:cs="Times New Roman"/>
            <w:noProof/>
            <w:sz w:val="25"/>
            <w:szCs w:val="25"/>
          </w:rPr>
          <w:t>d.</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Wind Inter-hour Integration Costs</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_Toc288813732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45</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5"/>
        <w:tabs>
          <w:tab w:val="left" w:pos="1200"/>
          <w:tab w:val="right" w:leader="dot" w:pos="8630"/>
        </w:tabs>
        <w:rPr>
          <w:rFonts w:ascii="Times New Roman" w:eastAsiaTheme="minorEastAsia" w:hAnsi="Times New Roman" w:cs="Times New Roman"/>
          <w:noProof/>
          <w:sz w:val="25"/>
          <w:szCs w:val="25"/>
        </w:rPr>
      </w:pPr>
      <w:hyperlink w:anchor="_Toc288813733" w:history="1">
        <w:r w:rsidR="00DB4467" w:rsidRPr="00DB4467">
          <w:rPr>
            <w:rStyle w:val="Hyperlink"/>
            <w:rFonts w:ascii="Times New Roman" w:hAnsi="Times New Roman" w:cs="Times New Roman"/>
            <w:noProof/>
            <w:sz w:val="25"/>
            <w:szCs w:val="25"/>
          </w:rPr>
          <w:t>e.</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Wind Intra-Hour Integration Cost</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_Toc288813733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45</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5"/>
        <w:tabs>
          <w:tab w:val="left" w:pos="1200"/>
          <w:tab w:val="right" w:leader="dot" w:pos="8630"/>
        </w:tabs>
        <w:rPr>
          <w:rFonts w:ascii="Times New Roman" w:eastAsiaTheme="minorEastAsia" w:hAnsi="Times New Roman" w:cs="Times New Roman"/>
          <w:noProof/>
          <w:sz w:val="25"/>
          <w:szCs w:val="25"/>
        </w:rPr>
      </w:pPr>
      <w:hyperlink w:anchor="_Toc288813734" w:history="1">
        <w:r w:rsidR="00DB4467" w:rsidRPr="00DB4467">
          <w:rPr>
            <w:rStyle w:val="Hyperlink"/>
            <w:rFonts w:ascii="Times New Roman" w:hAnsi="Times New Roman" w:cs="Times New Roman"/>
            <w:noProof/>
            <w:sz w:val="25"/>
            <w:szCs w:val="25"/>
          </w:rPr>
          <w:t>f.</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Sacramento Municipal Utility District (SMUD) Shaping Contract</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_Toc288813734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49</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5"/>
        <w:tabs>
          <w:tab w:val="left" w:pos="1200"/>
          <w:tab w:val="right" w:leader="dot" w:pos="8630"/>
        </w:tabs>
        <w:rPr>
          <w:rFonts w:ascii="Times New Roman" w:eastAsiaTheme="minorEastAsia" w:hAnsi="Times New Roman" w:cs="Times New Roman"/>
          <w:noProof/>
          <w:sz w:val="25"/>
          <w:szCs w:val="25"/>
        </w:rPr>
      </w:pPr>
      <w:hyperlink w:anchor="_Toc288813735" w:history="1">
        <w:r w:rsidR="00DB4467" w:rsidRPr="00DB4467">
          <w:rPr>
            <w:rStyle w:val="Hyperlink"/>
            <w:rFonts w:ascii="Times New Roman" w:hAnsi="Times New Roman" w:cs="Times New Roman"/>
            <w:noProof/>
            <w:sz w:val="25"/>
            <w:szCs w:val="25"/>
          </w:rPr>
          <w:t>g.</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Colstrip Outage</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_Toc288813735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52</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5"/>
        <w:tabs>
          <w:tab w:val="left" w:pos="1200"/>
          <w:tab w:val="right" w:leader="dot" w:pos="8630"/>
        </w:tabs>
        <w:rPr>
          <w:rFonts w:ascii="Times New Roman" w:eastAsiaTheme="minorEastAsia" w:hAnsi="Times New Roman" w:cs="Times New Roman"/>
          <w:noProof/>
          <w:sz w:val="25"/>
          <w:szCs w:val="25"/>
        </w:rPr>
      </w:pPr>
      <w:hyperlink w:anchor="_Toc288813736" w:history="1">
        <w:r w:rsidR="00DB4467" w:rsidRPr="00DB4467">
          <w:rPr>
            <w:rStyle w:val="Hyperlink"/>
            <w:rFonts w:ascii="Times New Roman" w:hAnsi="Times New Roman" w:cs="Times New Roman"/>
            <w:noProof/>
            <w:sz w:val="25"/>
            <w:szCs w:val="25"/>
          </w:rPr>
          <w:t>h.</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Direct Current (DC) Intertie</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_Toc288813736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53</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5"/>
        <w:tabs>
          <w:tab w:val="left" w:pos="1200"/>
          <w:tab w:val="right" w:leader="dot" w:pos="8630"/>
        </w:tabs>
        <w:rPr>
          <w:rFonts w:ascii="Times New Roman" w:eastAsiaTheme="minorEastAsia" w:hAnsi="Times New Roman" w:cs="Times New Roman"/>
          <w:noProof/>
          <w:sz w:val="25"/>
          <w:szCs w:val="25"/>
        </w:rPr>
      </w:pPr>
      <w:hyperlink w:anchor="_Toc288813737" w:history="1">
        <w:r w:rsidR="00DB4467" w:rsidRPr="00DB4467">
          <w:rPr>
            <w:rStyle w:val="Hyperlink"/>
            <w:rFonts w:ascii="Times New Roman" w:hAnsi="Times New Roman" w:cs="Times New Roman"/>
            <w:noProof/>
            <w:sz w:val="25"/>
            <w:szCs w:val="25"/>
          </w:rPr>
          <w:t>i.</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Idaho Point-to-Point (PTP) Transmission Contract</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_Toc288813737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56</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5"/>
        <w:tabs>
          <w:tab w:val="left" w:pos="1200"/>
          <w:tab w:val="right" w:leader="dot" w:pos="8630"/>
        </w:tabs>
        <w:rPr>
          <w:rFonts w:ascii="Times New Roman" w:eastAsiaTheme="minorEastAsia" w:hAnsi="Times New Roman" w:cs="Times New Roman"/>
          <w:noProof/>
          <w:sz w:val="25"/>
          <w:szCs w:val="25"/>
        </w:rPr>
      </w:pPr>
      <w:hyperlink w:anchor="_Toc288813738" w:history="1">
        <w:r w:rsidR="00DB4467" w:rsidRPr="00DB4467">
          <w:rPr>
            <w:rStyle w:val="Hyperlink"/>
            <w:rFonts w:ascii="Times New Roman" w:hAnsi="Times New Roman" w:cs="Times New Roman"/>
            <w:noProof/>
            <w:sz w:val="25"/>
            <w:szCs w:val="25"/>
          </w:rPr>
          <w:t>j.</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 xml:space="preserve"> Price Update</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_Toc288813738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58</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5"/>
        <w:tabs>
          <w:tab w:val="left" w:pos="1200"/>
          <w:tab w:val="right" w:leader="dot" w:pos="8630"/>
        </w:tabs>
        <w:rPr>
          <w:rFonts w:ascii="Times New Roman" w:eastAsiaTheme="minorEastAsia" w:hAnsi="Times New Roman" w:cs="Times New Roman"/>
          <w:noProof/>
          <w:sz w:val="25"/>
          <w:szCs w:val="25"/>
        </w:rPr>
      </w:pPr>
      <w:hyperlink w:anchor="_Toc288813739" w:history="1">
        <w:r w:rsidR="00DB4467" w:rsidRPr="00DB4467">
          <w:rPr>
            <w:rStyle w:val="Hyperlink"/>
            <w:rFonts w:ascii="Times New Roman" w:hAnsi="Times New Roman" w:cs="Times New Roman"/>
            <w:noProof/>
            <w:sz w:val="25"/>
            <w:szCs w:val="25"/>
          </w:rPr>
          <w:t>k.</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Logic Screen</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_Toc288813739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58</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5"/>
        <w:tabs>
          <w:tab w:val="left" w:pos="1200"/>
          <w:tab w:val="right" w:leader="dot" w:pos="8630"/>
        </w:tabs>
        <w:rPr>
          <w:rFonts w:ascii="Times New Roman" w:eastAsiaTheme="minorEastAsia" w:hAnsi="Times New Roman" w:cs="Times New Roman"/>
          <w:noProof/>
          <w:sz w:val="25"/>
          <w:szCs w:val="25"/>
        </w:rPr>
      </w:pPr>
      <w:hyperlink w:anchor="_Toc288813740" w:history="1">
        <w:r w:rsidR="00DB4467" w:rsidRPr="00DB4467">
          <w:rPr>
            <w:rStyle w:val="Hyperlink"/>
            <w:rFonts w:ascii="Times New Roman" w:hAnsi="Times New Roman" w:cs="Times New Roman"/>
            <w:noProof/>
            <w:sz w:val="25"/>
            <w:szCs w:val="25"/>
          </w:rPr>
          <w:t>l.</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Eastern Market Sale</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_Toc288813740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59</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5"/>
        <w:tabs>
          <w:tab w:val="left" w:pos="1200"/>
          <w:tab w:val="right" w:leader="dot" w:pos="8630"/>
        </w:tabs>
        <w:rPr>
          <w:rFonts w:ascii="Times New Roman" w:eastAsiaTheme="minorEastAsia" w:hAnsi="Times New Roman" w:cs="Times New Roman"/>
          <w:noProof/>
          <w:sz w:val="25"/>
          <w:szCs w:val="25"/>
        </w:rPr>
      </w:pPr>
      <w:hyperlink w:anchor="_Toc288813741" w:history="1">
        <w:r w:rsidR="00DB4467" w:rsidRPr="00DB4467">
          <w:rPr>
            <w:rStyle w:val="Hyperlink"/>
            <w:rFonts w:ascii="Times New Roman" w:hAnsi="Times New Roman" w:cs="Times New Roman"/>
            <w:noProof/>
            <w:sz w:val="25"/>
            <w:szCs w:val="25"/>
          </w:rPr>
          <w:t>m.</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Eastern Control Area Transmission Costs- Colstrip East</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_Toc288813741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61</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5"/>
        <w:tabs>
          <w:tab w:val="left" w:pos="1200"/>
          <w:tab w:val="right" w:leader="dot" w:pos="8630"/>
        </w:tabs>
        <w:rPr>
          <w:rFonts w:ascii="Times New Roman" w:eastAsiaTheme="minorEastAsia" w:hAnsi="Times New Roman" w:cs="Times New Roman"/>
          <w:noProof/>
          <w:sz w:val="25"/>
          <w:szCs w:val="25"/>
        </w:rPr>
      </w:pPr>
      <w:hyperlink w:anchor="_Toc288813742" w:history="1">
        <w:r w:rsidR="00DB4467" w:rsidRPr="00DB4467">
          <w:rPr>
            <w:rStyle w:val="Hyperlink"/>
            <w:rFonts w:ascii="Times New Roman" w:hAnsi="Times New Roman" w:cs="Times New Roman"/>
            <w:noProof/>
            <w:sz w:val="25"/>
            <w:szCs w:val="25"/>
          </w:rPr>
          <w:t>n.</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Non-Firm Transmission</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_Toc288813742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62</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5"/>
        <w:tabs>
          <w:tab w:val="left" w:pos="1200"/>
          <w:tab w:val="right" w:leader="dot" w:pos="8630"/>
        </w:tabs>
        <w:rPr>
          <w:rFonts w:ascii="Times New Roman" w:eastAsiaTheme="minorEastAsia" w:hAnsi="Times New Roman" w:cs="Times New Roman"/>
          <w:noProof/>
          <w:sz w:val="25"/>
          <w:szCs w:val="25"/>
        </w:rPr>
      </w:pPr>
      <w:hyperlink w:anchor="_Toc288813743" w:history="1">
        <w:r w:rsidR="00DB4467" w:rsidRPr="00DB4467">
          <w:rPr>
            <w:rStyle w:val="Hyperlink"/>
            <w:rFonts w:ascii="Times New Roman" w:hAnsi="Times New Roman" w:cs="Times New Roman"/>
            <w:noProof/>
            <w:sz w:val="25"/>
            <w:szCs w:val="25"/>
          </w:rPr>
          <w:t>o.</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Planned Outage Schedule</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_Toc288813743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63</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5"/>
        <w:tabs>
          <w:tab w:val="left" w:pos="1200"/>
          <w:tab w:val="right" w:leader="dot" w:pos="8630"/>
        </w:tabs>
        <w:rPr>
          <w:rFonts w:ascii="Times New Roman" w:eastAsiaTheme="minorEastAsia" w:hAnsi="Times New Roman" w:cs="Times New Roman"/>
          <w:noProof/>
          <w:sz w:val="25"/>
          <w:szCs w:val="25"/>
        </w:rPr>
      </w:pPr>
      <w:hyperlink w:anchor="_Toc288813744" w:history="1">
        <w:r w:rsidR="00DB4467" w:rsidRPr="00DB4467">
          <w:rPr>
            <w:rStyle w:val="Hyperlink"/>
            <w:rFonts w:ascii="Times New Roman" w:hAnsi="Times New Roman" w:cs="Times New Roman"/>
            <w:noProof/>
            <w:sz w:val="25"/>
            <w:szCs w:val="25"/>
          </w:rPr>
          <w:t>p.</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Jim Bridger Fuel Adjustment</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_Toc288813744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64</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5"/>
        <w:tabs>
          <w:tab w:val="left" w:pos="1200"/>
          <w:tab w:val="right" w:leader="dot" w:pos="8630"/>
        </w:tabs>
        <w:rPr>
          <w:rFonts w:ascii="Times New Roman" w:eastAsiaTheme="minorEastAsia" w:hAnsi="Times New Roman" w:cs="Times New Roman"/>
          <w:noProof/>
          <w:sz w:val="25"/>
          <w:szCs w:val="25"/>
        </w:rPr>
      </w:pPr>
      <w:hyperlink w:anchor="_Toc288813745" w:history="1">
        <w:r w:rsidR="00DB4467" w:rsidRPr="00DB4467">
          <w:rPr>
            <w:rStyle w:val="Hyperlink"/>
            <w:rFonts w:ascii="Times New Roman" w:hAnsi="Times New Roman" w:cs="Times New Roman"/>
            <w:noProof/>
            <w:sz w:val="25"/>
            <w:szCs w:val="25"/>
          </w:rPr>
          <w:t>q.</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Minimum Loading and Deration Adjustment</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_Toc288813745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66</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5"/>
        <w:tabs>
          <w:tab w:val="left" w:pos="1200"/>
          <w:tab w:val="right" w:leader="dot" w:pos="8630"/>
        </w:tabs>
        <w:rPr>
          <w:rFonts w:ascii="Times New Roman" w:eastAsiaTheme="minorEastAsia" w:hAnsi="Times New Roman" w:cs="Times New Roman"/>
          <w:noProof/>
          <w:sz w:val="25"/>
          <w:szCs w:val="25"/>
        </w:rPr>
      </w:pPr>
      <w:hyperlink w:anchor="_Toc288813746" w:history="1">
        <w:r w:rsidR="00DB4467" w:rsidRPr="00DB4467">
          <w:rPr>
            <w:rStyle w:val="Hyperlink"/>
            <w:rFonts w:ascii="Times New Roman" w:hAnsi="Times New Roman" w:cs="Times New Roman"/>
            <w:noProof/>
            <w:sz w:val="25"/>
            <w:szCs w:val="25"/>
          </w:rPr>
          <w:t>r.</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Balancing Adjustment</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_Toc288813746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68</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4"/>
        <w:rPr>
          <w:rFonts w:ascii="Times New Roman" w:eastAsiaTheme="minorEastAsia" w:hAnsi="Times New Roman" w:cs="Times New Roman"/>
          <w:noProof/>
          <w:sz w:val="25"/>
          <w:szCs w:val="25"/>
        </w:rPr>
      </w:pPr>
      <w:hyperlink w:anchor="_Toc288813747" w:history="1">
        <w:r w:rsidR="00DB4467" w:rsidRPr="00DB4467">
          <w:rPr>
            <w:rStyle w:val="Hyperlink"/>
            <w:rFonts w:ascii="Times New Roman" w:hAnsi="Times New Roman" w:cs="Times New Roman"/>
            <w:noProof/>
            <w:sz w:val="25"/>
            <w:szCs w:val="25"/>
          </w:rPr>
          <w:t>2.</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Renewable Energy Credit Revenue (REC)</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_Toc288813747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68</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4"/>
        <w:rPr>
          <w:rFonts w:ascii="Times New Roman" w:eastAsiaTheme="minorEastAsia" w:hAnsi="Times New Roman" w:cs="Times New Roman"/>
          <w:noProof/>
          <w:sz w:val="25"/>
          <w:szCs w:val="25"/>
        </w:rPr>
      </w:pPr>
      <w:hyperlink w:anchor="_Toc288813748" w:history="1">
        <w:r w:rsidR="00DB4467" w:rsidRPr="00DB4467">
          <w:rPr>
            <w:rStyle w:val="Hyperlink"/>
            <w:rFonts w:ascii="Times New Roman" w:hAnsi="Times New Roman" w:cs="Times New Roman"/>
            <w:noProof/>
            <w:sz w:val="25"/>
            <w:szCs w:val="25"/>
          </w:rPr>
          <w:t>3.</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SO</w:t>
        </w:r>
        <w:r w:rsidR="00DB4467" w:rsidRPr="00DB4467">
          <w:rPr>
            <w:rStyle w:val="Hyperlink"/>
            <w:rFonts w:ascii="Times New Roman" w:hAnsi="Times New Roman" w:cs="Times New Roman"/>
            <w:noProof/>
            <w:sz w:val="25"/>
            <w:szCs w:val="25"/>
            <w:vertAlign w:val="subscript"/>
          </w:rPr>
          <w:t>2</w:t>
        </w:r>
        <w:r w:rsidR="00DB4467" w:rsidRPr="00DB4467">
          <w:rPr>
            <w:rStyle w:val="Hyperlink"/>
            <w:rFonts w:ascii="Times New Roman" w:hAnsi="Times New Roman" w:cs="Times New Roman"/>
            <w:noProof/>
            <w:sz w:val="25"/>
            <w:szCs w:val="25"/>
          </w:rPr>
          <w:t xml:space="preserve"> Emission Allowance Sales Revenue</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_Toc288813748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73</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4"/>
        <w:rPr>
          <w:rFonts w:ascii="Times New Roman" w:eastAsiaTheme="minorEastAsia" w:hAnsi="Times New Roman" w:cs="Times New Roman"/>
          <w:noProof/>
          <w:sz w:val="25"/>
          <w:szCs w:val="25"/>
        </w:rPr>
      </w:pPr>
      <w:hyperlink w:anchor="_Toc288813749" w:history="1">
        <w:r w:rsidR="00DB4467" w:rsidRPr="00DB4467">
          <w:rPr>
            <w:rStyle w:val="Hyperlink"/>
            <w:rFonts w:ascii="Times New Roman" w:hAnsi="Times New Roman" w:cs="Times New Roman"/>
            <w:noProof/>
            <w:sz w:val="25"/>
            <w:szCs w:val="25"/>
          </w:rPr>
          <w:t>4.</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Temperature Normalization - Retail Sales</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_Toc288813749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74</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4"/>
        <w:rPr>
          <w:rFonts w:ascii="Times New Roman" w:eastAsiaTheme="minorEastAsia" w:hAnsi="Times New Roman" w:cs="Times New Roman"/>
          <w:noProof/>
          <w:sz w:val="25"/>
          <w:szCs w:val="25"/>
        </w:rPr>
      </w:pPr>
      <w:hyperlink w:anchor="_Toc288813750" w:history="1">
        <w:r w:rsidR="00DB4467" w:rsidRPr="00DB4467">
          <w:rPr>
            <w:rStyle w:val="Hyperlink"/>
            <w:rFonts w:ascii="Times New Roman" w:hAnsi="Times New Roman" w:cs="Times New Roman"/>
            <w:noProof/>
            <w:sz w:val="25"/>
            <w:szCs w:val="25"/>
          </w:rPr>
          <w:t>5.</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Temperature Normalization - Commercial Sales</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_Toc288813750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76</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4"/>
        <w:rPr>
          <w:rFonts w:ascii="Times New Roman" w:eastAsiaTheme="minorEastAsia" w:hAnsi="Times New Roman" w:cs="Times New Roman"/>
          <w:noProof/>
          <w:sz w:val="25"/>
          <w:szCs w:val="25"/>
        </w:rPr>
      </w:pPr>
      <w:hyperlink w:anchor="_Toc288813751" w:history="1">
        <w:r w:rsidR="00DB4467" w:rsidRPr="00DB4467">
          <w:rPr>
            <w:rStyle w:val="Hyperlink"/>
            <w:rFonts w:ascii="Times New Roman" w:hAnsi="Times New Roman" w:cs="Times New Roman"/>
            <w:noProof/>
            <w:sz w:val="25"/>
            <w:szCs w:val="25"/>
          </w:rPr>
          <w:t>6.</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Restating and</w:t>
        </w:r>
        <w:r w:rsidR="00DB4467" w:rsidRPr="00DB4467">
          <w:rPr>
            <w:rStyle w:val="Hyperlink"/>
            <w:rFonts w:ascii="Times New Roman" w:hAnsi="Times New Roman" w:cs="Times New Roman"/>
            <w:i/>
            <w:noProof/>
            <w:sz w:val="25"/>
            <w:szCs w:val="25"/>
          </w:rPr>
          <w:t xml:space="preserve"> Pro forma </w:t>
        </w:r>
        <w:r w:rsidR="00DB4467" w:rsidRPr="00DB4467">
          <w:rPr>
            <w:rStyle w:val="Hyperlink"/>
            <w:rFonts w:ascii="Times New Roman" w:hAnsi="Times New Roman" w:cs="Times New Roman"/>
            <w:noProof/>
            <w:sz w:val="25"/>
            <w:szCs w:val="25"/>
          </w:rPr>
          <w:t>Wage Increases</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_Toc288813751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78</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4"/>
        <w:rPr>
          <w:rFonts w:ascii="Times New Roman" w:eastAsiaTheme="minorEastAsia" w:hAnsi="Times New Roman" w:cs="Times New Roman"/>
          <w:noProof/>
          <w:sz w:val="25"/>
          <w:szCs w:val="25"/>
        </w:rPr>
      </w:pPr>
      <w:hyperlink w:anchor="_Toc288813752" w:history="1">
        <w:r w:rsidR="00DB4467" w:rsidRPr="00DB4467">
          <w:rPr>
            <w:rStyle w:val="Hyperlink"/>
            <w:rFonts w:ascii="Times New Roman" w:hAnsi="Times New Roman" w:cs="Times New Roman"/>
            <w:noProof/>
            <w:sz w:val="25"/>
            <w:szCs w:val="25"/>
          </w:rPr>
          <w:t>7.</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Affiliate Management Fees</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_Toc288813752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81</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4"/>
        <w:rPr>
          <w:rFonts w:ascii="Times New Roman" w:eastAsiaTheme="minorEastAsia" w:hAnsi="Times New Roman" w:cs="Times New Roman"/>
          <w:noProof/>
          <w:sz w:val="25"/>
          <w:szCs w:val="25"/>
        </w:rPr>
      </w:pPr>
      <w:hyperlink w:anchor="_Toc288813753" w:history="1">
        <w:r w:rsidR="00DB4467" w:rsidRPr="00DB4467">
          <w:rPr>
            <w:rStyle w:val="Hyperlink"/>
            <w:rFonts w:ascii="Times New Roman" w:hAnsi="Times New Roman" w:cs="Times New Roman"/>
            <w:noProof/>
            <w:sz w:val="25"/>
            <w:szCs w:val="25"/>
          </w:rPr>
          <w:t>8.</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Annual Incentive Plan (AIP)</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_Toc288813753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83</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4"/>
        <w:rPr>
          <w:rFonts w:ascii="Times New Roman" w:eastAsiaTheme="minorEastAsia" w:hAnsi="Times New Roman" w:cs="Times New Roman"/>
          <w:noProof/>
          <w:sz w:val="25"/>
          <w:szCs w:val="25"/>
        </w:rPr>
      </w:pPr>
      <w:hyperlink w:anchor="_Toc288813754" w:history="1">
        <w:r w:rsidR="00DB4467" w:rsidRPr="00DB4467">
          <w:rPr>
            <w:rStyle w:val="Hyperlink"/>
            <w:rFonts w:ascii="Times New Roman" w:hAnsi="Times New Roman" w:cs="Times New Roman"/>
            <w:noProof/>
            <w:sz w:val="25"/>
            <w:szCs w:val="25"/>
          </w:rPr>
          <w:t>9.</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Legal Expenses</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_Toc288813754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86</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3"/>
        <w:tabs>
          <w:tab w:val="left" w:pos="720"/>
          <w:tab w:val="right" w:leader="dot" w:pos="8630"/>
        </w:tabs>
        <w:rPr>
          <w:rFonts w:ascii="Times New Roman" w:eastAsiaTheme="minorEastAsia" w:hAnsi="Times New Roman" w:cs="Times New Roman"/>
          <w:noProof/>
          <w:sz w:val="25"/>
          <w:szCs w:val="25"/>
        </w:rPr>
      </w:pPr>
      <w:hyperlink w:anchor="_Toc288813755" w:history="1">
        <w:r w:rsidR="00DB4467" w:rsidRPr="00DB4467">
          <w:rPr>
            <w:rStyle w:val="Hyperlink"/>
            <w:rFonts w:ascii="Times New Roman" w:hAnsi="Times New Roman" w:cs="Times New Roman"/>
            <w:noProof/>
            <w:sz w:val="25"/>
            <w:szCs w:val="25"/>
          </w:rPr>
          <w:t>D.</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Tax Adjustments</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_Toc288813755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87</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4"/>
        <w:rPr>
          <w:rFonts w:ascii="Times New Roman" w:eastAsiaTheme="minorEastAsia" w:hAnsi="Times New Roman" w:cs="Times New Roman"/>
          <w:noProof/>
          <w:sz w:val="25"/>
          <w:szCs w:val="25"/>
        </w:rPr>
      </w:pPr>
      <w:hyperlink w:anchor="_Toc288813756" w:history="1">
        <w:r w:rsidR="00DB4467" w:rsidRPr="00DB4467">
          <w:rPr>
            <w:rStyle w:val="Hyperlink"/>
            <w:rFonts w:ascii="Times New Roman" w:hAnsi="Times New Roman" w:cs="Times New Roman"/>
            <w:noProof/>
            <w:sz w:val="25"/>
            <w:szCs w:val="25"/>
          </w:rPr>
          <w:t>1.</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Repairs Deduction</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_Toc288813756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87</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4"/>
        <w:rPr>
          <w:rFonts w:ascii="Times New Roman" w:eastAsiaTheme="minorEastAsia" w:hAnsi="Times New Roman" w:cs="Times New Roman"/>
          <w:noProof/>
          <w:sz w:val="25"/>
          <w:szCs w:val="25"/>
        </w:rPr>
      </w:pPr>
      <w:hyperlink w:anchor="_Toc288813757" w:history="1">
        <w:r w:rsidR="00DB4467" w:rsidRPr="00DB4467">
          <w:rPr>
            <w:rStyle w:val="Hyperlink"/>
            <w:rFonts w:ascii="Times New Roman" w:hAnsi="Times New Roman" w:cs="Times New Roman"/>
            <w:noProof/>
            <w:sz w:val="25"/>
            <w:szCs w:val="25"/>
          </w:rPr>
          <w:t>2.</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Interest Reserve</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_Toc288813757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89</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4"/>
        <w:rPr>
          <w:rFonts w:ascii="Times New Roman" w:eastAsiaTheme="minorEastAsia" w:hAnsi="Times New Roman" w:cs="Times New Roman"/>
          <w:noProof/>
          <w:sz w:val="25"/>
          <w:szCs w:val="25"/>
        </w:rPr>
      </w:pPr>
      <w:hyperlink w:anchor="_Toc288813758" w:history="1">
        <w:r w:rsidR="00DB4467" w:rsidRPr="00DB4467">
          <w:rPr>
            <w:rStyle w:val="Hyperlink"/>
            <w:rFonts w:ascii="Times New Roman" w:hAnsi="Times New Roman" w:cs="Times New Roman"/>
            <w:noProof/>
            <w:sz w:val="25"/>
            <w:szCs w:val="25"/>
          </w:rPr>
          <w:t>3.</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Federal Income Tax: Normalization or Flow-Through</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_Toc288813758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90</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4"/>
        <w:rPr>
          <w:rFonts w:ascii="Times New Roman" w:eastAsiaTheme="minorEastAsia" w:hAnsi="Times New Roman" w:cs="Times New Roman"/>
          <w:noProof/>
          <w:sz w:val="25"/>
          <w:szCs w:val="25"/>
        </w:rPr>
      </w:pPr>
      <w:hyperlink w:anchor="_Toc288813759" w:history="1">
        <w:r w:rsidR="00DB4467" w:rsidRPr="00DB4467">
          <w:rPr>
            <w:rStyle w:val="Hyperlink"/>
            <w:rFonts w:ascii="Times New Roman" w:hAnsi="Times New Roman" w:cs="Times New Roman"/>
            <w:noProof/>
            <w:sz w:val="25"/>
            <w:szCs w:val="25"/>
          </w:rPr>
          <w:t>4.</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Interest True-Up</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_Toc288813759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96</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3"/>
        <w:tabs>
          <w:tab w:val="left" w:pos="720"/>
          <w:tab w:val="right" w:leader="dot" w:pos="8630"/>
        </w:tabs>
        <w:rPr>
          <w:rFonts w:ascii="Times New Roman" w:eastAsiaTheme="minorEastAsia" w:hAnsi="Times New Roman" w:cs="Times New Roman"/>
          <w:noProof/>
          <w:sz w:val="25"/>
          <w:szCs w:val="25"/>
        </w:rPr>
      </w:pPr>
      <w:hyperlink w:anchor="_Toc288813760" w:history="1">
        <w:r w:rsidR="00DB4467" w:rsidRPr="00DB4467">
          <w:rPr>
            <w:rStyle w:val="Hyperlink"/>
            <w:rFonts w:ascii="Times New Roman" w:hAnsi="Times New Roman" w:cs="Times New Roman"/>
            <w:noProof/>
            <w:sz w:val="25"/>
            <w:szCs w:val="25"/>
          </w:rPr>
          <w:t>E.</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Rate Base Adjustments</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_Toc288813760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96</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4"/>
        <w:rPr>
          <w:rFonts w:ascii="Times New Roman" w:eastAsiaTheme="minorEastAsia" w:hAnsi="Times New Roman" w:cs="Times New Roman"/>
          <w:noProof/>
          <w:sz w:val="25"/>
          <w:szCs w:val="25"/>
        </w:rPr>
      </w:pPr>
      <w:hyperlink w:anchor="_Toc288813761" w:history="1">
        <w:r w:rsidR="00DB4467" w:rsidRPr="00DB4467">
          <w:rPr>
            <w:rStyle w:val="Hyperlink"/>
            <w:rFonts w:ascii="Times New Roman" w:hAnsi="Times New Roman" w:cs="Times New Roman"/>
            <w:noProof/>
            <w:sz w:val="25"/>
            <w:szCs w:val="25"/>
          </w:rPr>
          <w:t>1.</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Working Capital/Jim Bridger Mine O &amp; M/Current Assets</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_Toc288813761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96</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3"/>
        <w:tabs>
          <w:tab w:val="left" w:pos="720"/>
          <w:tab w:val="right" w:leader="dot" w:pos="8630"/>
        </w:tabs>
        <w:rPr>
          <w:rFonts w:ascii="Times New Roman" w:eastAsiaTheme="minorEastAsia" w:hAnsi="Times New Roman" w:cs="Times New Roman"/>
          <w:noProof/>
          <w:sz w:val="25"/>
          <w:szCs w:val="25"/>
        </w:rPr>
      </w:pPr>
      <w:hyperlink w:anchor="_Toc288813762" w:history="1">
        <w:r w:rsidR="00DB4467" w:rsidRPr="00DB4467">
          <w:rPr>
            <w:rStyle w:val="Hyperlink"/>
            <w:rFonts w:ascii="Times New Roman" w:hAnsi="Times New Roman" w:cs="Times New Roman"/>
            <w:noProof/>
            <w:sz w:val="25"/>
            <w:szCs w:val="25"/>
          </w:rPr>
          <w:t>F.</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Cost-of-Service Study/Rate Spread/Rate Design</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_Toc288813762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102</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4"/>
        <w:rPr>
          <w:rFonts w:ascii="Times New Roman" w:eastAsiaTheme="minorEastAsia" w:hAnsi="Times New Roman" w:cs="Times New Roman"/>
          <w:noProof/>
          <w:sz w:val="25"/>
          <w:szCs w:val="25"/>
        </w:rPr>
      </w:pPr>
      <w:hyperlink w:anchor="_Toc288813763" w:history="1">
        <w:r w:rsidR="00DB4467" w:rsidRPr="00DB4467">
          <w:rPr>
            <w:rStyle w:val="Hyperlink"/>
            <w:rFonts w:ascii="Times New Roman" w:hAnsi="Times New Roman" w:cs="Times New Roman"/>
            <w:noProof/>
            <w:sz w:val="25"/>
            <w:szCs w:val="25"/>
          </w:rPr>
          <w:t>1.</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Cost-of-Service Study</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_Toc288813763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102</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4"/>
        <w:rPr>
          <w:rFonts w:ascii="Times New Roman" w:eastAsiaTheme="minorEastAsia" w:hAnsi="Times New Roman" w:cs="Times New Roman"/>
          <w:noProof/>
          <w:sz w:val="25"/>
          <w:szCs w:val="25"/>
        </w:rPr>
      </w:pPr>
      <w:hyperlink w:anchor="_Toc288813764" w:history="1">
        <w:r w:rsidR="00DB4467" w:rsidRPr="00DB4467">
          <w:rPr>
            <w:rStyle w:val="Hyperlink"/>
            <w:rFonts w:ascii="Times New Roman" w:hAnsi="Times New Roman" w:cs="Times New Roman"/>
            <w:noProof/>
            <w:sz w:val="25"/>
            <w:szCs w:val="25"/>
          </w:rPr>
          <w:t>2.</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Rate Spread</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_Toc288813764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105</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4"/>
        <w:rPr>
          <w:rFonts w:ascii="Times New Roman" w:eastAsiaTheme="minorEastAsia" w:hAnsi="Times New Roman" w:cs="Times New Roman"/>
          <w:noProof/>
          <w:sz w:val="25"/>
          <w:szCs w:val="25"/>
        </w:rPr>
      </w:pPr>
      <w:hyperlink w:anchor="_Toc288813765" w:history="1">
        <w:r w:rsidR="00DB4467" w:rsidRPr="00DB4467">
          <w:rPr>
            <w:rStyle w:val="Hyperlink"/>
            <w:rFonts w:ascii="Times New Roman" w:hAnsi="Times New Roman" w:cs="Times New Roman"/>
            <w:noProof/>
            <w:sz w:val="25"/>
            <w:szCs w:val="25"/>
          </w:rPr>
          <w:t>3.</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Rate Design</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_Toc288813765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109</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4"/>
        <w:rPr>
          <w:rFonts w:ascii="Times New Roman" w:eastAsiaTheme="minorEastAsia" w:hAnsi="Times New Roman" w:cs="Times New Roman"/>
          <w:noProof/>
          <w:sz w:val="25"/>
          <w:szCs w:val="25"/>
        </w:rPr>
      </w:pPr>
      <w:hyperlink w:anchor="_Toc288813766" w:history="1">
        <w:r w:rsidR="00DB4467" w:rsidRPr="00DB4467">
          <w:rPr>
            <w:rStyle w:val="Hyperlink"/>
            <w:rFonts w:ascii="Times New Roman" w:hAnsi="Times New Roman" w:cs="Times New Roman"/>
            <w:noProof/>
            <w:sz w:val="25"/>
            <w:szCs w:val="25"/>
          </w:rPr>
          <w:t>4.</w:t>
        </w:r>
        <w:r w:rsidR="00DB4467" w:rsidRPr="00DB4467">
          <w:rPr>
            <w:rFonts w:ascii="Times New Roman" w:eastAsiaTheme="minorEastAsia" w:hAnsi="Times New Roman" w:cs="Times New Roman"/>
            <w:noProof/>
            <w:sz w:val="25"/>
            <w:szCs w:val="25"/>
          </w:rPr>
          <w:tab/>
        </w:r>
        <w:r w:rsidR="00DB4467" w:rsidRPr="00DB4467">
          <w:rPr>
            <w:rStyle w:val="Hyperlink"/>
            <w:rFonts w:ascii="Times New Roman" w:hAnsi="Times New Roman" w:cs="Times New Roman"/>
            <w:noProof/>
            <w:sz w:val="25"/>
            <w:szCs w:val="25"/>
          </w:rPr>
          <w:t>Low Income Bill Assistance/Low Income Weatherization Assistance</w:t>
        </w:r>
        <w:r w:rsidR="00DB4467" w:rsidRPr="00DB4467">
          <w:rPr>
            <w:rFonts w:ascii="Times New Roman" w:hAnsi="Times New Roman" w:cs="Times New Roman"/>
            <w:noProof/>
            <w:webHidden/>
            <w:sz w:val="25"/>
            <w:szCs w:val="25"/>
          </w:rPr>
          <w:tab/>
        </w:r>
        <w:r w:rsidR="00DB4467" w:rsidRPr="00DB4467">
          <w:rPr>
            <w:rFonts w:ascii="Times New Roman" w:hAnsi="Times New Roman" w:cs="Times New Roman"/>
            <w:noProof/>
            <w:webHidden/>
            <w:sz w:val="25"/>
            <w:szCs w:val="25"/>
          </w:rPr>
          <w:fldChar w:fldCharType="begin"/>
        </w:r>
        <w:r w:rsidR="00DB4467" w:rsidRPr="00DB4467">
          <w:rPr>
            <w:rFonts w:ascii="Times New Roman" w:hAnsi="Times New Roman" w:cs="Times New Roman"/>
            <w:noProof/>
            <w:webHidden/>
            <w:sz w:val="25"/>
            <w:szCs w:val="25"/>
          </w:rPr>
          <w:instrText xml:space="preserve"> PAGEREF _Toc288813766 \h </w:instrText>
        </w:r>
        <w:r w:rsidR="00DB4467" w:rsidRPr="00DB4467">
          <w:rPr>
            <w:rFonts w:ascii="Times New Roman" w:hAnsi="Times New Roman" w:cs="Times New Roman"/>
            <w:noProof/>
            <w:webHidden/>
            <w:sz w:val="25"/>
            <w:szCs w:val="25"/>
          </w:rPr>
        </w:r>
        <w:r w:rsidR="00DB4467" w:rsidRPr="00DB4467">
          <w:rPr>
            <w:rFonts w:ascii="Times New Roman" w:hAnsi="Times New Roman" w:cs="Times New Roman"/>
            <w:noProof/>
            <w:webHidden/>
            <w:sz w:val="25"/>
            <w:szCs w:val="25"/>
          </w:rPr>
          <w:fldChar w:fldCharType="separate"/>
        </w:r>
        <w:r>
          <w:rPr>
            <w:rFonts w:ascii="Times New Roman" w:hAnsi="Times New Roman" w:cs="Times New Roman"/>
            <w:noProof/>
            <w:webHidden/>
            <w:sz w:val="25"/>
            <w:szCs w:val="25"/>
          </w:rPr>
          <w:t>115</w:t>
        </w:r>
        <w:r w:rsidR="00DB4467" w:rsidRPr="00DB4467">
          <w:rPr>
            <w:rFonts w:ascii="Times New Roman" w:hAnsi="Times New Roman" w:cs="Times New Roman"/>
            <w:noProof/>
            <w:webHidden/>
            <w:sz w:val="25"/>
            <w:szCs w:val="25"/>
          </w:rPr>
          <w:fldChar w:fldCharType="end"/>
        </w:r>
      </w:hyperlink>
    </w:p>
    <w:p w:rsidR="00DB4467" w:rsidRPr="00DB4467" w:rsidRDefault="00EF486D">
      <w:pPr>
        <w:pStyle w:val="TOC1"/>
        <w:tabs>
          <w:tab w:val="right" w:leader="dot" w:pos="8630"/>
        </w:tabs>
        <w:rPr>
          <w:rFonts w:ascii="Times New Roman" w:eastAsiaTheme="minorEastAsia" w:hAnsi="Times New Roman"/>
          <w:b w:val="0"/>
          <w:bCs w:val="0"/>
          <w:caps w:val="0"/>
          <w:noProof/>
          <w:sz w:val="25"/>
          <w:szCs w:val="25"/>
        </w:rPr>
      </w:pPr>
      <w:hyperlink w:anchor="_Toc288813767" w:history="1">
        <w:r w:rsidR="00DB4467" w:rsidRPr="00DB4467">
          <w:rPr>
            <w:rStyle w:val="Hyperlink"/>
            <w:rFonts w:ascii="Times New Roman" w:hAnsi="Times New Roman"/>
            <w:b w:val="0"/>
            <w:noProof/>
            <w:sz w:val="25"/>
            <w:szCs w:val="25"/>
          </w:rPr>
          <w:t>FINDINGS OF FACT</w:t>
        </w:r>
        <w:r w:rsidR="00DB4467" w:rsidRPr="00DB4467">
          <w:rPr>
            <w:rFonts w:ascii="Times New Roman" w:hAnsi="Times New Roman"/>
            <w:b w:val="0"/>
            <w:noProof/>
            <w:webHidden/>
            <w:sz w:val="25"/>
            <w:szCs w:val="25"/>
          </w:rPr>
          <w:tab/>
        </w:r>
        <w:r w:rsidR="00DB4467" w:rsidRPr="00DB4467">
          <w:rPr>
            <w:rFonts w:ascii="Times New Roman" w:hAnsi="Times New Roman"/>
            <w:b w:val="0"/>
            <w:noProof/>
            <w:webHidden/>
            <w:sz w:val="25"/>
            <w:szCs w:val="25"/>
          </w:rPr>
          <w:fldChar w:fldCharType="begin"/>
        </w:r>
        <w:r w:rsidR="00DB4467" w:rsidRPr="00DB4467">
          <w:rPr>
            <w:rFonts w:ascii="Times New Roman" w:hAnsi="Times New Roman"/>
            <w:b w:val="0"/>
            <w:noProof/>
            <w:webHidden/>
            <w:sz w:val="25"/>
            <w:szCs w:val="25"/>
          </w:rPr>
          <w:instrText xml:space="preserve"> PAGEREF _Toc288813767 \h </w:instrText>
        </w:r>
        <w:r w:rsidR="00DB4467" w:rsidRPr="00DB4467">
          <w:rPr>
            <w:rFonts w:ascii="Times New Roman" w:hAnsi="Times New Roman"/>
            <w:b w:val="0"/>
            <w:noProof/>
            <w:webHidden/>
            <w:sz w:val="25"/>
            <w:szCs w:val="25"/>
          </w:rPr>
        </w:r>
        <w:r w:rsidR="00DB4467" w:rsidRPr="00DB4467">
          <w:rPr>
            <w:rFonts w:ascii="Times New Roman" w:hAnsi="Times New Roman"/>
            <w:b w:val="0"/>
            <w:noProof/>
            <w:webHidden/>
            <w:sz w:val="25"/>
            <w:szCs w:val="25"/>
          </w:rPr>
          <w:fldChar w:fldCharType="separate"/>
        </w:r>
        <w:r>
          <w:rPr>
            <w:rFonts w:ascii="Times New Roman" w:hAnsi="Times New Roman"/>
            <w:b w:val="0"/>
            <w:noProof/>
            <w:webHidden/>
            <w:sz w:val="25"/>
            <w:szCs w:val="25"/>
          </w:rPr>
          <w:t>121</w:t>
        </w:r>
        <w:r w:rsidR="00DB4467" w:rsidRPr="00DB4467">
          <w:rPr>
            <w:rFonts w:ascii="Times New Roman" w:hAnsi="Times New Roman"/>
            <w:b w:val="0"/>
            <w:noProof/>
            <w:webHidden/>
            <w:sz w:val="25"/>
            <w:szCs w:val="25"/>
          </w:rPr>
          <w:fldChar w:fldCharType="end"/>
        </w:r>
      </w:hyperlink>
    </w:p>
    <w:p w:rsidR="00DB4467" w:rsidRPr="00DB4467" w:rsidRDefault="00EF486D">
      <w:pPr>
        <w:pStyle w:val="TOC1"/>
        <w:tabs>
          <w:tab w:val="right" w:leader="dot" w:pos="8630"/>
        </w:tabs>
        <w:rPr>
          <w:rFonts w:ascii="Times New Roman" w:eastAsiaTheme="minorEastAsia" w:hAnsi="Times New Roman"/>
          <w:b w:val="0"/>
          <w:bCs w:val="0"/>
          <w:caps w:val="0"/>
          <w:noProof/>
          <w:sz w:val="25"/>
          <w:szCs w:val="25"/>
        </w:rPr>
      </w:pPr>
      <w:hyperlink w:anchor="_Toc288813768" w:history="1">
        <w:r w:rsidR="00DB4467" w:rsidRPr="00DB4467">
          <w:rPr>
            <w:rStyle w:val="Hyperlink"/>
            <w:rFonts w:ascii="Times New Roman" w:hAnsi="Times New Roman"/>
            <w:b w:val="0"/>
            <w:noProof/>
            <w:sz w:val="25"/>
            <w:szCs w:val="25"/>
          </w:rPr>
          <w:t>CONCLUSIONS OF LAW</w:t>
        </w:r>
        <w:r w:rsidR="00DB4467" w:rsidRPr="00DB4467">
          <w:rPr>
            <w:rFonts w:ascii="Times New Roman" w:hAnsi="Times New Roman"/>
            <w:b w:val="0"/>
            <w:noProof/>
            <w:webHidden/>
            <w:sz w:val="25"/>
            <w:szCs w:val="25"/>
          </w:rPr>
          <w:tab/>
        </w:r>
        <w:r w:rsidR="00DB4467" w:rsidRPr="00DB4467">
          <w:rPr>
            <w:rFonts w:ascii="Times New Roman" w:hAnsi="Times New Roman"/>
            <w:b w:val="0"/>
            <w:noProof/>
            <w:webHidden/>
            <w:sz w:val="25"/>
            <w:szCs w:val="25"/>
          </w:rPr>
          <w:fldChar w:fldCharType="begin"/>
        </w:r>
        <w:r w:rsidR="00DB4467" w:rsidRPr="00DB4467">
          <w:rPr>
            <w:rFonts w:ascii="Times New Roman" w:hAnsi="Times New Roman"/>
            <w:b w:val="0"/>
            <w:noProof/>
            <w:webHidden/>
            <w:sz w:val="25"/>
            <w:szCs w:val="25"/>
          </w:rPr>
          <w:instrText xml:space="preserve"> PAGEREF _Toc288813768 \h </w:instrText>
        </w:r>
        <w:r w:rsidR="00DB4467" w:rsidRPr="00DB4467">
          <w:rPr>
            <w:rFonts w:ascii="Times New Roman" w:hAnsi="Times New Roman"/>
            <w:b w:val="0"/>
            <w:noProof/>
            <w:webHidden/>
            <w:sz w:val="25"/>
            <w:szCs w:val="25"/>
          </w:rPr>
        </w:r>
        <w:r w:rsidR="00DB4467" w:rsidRPr="00DB4467">
          <w:rPr>
            <w:rFonts w:ascii="Times New Roman" w:hAnsi="Times New Roman"/>
            <w:b w:val="0"/>
            <w:noProof/>
            <w:webHidden/>
            <w:sz w:val="25"/>
            <w:szCs w:val="25"/>
          </w:rPr>
          <w:fldChar w:fldCharType="separate"/>
        </w:r>
        <w:r>
          <w:rPr>
            <w:rFonts w:ascii="Times New Roman" w:hAnsi="Times New Roman"/>
            <w:b w:val="0"/>
            <w:noProof/>
            <w:webHidden/>
            <w:sz w:val="25"/>
            <w:szCs w:val="25"/>
          </w:rPr>
          <w:t>122</w:t>
        </w:r>
        <w:r w:rsidR="00DB4467" w:rsidRPr="00DB4467">
          <w:rPr>
            <w:rFonts w:ascii="Times New Roman" w:hAnsi="Times New Roman"/>
            <w:b w:val="0"/>
            <w:noProof/>
            <w:webHidden/>
            <w:sz w:val="25"/>
            <w:szCs w:val="25"/>
          </w:rPr>
          <w:fldChar w:fldCharType="end"/>
        </w:r>
      </w:hyperlink>
    </w:p>
    <w:p w:rsidR="00DB4467" w:rsidRPr="00DB4467" w:rsidRDefault="00EF486D">
      <w:pPr>
        <w:pStyle w:val="TOC1"/>
        <w:tabs>
          <w:tab w:val="right" w:leader="dot" w:pos="8630"/>
        </w:tabs>
        <w:rPr>
          <w:rFonts w:ascii="Times New Roman" w:eastAsiaTheme="minorEastAsia" w:hAnsi="Times New Roman"/>
          <w:b w:val="0"/>
          <w:bCs w:val="0"/>
          <w:caps w:val="0"/>
          <w:noProof/>
          <w:sz w:val="25"/>
          <w:szCs w:val="25"/>
        </w:rPr>
      </w:pPr>
      <w:hyperlink w:anchor="_Toc288813769" w:history="1">
        <w:r w:rsidR="00DB4467" w:rsidRPr="00DB4467">
          <w:rPr>
            <w:rStyle w:val="Hyperlink"/>
            <w:rFonts w:ascii="Times New Roman" w:hAnsi="Times New Roman"/>
            <w:b w:val="0"/>
            <w:noProof/>
            <w:sz w:val="25"/>
            <w:szCs w:val="25"/>
          </w:rPr>
          <w:t>O R D E R</w:t>
        </w:r>
        <w:r w:rsidR="00DB4467" w:rsidRPr="00DB4467">
          <w:rPr>
            <w:rFonts w:ascii="Times New Roman" w:hAnsi="Times New Roman"/>
            <w:b w:val="0"/>
            <w:noProof/>
            <w:webHidden/>
            <w:sz w:val="25"/>
            <w:szCs w:val="25"/>
          </w:rPr>
          <w:tab/>
        </w:r>
        <w:r w:rsidR="00DB4467" w:rsidRPr="00DB4467">
          <w:rPr>
            <w:rFonts w:ascii="Times New Roman" w:hAnsi="Times New Roman"/>
            <w:b w:val="0"/>
            <w:noProof/>
            <w:webHidden/>
            <w:sz w:val="25"/>
            <w:szCs w:val="25"/>
          </w:rPr>
          <w:fldChar w:fldCharType="begin"/>
        </w:r>
        <w:r w:rsidR="00DB4467" w:rsidRPr="00DB4467">
          <w:rPr>
            <w:rFonts w:ascii="Times New Roman" w:hAnsi="Times New Roman"/>
            <w:b w:val="0"/>
            <w:noProof/>
            <w:webHidden/>
            <w:sz w:val="25"/>
            <w:szCs w:val="25"/>
          </w:rPr>
          <w:instrText xml:space="preserve"> PAGEREF _Toc288813769 \h </w:instrText>
        </w:r>
        <w:r w:rsidR="00DB4467" w:rsidRPr="00DB4467">
          <w:rPr>
            <w:rFonts w:ascii="Times New Roman" w:hAnsi="Times New Roman"/>
            <w:b w:val="0"/>
            <w:noProof/>
            <w:webHidden/>
            <w:sz w:val="25"/>
            <w:szCs w:val="25"/>
          </w:rPr>
        </w:r>
        <w:r w:rsidR="00DB4467" w:rsidRPr="00DB4467">
          <w:rPr>
            <w:rFonts w:ascii="Times New Roman" w:hAnsi="Times New Roman"/>
            <w:b w:val="0"/>
            <w:noProof/>
            <w:webHidden/>
            <w:sz w:val="25"/>
            <w:szCs w:val="25"/>
          </w:rPr>
          <w:fldChar w:fldCharType="separate"/>
        </w:r>
        <w:r>
          <w:rPr>
            <w:rFonts w:ascii="Times New Roman" w:hAnsi="Times New Roman"/>
            <w:b w:val="0"/>
            <w:noProof/>
            <w:webHidden/>
            <w:sz w:val="25"/>
            <w:szCs w:val="25"/>
          </w:rPr>
          <w:t>124</w:t>
        </w:r>
        <w:r w:rsidR="00DB4467" w:rsidRPr="00DB4467">
          <w:rPr>
            <w:rFonts w:ascii="Times New Roman" w:hAnsi="Times New Roman"/>
            <w:b w:val="0"/>
            <w:noProof/>
            <w:webHidden/>
            <w:sz w:val="25"/>
            <w:szCs w:val="25"/>
          </w:rPr>
          <w:fldChar w:fldCharType="end"/>
        </w:r>
      </w:hyperlink>
    </w:p>
    <w:p w:rsidR="00DB4467" w:rsidRPr="00DB4467" w:rsidRDefault="00EF486D">
      <w:pPr>
        <w:pStyle w:val="TOC1"/>
        <w:tabs>
          <w:tab w:val="right" w:leader="dot" w:pos="8630"/>
        </w:tabs>
        <w:rPr>
          <w:rFonts w:ascii="Times New Roman" w:eastAsiaTheme="minorEastAsia" w:hAnsi="Times New Roman"/>
          <w:b w:val="0"/>
          <w:bCs w:val="0"/>
          <w:caps w:val="0"/>
          <w:noProof/>
          <w:sz w:val="25"/>
          <w:szCs w:val="25"/>
        </w:rPr>
      </w:pPr>
      <w:hyperlink w:anchor="_Toc288813770" w:history="1">
        <w:r w:rsidR="00DB4467" w:rsidRPr="00DB4467">
          <w:rPr>
            <w:rStyle w:val="Hyperlink"/>
            <w:rFonts w:ascii="Times New Roman" w:hAnsi="Times New Roman"/>
            <w:b w:val="0"/>
            <w:noProof/>
            <w:sz w:val="25"/>
            <w:szCs w:val="25"/>
          </w:rPr>
          <w:t>GLOSSARY</w:t>
        </w:r>
        <w:r w:rsidR="00DB4467" w:rsidRPr="00DB4467">
          <w:rPr>
            <w:rFonts w:ascii="Times New Roman" w:hAnsi="Times New Roman"/>
            <w:b w:val="0"/>
            <w:noProof/>
            <w:webHidden/>
            <w:sz w:val="25"/>
            <w:szCs w:val="25"/>
          </w:rPr>
          <w:tab/>
        </w:r>
        <w:r w:rsidR="00DB4467" w:rsidRPr="00DB4467">
          <w:rPr>
            <w:rFonts w:ascii="Times New Roman" w:hAnsi="Times New Roman"/>
            <w:b w:val="0"/>
            <w:noProof/>
            <w:webHidden/>
            <w:sz w:val="25"/>
            <w:szCs w:val="25"/>
          </w:rPr>
          <w:fldChar w:fldCharType="begin"/>
        </w:r>
        <w:r w:rsidR="00DB4467" w:rsidRPr="00DB4467">
          <w:rPr>
            <w:rFonts w:ascii="Times New Roman" w:hAnsi="Times New Roman"/>
            <w:b w:val="0"/>
            <w:noProof/>
            <w:webHidden/>
            <w:sz w:val="25"/>
            <w:szCs w:val="25"/>
          </w:rPr>
          <w:instrText xml:space="preserve"> PAGEREF _Toc288813770 \h </w:instrText>
        </w:r>
        <w:r w:rsidR="00DB4467" w:rsidRPr="00DB4467">
          <w:rPr>
            <w:rFonts w:ascii="Times New Roman" w:hAnsi="Times New Roman"/>
            <w:b w:val="0"/>
            <w:noProof/>
            <w:webHidden/>
            <w:sz w:val="25"/>
            <w:szCs w:val="25"/>
          </w:rPr>
        </w:r>
        <w:r w:rsidR="00DB4467" w:rsidRPr="00DB4467">
          <w:rPr>
            <w:rFonts w:ascii="Times New Roman" w:hAnsi="Times New Roman"/>
            <w:b w:val="0"/>
            <w:noProof/>
            <w:webHidden/>
            <w:sz w:val="25"/>
            <w:szCs w:val="25"/>
          </w:rPr>
          <w:fldChar w:fldCharType="separate"/>
        </w:r>
        <w:r>
          <w:rPr>
            <w:rFonts w:ascii="Times New Roman" w:hAnsi="Times New Roman"/>
            <w:b w:val="0"/>
            <w:noProof/>
            <w:webHidden/>
            <w:sz w:val="25"/>
            <w:szCs w:val="25"/>
          </w:rPr>
          <w:t>129</w:t>
        </w:r>
        <w:r w:rsidR="00DB4467" w:rsidRPr="00DB4467">
          <w:rPr>
            <w:rFonts w:ascii="Times New Roman" w:hAnsi="Times New Roman"/>
            <w:b w:val="0"/>
            <w:noProof/>
            <w:webHidden/>
            <w:sz w:val="25"/>
            <w:szCs w:val="25"/>
          </w:rPr>
          <w:fldChar w:fldCharType="end"/>
        </w:r>
      </w:hyperlink>
    </w:p>
    <w:p w:rsidR="000E101D" w:rsidRPr="002532DF" w:rsidRDefault="006C0E0E" w:rsidP="000E101D">
      <w:pPr>
        <w:pStyle w:val="NoSpacing"/>
        <w:rPr>
          <w:sz w:val="25"/>
          <w:szCs w:val="25"/>
        </w:rPr>
      </w:pPr>
      <w:r w:rsidRPr="00DB4467">
        <w:rPr>
          <w:sz w:val="25"/>
          <w:szCs w:val="25"/>
        </w:rPr>
        <w:fldChar w:fldCharType="end"/>
      </w:r>
    </w:p>
    <w:p w:rsidR="0072066A" w:rsidRPr="002532DF" w:rsidRDefault="00267EB0" w:rsidP="00D337A8">
      <w:pPr>
        <w:pStyle w:val="Heading1"/>
        <w:jc w:val="center"/>
        <w:rPr>
          <w:rFonts w:ascii="Times New Roman" w:hAnsi="Times New Roman"/>
          <w:sz w:val="25"/>
          <w:szCs w:val="25"/>
          <w:u w:val="single"/>
        </w:rPr>
      </w:pPr>
      <w:r w:rsidRPr="002532DF">
        <w:rPr>
          <w:rFonts w:ascii="Times New Roman" w:hAnsi="Times New Roman"/>
        </w:rPr>
        <w:br w:type="page"/>
      </w:r>
      <w:bookmarkStart w:id="2" w:name="_Toc168986351"/>
      <w:bookmarkStart w:id="3" w:name="_Toc288813717"/>
      <w:r w:rsidR="002532DF">
        <w:rPr>
          <w:rFonts w:ascii="Times New Roman" w:hAnsi="Times New Roman"/>
          <w:sz w:val="25"/>
          <w:szCs w:val="25"/>
          <w:u w:val="single"/>
        </w:rPr>
        <w:t>MEMORANDUM</w:t>
      </w:r>
      <w:bookmarkEnd w:id="2"/>
      <w:bookmarkEnd w:id="3"/>
    </w:p>
    <w:p w:rsidR="0072066A" w:rsidRPr="002532DF" w:rsidRDefault="0072066A" w:rsidP="002532DF">
      <w:pPr>
        <w:rPr>
          <w:sz w:val="25"/>
          <w:szCs w:val="25"/>
        </w:rPr>
      </w:pPr>
    </w:p>
    <w:p w:rsidR="002532DF" w:rsidRPr="002532DF" w:rsidRDefault="002532DF" w:rsidP="002532DF">
      <w:pPr>
        <w:pStyle w:val="Heading2"/>
        <w:numPr>
          <w:ilvl w:val="0"/>
          <w:numId w:val="20"/>
        </w:numPr>
        <w:ind w:left="720"/>
        <w:jc w:val="left"/>
        <w:rPr>
          <w:b/>
          <w:sz w:val="25"/>
          <w:szCs w:val="25"/>
          <w:u w:val="none"/>
        </w:rPr>
      </w:pPr>
      <w:bookmarkStart w:id="4" w:name="_Toc288813718"/>
      <w:r w:rsidRPr="002532DF">
        <w:rPr>
          <w:b/>
          <w:sz w:val="25"/>
          <w:szCs w:val="25"/>
          <w:u w:val="none"/>
        </w:rPr>
        <w:t>Background and Procedural History</w:t>
      </w:r>
      <w:bookmarkEnd w:id="4"/>
    </w:p>
    <w:p w:rsidR="002532DF" w:rsidRPr="002532DF" w:rsidRDefault="002532DF" w:rsidP="002532DF">
      <w:pPr>
        <w:rPr>
          <w:sz w:val="25"/>
          <w:szCs w:val="25"/>
        </w:rPr>
      </w:pPr>
    </w:p>
    <w:p w:rsidR="0072066A" w:rsidRPr="002532DF" w:rsidRDefault="00A875C3" w:rsidP="006F42B3">
      <w:pPr>
        <w:numPr>
          <w:ilvl w:val="0"/>
          <w:numId w:val="1"/>
        </w:numPr>
        <w:tabs>
          <w:tab w:val="clear" w:pos="720"/>
          <w:tab w:val="num" w:pos="0"/>
        </w:tabs>
        <w:spacing w:line="276" w:lineRule="auto"/>
        <w:ind w:left="0"/>
        <w:rPr>
          <w:sz w:val="25"/>
          <w:szCs w:val="25"/>
        </w:rPr>
      </w:pPr>
      <w:r w:rsidRPr="002532DF">
        <w:rPr>
          <w:b/>
          <w:sz w:val="25"/>
          <w:szCs w:val="25"/>
        </w:rPr>
        <w:t xml:space="preserve">NATURE OF PROCEEDING:  </w:t>
      </w:r>
      <w:r w:rsidR="00F27132" w:rsidRPr="002532DF">
        <w:rPr>
          <w:sz w:val="25"/>
          <w:szCs w:val="25"/>
        </w:rPr>
        <w:t xml:space="preserve">On </w:t>
      </w:r>
      <w:r w:rsidR="00A265FF" w:rsidRPr="002532DF">
        <w:rPr>
          <w:sz w:val="25"/>
          <w:szCs w:val="25"/>
        </w:rPr>
        <w:t>May 4</w:t>
      </w:r>
      <w:r w:rsidR="00DE0D92" w:rsidRPr="002532DF">
        <w:rPr>
          <w:sz w:val="25"/>
          <w:szCs w:val="25"/>
        </w:rPr>
        <w:t>, 20</w:t>
      </w:r>
      <w:r w:rsidR="00A265FF" w:rsidRPr="002532DF">
        <w:rPr>
          <w:sz w:val="25"/>
          <w:szCs w:val="25"/>
        </w:rPr>
        <w:t>1</w:t>
      </w:r>
      <w:r w:rsidR="00DE0D92" w:rsidRPr="002532DF">
        <w:rPr>
          <w:sz w:val="25"/>
          <w:szCs w:val="25"/>
        </w:rPr>
        <w:t>0</w:t>
      </w:r>
      <w:r w:rsidR="00F27132" w:rsidRPr="002532DF">
        <w:rPr>
          <w:sz w:val="25"/>
          <w:szCs w:val="25"/>
        </w:rPr>
        <w:t xml:space="preserve">, </w:t>
      </w:r>
      <w:r w:rsidR="00470D0C" w:rsidRPr="002532DF">
        <w:rPr>
          <w:sz w:val="25"/>
          <w:szCs w:val="25"/>
        </w:rPr>
        <w:t>PacifiCorp d/b/a Pacific Power &amp; Light Company</w:t>
      </w:r>
      <w:r w:rsidR="00DE0D92" w:rsidRPr="002532DF">
        <w:rPr>
          <w:sz w:val="25"/>
          <w:szCs w:val="25"/>
        </w:rPr>
        <w:t xml:space="preserve"> (</w:t>
      </w:r>
      <w:r w:rsidR="00702121" w:rsidRPr="002532DF">
        <w:rPr>
          <w:sz w:val="25"/>
          <w:szCs w:val="25"/>
        </w:rPr>
        <w:t>PacifiCorp</w:t>
      </w:r>
      <w:r w:rsidR="00E87939" w:rsidRPr="002532DF">
        <w:rPr>
          <w:sz w:val="25"/>
          <w:szCs w:val="25"/>
        </w:rPr>
        <w:t xml:space="preserve"> or Company</w:t>
      </w:r>
      <w:r w:rsidR="00702121" w:rsidRPr="002532DF">
        <w:rPr>
          <w:sz w:val="25"/>
          <w:szCs w:val="25"/>
        </w:rPr>
        <w:t>)</w:t>
      </w:r>
      <w:r w:rsidR="00F27132" w:rsidRPr="002532DF">
        <w:rPr>
          <w:sz w:val="25"/>
          <w:szCs w:val="25"/>
        </w:rPr>
        <w:t xml:space="preserve"> filed with the </w:t>
      </w:r>
      <w:r w:rsidR="00DE0D92" w:rsidRPr="002532DF">
        <w:rPr>
          <w:sz w:val="25"/>
          <w:szCs w:val="25"/>
        </w:rPr>
        <w:t>Washington Utilities and Transportation Commission (Commission)</w:t>
      </w:r>
      <w:r w:rsidR="00F27132" w:rsidRPr="002532DF">
        <w:rPr>
          <w:sz w:val="25"/>
          <w:szCs w:val="25"/>
        </w:rPr>
        <w:t xml:space="preserve"> revisions to its currently effective Tariff WN U-</w:t>
      </w:r>
      <w:r w:rsidR="00702121" w:rsidRPr="002532DF">
        <w:rPr>
          <w:sz w:val="25"/>
          <w:szCs w:val="25"/>
        </w:rPr>
        <w:t>74</w:t>
      </w:r>
      <w:r w:rsidRPr="002532DF">
        <w:rPr>
          <w:sz w:val="25"/>
          <w:szCs w:val="25"/>
        </w:rPr>
        <w:t xml:space="preserve"> with a stated effective date of June 3, 2010</w:t>
      </w:r>
      <w:r w:rsidR="00702121" w:rsidRPr="002532DF">
        <w:rPr>
          <w:sz w:val="25"/>
          <w:szCs w:val="25"/>
        </w:rPr>
        <w:t>.</w:t>
      </w:r>
      <w:r w:rsidR="00F27132" w:rsidRPr="002532DF">
        <w:rPr>
          <w:sz w:val="25"/>
          <w:szCs w:val="25"/>
        </w:rPr>
        <w:t xml:space="preserve">  </w:t>
      </w:r>
      <w:r w:rsidRPr="002532DF">
        <w:rPr>
          <w:sz w:val="25"/>
          <w:szCs w:val="25"/>
        </w:rPr>
        <w:t xml:space="preserve">The purpose of the filing was to increase rates and charges for electric service to customers in the state of Washington.  </w:t>
      </w:r>
    </w:p>
    <w:p w:rsidR="0072066A" w:rsidRPr="002532DF" w:rsidRDefault="0072066A" w:rsidP="006F42B3">
      <w:pPr>
        <w:pStyle w:val="NoSpacing"/>
        <w:rPr>
          <w:sz w:val="25"/>
          <w:szCs w:val="25"/>
        </w:rPr>
      </w:pPr>
    </w:p>
    <w:p w:rsidR="0072066A" w:rsidRPr="002532DF" w:rsidRDefault="0006260A" w:rsidP="006F42B3">
      <w:pPr>
        <w:numPr>
          <w:ilvl w:val="0"/>
          <w:numId w:val="1"/>
        </w:numPr>
        <w:tabs>
          <w:tab w:val="clear" w:pos="720"/>
          <w:tab w:val="num" w:pos="0"/>
        </w:tabs>
        <w:spacing w:line="276" w:lineRule="auto"/>
        <w:ind w:left="0"/>
        <w:rPr>
          <w:sz w:val="25"/>
          <w:szCs w:val="25"/>
        </w:rPr>
      </w:pPr>
      <w:r w:rsidRPr="002532DF">
        <w:rPr>
          <w:sz w:val="25"/>
          <w:szCs w:val="25"/>
        </w:rPr>
        <w:t>PacifiCorp</w:t>
      </w:r>
      <w:r w:rsidR="00B4618E" w:rsidRPr="002532DF">
        <w:rPr>
          <w:sz w:val="25"/>
          <w:szCs w:val="25"/>
        </w:rPr>
        <w:t xml:space="preserve"> </w:t>
      </w:r>
      <w:r w:rsidR="00890E5C" w:rsidRPr="002532DF">
        <w:rPr>
          <w:sz w:val="25"/>
          <w:szCs w:val="25"/>
        </w:rPr>
        <w:t>assert</w:t>
      </w:r>
      <w:r w:rsidR="000318CE" w:rsidRPr="002532DF">
        <w:rPr>
          <w:sz w:val="25"/>
          <w:szCs w:val="25"/>
        </w:rPr>
        <w:t>ed</w:t>
      </w:r>
      <w:r w:rsidR="00890E5C" w:rsidRPr="002532DF">
        <w:rPr>
          <w:sz w:val="25"/>
          <w:szCs w:val="25"/>
        </w:rPr>
        <w:t xml:space="preserve"> a revenue deficiency of</w:t>
      </w:r>
      <w:r w:rsidR="00B4618E" w:rsidRPr="002532DF">
        <w:rPr>
          <w:sz w:val="25"/>
          <w:szCs w:val="25"/>
        </w:rPr>
        <w:t xml:space="preserve"> </w:t>
      </w:r>
      <w:r w:rsidR="0057652A" w:rsidRPr="002532DF">
        <w:rPr>
          <w:sz w:val="25"/>
          <w:szCs w:val="25"/>
        </w:rPr>
        <w:t>$</w:t>
      </w:r>
      <w:r w:rsidR="00A875C3" w:rsidRPr="002532DF">
        <w:rPr>
          <w:sz w:val="25"/>
          <w:szCs w:val="25"/>
        </w:rPr>
        <w:t>56.7</w:t>
      </w:r>
      <w:r w:rsidR="004404DF" w:rsidRPr="002532DF">
        <w:rPr>
          <w:sz w:val="25"/>
          <w:szCs w:val="25"/>
        </w:rPr>
        <w:t xml:space="preserve"> million,</w:t>
      </w:r>
      <w:r w:rsidR="00890E5C" w:rsidRPr="002532DF">
        <w:rPr>
          <w:sz w:val="25"/>
          <w:szCs w:val="25"/>
        </w:rPr>
        <w:t xml:space="preserve"> which would require a rate increase of</w:t>
      </w:r>
      <w:r w:rsidR="0057652A" w:rsidRPr="002532DF">
        <w:rPr>
          <w:sz w:val="25"/>
          <w:szCs w:val="25"/>
        </w:rPr>
        <w:t xml:space="preserve"> </w:t>
      </w:r>
      <w:r w:rsidR="00A875C3" w:rsidRPr="002532DF">
        <w:rPr>
          <w:sz w:val="25"/>
          <w:szCs w:val="25"/>
        </w:rPr>
        <w:t>20.88</w:t>
      </w:r>
      <w:r w:rsidR="0057652A" w:rsidRPr="002532DF">
        <w:rPr>
          <w:sz w:val="25"/>
          <w:szCs w:val="25"/>
        </w:rPr>
        <w:t xml:space="preserve"> percent</w:t>
      </w:r>
      <w:r w:rsidR="00890E5C" w:rsidRPr="002532DF">
        <w:rPr>
          <w:sz w:val="25"/>
          <w:szCs w:val="25"/>
        </w:rPr>
        <w:t xml:space="preserve"> for full recovery</w:t>
      </w:r>
      <w:r w:rsidR="0057652A" w:rsidRPr="002532DF">
        <w:rPr>
          <w:sz w:val="25"/>
          <w:szCs w:val="25"/>
        </w:rPr>
        <w:t>.</w:t>
      </w:r>
      <w:r w:rsidR="00347DF0" w:rsidRPr="002532DF">
        <w:rPr>
          <w:sz w:val="25"/>
          <w:szCs w:val="25"/>
        </w:rPr>
        <w:t xml:space="preserve">  </w:t>
      </w:r>
      <w:r w:rsidR="005D539D" w:rsidRPr="002532DF">
        <w:rPr>
          <w:sz w:val="25"/>
          <w:szCs w:val="25"/>
        </w:rPr>
        <w:t>The filing, if allowed to go into effect, would have increased PacifiCorp’s rates and charges for electric service to customers in the state of Washington by th</w:t>
      </w:r>
      <w:r w:rsidRPr="002532DF">
        <w:rPr>
          <w:sz w:val="25"/>
          <w:szCs w:val="25"/>
        </w:rPr>
        <w:t>e indicated amount</w:t>
      </w:r>
      <w:r w:rsidR="005D539D" w:rsidRPr="002532DF">
        <w:rPr>
          <w:sz w:val="25"/>
          <w:szCs w:val="25"/>
        </w:rPr>
        <w:t xml:space="preserve"> on the </w:t>
      </w:r>
      <w:r w:rsidR="00920FC8" w:rsidRPr="002532DF">
        <w:rPr>
          <w:sz w:val="25"/>
          <w:szCs w:val="25"/>
        </w:rPr>
        <w:t>stated effective d</w:t>
      </w:r>
      <w:r w:rsidR="005D539D" w:rsidRPr="002532DF">
        <w:rPr>
          <w:sz w:val="25"/>
          <w:szCs w:val="25"/>
        </w:rPr>
        <w:t xml:space="preserve">ate of the revised tariff pages, </w:t>
      </w:r>
      <w:r w:rsidR="00A875C3" w:rsidRPr="002532DF">
        <w:rPr>
          <w:sz w:val="25"/>
          <w:szCs w:val="25"/>
        </w:rPr>
        <w:t>June 3, 2010</w:t>
      </w:r>
      <w:r w:rsidR="00920FC8" w:rsidRPr="002532DF">
        <w:rPr>
          <w:sz w:val="25"/>
          <w:szCs w:val="25"/>
        </w:rPr>
        <w:t>.</w:t>
      </w:r>
      <w:r w:rsidR="00C90E43" w:rsidRPr="002532DF">
        <w:rPr>
          <w:sz w:val="25"/>
          <w:szCs w:val="25"/>
        </w:rPr>
        <w:t xml:space="preserve">  The Commission suspended operation of the tariffs by Order 01 entered on May 12, 2010, and set this matter for hearing.  Under RCW 80.04.130, the suspension date is April 3, 2011.</w:t>
      </w:r>
      <w:r w:rsidR="00C90E43" w:rsidRPr="002532DF">
        <w:rPr>
          <w:rStyle w:val="FootnoteReference"/>
          <w:sz w:val="25"/>
          <w:szCs w:val="25"/>
        </w:rPr>
        <w:footnoteReference w:id="1"/>
      </w:r>
    </w:p>
    <w:p w:rsidR="0072066A" w:rsidRPr="002532DF" w:rsidRDefault="0072066A" w:rsidP="006F42B3">
      <w:pPr>
        <w:pStyle w:val="NoSpacing"/>
        <w:rPr>
          <w:sz w:val="25"/>
          <w:szCs w:val="25"/>
        </w:rPr>
      </w:pPr>
    </w:p>
    <w:p w:rsidR="00C90E43" w:rsidRPr="002532DF" w:rsidRDefault="00C90E43" w:rsidP="006F42B3">
      <w:pPr>
        <w:numPr>
          <w:ilvl w:val="0"/>
          <w:numId w:val="1"/>
        </w:numPr>
        <w:tabs>
          <w:tab w:val="clear" w:pos="720"/>
          <w:tab w:val="num" w:pos="0"/>
        </w:tabs>
        <w:spacing w:line="276" w:lineRule="auto"/>
        <w:ind w:left="0"/>
        <w:rPr>
          <w:sz w:val="25"/>
          <w:szCs w:val="25"/>
        </w:rPr>
      </w:pPr>
      <w:r w:rsidRPr="002532DF">
        <w:rPr>
          <w:sz w:val="25"/>
          <w:szCs w:val="25"/>
        </w:rPr>
        <w:t xml:space="preserve">On October 5, 2010, </w:t>
      </w:r>
      <w:r w:rsidR="00D337A8" w:rsidRPr="002532DF">
        <w:rPr>
          <w:sz w:val="25"/>
          <w:szCs w:val="25"/>
        </w:rPr>
        <w:t>t</w:t>
      </w:r>
      <w:r w:rsidRPr="002532DF">
        <w:rPr>
          <w:sz w:val="25"/>
          <w:szCs w:val="25"/>
        </w:rPr>
        <w:t>he Commission’s regulatory staff (Commission Staff or Staff),</w:t>
      </w:r>
      <w:r w:rsidRPr="002532DF">
        <w:rPr>
          <w:rStyle w:val="FootnoteReference"/>
          <w:sz w:val="25"/>
          <w:szCs w:val="25"/>
        </w:rPr>
        <w:t xml:space="preserve"> </w:t>
      </w:r>
      <w:r w:rsidRPr="002532DF">
        <w:rPr>
          <w:rStyle w:val="FootnoteReference"/>
          <w:sz w:val="25"/>
          <w:szCs w:val="25"/>
        </w:rPr>
        <w:footnoteReference w:id="2"/>
      </w:r>
      <w:r w:rsidRPr="002532DF">
        <w:rPr>
          <w:sz w:val="25"/>
          <w:szCs w:val="25"/>
        </w:rPr>
        <w:t xml:space="preserve"> the Public Counsel Section of the Office of the Attorney General (Public Counsel),</w:t>
      </w:r>
      <w:r w:rsidR="00FD27BC" w:rsidRPr="002532DF">
        <w:rPr>
          <w:rStyle w:val="FootnoteReference"/>
          <w:sz w:val="25"/>
          <w:szCs w:val="25"/>
        </w:rPr>
        <w:footnoteReference w:id="3"/>
      </w:r>
      <w:r w:rsidRPr="002532DF">
        <w:rPr>
          <w:sz w:val="25"/>
          <w:szCs w:val="25"/>
        </w:rPr>
        <w:t xml:space="preserve"> and intervening parties filed their respective responsive testimony.  On November 5, 2010, PacifiCorp filed its rebuttal testimony and Staff, Public Counsel, and intervenors filed their respective cross-answering testimony.</w:t>
      </w:r>
    </w:p>
    <w:p w:rsidR="0072066A" w:rsidRPr="002532DF" w:rsidRDefault="0072066A" w:rsidP="006F42B3">
      <w:pPr>
        <w:pStyle w:val="NoSpacing"/>
        <w:rPr>
          <w:sz w:val="25"/>
          <w:szCs w:val="25"/>
        </w:rPr>
      </w:pPr>
    </w:p>
    <w:p w:rsidR="00C90E43" w:rsidRPr="002532DF" w:rsidRDefault="00C90E43" w:rsidP="006F42B3">
      <w:pPr>
        <w:numPr>
          <w:ilvl w:val="0"/>
          <w:numId w:val="1"/>
        </w:numPr>
        <w:tabs>
          <w:tab w:val="clear" w:pos="720"/>
          <w:tab w:val="num" w:pos="0"/>
        </w:tabs>
        <w:spacing w:line="276" w:lineRule="auto"/>
        <w:ind w:left="0"/>
        <w:rPr>
          <w:sz w:val="25"/>
          <w:szCs w:val="25"/>
        </w:rPr>
      </w:pPr>
      <w:r w:rsidRPr="002532DF">
        <w:rPr>
          <w:sz w:val="25"/>
          <w:szCs w:val="25"/>
        </w:rPr>
        <w:t xml:space="preserve">The Commission provided members of the public an opportunity to submit written comments throughout the proceeding.  </w:t>
      </w:r>
      <w:r w:rsidR="009B01B6" w:rsidRPr="002532DF">
        <w:rPr>
          <w:sz w:val="25"/>
          <w:szCs w:val="25"/>
        </w:rPr>
        <w:t xml:space="preserve">In addition, the Commission held a public comment hearing in Yakima, Washington, on October 21, 2010.  </w:t>
      </w:r>
      <w:r w:rsidR="00E744B0" w:rsidRPr="002532DF">
        <w:rPr>
          <w:sz w:val="25"/>
          <w:szCs w:val="25"/>
        </w:rPr>
        <w:t xml:space="preserve">During the public comment hearing, 29 </w:t>
      </w:r>
      <w:r w:rsidR="000E50EC" w:rsidRPr="002532DF">
        <w:rPr>
          <w:sz w:val="25"/>
          <w:szCs w:val="25"/>
        </w:rPr>
        <w:t>customers</w:t>
      </w:r>
      <w:r w:rsidR="00E744B0" w:rsidRPr="002532DF">
        <w:rPr>
          <w:sz w:val="25"/>
          <w:szCs w:val="25"/>
        </w:rPr>
        <w:t xml:space="preserve"> presented testimony in opposition to the proposed rate increase.  In addition, the Commission received 297 written comments</w:t>
      </w:r>
      <w:r w:rsidR="00A95CC3" w:rsidRPr="002532DF">
        <w:rPr>
          <w:sz w:val="25"/>
          <w:szCs w:val="25"/>
        </w:rPr>
        <w:t xml:space="preserve">, </w:t>
      </w:r>
      <w:r w:rsidR="00E744B0" w:rsidRPr="002532DF">
        <w:rPr>
          <w:sz w:val="25"/>
          <w:szCs w:val="25"/>
        </w:rPr>
        <w:t>291</w:t>
      </w:r>
      <w:r w:rsidR="00A95CC3" w:rsidRPr="002532DF">
        <w:rPr>
          <w:sz w:val="25"/>
          <w:szCs w:val="25"/>
        </w:rPr>
        <w:t xml:space="preserve"> of which</w:t>
      </w:r>
      <w:r w:rsidR="00E744B0" w:rsidRPr="002532DF">
        <w:rPr>
          <w:sz w:val="25"/>
          <w:szCs w:val="25"/>
        </w:rPr>
        <w:t xml:space="preserve"> oppose the proposed rate increase.</w:t>
      </w:r>
      <w:r w:rsidR="00E744B0" w:rsidRPr="002532DF">
        <w:rPr>
          <w:rStyle w:val="FootnoteReference"/>
          <w:sz w:val="25"/>
          <w:szCs w:val="25"/>
        </w:rPr>
        <w:footnoteReference w:id="4"/>
      </w:r>
    </w:p>
    <w:p w:rsidR="0072066A" w:rsidRPr="002532DF" w:rsidRDefault="0072066A" w:rsidP="006F42B3">
      <w:pPr>
        <w:pStyle w:val="NoSpacing"/>
        <w:rPr>
          <w:sz w:val="25"/>
          <w:szCs w:val="25"/>
        </w:rPr>
      </w:pPr>
    </w:p>
    <w:p w:rsidR="00C02C10" w:rsidRPr="002532DF" w:rsidRDefault="00AB638A" w:rsidP="006F42B3">
      <w:pPr>
        <w:numPr>
          <w:ilvl w:val="0"/>
          <w:numId w:val="1"/>
        </w:numPr>
        <w:tabs>
          <w:tab w:val="clear" w:pos="720"/>
          <w:tab w:val="num" w:pos="0"/>
        </w:tabs>
        <w:spacing w:line="276" w:lineRule="auto"/>
        <w:ind w:left="0"/>
        <w:rPr>
          <w:sz w:val="25"/>
          <w:szCs w:val="25"/>
        </w:rPr>
      </w:pPr>
      <w:r w:rsidRPr="002532DF">
        <w:rPr>
          <w:sz w:val="25"/>
          <w:szCs w:val="25"/>
        </w:rPr>
        <w:t xml:space="preserve">On November 17, 2010, the Commission convened a second prehearing conference </w:t>
      </w:r>
      <w:r w:rsidR="00C02C10" w:rsidRPr="002532DF">
        <w:rPr>
          <w:sz w:val="25"/>
          <w:szCs w:val="25"/>
        </w:rPr>
        <w:t>to address issues raised by the manner in which the parties filed testimony and exhibits.  During an off-record explanatory session, the Commission made available its policy advisors to specifically describe the filing deficiencies and to respond to questions.  At the conclusion of the prehearing conference, the Commission required the parties to submit revised and</w:t>
      </w:r>
      <w:r w:rsidR="00A95CC3" w:rsidRPr="002532DF">
        <w:rPr>
          <w:sz w:val="25"/>
          <w:szCs w:val="25"/>
        </w:rPr>
        <w:t xml:space="preserve"> </w:t>
      </w:r>
      <w:r w:rsidR="00C02C10" w:rsidRPr="002532DF">
        <w:rPr>
          <w:sz w:val="25"/>
          <w:szCs w:val="25"/>
        </w:rPr>
        <w:t>or supplemental testimony and exhibits</w:t>
      </w:r>
      <w:r w:rsidR="0072066A" w:rsidRPr="002532DF">
        <w:rPr>
          <w:sz w:val="25"/>
          <w:szCs w:val="25"/>
        </w:rPr>
        <w:t xml:space="preserve"> addressing the deficiencies identified during the second prehearing confere</w:t>
      </w:r>
      <w:r w:rsidR="00A1372C" w:rsidRPr="002532DF">
        <w:rPr>
          <w:sz w:val="25"/>
          <w:szCs w:val="25"/>
        </w:rPr>
        <w:t>nce</w:t>
      </w:r>
      <w:r w:rsidR="00C02C10" w:rsidRPr="002532DF">
        <w:rPr>
          <w:sz w:val="25"/>
          <w:szCs w:val="25"/>
        </w:rPr>
        <w:t>.</w:t>
      </w:r>
    </w:p>
    <w:p w:rsidR="00C02C10" w:rsidRPr="002532DF" w:rsidRDefault="00C02C10" w:rsidP="006F42B3">
      <w:pPr>
        <w:pStyle w:val="NoSpacing"/>
        <w:rPr>
          <w:sz w:val="25"/>
          <w:szCs w:val="25"/>
        </w:rPr>
      </w:pPr>
    </w:p>
    <w:p w:rsidR="002A67D6" w:rsidRPr="002532DF" w:rsidRDefault="00C02C10" w:rsidP="006F42B3">
      <w:pPr>
        <w:numPr>
          <w:ilvl w:val="0"/>
          <w:numId w:val="1"/>
        </w:numPr>
        <w:tabs>
          <w:tab w:val="clear" w:pos="720"/>
          <w:tab w:val="num" w:pos="0"/>
        </w:tabs>
        <w:spacing w:line="276" w:lineRule="auto"/>
        <w:ind w:left="0"/>
        <w:rPr>
          <w:sz w:val="25"/>
          <w:szCs w:val="25"/>
        </w:rPr>
      </w:pPr>
      <w:r w:rsidRPr="002532DF">
        <w:rPr>
          <w:sz w:val="25"/>
          <w:szCs w:val="25"/>
        </w:rPr>
        <w:t>On November 23, 2010, PacifiCorp filed supplemental and revised testimony.  On December 6, 2010, Staff, Public Counsel, and ICNU filed revised and supplemental responsive testimony.  On December 10, 2010, PacifiCorp filed revised and supplemental rebuttal testimony and Staff filed supplemental cross-answering testimony.</w:t>
      </w:r>
      <w:r w:rsidR="00CC1CDB" w:rsidRPr="002532DF">
        <w:rPr>
          <w:rStyle w:val="FootnoteReference"/>
          <w:sz w:val="25"/>
          <w:szCs w:val="25"/>
        </w:rPr>
        <w:footnoteReference w:id="5"/>
      </w:r>
    </w:p>
    <w:p w:rsidR="00CC1CDB" w:rsidRPr="002532DF" w:rsidRDefault="00CC1CDB" w:rsidP="006F42B3">
      <w:pPr>
        <w:pStyle w:val="NoSpacing"/>
        <w:rPr>
          <w:sz w:val="25"/>
          <w:szCs w:val="25"/>
        </w:rPr>
      </w:pPr>
    </w:p>
    <w:p w:rsidR="006F641E" w:rsidRPr="002532DF" w:rsidRDefault="00CC1CDB" w:rsidP="006F42B3">
      <w:pPr>
        <w:numPr>
          <w:ilvl w:val="0"/>
          <w:numId w:val="1"/>
        </w:numPr>
        <w:tabs>
          <w:tab w:val="clear" w:pos="720"/>
          <w:tab w:val="num" w:pos="0"/>
        </w:tabs>
        <w:spacing w:line="276" w:lineRule="auto"/>
        <w:ind w:left="0"/>
        <w:rPr>
          <w:sz w:val="25"/>
          <w:szCs w:val="25"/>
        </w:rPr>
      </w:pPr>
      <w:r w:rsidRPr="002532DF">
        <w:rPr>
          <w:sz w:val="25"/>
          <w:szCs w:val="25"/>
        </w:rPr>
        <w:t>On January 25, 26, and 27, 2011, the Commission conducted evidentiary hearings in Olympia, Washington</w:t>
      </w:r>
      <w:r w:rsidR="0036024E" w:rsidRPr="002532DF">
        <w:rPr>
          <w:sz w:val="25"/>
          <w:szCs w:val="25"/>
        </w:rPr>
        <w:t xml:space="preserve">.  Chairman Jeffrey </w:t>
      </w:r>
      <w:r w:rsidR="00CA6B4B" w:rsidRPr="002532DF">
        <w:rPr>
          <w:sz w:val="25"/>
          <w:szCs w:val="25"/>
        </w:rPr>
        <w:t xml:space="preserve">D. </w:t>
      </w:r>
      <w:r w:rsidR="0036024E" w:rsidRPr="002532DF">
        <w:rPr>
          <w:sz w:val="25"/>
          <w:szCs w:val="25"/>
        </w:rPr>
        <w:t xml:space="preserve">Goltz, Commissioner Patrick </w:t>
      </w:r>
      <w:r w:rsidR="00CA6B4B" w:rsidRPr="002532DF">
        <w:rPr>
          <w:sz w:val="25"/>
          <w:szCs w:val="25"/>
        </w:rPr>
        <w:t xml:space="preserve">J. </w:t>
      </w:r>
      <w:r w:rsidR="0036024E" w:rsidRPr="002532DF">
        <w:rPr>
          <w:sz w:val="25"/>
          <w:szCs w:val="25"/>
        </w:rPr>
        <w:t xml:space="preserve">Oshie, and Commissioner Philip </w:t>
      </w:r>
      <w:r w:rsidR="00CA6B4B" w:rsidRPr="002532DF">
        <w:rPr>
          <w:sz w:val="25"/>
          <w:szCs w:val="25"/>
        </w:rPr>
        <w:t xml:space="preserve">B. </w:t>
      </w:r>
      <w:r w:rsidR="0036024E" w:rsidRPr="002532DF">
        <w:rPr>
          <w:sz w:val="25"/>
          <w:szCs w:val="25"/>
        </w:rPr>
        <w:t>Jones were assisted at the bench by presiding Administrative Law Judge Patricia Clark.  During the course of the hearing, 25</w:t>
      </w:r>
      <w:r w:rsidR="006F641E" w:rsidRPr="002532DF">
        <w:rPr>
          <w:sz w:val="25"/>
          <w:szCs w:val="25"/>
        </w:rPr>
        <w:t xml:space="preserve"> witnesses presented prefiled testimony and exhibits totaling more than </w:t>
      </w:r>
      <w:r w:rsidR="00DC154A" w:rsidRPr="002532DF">
        <w:rPr>
          <w:sz w:val="25"/>
          <w:szCs w:val="25"/>
        </w:rPr>
        <w:t>3,200</w:t>
      </w:r>
      <w:r w:rsidR="006F641E" w:rsidRPr="002532DF">
        <w:rPr>
          <w:sz w:val="25"/>
          <w:szCs w:val="25"/>
        </w:rPr>
        <w:t xml:space="preserve"> pages</w:t>
      </w:r>
      <w:r w:rsidR="0036024E" w:rsidRPr="002532DF">
        <w:rPr>
          <w:sz w:val="25"/>
          <w:szCs w:val="25"/>
        </w:rPr>
        <w:t>.</w:t>
      </w:r>
      <w:r w:rsidR="00A1372C" w:rsidRPr="002532DF">
        <w:rPr>
          <w:rStyle w:val="FootnoteReference"/>
          <w:sz w:val="25"/>
          <w:szCs w:val="25"/>
        </w:rPr>
        <w:footnoteReference w:id="6"/>
      </w:r>
      <w:r w:rsidR="0036024E" w:rsidRPr="002532DF">
        <w:rPr>
          <w:sz w:val="25"/>
          <w:szCs w:val="25"/>
        </w:rPr>
        <w:t xml:space="preserve">  </w:t>
      </w:r>
      <w:r w:rsidR="00FD27BC" w:rsidRPr="002532DF">
        <w:rPr>
          <w:sz w:val="25"/>
          <w:szCs w:val="25"/>
        </w:rPr>
        <w:t xml:space="preserve">PacifiCorp presented the testimony of Richard P. Reiten, Dr. Samuel Hadaway, Bruce N. Williams, Gregory N. Duvall, R. Bryce Dalley, Ryan Fuller, Erich D. Wilson, C. Craig Paice, William R. Griffith, Douglas Stuver, and Rebecca Eberle.  Staff presented the testimony of Michael Foisy, Thomas Schooley, Kenneth Elgin, Alan Buckley, Kathryn Breda, and Vanda Novak. The Joint Parties sponsored the testimony of Greg Meyer.  ICNU presented testimony from Randall Falkenberg, Michael Gorman, Donald Schoenbeck, Michael Early, and Nicholas Nachbar.  Walmart offered the testimony of Steve W. Chriss.  The Energy Project presented the testimony of Charles Eberdt.  </w:t>
      </w:r>
      <w:r w:rsidR="0036024E" w:rsidRPr="002532DF">
        <w:rPr>
          <w:sz w:val="25"/>
          <w:szCs w:val="25"/>
        </w:rPr>
        <w:t>T</w:t>
      </w:r>
      <w:r w:rsidR="006F641E" w:rsidRPr="002532DF">
        <w:rPr>
          <w:sz w:val="25"/>
          <w:szCs w:val="25"/>
        </w:rPr>
        <w:t xml:space="preserve">he transcript of this proceeding </w:t>
      </w:r>
      <w:r w:rsidR="005532B2" w:rsidRPr="002532DF">
        <w:rPr>
          <w:sz w:val="25"/>
          <w:szCs w:val="25"/>
        </w:rPr>
        <w:t xml:space="preserve">is </w:t>
      </w:r>
      <w:r w:rsidR="00DC154A" w:rsidRPr="002532DF">
        <w:rPr>
          <w:sz w:val="25"/>
          <w:szCs w:val="25"/>
        </w:rPr>
        <w:t xml:space="preserve">more than 800 </w:t>
      </w:r>
      <w:r w:rsidR="006F641E" w:rsidRPr="002532DF">
        <w:rPr>
          <w:sz w:val="25"/>
          <w:szCs w:val="25"/>
        </w:rPr>
        <w:t xml:space="preserve">pages.  </w:t>
      </w:r>
    </w:p>
    <w:p w:rsidR="006F641E" w:rsidRPr="002532DF" w:rsidRDefault="006F641E" w:rsidP="006F42B3">
      <w:pPr>
        <w:pStyle w:val="NoSpacing"/>
        <w:rPr>
          <w:sz w:val="25"/>
          <w:szCs w:val="25"/>
        </w:rPr>
      </w:pPr>
    </w:p>
    <w:p w:rsidR="00EC78AA" w:rsidRPr="002532DF" w:rsidRDefault="00444F29" w:rsidP="006F42B3">
      <w:pPr>
        <w:numPr>
          <w:ilvl w:val="0"/>
          <w:numId w:val="1"/>
        </w:numPr>
        <w:tabs>
          <w:tab w:val="clear" w:pos="720"/>
          <w:tab w:val="num" w:pos="0"/>
        </w:tabs>
        <w:spacing w:line="276" w:lineRule="auto"/>
        <w:ind w:left="0"/>
        <w:rPr>
          <w:sz w:val="25"/>
          <w:szCs w:val="25"/>
        </w:rPr>
      </w:pPr>
      <w:r w:rsidRPr="002532DF">
        <w:rPr>
          <w:sz w:val="25"/>
          <w:szCs w:val="25"/>
        </w:rPr>
        <w:t>All</w:t>
      </w:r>
      <w:r w:rsidR="00CC1CDB" w:rsidRPr="002532DF">
        <w:rPr>
          <w:sz w:val="25"/>
          <w:szCs w:val="25"/>
        </w:rPr>
        <w:t xml:space="preserve"> parties filed initial </w:t>
      </w:r>
      <w:r w:rsidR="006F641E" w:rsidRPr="002532DF">
        <w:rPr>
          <w:sz w:val="25"/>
          <w:szCs w:val="25"/>
        </w:rPr>
        <w:t>post</w:t>
      </w:r>
      <w:r w:rsidR="009C1543" w:rsidRPr="002532DF">
        <w:rPr>
          <w:sz w:val="25"/>
          <w:szCs w:val="25"/>
        </w:rPr>
        <w:t>-</w:t>
      </w:r>
      <w:r w:rsidR="006F641E" w:rsidRPr="002532DF">
        <w:rPr>
          <w:sz w:val="25"/>
          <w:szCs w:val="25"/>
        </w:rPr>
        <w:t xml:space="preserve">hearing </w:t>
      </w:r>
      <w:r w:rsidR="00CC1CDB" w:rsidRPr="002532DF">
        <w:rPr>
          <w:sz w:val="25"/>
          <w:szCs w:val="25"/>
        </w:rPr>
        <w:t>briefs on February 11, 2011</w:t>
      </w:r>
      <w:r w:rsidR="00BF27AF" w:rsidRPr="002532DF">
        <w:rPr>
          <w:sz w:val="25"/>
          <w:szCs w:val="25"/>
        </w:rPr>
        <w:t xml:space="preserve">. </w:t>
      </w:r>
      <w:r w:rsidR="00CC1CDB" w:rsidRPr="002532DF">
        <w:rPr>
          <w:sz w:val="25"/>
          <w:szCs w:val="25"/>
        </w:rPr>
        <w:t xml:space="preserve"> </w:t>
      </w:r>
      <w:r w:rsidR="009C1543" w:rsidRPr="002532DF">
        <w:rPr>
          <w:sz w:val="25"/>
          <w:szCs w:val="25"/>
        </w:rPr>
        <w:t xml:space="preserve">All parties </w:t>
      </w:r>
      <w:r w:rsidR="00CC1CDB" w:rsidRPr="002532DF">
        <w:rPr>
          <w:sz w:val="25"/>
          <w:szCs w:val="25"/>
        </w:rPr>
        <w:t>filed reply brief</w:t>
      </w:r>
      <w:r w:rsidR="00BF27AF" w:rsidRPr="002532DF">
        <w:rPr>
          <w:sz w:val="25"/>
          <w:szCs w:val="25"/>
        </w:rPr>
        <w:t>s</w:t>
      </w:r>
      <w:r w:rsidR="00CC1CDB" w:rsidRPr="002532DF">
        <w:rPr>
          <w:sz w:val="25"/>
          <w:szCs w:val="25"/>
        </w:rPr>
        <w:t xml:space="preserve"> on February 18, 2011.  The Commission resolves the disputed issues and determines the Company’s revenue requirement in this Order, as summarized in Appendix A. </w:t>
      </w:r>
    </w:p>
    <w:p w:rsidR="00896E4A" w:rsidRPr="002532DF" w:rsidRDefault="00896E4A" w:rsidP="00896E4A">
      <w:pPr>
        <w:pStyle w:val="ListParagraph"/>
        <w:rPr>
          <w:sz w:val="25"/>
          <w:szCs w:val="25"/>
        </w:rPr>
      </w:pPr>
    </w:p>
    <w:p w:rsidR="00347DF0" w:rsidRPr="002532DF" w:rsidRDefault="00495314" w:rsidP="00741D85">
      <w:pPr>
        <w:numPr>
          <w:ilvl w:val="0"/>
          <w:numId w:val="1"/>
        </w:numPr>
        <w:tabs>
          <w:tab w:val="clear" w:pos="720"/>
          <w:tab w:val="num" w:pos="0"/>
        </w:tabs>
        <w:spacing w:line="276" w:lineRule="auto"/>
        <w:ind w:left="0"/>
        <w:rPr>
          <w:sz w:val="25"/>
          <w:szCs w:val="25"/>
        </w:rPr>
      </w:pPr>
      <w:r w:rsidRPr="002532DF">
        <w:rPr>
          <w:b/>
          <w:sz w:val="25"/>
          <w:szCs w:val="25"/>
        </w:rPr>
        <w:t xml:space="preserve">APPEARANCES:  </w:t>
      </w:r>
      <w:r w:rsidR="003B1C63" w:rsidRPr="002532DF">
        <w:rPr>
          <w:sz w:val="25"/>
          <w:szCs w:val="25"/>
        </w:rPr>
        <w:t>Katherine A. McDowell, Amie Jamieson, and Jordan White, McDowell, Rackner &amp; Gibson PC, Portland, Oregon represent</w:t>
      </w:r>
      <w:r w:rsidR="00347DF0" w:rsidRPr="002532DF">
        <w:rPr>
          <w:sz w:val="25"/>
          <w:szCs w:val="25"/>
        </w:rPr>
        <w:t xml:space="preserve"> PacifiCorp.  Melinda J. Davison and Irion Sanger, Davison Van Cleve, P.C., Portland, Oregon, represent </w:t>
      </w:r>
      <w:r w:rsidR="00360835" w:rsidRPr="002532DF">
        <w:rPr>
          <w:sz w:val="25"/>
          <w:szCs w:val="25"/>
        </w:rPr>
        <w:t>the Industrial Customers of Northwest Utilities (</w:t>
      </w:r>
      <w:r w:rsidR="00347DF0" w:rsidRPr="002532DF">
        <w:rPr>
          <w:sz w:val="25"/>
          <w:szCs w:val="25"/>
        </w:rPr>
        <w:t>ICNU</w:t>
      </w:r>
      <w:r w:rsidR="00360835" w:rsidRPr="002532DF">
        <w:rPr>
          <w:sz w:val="25"/>
          <w:szCs w:val="25"/>
        </w:rPr>
        <w:t>)</w:t>
      </w:r>
      <w:r w:rsidR="00347DF0" w:rsidRPr="002532DF">
        <w:rPr>
          <w:sz w:val="25"/>
          <w:szCs w:val="25"/>
        </w:rPr>
        <w:t xml:space="preserve">.  Brad M. Purdy, attorney, </w:t>
      </w:r>
      <w:smartTag w:uri="urn:schemas-microsoft-com:office:smarttags" w:element="place">
        <w:smartTag w:uri="urn:schemas-microsoft-com:office:smarttags" w:element="City">
          <w:r w:rsidR="00347DF0" w:rsidRPr="002532DF">
            <w:rPr>
              <w:sz w:val="25"/>
              <w:szCs w:val="25"/>
            </w:rPr>
            <w:t>Boise</w:t>
          </w:r>
        </w:smartTag>
        <w:r w:rsidR="00347DF0" w:rsidRPr="002532DF">
          <w:rPr>
            <w:sz w:val="25"/>
            <w:szCs w:val="25"/>
          </w:rPr>
          <w:t xml:space="preserve">, </w:t>
        </w:r>
        <w:smartTag w:uri="urn:schemas-microsoft-com:office:smarttags" w:element="State">
          <w:r w:rsidR="00347DF0" w:rsidRPr="002532DF">
            <w:rPr>
              <w:sz w:val="25"/>
              <w:szCs w:val="25"/>
            </w:rPr>
            <w:t>Idaho</w:t>
          </w:r>
        </w:smartTag>
      </w:smartTag>
      <w:r w:rsidR="00347DF0" w:rsidRPr="002532DF">
        <w:rPr>
          <w:sz w:val="25"/>
          <w:szCs w:val="25"/>
        </w:rPr>
        <w:t xml:space="preserve">, represents The Energy Project.  </w:t>
      </w:r>
      <w:r w:rsidR="00360835" w:rsidRPr="002532DF">
        <w:rPr>
          <w:sz w:val="25"/>
          <w:szCs w:val="25"/>
        </w:rPr>
        <w:t>Arthur A. Butler, Ater Wynne</w:t>
      </w:r>
      <w:r w:rsidR="009D2B06" w:rsidRPr="002532DF">
        <w:rPr>
          <w:sz w:val="25"/>
          <w:szCs w:val="25"/>
        </w:rPr>
        <w:t xml:space="preserve"> LLP</w:t>
      </w:r>
      <w:r w:rsidR="00360835" w:rsidRPr="002532DF">
        <w:rPr>
          <w:sz w:val="25"/>
          <w:szCs w:val="25"/>
        </w:rPr>
        <w:t xml:space="preserve">, Seattle, Washington, represents Wal-Mart, Inc., and Sam’s West, Inc. (Walmart). </w:t>
      </w:r>
      <w:r w:rsidR="00D337A8" w:rsidRPr="002532DF">
        <w:rPr>
          <w:sz w:val="25"/>
          <w:szCs w:val="25"/>
        </w:rPr>
        <w:t xml:space="preserve"> </w:t>
      </w:r>
      <w:r w:rsidR="00347DF0" w:rsidRPr="002532DF">
        <w:rPr>
          <w:sz w:val="25"/>
          <w:szCs w:val="25"/>
        </w:rPr>
        <w:t>S</w:t>
      </w:r>
      <w:r w:rsidR="00360835" w:rsidRPr="002532DF">
        <w:rPr>
          <w:sz w:val="25"/>
          <w:szCs w:val="25"/>
        </w:rPr>
        <w:t>arah Shifley</w:t>
      </w:r>
      <w:r w:rsidR="008A3781" w:rsidRPr="002532DF">
        <w:rPr>
          <w:sz w:val="25"/>
          <w:szCs w:val="25"/>
        </w:rPr>
        <w:t>, Assistant Attorney General,</w:t>
      </w:r>
      <w:r w:rsidR="00360835" w:rsidRPr="002532DF">
        <w:rPr>
          <w:sz w:val="25"/>
          <w:szCs w:val="25"/>
        </w:rPr>
        <w:t xml:space="preserve"> and S</w:t>
      </w:r>
      <w:r w:rsidR="00347DF0" w:rsidRPr="002532DF">
        <w:rPr>
          <w:sz w:val="25"/>
          <w:szCs w:val="25"/>
        </w:rPr>
        <w:t xml:space="preserve">imon ffitch, </w:t>
      </w:r>
      <w:r w:rsidR="008A3781" w:rsidRPr="002532DF">
        <w:rPr>
          <w:sz w:val="25"/>
          <w:szCs w:val="25"/>
        </w:rPr>
        <w:t xml:space="preserve">Senior </w:t>
      </w:r>
      <w:r w:rsidR="00347DF0" w:rsidRPr="002532DF">
        <w:rPr>
          <w:sz w:val="25"/>
          <w:szCs w:val="25"/>
        </w:rPr>
        <w:t xml:space="preserve">Assistant Attorney General, Seattle, Washington, represent </w:t>
      </w:r>
      <w:r w:rsidR="009D2B06" w:rsidRPr="002532DF">
        <w:rPr>
          <w:sz w:val="25"/>
          <w:szCs w:val="25"/>
        </w:rPr>
        <w:t xml:space="preserve">the </w:t>
      </w:r>
      <w:r w:rsidR="00347DF0" w:rsidRPr="002532DF">
        <w:rPr>
          <w:sz w:val="25"/>
          <w:szCs w:val="25"/>
        </w:rPr>
        <w:t>Public Counsel</w:t>
      </w:r>
      <w:r w:rsidR="009D2B06" w:rsidRPr="002532DF">
        <w:rPr>
          <w:sz w:val="25"/>
          <w:szCs w:val="25"/>
        </w:rPr>
        <w:t xml:space="preserve"> Section of the Office of the Attorney General (Public Counsel)</w:t>
      </w:r>
      <w:r w:rsidR="00347DF0" w:rsidRPr="002532DF">
        <w:rPr>
          <w:sz w:val="25"/>
          <w:szCs w:val="25"/>
        </w:rPr>
        <w:t xml:space="preserve">.  Donald T. Trotter, </w:t>
      </w:r>
      <w:r w:rsidR="008A3781" w:rsidRPr="002532DF">
        <w:rPr>
          <w:sz w:val="25"/>
          <w:szCs w:val="25"/>
        </w:rPr>
        <w:t>Senior Counsel</w:t>
      </w:r>
      <w:r w:rsidR="00347DF0" w:rsidRPr="002532DF">
        <w:rPr>
          <w:sz w:val="25"/>
          <w:szCs w:val="25"/>
        </w:rPr>
        <w:t>, Olym</w:t>
      </w:r>
      <w:r w:rsidR="00E87939" w:rsidRPr="002532DF">
        <w:rPr>
          <w:sz w:val="25"/>
          <w:szCs w:val="25"/>
        </w:rPr>
        <w:t xml:space="preserve">pia, Washington, represents </w:t>
      </w:r>
      <w:r w:rsidR="009D2B06" w:rsidRPr="002532DF">
        <w:rPr>
          <w:sz w:val="25"/>
          <w:szCs w:val="25"/>
        </w:rPr>
        <w:t xml:space="preserve">the Commission </w:t>
      </w:r>
      <w:r w:rsidR="00347DF0" w:rsidRPr="002532DF">
        <w:rPr>
          <w:sz w:val="25"/>
          <w:szCs w:val="25"/>
        </w:rPr>
        <w:t xml:space="preserve">Staff. </w:t>
      </w:r>
    </w:p>
    <w:p w:rsidR="002A67D6" w:rsidRPr="002532DF" w:rsidRDefault="002A67D6" w:rsidP="00741D85">
      <w:pPr>
        <w:tabs>
          <w:tab w:val="num" w:pos="0"/>
        </w:tabs>
        <w:spacing w:line="276" w:lineRule="auto"/>
        <w:ind w:hanging="720"/>
        <w:outlineLvl w:val="1"/>
        <w:rPr>
          <w:sz w:val="25"/>
          <w:szCs w:val="25"/>
        </w:rPr>
      </w:pPr>
    </w:p>
    <w:p w:rsidR="00370428" w:rsidRDefault="002532DF" w:rsidP="00741D85">
      <w:pPr>
        <w:numPr>
          <w:ilvl w:val="0"/>
          <w:numId w:val="1"/>
        </w:numPr>
        <w:tabs>
          <w:tab w:val="clear" w:pos="720"/>
          <w:tab w:val="num" w:pos="0"/>
        </w:tabs>
        <w:spacing w:line="276" w:lineRule="auto"/>
        <w:ind w:left="0"/>
        <w:rPr>
          <w:sz w:val="25"/>
          <w:szCs w:val="25"/>
        </w:rPr>
      </w:pPr>
      <w:r>
        <w:rPr>
          <w:b/>
          <w:sz w:val="25"/>
          <w:szCs w:val="25"/>
        </w:rPr>
        <w:t>SUMMARY OF C</w:t>
      </w:r>
      <w:r w:rsidR="00726AD8" w:rsidRPr="002532DF">
        <w:rPr>
          <w:b/>
          <w:sz w:val="25"/>
          <w:szCs w:val="25"/>
        </w:rPr>
        <w:t xml:space="preserve">OMMISSION DETERMINATIONS: </w:t>
      </w:r>
      <w:r w:rsidR="007C3534" w:rsidRPr="002532DF">
        <w:rPr>
          <w:sz w:val="25"/>
          <w:szCs w:val="25"/>
        </w:rPr>
        <w:t xml:space="preserve">We find, </w:t>
      </w:r>
      <w:r w:rsidR="00726AD8" w:rsidRPr="002532DF">
        <w:rPr>
          <w:sz w:val="25"/>
          <w:szCs w:val="25"/>
        </w:rPr>
        <w:t>on the basis of the evidence presented</w:t>
      </w:r>
      <w:r w:rsidR="007C3534" w:rsidRPr="002532DF">
        <w:rPr>
          <w:sz w:val="25"/>
          <w:szCs w:val="25"/>
        </w:rPr>
        <w:t>,</w:t>
      </w:r>
      <w:r w:rsidR="00726AD8" w:rsidRPr="002532DF">
        <w:rPr>
          <w:sz w:val="25"/>
          <w:szCs w:val="25"/>
        </w:rPr>
        <w:t xml:space="preserve"> that PacifiCorp requires rate relief for its electric service operations in the state of Washington</w:t>
      </w:r>
      <w:r>
        <w:rPr>
          <w:sz w:val="25"/>
          <w:szCs w:val="25"/>
        </w:rPr>
        <w:t xml:space="preserve">, but we also find </w:t>
      </w:r>
      <w:r w:rsidR="005D539D" w:rsidRPr="002532DF">
        <w:rPr>
          <w:sz w:val="25"/>
          <w:szCs w:val="25"/>
        </w:rPr>
        <w:t xml:space="preserve">that the Company’s as-filed rates do not meet the statutory fair, just, reasonable and sufficient standard for approval. </w:t>
      </w:r>
      <w:r w:rsidR="00370428" w:rsidRPr="002532DF">
        <w:rPr>
          <w:sz w:val="25"/>
          <w:szCs w:val="25"/>
        </w:rPr>
        <w:t xml:space="preserve"> </w:t>
      </w:r>
      <w:r>
        <w:rPr>
          <w:sz w:val="25"/>
          <w:szCs w:val="25"/>
        </w:rPr>
        <w:t xml:space="preserve">We conclude </w:t>
      </w:r>
      <w:r w:rsidR="005D539D" w:rsidRPr="002532DF">
        <w:rPr>
          <w:sz w:val="25"/>
          <w:szCs w:val="25"/>
        </w:rPr>
        <w:t xml:space="preserve">that PacifiCorp should be authorized and required to file revised tariff sheets effecting rates on the basis of an increase in revenue requirement of approximately </w:t>
      </w:r>
      <w:bookmarkStart w:id="5" w:name="OLE_LINK1"/>
      <w:bookmarkStart w:id="6" w:name="OLE_LINK2"/>
      <w:r w:rsidR="00827ABE" w:rsidRPr="002532DF">
        <w:rPr>
          <w:sz w:val="25"/>
          <w:szCs w:val="25"/>
        </w:rPr>
        <w:t>$</w:t>
      </w:r>
      <w:r w:rsidR="00667BFD" w:rsidRPr="002532DF">
        <w:rPr>
          <w:sz w:val="25"/>
          <w:szCs w:val="25"/>
        </w:rPr>
        <w:t>3</w:t>
      </w:r>
      <w:r w:rsidR="001A20C0">
        <w:rPr>
          <w:sz w:val="25"/>
          <w:szCs w:val="25"/>
        </w:rPr>
        <w:t>8</w:t>
      </w:r>
      <w:r w:rsidR="00827ABE" w:rsidRPr="002532DF">
        <w:rPr>
          <w:sz w:val="25"/>
          <w:szCs w:val="25"/>
        </w:rPr>
        <w:t xml:space="preserve"> million</w:t>
      </w:r>
      <w:bookmarkEnd w:id="5"/>
      <w:bookmarkEnd w:id="6"/>
      <w:r w:rsidR="007C3534" w:rsidRPr="002532DF">
        <w:rPr>
          <w:sz w:val="25"/>
          <w:szCs w:val="25"/>
        </w:rPr>
        <w:t xml:space="preserve"> </w:t>
      </w:r>
      <w:r>
        <w:rPr>
          <w:sz w:val="25"/>
          <w:szCs w:val="25"/>
        </w:rPr>
        <w:t>based on our resolution</w:t>
      </w:r>
      <w:r w:rsidR="00010C5C" w:rsidRPr="002532DF">
        <w:rPr>
          <w:sz w:val="25"/>
          <w:szCs w:val="25"/>
        </w:rPr>
        <w:t xml:space="preserve"> of </w:t>
      </w:r>
      <w:r>
        <w:rPr>
          <w:sz w:val="25"/>
          <w:szCs w:val="25"/>
        </w:rPr>
        <w:t xml:space="preserve">the </w:t>
      </w:r>
      <w:r w:rsidR="00010C5C" w:rsidRPr="002532DF">
        <w:rPr>
          <w:sz w:val="25"/>
          <w:szCs w:val="25"/>
        </w:rPr>
        <w:t>contested issues.  The following table summarizes in concise fashion our determinations in this case</w:t>
      </w:r>
      <w:r w:rsidR="005D539D" w:rsidRPr="002532DF">
        <w:rPr>
          <w:sz w:val="25"/>
          <w:szCs w:val="25"/>
        </w:rPr>
        <w:t>.</w:t>
      </w:r>
      <w:r w:rsidR="00A1372C" w:rsidRPr="002532DF">
        <w:rPr>
          <w:rStyle w:val="FootnoteReference"/>
          <w:sz w:val="25"/>
          <w:szCs w:val="25"/>
        </w:rPr>
        <w:footnoteReference w:id="7"/>
      </w:r>
    </w:p>
    <w:p w:rsidR="00DD1140" w:rsidRDefault="00DD1140" w:rsidP="00741D85">
      <w:pPr>
        <w:tabs>
          <w:tab w:val="num" w:pos="0"/>
        </w:tabs>
        <w:spacing w:line="276" w:lineRule="auto"/>
        <w:ind w:hanging="720"/>
        <w:rPr>
          <w:sz w:val="25"/>
          <w:szCs w:val="25"/>
        </w:rPr>
      </w:pPr>
    </w:p>
    <w:p w:rsidR="00356687" w:rsidRPr="002532DF" w:rsidRDefault="00356687" w:rsidP="00741D85">
      <w:pPr>
        <w:tabs>
          <w:tab w:val="num" w:pos="0"/>
        </w:tabs>
        <w:spacing w:line="276" w:lineRule="auto"/>
        <w:ind w:hanging="720"/>
        <w:rPr>
          <w:sz w:val="25"/>
          <w:szCs w:val="25"/>
        </w:rPr>
      </w:pPr>
    </w:p>
    <w:p w:rsidR="002A67D6" w:rsidRPr="002532DF" w:rsidRDefault="002A67D6" w:rsidP="00990877">
      <w:pPr>
        <w:jc w:val="center"/>
        <w:rPr>
          <w:b/>
          <w:sz w:val="25"/>
          <w:szCs w:val="25"/>
        </w:rPr>
      </w:pPr>
      <w:r w:rsidRPr="002532DF">
        <w:rPr>
          <w:b/>
          <w:sz w:val="25"/>
          <w:szCs w:val="25"/>
        </w:rPr>
        <w:t xml:space="preserve">TABLE </w:t>
      </w:r>
      <w:r w:rsidR="00322705" w:rsidRPr="002532DF">
        <w:rPr>
          <w:b/>
          <w:sz w:val="25"/>
          <w:szCs w:val="25"/>
        </w:rPr>
        <w:t>1</w:t>
      </w:r>
    </w:p>
    <w:p w:rsidR="002A67D6" w:rsidRPr="002532DF" w:rsidRDefault="002A67D6" w:rsidP="00990877">
      <w:pPr>
        <w:jc w:val="center"/>
        <w:rPr>
          <w:sz w:val="25"/>
          <w:szCs w:val="25"/>
        </w:rPr>
      </w:pPr>
      <w:r w:rsidRPr="002532DF">
        <w:rPr>
          <w:b/>
          <w:sz w:val="25"/>
          <w:szCs w:val="25"/>
        </w:rPr>
        <w:t>Summary of Commission Determinations</w:t>
      </w:r>
    </w:p>
    <w:tbl>
      <w:tblPr>
        <w:tblW w:w="99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0"/>
        <w:gridCol w:w="2700"/>
      </w:tblGrid>
      <w:tr w:rsidR="00317C18" w:rsidRPr="002532DF" w:rsidTr="008B76BE">
        <w:tc>
          <w:tcPr>
            <w:tcW w:w="7200" w:type="dxa"/>
            <w:tcBorders>
              <w:top w:val="thinThickSmallGap" w:sz="24" w:space="0" w:color="auto"/>
              <w:left w:val="thinThickSmallGap" w:sz="24" w:space="0" w:color="auto"/>
            </w:tcBorders>
          </w:tcPr>
          <w:p w:rsidR="00317C18" w:rsidRPr="002532DF" w:rsidRDefault="00B915F8" w:rsidP="00B915F8">
            <w:pPr>
              <w:rPr>
                <w:b/>
                <w:sz w:val="20"/>
                <w:szCs w:val="20"/>
              </w:rPr>
            </w:pPr>
            <w:r w:rsidRPr="002532DF">
              <w:rPr>
                <w:b/>
                <w:sz w:val="20"/>
                <w:szCs w:val="20"/>
              </w:rPr>
              <w:t>REVENUE ADJUSTMENTS</w:t>
            </w:r>
          </w:p>
        </w:tc>
        <w:tc>
          <w:tcPr>
            <w:tcW w:w="2700" w:type="dxa"/>
            <w:tcBorders>
              <w:top w:val="thinThickSmallGap" w:sz="24" w:space="0" w:color="auto"/>
              <w:right w:val="thickThinSmallGap" w:sz="24" w:space="0" w:color="auto"/>
            </w:tcBorders>
          </w:tcPr>
          <w:p w:rsidR="00317C18" w:rsidRPr="002532DF" w:rsidRDefault="007B5248" w:rsidP="00990877">
            <w:pPr>
              <w:rPr>
                <w:sz w:val="20"/>
                <w:szCs w:val="20"/>
              </w:rPr>
            </w:pPr>
            <w:r w:rsidRPr="002532DF">
              <w:rPr>
                <w:b/>
                <w:sz w:val="20"/>
                <w:szCs w:val="20"/>
              </w:rPr>
              <w:t>Commission Determination</w:t>
            </w:r>
          </w:p>
        </w:tc>
      </w:tr>
      <w:tr w:rsidR="00317C18" w:rsidRPr="002532DF" w:rsidTr="008B76BE">
        <w:tc>
          <w:tcPr>
            <w:tcW w:w="7200" w:type="dxa"/>
            <w:tcBorders>
              <w:top w:val="single" w:sz="4" w:space="0" w:color="auto"/>
              <w:left w:val="thinThickSmallGap" w:sz="24" w:space="0" w:color="auto"/>
            </w:tcBorders>
          </w:tcPr>
          <w:p w:rsidR="00317C18" w:rsidRPr="002532DF" w:rsidRDefault="00317C18" w:rsidP="001A20C0">
            <w:pPr>
              <w:rPr>
                <w:sz w:val="20"/>
                <w:szCs w:val="20"/>
              </w:rPr>
            </w:pPr>
            <w:r w:rsidRPr="002532DF">
              <w:rPr>
                <w:sz w:val="20"/>
                <w:szCs w:val="20"/>
              </w:rPr>
              <w:t xml:space="preserve">Should the Commission </w:t>
            </w:r>
            <w:r w:rsidR="008A3781" w:rsidRPr="002532DF">
              <w:rPr>
                <w:sz w:val="20"/>
                <w:szCs w:val="20"/>
              </w:rPr>
              <w:t xml:space="preserve">establish a tracker mechanism to ensure that ratepayers receive the benefit of </w:t>
            </w:r>
            <w:r w:rsidR="00B915F8" w:rsidRPr="002532DF">
              <w:rPr>
                <w:sz w:val="20"/>
                <w:szCs w:val="20"/>
              </w:rPr>
              <w:t>Renewable Energy Credits (REC) in rates</w:t>
            </w:r>
            <w:r w:rsidRPr="002532DF">
              <w:rPr>
                <w:sz w:val="20"/>
                <w:szCs w:val="20"/>
              </w:rPr>
              <w:t>?</w:t>
            </w:r>
          </w:p>
        </w:tc>
        <w:tc>
          <w:tcPr>
            <w:tcW w:w="2700" w:type="dxa"/>
            <w:tcBorders>
              <w:top w:val="single" w:sz="4" w:space="0" w:color="auto"/>
              <w:right w:val="thickThinSmallGap" w:sz="24" w:space="0" w:color="auto"/>
            </w:tcBorders>
          </w:tcPr>
          <w:p w:rsidR="00317C18" w:rsidRPr="002532DF" w:rsidRDefault="00317C18" w:rsidP="008B76BE">
            <w:pPr>
              <w:jc w:val="center"/>
              <w:rPr>
                <w:sz w:val="20"/>
                <w:szCs w:val="20"/>
              </w:rPr>
            </w:pPr>
          </w:p>
          <w:p w:rsidR="00443686" w:rsidRPr="002532DF" w:rsidRDefault="00576C09" w:rsidP="00576C09">
            <w:pPr>
              <w:jc w:val="center"/>
              <w:rPr>
                <w:sz w:val="20"/>
                <w:szCs w:val="20"/>
              </w:rPr>
            </w:pPr>
            <w:r w:rsidRPr="002532DF">
              <w:rPr>
                <w:sz w:val="20"/>
                <w:szCs w:val="20"/>
              </w:rPr>
              <w:t>YES</w:t>
            </w:r>
          </w:p>
        </w:tc>
      </w:tr>
      <w:tr w:rsidR="00B915F8" w:rsidRPr="002532DF" w:rsidTr="008B76BE">
        <w:tc>
          <w:tcPr>
            <w:tcW w:w="7200" w:type="dxa"/>
            <w:tcBorders>
              <w:top w:val="single" w:sz="4" w:space="0" w:color="auto"/>
              <w:left w:val="thinThickSmallGap" w:sz="24" w:space="0" w:color="auto"/>
            </w:tcBorders>
          </w:tcPr>
          <w:p w:rsidR="00B915F8" w:rsidRPr="002532DF" w:rsidRDefault="00B915F8" w:rsidP="004404DF">
            <w:pPr>
              <w:rPr>
                <w:sz w:val="20"/>
                <w:szCs w:val="20"/>
              </w:rPr>
            </w:pPr>
            <w:r w:rsidRPr="002532DF">
              <w:rPr>
                <w:sz w:val="20"/>
                <w:szCs w:val="20"/>
              </w:rPr>
              <w:t xml:space="preserve">Should the Commission authorize a </w:t>
            </w:r>
            <w:r w:rsidR="004404DF" w:rsidRPr="002532DF">
              <w:rPr>
                <w:sz w:val="20"/>
                <w:szCs w:val="20"/>
              </w:rPr>
              <w:t>five</w:t>
            </w:r>
            <w:r w:rsidRPr="002532DF">
              <w:rPr>
                <w:sz w:val="20"/>
                <w:szCs w:val="20"/>
              </w:rPr>
              <w:t>-year amortization period for</w:t>
            </w:r>
            <w:r w:rsidR="00CD3844" w:rsidRPr="002532DF">
              <w:rPr>
                <w:sz w:val="20"/>
                <w:szCs w:val="20"/>
              </w:rPr>
              <w:t xml:space="preserve"> current and past SO</w:t>
            </w:r>
            <w:r w:rsidR="00CD3844" w:rsidRPr="002532DF">
              <w:rPr>
                <w:sz w:val="20"/>
                <w:szCs w:val="20"/>
                <w:vertAlign w:val="subscript"/>
              </w:rPr>
              <w:t xml:space="preserve">2 </w:t>
            </w:r>
            <w:r w:rsidR="00CD3844" w:rsidRPr="002532DF">
              <w:rPr>
                <w:sz w:val="20"/>
                <w:szCs w:val="20"/>
              </w:rPr>
              <w:t>emission allowance revenues in its cost of service?</w:t>
            </w:r>
          </w:p>
        </w:tc>
        <w:tc>
          <w:tcPr>
            <w:tcW w:w="2700" w:type="dxa"/>
            <w:tcBorders>
              <w:top w:val="single" w:sz="4" w:space="0" w:color="auto"/>
              <w:right w:val="thickThinSmallGap" w:sz="24" w:space="0" w:color="auto"/>
            </w:tcBorders>
          </w:tcPr>
          <w:p w:rsidR="00B915F8" w:rsidRPr="002532DF" w:rsidRDefault="00B915F8" w:rsidP="008B76BE">
            <w:pPr>
              <w:jc w:val="center"/>
              <w:rPr>
                <w:sz w:val="20"/>
                <w:szCs w:val="20"/>
              </w:rPr>
            </w:pPr>
          </w:p>
          <w:p w:rsidR="0072066A" w:rsidRPr="002532DF" w:rsidRDefault="0072066A" w:rsidP="008B76BE">
            <w:pPr>
              <w:jc w:val="center"/>
              <w:rPr>
                <w:sz w:val="20"/>
                <w:szCs w:val="20"/>
              </w:rPr>
            </w:pPr>
            <w:r w:rsidRPr="002532DF">
              <w:rPr>
                <w:sz w:val="20"/>
                <w:szCs w:val="20"/>
              </w:rPr>
              <w:t>YES</w:t>
            </w:r>
          </w:p>
        </w:tc>
      </w:tr>
      <w:tr w:rsidR="00CD3844" w:rsidRPr="002532DF" w:rsidTr="008B76BE">
        <w:tc>
          <w:tcPr>
            <w:tcW w:w="7200" w:type="dxa"/>
            <w:tcBorders>
              <w:top w:val="single" w:sz="4" w:space="0" w:color="auto"/>
              <w:left w:val="thinThickSmallGap" w:sz="24" w:space="0" w:color="auto"/>
            </w:tcBorders>
          </w:tcPr>
          <w:p w:rsidR="00CD3844" w:rsidRPr="002532DF" w:rsidRDefault="00CD3844" w:rsidP="00B915F8">
            <w:pPr>
              <w:rPr>
                <w:sz w:val="20"/>
                <w:szCs w:val="20"/>
              </w:rPr>
            </w:pPr>
            <w:r w:rsidRPr="002532DF">
              <w:rPr>
                <w:sz w:val="20"/>
                <w:szCs w:val="20"/>
              </w:rPr>
              <w:t>Should the Commission approve PacifiCorp’s residential sales temperature normalization adjustment?</w:t>
            </w:r>
          </w:p>
        </w:tc>
        <w:tc>
          <w:tcPr>
            <w:tcW w:w="2700" w:type="dxa"/>
            <w:tcBorders>
              <w:top w:val="single" w:sz="4" w:space="0" w:color="auto"/>
              <w:right w:val="thickThinSmallGap" w:sz="24" w:space="0" w:color="auto"/>
            </w:tcBorders>
          </w:tcPr>
          <w:p w:rsidR="00CD3844" w:rsidRPr="002532DF" w:rsidRDefault="00CD3844" w:rsidP="008B76BE">
            <w:pPr>
              <w:jc w:val="center"/>
              <w:rPr>
                <w:sz w:val="20"/>
                <w:szCs w:val="20"/>
              </w:rPr>
            </w:pPr>
          </w:p>
          <w:p w:rsidR="00A453A4" w:rsidRPr="002532DF" w:rsidRDefault="00A453A4" w:rsidP="008B76BE">
            <w:pPr>
              <w:jc w:val="center"/>
              <w:rPr>
                <w:sz w:val="20"/>
                <w:szCs w:val="20"/>
              </w:rPr>
            </w:pPr>
            <w:r w:rsidRPr="002532DF">
              <w:rPr>
                <w:sz w:val="20"/>
                <w:szCs w:val="20"/>
              </w:rPr>
              <w:t>YES</w:t>
            </w:r>
          </w:p>
        </w:tc>
      </w:tr>
      <w:tr w:rsidR="00CD3844" w:rsidRPr="002532DF" w:rsidTr="008B76BE">
        <w:tc>
          <w:tcPr>
            <w:tcW w:w="7200" w:type="dxa"/>
            <w:tcBorders>
              <w:top w:val="single" w:sz="4" w:space="0" w:color="auto"/>
              <w:left w:val="thinThickSmallGap" w:sz="24" w:space="0" w:color="auto"/>
            </w:tcBorders>
          </w:tcPr>
          <w:p w:rsidR="00CD3844" w:rsidRPr="002532DF" w:rsidRDefault="00CD3844" w:rsidP="00CD3844">
            <w:pPr>
              <w:rPr>
                <w:sz w:val="20"/>
                <w:szCs w:val="20"/>
              </w:rPr>
            </w:pPr>
            <w:r w:rsidRPr="002532DF">
              <w:rPr>
                <w:sz w:val="20"/>
                <w:szCs w:val="20"/>
              </w:rPr>
              <w:t>Should the Commission approve PacifiCorp’s commercial sales temperature normalization adjustment?</w:t>
            </w:r>
          </w:p>
        </w:tc>
        <w:tc>
          <w:tcPr>
            <w:tcW w:w="2700" w:type="dxa"/>
            <w:tcBorders>
              <w:top w:val="single" w:sz="4" w:space="0" w:color="auto"/>
              <w:right w:val="thickThinSmallGap" w:sz="24" w:space="0" w:color="auto"/>
            </w:tcBorders>
          </w:tcPr>
          <w:p w:rsidR="00CD3844" w:rsidRPr="002532DF" w:rsidRDefault="00CD3844" w:rsidP="008B76BE">
            <w:pPr>
              <w:jc w:val="center"/>
              <w:rPr>
                <w:sz w:val="20"/>
                <w:szCs w:val="20"/>
              </w:rPr>
            </w:pPr>
          </w:p>
          <w:p w:rsidR="0072066A" w:rsidRPr="002532DF" w:rsidRDefault="0072066A" w:rsidP="008B76BE">
            <w:pPr>
              <w:jc w:val="center"/>
              <w:rPr>
                <w:sz w:val="20"/>
                <w:szCs w:val="20"/>
              </w:rPr>
            </w:pPr>
            <w:r w:rsidRPr="002532DF">
              <w:rPr>
                <w:sz w:val="20"/>
                <w:szCs w:val="20"/>
              </w:rPr>
              <w:t>NO</w:t>
            </w:r>
          </w:p>
        </w:tc>
      </w:tr>
      <w:tr w:rsidR="00CD3844" w:rsidRPr="002532DF" w:rsidTr="008B76BE">
        <w:tc>
          <w:tcPr>
            <w:tcW w:w="7200" w:type="dxa"/>
            <w:tcBorders>
              <w:top w:val="single" w:sz="4" w:space="0" w:color="auto"/>
              <w:left w:val="thinThickSmallGap" w:sz="24" w:space="0" w:color="auto"/>
            </w:tcBorders>
          </w:tcPr>
          <w:p w:rsidR="00CD3844" w:rsidRPr="002532DF" w:rsidRDefault="00CD3844" w:rsidP="00CD3844">
            <w:pPr>
              <w:rPr>
                <w:sz w:val="20"/>
                <w:szCs w:val="20"/>
              </w:rPr>
            </w:pPr>
            <w:r w:rsidRPr="002532DF">
              <w:rPr>
                <w:sz w:val="20"/>
                <w:szCs w:val="20"/>
              </w:rPr>
              <w:t xml:space="preserve">Should the Commission approve PacifiCorp’s </w:t>
            </w:r>
            <w:r w:rsidR="004404DF" w:rsidRPr="002532DF">
              <w:rPr>
                <w:sz w:val="20"/>
                <w:szCs w:val="20"/>
              </w:rPr>
              <w:t xml:space="preserve">restating and </w:t>
            </w:r>
            <w:r w:rsidRPr="002532DF">
              <w:rPr>
                <w:i/>
                <w:sz w:val="20"/>
                <w:szCs w:val="20"/>
              </w:rPr>
              <w:t xml:space="preserve">pro forma </w:t>
            </w:r>
            <w:r w:rsidRPr="002532DF">
              <w:rPr>
                <w:sz w:val="20"/>
                <w:szCs w:val="20"/>
              </w:rPr>
              <w:t>wage increase</w:t>
            </w:r>
            <w:r w:rsidR="004404DF" w:rsidRPr="002532DF">
              <w:rPr>
                <w:sz w:val="20"/>
                <w:szCs w:val="20"/>
              </w:rPr>
              <w:t>s</w:t>
            </w:r>
            <w:r w:rsidRPr="002532DF">
              <w:rPr>
                <w:sz w:val="20"/>
                <w:szCs w:val="20"/>
              </w:rPr>
              <w:t>?</w:t>
            </w:r>
          </w:p>
        </w:tc>
        <w:tc>
          <w:tcPr>
            <w:tcW w:w="2700" w:type="dxa"/>
            <w:tcBorders>
              <w:top w:val="single" w:sz="4" w:space="0" w:color="auto"/>
              <w:right w:val="thickThinSmallGap" w:sz="24" w:space="0" w:color="auto"/>
            </w:tcBorders>
          </w:tcPr>
          <w:p w:rsidR="00CD3844" w:rsidRPr="002532DF" w:rsidRDefault="007A2D4E" w:rsidP="008B76BE">
            <w:pPr>
              <w:jc w:val="center"/>
              <w:rPr>
                <w:sz w:val="20"/>
                <w:szCs w:val="20"/>
              </w:rPr>
            </w:pPr>
            <w:r w:rsidRPr="002532DF">
              <w:rPr>
                <w:sz w:val="20"/>
                <w:szCs w:val="20"/>
              </w:rPr>
              <w:t>YE</w:t>
            </w:r>
            <w:r w:rsidR="00CD472E" w:rsidRPr="002532DF">
              <w:rPr>
                <w:sz w:val="20"/>
                <w:szCs w:val="20"/>
              </w:rPr>
              <w:t>S</w:t>
            </w:r>
          </w:p>
        </w:tc>
      </w:tr>
      <w:tr w:rsidR="00CD3844" w:rsidRPr="002532DF" w:rsidTr="008B76BE">
        <w:tc>
          <w:tcPr>
            <w:tcW w:w="7200" w:type="dxa"/>
            <w:tcBorders>
              <w:top w:val="single" w:sz="4" w:space="0" w:color="auto"/>
              <w:left w:val="thinThickSmallGap" w:sz="24" w:space="0" w:color="auto"/>
            </w:tcBorders>
          </w:tcPr>
          <w:p w:rsidR="00CD3844" w:rsidRPr="002532DF" w:rsidRDefault="00CD3844" w:rsidP="00CD3844">
            <w:pPr>
              <w:rPr>
                <w:sz w:val="20"/>
                <w:szCs w:val="20"/>
              </w:rPr>
            </w:pPr>
            <w:r w:rsidRPr="002532DF">
              <w:rPr>
                <w:sz w:val="20"/>
                <w:szCs w:val="20"/>
              </w:rPr>
              <w:t>Should the Commission approve PacifiCorp’s affiliate management fee</w:t>
            </w:r>
            <w:r w:rsidR="0072066A" w:rsidRPr="002532DF">
              <w:rPr>
                <w:sz w:val="20"/>
                <w:szCs w:val="20"/>
              </w:rPr>
              <w:t xml:space="preserve"> of $7.1 million</w:t>
            </w:r>
            <w:r w:rsidRPr="002532DF">
              <w:rPr>
                <w:sz w:val="20"/>
                <w:szCs w:val="20"/>
              </w:rPr>
              <w:t>?</w:t>
            </w:r>
          </w:p>
        </w:tc>
        <w:tc>
          <w:tcPr>
            <w:tcW w:w="2700" w:type="dxa"/>
            <w:tcBorders>
              <w:top w:val="single" w:sz="4" w:space="0" w:color="auto"/>
              <w:right w:val="thickThinSmallGap" w:sz="24" w:space="0" w:color="auto"/>
            </w:tcBorders>
          </w:tcPr>
          <w:p w:rsidR="0072066A" w:rsidRPr="002532DF" w:rsidRDefault="0072066A" w:rsidP="008B76BE">
            <w:pPr>
              <w:jc w:val="center"/>
              <w:rPr>
                <w:sz w:val="20"/>
                <w:szCs w:val="20"/>
              </w:rPr>
            </w:pPr>
          </w:p>
          <w:p w:rsidR="00CD3844" w:rsidRPr="002532DF" w:rsidRDefault="0072066A" w:rsidP="008B76BE">
            <w:pPr>
              <w:jc w:val="center"/>
              <w:rPr>
                <w:sz w:val="20"/>
                <w:szCs w:val="20"/>
              </w:rPr>
            </w:pPr>
            <w:r w:rsidRPr="002532DF">
              <w:rPr>
                <w:sz w:val="20"/>
                <w:szCs w:val="20"/>
              </w:rPr>
              <w:t>YES</w:t>
            </w:r>
          </w:p>
        </w:tc>
      </w:tr>
      <w:tr w:rsidR="00CD3844" w:rsidRPr="002532DF" w:rsidTr="008B76BE">
        <w:tc>
          <w:tcPr>
            <w:tcW w:w="7200" w:type="dxa"/>
            <w:tcBorders>
              <w:top w:val="single" w:sz="4" w:space="0" w:color="auto"/>
              <w:left w:val="thinThickSmallGap" w:sz="24" w:space="0" w:color="auto"/>
            </w:tcBorders>
          </w:tcPr>
          <w:p w:rsidR="00CD3844" w:rsidRPr="002532DF" w:rsidRDefault="00CD3844" w:rsidP="00CD3844">
            <w:pPr>
              <w:rPr>
                <w:sz w:val="20"/>
                <w:szCs w:val="20"/>
              </w:rPr>
            </w:pPr>
            <w:r w:rsidRPr="002532DF">
              <w:rPr>
                <w:sz w:val="20"/>
                <w:szCs w:val="20"/>
              </w:rPr>
              <w:t>Should the Commission approve the Joint Parties’ proposed modification to the Company’s annual incentive compensation plan?</w:t>
            </w:r>
          </w:p>
        </w:tc>
        <w:tc>
          <w:tcPr>
            <w:tcW w:w="2700" w:type="dxa"/>
            <w:tcBorders>
              <w:top w:val="single" w:sz="4" w:space="0" w:color="auto"/>
              <w:right w:val="thickThinSmallGap" w:sz="24" w:space="0" w:color="auto"/>
            </w:tcBorders>
          </w:tcPr>
          <w:p w:rsidR="00CD3844" w:rsidRPr="002532DF" w:rsidRDefault="00CD3844" w:rsidP="008B76BE">
            <w:pPr>
              <w:jc w:val="center"/>
              <w:rPr>
                <w:sz w:val="20"/>
                <w:szCs w:val="20"/>
              </w:rPr>
            </w:pPr>
          </w:p>
          <w:p w:rsidR="0072066A" w:rsidRPr="002532DF" w:rsidRDefault="0072066A" w:rsidP="008B76BE">
            <w:pPr>
              <w:jc w:val="center"/>
              <w:rPr>
                <w:sz w:val="20"/>
                <w:szCs w:val="20"/>
              </w:rPr>
            </w:pPr>
            <w:r w:rsidRPr="002532DF">
              <w:rPr>
                <w:sz w:val="20"/>
                <w:szCs w:val="20"/>
              </w:rPr>
              <w:t>NO</w:t>
            </w:r>
          </w:p>
        </w:tc>
      </w:tr>
      <w:tr w:rsidR="003F51AE" w:rsidRPr="002532DF" w:rsidTr="008B76BE">
        <w:tc>
          <w:tcPr>
            <w:tcW w:w="7200" w:type="dxa"/>
            <w:tcBorders>
              <w:top w:val="single" w:sz="4" w:space="0" w:color="auto"/>
              <w:left w:val="thinThickSmallGap" w:sz="24" w:space="0" w:color="auto"/>
            </w:tcBorders>
          </w:tcPr>
          <w:p w:rsidR="003F51AE" w:rsidRPr="002532DF" w:rsidRDefault="003F51AE" w:rsidP="00CD3844">
            <w:pPr>
              <w:rPr>
                <w:sz w:val="20"/>
                <w:szCs w:val="20"/>
              </w:rPr>
            </w:pPr>
            <w:r w:rsidRPr="002532DF">
              <w:rPr>
                <w:sz w:val="20"/>
                <w:szCs w:val="20"/>
              </w:rPr>
              <w:t>Should the Commission approve the Joint Parties’ proposed modification to legal expenses?</w:t>
            </w:r>
          </w:p>
        </w:tc>
        <w:tc>
          <w:tcPr>
            <w:tcW w:w="2700" w:type="dxa"/>
            <w:tcBorders>
              <w:top w:val="single" w:sz="4" w:space="0" w:color="auto"/>
              <w:right w:val="thickThinSmallGap" w:sz="24" w:space="0" w:color="auto"/>
            </w:tcBorders>
          </w:tcPr>
          <w:p w:rsidR="003F51AE" w:rsidRPr="002532DF" w:rsidRDefault="003F51AE" w:rsidP="008B76BE">
            <w:pPr>
              <w:jc w:val="center"/>
              <w:rPr>
                <w:sz w:val="20"/>
                <w:szCs w:val="20"/>
              </w:rPr>
            </w:pPr>
          </w:p>
          <w:p w:rsidR="003F51AE" w:rsidRPr="002532DF" w:rsidRDefault="003F51AE" w:rsidP="008B76BE">
            <w:pPr>
              <w:jc w:val="center"/>
              <w:rPr>
                <w:sz w:val="20"/>
                <w:szCs w:val="20"/>
              </w:rPr>
            </w:pPr>
            <w:r w:rsidRPr="002532DF">
              <w:rPr>
                <w:sz w:val="20"/>
                <w:szCs w:val="20"/>
              </w:rPr>
              <w:t>NO</w:t>
            </w:r>
          </w:p>
        </w:tc>
      </w:tr>
      <w:tr w:rsidR="00317C18" w:rsidRPr="002532DF" w:rsidTr="008B76BE">
        <w:tc>
          <w:tcPr>
            <w:tcW w:w="7200" w:type="dxa"/>
            <w:tcBorders>
              <w:top w:val="thinThickSmallGap" w:sz="24" w:space="0" w:color="auto"/>
              <w:left w:val="thinThickSmallGap" w:sz="24" w:space="0" w:color="auto"/>
            </w:tcBorders>
          </w:tcPr>
          <w:p w:rsidR="00317C18" w:rsidRPr="002532DF" w:rsidRDefault="00301558" w:rsidP="00301558">
            <w:pPr>
              <w:rPr>
                <w:b/>
                <w:sz w:val="20"/>
                <w:szCs w:val="20"/>
              </w:rPr>
            </w:pPr>
            <w:r w:rsidRPr="002532DF">
              <w:rPr>
                <w:b/>
                <w:sz w:val="20"/>
                <w:szCs w:val="20"/>
              </w:rPr>
              <w:t xml:space="preserve">NET </w:t>
            </w:r>
            <w:r w:rsidR="00317C18" w:rsidRPr="002532DF">
              <w:rPr>
                <w:b/>
                <w:sz w:val="20"/>
                <w:szCs w:val="20"/>
              </w:rPr>
              <w:t>POWER COST ADJUSTMENT</w:t>
            </w:r>
            <w:r w:rsidRPr="002532DF">
              <w:rPr>
                <w:b/>
                <w:sz w:val="20"/>
                <w:szCs w:val="20"/>
              </w:rPr>
              <w:t>S</w:t>
            </w:r>
          </w:p>
        </w:tc>
        <w:tc>
          <w:tcPr>
            <w:tcW w:w="2700" w:type="dxa"/>
            <w:tcBorders>
              <w:top w:val="thinThickSmallGap" w:sz="24" w:space="0" w:color="auto"/>
              <w:right w:val="thickThinSmallGap" w:sz="24" w:space="0" w:color="auto"/>
            </w:tcBorders>
          </w:tcPr>
          <w:p w:rsidR="00317C18" w:rsidRPr="002532DF" w:rsidRDefault="007B5248" w:rsidP="00990877">
            <w:pPr>
              <w:rPr>
                <w:sz w:val="20"/>
                <w:szCs w:val="20"/>
              </w:rPr>
            </w:pPr>
            <w:r w:rsidRPr="002532DF">
              <w:rPr>
                <w:b/>
                <w:sz w:val="20"/>
                <w:szCs w:val="20"/>
              </w:rPr>
              <w:t>Commission Determination</w:t>
            </w:r>
          </w:p>
        </w:tc>
      </w:tr>
      <w:tr w:rsidR="00317C18" w:rsidRPr="002532DF" w:rsidTr="008B76BE">
        <w:tc>
          <w:tcPr>
            <w:tcW w:w="7200" w:type="dxa"/>
            <w:tcBorders>
              <w:top w:val="single" w:sz="4" w:space="0" w:color="auto"/>
              <w:left w:val="thinThickSmallGap" w:sz="24" w:space="0" w:color="auto"/>
            </w:tcBorders>
          </w:tcPr>
          <w:p w:rsidR="00317C18" w:rsidRPr="002532DF" w:rsidRDefault="007A1EE2" w:rsidP="00301558">
            <w:pPr>
              <w:rPr>
                <w:sz w:val="20"/>
                <w:szCs w:val="20"/>
              </w:rPr>
            </w:pPr>
            <w:r w:rsidRPr="002532DF">
              <w:rPr>
                <w:sz w:val="20"/>
                <w:szCs w:val="20"/>
              </w:rPr>
              <w:t xml:space="preserve">Should the Commission approve </w:t>
            </w:r>
            <w:r w:rsidR="00301558" w:rsidRPr="002532DF">
              <w:rPr>
                <w:sz w:val="20"/>
                <w:szCs w:val="20"/>
              </w:rPr>
              <w:t>an adjustment to include arbitrage sales to reduce net power costs?</w:t>
            </w:r>
          </w:p>
        </w:tc>
        <w:tc>
          <w:tcPr>
            <w:tcW w:w="2700" w:type="dxa"/>
            <w:tcBorders>
              <w:top w:val="single" w:sz="4" w:space="0" w:color="auto"/>
              <w:right w:val="thickThinSmallGap" w:sz="24" w:space="0" w:color="auto"/>
            </w:tcBorders>
          </w:tcPr>
          <w:p w:rsidR="00443686" w:rsidRPr="002532DF" w:rsidRDefault="00443686" w:rsidP="008B76BE">
            <w:pPr>
              <w:jc w:val="center"/>
              <w:rPr>
                <w:sz w:val="20"/>
                <w:szCs w:val="20"/>
              </w:rPr>
            </w:pPr>
          </w:p>
          <w:p w:rsidR="0072066A" w:rsidRPr="002532DF" w:rsidRDefault="0072066A" w:rsidP="008B76BE">
            <w:pPr>
              <w:jc w:val="center"/>
              <w:rPr>
                <w:sz w:val="20"/>
                <w:szCs w:val="20"/>
              </w:rPr>
            </w:pPr>
            <w:r w:rsidRPr="002532DF">
              <w:rPr>
                <w:sz w:val="20"/>
                <w:szCs w:val="20"/>
              </w:rPr>
              <w:t>YES</w:t>
            </w:r>
          </w:p>
        </w:tc>
      </w:tr>
      <w:tr w:rsidR="00301558" w:rsidRPr="002532DF" w:rsidTr="008B76BE">
        <w:tc>
          <w:tcPr>
            <w:tcW w:w="7200" w:type="dxa"/>
            <w:tcBorders>
              <w:top w:val="single" w:sz="4" w:space="0" w:color="auto"/>
              <w:left w:val="thinThickSmallGap" w:sz="24" w:space="0" w:color="auto"/>
            </w:tcBorders>
          </w:tcPr>
          <w:p w:rsidR="00301558" w:rsidRPr="002532DF" w:rsidRDefault="00301558" w:rsidP="0003192E">
            <w:pPr>
              <w:rPr>
                <w:sz w:val="20"/>
                <w:szCs w:val="20"/>
              </w:rPr>
            </w:pPr>
            <w:r w:rsidRPr="002532DF">
              <w:rPr>
                <w:sz w:val="20"/>
                <w:szCs w:val="20"/>
              </w:rPr>
              <w:t xml:space="preserve">Should the Commission approve </w:t>
            </w:r>
            <w:r w:rsidR="00FE6943" w:rsidRPr="002532DF">
              <w:rPr>
                <w:sz w:val="20"/>
                <w:szCs w:val="20"/>
              </w:rPr>
              <w:t xml:space="preserve">the parties’ partial settlement regarding the </w:t>
            </w:r>
            <w:r w:rsidRPr="002532DF">
              <w:rPr>
                <w:sz w:val="20"/>
                <w:szCs w:val="20"/>
              </w:rPr>
              <w:t>Seattle City Light Stateline Contract</w:t>
            </w:r>
            <w:r w:rsidR="0003192E" w:rsidRPr="002532DF">
              <w:rPr>
                <w:sz w:val="20"/>
                <w:szCs w:val="20"/>
              </w:rPr>
              <w:t>,</w:t>
            </w:r>
            <w:r w:rsidR="00FE6943" w:rsidRPr="002532DF">
              <w:rPr>
                <w:sz w:val="20"/>
                <w:szCs w:val="20"/>
              </w:rPr>
              <w:t xml:space="preserve"> wind integration</w:t>
            </w:r>
            <w:r w:rsidR="0003192E" w:rsidRPr="002532DF">
              <w:rPr>
                <w:sz w:val="20"/>
                <w:szCs w:val="20"/>
              </w:rPr>
              <w:t xml:space="preserve"> costs, and Chehalis reserves</w:t>
            </w:r>
            <w:r w:rsidRPr="002532DF">
              <w:rPr>
                <w:sz w:val="20"/>
                <w:szCs w:val="20"/>
              </w:rPr>
              <w:t>?</w:t>
            </w:r>
          </w:p>
        </w:tc>
        <w:tc>
          <w:tcPr>
            <w:tcW w:w="2700" w:type="dxa"/>
            <w:tcBorders>
              <w:top w:val="single" w:sz="4" w:space="0" w:color="auto"/>
              <w:right w:val="thickThinSmallGap" w:sz="24" w:space="0" w:color="auto"/>
            </w:tcBorders>
          </w:tcPr>
          <w:p w:rsidR="00301558" w:rsidRPr="002532DF" w:rsidRDefault="00301558" w:rsidP="008B76BE">
            <w:pPr>
              <w:jc w:val="center"/>
              <w:rPr>
                <w:sz w:val="20"/>
                <w:szCs w:val="20"/>
              </w:rPr>
            </w:pPr>
          </w:p>
          <w:p w:rsidR="0072066A" w:rsidRPr="002532DF" w:rsidRDefault="0072066A" w:rsidP="008B76BE">
            <w:pPr>
              <w:jc w:val="center"/>
              <w:rPr>
                <w:sz w:val="20"/>
                <w:szCs w:val="20"/>
              </w:rPr>
            </w:pPr>
            <w:r w:rsidRPr="002532DF">
              <w:rPr>
                <w:sz w:val="20"/>
                <w:szCs w:val="20"/>
              </w:rPr>
              <w:t>YES</w:t>
            </w:r>
          </w:p>
        </w:tc>
      </w:tr>
      <w:tr w:rsidR="00301558" w:rsidRPr="002532DF" w:rsidTr="008B76BE">
        <w:trPr>
          <w:trHeight w:val="260"/>
        </w:trPr>
        <w:tc>
          <w:tcPr>
            <w:tcW w:w="7200" w:type="dxa"/>
            <w:tcBorders>
              <w:top w:val="single" w:sz="4" w:space="0" w:color="auto"/>
              <w:left w:val="thinThickSmallGap" w:sz="24" w:space="0" w:color="auto"/>
            </w:tcBorders>
          </w:tcPr>
          <w:p w:rsidR="00301558" w:rsidRPr="002532DF" w:rsidRDefault="00301558" w:rsidP="00301558">
            <w:pPr>
              <w:rPr>
                <w:sz w:val="20"/>
                <w:szCs w:val="20"/>
              </w:rPr>
            </w:pPr>
            <w:r w:rsidRPr="002532DF">
              <w:rPr>
                <w:sz w:val="20"/>
                <w:szCs w:val="20"/>
              </w:rPr>
              <w:t>Should the Commission approve an intra-hour wind integration adjustment?</w:t>
            </w:r>
          </w:p>
        </w:tc>
        <w:tc>
          <w:tcPr>
            <w:tcW w:w="2700" w:type="dxa"/>
            <w:tcBorders>
              <w:top w:val="single" w:sz="4" w:space="0" w:color="auto"/>
              <w:right w:val="thickThinSmallGap" w:sz="24" w:space="0" w:color="auto"/>
            </w:tcBorders>
          </w:tcPr>
          <w:p w:rsidR="00301558" w:rsidRPr="002532DF" w:rsidRDefault="007A2D4E" w:rsidP="007A2D4E">
            <w:pPr>
              <w:jc w:val="center"/>
              <w:rPr>
                <w:sz w:val="20"/>
                <w:szCs w:val="20"/>
              </w:rPr>
            </w:pPr>
            <w:r w:rsidRPr="002532DF">
              <w:rPr>
                <w:sz w:val="20"/>
                <w:szCs w:val="20"/>
              </w:rPr>
              <w:t>YES</w:t>
            </w:r>
          </w:p>
        </w:tc>
      </w:tr>
      <w:tr w:rsidR="00301558" w:rsidRPr="002532DF" w:rsidTr="008B76BE">
        <w:tc>
          <w:tcPr>
            <w:tcW w:w="7200" w:type="dxa"/>
            <w:tcBorders>
              <w:top w:val="single" w:sz="4" w:space="0" w:color="auto"/>
              <w:left w:val="thinThickSmallGap" w:sz="24" w:space="0" w:color="auto"/>
            </w:tcBorders>
          </w:tcPr>
          <w:p w:rsidR="00301558" w:rsidRPr="002532DF" w:rsidRDefault="00301558" w:rsidP="00301558">
            <w:pPr>
              <w:rPr>
                <w:sz w:val="20"/>
                <w:szCs w:val="20"/>
              </w:rPr>
            </w:pPr>
            <w:r w:rsidRPr="002532DF">
              <w:rPr>
                <w:sz w:val="20"/>
                <w:szCs w:val="20"/>
              </w:rPr>
              <w:t>Should the Commission approve an adjustment to the Sacramento Municipal Utility District contract?</w:t>
            </w:r>
          </w:p>
        </w:tc>
        <w:tc>
          <w:tcPr>
            <w:tcW w:w="2700" w:type="dxa"/>
            <w:tcBorders>
              <w:top w:val="single" w:sz="4" w:space="0" w:color="auto"/>
              <w:right w:val="thickThinSmallGap" w:sz="24" w:space="0" w:color="auto"/>
            </w:tcBorders>
          </w:tcPr>
          <w:p w:rsidR="00301558" w:rsidRPr="002532DF" w:rsidRDefault="00301558" w:rsidP="008B76BE">
            <w:pPr>
              <w:jc w:val="center"/>
              <w:rPr>
                <w:sz w:val="20"/>
                <w:szCs w:val="20"/>
              </w:rPr>
            </w:pPr>
          </w:p>
          <w:p w:rsidR="00CD472E" w:rsidRPr="002532DF" w:rsidRDefault="00CD472E" w:rsidP="008B76BE">
            <w:pPr>
              <w:jc w:val="center"/>
              <w:rPr>
                <w:sz w:val="20"/>
                <w:szCs w:val="20"/>
              </w:rPr>
            </w:pPr>
            <w:r w:rsidRPr="002532DF">
              <w:rPr>
                <w:sz w:val="20"/>
                <w:szCs w:val="20"/>
              </w:rPr>
              <w:t>YES</w:t>
            </w:r>
          </w:p>
        </w:tc>
      </w:tr>
      <w:tr w:rsidR="00301558" w:rsidRPr="002532DF" w:rsidTr="008B76BE">
        <w:tc>
          <w:tcPr>
            <w:tcW w:w="7200" w:type="dxa"/>
            <w:tcBorders>
              <w:top w:val="single" w:sz="4" w:space="0" w:color="auto"/>
              <w:left w:val="thinThickSmallGap" w:sz="24" w:space="0" w:color="auto"/>
            </w:tcBorders>
          </w:tcPr>
          <w:p w:rsidR="00301558" w:rsidRPr="002532DF" w:rsidRDefault="00301558" w:rsidP="00301558">
            <w:pPr>
              <w:rPr>
                <w:sz w:val="20"/>
                <w:szCs w:val="20"/>
              </w:rPr>
            </w:pPr>
            <w:r w:rsidRPr="002532DF">
              <w:rPr>
                <w:sz w:val="20"/>
                <w:szCs w:val="20"/>
              </w:rPr>
              <w:t xml:space="preserve">Should the Commission approve an adjustment related to the Colstrip Unit 4 </w:t>
            </w:r>
            <w:r w:rsidR="0003192E" w:rsidRPr="002532DF">
              <w:rPr>
                <w:sz w:val="20"/>
                <w:szCs w:val="20"/>
              </w:rPr>
              <w:t xml:space="preserve">forced </w:t>
            </w:r>
            <w:r w:rsidRPr="002532DF">
              <w:rPr>
                <w:sz w:val="20"/>
                <w:szCs w:val="20"/>
              </w:rPr>
              <w:t>outage</w:t>
            </w:r>
            <w:r w:rsidR="0003192E" w:rsidRPr="002532DF">
              <w:rPr>
                <w:sz w:val="20"/>
                <w:szCs w:val="20"/>
              </w:rPr>
              <w:t xml:space="preserve"> rate</w:t>
            </w:r>
            <w:r w:rsidRPr="002532DF">
              <w:rPr>
                <w:sz w:val="20"/>
                <w:szCs w:val="20"/>
              </w:rPr>
              <w:t>?</w:t>
            </w:r>
          </w:p>
        </w:tc>
        <w:tc>
          <w:tcPr>
            <w:tcW w:w="2700" w:type="dxa"/>
            <w:tcBorders>
              <w:top w:val="single" w:sz="4" w:space="0" w:color="auto"/>
              <w:right w:val="thickThinSmallGap" w:sz="24" w:space="0" w:color="auto"/>
            </w:tcBorders>
          </w:tcPr>
          <w:p w:rsidR="00301558" w:rsidRPr="002532DF" w:rsidRDefault="00CD472E" w:rsidP="008B76BE">
            <w:pPr>
              <w:jc w:val="center"/>
              <w:rPr>
                <w:sz w:val="20"/>
                <w:szCs w:val="20"/>
              </w:rPr>
            </w:pPr>
            <w:r w:rsidRPr="002532DF">
              <w:rPr>
                <w:sz w:val="20"/>
                <w:szCs w:val="20"/>
              </w:rPr>
              <w:t>YES</w:t>
            </w:r>
          </w:p>
        </w:tc>
      </w:tr>
      <w:tr w:rsidR="00301558" w:rsidRPr="002532DF" w:rsidTr="008B76BE">
        <w:tc>
          <w:tcPr>
            <w:tcW w:w="7200" w:type="dxa"/>
            <w:tcBorders>
              <w:top w:val="single" w:sz="4" w:space="0" w:color="auto"/>
              <w:left w:val="thinThickSmallGap" w:sz="24" w:space="0" w:color="auto"/>
            </w:tcBorders>
          </w:tcPr>
          <w:p w:rsidR="00301558" w:rsidRPr="002532DF" w:rsidRDefault="00301558" w:rsidP="00301558">
            <w:pPr>
              <w:rPr>
                <w:sz w:val="20"/>
                <w:szCs w:val="20"/>
              </w:rPr>
            </w:pPr>
            <w:r w:rsidRPr="002532DF">
              <w:rPr>
                <w:sz w:val="20"/>
                <w:szCs w:val="20"/>
              </w:rPr>
              <w:t>Should the Commission approve an adjustment related to the Direct Current Intertie</w:t>
            </w:r>
            <w:r w:rsidR="001C0545" w:rsidRPr="002532DF">
              <w:rPr>
                <w:sz w:val="20"/>
                <w:szCs w:val="20"/>
              </w:rPr>
              <w:t xml:space="preserve"> contract</w:t>
            </w:r>
            <w:r w:rsidRPr="002532DF">
              <w:rPr>
                <w:sz w:val="20"/>
                <w:szCs w:val="20"/>
              </w:rPr>
              <w:t>?</w:t>
            </w:r>
          </w:p>
        </w:tc>
        <w:tc>
          <w:tcPr>
            <w:tcW w:w="2700" w:type="dxa"/>
            <w:tcBorders>
              <w:top w:val="single" w:sz="4" w:space="0" w:color="auto"/>
              <w:right w:val="thickThinSmallGap" w:sz="24" w:space="0" w:color="auto"/>
            </w:tcBorders>
          </w:tcPr>
          <w:p w:rsidR="00301558" w:rsidRPr="002532DF" w:rsidRDefault="00301558" w:rsidP="008B76BE">
            <w:pPr>
              <w:jc w:val="center"/>
              <w:rPr>
                <w:sz w:val="20"/>
                <w:szCs w:val="20"/>
              </w:rPr>
            </w:pPr>
          </w:p>
          <w:p w:rsidR="00CD472E" w:rsidRPr="002532DF" w:rsidRDefault="00CD472E" w:rsidP="008B76BE">
            <w:pPr>
              <w:jc w:val="center"/>
              <w:rPr>
                <w:sz w:val="20"/>
                <w:szCs w:val="20"/>
              </w:rPr>
            </w:pPr>
            <w:r w:rsidRPr="002532DF">
              <w:rPr>
                <w:sz w:val="20"/>
                <w:szCs w:val="20"/>
              </w:rPr>
              <w:t>YES</w:t>
            </w:r>
          </w:p>
          <w:p w:rsidR="00CD472E" w:rsidRPr="002532DF" w:rsidRDefault="00CD472E" w:rsidP="008B76BE">
            <w:pPr>
              <w:jc w:val="center"/>
              <w:rPr>
                <w:sz w:val="20"/>
                <w:szCs w:val="20"/>
              </w:rPr>
            </w:pPr>
          </w:p>
        </w:tc>
      </w:tr>
      <w:tr w:rsidR="00301558" w:rsidRPr="002532DF" w:rsidTr="008B76BE">
        <w:tc>
          <w:tcPr>
            <w:tcW w:w="7200" w:type="dxa"/>
            <w:tcBorders>
              <w:top w:val="single" w:sz="4" w:space="0" w:color="auto"/>
              <w:left w:val="thinThickSmallGap" w:sz="24" w:space="0" w:color="auto"/>
            </w:tcBorders>
          </w:tcPr>
          <w:p w:rsidR="001C0545" w:rsidRPr="002532DF" w:rsidRDefault="001C0545" w:rsidP="001C0545">
            <w:pPr>
              <w:rPr>
                <w:sz w:val="20"/>
                <w:szCs w:val="20"/>
              </w:rPr>
            </w:pPr>
            <w:r w:rsidRPr="002532DF">
              <w:rPr>
                <w:sz w:val="20"/>
                <w:szCs w:val="20"/>
              </w:rPr>
              <w:t>Should the Commission approve an adjustment to the Idaho Point-To-Point Transmission Contract?</w:t>
            </w:r>
          </w:p>
        </w:tc>
        <w:tc>
          <w:tcPr>
            <w:tcW w:w="2700" w:type="dxa"/>
            <w:tcBorders>
              <w:top w:val="single" w:sz="4" w:space="0" w:color="auto"/>
              <w:right w:val="thickThinSmallGap" w:sz="24" w:space="0" w:color="auto"/>
            </w:tcBorders>
          </w:tcPr>
          <w:p w:rsidR="00301558" w:rsidRPr="002532DF" w:rsidRDefault="00CD472E" w:rsidP="008B76BE">
            <w:pPr>
              <w:jc w:val="center"/>
              <w:rPr>
                <w:sz w:val="20"/>
                <w:szCs w:val="20"/>
              </w:rPr>
            </w:pPr>
            <w:r w:rsidRPr="002532DF">
              <w:rPr>
                <w:sz w:val="20"/>
                <w:szCs w:val="20"/>
              </w:rPr>
              <w:t>YES</w:t>
            </w:r>
          </w:p>
        </w:tc>
      </w:tr>
      <w:tr w:rsidR="001C0545" w:rsidRPr="002532DF" w:rsidTr="008B76BE">
        <w:tc>
          <w:tcPr>
            <w:tcW w:w="7200" w:type="dxa"/>
            <w:tcBorders>
              <w:top w:val="single" w:sz="4" w:space="0" w:color="auto"/>
              <w:left w:val="thinThickSmallGap" w:sz="24" w:space="0" w:color="auto"/>
            </w:tcBorders>
          </w:tcPr>
          <w:p w:rsidR="001C0545" w:rsidRPr="002532DF" w:rsidRDefault="001C0545" w:rsidP="001C0545">
            <w:pPr>
              <w:rPr>
                <w:sz w:val="20"/>
                <w:szCs w:val="20"/>
              </w:rPr>
            </w:pPr>
            <w:r w:rsidRPr="002532DF">
              <w:rPr>
                <w:sz w:val="20"/>
                <w:szCs w:val="20"/>
              </w:rPr>
              <w:t>Should the Commission approve ICNU’s logic screen modification?</w:t>
            </w:r>
          </w:p>
        </w:tc>
        <w:tc>
          <w:tcPr>
            <w:tcW w:w="2700" w:type="dxa"/>
            <w:tcBorders>
              <w:top w:val="single" w:sz="4" w:space="0" w:color="auto"/>
              <w:right w:val="thickThinSmallGap" w:sz="24" w:space="0" w:color="auto"/>
            </w:tcBorders>
          </w:tcPr>
          <w:p w:rsidR="001C0545" w:rsidRPr="002532DF" w:rsidRDefault="007A2D4E" w:rsidP="007A2D4E">
            <w:pPr>
              <w:jc w:val="center"/>
              <w:rPr>
                <w:sz w:val="20"/>
                <w:szCs w:val="20"/>
              </w:rPr>
            </w:pPr>
            <w:r w:rsidRPr="002532DF">
              <w:rPr>
                <w:sz w:val="20"/>
                <w:szCs w:val="20"/>
              </w:rPr>
              <w:t>YES</w:t>
            </w:r>
          </w:p>
        </w:tc>
      </w:tr>
      <w:tr w:rsidR="001C0545" w:rsidRPr="002532DF" w:rsidTr="008B76BE">
        <w:tc>
          <w:tcPr>
            <w:tcW w:w="7200" w:type="dxa"/>
            <w:tcBorders>
              <w:top w:val="single" w:sz="4" w:space="0" w:color="auto"/>
              <w:left w:val="thinThickSmallGap" w:sz="24" w:space="0" w:color="auto"/>
            </w:tcBorders>
          </w:tcPr>
          <w:p w:rsidR="001C0545" w:rsidRPr="002532DF" w:rsidRDefault="001C0545" w:rsidP="001C0545">
            <w:pPr>
              <w:rPr>
                <w:sz w:val="20"/>
                <w:szCs w:val="20"/>
              </w:rPr>
            </w:pPr>
            <w:r w:rsidRPr="002532DF">
              <w:rPr>
                <w:sz w:val="20"/>
                <w:szCs w:val="20"/>
              </w:rPr>
              <w:t>Should the Commission approve ICNU’s eastern market sale adjustments?</w:t>
            </w:r>
          </w:p>
        </w:tc>
        <w:tc>
          <w:tcPr>
            <w:tcW w:w="2700" w:type="dxa"/>
            <w:tcBorders>
              <w:top w:val="single" w:sz="4" w:space="0" w:color="auto"/>
              <w:right w:val="thickThinSmallGap" w:sz="24" w:space="0" w:color="auto"/>
            </w:tcBorders>
          </w:tcPr>
          <w:p w:rsidR="001C0545" w:rsidRPr="002532DF" w:rsidRDefault="00CD472E" w:rsidP="008B76BE">
            <w:pPr>
              <w:jc w:val="center"/>
              <w:rPr>
                <w:sz w:val="20"/>
                <w:szCs w:val="20"/>
              </w:rPr>
            </w:pPr>
            <w:r w:rsidRPr="002532DF">
              <w:rPr>
                <w:sz w:val="20"/>
                <w:szCs w:val="20"/>
              </w:rPr>
              <w:t>NO</w:t>
            </w:r>
          </w:p>
        </w:tc>
      </w:tr>
      <w:tr w:rsidR="002A61CC" w:rsidRPr="002532DF" w:rsidTr="008B76BE">
        <w:tc>
          <w:tcPr>
            <w:tcW w:w="7200" w:type="dxa"/>
            <w:tcBorders>
              <w:top w:val="single" w:sz="4" w:space="0" w:color="auto"/>
              <w:left w:val="thinThickSmallGap" w:sz="24" w:space="0" w:color="auto"/>
            </w:tcBorders>
          </w:tcPr>
          <w:p w:rsidR="002A61CC" w:rsidRPr="002532DF" w:rsidRDefault="002A61CC" w:rsidP="001C0545">
            <w:pPr>
              <w:rPr>
                <w:sz w:val="20"/>
                <w:szCs w:val="20"/>
              </w:rPr>
            </w:pPr>
            <w:r w:rsidRPr="002532DF">
              <w:rPr>
                <w:sz w:val="20"/>
                <w:szCs w:val="20"/>
              </w:rPr>
              <w:t>Should the Commission approve ICNU’s non-firm transmission adjustment?</w:t>
            </w:r>
          </w:p>
        </w:tc>
        <w:tc>
          <w:tcPr>
            <w:tcW w:w="2700" w:type="dxa"/>
            <w:tcBorders>
              <w:top w:val="single" w:sz="4" w:space="0" w:color="auto"/>
              <w:right w:val="thickThinSmallGap" w:sz="24" w:space="0" w:color="auto"/>
            </w:tcBorders>
          </w:tcPr>
          <w:p w:rsidR="002A61CC" w:rsidRPr="002532DF" w:rsidRDefault="00CD472E" w:rsidP="008B76BE">
            <w:pPr>
              <w:jc w:val="center"/>
              <w:rPr>
                <w:sz w:val="20"/>
                <w:szCs w:val="20"/>
              </w:rPr>
            </w:pPr>
            <w:r w:rsidRPr="002532DF">
              <w:rPr>
                <w:sz w:val="20"/>
                <w:szCs w:val="20"/>
              </w:rPr>
              <w:t>NO</w:t>
            </w:r>
          </w:p>
        </w:tc>
      </w:tr>
      <w:tr w:rsidR="002A61CC" w:rsidRPr="002532DF" w:rsidTr="008B76BE">
        <w:tc>
          <w:tcPr>
            <w:tcW w:w="7200" w:type="dxa"/>
            <w:tcBorders>
              <w:top w:val="single" w:sz="4" w:space="0" w:color="auto"/>
              <w:left w:val="thinThickSmallGap" w:sz="24" w:space="0" w:color="auto"/>
            </w:tcBorders>
          </w:tcPr>
          <w:p w:rsidR="002A61CC" w:rsidRPr="002532DF" w:rsidRDefault="002A61CC" w:rsidP="001C0545">
            <w:pPr>
              <w:rPr>
                <w:sz w:val="20"/>
                <w:szCs w:val="20"/>
              </w:rPr>
            </w:pPr>
            <w:r w:rsidRPr="002532DF">
              <w:rPr>
                <w:sz w:val="20"/>
                <w:szCs w:val="20"/>
              </w:rPr>
              <w:t>Should the Commission approve ICNU’s modified planned outage schedule</w:t>
            </w:r>
            <w:r w:rsidR="0003192E" w:rsidRPr="002532DF">
              <w:rPr>
                <w:sz w:val="20"/>
                <w:szCs w:val="20"/>
              </w:rPr>
              <w:t xml:space="preserve"> for the Hermiston generating plant</w:t>
            </w:r>
            <w:r w:rsidRPr="002532DF">
              <w:rPr>
                <w:sz w:val="20"/>
                <w:szCs w:val="20"/>
              </w:rPr>
              <w:t>?</w:t>
            </w:r>
          </w:p>
        </w:tc>
        <w:tc>
          <w:tcPr>
            <w:tcW w:w="2700" w:type="dxa"/>
            <w:tcBorders>
              <w:top w:val="single" w:sz="4" w:space="0" w:color="auto"/>
              <w:right w:val="thickThinSmallGap" w:sz="24" w:space="0" w:color="auto"/>
            </w:tcBorders>
          </w:tcPr>
          <w:p w:rsidR="002A61CC" w:rsidRPr="002532DF" w:rsidRDefault="00CD472E" w:rsidP="008B76BE">
            <w:pPr>
              <w:jc w:val="center"/>
              <w:rPr>
                <w:sz w:val="20"/>
                <w:szCs w:val="20"/>
              </w:rPr>
            </w:pPr>
            <w:r w:rsidRPr="002532DF">
              <w:rPr>
                <w:sz w:val="20"/>
                <w:szCs w:val="20"/>
              </w:rPr>
              <w:t>NO</w:t>
            </w:r>
          </w:p>
        </w:tc>
      </w:tr>
      <w:tr w:rsidR="002A61CC" w:rsidRPr="002532DF" w:rsidTr="008B76BE">
        <w:tc>
          <w:tcPr>
            <w:tcW w:w="7200" w:type="dxa"/>
            <w:tcBorders>
              <w:top w:val="single" w:sz="4" w:space="0" w:color="auto"/>
              <w:left w:val="thinThickSmallGap" w:sz="24" w:space="0" w:color="auto"/>
            </w:tcBorders>
          </w:tcPr>
          <w:p w:rsidR="002A61CC" w:rsidRPr="002532DF" w:rsidRDefault="002A61CC" w:rsidP="001C0545">
            <w:pPr>
              <w:rPr>
                <w:sz w:val="20"/>
                <w:szCs w:val="20"/>
              </w:rPr>
            </w:pPr>
            <w:r w:rsidRPr="002532DF">
              <w:rPr>
                <w:sz w:val="20"/>
                <w:szCs w:val="20"/>
              </w:rPr>
              <w:t>Should the Commission approve ICNU’s Jim Bridger Fuel adjustment?</w:t>
            </w:r>
          </w:p>
        </w:tc>
        <w:tc>
          <w:tcPr>
            <w:tcW w:w="2700" w:type="dxa"/>
            <w:tcBorders>
              <w:top w:val="single" w:sz="4" w:space="0" w:color="auto"/>
              <w:right w:val="thickThinSmallGap" w:sz="24" w:space="0" w:color="auto"/>
            </w:tcBorders>
          </w:tcPr>
          <w:p w:rsidR="002A61CC" w:rsidRPr="002532DF" w:rsidRDefault="00CD472E" w:rsidP="008B76BE">
            <w:pPr>
              <w:jc w:val="center"/>
              <w:rPr>
                <w:sz w:val="20"/>
                <w:szCs w:val="20"/>
              </w:rPr>
            </w:pPr>
            <w:r w:rsidRPr="002532DF">
              <w:rPr>
                <w:sz w:val="20"/>
                <w:szCs w:val="20"/>
              </w:rPr>
              <w:t>NO</w:t>
            </w:r>
          </w:p>
        </w:tc>
      </w:tr>
      <w:tr w:rsidR="002A61CC" w:rsidRPr="002532DF" w:rsidTr="008B76BE">
        <w:tc>
          <w:tcPr>
            <w:tcW w:w="7200" w:type="dxa"/>
            <w:tcBorders>
              <w:top w:val="single" w:sz="4" w:space="0" w:color="auto"/>
              <w:left w:val="thinThickSmallGap" w:sz="24" w:space="0" w:color="auto"/>
            </w:tcBorders>
          </w:tcPr>
          <w:p w:rsidR="002A61CC" w:rsidRPr="002532DF" w:rsidRDefault="002A61CC" w:rsidP="0003192E">
            <w:pPr>
              <w:rPr>
                <w:sz w:val="20"/>
                <w:szCs w:val="20"/>
              </w:rPr>
            </w:pPr>
            <w:r w:rsidRPr="002532DF">
              <w:rPr>
                <w:sz w:val="20"/>
                <w:szCs w:val="20"/>
              </w:rPr>
              <w:t>Should the Commission approve ICNU’s minimum loading and d</w:t>
            </w:r>
            <w:r w:rsidR="0003192E" w:rsidRPr="002532DF">
              <w:rPr>
                <w:sz w:val="20"/>
                <w:szCs w:val="20"/>
              </w:rPr>
              <w:t>e</w:t>
            </w:r>
            <w:r w:rsidRPr="002532DF">
              <w:rPr>
                <w:sz w:val="20"/>
                <w:szCs w:val="20"/>
              </w:rPr>
              <w:t>ration adjustment?</w:t>
            </w:r>
          </w:p>
        </w:tc>
        <w:tc>
          <w:tcPr>
            <w:tcW w:w="2700" w:type="dxa"/>
            <w:tcBorders>
              <w:top w:val="single" w:sz="4" w:space="0" w:color="auto"/>
              <w:right w:val="thickThinSmallGap" w:sz="24" w:space="0" w:color="auto"/>
            </w:tcBorders>
          </w:tcPr>
          <w:p w:rsidR="002A61CC" w:rsidRPr="002532DF" w:rsidRDefault="0003192E" w:rsidP="0003192E">
            <w:pPr>
              <w:jc w:val="center"/>
              <w:rPr>
                <w:sz w:val="20"/>
                <w:szCs w:val="20"/>
              </w:rPr>
            </w:pPr>
            <w:r w:rsidRPr="002532DF">
              <w:rPr>
                <w:sz w:val="20"/>
                <w:szCs w:val="20"/>
              </w:rPr>
              <w:t>YES</w:t>
            </w:r>
          </w:p>
        </w:tc>
      </w:tr>
      <w:tr w:rsidR="002A67D6" w:rsidRPr="002532DF" w:rsidTr="008B76BE">
        <w:tc>
          <w:tcPr>
            <w:tcW w:w="7200" w:type="dxa"/>
            <w:tcBorders>
              <w:top w:val="thinThickSmallGap" w:sz="24" w:space="0" w:color="auto"/>
              <w:left w:val="thinThickSmallGap" w:sz="24" w:space="0" w:color="auto"/>
            </w:tcBorders>
          </w:tcPr>
          <w:p w:rsidR="002A67D6" w:rsidRPr="002532DF" w:rsidRDefault="002A61CC" w:rsidP="002A61CC">
            <w:pPr>
              <w:rPr>
                <w:sz w:val="20"/>
                <w:szCs w:val="20"/>
              </w:rPr>
            </w:pPr>
            <w:r w:rsidRPr="002532DF">
              <w:rPr>
                <w:b/>
                <w:sz w:val="20"/>
                <w:szCs w:val="20"/>
              </w:rPr>
              <w:t>TAX ADJUSTMENTS</w:t>
            </w:r>
          </w:p>
        </w:tc>
        <w:tc>
          <w:tcPr>
            <w:tcW w:w="2700" w:type="dxa"/>
            <w:tcBorders>
              <w:top w:val="thinThickSmallGap" w:sz="24" w:space="0" w:color="auto"/>
              <w:right w:val="thickThinSmallGap" w:sz="24" w:space="0" w:color="auto"/>
            </w:tcBorders>
          </w:tcPr>
          <w:p w:rsidR="002A67D6" w:rsidRPr="002532DF" w:rsidRDefault="002A67D6" w:rsidP="00990877">
            <w:pPr>
              <w:rPr>
                <w:b/>
                <w:sz w:val="20"/>
                <w:szCs w:val="20"/>
              </w:rPr>
            </w:pPr>
            <w:r w:rsidRPr="002532DF">
              <w:rPr>
                <w:b/>
                <w:sz w:val="20"/>
                <w:szCs w:val="20"/>
              </w:rPr>
              <w:t>Commission Determination</w:t>
            </w:r>
          </w:p>
        </w:tc>
      </w:tr>
      <w:tr w:rsidR="007B5248" w:rsidRPr="002532DF" w:rsidTr="008B76BE">
        <w:tc>
          <w:tcPr>
            <w:tcW w:w="7200" w:type="dxa"/>
            <w:tcBorders>
              <w:left w:val="thinThickSmallGap" w:sz="24" w:space="0" w:color="auto"/>
            </w:tcBorders>
            <w:vAlign w:val="bottom"/>
          </w:tcPr>
          <w:p w:rsidR="007B5248" w:rsidRPr="002532DF" w:rsidRDefault="007B5248" w:rsidP="00285423">
            <w:pPr>
              <w:rPr>
                <w:sz w:val="20"/>
                <w:szCs w:val="20"/>
              </w:rPr>
            </w:pPr>
            <w:r w:rsidRPr="002532DF">
              <w:rPr>
                <w:sz w:val="20"/>
                <w:szCs w:val="20"/>
              </w:rPr>
              <w:t xml:space="preserve">Should the Commission </w:t>
            </w:r>
            <w:r w:rsidR="00285423" w:rsidRPr="002532DF">
              <w:rPr>
                <w:sz w:val="20"/>
                <w:szCs w:val="20"/>
              </w:rPr>
              <w:t>Staff’s modification to the Company</w:t>
            </w:r>
            <w:r w:rsidR="002A61CC" w:rsidRPr="002532DF">
              <w:rPr>
                <w:sz w:val="20"/>
                <w:szCs w:val="20"/>
              </w:rPr>
              <w:t xml:space="preserve">’s </w:t>
            </w:r>
            <w:r w:rsidR="00285423" w:rsidRPr="002532DF">
              <w:rPr>
                <w:sz w:val="20"/>
                <w:szCs w:val="20"/>
              </w:rPr>
              <w:t xml:space="preserve">proposed </w:t>
            </w:r>
            <w:r w:rsidR="002A61CC" w:rsidRPr="002532DF">
              <w:rPr>
                <w:sz w:val="20"/>
                <w:szCs w:val="20"/>
              </w:rPr>
              <w:t>“repairs deduction” method of accounting</w:t>
            </w:r>
            <w:r w:rsidRPr="002532DF">
              <w:rPr>
                <w:sz w:val="20"/>
                <w:szCs w:val="20"/>
              </w:rPr>
              <w:t>?</w:t>
            </w:r>
            <w:r w:rsidR="00AC4233" w:rsidRPr="002532DF">
              <w:rPr>
                <w:sz w:val="20"/>
                <w:szCs w:val="20"/>
              </w:rPr>
              <w:t xml:space="preserve"> </w:t>
            </w:r>
          </w:p>
        </w:tc>
        <w:tc>
          <w:tcPr>
            <w:tcW w:w="2700" w:type="dxa"/>
            <w:tcBorders>
              <w:right w:val="thickThinSmallGap" w:sz="24" w:space="0" w:color="auto"/>
            </w:tcBorders>
          </w:tcPr>
          <w:p w:rsidR="007B5248" w:rsidRPr="002532DF" w:rsidRDefault="007B5248" w:rsidP="008B76BE">
            <w:pPr>
              <w:jc w:val="center"/>
              <w:rPr>
                <w:sz w:val="20"/>
                <w:szCs w:val="20"/>
              </w:rPr>
            </w:pPr>
          </w:p>
          <w:p w:rsidR="007B5248" w:rsidRPr="002532DF" w:rsidRDefault="00CD472E" w:rsidP="008B76BE">
            <w:pPr>
              <w:jc w:val="center"/>
              <w:rPr>
                <w:sz w:val="20"/>
                <w:szCs w:val="20"/>
              </w:rPr>
            </w:pPr>
            <w:r w:rsidRPr="002532DF">
              <w:rPr>
                <w:sz w:val="20"/>
                <w:szCs w:val="20"/>
              </w:rPr>
              <w:t>YES</w:t>
            </w:r>
          </w:p>
        </w:tc>
      </w:tr>
      <w:tr w:rsidR="007B5248" w:rsidRPr="002532DF" w:rsidTr="008B76BE">
        <w:tc>
          <w:tcPr>
            <w:tcW w:w="7200" w:type="dxa"/>
            <w:tcBorders>
              <w:left w:val="thinThickSmallGap" w:sz="24" w:space="0" w:color="auto"/>
            </w:tcBorders>
            <w:shd w:val="clear" w:color="auto" w:fill="auto"/>
            <w:vAlign w:val="bottom"/>
          </w:tcPr>
          <w:p w:rsidR="007B5248" w:rsidRPr="002532DF" w:rsidRDefault="007B5248" w:rsidP="002A61CC">
            <w:pPr>
              <w:rPr>
                <w:sz w:val="20"/>
                <w:szCs w:val="20"/>
              </w:rPr>
            </w:pPr>
            <w:r w:rsidRPr="002532DF">
              <w:rPr>
                <w:sz w:val="20"/>
                <w:szCs w:val="20"/>
              </w:rPr>
              <w:t xml:space="preserve">Should the Commission </w:t>
            </w:r>
            <w:r w:rsidR="002A61CC" w:rsidRPr="002532DF">
              <w:rPr>
                <w:sz w:val="20"/>
                <w:szCs w:val="20"/>
              </w:rPr>
              <w:t>approve PacifiCorp’s current year deferred tax normalization adjustment?</w:t>
            </w:r>
          </w:p>
        </w:tc>
        <w:tc>
          <w:tcPr>
            <w:tcW w:w="2700" w:type="dxa"/>
            <w:tcBorders>
              <w:right w:val="thickThinSmallGap" w:sz="24" w:space="0" w:color="auto"/>
            </w:tcBorders>
          </w:tcPr>
          <w:p w:rsidR="007B5248" w:rsidRPr="002532DF" w:rsidRDefault="007B5248" w:rsidP="008B76BE">
            <w:pPr>
              <w:jc w:val="center"/>
              <w:rPr>
                <w:sz w:val="20"/>
                <w:szCs w:val="20"/>
              </w:rPr>
            </w:pPr>
          </w:p>
          <w:p w:rsidR="007B5248" w:rsidRPr="002532DF" w:rsidRDefault="00CD472E" w:rsidP="008B76BE">
            <w:pPr>
              <w:jc w:val="center"/>
              <w:rPr>
                <w:sz w:val="20"/>
                <w:szCs w:val="20"/>
              </w:rPr>
            </w:pPr>
            <w:r w:rsidRPr="002532DF">
              <w:rPr>
                <w:sz w:val="20"/>
                <w:szCs w:val="20"/>
              </w:rPr>
              <w:t>NO</w:t>
            </w:r>
          </w:p>
        </w:tc>
      </w:tr>
      <w:tr w:rsidR="007B5248" w:rsidRPr="002532DF" w:rsidTr="008B76BE">
        <w:tc>
          <w:tcPr>
            <w:tcW w:w="7200" w:type="dxa"/>
            <w:tcBorders>
              <w:left w:val="thinThickSmallGap" w:sz="24" w:space="0" w:color="auto"/>
            </w:tcBorders>
            <w:shd w:val="clear" w:color="auto" w:fill="auto"/>
            <w:vAlign w:val="bottom"/>
          </w:tcPr>
          <w:p w:rsidR="007B5248" w:rsidRPr="002532DF" w:rsidRDefault="007B5248" w:rsidP="002A61CC">
            <w:pPr>
              <w:rPr>
                <w:sz w:val="20"/>
                <w:szCs w:val="20"/>
              </w:rPr>
            </w:pPr>
            <w:r w:rsidRPr="002532DF">
              <w:rPr>
                <w:sz w:val="20"/>
                <w:szCs w:val="20"/>
              </w:rPr>
              <w:t xml:space="preserve">Should the Commission </w:t>
            </w:r>
            <w:r w:rsidR="002A61CC" w:rsidRPr="002532DF">
              <w:rPr>
                <w:sz w:val="20"/>
                <w:szCs w:val="20"/>
              </w:rPr>
              <w:t>approve the Company’s request to establish an interest reserve account?</w:t>
            </w:r>
            <w:r w:rsidRPr="002532DF">
              <w:rPr>
                <w:sz w:val="20"/>
                <w:szCs w:val="20"/>
              </w:rPr>
              <w:t xml:space="preserve">  </w:t>
            </w:r>
          </w:p>
        </w:tc>
        <w:tc>
          <w:tcPr>
            <w:tcW w:w="2700" w:type="dxa"/>
            <w:tcBorders>
              <w:right w:val="thickThinSmallGap" w:sz="24" w:space="0" w:color="auto"/>
            </w:tcBorders>
          </w:tcPr>
          <w:p w:rsidR="007B5248" w:rsidRPr="002532DF" w:rsidRDefault="007B5248" w:rsidP="008B76BE">
            <w:pPr>
              <w:jc w:val="center"/>
              <w:rPr>
                <w:sz w:val="20"/>
                <w:szCs w:val="20"/>
              </w:rPr>
            </w:pPr>
          </w:p>
          <w:p w:rsidR="007B5248" w:rsidRPr="002532DF" w:rsidRDefault="00CD472E" w:rsidP="008B76BE">
            <w:pPr>
              <w:jc w:val="center"/>
              <w:rPr>
                <w:sz w:val="20"/>
                <w:szCs w:val="20"/>
              </w:rPr>
            </w:pPr>
            <w:r w:rsidRPr="002532DF">
              <w:rPr>
                <w:sz w:val="20"/>
                <w:szCs w:val="20"/>
              </w:rPr>
              <w:t>NO</w:t>
            </w:r>
          </w:p>
        </w:tc>
      </w:tr>
      <w:tr w:rsidR="00317C18" w:rsidRPr="002532DF" w:rsidTr="008B76BE">
        <w:tc>
          <w:tcPr>
            <w:tcW w:w="7200" w:type="dxa"/>
            <w:tcBorders>
              <w:top w:val="thinThickSmallGap" w:sz="24" w:space="0" w:color="auto"/>
              <w:left w:val="thinThickSmallGap" w:sz="24" w:space="0" w:color="auto"/>
            </w:tcBorders>
            <w:shd w:val="clear" w:color="auto" w:fill="auto"/>
          </w:tcPr>
          <w:p w:rsidR="00317C18" w:rsidRPr="002532DF" w:rsidRDefault="00317C18" w:rsidP="00712347">
            <w:pPr>
              <w:rPr>
                <w:sz w:val="20"/>
                <w:szCs w:val="20"/>
              </w:rPr>
            </w:pPr>
            <w:r w:rsidRPr="002532DF">
              <w:rPr>
                <w:b/>
                <w:sz w:val="20"/>
                <w:szCs w:val="20"/>
              </w:rPr>
              <w:t>R</w:t>
            </w:r>
            <w:r w:rsidR="00712347" w:rsidRPr="002532DF">
              <w:rPr>
                <w:b/>
                <w:sz w:val="20"/>
                <w:szCs w:val="20"/>
              </w:rPr>
              <w:t>ATE BASE ADJUSTMENTS</w:t>
            </w:r>
          </w:p>
        </w:tc>
        <w:tc>
          <w:tcPr>
            <w:tcW w:w="2700" w:type="dxa"/>
            <w:tcBorders>
              <w:top w:val="thinThickSmallGap" w:sz="24" w:space="0" w:color="auto"/>
              <w:right w:val="thickThinSmallGap" w:sz="24" w:space="0" w:color="auto"/>
            </w:tcBorders>
            <w:shd w:val="clear" w:color="auto" w:fill="auto"/>
          </w:tcPr>
          <w:p w:rsidR="00317C18" w:rsidRPr="002532DF" w:rsidRDefault="00195892" w:rsidP="00990877">
            <w:pPr>
              <w:rPr>
                <w:sz w:val="20"/>
                <w:szCs w:val="20"/>
              </w:rPr>
            </w:pPr>
            <w:r w:rsidRPr="002532DF">
              <w:rPr>
                <w:b/>
                <w:sz w:val="20"/>
                <w:szCs w:val="20"/>
              </w:rPr>
              <w:t>Commission Determination</w:t>
            </w:r>
          </w:p>
        </w:tc>
      </w:tr>
      <w:tr w:rsidR="007B5248" w:rsidRPr="002532DF" w:rsidTr="008B76BE">
        <w:tc>
          <w:tcPr>
            <w:tcW w:w="7200" w:type="dxa"/>
            <w:tcBorders>
              <w:left w:val="thinThickSmallGap" w:sz="24" w:space="0" w:color="auto"/>
            </w:tcBorders>
            <w:shd w:val="clear" w:color="auto" w:fill="auto"/>
          </w:tcPr>
          <w:p w:rsidR="007B5248" w:rsidRPr="002532DF" w:rsidRDefault="007B5248" w:rsidP="005020F5">
            <w:pPr>
              <w:rPr>
                <w:sz w:val="20"/>
                <w:szCs w:val="20"/>
              </w:rPr>
            </w:pPr>
            <w:r w:rsidRPr="002532DF">
              <w:rPr>
                <w:sz w:val="20"/>
                <w:szCs w:val="20"/>
              </w:rPr>
              <w:t xml:space="preserve">Should the Commission </w:t>
            </w:r>
            <w:r w:rsidR="005020F5" w:rsidRPr="002532DF">
              <w:rPr>
                <w:sz w:val="20"/>
                <w:szCs w:val="20"/>
              </w:rPr>
              <w:t xml:space="preserve">accept </w:t>
            </w:r>
            <w:r w:rsidR="00E90DE1" w:rsidRPr="002532DF">
              <w:rPr>
                <w:sz w:val="20"/>
                <w:szCs w:val="20"/>
              </w:rPr>
              <w:t>Staff’s Jim Bridger Mine Operations &amp; Maintenance adjustment</w:t>
            </w:r>
            <w:r w:rsidRPr="002532DF">
              <w:rPr>
                <w:sz w:val="20"/>
                <w:szCs w:val="20"/>
              </w:rPr>
              <w:t>?</w:t>
            </w:r>
          </w:p>
        </w:tc>
        <w:tc>
          <w:tcPr>
            <w:tcW w:w="2700" w:type="dxa"/>
            <w:tcBorders>
              <w:right w:val="thickThinSmallGap" w:sz="24" w:space="0" w:color="auto"/>
            </w:tcBorders>
          </w:tcPr>
          <w:p w:rsidR="007B5248" w:rsidRPr="002532DF" w:rsidRDefault="007B5248" w:rsidP="00CD472E">
            <w:pPr>
              <w:rPr>
                <w:sz w:val="20"/>
                <w:szCs w:val="20"/>
              </w:rPr>
            </w:pPr>
          </w:p>
          <w:p w:rsidR="00CD472E" w:rsidRPr="002532DF" w:rsidRDefault="00CD472E" w:rsidP="00CD472E">
            <w:pPr>
              <w:jc w:val="center"/>
              <w:rPr>
                <w:sz w:val="20"/>
                <w:szCs w:val="20"/>
              </w:rPr>
            </w:pPr>
            <w:r w:rsidRPr="002532DF">
              <w:rPr>
                <w:sz w:val="20"/>
                <w:szCs w:val="20"/>
              </w:rPr>
              <w:t>YES</w:t>
            </w:r>
          </w:p>
        </w:tc>
      </w:tr>
      <w:tr w:rsidR="007B5248" w:rsidRPr="002532DF" w:rsidTr="008B76BE">
        <w:tc>
          <w:tcPr>
            <w:tcW w:w="7200" w:type="dxa"/>
            <w:tcBorders>
              <w:left w:val="thinThickSmallGap" w:sz="24" w:space="0" w:color="auto"/>
            </w:tcBorders>
          </w:tcPr>
          <w:p w:rsidR="007B5248" w:rsidRPr="002532DF" w:rsidRDefault="0026076D" w:rsidP="00E90DE1">
            <w:pPr>
              <w:rPr>
                <w:sz w:val="20"/>
                <w:szCs w:val="20"/>
              </w:rPr>
            </w:pPr>
            <w:r w:rsidRPr="002532DF">
              <w:rPr>
                <w:sz w:val="20"/>
                <w:szCs w:val="20"/>
              </w:rPr>
              <w:t xml:space="preserve">Should the Commission accept </w:t>
            </w:r>
            <w:r w:rsidR="007B5248" w:rsidRPr="002532DF">
              <w:rPr>
                <w:sz w:val="20"/>
                <w:szCs w:val="20"/>
              </w:rPr>
              <w:t xml:space="preserve">Staff’s </w:t>
            </w:r>
            <w:r w:rsidR="00E90DE1" w:rsidRPr="002532DF">
              <w:rPr>
                <w:sz w:val="20"/>
                <w:szCs w:val="20"/>
              </w:rPr>
              <w:t>“current assets” adjustment</w:t>
            </w:r>
            <w:r w:rsidR="007B5248" w:rsidRPr="002532DF">
              <w:rPr>
                <w:sz w:val="20"/>
                <w:szCs w:val="20"/>
              </w:rPr>
              <w:t>?</w:t>
            </w:r>
          </w:p>
        </w:tc>
        <w:tc>
          <w:tcPr>
            <w:tcW w:w="2700" w:type="dxa"/>
            <w:tcBorders>
              <w:right w:val="thickThinSmallGap" w:sz="24" w:space="0" w:color="auto"/>
            </w:tcBorders>
          </w:tcPr>
          <w:p w:rsidR="007B5248" w:rsidRPr="002532DF" w:rsidRDefault="00CD472E" w:rsidP="008B76BE">
            <w:pPr>
              <w:jc w:val="center"/>
              <w:rPr>
                <w:sz w:val="20"/>
                <w:szCs w:val="20"/>
              </w:rPr>
            </w:pPr>
            <w:r w:rsidRPr="002532DF">
              <w:rPr>
                <w:sz w:val="20"/>
                <w:szCs w:val="20"/>
              </w:rPr>
              <w:t>YES</w:t>
            </w:r>
          </w:p>
        </w:tc>
      </w:tr>
      <w:tr w:rsidR="007B5248" w:rsidRPr="002532DF" w:rsidTr="008B76BE">
        <w:tc>
          <w:tcPr>
            <w:tcW w:w="7200" w:type="dxa"/>
            <w:tcBorders>
              <w:left w:val="thinThickSmallGap" w:sz="24" w:space="0" w:color="auto"/>
            </w:tcBorders>
          </w:tcPr>
          <w:p w:rsidR="007B5248" w:rsidRPr="002532DF" w:rsidRDefault="007B5248" w:rsidP="0026076D">
            <w:pPr>
              <w:rPr>
                <w:sz w:val="20"/>
                <w:szCs w:val="20"/>
              </w:rPr>
            </w:pPr>
            <w:r w:rsidRPr="002532DF">
              <w:rPr>
                <w:sz w:val="20"/>
                <w:szCs w:val="20"/>
              </w:rPr>
              <w:t xml:space="preserve">Should the Commission accept </w:t>
            </w:r>
            <w:r w:rsidR="004404DF" w:rsidRPr="002532DF">
              <w:rPr>
                <w:sz w:val="20"/>
                <w:szCs w:val="20"/>
              </w:rPr>
              <w:t xml:space="preserve">Staff’s </w:t>
            </w:r>
            <w:r w:rsidRPr="002532DF">
              <w:rPr>
                <w:sz w:val="20"/>
                <w:szCs w:val="20"/>
              </w:rPr>
              <w:t>calculation of working capital?</w:t>
            </w:r>
          </w:p>
        </w:tc>
        <w:tc>
          <w:tcPr>
            <w:tcW w:w="2700" w:type="dxa"/>
            <w:tcBorders>
              <w:right w:val="thickThinSmallGap" w:sz="24" w:space="0" w:color="auto"/>
            </w:tcBorders>
          </w:tcPr>
          <w:p w:rsidR="007B5248" w:rsidRPr="002532DF" w:rsidRDefault="004404DF" w:rsidP="004404DF">
            <w:pPr>
              <w:jc w:val="center"/>
              <w:rPr>
                <w:sz w:val="20"/>
                <w:szCs w:val="20"/>
              </w:rPr>
            </w:pPr>
            <w:r w:rsidRPr="002532DF">
              <w:rPr>
                <w:sz w:val="20"/>
                <w:szCs w:val="20"/>
              </w:rPr>
              <w:t>YES</w:t>
            </w:r>
          </w:p>
        </w:tc>
      </w:tr>
      <w:tr w:rsidR="007B5248" w:rsidRPr="002532DF" w:rsidTr="008B76BE">
        <w:trPr>
          <w:trHeight w:val="2123"/>
        </w:trPr>
        <w:tc>
          <w:tcPr>
            <w:tcW w:w="9900" w:type="dxa"/>
            <w:gridSpan w:val="2"/>
            <w:tcBorders>
              <w:left w:val="thinThickSmallGap" w:sz="24" w:space="0" w:color="auto"/>
              <w:right w:val="thickThinSmallGap" w:sz="24" w:space="0" w:color="auto"/>
            </w:tcBorders>
          </w:tcPr>
          <w:p w:rsidR="00FD6B27" w:rsidRPr="002532DF" w:rsidRDefault="00FD6B27" w:rsidP="008B76BE">
            <w:pPr>
              <w:jc w:val="center"/>
              <w:rPr>
                <w:b/>
                <w:sz w:val="20"/>
                <w:szCs w:val="20"/>
              </w:rPr>
            </w:pPr>
          </w:p>
          <w:p w:rsidR="007B5248" w:rsidRPr="002532DF" w:rsidRDefault="007B5248" w:rsidP="008B76BE">
            <w:pPr>
              <w:jc w:val="center"/>
              <w:rPr>
                <w:b/>
                <w:sz w:val="20"/>
                <w:szCs w:val="20"/>
              </w:rPr>
            </w:pPr>
            <w:r w:rsidRPr="002532DF">
              <w:rPr>
                <w:b/>
                <w:sz w:val="20"/>
                <w:szCs w:val="20"/>
              </w:rPr>
              <w:t>RATE OF RETURN</w:t>
            </w:r>
          </w:p>
          <w:p w:rsidR="007B5248" w:rsidRPr="002532DF" w:rsidRDefault="007B5248" w:rsidP="008B76BE">
            <w:pPr>
              <w:jc w:val="cente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7"/>
              <w:gridCol w:w="1368"/>
              <w:gridCol w:w="1334"/>
              <w:gridCol w:w="1438"/>
            </w:tblGrid>
            <w:tr w:rsidR="007B5248" w:rsidRPr="002532DF" w:rsidTr="008B76BE">
              <w:trPr>
                <w:jc w:val="center"/>
              </w:trPr>
              <w:tc>
                <w:tcPr>
                  <w:tcW w:w="2227" w:type="dxa"/>
                </w:tcPr>
                <w:p w:rsidR="007B5248" w:rsidRPr="002532DF" w:rsidRDefault="007B5248" w:rsidP="00990877">
                  <w:pPr>
                    <w:rPr>
                      <w:b/>
                      <w:sz w:val="20"/>
                      <w:szCs w:val="20"/>
                    </w:rPr>
                  </w:pPr>
                  <w:r w:rsidRPr="002532DF">
                    <w:rPr>
                      <w:b/>
                      <w:sz w:val="20"/>
                      <w:szCs w:val="20"/>
                    </w:rPr>
                    <w:t>Component</w:t>
                  </w:r>
                </w:p>
              </w:tc>
              <w:tc>
                <w:tcPr>
                  <w:tcW w:w="1368" w:type="dxa"/>
                </w:tcPr>
                <w:p w:rsidR="007B5248" w:rsidRPr="002532DF" w:rsidRDefault="007B5248" w:rsidP="00990877">
                  <w:pPr>
                    <w:rPr>
                      <w:b/>
                      <w:sz w:val="20"/>
                      <w:szCs w:val="20"/>
                    </w:rPr>
                  </w:pPr>
                  <w:r w:rsidRPr="002532DF">
                    <w:rPr>
                      <w:b/>
                      <w:sz w:val="20"/>
                      <w:szCs w:val="20"/>
                    </w:rPr>
                    <w:t>Share (%)</w:t>
                  </w:r>
                </w:p>
              </w:tc>
              <w:tc>
                <w:tcPr>
                  <w:tcW w:w="1334" w:type="dxa"/>
                </w:tcPr>
                <w:p w:rsidR="007B5248" w:rsidRPr="002532DF" w:rsidRDefault="007B5248" w:rsidP="00990877">
                  <w:pPr>
                    <w:rPr>
                      <w:b/>
                      <w:sz w:val="20"/>
                      <w:szCs w:val="20"/>
                    </w:rPr>
                  </w:pPr>
                  <w:r w:rsidRPr="002532DF">
                    <w:rPr>
                      <w:b/>
                      <w:sz w:val="20"/>
                      <w:szCs w:val="20"/>
                    </w:rPr>
                    <w:t>Cost (%)</w:t>
                  </w:r>
                </w:p>
              </w:tc>
              <w:tc>
                <w:tcPr>
                  <w:tcW w:w="1438" w:type="dxa"/>
                </w:tcPr>
                <w:p w:rsidR="007B5248" w:rsidRPr="002532DF" w:rsidRDefault="007B5248" w:rsidP="00990877">
                  <w:pPr>
                    <w:rPr>
                      <w:b/>
                      <w:sz w:val="20"/>
                      <w:szCs w:val="20"/>
                    </w:rPr>
                  </w:pPr>
                  <w:r w:rsidRPr="002532DF">
                    <w:rPr>
                      <w:b/>
                      <w:sz w:val="20"/>
                      <w:szCs w:val="20"/>
                    </w:rPr>
                    <w:t>Weighted Cost</w:t>
                  </w:r>
                </w:p>
              </w:tc>
            </w:tr>
            <w:tr w:rsidR="007B5248" w:rsidRPr="002532DF" w:rsidTr="008B76BE">
              <w:trPr>
                <w:jc w:val="center"/>
              </w:trPr>
              <w:tc>
                <w:tcPr>
                  <w:tcW w:w="2227" w:type="dxa"/>
                </w:tcPr>
                <w:p w:rsidR="007B5248" w:rsidRPr="002532DF" w:rsidRDefault="007B5248" w:rsidP="00990877">
                  <w:pPr>
                    <w:rPr>
                      <w:sz w:val="20"/>
                      <w:szCs w:val="20"/>
                    </w:rPr>
                  </w:pPr>
                  <w:r w:rsidRPr="002532DF">
                    <w:rPr>
                      <w:sz w:val="20"/>
                      <w:szCs w:val="20"/>
                    </w:rPr>
                    <w:t>Equity</w:t>
                  </w:r>
                </w:p>
              </w:tc>
              <w:tc>
                <w:tcPr>
                  <w:tcW w:w="1368" w:type="dxa"/>
                </w:tcPr>
                <w:p w:rsidR="007B5248" w:rsidRPr="002532DF" w:rsidRDefault="00BF27AF" w:rsidP="00BF27AF">
                  <w:pPr>
                    <w:rPr>
                      <w:sz w:val="20"/>
                      <w:szCs w:val="20"/>
                    </w:rPr>
                  </w:pPr>
                  <w:r w:rsidRPr="002532DF">
                    <w:rPr>
                      <w:sz w:val="20"/>
                      <w:szCs w:val="20"/>
                    </w:rPr>
                    <w:t xml:space="preserve">       49.1</w:t>
                  </w:r>
                </w:p>
              </w:tc>
              <w:tc>
                <w:tcPr>
                  <w:tcW w:w="1334" w:type="dxa"/>
                </w:tcPr>
                <w:p w:rsidR="007B5248" w:rsidRPr="002532DF" w:rsidRDefault="00BF27AF" w:rsidP="00BF27AF">
                  <w:pPr>
                    <w:rPr>
                      <w:sz w:val="20"/>
                      <w:szCs w:val="20"/>
                    </w:rPr>
                  </w:pPr>
                  <w:r w:rsidRPr="002532DF">
                    <w:rPr>
                      <w:sz w:val="20"/>
                      <w:szCs w:val="20"/>
                    </w:rPr>
                    <w:t xml:space="preserve">      9.8</w:t>
                  </w:r>
                </w:p>
              </w:tc>
              <w:tc>
                <w:tcPr>
                  <w:tcW w:w="1438" w:type="dxa"/>
                </w:tcPr>
                <w:p w:rsidR="007B5248" w:rsidRPr="002532DF" w:rsidRDefault="00A150F0" w:rsidP="00A150F0">
                  <w:pPr>
                    <w:jc w:val="center"/>
                    <w:rPr>
                      <w:sz w:val="20"/>
                      <w:szCs w:val="20"/>
                    </w:rPr>
                  </w:pPr>
                  <w:r w:rsidRPr="002532DF">
                    <w:rPr>
                      <w:sz w:val="20"/>
                      <w:szCs w:val="20"/>
                    </w:rPr>
                    <w:t>4.81</w:t>
                  </w:r>
                </w:p>
              </w:tc>
            </w:tr>
            <w:tr w:rsidR="007B5248" w:rsidRPr="002532DF" w:rsidTr="008B76BE">
              <w:trPr>
                <w:jc w:val="center"/>
              </w:trPr>
              <w:tc>
                <w:tcPr>
                  <w:tcW w:w="2227" w:type="dxa"/>
                </w:tcPr>
                <w:p w:rsidR="007B5248" w:rsidRPr="002532DF" w:rsidRDefault="007B5248" w:rsidP="00990877">
                  <w:pPr>
                    <w:rPr>
                      <w:sz w:val="20"/>
                      <w:szCs w:val="20"/>
                    </w:rPr>
                  </w:pPr>
                  <w:r w:rsidRPr="002532DF">
                    <w:rPr>
                      <w:sz w:val="20"/>
                      <w:szCs w:val="20"/>
                    </w:rPr>
                    <w:t>Long-term debt</w:t>
                  </w:r>
                </w:p>
              </w:tc>
              <w:tc>
                <w:tcPr>
                  <w:tcW w:w="1368" w:type="dxa"/>
                </w:tcPr>
                <w:p w:rsidR="007B5248" w:rsidRPr="002532DF" w:rsidRDefault="00BF27AF" w:rsidP="00BF27AF">
                  <w:pPr>
                    <w:rPr>
                      <w:sz w:val="20"/>
                      <w:szCs w:val="20"/>
                    </w:rPr>
                  </w:pPr>
                  <w:r w:rsidRPr="002532DF">
                    <w:rPr>
                      <w:sz w:val="20"/>
                      <w:szCs w:val="20"/>
                    </w:rPr>
                    <w:t xml:space="preserve">  </w:t>
                  </w:r>
                  <w:r w:rsidR="00C60943" w:rsidRPr="002532DF">
                    <w:rPr>
                      <w:sz w:val="20"/>
                      <w:szCs w:val="20"/>
                    </w:rPr>
                    <w:t xml:space="preserve"> </w:t>
                  </w:r>
                  <w:r w:rsidRPr="002532DF">
                    <w:rPr>
                      <w:sz w:val="20"/>
                      <w:szCs w:val="20"/>
                    </w:rPr>
                    <w:t xml:space="preserve">    50.60</w:t>
                  </w:r>
                </w:p>
              </w:tc>
              <w:tc>
                <w:tcPr>
                  <w:tcW w:w="1334" w:type="dxa"/>
                </w:tcPr>
                <w:p w:rsidR="007B5248" w:rsidRPr="002532DF" w:rsidRDefault="00BF27AF" w:rsidP="00BF27AF">
                  <w:pPr>
                    <w:rPr>
                      <w:sz w:val="20"/>
                      <w:szCs w:val="20"/>
                    </w:rPr>
                  </w:pPr>
                  <w:r w:rsidRPr="002532DF">
                    <w:rPr>
                      <w:sz w:val="20"/>
                      <w:szCs w:val="20"/>
                    </w:rPr>
                    <w:t xml:space="preserve">      5.89</w:t>
                  </w:r>
                </w:p>
              </w:tc>
              <w:tc>
                <w:tcPr>
                  <w:tcW w:w="1438" w:type="dxa"/>
                </w:tcPr>
                <w:p w:rsidR="007B5248" w:rsidRPr="002532DF" w:rsidRDefault="00A150F0" w:rsidP="00A150F0">
                  <w:pPr>
                    <w:jc w:val="center"/>
                    <w:rPr>
                      <w:sz w:val="20"/>
                      <w:szCs w:val="20"/>
                    </w:rPr>
                  </w:pPr>
                  <w:r w:rsidRPr="002532DF">
                    <w:rPr>
                      <w:sz w:val="20"/>
                      <w:szCs w:val="20"/>
                    </w:rPr>
                    <w:t>2.98</w:t>
                  </w:r>
                </w:p>
              </w:tc>
            </w:tr>
            <w:tr w:rsidR="007B5248" w:rsidRPr="002532DF" w:rsidTr="008B76BE">
              <w:trPr>
                <w:jc w:val="center"/>
              </w:trPr>
              <w:tc>
                <w:tcPr>
                  <w:tcW w:w="2227" w:type="dxa"/>
                </w:tcPr>
                <w:p w:rsidR="007B5248" w:rsidRPr="002532DF" w:rsidRDefault="007B5248" w:rsidP="00990877">
                  <w:pPr>
                    <w:rPr>
                      <w:sz w:val="20"/>
                      <w:szCs w:val="20"/>
                    </w:rPr>
                  </w:pPr>
                  <w:r w:rsidRPr="002532DF">
                    <w:rPr>
                      <w:sz w:val="20"/>
                      <w:szCs w:val="20"/>
                    </w:rPr>
                    <w:t>Short-term debt</w:t>
                  </w:r>
                </w:p>
              </w:tc>
              <w:tc>
                <w:tcPr>
                  <w:tcW w:w="1368" w:type="dxa"/>
                </w:tcPr>
                <w:p w:rsidR="007B5248" w:rsidRPr="002532DF" w:rsidRDefault="00BF27AF" w:rsidP="00BF27AF">
                  <w:pPr>
                    <w:rPr>
                      <w:sz w:val="20"/>
                      <w:szCs w:val="20"/>
                    </w:rPr>
                  </w:pPr>
                  <w:r w:rsidRPr="002532DF">
                    <w:rPr>
                      <w:sz w:val="20"/>
                      <w:szCs w:val="20"/>
                    </w:rPr>
                    <w:t xml:space="preserve">        </w:t>
                  </w:r>
                  <w:r w:rsidR="00C60943" w:rsidRPr="002532DF">
                    <w:rPr>
                      <w:sz w:val="20"/>
                      <w:szCs w:val="20"/>
                    </w:rPr>
                    <w:t xml:space="preserve">  </w:t>
                  </w:r>
                  <w:r w:rsidRPr="002532DF">
                    <w:rPr>
                      <w:sz w:val="20"/>
                      <w:szCs w:val="20"/>
                    </w:rPr>
                    <w:t xml:space="preserve"> 0</w:t>
                  </w:r>
                </w:p>
              </w:tc>
              <w:tc>
                <w:tcPr>
                  <w:tcW w:w="1334" w:type="dxa"/>
                </w:tcPr>
                <w:p w:rsidR="007B5248" w:rsidRPr="002532DF" w:rsidRDefault="00BF27AF" w:rsidP="00BF27AF">
                  <w:pPr>
                    <w:rPr>
                      <w:sz w:val="20"/>
                      <w:szCs w:val="20"/>
                    </w:rPr>
                  </w:pPr>
                  <w:r w:rsidRPr="002532DF">
                    <w:rPr>
                      <w:sz w:val="20"/>
                      <w:szCs w:val="20"/>
                    </w:rPr>
                    <w:t xml:space="preserve">       0</w:t>
                  </w:r>
                </w:p>
              </w:tc>
              <w:tc>
                <w:tcPr>
                  <w:tcW w:w="1438" w:type="dxa"/>
                </w:tcPr>
                <w:p w:rsidR="007B5248" w:rsidRPr="002532DF" w:rsidRDefault="007B5248" w:rsidP="008B76BE">
                  <w:pPr>
                    <w:jc w:val="right"/>
                    <w:rPr>
                      <w:sz w:val="20"/>
                      <w:szCs w:val="20"/>
                    </w:rPr>
                  </w:pPr>
                </w:p>
              </w:tc>
            </w:tr>
            <w:tr w:rsidR="007B5248" w:rsidRPr="002532DF" w:rsidTr="008B76BE">
              <w:trPr>
                <w:jc w:val="center"/>
              </w:trPr>
              <w:tc>
                <w:tcPr>
                  <w:tcW w:w="2227" w:type="dxa"/>
                </w:tcPr>
                <w:p w:rsidR="007B5248" w:rsidRPr="002532DF" w:rsidRDefault="007B5248" w:rsidP="00990877">
                  <w:pPr>
                    <w:rPr>
                      <w:sz w:val="20"/>
                      <w:szCs w:val="20"/>
                    </w:rPr>
                  </w:pPr>
                  <w:r w:rsidRPr="002532DF">
                    <w:rPr>
                      <w:sz w:val="20"/>
                      <w:szCs w:val="20"/>
                    </w:rPr>
                    <w:t xml:space="preserve">Preferred </w:t>
                  </w:r>
                </w:p>
              </w:tc>
              <w:tc>
                <w:tcPr>
                  <w:tcW w:w="1368" w:type="dxa"/>
                </w:tcPr>
                <w:p w:rsidR="007B5248" w:rsidRPr="002532DF" w:rsidRDefault="00BF27AF" w:rsidP="00C60943">
                  <w:pPr>
                    <w:rPr>
                      <w:sz w:val="20"/>
                      <w:szCs w:val="20"/>
                    </w:rPr>
                  </w:pPr>
                  <w:r w:rsidRPr="002532DF">
                    <w:rPr>
                      <w:sz w:val="20"/>
                      <w:szCs w:val="20"/>
                    </w:rPr>
                    <w:t xml:space="preserve">      </w:t>
                  </w:r>
                  <w:r w:rsidR="00C60943" w:rsidRPr="002532DF">
                    <w:rPr>
                      <w:sz w:val="20"/>
                      <w:szCs w:val="20"/>
                    </w:rPr>
                    <w:t xml:space="preserve">  </w:t>
                  </w:r>
                  <w:r w:rsidRPr="002532DF">
                    <w:rPr>
                      <w:sz w:val="20"/>
                      <w:szCs w:val="20"/>
                    </w:rPr>
                    <w:t xml:space="preserve"> .30</w:t>
                  </w:r>
                </w:p>
              </w:tc>
              <w:tc>
                <w:tcPr>
                  <w:tcW w:w="1334" w:type="dxa"/>
                </w:tcPr>
                <w:p w:rsidR="007B5248" w:rsidRPr="002532DF" w:rsidRDefault="00BF27AF" w:rsidP="00BF27AF">
                  <w:pPr>
                    <w:rPr>
                      <w:sz w:val="20"/>
                      <w:szCs w:val="20"/>
                    </w:rPr>
                  </w:pPr>
                  <w:r w:rsidRPr="002532DF">
                    <w:rPr>
                      <w:sz w:val="20"/>
                      <w:szCs w:val="20"/>
                    </w:rPr>
                    <w:t xml:space="preserve">      5.41</w:t>
                  </w:r>
                </w:p>
              </w:tc>
              <w:tc>
                <w:tcPr>
                  <w:tcW w:w="1438" w:type="dxa"/>
                </w:tcPr>
                <w:p w:rsidR="007B5248" w:rsidRPr="002532DF" w:rsidRDefault="00A150F0" w:rsidP="00667898">
                  <w:pPr>
                    <w:jc w:val="center"/>
                    <w:rPr>
                      <w:sz w:val="20"/>
                      <w:szCs w:val="20"/>
                    </w:rPr>
                  </w:pPr>
                  <w:r w:rsidRPr="002532DF">
                    <w:rPr>
                      <w:sz w:val="20"/>
                      <w:szCs w:val="20"/>
                    </w:rPr>
                    <w:t xml:space="preserve">  .02</w:t>
                  </w:r>
                </w:p>
              </w:tc>
            </w:tr>
            <w:tr w:rsidR="007B5248" w:rsidRPr="002532DF" w:rsidTr="008B76BE">
              <w:trPr>
                <w:jc w:val="center"/>
              </w:trPr>
              <w:tc>
                <w:tcPr>
                  <w:tcW w:w="2227" w:type="dxa"/>
                </w:tcPr>
                <w:p w:rsidR="007B5248" w:rsidRPr="002532DF" w:rsidRDefault="007B5248" w:rsidP="00990877">
                  <w:pPr>
                    <w:rPr>
                      <w:b/>
                      <w:sz w:val="20"/>
                      <w:szCs w:val="20"/>
                    </w:rPr>
                  </w:pPr>
                  <w:r w:rsidRPr="002532DF">
                    <w:rPr>
                      <w:b/>
                      <w:sz w:val="20"/>
                      <w:szCs w:val="20"/>
                    </w:rPr>
                    <w:t>Overall Rate of Return</w:t>
                  </w:r>
                </w:p>
              </w:tc>
              <w:tc>
                <w:tcPr>
                  <w:tcW w:w="1368" w:type="dxa"/>
                </w:tcPr>
                <w:p w:rsidR="007B5248" w:rsidRPr="002532DF" w:rsidRDefault="007B5248" w:rsidP="00990877">
                  <w:pPr>
                    <w:rPr>
                      <w:b/>
                      <w:sz w:val="20"/>
                      <w:szCs w:val="20"/>
                    </w:rPr>
                  </w:pPr>
                </w:p>
              </w:tc>
              <w:tc>
                <w:tcPr>
                  <w:tcW w:w="1334" w:type="dxa"/>
                </w:tcPr>
                <w:p w:rsidR="007B5248" w:rsidRPr="002532DF" w:rsidRDefault="007B5248" w:rsidP="00990877">
                  <w:pPr>
                    <w:rPr>
                      <w:b/>
                      <w:sz w:val="20"/>
                      <w:szCs w:val="20"/>
                    </w:rPr>
                  </w:pPr>
                </w:p>
              </w:tc>
              <w:tc>
                <w:tcPr>
                  <w:tcW w:w="1438" w:type="dxa"/>
                </w:tcPr>
                <w:p w:rsidR="007B5248" w:rsidRPr="002532DF" w:rsidRDefault="00A150F0" w:rsidP="00A150F0">
                  <w:pPr>
                    <w:jc w:val="center"/>
                    <w:rPr>
                      <w:b/>
                      <w:sz w:val="20"/>
                      <w:szCs w:val="20"/>
                    </w:rPr>
                  </w:pPr>
                  <w:r w:rsidRPr="002532DF">
                    <w:rPr>
                      <w:b/>
                      <w:sz w:val="20"/>
                      <w:szCs w:val="20"/>
                    </w:rPr>
                    <w:t>7.81</w:t>
                  </w:r>
                </w:p>
              </w:tc>
            </w:tr>
          </w:tbl>
          <w:p w:rsidR="007B5248" w:rsidRPr="002532DF" w:rsidRDefault="007B5248" w:rsidP="00990877">
            <w:pPr>
              <w:rPr>
                <w:sz w:val="20"/>
                <w:szCs w:val="20"/>
              </w:rPr>
            </w:pPr>
          </w:p>
        </w:tc>
      </w:tr>
      <w:tr w:rsidR="002A67D6" w:rsidRPr="002532DF" w:rsidTr="008B76BE">
        <w:tc>
          <w:tcPr>
            <w:tcW w:w="7200" w:type="dxa"/>
            <w:tcBorders>
              <w:left w:val="thinThickSmallGap" w:sz="24" w:space="0" w:color="auto"/>
            </w:tcBorders>
          </w:tcPr>
          <w:p w:rsidR="002A67D6" w:rsidRPr="002532DF" w:rsidRDefault="002A67D6" w:rsidP="00990877">
            <w:pPr>
              <w:rPr>
                <w:sz w:val="20"/>
                <w:szCs w:val="20"/>
              </w:rPr>
            </w:pPr>
          </w:p>
        </w:tc>
        <w:tc>
          <w:tcPr>
            <w:tcW w:w="2700" w:type="dxa"/>
            <w:tcBorders>
              <w:right w:val="thickThinSmallGap" w:sz="24" w:space="0" w:color="auto"/>
            </w:tcBorders>
          </w:tcPr>
          <w:p w:rsidR="002A67D6" w:rsidRPr="002532DF" w:rsidRDefault="002A67D6" w:rsidP="00990877">
            <w:pPr>
              <w:rPr>
                <w:b/>
                <w:sz w:val="20"/>
                <w:szCs w:val="20"/>
              </w:rPr>
            </w:pPr>
            <w:r w:rsidRPr="002532DF">
              <w:rPr>
                <w:b/>
                <w:sz w:val="20"/>
                <w:szCs w:val="20"/>
              </w:rPr>
              <w:t>Commission Determination</w:t>
            </w:r>
          </w:p>
        </w:tc>
      </w:tr>
      <w:tr w:rsidR="002E7496" w:rsidRPr="002532DF" w:rsidTr="008B76BE">
        <w:tc>
          <w:tcPr>
            <w:tcW w:w="9900" w:type="dxa"/>
            <w:gridSpan w:val="2"/>
            <w:tcBorders>
              <w:left w:val="thinThickSmallGap" w:sz="24" w:space="0" w:color="auto"/>
              <w:right w:val="thickThinSmallGap" w:sz="24" w:space="0" w:color="auto"/>
            </w:tcBorders>
            <w:shd w:val="clear" w:color="auto" w:fill="auto"/>
          </w:tcPr>
          <w:p w:rsidR="002E7496" w:rsidRPr="002532DF" w:rsidRDefault="002E7496" w:rsidP="00990877">
            <w:pPr>
              <w:rPr>
                <w:sz w:val="20"/>
                <w:szCs w:val="20"/>
              </w:rPr>
            </w:pPr>
            <w:r w:rsidRPr="002532DF">
              <w:rPr>
                <w:b/>
                <w:sz w:val="20"/>
                <w:szCs w:val="20"/>
              </w:rPr>
              <w:t>LOW INCOME PROGRAM</w:t>
            </w:r>
          </w:p>
        </w:tc>
      </w:tr>
      <w:tr w:rsidR="00317C18" w:rsidRPr="002532DF" w:rsidTr="008B76BE">
        <w:tc>
          <w:tcPr>
            <w:tcW w:w="7200" w:type="dxa"/>
            <w:tcBorders>
              <w:left w:val="thinThickSmallGap" w:sz="24" w:space="0" w:color="auto"/>
            </w:tcBorders>
            <w:shd w:val="clear" w:color="auto" w:fill="auto"/>
          </w:tcPr>
          <w:p w:rsidR="00317C18" w:rsidRPr="002532DF" w:rsidRDefault="00A453A4" w:rsidP="00A453A4">
            <w:pPr>
              <w:rPr>
                <w:sz w:val="20"/>
                <w:szCs w:val="20"/>
              </w:rPr>
            </w:pPr>
            <w:r w:rsidRPr="002532DF">
              <w:rPr>
                <w:sz w:val="20"/>
                <w:szCs w:val="20"/>
              </w:rPr>
              <w:t xml:space="preserve">Should the Commission </w:t>
            </w:r>
            <w:r w:rsidR="00076ACD" w:rsidRPr="002532DF">
              <w:rPr>
                <w:sz w:val="20"/>
                <w:szCs w:val="20"/>
              </w:rPr>
              <w:t xml:space="preserve">approve </w:t>
            </w:r>
            <w:r w:rsidRPr="002532DF">
              <w:rPr>
                <w:sz w:val="20"/>
                <w:szCs w:val="20"/>
              </w:rPr>
              <w:t xml:space="preserve">a 21 percent increase in the </w:t>
            </w:r>
            <w:r w:rsidR="00076ACD" w:rsidRPr="002532DF">
              <w:rPr>
                <w:sz w:val="20"/>
                <w:szCs w:val="20"/>
              </w:rPr>
              <w:t xml:space="preserve">Schedule 91 </w:t>
            </w:r>
            <w:r w:rsidRPr="002532DF">
              <w:rPr>
                <w:sz w:val="20"/>
                <w:szCs w:val="20"/>
              </w:rPr>
              <w:t>surcharge to</w:t>
            </w:r>
            <w:r w:rsidR="00076ACD" w:rsidRPr="002532DF">
              <w:rPr>
                <w:sz w:val="20"/>
                <w:szCs w:val="20"/>
              </w:rPr>
              <w:t xml:space="preserve"> fund PacifiCorp’s Low Income Bill Assistance program</w:t>
            </w:r>
          </w:p>
        </w:tc>
        <w:tc>
          <w:tcPr>
            <w:tcW w:w="2700" w:type="dxa"/>
            <w:tcBorders>
              <w:right w:val="thickThinSmallGap" w:sz="24" w:space="0" w:color="auto"/>
            </w:tcBorders>
            <w:shd w:val="clear" w:color="auto" w:fill="auto"/>
          </w:tcPr>
          <w:p w:rsidR="00317C18" w:rsidRPr="002532DF" w:rsidRDefault="00317C18" w:rsidP="008B76BE">
            <w:pPr>
              <w:jc w:val="center"/>
              <w:rPr>
                <w:sz w:val="20"/>
                <w:szCs w:val="20"/>
              </w:rPr>
            </w:pPr>
          </w:p>
          <w:p w:rsidR="00076ACD" w:rsidRPr="002532DF" w:rsidRDefault="00A453A4" w:rsidP="008B76BE">
            <w:pPr>
              <w:jc w:val="center"/>
              <w:rPr>
                <w:sz w:val="20"/>
                <w:szCs w:val="20"/>
              </w:rPr>
            </w:pPr>
            <w:r w:rsidRPr="002532DF">
              <w:rPr>
                <w:sz w:val="20"/>
                <w:szCs w:val="20"/>
              </w:rPr>
              <w:t>YES</w:t>
            </w:r>
          </w:p>
        </w:tc>
      </w:tr>
      <w:tr w:rsidR="002E7496" w:rsidRPr="002532DF" w:rsidTr="008B76BE">
        <w:tc>
          <w:tcPr>
            <w:tcW w:w="9900" w:type="dxa"/>
            <w:gridSpan w:val="2"/>
            <w:tcBorders>
              <w:left w:val="thinThickSmallGap" w:sz="24" w:space="0" w:color="auto"/>
              <w:right w:val="thickThinSmallGap" w:sz="24" w:space="0" w:color="auto"/>
            </w:tcBorders>
            <w:shd w:val="clear" w:color="auto" w:fill="auto"/>
          </w:tcPr>
          <w:p w:rsidR="002E7496" w:rsidRPr="002532DF" w:rsidRDefault="002E7496" w:rsidP="00990877">
            <w:pPr>
              <w:rPr>
                <w:sz w:val="20"/>
                <w:szCs w:val="20"/>
              </w:rPr>
            </w:pPr>
            <w:r w:rsidRPr="002532DF">
              <w:rPr>
                <w:b/>
                <w:sz w:val="20"/>
                <w:szCs w:val="20"/>
              </w:rPr>
              <w:t>M</w:t>
            </w:r>
            <w:r w:rsidR="003475A1" w:rsidRPr="002532DF">
              <w:rPr>
                <w:b/>
                <w:sz w:val="20"/>
                <w:szCs w:val="20"/>
              </w:rPr>
              <w:t>ID-AMERICAN ENERGY HOLDING COMPANY (M</w:t>
            </w:r>
            <w:r w:rsidRPr="002532DF">
              <w:rPr>
                <w:b/>
                <w:sz w:val="20"/>
                <w:szCs w:val="20"/>
              </w:rPr>
              <w:t>EHC</w:t>
            </w:r>
            <w:r w:rsidR="003475A1" w:rsidRPr="002532DF">
              <w:rPr>
                <w:b/>
                <w:sz w:val="20"/>
                <w:szCs w:val="20"/>
              </w:rPr>
              <w:t>)</w:t>
            </w:r>
            <w:r w:rsidRPr="002532DF">
              <w:rPr>
                <w:b/>
                <w:sz w:val="20"/>
                <w:szCs w:val="20"/>
              </w:rPr>
              <w:t xml:space="preserve"> COMMITMENT</w:t>
            </w:r>
          </w:p>
        </w:tc>
      </w:tr>
      <w:tr w:rsidR="00242071" w:rsidRPr="002532DF" w:rsidTr="008B76BE">
        <w:tc>
          <w:tcPr>
            <w:tcW w:w="7200" w:type="dxa"/>
            <w:tcBorders>
              <w:left w:val="thinThickSmallGap" w:sz="24" w:space="0" w:color="auto"/>
            </w:tcBorders>
            <w:shd w:val="clear" w:color="auto" w:fill="auto"/>
          </w:tcPr>
          <w:p w:rsidR="00242071" w:rsidRPr="002532DF" w:rsidRDefault="00076ACD" w:rsidP="00B915F8">
            <w:pPr>
              <w:rPr>
                <w:sz w:val="20"/>
                <w:szCs w:val="20"/>
              </w:rPr>
            </w:pPr>
            <w:r w:rsidRPr="002532DF">
              <w:rPr>
                <w:sz w:val="20"/>
                <w:szCs w:val="20"/>
              </w:rPr>
              <w:t xml:space="preserve">Should the Commission find PacifiCorp has satisfied </w:t>
            </w:r>
            <w:r w:rsidR="00B915F8" w:rsidRPr="002532DF">
              <w:rPr>
                <w:sz w:val="20"/>
                <w:szCs w:val="20"/>
              </w:rPr>
              <w:t>Co</w:t>
            </w:r>
            <w:r w:rsidRPr="002532DF">
              <w:rPr>
                <w:sz w:val="20"/>
                <w:szCs w:val="20"/>
              </w:rPr>
              <w:t>mmitment</w:t>
            </w:r>
            <w:r w:rsidR="00B915F8" w:rsidRPr="002532DF">
              <w:rPr>
                <w:sz w:val="20"/>
                <w:szCs w:val="20"/>
              </w:rPr>
              <w:t xml:space="preserve"> 37</w:t>
            </w:r>
            <w:r w:rsidRPr="002532DF">
              <w:rPr>
                <w:sz w:val="20"/>
                <w:szCs w:val="20"/>
              </w:rPr>
              <w:t xml:space="preserve"> made at the time of its acquisition by MEHC?</w:t>
            </w:r>
          </w:p>
        </w:tc>
        <w:tc>
          <w:tcPr>
            <w:tcW w:w="2700" w:type="dxa"/>
            <w:tcBorders>
              <w:right w:val="thickThinSmallGap" w:sz="24" w:space="0" w:color="auto"/>
            </w:tcBorders>
            <w:shd w:val="clear" w:color="auto" w:fill="auto"/>
          </w:tcPr>
          <w:p w:rsidR="00076ACD" w:rsidRPr="002532DF" w:rsidRDefault="00076ACD" w:rsidP="008B76BE">
            <w:pPr>
              <w:jc w:val="center"/>
              <w:rPr>
                <w:sz w:val="20"/>
                <w:szCs w:val="20"/>
              </w:rPr>
            </w:pPr>
          </w:p>
          <w:p w:rsidR="00242071" w:rsidRPr="002532DF" w:rsidRDefault="00076ACD" w:rsidP="008B76BE">
            <w:pPr>
              <w:jc w:val="center"/>
              <w:rPr>
                <w:sz w:val="20"/>
                <w:szCs w:val="20"/>
              </w:rPr>
            </w:pPr>
            <w:r w:rsidRPr="002532DF">
              <w:rPr>
                <w:sz w:val="20"/>
                <w:szCs w:val="20"/>
              </w:rPr>
              <w:t>YES</w:t>
            </w:r>
          </w:p>
        </w:tc>
      </w:tr>
      <w:tr w:rsidR="002E7496" w:rsidRPr="002532DF" w:rsidTr="008B76BE">
        <w:tc>
          <w:tcPr>
            <w:tcW w:w="9900" w:type="dxa"/>
            <w:gridSpan w:val="2"/>
            <w:tcBorders>
              <w:left w:val="thinThickSmallGap" w:sz="24" w:space="0" w:color="auto"/>
              <w:right w:val="thickThinSmallGap" w:sz="24" w:space="0" w:color="auto"/>
            </w:tcBorders>
            <w:shd w:val="clear" w:color="auto" w:fill="auto"/>
          </w:tcPr>
          <w:p w:rsidR="002E7496" w:rsidRPr="002532DF" w:rsidRDefault="00E90DE1" w:rsidP="00E90DE1">
            <w:pPr>
              <w:rPr>
                <w:sz w:val="20"/>
                <w:szCs w:val="20"/>
              </w:rPr>
            </w:pPr>
            <w:r w:rsidRPr="002532DF">
              <w:rPr>
                <w:b/>
                <w:sz w:val="20"/>
                <w:szCs w:val="20"/>
              </w:rPr>
              <w:t>CO</w:t>
            </w:r>
            <w:r w:rsidR="00FE6943" w:rsidRPr="002532DF">
              <w:rPr>
                <w:b/>
                <w:sz w:val="20"/>
                <w:szCs w:val="20"/>
              </w:rPr>
              <w:t>S</w:t>
            </w:r>
            <w:r w:rsidRPr="002532DF">
              <w:rPr>
                <w:b/>
                <w:sz w:val="20"/>
                <w:szCs w:val="20"/>
              </w:rPr>
              <w:t>T-OF-SERVICE STUDY</w:t>
            </w:r>
          </w:p>
        </w:tc>
      </w:tr>
      <w:tr w:rsidR="00317C18" w:rsidRPr="002532DF" w:rsidTr="008B76BE">
        <w:tc>
          <w:tcPr>
            <w:tcW w:w="7200" w:type="dxa"/>
            <w:tcBorders>
              <w:left w:val="thinThickSmallGap" w:sz="24" w:space="0" w:color="auto"/>
            </w:tcBorders>
            <w:shd w:val="clear" w:color="auto" w:fill="auto"/>
          </w:tcPr>
          <w:p w:rsidR="00317C18" w:rsidRPr="002532DF" w:rsidRDefault="00076ACD" w:rsidP="00E90DE1">
            <w:pPr>
              <w:rPr>
                <w:sz w:val="20"/>
                <w:szCs w:val="20"/>
              </w:rPr>
            </w:pPr>
            <w:r w:rsidRPr="002532DF">
              <w:rPr>
                <w:sz w:val="20"/>
                <w:szCs w:val="20"/>
              </w:rPr>
              <w:t xml:space="preserve">Should the Commission </w:t>
            </w:r>
            <w:r w:rsidR="00E90DE1" w:rsidRPr="002532DF">
              <w:rPr>
                <w:sz w:val="20"/>
                <w:szCs w:val="20"/>
              </w:rPr>
              <w:t xml:space="preserve">accept </w:t>
            </w:r>
            <w:r w:rsidR="00FE6943" w:rsidRPr="002532DF">
              <w:rPr>
                <w:sz w:val="20"/>
                <w:szCs w:val="20"/>
              </w:rPr>
              <w:t xml:space="preserve">PacifiCorp’s </w:t>
            </w:r>
            <w:r w:rsidR="00E90DE1" w:rsidRPr="002532DF">
              <w:rPr>
                <w:sz w:val="20"/>
                <w:szCs w:val="20"/>
              </w:rPr>
              <w:t>modifications to its cost-of-service study</w:t>
            </w:r>
            <w:r w:rsidRPr="002532DF">
              <w:rPr>
                <w:sz w:val="20"/>
                <w:szCs w:val="20"/>
              </w:rPr>
              <w:t>?</w:t>
            </w:r>
          </w:p>
        </w:tc>
        <w:tc>
          <w:tcPr>
            <w:tcW w:w="2700" w:type="dxa"/>
            <w:tcBorders>
              <w:right w:val="thickThinSmallGap" w:sz="24" w:space="0" w:color="auto"/>
            </w:tcBorders>
            <w:shd w:val="clear" w:color="auto" w:fill="auto"/>
          </w:tcPr>
          <w:p w:rsidR="00317C18" w:rsidRPr="002532DF" w:rsidRDefault="00317C18" w:rsidP="008B76BE">
            <w:pPr>
              <w:jc w:val="center"/>
              <w:rPr>
                <w:sz w:val="20"/>
                <w:szCs w:val="20"/>
              </w:rPr>
            </w:pPr>
          </w:p>
          <w:p w:rsidR="00CD472E" w:rsidRPr="002532DF" w:rsidRDefault="00CD472E" w:rsidP="008B76BE">
            <w:pPr>
              <w:jc w:val="center"/>
              <w:rPr>
                <w:sz w:val="20"/>
                <w:szCs w:val="20"/>
              </w:rPr>
            </w:pPr>
            <w:r w:rsidRPr="002532DF">
              <w:rPr>
                <w:sz w:val="20"/>
                <w:szCs w:val="20"/>
              </w:rPr>
              <w:t>YES</w:t>
            </w:r>
          </w:p>
        </w:tc>
      </w:tr>
      <w:tr w:rsidR="00E90DE1" w:rsidRPr="002532DF" w:rsidTr="008B76BE">
        <w:tc>
          <w:tcPr>
            <w:tcW w:w="7200" w:type="dxa"/>
            <w:tcBorders>
              <w:left w:val="thinThickSmallGap" w:sz="24" w:space="0" w:color="auto"/>
            </w:tcBorders>
            <w:shd w:val="clear" w:color="auto" w:fill="auto"/>
          </w:tcPr>
          <w:p w:rsidR="00E90DE1" w:rsidRPr="002532DF" w:rsidRDefault="00E90DE1" w:rsidP="00E90DE1">
            <w:pPr>
              <w:rPr>
                <w:sz w:val="20"/>
                <w:szCs w:val="20"/>
              </w:rPr>
            </w:pPr>
            <w:r w:rsidRPr="002532DF">
              <w:rPr>
                <w:sz w:val="20"/>
                <w:szCs w:val="20"/>
              </w:rPr>
              <w:t>Should the Commission accept ICNU’s adjustment to peak demand?</w:t>
            </w:r>
          </w:p>
        </w:tc>
        <w:tc>
          <w:tcPr>
            <w:tcW w:w="2700" w:type="dxa"/>
            <w:tcBorders>
              <w:right w:val="thickThinSmallGap" w:sz="24" w:space="0" w:color="auto"/>
            </w:tcBorders>
            <w:shd w:val="clear" w:color="auto" w:fill="auto"/>
          </w:tcPr>
          <w:p w:rsidR="00E90DE1" w:rsidRPr="002532DF" w:rsidRDefault="00CD472E" w:rsidP="008B76BE">
            <w:pPr>
              <w:jc w:val="center"/>
              <w:rPr>
                <w:sz w:val="20"/>
                <w:szCs w:val="20"/>
              </w:rPr>
            </w:pPr>
            <w:r w:rsidRPr="002532DF">
              <w:rPr>
                <w:sz w:val="20"/>
                <w:szCs w:val="20"/>
              </w:rPr>
              <w:t>NO</w:t>
            </w:r>
          </w:p>
        </w:tc>
      </w:tr>
      <w:tr w:rsidR="002E7496" w:rsidRPr="002532DF" w:rsidTr="008B76BE">
        <w:tc>
          <w:tcPr>
            <w:tcW w:w="9900" w:type="dxa"/>
            <w:gridSpan w:val="2"/>
            <w:tcBorders>
              <w:left w:val="thinThickSmallGap" w:sz="24" w:space="0" w:color="auto"/>
              <w:right w:val="thickThinSmallGap" w:sz="24" w:space="0" w:color="auto"/>
            </w:tcBorders>
            <w:shd w:val="clear" w:color="auto" w:fill="auto"/>
          </w:tcPr>
          <w:p w:rsidR="002E7496" w:rsidRPr="002532DF" w:rsidRDefault="002E7496" w:rsidP="00E90DE1">
            <w:pPr>
              <w:rPr>
                <w:sz w:val="20"/>
                <w:szCs w:val="20"/>
              </w:rPr>
            </w:pPr>
            <w:r w:rsidRPr="002532DF">
              <w:rPr>
                <w:b/>
                <w:sz w:val="20"/>
                <w:szCs w:val="20"/>
              </w:rPr>
              <w:t xml:space="preserve">RATE SPREAD </w:t>
            </w:r>
          </w:p>
        </w:tc>
      </w:tr>
      <w:tr w:rsidR="00317C18" w:rsidRPr="002532DF" w:rsidTr="008B76BE">
        <w:tc>
          <w:tcPr>
            <w:tcW w:w="7200" w:type="dxa"/>
            <w:tcBorders>
              <w:left w:val="thinThickSmallGap" w:sz="24" w:space="0" w:color="auto"/>
            </w:tcBorders>
            <w:shd w:val="clear" w:color="auto" w:fill="auto"/>
          </w:tcPr>
          <w:p w:rsidR="00317C18" w:rsidRPr="002532DF" w:rsidRDefault="00317C18" w:rsidP="00E90DE1">
            <w:pPr>
              <w:rPr>
                <w:sz w:val="20"/>
                <w:szCs w:val="20"/>
              </w:rPr>
            </w:pPr>
            <w:r w:rsidRPr="002532DF">
              <w:rPr>
                <w:sz w:val="20"/>
                <w:szCs w:val="20"/>
              </w:rPr>
              <w:t xml:space="preserve">Should the Commission approve </w:t>
            </w:r>
            <w:r w:rsidR="00E90DE1" w:rsidRPr="002532DF">
              <w:rPr>
                <w:sz w:val="20"/>
                <w:szCs w:val="20"/>
              </w:rPr>
              <w:t>Staff’s modification to PacifiCorp’s rate spread?</w:t>
            </w:r>
          </w:p>
        </w:tc>
        <w:tc>
          <w:tcPr>
            <w:tcW w:w="2700" w:type="dxa"/>
            <w:tcBorders>
              <w:right w:val="thickThinSmallGap" w:sz="24" w:space="0" w:color="auto"/>
            </w:tcBorders>
            <w:shd w:val="clear" w:color="auto" w:fill="auto"/>
          </w:tcPr>
          <w:p w:rsidR="00317C18" w:rsidRPr="002532DF" w:rsidRDefault="00CD472E" w:rsidP="008B76BE">
            <w:pPr>
              <w:jc w:val="center"/>
              <w:rPr>
                <w:sz w:val="20"/>
                <w:szCs w:val="20"/>
              </w:rPr>
            </w:pPr>
            <w:r w:rsidRPr="002532DF">
              <w:rPr>
                <w:sz w:val="20"/>
                <w:szCs w:val="20"/>
              </w:rPr>
              <w:t>NO</w:t>
            </w:r>
          </w:p>
        </w:tc>
      </w:tr>
      <w:tr w:rsidR="00E90DE1" w:rsidRPr="002532DF" w:rsidTr="008B76BE">
        <w:tc>
          <w:tcPr>
            <w:tcW w:w="7200" w:type="dxa"/>
            <w:tcBorders>
              <w:left w:val="thinThickSmallGap" w:sz="24" w:space="0" w:color="auto"/>
            </w:tcBorders>
            <w:shd w:val="clear" w:color="auto" w:fill="auto"/>
          </w:tcPr>
          <w:p w:rsidR="00E90DE1" w:rsidRPr="002532DF" w:rsidRDefault="00E90DE1" w:rsidP="00E90DE1">
            <w:pPr>
              <w:rPr>
                <w:b/>
                <w:sz w:val="20"/>
                <w:szCs w:val="20"/>
              </w:rPr>
            </w:pPr>
            <w:r w:rsidRPr="002532DF">
              <w:rPr>
                <w:b/>
                <w:sz w:val="20"/>
                <w:szCs w:val="20"/>
              </w:rPr>
              <w:t>RATE DESIGN</w:t>
            </w:r>
          </w:p>
        </w:tc>
        <w:tc>
          <w:tcPr>
            <w:tcW w:w="2700" w:type="dxa"/>
            <w:tcBorders>
              <w:right w:val="thickThinSmallGap" w:sz="24" w:space="0" w:color="auto"/>
            </w:tcBorders>
            <w:shd w:val="clear" w:color="auto" w:fill="auto"/>
          </w:tcPr>
          <w:p w:rsidR="00E90DE1" w:rsidRPr="002532DF" w:rsidRDefault="002043A1" w:rsidP="008B76BE">
            <w:pPr>
              <w:jc w:val="center"/>
              <w:rPr>
                <w:b/>
                <w:sz w:val="20"/>
                <w:szCs w:val="20"/>
              </w:rPr>
            </w:pPr>
            <w:r w:rsidRPr="002532DF">
              <w:rPr>
                <w:b/>
                <w:sz w:val="20"/>
                <w:szCs w:val="20"/>
              </w:rPr>
              <w:t>Commission Determination</w:t>
            </w:r>
          </w:p>
        </w:tc>
      </w:tr>
      <w:tr w:rsidR="002043A1" w:rsidRPr="002532DF" w:rsidTr="008B76BE">
        <w:tc>
          <w:tcPr>
            <w:tcW w:w="7200" w:type="dxa"/>
            <w:tcBorders>
              <w:left w:val="thinThickSmallGap" w:sz="24" w:space="0" w:color="auto"/>
            </w:tcBorders>
            <w:shd w:val="clear" w:color="auto" w:fill="auto"/>
          </w:tcPr>
          <w:p w:rsidR="002043A1" w:rsidRPr="002532DF" w:rsidRDefault="002043A1" w:rsidP="00E90DE1">
            <w:pPr>
              <w:rPr>
                <w:sz w:val="20"/>
                <w:szCs w:val="20"/>
              </w:rPr>
            </w:pPr>
            <w:r w:rsidRPr="002532DF">
              <w:rPr>
                <w:sz w:val="20"/>
                <w:szCs w:val="20"/>
              </w:rPr>
              <w:t>Should the Commission increase the residential basic charge of $6.00 and, if so, to what level?</w:t>
            </w:r>
          </w:p>
        </w:tc>
        <w:tc>
          <w:tcPr>
            <w:tcW w:w="2700" w:type="dxa"/>
            <w:tcBorders>
              <w:right w:val="thickThinSmallGap" w:sz="24" w:space="0" w:color="auto"/>
            </w:tcBorders>
            <w:shd w:val="clear" w:color="auto" w:fill="auto"/>
          </w:tcPr>
          <w:p w:rsidR="00CD472E" w:rsidRPr="002532DF" w:rsidRDefault="00CD472E" w:rsidP="008B76BE">
            <w:pPr>
              <w:jc w:val="center"/>
              <w:rPr>
                <w:sz w:val="20"/>
                <w:szCs w:val="20"/>
              </w:rPr>
            </w:pPr>
          </w:p>
          <w:p w:rsidR="00CD472E" w:rsidRPr="002532DF" w:rsidRDefault="00CD472E" w:rsidP="00DA394D">
            <w:pPr>
              <w:jc w:val="center"/>
              <w:rPr>
                <w:sz w:val="20"/>
                <w:szCs w:val="20"/>
              </w:rPr>
            </w:pPr>
            <w:r w:rsidRPr="002532DF">
              <w:rPr>
                <w:sz w:val="20"/>
                <w:szCs w:val="20"/>
              </w:rPr>
              <w:t>NO</w:t>
            </w:r>
          </w:p>
        </w:tc>
      </w:tr>
      <w:tr w:rsidR="002043A1" w:rsidRPr="002532DF" w:rsidTr="008B76BE">
        <w:tc>
          <w:tcPr>
            <w:tcW w:w="7200" w:type="dxa"/>
            <w:tcBorders>
              <w:left w:val="thinThickSmallGap" w:sz="24" w:space="0" w:color="auto"/>
              <w:bottom w:val="thickThinSmallGap" w:sz="24" w:space="0" w:color="auto"/>
            </w:tcBorders>
            <w:shd w:val="clear" w:color="auto" w:fill="auto"/>
          </w:tcPr>
          <w:p w:rsidR="002043A1" w:rsidRPr="002532DF" w:rsidRDefault="002043A1" w:rsidP="00E90DE1">
            <w:pPr>
              <w:rPr>
                <w:sz w:val="20"/>
                <w:szCs w:val="20"/>
              </w:rPr>
            </w:pPr>
            <w:r w:rsidRPr="002532DF">
              <w:rPr>
                <w:sz w:val="20"/>
                <w:szCs w:val="20"/>
              </w:rPr>
              <w:t xml:space="preserve">Should the Commission approve the Company’s </w:t>
            </w:r>
            <w:r w:rsidR="00DA394D" w:rsidRPr="002532DF">
              <w:rPr>
                <w:sz w:val="20"/>
                <w:szCs w:val="20"/>
              </w:rPr>
              <w:t xml:space="preserve">original </w:t>
            </w:r>
            <w:r w:rsidRPr="002532DF">
              <w:rPr>
                <w:sz w:val="20"/>
                <w:szCs w:val="20"/>
              </w:rPr>
              <w:t>rate design?</w:t>
            </w:r>
          </w:p>
        </w:tc>
        <w:tc>
          <w:tcPr>
            <w:tcW w:w="2700" w:type="dxa"/>
            <w:tcBorders>
              <w:bottom w:val="thickThinSmallGap" w:sz="24" w:space="0" w:color="auto"/>
              <w:right w:val="thickThinSmallGap" w:sz="24" w:space="0" w:color="auto"/>
            </w:tcBorders>
            <w:shd w:val="clear" w:color="auto" w:fill="auto"/>
          </w:tcPr>
          <w:p w:rsidR="002043A1" w:rsidRPr="002532DF" w:rsidRDefault="00DA394D" w:rsidP="008B76BE">
            <w:pPr>
              <w:jc w:val="center"/>
              <w:rPr>
                <w:sz w:val="20"/>
                <w:szCs w:val="20"/>
              </w:rPr>
            </w:pPr>
            <w:r w:rsidRPr="002532DF">
              <w:rPr>
                <w:sz w:val="20"/>
                <w:szCs w:val="20"/>
              </w:rPr>
              <w:t>YES</w:t>
            </w:r>
          </w:p>
        </w:tc>
      </w:tr>
    </w:tbl>
    <w:p w:rsidR="002A67D6" w:rsidRPr="002532DF" w:rsidRDefault="002A67D6" w:rsidP="00990877">
      <w:pPr>
        <w:rPr>
          <w:sz w:val="25"/>
          <w:szCs w:val="25"/>
        </w:rPr>
      </w:pPr>
    </w:p>
    <w:p w:rsidR="008A32B4" w:rsidRPr="002532DF" w:rsidRDefault="00C0156B" w:rsidP="00D337A8">
      <w:pPr>
        <w:pStyle w:val="Heading2"/>
        <w:numPr>
          <w:ilvl w:val="0"/>
          <w:numId w:val="20"/>
        </w:numPr>
        <w:ind w:left="720"/>
        <w:jc w:val="left"/>
        <w:rPr>
          <w:b/>
          <w:sz w:val="25"/>
          <w:szCs w:val="25"/>
          <w:u w:val="none"/>
        </w:rPr>
      </w:pPr>
      <w:bookmarkStart w:id="7" w:name="_Toc168986357"/>
      <w:bookmarkStart w:id="8" w:name="_Toc288813719"/>
      <w:r w:rsidRPr="002532DF">
        <w:rPr>
          <w:b/>
          <w:sz w:val="25"/>
          <w:szCs w:val="25"/>
          <w:u w:val="none"/>
        </w:rPr>
        <w:t>Discussion and Decisions</w:t>
      </w:r>
      <w:bookmarkEnd w:id="7"/>
      <w:bookmarkEnd w:id="8"/>
    </w:p>
    <w:p w:rsidR="00D40563" w:rsidRPr="002532DF" w:rsidRDefault="005F7503" w:rsidP="00305AEB">
      <w:pPr>
        <w:pStyle w:val="Heading3"/>
        <w:numPr>
          <w:ilvl w:val="0"/>
          <w:numId w:val="33"/>
        </w:numPr>
        <w:rPr>
          <w:rFonts w:ascii="Times New Roman" w:hAnsi="Times New Roman"/>
          <w:sz w:val="25"/>
          <w:szCs w:val="25"/>
        </w:rPr>
      </w:pPr>
      <w:bookmarkStart w:id="9" w:name="_Toc288813720"/>
      <w:r w:rsidRPr="002532DF">
        <w:rPr>
          <w:rFonts w:ascii="Times New Roman" w:hAnsi="Times New Roman"/>
          <w:sz w:val="25"/>
          <w:szCs w:val="25"/>
        </w:rPr>
        <w:t>Introduction</w:t>
      </w:r>
      <w:bookmarkEnd w:id="9"/>
    </w:p>
    <w:p w:rsidR="00D40563" w:rsidRPr="002532DF" w:rsidRDefault="00D40563">
      <w:pPr>
        <w:tabs>
          <w:tab w:val="left" w:pos="360"/>
          <w:tab w:val="left" w:pos="720"/>
        </w:tabs>
        <w:spacing w:line="276" w:lineRule="auto"/>
        <w:ind w:left="-720"/>
        <w:rPr>
          <w:sz w:val="25"/>
          <w:szCs w:val="25"/>
        </w:rPr>
      </w:pPr>
    </w:p>
    <w:p w:rsidR="00D40563" w:rsidRPr="002532DF" w:rsidRDefault="003112B8">
      <w:pPr>
        <w:numPr>
          <w:ilvl w:val="0"/>
          <w:numId w:val="1"/>
        </w:numPr>
        <w:tabs>
          <w:tab w:val="num" w:pos="0"/>
          <w:tab w:val="left" w:pos="360"/>
          <w:tab w:val="left" w:pos="720"/>
        </w:tabs>
        <w:spacing w:line="276" w:lineRule="auto"/>
        <w:ind w:left="0"/>
        <w:rPr>
          <w:sz w:val="25"/>
          <w:szCs w:val="25"/>
        </w:rPr>
      </w:pPr>
      <w:r w:rsidRPr="002532DF">
        <w:rPr>
          <w:sz w:val="25"/>
          <w:szCs w:val="25"/>
        </w:rPr>
        <w:t>In the context of a general rate case, our statutory duty is to balance the needs of the public to have safe and reliable electric service at reasonable rates with the finan</w:t>
      </w:r>
      <w:r w:rsidR="00BB3848" w:rsidRPr="002532DF">
        <w:rPr>
          <w:sz w:val="25"/>
          <w:szCs w:val="25"/>
        </w:rPr>
        <w:t xml:space="preserve">cial ability of the utility to prospectively provide such service.  </w:t>
      </w:r>
      <w:r w:rsidR="002532DF">
        <w:rPr>
          <w:sz w:val="25"/>
          <w:szCs w:val="25"/>
        </w:rPr>
        <w:t>The Commission must</w:t>
      </w:r>
      <w:r w:rsidR="00BB3848" w:rsidRPr="002532DF">
        <w:rPr>
          <w:sz w:val="25"/>
          <w:szCs w:val="25"/>
        </w:rPr>
        <w:t xml:space="preserve"> establish rates that are “fair, just, reasonable and sufficient.”</w:t>
      </w:r>
      <w:r w:rsidR="00BB3848" w:rsidRPr="002532DF">
        <w:rPr>
          <w:rStyle w:val="FootnoteReference"/>
          <w:sz w:val="25"/>
          <w:szCs w:val="25"/>
        </w:rPr>
        <w:footnoteReference w:id="8"/>
      </w:r>
      <w:r w:rsidR="00BB3848" w:rsidRPr="002532DF">
        <w:rPr>
          <w:sz w:val="25"/>
          <w:szCs w:val="25"/>
        </w:rPr>
        <w:t xml:space="preserve">  Th</w:t>
      </w:r>
      <w:r w:rsidR="00736899" w:rsidRPr="002532DF">
        <w:rPr>
          <w:sz w:val="25"/>
          <w:szCs w:val="25"/>
        </w:rPr>
        <w:t>e rates must be</w:t>
      </w:r>
      <w:r w:rsidR="00BB3848" w:rsidRPr="002532DF">
        <w:rPr>
          <w:sz w:val="25"/>
          <w:szCs w:val="25"/>
        </w:rPr>
        <w:t xml:space="preserve"> fair to both customers and the utility</w:t>
      </w:r>
      <w:r w:rsidR="00743D3C" w:rsidRPr="002532DF">
        <w:rPr>
          <w:sz w:val="25"/>
          <w:szCs w:val="25"/>
        </w:rPr>
        <w:t>; just</w:t>
      </w:r>
      <w:r w:rsidR="00BB3848" w:rsidRPr="002532DF">
        <w:rPr>
          <w:sz w:val="25"/>
          <w:szCs w:val="25"/>
        </w:rPr>
        <w:t xml:space="preserve"> </w:t>
      </w:r>
      <w:r w:rsidR="00736899" w:rsidRPr="002532DF">
        <w:rPr>
          <w:sz w:val="25"/>
          <w:szCs w:val="25"/>
        </w:rPr>
        <w:t>in that</w:t>
      </w:r>
      <w:r w:rsidR="00BB3848" w:rsidRPr="002532DF">
        <w:rPr>
          <w:sz w:val="25"/>
          <w:szCs w:val="25"/>
        </w:rPr>
        <w:t xml:space="preserve"> the rates are based solely on the record in this case following the principles of due process of law; reasonable in light of the range of potential outcomes presented in the record</w:t>
      </w:r>
      <w:r w:rsidR="00743D3C" w:rsidRPr="002532DF">
        <w:rPr>
          <w:sz w:val="25"/>
          <w:szCs w:val="25"/>
        </w:rPr>
        <w:t>;</w:t>
      </w:r>
      <w:r w:rsidR="00BB3848" w:rsidRPr="002532DF">
        <w:rPr>
          <w:sz w:val="25"/>
          <w:szCs w:val="25"/>
        </w:rPr>
        <w:t xml:space="preserve"> and sufficient to meet the financial needs of the utility to cover its expenses and attract capital on reasonable terms.</w:t>
      </w:r>
      <w:r w:rsidR="00441C1C" w:rsidRPr="002532DF">
        <w:rPr>
          <w:rStyle w:val="FootnoteReference"/>
          <w:sz w:val="25"/>
          <w:szCs w:val="25"/>
        </w:rPr>
        <w:footnoteReference w:id="9"/>
      </w:r>
    </w:p>
    <w:p w:rsidR="00D40563" w:rsidRPr="002532DF" w:rsidRDefault="00D40563">
      <w:pPr>
        <w:tabs>
          <w:tab w:val="left" w:pos="360"/>
        </w:tabs>
        <w:spacing w:line="276" w:lineRule="auto"/>
        <w:ind w:left="-720"/>
        <w:rPr>
          <w:sz w:val="25"/>
          <w:szCs w:val="25"/>
        </w:rPr>
      </w:pPr>
    </w:p>
    <w:p w:rsidR="00D40563" w:rsidRPr="002532DF" w:rsidRDefault="00FD11A6">
      <w:pPr>
        <w:numPr>
          <w:ilvl w:val="0"/>
          <w:numId w:val="1"/>
        </w:numPr>
        <w:tabs>
          <w:tab w:val="num" w:pos="0"/>
          <w:tab w:val="left" w:pos="360"/>
          <w:tab w:val="left" w:pos="720"/>
        </w:tabs>
        <w:spacing w:line="276" w:lineRule="auto"/>
        <w:ind w:left="0"/>
        <w:rPr>
          <w:sz w:val="25"/>
          <w:szCs w:val="25"/>
        </w:rPr>
      </w:pPr>
      <w:r w:rsidRPr="002532DF">
        <w:rPr>
          <w:sz w:val="25"/>
          <w:szCs w:val="25"/>
        </w:rPr>
        <w:t>In this case, the parties advocate significantly different revenue requirements for PacifiCorp.  We must determine, on the basis of the record, the Company’s prudently-incurred expenses and allow recovery of those expenses prospectively in rates.  In addition, we must determine what items should be included in the Company’s “rate base” and allow for a reasonable return on that rate base.</w:t>
      </w:r>
      <w:r w:rsidR="00DD6644" w:rsidRPr="002532DF">
        <w:rPr>
          <w:rStyle w:val="FootnoteReference"/>
          <w:sz w:val="25"/>
          <w:szCs w:val="25"/>
        </w:rPr>
        <w:footnoteReference w:id="10"/>
      </w:r>
      <w:r w:rsidRPr="002532DF">
        <w:rPr>
          <w:sz w:val="25"/>
          <w:szCs w:val="25"/>
        </w:rPr>
        <w:t xml:space="preserve"> </w:t>
      </w:r>
      <w:r w:rsidR="00A703CB" w:rsidRPr="002532DF">
        <w:rPr>
          <w:sz w:val="25"/>
          <w:szCs w:val="25"/>
        </w:rPr>
        <w:t xml:space="preserve"> </w:t>
      </w:r>
      <w:r w:rsidRPr="002532DF">
        <w:rPr>
          <w:sz w:val="25"/>
          <w:szCs w:val="25"/>
        </w:rPr>
        <w:t>This process allows the Company to recover its investment in the plant necessary to provide electric service</w:t>
      </w:r>
      <w:r w:rsidR="00DD6644" w:rsidRPr="002532DF">
        <w:rPr>
          <w:sz w:val="25"/>
          <w:szCs w:val="25"/>
        </w:rPr>
        <w:t>, repay its lenders, and provide it with the opportunity to earn a reasonable return or profit.  The sum total of the Company’s expenses plus return on rate base is the revenue requirement, or the amount we allow the Company to recover in rates.</w:t>
      </w:r>
      <w:r w:rsidR="00285423" w:rsidRPr="002532DF">
        <w:rPr>
          <w:sz w:val="25"/>
          <w:szCs w:val="25"/>
        </w:rPr>
        <w:t xml:space="preserve">  The Washington Supreme Court explained this ratemaking formula as follows:</w:t>
      </w:r>
    </w:p>
    <w:p w:rsidR="00D40563" w:rsidRPr="002532DF" w:rsidRDefault="00D40563">
      <w:pPr>
        <w:tabs>
          <w:tab w:val="left" w:pos="360"/>
        </w:tabs>
        <w:spacing w:line="276" w:lineRule="auto"/>
        <w:ind w:left="-720"/>
        <w:rPr>
          <w:sz w:val="25"/>
          <w:szCs w:val="25"/>
        </w:rPr>
      </w:pPr>
    </w:p>
    <w:p w:rsidR="00D40563" w:rsidRPr="002532DF" w:rsidRDefault="00285423">
      <w:pPr>
        <w:tabs>
          <w:tab w:val="left" w:pos="360"/>
        </w:tabs>
        <w:spacing w:line="276" w:lineRule="auto"/>
        <w:ind w:left="1080"/>
        <w:rPr>
          <w:sz w:val="25"/>
          <w:szCs w:val="25"/>
        </w:rPr>
      </w:pPr>
      <w:r w:rsidRPr="002532DF">
        <w:rPr>
          <w:sz w:val="25"/>
          <w:szCs w:val="25"/>
        </w:rPr>
        <w:t xml:space="preserve">In order to control aggregate revenue and set maximum rates, </w:t>
      </w:r>
    </w:p>
    <w:p w:rsidR="00D40563" w:rsidRPr="002532DF" w:rsidRDefault="00285423">
      <w:pPr>
        <w:tabs>
          <w:tab w:val="left" w:pos="360"/>
        </w:tabs>
        <w:spacing w:line="276" w:lineRule="auto"/>
        <w:ind w:left="1080"/>
        <w:rPr>
          <w:sz w:val="25"/>
          <w:szCs w:val="25"/>
        </w:rPr>
      </w:pPr>
      <w:r w:rsidRPr="002532DF">
        <w:rPr>
          <w:sz w:val="25"/>
          <w:szCs w:val="25"/>
        </w:rPr>
        <w:t xml:space="preserve">regulatory commissions such as the WUTC commonly use and </w:t>
      </w:r>
    </w:p>
    <w:p w:rsidR="00D40563" w:rsidRPr="002532DF" w:rsidRDefault="00285423">
      <w:pPr>
        <w:tabs>
          <w:tab w:val="left" w:pos="360"/>
        </w:tabs>
        <w:spacing w:line="276" w:lineRule="auto"/>
        <w:ind w:left="1080"/>
        <w:rPr>
          <w:sz w:val="25"/>
          <w:szCs w:val="25"/>
        </w:rPr>
      </w:pPr>
      <w:r w:rsidRPr="002532DF">
        <w:rPr>
          <w:sz w:val="25"/>
          <w:szCs w:val="25"/>
        </w:rPr>
        <w:t>apply the following equation:</w:t>
      </w:r>
    </w:p>
    <w:p w:rsidR="00D40563" w:rsidRPr="002532DF" w:rsidRDefault="00D40563">
      <w:pPr>
        <w:tabs>
          <w:tab w:val="left" w:pos="360"/>
        </w:tabs>
        <w:spacing w:line="276" w:lineRule="auto"/>
        <w:ind w:left="1080"/>
        <w:rPr>
          <w:sz w:val="25"/>
          <w:szCs w:val="25"/>
        </w:rPr>
      </w:pPr>
    </w:p>
    <w:p w:rsidR="00D40563" w:rsidRPr="002532DF" w:rsidRDefault="00285423">
      <w:pPr>
        <w:tabs>
          <w:tab w:val="left" w:pos="360"/>
        </w:tabs>
        <w:spacing w:line="276" w:lineRule="auto"/>
        <w:ind w:left="1080"/>
        <w:jc w:val="center"/>
        <w:rPr>
          <w:sz w:val="25"/>
          <w:szCs w:val="25"/>
        </w:rPr>
      </w:pPr>
      <w:r w:rsidRPr="002532DF">
        <w:rPr>
          <w:sz w:val="25"/>
          <w:szCs w:val="25"/>
        </w:rPr>
        <w:t>R=O+B(</w:t>
      </w:r>
      <w:r w:rsidR="00714E28" w:rsidRPr="002532DF">
        <w:rPr>
          <w:sz w:val="25"/>
          <w:szCs w:val="25"/>
        </w:rPr>
        <w:t>r)</w:t>
      </w:r>
    </w:p>
    <w:p w:rsidR="00D40563" w:rsidRPr="002532DF" w:rsidRDefault="00D40563">
      <w:pPr>
        <w:tabs>
          <w:tab w:val="left" w:pos="360"/>
        </w:tabs>
        <w:spacing w:line="276" w:lineRule="auto"/>
        <w:ind w:left="1080"/>
        <w:rPr>
          <w:sz w:val="25"/>
          <w:szCs w:val="25"/>
        </w:rPr>
      </w:pPr>
    </w:p>
    <w:p w:rsidR="00D40563" w:rsidRPr="002532DF" w:rsidRDefault="003F3970">
      <w:pPr>
        <w:tabs>
          <w:tab w:val="left" w:pos="360"/>
        </w:tabs>
        <w:spacing w:line="276" w:lineRule="auto"/>
        <w:ind w:left="1080"/>
        <w:rPr>
          <w:sz w:val="25"/>
          <w:szCs w:val="25"/>
        </w:rPr>
      </w:pPr>
      <w:r w:rsidRPr="002532DF">
        <w:rPr>
          <w:sz w:val="25"/>
          <w:szCs w:val="25"/>
        </w:rPr>
        <w:t>In this equation:</w:t>
      </w:r>
    </w:p>
    <w:p w:rsidR="00D40563" w:rsidRPr="002532DF" w:rsidRDefault="00714E28">
      <w:pPr>
        <w:tabs>
          <w:tab w:val="left" w:pos="360"/>
        </w:tabs>
        <w:spacing w:line="276" w:lineRule="auto"/>
        <w:ind w:left="1080"/>
        <w:rPr>
          <w:sz w:val="25"/>
          <w:szCs w:val="25"/>
        </w:rPr>
      </w:pPr>
      <w:r w:rsidRPr="002532DF">
        <w:rPr>
          <w:sz w:val="25"/>
          <w:szCs w:val="25"/>
        </w:rPr>
        <w:t>R is the utility’s allowed revenue requirement;</w:t>
      </w:r>
    </w:p>
    <w:p w:rsidR="00D40563" w:rsidRPr="002532DF" w:rsidRDefault="00714E28">
      <w:pPr>
        <w:tabs>
          <w:tab w:val="left" w:pos="360"/>
        </w:tabs>
        <w:spacing w:line="276" w:lineRule="auto"/>
        <w:ind w:left="1080"/>
        <w:rPr>
          <w:sz w:val="25"/>
          <w:szCs w:val="25"/>
        </w:rPr>
      </w:pPr>
      <w:r w:rsidRPr="002532DF">
        <w:rPr>
          <w:sz w:val="25"/>
          <w:szCs w:val="25"/>
        </w:rPr>
        <w:t>O is its operating expenses;</w:t>
      </w:r>
    </w:p>
    <w:p w:rsidR="00D40563" w:rsidRPr="002532DF" w:rsidRDefault="00714E28">
      <w:pPr>
        <w:tabs>
          <w:tab w:val="left" w:pos="360"/>
        </w:tabs>
        <w:spacing w:line="276" w:lineRule="auto"/>
        <w:ind w:left="1080"/>
        <w:rPr>
          <w:sz w:val="25"/>
          <w:szCs w:val="25"/>
        </w:rPr>
      </w:pPr>
      <w:r w:rsidRPr="002532DF">
        <w:rPr>
          <w:sz w:val="25"/>
          <w:szCs w:val="25"/>
        </w:rPr>
        <w:t xml:space="preserve">B is its rate base; and </w:t>
      </w:r>
    </w:p>
    <w:p w:rsidR="00D40563" w:rsidRPr="002532DF" w:rsidRDefault="00714E28">
      <w:pPr>
        <w:tabs>
          <w:tab w:val="left" w:pos="360"/>
        </w:tabs>
        <w:spacing w:line="276" w:lineRule="auto"/>
        <w:ind w:left="1080"/>
        <w:rPr>
          <w:sz w:val="25"/>
          <w:szCs w:val="25"/>
        </w:rPr>
      </w:pPr>
      <w:r w:rsidRPr="002532DF">
        <w:rPr>
          <w:sz w:val="25"/>
          <w:szCs w:val="25"/>
        </w:rPr>
        <w:t>r is the rate of return allowed on rate base.</w:t>
      </w:r>
    </w:p>
    <w:p w:rsidR="00D40563" w:rsidRPr="002532DF" w:rsidRDefault="00D40563">
      <w:pPr>
        <w:tabs>
          <w:tab w:val="left" w:pos="360"/>
        </w:tabs>
        <w:spacing w:line="276" w:lineRule="auto"/>
        <w:ind w:left="1080"/>
        <w:rPr>
          <w:sz w:val="25"/>
          <w:szCs w:val="25"/>
        </w:rPr>
      </w:pPr>
    </w:p>
    <w:p w:rsidR="00D40563" w:rsidRPr="002532DF" w:rsidRDefault="00714E28" w:rsidP="003F3970">
      <w:pPr>
        <w:tabs>
          <w:tab w:val="left" w:pos="360"/>
        </w:tabs>
        <w:spacing w:line="276" w:lineRule="auto"/>
        <w:ind w:left="1080"/>
        <w:rPr>
          <w:sz w:val="25"/>
          <w:szCs w:val="25"/>
        </w:rPr>
      </w:pPr>
      <w:r w:rsidRPr="002532DF">
        <w:rPr>
          <w:sz w:val="25"/>
          <w:szCs w:val="25"/>
        </w:rPr>
        <w:t>Although regulatory agencies, courts, and text writers may vary these symbols and notations somewhat, this basic equation is the one which has evolved over the past century of public utility regulation in this country and is the one commonly accepted and used.</w:t>
      </w:r>
      <w:r w:rsidRPr="002532DF">
        <w:rPr>
          <w:rStyle w:val="FootnoteReference"/>
          <w:sz w:val="25"/>
          <w:szCs w:val="25"/>
        </w:rPr>
        <w:footnoteReference w:id="11"/>
      </w:r>
    </w:p>
    <w:p w:rsidR="00D40563" w:rsidRPr="002532DF" w:rsidRDefault="00D40563">
      <w:pPr>
        <w:tabs>
          <w:tab w:val="left" w:pos="360"/>
        </w:tabs>
        <w:spacing w:line="276" w:lineRule="auto"/>
        <w:ind w:left="1080"/>
        <w:rPr>
          <w:sz w:val="25"/>
          <w:szCs w:val="25"/>
        </w:rPr>
      </w:pPr>
    </w:p>
    <w:p w:rsidR="00D40563" w:rsidRPr="002532DF" w:rsidRDefault="004B67DC" w:rsidP="00282080">
      <w:pPr>
        <w:tabs>
          <w:tab w:val="left" w:pos="360"/>
        </w:tabs>
        <w:spacing w:line="276" w:lineRule="auto"/>
        <w:rPr>
          <w:sz w:val="25"/>
          <w:szCs w:val="25"/>
        </w:rPr>
      </w:pPr>
      <w:r w:rsidRPr="002532DF">
        <w:rPr>
          <w:sz w:val="25"/>
          <w:szCs w:val="25"/>
        </w:rPr>
        <w:t>We use th</w:t>
      </w:r>
      <w:r w:rsidR="002532DF">
        <w:rPr>
          <w:sz w:val="25"/>
          <w:szCs w:val="25"/>
        </w:rPr>
        <w:t>is</w:t>
      </w:r>
      <w:r w:rsidRPr="002532DF">
        <w:rPr>
          <w:sz w:val="25"/>
          <w:szCs w:val="25"/>
        </w:rPr>
        <w:t xml:space="preserve"> </w:t>
      </w:r>
      <w:r w:rsidR="00695EE3" w:rsidRPr="002532DF">
        <w:rPr>
          <w:sz w:val="25"/>
          <w:szCs w:val="25"/>
        </w:rPr>
        <w:t xml:space="preserve">general </w:t>
      </w:r>
      <w:r w:rsidRPr="002532DF">
        <w:rPr>
          <w:sz w:val="25"/>
          <w:szCs w:val="25"/>
        </w:rPr>
        <w:t>formula to calculate PacifiCorp’s revenue requirement in this case</w:t>
      </w:r>
      <w:r w:rsidR="002532DF">
        <w:rPr>
          <w:sz w:val="25"/>
          <w:szCs w:val="25"/>
        </w:rPr>
        <w:t>.</w:t>
      </w:r>
    </w:p>
    <w:p w:rsidR="00D40563" w:rsidRPr="002532DF" w:rsidRDefault="00D40563">
      <w:pPr>
        <w:tabs>
          <w:tab w:val="left" w:pos="360"/>
        </w:tabs>
        <w:spacing w:line="276" w:lineRule="auto"/>
        <w:ind w:left="-720"/>
        <w:rPr>
          <w:sz w:val="25"/>
          <w:szCs w:val="25"/>
        </w:rPr>
      </w:pPr>
    </w:p>
    <w:p w:rsidR="00D40563" w:rsidRPr="002532DF" w:rsidRDefault="002532DF">
      <w:pPr>
        <w:numPr>
          <w:ilvl w:val="0"/>
          <w:numId w:val="1"/>
        </w:numPr>
        <w:tabs>
          <w:tab w:val="num" w:pos="0"/>
          <w:tab w:val="left" w:pos="360"/>
          <w:tab w:val="left" w:pos="720"/>
        </w:tabs>
        <w:spacing w:line="276" w:lineRule="auto"/>
        <w:ind w:left="0"/>
        <w:rPr>
          <w:sz w:val="25"/>
          <w:szCs w:val="25"/>
        </w:rPr>
      </w:pPr>
      <w:r>
        <w:rPr>
          <w:sz w:val="25"/>
          <w:szCs w:val="25"/>
        </w:rPr>
        <w:t>We base</w:t>
      </w:r>
      <w:r w:rsidR="00695EE3" w:rsidRPr="002532DF">
        <w:rPr>
          <w:sz w:val="25"/>
          <w:szCs w:val="25"/>
        </w:rPr>
        <w:t xml:space="preserve"> our analysis </w:t>
      </w:r>
      <w:r>
        <w:rPr>
          <w:sz w:val="25"/>
          <w:szCs w:val="25"/>
        </w:rPr>
        <w:t>on an examination of data from the calendar year that preceded the Company’s initial filing, referred to as</w:t>
      </w:r>
      <w:r w:rsidR="00695EE3" w:rsidRPr="002532DF">
        <w:rPr>
          <w:sz w:val="25"/>
          <w:szCs w:val="25"/>
        </w:rPr>
        <w:t xml:space="preserve"> an </w:t>
      </w:r>
      <w:r>
        <w:rPr>
          <w:sz w:val="25"/>
          <w:szCs w:val="25"/>
        </w:rPr>
        <w:t>“</w:t>
      </w:r>
      <w:r w:rsidR="00695EE3" w:rsidRPr="002532DF">
        <w:rPr>
          <w:sz w:val="25"/>
          <w:szCs w:val="25"/>
        </w:rPr>
        <w:t>historical test year</w:t>
      </w:r>
      <w:r>
        <w:rPr>
          <w:sz w:val="25"/>
          <w:szCs w:val="25"/>
        </w:rPr>
        <w:t>,”</w:t>
      </w:r>
      <w:r w:rsidR="00695EE3" w:rsidRPr="002532DF">
        <w:rPr>
          <w:sz w:val="25"/>
          <w:szCs w:val="25"/>
        </w:rPr>
        <w:t xml:space="preserve"> because cost, revenue, plant data, and other pertinent information </w:t>
      </w:r>
      <w:r w:rsidR="00363C50" w:rsidRPr="002532DF">
        <w:rPr>
          <w:sz w:val="25"/>
          <w:szCs w:val="25"/>
        </w:rPr>
        <w:t>are</w:t>
      </w:r>
      <w:r w:rsidR="00695EE3" w:rsidRPr="002532DF">
        <w:rPr>
          <w:sz w:val="25"/>
          <w:szCs w:val="25"/>
        </w:rPr>
        <w:t xml:space="preserve"> known and measurable.</w:t>
      </w:r>
      <w:r w:rsidR="00695EE3" w:rsidRPr="002532DF">
        <w:rPr>
          <w:rStyle w:val="FootnoteReference"/>
          <w:sz w:val="25"/>
          <w:szCs w:val="25"/>
        </w:rPr>
        <w:footnoteReference w:id="12"/>
      </w:r>
      <w:r w:rsidR="00695EE3" w:rsidRPr="002532DF">
        <w:rPr>
          <w:sz w:val="25"/>
          <w:szCs w:val="25"/>
        </w:rPr>
        <w:t xml:space="preserve">  </w:t>
      </w:r>
      <w:r w:rsidR="006C6E74" w:rsidRPr="002532DF">
        <w:rPr>
          <w:sz w:val="25"/>
          <w:szCs w:val="25"/>
        </w:rPr>
        <w:t xml:space="preserve">However, we recognize that actual test year data may not be representative of the Company’s operations for the period that rates will be in effect.  Thus, subject to important conditions, the Company’s rate filing may include restating and </w:t>
      </w:r>
      <w:r w:rsidR="006C6E74" w:rsidRPr="002532DF">
        <w:rPr>
          <w:i/>
          <w:sz w:val="25"/>
          <w:szCs w:val="25"/>
        </w:rPr>
        <w:t xml:space="preserve">pro forma </w:t>
      </w:r>
      <w:r w:rsidR="006C6E74" w:rsidRPr="002532DF">
        <w:rPr>
          <w:sz w:val="25"/>
          <w:szCs w:val="25"/>
        </w:rPr>
        <w:t>adjustments.</w:t>
      </w:r>
      <w:r w:rsidR="006C6E74" w:rsidRPr="002532DF">
        <w:rPr>
          <w:rStyle w:val="FootnoteReference"/>
          <w:sz w:val="25"/>
          <w:szCs w:val="25"/>
        </w:rPr>
        <w:footnoteReference w:id="13"/>
      </w:r>
      <w:r w:rsidR="006175CE" w:rsidRPr="002532DF">
        <w:rPr>
          <w:sz w:val="25"/>
          <w:szCs w:val="25"/>
        </w:rPr>
        <w:t xml:space="preserve">  We further modify the historical test year approach to recognize that, for certain expenses such as </w:t>
      </w:r>
      <w:r>
        <w:rPr>
          <w:sz w:val="25"/>
          <w:szCs w:val="25"/>
        </w:rPr>
        <w:t>the costs the Company incurs to generate electricity, or “</w:t>
      </w:r>
      <w:r w:rsidR="006175CE" w:rsidRPr="002532DF">
        <w:rPr>
          <w:sz w:val="25"/>
          <w:szCs w:val="25"/>
        </w:rPr>
        <w:t>net power costs,</w:t>
      </w:r>
      <w:r>
        <w:rPr>
          <w:sz w:val="25"/>
          <w:szCs w:val="25"/>
        </w:rPr>
        <w:t>”</w:t>
      </w:r>
      <w:r w:rsidR="006175CE" w:rsidRPr="002532DF">
        <w:rPr>
          <w:sz w:val="25"/>
          <w:szCs w:val="25"/>
        </w:rPr>
        <w:t xml:space="preserve"> a forward looking approach is more appropriate.  For example, we commence our consideration of the Company’s net power costs using its Generation and Regulation Initiative Decision tools model, known as GRID, which forecasts power costs for the rate year.</w:t>
      </w:r>
      <w:r w:rsidR="00FD203D" w:rsidRPr="002532DF">
        <w:rPr>
          <w:sz w:val="25"/>
          <w:szCs w:val="25"/>
        </w:rPr>
        <w:t xml:space="preserve">  These future costs are then matched to test year loads through the production property adjustment.</w:t>
      </w:r>
    </w:p>
    <w:p w:rsidR="00D40563" w:rsidRPr="002532DF" w:rsidRDefault="00D40563">
      <w:pPr>
        <w:tabs>
          <w:tab w:val="left" w:pos="360"/>
        </w:tabs>
        <w:spacing w:line="276" w:lineRule="auto"/>
        <w:ind w:left="-720"/>
        <w:rPr>
          <w:sz w:val="25"/>
          <w:szCs w:val="25"/>
        </w:rPr>
      </w:pPr>
    </w:p>
    <w:p w:rsidR="00D40563" w:rsidRPr="002532DF" w:rsidRDefault="002532DF">
      <w:pPr>
        <w:numPr>
          <w:ilvl w:val="0"/>
          <w:numId w:val="1"/>
        </w:numPr>
        <w:tabs>
          <w:tab w:val="num" w:pos="0"/>
          <w:tab w:val="left" w:pos="360"/>
          <w:tab w:val="left" w:pos="720"/>
        </w:tabs>
        <w:spacing w:line="276" w:lineRule="auto"/>
        <w:ind w:left="0"/>
        <w:rPr>
          <w:sz w:val="25"/>
          <w:szCs w:val="25"/>
        </w:rPr>
      </w:pPr>
      <w:r>
        <w:rPr>
          <w:sz w:val="25"/>
          <w:szCs w:val="25"/>
        </w:rPr>
        <w:t>T</w:t>
      </w:r>
      <w:r w:rsidR="00FD203D" w:rsidRPr="002532DF">
        <w:rPr>
          <w:sz w:val="25"/>
          <w:szCs w:val="25"/>
        </w:rPr>
        <w:t xml:space="preserve">he parties propose both restating and </w:t>
      </w:r>
      <w:r w:rsidR="00FD203D" w:rsidRPr="002532DF">
        <w:rPr>
          <w:i/>
          <w:sz w:val="25"/>
          <w:szCs w:val="25"/>
        </w:rPr>
        <w:t xml:space="preserve">pro forma </w:t>
      </w:r>
      <w:r w:rsidR="00FD203D" w:rsidRPr="002532DF">
        <w:rPr>
          <w:sz w:val="25"/>
          <w:szCs w:val="25"/>
        </w:rPr>
        <w:t>adjust</w:t>
      </w:r>
      <w:r w:rsidR="00670368" w:rsidRPr="002532DF">
        <w:rPr>
          <w:sz w:val="25"/>
          <w:szCs w:val="25"/>
        </w:rPr>
        <w:t>ments</w:t>
      </w:r>
      <w:r w:rsidR="00FD203D" w:rsidRPr="002532DF">
        <w:rPr>
          <w:sz w:val="25"/>
          <w:szCs w:val="25"/>
        </w:rPr>
        <w:t xml:space="preserve">.  For restating adjustments, we consider whether certain expenses recorded during the test year are extraordinary and should be adjusted to more normal levels for the expenses in question.  For </w:t>
      </w:r>
      <w:r w:rsidR="00FD203D" w:rsidRPr="002532DF">
        <w:rPr>
          <w:i/>
          <w:sz w:val="25"/>
          <w:szCs w:val="25"/>
        </w:rPr>
        <w:t xml:space="preserve">pro forma </w:t>
      </w:r>
      <w:r w:rsidR="00FD203D" w:rsidRPr="002532DF">
        <w:rPr>
          <w:sz w:val="25"/>
          <w:szCs w:val="25"/>
        </w:rPr>
        <w:t xml:space="preserve">adjustments, we consider whether the proposed change is “known and measurable” and, if so, whether it is offset by other factors, a concept known as the “matching principle.” </w:t>
      </w:r>
      <w:r w:rsidR="00B40F0C">
        <w:rPr>
          <w:sz w:val="25"/>
          <w:szCs w:val="25"/>
        </w:rPr>
        <w:t xml:space="preserve"> </w:t>
      </w:r>
      <w:r w:rsidR="00FD203D" w:rsidRPr="002532DF">
        <w:rPr>
          <w:sz w:val="25"/>
          <w:szCs w:val="25"/>
        </w:rPr>
        <w:t>To be “known,” the event that causes a change to test year levels must have occurred either within or soon after, the test year and must be in place during the period rates will likely be in effect.  To be “measurable,” the amount of the change must be calculable, not projected or estimated.</w:t>
      </w:r>
      <w:r w:rsidR="00FD203D" w:rsidRPr="002532DF">
        <w:rPr>
          <w:rStyle w:val="FootnoteReference"/>
          <w:sz w:val="25"/>
          <w:szCs w:val="25"/>
        </w:rPr>
        <w:footnoteReference w:id="14"/>
      </w:r>
    </w:p>
    <w:p w:rsidR="00D40563" w:rsidRPr="002532DF" w:rsidRDefault="00D40563">
      <w:pPr>
        <w:tabs>
          <w:tab w:val="left" w:pos="360"/>
        </w:tabs>
        <w:spacing w:line="276" w:lineRule="auto"/>
        <w:ind w:left="-720"/>
        <w:rPr>
          <w:sz w:val="25"/>
          <w:szCs w:val="25"/>
        </w:rPr>
      </w:pPr>
    </w:p>
    <w:p w:rsidR="00D40563" w:rsidRPr="002532DF" w:rsidRDefault="00FD203D">
      <w:pPr>
        <w:numPr>
          <w:ilvl w:val="0"/>
          <w:numId w:val="1"/>
        </w:numPr>
        <w:tabs>
          <w:tab w:val="num" w:pos="0"/>
          <w:tab w:val="left" w:pos="360"/>
          <w:tab w:val="left" w:pos="720"/>
        </w:tabs>
        <w:spacing w:line="276" w:lineRule="auto"/>
        <w:ind w:left="0"/>
        <w:rPr>
          <w:sz w:val="25"/>
          <w:szCs w:val="25"/>
        </w:rPr>
      </w:pPr>
      <w:r w:rsidRPr="002532DF">
        <w:rPr>
          <w:sz w:val="25"/>
          <w:szCs w:val="25"/>
        </w:rPr>
        <w:t xml:space="preserve">The “matching principle” requires that </w:t>
      </w:r>
      <w:r w:rsidR="00363C50" w:rsidRPr="002532DF">
        <w:rPr>
          <w:sz w:val="25"/>
          <w:szCs w:val="25"/>
        </w:rPr>
        <w:t xml:space="preserve">all factors affecting a </w:t>
      </w:r>
      <w:r w:rsidR="00363C50" w:rsidRPr="002532DF">
        <w:rPr>
          <w:i/>
          <w:sz w:val="25"/>
          <w:szCs w:val="25"/>
        </w:rPr>
        <w:t xml:space="preserve">pro forma </w:t>
      </w:r>
      <w:r w:rsidR="00363C50" w:rsidRPr="002532DF">
        <w:rPr>
          <w:sz w:val="25"/>
          <w:szCs w:val="25"/>
        </w:rPr>
        <w:t xml:space="preserve">change be considered in determining a </w:t>
      </w:r>
      <w:r w:rsidR="00363C50" w:rsidRPr="002532DF">
        <w:rPr>
          <w:i/>
          <w:sz w:val="25"/>
          <w:szCs w:val="25"/>
        </w:rPr>
        <w:t xml:space="preserve">pro forma </w:t>
      </w:r>
      <w:r w:rsidR="00363C50" w:rsidRPr="002532DF">
        <w:rPr>
          <w:sz w:val="25"/>
          <w:szCs w:val="25"/>
        </w:rPr>
        <w:t xml:space="preserve">level of expense.  Offsetting factors may “cancel out” or mitigate the impact of a known and measurable change.  There are two aspects to offsetting factors: (1) whether the increase in expense directly produces offsetting benefits; and (2) whether the </w:t>
      </w:r>
      <w:r w:rsidR="00363C50" w:rsidRPr="002532DF">
        <w:rPr>
          <w:i/>
          <w:sz w:val="25"/>
          <w:szCs w:val="25"/>
        </w:rPr>
        <w:t xml:space="preserve">pro forma </w:t>
      </w:r>
      <w:r w:rsidR="00363C50" w:rsidRPr="002532DF">
        <w:rPr>
          <w:sz w:val="25"/>
          <w:szCs w:val="25"/>
        </w:rPr>
        <w:t>adjustment is reasonably close to the test year so that offsetting factors can be determined with reasonable accuracy.</w:t>
      </w:r>
      <w:r w:rsidR="00670368" w:rsidRPr="002532DF">
        <w:rPr>
          <w:rStyle w:val="FootnoteReference"/>
          <w:sz w:val="25"/>
          <w:szCs w:val="25"/>
        </w:rPr>
        <w:footnoteReference w:id="15"/>
      </w:r>
      <w:r w:rsidR="00363C50" w:rsidRPr="002532DF">
        <w:rPr>
          <w:sz w:val="25"/>
          <w:szCs w:val="25"/>
        </w:rPr>
        <w:t xml:space="preserve"> </w:t>
      </w:r>
    </w:p>
    <w:p w:rsidR="00AB78C8" w:rsidRDefault="00F46D68" w:rsidP="00282080">
      <w:pPr>
        <w:tabs>
          <w:tab w:val="left" w:pos="360"/>
        </w:tabs>
        <w:spacing w:line="276" w:lineRule="auto"/>
        <w:ind w:left="-720"/>
        <w:rPr>
          <w:sz w:val="25"/>
          <w:szCs w:val="25"/>
        </w:rPr>
      </w:pPr>
      <w:r w:rsidRPr="002532DF">
        <w:rPr>
          <w:sz w:val="25"/>
          <w:szCs w:val="25"/>
        </w:rPr>
        <w:t xml:space="preserve"> </w:t>
      </w:r>
    </w:p>
    <w:p w:rsidR="002532DF" w:rsidRDefault="002532DF" w:rsidP="002532DF">
      <w:pPr>
        <w:numPr>
          <w:ilvl w:val="0"/>
          <w:numId w:val="1"/>
        </w:numPr>
        <w:tabs>
          <w:tab w:val="num" w:pos="0"/>
          <w:tab w:val="left" w:pos="360"/>
          <w:tab w:val="left" w:pos="720"/>
        </w:tabs>
        <w:spacing w:line="276" w:lineRule="auto"/>
        <w:ind w:left="0"/>
        <w:rPr>
          <w:sz w:val="25"/>
          <w:szCs w:val="25"/>
        </w:rPr>
      </w:pPr>
      <w:r>
        <w:rPr>
          <w:sz w:val="25"/>
          <w:szCs w:val="25"/>
        </w:rPr>
        <w:t>Once we have determined the total revenues PacifiCorp needs to recover its costs and to have the opportunity to earn its authorized rate of return, we must establish the rates the Company may charge its customers.  We use a cost of service study to determine the costs caused by each class of customer, including residential, commercial, and industrial customers.  We then determine the rate spread, i.e., the portion of the total authorized revenue that the rates charged to each customer class is responsible for generating.  Finally, we establish the rate design, which structures the rates the Company charges each customer class to generate those revenues.</w:t>
      </w:r>
    </w:p>
    <w:p w:rsidR="002532DF" w:rsidRPr="002532DF" w:rsidRDefault="002532DF" w:rsidP="00282080">
      <w:pPr>
        <w:tabs>
          <w:tab w:val="left" w:pos="360"/>
        </w:tabs>
        <w:spacing w:line="276" w:lineRule="auto"/>
        <w:ind w:left="-720"/>
        <w:rPr>
          <w:sz w:val="25"/>
          <w:szCs w:val="25"/>
        </w:rPr>
      </w:pPr>
    </w:p>
    <w:p w:rsidR="00CE0B4D" w:rsidRPr="00CE0B4D" w:rsidRDefault="00AB78C8" w:rsidP="00D337A8">
      <w:pPr>
        <w:numPr>
          <w:ilvl w:val="0"/>
          <w:numId w:val="1"/>
        </w:numPr>
        <w:tabs>
          <w:tab w:val="clear" w:pos="720"/>
          <w:tab w:val="num" w:pos="0"/>
        </w:tabs>
        <w:spacing w:line="264" w:lineRule="auto"/>
        <w:ind w:left="0"/>
        <w:rPr>
          <w:b/>
          <w:sz w:val="25"/>
          <w:szCs w:val="25"/>
        </w:rPr>
      </w:pPr>
      <w:r w:rsidRPr="002532DF">
        <w:rPr>
          <w:sz w:val="25"/>
          <w:szCs w:val="25"/>
        </w:rPr>
        <w:t xml:space="preserve">We now turn to the issues in this case.  </w:t>
      </w:r>
      <w:r w:rsidR="006577E8">
        <w:rPr>
          <w:sz w:val="25"/>
          <w:szCs w:val="25"/>
        </w:rPr>
        <w:t>PacifiCorp proposed a rather dramatic increase in rates, over 20 percent.  While, after receiving responsive testimony by Staff and other parties, the Company reduced its request to 17.85 percent, that is still an exceptionally high request.  Understandably, ratepayers who testified at the public comment hearing in this proceeding</w:t>
      </w:r>
      <w:r w:rsidR="006577E8">
        <w:rPr>
          <w:rStyle w:val="FootnoteReference"/>
          <w:sz w:val="25"/>
          <w:szCs w:val="25"/>
        </w:rPr>
        <w:footnoteReference w:id="16"/>
      </w:r>
      <w:r w:rsidR="006577E8">
        <w:rPr>
          <w:sz w:val="25"/>
          <w:szCs w:val="25"/>
        </w:rPr>
        <w:t xml:space="preserve"> and who submitted written comments</w:t>
      </w:r>
      <w:r w:rsidR="006577E8">
        <w:rPr>
          <w:rStyle w:val="FootnoteReference"/>
          <w:sz w:val="25"/>
          <w:szCs w:val="25"/>
        </w:rPr>
        <w:footnoteReference w:id="17"/>
      </w:r>
      <w:r w:rsidR="006577E8">
        <w:rPr>
          <w:sz w:val="25"/>
          <w:szCs w:val="25"/>
        </w:rPr>
        <w:t xml:space="preserve"> expressed outrage at the magnitude of the increase, particularly given the present state of the economy</w:t>
      </w:r>
      <w:r w:rsidR="006577E8">
        <w:rPr>
          <w:rStyle w:val="FootnoteReference"/>
          <w:sz w:val="25"/>
          <w:szCs w:val="25"/>
        </w:rPr>
        <w:footnoteReference w:id="18"/>
      </w:r>
      <w:r w:rsidR="006577E8">
        <w:rPr>
          <w:sz w:val="25"/>
          <w:szCs w:val="25"/>
        </w:rPr>
        <w:t xml:space="preserve"> and the fact that this is PacifiCorp’s fi</w:t>
      </w:r>
      <w:r w:rsidR="00703E47">
        <w:rPr>
          <w:sz w:val="25"/>
          <w:szCs w:val="25"/>
        </w:rPr>
        <w:t>f</w:t>
      </w:r>
      <w:r w:rsidR="006577E8">
        <w:rPr>
          <w:sz w:val="25"/>
          <w:szCs w:val="25"/>
        </w:rPr>
        <w:t>th r</w:t>
      </w:r>
      <w:r w:rsidR="00703E47">
        <w:rPr>
          <w:sz w:val="25"/>
          <w:szCs w:val="25"/>
        </w:rPr>
        <w:t>e</w:t>
      </w:r>
      <w:r w:rsidR="006577E8">
        <w:rPr>
          <w:sz w:val="25"/>
          <w:szCs w:val="25"/>
        </w:rPr>
        <w:t>quest for a rate incr</w:t>
      </w:r>
      <w:r w:rsidR="00703E47">
        <w:rPr>
          <w:sz w:val="25"/>
          <w:szCs w:val="25"/>
        </w:rPr>
        <w:t>e</w:t>
      </w:r>
      <w:r w:rsidR="006577E8">
        <w:rPr>
          <w:sz w:val="25"/>
          <w:szCs w:val="25"/>
        </w:rPr>
        <w:t>ase in six years.</w:t>
      </w:r>
      <w:r w:rsidR="006577E8">
        <w:rPr>
          <w:rStyle w:val="FootnoteReference"/>
          <w:sz w:val="25"/>
          <w:szCs w:val="25"/>
        </w:rPr>
        <w:footnoteReference w:id="19"/>
      </w:r>
      <w:r w:rsidR="00703E47">
        <w:rPr>
          <w:sz w:val="25"/>
          <w:szCs w:val="25"/>
        </w:rPr>
        <w:t xml:space="preserve">  Our responsibility is to take these concerns into account in setting rates that are “fair, just, and reasonable.”  However, part of our statutory mission is also to ensure that rates are “sufficient.”  Accordingly, though we wish it wer</w:t>
      </w:r>
      <w:r w:rsidR="00411ADA">
        <w:rPr>
          <w:sz w:val="25"/>
          <w:szCs w:val="25"/>
        </w:rPr>
        <w:t>e</w:t>
      </w:r>
      <w:r w:rsidR="00703E47">
        <w:rPr>
          <w:sz w:val="25"/>
          <w:szCs w:val="25"/>
        </w:rPr>
        <w:t xml:space="preserve"> not necessary to do so, we do approve a rate incr</w:t>
      </w:r>
      <w:r w:rsidR="00411ADA">
        <w:rPr>
          <w:sz w:val="25"/>
          <w:szCs w:val="25"/>
        </w:rPr>
        <w:t>e</w:t>
      </w:r>
      <w:r w:rsidR="00703E47">
        <w:rPr>
          <w:sz w:val="25"/>
          <w:szCs w:val="25"/>
        </w:rPr>
        <w:t xml:space="preserve">ase, and one that by its percentage alone must be deemed substantial.  Much of the Company’s </w:t>
      </w:r>
      <w:r w:rsidR="005C0B7C">
        <w:rPr>
          <w:sz w:val="25"/>
          <w:szCs w:val="25"/>
        </w:rPr>
        <w:t>increased</w:t>
      </w:r>
      <w:r w:rsidR="00703E47">
        <w:rPr>
          <w:sz w:val="25"/>
          <w:szCs w:val="25"/>
        </w:rPr>
        <w:t xml:space="preserve"> revenue requirement is being drive</w:t>
      </w:r>
      <w:r w:rsidR="00411ADA">
        <w:rPr>
          <w:sz w:val="25"/>
          <w:szCs w:val="25"/>
        </w:rPr>
        <w:t>n</w:t>
      </w:r>
      <w:r w:rsidR="00703E47">
        <w:rPr>
          <w:sz w:val="25"/>
          <w:szCs w:val="25"/>
        </w:rPr>
        <w:t xml:space="preserve"> by an incr</w:t>
      </w:r>
      <w:r w:rsidR="00411ADA">
        <w:rPr>
          <w:sz w:val="25"/>
          <w:szCs w:val="25"/>
        </w:rPr>
        <w:t>e</w:t>
      </w:r>
      <w:r w:rsidR="00703E47">
        <w:rPr>
          <w:sz w:val="25"/>
          <w:szCs w:val="25"/>
        </w:rPr>
        <w:t>ase in net power costs caused by (1) the expiration of certain low-priced natural gas contracts and expiration of Bonneville Power Administration and Mid-Columbia wholesale power contracts, (2) the collection of costs, previously deferred, and return on equity associated with the Chehalis natural gas generation plant approved in the last general rate case, and (3) a substantial amount of investments in transmission and distribution.</w:t>
      </w:r>
      <w:r w:rsidR="00703E47">
        <w:rPr>
          <w:rStyle w:val="FootnoteReference"/>
          <w:sz w:val="25"/>
          <w:szCs w:val="25"/>
        </w:rPr>
        <w:footnoteReference w:id="20"/>
      </w:r>
      <w:r w:rsidR="00703E47">
        <w:rPr>
          <w:sz w:val="25"/>
          <w:szCs w:val="25"/>
        </w:rPr>
        <w:t xml:space="preserve">  Though, as described above, we reject a number of specific costs associated with these items, many of these cos</w:t>
      </w:r>
      <w:r w:rsidR="006B1D1F">
        <w:rPr>
          <w:sz w:val="25"/>
          <w:szCs w:val="25"/>
        </w:rPr>
        <w:t>t</w:t>
      </w:r>
      <w:r w:rsidR="00703E47">
        <w:rPr>
          <w:sz w:val="25"/>
          <w:szCs w:val="25"/>
        </w:rPr>
        <w:t>s are justified and must be built into rates.</w:t>
      </w:r>
      <w:r w:rsidR="00703E47">
        <w:rPr>
          <w:rStyle w:val="FootnoteReference"/>
          <w:sz w:val="25"/>
          <w:szCs w:val="25"/>
        </w:rPr>
        <w:footnoteReference w:id="21"/>
      </w:r>
    </w:p>
    <w:p w:rsidR="00CE0B4D" w:rsidRPr="00CE0B4D" w:rsidRDefault="00CE0B4D" w:rsidP="00CE0B4D">
      <w:pPr>
        <w:spacing w:line="264" w:lineRule="auto"/>
        <w:ind w:left="-720"/>
        <w:rPr>
          <w:b/>
          <w:sz w:val="25"/>
          <w:szCs w:val="25"/>
        </w:rPr>
      </w:pPr>
    </w:p>
    <w:p w:rsidR="002532DF" w:rsidRDefault="00AB78C8" w:rsidP="00D337A8">
      <w:pPr>
        <w:numPr>
          <w:ilvl w:val="0"/>
          <w:numId w:val="1"/>
        </w:numPr>
        <w:tabs>
          <w:tab w:val="clear" w:pos="720"/>
          <w:tab w:val="num" w:pos="0"/>
        </w:tabs>
        <w:spacing w:line="264" w:lineRule="auto"/>
        <w:ind w:left="0"/>
        <w:rPr>
          <w:b/>
          <w:sz w:val="25"/>
          <w:szCs w:val="25"/>
        </w:rPr>
      </w:pPr>
      <w:r w:rsidRPr="002532DF">
        <w:rPr>
          <w:sz w:val="25"/>
          <w:szCs w:val="25"/>
        </w:rPr>
        <w:t xml:space="preserve">We </w:t>
      </w:r>
      <w:r w:rsidR="00EC1198">
        <w:rPr>
          <w:sz w:val="25"/>
          <w:szCs w:val="25"/>
        </w:rPr>
        <w:t>begin</w:t>
      </w:r>
      <w:r w:rsidRPr="002532DF">
        <w:rPr>
          <w:sz w:val="25"/>
          <w:szCs w:val="25"/>
        </w:rPr>
        <w:t xml:space="preserve"> our discussion of the </w:t>
      </w:r>
      <w:r w:rsidR="00CE0B4D">
        <w:rPr>
          <w:sz w:val="25"/>
          <w:szCs w:val="25"/>
        </w:rPr>
        <w:t xml:space="preserve">disputed issues with the </w:t>
      </w:r>
      <w:r w:rsidRPr="002532DF">
        <w:rPr>
          <w:sz w:val="25"/>
          <w:szCs w:val="25"/>
        </w:rPr>
        <w:t>Company’s capital structure and cost of capital because those issues have the greatest impact on the revenue requirement in this case.  We then discuss the proposed revenue adjustments commencing again with the adjustment with the greatest impact</w:t>
      </w:r>
      <w:r w:rsidR="00FE6943" w:rsidRPr="002532DF">
        <w:rPr>
          <w:sz w:val="25"/>
          <w:szCs w:val="25"/>
        </w:rPr>
        <w:t xml:space="preserve"> on the revenue requirement</w:t>
      </w:r>
      <w:r w:rsidRPr="002532DF">
        <w:rPr>
          <w:sz w:val="25"/>
          <w:szCs w:val="25"/>
        </w:rPr>
        <w:t>, net power</w:t>
      </w:r>
      <w:r w:rsidR="002777C7" w:rsidRPr="002532DF">
        <w:rPr>
          <w:sz w:val="25"/>
          <w:szCs w:val="25"/>
        </w:rPr>
        <w:t xml:space="preserve"> costs</w:t>
      </w:r>
      <w:r w:rsidRPr="002532DF">
        <w:rPr>
          <w:sz w:val="25"/>
          <w:szCs w:val="25"/>
        </w:rPr>
        <w:t xml:space="preserve">.  </w:t>
      </w:r>
      <w:r w:rsidR="000922A5" w:rsidRPr="002532DF">
        <w:rPr>
          <w:sz w:val="25"/>
          <w:szCs w:val="25"/>
        </w:rPr>
        <w:t>F</w:t>
      </w:r>
      <w:r w:rsidRPr="002532DF">
        <w:rPr>
          <w:sz w:val="25"/>
          <w:szCs w:val="25"/>
        </w:rPr>
        <w:t xml:space="preserve">inally, we discuss the remainder of the </w:t>
      </w:r>
      <w:r w:rsidR="002777C7" w:rsidRPr="002532DF">
        <w:rPr>
          <w:sz w:val="25"/>
          <w:szCs w:val="25"/>
        </w:rPr>
        <w:t xml:space="preserve">proposed </w:t>
      </w:r>
      <w:r w:rsidRPr="002532DF">
        <w:rPr>
          <w:sz w:val="25"/>
          <w:szCs w:val="25"/>
        </w:rPr>
        <w:t>adjustments as well as the cost-of-service study, rate spread, and rate design.</w:t>
      </w:r>
      <w:r w:rsidRPr="002532DF">
        <w:rPr>
          <w:b/>
          <w:sz w:val="25"/>
          <w:szCs w:val="25"/>
        </w:rPr>
        <w:t xml:space="preserve"> </w:t>
      </w:r>
    </w:p>
    <w:p w:rsidR="002532DF" w:rsidRDefault="002532DF">
      <w:pPr>
        <w:rPr>
          <w:b/>
          <w:sz w:val="25"/>
          <w:szCs w:val="25"/>
        </w:rPr>
      </w:pPr>
      <w:r>
        <w:rPr>
          <w:b/>
          <w:sz w:val="25"/>
          <w:szCs w:val="25"/>
        </w:rPr>
        <w:br w:type="page"/>
      </w:r>
    </w:p>
    <w:p w:rsidR="00AB78C8" w:rsidRPr="002532DF" w:rsidRDefault="00AB78C8" w:rsidP="002532DF">
      <w:pPr>
        <w:spacing w:line="264" w:lineRule="auto"/>
        <w:ind w:left="-720"/>
        <w:rPr>
          <w:b/>
          <w:sz w:val="25"/>
          <w:szCs w:val="25"/>
        </w:rPr>
      </w:pPr>
    </w:p>
    <w:p w:rsidR="008A32B4" w:rsidRPr="002532DF" w:rsidRDefault="00670368" w:rsidP="00D337A8">
      <w:pPr>
        <w:pStyle w:val="Heading3"/>
        <w:ind w:left="720" w:hanging="360"/>
        <w:rPr>
          <w:rFonts w:ascii="Times New Roman" w:hAnsi="Times New Roman"/>
          <w:sz w:val="25"/>
          <w:szCs w:val="25"/>
        </w:rPr>
      </w:pPr>
      <w:bookmarkStart w:id="10" w:name="_Toc168986359"/>
      <w:bookmarkStart w:id="11" w:name="_Toc288813721"/>
      <w:r w:rsidRPr="002532DF">
        <w:rPr>
          <w:rFonts w:ascii="Times New Roman" w:hAnsi="Times New Roman"/>
          <w:sz w:val="25"/>
          <w:szCs w:val="25"/>
        </w:rPr>
        <w:t>B</w:t>
      </w:r>
      <w:r w:rsidR="00AB78C8" w:rsidRPr="002532DF">
        <w:rPr>
          <w:rFonts w:ascii="Times New Roman" w:hAnsi="Times New Roman"/>
          <w:sz w:val="25"/>
          <w:szCs w:val="25"/>
        </w:rPr>
        <w:t>.</w:t>
      </w:r>
      <w:r w:rsidR="00AB78C8" w:rsidRPr="002532DF">
        <w:rPr>
          <w:rFonts w:ascii="Times New Roman" w:hAnsi="Times New Roman"/>
          <w:sz w:val="25"/>
          <w:szCs w:val="25"/>
        </w:rPr>
        <w:tab/>
        <w:t>Capital Structure</w:t>
      </w:r>
      <w:r w:rsidR="00CD37A3" w:rsidRPr="002532DF">
        <w:rPr>
          <w:rFonts w:ascii="Times New Roman" w:hAnsi="Times New Roman"/>
          <w:sz w:val="25"/>
          <w:szCs w:val="25"/>
        </w:rPr>
        <w:t xml:space="preserve"> and Rate of Return</w:t>
      </w:r>
      <w:bookmarkEnd w:id="10"/>
      <w:bookmarkEnd w:id="11"/>
    </w:p>
    <w:p w:rsidR="002D7DDF" w:rsidRPr="002532DF" w:rsidRDefault="002D7DDF" w:rsidP="00741D85">
      <w:pPr>
        <w:tabs>
          <w:tab w:val="num" w:pos="0"/>
        </w:tabs>
        <w:outlineLvl w:val="2"/>
        <w:rPr>
          <w:b/>
          <w:sz w:val="25"/>
          <w:szCs w:val="25"/>
        </w:rPr>
      </w:pPr>
    </w:p>
    <w:p w:rsidR="004015DE" w:rsidRPr="002532DF" w:rsidRDefault="002532DF" w:rsidP="002D7DDF">
      <w:pPr>
        <w:numPr>
          <w:ilvl w:val="0"/>
          <w:numId w:val="1"/>
        </w:numPr>
        <w:tabs>
          <w:tab w:val="clear" w:pos="720"/>
          <w:tab w:val="num" w:pos="0"/>
        </w:tabs>
        <w:spacing w:line="276" w:lineRule="auto"/>
        <w:ind w:left="0"/>
        <w:rPr>
          <w:sz w:val="25"/>
          <w:szCs w:val="25"/>
        </w:rPr>
      </w:pPr>
      <w:r>
        <w:rPr>
          <w:sz w:val="25"/>
          <w:szCs w:val="25"/>
        </w:rPr>
        <w:t>T</w:t>
      </w:r>
      <w:r w:rsidR="004015DE" w:rsidRPr="002532DF">
        <w:rPr>
          <w:sz w:val="25"/>
          <w:szCs w:val="25"/>
        </w:rPr>
        <w:t xml:space="preserve">he Washington Supreme Court </w:t>
      </w:r>
      <w:r>
        <w:rPr>
          <w:sz w:val="25"/>
          <w:szCs w:val="25"/>
        </w:rPr>
        <w:t xml:space="preserve">has </w:t>
      </w:r>
      <w:r w:rsidR="004015DE" w:rsidRPr="002532DF">
        <w:rPr>
          <w:sz w:val="25"/>
          <w:szCs w:val="25"/>
        </w:rPr>
        <w:t>described the task of the Commission in determining the utility’s rate of return:</w:t>
      </w:r>
    </w:p>
    <w:p w:rsidR="004015DE" w:rsidRPr="002532DF" w:rsidRDefault="004015DE" w:rsidP="004015DE">
      <w:pPr>
        <w:spacing w:line="276" w:lineRule="auto"/>
        <w:ind w:left="-720"/>
        <w:rPr>
          <w:sz w:val="25"/>
          <w:szCs w:val="25"/>
        </w:rPr>
      </w:pPr>
    </w:p>
    <w:p w:rsidR="004015DE" w:rsidRPr="002532DF" w:rsidRDefault="004015DE" w:rsidP="004015DE">
      <w:pPr>
        <w:ind w:left="720" w:right="720"/>
        <w:rPr>
          <w:sz w:val="25"/>
          <w:szCs w:val="25"/>
        </w:rPr>
      </w:pPr>
      <w:r w:rsidRPr="002532DF">
        <w:rPr>
          <w:sz w:val="25"/>
          <w:szCs w:val="25"/>
        </w:rPr>
        <w:t>[T he rate of return] is the utility’s cost of capital, or the amount of money it must spend to obtain the capital it uses to provide regulated products.  Rate of return is the weighted average cost of the utility’s various sources of capital (the interest it pays on its debt and the rate of return on its equity) that is necessary to permit it to continue to attract the capital required to provide the regulated product or service—in this case, electricity.</w:t>
      </w:r>
      <w:r w:rsidRPr="002532DF">
        <w:rPr>
          <w:rStyle w:val="FootnoteReference"/>
          <w:sz w:val="25"/>
          <w:szCs w:val="25"/>
        </w:rPr>
        <w:footnoteReference w:id="22"/>
      </w:r>
    </w:p>
    <w:p w:rsidR="00B232F0" w:rsidRDefault="00B232F0" w:rsidP="004015DE">
      <w:pPr>
        <w:ind w:left="720" w:right="720"/>
        <w:rPr>
          <w:sz w:val="25"/>
          <w:szCs w:val="25"/>
        </w:rPr>
      </w:pPr>
    </w:p>
    <w:p w:rsidR="002532DF" w:rsidRPr="005B0C97" w:rsidRDefault="002532DF" w:rsidP="002532DF">
      <w:pPr>
        <w:numPr>
          <w:ilvl w:val="0"/>
          <w:numId w:val="1"/>
        </w:numPr>
        <w:tabs>
          <w:tab w:val="clear" w:pos="720"/>
          <w:tab w:val="num" w:pos="0"/>
        </w:tabs>
        <w:spacing w:line="276" w:lineRule="auto"/>
        <w:ind w:left="0"/>
        <w:rPr>
          <w:b/>
          <w:sz w:val="25"/>
          <w:szCs w:val="25"/>
        </w:rPr>
      </w:pPr>
      <w:r>
        <w:rPr>
          <w:sz w:val="25"/>
          <w:szCs w:val="25"/>
        </w:rPr>
        <w:t>More specifically, the Commission must determine the appropriate capital structure for the Company for ratemaking purposes and the cost of each capital structure component, including the cost of equity and debt.  The selected capital structure when combined with the individual costs of financing establishes the overall return on investment to be applied to the company’s rate base.</w:t>
      </w:r>
    </w:p>
    <w:p w:rsidR="00B232F0" w:rsidRPr="00973B0D" w:rsidRDefault="00973B0D" w:rsidP="00973B0D">
      <w:pPr>
        <w:pStyle w:val="Heading4"/>
        <w:ind w:left="1080"/>
        <w:rPr>
          <w:rFonts w:ascii="Times New Roman" w:hAnsi="Times New Roman"/>
          <w:sz w:val="25"/>
          <w:szCs w:val="25"/>
        </w:rPr>
      </w:pPr>
      <w:bookmarkStart w:id="12" w:name="_Toc288813722"/>
      <w:r w:rsidRPr="00973B0D">
        <w:rPr>
          <w:rFonts w:ascii="Times New Roman" w:hAnsi="Times New Roman"/>
          <w:sz w:val="25"/>
          <w:szCs w:val="25"/>
        </w:rPr>
        <w:t>1</w:t>
      </w:r>
      <w:r w:rsidR="00B232F0" w:rsidRPr="00973B0D">
        <w:rPr>
          <w:rFonts w:ascii="Times New Roman" w:hAnsi="Times New Roman"/>
          <w:sz w:val="25"/>
          <w:szCs w:val="25"/>
        </w:rPr>
        <w:t>.</w:t>
      </w:r>
      <w:r w:rsidR="00B232F0" w:rsidRPr="00973B0D">
        <w:rPr>
          <w:rFonts w:ascii="Times New Roman" w:hAnsi="Times New Roman"/>
          <w:sz w:val="25"/>
          <w:szCs w:val="25"/>
        </w:rPr>
        <w:tab/>
        <w:t>Capital Structure</w:t>
      </w:r>
      <w:bookmarkEnd w:id="12"/>
      <w:r w:rsidR="00B232F0" w:rsidRPr="00973B0D">
        <w:rPr>
          <w:rFonts w:ascii="Times New Roman" w:hAnsi="Times New Roman"/>
          <w:sz w:val="25"/>
          <w:szCs w:val="25"/>
        </w:rPr>
        <w:t xml:space="preserve"> </w:t>
      </w:r>
    </w:p>
    <w:p w:rsidR="004015DE" w:rsidRDefault="004015DE" w:rsidP="002532DF">
      <w:pPr>
        <w:pStyle w:val="ListParagraph"/>
        <w:ind w:left="0"/>
        <w:rPr>
          <w:sz w:val="25"/>
          <w:szCs w:val="25"/>
        </w:rPr>
      </w:pPr>
    </w:p>
    <w:p w:rsidR="002532DF" w:rsidRDefault="002532DF" w:rsidP="002532DF">
      <w:pPr>
        <w:numPr>
          <w:ilvl w:val="0"/>
          <w:numId w:val="1"/>
        </w:numPr>
        <w:tabs>
          <w:tab w:val="clear" w:pos="720"/>
          <w:tab w:val="num" w:pos="0"/>
        </w:tabs>
        <w:spacing w:line="276" w:lineRule="auto"/>
        <w:ind w:left="0"/>
        <w:rPr>
          <w:sz w:val="25"/>
          <w:szCs w:val="25"/>
        </w:rPr>
      </w:pPr>
      <w:r>
        <w:rPr>
          <w:sz w:val="25"/>
          <w:szCs w:val="25"/>
        </w:rPr>
        <w:t>A company’s capital structure reflects the way it finances its assets by using equity and debt (and other hybrid securities such as preferred stock).  A company’s capital structure reflects a blending of equity and debt which ultimately determines a company’s exposure to financial risk and the price its ratepayers pay for service.  A company may select its own capital structure to meet its needs.  However, for ratemaking purposes, the Commission may</w:t>
      </w:r>
      <w:r w:rsidR="00EC1198">
        <w:rPr>
          <w:sz w:val="25"/>
          <w:szCs w:val="25"/>
        </w:rPr>
        <w:t xml:space="preserve"> determine</w:t>
      </w:r>
      <w:r>
        <w:rPr>
          <w:sz w:val="25"/>
          <w:szCs w:val="25"/>
        </w:rPr>
        <w:t>, and frequently has</w:t>
      </w:r>
      <w:r w:rsidR="00EC1198">
        <w:rPr>
          <w:sz w:val="25"/>
          <w:szCs w:val="25"/>
        </w:rPr>
        <w:t xml:space="preserve"> used</w:t>
      </w:r>
      <w:r>
        <w:rPr>
          <w:sz w:val="25"/>
          <w:szCs w:val="25"/>
        </w:rPr>
        <w:t>, a “hypothetical capital structure” on which to set rates.</w:t>
      </w:r>
      <w:r>
        <w:rPr>
          <w:rStyle w:val="FootnoteReference"/>
          <w:sz w:val="25"/>
          <w:szCs w:val="25"/>
        </w:rPr>
        <w:footnoteReference w:id="23"/>
      </w:r>
      <w:r>
        <w:rPr>
          <w:sz w:val="25"/>
          <w:szCs w:val="25"/>
        </w:rPr>
        <w:t xml:space="preserve">  Such a capital structure should be balanced in a way that achieves financial safety while minimizing financial risk so that the company</w:t>
      </w:r>
      <w:r w:rsidR="00EC1198">
        <w:rPr>
          <w:sz w:val="25"/>
          <w:szCs w:val="25"/>
        </w:rPr>
        <w:t xml:space="preserve"> may</w:t>
      </w:r>
      <w:r>
        <w:rPr>
          <w:sz w:val="25"/>
          <w:szCs w:val="25"/>
        </w:rPr>
        <w:t xml:space="preserve"> financ</w:t>
      </w:r>
      <w:r w:rsidR="00EC1198">
        <w:rPr>
          <w:sz w:val="25"/>
          <w:szCs w:val="25"/>
        </w:rPr>
        <w:t>e</w:t>
      </w:r>
      <w:r>
        <w:rPr>
          <w:sz w:val="25"/>
          <w:szCs w:val="25"/>
        </w:rPr>
        <w:t xml:space="preserve"> its operations at the least cost.</w:t>
      </w:r>
    </w:p>
    <w:p w:rsidR="002532DF" w:rsidRPr="002532DF" w:rsidRDefault="002532DF" w:rsidP="002532DF">
      <w:pPr>
        <w:pStyle w:val="ListParagraph"/>
        <w:ind w:left="0"/>
        <w:rPr>
          <w:sz w:val="25"/>
          <w:szCs w:val="25"/>
        </w:rPr>
      </w:pPr>
    </w:p>
    <w:p w:rsidR="00B67775" w:rsidRPr="002532DF" w:rsidRDefault="002532DF" w:rsidP="00B67775">
      <w:pPr>
        <w:numPr>
          <w:ilvl w:val="0"/>
          <w:numId w:val="1"/>
        </w:numPr>
        <w:tabs>
          <w:tab w:val="clear" w:pos="720"/>
          <w:tab w:val="num" w:pos="0"/>
        </w:tabs>
        <w:spacing w:line="276" w:lineRule="auto"/>
        <w:ind w:left="0"/>
        <w:rPr>
          <w:sz w:val="25"/>
          <w:szCs w:val="25"/>
        </w:rPr>
      </w:pPr>
      <w:r w:rsidRPr="002532DF">
        <w:rPr>
          <w:i/>
          <w:sz w:val="25"/>
          <w:szCs w:val="25"/>
        </w:rPr>
        <w:t>Positions of the Parties.</w:t>
      </w:r>
      <w:r>
        <w:rPr>
          <w:sz w:val="25"/>
          <w:szCs w:val="25"/>
        </w:rPr>
        <w:t xml:space="preserve">  </w:t>
      </w:r>
      <w:r w:rsidR="002D7DDF" w:rsidRPr="002532DF">
        <w:rPr>
          <w:sz w:val="25"/>
          <w:szCs w:val="25"/>
        </w:rPr>
        <w:t xml:space="preserve">The following table summarizes the parties’ positions on this issue: </w:t>
      </w:r>
      <w:bookmarkStart w:id="13" w:name="_Toc168986360"/>
    </w:p>
    <w:p w:rsidR="00B67775" w:rsidRPr="002532DF" w:rsidRDefault="00B67775" w:rsidP="00B67775">
      <w:pPr>
        <w:spacing w:line="276" w:lineRule="auto"/>
        <w:rPr>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2015"/>
        <w:gridCol w:w="1825"/>
        <w:gridCol w:w="1758"/>
        <w:gridCol w:w="1759"/>
      </w:tblGrid>
      <w:tr w:rsidR="00B67775" w:rsidRPr="002532DF" w:rsidTr="00B232F0">
        <w:tc>
          <w:tcPr>
            <w:tcW w:w="3830" w:type="dxa"/>
            <w:gridSpan w:val="2"/>
            <w:tcBorders>
              <w:top w:val="nil"/>
              <w:left w:val="nil"/>
              <w:bottom w:val="single" w:sz="4" w:space="0" w:color="auto"/>
              <w:right w:val="nil"/>
            </w:tcBorders>
            <w:shd w:val="clear" w:color="auto" w:fill="auto"/>
          </w:tcPr>
          <w:p w:rsidR="00B67775" w:rsidRPr="002532DF" w:rsidRDefault="00B67775" w:rsidP="00B232F0">
            <w:pPr>
              <w:pStyle w:val="NoSpacing"/>
              <w:spacing w:line="480" w:lineRule="auto"/>
              <w:rPr>
                <w:sz w:val="25"/>
                <w:szCs w:val="25"/>
              </w:rPr>
            </w:pPr>
          </w:p>
        </w:tc>
        <w:tc>
          <w:tcPr>
            <w:tcW w:w="1915" w:type="dxa"/>
            <w:tcBorders>
              <w:top w:val="nil"/>
              <w:left w:val="nil"/>
              <w:bottom w:val="single" w:sz="4" w:space="0" w:color="auto"/>
              <w:right w:val="nil"/>
            </w:tcBorders>
            <w:shd w:val="clear" w:color="auto" w:fill="auto"/>
          </w:tcPr>
          <w:p w:rsidR="00B67775" w:rsidRPr="002532DF" w:rsidRDefault="00B67775" w:rsidP="00B232F0">
            <w:pPr>
              <w:pStyle w:val="NoSpacing"/>
              <w:spacing w:line="480" w:lineRule="auto"/>
              <w:jc w:val="center"/>
              <w:rPr>
                <w:b/>
                <w:sz w:val="25"/>
                <w:szCs w:val="25"/>
              </w:rPr>
            </w:pPr>
            <w:r w:rsidRPr="002532DF">
              <w:rPr>
                <w:b/>
                <w:sz w:val="25"/>
                <w:szCs w:val="25"/>
              </w:rPr>
              <w:t>PacifiCorp</w:t>
            </w:r>
          </w:p>
        </w:tc>
        <w:tc>
          <w:tcPr>
            <w:tcW w:w="1915" w:type="dxa"/>
            <w:tcBorders>
              <w:top w:val="nil"/>
              <w:left w:val="nil"/>
              <w:bottom w:val="single" w:sz="4" w:space="0" w:color="auto"/>
              <w:right w:val="nil"/>
            </w:tcBorders>
            <w:shd w:val="clear" w:color="auto" w:fill="auto"/>
          </w:tcPr>
          <w:p w:rsidR="00B67775" w:rsidRPr="002532DF" w:rsidRDefault="00B67775" w:rsidP="00B232F0">
            <w:pPr>
              <w:pStyle w:val="NoSpacing"/>
              <w:spacing w:line="480" w:lineRule="auto"/>
              <w:jc w:val="center"/>
              <w:rPr>
                <w:b/>
                <w:sz w:val="25"/>
                <w:szCs w:val="25"/>
              </w:rPr>
            </w:pPr>
            <w:r w:rsidRPr="002532DF">
              <w:rPr>
                <w:b/>
                <w:sz w:val="25"/>
                <w:szCs w:val="25"/>
              </w:rPr>
              <w:t>Staff</w:t>
            </w:r>
          </w:p>
        </w:tc>
        <w:tc>
          <w:tcPr>
            <w:tcW w:w="1916" w:type="dxa"/>
            <w:tcBorders>
              <w:top w:val="nil"/>
              <w:left w:val="nil"/>
              <w:bottom w:val="single" w:sz="4" w:space="0" w:color="auto"/>
              <w:right w:val="nil"/>
            </w:tcBorders>
            <w:shd w:val="clear" w:color="auto" w:fill="auto"/>
          </w:tcPr>
          <w:p w:rsidR="00B67775" w:rsidRPr="002532DF" w:rsidRDefault="00B67775" w:rsidP="00B232F0">
            <w:pPr>
              <w:pStyle w:val="NoSpacing"/>
              <w:spacing w:line="480" w:lineRule="auto"/>
              <w:jc w:val="center"/>
              <w:rPr>
                <w:b/>
                <w:sz w:val="25"/>
                <w:szCs w:val="25"/>
              </w:rPr>
            </w:pPr>
            <w:r w:rsidRPr="002532DF">
              <w:rPr>
                <w:b/>
                <w:sz w:val="25"/>
                <w:szCs w:val="25"/>
              </w:rPr>
              <w:t>ICNU</w:t>
            </w:r>
          </w:p>
        </w:tc>
      </w:tr>
      <w:tr w:rsidR="00B67775" w:rsidRPr="002532DF" w:rsidTr="00B232F0">
        <w:tc>
          <w:tcPr>
            <w:tcW w:w="3830" w:type="dxa"/>
            <w:gridSpan w:val="2"/>
            <w:tcBorders>
              <w:top w:val="single" w:sz="4" w:space="0" w:color="auto"/>
            </w:tcBorders>
            <w:shd w:val="clear" w:color="auto" w:fill="auto"/>
          </w:tcPr>
          <w:p w:rsidR="00B67775" w:rsidRPr="002532DF" w:rsidRDefault="00A87DCD" w:rsidP="00B232F0">
            <w:pPr>
              <w:pStyle w:val="NoSpacing"/>
              <w:spacing w:line="480" w:lineRule="auto"/>
              <w:rPr>
                <w:sz w:val="25"/>
                <w:szCs w:val="25"/>
              </w:rPr>
            </w:pPr>
            <w:r w:rsidRPr="002532DF">
              <w:rPr>
                <w:sz w:val="25"/>
                <w:szCs w:val="25"/>
              </w:rPr>
              <w:t xml:space="preserve">Overall </w:t>
            </w:r>
            <w:r w:rsidR="00B67775" w:rsidRPr="002532DF">
              <w:rPr>
                <w:sz w:val="25"/>
                <w:szCs w:val="25"/>
              </w:rPr>
              <w:t>Rate of Return</w:t>
            </w:r>
          </w:p>
        </w:tc>
        <w:tc>
          <w:tcPr>
            <w:tcW w:w="1915" w:type="dxa"/>
            <w:tcBorders>
              <w:top w:val="single" w:sz="4" w:space="0" w:color="auto"/>
            </w:tcBorders>
            <w:shd w:val="clear" w:color="auto" w:fill="auto"/>
          </w:tcPr>
          <w:p w:rsidR="00B67775" w:rsidRPr="002532DF" w:rsidRDefault="00B67775" w:rsidP="00B232F0">
            <w:pPr>
              <w:pStyle w:val="NoSpacing"/>
              <w:spacing w:line="480" w:lineRule="auto"/>
              <w:jc w:val="right"/>
              <w:rPr>
                <w:sz w:val="25"/>
                <w:szCs w:val="25"/>
              </w:rPr>
            </w:pPr>
            <w:r w:rsidRPr="002532DF">
              <w:rPr>
                <w:sz w:val="25"/>
                <w:szCs w:val="25"/>
              </w:rPr>
              <w:t>8.34%</w:t>
            </w:r>
          </w:p>
        </w:tc>
        <w:tc>
          <w:tcPr>
            <w:tcW w:w="1915" w:type="dxa"/>
            <w:tcBorders>
              <w:top w:val="single" w:sz="4" w:space="0" w:color="auto"/>
            </w:tcBorders>
            <w:shd w:val="clear" w:color="auto" w:fill="auto"/>
          </w:tcPr>
          <w:p w:rsidR="00B67775" w:rsidRPr="002532DF" w:rsidRDefault="00B67775" w:rsidP="00B232F0">
            <w:pPr>
              <w:pStyle w:val="NoSpacing"/>
              <w:spacing w:line="480" w:lineRule="auto"/>
              <w:jc w:val="right"/>
              <w:rPr>
                <w:sz w:val="25"/>
                <w:szCs w:val="25"/>
              </w:rPr>
            </w:pPr>
            <w:r w:rsidRPr="002532DF">
              <w:rPr>
                <w:sz w:val="25"/>
                <w:szCs w:val="25"/>
              </w:rPr>
              <w:t>7.48%</w:t>
            </w:r>
          </w:p>
        </w:tc>
        <w:tc>
          <w:tcPr>
            <w:tcW w:w="1916" w:type="dxa"/>
            <w:tcBorders>
              <w:top w:val="single" w:sz="4" w:space="0" w:color="auto"/>
            </w:tcBorders>
            <w:shd w:val="clear" w:color="auto" w:fill="auto"/>
          </w:tcPr>
          <w:p w:rsidR="00B67775" w:rsidRPr="002532DF" w:rsidRDefault="00B67775" w:rsidP="00B232F0">
            <w:pPr>
              <w:pStyle w:val="NoSpacing"/>
              <w:spacing w:line="480" w:lineRule="auto"/>
              <w:jc w:val="right"/>
              <w:rPr>
                <w:sz w:val="25"/>
                <w:szCs w:val="25"/>
              </w:rPr>
            </w:pPr>
            <w:r w:rsidRPr="002532DF">
              <w:rPr>
                <w:sz w:val="25"/>
                <w:szCs w:val="25"/>
              </w:rPr>
              <w:t>7.66%</w:t>
            </w:r>
          </w:p>
        </w:tc>
      </w:tr>
      <w:tr w:rsidR="00B67775" w:rsidRPr="002532DF" w:rsidTr="00B232F0">
        <w:tc>
          <w:tcPr>
            <w:tcW w:w="1638" w:type="dxa"/>
            <w:vMerge w:val="restart"/>
            <w:shd w:val="clear" w:color="auto" w:fill="auto"/>
            <w:textDirection w:val="btLr"/>
          </w:tcPr>
          <w:p w:rsidR="00B67775" w:rsidRPr="002532DF" w:rsidRDefault="00B67775" w:rsidP="00B232F0">
            <w:pPr>
              <w:pStyle w:val="NoSpacing"/>
              <w:ind w:left="115" w:right="115"/>
              <w:jc w:val="center"/>
              <w:rPr>
                <w:sz w:val="25"/>
                <w:szCs w:val="25"/>
              </w:rPr>
            </w:pPr>
          </w:p>
          <w:p w:rsidR="00B67775" w:rsidRPr="002532DF" w:rsidRDefault="00B67775" w:rsidP="00B232F0">
            <w:pPr>
              <w:pStyle w:val="NoSpacing"/>
              <w:ind w:left="115" w:right="115"/>
              <w:jc w:val="center"/>
              <w:rPr>
                <w:sz w:val="25"/>
                <w:szCs w:val="25"/>
              </w:rPr>
            </w:pPr>
            <w:r w:rsidRPr="002532DF">
              <w:rPr>
                <w:sz w:val="25"/>
                <w:szCs w:val="25"/>
              </w:rPr>
              <w:t>Capital Structure</w:t>
            </w:r>
          </w:p>
        </w:tc>
        <w:tc>
          <w:tcPr>
            <w:tcW w:w="2192" w:type="dxa"/>
            <w:shd w:val="clear" w:color="auto" w:fill="auto"/>
          </w:tcPr>
          <w:p w:rsidR="00B67775" w:rsidRPr="002532DF" w:rsidRDefault="00B67775" w:rsidP="00B232F0">
            <w:pPr>
              <w:pStyle w:val="NoSpacing"/>
              <w:spacing w:line="480" w:lineRule="auto"/>
              <w:rPr>
                <w:sz w:val="25"/>
                <w:szCs w:val="25"/>
              </w:rPr>
            </w:pPr>
            <w:r w:rsidRPr="002532DF">
              <w:rPr>
                <w:sz w:val="25"/>
                <w:szCs w:val="25"/>
              </w:rPr>
              <w:t>Equity</w:t>
            </w:r>
          </w:p>
        </w:tc>
        <w:tc>
          <w:tcPr>
            <w:tcW w:w="1915" w:type="dxa"/>
            <w:shd w:val="clear" w:color="auto" w:fill="auto"/>
          </w:tcPr>
          <w:p w:rsidR="00B67775" w:rsidRPr="002532DF" w:rsidRDefault="00B67775" w:rsidP="00B232F0">
            <w:pPr>
              <w:pStyle w:val="NoSpacing"/>
              <w:spacing w:line="480" w:lineRule="auto"/>
              <w:jc w:val="right"/>
              <w:rPr>
                <w:sz w:val="25"/>
                <w:szCs w:val="25"/>
              </w:rPr>
            </w:pPr>
            <w:r w:rsidRPr="002532DF">
              <w:rPr>
                <w:sz w:val="25"/>
                <w:szCs w:val="25"/>
              </w:rPr>
              <w:t>52.10%</w:t>
            </w:r>
          </w:p>
        </w:tc>
        <w:tc>
          <w:tcPr>
            <w:tcW w:w="1915" w:type="dxa"/>
            <w:shd w:val="clear" w:color="auto" w:fill="auto"/>
          </w:tcPr>
          <w:p w:rsidR="00B67775" w:rsidRPr="002532DF" w:rsidRDefault="00B67775" w:rsidP="00B232F0">
            <w:pPr>
              <w:pStyle w:val="NoSpacing"/>
              <w:spacing w:line="480" w:lineRule="auto"/>
              <w:jc w:val="right"/>
              <w:rPr>
                <w:sz w:val="25"/>
                <w:szCs w:val="25"/>
              </w:rPr>
            </w:pPr>
            <w:r w:rsidRPr="002532DF">
              <w:rPr>
                <w:sz w:val="25"/>
                <w:szCs w:val="25"/>
              </w:rPr>
              <w:t>46.50%</w:t>
            </w:r>
          </w:p>
        </w:tc>
        <w:tc>
          <w:tcPr>
            <w:tcW w:w="1916" w:type="dxa"/>
            <w:shd w:val="clear" w:color="auto" w:fill="auto"/>
          </w:tcPr>
          <w:p w:rsidR="00B67775" w:rsidRPr="002532DF" w:rsidRDefault="00B67775" w:rsidP="00B232F0">
            <w:pPr>
              <w:pStyle w:val="NoSpacing"/>
              <w:spacing w:line="480" w:lineRule="auto"/>
              <w:jc w:val="right"/>
              <w:rPr>
                <w:sz w:val="25"/>
                <w:szCs w:val="25"/>
              </w:rPr>
            </w:pPr>
            <w:r w:rsidRPr="002532DF">
              <w:rPr>
                <w:sz w:val="25"/>
                <w:szCs w:val="25"/>
              </w:rPr>
              <w:t>49.10%</w:t>
            </w:r>
          </w:p>
        </w:tc>
      </w:tr>
      <w:tr w:rsidR="00B67775" w:rsidRPr="002532DF" w:rsidTr="00B232F0">
        <w:tc>
          <w:tcPr>
            <w:tcW w:w="1638" w:type="dxa"/>
            <w:vMerge/>
            <w:shd w:val="clear" w:color="auto" w:fill="auto"/>
          </w:tcPr>
          <w:p w:rsidR="00B67775" w:rsidRPr="002532DF" w:rsidRDefault="00B67775" w:rsidP="00B232F0">
            <w:pPr>
              <w:pStyle w:val="NoSpacing"/>
              <w:spacing w:line="480" w:lineRule="auto"/>
              <w:rPr>
                <w:sz w:val="25"/>
                <w:szCs w:val="25"/>
              </w:rPr>
            </w:pPr>
          </w:p>
        </w:tc>
        <w:tc>
          <w:tcPr>
            <w:tcW w:w="2192" w:type="dxa"/>
            <w:shd w:val="clear" w:color="auto" w:fill="auto"/>
          </w:tcPr>
          <w:p w:rsidR="00B67775" w:rsidRPr="002532DF" w:rsidRDefault="00B67775" w:rsidP="00B232F0">
            <w:pPr>
              <w:pStyle w:val="NoSpacing"/>
              <w:spacing w:line="480" w:lineRule="auto"/>
              <w:rPr>
                <w:sz w:val="25"/>
                <w:szCs w:val="25"/>
              </w:rPr>
            </w:pPr>
            <w:r w:rsidRPr="002532DF">
              <w:rPr>
                <w:sz w:val="25"/>
                <w:szCs w:val="25"/>
              </w:rPr>
              <w:t>Preferred</w:t>
            </w:r>
          </w:p>
        </w:tc>
        <w:tc>
          <w:tcPr>
            <w:tcW w:w="1915" w:type="dxa"/>
            <w:shd w:val="clear" w:color="auto" w:fill="auto"/>
          </w:tcPr>
          <w:p w:rsidR="00B67775" w:rsidRPr="002532DF" w:rsidRDefault="00B67775" w:rsidP="00B232F0">
            <w:pPr>
              <w:pStyle w:val="NoSpacing"/>
              <w:spacing w:line="480" w:lineRule="auto"/>
              <w:jc w:val="right"/>
              <w:rPr>
                <w:sz w:val="25"/>
                <w:szCs w:val="25"/>
              </w:rPr>
            </w:pPr>
            <w:r w:rsidRPr="002532DF">
              <w:rPr>
                <w:sz w:val="25"/>
                <w:szCs w:val="25"/>
              </w:rPr>
              <w:t>0.30%</w:t>
            </w:r>
          </w:p>
        </w:tc>
        <w:tc>
          <w:tcPr>
            <w:tcW w:w="1915" w:type="dxa"/>
            <w:shd w:val="clear" w:color="auto" w:fill="auto"/>
          </w:tcPr>
          <w:p w:rsidR="00B67775" w:rsidRPr="002532DF" w:rsidRDefault="00B67775" w:rsidP="00B232F0">
            <w:pPr>
              <w:pStyle w:val="NoSpacing"/>
              <w:spacing w:line="480" w:lineRule="auto"/>
              <w:jc w:val="right"/>
              <w:rPr>
                <w:sz w:val="25"/>
                <w:szCs w:val="25"/>
              </w:rPr>
            </w:pPr>
            <w:r w:rsidRPr="002532DF">
              <w:rPr>
                <w:sz w:val="25"/>
                <w:szCs w:val="25"/>
              </w:rPr>
              <w:t>0.30%</w:t>
            </w:r>
          </w:p>
        </w:tc>
        <w:tc>
          <w:tcPr>
            <w:tcW w:w="1916" w:type="dxa"/>
            <w:shd w:val="clear" w:color="auto" w:fill="auto"/>
          </w:tcPr>
          <w:p w:rsidR="00B67775" w:rsidRPr="002532DF" w:rsidRDefault="00B67775" w:rsidP="00B232F0">
            <w:pPr>
              <w:pStyle w:val="NoSpacing"/>
              <w:spacing w:line="480" w:lineRule="auto"/>
              <w:jc w:val="right"/>
              <w:rPr>
                <w:sz w:val="25"/>
                <w:szCs w:val="25"/>
              </w:rPr>
            </w:pPr>
            <w:r w:rsidRPr="002532DF">
              <w:rPr>
                <w:sz w:val="25"/>
                <w:szCs w:val="25"/>
              </w:rPr>
              <w:t>0.30%</w:t>
            </w:r>
          </w:p>
        </w:tc>
      </w:tr>
      <w:tr w:rsidR="00B67775" w:rsidRPr="002532DF" w:rsidTr="00B232F0">
        <w:tc>
          <w:tcPr>
            <w:tcW w:w="1638" w:type="dxa"/>
            <w:vMerge/>
            <w:shd w:val="clear" w:color="auto" w:fill="auto"/>
          </w:tcPr>
          <w:p w:rsidR="00B67775" w:rsidRPr="002532DF" w:rsidRDefault="00B67775" w:rsidP="00B232F0">
            <w:pPr>
              <w:pStyle w:val="NoSpacing"/>
              <w:spacing w:line="480" w:lineRule="auto"/>
              <w:rPr>
                <w:sz w:val="25"/>
                <w:szCs w:val="25"/>
              </w:rPr>
            </w:pPr>
          </w:p>
        </w:tc>
        <w:tc>
          <w:tcPr>
            <w:tcW w:w="2192" w:type="dxa"/>
            <w:shd w:val="clear" w:color="auto" w:fill="auto"/>
          </w:tcPr>
          <w:p w:rsidR="00B67775" w:rsidRPr="002532DF" w:rsidRDefault="00B67775" w:rsidP="00B232F0">
            <w:pPr>
              <w:pStyle w:val="NoSpacing"/>
              <w:spacing w:line="480" w:lineRule="auto"/>
              <w:rPr>
                <w:sz w:val="25"/>
                <w:szCs w:val="25"/>
              </w:rPr>
            </w:pPr>
            <w:r w:rsidRPr="002532DF">
              <w:rPr>
                <w:sz w:val="25"/>
                <w:szCs w:val="25"/>
              </w:rPr>
              <w:t>Long-term Debt</w:t>
            </w:r>
          </w:p>
        </w:tc>
        <w:tc>
          <w:tcPr>
            <w:tcW w:w="1915" w:type="dxa"/>
            <w:shd w:val="clear" w:color="auto" w:fill="auto"/>
          </w:tcPr>
          <w:p w:rsidR="00B67775" w:rsidRPr="002532DF" w:rsidRDefault="00B67775" w:rsidP="00B232F0">
            <w:pPr>
              <w:pStyle w:val="NoSpacing"/>
              <w:spacing w:line="480" w:lineRule="auto"/>
              <w:jc w:val="right"/>
              <w:rPr>
                <w:sz w:val="25"/>
                <w:szCs w:val="25"/>
              </w:rPr>
            </w:pPr>
            <w:r w:rsidRPr="002532DF">
              <w:rPr>
                <w:sz w:val="25"/>
                <w:szCs w:val="25"/>
              </w:rPr>
              <w:t>47.60%</w:t>
            </w:r>
          </w:p>
        </w:tc>
        <w:tc>
          <w:tcPr>
            <w:tcW w:w="1915" w:type="dxa"/>
            <w:shd w:val="clear" w:color="auto" w:fill="auto"/>
          </w:tcPr>
          <w:p w:rsidR="00B67775" w:rsidRPr="002532DF" w:rsidRDefault="00B67775" w:rsidP="00B232F0">
            <w:pPr>
              <w:pStyle w:val="NoSpacing"/>
              <w:spacing w:line="480" w:lineRule="auto"/>
              <w:jc w:val="right"/>
              <w:rPr>
                <w:sz w:val="25"/>
                <w:szCs w:val="25"/>
              </w:rPr>
            </w:pPr>
            <w:r w:rsidRPr="002532DF">
              <w:rPr>
                <w:sz w:val="25"/>
                <w:szCs w:val="25"/>
              </w:rPr>
              <w:t>50.20%</w:t>
            </w:r>
          </w:p>
        </w:tc>
        <w:tc>
          <w:tcPr>
            <w:tcW w:w="1916" w:type="dxa"/>
            <w:shd w:val="clear" w:color="auto" w:fill="auto"/>
          </w:tcPr>
          <w:p w:rsidR="00B67775" w:rsidRPr="002532DF" w:rsidRDefault="00B67775" w:rsidP="00B232F0">
            <w:pPr>
              <w:pStyle w:val="NoSpacing"/>
              <w:spacing w:line="480" w:lineRule="auto"/>
              <w:jc w:val="right"/>
              <w:rPr>
                <w:sz w:val="25"/>
                <w:szCs w:val="25"/>
              </w:rPr>
            </w:pPr>
            <w:r w:rsidRPr="002532DF">
              <w:rPr>
                <w:sz w:val="25"/>
                <w:szCs w:val="25"/>
              </w:rPr>
              <w:t>50.60%</w:t>
            </w:r>
          </w:p>
        </w:tc>
      </w:tr>
      <w:tr w:rsidR="00B67775" w:rsidRPr="002532DF" w:rsidTr="00B232F0">
        <w:tc>
          <w:tcPr>
            <w:tcW w:w="1638" w:type="dxa"/>
            <w:vMerge/>
            <w:shd w:val="clear" w:color="auto" w:fill="auto"/>
          </w:tcPr>
          <w:p w:rsidR="00B67775" w:rsidRPr="002532DF" w:rsidRDefault="00B67775" w:rsidP="00B232F0">
            <w:pPr>
              <w:pStyle w:val="NoSpacing"/>
              <w:spacing w:line="480" w:lineRule="auto"/>
              <w:rPr>
                <w:sz w:val="25"/>
                <w:szCs w:val="25"/>
              </w:rPr>
            </w:pPr>
          </w:p>
        </w:tc>
        <w:tc>
          <w:tcPr>
            <w:tcW w:w="2192" w:type="dxa"/>
            <w:shd w:val="clear" w:color="auto" w:fill="auto"/>
          </w:tcPr>
          <w:p w:rsidR="00B67775" w:rsidRPr="002532DF" w:rsidRDefault="00B67775" w:rsidP="00B232F0">
            <w:pPr>
              <w:pStyle w:val="NoSpacing"/>
              <w:spacing w:line="480" w:lineRule="auto"/>
              <w:rPr>
                <w:sz w:val="25"/>
                <w:szCs w:val="25"/>
              </w:rPr>
            </w:pPr>
            <w:r w:rsidRPr="002532DF">
              <w:rPr>
                <w:sz w:val="25"/>
                <w:szCs w:val="25"/>
              </w:rPr>
              <w:t>Short-term Debt</w:t>
            </w:r>
          </w:p>
        </w:tc>
        <w:tc>
          <w:tcPr>
            <w:tcW w:w="1915" w:type="dxa"/>
            <w:shd w:val="clear" w:color="auto" w:fill="auto"/>
          </w:tcPr>
          <w:p w:rsidR="00B67775" w:rsidRPr="002532DF" w:rsidRDefault="00B67775" w:rsidP="00B232F0">
            <w:pPr>
              <w:pStyle w:val="NoSpacing"/>
              <w:spacing w:line="480" w:lineRule="auto"/>
              <w:jc w:val="right"/>
              <w:rPr>
                <w:sz w:val="25"/>
                <w:szCs w:val="25"/>
              </w:rPr>
            </w:pPr>
            <w:r w:rsidRPr="002532DF">
              <w:rPr>
                <w:sz w:val="25"/>
                <w:szCs w:val="25"/>
              </w:rPr>
              <w:t>0.00%</w:t>
            </w:r>
          </w:p>
        </w:tc>
        <w:tc>
          <w:tcPr>
            <w:tcW w:w="1915" w:type="dxa"/>
            <w:shd w:val="clear" w:color="auto" w:fill="auto"/>
          </w:tcPr>
          <w:p w:rsidR="00B67775" w:rsidRPr="002532DF" w:rsidRDefault="00B67775" w:rsidP="00B232F0">
            <w:pPr>
              <w:pStyle w:val="NoSpacing"/>
              <w:spacing w:line="480" w:lineRule="auto"/>
              <w:jc w:val="right"/>
              <w:rPr>
                <w:sz w:val="25"/>
                <w:szCs w:val="25"/>
              </w:rPr>
            </w:pPr>
            <w:r w:rsidRPr="002532DF">
              <w:rPr>
                <w:sz w:val="25"/>
                <w:szCs w:val="25"/>
              </w:rPr>
              <w:t>3.00%</w:t>
            </w:r>
          </w:p>
        </w:tc>
        <w:tc>
          <w:tcPr>
            <w:tcW w:w="1916" w:type="dxa"/>
            <w:shd w:val="clear" w:color="auto" w:fill="auto"/>
          </w:tcPr>
          <w:p w:rsidR="00B67775" w:rsidRPr="002532DF" w:rsidRDefault="00B67775" w:rsidP="00B232F0">
            <w:pPr>
              <w:pStyle w:val="NoSpacing"/>
              <w:spacing w:line="480" w:lineRule="auto"/>
              <w:jc w:val="right"/>
              <w:rPr>
                <w:sz w:val="25"/>
                <w:szCs w:val="25"/>
              </w:rPr>
            </w:pPr>
            <w:r w:rsidRPr="002532DF">
              <w:rPr>
                <w:sz w:val="25"/>
                <w:szCs w:val="25"/>
              </w:rPr>
              <w:t>0.00%</w:t>
            </w:r>
          </w:p>
        </w:tc>
      </w:tr>
      <w:tr w:rsidR="00B67775" w:rsidRPr="002532DF" w:rsidTr="00B232F0">
        <w:tc>
          <w:tcPr>
            <w:tcW w:w="1638" w:type="dxa"/>
            <w:vMerge w:val="restart"/>
            <w:shd w:val="clear" w:color="auto" w:fill="auto"/>
            <w:textDirection w:val="btLr"/>
          </w:tcPr>
          <w:p w:rsidR="00B67775" w:rsidRPr="002532DF" w:rsidRDefault="00B67775" w:rsidP="00B232F0">
            <w:pPr>
              <w:pStyle w:val="NoSpacing"/>
              <w:ind w:left="115" w:right="115"/>
              <w:jc w:val="center"/>
              <w:rPr>
                <w:sz w:val="25"/>
                <w:szCs w:val="25"/>
              </w:rPr>
            </w:pPr>
          </w:p>
          <w:p w:rsidR="00B67775" w:rsidRPr="002532DF" w:rsidRDefault="00B67775" w:rsidP="00B232F0">
            <w:pPr>
              <w:pStyle w:val="NoSpacing"/>
              <w:ind w:left="115" w:right="115"/>
              <w:jc w:val="center"/>
              <w:rPr>
                <w:sz w:val="25"/>
                <w:szCs w:val="25"/>
              </w:rPr>
            </w:pPr>
            <w:r w:rsidRPr="002532DF">
              <w:rPr>
                <w:sz w:val="25"/>
                <w:szCs w:val="25"/>
              </w:rPr>
              <w:t>Cost Rates</w:t>
            </w:r>
          </w:p>
        </w:tc>
        <w:tc>
          <w:tcPr>
            <w:tcW w:w="2192" w:type="dxa"/>
            <w:shd w:val="clear" w:color="auto" w:fill="auto"/>
          </w:tcPr>
          <w:p w:rsidR="00B67775" w:rsidRPr="002532DF" w:rsidRDefault="00B67775" w:rsidP="00B232F0">
            <w:pPr>
              <w:pStyle w:val="NoSpacing"/>
              <w:spacing w:line="480" w:lineRule="auto"/>
              <w:rPr>
                <w:sz w:val="25"/>
                <w:szCs w:val="25"/>
              </w:rPr>
            </w:pPr>
            <w:r w:rsidRPr="002532DF">
              <w:rPr>
                <w:sz w:val="25"/>
                <w:szCs w:val="25"/>
              </w:rPr>
              <w:t>Equity</w:t>
            </w:r>
          </w:p>
        </w:tc>
        <w:tc>
          <w:tcPr>
            <w:tcW w:w="1915" w:type="dxa"/>
            <w:shd w:val="clear" w:color="auto" w:fill="auto"/>
          </w:tcPr>
          <w:p w:rsidR="00B67775" w:rsidRPr="002532DF" w:rsidRDefault="00B67775" w:rsidP="00B232F0">
            <w:pPr>
              <w:pStyle w:val="NoSpacing"/>
              <w:spacing w:line="480" w:lineRule="auto"/>
              <w:jc w:val="right"/>
              <w:rPr>
                <w:sz w:val="25"/>
                <w:szCs w:val="25"/>
              </w:rPr>
            </w:pPr>
            <w:r w:rsidRPr="002532DF">
              <w:rPr>
                <w:sz w:val="25"/>
                <w:szCs w:val="25"/>
              </w:rPr>
              <w:t>10.60%</w:t>
            </w:r>
          </w:p>
        </w:tc>
        <w:tc>
          <w:tcPr>
            <w:tcW w:w="1915" w:type="dxa"/>
            <w:shd w:val="clear" w:color="auto" w:fill="auto"/>
          </w:tcPr>
          <w:p w:rsidR="00B67775" w:rsidRPr="002532DF" w:rsidRDefault="00B67775" w:rsidP="00B232F0">
            <w:pPr>
              <w:pStyle w:val="NoSpacing"/>
              <w:spacing w:line="480" w:lineRule="auto"/>
              <w:jc w:val="right"/>
              <w:rPr>
                <w:sz w:val="25"/>
                <w:szCs w:val="25"/>
              </w:rPr>
            </w:pPr>
            <w:r w:rsidRPr="002532DF">
              <w:rPr>
                <w:sz w:val="25"/>
                <w:szCs w:val="25"/>
              </w:rPr>
              <w:t>9.50%</w:t>
            </w:r>
          </w:p>
        </w:tc>
        <w:tc>
          <w:tcPr>
            <w:tcW w:w="1916" w:type="dxa"/>
            <w:shd w:val="clear" w:color="auto" w:fill="auto"/>
          </w:tcPr>
          <w:p w:rsidR="00B67775" w:rsidRPr="002532DF" w:rsidRDefault="00B67775" w:rsidP="00B232F0">
            <w:pPr>
              <w:pStyle w:val="NoSpacing"/>
              <w:spacing w:line="480" w:lineRule="auto"/>
              <w:jc w:val="right"/>
              <w:rPr>
                <w:sz w:val="25"/>
                <w:szCs w:val="25"/>
              </w:rPr>
            </w:pPr>
            <w:r w:rsidRPr="002532DF">
              <w:rPr>
                <w:sz w:val="25"/>
                <w:szCs w:val="25"/>
              </w:rPr>
              <w:t>9.50%</w:t>
            </w:r>
          </w:p>
        </w:tc>
      </w:tr>
      <w:tr w:rsidR="00B67775" w:rsidRPr="002532DF" w:rsidTr="00B232F0">
        <w:tc>
          <w:tcPr>
            <w:tcW w:w="1638" w:type="dxa"/>
            <w:vMerge/>
            <w:shd w:val="clear" w:color="auto" w:fill="auto"/>
          </w:tcPr>
          <w:p w:rsidR="00B67775" w:rsidRPr="002532DF" w:rsidRDefault="00B67775" w:rsidP="00B232F0">
            <w:pPr>
              <w:pStyle w:val="NoSpacing"/>
              <w:spacing w:line="480" w:lineRule="auto"/>
              <w:rPr>
                <w:sz w:val="25"/>
                <w:szCs w:val="25"/>
              </w:rPr>
            </w:pPr>
          </w:p>
        </w:tc>
        <w:tc>
          <w:tcPr>
            <w:tcW w:w="2192" w:type="dxa"/>
            <w:shd w:val="clear" w:color="auto" w:fill="auto"/>
          </w:tcPr>
          <w:p w:rsidR="00B67775" w:rsidRPr="002532DF" w:rsidRDefault="00B67775" w:rsidP="00B232F0">
            <w:pPr>
              <w:pStyle w:val="NoSpacing"/>
              <w:spacing w:line="480" w:lineRule="auto"/>
              <w:rPr>
                <w:sz w:val="25"/>
                <w:szCs w:val="25"/>
              </w:rPr>
            </w:pPr>
            <w:r w:rsidRPr="002532DF">
              <w:rPr>
                <w:sz w:val="25"/>
                <w:szCs w:val="25"/>
              </w:rPr>
              <w:t>Preferred</w:t>
            </w:r>
          </w:p>
        </w:tc>
        <w:tc>
          <w:tcPr>
            <w:tcW w:w="1915" w:type="dxa"/>
            <w:shd w:val="clear" w:color="auto" w:fill="auto"/>
          </w:tcPr>
          <w:p w:rsidR="00B67775" w:rsidRPr="002532DF" w:rsidRDefault="00B67775" w:rsidP="00B232F0">
            <w:pPr>
              <w:pStyle w:val="NoSpacing"/>
              <w:spacing w:line="480" w:lineRule="auto"/>
              <w:jc w:val="right"/>
              <w:rPr>
                <w:sz w:val="25"/>
                <w:szCs w:val="25"/>
              </w:rPr>
            </w:pPr>
            <w:r w:rsidRPr="002532DF">
              <w:rPr>
                <w:sz w:val="25"/>
                <w:szCs w:val="25"/>
              </w:rPr>
              <w:t>5.41%</w:t>
            </w:r>
          </w:p>
        </w:tc>
        <w:tc>
          <w:tcPr>
            <w:tcW w:w="1915" w:type="dxa"/>
            <w:shd w:val="clear" w:color="auto" w:fill="auto"/>
          </w:tcPr>
          <w:p w:rsidR="00B67775" w:rsidRPr="002532DF" w:rsidRDefault="00B67775" w:rsidP="00B232F0">
            <w:pPr>
              <w:pStyle w:val="NoSpacing"/>
              <w:spacing w:line="480" w:lineRule="auto"/>
              <w:jc w:val="right"/>
              <w:rPr>
                <w:sz w:val="25"/>
                <w:szCs w:val="25"/>
              </w:rPr>
            </w:pPr>
            <w:r w:rsidRPr="002532DF">
              <w:rPr>
                <w:sz w:val="25"/>
                <w:szCs w:val="25"/>
              </w:rPr>
              <w:t>5.41%</w:t>
            </w:r>
          </w:p>
        </w:tc>
        <w:tc>
          <w:tcPr>
            <w:tcW w:w="1916" w:type="dxa"/>
            <w:shd w:val="clear" w:color="auto" w:fill="auto"/>
          </w:tcPr>
          <w:p w:rsidR="00B67775" w:rsidRPr="002532DF" w:rsidRDefault="00B67775" w:rsidP="00B232F0">
            <w:pPr>
              <w:pStyle w:val="NoSpacing"/>
              <w:spacing w:line="480" w:lineRule="auto"/>
              <w:jc w:val="right"/>
              <w:rPr>
                <w:sz w:val="25"/>
                <w:szCs w:val="25"/>
              </w:rPr>
            </w:pPr>
            <w:r w:rsidRPr="002532DF">
              <w:rPr>
                <w:sz w:val="25"/>
                <w:szCs w:val="25"/>
              </w:rPr>
              <w:t>5.41%</w:t>
            </w:r>
          </w:p>
        </w:tc>
      </w:tr>
      <w:tr w:rsidR="00B67775" w:rsidRPr="002532DF" w:rsidTr="00B232F0">
        <w:tc>
          <w:tcPr>
            <w:tcW w:w="1638" w:type="dxa"/>
            <w:vMerge/>
            <w:shd w:val="clear" w:color="auto" w:fill="auto"/>
          </w:tcPr>
          <w:p w:rsidR="00B67775" w:rsidRPr="002532DF" w:rsidRDefault="00B67775" w:rsidP="00B232F0">
            <w:pPr>
              <w:pStyle w:val="NoSpacing"/>
              <w:spacing w:line="480" w:lineRule="auto"/>
              <w:rPr>
                <w:sz w:val="25"/>
                <w:szCs w:val="25"/>
              </w:rPr>
            </w:pPr>
          </w:p>
        </w:tc>
        <w:tc>
          <w:tcPr>
            <w:tcW w:w="2192" w:type="dxa"/>
            <w:shd w:val="clear" w:color="auto" w:fill="auto"/>
          </w:tcPr>
          <w:p w:rsidR="00B67775" w:rsidRPr="002532DF" w:rsidRDefault="00B67775" w:rsidP="00B232F0">
            <w:pPr>
              <w:pStyle w:val="NoSpacing"/>
              <w:spacing w:line="480" w:lineRule="auto"/>
              <w:rPr>
                <w:sz w:val="25"/>
                <w:szCs w:val="25"/>
              </w:rPr>
            </w:pPr>
            <w:r w:rsidRPr="002532DF">
              <w:rPr>
                <w:sz w:val="25"/>
                <w:szCs w:val="25"/>
              </w:rPr>
              <w:t>Long-term Debt</w:t>
            </w:r>
          </w:p>
        </w:tc>
        <w:tc>
          <w:tcPr>
            <w:tcW w:w="1915" w:type="dxa"/>
            <w:shd w:val="clear" w:color="auto" w:fill="auto"/>
          </w:tcPr>
          <w:p w:rsidR="00B67775" w:rsidRPr="002532DF" w:rsidRDefault="00B67775" w:rsidP="00B232F0">
            <w:pPr>
              <w:pStyle w:val="NoSpacing"/>
              <w:spacing w:line="480" w:lineRule="auto"/>
              <w:jc w:val="right"/>
              <w:rPr>
                <w:sz w:val="25"/>
                <w:szCs w:val="25"/>
              </w:rPr>
            </w:pPr>
            <w:r w:rsidRPr="002532DF">
              <w:rPr>
                <w:sz w:val="25"/>
                <w:szCs w:val="25"/>
              </w:rPr>
              <w:t>5.89%</w:t>
            </w:r>
          </w:p>
        </w:tc>
        <w:tc>
          <w:tcPr>
            <w:tcW w:w="1915" w:type="dxa"/>
            <w:shd w:val="clear" w:color="auto" w:fill="auto"/>
          </w:tcPr>
          <w:p w:rsidR="00B67775" w:rsidRPr="002532DF" w:rsidRDefault="00B67775" w:rsidP="00B232F0">
            <w:pPr>
              <w:pStyle w:val="NoSpacing"/>
              <w:spacing w:line="480" w:lineRule="auto"/>
              <w:jc w:val="right"/>
              <w:rPr>
                <w:sz w:val="25"/>
                <w:szCs w:val="25"/>
              </w:rPr>
            </w:pPr>
            <w:r w:rsidRPr="002532DF">
              <w:rPr>
                <w:sz w:val="25"/>
                <w:szCs w:val="25"/>
              </w:rPr>
              <w:t>5.89%</w:t>
            </w:r>
          </w:p>
        </w:tc>
        <w:tc>
          <w:tcPr>
            <w:tcW w:w="1916" w:type="dxa"/>
            <w:shd w:val="clear" w:color="auto" w:fill="auto"/>
          </w:tcPr>
          <w:p w:rsidR="00B67775" w:rsidRPr="002532DF" w:rsidRDefault="00B67775" w:rsidP="00B232F0">
            <w:pPr>
              <w:pStyle w:val="NoSpacing"/>
              <w:spacing w:line="480" w:lineRule="auto"/>
              <w:jc w:val="right"/>
              <w:rPr>
                <w:sz w:val="25"/>
                <w:szCs w:val="25"/>
              </w:rPr>
            </w:pPr>
            <w:r w:rsidRPr="002532DF">
              <w:rPr>
                <w:sz w:val="25"/>
                <w:szCs w:val="25"/>
              </w:rPr>
              <w:t>5.89%</w:t>
            </w:r>
          </w:p>
        </w:tc>
      </w:tr>
      <w:tr w:rsidR="00B67775" w:rsidRPr="002532DF" w:rsidTr="00B232F0">
        <w:tc>
          <w:tcPr>
            <w:tcW w:w="1638" w:type="dxa"/>
            <w:vMerge/>
            <w:shd w:val="clear" w:color="auto" w:fill="auto"/>
          </w:tcPr>
          <w:p w:rsidR="00B67775" w:rsidRPr="002532DF" w:rsidRDefault="00B67775" w:rsidP="00B232F0">
            <w:pPr>
              <w:pStyle w:val="NoSpacing"/>
              <w:spacing w:line="480" w:lineRule="auto"/>
              <w:rPr>
                <w:sz w:val="25"/>
                <w:szCs w:val="25"/>
              </w:rPr>
            </w:pPr>
          </w:p>
        </w:tc>
        <w:tc>
          <w:tcPr>
            <w:tcW w:w="2192" w:type="dxa"/>
            <w:shd w:val="clear" w:color="auto" w:fill="auto"/>
          </w:tcPr>
          <w:p w:rsidR="00B67775" w:rsidRPr="002532DF" w:rsidRDefault="00B67775" w:rsidP="00B232F0">
            <w:pPr>
              <w:pStyle w:val="NoSpacing"/>
              <w:spacing w:line="480" w:lineRule="auto"/>
              <w:rPr>
                <w:sz w:val="25"/>
                <w:szCs w:val="25"/>
              </w:rPr>
            </w:pPr>
            <w:r w:rsidRPr="002532DF">
              <w:rPr>
                <w:sz w:val="25"/>
                <w:szCs w:val="25"/>
              </w:rPr>
              <w:t>Short-term Debt</w:t>
            </w:r>
          </w:p>
        </w:tc>
        <w:tc>
          <w:tcPr>
            <w:tcW w:w="1915" w:type="dxa"/>
            <w:shd w:val="clear" w:color="auto" w:fill="auto"/>
          </w:tcPr>
          <w:p w:rsidR="00B67775" w:rsidRPr="002532DF" w:rsidRDefault="00B67775" w:rsidP="00B232F0">
            <w:pPr>
              <w:pStyle w:val="NoSpacing"/>
              <w:spacing w:line="480" w:lineRule="auto"/>
              <w:jc w:val="right"/>
              <w:rPr>
                <w:sz w:val="25"/>
                <w:szCs w:val="25"/>
              </w:rPr>
            </w:pPr>
            <w:r w:rsidRPr="002532DF">
              <w:rPr>
                <w:sz w:val="25"/>
                <w:szCs w:val="25"/>
              </w:rPr>
              <w:t>0.00%</w:t>
            </w:r>
          </w:p>
        </w:tc>
        <w:tc>
          <w:tcPr>
            <w:tcW w:w="1915" w:type="dxa"/>
            <w:shd w:val="clear" w:color="auto" w:fill="auto"/>
          </w:tcPr>
          <w:p w:rsidR="00B67775" w:rsidRPr="002532DF" w:rsidRDefault="00B67775" w:rsidP="00B232F0">
            <w:pPr>
              <w:pStyle w:val="NoSpacing"/>
              <w:spacing w:line="480" w:lineRule="auto"/>
              <w:jc w:val="right"/>
              <w:rPr>
                <w:sz w:val="25"/>
                <w:szCs w:val="25"/>
              </w:rPr>
            </w:pPr>
            <w:r w:rsidRPr="002532DF">
              <w:rPr>
                <w:sz w:val="25"/>
                <w:szCs w:val="25"/>
              </w:rPr>
              <w:t>3.0%</w:t>
            </w:r>
          </w:p>
        </w:tc>
        <w:tc>
          <w:tcPr>
            <w:tcW w:w="1916" w:type="dxa"/>
            <w:shd w:val="clear" w:color="auto" w:fill="auto"/>
          </w:tcPr>
          <w:p w:rsidR="00B67775" w:rsidRPr="002532DF" w:rsidRDefault="00B67775" w:rsidP="00B232F0">
            <w:pPr>
              <w:pStyle w:val="NoSpacing"/>
              <w:spacing w:line="480" w:lineRule="auto"/>
              <w:jc w:val="right"/>
              <w:rPr>
                <w:sz w:val="25"/>
                <w:szCs w:val="25"/>
              </w:rPr>
            </w:pPr>
            <w:r w:rsidRPr="002532DF">
              <w:rPr>
                <w:sz w:val="25"/>
                <w:szCs w:val="25"/>
              </w:rPr>
              <w:t>0.0%</w:t>
            </w:r>
          </w:p>
        </w:tc>
      </w:tr>
    </w:tbl>
    <w:p w:rsidR="00B67775" w:rsidRPr="002532DF" w:rsidRDefault="00B67775" w:rsidP="00B67775">
      <w:pPr>
        <w:spacing w:line="276" w:lineRule="auto"/>
        <w:rPr>
          <w:sz w:val="25"/>
          <w:szCs w:val="25"/>
        </w:rPr>
      </w:pPr>
    </w:p>
    <w:bookmarkEnd w:id="13"/>
    <w:p w:rsidR="00F2211A" w:rsidRPr="002532DF" w:rsidRDefault="00F2211A" w:rsidP="00FB55CC">
      <w:pPr>
        <w:numPr>
          <w:ilvl w:val="0"/>
          <w:numId w:val="1"/>
        </w:numPr>
        <w:tabs>
          <w:tab w:val="clear" w:pos="720"/>
          <w:tab w:val="num" w:pos="0"/>
        </w:tabs>
        <w:spacing w:line="276" w:lineRule="auto"/>
        <w:ind w:left="0"/>
        <w:rPr>
          <w:sz w:val="25"/>
          <w:szCs w:val="25"/>
        </w:rPr>
      </w:pPr>
      <w:r w:rsidRPr="002532DF">
        <w:rPr>
          <w:sz w:val="25"/>
          <w:szCs w:val="25"/>
        </w:rPr>
        <w:t xml:space="preserve">PacifiCorp proposes </w:t>
      </w:r>
      <w:r w:rsidR="00DD46BD" w:rsidRPr="002532DF">
        <w:rPr>
          <w:sz w:val="25"/>
          <w:szCs w:val="25"/>
        </w:rPr>
        <w:t>a</w:t>
      </w:r>
      <w:r w:rsidR="007D354A" w:rsidRPr="002532DF">
        <w:rPr>
          <w:sz w:val="25"/>
          <w:szCs w:val="25"/>
        </w:rPr>
        <w:t xml:space="preserve"> </w:t>
      </w:r>
      <w:r w:rsidRPr="002532DF">
        <w:rPr>
          <w:sz w:val="25"/>
          <w:szCs w:val="25"/>
        </w:rPr>
        <w:t>capital structure of 52.1 percent common equity, 0.3 percent preferred stock, and 47.6 percent long-term debt.</w:t>
      </w:r>
      <w:r w:rsidRPr="002532DF">
        <w:rPr>
          <w:rStyle w:val="FootnoteReference"/>
          <w:sz w:val="25"/>
          <w:szCs w:val="25"/>
        </w:rPr>
        <w:footnoteReference w:id="24"/>
      </w:r>
      <w:r w:rsidRPr="002532DF">
        <w:rPr>
          <w:sz w:val="25"/>
          <w:szCs w:val="25"/>
        </w:rPr>
        <w:t xml:space="preserve"> </w:t>
      </w:r>
      <w:r w:rsidR="00451834" w:rsidRPr="002532DF">
        <w:rPr>
          <w:sz w:val="25"/>
          <w:szCs w:val="25"/>
        </w:rPr>
        <w:t xml:space="preserve"> </w:t>
      </w:r>
      <w:r w:rsidRPr="002532DF">
        <w:rPr>
          <w:sz w:val="25"/>
          <w:szCs w:val="25"/>
        </w:rPr>
        <w:t>Th</w:t>
      </w:r>
      <w:r w:rsidR="00D41BEA" w:rsidRPr="002532DF">
        <w:rPr>
          <w:sz w:val="25"/>
          <w:szCs w:val="25"/>
        </w:rPr>
        <w:t>is</w:t>
      </w:r>
      <w:r w:rsidR="0094136E" w:rsidRPr="002532DF">
        <w:rPr>
          <w:sz w:val="25"/>
          <w:szCs w:val="25"/>
        </w:rPr>
        <w:t xml:space="preserve"> is based on</w:t>
      </w:r>
      <w:r w:rsidRPr="002532DF">
        <w:rPr>
          <w:sz w:val="25"/>
          <w:szCs w:val="25"/>
        </w:rPr>
        <w:t xml:space="preserve"> an average of five-quarters, ending December 31, 2010, </w:t>
      </w:r>
      <w:r w:rsidR="00503C0A" w:rsidRPr="002532DF">
        <w:rPr>
          <w:sz w:val="25"/>
          <w:szCs w:val="25"/>
        </w:rPr>
        <w:t xml:space="preserve">which </w:t>
      </w:r>
      <w:r w:rsidR="00D41BEA" w:rsidRPr="002532DF">
        <w:rPr>
          <w:sz w:val="25"/>
          <w:szCs w:val="25"/>
        </w:rPr>
        <w:t>the Company</w:t>
      </w:r>
      <w:r w:rsidR="00503C0A" w:rsidRPr="002532DF">
        <w:rPr>
          <w:sz w:val="25"/>
          <w:szCs w:val="25"/>
        </w:rPr>
        <w:t xml:space="preserve"> argues</w:t>
      </w:r>
      <w:r w:rsidRPr="002532DF">
        <w:rPr>
          <w:sz w:val="25"/>
          <w:szCs w:val="25"/>
        </w:rPr>
        <w:t xml:space="preserve"> smoothes volatility caused by expending capital, </w:t>
      </w:r>
      <w:r w:rsidR="00503C0A" w:rsidRPr="002532DF">
        <w:rPr>
          <w:sz w:val="25"/>
          <w:szCs w:val="25"/>
        </w:rPr>
        <w:t xml:space="preserve">issuing and retiring </w:t>
      </w:r>
      <w:r w:rsidRPr="002532DF">
        <w:rPr>
          <w:sz w:val="25"/>
          <w:szCs w:val="25"/>
        </w:rPr>
        <w:t>debt,</w:t>
      </w:r>
      <w:r w:rsidR="00B81B24" w:rsidRPr="002532DF">
        <w:rPr>
          <w:sz w:val="25"/>
          <w:szCs w:val="25"/>
        </w:rPr>
        <w:t xml:space="preserve"> and</w:t>
      </w:r>
      <w:r w:rsidRPr="002532DF">
        <w:rPr>
          <w:sz w:val="25"/>
          <w:szCs w:val="25"/>
        </w:rPr>
        <w:t xml:space="preserve"> </w:t>
      </w:r>
      <w:r w:rsidR="00503C0A" w:rsidRPr="002532DF">
        <w:rPr>
          <w:sz w:val="25"/>
          <w:szCs w:val="25"/>
        </w:rPr>
        <w:t xml:space="preserve">the </w:t>
      </w:r>
      <w:r w:rsidRPr="002532DF">
        <w:rPr>
          <w:sz w:val="25"/>
          <w:szCs w:val="25"/>
        </w:rPr>
        <w:t>retention of earnings and</w:t>
      </w:r>
      <w:r w:rsidR="00503C0A" w:rsidRPr="002532DF">
        <w:rPr>
          <w:sz w:val="25"/>
          <w:szCs w:val="25"/>
        </w:rPr>
        <w:t xml:space="preserve"> </w:t>
      </w:r>
      <w:r w:rsidRPr="002532DF">
        <w:rPr>
          <w:sz w:val="25"/>
          <w:szCs w:val="25"/>
        </w:rPr>
        <w:t>infusion of equity.</w:t>
      </w:r>
      <w:r w:rsidRPr="002532DF">
        <w:rPr>
          <w:rStyle w:val="FootnoteReference"/>
          <w:sz w:val="25"/>
          <w:szCs w:val="25"/>
        </w:rPr>
        <w:footnoteReference w:id="25"/>
      </w:r>
      <w:r w:rsidRPr="002532DF">
        <w:rPr>
          <w:sz w:val="25"/>
          <w:szCs w:val="25"/>
        </w:rPr>
        <w:t xml:space="preserve"> </w:t>
      </w:r>
      <w:r w:rsidR="00D41BEA" w:rsidRPr="002532DF">
        <w:rPr>
          <w:sz w:val="25"/>
          <w:szCs w:val="25"/>
        </w:rPr>
        <w:t xml:space="preserve"> In effect, the Company proposes its actual capital structure.</w:t>
      </w:r>
    </w:p>
    <w:p w:rsidR="00F73694" w:rsidRPr="002532DF" w:rsidRDefault="00F73694" w:rsidP="00F73694">
      <w:pPr>
        <w:spacing w:line="276" w:lineRule="auto"/>
        <w:ind w:left="-720"/>
        <w:rPr>
          <w:sz w:val="25"/>
          <w:szCs w:val="25"/>
        </w:rPr>
      </w:pPr>
    </w:p>
    <w:p w:rsidR="00AE1052" w:rsidRPr="002532DF" w:rsidRDefault="00F2211A" w:rsidP="00F824D2">
      <w:pPr>
        <w:numPr>
          <w:ilvl w:val="0"/>
          <w:numId w:val="1"/>
        </w:numPr>
        <w:tabs>
          <w:tab w:val="clear" w:pos="720"/>
          <w:tab w:val="num" w:pos="0"/>
        </w:tabs>
        <w:spacing w:line="276" w:lineRule="auto"/>
        <w:ind w:left="0"/>
        <w:rPr>
          <w:sz w:val="25"/>
          <w:szCs w:val="25"/>
        </w:rPr>
      </w:pPr>
      <w:r w:rsidRPr="002532DF">
        <w:rPr>
          <w:sz w:val="25"/>
          <w:szCs w:val="25"/>
        </w:rPr>
        <w:t>The Company</w:t>
      </w:r>
      <w:r w:rsidR="00FA700F" w:rsidRPr="002532DF">
        <w:rPr>
          <w:sz w:val="25"/>
          <w:szCs w:val="25"/>
        </w:rPr>
        <w:t xml:space="preserve"> asserts</w:t>
      </w:r>
      <w:r w:rsidRPr="002532DF">
        <w:rPr>
          <w:sz w:val="25"/>
          <w:szCs w:val="25"/>
        </w:rPr>
        <w:t xml:space="preserve"> that </w:t>
      </w:r>
      <w:r w:rsidR="00B81B24" w:rsidRPr="002532DF">
        <w:rPr>
          <w:sz w:val="25"/>
          <w:szCs w:val="25"/>
        </w:rPr>
        <w:t>the equity in its capital structure</w:t>
      </w:r>
      <w:r w:rsidRPr="002532DF">
        <w:rPr>
          <w:sz w:val="25"/>
          <w:szCs w:val="25"/>
        </w:rPr>
        <w:t xml:space="preserve"> </w:t>
      </w:r>
      <w:r w:rsidR="00B81B24" w:rsidRPr="002532DF">
        <w:rPr>
          <w:sz w:val="25"/>
          <w:szCs w:val="25"/>
        </w:rPr>
        <w:t>reflects the significant capital contributions made by MEHC since it acquired the company</w:t>
      </w:r>
      <w:r w:rsidR="00B81B24" w:rsidRPr="002532DF">
        <w:rPr>
          <w:rStyle w:val="FootnoteReference"/>
          <w:sz w:val="25"/>
          <w:szCs w:val="25"/>
        </w:rPr>
        <w:footnoteReference w:id="26"/>
      </w:r>
      <w:r w:rsidR="00A91C11" w:rsidRPr="002532DF">
        <w:rPr>
          <w:rStyle w:val="FootnoteReference"/>
          <w:sz w:val="25"/>
          <w:szCs w:val="25"/>
        </w:rPr>
        <w:t xml:space="preserve"> </w:t>
      </w:r>
      <w:r w:rsidR="0019105D" w:rsidRPr="002532DF">
        <w:rPr>
          <w:sz w:val="25"/>
          <w:szCs w:val="25"/>
        </w:rPr>
        <w:t xml:space="preserve">  </w:t>
      </w:r>
      <w:r w:rsidR="00B81B24" w:rsidRPr="002532DF">
        <w:rPr>
          <w:sz w:val="25"/>
          <w:szCs w:val="25"/>
        </w:rPr>
        <w:t xml:space="preserve">It argues that a strong equity position </w:t>
      </w:r>
      <w:r w:rsidRPr="002532DF">
        <w:rPr>
          <w:sz w:val="25"/>
          <w:szCs w:val="25"/>
        </w:rPr>
        <w:t xml:space="preserve">is </w:t>
      </w:r>
      <w:r w:rsidR="00827F0E" w:rsidRPr="002532DF">
        <w:rPr>
          <w:sz w:val="25"/>
          <w:szCs w:val="25"/>
        </w:rPr>
        <w:t xml:space="preserve">not only </w:t>
      </w:r>
      <w:r w:rsidRPr="002532DF">
        <w:rPr>
          <w:sz w:val="25"/>
          <w:szCs w:val="25"/>
        </w:rPr>
        <w:t xml:space="preserve">consistent with </w:t>
      </w:r>
      <w:r w:rsidR="00B81B24" w:rsidRPr="002532DF">
        <w:rPr>
          <w:sz w:val="25"/>
          <w:szCs w:val="25"/>
        </w:rPr>
        <w:t>its current Standard &amp; Poor’s (S&amp;P) “A” credit rating</w:t>
      </w:r>
      <w:r w:rsidR="00FA700F" w:rsidRPr="002532DF">
        <w:rPr>
          <w:sz w:val="25"/>
          <w:szCs w:val="25"/>
        </w:rPr>
        <w:t xml:space="preserve">, </w:t>
      </w:r>
      <w:r w:rsidR="00BE5846" w:rsidRPr="002532DF">
        <w:rPr>
          <w:sz w:val="25"/>
          <w:szCs w:val="25"/>
        </w:rPr>
        <w:t>b</w:t>
      </w:r>
      <w:r w:rsidR="00827F0E" w:rsidRPr="002532DF">
        <w:rPr>
          <w:sz w:val="25"/>
          <w:szCs w:val="25"/>
        </w:rPr>
        <w:t>ut necessary to maintain its current rating.</w:t>
      </w:r>
      <w:r w:rsidR="00827F0E" w:rsidRPr="002532DF">
        <w:rPr>
          <w:rStyle w:val="FootnoteReference"/>
          <w:sz w:val="25"/>
          <w:szCs w:val="25"/>
        </w:rPr>
        <w:footnoteReference w:id="27"/>
      </w:r>
      <w:r w:rsidR="00F4478D" w:rsidRPr="002532DF">
        <w:rPr>
          <w:sz w:val="25"/>
          <w:szCs w:val="25"/>
        </w:rPr>
        <w:t xml:space="preserve">  </w:t>
      </w:r>
      <w:r w:rsidR="005F2A9F" w:rsidRPr="002532DF">
        <w:rPr>
          <w:sz w:val="25"/>
          <w:szCs w:val="25"/>
        </w:rPr>
        <w:t>Th</w:t>
      </w:r>
      <w:r w:rsidR="00D41BEA" w:rsidRPr="002532DF">
        <w:rPr>
          <w:sz w:val="25"/>
          <w:szCs w:val="25"/>
        </w:rPr>
        <w:t>at</w:t>
      </w:r>
      <w:r w:rsidR="00BE5846" w:rsidRPr="002532DF">
        <w:rPr>
          <w:sz w:val="25"/>
          <w:szCs w:val="25"/>
        </w:rPr>
        <w:t xml:space="preserve"> </w:t>
      </w:r>
      <w:r w:rsidR="00416037" w:rsidRPr="002532DF">
        <w:rPr>
          <w:sz w:val="25"/>
          <w:szCs w:val="25"/>
        </w:rPr>
        <w:t>“A”</w:t>
      </w:r>
      <w:r w:rsidR="00BE5846" w:rsidRPr="002532DF">
        <w:rPr>
          <w:sz w:val="25"/>
          <w:szCs w:val="25"/>
        </w:rPr>
        <w:t xml:space="preserve">credit rating lowers its </w:t>
      </w:r>
      <w:r w:rsidR="005F2A9F" w:rsidRPr="002532DF">
        <w:rPr>
          <w:sz w:val="25"/>
          <w:szCs w:val="25"/>
        </w:rPr>
        <w:t xml:space="preserve">capital costs and </w:t>
      </w:r>
      <w:r w:rsidR="00BE5846" w:rsidRPr="002532DF">
        <w:rPr>
          <w:sz w:val="25"/>
          <w:szCs w:val="25"/>
        </w:rPr>
        <w:t xml:space="preserve">provides </w:t>
      </w:r>
      <w:r w:rsidR="00D41BEA" w:rsidRPr="002532DF">
        <w:rPr>
          <w:sz w:val="25"/>
          <w:szCs w:val="25"/>
        </w:rPr>
        <w:t>the Company</w:t>
      </w:r>
      <w:r w:rsidR="00BE5846" w:rsidRPr="002532DF">
        <w:rPr>
          <w:sz w:val="25"/>
          <w:szCs w:val="25"/>
        </w:rPr>
        <w:t xml:space="preserve"> </w:t>
      </w:r>
      <w:r w:rsidR="007D354A" w:rsidRPr="002532DF">
        <w:rPr>
          <w:sz w:val="25"/>
          <w:szCs w:val="25"/>
        </w:rPr>
        <w:t>more reliable</w:t>
      </w:r>
      <w:r w:rsidR="005F2A9F" w:rsidRPr="002532DF">
        <w:rPr>
          <w:sz w:val="25"/>
          <w:szCs w:val="25"/>
        </w:rPr>
        <w:t xml:space="preserve"> access </w:t>
      </w:r>
      <w:r w:rsidR="005F7503" w:rsidRPr="002532DF">
        <w:rPr>
          <w:sz w:val="25"/>
          <w:szCs w:val="25"/>
        </w:rPr>
        <w:t>to capital</w:t>
      </w:r>
      <w:r w:rsidR="005F2A9F" w:rsidRPr="002532DF">
        <w:rPr>
          <w:sz w:val="25"/>
          <w:szCs w:val="25"/>
        </w:rPr>
        <w:t xml:space="preserve"> market</w:t>
      </w:r>
      <w:r w:rsidR="007D354A" w:rsidRPr="002532DF">
        <w:rPr>
          <w:sz w:val="25"/>
          <w:szCs w:val="25"/>
        </w:rPr>
        <w:t>s in both stable and volatile periods</w:t>
      </w:r>
      <w:r w:rsidR="005F2A9F" w:rsidRPr="002532DF">
        <w:rPr>
          <w:sz w:val="25"/>
          <w:szCs w:val="25"/>
        </w:rPr>
        <w:t>.</w:t>
      </w:r>
      <w:r w:rsidR="005F2A9F" w:rsidRPr="002532DF">
        <w:rPr>
          <w:rStyle w:val="FootnoteReference"/>
          <w:sz w:val="25"/>
          <w:szCs w:val="25"/>
        </w:rPr>
        <w:footnoteReference w:id="28"/>
      </w:r>
      <w:r w:rsidR="00186351" w:rsidRPr="002532DF">
        <w:rPr>
          <w:sz w:val="25"/>
          <w:szCs w:val="25"/>
        </w:rPr>
        <w:t xml:space="preserve"> </w:t>
      </w:r>
      <w:r w:rsidR="00F824D2" w:rsidRPr="002532DF">
        <w:rPr>
          <w:sz w:val="25"/>
          <w:szCs w:val="25"/>
        </w:rPr>
        <w:t xml:space="preserve"> </w:t>
      </w:r>
      <w:r w:rsidR="00BE5846" w:rsidRPr="002532DF">
        <w:rPr>
          <w:sz w:val="25"/>
          <w:szCs w:val="25"/>
        </w:rPr>
        <w:t xml:space="preserve">However, </w:t>
      </w:r>
      <w:r w:rsidR="00D41BEA" w:rsidRPr="002532DF">
        <w:rPr>
          <w:sz w:val="25"/>
          <w:szCs w:val="25"/>
        </w:rPr>
        <w:t>the Company</w:t>
      </w:r>
      <w:r w:rsidR="00BE5846" w:rsidRPr="002532DF">
        <w:rPr>
          <w:sz w:val="25"/>
          <w:szCs w:val="25"/>
        </w:rPr>
        <w:t xml:space="preserve"> </w:t>
      </w:r>
      <w:r w:rsidR="00F824D2" w:rsidRPr="002532DF">
        <w:rPr>
          <w:sz w:val="25"/>
          <w:szCs w:val="25"/>
        </w:rPr>
        <w:t xml:space="preserve">points out that </w:t>
      </w:r>
      <w:r w:rsidR="00EC2D18" w:rsidRPr="002532DF">
        <w:rPr>
          <w:sz w:val="25"/>
          <w:szCs w:val="25"/>
        </w:rPr>
        <w:t xml:space="preserve">it </w:t>
      </w:r>
      <w:r w:rsidR="00F824D2" w:rsidRPr="002532DF">
        <w:rPr>
          <w:sz w:val="25"/>
          <w:szCs w:val="25"/>
        </w:rPr>
        <w:t>had no plans to access these markets before December 31, 2010</w:t>
      </w:r>
      <w:r w:rsidR="00D41BEA" w:rsidRPr="002532DF">
        <w:rPr>
          <w:sz w:val="25"/>
          <w:szCs w:val="25"/>
        </w:rPr>
        <w:t>, so a</w:t>
      </w:r>
      <w:r w:rsidR="00EC2D18" w:rsidRPr="002532DF">
        <w:rPr>
          <w:sz w:val="25"/>
          <w:szCs w:val="25"/>
        </w:rPr>
        <w:t>ny capital need</w:t>
      </w:r>
      <w:r w:rsidR="00B40F0C">
        <w:rPr>
          <w:sz w:val="25"/>
          <w:szCs w:val="25"/>
        </w:rPr>
        <w:t>s</w:t>
      </w:r>
      <w:r w:rsidR="00EC2D18" w:rsidRPr="002532DF">
        <w:rPr>
          <w:sz w:val="25"/>
          <w:szCs w:val="25"/>
        </w:rPr>
        <w:t xml:space="preserve"> would be met through </w:t>
      </w:r>
      <w:r w:rsidR="00F824D2" w:rsidRPr="002532DF">
        <w:rPr>
          <w:sz w:val="25"/>
          <w:szCs w:val="25"/>
        </w:rPr>
        <w:t>additional equity infusions from MEHC</w:t>
      </w:r>
      <w:r w:rsidR="00EC2D18" w:rsidRPr="002532DF">
        <w:rPr>
          <w:sz w:val="25"/>
          <w:szCs w:val="25"/>
        </w:rPr>
        <w:t xml:space="preserve"> </w:t>
      </w:r>
      <w:r w:rsidR="00F824D2" w:rsidRPr="002532DF">
        <w:rPr>
          <w:sz w:val="25"/>
          <w:szCs w:val="25"/>
        </w:rPr>
        <w:t>and</w:t>
      </w:r>
      <w:r w:rsidR="00EC2D18" w:rsidRPr="002532DF">
        <w:rPr>
          <w:sz w:val="25"/>
          <w:szCs w:val="25"/>
        </w:rPr>
        <w:t xml:space="preserve"> the retention of </w:t>
      </w:r>
      <w:r w:rsidR="00F824D2" w:rsidRPr="002532DF">
        <w:rPr>
          <w:sz w:val="25"/>
          <w:szCs w:val="25"/>
        </w:rPr>
        <w:t>earnings</w:t>
      </w:r>
      <w:r w:rsidR="00D41BEA" w:rsidRPr="002532DF">
        <w:rPr>
          <w:sz w:val="25"/>
          <w:szCs w:val="25"/>
        </w:rPr>
        <w:t>.  This</w:t>
      </w:r>
      <w:r w:rsidR="00EC2D18" w:rsidRPr="002532DF">
        <w:rPr>
          <w:sz w:val="25"/>
          <w:szCs w:val="25"/>
        </w:rPr>
        <w:t xml:space="preserve"> indicates </w:t>
      </w:r>
      <w:r w:rsidR="00F824D2" w:rsidRPr="002532DF">
        <w:rPr>
          <w:sz w:val="25"/>
          <w:szCs w:val="25"/>
        </w:rPr>
        <w:t>continued growth in its equity component.</w:t>
      </w:r>
      <w:r w:rsidR="00F824D2" w:rsidRPr="002532DF">
        <w:rPr>
          <w:rStyle w:val="FootnoteReference"/>
          <w:sz w:val="25"/>
          <w:szCs w:val="25"/>
        </w:rPr>
        <w:footnoteReference w:id="29"/>
      </w:r>
      <w:r w:rsidR="00EC2D18" w:rsidRPr="002532DF">
        <w:rPr>
          <w:sz w:val="25"/>
          <w:szCs w:val="25"/>
        </w:rPr>
        <w:t xml:space="preserve"> </w:t>
      </w:r>
    </w:p>
    <w:p w:rsidR="00F824D2" w:rsidRPr="002532DF" w:rsidRDefault="00EC2D18" w:rsidP="00AE1052">
      <w:pPr>
        <w:spacing w:line="276" w:lineRule="auto"/>
        <w:ind w:left="-720"/>
        <w:rPr>
          <w:sz w:val="25"/>
          <w:szCs w:val="25"/>
        </w:rPr>
      </w:pPr>
      <w:r w:rsidRPr="002532DF">
        <w:rPr>
          <w:sz w:val="25"/>
          <w:szCs w:val="25"/>
        </w:rPr>
        <w:t xml:space="preserve"> </w:t>
      </w:r>
    </w:p>
    <w:p w:rsidR="00436833" w:rsidRPr="002532DF" w:rsidRDefault="00AC7888" w:rsidP="00F824D2">
      <w:pPr>
        <w:numPr>
          <w:ilvl w:val="0"/>
          <w:numId w:val="1"/>
        </w:numPr>
        <w:tabs>
          <w:tab w:val="clear" w:pos="720"/>
          <w:tab w:val="num" w:pos="0"/>
        </w:tabs>
        <w:spacing w:line="276" w:lineRule="auto"/>
        <w:ind w:left="0"/>
        <w:rPr>
          <w:sz w:val="25"/>
          <w:szCs w:val="25"/>
        </w:rPr>
      </w:pPr>
      <w:r w:rsidRPr="002532DF">
        <w:rPr>
          <w:sz w:val="25"/>
          <w:szCs w:val="25"/>
        </w:rPr>
        <w:t>T</w:t>
      </w:r>
      <w:r w:rsidR="000C11E1" w:rsidRPr="002532DF">
        <w:rPr>
          <w:sz w:val="25"/>
          <w:szCs w:val="25"/>
        </w:rPr>
        <w:t>he Company does not recognize short-term debt in its capital structure</w:t>
      </w:r>
      <w:r w:rsidR="00D41BEA" w:rsidRPr="002532DF">
        <w:rPr>
          <w:sz w:val="25"/>
          <w:szCs w:val="25"/>
        </w:rPr>
        <w:t>.  It did</w:t>
      </w:r>
      <w:r w:rsidR="000C11E1" w:rsidRPr="002532DF">
        <w:rPr>
          <w:sz w:val="25"/>
          <w:szCs w:val="25"/>
        </w:rPr>
        <w:t xml:space="preserve"> not expect to have any short-term debt during the period ending December 31, 2010</w:t>
      </w:r>
      <w:r w:rsidR="00C707DE" w:rsidRPr="002532DF">
        <w:rPr>
          <w:sz w:val="25"/>
          <w:szCs w:val="25"/>
        </w:rPr>
        <w:t>,</w:t>
      </w:r>
      <w:r w:rsidR="000C11E1" w:rsidRPr="002532DF">
        <w:rPr>
          <w:rStyle w:val="FootnoteReference"/>
          <w:sz w:val="25"/>
          <w:szCs w:val="25"/>
        </w:rPr>
        <w:footnoteReference w:id="30"/>
      </w:r>
      <w:r w:rsidR="000C11E1" w:rsidRPr="002532DF">
        <w:rPr>
          <w:sz w:val="25"/>
          <w:szCs w:val="25"/>
        </w:rPr>
        <w:t xml:space="preserve"> </w:t>
      </w:r>
      <w:r w:rsidR="00C707DE" w:rsidRPr="002532DF">
        <w:rPr>
          <w:sz w:val="25"/>
          <w:szCs w:val="25"/>
        </w:rPr>
        <w:t>has none outstanding, and</w:t>
      </w:r>
      <w:r w:rsidR="000C11E1" w:rsidRPr="002532DF">
        <w:rPr>
          <w:sz w:val="25"/>
          <w:szCs w:val="25"/>
        </w:rPr>
        <w:t xml:space="preserve"> there </w:t>
      </w:r>
      <w:r w:rsidR="00C707DE" w:rsidRPr="002532DF">
        <w:rPr>
          <w:sz w:val="25"/>
          <w:szCs w:val="25"/>
        </w:rPr>
        <w:t>have been</w:t>
      </w:r>
      <w:r w:rsidR="000C11E1" w:rsidRPr="002532DF">
        <w:rPr>
          <w:sz w:val="25"/>
          <w:szCs w:val="25"/>
        </w:rPr>
        <w:t xml:space="preserve"> periods of time </w:t>
      </w:r>
      <w:r w:rsidR="00C707DE" w:rsidRPr="002532DF">
        <w:rPr>
          <w:sz w:val="25"/>
          <w:szCs w:val="25"/>
        </w:rPr>
        <w:t>when</w:t>
      </w:r>
      <w:r w:rsidR="000C11E1" w:rsidRPr="002532DF">
        <w:rPr>
          <w:sz w:val="25"/>
          <w:szCs w:val="25"/>
        </w:rPr>
        <w:t xml:space="preserve"> it does not use short-term debt</w:t>
      </w:r>
      <w:r w:rsidR="00C707DE" w:rsidRPr="002532DF">
        <w:rPr>
          <w:sz w:val="25"/>
          <w:szCs w:val="25"/>
        </w:rPr>
        <w:t>.</w:t>
      </w:r>
      <w:r w:rsidR="000C11E1" w:rsidRPr="002532DF">
        <w:rPr>
          <w:sz w:val="25"/>
          <w:szCs w:val="25"/>
        </w:rPr>
        <w:t xml:space="preserve">  Th</w:t>
      </w:r>
      <w:r w:rsidR="00C707DE" w:rsidRPr="002532DF">
        <w:rPr>
          <w:sz w:val="25"/>
          <w:szCs w:val="25"/>
        </w:rPr>
        <w:t>erefore,</w:t>
      </w:r>
      <w:r w:rsidR="000C11E1" w:rsidRPr="002532DF">
        <w:rPr>
          <w:sz w:val="25"/>
          <w:szCs w:val="25"/>
        </w:rPr>
        <w:t xml:space="preserve"> it believes, that short-term debt is not a permanent source of financing </w:t>
      </w:r>
      <w:r w:rsidR="00C707DE" w:rsidRPr="002532DF">
        <w:rPr>
          <w:sz w:val="25"/>
          <w:szCs w:val="25"/>
        </w:rPr>
        <w:t xml:space="preserve">for </w:t>
      </w:r>
      <w:r w:rsidR="000C11E1" w:rsidRPr="002532DF">
        <w:rPr>
          <w:sz w:val="25"/>
          <w:szCs w:val="25"/>
        </w:rPr>
        <w:t xml:space="preserve">the </w:t>
      </w:r>
      <w:r w:rsidR="00C707DE" w:rsidRPr="002532DF">
        <w:rPr>
          <w:sz w:val="25"/>
          <w:szCs w:val="25"/>
        </w:rPr>
        <w:t>Company</w:t>
      </w:r>
      <w:r w:rsidR="000C11E1" w:rsidRPr="002532DF">
        <w:rPr>
          <w:sz w:val="25"/>
          <w:szCs w:val="25"/>
        </w:rPr>
        <w:t xml:space="preserve">.  PacifiCorp also argues that the use of short-term debt in the capital structure is inappropriate and inequitable because it would be double-counted as financing both the rate base and </w:t>
      </w:r>
      <w:r w:rsidRPr="002532DF">
        <w:rPr>
          <w:sz w:val="25"/>
          <w:szCs w:val="25"/>
        </w:rPr>
        <w:t>C</w:t>
      </w:r>
      <w:r w:rsidR="000C11E1" w:rsidRPr="002532DF">
        <w:rPr>
          <w:sz w:val="25"/>
          <w:szCs w:val="25"/>
        </w:rPr>
        <w:t xml:space="preserve">onstruction </w:t>
      </w:r>
      <w:r w:rsidRPr="002532DF">
        <w:rPr>
          <w:sz w:val="25"/>
          <w:szCs w:val="25"/>
        </w:rPr>
        <w:t>W</w:t>
      </w:r>
      <w:r w:rsidR="000C11E1" w:rsidRPr="002532DF">
        <w:rPr>
          <w:sz w:val="25"/>
          <w:szCs w:val="25"/>
        </w:rPr>
        <w:t xml:space="preserve">ork in </w:t>
      </w:r>
      <w:r w:rsidRPr="002532DF">
        <w:rPr>
          <w:sz w:val="25"/>
          <w:szCs w:val="25"/>
        </w:rPr>
        <w:t>P</w:t>
      </w:r>
      <w:r w:rsidR="000C11E1" w:rsidRPr="002532DF">
        <w:rPr>
          <w:sz w:val="25"/>
          <w:szCs w:val="25"/>
        </w:rPr>
        <w:t>rogress</w:t>
      </w:r>
      <w:r w:rsidRPr="002532DF">
        <w:rPr>
          <w:sz w:val="25"/>
          <w:szCs w:val="25"/>
        </w:rPr>
        <w:t xml:space="preserve"> (CWIP)</w:t>
      </w:r>
      <w:r w:rsidR="000C11E1" w:rsidRPr="002532DF">
        <w:rPr>
          <w:sz w:val="25"/>
          <w:szCs w:val="25"/>
        </w:rPr>
        <w:t>.</w:t>
      </w:r>
      <w:r w:rsidR="000C11E1" w:rsidRPr="002532DF">
        <w:rPr>
          <w:rStyle w:val="FootnoteReference"/>
          <w:sz w:val="25"/>
          <w:szCs w:val="25"/>
        </w:rPr>
        <w:footnoteReference w:id="31"/>
      </w:r>
      <w:r w:rsidR="000C11E1" w:rsidRPr="002532DF">
        <w:rPr>
          <w:sz w:val="25"/>
          <w:szCs w:val="25"/>
        </w:rPr>
        <w:t xml:space="preserve"> </w:t>
      </w:r>
    </w:p>
    <w:p w:rsidR="00436833" w:rsidRPr="002532DF" w:rsidRDefault="00436833" w:rsidP="00436833">
      <w:pPr>
        <w:spacing w:line="276" w:lineRule="auto"/>
        <w:ind w:left="-720"/>
        <w:rPr>
          <w:sz w:val="25"/>
          <w:szCs w:val="25"/>
        </w:rPr>
      </w:pPr>
    </w:p>
    <w:p w:rsidR="00D239B5" w:rsidRPr="002532DF" w:rsidRDefault="00AC7888" w:rsidP="00F824D2">
      <w:pPr>
        <w:numPr>
          <w:ilvl w:val="0"/>
          <w:numId w:val="1"/>
        </w:numPr>
        <w:tabs>
          <w:tab w:val="clear" w:pos="720"/>
          <w:tab w:val="num" w:pos="0"/>
        </w:tabs>
        <w:spacing w:line="276" w:lineRule="auto"/>
        <w:ind w:left="0"/>
        <w:rPr>
          <w:sz w:val="25"/>
          <w:szCs w:val="25"/>
        </w:rPr>
      </w:pPr>
      <w:r w:rsidRPr="002532DF">
        <w:rPr>
          <w:sz w:val="25"/>
          <w:szCs w:val="25"/>
        </w:rPr>
        <w:t>The Company’s proposed capital structure also includes 0.3</w:t>
      </w:r>
      <w:r w:rsidR="00EC6A90" w:rsidRPr="002532DF">
        <w:rPr>
          <w:sz w:val="25"/>
          <w:szCs w:val="25"/>
        </w:rPr>
        <w:t>0</w:t>
      </w:r>
      <w:r w:rsidRPr="002532DF">
        <w:rPr>
          <w:sz w:val="25"/>
          <w:szCs w:val="25"/>
        </w:rPr>
        <w:t xml:space="preserve"> percent preferred stock and 47.60 long-term debt. </w:t>
      </w:r>
      <w:r w:rsidR="00DD1140">
        <w:rPr>
          <w:sz w:val="25"/>
          <w:szCs w:val="25"/>
        </w:rPr>
        <w:t xml:space="preserve"> </w:t>
      </w:r>
      <w:r w:rsidR="007841AF" w:rsidRPr="002532DF">
        <w:rPr>
          <w:sz w:val="25"/>
          <w:szCs w:val="25"/>
        </w:rPr>
        <w:t>While it d</w:t>
      </w:r>
      <w:r w:rsidR="00C707DE" w:rsidRPr="002532DF">
        <w:rPr>
          <w:sz w:val="25"/>
          <w:szCs w:val="25"/>
        </w:rPr>
        <w:t>id</w:t>
      </w:r>
      <w:r w:rsidR="007841AF" w:rsidRPr="002532DF">
        <w:rPr>
          <w:sz w:val="25"/>
          <w:szCs w:val="25"/>
        </w:rPr>
        <w:t xml:space="preserve"> not </w:t>
      </w:r>
      <w:r w:rsidR="00D87A3A" w:rsidRPr="002532DF">
        <w:rPr>
          <w:sz w:val="25"/>
          <w:szCs w:val="25"/>
        </w:rPr>
        <w:t>intend to issue any new long-term debt</w:t>
      </w:r>
      <w:r w:rsidR="007841AF" w:rsidRPr="002532DF">
        <w:rPr>
          <w:sz w:val="25"/>
          <w:szCs w:val="25"/>
        </w:rPr>
        <w:t xml:space="preserve"> for the period ending December 31, 2010, the balance of outstanding debt will decrease as a result of maturities and principal amortization.</w:t>
      </w:r>
      <w:r w:rsidR="007841AF" w:rsidRPr="002532DF">
        <w:rPr>
          <w:rStyle w:val="FootnoteReference"/>
          <w:sz w:val="25"/>
          <w:szCs w:val="25"/>
        </w:rPr>
        <w:footnoteReference w:id="32"/>
      </w:r>
      <w:r w:rsidR="007841AF" w:rsidRPr="002532DF">
        <w:rPr>
          <w:sz w:val="25"/>
          <w:szCs w:val="25"/>
        </w:rPr>
        <w:t xml:space="preserve"> </w:t>
      </w:r>
      <w:r w:rsidR="00B67775" w:rsidRPr="002532DF">
        <w:rPr>
          <w:sz w:val="25"/>
          <w:szCs w:val="25"/>
        </w:rPr>
        <w:t xml:space="preserve"> </w:t>
      </w:r>
      <w:r w:rsidR="007841AF" w:rsidRPr="002532DF">
        <w:rPr>
          <w:sz w:val="25"/>
          <w:szCs w:val="25"/>
        </w:rPr>
        <w:t xml:space="preserve">The resulting </w:t>
      </w:r>
      <w:r w:rsidR="00D87A3A" w:rsidRPr="002532DF">
        <w:rPr>
          <w:sz w:val="25"/>
          <w:szCs w:val="25"/>
        </w:rPr>
        <w:t xml:space="preserve">debt component </w:t>
      </w:r>
      <w:r w:rsidR="007841AF" w:rsidRPr="002532DF">
        <w:rPr>
          <w:sz w:val="25"/>
          <w:szCs w:val="25"/>
        </w:rPr>
        <w:t xml:space="preserve">would be 47.60 percent </w:t>
      </w:r>
      <w:r w:rsidR="00D87A3A" w:rsidRPr="002532DF">
        <w:rPr>
          <w:sz w:val="25"/>
          <w:szCs w:val="25"/>
        </w:rPr>
        <w:t xml:space="preserve">of </w:t>
      </w:r>
      <w:r w:rsidR="007841AF" w:rsidRPr="002532DF">
        <w:rPr>
          <w:sz w:val="25"/>
          <w:szCs w:val="25"/>
        </w:rPr>
        <w:t xml:space="preserve">the Company’s capital structure.  The remainder of the capital structure, 0.30 percent, is preferred stock.  </w:t>
      </w:r>
      <w:r w:rsidR="00D239B5" w:rsidRPr="002532DF">
        <w:rPr>
          <w:sz w:val="25"/>
          <w:szCs w:val="25"/>
        </w:rPr>
        <w:t xml:space="preserve"> </w:t>
      </w:r>
    </w:p>
    <w:p w:rsidR="00F73694" w:rsidRPr="002532DF" w:rsidRDefault="00F73694" w:rsidP="00F73694">
      <w:pPr>
        <w:spacing w:line="276" w:lineRule="auto"/>
        <w:ind w:left="-720"/>
        <w:rPr>
          <w:sz w:val="25"/>
          <w:szCs w:val="25"/>
        </w:rPr>
      </w:pPr>
    </w:p>
    <w:p w:rsidR="00C56569" w:rsidRPr="002532DF" w:rsidRDefault="00C56569" w:rsidP="00AD0B90">
      <w:pPr>
        <w:numPr>
          <w:ilvl w:val="0"/>
          <w:numId w:val="1"/>
        </w:numPr>
        <w:tabs>
          <w:tab w:val="clear" w:pos="720"/>
          <w:tab w:val="num" w:pos="0"/>
        </w:tabs>
        <w:spacing w:line="276" w:lineRule="auto"/>
        <w:ind w:left="0"/>
        <w:rPr>
          <w:sz w:val="25"/>
          <w:szCs w:val="25"/>
        </w:rPr>
      </w:pPr>
      <w:r w:rsidRPr="002532DF">
        <w:rPr>
          <w:sz w:val="25"/>
          <w:szCs w:val="25"/>
        </w:rPr>
        <w:t>In re</w:t>
      </w:r>
      <w:r w:rsidR="00AE1052" w:rsidRPr="002532DF">
        <w:rPr>
          <w:sz w:val="25"/>
          <w:szCs w:val="25"/>
        </w:rPr>
        <w:t>sponsive testimony</w:t>
      </w:r>
      <w:r w:rsidRPr="002532DF">
        <w:rPr>
          <w:sz w:val="25"/>
          <w:szCs w:val="25"/>
        </w:rPr>
        <w:t xml:space="preserve">, </w:t>
      </w:r>
      <w:r w:rsidR="00F73694" w:rsidRPr="002532DF">
        <w:rPr>
          <w:sz w:val="25"/>
          <w:szCs w:val="25"/>
        </w:rPr>
        <w:t>Staff proposes a hypothetical capital structure of 46.5 percent common equity, 0.3 percent preferred stock, and 3.0 percent short-term debt with a 50.2 percent long-term debt component.</w:t>
      </w:r>
      <w:r w:rsidR="00F73694" w:rsidRPr="002532DF">
        <w:rPr>
          <w:rStyle w:val="FootnoteReference"/>
          <w:sz w:val="25"/>
          <w:szCs w:val="25"/>
        </w:rPr>
        <w:footnoteReference w:id="33"/>
      </w:r>
      <w:r w:rsidR="00F73694" w:rsidRPr="002532DF">
        <w:rPr>
          <w:sz w:val="25"/>
          <w:szCs w:val="25"/>
        </w:rPr>
        <w:t xml:space="preserve"> </w:t>
      </w:r>
      <w:r w:rsidRPr="002532DF">
        <w:rPr>
          <w:sz w:val="25"/>
          <w:szCs w:val="25"/>
        </w:rPr>
        <w:t xml:space="preserve"> It</w:t>
      </w:r>
      <w:r w:rsidR="00AE1052" w:rsidRPr="002532DF">
        <w:rPr>
          <w:sz w:val="25"/>
          <w:szCs w:val="25"/>
        </w:rPr>
        <w:t xml:space="preserve"> </w:t>
      </w:r>
      <w:r w:rsidR="00F73694" w:rsidRPr="002532DF">
        <w:rPr>
          <w:sz w:val="25"/>
          <w:szCs w:val="25"/>
        </w:rPr>
        <w:t>argues</w:t>
      </w:r>
      <w:r w:rsidRPr="002532DF">
        <w:rPr>
          <w:sz w:val="25"/>
          <w:szCs w:val="25"/>
        </w:rPr>
        <w:t xml:space="preserve"> a</w:t>
      </w:r>
      <w:r w:rsidR="00BF046D" w:rsidRPr="002532DF">
        <w:rPr>
          <w:sz w:val="25"/>
          <w:szCs w:val="25"/>
        </w:rPr>
        <w:t xml:space="preserve"> </w:t>
      </w:r>
      <w:r w:rsidR="00963100" w:rsidRPr="002532DF">
        <w:rPr>
          <w:sz w:val="25"/>
          <w:szCs w:val="25"/>
        </w:rPr>
        <w:t xml:space="preserve">capital structure </w:t>
      </w:r>
      <w:r w:rsidRPr="002532DF">
        <w:rPr>
          <w:sz w:val="25"/>
          <w:szCs w:val="25"/>
        </w:rPr>
        <w:t>with</w:t>
      </w:r>
      <w:r w:rsidR="00F73694" w:rsidRPr="002532DF">
        <w:rPr>
          <w:sz w:val="25"/>
          <w:szCs w:val="25"/>
        </w:rPr>
        <w:t xml:space="preserve"> 46.5 percent equity </w:t>
      </w:r>
      <w:r w:rsidRPr="002532DF">
        <w:rPr>
          <w:sz w:val="25"/>
          <w:szCs w:val="25"/>
        </w:rPr>
        <w:t>would provide a</w:t>
      </w:r>
      <w:r w:rsidR="00F73694" w:rsidRPr="002532DF">
        <w:rPr>
          <w:sz w:val="25"/>
          <w:szCs w:val="25"/>
        </w:rPr>
        <w:t xml:space="preserve"> balance</w:t>
      </w:r>
      <w:r w:rsidRPr="002532DF">
        <w:rPr>
          <w:sz w:val="25"/>
          <w:szCs w:val="25"/>
        </w:rPr>
        <w:t xml:space="preserve"> of</w:t>
      </w:r>
      <w:r w:rsidR="00F73694" w:rsidRPr="002532DF">
        <w:rPr>
          <w:sz w:val="25"/>
          <w:szCs w:val="25"/>
        </w:rPr>
        <w:t xml:space="preserve"> safety and economy and is consistent with the </w:t>
      </w:r>
      <w:r w:rsidR="00C707DE" w:rsidRPr="002532DF">
        <w:rPr>
          <w:sz w:val="25"/>
          <w:szCs w:val="25"/>
        </w:rPr>
        <w:t>proposition</w:t>
      </w:r>
      <w:r w:rsidR="00F73694" w:rsidRPr="002532DF">
        <w:rPr>
          <w:sz w:val="25"/>
          <w:szCs w:val="25"/>
        </w:rPr>
        <w:t xml:space="preserve"> that a company’s capital structure should achieve the lowest overall </w:t>
      </w:r>
      <w:r w:rsidR="00A26527" w:rsidRPr="002532DF">
        <w:rPr>
          <w:sz w:val="25"/>
          <w:szCs w:val="25"/>
        </w:rPr>
        <w:t>cost of capital</w:t>
      </w:r>
      <w:r w:rsidR="00F73694" w:rsidRPr="002532DF">
        <w:rPr>
          <w:sz w:val="25"/>
          <w:szCs w:val="25"/>
        </w:rPr>
        <w:t>.</w:t>
      </w:r>
      <w:r w:rsidR="00F73694" w:rsidRPr="002532DF">
        <w:rPr>
          <w:rStyle w:val="FootnoteReference"/>
          <w:sz w:val="25"/>
          <w:szCs w:val="25"/>
        </w:rPr>
        <w:footnoteReference w:id="34"/>
      </w:r>
      <w:r w:rsidR="00F73694" w:rsidRPr="002532DF">
        <w:rPr>
          <w:sz w:val="25"/>
          <w:szCs w:val="25"/>
        </w:rPr>
        <w:t xml:space="preserve">  </w:t>
      </w:r>
      <w:r w:rsidR="00C707DE" w:rsidRPr="002532DF">
        <w:rPr>
          <w:sz w:val="25"/>
          <w:szCs w:val="25"/>
        </w:rPr>
        <w:t>This</w:t>
      </w:r>
      <w:r w:rsidR="00F73694" w:rsidRPr="002532DF">
        <w:rPr>
          <w:sz w:val="25"/>
          <w:szCs w:val="25"/>
        </w:rPr>
        <w:t xml:space="preserve"> approach is consistent with Commission decisions</w:t>
      </w:r>
      <w:r w:rsidR="00C707DE" w:rsidRPr="002532DF">
        <w:rPr>
          <w:sz w:val="25"/>
          <w:szCs w:val="25"/>
        </w:rPr>
        <w:t xml:space="preserve"> that state the general principle that</w:t>
      </w:r>
      <w:r w:rsidR="00F73694" w:rsidRPr="002532DF">
        <w:rPr>
          <w:sz w:val="25"/>
          <w:szCs w:val="25"/>
        </w:rPr>
        <w:t xml:space="preserve"> “[</w:t>
      </w:r>
      <w:r w:rsidR="00C707DE" w:rsidRPr="002532DF">
        <w:rPr>
          <w:sz w:val="25"/>
          <w:szCs w:val="25"/>
        </w:rPr>
        <w:t>t</w:t>
      </w:r>
      <w:r w:rsidR="00F73694" w:rsidRPr="002532DF">
        <w:rPr>
          <w:sz w:val="25"/>
          <w:szCs w:val="25"/>
        </w:rPr>
        <w:t xml:space="preserve">]he appropriate capital structure for ratemaking purposes is one that </w:t>
      </w:r>
      <w:r w:rsidR="00F73694" w:rsidRPr="002532DF">
        <w:rPr>
          <w:i/>
          <w:sz w:val="25"/>
          <w:szCs w:val="25"/>
        </w:rPr>
        <w:t>balances economy with safety</w:t>
      </w:r>
      <w:r w:rsidR="00F73694" w:rsidRPr="002532DF">
        <w:rPr>
          <w:sz w:val="25"/>
          <w:szCs w:val="25"/>
        </w:rPr>
        <w:t xml:space="preserve"> in view of all of the sources of capital available to the company.”</w:t>
      </w:r>
      <w:r w:rsidR="00F73694" w:rsidRPr="002532DF">
        <w:rPr>
          <w:rStyle w:val="FootnoteReference"/>
          <w:sz w:val="25"/>
          <w:szCs w:val="25"/>
        </w:rPr>
        <w:footnoteReference w:id="35"/>
      </w:r>
      <w:r w:rsidR="00963100" w:rsidRPr="002532DF">
        <w:rPr>
          <w:sz w:val="25"/>
          <w:szCs w:val="25"/>
        </w:rPr>
        <w:t xml:space="preserve">  </w:t>
      </w:r>
      <w:r w:rsidRPr="002532DF">
        <w:rPr>
          <w:sz w:val="25"/>
          <w:szCs w:val="25"/>
        </w:rPr>
        <w:t>Staff contends that PacifiCorp’s parent, MEHC, controls the Company’s capital structure and has a strong financial incentive to capitalize PacifiCorp with “as much equity as possible.”</w:t>
      </w:r>
      <w:r w:rsidRPr="002532DF">
        <w:rPr>
          <w:rStyle w:val="FootnoteReference"/>
          <w:sz w:val="25"/>
          <w:szCs w:val="25"/>
        </w:rPr>
        <w:footnoteReference w:id="36"/>
      </w:r>
      <w:r w:rsidRPr="002532DF">
        <w:rPr>
          <w:sz w:val="25"/>
          <w:szCs w:val="25"/>
        </w:rPr>
        <w:t xml:space="preserve">  Thus, it implies that the large equity component advocated by PacifiCorp </w:t>
      </w:r>
      <w:r w:rsidR="00F00CDE" w:rsidRPr="002532DF">
        <w:rPr>
          <w:sz w:val="25"/>
          <w:szCs w:val="25"/>
        </w:rPr>
        <w:t xml:space="preserve">tilts the balance in favor of the Company's shareholders while providing little benefit to its ratepayers. </w:t>
      </w:r>
      <w:r w:rsidRPr="002532DF">
        <w:rPr>
          <w:sz w:val="25"/>
          <w:szCs w:val="25"/>
        </w:rPr>
        <w:t xml:space="preserve"> </w:t>
      </w:r>
    </w:p>
    <w:p w:rsidR="00C56569" w:rsidRPr="002532DF" w:rsidRDefault="00C56569" w:rsidP="00AE1052">
      <w:pPr>
        <w:spacing w:line="276" w:lineRule="auto"/>
        <w:ind w:left="-720"/>
        <w:rPr>
          <w:sz w:val="25"/>
          <w:szCs w:val="25"/>
        </w:rPr>
      </w:pPr>
    </w:p>
    <w:p w:rsidR="00F73694" w:rsidRPr="002532DF" w:rsidRDefault="00BF046D" w:rsidP="00AD0B90">
      <w:pPr>
        <w:numPr>
          <w:ilvl w:val="0"/>
          <w:numId w:val="1"/>
        </w:numPr>
        <w:tabs>
          <w:tab w:val="clear" w:pos="720"/>
          <w:tab w:val="num" w:pos="0"/>
        </w:tabs>
        <w:spacing w:line="276" w:lineRule="auto"/>
        <w:ind w:left="0"/>
        <w:rPr>
          <w:sz w:val="25"/>
          <w:szCs w:val="25"/>
        </w:rPr>
      </w:pPr>
      <w:r w:rsidRPr="002532DF">
        <w:rPr>
          <w:sz w:val="25"/>
          <w:szCs w:val="25"/>
        </w:rPr>
        <w:t>As to the Company</w:t>
      </w:r>
      <w:r w:rsidR="00416037" w:rsidRPr="002532DF">
        <w:rPr>
          <w:sz w:val="25"/>
          <w:szCs w:val="25"/>
        </w:rPr>
        <w:t>’</w:t>
      </w:r>
      <w:r w:rsidRPr="002532DF">
        <w:rPr>
          <w:sz w:val="25"/>
          <w:szCs w:val="25"/>
        </w:rPr>
        <w:t xml:space="preserve">s credit metrics, </w:t>
      </w:r>
      <w:r w:rsidR="00963100" w:rsidRPr="002532DF">
        <w:rPr>
          <w:sz w:val="25"/>
          <w:szCs w:val="25"/>
        </w:rPr>
        <w:t xml:space="preserve">Staff concludes that an equity ratio in the mid-40’s </w:t>
      </w:r>
      <w:r w:rsidRPr="002532DF">
        <w:rPr>
          <w:sz w:val="25"/>
          <w:szCs w:val="25"/>
        </w:rPr>
        <w:t xml:space="preserve">would </w:t>
      </w:r>
      <w:r w:rsidR="00963100" w:rsidRPr="002532DF">
        <w:rPr>
          <w:sz w:val="25"/>
          <w:szCs w:val="25"/>
        </w:rPr>
        <w:t xml:space="preserve">support a “BBB” corporate </w:t>
      </w:r>
      <w:r w:rsidR="00B33546" w:rsidRPr="002532DF">
        <w:rPr>
          <w:sz w:val="25"/>
          <w:szCs w:val="25"/>
        </w:rPr>
        <w:t>debt</w:t>
      </w:r>
      <w:r w:rsidR="00963100" w:rsidRPr="002532DF">
        <w:rPr>
          <w:sz w:val="25"/>
          <w:szCs w:val="25"/>
        </w:rPr>
        <w:t xml:space="preserve"> rating and an “A-” secured rating.</w:t>
      </w:r>
      <w:r w:rsidR="00963100" w:rsidRPr="002532DF">
        <w:rPr>
          <w:rStyle w:val="FootnoteReference"/>
          <w:sz w:val="25"/>
          <w:szCs w:val="25"/>
        </w:rPr>
        <w:footnoteReference w:id="37"/>
      </w:r>
      <w:r w:rsidR="00963100" w:rsidRPr="002532DF">
        <w:rPr>
          <w:sz w:val="25"/>
          <w:szCs w:val="25"/>
        </w:rPr>
        <w:t xml:space="preserve">  </w:t>
      </w:r>
      <w:r w:rsidRPr="002532DF">
        <w:rPr>
          <w:sz w:val="25"/>
          <w:szCs w:val="25"/>
        </w:rPr>
        <w:t>Staff asserts that such credit ratings are reasonable and points out that most electric utilities have a “BBB” rating.</w:t>
      </w:r>
    </w:p>
    <w:p w:rsidR="00F73694" w:rsidRPr="002532DF" w:rsidRDefault="00F73694" w:rsidP="00F73694">
      <w:pPr>
        <w:spacing w:line="276" w:lineRule="auto"/>
        <w:ind w:left="-720"/>
        <w:rPr>
          <w:sz w:val="25"/>
          <w:szCs w:val="25"/>
        </w:rPr>
      </w:pPr>
    </w:p>
    <w:p w:rsidR="00DD2C57" w:rsidRPr="002532DF" w:rsidRDefault="0032694D" w:rsidP="00DD2C57">
      <w:pPr>
        <w:numPr>
          <w:ilvl w:val="0"/>
          <w:numId w:val="1"/>
        </w:numPr>
        <w:tabs>
          <w:tab w:val="clear" w:pos="720"/>
          <w:tab w:val="num" w:pos="0"/>
        </w:tabs>
        <w:spacing w:line="276" w:lineRule="auto"/>
        <w:ind w:left="0"/>
        <w:rPr>
          <w:sz w:val="25"/>
          <w:szCs w:val="25"/>
        </w:rPr>
      </w:pPr>
      <w:r w:rsidRPr="002532DF">
        <w:rPr>
          <w:sz w:val="25"/>
          <w:szCs w:val="25"/>
        </w:rPr>
        <w:t>In contrast to the Company</w:t>
      </w:r>
      <w:r w:rsidR="00A271E5" w:rsidRPr="002532DF">
        <w:rPr>
          <w:sz w:val="25"/>
          <w:szCs w:val="25"/>
        </w:rPr>
        <w:t xml:space="preserve"> and ICNU</w:t>
      </w:r>
      <w:r w:rsidRPr="002532DF">
        <w:rPr>
          <w:sz w:val="25"/>
          <w:szCs w:val="25"/>
        </w:rPr>
        <w:t xml:space="preserve">, </w:t>
      </w:r>
      <w:r w:rsidR="00AE53E9" w:rsidRPr="002532DF">
        <w:rPr>
          <w:sz w:val="25"/>
          <w:szCs w:val="25"/>
        </w:rPr>
        <w:t>S</w:t>
      </w:r>
      <w:r w:rsidR="00F73694" w:rsidRPr="002532DF">
        <w:rPr>
          <w:sz w:val="25"/>
          <w:szCs w:val="25"/>
        </w:rPr>
        <w:t xml:space="preserve">taff imputes three percent short-term debt in its hypothetical capital structure arguing that </w:t>
      </w:r>
      <w:r w:rsidR="00A271E5" w:rsidRPr="002532DF">
        <w:rPr>
          <w:sz w:val="25"/>
          <w:szCs w:val="25"/>
        </w:rPr>
        <w:t xml:space="preserve">short-term debt is less expensive than equity and such a result would be </w:t>
      </w:r>
      <w:r w:rsidR="00AE53E9" w:rsidRPr="002532DF">
        <w:rPr>
          <w:sz w:val="25"/>
          <w:szCs w:val="25"/>
        </w:rPr>
        <w:t xml:space="preserve">consistent with </w:t>
      </w:r>
      <w:r w:rsidR="00F73694" w:rsidRPr="002532DF">
        <w:rPr>
          <w:sz w:val="25"/>
          <w:szCs w:val="25"/>
        </w:rPr>
        <w:t xml:space="preserve">the </w:t>
      </w:r>
      <w:r w:rsidR="00AE53E9" w:rsidRPr="002532DF">
        <w:rPr>
          <w:sz w:val="25"/>
          <w:szCs w:val="25"/>
        </w:rPr>
        <w:t xml:space="preserve">Commission’s ruling in the </w:t>
      </w:r>
      <w:r w:rsidR="00F73694" w:rsidRPr="002532DF">
        <w:rPr>
          <w:sz w:val="25"/>
          <w:szCs w:val="25"/>
        </w:rPr>
        <w:t>Com</w:t>
      </w:r>
      <w:r w:rsidR="00AE53E9" w:rsidRPr="002532DF">
        <w:rPr>
          <w:sz w:val="25"/>
          <w:szCs w:val="25"/>
        </w:rPr>
        <w:t xml:space="preserve">pany’s </w:t>
      </w:r>
      <w:r w:rsidR="007D354A" w:rsidRPr="002532DF">
        <w:rPr>
          <w:sz w:val="25"/>
          <w:szCs w:val="25"/>
        </w:rPr>
        <w:t>200</w:t>
      </w:r>
      <w:r w:rsidR="00877EDC" w:rsidRPr="002532DF">
        <w:rPr>
          <w:sz w:val="25"/>
          <w:szCs w:val="25"/>
        </w:rPr>
        <w:t>5 general</w:t>
      </w:r>
      <w:r w:rsidR="00AE53E9" w:rsidRPr="002532DF">
        <w:rPr>
          <w:sz w:val="25"/>
          <w:szCs w:val="25"/>
        </w:rPr>
        <w:t xml:space="preserve"> rate case</w:t>
      </w:r>
      <w:r w:rsidR="00F73694" w:rsidRPr="002532DF">
        <w:rPr>
          <w:sz w:val="25"/>
          <w:szCs w:val="25"/>
        </w:rPr>
        <w:t>.</w:t>
      </w:r>
      <w:r w:rsidR="00F73694" w:rsidRPr="002532DF">
        <w:rPr>
          <w:rStyle w:val="FootnoteReference"/>
          <w:sz w:val="25"/>
          <w:szCs w:val="25"/>
        </w:rPr>
        <w:footnoteReference w:id="38"/>
      </w:r>
      <w:r w:rsidR="00F73694" w:rsidRPr="002532DF">
        <w:rPr>
          <w:sz w:val="25"/>
          <w:szCs w:val="25"/>
        </w:rPr>
        <w:t xml:space="preserve">  </w:t>
      </w:r>
      <w:r w:rsidR="00DD2C57" w:rsidRPr="002532DF">
        <w:rPr>
          <w:sz w:val="25"/>
          <w:szCs w:val="25"/>
        </w:rPr>
        <w:t>Its estimate is based on examining the Company’s credit facilities and its cost of issuing commercial paper</w:t>
      </w:r>
      <w:r w:rsidR="00EC6A90" w:rsidRPr="002532DF">
        <w:rPr>
          <w:sz w:val="25"/>
          <w:szCs w:val="25"/>
        </w:rPr>
        <w:t xml:space="preserve"> and considering</w:t>
      </w:r>
      <w:r w:rsidR="00DD2C57" w:rsidRPr="002532DF">
        <w:rPr>
          <w:sz w:val="25"/>
          <w:szCs w:val="25"/>
        </w:rPr>
        <w:t xml:space="preserve"> Avista and Puget Sound Energy’s recent cost of short-term debt.</w:t>
      </w:r>
      <w:r w:rsidR="00DD2C57" w:rsidRPr="002532DF">
        <w:rPr>
          <w:rStyle w:val="FootnoteReference"/>
          <w:sz w:val="25"/>
          <w:szCs w:val="25"/>
        </w:rPr>
        <w:footnoteReference w:id="39"/>
      </w:r>
      <w:r w:rsidR="00DD2C57" w:rsidRPr="002532DF">
        <w:rPr>
          <w:sz w:val="25"/>
          <w:szCs w:val="25"/>
        </w:rPr>
        <w:t xml:space="preserve">  </w:t>
      </w:r>
    </w:p>
    <w:p w:rsidR="00DD2C57" w:rsidRPr="002532DF" w:rsidRDefault="00DD2C57" w:rsidP="00DD2C57">
      <w:pPr>
        <w:spacing w:line="276" w:lineRule="auto"/>
        <w:ind w:left="-720"/>
        <w:rPr>
          <w:sz w:val="25"/>
          <w:szCs w:val="25"/>
        </w:rPr>
      </w:pPr>
    </w:p>
    <w:p w:rsidR="00F73694" w:rsidRPr="002532DF" w:rsidRDefault="00DD2C57" w:rsidP="00AD0B90">
      <w:pPr>
        <w:numPr>
          <w:ilvl w:val="0"/>
          <w:numId w:val="1"/>
        </w:numPr>
        <w:tabs>
          <w:tab w:val="clear" w:pos="720"/>
          <w:tab w:val="num" w:pos="0"/>
        </w:tabs>
        <w:spacing w:line="276" w:lineRule="auto"/>
        <w:ind w:left="0"/>
        <w:rPr>
          <w:sz w:val="25"/>
          <w:szCs w:val="25"/>
        </w:rPr>
      </w:pPr>
      <w:r w:rsidRPr="002532DF">
        <w:rPr>
          <w:sz w:val="25"/>
          <w:szCs w:val="25"/>
        </w:rPr>
        <w:t>T</w:t>
      </w:r>
      <w:r w:rsidR="00A271E5" w:rsidRPr="002532DF">
        <w:rPr>
          <w:sz w:val="25"/>
          <w:szCs w:val="25"/>
        </w:rPr>
        <w:t>he</w:t>
      </w:r>
      <w:r w:rsidR="00F73694" w:rsidRPr="002532DF">
        <w:rPr>
          <w:sz w:val="25"/>
          <w:szCs w:val="25"/>
        </w:rPr>
        <w:t xml:space="preserve"> imputed debt represents $500 million which Staff argues is relatively small compared to net plant of $15 billion.</w:t>
      </w:r>
      <w:r w:rsidR="00F73694" w:rsidRPr="002532DF">
        <w:rPr>
          <w:rStyle w:val="FootnoteReference"/>
          <w:sz w:val="25"/>
          <w:szCs w:val="25"/>
        </w:rPr>
        <w:footnoteReference w:id="40"/>
      </w:r>
      <w:r w:rsidR="00F73694" w:rsidRPr="002532DF">
        <w:rPr>
          <w:sz w:val="25"/>
          <w:szCs w:val="25"/>
        </w:rPr>
        <w:t xml:space="preserve">  Staff </w:t>
      </w:r>
      <w:r w:rsidR="00B368C9" w:rsidRPr="002532DF">
        <w:rPr>
          <w:sz w:val="25"/>
          <w:szCs w:val="25"/>
        </w:rPr>
        <w:t xml:space="preserve">also </w:t>
      </w:r>
      <w:r w:rsidR="00F73694" w:rsidRPr="002532DF">
        <w:rPr>
          <w:sz w:val="25"/>
          <w:szCs w:val="25"/>
        </w:rPr>
        <w:t>contends that PacifiCorp’s cash flow requires $800 million of external funding</w:t>
      </w:r>
      <w:r w:rsidR="00877EDC" w:rsidRPr="002532DF">
        <w:rPr>
          <w:sz w:val="25"/>
          <w:szCs w:val="25"/>
        </w:rPr>
        <w:t xml:space="preserve"> which it</w:t>
      </w:r>
      <w:r w:rsidR="00F73694" w:rsidRPr="002532DF">
        <w:rPr>
          <w:sz w:val="25"/>
          <w:szCs w:val="25"/>
        </w:rPr>
        <w:t xml:space="preserve"> argues should </w:t>
      </w:r>
      <w:r w:rsidR="00A271E5" w:rsidRPr="002532DF">
        <w:rPr>
          <w:sz w:val="25"/>
          <w:szCs w:val="25"/>
        </w:rPr>
        <w:t xml:space="preserve">be </w:t>
      </w:r>
      <w:r w:rsidR="00877EDC" w:rsidRPr="002532DF">
        <w:rPr>
          <w:sz w:val="25"/>
          <w:szCs w:val="25"/>
        </w:rPr>
        <w:t>derive</w:t>
      </w:r>
      <w:r w:rsidR="00A271E5" w:rsidRPr="002532DF">
        <w:rPr>
          <w:sz w:val="25"/>
          <w:szCs w:val="25"/>
        </w:rPr>
        <w:t>d</w:t>
      </w:r>
      <w:r w:rsidR="00877EDC" w:rsidRPr="002532DF">
        <w:rPr>
          <w:sz w:val="25"/>
          <w:szCs w:val="25"/>
        </w:rPr>
        <w:t xml:space="preserve"> from cheaper</w:t>
      </w:r>
      <w:r w:rsidR="00F73694" w:rsidRPr="002532DF">
        <w:rPr>
          <w:sz w:val="25"/>
          <w:szCs w:val="25"/>
        </w:rPr>
        <w:t xml:space="preserve"> short-term borrowings.</w:t>
      </w:r>
      <w:r w:rsidR="00F73694" w:rsidRPr="002532DF">
        <w:rPr>
          <w:rStyle w:val="FootnoteReference"/>
          <w:sz w:val="25"/>
          <w:szCs w:val="25"/>
        </w:rPr>
        <w:footnoteReference w:id="41"/>
      </w:r>
      <w:r w:rsidR="009D1334" w:rsidRPr="002532DF">
        <w:rPr>
          <w:sz w:val="25"/>
          <w:szCs w:val="25"/>
        </w:rPr>
        <w:t xml:space="preserve"> </w:t>
      </w:r>
      <w:r w:rsidR="00B368C9" w:rsidRPr="002532DF">
        <w:rPr>
          <w:sz w:val="25"/>
          <w:szCs w:val="25"/>
        </w:rPr>
        <w:t xml:space="preserve"> It points out the Company retains $1.5 billion </w:t>
      </w:r>
      <w:r w:rsidR="00B33546" w:rsidRPr="002532DF">
        <w:rPr>
          <w:sz w:val="25"/>
          <w:szCs w:val="25"/>
        </w:rPr>
        <w:t xml:space="preserve">in short-term </w:t>
      </w:r>
      <w:r w:rsidR="002D31FC" w:rsidRPr="002532DF">
        <w:rPr>
          <w:sz w:val="25"/>
          <w:szCs w:val="25"/>
        </w:rPr>
        <w:t xml:space="preserve">debt </w:t>
      </w:r>
      <w:r w:rsidR="00B33546" w:rsidRPr="002532DF">
        <w:rPr>
          <w:sz w:val="25"/>
          <w:szCs w:val="25"/>
        </w:rPr>
        <w:t>credit facilities</w:t>
      </w:r>
      <w:r w:rsidR="00B368C9" w:rsidRPr="002532DF">
        <w:rPr>
          <w:sz w:val="25"/>
          <w:szCs w:val="25"/>
        </w:rPr>
        <w:t xml:space="preserve">, </w:t>
      </w:r>
      <w:r w:rsidR="002D31FC" w:rsidRPr="002532DF">
        <w:rPr>
          <w:sz w:val="25"/>
          <w:szCs w:val="25"/>
        </w:rPr>
        <w:t>from internal sources</w:t>
      </w:r>
      <w:r w:rsidR="00B368C9" w:rsidRPr="002532DF">
        <w:rPr>
          <w:sz w:val="25"/>
          <w:szCs w:val="25"/>
        </w:rPr>
        <w:t xml:space="preserve"> that could be used to finance its short-term capital needs.</w:t>
      </w:r>
      <w:r w:rsidR="00B368C9" w:rsidRPr="002532DF">
        <w:rPr>
          <w:rStyle w:val="FootnoteReference"/>
          <w:sz w:val="25"/>
          <w:szCs w:val="25"/>
        </w:rPr>
        <w:footnoteReference w:id="42"/>
      </w:r>
      <w:r w:rsidR="00B368C9" w:rsidRPr="002532DF">
        <w:rPr>
          <w:sz w:val="25"/>
          <w:szCs w:val="25"/>
        </w:rPr>
        <w:t xml:space="preserve"> </w:t>
      </w:r>
    </w:p>
    <w:p w:rsidR="00D05CB9" w:rsidRPr="002532DF" w:rsidRDefault="00D05CB9" w:rsidP="00D05CB9">
      <w:pPr>
        <w:spacing w:line="276" w:lineRule="auto"/>
        <w:ind w:left="-720"/>
        <w:rPr>
          <w:sz w:val="25"/>
          <w:szCs w:val="25"/>
        </w:rPr>
      </w:pPr>
    </w:p>
    <w:p w:rsidR="00253349" w:rsidRPr="002532DF" w:rsidRDefault="00253349" w:rsidP="00AD0B90">
      <w:pPr>
        <w:numPr>
          <w:ilvl w:val="0"/>
          <w:numId w:val="1"/>
        </w:numPr>
        <w:tabs>
          <w:tab w:val="clear" w:pos="720"/>
          <w:tab w:val="num" w:pos="0"/>
        </w:tabs>
        <w:spacing w:line="276" w:lineRule="auto"/>
        <w:ind w:left="0"/>
        <w:rPr>
          <w:sz w:val="25"/>
          <w:szCs w:val="25"/>
        </w:rPr>
      </w:pPr>
      <w:r w:rsidRPr="002532DF">
        <w:rPr>
          <w:sz w:val="25"/>
          <w:szCs w:val="25"/>
        </w:rPr>
        <w:t>In summary, Staff agrees with the Company’s allocation of preferred stock in its capital structure.  Accordingly, the remaining component of the capital structure, long-term debt, would represent 50.2 percent.</w:t>
      </w:r>
    </w:p>
    <w:p w:rsidR="00691F37" w:rsidRPr="002532DF" w:rsidRDefault="00691F37" w:rsidP="00691F37">
      <w:pPr>
        <w:spacing w:line="276" w:lineRule="auto"/>
        <w:rPr>
          <w:sz w:val="25"/>
          <w:szCs w:val="25"/>
        </w:rPr>
      </w:pPr>
    </w:p>
    <w:p w:rsidR="005F2542" w:rsidRPr="002532DF" w:rsidRDefault="005F2542" w:rsidP="00D40B51">
      <w:pPr>
        <w:numPr>
          <w:ilvl w:val="0"/>
          <w:numId w:val="1"/>
        </w:numPr>
        <w:tabs>
          <w:tab w:val="clear" w:pos="720"/>
          <w:tab w:val="num" w:pos="0"/>
        </w:tabs>
        <w:spacing w:line="276" w:lineRule="auto"/>
        <w:ind w:left="0"/>
        <w:rPr>
          <w:sz w:val="25"/>
          <w:szCs w:val="25"/>
        </w:rPr>
      </w:pPr>
      <w:r w:rsidRPr="002532DF">
        <w:rPr>
          <w:sz w:val="25"/>
          <w:szCs w:val="25"/>
        </w:rPr>
        <w:t>ICNU recommends a hypothetical capital structure of 49.1 percent common equity, 0.3 percent preferred stock, and 50.6 percent long-term debt</w:t>
      </w:r>
      <w:r w:rsidR="00EE3C91" w:rsidRPr="002532DF">
        <w:rPr>
          <w:sz w:val="25"/>
          <w:szCs w:val="25"/>
        </w:rPr>
        <w:t xml:space="preserve"> and represents that its hypothetical capital structure is consistent with the capital structure PacifiCorp proposed in prior proceedings.</w:t>
      </w:r>
      <w:r w:rsidR="00743F35" w:rsidRPr="002532DF">
        <w:rPr>
          <w:rStyle w:val="FootnoteReference"/>
          <w:sz w:val="25"/>
          <w:szCs w:val="25"/>
        </w:rPr>
        <w:footnoteReference w:id="43"/>
      </w:r>
      <w:r w:rsidR="00EE3C91" w:rsidRPr="002532DF">
        <w:rPr>
          <w:sz w:val="25"/>
          <w:szCs w:val="25"/>
        </w:rPr>
        <w:t xml:space="preserve">  Starting with the Company's actual common equity ending June 30, 2010, </w:t>
      </w:r>
      <w:r w:rsidRPr="002532DF">
        <w:rPr>
          <w:sz w:val="25"/>
          <w:szCs w:val="25"/>
        </w:rPr>
        <w:t xml:space="preserve">ICNU reduces </w:t>
      </w:r>
      <w:r w:rsidR="00EE3C91" w:rsidRPr="002532DF">
        <w:rPr>
          <w:sz w:val="25"/>
          <w:szCs w:val="25"/>
        </w:rPr>
        <w:t xml:space="preserve">actual </w:t>
      </w:r>
      <w:r w:rsidRPr="002532DF">
        <w:rPr>
          <w:sz w:val="25"/>
          <w:szCs w:val="25"/>
        </w:rPr>
        <w:t>equity by $360 million by removing what i</w:t>
      </w:r>
      <w:r w:rsidR="00877EDC" w:rsidRPr="002532DF">
        <w:rPr>
          <w:sz w:val="25"/>
          <w:szCs w:val="25"/>
        </w:rPr>
        <w:t>t</w:t>
      </w:r>
      <w:r w:rsidRPr="002532DF">
        <w:rPr>
          <w:sz w:val="25"/>
          <w:szCs w:val="25"/>
        </w:rPr>
        <w:t xml:space="preserve"> characterizes as the financing associated with: (1) an acquisition adjustment; (2) special deposits (3) short-term investments; and (4) the net amount of affiliated payables and receivable</w:t>
      </w:r>
      <w:r w:rsidR="00583046" w:rsidRPr="002532DF">
        <w:rPr>
          <w:sz w:val="25"/>
          <w:szCs w:val="25"/>
        </w:rPr>
        <w:t xml:space="preserve">. </w:t>
      </w:r>
      <w:r w:rsidR="00743F35" w:rsidRPr="002532DF">
        <w:rPr>
          <w:sz w:val="25"/>
          <w:szCs w:val="25"/>
        </w:rPr>
        <w:t xml:space="preserve"> </w:t>
      </w:r>
      <w:r w:rsidR="00583046" w:rsidRPr="002532DF">
        <w:rPr>
          <w:sz w:val="25"/>
          <w:szCs w:val="25"/>
        </w:rPr>
        <w:t xml:space="preserve">It </w:t>
      </w:r>
      <w:r w:rsidR="00EE3C91" w:rsidRPr="002532DF">
        <w:rPr>
          <w:sz w:val="25"/>
          <w:szCs w:val="25"/>
        </w:rPr>
        <w:t>asserts</w:t>
      </w:r>
      <w:r w:rsidRPr="002532DF">
        <w:rPr>
          <w:sz w:val="25"/>
          <w:szCs w:val="25"/>
        </w:rPr>
        <w:t xml:space="preserve"> that its adjustment reflects the common equity the Company “relied on to invest in utility plant.”</w:t>
      </w:r>
      <w:r w:rsidRPr="002532DF">
        <w:rPr>
          <w:rStyle w:val="FootnoteReference"/>
          <w:sz w:val="25"/>
          <w:szCs w:val="25"/>
        </w:rPr>
        <w:footnoteReference w:id="44"/>
      </w:r>
      <w:r w:rsidR="00877EDC" w:rsidRPr="002532DF">
        <w:rPr>
          <w:sz w:val="25"/>
          <w:szCs w:val="25"/>
        </w:rPr>
        <w:t xml:space="preserve">  ICNU points out that while the Company retained all earnings at the subsidiary level and did not </w:t>
      </w:r>
      <w:r w:rsidR="00B33546" w:rsidRPr="002532DF">
        <w:rPr>
          <w:sz w:val="25"/>
          <w:szCs w:val="25"/>
        </w:rPr>
        <w:t>pay</w:t>
      </w:r>
      <w:r w:rsidR="00877EDC" w:rsidRPr="002532DF">
        <w:rPr>
          <w:sz w:val="25"/>
          <w:szCs w:val="25"/>
        </w:rPr>
        <w:t xml:space="preserve"> dividends to its parent, </w:t>
      </w:r>
      <w:r w:rsidR="004A2ED5" w:rsidRPr="002532DF">
        <w:rPr>
          <w:sz w:val="25"/>
          <w:szCs w:val="25"/>
        </w:rPr>
        <w:t xml:space="preserve">it did not invest </w:t>
      </w:r>
      <w:r w:rsidR="00877EDC" w:rsidRPr="002532DF">
        <w:rPr>
          <w:sz w:val="25"/>
          <w:szCs w:val="25"/>
        </w:rPr>
        <w:t xml:space="preserve">all </w:t>
      </w:r>
      <w:r w:rsidR="00B33546" w:rsidRPr="002532DF">
        <w:rPr>
          <w:sz w:val="25"/>
          <w:szCs w:val="25"/>
        </w:rPr>
        <w:t>those</w:t>
      </w:r>
      <w:r w:rsidR="00877EDC" w:rsidRPr="002532DF">
        <w:rPr>
          <w:sz w:val="25"/>
          <w:szCs w:val="25"/>
        </w:rPr>
        <w:t xml:space="preserve"> earnings in utility plant</w:t>
      </w:r>
      <w:r w:rsidR="002D31FC" w:rsidRPr="002532DF">
        <w:rPr>
          <w:sz w:val="25"/>
          <w:szCs w:val="25"/>
        </w:rPr>
        <w:t>,</w:t>
      </w:r>
      <w:r w:rsidR="00877EDC" w:rsidRPr="002532DF">
        <w:rPr>
          <w:sz w:val="25"/>
          <w:szCs w:val="25"/>
        </w:rPr>
        <w:t xml:space="preserve"> and equipment for the benefit of the ratepayers.</w:t>
      </w:r>
      <w:r w:rsidR="00877EDC" w:rsidRPr="002532DF">
        <w:rPr>
          <w:rStyle w:val="FootnoteReference"/>
          <w:sz w:val="25"/>
          <w:szCs w:val="25"/>
        </w:rPr>
        <w:footnoteReference w:id="45"/>
      </w:r>
    </w:p>
    <w:p w:rsidR="00B96290" w:rsidRPr="002532DF" w:rsidRDefault="00B96290" w:rsidP="00436833">
      <w:pPr>
        <w:spacing w:line="276" w:lineRule="auto"/>
        <w:rPr>
          <w:sz w:val="25"/>
          <w:szCs w:val="25"/>
        </w:rPr>
      </w:pPr>
    </w:p>
    <w:p w:rsidR="005F2542" w:rsidRPr="002532DF" w:rsidRDefault="00961790" w:rsidP="00AD0B90">
      <w:pPr>
        <w:numPr>
          <w:ilvl w:val="0"/>
          <w:numId w:val="1"/>
        </w:numPr>
        <w:tabs>
          <w:tab w:val="clear" w:pos="720"/>
          <w:tab w:val="num" w:pos="0"/>
        </w:tabs>
        <w:spacing w:line="276" w:lineRule="auto"/>
        <w:ind w:left="0"/>
        <w:rPr>
          <w:sz w:val="25"/>
          <w:szCs w:val="25"/>
        </w:rPr>
      </w:pPr>
      <w:r w:rsidRPr="002532DF">
        <w:rPr>
          <w:sz w:val="25"/>
          <w:szCs w:val="25"/>
        </w:rPr>
        <w:t>Having agreed with the Company’s 0.3 percent preferred stock component, ICNU proposes that the remainder of the capital structure consist of 50.6 percent long-term debt.</w:t>
      </w:r>
      <w:r w:rsidRPr="002532DF">
        <w:rPr>
          <w:rStyle w:val="FootnoteReference"/>
          <w:sz w:val="25"/>
          <w:szCs w:val="25"/>
        </w:rPr>
        <w:footnoteReference w:id="46"/>
      </w:r>
      <w:r w:rsidRPr="002532DF">
        <w:rPr>
          <w:sz w:val="25"/>
          <w:szCs w:val="25"/>
        </w:rPr>
        <w:t xml:space="preserve">  </w:t>
      </w:r>
      <w:r w:rsidR="004A2ED5" w:rsidRPr="002532DF">
        <w:rPr>
          <w:sz w:val="25"/>
          <w:szCs w:val="25"/>
        </w:rPr>
        <w:t>As to its recommendation</w:t>
      </w:r>
      <w:r w:rsidR="00237A1D" w:rsidRPr="002532DF">
        <w:rPr>
          <w:sz w:val="25"/>
          <w:szCs w:val="25"/>
        </w:rPr>
        <w:t>’</w:t>
      </w:r>
      <w:r w:rsidR="004A2ED5" w:rsidRPr="002532DF">
        <w:rPr>
          <w:sz w:val="25"/>
          <w:szCs w:val="25"/>
        </w:rPr>
        <w:t xml:space="preserve">s impact on the Company financial ratings, </w:t>
      </w:r>
      <w:r w:rsidR="005F2542" w:rsidRPr="002532DF">
        <w:rPr>
          <w:sz w:val="25"/>
          <w:szCs w:val="25"/>
        </w:rPr>
        <w:t xml:space="preserve">ICNU </w:t>
      </w:r>
      <w:r w:rsidR="005F7503" w:rsidRPr="002532DF">
        <w:rPr>
          <w:sz w:val="25"/>
          <w:szCs w:val="25"/>
        </w:rPr>
        <w:t>calculates</w:t>
      </w:r>
      <w:r w:rsidR="005F2542" w:rsidRPr="002532DF">
        <w:rPr>
          <w:sz w:val="25"/>
          <w:szCs w:val="25"/>
        </w:rPr>
        <w:t xml:space="preserve"> key </w:t>
      </w:r>
      <w:r w:rsidR="005A49CE" w:rsidRPr="002532DF">
        <w:rPr>
          <w:sz w:val="25"/>
          <w:szCs w:val="25"/>
        </w:rPr>
        <w:t>metrics</w:t>
      </w:r>
      <w:r w:rsidR="005F2542" w:rsidRPr="002532DF">
        <w:rPr>
          <w:sz w:val="25"/>
          <w:szCs w:val="25"/>
        </w:rPr>
        <w:t xml:space="preserve"> used by S&amp;P with its proposed capital structure and return on equity and concludes that </w:t>
      </w:r>
      <w:r w:rsidR="005A49CE" w:rsidRPr="002532DF">
        <w:rPr>
          <w:sz w:val="25"/>
          <w:szCs w:val="25"/>
        </w:rPr>
        <w:t xml:space="preserve">each metric will fall within an acceptable range to </w:t>
      </w:r>
      <w:r w:rsidR="005F2542" w:rsidRPr="002532DF">
        <w:rPr>
          <w:sz w:val="25"/>
          <w:szCs w:val="25"/>
        </w:rPr>
        <w:t xml:space="preserve">support </w:t>
      </w:r>
      <w:r w:rsidR="005A49CE" w:rsidRPr="002532DF">
        <w:rPr>
          <w:sz w:val="25"/>
          <w:szCs w:val="25"/>
        </w:rPr>
        <w:t xml:space="preserve">the current A </w:t>
      </w:r>
      <w:r w:rsidR="00075E91" w:rsidRPr="002532DF">
        <w:rPr>
          <w:sz w:val="25"/>
          <w:szCs w:val="25"/>
        </w:rPr>
        <w:t>utility bond</w:t>
      </w:r>
      <w:r w:rsidR="005A49CE" w:rsidRPr="002532DF">
        <w:rPr>
          <w:sz w:val="25"/>
          <w:szCs w:val="25"/>
        </w:rPr>
        <w:t xml:space="preserve"> rating and other related ratings</w:t>
      </w:r>
      <w:r w:rsidR="005F2542" w:rsidRPr="002532DF">
        <w:rPr>
          <w:sz w:val="25"/>
          <w:szCs w:val="25"/>
        </w:rPr>
        <w:t>.</w:t>
      </w:r>
      <w:r w:rsidR="005F2542" w:rsidRPr="002532DF">
        <w:rPr>
          <w:rStyle w:val="FootnoteReference"/>
          <w:sz w:val="25"/>
          <w:szCs w:val="25"/>
        </w:rPr>
        <w:footnoteReference w:id="47"/>
      </w:r>
    </w:p>
    <w:p w:rsidR="00E23FBE" w:rsidRPr="002532DF" w:rsidRDefault="00E23FBE">
      <w:pPr>
        <w:pStyle w:val="ListParagraph"/>
        <w:rPr>
          <w:sz w:val="25"/>
          <w:szCs w:val="25"/>
        </w:rPr>
      </w:pPr>
    </w:p>
    <w:p w:rsidR="00AC6820" w:rsidRPr="002532DF" w:rsidRDefault="00AC6820" w:rsidP="00AD0B90">
      <w:pPr>
        <w:numPr>
          <w:ilvl w:val="0"/>
          <w:numId w:val="1"/>
        </w:numPr>
        <w:tabs>
          <w:tab w:val="clear" w:pos="720"/>
          <w:tab w:val="num" w:pos="0"/>
        </w:tabs>
        <w:spacing w:line="276" w:lineRule="auto"/>
        <w:ind w:left="0"/>
        <w:rPr>
          <w:sz w:val="25"/>
          <w:szCs w:val="25"/>
        </w:rPr>
      </w:pPr>
      <w:r w:rsidRPr="002532DF">
        <w:rPr>
          <w:sz w:val="25"/>
          <w:szCs w:val="25"/>
        </w:rPr>
        <w:t>In rebuttal testimony, the Company contends that Staff “seeks to diminish the Company’s credit rating without reflecting any of the costs of doing so.”</w:t>
      </w:r>
      <w:r w:rsidRPr="002532DF">
        <w:rPr>
          <w:rStyle w:val="FootnoteReference"/>
          <w:sz w:val="25"/>
          <w:szCs w:val="25"/>
        </w:rPr>
        <w:footnoteReference w:id="48"/>
      </w:r>
      <w:r w:rsidRPr="002532DF">
        <w:rPr>
          <w:sz w:val="25"/>
          <w:szCs w:val="25"/>
        </w:rPr>
        <w:t xml:space="preserve">  In support, it claims that a credit downgrade would result in an increase in debt costs, could increase fees for borrowing arrangements, and could lead to increased collateral requirements.</w:t>
      </w:r>
      <w:r w:rsidRPr="002532DF">
        <w:rPr>
          <w:rStyle w:val="FootnoteReference"/>
          <w:sz w:val="25"/>
          <w:szCs w:val="25"/>
        </w:rPr>
        <w:footnoteReference w:id="49"/>
      </w:r>
      <w:r w:rsidRPr="002532DF">
        <w:rPr>
          <w:sz w:val="25"/>
          <w:szCs w:val="25"/>
        </w:rPr>
        <w:t xml:space="preserve">  </w:t>
      </w:r>
    </w:p>
    <w:p w:rsidR="005F2542" w:rsidRPr="002532DF" w:rsidRDefault="005F2542" w:rsidP="005F2542">
      <w:pPr>
        <w:spacing w:line="276" w:lineRule="auto"/>
        <w:ind w:left="-720"/>
        <w:rPr>
          <w:sz w:val="25"/>
          <w:szCs w:val="25"/>
        </w:rPr>
      </w:pPr>
    </w:p>
    <w:p w:rsidR="00783293" w:rsidRPr="002532DF" w:rsidRDefault="00783293" w:rsidP="00783293">
      <w:pPr>
        <w:numPr>
          <w:ilvl w:val="0"/>
          <w:numId w:val="1"/>
        </w:numPr>
        <w:tabs>
          <w:tab w:val="clear" w:pos="720"/>
          <w:tab w:val="num" w:pos="0"/>
        </w:tabs>
        <w:spacing w:line="276" w:lineRule="auto"/>
        <w:ind w:left="0"/>
        <w:rPr>
          <w:sz w:val="25"/>
          <w:szCs w:val="25"/>
        </w:rPr>
      </w:pPr>
      <w:r w:rsidRPr="002532DF">
        <w:rPr>
          <w:sz w:val="25"/>
          <w:szCs w:val="25"/>
        </w:rPr>
        <w:t xml:space="preserve">Regarding Staff’s imputation of short-term debt, the Company argues that Staff’s proposal implies that short-term debt is used as a source of funding for long-term assets in service and to finance CWIP.  The Company contends that </w:t>
      </w:r>
      <w:r w:rsidR="00A6743A" w:rsidRPr="002532DF">
        <w:rPr>
          <w:sz w:val="25"/>
          <w:szCs w:val="25"/>
        </w:rPr>
        <w:t>this</w:t>
      </w:r>
      <w:r w:rsidRPr="002532DF">
        <w:rPr>
          <w:sz w:val="25"/>
          <w:szCs w:val="25"/>
        </w:rPr>
        <w:t xml:space="preserve"> would be reasonable</w:t>
      </w:r>
      <w:r w:rsidR="00A6743A" w:rsidRPr="002532DF">
        <w:rPr>
          <w:sz w:val="25"/>
          <w:szCs w:val="25"/>
        </w:rPr>
        <w:t xml:space="preserve"> if </w:t>
      </w:r>
      <w:r w:rsidRPr="002532DF">
        <w:rPr>
          <w:sz w:val="25"/>
          <w:szCs w:val="25"/>
        </w:rPr>
        <w:t>the balance of short-term debt exceeds CWIP because that might indicate it is using short-term debt to finance long-term assets.</w:t>
      </w:r>
      <w:r w:rsidRPr="002532DF">
        <w:rPr>
          <w:rStyle w:val="FootnoteReference"/>
          <w:sz w:val="25"/>
          <w:szCs w:val="25"/>
        </w:rPr>
        <w:footnoteReference w:id="50"/>
      </w:r>
      <w:r w:rsidRPr="002532DF">
        <w:rPr>
          <w:sz w:val="25"/>
          <w:szCs w:val="25"/>
        </w:rPr>
        <w:t xml:space="preserve">  </w:t>
      </w:r>
      <w:r w:rsidR="00A6743A" w:rsidRPr="002532DF">
        <w:rPr>
          <w:sz w:val="25"/>
          <w:szCs w:val="25"/>
        </w:rPr>
        <w:t xml:space="preserve">However, it contends that is not the case and </w:t>
      </w:r>
      <w:r w:rsidRPr="002532DF">
        <w:rPr>
          <w:sz w:val="25"/>
          <w:szCs w:val="25"/>
        </w:rPr>
        <w:t>that imputing short-term debt results in “double counting” because CWIP includes the cost of short term debt.</w:t>
      </w:r>
      <w:r w:rsidRPr="002532DF">
        <w:rPr>
          <w:rStyle w:val="FootnoteReference"/>
          <w:sz w:val="25"/>
          <w:szCs w:val="25"/>
        </w:rPr>
        <w:footnoteReference w:id="51"/>
      </w:r>
      <w:r w:rsidRPr="002532DF">
        <w:rPr>
          <w:sz w:val="25"/>
          <w:szCs w:val="25"/>
        </w:rPr>
        <w:t xml:space="preserve"> </w:t>
      </w:r>
    </w:p>
    <w:p w:rsidR="00783293" w:rsidRPr="002532DF" w:rsidRDefault="00783293" w:rsidP="00783293">
      <w:pPr>
        <w:spacing w:line="276" w:lineRule="auto"/>
        <w:ind w:left="-720"/>
        <w:rPr>
          <w:sz w:val="25"/>
          <w:szCs w:val="25"/>
        </w:rPr>
      </w:pPr>
    </w:p>
    <w:p w:rsidR="00783293" w:rsidRPr="002532DF" w:rsidRDefault="00A6743A" w:rsidP="00AD0B90">
      <w:pPr>
        <w:numPr>
          <w:ilvl w:val="0"/>
          <w:numId w:val="1"/>
        </w:numPr>
        <w:tabs>
          <w:tab w:val="clear" w:pos="720"/>
          <w:tab w:val="num" w:pos="0"/>
        </w:tabs>
        <w:spacing w:line="276" w:lineRule="auto"/>
        <w:ind w:left="0"/>
        <w:rPr>
          <w:sz w:val="25"/>
          <w:szCs w:val="25"/>
        </w:rPr>
      </w:pPr>
      <w:r w:rsidRPr="002532DF">
        <w:rPr>
          <w:sz w:val="25"/>
          <w:szCs w:val="25"/>
        </w:rPr>
        <w:t xml:space="preserve">PacifiCorp </w:t>
      </w:r>
      <w:r w:rsidR="0038320E" w:rsidRPr="002532DF">
        <w:rPr>
          <w:sz w:val="25"/>
          <w:szCs w:val="25"/>
        </w:rPr>
        <w:t xml:space="preserve">also </w:t>
      </w:r>
      <w:r w:rsidRPr="002532DF">
        <w:rPr>
          <w:sz w:val="25"/>
          <w:szCs w:val="25"/>
        </w:rPr>
        <w:t xml:space="preserve">argues that its actual capital structure at the end of the test year includes 0.2 percent of short term debt.  However, it argues the Company has no need for short-term debt because it issued a significant amount of new long-term debt in 2009 and received capital contributions from its indirect parent company. </w:t>
      </w:r>
      <w:r w:rsidRPr="002532DF">
        <w:rPr>
          <w:rStyle w:val="FootnoteReference"/>
          <w:sz w:val="25"/>
          <w:szCs w:val="25"/>
        </w:rPr>
        <w:footnoteReference w:id="52"/>
      </w:r>
    </w:p>
    <w:p w:rsidR="00765F3D" w:rsidRPr="002532DF" w:rsidRDefault="00765F3D" w:rsidP="00765F3D">
      <w:pPr>
        <w:spacing w:line="276" w:lineRule="auto"/>
        <w:ind w:left="-720"/>
        <w:rPr>
          <w:sz w:val="25"/>
          <w:szCs w:val="25"/>
        </w:rPr>
      </w:pPr>
    </w:p>
    <w:p w:rsidR="00646B5D" w:rsidRPr="002532DF" w:rsidRDefault="005F7A1C" w:rsidP="00AD0B90">
      <w:pPr>
        <w:numPr>
          <w:ilvl w:val="0"/>
          <w:numId w:val="1"/>
        </w:numPr>
        <w:tabs>
          <w:tab w:val="clear" w:pos="720"/>
          <w:tab w:val="num" w:pos="0"/>
        </w:tabs>
        <w:spacing w:line="276" w:lineRule="auto"/>
        <w:ind w:left="0"/>
        <w:rPr>
          <w:sz w:val="25"/>
          <w:szCs w:val="25"/>
        </w:rPr>
      </w:pPr>
      <w:r w:rsidRPr="002532DF">
        <w:rPr>
          <w:sz w:val="25"/>
          <w:szCs w:val="25"/>
        </w:rPr>
        <w:t xml:space="preserve">Rebutting </w:t>
      </w:r>
      <w:r w:rsidR="00416037" w:rsidRPr="002532DF">
        <w:rPr>
          <w:sz w:val="25"/>
          <w:szCs w:val="25"/>
        </w:rPr>
        <w:t xml:space="preserve">ICNU’s </w:t>
      </w:r>
      <w:r w:rsidR="00102339" w:rsidRPr="002532DF">
        <w:rPr>
          <w:sz w:val="25"/>
          <w:szCs w:val="25"/>
        </w:rPr>
        <w:t xml:space="preserve">proposed equity allocation, </w:t>
      </w:r>
      <w:r w:rsidR="0018346B" w:rsidRPr="002532DF">
        <w:rPr>
          <w:sz w:val="25"/>
          <w:szCs w:val="25"/>
        </w:rPr>
        <w:t>PacifiCorp argues that ICNU mistakenly reduces equity</w:t>
      </w:r>
      <w:r w:rsidR="00102339" w:rsidRPr="002532DF">
        <w:rPr>
          <w:sz w:val="25"/>
          <w:szCs w:val="25"/>
        </w:rPr>
        <w:t xml:space="preserve"> related to</w:t>
      </w:r>
      <w:r w:rsidR="0018346B" w:rsidRPr="002532DF">
        <w:rPr>
          <w:sz w:val="25"/>
          <w:szCs w:val="25"/>
        </w:rPr>
        <w:t xml:space="preserve"> </w:t>
      </w:r>
      <w:r w:rsidR="00102339" w:rsidRPr="002532DF">
        <w:rPr>
          <w:sz w:val="25"/>
          <w:szCs w:val="25"/>
        </w:rPr>
        <w:t xml:space="preserve">resources that are </w:t>
      </w:r>
      <w:r w:rsidR="0018346B" w:rsidRPr="002532DF">
        <w:rPr>
          <w:sz w:val="25"/>
          <w:szCs w:val="25"/>
        </w:rPr>
        <w:t>actually located in other jurisdictions.  The Company argues that financing is not allocated by jurisdiction</w:t>
      </w:r>
      <w:r w:rsidR="00335599" w:rsidRPr="002532DF">
        <w:rPr>
          <w:sz w:val="25"/>
          <w:szCs w:val="25"/>
        </w:rPr>
        <w:t xml:space="preserve"> and that</w:t>
      </w:r>
      <w:r w:rsidR="0018346B" w:rsidRPr="002532DF">
        <w:rPr>
          <w:sz w:val="25"/>
          <w:szCs w:val="25"/>
        </w:rPr>
        <w:t xml:space="preserve"> its capital structure is comprised of operations in all states.</w:t>
      </w:r>
      <w:r w:rsidR="0018346B" w:rsidRPr="002532DF">
        <w:rPr>
          <w:rStyle w:val="FootnoteReference"/>
          <w:sz w:val="25"/>
          <w:szCs w:val="25"/>
        </w:rPr>
        <w:footnoteReference w:id="53"/>
      </w:r>
      <w:r w:rsidR="0018346B" w:rsidRPr="002532DF">
        <w:rPr>
          <w:sz w:val="25"/>
          <w:szCs w:val="25"/>
        </w:rPr>
        <w:t xml:space="preserve">  </w:t>
      </w:r>
      <w:r w:rsidR="00102339" w:rsidRPr="002532DF">
        <w:rPr>
          <w:sz w:val="25"/>
          <w:szCs w:val="25"/>
        </w:rPr>
        <w:t>It</w:t>
      </w:r>
      <w:r w:rsidR="0018346B" w:rsidRPr="002532DF">
        <w:rPr>
          <w:sz w:val="25"/>
          <w:szCs w:val="25"/>
        </w:rPr>
        <w:t xml:space="preserve"> also contends that general financial theory does not support ICNU’s proposal to offset common equity by netting it against cash (assets).</w:t>
      </w:r>
      <w:r w:rsidR="0018346B" w:rsidRPr="002532DF">
        <w:rPr>
          <w:rStyle w:val="FootnoteReference"/>
          <w:sz w:val="25"/>
          <w:szCs w:val="25"/>
        </w:rPr>
        <w:footnoteReference w:id="54"/>
      </w:r>
    </w:p>
    <w:p w:rsidR="00BC3542" w:rsidRPr="002532DF" w:rsidRDefault="00BC3542" w:rsidP="00BC3542">
      <w:pPr>
        <w:spacing w:line="276" w:lineRule="auto"/>
        <w:ind w:left="-720"/>
        <w:rPr>
          <w:sz w:val="25"/>
          <w:szCs w:val="25"/>
        </w:rPr>
      </w:pPr>
    </w:p>
    <w:p w:rsidR="005F2542" w:rsidRPr="002532DF" w:rsidRDefault="005F2542" w:rsidP="00AD0B90">
      <w:pPr>
        <w:numPr>
          <w:ilvl w:val="0"/>
          <w:numId w:val="1"/>
        </w:numPr>
        <w:tabs>
          <w:tab w:val="clear" w:pos="720"/>
          <w:tab w:val="num" w:pos="0"/>
        </w:tabs>
        <w:spacing w:line="276" w:lineRule="auto"/>
        <w:ind w:left="0"/>
        <w:rPr>
          <w:sz w:val="25"/>
          <w:szCs w:val="25"/>
        </w:rPr>
      </w:pPr>
      <w:r w:rsidRPr="002532DF">
        <w:rPr>
          <w:sz w:val="25"/>
          <w:szCs w:val="25"/>
        </w:rPr>
        <w:t xml:space="preserve">In response to ICNU’s </w:t>
      </w:r>
      <w:r w:rsidR="00F83687" w:rsidRPr="002532DF">
        <w:rPr>
          <w:sz w:val="25"/>
          <w:szCs w:val="25"/>
        </w:rPr>
        <w:t xml:space="preserve">calculation </w:t>
      </w:r>
      <w:r w:rsidR="00CE3C02" w:rsidRPr="002532DF">
        <w:rPr>
          <w:sz w:val="25"/>
          <w:szCs w:val="25"/>
        </w:rPr>
        <w:t xml:space="preserve">of </w:t>
      </w:r>
      <w:r w:rsidR="00F83687" w:rsidRPr="002532DF">
        <w:rPr>
          <w:sz w:val="25"/>
          <w:szCs w:val="25"/>
        </w:rPr>
        <w:t xml:space="preserve">credit metrics under its </w:t>
      </w:r>
      <w:r w:rsidRPr="002532DF">
        <w:rPr>
          <w:sz w:val="25"/>
          <w:szCs w:val="25"/>
        </w:rPr>
        <w:t>proposed capital structure, the Company contends that ICNU failed to properly reflect rating agency adjustments</w:t>
      </w:r>
      <w:r w:rsidR="00335599" w:rsidRPr="002532DF">
        <w:rPr>
          <w:sz w:val="25"/>
          <w:szCs w:val="25"/>
        </w:rPr>
        <w:t>.  For</w:t>
      </w:r>
      <w:r w:rsidRPr="002532DF">
        <w:rPr>
          <w:sz w:val="25"/>
          <w:szCs w:val="25"/>
        </w:rPr>
        <w:t xml:space="preserve"> example, </w:t>
      </w:r>
      <w:r w:rsidR="00335599" w:rsidRPr="002532DF">
        <w:rPr>
          <w:sz w:val="25"/>
          <w:szCs w:val="25"/>
        </w:rPr>
        <w:t xml:space="preserve">it points out that </w:t>
      </w:r>
      <w:r w:rsidRPr="002532DF">
        <w:rPr>
          <w:sz w:val="25"/>
          <w:szCs w:val="25"/>
        </w:rPr>
        <w:t>ICNU includes less than half of the imputed debt used by S&amp;P.</w:t>
      </w:r>
      <w:r w:rsidRPr="002532DF">
        <w:rPr>
          <w:rStyle w:val="FootnoteReference"/>
          <w:sz w:val="25"/>
          <w:szCs w:val="25"/>
        </w:rPr>
        <w:footnoteReference w:id="55"/>
      </w:r>
      <w:r w:rsidRPr="002532DF">
        <w:rPr>
          <w:sz w:val="25"/>
          <w:szCs w:val="25"/>
        </w:rPr>
        <w:t xml:space="preserve">  In addition, the Company argues that ICNU ignores the published expectations of the rating agencies</w:t>
      </w:r>
      <w:r w:rsidR="00ED3ABF" w:rsidRPr="002532DF">
        <w:rPr>
          <w:sz w:val="25"/>
          <w:szCs w:val="25"/>
        </w:rPr>
        <w:t>,</w:t>
      </w:r>
      <w:r w:rsidRPr="002532DF">
        <w:rPr>
          <w:sz w:val="25"/>
          <w:szCs w:val="25"/>
        </w:rPr>
        <w:t xml:space="preserve"> which lead</w:t>
      </w:r>
      <w:r w:rsidR="00ED3ABF" w:rsidRPr="002532DF">
        <w:rPr>
          <w:sz w:val="25"/>
          <w:szCs w:val="25"/>
        </w:rPr>
        <w:t>s</w:t>
      </w:r>
      <w:r w:rsidRPr="002532DF">
        <w:rPr>
          <w:sz w:val="25"/>
          <w:szCs w:val="25"/>
        </w:rPr>
        <w:t xml:space="preserve"> to a false conclusion about the Company’s ability to maintain its current ratings.</w:t>
      </w:r>
      <w:r w:rsidRPr="002532DF">
        <w:rPr>
          <w:rStyle w:val="FootnoteReference"/>
          <w:sz w:val="25"/>
          <w:szCs w:val="25"/>
        </w:rPr>
        <w:footnoteReference w:id="56"/>
      </w:r>
      <w:r w:rsidR="00664F6B" w:rsidRPr="002532DF">
        <w:rPr>
          <w:sz w:val="25"/>
          <w:szCs w:val="25"/>
        </w:rPr>
        <w:t xml:space="preserve"> </w:t>
      </w:r>
    </w:p>
    <w:p w:rsidR="00765F3D" w:rsidRPr="002532DF" w:rsidRDefault="00765F3D" w:rsidP="00765F3D">
      <w:pPr>
        <w:spacing w:line="276" w:lineRule="auto"/>
        <w:ind w:left="-720"/>
        <w:rPr>
          <w:sz w:val="25"/>
          <w:szCs w:val="25"/>
        </w:rPr>
      </w:pPr>
    </w:p>
    <w:p w:rsidR="004D1D2F" w:rsidRPr="002532DF" w:rsidRDefault="008A7392" w:rsidP="00AD0B90">
      <w:pPr>
        <w:numPr>
          <w:ilvl w:val="0"/>
          <w:numId w:val="1"/>
        </w:numPr>
        <w:tabs>
          <w:tab w:val="clear" w:pos="720"/>
          <w:tab w:val="num" w:pos="0"/>
        </w:tabs>
        <w:spacing w:line="276" w:lineRule="auto"/>
        <w:ind w:left="0"/>
        <w:rPr>
          <w:sz w:val="25"/>
          <w:szCs w:val="25"/>
        </w:rPr>
      </w:pPr>
      <w:r w:rsidRPr="002532DF">
        <w:rPr>
          <w:i/>
          <w:sz w:val="25"/>
          <w:szCs w:val="25"/>
        </w:rPr>
        <w:t xml:space="preserve">Commission Decision. </w:t>
      </w:r>
      <w:r w:rsidR="00CE3C02" w:rsidRPr="002532DF">
        <w:rPr>
          <w:sz w:val="25"/>
          <w:szCs w:val="25"/>
        </w:rPr>
        <w:t xml:space="preserve"> A central tenet of ratemaking is that a Company</w:t>
      </w:r>
      <w:r w:rsidR="005122E2" w:rsidRPr="002532DF">
        <w:rPr>
          <w:sz w:val="25"/>
          <w:szCs w:val="25"/>
        </w:rPr>
        <w:t>’</w:t>
      </w:r>
      <w:r w:rsidR="00CE3C02" w:rsidRPr="002532DF">
        <w:rPr>
          <w:sz w:val="25"/>
          <w:szCs w:val="25"/>
        </w:rPr>
        <w:t>s</w:t>
      </w:r>
      <w:r w:rsidR="000A4D0C" w:rsidRPr="002532DF">
        <w:rPr>
          <w:sz w:val="25"/>
          <w:szCs w:val="25"/>
        </w:rPr>
        <w:t xml:space="preserve"> capital structure </w:t>
      </w:r>
      <w:r w:rsidR="00CE3C02" w:rsidRPr="002532DF">
        <w:rPr>
          <w:sz w:val="25"/>
          <w:szCs w:val="25"/>
        </w:rPr>
        <w:t xml:space="preserve">must strike </w:t>
      </w:r>
      <w:r w:rsidR="001C2F2D" w:rsidRPr="002532DF">
        <w:rPr>
          <w:sz w:val="25"/>
          <w:szCs w:val="25"/>
        </w:rPr>
        <w:t xml:space="preserve">an appropriate </w:t>
      </w:r>
      <w:r w:rsidR="000A4D0C" w:rsidRPr="002532DF">
        <w:rPr>
          <w:sz w:val="25"/>
          <w:szCs w:val="25"/>
        </w:rPr>
        <w:t>balance</w:t>
      </w:r>
      <w:r w:rsidR="001C2F2D" w:rsidRPr="002532DF">
        <w:rPr>
          <w:sz w:val="25"/>
          <w:szCs w:val="25"/>
        </w:rPr>
        <w:t xml:space="preserve"> between</w:t>
      </w:r>
      <w:r w:rsidR="000A4D0C" w:rsidRPr="002532DF">
        <w:rPr>
          <w:sz w:val="25"/>
          <w:szCs w:val="25"/>
        </w:rPr>
        <w:t xml:space="preserve"> safety and economy</w:t>
      </w:r>
      <w:r w:rsidR="001C2F2D" w:rsidRPr="002532DF">
        <w:rPr>
          <w:sz w:val="25"/>
          <w:szCs w:val="25"/>
        </w:rPr>
        <w:t xml:space="preserve">.  In other words, </w:t>
      </w:r>
      <w:r w:rsidR="00D1183A">
        <w:rPr>
          <w:sz w:val="25"/>
          <w:szCs w:val="25"/>
        </w:rPr>
        <w:t>the</w:t>
      </w:r>
      <w:r w:rsidR="00664F6B" w:rsidRPr="002532DF">
        <w:rPr>
          <w:sz w:val="25"/>
          <w:szCs w:val="25"/>
        </w:rPr>
        <w:t xml:space="preserve"> </w:t>
      </w:r>
      <w:r w:rsidR="001C2F2D" w:rsidRPr="002532DF">
        <w:rPr>
          <w:sz w:val="25"/>
          <w:szCs w:val="25"/>
        </w:rPr>
        <w:t xml:space="preserve">capital structure </w:t>
      </w:r>
      <w:r w:rsidR="00CE3C02" w:rsidRPr="002532DF">
        <w:rPr>
          <w:sz w:val="25"/>
          <w:szCs w:val="25"/>
        </w:rPr>
        <w:t xml:space="preserve">must contain </w:t>
      </w:r>
      <w:r w:rsidR="00E85EC4" w:rsidRPr="002532DF">
        <w:rPr>
          <w:sz w:val="25"/>
          <w:szCs w:val="25"/>
        </w:rPr>
        <w:t>sufficient equity to provide financial security</w:t>
      </w:r>
      <w:r w:rsidR="006858A1" w:rsidRPr="002532DF">
        <w:rPr>
          <w:sz w:val="25"/>
          <w:szCs w:val="25"/>
        </w:rPr>
        <w:t>, but no more than necessary to keep ratepayer costs at a reasonable level.</w:t>
      </w:r>
      <w:r w:rsidR="006858A1" w:rsidRPr="002532DF">
        <w:rPr>
          <w:rStyle w:val="FootnoteReference"/>
          <w:sz w:val="25"/>
          <w:szCs w:val="25"/>
        </w:rPr>
        <w:footnoteReference w:id="57"/>
      </w:r>
      <w:r w:rsidR="00E85EC4" w:rsidRPr="002532DF">
        <w:rPr>
          <w:sz w:val="25"/>
          <w:szCs w:val="25"/>
        </w:rPr>
        <w:t xml:space="preserve"> </w:t>
      </w:r>
      <w:r w:rsidR="00D1183A">
        <w:rPr>
          <w:sz w:val="25"/>
          <w:szCs w:val="25"/>
        </w:rPr>
        <w:t xml:space="preserve"> </w:t>
      </w:r>
      <w:r w:rsidR="00765F3D" w:rsidRPr="002532DF">
        <w:rPr>
          <w:sz w:val="25"/>
          <w:szCs w:val="25"/>
        </w:rPr>
        <w:t xml:space="preserve">We conclude that </w:t>
      </w:r>
      <w:r w:rsidR="004D1D2F" w:rsidRPr="002532DF">
        <w:rPr>
          <w:sz w:val="25"/>
          <w:szCs w:val="25"/>
        </w:rPr>
        <w:t>the Company</w:t>
      </w:r>
      <w:r w:rsidR="00416037" w:rsidRPr="002532DF">
        <w:rPr>
          <w:sz w:val="25"/>
          <w:szCs w:val="25"/>
        </w:rPr>
        <w:t>’</w:t>
      </w:r>
      <w:r w:rsidR="00CE3C02" w:rsidRPr="002532DF">
        <w:rPr>
          <w:sz w:val="25"/>
          <w:szCs w:val="25"/>
        </w:rPr>
        <w:t xml:space="preserve">s </w:t>
      </w:r>
      <w:r w:rsidR="00A87DCD" w:rsidRPr="002532DF">
        <w:rPr>
          <w:sz w:val="25"/>
          <w:szCs w:val="25"/>
        </w:rPr>
        <w:t xml:space="preserve">proposed </w:t>
      </w:r>
      <w:r w:rsidR="00CE3C02" w:rsidRPr="002532DF">
        <w:rPr>
          <w:sz w:val="25"/>
          <w:szCs w:val="25"/>
        </w:rPr>
        <w:t>capital structure contains too much equity, which</w:t>
      </w:r>
      <w:r w:rsidR="004D1D2F" w:rsidRPr="002532DF">
        <w:rPr>
          <w:sz w:val="25"/>
          <w:szCs w:val="25"/>
        </w:rPr>
        <w:t xml:space="preserve"> tips the balance </w:t>
      </w:r>
      <w:r w:rsidR="00437268" w:rsidRPr="002532DF">
        <w:rPr>
          <w:sz w:val="25"/>
          <w:szCs w:val="25"/>
        </w:rPr>
        <w:t>too far</w:t>
      </w:r>
      <w:r w:rsidR="004D1D2F" w:rsidRPr="002532DF">
        <w:rPr>
          <w:sz w:val="25"/>
          <w:szCs w:val="25"/>
        </w:rPr>
        <w:t xml:space="preserve"> in favor of investor interests over ratepayer</w:t>
      </w:r>
      <w:r w:rsidR="00FD72F9" w:rsidRPr="002532DF">
        <w:rPr>
          <w:sz w:val="25"/>
          <w:szCs w:val="25"/>
        </w:rPr>
        <w:t>s</w:t>
      </w:r>
      <w:r w:rsidR="004D1D2F" w:rsidRPr="002532DF">
        <w:rPr>
          <w:sz w:val="25"/>
          <w:szCs w:val="25"/>
        </w:rPr>
        <w:t>.</w:t>
      </w:r>
    </w:p>
    <w:p w:rsidR="004D1D2F" w:rsidRPr="002532DF" w:rsidRDefault="004D1D2F" w:rsidP="004D1D2F">
      <w:pPr>
        <w:spacing w:line="276" w:lineRule="auto"/>
        <w:ind w:left="-720"/>
        <w:rPr>
          <w:sz w:val="25"/>
          <w:szCs w:val="25"/>
        </w:rPr>
      </w:pPr>
    </w:p>
    <w:p w:rsidR="00557BC8" w:rsidRPr="002532DF" w:rsidRDefault="004D1D2F" w:rsidP="00AD0B90">
      <w:pPr>
        <w:numPr>
          <w:ilvl w:val="0"/>
          <w:numId w:val="1"/>
        </w:numPr>
        <w:tabs>
          <w:tab w:val="clear" w:pos="720"/>
          <w:tab w:val="num" w:pos="0"/>
        </w:tabs>
        <w:spacing w:line="276" w:lineRule="auto"/>
        <w:ind w:left="0"/>
        <w:rPr>
          <w:sz w:val="25"/>
          <w:szCs w:val="25"/>
        </w:rPr>
      </w:pPr>
      <w:r w:rsidRPr="002532DF">
        <w:rPr>
          <w:sz w:val="25"/>
          <w:szCs w:val="25"/>
        </w:rPr>
        <w:t xml:space="preserve">In </w:t>
      </w:r>
      <w:r w:rsidR="004E57CB" w:rsidRPr="002532DF">
        <w:rPr>
          <w:sz w:val="25"/>
          <w:szCs w:val="25"/>
        </w:rPr>
        <w:t>2006, the Company’s equity ratio was 46 percent.</w:t>
      </w:r>
      <w:r w:rsidR="004E57CB" w:rsidRPr="002532DF">
        <w:rPr>
          <w:rStyle w:val="FootnoteReference"/>
          <w:sz w:val="25"/>
          <w:szCs w:val="25"/>
        </w:rPr>
        <w:footnoteReference w:id="58"/>
      </w:r>
      <w:r w:rsidR="004E57CB" w:rsidRPr="002532DF">
        <w:rPr>
          <w:sz w:val="25"/>
          <w:szCs w:val="25"/>
        </w:rPr>
        <w:t xml:space="preserve">  Under the control of MEHC, the equity component of the Company’s </w:t>
      </w:r>
      <w:r w:rsidR="009D5495" w:rsidRPr="002532DF">
        <w:rPr>
          <w:sz w:val="25"/>
          <w:szCs w:val="25"/>
        </w:rPr>
        <w:t>capital structure expanded to the test year level of 52.1 percent</w:t>
      </w:r>
      <w:r w:rsidR="00A87DCD" w:rsidRPr="002532DF">
        <w:rPr>
          <w:sz w:val="25"/>
          <w:szCs w:val="25"/>
        </w:rPr>
        <w:t>,</w:t>
      </w:r>
      <w:r w:rsidR="009D5495" w:rsidRPr="002532DF">
        <w:rPr>
          <w:sz w:val="25"/>
          <w:szCs w:val="25"/>
        </w:rPr>
        <w:t xml:space="preserve"> a remarkable level of growth in </w:t>
      </w:r>
      <w:r w:rsidR="00BE05C6" w:rsidRPr="002532DF">
        <w:rPr>
          <w:sz w:val="25"/>
          <w:szCs w:val="25"/>
        </w:rPr>
        <w:t xml:space="preserve">just </w:t>
      </w:r>
      <w:r w:rsidR="009D5495" w:rsidRPr="002532DF">
        <w:rPr>
          <w:sz w:val="25"/>
          <w:szCs w:val="25"/>
        </w:rPr>
        <w:t xml:space="preserve">three years.  </w:t>
      </w:r>
      <w:r w:rsidR="00944670" w:rsidRPr="002532DF">
        <w:rPr>
          <w:sz w:val="25"/>
          <w:szCs w:val="25"/>
        </w:rPr>
        <w:t xml:space="preserve">This growth is due to MEHC infusing over $990 million of equity into the Company, eliminating the payment of dividends to MEHC, and </w:t>
      </w:r>
      <w:r w:rsidR="00437268" w:rsidRPr="002532DF">
        <w:rPr>
          <w:sz w:val="25"/>
          <w:szCs w:val="25"/>
        </w:rPr>
        <w:t>retiring</w:t>
      </w:r>
      <w:r w:rsidR="00944670" w:rsidRPr="002532DF">
        <w:rPr>
          <w:sz w:val="25"/>
          <w:szCs w:val="25"/>
        </w:rPr>
        <w:t xml:space="preserve"> short-term debt.</w:t>
      </w:r>
      <w:r w:rsidR="00944670" w:rsidRPr="002532DF">
        <w:rPr>
          <w:rStyle w:val="FootnoteReference"/>
          <w:sz w:val="25"/>
          <w:szCs w:val="25"/>
        </w:rPr>
        <w:footnoteReference w:id="59"/>
      </w:r>
      <w:r w:rsidR="00944670" w:rsidRPr="002532DF">
        <w:rPr>
          <w:sz w:val="25"/>
          <w:szCs w:val="25"/>
        </w:rPr>
        <w:t xml:space="preserve">  </w:t>
      </w:r>
      <w:r w:rsidR="00BE05C6" w:rsidRPr="002532DF">
        <w:rPr>
          <w:sz w:val="25"/>
          <w:szCs w:val="25"/>
        </w:rPr>
        <w:t>B</w:t>
      </w:r>
      <w:r w:rsidR="009D5495" w:rsidRPr="002532DF">
        <w:rPr>
          <w:sz w:val="25"/>
          <w:szCs w:val="25"/>
        </w:rPr>
        <w:t>y the Company’s own admission, th</w:t>
      </w:r>
      <w:r w:rsidR="00437268" w:rsidRPr="002532DF">
        <w:rPr>
          <w:sz w:val="25"/>
          <w:szCs w:val="25"/>
        </w:rPr>
        <w:t xml:space="preserve">is financial policy will continue for the near </w:t>
      </w:r>
      <w:r w:rsidR="005F7503" w:rsidRPr="002532DF">
        <w:rPr>
          <w:sz w:val="25"/>
          <w:szCs w:val="25"/>
        </w:rPr>
        <w:t>future</w:t>
      </w:r>
      <w:r w:rsidR="009D5495" w:rsidRPr="002532DF">
        <w:rPr>
          <w:sz w:val="25"/>
          <w:szCs w:val="25"/>
        </w:rPr>
        <w:t>.</w:t>
      </w:r>
      <w:r w:rsidR="009D5495" w:rsidRPr="002532DF">
        <w:rPr>
          <w:rStyle w:val="FootnoteReference"/>
          <w:sz w:val="25"/>
          <w:szCs w:val="25"/>
        </w:rPr>
        <w:footnoteReference w:id="60"/>
      </w:r>
      <w:r w:rsidR="009D5495" w:rsidRPr="002532DF">
        <w:rPr>
          <w:sz w:val="25"/>
          <w:szCs w:val="25"/>
        </w:rPr>
        <w:t xml:space="preserve">  </w:t>
      </w:r>
      <w:r w:rsidR="00944670" w:rsidRPr="002532DF">
        <w:rPr>
          <w:sz w:val="25"/>
          <w:szCs w:val="25"/>
        </w:rPr>
        <w:t>PacifiCorp expects additional equity infusions from MEHC and intends to retain earnings rather than paying dividends to MEHC</w:t>
      </w:r>
      <w:r w:rsidR="00A87DCD" w:rsidRPr="002532DF">
        <w:rPr>
          <w:sz w:val="25"/>
          <w:szCs w:val="25"/>
        </w:rPr>
        <w:t>,</w:t>
      </w:r>
      <w:r w:rsidR="00944670" w:rsidRPr="002532DF">
        <w:rPr>
          <w:sz w:val="25"/>
          <w:szCs w:val="25"/>
        </w:rPr>
        <w:t xml:space="preserve"> indicating a trend of future growth in its equity component.</w:t>
      </w:r>
      <w:r w:rsidR="00944670" w:rsidRPr="002532DF">
        <w:rPr>
          <w:rStyle w:val="FootnoteReference"/>
          <w:sz w:val="25"/>
          <w:szCs w:val="25"/>
        </w:rPr>
        <w:footnoteReference w:id="61"/>
      </w:r>
      <w:r w:rsidR="00944670" w:rsidRPr="002532DF">
        <w:rPr>
          <w:sz w:val="25"/>
          <w:szCs w:val="25"/>
        </w:rPr>
        <w:t xml:space="preserve">  </w:t>
      </w:r>
      <w:r w:rsidR="00557BC8" w:rsidRPr="002532DF">
        <w:rPr>
          <w:sz w:val="25"/>
          <w:szCs w:val="25"/>
        </w:rPr>
        <w:t xml:space="preserve">While we understand MEHC’s interest in expanding PacifiCorp’s equity ratio and reaping the benefit of greater equity returns, this interest is inconsistent with the ratepayer interest in a capital structure that reflects economy.  Accordingly, </w:t>
      </w:r>
      <w:r w:rsidR="00BE05C6" w:rsidRPr="002532DF">
        <w:rPr>
          <w:sz w:val="25"/>
          <w:szCs w:val="25"/>
        </w:rPr>
        <w:t>as recommended by</w:t>
      </w:r>
      <w:r w:rsidR="00284AEA" w:rsidRPr="002532DF">
        <w:rPr>
          <w:sz w:val="25"/>
          <w:szCs w:val="25"/>
        </w:rPr>
        <w:t xml:space="preserve"> </w:t>
      </w:r>
      <w:r w:rsidR="00BE05C6" w:rsidRPr="002532DF">
        <w:rPr>
          <w:sz w:val="25"/>
          <w:szCs w:val="25"/>
        </w:rPr>
        <w:t xml:space="preserve">ICNU, </w:t>
      </w:r>
      <w:r w:rsidR="00557BC8" w:rsidRPr="002532DF">
        <w:rPr>
          <w:sz w:val="25"/>
          <w:szCs w:val="25"/>
        </w:rPr>
        <w:t>we adopt a hypothetical capital structure</w:t>
      </w:r>
      <w:r w:rsidR="00BE05C6" w:rsidRPr="002532DF">
        <w:rPr>
          <w:sz w:val="25"/>
          <w:szCs w:val="25"/>
        </w:rPr>
        <w:t xml:space="preserve"> </w:t>
      </w:r>
      <w:r w:rsidR="003D7BF3">
        <w:rPr>
          <w:sz w:val="25"/>
          <w:szCs w:val="25"/>
        </w:rPr>
        <w:t xml:space="preserve">for ratemaking purposes </w:t>
      </w:r>
      <w:r w:rsidR="00BE05C6" w:rsidRPr="002532DF">
        <w:rPr>
          <w:sz w:val="25"/>
          <w:szCs w:val="25"/>
        </w:rPr>
        <w:t xml:space="preserve">consisting of </w:t>
      </w:r>
      <w:r w:rsidR="00284AEA" w:rsidRPr="002532DF">
        <w:rPr>
          <w:sz w:val="25"/>
          <w:szCs w:val="25"/>
        </w:rPr>
        <w:t>49.</w:t>
      </w:r>
      <w:r w:rsidR="00A87DCD" w:rsidRPr="002532DF">
        <w:rPr>
          <w:sz w:val="25"/>
          <w:szCs w:val="25"/>
        </w:rPr>
        <w:t>1</w:t>
      </w:r>
      <w:r w:rsidR="00BE05C6" w:rsidRPr="002532DF">
        <w:rPr>
          <w:sz w:val="25"/>
          <w:szCs w:val="25"/>
        </w:rPr>
        <w:t xml:space="preserve"> percent equity, 0.3 percent preferred stock, and </w:t>
      </w:r>
      <w:r w:rsidR="00284AEA" w:rsidRPr="002532DF">
        <w:rPr>
          <w:sz w:val="25"/>
          <w:szCs w:val="25"/>
        </w:rPr>
        <w:t>50.60</w:t>
      </w:r>
      <w:r w:rsidR="00BE05C6" w:rsidRPr="002532DF">
        <w:rPr>
          <w:sz w:val="25"/>
          <w:szCs w:val="25"/>
        </w:rPr>
        <w:t xml:space="preserve"> percent long-term debt.</w:t>
      </w:r>
      <w:r w:rsidR="00764EFF" w:rsidRPr="002532DF">
        <w:rPr>
          <w:sz w:val="25"/>
          <w:szCs w:val="25"/>
        </w:rPr>
        <w:t xml:space="preserve"> </w:t>
      </w:r>
    </w:p>
    <w:p w:rsidR="00F42AC9" w:rsidRPr="002532DF" w:rsidRDefault="00F42AC9">
      <w:pPr>
        <w:pStyle w:val="ListParagraph"/>
        <w:rPr>
          <w:sz w:val="25"/>
          <w:szCs w:val="25"/>
        </w:rPr>
      </w:pPr>
    </w:p>
    <w:p w:rsidR="001E3FDB" w:rsidRPr="002532DF" w:rsidRDefault="001E3FDB" w:rsidP="00AD0B90">
      <w:pPr>
        <w:numPr>
          <w:ilvl w:val="0"/>
          <w:numId w:val="1"/>
        </w:numPr>
        <w:tabs>
          <w:tab w:val="clear" w:pos="720"/>
          <w:tab w:val="num" w:pos="0"/>
        </w:tabs>
        <w:spacing w:line="276" w:lineRule="auto"/>
        <w:ind w:left="0"/>
        <w:rPr>
          <w:sz w:val="25"/>
          <w:szCs w:val="25"/>
        </w:rPr>
      </w:pPr>
      <w:r w:rsidRPr="002532DF">
        <w:rPr>
          <w:sz w:val="25"/>
          <w:szCs w:val="25"/>
        </w:rPr>
        <w:t xml:space="preserve">Regarding the equity component, we believe that Staff’s proposed 46.5 percent is </w:t>
      </w:r>
      <w:r w:rsidR="00D1183A">
        <w:rPr>
          <w:sz w:val="25"/>
          <w:szCs w:val="25"/>
        </w:rPr>
        <w:t>too</w:t>
      </w:r>
      <w:r w:rsidRPr="002532DF">
        <w:rPr>
          <w:sz w:val="25"/>
          <w:szCs w:val="25"/>
        </w:rPr>
        <w:t xml:space="preserve"> low.  We recognize that a substantial part of PacifiCorp’s increased equity financing is being used for capital expenditures, such as generation, transmission, and distribution investments </w:t>
      </w:r>
      <w:r w:rsidR="00D1183A">
        <w:rPr>
          <w:sz w:val="25"/>
          <w:szCs w:val="25"/>
        </w:rPr>
        <w:t>that</w:t>
      </w:r>
      <w:r w:rsidRPr="002532DF">
        <w:rPr>
          <w:sz w:val="25"/>
          <w:szCs w:val="25"/>
        </w:rPr>
        <w:t xml:space="preserve"> provide value to ratepayers.  Therefore, we conclude that it is appropriate to increase the equity component </w:t>
      </w:r>
      <w:r w:rsidR="003D7BF3">
        <w:rPr>
          <w:sz w:val="25"/>
          <w:szCs w:val="25"/>
        </w:rPr>
        <w:t>above</w:t>
      </w:r>
      <w:r w:rsidRPr="002532DF">
        <w:rPr>
          <w:sz w:val="25"/>
          <w:szCs w:val="25"/>
        </w:rPr>
        <w:t xml:space="preserve"> the 46 percent </w:t>
      </w:r>
      <w:r w:rsidR="003D7BF3">
        <w:rPr>
          <w:sz w:val="25"/>
          <w:szCs w:val="25"/>
        </w:rPr>
        <w:t>that the Commission</w:t>
      </w:r>
      <w:r w:rsidRPr="002532DF">
        <w:rPr>
          <w:sz w:val="25"/>
          <w:szCs w:val="25"/>
        </w:rPr>
        <w:t xml:space="preserve"> approved in the last litigated rate case in 2006.  We also recognize that the decision on the appropriate actual capital structure for PacifiCorp will be made by the parent company, MEHC,</w:t>
      </w:r>
      <w:r w:rsidR="004F5964" w:rsidRPr="002532DF">
        <w:rPr>
          <w:rStyle w:val="FootnoteReference"/>
          <w:sz w:val="25"/>
          <w:szCs w:val="25"/>
        </w:rPr>
        <w:footnoteReference w:id="62"/>
      </w:r>
      <w:r w:rsidRPr="002532DF">
        <w:rPr>
          <w:sz w:val="25"/>
          <w:szCs w:val="25"/>
        </w:rPr>
        <w:t xml:space="preserve"> and by the ultimate owner, Berkshire Hathaway.</w:t>
      </w:r>
    </w:p>
    <w:p w:rsidR="00F42AC9" w:rsidRPr="002532DF" w:rsidRDefault="00F42AC9" w:rsidP="003D7BF3">
      <w:pPr>
        <w:spacing w:line="276" w:lineRule="auto"/>
        <w:rPr>
          <w:sz w:val="25"/>
          <w:szCs w:val="25"/>
        </w:rPr>
      </w:pPr>
    </w:p>
    <w:p w:rsidR="009800D1" w:rsidRPr="002532DF" w:rsidRDefault="000B0B9C" w:rsidP="00AD0B90">
      <w:pPr>
        <w:numPr>
          <w:ilvl w:val="0"/>
          <w:numId w:val="1"/>
        </w:numPr>
        <w:tabs>
          <w:tab w:val="clear" w:pos="720"/>
          <w:tab w:val="num" w:pos="0"/>
        </w:tabs>
        <w:spacing w:line="276" w:lineRule="auto"/>
        <w:ind w:left="0"/>
        <w:rPr>
          <w:sz w:val="25"/>
          <w:szCs w:val="25"/>
        </w:rPr>
      </w:pPr>
      <w:r w:rsidRPr="002532DF">
        <w:rPr>
          <w:sz w:val="25"/>
          <w:szCs w:val="25"/>
        </w:rPr>
        <w:t>W</w:t>
      </w:r>
      <w:r w:rsidR="00DA49BA" w:rsidRPr="002532DF">
        <w:rPr>
          <w:sz w:val="25"/>
          <w:szCs w:val="25"/>
        </w:rPr>
        <w:t xml:space="preserve">e conclude that </w:t>
      </w:r>
      <w:r w:rsidR="00557BC8" w:rsidRPr="002532DF">
        <w:rPr>
          <w:sz w:val="25"/>
          <w:szCs w:val="25"/>
        </w:rPr>
        <w:t xml:space="preserve">ICNU provides us with </w:t>
      </w:r>
      <w:r w:rsidR="00DA49BA" w:rsidRPr="002532DF">
        <w:rPr>
          <w:sz w:val="25"/>
          <w:szCs w:val="25"/>
        </w:rPr>
        <w:t>the most</w:t>
      </w:r>
      <w:r w:rsidR="00557BC8" w:rsidRPr="002532DF">
        <w:rPr>
          <w:sz w:val="25"/>
          <w:szCs w:val="25"/>
        </w:rPr>
        <w:t xml:space="preserve"> reasonable approach for calculating the equity component of th</w:t>
      </w:r>
      <w:r w:rsidRPr="002532DF">
        <w:rPr>
          <w:sz w:val="25"/>
          <w:szCs w:val="25"/>
        </w:rPr>
        <w:t xml:space="preserve">e Company’s </w:t>
      </w:r>
      <w:r w:rsidR="00557BC8" w:rsidRPr="002532DF">
        <w:rPr>
          <w:sz w:val="25"/>
          <w:szCs w:val="25"/>
        </w:rPr>
        <w:t xml:space="preserve">capital structure.  </w:t>
      </w:r>
      <w:r w:rsidR="009800D1" w:rsidRPr="002532DF">
        <w:rPr>
          <w:sz w:val="25"/>
          <w:szCs w:val="25"/>
        </w:rPr>
        <w:t xml:space="preserve">ICNU in effect determines its proposed equity ratio by ascertaining </w:t>
      </w:r>
      <w:r w:rsidR="00C169D3">
        <w:rPr>
          <w:sz w:val="25"/>
          <w:szCs w:val="25"/>
        </w:rPr>
        <w:t>the</w:t>
      </w:r>
      <w:r w:rsidR="009800D1" w:rsidRPr="002532DF">
        <w:rPr>
          <w:sz w:val="25"/>
          <w:szCs w:val="25"/>
        </w:rPr>
        <w:t xml:space="preserve"> equity used to support plant investment.  Therefore, it removed </w:t>
      </w:r>
      <w:r w:rsidRPr="002532DF">
        <w:rPr>
          <w:sz w:val="25"/>
          <w:szCs w:val="25"/>
        </w:rPr>
        <w:t xml:space="preserve">$360 million </w:t>
      </w:r>
      <w:r w:rsidR="009800D1" w:rsidRPr="002532DF">
        <w:rPr>
          <w:sz w:val="25"/>
          <w:szCs w:val="25"/>
        </w:rPr>
        <w:t>of equity capital not used to support such plant.</w:t>
      </w:r>
      <w:r w:rsidR="002B0D09" w:rsidRPr="002532DF">
        <w:rPr>
          <w:sz w:val="25"/>
          <w:szCs w:val="25"/>
        </w:rPr>
        <w:t xml:space="preserve">  This results in an equity component of 49.1 percent and a debt component of 50.60 percent, which we believe strikes an appropriate balance and is likely to maintain</w:t>
      </w:r>
      <w:r w:rsidR="00416037" w:rsidRPr="002532DF">
        <w:rPr>
          <w:sz w:val="25"/>
          <w:szCs w:val="25"/>
        </w:rPr>
        <w:t xml:space="preserve"> </w:t>
      </w:r>
      <w:r w:rsidR="002B0D09" w:rsidRPr="002532DF">
        <w:rPr>
          <w:sz w:val="25"/>
          <w:szCs w:val="25"/>
        </w:rPr>
        <w:t xml:space="preserve">the Company’s current credit ratings. </w:t>
      </w:r>
    </w:p>
    <w:p w:rsidR="00E23FBE" w:rsidRPr="002532DF" w:rsidRDefault="00E23FBE">
      <w:pPr>
        <w:pStyle w:val="ListParagraph"/>
        <w:rPr>
          <w:sz w:val="25"/>
          <w:szCs w:val="25"/>
        </w:rPr>
      </w:pPr>
    </w:p>
    <w:p w:rsidR="00557BC8" w:rsidRPr="002532DF" w:rsidRDefault="00F71A30" w:rsidP="00AD0B90">
      <w:pPr>
        <w:numPr>
          <w:ilvl w:val="0"/>
          <w:numId w:val="1"/>
        </w:numPr>
        <w:tabs>
          <w:tab w:val="clear" w:pos="720"/>
          <w:tab w:val="num" w:pos="0"/>
        </w:tabs>
        <w:spacing w:line="276" w:lineRule="auto"/>
        <w:ind w:left="0"/>
        <w:rPr>
          <w:sz w:val="25"/>
          <w:szCs w:val="25"/>
        </w:rPr>
      </w:pPr>
      <w:r w:rsidRPr="002532DF">
        <w:rPr>
          <w:sz w:val="25"/>
          <w:szCs w:val="25"/>
        </w:rPr>
        <w:t>We are not persuaded</w:t>
      </w:r>
      <w:r w:rsidR="002B0D09" w:rsidRPr="002532DF">
        <w:rPr>
          <w:sz w:val="25"/>
          <w:szCs w:val="25"/>
        </w:rPr>
        <w:t>, in this case,</w:t>
      </w:r>
      <w:r w:rsidRPr="002532DF">
        <w:rPr>
          <w:sz w:val="25"/>
          <w:szCs w:val="25"/>
        </w:rPr>
        <w:t xml:space="preserve"> by St</w:t>
      </w:r>
      <w:r w:rsidR="000D7A32" w:rsidRPr="002532DF">
        <w:rPr>
          <w:sz w:val="25"/>
          <w:szCs w:val="25"/>
        </w:rPr>
        <w:t xml:space="preserve">aff’s arguments to </w:t>
      </w:r>
      <w:r w:rsidRPr="002532DF">
        <w:rPr>
          <w:sz w:val="25"/>
          <w:szCs w:val="25"/>
        </w:rPr>
        <w:t xml:space="preserve">impute short-term debt in the Company’s hypothetical capital structure.  </w:t>
      </w:r>
      <w:r w:rsidR="002B0D09" w:rsidRPr="002532DF">
        <w:rPr>
          <w:sz w:val="25"/>
          <w:szCs w:val="25"/>
        </w:rPr>
        <w:t xml:space="preserve">As we stated in the 2006 PacifiCorp rate case, “[t]he Commission has traditionally included a component for short-term debt, </w:t>
      </w:r>
      <w:r w:rsidR="002B0D09" w:rsidRPr="002532DF">
        <w:rPr>
          <w:i/>
          <w:sz w:val="25"/>
          <w:szCs w:val="25"/>
        </w:rPr>
        <w:t xml:space="preserve">based on a company’s actual capital </w:t>
      </w:r>
      <w:r w:rsidR="007A6191" w:rsidRPr="002532DF">
        <w:rPr>
          <w:sz w:val="25"/>
          <w:szCs w:val="25"/>
        </w:rPr>
        <w:t>structure</w:t>
      </w:r>
      <w:r w:rsidR="002B0D09" w:rsidRPr="002532DF">
        <w:rPr>
          <w:sz w:val="25"/>
          <w:szCs w:val="25"/>
        </w:rPr>
        <w:t>”</w:t>
      </w:r>
      <w:r w:rsidR="002B0D09" w:rsidRPr="002532DF">
        <w:rPr>
          <w:rStyle w:val="FootnoteReference"/>
          <w:sz w:val="25"/>
          <w:szCs w:val="25"/>
        </w:rPr>
        <w:footnoteReference w:id="63"/>
      </w:r>
      <w:r w:rsidR="002B0D09" w:rsidRPr="002532DF">
        <w:rPr>
          <w:sz w:val="25"/>
          <w:szCs w:val="25"/>
        </w:rPr>
        <w:t xml:space="preserve">  Here, we are not persuaded that that the Company’s “actual” capital structure contains such short-term debt.  This is not to say that, in an appropriate case, we would not impute short-term debt.  As Staff notes, it “is a very low-cost source of funds” and PacifiCorp did include such debt in its capital structure in the past.</w:t>
      </w:r>
      <w:r w:rsidR="002B0D09" w:rsidRPr="002532DF">
        <w:rPr>
          <w:rStyle w:val="FootnoteReference"/>
          <w:sz w:val="25"/>
          <w:szCs w:val="25"/>
        </w:rPr>
        <w:footnoteReference w:id="64"/>
      </w:r>
      <w:r w:rsidR="002B0D09" w:rsidRPr="002532DF">
        <w:rPr>
          <w:sz w:val="25"/>
          <w:szCs w:val="25"/>
        </w:rPr>
        <w:t xml:space="preserve">  However, o</w:t>
      </w:r>
      <w:r w:rsidRPr="002532DF">
        <w:rPr>
          <w:sz w:val="25"/>
          <w:szCs w:val="25"/>
        </w:rPr>
        <w:t xml:space="preserve">ur adoption of a 49.1 percent equity ratio already ameliorates the potential adverse effects of the Company’s proposed capital structure </w:t>
      </w:r>
      <w:r w:rsidR="00C169D3">
        <w:rPr>
          <w:sz w:val="25"/>
          <w:szCs w:val="25"/>
        </w:rPr>
        <w:t>that</w:t>
      </w:r>
      <w:r w:rsidRPr="002532DF">
        <w:rPr>
          <w:sz w:val="25"/>
          <w:szCs w:val="25"/>
        </w:rPr>
        <w:t xml:space="preserve"> we judged to contain an excessive equity component.</w:t>
      </w:r>
      <w:r w:rsidR="009133C0" w:rsidRPr="002532DF">
        <w:rPr>
          <w:sz w:val="25"/>
          <w:szCs w:val="25"/>
        </w:rPr>
        <w:t xml:space="preserve"> </w:t>
      </w:r>
      <w:r w:rsidRPr="002532DF">
        <w:rPr>
          <w:sz w:val="25"/>
          <w:szCs w:val="25"/>
        </w:rPr>
        <w:t xml:space="preserve"> In summary, we adopt a hypothetical capital </w:t>
      </w:r>
      <w:r w:rsidR="00C169D3">
        <w:rPr>
          <w:sz w:val="25"/>
          <w:szCs w:val="25"/>
        </w:rPr>
        <w:t xml:space="preserve">structure for ratemaking purposes </w:t>
      </w:r>
      <w:r w:rsidRPr="002532DF">
        <w:rPr>
          <w:sz w:val="25"/>
          <w:szCs w:val="25"/>
        </w:rPr>
        <w:t>with 49.1 percent common equity, 0.3 percent preferred stock, and 50.60 percent long-term debt.</w:t>
      </w:r>
    </w:p>
    <w:p w:rsidR="00146B27" w:rsidRPr="002532DF" w:rsidRDefault="00973B0D" w:rsidP="00973B0D">
      <w:pPr>
        <w:pStyle w:val="Heading4"/>
        <w:ind w:left="1080"/>
        <w:rPr>
          <w:rFonts w:ascii="Times New Roman" w:hAnsi="Times New Roman"/>
          <w:sz w:val="25"/>
          <w:szCs w:val="25"/>
        </w:rPr>
      </w:pPr>
      <w:bookmarkStart w:id="14" w:name="_Toc168986364"/>
      <w:bookmarkStart w:id="15" w:name="_Toc288813723"/>
      <w:r>
        <w:rPr>
          <w:rFonts w:ascii="Times New Roman" w:hAnsi="Times New Roman"/>
          <w:sz w:val="25"/>
          <w:szCs w:val="25"/>
        </w:rPr>
        <w:t>2.</w:t>
      </w:r>
      <w:r>
        <w:rPr>
          <w:rFonts w:ascii="Times New Roman" w:hAnsi="Times New Roman"/>
          <w:sz w:val="25"/>
          <w:szCs w:val="25"/>
        </w:rPr>
        <w:tab/>
      </w:r>
      <w:r w:rsidR="00CD37A3" w:rsidRPr="002532DF">
        <w:rPr>
          <w:rFonts w:ascii="Times New Roman" w:hAnsi="Times New Roman"/>
          <w:sz w:val="25"/>
          <w:szCs w:val="25"/>
        </w:rPr>
        <w:t>Cost of Common Equity</w:t>
      </w:r>
      <w:bookmarkEnd w:id="14"/>
      <w:bookmarkEnd w:id="15"/>
    </w:p>
    <w:p w:rsidR="009E0E4F" w:rsidRPr="002532DF" w:rsidRDefault="009E0E4F" w:rsidP="00EB79AA">
      <w:pPr>
        <w:spacing w:line="276" w:lineRule="auto"/>
        <w:outlineLvl w:val="3"/>
        <w:rPr>
          <w:b/>
          <w:sz w:val="25"/>
          <w:szCs w:val="25"/>
        </w:rPr>
      </w:pPr>
    </w:p>
    <w:p w:rsidR="00926732" w:rsidRPr="002532DF" w:rsidRDefault="00C169D3" w:rsidP="00AD0B90">
      <w:pPr>
        <w:numPr>
          <w:ilvl w:val="0"/>
          <w:numId w:val="1"/>
        </w:numPr>
        <w:tabs>
          <w:tab w:val="clear" w:pos="720"/>
          <w:tab w:val="num" w:pos="0"/>
        </w:tabs>
        <w:spacing w:line="276" w:lineRule="auto"/>
        <w:ind w:left="0"/>
        <w:rPr>
          <w:b/>
          <w:sz w:val="25"/>
          <w:szCs w:val="25"/>
        </w:rPr>
      </w:pPr>
      <w:r>
        <w:rPr>
          <w:sz w:val="25"/>
          <w:szCs w:val="25"/>
        </w:rPr>
        <w:t>Determining</w:t>
      </w:r>
      <w:r w:rsidR="00926732" w:rsidRPr="002532DF">
        <w:rPr>
          <w:sz w:val="25"/>
          <w:szCs w:val="25"/>
        </w:rPr>
        <w:t xml:space="preserve"> the cost of capital </w:t>
      </w:r>
      <w:r>
        <w:rPr>
          <w:sz w:val="25"/>
          <w:szCs w:val="25"/>
        </w:rPr>
        <w:t>requires</w:t>
      </w:r>
      <w:r w:rsidR="00926732" w:rsidRPr="002532DF">
        <w:rPr>
          <w:sz w:val="25"/>
          <w:szCs w:val="25"/>
        </w:rPr>
        <w:t xml:space="preserve"> a series of complex decisions but must conform to specific legal criteria</w:t>
      </w:r>
      <w:r>
        <w:rPr>
          <w:sz w:val="25"/>
          <w:szCs w:val="25"/>
        </w:rPr>
        <w:t>.</w:t>
      </w:r>
      <w:r w:rsidR="00926732" w:rsidRPr="002532DF">
        <w:rPr>
          <w:sz w:val="25"/>
          <w:szCs w:val="25"/>
        </w:rPr>
        <w:t xml:space="preserve">  </w:t>
      </w:r>
      <w:r>
        <w:rPr>
          <w:sz w:val="25"/>
          <w:szCs w:val="25"/>
        </w:rPr>
        <w:t>Rates</w:t>
      </w:r>
      <w:r w:rsidR="00DD20EE" w:rsidRPr="002532DF">
        <w:rPr>
          <w:sz w:val="25"/>
          <w:szCs w:val="25"/>
        </w:rPr>
        <w:t xml:space="preserve"> must be “just, fair, reasonable, and sufficient.”</w:t>
      </w:r>
      <w:r w:rsidR="00DD20EE" w:rsidRPr="002532DF">
        <w:rPr>
          <w:rStyle w:val="FootnoteReference"/>
          <w:sz w:val="25"/>
          <w:szCs w:val="25"/>
        </w:rPr>
        <w:footnoteReference w:id="65"/>
      </w:r>
      <w:r w:rsidR="00DD20EE" w:rsidRPr="002532DF">
        <w:rPr>
          <w:sz w:val="25"/>
          <w:szCs w:val="25"/>
        </w:rPr>
        <w:t xml:space="preserve">  In the context of this issue, they mus</w:t>
      </w:r>
      <w:r w:rsidR="00926732" w:rsidRPr="002532DF">
        <w:rPr>
          <w:sz w:val="25"/>
          <w:szCs w:val="25"/>
        </w:rPr>
        <w:t>t be sufficient to meet the financial needs of the company and attract capital on reasonable terms.</w:t>
      </w:r>
      <w:r w:rsidR="00926732" w:rsidRPr="002532DF">
        <w:rPr>
          <w:rStyle w:val="FootnoteReference"/>
          <w:sz w:val="25"/>
          <w:szCs w:val="25"/>
        </w:rPr>
        <w:footnoteReference w:id="66"/>
      </w:r>
      <w:r w:rsidR="00926732" w:rsidRPr="002532DF">
        <w:rPr>
          <w:sz w:val="25"/>
          <w:szCs w:val="25"/>
        </w:rPr>
        <w:t xml:space="preserve">  </w:t>
      </w:r>
      <w:r w:rsidR="00DD20EE" w:rsidRPr="002532DF">
        <w:rPr>
          <w:sz w:val="25"/>
          <w:szCs w:val="25"/>
        </w:rPr>
        <w:t>“</w:t>
      </w:r>
      <w:r w:rsidR="00470167" w:rsidRPr="002532DF">
        <w:rPr>
          <w:sz w:val="25"/>
          <w:szCs w:val="25"/>
        </w:rPr>
        <w:t>R</w:t>
      </w:r>
      <w:r w:rsidR="00926732" w:rsidRPr="002532DF">
        <w:rPr>
          <w:sz w:val="25"/>
          <w:szCs w:val="25"/>
        </w:rPr>
        <w:t>easonable term</w:t>
      </w:r>
      <w:r w:rsidR="00DD20EE" w:rsidRPr="002532DF">
        <w:rPr>
          <w:sz w:val="25"/>
          <w:szCs w:val="25"/>
        </w:rPr>
        <w:t>s”</w:t>
      </w:r>
      <w:r w:rsidR="00926732" w:rsidRPr="002532DF">
        <w:rPr>
          <w:sz w:val="25"/>
          <w:szCs w:val="25"/>
        </w:rPr>
        <w:t xml:space="preserve"> </w:t>
      </w:r>
      <w:r>
        <w:rPr>
          <w:sz w:val="25"/>
          <w:szCs w:val="25"/>
        </w:rPr>
        <w:t>are those that allow</w:t>
      </w:r>
      <w:r w:rsidR="00926732" w:rsidRPr="002532DF">
        <w:rPr>
          <w:sz w:val="25"/>
          <w:szCs w:val="25"/>
        </w:rPr>
        <w:t xml:space="preserve"> a return “commensurate with returns on investments in other enterprises having commensurate risks.”</w:t>
      </w:r>
      <w:r w:rsidR="00926732" w:rsidRPr="002532DF">
        <w:rPr>
          <w:rStyle w:val="FootnoteReference"/>
          <w:sz w:val="25"/>
          <w:szCs w:val="25"/>
        </w:rPr>
        <w:footnoteReference w:id="67"/>
      </w:r>
    </w:p>
    <w:p w:rsidR="005B0C97" w:rsidRPr="002532DF" w:rsidRDefault="005B0C97" w:rsidP="00B85BB7">
      <w:pPr>
        <w:spacing w:line="276" w:lineRule="auto"/>
        <w:rPr>
          <w:b/>
          <w:sz w:val="25"/>
          <w:szCs w:val="25"/>
        </w:rPr>
      </w:pPr>
    </w:p>
    <w:p w:rsidR="005B0C97" w:rsidRPr="002532DF" w:rsidRDefault="005B0C97" w:rsidP="002717E5">
      <w:pPr>
        <w:spacing w:line="276" w:lineRule="auto"/>
        <w:ind w:left="-720"/>
        <w:rPr>
          <w:b/>
          <w:sz w:val="25"/>
          <w:szCs w:val="25"/>
        </w:rPr>
      </w:pPr>
    </w:p>
    <w:p w:rsidR="000F2D6A" w:rsidRPr="002532DF" w:rsidRDefault="00C169D3" w:rsidP="00AD0B90">
      <w:pPr>
        <w:numPr>
          <w:ilvl w:val="0"/>
          <w:numId w:val="1"/>
        </w:numPr>
        <w:tabs>
          <w:tab w:val="clear" w:pos="720"/>
          <w:tab w:val="num" w:pos="0"/>
        </w:tabs>
        <w:spacing w:line="276" w:lineRule="auto"/>
        <w:ind w:left="0"/>
        <w:rPr>
          <w:b/>
          <w:sz w:val="25"/>
          <w:szCs w:val="25"/>
        </w:rPr>
      </w:pPr>
      <w:r>
        <w:rPr>
          <w:sz w:val="25"/>
          <w:szCs w:val="25"/>
        </w:rPr>
        <w:t>Determining the</w:t>
      </w:r>
      <w:r w:rsidR="005B0C97" w:rsidRPr="002532DF">
        <w:rPr>
          <w:sz w:val="25"/>
          <w:szCs w:val="25"/>
        </w:rPr>
        <w:t xml:space="preserve"> cost of equity is the most challenging</w:t>
      </w:r>
      <w:r>
        <w:rPr>
          <w:sz w:val="25"/>
          <w:szCs w:val="25"/>
        </w:rPr>
        <w:t xml:space="preserve"> of the various types of financing</w:t>
      </w:r>
      <w:r w:rsidR="005B0C97" w:rsidRPr="002532DF">
        <w:rPr>
          <w:sz w:val="25"/>
          <w:szCs w:val="25"/>
        </w:rPr>
        <w:t xml:space="preserve">.  Unlike debt, which has a stated cost that is easily determined, </w:t>
      </w:r>
      <w:r>
        <w:rPr>
          <w:sz w:val="25"/>
          <w:szCs w:val="25"/>
        </w:rPr>
        <w:t xml:space="preserve">the Commission must estimate the cost of </w:t>
      </w:r>
      <w:r w:rsidR="005B0C97" w:rsidRPr="002532DF">
        <w:rPr>
          <w:sz w:val="25"/>
          <w:szCs w:val="25"/>
        </w:rPr>
        <w:t>equity.  There are a number of approaches to estimating the cost of equity.</w:t>
      </w:r>
      <w:r w:rsidR="005B0C97" w:rsidRPr="002532DF">
        <w:rPr>
          <w:rStyle w:val="FootnoteReference"/>
          <w:sz w:val="25"/>
          <w:szCs w:val="25"/>
        </w:rPr>
        <w:footnoteReference w:id="68"/>
      </w:r>
      <w:r w:rsidR="005B0C97" w:rsidRPr="002532DF">
        <w:rPr>
          <w:sz w:val="25"/>
          <w:szCs w:val="25"/>
        </w:rPr>
        <w:t xml:space="preserve">  The three approaches used in this case are the Discounted Cash Flow (DCF) method, </w:t>
      </w:r>
      <w:r>
        <w:rPr>
          <w:sz w:val="25"/>
          <w:szCs w:val="25"/>
        </w:rPr>
        <w:t xml:space="preserve">the risk premium method, and the </w:t>
      </w:r>
      <w:r w:rsidR="00DD20EE" w:rsidRPr="002532DF">
        <w:rPr>
          <w:sz w:val="25"/>
          <w:szCs w:val="25"/>
        </w:rPr>
        <w:t>Capital Asset Pricing Model (CAPM).</w:t>
      </w:r>
      <w:r w:rsidR="000F2D6A" w:rsidRPr="002532DF">
        <w:rPr>
          <w:sz w:val="25"/>
          <w:szCs w:val="25"/>
        </w:rPr>
        <w:t xml:space="preserve"> </w:t>
      </w:r>
    </w:p>
    <w:p w:rsidR="00E23FBE" w:rsidRPr="002532DF" w:rsidRDefault="00E23FBE">
      <w:pPr>
        <w:pStyle w:val="ListParagraph"/>
        <w:rPr>
          <w:b/>
          <w:sz w:val="25"/>
          <w:szCs w:val="25"/>
        </w:rPr>
      </w:pPr>
    </w:p>
    <w:p w:rsidR="00284AEA" w:rsidRPr="002532DF" w:rsidRDefault="00284AEA" w:rsidP="00AD0B90">
      <w:pPr>
        <w:numPr>
          <w:ilvl w:val="0"/>
          <w:numId w:val="1"/>
        </w:numPr>
        <w:tabs>
          <w:tab w:val="clear" w:pos="720"/>
          <w:tab w:val="num" w:pos="0"/>
        </w:tabs>
        <w:spacing w:line="276" w:lineRule="auto"/>
        <w:ind w:left="0"/>
        <w:rPr>
          <w:b/>
          <w:sz w:val="25"/>
          <w:szCs w:val="25"/>
        </w:rPr>
      </w:pPr>
      <w:r w:rsidRPr="002532DF">
        <w:rPr>
          <w:sz w:val="25"/>
          <w:szCs w:val="25"/>
        </w:rPr>
        <w:t>The DCF model is one of the oldest and widely accepted methods to estimate the cost of equity on a forward-looking basis</w:t>
      </w:r>
      <w:r w:rsidR="00C169D3">
        <w:rPr>
          <w:sz w:val="25"/>
          <w:szCs w:val="25"/>
        </w:rPr>
        <w:t>, and that model</w:t>
      </w:r>
      <w:r w:rsidRPr="002532DF">
        <w:rPr>
          <w:sz w:val="25"/>
          <w:szCs w:val="25"/>
        </w:rPr>
        <w:t xml:space="preserve"> is based on two fundamental principles.  First, the valuation of an asset by investors is based on the future cash flows that the asset will create, </w:t>
      </w:r>
      <w:r w:rsidRPr="002532DF">
        <w:rPr>
          <w:i/>
          <w:sz w:val="25"/>
          <w:szCs w:val="25"/>
        </w:rPr>
        <w:t>e.g.</w:t>
      </w:r>
      <w:r w:rsidR="00416037" w:rsidRPr="002532DF">
        <w:rPr>
          <w:i/>
          <w:sz w:val="25"/>
          <w:szCs w:val="25"/>
        </w:rPr>
        <w:t>,</w:t>
      </w:r>
      <w:r w:rsidRPr="002532DF">
        <w:rPr>
          <w:i/>
          <w:sz w:val="25"/>
          <w:szCs w:val="25"/>
        </w:rPr>
        <w:t xml:space="preserve"> </w:t>
      </w:r>
      <w:r w:rsidRPr="002532DF">
        <w:rPr>
          <w:sz w:val="25"/>
          <w:szCs w:val="25"/>
        </w:rPr>
        <w:t>both the annual dividends and the ultimate capital gains through the sale of a utility stock.  Second, the valuation is adjusted by the “time value of money,” meaning that a dollar received in the future is worth less than a dollar received today.  The discount rate that makes the expected dividends and future sales price of the stock equal to the current market price is the cost of common equity.</w:t>
      </w:r>
      <w:r w:rsidRPr="002532DF">
        <w:rPr>
          <w:rStyle w:val="FootnoteReference"/>
          <w:sz w:val="25"/>
          <w:szCs w:val="25"/>
        </w:rPr>
        <w:footnoteReference w:id="69"/>
      </w:r>
    </w:p>
    <w:p w:rsidR="00E23FBE" w:rsidRPr="002532DF" w:rsidRDefault="00E23FBE">
      <w:pPr>
        <w:pStyle w:val="ListParagraph"/>
        <w:rPr>
          <w:b/>
          <w:sz w:val="25"/>
          <w:szCs w:val="25"/>
        </w:rPr>
      </w:pPr>
    </w:p>
    <w:p w:rsidR="00CC3262" w:rsidRPr="002532DF" w:rsidRDefault="009E1B68" w:rsidP="00AD0B90">
      <w:pPr>
        <w:numPr>
          <w:ilvl w:val="0"/>
          <w:numId w:val="1"/>
        </w:numPr>
        <w:tabs>
          <w:tab w:val="clear" w:pos="720"/>
          <w:tab w:val="num" w:pos="0"/>
        </w:tabs>
        <w:spacing w:line="276" w:lineRule="auto"/>
        <w:ind w:left="0"/>
        <w:rPr>
          <w:b/>
          <w:sz w:val="25"/>
          <w:szCs w:val="25"/>
        </w:rPr>
      </w:pPr>
      <w:r w:rsidRPr="002532DF">
        <w:rPr>
          <w:sz w:val="25"/>
          <w:szCs w:val="25"/>
        </w:rPr>
        <w:t>The Risk Premium Method is based on the pr</w:t>
      </w:r>
      <w:r w:rsidR="0029352A" w:rsidRPr="002532DF">
        <w:rPr>
          <w:sz w:val="25"/>
          <w:szCs w:val="25"/>
        </w:rPr>
        <w:t xml:space="preserve">oposition that common stocks are riskier than fixed income securities and therefore, require a higher expected return.  The basic </w:t>
      </w:r>
      <w:r w:rsidR="00DB3CF3" w:rsidRPr="002532DF">
        <w:rPr>
          <w:sz w:val="25"/>
          <w:szCs w:val="25"/>
        </w:rPr>
        <w:t>concept</w:t>
      </w:r>
      <w:r w:rsidR="0029352A" w:rsidRPr="002532DF">
        <w:rPr>
          <w:sz w:val="25"/>
          <w:szCs w:val="25"/>
        </w:rPr>
        <w:t xml:space="preserve"> of risk premium can be described by the capital market line, which sets forth the relationship between required return and risk in a graph.  The basic components of this methodology are a risk-free rate and a premium for anticipated inflation.  Several proxies can be used for determining the risk-free rate and include Treasury bonds, Treasury bills, or corporate bonds.  </w:t>
      </w:r>
      <w:r w:rsidR="00180081" w:rsidRPr="002532DF">
        <w:rPr>
          <w:sz w:val="25"/>
          <w:szCs w:val="25"/>
        </w:rPr>
        <w:t>The equity risk premium is constant over time.</w:t>
      </w:r>
      <w:r w:rsidR="0029352A" w:rsidRPr="002532DF">
        <w:rPr>
          <w:rStyle w:val="FootnoteReference"/>
          <w:sz w:val="25"/>
          <w:szCs w:val="25"/>
        </w:rPr>
        <w:footnoteReference w:id="70"/>
      </w:r>
      <w:r w:rsidR="00CC3262" w:rsidRPr="002532DF">
        <w:rPr>
          <w:sz w:val="25"/>
          <w:szCs w:val="25"/>
        </w:rPr>
        <w:t xml:space="preserve"> </w:t>
      </w:r>
    </w:p>
    <w:p w:rsidR="00E23FBE" w:rsidRPr="002532DF" w:rsidRDefault="00E23FBE" w:rsidP="00B85BB7">
      <w:pPr>
        <w:spacing w:line="276" w:lineRule="auto"/>
        <w:rPr>
          <w:b/>
          <w:sz w:val="25"/>
          <w:szCs w:val="25"/>
        </w:rPr>
      </w:pPr>
    </w:p>
    <w:p w:rsidR="0029352A" w:rsidRPr="002532DF" w:rsidRDefault="00CC3262" w:rsidP="00AD0B90">
      <w:pPr>
        <w:numPr>
          <w:ilvl w:val="0"/>
          <w:numId w:val="1"/>
        </w:numPr>
        <w:tabs>
          <w:tab w:val="clear" w:pos="720"/>
          <w:tab w:val="num" w:pos="0"/>
        </w:tabs>
        <w:spacing w:line="276" w:lineRule="auto"/>
        <w:ind w:left="0"/>
        <w:rPr>
          <w:b/>
          <w:sz w:val="25"/>
          <w:szCs w:val="25"/>
        </w:rPr>
      </w:pPr>
      <w:r w:rsidRPr="002532DF">
        <w:rPr>
          <w:sz w:val="25"/>
          <w:szCs w:val="25"/>
        </w:rPr>
        <w:t xml:space="preserve">The Capital Asset Pricing Model (CAPM) method is </w:t>
      </w:r>
      <w:r w:rsidR="00442A6C" w:rsidRPr="002532DF">
        <w:rPr>
          <w:sz w:val="25"/>
          <w:szCs w:val="25"/>
        </w:rPr>
        <w:t xml:space="preserve">a method based on modern portfolio theory that describes the relationship between a security’s investment risk and its market rate of return.  The </w:t>
      </w:r>
      <w:r w:rsidR="00DB3CF3" w:rsidRPr="002532DF">
        <w:rPr>
          <w:sz w:val="25"/>
          <w:szCs w:val="25"/>
        </w:rPr>
        <w:t>relationship</w:t>
      </w:r>
      <w:r w:rsidR="00442A6C" w:rsidRPr="002532DF">
        <w:rPr>
          <w:sz w:val="25"/>
          <w:szCs w:val="25"/>
        </w:rPr>
        <w:t xml:space="preserve"> between these two basic parameters (return and risk) identifies the rate of return that rational investors expect a security to earn, which constitutes a rate that is comparable with the market returns earned by other securities that have comparable risk.</w:t>
      </w:r>
      <w:r w:rsidR="0029352A" w:rsidRPr="002532DF">
        <w:rPr>
          <w:rStyle w:val="FootnoteReference"/>
          <w:sz w:val="25"/>
          <w:szCs w:val="25"/>
        </w:rPr>
        <w:footnoteReference w:id="71"/>
      </w:r>
      <w:r w:rsidR="009E1B68" w:rsidRPr="002532DF">
        <w:rPr>
          <w:sz w:val="25"/>
          <w:szCs w:val="25"/>
        </w:rPr>
        <w:t xml:space="preserve"> </w:t>
      </w:r>
    </w:p>
    <w:p w:rsidR="00E23FBE" w:rsidRPr="002532DF" w:rsidRDefault="00E23FBE">
      <w:pPr>
        <w:pStyle w:val="ListParagraph"/>
        <w:rPr>
          <w:i/>
          <w:sz w:val="25"/>
          <w:szCs w:val="25"/>
        </w:rPr>
      </w:pPr>
    </w:p>
    <w:p w:rsidR="00534B57" w:rsidRPr="002532DF" w:rsidRDefault="005A290A" w:rsidP="00AD0B90">
      <w:pPr>
        <w:numPr>
          <w:ilvl w:val="0"/>
          <w:numId w:val="1"/>
        </w:numPr>
        <w:tabs>
          <w:tab w:val="clear" w:pos="720"/>
          <w:tab w:val="num" w:pos="0"/>
        </w:tabs>
        <w:spacing w:line="276" w:lineRule="auto"/>
        <w:ind w:left="0"/>
        <w:rPr>
          <w:b/>
          <w:sz w:val="25"/>
          <w:szCs w:val="25"/>
        </w:rPr>
      </w:pPr>
      <w:r w:rsidRPr="002532DF">
        <w:rPr>
          <w:i/>
          <w:sz w:val="25"/>
          <w:szCs w:val="25"/>
        </w:rPr>
        <w:t xml:space="preserve">Positions of the Parties.  </w:t>
      </w:r>
      <w:r w:rsidR="008A1085" w:rsidRPr="002532DF">
        <w:rPr>
          <w:sz w:val="25"/>
          <w:szCs w:val="25"/>
        </w:rPr>
        <w:t xml:space="preserve">PacifiCorp </w:t>
      </w:r>
      <w:r w:rsidR="00475810" w:rsidRPr="002532DF">
        <w:rPr>
          <w:sz w:val="25"/>
          <w:szCs w:val="25"/>
        </w:rPr>
        <w:t>proposes a</w:t>
      </w:r>
      <w:r w:rsidR="008A1085" w:rsidRPr="002532DF">
        <w:rPr>
          <w:sz w:val="25"/>
          <w:szCs w:val="25"/>
        </w:rPr>
        <w:t xml:space="preserve"> ROE</w:t>
      </w:r>
      <w:r w:rsidR="007A7AED" w:rsidRPr="002532DF">
        <w:rPr>
          <w:sz w:val="25"/>
          <w:szCs w:val="25"/>
        </w:rPr>
        <w:t xml:space="preserve"> of 10.6 percent</w:t>
      </w:r>
      <w:r w:rsidR="00475810" w:rsidRPr="002532DF">
        <w:rPr>
          <w:sz w:val="25"/>
          <w:szCs w:val="25"/>
        </w:rPr>
        <w:t xml:space="preserve"> and uses the </w:t>
      </w:r>
      <w:r w:rsidR="008A1085" w:rsidRPr="002532DF">
        <w:rPr>
          <w:sz w:val="25"/>
          <w:szCs w:val="25"/>
        </w:rPr>
        <w:t xml:space="preserve">DCF and Risk Premium </w:t>
      </w:r>
      <w:r w:rsidR="00475810" w:rsidRPr="002532DF">
        <w:rPr>
          <w:sz w:val="25"/>
          <w:szCs w:val="25"/>
        </w:rPr>
        <w:t>models.</w:t>
      </w:r>
      <w:r w:rsidR="00AE38EE" w:rsidRPr="002532DF">
        <w:rPr>
          <w:sz w:val="25"/>
          <w:szCs w:val="25"/>
        </w:rPr>
        <w:t xml:space="preserve"> </w:t>
      </w:r>
      <w:r w:rsidR="008A1085" w:rsidRPr="002532DF">
        <w:rPr>
          <w:sz w:val="25"/>
          <w:szCs w:val="25"/>
        </w:rPr>
        <w:t xml:space="preserve"> PacifiCorp rejects the use of the CAPM because of the potentially questionable underlying assumptions</w:t>
      </w:r>
      <w:r w:rsidR="00475810" w:rsidRPr="002532DF">
        <w:rPr>
          <w:sz w:val="25"/>
          <w:szCs w:val="25"/>
        </w:rPr>
        <w:t xml:space="preserve"> involved</w:t>
      </w:r>
      <w:r w:rsidR="008A1085" w:rsidRPr="002532DF">
        <w:rPr>
          <w:rStyle w:val="FootnoteReference"/>
          <w:sz w:val="25"/>
          <w:szCs w:val="25"/>
        </w:rPr>
        <w:footnoteReference w:id="72"/>
      </w:r>
      <w:r w:rsidR="008A1085" w:rsidRPr="002532DF">
        <w:rPr>
          <w:sz w:val="25"/>
          <w:szCs w:val="25"/>
        </w:rPr>
        <w:t xml:space="preserve"> </w:t>
      </w:r>
      <w:r w:rsidR="00475810" w:rsidRPr="002532DF">
        <w:rPr>
          <w:sz w:val="25"/>
          <w:szCs w:val="25"/>
        </w:rPr>
        <w:t>and the conclusion that it</w:t>
      </w:r>
      <w:r w:rsidR="00E552AF" w:rsidRPr="002532DF">
        <w:rPr>
          <w:sz w:val="25"/>
          <w:szCs w:val="25"/>
        </w:rPr>
        <w:t xml:space="preserve"> would produce “artificially low results,” between 7 percent and 9 percent, under current economic conditions.</w:t>
      </w:r>
      <w:r w:rsidR="00E552AF" w:rsidRPr="002532DF">
        <w:rPr>
          <w:rStyle w:val="FootnoteReference"/>
          <w:sz w:val="25"/>
          <w:szCs w:val="25"/>
        </w:rPr>
        <w:footnoteReference w:id="73"/>
      </w:r>
      <w:r w:rsidR="0097014B" w:rsidRPr="002532DF">
        <w:rPr>
          <w:sz w:val="25"/>
          <w:szCs w:val="25"/>
        </w:rPr>
        <w:t xml:space="preserve">  </w:t>
      </w:r>
      <w:r w:rsidR="00475810" w:rsidRPr="002532DF">
        <w:rPr>
          <w:sz w:val="25"/>
          <w:szCs w:val="25"/>
        </w:rPr>
        <w:t xml:space="preserve">Therefore, </w:t>
      </w:r>
      <w:r w:rsidR="008A1085" w:rsidRPr="002532DF">
        <w:rPr>
          <w:sz w:val="25"/>
          <w:szCs w:val="25"/>
        </w:rPr>
        <w:t>PacifiCorp argues that using the DCF and risk premium analys</w:t>
      </w:r>
      <w:r w:rsidR="008800DF" w:rsidRPr="002532DF">
        <w:rPr>
          <w:sz w:val="25"/>
          <w:szCs w:val="25"/>
        </w:rPr>
        <w:t>e</w:t>
      </w:r>
      <w:r w:rsidR="008A1085" w:rsidRPr="002532DF">
        <w:rPr>
          <w:sz w:val="25"/>
          <w:szCs w:val="25"/>
        </w:rPr>
        <w:t>s provide the most reliable cost of equity estimate</w:t>
      </w:r>
      <w:r w:rsidR="007A7AED" w:rsidRPr="002532DF">
        <w:rPr>
          <w:sz w:val="25"/>
          <w:szCs w:val="25"/>
        </w:rPr>
        <w:t>.</w:t>
      </w:r>
      <w:r w:rsidR="008A1085" w:rsidRPr="002532DF">
        <w:rPr>
          <w:rStyle w:val="FootnoteReference"/>
          <w:sz w:val="25"/>
          <w:szCs w:val="25"/>
        </w:rPr>
        <w:footnoteReference w:id="74"/>
      </w:r>
      <w:r w:rsidR="008A1085" w:rsidRPr="002532DF">
        <w:rPr>
          <w:sz w:val="25"/>
          <w:szCs w:val="25"/>
        </w:rPr>
        <w:t xml:space="preserve">  While admitting that the DCF </w:t>
      </w:r>
      <w:r w:rsidR="008800DF" w:rsidRPr="002532DF">
        <w:rPr>
          <w:sz w:val="25"/>
          <w:szCs w:val="25"/>
        </w:rPr>
        <w:t>formula</w:t>
      </w:r>
      <w:r w:rsidR="008A1085" w:rsidRPr="002532DF">
        <w:rPr>
          <w:sz w:val="25"/>
          <w:szCs w:val="25"/>
        </w:rPr>
        <w:t xml:space="preserve"> does require judgment about future growth rates, PacifiCorp argues that the other component of the DCF </w:t>
      </w:r>
      <w:r w:rsidR="008800DF" w:rsidRPr="002532DF">
        <w:rPr>
          <w:sz w:val="25"/>
          <w:szCs w:val="25"/>
        </w:rPr>
        <w:t>formula</w:t>
      </w:r>
      <w:r w:rsidR="008A1085" w:rsidRPr="002532DF">
        <w:rPr>
          <w:sz w:val="25"/>
          <w:szCs w:val="25"/>
        </w:rPr>
        <w:t xml:space="preserve">, dividend yield, is straightforward </w:t>
      </w:r>
      <w:r w:rsidR="00475810" w:rsidRPr="002532DF">
        <w:rPr>
          <w:sz w:val="25"/>
          <w:szCs w:val="25"/>
        </w:rPr>
        <w:t>and</w:t>
      </w:r>
      <w:r w:rsidR="008A1085" w:rsidRPr="002532DF">
        <w:rPr>
          <w:sz w:val="25"/>
          <w:szCs w:val="25"/>
        </w:rPr>
        <w:t xml:space="preserve"> “the model’s results</w:t>
      </w:r>
      <w:r w:rsidR="00475810" w:rsidRPr="002532DF">
        <w:rPr>
          <w:sz w:val="25"/>
          <w:szCs w:val="25"/>
        </w:rPr>
        <w:t xml:space="preserve"> are</w:t>
      </w:r>
      <w:r w:rsidR="008A1085" w:rsidRPr="002532DF">
        <w:rPr>
          <w:sz w:val="25"/>
          <w:szCs w:val="25"/>
        </w:rPr>
        <w:t xml:space="preserve"> generally consistent with actual capital market behavior.”</w:t>
      </w:r>
      <w:r w:rsidR="008A1085" w:rsidRPr="002532DF">
        <w:rPr>
          <w:rStyle w:val="FootnoteReference"/>
          <w:sz w:val="25"/>
          <w:szCs w:val="25"/>
        </w:rPr>
        <w:footnoteReference w:id="75"/>
      </w:r>
    </w:p>
    <w:p w:rsidR="00D40563" w:rsidRPr="002532DF" w:rsidRDefault="00D40563">
      <w:pPr>
        <w:spacing w:line="276" w:lineRule="auto"/>
        <w:ind w:left="-720"/>
        <w:rPr>
          <w:b/>
          <w:sz w:val="25"/>
          <w:szCs w:val="25"/>
        </w:rPr>
      </w:pPr>
    </w:p>
    <w:p w:rsidR="00AD7B11" w:rsidRPr="002532DF" w:rsidRDefault="00AD7B11" w:rsidP="00AD0B90">
      <w:pPr>
        <w:numPr>
          <w:ilvl w:val="0"/>
          <w:numId w:val="1"/>
        </w:numPr>
        <w:tabs>
          <w:tab w:val="clear" w:pos="720"/>
          <w:tab w:val="num" w:pos="0"/>
        </w:tabs>
        <w:spacing w:line="276" w:lineRule="auto"/>
        <w:ind w:left="0"/>
        <w:rPr>
          <w:b/>
          <w:sz w:val="25"/>
          <w:szCs w:val="25"/>
        </w:rPr>
      </w:pPr>
      <w:r w:rsidRPr="002532DF">
        <w:rPr>
          <w:sz w:val="25"/>
          <w:szCs w:val="25"/>
        </w:rPr>
        <w:t xml:space="preserve">The Company recognizes its inability to directly estimate its cost of equity because it is a subsidiary of MEHC, </w:t>
      </w:r>
      <w:r w:rsidR="001C782F" w:rsidRPr="002532DF">
        <w:rPr>
          <w:sz w:val="25"/>
          <w:szCs w:val="25"/>
        </w:rPr>
        <w:t xml:space="preserve">is not a publicly-traded company, and does not have a transparent market price for its common stock.  Hence, one cannot directly apply </w:t>
      </w:r>
      <w:r w:rsidR="00DB1FA7" w:rsidRPr="002532DF">
        <w:rPr>
          <w:sz w:val="25"/>
          <w:szCs w:val="25"/>
        </w:rPr>
        <w:t xml:space="preserve">one </w:t>
      </w:r>
      <w:r w:rsidR="001C782F" w:rsidRPr="002532DF">
        <w:rPr>
          <w:sz w:val="25"/>
          <w:szCs w:val="25"/>
        </w:rPr>
        <w:t>of the critical variables</w:t>
      </w:r>
      <w:r w:rsidR="00DB1FA7" w:rsidRPr="002532DF">
        <w:rPr>
          <w:sz w:val="25"/>
          <w:szCs w:val="25"/>
        </w:rPr>
        <w:t xml:space="preserve"> of DCF analysis</w:t>
      </w:r>
      <w:r w:rsidR="001C782F" w:rsidRPr="002532DF">
        <w:rPr>
          <w:sz w:val="25"/>
          <w:szCs w:val="25"/>
        </w:rPr>
        <w:t>, common stock price.  Therefore, PacifiCorp uses a proxy group of 22 companies and employs three variants of the DCF model.</w:t>
      </w:r>
    </w:p>
    <w:p w:rsidR="00DA751D" w:rsidRPr="002532DF" w:rsidRDefault="00DA751D" w:rsidP="00DA751D">
      <w:pPr>
        <w:spacing w:line="276" w:lineRule="auto"/>
        <w:ind w:left="-720"/>
        <w:rPr>
          <w:b/>
          <w:sz w:val="25"/>
          <w:szCs w:val="25"/>
        </w:rPr>
      </w:pPr>
    </w:p>
    <w:p w:rsidR="00D40563" w:rsidRPr="002532DF" w:rsidRDefault="00DA751D">
      <w:pPr>
        <w:numPr>
          <w:ilvl w:val="0"/>
          <w:numId w:val="1"/>
        </w:numPr>
        <w:tabs>
          <w:tab w:val="clear" w:pos="720"/>
          <w:tab w:val="num" w:pos="0"/>
        </w:tabs>
        <w:spacing w:line="276" w:lineRule="auto"/>
        <w:ind w:left="0"/>
        <w:rPr>
          <w:sz w:val="25"/>
          <w:szCs w:val="25"/>
        </w:rPr>
      </w:pPr>
      <w:r w:rsidRPr="002532DF">
        <w:rPr>
          <w:sz w:val="25"/>
          <w:szCs w:val="25"/>
        </w:rPr>
        <w:t>The versions are:</w:t>
      </w:r>
    </w:p>
    <w:p w:rsidR="00DA751D" w:rsidRPr="002532DF" w:rsidRDefault="00DA751D" w:rsidP="00DA751D">
      <w:pPr>
        <w:spacing w:line="276" w:lineRule="auto"/>
        <w:rPr>
          <w:sz w:val="25"/>
          <w:szCs w:val="25"/>
        </w:rPr>
      </w:pPr>
    </w:p>
    <w:p w:rsidR="00696A4A" w:rsidRPr="002532DF" w:rsidRDefault="00696A4A" w:rsidP="00DA751D">
      <w:pPr>
        <w:pStyle w:val="ListParagraph"/>
        <w:numPr>
          <w:ilvl w:val="0"/>
          <w:numId w:val="8"/>
        </w:numPr>
        <w:spacing w:after="240" w:line="276" w:lineRule="auto"/>
        <w:contextualSpacing/>
        <w:rPr>
          <w:sz w:val="25"/>
          <w:szCs w:val="25"/>
        </w:rPr>
      </w:pPr>
      <w:r w:rsidRPr="002532DF">
        <w:rPr>
          <w:sz w:val="25"/>
          <w:szCs w:val="25"/>
        </w:rPr>
        <w:t xml:space="preserve">Constant </w:t>
      </w:r>
      <w:r w:rsidR="001A6992" w:rsidRPr="002532DF">
        <w:rPr>
          <w:sz w:val="25"/>
          <w:szCs w:val="25"/>
        </w:rPr>
        <w:t>g</w:t>
      </w:r>
      <w:r w:rsidRPr="002532DF">
        <w:rPr>
          <w:sz w:val="25"/>
          <w:szCs w:val="25"/>
        </w:rPr>
        <w:t xml:space="preserve">rowth </w:t>
      </w:r>
      <w:r w:rsidR="001A6992" w:rsidRPr="002532DF">
        <w:rPr>
          <w:sz w:val="25"/>
          <w:szCs w:val="25"/>
        </w:rPr>
        <w:t>using analysts</w:t>
      </w:r>
      <w:r w:rsidR="00CD4727" w:rsidRPr="002532DF">
        <w:rPr>
          <w:sz w:val="25"/>
          <w:szCs w:val="25"/>
        </w:rPr>
        <w:t>’</w:t>
      </w:r>
      <w:r w:rsidR="001A6992" w:rsidRPr="002532DF">
        <w:rPr>
          <w:sz w:val="25"/>
          <w:szCs w:val="25"/>
        </w:rPr>
        <w:t xml:space="preserve"> predictions. This method uses </w:t>
      </w:r>
      <w:r w:rsidR="00DB3CF3" w:rsidRPr="002532DF">
        <w:rPr>
          <w:sz w:val="25"/>
          <w:szCs w:val="25"/>
        </w:rPr>
        <w:t>analysts’</w:t>
      </w:r>
      <w:r w:rsidR="00CD4727" w:rsidRPr="002532DF">
        <w:rPr>
          <w:sz w:val="25"/>
          <w:szCs w:val="25"/>
        </w:rPr>
        <w:t xml:space="preserve"> projections of earnings growth</w:t>
      </w:r>
      <w:r w:rsidR="005C355D" w:rsidRPr="002532DF">
        <w:rPr>
          <w:sz w:val="25"/>
          <w:szCs w:val="25"/>
        </w:rPr>
        <w:t>,</w:t>
      </w:r>
      <w:r w:rsidR="00CD4727" w:rsidRPr="002532DF">
        <w:rPr>
          <w:sz w:val="25"/>
          <w:szCs w:val="25"/>
        </w:rPr>
        <w:t xml:space="preserve"> including </w:t>
      </w:r>
      <w:r w:rsidR="00723E37" w:rsidRPr="002532DF">
        <w:rPr>
          <w:i/>
          <w:sz w:val="25"/>
          <w:szCs w:val="25"/>
        </w:rPr>
        <w:t>Value Line</w:t>
      </w:r>
      <w:r w:rsidR="00CD4727" w:rsidRPr="002532DF">
        <w:rPr>
          <w:sz w:val="25"/>
          <w:szCs w:val="25"/>
        </w:rPr>
        <w:t xml:space="preserve"> and others,</w:t>
      </w:r>
      <w:r w:rsidR="00CD4727" w:rsidRPr="002532DF">
        <w:rPr>
          <w:rStyle w:val="FootnoteReference"/>
          <w:sz w:val="25"/>
          <w:szCs w:val="25"/>
        </w:rPr>
        <w:footnoteReference w:id="76"/>
      </w:r>
      <w:r w:rsidR="00CD4727" w:rsidRPr="002532DF">
        <w:rPr>
          <w:sz w:val="25"/>
          <w:szCs w:val="25"/>
        </w:rPr>
        <w:t xml:space="preserve"> and </w:t>
      </w:r>
      <w:r w:rsidR="00DB3CF3" w:rsidRPr="002532DF">
        <w:rPr>
          <w:sz w:val="25"/>
          <w:szCs w:val="25"/>
        </w:rPr>
        <w:t>their projected</w:t>
      </w:r>
      <w:r w:rsidR="00DB1FA7" w:rsidRPr="002532DF">
        <w:rPr>
          <w:sz w:val="25"/>
          <w:szCs w:val="25"/>
        </w:rPr>
        <w:t xml:space="preserve"> long-term nominal Gross Domestic Product (GDP) growth</w:t>
      </w:r>
      <w:r w:rsidR="00DE1176" w:rsidRPr="002532DF">
        <w:rPr>
          <w:sz w:val="25"/>
          <w:szCs w:val="25"/>
        </w:rPr>
        <w:t xml:space="preserve">.  The result is an estimated GDP growth rate </w:t>
      </w:r>
      <w:r w:rsidR="00DB1FA7" w:rsidRPr="002532DF">
        <w:rPr>
          <w:sz w:val="25"/>
          <w:szCs w:val="25"/>
        </w:rPr>
        <w:t>of 5.57 percent</w:t>
      </w:r>
      <w:r w:rsidRPr="002532DF">
        <w:rPr>
          <w:sz w:val="25"/>
          <w:szCs w:val="25"/>
        </w:rPr>
        <w:t>.</w:t>
      </w:r>
    </w:p>
    <w:p w:rsidR="0097014B" w:rsidRPr="002532DF" w:rsidRDefault="00696A4A" w:rsidP="00DA751D">
      <w:pPr>
        <w:pStyle w:val="ListParagraph"/>
        <w:numPr>
          <w:ilvl w:val="0"/>
          <w:numId w:val="8"/>
        </w:numPr>
        <w:spacing w:after="240" w:line="276" w:lineRule="auto"/>
        <w:contextualSpacing/>
        <w:rPr>
          <w:sz w:val="25"/>
          <w:szCs w:val="25"/>
        </w:rPr>
      </w:pPr>
      <w:r w:rsidRPr="002532DF">
        <w:rPr>
          <w:sz w:val="25"/>
          <w:szCs w:val="25"/>
        </w:rPr>
        <w:t xml:space="preserve">Constant </w:t>
      </w:r>
      <w:r w:rsidR="00DE1176" w:rsidRPr="002532DF">
        <w:rPr>
          <w:sz w:val="25"/>
          <w:szCs w:val="25"/>
        </w:rPr>
        <w:t>g</w:t>
      </w:r>
      <w:r w:rsidRPr="002532DF">
        <w:rPr>
          <w:sz w:val="25"/>
          <w:szCs w:val="25"/>
        </w:rPr>
        <w:t xml:space="preserve">rowth </w:t>
      </w:r>
      <w:r w:rsidR="00DE1176" w:rsidRPr="002532DF">
        <w:rPr>
          <w:sz w:val="25"/>
          <w:szCs w:val="25"/>
        </w:rPr>
        <w:t xml:space="preserve">using historical data.  This method is based on </w:t>
      </w:r>
      <w:r w:rsidRPr="002532DF">
        <w:rPr>
          <w:sz w:val="25"/>
          <w:szCs w:val="25"/>
        </w:rPr>
        <w:t>up to 60 years</w:t>
      </w:r>
      <w:r w:rsidR="00DE1176" w:rsidRPr="002532DF">
        <w:rPr>
          <w:sz w:val="25"/>
          <w:szCs w:val="25"/>
        </w:rPr>
        <w:t xml:space="preserve"> of GDP data</w:t>
      </w:r>
      <w:r w:rsidRPr="002532DF">
        <w:rPr>
          <w:sz w:val="25"/>
          <w:szCs w:val="25"/>
        </w:rPr>
        <w:t xml:space="preserve"> to project long-term </w:t>
      </w:r>
      <w:r w:rsidR="0097014B" w:rsidRPr="002532DF">
        <w:rPr>
          <w:sz w:val="25"/>
          <w:szCs w:val="25"/>
        </w:rPr>
        <w:t>nominal GDP growth</w:t>
      </w:r>
      <w:r w:rsidR="00DE1176" w:rsidRPr="002532DF">
        <w:rPr>
          <w:sz w:val="25"/>
          <w:szCs w:val="25"/>
        </w:rPr>
        <w:t xml:space="preserve">.  The result is an estimated GDP growth rate </w:t>
      </w:r>
      <w:r w:rsidR="0097014B" w:rsidRPr="002532DF">
        <w:rPr>
          <w:sz w:val="25"/>
          <w:szCs w:val="25"/>
        </w:rPr>
        <w:t>of 6.0 percent.</w:t>
      </w:r>
    </w:p>
    <w:p w:rsidR="002717E5" w:rsidRPr="002532DF" w:rsidRDefault="002717E5" w:rsidP="00DA751D">
      <w:pPr>
        <w:pStyle w:val="ListParagraph"/>
        <w:numPr>
          <w:ilvl w:val="0"/>
          <w:numId w:val="8"/>
        </w:numPr>
        <w:spacing w:after="240" w:line="276" w:lineRule="auto"/>
        <w:contextualSpacing/>
        <w:rPr>
          <w:sz w:val="25"/>
          <w:szCs w:val="25"/>
        </w:rPr>
      </w:pPr>
      <w:r w:rsidRPr="002532DF">
        <w:rPr>
          <w:sz w:val="25"/>
          <w:szCs w:val="25"/>
        </w:rPr>
        <w:t>Multi-</w:t>
      </w:r>
      <w:r w:rsidR="00DE1176" w:rsidRPr="002532DF">
        <w:rPr>
          <w:sz w:val="25"/>
          <w:szCs w:val="25"/>
        </w:rPr>
        <w:t>s</w:t>
      </w:r>
      <w:r w:rsidRPr="002532DF">
        <w:rPr>
          <w:sz w:val="25"/>
          <w:szCs w:val="25"/>
        </w:rPr>
        <w:t xml:space="preserve">tage </w:t>
      </w:r>
      <w:r w:rsidR="00DE1176" w:rsidRPr="002532DF">
        <w:rPr>
          <w:sz w:val="25"/>
          <w:szCs w:val="25"/>
        </w:rPr>
        <w:t>g</w:t>
      </w:r>
      <w:r w:rsidRPr="002532DF">
        <w:rPr>
          <w:sz w:val="25"/>
          <w:szCs w:val="25"/>
        </w:rPr>
        <w:t xml:space="preserve">rowth using </w:t>
      </w:r>
      <w:r w:rsidR="00723E37" w:rsidRPr="002532DF">
        <w:rPr>
          <w:i/>
          <w:sz w:val="25"/>
          <w:szCs w:val="25"/>
        </w:rPr>
        <w:t>Value Line</w:t>
      </w:r>
      <w:r w:rsidR="00DE1176" w:rsidRPr="002532DF">
        <w:rPr>
          <w:sz w:val="25"/>
          <w:szCs w:val="25"/>
        </w:rPr>
        <w:t xml:space="preserve">.  This method uses </w:t>
      </w:r>
      <w:r w:rsidR="00DE1176" w:rsidRPr="002532DF">
        <w:rPr>
          <w:i/>
          <w:sz w:val="25"/>
          <w:szCs w:val="25"/>
        </w:rPr>
        <w:t>Value Line</w:t>
      </w:r>
      <w:r w:rsidR="00723E37" w:rsidRPr="002532DF">
        <w:rPr>
          <w:i/>
          <w:sz w:val="25"/>
          <w:szCs w:val="25"/>
        </w:rPr>
        <w:t>’s</w:t>
      </w:r>
      <w:r w:rsidRPr="002532DF">
        <w:rPr>
          <w:sz w:val="25"/>
          <w:szCs w:val="25"/>
        </w:rPr>
        <w:t xml:space="preserve"> three-to-five year dividend projections in the first stage </w:t>
      </w:r>
      <w:r w:rsidR="00DE1176" w:rsidRPr="002532DF">
        <w:rPr>
          <w:sz w:val="25"/>
          <w:szCs w:val="25"/>
        </w:rPr>
        <w:t xml:space="preserve">in this analysis </w:t>
      </w:r>
      <w:r w:rsidRPr="002532DF">
        <w:rPr>
          <w:sz w:val="25"/>
          <w:szCs w:val="25"/>
        </w:rPr>
        <w:t>and the projected long-term nominal GDP growth rate in the second stage.</w:t>
      </w:r>
      <w:r w:rsidRPr="002532DF">
        <w:rPr>
          <w:rStyle w:val="FootnoteReference"/>
          <w:sz w:val="25"/>
          <w:szCs w:val="25"/>
        </w:rPr>
        <w:t xml:space="preserve"> </w:t>
      </w:r>
      <w:r w:rsidRPr="002532DF">
        <w:rPr>
          <w:rStyle w:val="FootnoteReference"/>
          <w:sz w:val="25"/>
          <w:szCs w:val="25"/>
        </w:rPr>
        <w:footnoteReference w:id="77"/>
      </w:r>
    </w:p>
    <w:p w:rsidR="00F41A5A" w:rsidRPr="002532DF" w:rsidRDefault="00F41A5A" w:rsidP="002717E5">
      <w:pPr>
        <w:spacing w:after="240" w:line="276" w:lineRule="auto"/>
        <w:contextualSpacing/>
        <w:rPr>
          <w:sz w:val="25"/>
          <w:szCs w:val="25"/>
        </w:rPr>
      </w:pPr>
    </w:p>
    <w:p w:rsidR="00E2745D" w:rsidRPr="002532DF" w:rsidRDefault="0064070A" w:rsidP="00AD0B90">
      <w:pPr>
        <w:numPr>
          <w:ilvl w:val="0"/>
          <w:numId w:val="1"/>
        </w:numPr>
        <w:tabs>
          <w:tab w:val="clear" w:pos="720"/>
          <w:tab w:val="num" w:pos="0"/>
        </w:tabs>
        <w:spacing w:line="276" w:lineRule="auto"/>
        <w:ind w:left="0"/>
        <w:rPr>
          <w:b/>
          <w:sz w:val="25"/>
          <w:szCs w:val="25"/>
        </w:rPr>
      </w:pPr>
      <w:r w:rsidRPr="002532DF">
        <w:rPr>
          <w:sz w:val="25"/>
          <w:szCs w:val="25"/>
        </w:rPr>
        <w:t xml:space="preserve">All three versions of the DCF model use </w:t>
      </w:r>
      <w:r w:rsidR="00723E37" w:rsidRPr="002532DF">
        <w:rPr>
          <w:i/>
          <w:sz w:val="25"/>
          <w:szCs w:val="25"/>
        </w:rPr>
        <w:t>Value Line’s</w:t>
      </w:r>
      <w:r w:rsidRPr="002532DF">
        <w:rPr>
          <w:sz w:val="25"/>
          <w:szCs w:val="25"/>
        </w:rPr>
        <w:t xml:space="preserve"> dividend yields computed from </w:t>
      </w:r>
      <w:r w:rsidR="00723E37" w:rsidRPr="002532DF">
        <w:rPr>
          <w:i/>
          <w:sz w:val="25"/>
          <w:szCs w:val="25"/>
        </w:rPr>
        <w:t>Value Line’s</w:t>
      </w:r>
      <w:r w:rsidRPr="002532DF">
        <w:rPr>
          <w:sz w:val="25"/>
          <w:szCs w:val="25"/>
        </w:rPr>
        <w:t xml:space="preserve"> projections of dividends for the coming year.  </w:t>
      </w:r>
      <w:r w:rsidR="00956E1D" w:rsidRPr="002532DF">
        <w:rPr>
          <w:sz w:val="25"/>
          <w:szCs w:val="25"/>
        </w:rPr>
        <w:t xml:space="preserve">The </w:t>
      </w:r>
      <w:r w:rsidR="00DB3CF3" w:rsidRPr="002532DF">
        <w:rPr>
          <w:sz w:val="25"/>
          <w:szCs w:val="25"/>
        </w:rPr>
        <w:t>Company derives</w:t>
      </w:r>
      <w:r w:rsidR="00956E1D" w:rsidRPr="002532DF">
        <w:rPr>
          <w:sz w:val="25"/>
          <w:szCs w:val="25"/>
        </w:rPr>
        <w:t xml:space="preserve"> stock prices</w:t>
      </w:r>
      <w:r w:rsidR="0097014B" w:rsidRPr="002532DF">
        <w:rPr>
          <w:sz w:val="25"/>
          <w:szCs w:val="25"/>
        </w:rPr>
        <w:t xml:space="preserve"> </w:t>
      </w:r>
      <w:r w:rsidRPr="002532DF">
        <w:rPr>
          <w:sz w:val="25"/>
          <w:szCs w:val="25"/>
        </w:rPr>
        <w:t xml:space="preserve">from the three-month average for the months that correspond to the </w:t>
      </w:r>
      <w:r w:rsidR="00723E37" w:rsidRPr="002532DF">
        <w:rPr>
          <w:i/>
          <w:sz w:val="25"/>
          <w:szCs w:val="25"/>
        </w:rPr>
        <w:t>Value Line</w:t>
      </w:r>
      <w:r w:rsidRPr="002532DF">
        <w:rPr>
          <w:sz w:val="25"/>
          <w:szCs w:val="25"/>
        </w:rPr>
        <w:t xml:space="preserve"> editions from which the underlying financial data are taken.</w:t>
      </w:r>
      <w:r w:rsidRPr="002532DF">
        <w:rPr>
          <w:rStyle w:val="FootnoteReference"/>
          <w:sz w:val="25"/>
          <w:szCs w:val="25"/>
        </w:rPr>
        <w:footnoteReference w:id="78"/>
      </w:r>
      <w:r w:rsidRPr="002532DF">
        <w:rPr>
          <w:sz w:val="25"/>
          <w:szCs w:val="25"/>
        </w:rPr>
        <w:t xml:space="preserve">  The Company’s DCF models produce a cost</w:t>
      </w:r>
      <w:r w:rsidR="001E0B05" w:rsidRPr="002532DF">
        <w:rPr>
          <w:sz w:val="25"/>
          <w:szCs w:val="25"/>
        </w:rPr>
        <w:t xml:space="preserve"> </w:t>
      </w:r>
      <w:r w:rsidRPr="002532DF">
        <w:rPr>
          <w:sz w:val="25"/>
          <w:szCs w:val="25"/>
        </w:rPr>
        <w:t>of</w:t>
      </w:r>
      <w:r w:rsidR="001E0B05" w:rsidRPr="002532DF">
        <w:rPr>
          <w:sz w:val="25"/>
          <w:szCs w:val="25"/>
        </w:rPr>
        <w:t xml:space="preserve"> </w:t>
      </w:r>
      <w:r w:rsidRPr="002532DF">
        <w:rPr>
          <w:sz w:val="25"/>
          <w:szCs w:val="25"/>
        </w:rPr>
        <w:t>equity range of 10.40 percent to 10.90 percent</w:t>
      </w:r>
      <w:r w:rsidR="001E0B05" w:rsidRPr="002532DF">
        <w:rPr>
          <w:sz w:val="25"/>
          <w:szCs w:val="25"/>
        </w:rPr>
        <w:t>.</w:t>
      </w:r>
      <w:r w:rsidR="00160B41" w:rsidRPr="002532DF">
        <w:rPr>
          <w:sz w:val="25"/>
          <w:szCs w:val="25"/>
        </w:rPr>
        <w:t xml:space="preserve"> </w:t>
      </w:r>
      <w:r w:rsidR="00EB79AA" w:rsidRPr="002532DF">
        <w:rPr>
          <w:sz w:val="25"/>
          <w:szCs w:val="25"/>
        </w:rPr>
        <w:t xml:space="preserve"> </w:t>
      </w:r>
      <w:r w:rsidR="00160B41" w:rsidRPr="002532DF">
        <w:rPr>
          <w:sz w:val="25"/>
          <w:szCs w:val="25"/>
        </w:rPr>
        <w:t xml:space="preserve">The Company’s proposed 10.6 percent cost of equity is </w:t>
      </w:r>
      <w:r w:rsidR="00956E1D" w:rsidRPr="002532DF">
        <w:rPr>
          <w:sz w:val="25"/>
          <w:szCs w:val="25"/>
        </w:rPr>
        <w:t>near</w:t>
      </w:r>
      <w:r w:rsidR="00160B41" w:rsidRPr="002532DF">
        <w:rPr>
          <w:sz w:val="25"/>
          <w:szCs w:val="25"/>
        </w:rPr>
        <w:t xml:space="preserve"> the middle of this range.</w:t>
      </w:r>
    </w:p>
    <w:p w:rsidR="00E2745D" w:rsidRPr="002532DF" w:rsidRDefault="00E2745D" w:rsidP="00E2745D">
      <w:pPr>
        <w:spacing w:line="276" w:lineRule="auto"/>
        <w:ind w:left="-720"/>
        <w:rPr>
          <w:b/>
          <w:sz w:val="25"/>
          <w:szCs w:val="25"/>
        </w:rPr>
      </w:pPr>
    </w:p>
    <w:p w:rsidR="008A1085" w:rsidRPr="002532DF" w:rsidRDefault="00E2745D" w:rsidP="00AD0B90">
      <w:pPr>
        <w:numPr>
          <w:ilvl w:val="0"/>
          <w:numId w:val="1"/>
        </w:numPr>
        <w:tabs>
          <w:tab w:val="clear" w:pos="720"/>
          <w:tab w:val="num" w:pos="0"/>
        </w:tabs>
        <w:spacing w:line="276" w:lineRule="auto"/>
        <w:ind w:left="0"/>
        <w:rPr>
          <w:b/>
          <w:sz w:val="25"/>
          <w:szCs w:val="25"/>
        </w:rPr>
      </w:pPr>
      <w:r w:rsidRPr="002532DF">
        <w:rPr>
          <w:sz w:val="25"/>
          <w:szCs w:val="25"/>
        </w:rPr>
        <w:t>PacifiCorp’s</w:t>
      </w:r>
      <w:r w:rsidR="0064070A" w:rsidRPr="002532DF">
        <w:rPr>
          <w:sz w:val="25"/>
          <w:szCs w:val="25"/>
        </w:rPr>
        <w:t xml:space="preserve"> </w:t>
      </w:r>
      <w:r w:rsidRPr="002532DF">
        <w:rPr>
          <w:sz w:val="25"/>
          <w:szCs w:val="25"/>
        </w:rPr>
        <w:t>risk premium analysis uses current and projected single-A bond interest rates as the base and adds an equity risk premium.  The Company computes the equity risk premium by first using the average difference between Moody’s average public utility bond yields and authorized electric equity returns from 1980-2009</w:t>
      </w:r>
      <w:r w:rsidR="0097014B" w:rsidRPr="002532DF">
        <w:rPr>
          <w:sz w:val="25"/>
          <w:szCs w:val="25"/>
        </w:rPr>
        <w:t xml:space="preserve"> based on actual commission orders</w:t>
      </w:r>
      <w:r w:rsidRPr="002532DF">
        <w:rPr>
          <w:sz w:val="25"/>
          <w:szCs w:val="25"/>
        </w:rPr>
        <w:t>.  PacifiCorp then adjusts the resulting “basic risk premium” upward for what the Company characterizes as “the strong inverse relationship between equity risk premiums and interest rates” (</w:t>
      </w:r>
      <w:r w:rsidRPr="002532DF">
        <w:rPr>
          <w:i/>
          <w:sz w:val="25"/>
          <w:szCs w:val="25"/>
        </w:rPr>
        <w:t>e.g</w:t>
      </w:r>
      <w:r w:rsidRPr="002532DF">
        <w:rPr>
          <w:sz w:val="25"/>
          <w:szCs w:val="25"/>
        </w:rPr>
        <w:t>., when interest rates are high, risk premiums are low and vice versa).</w:t>
      </w:r>
      <w:r w:rsidRPr="002532DF">
        <w:rPr>
          <w:rStyle w:val="FootnoteReference"/>
          <w:sz w:val="25"/>
          <w:szCs w:val="25"/>
        </w:rPr>
        <w:footnoteReference w:id="79"/>
      </w:r>
      <w:r w:rsidRPr="002532DF">
        <w:rPr>
          <w:sz w:val="25"/>
          <w:szCs w:val="25"/>
        </w:rPr>
        <w:t xml:space="preserve">  The Company’s risk premium analysis results in a </w:t>
      </w:r>
      <w:r w:rsidR="00F41A5A" w:rsidRPr="002532DF">
        <w:rPr>
          <w:sz w:val="25"/>
          <w:szCs w:val="25"/>
        </w:rPr>
        <w:t>ROE</w:t>
      </w:r>
      <w:r w:rsidRPr="002532DF">
        <w:rPr>
          <w:sz w:val="25"/>
          <w:szCs w:val="25"/>
        </w:rPr>
        <w:t xml:space="preserve"> range from 10.38 percent to 10.60 percent.</w:t>
      </w:r>
      <w:r w:rsidR="00160B41" w:rsidRPr="002532DF">
        <w:rPr>
          <w:sz w:val="25"/>
          <w:szCs w:val="25"/>
        </w:rPr>
        <w:t xml:space="preserve">  PacifiCorp’s proposed cost of equity </w:t>
      </w:r>
      <w:r w:rsidR="0097014B" w:rsidRPr="002532DF">
        <w:rPr>
          <w:sz w:val="25"/>
          <w:szCs w:val="25"/>
        </w:rPr>
        <w:t xml:space="preserve">lies at </w:t>
      </w:r>
      <w:r w:rsidR="00160B41" w:rsidRPr="002532DF">
        <w:rPr>
          <w:sz w:val="25"/>
          <w:szCs w:val="25"/>
        </w:rPr>
        <w:t>the top of this range.</w:t>
      </w:r>
    </w:p>
    <w:p w:rsidR="00E2745D" w:rsidRPr="002532DF" w:rsidRDefault="00E2745D" w:rsidP="00E2745D">
      <w:pPr>
        <w:spacing w:line="276" w:lineRule="auto"/>
        <w:ind w:left="-720"/>
        <w:rPr>
          <w:b/>
          <w:sz w:val="25"/>
          <w:szCs w:val="25"/>
        </w:rPr>
      </w:pPr>
    </w:p>
    <w:p w:rsidR="004D334C" w:rsidRPr="002532DF" w:rsidRDefault="004D334C" w:rsidP="00AD0B90">
      <w:pPr>
        <w:numPr>
          <w:ilvl w:val="0"/>
          <w:numId w:val="1"/>
        </w:numPr>
        <w:tabs>
          <w:tab w:val="clear" w:pos="720"/>
          <w:tab w:val="num" w:pos="0"/>
        </w:tabs>
        <w:spacing w:line="276" w:lineRule="auto"/>
        <w:ind w:left="0"/>
        <w:rPr>
          <w:sz w:val="25"/>
          <w:szCs w:val="25"/>
        </w:rPr>
      </w:pPr>
      <w:r w:rsidRPr="002532DF">
        <w:rPr>
          <w:sz w:val="25"/>
          <w:szCs w:val="25"/>
        </w:rPr>
        <w:t>Staff recommends a cost of equity of 9.50 percent based on its DCF analysis, CAPM analysis, and to a lesser degree, a risk premium analysis.  Staff describes the proxy selection process for its DCF analysis as starting with PacifiCorp’s 22-company proxy group and eliminating all but six of the companies because of non-utility revenue, excessive risks exposure, or dissimilar markets.</w:t>
      </w:r>
      <w:r w:rsidRPr="002532DF">
        <w:rPr>
          <w:rStyle w:val="FootnoteReference"/>
          <w:sz w:val="25"/>
          <w:szCs w:val="25"/>
        </w:rPr>
        <w:footnoteReference w:id="80"/>
      </w:r>
      <w:r w:rsidRPr="002532DF">
        <w:rPr>
          <w:sz w:val="25"/>
          <w:szCs w:val="25"/>
        </w:rPr>
        <w:t xml:space="preserve">  Staff argues “a proxy group of twenty-two companies is simply too large and too complex for an </w:t>
      </w:r>
      <w:r w:rsidR="003F2972">
        <w:rPr>
          <w:sz w:val="25"/>
          <w:szCs w:val="25"/>
        </w:rPr>
        <w:t xml:space="preserve">     </w:t>
      </w:r>
      <w:r w:rsidRPr="002532DF">
        <w:rPr>
          <w:sz w:val="25"/>
          <w:szCs w:val="25"/>
        </w:rPr>
        <w:t>investor</w:t>
      </w:r>
      <w:r w:rsidR="00D71D09" w:rsidRPr="002532DF">
        <w:rPr>
          <w:sz w:val="25"/>
          <w:szCs w:val="25"/>
        </w:rPr>
        <w:t xml:space="preserve"> . . . </w:t>
      </w:r>
      <w:r w:rsidRPr="002532DF">
        <w:rPr>
          <w:sz w:val="25"/>
          <w:szCs w:val="25"/>
        </w:rPr>
        <w:t>.”</w:t>
      </w:r>
      <w:r w:rsidRPr="002532DF">
        <w:rPr>
          <w:rStyle w:val="FootnoteReference"/>
          <w:sz w:val="25"/>
          <w:szCs w:val="25"/>
        </w:rPr>
        <w:footnoteReference w:id="81"/>
      </w:r>
      <w:r w:rsidRPr="002532DF">
        <w:rPr>
          <w:sz w:val="25"/>
          <w:szCs w:val="25"/>
        </w:rPr>
        <w:t xml:space="preserve">  Staff’s proxy group excludes all California utilities </w:t>
      </w:r>
      <w:r w:rsidR="009A633B" w:rsidRPr="002532DF">
        <w:rPr>
          <w:sz w:val="25"/>
          <w:szCs w:val="25"/>
        </w:rPr>
        <w:t xml:space="preserve">which it asserts have unreasonably high returns on equity </w:t>
      </w:r>
      <w:r w:rsidRPr="002532DF">
        <w:rPr>
          <w:sz w:val="25"/>
          <w:szCs w:val="25"/>
        </w:rPr>
        <w:t>and adds Avista</w:t>
      </w:r>
      <w:r w:rsidR="009A633B" w:rsidRPr="002532DF">
        <w:rPr>
          <w:sz w:val="25"/>
          <w:szCs w:val="25"/>
        </w:rPr>
        <w:t xml:space="preserve"> which it asserts is a regional company with similar business characteristics</w:t>
      </w:r>
      <w:r w:rsidR="00F46AC8" w:rsidRPr="002532DF">
        <w:rPr>
          <w:sz w:val="25"/>
          <w:szCs w:val="25"/>
        </w:rPr>
        <w:t xml:space="preserve">.  Therefore, Staff’s proxy group consists of </w:t>
      </w:r>
      <w:r w:rsidR="007A7AED" w:rsidRPr="002532DF">
        <w:rPr>
          <w:sz w:val="25"/>
          <w:szCs w:val="25"/>
        </w:rPr>
        <w:t>seven companies</w:t>
      </w:r>
      <w:r w:rsidR="00F46AC8" w:rsidRPr="002532DF">
        <w:rPr>
          <w:sz w:val="25"/>
          <w:szCs w:val="25"/>
        </w:rPr>
        <w:t xml:space="preserve"> compared to the 22-company proxy group used by the Company and ICNU</w:t>
      </w:r>
      <w:r w:rsidRPr="002532DF">
        <w:rPr>
          <w:sz w:val="25"/>
          <w:szCs w:val="25"/>
        </w:rPr>
        <w:t>.</w:t>
      </w:r>
      <w:r w:rsidRPr="002532DF">
        <w:rPr>
          <w:rStyle w:val="FootnoteReference"/>
          <w:sz w:val="25"/>
          <w:szCs w:val="25"/>
        </w:rPr>
        <w:footnoteReference w:id="82"/>
      </w:r>
      <w:r w:rsidRPr="002532DF">
        <w:rPr>
          <w:sz w:val="25"/>
          <w:szCs w:val="25"/>
        </w:rPr>
        <w:t xml:space="preserve"> </w:t>
      </w:r>
    </w:p>
    <w:p w:rsidR="004D334C" w:rsidRPr="002532DF" w:rsidRDefault="004D334C" w:rsidP="004D334C">
      <w:pPr>
        <w:spacing w:line="276" w:lineRule="auto"/>
        <w:rPr>
          <w:sz w:val="25"/>
          <w:szCs w:val="25"/>
        </w:rPr>
      </w:pPr>
    </w:p>
    <w:p w:rsidR="004D334C" w:rsidRPr="002532DF" w:rsidRDefault="004D334C" w:rsidP="00AD0B90">
      <w:pPr>
        <w:numPr>
          <w:ilvl w:val="0"/>
          <w:numId w:val="1"/>
        </w:numPr>
        <w:tabs>
          <w:tab w:val="clear" w:pos="720"/>
          <w:tab w:val="num" w:pos="0"/>
        </w:tabs>
        <w:spacing w:line="276" w:lineRule="auto"/>
        <w:ind w:left="0"/>
        <w:rPr>
          <w:b/>
          <w:sz w:val="25"/>
          <w:szCs w:val="25"/>
        </w:rPr>
      </w:pPr>
      <w:r w:rsidRPr="002532DF">
        <w:rPr>
          <w:sz w:val="25"/>
          <w:szCs w:val="25"/>
        </w:rPr>
        <w:t>Staff primarily relies on its DCF analysis which produces an equity range of 9.00 to 9.75 percent.  Staff’s DCF analysis produces an average dividend yield of 4.63 percent</w:t>
      </w:r>
      <w:r w:rsidR="00F21F83" w:rsidRPr="002532DF">
        <w:rPr>
          <w:sz w:val="25"/>
          <w:szCs w:val="25"/>
        </w:rPr>
        <w:t>,</w:t>
      </w:r>
      <w:r w:rsidRPr="002532DF">
        <w:rPr>
          <w:sz w:val="25"/>
          <w:szCs w:val="25"/>
        </w:rPr>
        <w:t xml:space="preserve"> roughly 20 basis points less than the Company’s estimated average yield of 4.82 percent.  Although Staff’s dividend yield is not materially different from PacifiCorp’s, Staff’s dividend growth estimate produces results that are more than 100 basis points lower than those produced in PacifiCorp’s DCF model.  Staff applies Value Line’s dividend growth rate, makes what it characterizes as “more reasonable” adjustments to three of its proxy companies, and concludes that a “reasonable expectation for dividend growth is 4.7</w:t>
      </w:r>
      <w:r w:rsidR="003E4CD3" w:rsidRPr="002532DF">
        <w:rPr>
          <w:sz w:val="25"/>
          <w:szCs w:val="25"/>
        </w:rPr>
        <w:t>5</w:t>
      </w:r>
      <w:r w:rsidRPr="002532DF">
        <w:rPr>
          <w:sz w:val="25"/>
          <w:szCs w:val="25"/>
        </w:rPr>
        <w:t xml:space="preserve"> percent.”</w:t>
      </w:r>
      <w:r w:rsidRPr="002532DF">
        <w:rPr>
          <w:rStyle w:val="FootnoteReference"/>
          <w:sz w:val="25"/>
          <w:szCs w:val="25"/>
        </w:rPr>
        <w:footnoteReference w:id="83"/>
      </w:r>
    </w:p>
    <w:p w:rsidR="000B43E5" w:rsidRPr="002532DF" w:rsidRDefault="000B43E5" w:rsidP="000B43E5">
      <w:pPr>
        <w:spacing w:line="276" w:lineRule="auto"/>
        <w:ind w:left="-720"/>
        <w:rPr>
          <w:b/>
          <w:sz w:val="25"/>
          <w:szCs w:val="25"/>
        </w:rPr>
      </w:pPr>
    </w:p>
    <w:p w:rsidR="000B43E5" w:rsidRPr="002532DF" w:rsidRDefault="000B43E5" w:rsidP="00AD0B90">
      <w:pPr>
        <w:numPr>
          <w:ilvl w:val="0"/>
          <w:numId w:val="1"/>
        </w:numPr>
        <w:tabs>
          <w:tab w:val="clear" w:pos="720"/>
          <w:tab w:val="num" w:pos="0"/>
        </w:tabs>
        <w:spacing w:line="276" w:lineRule="auto"/>
        <w:ind w:left="0"/>
        <w:rPr>
          <w:b/>
          <w:sz w:val="25"/>
          <w:szCs w:val="25"/>
        </w:rPr>
      </w:pPr>
      <w:r w:rsidRPr="002532DF">
        <w:rPr>
          <w:sz w:val="25"/>
          <w:szCs w:val="25"/>
        </w:rPr>
        <w:t>Staff uses the CAPM method as a “check” of its DCF analysis but argues that its results should be used with considerable caution because each element of the CAPM formula is difficult to measure, there is a presumption that the “past is indicative of the future,</w:t>
      </w:r>
      <w:r w:rsidR="00B50510" w:rsidRPr="002532DF">
        <w:rPr>
          <w:sz w:val="25"/>
          <w:szCs w:val="25"/>
        </w:rPr>
        <w:t>”</w:t>
      </w:r>
      <w:r w:rsidRPr="002532DF">
        <w:rPr>
          <w:sz w:val="25"/>
          <w:szCs w:val="25"/>
        </w:rPr>
        <w:t xml:space="preserve"> and the variables of the model are unrelated to the proxy group.</w:t>
      </w:r>
      <w:r w:rsidRPr="002532DF">
        <w:rPr>
          <w:rStyle w:val="FootnoteReference"/>
          <w:sz w:val="25"/>
          <w:szCs w:val="25"/>
        </w:rPr>
        <w:footnoteReference w:id="84"/>
      </w:r>
      <w:r w:rsidRPr="002532DF">
        <w:rPr>
          <w:sz w:val="25"/>
          <w:szCs w:val="25"/>
        </w:rPr>
        <w:t xml:space="preserve">  Staff’s CAPM analysis results in a cost of equity range from 8.30 to 9.70 percent with an average of 9.00 percent.</w:t>
      </w:r>
      <w:r w:rsidRPr="002532DF">
        <w:rPr>
          <w:rStyle w:val="FootnoteReference"/>
          <w:sz w:val="25"/>
          <w:szCs w:val="25"/>
        </w:rPr>
        <w:footnoteReference w:id="85"/>
      </w:r>
    </w:p>
    <w:p w:rsidR="009E0E4F" w:rsidRPr="002532DF" w:rsidRDefault="009E0E4F" w:rsidP="00AD0B90">
      <w:pPr>
        <w:spacing w:line="276" w:lineRule="auto"/>
        <w:rPr>
          <w:b/>
          <w:sz w:val="25"/>
          <w:szCs w:val="25"/>
        </w:rPr>
      </w:pPr>
    </w:p>
    <w:p w:rsidR="009E0E4F" w:rsidRPr="002532DF" w:rsidRDefault="009E0E4F" w:rsidP="00AD0B90">
      <w:pPr>
        <w:numPr>
          <w:ilvl w:val="0"/>
          <w:numId w:val="1"/>
        </w:numPr>
        <w:tabs>
          <w:tab w:val="clear" w:pos="720"/>
          <w:tab w:val="num" w:pos="0"/>
        </w:tabs>
        <w:spacing w:line="276" w:lineRule="auto"/>
        <w:ind w:left="0"/>
        <w:rPr>
          <w:sz w:val="25"/>
          <w:szCs w:val="25"/>
        </w:rPr>
      </w:pPr>
      <w:r w:rsidRPr="002532DF">
        <w:rPr>
          <w:sz w:val="25"/>
          <w:szCs w:val="25"/>
        </w:rPr>
        <w:t xml:space="preserve">Although Staff </w:t>
      </w:r>
      <w:r w:rsidR="00F46AC8" w:rsidRPr="002532DF">
        <w:rPr>
          <w:sz w:val="25"/>
          <w:szCs w:val="25"/>
        </w:rPr>
        <w:t xml:space="preserve">does </w:t>
      </w:r>
      <w:r w:rsidRPr="002532DF">
        <w:rPr>
          <w:sz w:val="25"/>
          <w:szCs w:val="25"/>
        </w:rPr>
        <w:t xml:space="preserve">not advocate </w:t>
      </w:r>
      <w:r w:rsidR="00F46AC8" w:rsidRPr="002532DF">
        <w:rPr>
          <w:sz w:val="25"/>
          <w:szCs w:val="25"/>
        </w:rPr>
        <w:t xml:space="preserve">strongly for </w:t>
      </w:r>
      <w:r w:rsidR="005F7503" w:rsidRPr="002532DF">
        <w:rPr>
          <w:sz w:val="25"/>
          <w:szCs w:val="25"/>
        </w:rPr>
        <w:t>its risk</w:t>
      </w:r>
      <w:r w:rsidRPr="002532DF">
        <w:rPr>
          <w:sz w:val="25"/>
          <w:szCs w:val="25"/>
        </w:rPr>
        <w:t xml:space="preserve"> premium analysis, it </w:t>
      </w:r>
      <w:r w:rsidR="00F46AC8" w:rsidRPr="002532DF">
        <w:rPr>
          <w:sz w:val="25"/>
          <w:szCs w:val="25"/>
        </w:rPr>
        <w:t xml:space="preserve">calculates a </w:t>
      </w:r>
      <w:r w:rsidR="005F7503" w:rsidRPr="002532DF">
        <w:rPr>
          <w:sz w:val="25"/>
          <w:szCs w:val="25"/>
        </w:rPr>
        <w:t>variant of</w:t>
      </w:r>
      <w:r w:rsidRPr="002532DF">
        <w:rPr>
          <w:sz w:val="25"/>
          <w:szCs w:val="25"/>
        </w:rPr>
        <w:t xml:space="preserve"> this method as a second “check” of its DCF analysis.</w:t>
      </w:r>
      <w:r w:rsidRPr="002532DF">
        <w:rPr>
          <w:rStyle w:val="FootnoteReference"/>
          <w:sz w:val="25"/>
          <w:szCs w:val="25"/>
        </w:rPr>
        <w:footnoteReference w:id="86"/>
      </w:r>
      <w:r w:rsidRPr="002532DF">
        <w:rPr>
          <w:sz w:val="25"/>
          <w:szCs w:val="25"/>
        </w:rPr>
        <w:t xml:space="preserve">  Staff describes the risk premium method as the difference between a long-term debt coupon rate and </w:t>
      </w:r>
      <w:r w:rsidR="00F46AC8" w:rsidRPr="002532DF">
        <w:rPr>
          <w:sz w:val="25"/>
          <w:szCs w:val="25"/>
        </w:rPr>
        <w:t xml:space="preserve">its estimated equity risk </w:t>
      </w:r>
      <w:r w:rsidR="005F7503" w:rsidRPr="002532DF">
        <w:rPr>
          <w:sz w:val="25"/>
          <w:szCs w:val="25"/>
        </w:rPr>
        <w:t>premium arguing</w:t>
      </w:r>
      <w:r w:rsidRPr="002532DF">
        <w:rPr>
          <w:sz w:val="25"/>
          <w:szCs w:val="25"/>
        </w:rPr>
        <w:t xml:space="preserve"> that the “magnitude of the [risk premium] spread” shows the reasonableness </w:t>
      </w:r>
      <w:r w:rsidR="00F46AC8" w:rsidRPr="002532DF">
        <w:rPr>
          <w:sz w:val="25"/>
          <w:szCs w:val="25"/>
        </w:rPr>
        <w:t xml:space="preserve">its recommended </w:t>
      </w:r>
      <w:r w:rsidRPr="002532DF">
        <w:rPr>
          <w:sz w:val="25"/>
          <w:szCs w:val="25"/>
        </w:rPr>
        <w:t>return on equity. Staff computes PacifiCorp’s spread at 453 basis points, which it argues represents “excessive compensation” for equity owners.</w:t>
      </w:r>
      <w:r w:rsidRPr="002532DF">
        <w:rPr>
          <w:rStyle w:val="FootnoteReference"/>
          <w:sz w:val="25"/>
          <w:szCs w:val="25"/>
        </w:rPr>
        <w:footnoteReference w:id="87"/>
      </w:r>
      <w:r w:rsidRPr="002532DF">
        <w:rPr>
          <w:sz w:val="25"/>
          <w:szCs w:val="25"/>
        </w:rPr>
        <w:t xml:space="preserve">  Staff contends that the 300 to 375 basis point risk premium spread reflected in its recommended DCF return of 9.00 to 9.75 percent is adequate compensation in today’s capital markets.</w:t>
      </w:r>
      <w:r w:rsidRPr="002532DF">
        <w:rPr>
          <w:rStyle w:val="FootnoteReference"/>
          <w:sz w:val="25"/>
          <w:szCs w:val="25"/>
        </w:rPr>
        <w:footnoteReference w:id="88"/>
      </w:r>
      <w:r w:rsidRPr="002532DF">
        <w:rPr>
          <w:sz w:val="25"/>
          <w:szCs w:val="25"/>
        </w:rPr>
        <w:t xml:space="preserve">   </w:t>
      </w:r>
    </w:p>
    <w:p w:rsidR="009E0E4F" w:rsidRPr="002532DF" w:rsidRDefault="009E0E4F" w:rsidP="009E0E4F">
      <w:pPr>
        <w:spacing w:line="276" w:lineRule="auto"/>
        <w:ind w:left="-720"/>
        <w:rPr>
          <w:sz w:val="25"/>
          <w:szCs w:val="25"/>
        </w:rPr>
      </w:pPr>
    </w:p>
    <w:p w:rsidR="009E0E4F" w:rsidRPr="002532DF" w:rsidRDefault="009E0E4F" w:rsidP="00AD0B90">
      <w:pPr>
        <w:numPr>
          <w:ilvl w:val="0"/>
          <w:numId w:val="1"/>
        </w:numPr>
        <w:tabs>
          <w:tab w:val="clear" w:pos="720"/>
          <w:tab w:val="num" w:pos="0"/>
        </w:tabs>
        <w:spacing w:line="276" w:lineRule="auto"/>
        <w:ind w:left="0"/>
        <w:rPr>
          <w:sz w:val="25"/>
          <w:szCs w:val="25"/>
        </w:rPr>
      </w:pPr>
      <w:r w:rsidRPr="002532DF">
        <w:rPr>
          <w:sz w:val="25"/>
          <w:szCs w:val="25"/>
        </w:rPr>
        <w:t xml:space="preserve">Staff concludes that its </w:t>
      </w:r>
      <w:r w:rsidR="00F46AC8" w:rsidRPr="002532DF">
        <w:rPr>
          <w:sz w:val="25"/>
          <w:szCs w:val="25"/>
        </w:rPr>
        <w:t xml:space="preserve">mid-point </w:t>
      </w:r>
      <w:r w:rsidRPr="002532DF">
        <w:rPr>
          <w:sz w:val="25"/>
          <w:szCs w:val="25"/>
        </w:rPr>
        <w:t xml:space="preserve">recommendation </w:t>
      </w:r>
      <w:r w:rsidR="007D2AA2" w:rsidRPr="002532DF">
        <w:rPr>
          <w:sz w:val="25"/>
          <w:szCs w:val="25"/>
        </w:rPr>
        <w:t xml:space="preserve">of </w:t>
      </w:r>
      <w:r w:rsidRPr="002532DF">
        <w:rPr>
          <w:sz w:val="25"/>
          <w:szCs w:val="25"/>
        </w:rPr>
        <w:t>9.50 percent</w:t>
      </w:r>
      <w:r w:rsidR="00F46AC8" w:rsidRPr="002532DF">
        <w:rPr>
          <w:sz w:val="25"/>
          <w:szCs w:val="25"/>
        </w:rPr>
        <w:t xml:space="preserve"> based primarily on the DCF analysis</w:t>
      </w:r>
      <w:r w:rsidRPr="002532DF">
        <w:rPr>
          <w:sz w:val="25"/>
          <w:szCs w:val="25"/>
        </w:rPr>
        <w:t xml:space="preserve">, is reasonable and corroborated by its </w:t>
      </w:r>
      <w:r w:rsidR="00F46AC8" w:rsidRPr="002532DF">
        <w:rPr>
          <w:sz w:val="25"/>
          <w:szCs w:val="25"/>
        </w:rPr>
        <w:t xml:space="preserve">respective calculations using the </w:t>
      </w:r>
      <w:r w:rsidRPr="002532DF">
        <w:rPr>
          <w:sz w:val="25"/>
          <w:szCs w:val="25"/>
        </w:rPr>
        <w:t>CAPM and risk premium analyses.</w:t>
      </w:r>
      <w:r w:rsidRPr="002532DF">
        <w:rPr>
          <w:rStyle w:val="FootnoteReference"/>
          <w:sz w:val="25"/>
          <w:szCs w:val="25"/>
        </w:rPr>
        <w:footnoteReference w:id="89"/>
      </w:r>
      <w:r w:rsidRPr="002532DF">
        <w:rPr>
          <w:sz w:val="25"/>
          <w:szCs w:val="25"/>
        </w:rPr>
        <w:t xml:space="preserve">  </w:t>
      </w:r>
    </w:p>
    <w:p w:rsidR="009E0E4F" w:rsidRPr="002532DF" w:rsidRDefault="009E0E4F" w:rsidP="009E0E4F">
      <w:pPr>
        <w:spacing w:line="276" w:lineRule="auto"/>
        <w:ind w:left="-720"/>
        <w:rPr>
          <w:sz w:val="25"/>
          <w:szCs w:val="25"/>
        </w:rPr>
      </w:pPr>
    </w:p>
    <w:p w:rsidR="009E0E4F" w:rsidRPr="002532DF" w:rsidRDefault="009E0E4F" w:rsidP="00AD0B90">
      <w:pPr>
        <w:numPr>
          <w:ilvl w:val="0"/>
          <w:numId w:val="1"/>
        </w:numPr>
        <w:tabs>
          <w:tab w:val="clear" w:pos="720"/>
          <w:tab w:val="num" w:pos="0"/>
        </w:tabs>
        <w:spacing w:line="276" w:lineRule="auto"/>
        <w:ind w:left="0"/>
        <w:rPr>
          <w:sz w:val="25"/>
          <w:szCs w:val="25"/>
        </w:rPr>
      </w:pPr>
      <w:r w:rsidRPr="002532DF">
        <w:rPr>
          <w:sz w:val="25"/>
          <w:szCs w:val="25"/>
        </w:rPr>
        <w:t>ICNU also recommends a 9.5</w:t>
      </w:r>
      <w:r w:rsidR="00F41A5A" w:rsidRPr="002532DF">
        <w:rPr>
          <w:sz w:val="25"/>
          <w:szCs w:val="25"/>
        </w:rPr>
        <w:t>0</w:t>
      </w:r>
      <w:r w:rsidRPr="002532DF">
        <w:rPr>
          <w:sz w:val="25"/>
          <w:szCs w:val="25"/>
        </w:rPr>
        <w:t xml:space="preserve"> percent cost of equity</w:t>
      </w:r>
      <w:r w:rsidR="000B43E5" w:rsidRPr="002532DF">
        <w:rPr>
          <w:sz w:val="25"/>
          <w:szCs w:val="25"/>
        </w:rPr>
        <w:t>.</w:t>
      </w:r>
      <w:r w:rsidRPr="002532DF">
        <w:rPr>
          <w:sz w:val="25"/>
          <w:szCs w:val="25"/>
        </w:rPr>
        <w:t xml:space="preserve">  ICNU uses three forms of the DCF analysis: the constant growth model, sustainable growth model, and the multi-stage growth model</w:t>
      </w:r>
      <w:r w:rsidR="00643B5B" w:rsidRPr="002532DF">
        <w:rPr>
          <w:sz w:val="25"/>
          <w:szCs w:val="25"/>
        </w:rPr>
        <w:t>,</w:t>
      </w:r>
      <w:r w:rsidRPr="002532DF">
        <w:rPr>
          <w:sz w:val="25"/>
          <w:szCs w:val="25"/>
        </w:rPr>
        <w:t xml:space="preserve"> along with </w:t>
      </w:r>
      <w:r w:rsidR="00643B5B" w:rsidRPr="002532DF">
        <w:rPr>
          <w:sz w:val="25"/>
          <w:szCs w:val="25"/>
        </w:rPr>
        <w:t xml:space="preserve">a </w:t>
      </w:r>
      <w:r w:rsidRPr="002532DF">
        <w:rPr>
          <w:sz w:val="25"/>
          <w:szCs w:val="25"/>
        </w:rPr>
        <w:t>risk premium analysis, and the CAPM model.</w:t>
      </w:r>
      <w:r w:rsidRPr="002532DF">
        <w:rPr>
          <w:rStyle w:val="FootnoteReference"/>
          <w:sz w:val="25"/>
          <w:szCs w:val="25"/>
        </w:rPr>
        <w:footnoteReference w:id="90"/>
      </w:r>
      <w:r w:rsidRPr="002532DF">
        <w:rPr>
          <w:sz w:val="25"/>
          <w:szCs w:val="25"/>
        </w:rPr>
        <w:t xml:space="preserve"> </w:t>
      </w:r>
      <w:r w:rsidR="000B43E5" w:rsidRPr="002532DF">
        <w:rPr>
          <w:sz w:val="25"/>
          <w:szCs w:val="25"/>
        </w:rPr>
        <w:t xml:space="preserve"> ICNU’s recommendation is the mid-point of the 8.9 percent to 10.3 percent range produced by its three analytic approaches.</w:t>
      </w:r>
    </w:p>
    <w:p w:rsidR="009E0E4F" w:rsidRPr="002532DF" w:rsidRDefault="009E0E4F" w:rsidP="009E0E4F">
      <w:pPr>
        <w:spacing w:line="276" w:lineRule="auto"/>
        <w:ind w:left="-720"/>
        <w:rPr>
          <w:sz w:val="25"/>
          <w:szCs w:val="25"/>
        </w:rPr>
      </w:pPr>
    </w:p>
    <w:p w:rsidR="009E0E4F" w:rsidRPr="002532DF" w:rsidRDefault="00643B5B" w:rsidP="00AD0B90">
      <w:pPr>
        <w:numPr>
          <w:ilvl w:val="0"/>
          <w:numId w:val="1"/>
        </w:numPr>
        <w:tabs>
          <w:tab w:val="clear" w:pos="720"/>
          <w:tab w:val="num" w:pos="0"/>
        </w:tabs>
        <w:spacing w:line="276" w:lineRule="auto"/>
        <w:ind w:left="0"/>
        <w:rPr>
          <w:sz w:val="25"/>
          <w:szCs w:val="25"/>
        </w:rPr>
      </w:pPr>
      <w:r w:rsidRPr="002532DF">
        <w:rPr>
          <w:sz w:val="25"/>
          <w:szCs w:val="25"/>
        </w:rPr>
        <w:t xml:space="preserve">In its DCF analysis, </w:t>
      </w:r>
      <w:r w:rsidR="009E0E4F" w:rsidRPr="002532DF">
        <w:rPr>
          <w:sz w:val="25"/>
          <w:szCs w:val="25"/>
        </w:rPr>
        <w:t xml:space="preserve">ICNU uses </w:t>
      </w:r>
      <w:r w:rsidR="000A4701" w:rsidRPr="002532DF">
        <w:rPr>
          <w:sz w:val="25"/>
          <w:szCs w:val="25"/>
        </w:rPr>
        <w:t>the same</w:t>
      </w:r>
      <w:r w:rsidR="009E0E4F" w:rsidRPr="002532DF">
        <w:rPr>
          <w:sz w:val="25"/>
          <w:szCs w:val="25"/>
        </w:rPr>
        <w:t xml:space="preserve"> proxy group </w:t>
      </w:r>
      <w:r w:rsidRPr="002532DF">
        <w:rPr>
          <w:sz w:val="25"/>
          <w:szCs w:val="25"/>
        </w:rPr>
        <w:t xml:space="preserve">of 22 companies </w:t>
      </w:r>
      <w:r w:rsidR="000A4701" w:rsidRPr="002532DF">
        <w:rPr>
          <w:sz w:val="25"/>
          <w:szCs w:val="25"/>
        </w:rPr>
        <w:t xml:space="preserve">as that of the </w:t>
      </w:r>
      <w:r w:rsidR="00DB3CF3" w:rsidRPr="002532DF">
        <w:rPr>
          <w:sz w:val="25"/>
          <w:szCs w:val="25"/>
        </w:rPr>
        <w:t>Company</w:t>
      </w:r>
      <w:r w:rsidRPr="002532DF">
        <w:rPr>
          <w:sz w:val="25"/>
          <w:szCs w:val="25"/>
        </w:rPr>
        <w:t>, noting that, compared to the proxy group, PacifiCorp has “</w:t>
      </w:r>
      <w:r w:rsidR="009E0E4F" w:rsidRPr="002532DF">
        <w:rPr>
          <w:sz w:val="25"/>
          <w:szCs w:val="25"/>
        </w:rPr>
        <w:t>comparable  total investment risk,</w:t>
      </w:r>
      <w:r w:rsidRPr="002532DF">
        <w:rPr>
          <w:sz w:val="25"/>
          <w:szCs w:val="25"/>
        </w:rPr>
        <w:t xml:space="preserve">” and “comparable or lower financial risk.”  Both PacifiCorp and the proxy </w:t>
      </w:r>
      <w:r w:rsidR="00DB3CF3" w:rsidRPr="002532DF">
        <w:rPr>
          <w:sz w:val="25"/>
          <w:szCs w:val="25"/>
        </w:rPr>
        <w:t>group</w:t>
      </w:r>
      <w:r w:rsidRPr="002532DF">
        <w:rPr>
          <w:sz w:val="25"/>
          <w:szCs w:val="25"/>
        </w:rPr>
        <w:t xml:space="preserve"> have an “Excellent” business risk profile</w:t>
      </w:r>
      <w:r w:rsidR="0026638B" w:rsidRPr="002532DF">
        <w:rPr>
          <w:sz w:val="25"/>
          <w:szCs w:val="25"/>
        </w:rPr>
        <w:t>, according to Standard &amp; Poor’s ranking methodology</w:t>
      </w:r>
      <w:r w:rsidR="009E0E4F" w:rsidRPr="002532DF">
        <w:rPr>
          <w:sz w:val="25"/>
          <w:szCs w:val="25"/>
        </w:rPr>
        <w:t>.</w:t>
      </w:r>
      <w:r w:rsidR="009E0E4F" w:rsidRPr="002532DF">
        <w:rPr>
          <w:rStyle w:val="FootnoteReference"/>
          <w:sz w:val="25"/>
          <w:szCs w:val="25"/>
        </w:rPr>
        <w:footnoteReference w:id="91"/>
      </w:r>
      <w:r w:rsidR="009E0E4F" w:rsidRPr="002532DF">
        <w:rPr>
          <w:sz w:val="25"/>
          <w:szCs w:val="25"/>
        </w:rPr>
        <w:t xml:space="preserve">  </w:t>
      </w:r>
    </w:p>
    <w:p w:rsidR="009E0E4F" w:rsidRPr="002532DF" w:rsidRDefault="009E0E4F" w:rsidP="009E0E4F">
      <w:pPr>
        <w:spacing w:line="276" w:lineRule="auto"/>
        <w:ind w:left="-720"/>
        <w:rPr>
          <w:sz w:val="25"/>
          <w:szCs w:val="25"/>
        </w:rPr>
      </w:pPr>
    </w:p>
    <w:p w:rsidR="009E0E4F" w:rsidRPr="002532DF" w:rsidRDefault="009E0E4F" w:rsidP="00AD0B90">
      <w:pPr>
        <w:numPr>
          <w:ilvl w:val="0"/>
          <w:numId w:val="1"/>
        </w:numPr>
        <w:tabs>
          <w:tab w:val="clear" w:pos="720"/>
          <w:tab w:val="num" w:pos="0"/>
        </w:tabs>
        <w:spacing w:line="276" w:lineRule="auto"/>
        <w:ind w:left="0"/>
        <w:rPr>
          <w:sz w:val="25"/>
          <w:szCs w:val="25"/>
        </w:rPr>
      </w:pPr>
      <w:r w:rsidRPr="002532DF">
        <w:rPr>
          <w:sz w:val="25"/>
          <w:szCs w:val="25"/>
        </w:rPr>
        <w:t>ICNU’s “analys</w:t>
      </w:r>
      <w:r w:rsidR="0026638B" w:rsidRPr="002532DF">
        <w:rPr>
          <w:sz w:val="25"/>
          <w:szCs w:val="25"/>
        </w:rPr>
        <w:t>t</w:t>
      </w:r>
      <w:r w:rsidRPr="002532DF">
        <w:rPr>
          <w:sz w:val="25"/>
          <w:szCs w:val="25"/>
        </w:rPr>
        <w:t xml:space="preserve"> growth” approach based on the constant-growth DCF model produces a cost of equity range from 10.45 percent (average) to 10.50 percent (median).  </w:t>
      </w:r>
      <w:r w:rsidR="0026638B" w:rsidRPr="002532DF">
        <w:rPr>
          <w:sz w:val="25"/>
          <w:szCs w:val="25"/>
        </w:rPr>
        <w:t>A</w:t>
      </w:r>
      <w:r w:rsidRPr="002532DF">
        <w:rPr>
          <w:sz w:val="25"/>
          <w:szCs w:val="25"/>
        </w:rPr>
        <w:t>ccept</w:t>
      </w:r>
      <w:r w:rsidR="0026638B" w:rsidRPr="002532DF">
        <w:rPr>
          <w:sz w:val="25"/>
          <w:szCs w:val="25"/>
        </w:rPr>
        <w:t>ing</w:t>
      </w:r>
      <w:r w:rsidRPr="002532DF">
        <w:rPr>
          <w:sz w:val="25"/>
          <w:szCs w:val="25"/>
        </w:rPr>
        <w:t xml:space="preserve"> the embedded growth rate of 5.67 percent in its analysis, it contends that this growth rate is not sustainable because it exceeds the overall expected economic growth rate of 5.10 percent over the next five years.</w:t>
      </w:r>
      <w:r w:rsidRPr="002532DF">
        <w:rPr>
          <w:rStyle w:val="FootnoteReference"/>
          <w:sz w:val="25"/>
          <w:szCs w:val="25"/>
        </w:rPr>
        <w:footnoteReference w:id="92"/>
      </w:r>
      <w:r w:rsidRPr="002532DF">
        <w:rPr>
          <w:sz w:val="25"/>
          <w:szCs w:val="25"/>
        </w:rPr>
        <w:t xml:space="preserve"> </w:t>
      </w:r>
      <w:r w:rsidR="0026638B" w:rsidRPr="002532DF">
        <w:rPr>
          <w:sz w:val="25"/>
          <w:szCs w:val="25"/>
        </w:rPr>
        <w:t xml:space="preserve"> However, ICNU cautions that this approach leads to a result that is “inflated” because short-term analyst growth rate projections are not reasonable estimates of long-term sustainable growth.</w:t>
      </w:r>
      <w:r w:rsidR="0026638B" w:rsidRPr="002532DF">
        <w:rPr>
          <w:rStyle w:val="FootnoteReference"/>
          <w:sz w:val="25"/>
          <w:szCs w:val="25"/>
        </w:rPr>
        <w:footnoteReference w:id="93"/>
      </w:r>
      <w:r w:rsidR="0026638B" w:rsidRPr="002532DF">
        <w:rPr>
          <w:sz w:val="25"/>
          <w:szCs w:val="25"/>
        </w:rPr>
        <w:br/>
      </w:r>
    </w:p>
    <w:p w:rsidR="009E0E4F" w:rsidRPr="002532DF" w:rsidRDefault="009E0E4F" w:rsidP="00AD0B90">
      <w:pPr>
        <w:numPr>
          <w:ilvl w:val="0"/>
          <w:numId w:val="1"/>
        </w:numPr>
        <w:tabs>
          <w:tab w:val="clear" w:pos="720"/>
          <w:tab w:val="num" w:pos="0"/>
        </w:tabs>
        <w:spacing w:line="276" w:lineRule="auto"/>
        <w:ind w:left="0"/>
        <w:rPr>
          <w:sz w:val="25"/>
          <w:szCs w:val="25"/>
        </w:rPr>
      </w:pPr>
      <w:r w:rsidRPr="002532DF">
        <w:rPr>
          <w:sz w:val="25"/>
          <w:szCs w:val="25"/>
        </w:rPr>
        <w:t xml:space="preserve">ICNU’s </w:t>
      </w:r>
      <w:r w:rsidR="00033545" w:rsidRPr="002532DF">
        <w:rPr>
          <w:sz w:val="25"/>
          <w:szCs w:val="25"/>
        </w:rPr>
        <w:t>s</w:t>
      </w:r>
      <w:r w:rsidRPr="002532DF">
        <w:rPr>
          <w:sz w:val="25"/>
          <w:szCs w:val="25"/>
        </w:rPr>
        <w:t>ustainable-</w:t>
      </w:r>
      <w:r w:rsidR="00033545" w:rsidRPr="002532DF">
        <w:rPr>
          <w:sz w:val="25"/>
          <w:szCs w:val="25"/>
        </w:rPr>
        <w:t>g</w:t>
      </w:r>
      <w:r w:rsidRPr="002532DF">
        <w:rPr>
          <w:sz w:val="25"/>
          <w:szCs w:val="25"/>
        </w:rPr>
        <w:t xml:space="preserve">rowth DCF approach produces a </w:t>
      </w:r>
      <w:r w:rsidR="0026638B" w:rsidRPr="002532DF">
        <w:rPr>
          <w:sz w:val="25"/>
          <w:szCs w:val="25"/>
        </w:rPr>
        <w:t xml:space="preserve">lower result than the “analyst growth” method; taking the median, the </w:t>
      </w:r>
      <w:r w:rsidRPr="002532DF">
        <w:rPr>
          <w:sz w:val="25"/>
          <w:szCs w:val="25"/>
        </w:rPr>
        <w:t xml:space="preserve">cost of equity range </w:t>
      </w:r>
      <w:r w:rsidR="0026638B" w:rsidRPr="002532DF">
        <w:rPr>
          <w:sz w:val="25"/>
          <w:szCs w:val="25"/>
        </w:rPr>
        <w:t xml:space="preserve">is </w:t>
      </w:r>
      <w:r w:rsidRPr="002532DF">
        <w:rPr>
          <w:sz w:val="25"/>
          <w:szCs w:val="25"/>
        </w:rPr>
        <w:t>from 9.14 percent</w:t>
      </w:r>
      <w:r w:rsidR="0026638B" w:rsidRPr="002532DF">
        <w:rPr>
          <w:sz w:val="25"/>
          <w:szCs w:val="25"/>
        </w:rPr>
        <w:t>; and taking the mean, it is</w:t>
      </w:r>
      <w:r w:rsidRPr="002532DF">
        <w:rPr>
          <w:sz w:val="25"/>
          <w:szCs w:val="25"/>
        </w:rPr>
        <w:t xml:space="preserve"> 9.92 percent (average).  ICNU argues </w:t>
      </w:r>
      <w:r w:rsidR="00DB3CF3" w:rsidRPr="002532DF">
        <w:rPr>
          <w:sz w:val="25"/>
          <w:szCs w:val="25"/>
        </w:rPr>
        <w:t>that because</w:t>
      </w:r>
      <w:r w:rsidRPr="002532DF">
        <w:rPr>
          <w:sz w:val="25"/>
          <w:szCs w:val="25"/>
        </w:rPr>
        <w:t xml:space="preserve"> the proxy group includes an “outlier” with a return on equity of 19.14 percent, </w:t>
      </w:r>
      <w:r w:rsidR="0026638B" w:rsidRPr="002532DF">
        <w:rPr>
          <w:sz w:val="25"/>
          <w:szCs w:val="25"/>
        </w:rPr>
        <w:t xml:space="preserve">it is more reasonable to </w:t>
      </w:r>
      <w:r w:rsidR="00DB3CF3" w:rsidRPr="002532DF">
        <w:rPr>
          <w:sz w:val="25"/>
          <w:szCs w:val="25"/>
        </w:rPr>
        <w:t>use the</w:t>
      </w:r>
      <w:r w:rsidRPr="002532DF">
        <w:rPr>
          <w:sz w:val="25"/>
          <w:szCs w:val="25"/>
        </w:rPr>
        <w:t xml:space="preserve"> median result.</w:t>
      </w:r>
      <w:r w:rsidRPr="002532DF">
        <w:rPr>
          <w:rStyle w:val="FootnoteReference"/>
          <w:sz w:val="25"/>
          <w:szCs w:val="25"/>
        </w:rPr>
        <w:footnoteReference w:id="94"/>
      </w:r>
      <w:r w:rsidRPr="002532DF">
        <w:rPr>
          <w:sz w:val="25"/>
          <w:szCs w:val="25"/>
        </w:rPr>
        <w:t xml:space="preserve">  </w:t>
      </w:r>
      <w:r w:rsidR="004305BD" w:rsidRPr="002532DF">
        <w:rPr>
          <w:sz w:val="25"/>
          <w:szCs w:val="25"/>
        </w:rPr>
        <w:t>W</w:t>
      </w:r>
      <w:r w:rsidRPr="002532DF">
        <w:rPr>
          <w:sz w:val="25"/>
          <w:szCs w:val="25"/>
        </w:rPr>
        <w:t xml:space="preserve">ithout the outlier, the </w:t>
      </w:r>
      <w:r w:rsidR="004305BD" w:rsidRPr="002532DF">
        <w:rPr>
          <w:sz w:val="25"/>
          <w:szCs w:val="25"/>
        </w:rPr>
        <w:t>mean</w:t>
      </w:r>
      <w:r w:rsidRPr="002532DF">
        <w:rPr>
          <w:sz w:val="25"/>
          <w:szCs w:val="25"/>
        </w:rPr>
        <w:t xml:space="preserve"> return </w:t>
      </w:r>
      <w:r w:rsidR="00033545" w:rsidRPr="002532DF">
        <w:rPr>
          <w:sz w:val="25"/>
          <w:szCs w:val="25"/>
        </w:rPr>
        <w:t>w</w:t>
      </w:r>
      <w:r w:rsidRPr="002532DF">
        <w:rPr>
          <w:sz w:val="25"/>
          <w:szCs w:val="25"/>
        </w:rPr>
        <w:t xml:space="preserve">ould be 9.48 percent. </w:t>
      </w:r>
      <w:r w:rsidRPr="002532DF">
        <w:rPr>
          <w:rStyle w:val="FootnoteReference"/>
          <w:sz w:val="25"/>
          <w:szCs w:val="25"/>
        </w:rPr>
        <w:footnoteReference w:id="95"/>
      </w:r>
    </w:p>
    <w:p w:rsidR="009E0E4F" w:rsidRPr="002532DF" w:rsidRDefault="009E0E4F" w:rsidP="009E0E4F">
      <w:pPr>
        <w:spacing w:line="276" w:lineRule="auto"/>
        <w:ind w:left="-720"/>
        <w:rPr>
          <w:sz w:val="25"/>
          <w:szCs w:val="25"/>
        </w:rPr>
      </w:pPr>
    </w:p>
    <w:p w:rsidR="009E0E4F" w:rsidRPr="002532DF" w:rsidRDefault="009E0E4F" w:rsidP="00AD0B90">
      <w:pPr>
        <w:numPr>
          <w:ilvl w:val="0"/>
          <w:numId w:val="1"/>
        </w:numPr>
        <w:tabs>
          <w:tab w:val="clear" w:pos="720"/>
          <w:tab w:val="num" w:pos="0"/>
        </w:tabs>
        <w:spacing w:line="276" w:lineRule="auto"/>
        <w:ind w:left="0"/>
        <w:rPr>
          <w:sz w:val="25"/>
          <w:szCs w:val="25"/>
        </w:rPr>
      </w:pPr>
      <w:r w:rsidRPr="002532DF">
        <w:rPr>
          <w:sz w:val="25"/>
          <w:szCs w:val="25"/>
        </w:rPr>
        <w:t>ICNU argues that its multi-stage DCF approach reflects a non-constant growth curve for a company over time by using three growth periods: short-term, transition, and long-term.</w:t>
      </w:r>
      <w:r w:rsidRPr="002532DF">
        <w:rPr>
          <w:rStyle w:val="FootnoteReference"/>
          <w:sz w:val="25"/>
          <w:szCs w:val="25"/>
        </w:rPr>
        <w:footnoteReference w:id="96"/>
      </w:r>
      <w:r w:rsidRPr="002532DF">
        <w:rPr>
          <w:sz w:val="25"/>
          <w:szCs w:val="25"/>
        </w:rPr>
        <w:t xml:space="preserve">  This approach produces an average and median return on equity of 9.87 percent and 9.90 percent, respectively.  ICNU combines these results with the other DCF approaches to produce a recommended average DCF return of 9.85 percent</w:t>
      </w:r>
      <w:r w:rsidR="003E783E" w:rsidRPr="002532DF">
        <w:rPr>
          <w:sz w:val="25"/>
          <w:szCs w:val="25"/>
        </w:rPr>
        <w:t xml:space="preserve">, with the caveat that it has “strong concerns about </w:t>
      </w:r>
      <w:r w:rsidR="00FF7C58" w:rsidRPr="002532DF">
        <w:rPr>
          <w:sz w:val="25"/>
          <w:szCs w:val="25"/>
        </w:rPr>
        <w:t>t</w:t>
      </w:r>
      <w:r w:rsidR="003E783E" w:rsidRPr="002532DF">
        <w:rPr>
          <w:sz w:val="25"/>
          <w:szCs w:val="25"/>
        </w:rPr>
        <w:t>he accuracy of the constant growth DCF.”</w:t>
      </w:r>
      <w:r w:rsidRPr="002532DF">
        <w:rPr>
          <w:rStyle w:val="FootnoteReference"/>
          <w:sz w:val="25"/>
          <w:szCs w:val="25"/>
        </w:rPr>
        <w:footnoteReference w:id="97"/>
      </w:r>
    </w:p>
    <w:p w:rsidR="009E0E4F" w:rsidRPr="002532DF" w:rsidRDefault="009E0E4F" w:rsidP="009E0E4F">
      <w:pPr>
        <w:spacing w:line="276" w:lineRule="auto"/>
        <w:ind w:left="-720"/>
        <w:rPr>
          <w:sz w:val="25"/>
          <w:szCs w:val="25"/>
        </w:rPr>
      </w:pPr>
    </w:p>
    <w:p w:rsidR="000A4701" w:rsidRPr="002532DF" w:rsidRDefault="009E0E4F" w:rsidP="00AD0B90">
      <w:pPr>
        <w:numPr>
          <w:ilvl w:val="0"/>
          <w:numId w:val="1"/>
        </w:numPr>
        <w:tabs>
          <w:tab w:val="clear" w:pos="720"/>
          <w:tab w:val="num" w:pos="0"/>
        </w:tabs>
        <w:spacing w:line="276" w:lineRule="auto"/>
        <w:ind w:left="0"/>
        <w:rPr>
          <w:sz w:val="25"/>
          <w:szCs w:val="25"/>
        </w:rPr>
      </w:pPr>
      <w:r w:rsidRPr="002532DF">
        <w:rPr>
          <w:sz w:val="25"/>
          <w:szCs w:val="25"/>
        </w:rPr>
        <w:t>ICNU’s risk premium analysis model, based on 30-year bond yields and “A” rated utility bond yields, produces an equity range from 8.98 percent to 9.94 percent with a midpoint of 9.46 percent.</w:t>
      </w:r>
      <w:r w:rsidRPr="002532DF">
        <w:rPr>
          <w:rStyle w:val="FootnoteReference"/>
          <w:sz w:val="25"/>
          <w:szCs w:val="25"/>
        </w:rPr>
        <w:footnoteReference w:id="98"/>
      </w:r>
      <w:r w:rsidRPr="002532DF">
        <w:rPr>
          <w:sz w:val="25"/>
          <w:szCs w:val="25"/>
        </w:rPr>
        <w:t xml:space="preserve"> </w:t>
      </w:r>
    </w:p>
    <w:p w:rsidR="00D40563" w:rsidRPr="002532DF" w:rsidRDefault="00D40563">
      <w:pPr>
        <w:spacing w:line="276" w:lineRule="auto"/>
        <w:ind w:left="-720"/>
        <w:rPr>
          <w:sz w:val="25"/>
          <w:szCs w:val="25"/>
        </w:rPr>
      </w:pPr>
    </w:p>
    <w:p w:rsidR="009E0E4F" w:rsidRPr="002532DF" w:rsidRDefault="000A4701" w:rsidP="00AD0B90">
      <w:pPr>
        <w:numPr>
          <w:ilvl w:val="0"/>
          <w:numId w:val="1"/>
        </w:numPr>
        <w:tabs>
          <w:tab w:val="clear" w:pos="720"/>
          <w:tab w:val="num" w:pos="0"/>
        </w:tabs>
        <w:spacing w:line="276" w:lineRule="auto"/>
        <w:ind w:left="0"/>
        <w:rPr>
          <w:sz w:val="25"/>
          <w:szCs w:val="25"/>
        </w:rPr>
      </w:pPr>
      <w:r w:rsidRPr="002532DF">
        <w:rPr>
          <w:sz w:val="25"/>
          <w:szCs w:val="25"/>
        </w:rPr>
        <w:t xml:space="preserve">ICNU also conducted a CAPM analysis utilizing the basic </w:t>
      </w:r>
      <w:r w:rsidR="00037C14" w:rsidRPr="002532DF">
        <w:rPr>
          <w:sz w:val="25"/>
          <w:szCs w:val="25"/>
        </w:rPr>
        <w:t xml:space="preserve">inputs into such a methodology; market risk-free rate, the Company’s beta, and the market risk premium.  It uses a projected 30-year Treasury bond yield of 4.7 percent based on long-term forecasts of economists.  Much of the debate around the CAPM analysis centers around the appropriate calculation of market risk premiums and ICNU uses </w:t>
      </w:r>
      <w:r w:rsidR="003E783E" w:rsidRPr="002532DF">
        <w:rPr>
          <w:sz w:val="25"/>
          <w:szCs w:val="25"/>
        </w:rPr>
        <w:t xml:space="preserve">long-term estimates of historical real-market return and market risk </w:t>
      </w:r>
      <w:r w:rsidR="00DB3CF3" w:rsidRPr="002532DF">
        <w:rPr>
          <w:sz w:val="25"/>
          <w:szCs w:val="25"/>
        </w:rPr>
        <w:t>premium to</w:t>
      </w:r>
      <w:r w:rsidR="00037C14" w:rsidRPr="002532DF">
        <w:rPr>
          <w:sz w:val="25"/>
          <w:szCs w:val="25"/>
        </w:rPr>
        <w:t xml:space="preserve"> develop a range of 5.2 percent to 6.7 percent.</w:t>
      </w:r>
      <w:r w:rsidR="00FF7C58" w:rsidRPr="002532DF">
        <w:rPr>
          <w:rStyle w:val="FootnoteReference"/>
          <w:sz w:val="25"/>
          <w:szCs w:val="25"/>
        </w:rPr>
        <w:footnoteReference w:id="99"/>
      </w:r>
      <w:r w:rsidRPr="002532DF">
        <w:rPr>
          <w:sz w:val="25"/>
          <w:szCs w:val="25"/>
        </w:rPr>
        <w:t xml:space="preserve"> </w:t>
      </w:r>
      <w:r w:rsidR="009E0E4F" w:rsidRPr="002532DF">
        <w:rPr>
          <w:sz w:val="25"/>
          <w:szCs w:val="25"/>
        </w:rPr>
        <w:t xml:space="preserve"> ICNU’s </w:t>
      </w:r>
      <w:r w:rsidR="00037C14" w:rsidRPr="002532DF">
        <w:rPr>
          <w:sz w:val="25"/>
          <w:szCs w:val="25"/>
        </w:rPr>
        <w:t>final calculation</w:t>
      </w:r>
      <w:r w:rsidR="009E0E4F" w:rsidRPr="002532DF">
        <w:rPr>
          <w:sz w:val="25"/>
          <w:szCs w:val="25"/>
        </w:rPr>
        <w:t xml:space="preserve"> produces a range of 8.28 percent to 9.31 percent with a midpoint of 8.80 percent.</w:t>
      </w:r>
      <w:r w:rsidR="009E0E4F" w:rsidRPr="002532DF">
        <w:rPr>
          <w:rStyle w:val="FootnoteReference"/>
          <w:sz w:val="25"/>
          <w:szCs w:val="25"/>
        </w:rPr>
        <w:footnoteReference w:id="100"/>
      </w:r>
      <w:r w:rsidR="009E0E4F" w:rsidRPr="002532DF">
        <w:rPr>
          <w:sz w:val="25"/>
          <w:szCs w:val="25"/>
        </w:rPr>
        <w:t xml:space="preserve"> </w:t>
      </w:r>
    </w:p>
    <w:p w:rsidR="00D40563" w:rsidRPr="002532DF" w:rsidRDefault="00D40563">
      <w:pPr>
        <w:spacing w:line="276" w:lineRule="auto"/>
        <w:ind w:left="-720"/>
        <w:rPr>
          <w:sz w:val="25"/>
          <w:szCs w:val="25"/>
        </w:rPr>
      </w:pPr>
    </w:p>
    <w:p w:rsidR="00037C14" w:rsidRPr="002532DF" w:rsidRDefault="00037C14" w:rsidP="00AD0B90">
      <w:pPr>
        <w:numPr>
          <w:ilvl w:val="0"/>
          <w:numId w:val="1"/>
        </w:numPr>
        <w:tabs>
          <w:tab w:val="clear" w:pos="720"/>
          <w:tab w:val="num" w:pos="0"/>
        </w:tabs>
        <w:spacing w:line="276" w:lineRule="auto"/>
        <w:ind w:left="0"/>
        <w:rPr>
          <w:sz w:val="25"/>
          <w:szCs w:val="25"/>
        </w:rPr>
      </w:pPr>
      <w:r w:rsidRPr="002532DF">
        <w:rPr>
          <w:sz w:val="25"/>
          <w:szCs w:val="25"/>
        </w:rPr>
        <w:t xml:space="preserve">In </w:t>
      </w:r>
      <w:r w:rsidR="00501F12" w:rsidRPr="002532DF">
        <w:rPr>
          <w:sz w:val="25"/>
          <w:szCs w:val="25"/>
        </w:rPr>
        <w:t xml:space="preserve">summary, </w:t>
      </w:r>
      <w:r w:rsidRPr="002532DF">
        <w:rPr>
          <w:sz w:val="25"/>
          <w:szCs w:val="25"/>
        </w:rPr>
        <w:t>ICNU recommend</w:t>
      </w:r>
      <w:r w:rsidR="00501F12" w:rsidRPr="002532DF">
        <w:rPr>
          <w:sz w:val="25"/>
          <w:szCs w:val="25"/>
        </w:rPr>
        <w:t xml:space="preserve">s a “return on equity range” </w:t>
      </w:r>
      <w:r w:rsidR="00DB3CF3" w:rsidRPr="002532DF">
        <w:rPr>
          <w:sz w:val="25"/>
          <w:szCs w:val="25"/>
        </w:rPr>
        <w:t>of 9.10</w:t>
      </w:r>
      <w:r w:rsidRPr="002532DF">
        <w:rPr>
          <w:sz w:val="25"/>
          <w:szCs w:val="25"/>
        </w:rPr>
        <w:t xml:space="preserve"> percent </w:t>
      </w:r>
      <w:r w:rsidR="00EF0946" w:rsidRPr="002532DF">
        <w:rPr>
          <w:sz w:val="25"/>
          <w:szCs w:val="25"/>
        </w:rPr>
        <w:t>to</w:t>
      </w:r>
      <w:r w:rsidRPr="002532DF">
        <w:rPr>
          <w:sz w:val="25"/>
          <w:szCs w:val="25"/>
        </w:rPr>
        <w:t xml:space="preserve"> 9.90 percent.  </w:t>
      </w:r>
      <w:r w:rsidR="00DB3CF3" w:rsidRPr="002532DF">
        <w:rPr>
          <w:sz w:val="25"/>
          <w:szCs w:val="25"/>
        </w:rPr>
        <w:t xml:space="preserve">This is based on DCF analysis results of 9.85 percent, a Risk Premium result of 9.46 percent, and a CAPM result of 8.80 percent.  </w:t>
      </w:r>
      <w:r w:rsidR="00EF0946" w:rsidRPr="002532DF">
        <w:rPr>
          <w:sz w:val="25"/>
          <w:szCs w:val="25"/>
        </w:rPr>
        <w:t>T</w:t>
      </w:r>
      <w:r w:rsidRPr="002532DF">
        <w:rPr>
          <w:sz w:val="25"/>
          <w:szCs w:val="25"/>
        </w:rPr>
        <w:t xml:space="preserve">he low end is based on the average of its CAPM and risk premium return estimates while the high-end is based on DCF analysis.  </w:t>
      </w:r>
      <w:r w:rsidR="00740B95" w:rsidRPr="002532DF">
        <w:rPr>
          <w:sz w:val="25"/>
          <w:szCs w:val="25"/>
        </w:rPr>
        <w:t xml:space="preserve">Therefore, </w:t>
      </w:r>
      <w:r w:rsidRPr="002532DF">
        <w:rPr>
          <w:sz w:val="25"/>
          <w:szCs w:val="25"/>
        </w:rPr>
        <w:t>ICNU concludes that a 9.50 percent return on equity is reasonable and would support PacifiCorp’s financial integrity.</w:t>
      </w:r>
      <w:r w:rsidR="00740B95" w:rsidRPr="002532DF">
        <w:rPr>
          <w:rStyle w:val="FootnoteReference"/>
          <w:sz w:val="25"/>
          <w:szCs w:val="25"/>
        </w:rPr>
        <w:footnoteReference w:id="101"/>
      </w:r>
      <w:r w:rsidRPr="002532DF">
        <w:rPr>
          <w:sz w:val="25"/>
          <w:szCs w:val="25"/>
        </w:rPr>
        <w:t xml:space="preserve"> </w:t>
      </w:r>
    </w:p>
    <w:p w:rsidR="00D40563" w:rsidRPr="002532DF" w:rsidRDefault="00D40563">
      <w:pPr>
        <w:spacing w:line="276" w:lineRule="auto"/>
        <w:ind w:left="-720"/>
        <w:rPr>
          <w:sz w:val="25"/>
          <w:szCs w:val="25"/>
        </w:rPr>
      </w:pPr>
    </w:p>
    <w:p w:rsidR="00B67822" w:rsidRPr="002532DF" w:rsidRDefault="00B67822" w:rsidP="00AD0B90">
      <w:pPr>
        <w:numPr>
          <w:ilvl w:val="0"/>
          <w:numId w:val="1"/>
        </w:numPr>
        <w:tabs>
          <w:tab w:val="clear" w:pos="720"/>
          <w:tab w:val="num" w:pos="0"/>
        </w:tabs>
        <w:spacing w:line="276" w:lineRule="auto"/>
        <w:ind w:left="0"/>
        <w:rPr>
          <w:sz w:val="25"/>
          <w:szCs w:val="25"/>
        </w:rPr>
      </w:pPr>
      <w:r w:rsidRPr="002532DF">
        <w:rPr>
          <w:sz w:val="25"/>
          <w:szCs w:val="25"/>
        </w:rPr>
        <w:t>ICNU then c</w:t>
      </w:r>
      <w:r w:rsidR="00E22464" w:rsidRPr="002532DF">
        <w:rPr>
          <w:sz w:val="25"/>
          <w:szCs w:val="25"/>
        </w:rPr>
        <w:t>onducts</w:t>
      </w:r>
      <w:r w:rsidRPr="002532DF">
        <w:rPr>
          <w:sz w:val="25"/>
          <w:szCs w:val="25"/>
        </w:rPr>
        <w:t xml:space="preserve"> various calculations incorporating the above recommendations on capital structure and return on equity on the key financial metrics used by credit rating agencies</w:t>
      </w:r>
      <w:r w:rsidR="00740B95" w:rsidRPr="002532DF">
        <w:rPr>
          <w:sz w:val="25"/>
          <w:szCs w:val="25"/>
        </w:rPr>
        <w:t>:</w:t>
      </w:r>
      <w:r w:rsidRPr="002532DF">
        <w:rPr>
          <w:sz w:val="25"/>
          <w:szCs w:val="25"/>
        </w:rPr>
        <w:t xml:space="preserve"> debt to </w:t>
      </w:r>
      <w:r w:rsidR="00E22464" w:rsidRPr="002532DF">
        <w:rPr>
          <w:sz w:val="25"/>
          <w:szCs w:val="25"/>
        </w:rPr>
        <w:t xml:space="preserve">Earnings Before Interest Taxes </w:t>
      </w:r>
      <w:r w:rsidR="00A1481E" w:rsidRPr="002532DF">
        <w:rPr>
          <w:sz w:val="25"/>
          <w:szCs w:val="25"/>
        </w:rPr>
        <w:t>Depreciation and Amortization (</w:t>
      </w:r>
      <w:r w:rsidRPr="002532DF">
        <w:rPr>
          <w:sz w:val="25"/>
          <w:szCs w:val="25"/>
        </w:rPr>
        <w:t>EBITDA</w:t>
      </w:r>
      <w:r w:rsidR="00A1481E" w:rsidRPr="002532DF">
        <w:rPr>
          <w:sz w:val="25"/>
          <w:szCs w:val="25"/>
        </w:rPr>
        <w:t>)</w:t>
      </w:r>
      <w:r w:rsidRPr="002532DF">
        <w:rPr>
          <w:sz w:val="25"/>
          <w:szCs w:val="25"/>
        </w:rPr>
        <w:t xml:space="preserve">, funds from operations (FFO) to total debt, and total debt to total capital.  It also adjusts for off-balance debt and associated interest expense for </w:t>
      </w:r>
      <w:r w:rsidR="005D00CC" w:rsidRPr="002532DF">
        <w:rPr>
          <w:sz w:val="25"/>
          <w:szCs w:val="25"/>
        </w:rPr>
        <w:t>power purchase agreements</w:t>
      </w:r>
      <w:r w:rsidRPr="002532DF">
        <w:rPr>
          <w:sz w:val="25"/>
          <w:szCs w:val="25"/>
        </w:rPr>
        <w:t xml:space="preserve"> and operating leases using the S &amp; P report and methodologies.  ICNU concludes that its recommendations will produce financial credit metrics that support PacifiCorp’s current “A” </w:t>
      </w:r>
      <w:r w:rsidR="00740B95" w:rsidRPr="002532DF">
        <w:rPr>
          <w:sz w:val="25"/>
          <w:szCs w:val="25"/>
        </w:rPr>
        <w:t xml:space="preserve">secured </w:t>
      </w:r>
      <w:r w:rsidRPr="002532DF">
        <w:rPr>
          <w:sz w:val="25"/>
          <w:szCs w:val="25"/>
        </w:rPr>
        <w:t>bond rating.</w:t>
      </w:r>
      <w:r w:rsidR="00740B95" w:rsidRPr="002532DF">
        <w:rPr>
          <w:rStyle w:val="FootnoteReference"/>
          <w:sz w:val="25"/>
          <w:szCs w:val="25"/>
        </w:rPr>
        <w:footnoteReference w:id="102"/>
      </w:r>
      <w:r w:rsidRPr="002532DF">
        <w:rPr>
          <w:sz w:val="25"/>
          <w:szCs w:val="25"/>
        </w:rPr>
        <w:t xml:space="preserve">  </w:t>
      </w:r>
    </w:p>
    <w:p w:rsidR="009E0E4F" w:rsidRPr="002532DF" w:rsidRDefault="009E0E4F" w:rsidP="009E0E4F">
      <w:pPr>
        <w:spacing w:line="276" w:lineRule="auto"/>
        <w:ind w:left="-720"/>
        <w:rPr>
          <w:sz w:val="25"/>
          <w:szCs w:val="25"/>
        </w:rPr>
      </w:pPr>
    </w:p>
    <w:p w:rsidR="009E0E4F" w:rsidRPr="002532DF" w:rsidRDefault="00E1776C" w:rsidP="00AD0B90">
      <w:pPr>
        <w:numPr>
          <w:ilvl w:val="0"/>
          <w:numId w:val="1"/>
        </w:numPr>
        <w:tabs>
          <w:tab w:val="clear" w:pos="720"/>
          <w:tab w:val="num" w:pos="0"/>
        </w:tabs>
        <w:spacing w:line="276" w:lineRule="auto"/>
        <w:ind w:left="0"/>
        <w:rPr>
          <w:sz w:val="25"/>
          <w:szCs w:val="25"/>
        </w:rPr>
      </w:pPr>
      <w:r w:rsidRPr="002532DF">
        <w:rPr>
          <w:sz w:val="25"/>
          <w:szCs w:val="25"/>
        </w:rPr>
        <w:t xml:space="preserve">ICNU supports its analysis with a critique of the </w:t>
      </w:r>
      <w:r w:rsidR="00C17E16" w:rsidRPr="002532DF">
        <w:rPr>
          <w:sz w:val="25"/>
          <w:szCs w:val="25"/>
        </w:rPr>
        <w:t>Company’s analysis,</w:t>
      </w:r>
      <w:r w:rsidR="006C190E" w:rsidRPr="002532DF">
        <w:rPr>
          <w:b/>
          <w:sz w:val="25"/>
          <w:szCs w:val="25"/>
        </w:rPr>
        <w:t xml:space="preserve"> </w:t>
      </w:r>
      <w:r w:rsidR="009E0E4F" w:rsidRPr="002532DF">
        <w:rPr>
          <w:sz w:val="25"/>
          <w:szCs w:val="25"/>
        </w:rPr>
        <w:t>argu</w:t>
      </w:r>
      <w:r w:rsidRPr="002532DF">
        <w:rPr>
          <w:sz w:val="25"/>
          <w:szCs w:val="25"/>
        </w:rPr>
        <w:t>ing</w:t>
      </w:r>
      <w:r w:rsidR="009E0E4F" w:rsidRPr="002532DF">
        <w:rPr>
          <w:sz w:val="25"/>
          <w:szCs w:val="25"/>
        </w:rPr>
        <w:t xml:space="preserve"> that PacifiCorp’s </w:t>
      </w:r>
      <w:r w:rsidR="006C190E" w:rsidRPr="002532DF">
        <w:rPr>
          <w:sz w:val="25"/>
          <w:szCs w:val="25"/>
        </w:rPr>
        <w:t xml:space="preserve">nominal </w:t>
      </w:r>
      <w:r w:rsidR="009E0E4F" w:rsidRPr="002532DF">
        <w:rPr>
          <w:sz w:val="25"/>
          <w:szCs w:val="25"/>
        </w:rPr>
        <w:t>GDP growth rates in its DCF analysis are not sustainable in the long run; they are excessive and do not reflect current market expectations.</w:t>
      </w:r>
      <w:r w:rsidR="009E0E4F" w:rsidRPr="002532DF">
        <w:rPr>
          <w:rStyle w:val="FootnoteReference"/>
          <w:sz w:val="25"/>
          <w:szCs w:val="25"/>
        </w:rPr>
        <w:footnoteReference w:id="103"/>
      </w:r>
      <w:r w:rsidR="009E0E4F" w:rsidRPr="002532DF">
        <w:rPr>
          <w:sz w:val="25"/>
          <w:szCs w:val="25"/>
        </w:rPr>
        <w:t xml:space="preserve">  ICNU maintains if the Company had used lower GDP projections</w:t>
      </w:r>
      <w:r w:rsidR="006C190E" w:rsidRPr="002532DF">
        <w:rPr>
          <w:sz w:val="25"/>
          <w:szCs w:val="25"/>
        </w:rPr>
        <w:t xml:space="preserve"> (4.9 percent instead of 6 percent)</w:t>
      </w:r>
      <w:r w:rsidR="009E0E4F" w:rsidRPr="002532DF">
        <w:rPr>
          <w:sz w:val="25"/>
          <w:szCs w:val="25"/>
        </w:rPr>
        <w:t>, PacifiCorp’s return would range from 9.9 percent to 10.1 percent.</w:t>
      </w:r>
      <w:r w:rsidR="009E0E4F" w:rsidRPr="002532DF">
        <w:rPr>
          <w:rStyle w:val="FootnoteReference"/>
          <w:sz w:val="25"/>
          <w:szCs w:val="25"/>
        </w:rPr>
        <w:footnoteReference w:id="104"/>
      </w:r>
      <w:r w:rsidR="009E0E4F" w:rsidRPr="002532DF">
        <w:rPr>
          <w:sz w:val="25"/>
          <w:szCs w:val="25"/>
        </w:rPr>
        <w:t xml:space="preserve">  Lastly, ICNU contends that PacifiCorp’s DCF results are overstated because the Company’s data is stale and does not reflect the market recovery of the last six to nine months.</w:t>
      </w:r>
      <w:r w:rsidR="006C190E" w:rsidRPr="002532DF">
        <w:rPr>
          <w:sz w:val="25"/>
          <w:szCs w:val="25"/>
        </w:rPr>
        <w:t xml:space="preserve"> </w:t>
      </w:r>
      <w:r w:rsidRPr="002532DF">
        <w:rPr>
          <w:sz w:val="25"/>
          <w:szCs w:val="25"/>
        </w:rPr>
        <w:t xml:space="preserve"> </w:t>
      </w:r>
      <w:r w:rsidR="006C190E" w:rsidRPr="002532DF">
        <w:rPr>
          <w:sz w:val="25"/>
          <w:szCs w:val="25"/>
        </w:rPr>
        <w:t xml:space="preserve">In summary, </w:t>
      </w:r>
      <w:r w:rsidR="005F7503" w:rsidRPr="002532DF">
        <w:rPr>
          <w:sz w:val="25"/>
          <w:szCs w:val="25"/>
        </w:rPr>
        <w:t>its critique of the Company’s three DCF analyses results</w:t>
      </w:r>
      <w:r w:rsidR="006C190E" w:rsidRPr="002532DF">
        <w:rPr>
          <w:sz w:val="25"/>
          <w:szCs w:val="25"/>
        </w:rPr>
        <w:t xml:space="preserve"> in a</w:t>
      </w:r>
      <w:r w:rsidRPr="002532DF">
        <w:rPr>
          <w:sz w:val="25"/>
          <w:szCs w:val="25"/>
        </w:rPr>
        <w:t xml:space="preserve"> dow</w:t>
      </w:r>
      <w:r w:rsidR="006C190E" w:rsidRPr="002532DF">
        <w:rPr>
          <w:sz w:val="25"/>
          <w:szCs w:val="25"/>
        </w:rPr>
        <w:t>n</w:t>
      </w:r>
      <w:r w:rsidRPr="002532DF">
        <w:rPr>
          <w:sz w:val="25"/>
          <w:szCs w:val="25"/>
        </w:rPr>
        <w:t>ward</w:t>
      </w:r>
      <w:r w:rsidR="006C190E" w:rsidRPr="002532DF">
        <w:rPr>
          <w:sz w:val="25"/>
          <w:szCs w:val="25"/>
        </w:rPr>
        <w:t xml:space="preserve"> adjustment from an average of 10.7 percent to 10.0 percent return on equity.</w:t>
      </w:r>
      <w:r w:rsidR="00E12FBA" w:rsidRPr="002532DF">
        <w:rPr>
          <w:rStyle w:val="FootnoteReference"/>
          <w:sz w:val="25"/>
          <w:szCs w:val="25"/>
        </w:rPr>
        <w:t xml:space="preserve"> </w:t>
      </w:r>
      <w:r w:rsidR="00E12FBA" w:rsidRPr="002532DF">
        <w:rPr>
          <w:rStyle w:val="FootnoteReference"/>
          <w:sz w:val="25"/>
          <w:szCs w:val="25"/>
        </w:rPr>
        <w:footnoteReference w:id="105"/>
      </w:r>
      <w:r w:rsidR="00E12FBA" w:rsidRPr="002532DF">
        <w:rPr>
          <w:sz w:val="25"/>
          <w:szCs w:val="25"/>
        </w:rPr>
        <w:t xml:space="preserve">  </w:t>
      </w:r>
    </w:p>
    <w:p w:rsidR="009E0E4F" w:rsidRPr="002532DF" w:rsidRDefault="009E0E4F" w:rsidP="009E0E4F">
      <w:pPr>
        <w:spacing w:line="276" w:lineRule="auto"/>
        <w:ind w:left="-720"/>
        <w:rPr>
          <w:sz w:val="25"/>
          <w:szCs w:val="25"/>
        </w:rPr>
      </w:pPr>
    </w:p>
    <w:p w:rsidR="009E0E4F" w:rsidRPr="002532DF" w:rsidRDefault="006C190E" w:rsidP="00AD0B90">
      <w:pPr>
        <w:numPr>
          <w:ilvl w:val="0"/>
          <w:numId w:val="1"/>
        </w:numPr>
        <w:tabs>
          <w:tab w:val="clear" w:pos="720"/>
          <w:tab w:val="num" w:pos="0"/>
        </w:tabs>
        <w:spacing w:line="276" w:lineRule="auto"/>
        <w:ind w:left="0"/>
        <w:rPr>
          <w:sz w:val="25"/>
          <w:szCs w:val="25"/>
        </w:rPr>
      </w:pPr>
      <w:r w:rsidRPr="002532DF">
        <w:rPr>
          <w:sz w:val="25"/>
          <w:szCs w:val="25"/>
        </w:rPr>
        <w:t>Continuing its critique</w:t>
      </w:r>
      <w:r w:rsidR="009E0E4F" w:rsidRPr="002532DF">
        <w:rPr>
          <w:sz w:val="25"/>
          <w:szCs w:val="25"/>
        </w:rPr>
        <w:t xml:space="preserve">, ICNU argues that the Company’s risk premium analysis fails because it </w:t>
      </w:r>
      <w:r w:rsidR="00E1776C" w:rsidRPr="002532DF">
        <w:rPr>
          <w:sz w:val="25"/>
          <w:szCs w:val="25"/>
        </w:rPr>
        <w:t xml:space="preserve">inappropriately </w:t>
      </w:r>
      <w:r w:rsidR="009E0E4F" w:rsidRPr="002532DF">
        <w:rPr>
          <w:sz w:val="25"/>
          <w:szCs w:val="25"/>
        </w:rPr>
        <w:t xml:space="preserve">forced an upward adjustment to its derived average equity risk premium resulting in an inverse relationship between interest rates and </w:t>
      </w:r>
      <w:r w:rsidR="00E1776C" w:rsidRPr="002532DF">
        <w:rPr>
          <w:sz w:val="25"/>
          <w:szCs w:val="25"/>
        </w:rPr>
        <w:t>equity</w:t>
      </w:r>
      <w:r w:rsidR="009E0E4F" w:rsidRPr="002532DF">
        <w:rPr>
          <w:sz w:val="25"/>
          <w:szCs w:val="25"/>
        </w:rPr>
        <w:t xml:space="preserve"> risk premiums</w:t>
      </w:r>
      <w:r w:rsidR="00E1776C" w:rsidRPr="002532DF">
        <w:rPr>
          <w:sz w:val="25"/>
          <w:szCs w:val="25"/>
        </w:rPr>
        <w:t>.</w:t>
      </w:r>
      <w:r w:rsidR="009E0E4F" w:rsidRPr="002532DF">
        <w:rPr>
          <w:sz w:val="25"/>
          <w:szCs w:val="25"/>
        </w:rPr>
        <w:t xml:space="preserve">  ICNU contends that the inverse relationship promoted by the Company is inappropriate </w:t>
      </w:r>
      <w:r w:rsidR="00E1776C" w:rsidRPr="002532DF">
        <w:rPr>
          <w:sz w:val="25"/>
          <w:szCs w:val="25"/>
        </w:rPr>
        <w:t xml:space="preserve">in today’s financial markets </w:t>
      </w:r>
      <w:r w:rsidR="009E0E4F" w:rsidRPr="002532DF">
        <w:rPr>
          <w:sz w:val="25"/>
          <w:szCs w:val="25"/>
        </w:rPr>
        <w:t>and inconsistent with academic literature.</w:t>
      </w:r>
      <w:r w:rsidR="009E0E4F" w:rsidRPr="002532DF">
        <w:rPr>
          <w:rStyle w:val="FootnoteReference"/>
          <w:sz w:val="25"/>
          <w:szCs w:val="25"/>
        </w:rPr>
        <w:footnoteReference w:id="106"/>
      </w:r>
      <w:r w:rsidR="009E0E4F" w:rsidRPr="002532DF">
        <w:rPr>
          <w:sz w:val="25"/>
          <w:szCs w:val="25"/>
        </w:rPr>
        <w:t xml:space="preserve">  Further, ICNU contends that the Company’s risk premium analysis unreasonably relied on projected interest rates, the accuracy of which is “highly problematic.”</w:t>
      </w:r>
      <w:r w:rsidR="009E0E4F" w:rsidRPr="002532DF">
        <w:rPr>
          <w:rStyle w:val="FootnoteReference"/>
          <w:sz w:val="25"/>
          <w:szCs w:val="25"/>
        </w:rPr>
        <w:footnoteReference w:id="107"/>
      </w:r>
      <w:r w:rsidRPr="002532DF">
        <w:rPr>
          <w:sz w:val="25"/>
          <w:szCs w:val="25"/>
        </w:rPr>
        <w:t xml:space="preserve">  It concludes this risk premium analysis by adjusting the Company’s </w:t>
      </w:r>
      <w:r w:rsidR="00E12FBA" w:rsidRPr="002532DF">
        <w:rPr>
          <w:sz w:val="25"/>
          <w:szCs w:val="25"/>
        </w:rPr>
        <w:t>return downward to a mid-point of 9.55 percent from 10.84 percent contending that more reasonable risk premiums produce a range of 9.06 to 10.3 percent.</w:t>
      </w:r>
      <w:r w:rsidR="00E12FBA" w:rsidRPr="002532DF">
        <w:rPr>
          <w:rStyle w:val="FootnoteReference"/>
          <w:sz w:val="25"/>
          <w:szCs w:val="25"/>
        </w:rPr>
        <w:footnoteReference w:id="108"/>
      </w:r>
    </w:p>
    <w:p w:rsidR="009E0E4F" w:rsidRPr="002532DF" w:rsidRDefault="009E0E4F" w:rsidP="009E0E4F">
      <w:pPr>
        <w:spacing w:line="276" w:lineRule="auto"/>
        <w:ind w:left="-720"/>
        <w:rPr>
          <w:sz w:val="25"/>
          <w:szCs w:val="25"/>
        </w:rPr>
      </w:pPr>
    </w:p>
    <w:p w:rsidR="009E0E4F" w:rsidRPr="002532DF" w:rsidRDefault="009E0E4F" w:rsidP="00AD0B90">
      <w:pPr>
        <w:numPr>
          <w:ilvl w:val="0"/>
          <w:numId w:val="1"/>
        </w:numPr>
        <w:tabs>
          <w:tab w:val="clear" w:pos="720"/>
          <w:tab w:val="num" w:pos="0"/>
        </w:tabs>
        <w:spacing w:line="276" w:lineRule="auto"/>
        <w:ind w:left="0"/>
        <w:rPr>
          <w:sz w:val="25"/>
          <w:szCs w:val="25"/>
        </w:rPr>
      </w:pPr>
      <w:r w:rsidRPr="002532DF">
        <w:rPr>
          <w:sz w:val="25"/>
          <w:szCs w:val="25"/>
        </w:rPr>
        <w:t xml:space="preserve">In rebuttal, PacifiCorp argues that Staff and ICNU fail to consider </w:t>
      </w:r>
      <w:r w:rsidR="00E12FBA" w:rsidRPr="002532DF">
        <w:rPr>
          <w:sz w:val="25"/>
          <w:szCs w:val="25"/>
        </w:rPr>
        <w:t xml:space="preserve">financial </w:t>
      </w:r>
      <w:r w:rsidRPr="002532DF">
        <w:rPr>
          <w:sz w:val="25"/>
          <w:szCs w:val="25"/>
        </w:rPr>
        <w:t xml:space="preserve">market turbulence </w:t>
      </w:r>
      <w:r w:rsidR="00E12FBA" w:rsidRPr="002532DF">
        <w:rPr>
          <w:sz w:val="25"/>
          <w:szCs w:val="25"/>
        </w:rPr>
        <w:t xml:space="preserve">and utility price volatility </w:t>
      </w:r>
      <w:r w:rsidRPr="002532DF">
        <w:rPr>
          <w:sz w:val="25"/>
          <w:szCs w:val="25"/>
        </w:rPr>
        <w:t>in their estimates of equity return.</w:t>
      </w:r>
      <w:r w:rsidRPr="002532DF">
        <w:rPr>
          <w:rStyle w:val="FootnoteReference"/>
          <w:sz w:val="25"/>
          <w:szCs w:val="25"/>
        </w:rPr>
        <w:footnoteReference w:id="109"/>
      </w:r>
      <w:r w:rsidRPr="002532DF">
        <w:rPr>
          <w:sz w:val="25"/>
          <w:szCs w:val="25"/>
        </w:rPr>
        <w:t xml:space="preserve">  It contends that increased market volatility causes investors to require a higher rate of return.</w:t>
      </w:r>
      <w:r w:rsidRPr="002532DF">
        <w:rPr>
          <w:rStyle w:val="FootnoteReference"/>
          <w:sz w:val="25"/>
          <w:szCs w:val="25"/>
        </w:rPr>
        <w:footnoteReference w:id="110"/>
      </w:r>
      <w:r w:rsidRPr="002532DF">
        <w:rPr>
          <w:sz w:val="25"/>
          <w:szCs w:val="25"/>
        </w:rPr>
        <w:t xml:space="preserve">  </w:t>
      </w:r>
    </w:p>
    <w:p w:rsidR="009E0E4F" w:rsidRPr="002532DF" w:rsidRDefault="009E0E4F" w:rsidP="009E0E4F">
      <w:pPr>
        <w:spacing w:line="276" w:lineRule="auto"/>
        <w:ind w:left="-720"/>
        <w:rPr>
          <w:sz w:val="25"/>
          <w:szCs w:val="25"/>
        </w:rPr>
      </w:pPr>
    </w:p>
    <w:p w:rsidR="009E0E4F" w:rsidRPr="002532DF" w:rsidRDefault="009E0E4F" w:rsidP="00AD0B90">
      <w:pPr>
        <w:numPr>
          <w:ilvl w:val="0"/>
          <w:numId w:val="1"/>
        </w:numPr>
        <w:tabs>
          <w:tab w:val="clear" w:pos="720"/>
          <w:tab w:val="num" w:pos="0"/>
        </w:tabs>
        <w:spacing w:line="276" w:lineRule="auto"/>
        <w:ind w:left="0"/>
        <w:rPr>
          <w:sz w:val="25"/>
          <w:szCs w:val="25"/>
        </w:rPr>
      </w:pPr>
      <w:r w:rsidRPr="002532DF">
        <w:rPr>
          <w:sz w:val="25"/>
          <w:szCs w:val="25"/>
        </w:rPr>
        <w:t>PacifiCorp also argues that Staff</w:t>
      </w:r>
      <w:r w:rsidR="000B43E5" w:rsidRPr="002532DF">
        <w:rPr>
          <w:sz w:val="25"/>
          <w:szCs w:val="25"/>
        </w:rPr>
        <w:t>’s</w:t>
      </w:r>
      <w:r w:rsidRPr="002532DF">
        <w:rPr>
          <w:sz w:val="25"/>
          <w:szCs w:val="25"/>
        </w:rPr>
        <w:t xml:space="preserve"> and ICNU’s use of the CAPM results in flawed cost of equity recommendations because CAPM inputs, </w:t>
      </w:r>
      <w:r w:rsidR="00E12FBA" w:rsidRPr="002532DF">
        <w:rPr>
          <w:sz w:val="25"/>
          <w:szCs w:val="25"/>
        </w:rPr>
        <w:t>using</w:t>
      </w:r>
      <w:r w:rsidRPr="002532DF">
        <w:rPr>
          <w:sz w:val="25"/>
          <w:szCs w:val="25"/>
        </w:rPr>
        <w:t xml:space="preserve"> </w:t>
      </w:r>
      <w:r w:rsidR="00E12FBA" w:rsidRPr="002532DF">
        <w:rPr>
          <w:sz w:val="25"/>
          <w:szCs w:val="25"/>
        </w:rPr>
        <w:t xml:space="preserve">risk-free proxies such as </w:t>
      </w:r>
      <w:r w:rsidRPr="002532DF">
        <w:rPr>
          <w:sz w:val="25"/>
          <w:szCs w:val="25"/>
        </w:rPr>
        <w:t>US Treasury rates, are artificially low</w:t>
      </w:r>
      <w:r w:rsidR="00E12FBA" w:rsidRPr="002532DF">
        <w:rPr>
          <w:sz w:val="25"/>
          <w:szCs w:val="25"/>
        </w:rPr>
        <w:t>” due to the Federal Reserve’s monetary policies and therefore cannot be relied on.</w:t>
      </w:r>
      <w:r w:rsidRPr="002532DF">
        <w:rPr>
          <w:sz w:val="25"/>
          <w:szCs w:val="25"/>
        </w:rPr>
        <w:t>”</w:t>
      </w:r>
      <w:r w:rsidRPr="002532DF">
        <w:rPr>
          <w:rStyle w:val="FootnoteReference"/>
          <w:sz w:val="25"/>
          <w:szCs w:val="25"/>
        </w:rPr>
        <w:footnoteReference w:id="111"/>
      </w:r>
      <w:r w:rsidRPr="002532DF">
        <w:rPr>
          <w:sz w:val="25"/>
          <w:szCs w:val="25"/>
        </w:rPr>
        <w:t xml:space="preserve">  </w:t>
      </w:r>
      <w:r w:rsidR="00E12FBA" w:rsidRPr="002532DF">
        <w:rPr>
          <w:sz w:val="25"/>
          <w:szCs w:val="25"/>
        </w:rPr>
        <w:t>Moreover, it criticizes the inputs used in the risk premium analyses by contending that</w:t>
      </w:r>
      <w:r w:rsidRPr="002532DF">
        <w:rPr>
          <w:sz w:val="25"/>
          <w:szCs w:val="25"/>
        </w:rPr>
        <w:t xml:space="preserve"> “[</w:t>
      </w:r>
      <w:r w:rsidR="008A6CE2" w:rsidRPr="002532DF">
        <w:rPr>
          <w:sz w:val="25"/>
          <w:szCs w:val="25"/>
        </w:rPr>
        <w:t>t</w:t>
      </w:r>
      <w:r w:rsidRPr="002532DF">
        <w:rPr>
          <w:sz w:val="25"/>
          <w:szCs w:val="25"/>
        </w:rPr>
        <w:t>]o the extent that yields are artificially reduced by the government’s expansive monetary policy, risk premium estimates of ROE will be understated.”</w:t>
      </w:r>
      <w:r w:rsidRPr="002532DF">
        <w:rPr>
          <w:rStyle w:val="FootnoteReference"/>
          <w:sz w:val="25"/>
          <w:szCs w:val="25"/>
        </w:rPr>
        <w:footnoteReference w:id="112"/>
      </w:r>
      <w:r w:rsidRPr="002532DF">
        <w:rPr>
          <w:sz w:val="25"/>
          <w:szCs w:val="25"/>
        </w:rPr>
        <w:t xml:space="preserve"> </w:t>
      </w:r>
    </w:p>
    <w:p w:rsidR="009E0E4F" w:rsidRPr="002532DF" w:rsidRDefault="009E0E4F" w:rsidP="009E0E4F">
      <w:pPr>
        <w:spacing w:line="276" w:lineRule="auto"/>
        <w:ind w:left="-720"/>
        <w:rPr>
          <w:sz w:val="25"/>
          <w:szCs w:val="25"/>
        </w:rPr>
      </w:pPr>
    </w:p>
    <w:p w:rsidR="009E0E4F" w:rsidRPr="002532DF" w:rsidRDefault="009E0E4F" w:rsidP="00AD0B90">
      <w:pPr>
        <w:numPr>
          <w:ilvl w:val="0"/>
          <w:numId w:val="1"/>
        </w:numPr>
        <w:tabs>
          <w:tab w:val="clear" w:pos="720"/>
          <w:tab w:val="num" w:pos="0"/>
        </w:tabs>
        <w:spacing w:line="276" w:lineRule="auto"/>
        <w:ind w:left="0"/>
        <w:rPr>
          <w:sz w:val="25"/>
          <w:szCs w:val="25"/>
        </w:rPr>
      </w:pPr>
      <w:r w:rsidRPr="002532DF">
        <w:rPr>
          <w:sz w:val="25"/>
          <w:szCs w:val="25"/>
        </w:rPr>
        <w:t>The Company criticizes Staff’s selection of its proxy group as subjective and too small to be statistically reliable.  PacifiCorp argues that Staff did not use a “carefully selected proxy group” because it merely excludes data and replaces it with its own “subjective inputs.”</w:t>
      </w:r>
      <w:r w:rsidRPr="002532DF">
        <w:rPr>
          <w:rStyle w:val="FootnoteReference"/>
          <w:sz w:val="25"/>
          <w:szCs w:val="25"/>
        </w:rPr>
        <w:footnoteReference w:id="113"/>
      </w:r>
      <w:r w:rsidRPr="002532DF">
        <w:rPr>
          <w:sz w:val="25"/>
          <w:szCs w:val="25"/>
        </w:rPr>
        <w:t xml:space="preserve">  </w:t>
      </w:r>
    </w:p>
    <w:p w:rsidR="009E0E4F" w:rsidRPr="002532DF" w:rsidRDefault="009E0E4F" w:rsidP="009E0E4F">
      <w:pPr>
        <w:spacing w:line="276" w:lineRule="auto"/>
        <w:ind w:left="-720"/>
        <w:rPr>
          <w:sz w:val="25"/>
          <w:szCs w:val="25"/>
        </w:rPr>
      </w:pPr>
    </w:p>
    <w:p w:rsidR="009E0E4F" w:rsidRPr="002532DF" w:rsidRDefault="009E0E4F" w:rsidP="00AD0B90">
      <w:pPr>
        <w:numPr>
          <w:ilvl w:val="0"/>
          <w:numId w:val="1"/>
        </w:numPr>
        <w:tabs>
          <w:tab w:val="clear" w:pos="720"/>
          <w:tab w:val="num" w:pos="0"/>
        </w:tabs>
        <w:spacing w:line="276" w:lineRule="auto"/>
        <w:ind w:left="0"/>
        <w:rPr>
          <w:sz w:val="25"/>
          <w:szCs w:val="25"/>
        </w:rPr>
      </w:pPr>
      <w:r w:rsidRPr="002532DF">
        <w:rPr>
          <w:sz w:val="25"/>
          <w:szCs w:val="25"/>
        </w:rPr>
        <w:t xml:space="preserve">The Company contends that Staff’s growth estimates in its DCF analysis are flawed because although Staff starts with </w:t>
      </w:r>
      <w:r w:rsidR="00723E37" w:rsidRPr="002532DF">
        <w:rPr>
          <w:i/>
          <w:sz w:val="25"/>
          <w:szCs w:val="25"/>
        </w:rPr>
        <w:t>Value Line</w:t>
      </w:r>
      <w:r w:rsidRPr="002532DF">
        <w:rPr>
          <w:sz w:val="25"/>
          <w:szCs w:val="25"/>
        </w:rPr>
        <w:t xml:space="preserve"> growth rates, it then subjectively adjusts its data by eliminating the two highest companies and by substituting reported higher growth numbers with lower estimates.</w:t>
      </w:r>
      <w:r w:rsidRPr="002532DF">
        <w:rPr>
          <w:rStyle w:val="FootnoteReference"/>
          <w:sz w:val="25"/>
          <w:szCs w:val="25"/>
        </w:rPr>
        <w:footnoteReference w:id="114"/>
      </w:r>
      <w:r w:rsidRPr="002532DF">
        <w:rPr>
          <w:sz w:val="25"/>
          <w:szCs w:val="25"/>
        </w:rPr>
        <w:t xml:space="preserve">  The Company also argues that Staff’s earning retention growth method (b-times-r) is simply not proper and not generally used by economists due to its volatile nature. </w:t>
      </w:r>
      <w:r w:rsidRPr="002532DF">
        <w:rPr>
          <w:rStyle w:val="FootnoteReference"/>
          <w:sz w:val="25"/>
          <w:szCs w:val="25"/>
        </w:rPr>
        <w:footnoteReference w:id="115"/>
      </w:r>
      <w:r w:rsidRPr="002532DF">
        <w:rPr>
          <w:sz w:val="25"/>
          <w:szCs w:val="25"/>
        </w:rPr>
        <w:t xml:space="preserve">  The Company further contends that although Staff uses multiple methods to estimate growth for its DCF computation, the use of the data is dominated by subjective adjustments.</w:t>
      </w:r>
      <w:r w:rsidRPr="002532DF">
        <w:rPr>
          <w:rStyle w:val="FootnoteReference"/>
          <w:sz w:val="25"/>
          <w:szCs w:val="25"/>
        </w:rPr>
        <w:footnoteReference w:id="116"/>
      </w:r>
    </w:p>
    <w:p w:rsidR="00CE7CF3" w:rsidRPr="002532DF" w:rsidRDefault="00CE7CF3" w:rsidP="00CE7CF3">
      <w:pPr>
        <w:spacing w:line="276" w:lineRule="auto"/>
        <w:ind w:left="-720"/>
        <w:rPr>
          <w:sz w:val="25"/>
          <w:szCs w:val="25"/>
        </w:rPr>
      </w:pPr>
    </w:p>
    <w:p w:rsidR="009E0E4F" w:rsidRPr="002532DF" w:rsidRDefault="009E0E4F" w:rsidP="00AD0B90">
      <w:pPr>
        <w:numPr>
          <w:ilvl w:val="0"/>
          <w:numId w:val="1"/>
        </w:numPr>
        <w:tabs>
          <w:tab w:val="clear" w:pos="720"/>
          <w:tab w:val="num" w:pos="0"/>
        </w:tabs>
        <w:spacing w:line="276" w:lineRule="auto"/>
        <w:ind w:left="0"/>
        <w:rPr>
          <w:sz w:val="25"/>
          <w:szCs w:val="25"/>
        </w:rPr>
      </w:pPr>
      <w:r w:rsidRPr="002532DF">
        <w:rPr>
          <w:sz w:val="25"/>
          <w:szCs w:val="25"/>
        </w:rPr>
        <w:t>The Company suggests that ICNU uses negatively-biased model inputs and that ICNU’s use of the CAPM pro</w:t>
      </w:r>
      <w:r w:rsidR="00532056" w:rsidRPr="002532DF">
        <w:rPr>
          <w:sz w:val="25"/>
          <w:szCs w:val="25"/>
        </w:rPr>
        <w:t>duces results that are</w:t>
      </w:r>
      <w:r w:rsidRPr="002532DF">
        <w:rPr>
          <w:sz w:val="25"/>
          <w:szCs w:val="25"/>
        </w:rPr>
        <w:t xml:space="preserve"> currently unreliable.</w:t>
      </w:r>
      <w:r w:rsidRPr="002532DF">
        <w:rPr>
          <w:rStyle w:val="FootnoteReference"/>
          <w:sz w:val="25"/>
          <w:szCs w:val="25"/>
        </w:rPr>
        <w:footnoteReference w:id="117"/>
      </w:r>
      <w:r w:rsidRPr="002532DF">
        <w:rPr>
          <w:sz w:val="25"/>
          <w:szCs w:val="25"/>
        </w:rPr>
        <w:t xml:space="preserve">  PacifiCorp also contests ICNU’s use of short-term GDP growth rate forecasts </w:t>
      </w:r>
      <w:r w:rsidR="002F1B71" w:rsidRPr="002532DF">
        <w:rPr>
          <w:sz w:val="25"/>
          <w:szCs w:val="25"/>
        </w:rPr>
        <w:t xml:space="preserve">in </w:t>
      </w:r>
      <w:r w:rsidRPr="002532DF">
        <w:rPr>
          <w:sz w:val="25"/>
          <w:szCs w:val="25"/>
        </w:rPr>
        <w:t xml:space="preserve">its DCF analysis arguing that these rates introduce a downward </w:t>
      </w:r>
      <w:r w:rsidR="00532056" w:rsidRPr="002532DF">
        <w:rPr>
          <w:sz w:val="25"/>
          <w:szCs w:val="25"/>
        </w:rPr>
        <w:t>bias</w:t>
      </w:r>
      <w:r w:rsidRPr="002532DF">
        <w:rPr>
          <w:sz w:val="25"/>
          <w:szCs w:val="25"/>
        </w:rPr>
        <w:t xml:space="preserve"> to the results and that this approach is not consistent with </w:t>
      </w:r>
      <w:r w:rsidR="00532056" w:rsidRPr="002532DF">
        <w:rPr>
          <w:sz w:val="25"/>
          <w:szCs w:val="25"/>
        </w:rPr>
        <w:t xml:space="preserve">what it asserts the </w:t>
      </w:r>
      <w:r w:rsidRPr="002532DF">
        <w:rPr>
          <w:sz w:val="25"/>
          <w:szCs w:val="25"/>
        </w:rPr>
        <w:t>DCF model require</w:t>
      </w:r>
      <w:r w:rsidR="00532056" w:rsidRPr="002532DF">
        <w:rPr>
          <w:sz w:val="25"/>
          <w:szCs w:val="25"/>
        </w:rPr>
        <w:t xml:space="preserve">s; </w:t>
      </w:r>
      <w:r w:rsidRPr="002532DF">
        <w:rPr>
          <w:sz w:val="25"/>
          <w:szCs w:val="25"/>
        </w:rPr>
        <w:t>includ</w:t>
      </w:r>
      <w:r w:rsidR="00532056" w:rsidRPr="002532DF">
        <w:rPr>
          <w:sz w:val="25"/>
          <w:szCs w:val="25"/>
        </w:rPr>
        <w:t>ing</w:t>
      </w:r>
      <w:r w:rsidRPr="002532DF">
        <w:rPr>
          <w:sz w:val="25"/>
          <w:szCs w:val="25"/>
        </w:rPr>
        <w:t xml:space="preserve"> a long-term growth rate.</w:t>
      </w:r>
      <w:r w:rsidRPr="002532DF">
        <w:rPr>
          <w:rStyle w:val="FootnoteReference"/>
          <w:sz w:val="25"/>
          <w:szCs w:val="25"/>
        </w:rPr>
        <w:footnoteReference w:id="118"/>
      </w:r>
    </w:p>
    <w:p w:rsidR="009E0E4F" w:rsidRPr="002532DF" w:rsidRDefault="009E0E4F" w:rsidP="00CE7CF3">
      <w:pPr>
        <w:spacing w:line="276" w:lineRule="auto"/>
        <w:ind w:left="-720"/>
        <w:rPr>
          <w:sz w:val="25"/>
          <w:szCs w:val="25"/>
        </w:rPr>
      </w:pPr>
    </w:p>
    <w:p w:rsidR="009E0E4F" w:rsidRPr="002532DF" w:rsidRDefault="009E0E4F" w:rsidP="00AD0B90">
      <w:pPr>
        <w:numPr>
          <w:ilvl w:val="0"/>
          <w:numId w:val="1"/>
        </w:numPr>
        <w:tabs>
          <w:tab w:val="clear" w:pos="720"/>
          <w:tab w:val="num" w:pos="0"/>
        </w:tabs>
        <w:spacing w:line="276" w:lineRule="auto"/>
        <w:ind w:left="0"/>
        <w:rPr>
          <w:sz w:val="25"/>
          <w:szCs w:val="25"/>
        </w:rPr>
      </w:pPr>
      <w:r w:rsidRPr="002532DF">
        <w:rPr>
          <w:sz w:val="25"/>
          <w:szCs w:val="25"/>
        </w:rPr>
        <w:t>The Company further argues that ICNU’s risk premium analysis does not take into consideration that</w:t>
      </w:r>
      <w:r w:rsidR="008A6CE2" w:rsidRPr="002532DF">
        <w:rPr>
          <w:sz w:val="25"/>
          <w:szCs w:val="25"/>
        </w:rPr>
        <w:t>,</w:t>
      </w:r>
      <w:r w:rsidRPr="002532DF">
        <w:rPr>
          <w:sz w:val="25"/>
          <w:szCs w:val="25"/>
        </w:rPr>
        <w:t xml:space="preserve"> when interest rates are low, equity-risk premiums increase and vice-versa.  The Company adjusts ICNU’s computation with its regression analyses approach and argues that when the inverse correlation between interest rates and equity premiums is included, ICNU’s </w:t>
      </w:r>
      <w:r w:rsidR="00A65161" w:rsidRPr="002532DF">
        <w:rPr>
          <w:sz w:val="25"/>
          <w:szCs w:val="25"/>
        </w:rPr>
        <w:t xml:space="preserve">risk premium analysis produces a return approximately 78 basis points higher than ICNU’s proposal.  </w:t>
      </w:r>
      <w:r w:rsidR="008A6CE2" w:rsidRPr="002532DF">
        <w:rPr>
          <w:sz w:val="25"/>
          <w:szCs w:val="25"/>
        </w:rPr>
        <w:t>In summary, t</w:t>
      </w:r>
      <w:r w:rsidR="00A65161" w:rsidRPr="002532DF">
        <w:rPr>
          <w:sz w:val="25"/>
          <w:szCs w:val="25"/>
        </w:rPr>
        <w:t xml:space="preserve">he Company argues that its updated </w:t>
      </w:r>
      <w:r w:rsidRPr="002532DF">
        <w:rPr>
          <w:sz w:val="25"/>
          <w:szCs w:val="25"/>
        </w:rPr>
        <w:t xml:space="preserve">computations </w:t>
      </w:r>
      <w:r w:rsidR="00A65161" w:rsidRPr="002532DF">
        <w:rPr>
          <w:sz w:val="25"/>
          <w:szCs w:val="25"/>
        </w:rPr>
        <w:t>to ICNU’s analysis</w:t>
      </w:r>
      <w:r w:rsidR="008A6CE2" w:rsidRPr="002532DF">
        <w:rPr>
          <w:sz w:val="25"/>
          <w:szCs w:val="25"/>
        </w:rPr>
        <w:t xml:space="preserve">, not including a CAPM result, will produce an </w:t>
      </w:r>
      <w:r w:rsidR="00DB3CF3" w:rsidRPr="002532DF">
        <w:rPr>
          <w:sz w:val="25"/>
          <w:szCs w:val="25"/>
        </w:rPr>
        <w:t>average return</w:t>
      </w:r>
      <w:r w:rsidRPr="002532DF">
        <w:rPr>
          <w:sz w:val="25"/>
          <w:szCs w:val="25"/>
        </w:rPr>
        <w:t xml:space="preserve"> on equity of 10.2</w:t>
      </w:r>
      <w:r w:rsidR="008A6CE2" w:rsidRPr="002532DF">
        <w:rPr>
          <w:sz w:val="25"/>
          <w:szCs w:val="25"/>
        </w:rPr>
        <w:t>1</w:t>
      </w:r>
      <w:r w:rsidRPr="002532DF">
        <w:rPr>
          <w:sz w:val="25"/>
          <w:szCs w:val="25"/>
        </w:rPr>
        <w:t xml:space="preserve"> percent.</w:t>
      </w:r>
      <w:r w:rsidRPr="002532DF">
        <w:rPr>
          <w:rStyle w:val="FootnoteReference"/>
          <w:sz w:val="25"/>
          <w:szCs w:val="25"/>
        </w:rPr>
        <w:footnoteReference w:id="119"/>
      </w:r>
    </w:p>
    <w:p w:rsidR="00C3335A" w:rsidRPr="002532DF" w:rsidRDefault="00C3335A" w:rsidP="00C3335A">
      <w:pPr>
        <w:spacing w:line="276" w:lineRule="auto"/>
        <w:ind w:left="-720"/>
        <w:rPr>
          <w:sz w:val="25"/>
          <w:szCs w:val="25"/>
        </w:rPr>
      </w:pPr>
    </w:p>
    <w:p w:rsidR="00AC3401" w:rsidRDefault="00D17347" w:rsidP="00AD0B90">
      <w:pPr>
        <w:numPr>
          <w:ilvl w:val="0"/>
          <w:numId w:val="1"/>
        </w:numPr>
        <w:tabs>
          <w:tab w:val="clear" w:pos="720"/>
          <w:tab w:val="num" w:pos="0"/>
        </w:tabs>
        <w:spacing w:line="276" w:lineRule="auto"/>
        <w:ind w:left="0"/>
        <w:rPr>
          <w:sz w:val="25"/>
          <w:szCs w:val="25"/>
        </w:rPr>
      </w:pPr>
      <w:r w:rsidRPr="002532DF">
        <w:rPr>
          <w:i/>
          <w:sz w:val="25"/>
          <w:szCs w:val="25"/>
        </w:rPr>
        <w:t xml:space="preserve">Commission Decision. </w:t>
      </w:r>
      <w:r w:rsidR="00B85BB7">
        <w:rPr>
          <w:i/>
          <w:sz w:val="25"/>
          <w:szCs w:val="25"/>
        </w:rPr>
        <w:t xml:space="preserve"> </w:t>
      </w:r>
      <w:r w:rsidR="00CE0C8D" w:rsidRPr="002532DF">
        <w:rPr>
          <w:sz w:val="25"/>
          <w:szCs w:val="25"/>
        </w:rPr>
        <w:t>O</w:t>
      </w:r>
      <w:r w:rsidR="00454EBF" w:rsidRPr="002532DF">
        <w:rPr>
          <w:sz w:val="25"/>
          <w:szCs w:val="25"/>
        </w:rPr>
        <w:t xml:space="preserve">ur determination of the cost of equity </w:t>
      </w:r>
      <w:r w:rsidR="00CE0C8D" w:rsidRPr="002532DF">
        <w:rPr>
          <w:sz w:val="25"/>
          <w:szCs w:val="25"/>
        </w:rPr>
        <w:t xml:space="preserve">requires that we set a rate at which the utility </w:t>
      </w:r>
      <w:r w:rsidR="005F7503" w:rsidRPr="002532DF">
        <w:rPr>
          <w:sz w:val="25"/>
          <w:szCs w:val="25"/>
        </w:rPr>
        <w:t>earns</w:t>
      </w:r>
      <w:r w:rsidR="00454EBF" w:rsidRPr="002532DF">
        <w:rPr>
          <w:sz w:val="25"/>
          <w:szCs w:val="25"/>
        </w:rPr>
        <w:t xml:space="preserve"> </w:t>
      </w:r>
      <w:r w:rsidR="005D00CC" w:rsidRPr="002532DF">
        <w:rPr>
          <w:sz w:val="25"/>
          <w:szCs w:val="25"/>
        </w:rPr>
        <w:t xml:space="preserve">a </w:t>
      </w:r>
      <w:r w:rsidR="00454EBF" w:rsidRPr="002532DF">
        <w:rPr>
          <w:sz w:val="25"/>
          <w:szCs w:val="25"/>
        </w:rPr>
        <w:t xml:space="preserve">return on investment </w:t>
      </w:r>
      <w:r w:rsidR="002A5221" w:rsidRPr="002532DF">
        <w:rPr>
          <w:sz w:val="25"/>
          <w:szCs w:val="25"/>
        </w:rPr>
        <w:t>commensurate with the returns of companies with comparable risks.  This task is always c</w:t>
      </w:r>
      <w:r w:rsidR="003474AE" w:rsidRPr="002532DF">
        <w:rPr>
          <w:sz w:val="25"/>
          <w:szCs w:val="25"/>
        </w:rPr>
        <w:t xml:space="preserve">omplex because </w:t>
      </w:r>
      <w:r w:rsidR="002A5221" w:rsidRPr="002532DF">
        <w:rPr>
          <w:sz w:val="25"/>
          <w:szCs w:val="25"/>
        </w:rPr>
        <w:t xml:space="preserve">we must </w:t>
      </w:r>
      <w:r w:rsidR="00CE0C8D" w:rsidRPr="002532DF">
        <w:rPr>
          <w:sz w:val="25"/>
          <w:szCs w:val="25"/>
        </w:rPr>
        <w:t xml:space="preserve">use our informed judgment to estimate </w:t>
      </w:r>
      <w:r w:rsidR="003474AE" w:rsidRPr="002532DF">
        <w:rPr>
          <w:sz w:val="25"/>
          <w:szCs w:val="25"/>
        </w:rPr>
        <w:t>how capital market</w:t>
      </w:r>
      <w:r w:rsidR="00CE0C8D" w:rsidRPr="002532DF">
        <w:rPr>
          <w:sz w:val="25"/>
          <w:szCs w:val="25"/>
        </w:rPr>
        <w:t>s will respond in the future to a utility’s particular needs for debt and equity capital</w:t>
      </w:r>
      <w:r w:rsidR="003474AE" w:rsidRPr="002532DF">
        <w:rPr>
          <w:sz w:val="25"/>
          <w:szCs w:val="25"/>
        </w:rPr>
        <w:t xml:space="preserve">.  The complexity of this task is compounded because the period since the Company’s last litigated rate case is one </w:t>
      </w:r>
      <w:r w:rsidR="002A5221" w:rsidRPr="002532DF">
        <w:rPr>
          <w:sz w:val="25"/>
          <w:szCs w:val="25"/>
        </w:rPr>
        <w:t xml:space="preserve">marked by </w:t>
      </w:r>
      <w:r w:rsidR="00CE0C8D" w:rsidRPr="002532DF">
        <w:rPr>
          <w:sz w:val="25"/>
          <w:szCs w:val="25"/>
        </w:rPr>
        <w:t>the most severe economic recession since the 1930’s.</w:t>
      </w:r>
      <w:r w:rsidR="003474AE" w:rsidRPr="002532DF">
        <w:rPr>
          <w:sz w:val="25"/>
          <w:szCs w:val="25"/>
        </w:rPr>
        <w:t xml:space="preserve">  </w:t>
      </w:r>
      <w:r w:rsidR="0054453B" w:rsidRPr="002532DF">
        <w:rPr>
          <w:sz w:val="25"/>
          <w:szCs w:val="25"/>
        </w:rPr>
        <w:t>This case presents yet another layer of complexity because PacifiCorp is a subsidiary of MEHC</w:t>
      </w:r>
      <w:r w:rsidR="00CE0C8D" w:rsidRPr="002532DF">
        <w:rPr>
          <w:sz w:val="25"/>
          <w:szCs w:val="25"/>
        </w:rPr>
        <w:t xml:space="preserve"> and ultimately receives its capital </w:t>
      </w:r>
      <w:r w:rsidR="005D00CC" w:rsidRPr="002532DF">
        <w:rPr>
          <w:sz w:val="25"/>
          <w:szCs w:val="25"/>
        </w:rPr>
        <w:t xml:space="preserve">from </w:t>
      </w:r>
      <w:r w:rsidR="00CE0C8D" w:rsidRPr="002532DF">
        <w:rPr>
          <w:sz w:val="25"/>
          <w:szCs w:val="25"/>
        </w:rPr>
        <w:t xml:space="preserve">Berkshire Hathaway.  </w:t>
      </w:r>
      <w:r w:rsidR="0030553E" w:rsidRPr="002532DF">
        <w:rPr>
          <w:sz w:val="25"/>
          <w:szCs w:val="25"/>
        </w:rPr>
        <w:t xml:space="preserve">Therefore, we place somewhat greater weight on the </w:t>
      </w:r>
      <w:r w:rsidR="00DB3CF3" w:rsidRPr="002532DF">
        <w:rPr>
          <w:sz w:val="25"/>
          <w:szCs w:val="25"/>
        </w:rPr>
        <w:t>selection</w:t>
      </w:r>
      <w:r w:rsidR="0030553E" w:rsidRPr="002532DF">
        <w:rPr>
          <w:sz w:val="25"/>
          <w:szCs w:val="25"/>
        </w:rPr>
        <w:t xml:space="preserve"> of the proxy group and its analysis because of the lack of a transparent price for its equity.  </w:t>
      </w:r>
    </w:p>
    <w:p w:rsidR="00AC3401" w:rsidRDefault="00AC3401" w:rsidP="00E77D4E">
      <w:pPr>
        <w:pStyle w:val="ListParagraph"/>
        <w:rPr>
          <w:sz w:val="25"/>
          <w:szCs w:val="25"/>
        </w:rPr>
      </w:pPr>
    </w:p>
    <w:p w:rsidR="00C3335A" w:rsidRPr="002532DF" w:rsidRDefault="0030553E" w:rsidP="00AD0B90">
      <w:pPr>
        <w:numPr>
          <w:ilvl w:val="0"/>
          <w:numId w:val="1"/>
        </w:numPr>
        <w:tabs>
          <w:tab w:val="clear" w:pos="720"/>
          <w:tab w:val="num" w:pos="0"/>
        </w:tabs>
        <w:spacing w:line="276" w:lineRule="auto"/>
        <w:ind w:left="0"/>
        <w:rPr>
          <w:sz w:val="25"/>
          <w:szCs w:val="25"/>
        </w:rPr>
      </w:pPr>
      <w:r w:rsidRPr="002532DF">
        <w:rPr>
          <w:sz w:val="25"/>
          <w:szCs w:val="25"/>
        </w:rPr>
        <w:t>O</w:t>
      </w:r>
      <w:r w:rsidR="002A5221" w:rsidRPr="002532DF">
        <w:rPr>
          <w:sz w:val="25"/>
          <w:szCs w:val="25"/>
        </w:rPr>
        <w:t xml:space="preserve">ur analysis commences with the composition of a group of companies with </w:t>
      </w:r>
      <w:r w:rsidR="00CE0C8D" w:rsidRPr="002532DF">
        <w:rPr>
          <w:sz w:val="25"/>
          <w:szCs w:val="25"/>
        </w:rPr>
        <w:t>business and financial</w:t>
      </w:r>
      <w:r w:rsidR="002A5221" w:rsidRPr="002532DF">
        <w:rPr>
          <w:sz w:val="25"/>
          <w:szCs w:val="25"/>
        </w:rPr>
        <w:t xml:space="preserve"> risk comparable to PacifiCorp’s</w:t>
      </w:r>
      <w:r w:rsidR="00D51429" w:rsidRPr="002532DF">
        <w:rPr>
          <w:sz w:val="25"/>
          <w:szCs w:val="25"/>
        </w:rPr>
        <w:t>.</w:t>
      </w:r>
      <w:r w:rsidR="002A5221" w:rsidRPr="002532DF">
        <w:rPr>
          <w:sz w:val="25"/>
          <w:szCs w:val="25"/>
        </w:rPr>
        <w:t xml:space="preserve">  PacifiCorp developed a group of 22 companies</w:t>
      </w:r>
      <w:r w:rsidR="00033545" w:rsidRPr="002532DF">
        <w:rPr>
          <w:sz w:val="25"/>
          <w:szCs w:val="25"/>
        </w:rPr>
        <w:t xml:space="preserve"> for its proxy group</w:t>
      </w:r>
      <w:r w:rsidR="002A5221" w:rsidRPr="002532DF">
        <w:rPr>
          <w:sz w:val="25"/>
          <w:szCs w:val="25"/>
        </w:rPr>
        <w:t xml:space="preserve">.  ICNU uses the same group of companies arguing that they are </w:t>
      </w:r>
      <w:r w:rsidR="000729EC" w:rsidRPr="002532DF">
        <w:rPr>
          <w:sz w:val="25"/>
          <w:szCs w:val="25"/>
        </w:rPr>
        <w:t xml:space="preserve">generally </w:t>
      </w:r>
      <w:r w:rsidR="002A5221" w:rsidRPr="002532DF">
        <w:rPr>
          <w:sz w:val="25"/>
          <w:szCs w:val="25"/>
        </w:rPr>
        <w:t xml:space="preserve">comparable in terms of total investment risk, common equity ratio/financial risk, and S&amp;P business risk.  Staff </w:t>
      </w:r>
      <w:r w:rsidR="005D00CC" w:rsidRPr="002532DF">
        <w:rPr>
          <w:sz w:val="25"/>
          <w:szCs w:val="25"/>
        </w:rPr>
        <w:t>creates a new proxy group</w:t>
      </w:r>
      <w:r w:rsidR="008754E2" w:rsidRPr="002532DF">
        <w:rPr>
          <w:sz w:val="25"/>
          <w:szCs w:val="25"/>
        </w:rPr>
        <w:t xml:space="preserve"> </w:t>
      </w:r>
      <w:r w:rsidR="005D00CC" w:rsidRPr="002532DF">
        <w:rPr>
          <w:sz w:val="25"/>
          <w:szCs w:val="25"/>
        </w:rPr>
        <w:t>consisting of six companies from PacifiCorp’s</w:t>
      </w:r>
      <w:r w:rsidR="00D51429" w:rsidRPr="002532DF">
        <w:rPr>
          <w:sz w:val="25"/>
          <w:szCs w:val="25"/>
        </w:rPr>
        <w:t xml:space="preserve"> proxy group </w:t>
      </w:r>
      <w:r w:rsidR="005D00CC" w:rsidRPr="002532DF">
        <w:rPr>
          <w:sz w:val="25"/>
          <w:szCs w:val="25"/>
        </w:rPr>
        <w:t>plus</w:t>
      </w:r>
      <w:r w:rsidR="008754E2" w:rsidRPr="002532DF">
        <w:rPr>
          <w:sz w:val="25"/>
          <w:szCs w:val="25"/>
        </w:rPr>
        <w:t xml:space="preserve"> Avista</w:t>
      </w:r>
      <w:r w:rsidR="000729EC" w:rsidRPr="002532DF">
        <w:rPr>
          <w:sz w:val="25"/>
          <w:szCs w:val="25"/>
        </w:rPr>
        <w:t xml:space="preserve">, a number </w:t>
      </w:r>
      <w:r w:rsidR="00DB3CF3" w:rsidRPr="002532DF">
        <w:rPr>
          <w:sz w:val="25"/>
          <w:szCs w:val="25"/>
        </w:rPr>
        <w:t>that draws</w:t>
      </w:r>
      <w:r w:rsidR="00DB5472" w:rsidRPr="002532DF">
        <w:rPr>
          <w:sz w:val="25"/>
          <w:szCs w:val="25"/>
        </w:rPr>
        <w:t xml:space="preserve"> significant criticism that it is too small to be statistically reliable.</w:t>
      </w:r>
      <w:r w:rsidR="00DB5472" w:rsidRPr="002532DF">
        <w:rPr>
          <w:rStyle w:val="FootnoteReference"/>
          <w:sz w:val="25"/>
          <w:szCs w:val="25"/>
        </w:rPr>
        <w:footnoteReference w:id="120"/>
      </w:r>
      <w:r w:rsidR="00454EBF" w:rsidRPr="002532DF">
        <w:rPr>
          <w:sz w:val="25"/>
          <w:szCs w:val="25"/>
        </w:rPr>
        <w:t xml:space="preserve"> </w:t>
      </w:r>
      <w:r w:rsidR="007329EF" w:rsidRPr="002532DF">
        <w:rPr>
          <w:sz w:val="25"/>
          <w:szCs w:val="25"/>
        </w:rPr>
        <w:t xml:space="preserve"> </w:t>
      </w:r>
      <w:r w:rsidR="000729EC" w:rsidRPr="002532DF">
        <w:rPr>
          <w:sz w:val="25"/>
          <w:szCs w:val="25"/>
        </w:rPr>
        <w:t xml:space="preserve">On the other hand, Staff criticizes the Company’s larger group as including non-representative utilities. </w:t>
      </w:r>
    </w:p>
    <w:p w:rsidR="009422A5" w:rsidRPr="002532DF" w:rsidRDefault="009422A5" w:rsidP="009422A5">
      <w:pPr>
        <w:spacing w:line="276" w:lineRule="auto"/>
        <w:ind w:left="-720"/>
        <w:rPr>
          <w:sz w:val="25"/>
          <w:szCs w:val="25"/>
        </w:rPr>
      </w:pPr>
    </w:p>
    <w:p w:rsidR="004718E7" w:rsidRPr="002532DF" w:rsidRDefault="000729EC" w:rsidP="00AD0B90">
      <w:pPr>
        <w:numPr>
          <w:ilvl w:val="0"/>
          <w:numId w:val="1"/>
        </w:numPr>
        <w:tabs>
          <w:tab w:val="clear" w:pos="720"/>
          <w:tab w:val="num" w:pos="0"/>
        </w:tabs>
        <w:spacing w:line="276" w:lineRule="auto"/>
        <w:ind w:left="0"/>
        <w:rPr>
          <w:sz w:val="25"/>
          <w:szCs w:val="25"/>
        </w:rPr>
      </w:pPr>
      <w:r w:rsidRPr="002532DF">
        <w:rPr>
          <w:sz w:val="25"/>
          <w:szCs w:val="25"/>
        </w:rPr>
        <w:t>There is merit to both arguments.  Clearly the 22 member proxy group proposed by the Company and adopted by ICNU contains some companies of dubious comparability</w:t>
      </w:r>
      <w:r w:rsidR="00AC3401">
        <w:rPr>
          <w:sz w:val="25"/>
          <w:szCs w:val="25"/>
        </w:rPr>
        <w:t>,</w:t>
      </w:r>
      <w:r w:rsidRPr="002532DF">
        <w:rPr>
          <w:rStyle w:val="FootnoteReference"/>
          <w:sz w:val="25"/>
          <w:szCs w:val="25"/>
        </w:rPr>
        <w:footnoteReference w:id="121"/>
      </w:r>
      <w:r w:rsidRPr="002532DF">
        <w:rPr>
          <w:sz w:val="25"/>
          <w:szCs w:val="25"/>
        </w:rPr>
        <w:t xml:space="preserve"> </w:t>
      </w:r>
      <w:r w:rsidR="00AC3401">
        <w:rPr>
          <w:sz w:val="25"/>
          <w:szCs w:val="25"/>
        </w:rPr>
        <w:t>resulting in</w:t>
      </w:r>
      <w:r w:rsidRPr="002532DF">
        <w:rPr>
          <w:sz w:val="25"/>
          <w:szCs w:val="25"/>
        </w:rPr>
        <w:t xml:space="preserve"> flaws with the Company’s choice of comparable companies.  </w:t>
      </w:r>
      <w:r w:rsidR="005C355D" w:rsidRPr="002532DF">
        <w:rPr>
          <w:sz w:val="25"/>
          <w:szCs w:val="25"/>
        </w:rPr>
        <w:t>However</w:t>
      </w:r>
      <w:r w:rsidRPr="002532DF">
        <w:rPr>
          <w:sz w:val="25"/>
          <w:szCs w:val="25"/>
        </w:rPr>
        <w:t xml:space="preserve">, we are </w:t>
      </w:r>
      <w:r w:rsidR="005C355D" w:rsidRPr="002532DF">
        <w:rPr>
          <w:sz w:val="25"/>
          <w:szCs w:val="25"/>
        </w:rPr>
        <w:t xml:space="preserve">more </w:t>
      </w:r>
      <w:r w:rsidRPr="002532DF">
        <w:rPr>
          <w:sz w:val="25"/>
          <w:szCs w:val="25"/>
        </w:rPr>
        <w:t xml:space="preserve">concerned </w:t>
      </w:r>
      <w:r w:rsidR="009422A5" w:rsidRPr="002532DF">
        <w:rPr>
          <w:sz w:val="25"/>
          <w:szCs w:val="25"/>
        </w:rPr>
        <w:t xml:space="preserve">with the </w:t>
      </w:r>
      <w:r w:rsidR="00DB3CF3" w:rsidRPr="002532DF">
        <w:rPr>
          <w:sz w:val="25"/>
          <w:szCs w:val="25"/>
        </w:rPr>
        <w:t>size of</w:t>
      </w:r>
      <w:r w:rsidR="009422A5" w:rsidRPr="002532DF">
        <w:rPr>
          <w:sz w:val="25"/>
          <w:szCs w:val="25"/>
        </w:rPr>
        <w:t xml:space="preserve"> Staff’s proxy group</w:t>
      </w:r>
      <w:r w:rsidR="00A71E0F">
        <w:rPr>
          <w:sz w:val="25"/>
          <w:szCs w:val="25"/>
        </w:rPr>
        <w:t>, which at seven</w:t>
      </w:r>
      <w:r w:rsidR="00421AEE" w:rsidRPr="002532DF">
        <w:rPr>
          <w:sz w:val="25"/>
          <w:szCs w:val="25"/>
        </w:rPr>
        <w:t xml:space="preserve"> companies </w:t>
      </w:r>
      <w:r w:rsidR="00A71E0F">
        <w:rPr>
          <w:sz w:val="25"/>
          <w:szCs w:val="25"/>
        </w:rPr>
        <w:t>is of questionable statistical</w:t>
      </w:r>
      <w:r w:rsidR="009422A5" w:rsidRPr="002532DF">
        <w:rPr>
          <w:sz w:val="25"/>
          <w:szCs w:val="25"/>
        </w:rPr>
        <w:t xml:space="preserve"> </w:t>
      </w:r>
      <w:r w:rsidR="00A71E0F">
        <w:rPr>
          <w:sz w:val="25"/>
          <w:szCs w:val="25"/>
        </w:rPr>
        <w:t>reliability</w:t>
      </w:r>
      <w:r w:rsidR="00421AEE" w:rsidRPr="002532DF">
        <w:rPr>
          <w:sz w:val="25"/>
          <w:szCs w:val="25"/>
        </w:rPr>
        <w:t xml:space="preserve">.  </w:t>
      </w:r>
      <w:r w:rsidR="00AC3401">
        <w:rPr>
          <w:sz w:val="25"/>
          <w:szCs w:val="25"/>
        </w:rPr>
        <w:t>Narrowing</w:t>
      </w:r>
      <w:r w:rsidR="00421AEE" w:rsidRPr="002532DF">
        <w:rPr>
          <w:sz w:val="25"/>
          <w:szCs w:val="25"/>
        </w:rPr>
        <w:t xml:space="preserve"> </w:t>
      </w:r>
      <w:r w:rsidR="00894F08" w:rsidRPr="002532DF">
        <w:rPr>
          <w:sz w:val="25"/>
          <w:szCs w:val="25"/>
        </w:rPr>
        <w:t xml:space="preserve">a larger and broader proxy group to a smaller one necessarily </w:t>
      </w:r>
      <w:r w:rsidR="009422A5" w:rsidRPr="002532DF">
        <w:rPr>
          <w:sz w:val="25"/>
          <w:szCs w:val="25"/>
        </w:rPr>
        <w:t xml:space="preserve">requires significant subjective analysis regarding </w:t>
      </w:r>
      <w:r w:rsidR="00894F08" w:rsidRPr="002532DF">
        <w:rPr>
          <w:sz w:val="25"/>
          <w:szCs w:val="25"/>
        </w:rPr>
        <w:t xml:space="preserve">its composition and the criteria by which a </w:t>
      </w:r>
      <w:r w:rsidR="00421AEE" w:rsidRPr="002532DF">
        <w:rPr>
          <w:sz w:val="25"/>
          <w:szCs w:val="25"/>
        </w:rPr>
        <w:t>given</w:t>
      </w:r>
      <w:r w:rsidR="00894F08" w:rsidRPr="002532DF">
        <w:rPr>
          <w:sz w:val="25"/>
          <w:szCs w:val="25"/>
        </w:rPr>
        <w:t xml:space="preserve"> company is included</w:t>
      </w:r>
      <w:r w:rsidR="00421AEE" w:rsidRPr="002532DF">
        <w:rPr>
          <w:sz w:val="25"/>
          <w:szCs w:val="25"/>
        </w:rPr>
        <w:t xml:space="preserve"> or excluded</w:t>
      </w:r>
      <w:r w:rsidR="00894F08" w:rsidRPr="002532DF">
        <w:rPr>
          <w:sz w:val="25"/>
          <w:szCs w:val="25"/>
        </w:rPr>
        <w:t>.</w:t>
      </w:r>
      <w:r w:rsidR="00421AEE" w:rsidRPr="002532DF">
        <w:rPr>
          <w:sz w:val="25"/>
          <w:szCs w:val="25"/>
        </w:rPr>
        <w:t xml:space="preserve"> </w:t>
      </w:r>
      <w:r w:rsidR="009422A5" w:rsidRPr="002532DF">
        <w:rPr>
          <w:sz w:val="25"/>
          <w:szCs w:val="25"/>
        </w:rPr>
        <w:t xml:space="preserve"> </w:t>
      </w:r>
      <w:r w:rsidR="00894F08" w:rsidRPr="002532DF">
        <w:rPr>
          <w:sz w:val="25"/>
          <w:szCs w:val="25"/>
        </w:rPr>
        <w:t xml:space="preserve">In general, the smaller the proxy group, the greater possibility for bias to be introduced due to subjective factors.  </w:t>
      </w:r>
      <w:r w:rsidR="00421AEE" w:rsidRPr="002532DF">
        <w:rPr>
          <w:sz w:val="25"/>
          <w:szCs w:val="25"/>
        </w:rPr>
        <w:t xml:space="preserve">Staff </w:t>
      </w:r>
      <w:r w:rsidR="00AC3401">
        <w:rPr>
          <w:sz w:val="25"/>
          <w:szCs w:val="25"/>
        </w:rPr>
        <w:t>observes</w:t>
      </w:r>
      <w:r w:rsidR="00421AEE" w:rsidRPr="002532DF">
        <w:rPr>
          <w:sz w:val="25"/>
          <w:szCs w:val="25"/>
        </w:rPr>
        <w:t xml:space="preserve"> that in the 1980’s and earlier, the Commission considered proxy groups in </w:t>
      </w:r>
      <w:r w:rsidR="00DB3CF3" w:rsidRPr="002532DF">
        <w:rPr>
          <w:sz w:val="25"/>
          <w:szCs w:val="25"/>
        </w:rPr>
        <w:t>telecommunications</w:t>
      </w:r>
      <w:r w:rsidR="00421AEE" w:rsidRPr="002532DF">
        <w:rPr>
          <w:sz w:val="25"/>
          <w:szCs w:val="25"/>
        </w:rPr>
        <w:t xml:space="preserve"> rate cases that were as small, or smaller, than the one proposed here</w:t>
      </w:r>
      <w:r w:rsidR="00A71E0F">
        <w:rPr>
          <w:sz w:val="25"/>
          <w:szCs w:val="25"/>
        </w:rPr>
        <w:t>.</w:t>
      </w:r>
      <w:r w:rsidR="00421AEE" w:rsidRPr="002532DF">
        <w:rPr>
          <w:sz w:val="25"/>
          <w:szCs w:val="25"/>
        </w:rPr>
        <w:t xml:space="preserve"> </w:t>
      </w:r>
      <w:r w:rsidR="00AC3401">
        <w:rPr>
          <w:sz w:val="25"/>
          <w:szCs w:val="25"/>
        </w:rPr>
        <w:t xml:space="preserve"> However, there are </w:t>
      </w:r>
      <w:r w:rsidR="00894F08" w:rsidRPr="002532DF">
        <w:rPr>
          <w:sz w:val="25"/>
          <w:szCs w:val="25"/>
        </w:rPr>
        <w:t xml:space="preserve">fundamental structural differences between the telecommunications </w:t>
      </w:r>
      <w:r w:rsidR="00AC3401">
        <w:rPr>
          <w:sz w:val="25"/>
          <w:szCs w:val="25"/>
        </w:rPr>
        <w:t xml:space="preserve">industry at that time </w:t>
      </w:r>
      <w:r w:rsidR="00894F08" w:rsidRPr="002532DF">
        <w:rPr>
          <w:sz w:val="25"/>
          <w:szCs w:val="25"/>
        </w:rPr>
        <w:t xml:space="preserve">and </w:t>
      </w:r>
      <w:r w:rsidR="00AC3401">
        <w:rPr>
          <w:sz w:val="25"/>
          <w:szCs w:val="25"/>
        </w:rPr>
        <w:t xml:space="preserve">the </w:t>
      </w:r>
      <w:r w:rsidR="00894F08" w:rsidRPr="002532DF">
        <w:rPr>
          <w:sz w:val="25"/>
          <w:szCs w:val="25"/>
        </w:rPr>
        <w:t>e</w:t>
      </w:r>
      <w:r w:rsidR="00421AEE" w:rsidRPr="002532DF">
        <w:rPr>
          <w:sz w:val="25"/>
          <w:szCs w:val="25"/>
        </w:rPr>
        <w:t>nergy</w:t>
      </w:r>
      <w:r w:rsidR="00894F08" w:rsidRPr="002532DF">
        <w:rPr>
          <w:sz w:val="25"/>
          <w:szCs w:val="25"/>
        </w:rPr>
        <w:t xml:space="preserve"> </w:t>
      </w:r>
      <w:r w:rsidR="00AC3401">
        <w:rPr>
          <w:sz w:val="25"/>
          <w:szCs w:val="25"/>
        </w:rPr>
        <w:t xml:space="preserve">industry </w:t>
      </w:r>
      <w:r w:rsidR="00766CCD">
        <w:rPr>
          <w:sz w:val="25"/>
          <w:szCs w:val="25"/>
        </w:rPr>
        <w:t>now</w:t>
      </w:r>
      <w:r w:rsidR="00421AEE" w:rsidRPr="002532DF">
        <w:rPr>
          <w:sz w:val="25"/>
          <w:szCs w:val="25"/>
        </w:rPr>
        <w:t xml:space="preserve">.  There were few large telecommunications companies </w:t>
      </w:r>
      <w:r w:rsidR="00AC3401">
        <w:rPr>
          <w:sz w:val="25"/>
          <w:szCs w:val="25"/>
        </w:rPr>
        <w:t xml:space="preserve">30 years ago, </w:t>
      </w:r>
      <w:r w:rsidR="00421AEE" w:rsidRPr="002532DF">
        <w:rPr>
          <w:sz w:val="25"/>
          <w:szCs w:val="25"/>
        </w:rPr>
        <w:t xml:space="preserve">and they may have been more comparable to each other than energy companies are today. </w:t>
      </w:r>
      <w:r w:rsidR="00AC3401">
        <w:rPr>
          <w:sz w:val="25"/>
          <w:szCs w:val="25"/>
        </w:rPr>
        <w:t xml:space="preserve"> In any event, we have </w:t>
      </w:r>
      <w:r w:rsidR="00C82A76">
        <w:rPr>
          <w:sz w:val="25"/>
          <w:szCs w:val="25"/>
        </w:rPr>
        <w:t>more</w:t>
      </w:r>
      <w:r w:rsidR="00AC3401">
        <w:rPr>
          <w:sz w:val="25"/>
          <w:szCs w:val="25"/>
        </w:rPr>
        <w:t xml:space="preserve"> confidence in the Company’s and ICNU’s 22 member proxy group than in Staff’s seven member proxy group.</w:t>
      </w:r>
    </w:p>
    <w:p w:rsidR="00E23FBE" w:rsidRPr="002532DF" w:rsidRDefault="00E23FBE">
      <w:pPr>
        <w:spacing w:line="276" w:lineRule="auto"/>
        <w:ind w:left="-720"/>
        <w:rPr>
          <w:sz w:val="25"/>
          <w:szCs w:val="25"/>
        </w:rPr>
      </w:pPr>
    </w:p>
    <w:p w:rsidR="002717E5" w:rsidRPr="003666D5" w:rsidRDefault="001B4B79" w:rsidP="00AD0B90">
      <w:pPr>
        <w:numPr>
          <w:ilvl w:val="0"/>
          <w:numId w:val="1"/>
        </w:numPr>
        <w:tabs>
          <w:tab w:val="clear" w:pos="720"/>
          <w:tab w:val="num" w:pos="0"/>
        </w:tabs>
        <w:spacing w:line="276" w:lineRule="auto"/>
        <w:ind w:left="0"/>
        <w:rPr>
          <w:sz w:val="25"/>
          <w:szCs w:val="25"/>
        </w:rPr>
      </w:pPr>
      <w:r w:rsidRPr="003666D5">
        <w:rPr>
          <w:sz w:val="25"/>
          <w:szCs w:val="25"/>
        </w:rPr>
        <w:t>Our focus is on the</w:t>
      </w:r>
      <w:r w:rsidR="007425FA" w:rsidRPr="003666D5">
        <w:rPr>
          <w:sz w:val="25"/>
          <w:szCs w:val="25"/>
        </w:rPr>
        <w:t xml:space="preserve"> comparable risk underlying proxy group selection</w:t>
      </w:r>
      <w:r w:rsidRPr="003666D5">
        <w:rPr>
          <w:sz w:val="25"/>
          <w:szCs w:val="25"/>
        </w:rPr>
        <w:t>.</w:t>
      </w:r>
      <w:r w:rsidR="007425FA" w:rsidRPr="003666D5">
        <w:rPr>
          <w:sz w:val="25"/>
          <w:szCs w:val="25"/>
        </w:rPr>
        <w:t xml:space="preserve">  We do not have to winnow down </w:t>
      </w:r>
      <w:r w:rsidR="00894F08" w:rsidRPr="003666D5">
        <w:rPr>
          <w:sz w:val="25"/>
          <w:szCs w:val="25"/>
        </w:rPr>
        <w:t xml:space="preserve">with precision </w:t>
      </w:r>
      <w:r w:rsidR="007425FA" w:rsidRPr="003666D5">
        <w:rPr>
          <w:sz w:val="25"/>
          <w:szCs w:val="25"/>
        </w:rPr>
        <w:t xml:space="preserve">a proxy group to a level of </w:t>
      </w:r>
      <w:r w:rsidR="007425FA" w:rsidRPr="003666D5">
        <w:rPr>
          <w:i/>
          <w:sz w:val="25"/>
          <w:szCs w:val="25"/>
        </w:rPr>
        <w:t xml:space="preserve">identical </w:t>
      </w:r>
      <w:r w:rsidR="007425FA" w:rsidRPr="003666D5">
        <w:rPr>
          <w:sz w:val="25"/>
          <w:szCs w:val="25"/>
        </w:rPr>
        <w:t xml:space="preserve">risk </w:t>
      </w:r>
      <w:r w:rsidR="00894F08" w:rsidRPr="003666D5">
        <w:rPr>
          <w:sz w:val="25"/>
          <w:szCs w:val="25"/>
        </w:rPr>
        <w:t xml:space="preserve">but instead use our best judgment to </w:t>
      </w:r>
      <w:r w:rsidR="005D00CC" w:rsidRPr="003666D5">
        <w:rPr>
          <w:sz w:val="25"/>
          <w:szCs w:val="25"/>
        </w:rPr>
        <w:t>consider</w:t>
      </w:r>
      <w:r w:rsidR="0001676E" w:rsidRPr="003666D5">
        <w:rPr>
          <w:sz w:val="25"/>
          <w:szCs w:val="25"/>
        </w:rPr>
        <w:t xml:space="preserve"> companies with </w:t>
      </w:r>
      <w:r w:rsidR="009454D5" w:rsidRPr="003666D5">
        <w:rPr>
          <w:i/>
          <w:sz w:val="25"/>
          <w:szCs w:val="25"/>
        </w:rPr>
        <w:t>similar</w:t>
      </w:r>
      <w:r w:rsidR="0001676E" w:rsidRPr="003666D5">
        <w:rPr>
          <w:sz w:val="25"/>
          <w:szCs w:val="25"/>
        </w:rPr>
        <w:t xml:space="preserve"> characteristics and risks.</w:t>
      </w:r>
      <w:r w:rsidR="007425FA" w:rsidRPr="002532DF">
        <w:rPr>
          <w:rStyle w:val="FootnoteReference"/>
          <w:sz w:val="25"/>
          <w:szCs w:val="25"/>
        </w:rPr>
        <w:footnoteReference w:id="122"/>
      </w:r>
      <w:r w:rsidR="003666D5" w:rsidRPr="003666D5">
        <w:rPr>
          <w:sz w:val="25"/>
          <w:szCs w:val="25"/>
        </w:rPr>
        <w:t xml:space="preserve">  </w:t>
      </w:r>
      <w:r w:rsidRPr="003666D5">
        <w:rPr>
          <w:sz w:val="25"/>
          <w:szCs w:val="25"/>
        </w:rPr>
        <w:t>Therefore</w:t>
      </w:r>
      <w:r w:rsidR="002717E5" w:rsidRPr="003666D5">
        <w:rPr>
          <w:sz w:val="25"/>
          <w:szCs w:val="25"/>
        </w:rPr>
        <w:t xml:space="preserve">, we focus our analysis on the </w:t>
      </w:r>
      <w:r w:rsidRPr="003666D5">
        <w:rPr>
          <w:sz w:val="25"/>
          <w:szCs w:val="25"/>
        </w:rPr>
        <w:t xml:space="preserve">DCF methodologies of PacifiCorp and ICNU using their </w:t>
      </w:r>
      <w:r w:rsidR="002717E5" w:rsidRPr="003666D5">
        <w:rPr>
          <w:sz w:val="25"/>
          <w:szCs w:val="25"/>
        </w:rPr>
        <w:t>22-company proxy group</w:t>
      </w:r>
      <w:r w:rsidR="00A71E0F" w:rsidRPr="003666D5">
        <w:rPr>
          <w:sz w:val="25"/>
          <w:szCs w:val="25"/>
        </w:rPr>
        <w:t>.</w:t>
      </w:r>
    </w:p>
    <w:p w:rsidR="00F42AC9" w:rsidRPr="002532DF" w:rsidRDefault="00F42AC9">
      <w:pPr>
        <w:pStyle w:val="ListParagraph"/>
        <w:rPr>
          <w:sz w:val="25"/>
          <w:szCs w:val="25"/>
        </w:rPr>
      </w:pPr>
    </w:p>
    <w:p w:rsidR="00D12804" w:rsidRPr="002532DF" w:rsidRDefault="00CF5DFB" w:rsidP="00AD0B90">
      <w:pPr>
        <w:numPr>
          <w:ilvl w:val="0"/>
          <w:numId w:val="1"/>
        </w:numPr>
        <w:tabs>
          <w:tab w:val="clear" w:pos="720"/>
          <w:tab w:val="num" w:pos="0"/>
        </w:tabs>
        <w:spacing w:line="276" w:lineRule="auto"/>
        <w:ind w:left="0"/>
        <w:rPr>
          <w:sz w:val="25"/>
          <w:szCs w:val="25"/>
        </w:rPr>
      </w:pPr>
      <w:r w:rsidRPr="002532DF">
        <w:rPr>
          <w:i/>
          <w:sz w:val="25"/>
          <w:szCs w:val="25"/>
        </w:rPr>
        <w:t xml:space="preserve">DCF Analyses:  </w:t>
      </w:r>
      <w:r w:rsidRPr="002532DF">
        <w:rPr>
          <w:sz w:val="25"/>
          <w:szCs w:val="25"/>
        </w:rPr>
        <w:t xml:space="preserve">We first address the several variants of the DCF formulas used in this case </w:t>
      </w:r>
      <w:r w:rsidR="00766CCD">
        <w:rPr>
          <w:sz w:val="25"/>
          <w:szCs w:val="25"/>
        </w:rPr>
        <w:t xml:space="preserve">and </w:t>
      </w:r>
      <w:r w:rsidRPr="002532DF">
        <w:rPr>
          <w:sz w:val="25"/>
          <w:szCs w:val="25"/>
        </w:rPr>
        <w:t xml:space="preserve">compare their strengths and infirmities.  </w:t>
      </w:r>
      <w:r w:rsidR="00806ECE" w:rsidRPr="002532DF">
        <w:rPr>
          <w:sz w:val="25"/>
          <w:szCs w:val="25"/>
        </w:rPr>
        <w:t xml:space="preserve">PacifiCorp uses three </w:t>
      </w:r>
      <w:r w:rsidR="008800DF" w:rsidRPr="002532DF">
        <w:rPr>
          <w:sz w:val="25"/>
          <w:szCs w:val="25"/>
        </w:rPr>
        <w:t xml:space="preserve">versions of the DCF formula resulting in a </w:t>
      </w:r>
      <w:r w:rsidR="00806ECE" w:rsidRPr="002532DF">
        <w:rPr>
          <w:sz w:val="25"/>
          <w:szCs w:val="25"/>
        </w:rPr>
        <w:t xml:space="preserve">cost of equity range between </w:t>
      </w:r>
      <w:r w:rsidR="008800DF" w:rsidRPr="002532DF">
        <w:rPr>
          <w:sz w:val="25"/>
          <w:szCs w:val="25"/>
        </w:rPr>
        <w:t>10.40 and 10.90 percent.</w:t>
      </w:r>
      <w:r w:rsidR="005F6FD1" w:rsidRPr="002532DF">
        <w:rPr>
          <w:rStyle w:val="FootnoteReference"/>
          <w:sz w:val="25"/>
          <w:szCs w:val="25"/>
        </w:rPr>
        <w:footnoteReference w:id="123"/>
      </w:r>
      <w:r w:rsidR="008800DF" w:rsidRPr="002532DF">
        <w:rPr>
          <w:sz w:val="25"/>
          <w:szCs w:val="25"/>
        </w:rPr>
        <w:t xml:space="preserve">  ICNU also uses </w:t>
      </w:r>
      <w:r w:rsidR="00E5234B" w:rsidRPr="002532DF">
        <w:rPr>
          <w:sz w:val="25"/>
          <w:szCs w:val="25"/>
        </w:rPr>
        <w:t>three v</w:t>
      </w:r>
      <w:r w:rsidR="001C777D" w:rsidRPr="002532DF">
        <w:rPr>
          <w:sz w:val="25"/>
          <w:szCs w:val="25"/>
        </w:rPr>
        <w:t>ariants</w:t>
      </w:r>
      <w:r w:rsidR="00E5234B" w:rsidRPr="002532DF">
        <w:rPr>
          <w:sz w:val="25"/>
          <w:szCs w:val="25"/>
        </w:rPr>
        <w:t xml:space="preserve"> of the DCF formula and produces a cost of equity range from </w:t>
      </w:r>
      <w:r w:rsidR="00AE6089" w:rsidRPr="002532DF">
        <w:rPr>
          <w:sz w:val="25"/>
          <w:szCs w:val="25"/>
        </w:rPr>
        <w:t>9.1</w:t>
      </w:r>
      <w:r w:rsidR="001C777D" w:rsidRPr="002532DF">
        <w:rPr>
          <w:sz w:val="25"/>
          <w:szCs w:val="25"/>
        </w:rPr>
        <w:t>4</w:t>
      </w:r>
      <w:r w:rsidR="00AE6089" w:rsidRPr="002532DF">
        <w:rPr>
          <w:sz w:val="25"/>
          <w:szCs w:val="25"/>
        </w:rPr>
        <w:t xml:space="preserve"> </w:t>
      </w:r>
      <w:r w:rsidR="00E5234B" w:rsidRPr="002532DF">
        <w:rPr>
          <w:sz w:val="25"/>
          <w:szCs w:val="25"/>
        </w:rPr>
        <w:t>to 10.</w:t>
      </w:r>
      <w:r w:rsidR="00384675" w:rsidRPr="002532DF">
        <w:rPr>
          <w:sz w:val="25"/>
          <w:szCs w:val="25"/>
        </w:rPr>
        <w:t>5</w:t>
      </w:r>
      <w:r w:rsidR="001C777D" w:rsidRPr="002532DF">
        <w:rPr>
          <w:sz w:val="25"/>
          <w:szCs w:val="25"/>
        </w:rPr>
        <w:t>0</w:t>
      </w:r>
      <w:r w:rsidR="00E5234B" w:rsidRPr="002532DF">
        <w:rPr>
          <w:sz w:val="25"/>
          <w:szCs w:val="25"/>
        </w:rPr>
        <w:t xml:space="preserve"> percent</w:t>
      </w:r>
      <w:r w:rsidR="00CD43D6" w:rsidRPr="002532DF">
        <w:rPr>
          <w:sz w:val="25"/>
          <w:szCs w:val="25"/>
        </w:rPr>
        <w:t>.</w:t>
      </w:r>
      <w:r w:rsidR="00AE6089" w:rsidRPr="002532DF">
        <w:rPr>
          <w:rStyle w:val="FootnoteReference"/>
          <w:sz w:val="25"/>
          <w:szCs w:val="25"/>
        </w:rPr>
        <w:footnoteReference w:id="124"/>
      </w:r>
      <w:r w:rsidR="00CD43D6" w:rsidRPr="002532DF">
        <w:rPr>
          <w:sz w:val="25"/>
          <w:szCs w:val="25"/>
        </w:rPr>
        <w:t xml:space="preserve">  </w:t>
      </w:r>
      <w:r w:rsidR="00816167" w:rsidRPr="002532DF">
        <w:rPr>
          <w:sz w:val="25"/>
          <w:szCs w:val="25"/>
        </w:rPr>
        <w:t xml:space="preserve">The primary disagreement between PacifiCorp and ICNU is the estimate of the growth element </w:t>
      </w:r>
      <w:r w:rsidR="001E0B05" w:rsidRPr="002532DF">
        <w:rPr>
          <w:sz w:val="25"/>
          <w:szCs w:val="25"/>
        </w:rPr>
        <w:t>of the DCF formula.</w:t>
      </w:r>
      <w:r w:rsidR="00816167" w:rsidRPr="002532DF">
        <w:rPr>
          <w:sz w:val="25"/>
          <w:szCs w:val="25"/>
        </w:rPr>
        <w:t xml:space="preserve">  </w:t>
      </w:r>
      <w:r w:rsidR="005E3DE0" w:rsidRPr="002532DF">
        <w:rPr>
          <w:sz w:val="25"/>
          <w:szCs w:val="25"/>
        </w:rPr>
        <w:t xml:space="preserve">We </w:t>
      </w:r>
      <w:r w:rsidR="001C777D" w:rsidRPr="002532DF">
        <w:rPr>
          <w:sz w:val="25"/>
          <w:szCs w:val="25"/>
        </w:rPr>
        <w:t>understand the divergent assumptions that lead to</w:t>
      </w:r>
      <w:r w:rsidR="005E3DE0" w:rsidRPr="002532DF">
        <w:rPr>
          <w:sz w:val="25"/>
          <w:szCs w:val="25"/>
        </w:rPr>
        <w:t xml:space="preserve"> th</w:t>
      </w:r>
      <w:r w:rsidR="001C777D" w:rsidRPr="002532DF">
        <w:rPr>
          <w:sz w:val="25"/>
          <w:szCs w:val="25"/>
        </w:rPr>
        <w:t>ese</w:t>
      </w:r>
      <w:r w:rsidR="005E3DE0" w:rsidRPr="002532DF">
        <w:rPr>
          <w:sz w:val="25"/>
          <w:szCs w:val="25"/>
        </w:rPr>
        <w:t xml:space="preserve"> disagreement</w:t>
      </w:r>
      <w:r w:rsidR="001C777D" w:rsidRPr="002532DF">
        <w:rPr>
          <w:sz w:val="25"/>
          <w:szCs w:val="25"/>
        </w:rPr>
        <w:t>s</w:t>
      </w:r>
      <w:r w:rsidR="00B450E4" w:rsidRPr="002532DF">
        <w:rPr>
          <w:sz w:val="25"/>
          <w:szCs w:val="25"/>
        </w:rPr>
        <w:t xml:space="preserve"> and recognize that the parties have legitimate differences of opinion.  I</w:t>
      </w:r>
      <w:r w:rsidR="005E3DE0" w:rsidRPr="002532DF">
        <w:rPr>
          <w:sz w:val="25"/>
          <w:szCs w:val="25"/>
        </w:rPr>
        <w:t xml:space="preserve">t is </w:t>
      </w:r>
      <w:r w:rsidR="00B450E4" w:rsidRPr="002532DF">
        <w:rPr>
          <w:sz w:val="25"/>
          <w:szCs w:val="25"/>
        </w:rPr>
        <w:t xml:space="preserve">especially </w:t>
      </w:r>
      <w:r w:rsidR="005E3DE0" w:rsidRPr="002532DF">
        <w:rPr>
          <w:sz w:val="25"/>
          <w:szCs w:val="25"/>
        </w:rPr>
        <w:t xml:space="preserve">difficult to select a </w:t>
      </w:r>
      <w:r w:rsidR="0004359F" w:rsidRPr="002532DF">
        <w:rPr>
          <w:sz w:val="25"/>
          <w:szCs w:val="25"/>
        </w:rPr>
        <w:t xml:space="preserve">projected </w:t>
      </w:r>
      <w:r w:rsidR="005E3DE0" w:rsidRPr="002532DF">
        <w:rPr>
          <w:sz w:val="25"/>
          <w:szCs w:val="25"/>
        </w:rPr>
        <w:t xml:space="preserve">growth rate </w:t>
      </w:r>
      <w:r w:rsidR="0004359F" w:rsidRPr="002532DF">
        <w:rPr>
          <w:sz w:val="25"/>
          <w:szCs w:val="25"/>
        </w:rPr>
        <w:t>for</w:t>
      </w:r>
      <w:r w:rsidR="00B450E4" w:rsidRPr="002532DF">
        <w:rPr>
          <w:sz w:val="25"/>
          <w:szCs w:val="25"/>
        </w:rPr>
        <w:t xml:space="preserve"> the rate year because</w:t>
      </w:r>
      <w:r w:rsidR="005E3DE0" w:rsidRPr="002532DF">
        <w:rPr>
          <w:sz w:val="25"/>
          <w:szCs w:val="25"/>
        </w:rPr>
        <w:t xml:space="preserve"> </w:t>
      </w:r>
      <w:r w:rsidR="001B4B79" w:rsidRPr="002532DF">
        <w:rPr>
          <w:sz w:val="25"/>
          <w:szCs w:val="25"/>
        </w:rPr>
        <w:t xml:space="preserve">the parties disagree about how stable the </w:t>
      </w:r>
      <w:r w:rsidR="005E3DE0" w:rsidRPr="002532DF">
        <w:rPr>
          <w:sz w:val="25"/>
          <w:szCs w:val="25"/>
        </w:rPr>
        <w:t xml:space="preserve">financial </w:t>
      </w:r>
      <w:r w:rsidR="00B450E4" w:rsidRPr="002532DF">
        <w:rPr>
          <w:sz w:val="25"/>
          <w:szCs w:val="25"/>
        </w:rPr>
        <w:t xml:space="preserve">markets have </w:t>
      </w:r>
      <w:r w:rsidR="00D12804" w:rsidRPr="002532DF">
        <w:rPr>
          <w:sz w:val="25"/>
          <w:szCs w:val="25"/>
        </w:rPr>
        <w:t>become in light of the unprecedented turmoil that began in the fall of 2008.</w:t>
      </w:r>
    </w:p>
    <w:p w:rsidR="00E23FBE" w:rsidRPr="002532DF" w:rsidRDefault="00E23FBE">
      <w:pPr>
        <w:pStyle w:val="ListParagraph"/>
        <w:rPr>
          <w:sz w:val="25"/>
          <w:szCs w:val="25"/>
        </w:rPr>
      </w:pPr>
    </w:p>
    <w:p w:rsidR="001B74E0" w:rsidRPr="002532DF" w:rsidRDefault="00D12804" w:rsidP="00AD0B90">
      <w:pPr>
        <w:numPr>
          <w:ilvl w:val="0"/>
          <w:numId w:val="1"/>
        </w:numPr>
        <w:tabs>
          <w:tab w:val="clear" w:pos="720"/>
          <w:tab w:val="num" w:pos="0"/>
        </w:tabs>
        <w:spacing w:line="276" w:lineRule="auto"/>
        <w:ind w:left="0"/>
        <w:rPr>
          <w:sz w:val="25"/>
          <w:szCs w:val="25"/>
        </w:rPr>
      </w:pPr>
      <w:r w:rsidRPr="002532DF">
        <w:rPr>
          <w:sz w:val="25"/>
          <w:szCs w:val="25"/>
        </w:rPr>
        <w:t xml:space="preserve">We conclude that ICNU’s analysis is the better one for two primary reasons.  First, ICNU more accurately </w:t>
      </w:r>
      <w:r w:rsidR="00DB3CF3" w:rsidRPr="002532DF">
        <w:rPr>
          <w:sz w:val="25"/>
          <w:szCs w:val="25"/>
        </w:rPr>
        <w:t>describes</w:t>
      </w:r>
      <w:r w:rsidRPr="002532DF">
        <w:rPr>
          <w:sz w:val="25"/>
          <w:szCs w:val="25"/>
        </w:rPr>
        <w:t xml:space="preserve"> the impact of the recent turmoil in the financial markets.  The Company argues that utility stock prices and performance are significantly worse than in the previous litigated rate case, especially in the last </w:t>
      </w:r>
      <w:r w:rsidR="00DB3CF3" w:rsidRPr="002532DF">
        <w:rPr>
          <w:sz w:val="25"/>
          <w:szCs w:val="25"/>
        </w:rPr>
        <w:t>two</w:t>
      </w:r>
      <w:r w:rsidRPr="002532DF">
        <w:rPr>
          <w:sz w:val="25"/>
          <w:szCs w:val="25"/>
        </w:rPr>
        <w:t xml:space="preserve"> to three years, which justifies an upward adjustment. </w:t>
      </w:r>
      <w:r w:rsidR="00B450E4" w:rsidRPr="002532DF">
        <w:rPr>
          <w:sz w:val="25"/>
          <w:szCs w:val="25"/>
        </w:rPr>
        <w:t xml:space="preserve"> ICNU</w:t>
      </w:r>
      <w:r w:rsidRPr="002532DF">
        <w:rPr>
          <w:sz w:val="25"/>
          <w:szCs w:val="25"/>
        </w:rPr>
        <w:t xml:space="preserve">, however, persuasively argues </w:t>
      </w:r>
      <w:r w:rsidR="00B450E4" w:rsidRPr="002532DF">
        <w:rPr>
          <w:sz w:val="25"/>
          <w:szCs w:val="25"/>
        </w:rPr>
        <w:t>that financial market</w:t>
      </w:r>
      <w:r w:rsidRPr="002532DF">
        <w:rPr>
          <w:sz w:val="25"/>
          <w:szCs w:val="25"/>
        </w:rPr>
        <w:t xml:space="preserve"> conditions </w:t>
      </w:r>
      <w:r w:rsidR="00B450E4" w:rsidRPr="002532DF">
        <w:rPr>
          <w:sz w:val="25"/>
          <w:szCs w:val="25"/>
        </w:rPr>
        <w:t>have re</w:t>
      </w:r>
      <w:r w:rsidRPr="002532DF">
        <w:rPr>
          <w:sz w:val="25"/>
          <w:szCs w:val="25"/>
        </w:rPr>
        <w:t xml:space="preserve">covered significantly </w:t>
      </w:r>
      <w:r w:rsidR="00DB3CF3" w:rsidRPr="002532DF">
        <w:rPr>
          <w:sz w:val="25"/>
          <w:szCs w:val="25"/>
        </w:rPr>
        <w:t>in the</w:t>
      </w:r>
      <w:r w:rsidR="00B450E4" w:rsidRPr="002532DF">
        <w:rPr>
          <w:sz w:val="25"/>
          <w:szCs w:val="25"/>
        </w:rPr>
        <w:t xml:space="preserve"> past six to nine months </w:t>
      </w:r>
      <w:r w:rsidRPr="002532DF">
        <w:rPr>
          <w:sz w:val="25"/>
          <w:szCs w:val="25"/>
        </w:rPr>
        <w:t xml:space="preserve">and that, over a longer period of time, utility stocks have substantially outperformed other indicators stock performance.  We agree with ICNU that financial markets have returned to more normal conditions over the past six to nine months </w:t>
      </w:r>
      <w:r w:rsidR="0004359F" w:rsidRPr="002532DF">
        <w:rPr>
          <w:sz w:val="25"/>
          <w:szCs w:val="25"/>
        </w:rPr>
        <w:t>if we consider</w:t>
      </w:r>
      <w:r w:rsidR="00B450E4" w:rsidRPr="002532DF">
        <w:rPr>
          <w:sz w:val="25"/>
          <w:szCs w:val="25"/>
        </w:rPr>
        <w:t xml:space="preserve"> indicators such as credit spreads, access to debt markets, and valuations of utility stock. </w:t>
      </w:r>
      <w:r w:rsidR="00EC1E0E">
        <w:rPr>
          <w:sz w:val="25"/>
          <w:szCs w:val="25"/>
        </w:rPr>
        <w:t xml:space="preserve"> </w:t>
      </w:r>
      <w:r w:rsidRPr="002532DF">
        <w:rPr>
          <w:sz w:val="25"/>
          <w:szCs w:val="25"/>
        </w:rPr>
        <w:t>Though utility stocks have not recovered as much as non-utility stocks during 2009 and the first half of 2010,</w:t>
      </w:r>
      <w:r w:rsidRPr="002532DF">
        <w:rPr>
          <w:rStyle w:val="FootnoteReference"/>
          <w:sz w:val="25"/>
          <w:szCs w:val="25"/>
        </w:rPr>
        <w:footnoteReference w:id="125"/>
      </w:r>
      <w:r w:rsidRPr="002532DF">
        <w:rPr>
          <w:sz w:val="25"/>
          <w:szCs w:val="25"/>
        </w:rPr>
        <w:t xml:space="preserve"> evidence is clear that utility stocks are less volatile than non-utility stocks and, in a period of turmoil, are </w:t>
      </w:r>
      <w:r w:rsidR="00427759" w:rsidRPr="002532DF">
        <w:rPr>
          <w:sz w:val="25"/>
          <w:szCs w:val="25"/>
        </w:rPr>
        <w:t xml:space="preserve">generally </w:t>
      </w:r>
      <w:r w:rsidRPr="002532DF">
        <w:rPr>
          <w:sz w:val="25"/>
          <w:szCs w:val="25"/>
        </w:rPr>
        <w:t xml:space="preserve">considered </w:t>
      </w:r>
      <w:r w:rsidR="00427759" w:rsidRPr="002532DF">
        <w:rPr>
          <w:sz w:val="25"/>
          <w:szCs w:val="25"/>
        </w:rPr>
        <w:t>safer investments.</w:t>
      </w:r>
      <w:r w:rsidR="00427759" w:rsidRPr="002532DF">
        <w:rPr>
          <w:rStyle w:val="FootnoteReference"/>
          <w:sz w:val="25"/>
          <w:szCs w:val="25"/>
        </w:rPr>
        <w:footnoteReference w:id="126"/>
      </w:r>
    </w:p>
    <w:p w:rsidR="001B74E0" w:rsidRPr="002532DF" w:rsidRDefault="001B74E0" w:rsidP="001B74E0">
      <w:pPr>
        <w:pStyle w:val="ListParagraph"/>
        <w:rPr>
          <w:sz w:val="25"/>
          <w:szCs w:val="25"/>
        </w:rPr>
      </w:pPr>
    </w:p>
    <w:p w:rsidR="00427759" w:rsidRPr="002532DF" w:rsidRDefault="00427759" w:rsidP="00AD0B90">
      <w:pPr>
        <w:numPr>
          <w:ilvl w:val="0"/>
          <w:numId w:val="1"/>
        </w:numPr>
        <w:tabs>
          <w:tab w:val="clear" w:pos="720"/>
          <w:tab w:val="num" w:pos="0"/>
        </w:tabs>
        <w:spacing w:line="276" w:lineRule="auto"/>
        <w:ind w:left="0"/>
        <w:rPr>
          <w:sz w:val="25"/>
          <w:szCs w:val="25"/>
        </w:rPr>
      </w:pPr>
      <w:r w:rsidRPr="002532DF">
        <w:rPr>
          <w:sz w:val="25"/>
          <w:szCs w:val="25"/>
        </w:rPr>
        <w:t xml:space="preserve">Second, ICNU’s criticism of the Company’s use of long-term growth rates is valid.  </w:t>
      </w:r>
      <w:r w:rsidR="00EC2DA9" w:rsidRPr="002532DF">
        <w:rPr>
          <w:sz w:val="25"/>
          <w:szCs w:val="25"/>
        </w:rPr>
        <w:t>Generally speaking, we are</w:t>
      </w:r>
      <w:r w:rsidR="001B74E0" w:rsidRPr="002532DF">
        <w:rPr>
          <w:sz w:val="25"/>
          <w:szCs w:val="25"/>
        </w:rPr>
        <w:t xml:space="preserve"> hesitant to </w:t>
      </w:r>
      <w:r w:rsidR="00C83BCE" w:rsidRPr="002532DF">
        <w:rPr>
          <w:sz w:val="25"/>
          <w:szCs w:val="25"/>
        </w:rPr>
        <w:t xml:space="preserve">place too much </w:t>
      </w:r>
      <w:r w:rsidR="005F7503" w:rsidRPr="002532DF">
        <w:rPr>
          <w:sz w:val="25"/>
          <w:szCs w:val="25"/>
        </w:rPr>
        <w:t>weight on</w:t>
      </w:r>
      <w:r w:rsidR="001B74E0" w:rsidRPr="002532DF">
        <w:rPr>
          <w:sz w:val="25"/>
          <w:szCs w:val="25"/>
        </w:rPr>
        <w:t xml:space="preserve"> long-term growth rates</w:t>
      </w:r>
      <w:r w:rsidRPr="002532DF">
        <w:rPr>
          <w:sz w:val="25"/>
          <w:szCs w:val="25"/>
        </w:rPr>
        <w:t>,</w:t>
      </w:r>
      <w:r w:rsidR="001B74E0" w:rsidRPr="002532DF">
        <w:rPr>
          <w:sz w:val="25"/>
          <w:szCs w:val="25"/>
        </w:rPr>
        <w:t xml:space="preserve"> </w:t>
      </w:r>
      <w:r w:rsidR="00C83BCE" w:rsidRPr="002532DF">
        <w:rPr>
          <w:sz w:val="25"/>
          <w:szCs w:val="25"/>
        </w:rPr>
        <w:t>such as nominal GDP rates</w:t>
      </w:r>
      <w:r w:rsidRPr="002532DF">
        <w:rPr>
          <w:sz w:val="25"/>
          <w:szCs w:val="25"/>
        </w:rPr>
        <w:t>,</w:t>
      </w:r>
      <w:r w:rsidR="00C83BCE" w:rsidRPr="002532DF">
        <w:rPr>
          <w:sz w:val="25"/>
          <w:szCs w:val="25"/>
        </w:rPr>
        <w:t xml:space="preserve"> </w:t>
      </w:r>
      <w:r w:rsidR="001B74E0" w:rsidRPr="002532DF">
        <w:rPr>
          <w:sz w:val="25"/>
          <w:szCs w:val="25"/>
        </w:rPr>
        <w:t xml:space="preserve">because we are uncertain if the growth rates can be sustained over the long-term.  </w:t>
      </w:r>
      <w:r w:rsidRPr="002532DF">
        <w:rPr>
          <w:sz w:val="25"/>
          <w:szCs w:val="25"/>
        </w:rPr>
        <w:t>It is better to</w:t>
      </w:r>
      <w:r w:rsidR="001B74E0" w:rsidRPr="002532DF">
        <w:rPr>
          <w:sz w:val="25"/>
          <w:szCs w:val="25"/>
        </w:rPr>
        <w:t xml:space="preserve"> rely on short-term growth rates because we should be able to confirm their reliability in a comparatively brief time.  This greater confidence in short-term </w:t>
      </w:r>
      <w:r w:rsidR="00E223B1" w:rsidRPr="002532DF">
        <w:rPr>
          <w:sz w:val="25"/>
          <w:szCs w:val="25"/>
        </w:rPr>
        <w:t xml:space="preserve">growth </w:t>
      </w:r>
      <w:r w:rsidR="001B74E0" w:rsidRPr="002532DF">
        <w:rPr>
          <w:sz w:val="25"/>
          <w:szCs w:val="25"/>
        </w:rPr>
        <w:t xml:space="preserve">rates leads us to rely more heavily on </w:t>
      </w:r>
      <w:r w:rsidR="00A71E0F">
        <w:rPr>
          <w:sz w:val="25"/>
          <w:szCs w:val="25"/>
        </w:rPr>
        <w:t>ICNU’s</w:t>
      </w:r>
      <w:r w:rsidR="001B74E0" w:rsidRPr="002532DF">
        <w:rPr>
          <w:sz w:val="25"/>
          <w:szCs w:val="25"/>
        </w:rPr>
        <w:t xml:space="preserve"> DCF recommendations </w:t>
      </w:r>
      <w:r w:rsidR="00C83BCE" w:rsidRPr="002532DF">
        <w:rPr>
          <w:sz w:val="25"/>
          <w:szCs w:val="25"/>
        </w:rPr>
        <w:t>regarding the various growth estimates.</w:t>
      </w:r>
      <w:r w:rsidR="001B74E0" w:rsidRPr="002532DF">
        <w:rPr>
          <w:sz w:val="25"/>
          <w:szCs w:val="25"/>
        </w:rPr>
        <w:t xml:space="preserve">  </w:t>
      </w:r>
    </w:p>
    <w:p w:rsidR="00E23FBE" w:rsidRPr="002532DF" w:rsidRDefault="00E23FBE">
      <w:pPr>
        <w:pStyle w:val="ListParagraph"/>
        <w:rPr>
          <w:sz w:val="25"/>
          <w:szCs w:val="25"/>
        </w:rPr>
      </w:pPr>
    </w:p>
    <w:p w:rsidR="00677D66" w:rsidRPr="002532DF" w:rsidRDefault="00DB3CF3" w:rsidP="00AD0B90">
      <w:pPr>
        <w:numPr>
          <w:ilvl w:val="0"/>
          <w:numId w:val="1"/>
        </w:numPr>
        <w:tabs>
          <w:tab w:val="clear" w:pos="720"/>
          <w:tab w:val="num" w:pos="0"/>
        </w:tabs>
        <w:spacing w:line="276" w:lineRule="auto"/>
        <w:ind w:left="0"/>
        <w:rPr>
          <w:sz w:val="25"/>
          <w:szCs w:val="25"/>
        </w:rPr>
      </w:pPr>
      <w:r w:rsidRPr="002532DF">
        <w:rPr>
          <w:sz w:val="25"/>
          <w:szCs w:val="25"/>
        </w:rPr>
        <w:t>ICNU used</w:t>
      </w:r>
      <w:r w:rsidR="00427759" w:rsidRPr="002532DF">
        <w:rPr>
          <w:sz w:val="25"/>
          <w:szCs w:val="25"/>
        </w:rPr>
        <w:t xml:space="preserve"> its</w:t>
      </w:r>
      <w:r w:rsidR="00AC575B" w:rsidRPr="002532DF">
        <w:rPr>
          <w:sz w:val="25"/>
          <w:szCs w:val="25"/>
        </w:rPr>
        <w:t xml:space="preserve"> three DCF analyses </w:t>
      </w:r>
      <w:r w:rsidR="00427759" w:rsidRPr="002532DF">
        <w:rPr>
          <w:sz w:val="25"/>
          <w:szCs w:val="25"/>
        </w:rPr>
        <w:t xml:space="preserve">with the effect of </w:t>
      </w:r>
      <w:r w:rsidRPr="002532DF">
        <w:rPr>
          <w:sz w:val="25"/>
          <w:szCs w:val="25"/>
        </w:rPr>
        <w:t>smoothing the</w:t>
      </w:r>
      <w:r w:rsidR="000776ED" w:rsidRPr="002532DF">
        <w:rPr>
          <w:sz w:val="25"/>
          <w:szCs w:val="25"/>
        </w:rPr>
        <w:t xml:space="preserve"> impact of </w:t>
      </w:r>
      <w:r w:rsidR="00AC575B" w:rsidRPr="002532DF">
        <w:rPr>
          <w:sz w:val="25"/>
          <w:szCs w:val="25"/>
        </w:rPr>
        <w:t>the</w:t>
      </w:r>
      <w:r w:rsidR="000776ED" w:rsidRPr="002532DF">
        <w:rPr>
          <w:sz w:val="25"/>
          <w:szCs w:val="25"/>
        </w:rPr>
        <w:t>ir individual</w:t>
      </w:r>
      <w:r w:rsidR="00AC575B" w:rsidRPr="002532DF">
        <w:rPr>
          <w:sz w:val="25"/>
          <w:szCs w:val="25"/>
        </w:rPr>
        <w:t xml:space="preserve"> results</w:t>
      </w:r>
      <w:r w:rsidR="00427759" w:rsidRPr="002532DF">
        <w:rPr>
          <w:sz w:val="25"/>
          <w:szCs w:val="25"/>
        </w:rPr>
        <w:t>.  B</w:t>
      </w:r>
      <w:r w:rsidR="00AC575B" w:rsidRPr="002532DF">
        <w:rPr>
          <w:sz w:val="25"/>
          <w:szCs w:val="25"/>
        </w:rPr>
        <w:t>ecause the average considers both long-term and short-term growth rates</w:t>
      </w:r>
      <w:r w:rsidR="00427759" w:rsidRPr="002532DF">
        <w:rPr>
          <w:sz w:val="25"/>
          <w:szCs w:val="25"/>
        </w:rPr>
        <w:t xml:space="preserve">, the result was an average ROE from the combined DCF methodologies of </w:t>
      </w:r>
      <w:r w:rsidR="00C83BCE" w:rsidRPr="002532DF">
        <w:rPr>
          <w:sz w:val="25"/>
          <w:szCs w:val="25"/>
        </w:rPr>
        <w:t>9.85 percent</w:t>
      </w:r>
      <w:r w:rsidR="001B74E0" w:rsidRPr="002532DF">
        <w:rPr>
          <w:sz w:val="25"/>
          <w:szCs w:val="25"/>
        </w:rPr>
        <w:t xml:space="preserve">. </w:t>
      </w:r>
    </w:p>
    <w:p w:rsidR="00677D66" w:rsidRPr="002532DF" w:rsidRDefault="00677D66" w:rsidP="00677D66">
      <w:pPr>
        <w:spacing w:line="276" w:lineRule="auto"/>
        <w:ind w:left="-720"/>
        <w:rPr>
          <w:sz w:val="25"/>
          <w:szCs w:val="25"/>
        </w:rPr>
      </w:pPr>
    </w:p>
    <w:p w:rsidR="00DC757A" w:rsidRPr="002532DF" w:rsidRDefault="00723E37" w:rsidP="00AD0B90">
      <w:pPr>
        <w:numPr>
          <w:ilvl w:val="0"/>
          <w:numId w:val="1"/>
        </w:numPr>
        <w:tabs>
          <w:tab w:val="clear" w:pos="720"/>
          <w:tab w:val="num" w:pos="0"/>
        </w:tabs>
        <w:spacing w:line="276" w:lineRule="auto"/>
        <w:ind w:left="0"/>
        <w:rPr>
          <w:sz w:val="25"/>
          <w:szCs w:val="25"/>
        </w:rPr>
      </w:pPr>
      <w:r w:rsidRPr="002532DF">
        <w:rPr>
          <w:sz w:val="25"/>
          <w:szCs w:val="25"/>
        </w:rPr>
        <w:t>ICNU</w:t>
      </w:r>
      <w:r w:rsidR="00A71E0F">
        <w:rPr>
          <w:sz w:val="25"/>
          <w:szCs w:val="25"/>
        </w:rPr>
        <w:t xml:space="preserve"> also adjusted</w:t>
      </w:r>
      <w:r w:rsidRPr="002532DF">
        <w:rPr>
          <w:sz w:val="25"/>
          <w:szCs w:val="25"/>
        </w:rPr>
        <w:t xml:space="preserve"> inputs in the Company’s GDP </w:t>
      </w:r>
      <w:r w:rsidR="00DC757A" w:rsidRPr="002532DF">
        <w:rPr>
          <w:sz w:val="25"/>
          <w:szCs w:val="25"/>
        </w:rPr>
        <w:t>g</w:t>
      </w:r>
      <w:r w:rsidRPr="002532DF">
        <w:rPr>
          <w:sz w:val="25"/>
          <w:szCs w:val="25"/>
        </w:rPr>
        <w:t xml:space="preserve">rowth and Multi-stage </w:t>
      </w:r>
      <w:r w:rsidR="00DC757A" w:rsidRPr="002532DF">
        <w:rPr>
          <w:sz w:val="25"/>
          <w:szCs w:val="25"/>
        </w:rPr>
        <w:t>g</w:t>
      </w:r>
      <w:r w:rsidRPr="002532DF">
        <w:rPr>
          <w:sz w:val="25"/>
          <w:szCs w:val="25"/>
        </w:rPr>
        <w:t>rowth models</w:t>
      </w:r>
      <w:r w:rsidR="00DC757A" w:rsidRPr="002532DF">
        <w:rPr>
          <w:sz w:val="25"/>
          <w:szCs w:val="25"/>
        </w:rPr>
        <w:t>, substituting more reasonable growth rates into these models, with the result of revising the Company’s range downward from</w:t>
      </w:r>
      <w:r w:rsidRPr="002532DF">
        <w:rPr>
          <w:sz w:val="25"/>
          <w:szCs w:val="25"/>
        </w:rPr>
        <w:t xml:space="preserve"> 10.4 to 10.9 percent </w:t>
      </w:r>
      <w:r w:rsidR="00DB3CF3" w:rsidRPr="002532DF">
        <w:rPr>
          <w:sz w:val="25"/>
          <w:szCs w:val="25"/>
        </w:rPr>
        <w:t>to 9.9</w:t>
      </w:r>
      <w:r w:rsidRPr="002532DF">
        <w:rPr>
          <w:sz w:val="25"/>
          <w:szCs w:val="25"/>
        </w:rPr>
        <w:t xml:space="preserve"> to 10.1 percent.</w:t>
      </w:r>
      <w:r w:rsidR="005C355D" w:rsidRPr="002532DF">
        <w:rPr>
          <w:rStyle w:val="FootnoteReference"/>
          <w:sz w:val="25"/>
          <w:szCs w:val="25"/>
        </w:rPr>
        <w:footnoteReference w:id="127"/>
      </w:r>
      <w:r w:rsidRPr="002532DF">
        <w:rPr>
          <w:sz w:val="25"/>
          <w:szCs w:val="25"/>
        </w:rPr>
        <w:t xml:space="preserve"> </w:t>
      </w:r>
    </w:p>
    <w:p w:rsidR="00E23FBE" w:rsidRPr="002532DF" w:rsidRDefault="00E23FBE">
      <w:pPr>
        <w:pStyle w:val="ListParagraph"/>
        <w:rPr>
          <w:sz w:val="25"/>
          <w:szCs w:val="25"/>
        </w:rPr>
      </w:pPr>
    </w:p>
    <w:p w:rsidR="00183AD4" w:rsidRPr="002532DF" w:rsidRDefault="00DC757A" w:rsidP="00AD0B90">
      <w:pPr>
        <w:numPr>
          <w:ilvl w:val="0"/>
          <w:numId w:val="1"/>
        </w:numPr>
        <w:tabs>
          <w:tab w:val="clear" w:pos="720"/>
          <w:tab w:val="num" w:pos="0"/>
        </w:tabs>
        <w:spacing w:line="276" w:lineRule="auto"/>
        <w:ind w:left="0"/>
        <w:rPr>
          <w:sz w:val="25"/>
          <w:szCs w:val="25"/>
        </w:rPr>
      </w:pPr>
      <w:r w:rsidRPr="002532DF">
        <w:rPr>
          <w:sz w:val="25"/>
          <w:szCs w:val="25"/>
        </w:rPr>
        <w:t xml:space="preserve">Summing up the various DCF analyses, the range in the testimony from the low of 9.0 percent (Staff’s lower end of its DCF analysis) to 10.9 percent (the Company’s upper end) is unrealistic.  Adjusting for more reasonable growth rates and giving due consideration to the limits of Staff’s small proxy group and the Company’s inclusion of some outliers in its proxy group, we find a range of 9.50 to 10.20 a more reasonable range using </w:t>
      </w:r>
      <w:r w:rsidR="005C355D" w:rsidRPr="002532DF">
        <w:rPr>
          <w:sz w:val="25"/>
          <w:szCs w:val="25"/>
        </w:rPr>
        <w:t>ICNU’s</w:t>
      </w:r>
      <w:r w:rsidRPr="002532DF">
        <w:rPr>
          <w:sz w:val="25"/>
          <w:szCs w:val="25"/>
        </w:rPr>
        <w:t xml:space="preserve"> DCF analys</w:t>
      </w:r>
      <w:r w:rsidR="004644D3" w:rsidRPr="002532DF">
        <w:rPr>
          <w:sz w:val="25"/>
          <w:szCs w:val="25"/>
        </w:rPr>
        <w:t>e</w:t>
      </w:r>
      <w:r w:rsidRPr="002532DF">
        <w:rPr>
          <w:sz w:val="25"/>
          <w:szCs w:val="25"/>
        </w:rPr>
        <w:t>s.</w:t>
      </w:r>
    </w:p>
    <w:p w:rsidR="00D40563" w:rsidRPr="002532DF" w:rsidRDefault="00D40563">
      <w:pPr>
        <w:spacing w:line="276" w:lineRule="auto"/>
        <w:ind w:left="-720"/>
        <w:rPr>
          <w:sz w:val="25"/>
          <w:szCs w:val="25"/>
        </w:rPr>
      </w:pPr>
    </w:p>
    <w:p w:rsidR="00183AD4" w:rsidRPr="002532DF" w:rsidRDefault="00B73393" w:rsidP="00AD0B90">
      <w:pPr>
        <w:numPr>
          <w:ilvl w:val="0"/>
          <w:numId w:val="1"/>
        </w:numPr>
        <w:tabs>
          <w:tab w:val="clear" w:pos="720"/>
          <w:tab w:val="num" w:pos="0"/>
        </w:tabs>
        <w:spacing w:line="276" w:lineRule="auto"/>
        <w:ind w:left="0"/>
        <w:rPr>
          <w:sz w:val="25"/>
          <w:szCs w:val="25"/>
        </w:rPr>
      </w:pPr>
      <w:r w:rsidRPr="002532DF">
        <w:rPr>
          <w:i/>
          <w:sz w:val="25"/>
          <w:szCs w:val="25"/>
        </w:rPr>
        <w:t xml:space="preserve">Risk Premium Analyses.  </w:t>
      </w:r>
      <w:r w:rsidR="00677D66" w:rsidRPr="002532DF">
        <w:rPr>
          <w:sz w:val="25"/>
          <w:szCs w:val="25"/>
        </w:rPr>
        <w:t xml:space="preserve">PacifiCorp’s risk premium analysis produces a range of 10.38 to 10.6 percent </w:t>
      </w:r>
      <w:r w:rsidR="00183AD4" w:rsidRPr="002532DF">
        <w:rPr>
          <w:sz w:val="25"/>
          <w:szCs w:val="25"/>
        </w:rPr>
        <w:t xml:space="preserve">based on two methodologies that are somewhat related. </w:t>
      </w:r>
      <w:r w:rsidR="00D23E2D" w:rsidRPr="002532DF">
        <w:rPr>
          <w:sz w:val="25"/>
          <w:szCs w:val="25"/>
        </w:rPr>
        <w:t xml:space="preserve"> </w:t>
      </w:r>
      <w:r w:rsidR="00183AD4" w:rsidRPr="002532DF">
        <w:rPr>
          <w:sz w:val="25"/>
          <w:szCs w:val="25"/>
        </w:rPr>
        <w:t xml:space="preserve">The Company first estimates an annual equity risk premium by subtracting the Moody’s average bond yield from the authorized returns from state commissions since 1980.  This yields an equity risk premium of 3.23 percent. </w:t>
      </w:r>
      <w:r w:rsidR="00D23E2D" w:rsidRPr="002532DF">
        <w:rPr>
          <w:sz w:val="25"/>
          <w:szCs w:val="25"/>
        </w:rPr>
        <w:t xml:space="preserve"> </w:t>
      </w:r>
      <w:r w:rsidR="00183AD4" w:rsidRPr="002532DF">
        <w:rPr>
          <w:sz w:val="25"/>
          <w:szCs w:val="25"/>
        </w:rPr>
        <w:t xml:space="preserve">However, the Company then adjusts that premium through a regression analysis based on an expectation that, in the future, there will be an inverse relationship between overall interest rates and equity risk premiums.  This has the effect of </w:t>
      </w:r>
      <w:r w:rsidR="00A71E0F">
        <w:rPr>
          <w:sz w:val="25"/>
          <w:szCs w:val="25"/>
        </w:rPr>
        <w:t xml:space="preserve">substantially </w:t>
      </w:r>
      <w:r w:rsidR="00183AD4" w:rsidRPr="002532DF">
        <w:rPr>
          <w:sz w:val="25"/>
          <w:szCs w:val="25"/>
        </w:rPr>
        <w:t xml:space="preserve">inflating the </w:t>
      </w:r>
      <w:r w:rsidR="00A71E0F">
        <w:rPr>
          <w:sz w:val="25"/>
          <w:szCs w:val="25"/>
        </w:rPr>
        <w:t>risk</w:t>
      </w:r>
      <w:r w:rsidR="00183AD4" w:rsidRPr="002532DF">
        <w:rPr>
          <w:sz w:val="25"/>
          <w:szCs w:val="25"/>
        </w:rPr>
        <w:t xml:space="preserve"> premium to a range of 4.39 to 4.55 percent</w:t>
      </w:r>
      <w:r w:rsidRPr="002532DF">
        <w:rPr>
          <w:sz w:val="25"/>
          <w:szCs w:val="25"/>
        </w:rPr>
        <w:t xml:space="preserve"> with </w:t>
      </w:r>
      <w:r w:rsidR="00A71E0F">
        <w:rPr>
          <w:sz w:val="25"/>
          <w:szCs w:val="25"/>
        </w:rPr>
        <w:t>a corresponding increase in</w:t>
      </w:r>
      <w:r w:rsidRPr="002532DF">
        <w:rPr>
          <w:sz w:val="25"/>
          <w:szCs w:val="25"/>
        </w:rPr>
        <w:t xml:space="preserve"> the </w:t>
      </w:r>
      <w:r w:rsidR="00A71E0F">
        <w:rPr>
          <w:sz w:val="25"/>
          <w:szCs w:val="25"/>
        </w:rPr>
        <w:t>return on equity</w:t>
      </w:r>
      <w:r w:rsidR="00DB3CF3" w:rsidRPr="002532DF">
        <w:rPr>
          <w:sz w:val="25"/>
          <w:szCs w:val="25"/>
        </w:rPr>
        <w:t>.</w:t>
      </w:r>
      <w:r w:rsidR="00183AD4" w:rsidRPr="002532DF">
        <w:rPr>
          <w:sz w:val="25"/>
          <w:szCs w:val="25"/>
        </w:rPr>
        <w:t xml:space="preserve">  We are not persuaded that such an adjustment is appropriate</w:t>
      </w:r>
      <w:r w:rsidR="00A71E0F">
        <w:rPr>
          <w:sz w:val="25"/>
          <w:szCs w:val="25"/>
        </w:rPr>
        <w:t>,</w:t>
      </w:r>
      <w:r w:rsidR="00183AD4" w:rsidRPr="002532DF">
        <w:rPr>
          <w:sz w:val="25"/>
          <w:szCs w:val="25"/>
        </w:rPr>
        <w:t xml:space="preserve"> and we are skeptical that such a precise formula based on future estimated projections of inflation can yield such a precise result. </w:t>
      </w:r>
    </w:p>
    <w:p w:rsidR="00D40563" w:rsidRPr="002532DF" w:rsidRDefault="00D40563">
      <w:pPr>
        <w:spacing w:line="276" w:lineRule="auto"/>
        <w:ind w:left="-720"/>
        <w:rPr>
          <w:sz w:val="25"/>
          <w:szCs w:val="25"/>
        </w:rPr>
      </w:pPr>
    </w:p>
    <w:p w:rsidR="00D70DE0" w:rsidRPr="002532DF" w:rsidRDefault="00677D66" w:rsidP="00AD0B90">
      <w:pPr>
        <w:numPr>
          <w:ilvl w:val="0"/>
          <w:numId w:val="1"/>
        </w:numPr>
        <w:tabs>
          <w:tab w:val="clear" w:pos="720"/>
          <w:tab w:val="num" w:pos="0"/>
        </w:tabs>
        <w:spacing w:line="276" w:lineRule="auto"/>
        <w:ind w:left="0"/>
        <w:rPr>
          <w:sz w:val="25"/>
          <w:szCs w:val="25"/>
        </w:rPr>
      </w:pPr>
      <w:r w:rsidRPr="002532DF">
        <w:rPr>
          <w:sz w:val="25"/>
          <w:szCs w:val="25"/>
        </w:rPr>
        <w:t>ICNU</w:t>
      </w:r>
      <w:r w:rsidR="00183AD4" w:rsidRPr="002532DF">
        <w:rPr>
          <w:sz w:val="25"/>
          <w:szCs w:val="25"/>
        </w:rPr>
        <w:t xml:space="preserve"> </w:t>
      </w:r>
      <w:r w:rsidR="00B73393" w:rsidRPr="002532DF">
        <w:rPr>
          <w:sz w:val="25"/>
          <w:szCs w:val="25"/>
        </w:rPr>
        <w:t xml:space="preserve">has a more reasonable approach.  It </w:t>
      </w:r>
      <w:r w:rsidR="00183AD4" w:rsidRPr="002532DF">
        <w:rPr>
          <w:sz w:val="25"/>
          <w:szCs w:val="25"/>
        </w:rPr>
        <w:t xml:space="preserve">develops its risk premium methodology based on two different methods of calculating </w:t>
      </w:r>
      <w:r w:rsidR="00D70DE0" w:rsidRPr="002532DF">
        <w:rPr>
          <w:sz w:val="25"/>
          <w:szCs w:val="25"/>
        </w:rPr>
        <w:t xml:space="preserve">equity risk premiums.  The first attempts to estimate the difference between common equity investments and Treasury bonds while the second calculates the difference between Commission-authorized returns on equity and bond yields for “A” rated companies like PacifiCorp.  </w:t>
      </w:r>
      <w:r w:rsidR="006A46F2" w:rsidRPr="002532DF">
        <w:rPr>
          <w:sz w:val="25"/>
          <w:szCs w:val="25"/>
        </w:rPr>
        <w:t>ICNU posits two calculations of equity risk premiums under this approach and, after adding them to the comparative rate (either a 30-year Treasury bond or an “A” rated utility bond) it develops a range of return on equity estimates from 8.98 to 9.94</w:t>
      </w:r>
      <w:r w:rsidR="005C355D" w:rsidRPr="002532DF">
        <w:rPr>
          <w:sz w:val="25"/>
          <w:szCs w:val="25"/>
        </w:rPr>
        <w:t xml:space="preserve"> </w:t>
      </w:r>
      <w:r w:rsidR="006A46F2" w:rsidRPr="002532DF">
        <w:rPr>
          <w:sz w:val="25"/>
          <w:szCs w:val="25"/>
        </w:rPr>
        <w:t xml:space="preserve">percent, with a mid-point of 9.46 percent.  </w:t>
      </w:r>
      <w:r w:rsidR="00B73393" w:rsidRPr="002532DF">
        <w:rPr>
          <w:sz w:val="25"/>
          <w:szCs w:val="25"/>
        </w:rPr>
        <w:t>Staff’s analysis is consistent with this</w:t>
      </w:r>
      <w:r w:rsidR="00A71E0F">
        <w:rPr>
          <w:sz w:val="25"/>
          <w:szCs w:val="25"/>
        </w:rPr>
        <w:t xml:space="preserve"> approach</w:t>
      </w:r>
      <w:r w:rsidR="00B73393" w:rsidRPr="002532DF">
        <w:rPr>
          <w:sz w:val="25"/>
          <w:szCs w:val="25"/>
        </w:rPr>
        <w:t>.</w:t>
      </w:r>
      <w:r w:rsidR="00B73393" w:rsidRPr="002532DF">
        <w:rPr>
          <w:rStyle w:val="FootnoteReference"/>
          <w:sz w:val="25"/>
          <w:szCs w:val="25"/>
        </w:rPr>
        <w:footnoteReference w:id="128"/>
      </w:r>
      <w:r w:rsidR="00B73393" w:rsidRPr="002532DF">
        <w:rPr>
          <w:sz w:val="25"/>
          <w:szCs w:val="25"/>
        </w:rPr>
        <w:t xml:space="preserve">  Accordingly, we </w:t>
      </w:r>
      <w:r w:rsidR="00D70DE0" w:rsidRPr="002532DF">
        <w:rPr>
          <w:sz w:val="25"/>
          <w:szCs w:val="25"/>
        </w:rPr>
        <w:t xml:space="preserve">find </w:t>
      </w:r>
      <w:r w:rsidR="00B73393" w:rsidRPr="002532DF">
        <w:rPr>
          <w:sz w:val="25"/>
          <w:szCs w:val="25"/>
        </w:rPr>
        <w:t xml:space="preserve">more reasonable a range of ROE based the Risk Premium method to be </w:t>
      </w:r>
      <w:r w:rsidR="000B15CF">
        <w:rPr>
          <w:sz w:val="25"/>
          <w:szCs w:val="25"/>
        </w:rPr>
        <w:t>between</w:t>
      </w:r>
      <w:r w:rsidR="00B73393" w:rsidRPr="002532DF">
        <w:rPr>
          <w:sz w:val="25"/>
          <w:szCs w:val="25"/>
        </w:rPr>
        <w:t xml:space="preserve"> 9.5 </w:t>
      </w:r>
      <w:r w:rsidR="000B15CF">
        <w:rPr>
          <w:sz w:val="25"/>
          <w:szCs w:val="25"/>
        </w:rPr>
        <w:t>and</w:t>
      </w:r>
      <w:r w:rsidR="00B73393" w:rsidRPr="002532DF">
        <w:rPr>
          <w:sz w:val="25"/>
          <w:szCs w:val="25"/>
        </w:rPr>
        <w:t xml:space="preserve"> 9.8 percent.</w:t>
      </w:r>
      <w:r w:rsidR="00D70DE0" w:rsidRPr="002532DF">
        <w:rPr>
          <w:sz w:val="25"/>
          <w:szCs w:val="25"/>
        </w:rPr>
        <w:t xml:space="preserve">  </w:t>
      </w:r>
    </w:p>
    <w:p w:rsidR="00D40563" w:rsidRPr="002532DF" w:rsidRDefault="00D40563">
      <w:pPr>
        <w:spacing w:line="276" w:lineRule="auto"/>
        <w:ind w:left="-720"/>
        <w:rPr>
          <w:sz w:val="25"/>
          <w:szCs w:val="25"/>
        </w:rPr>
      </w:pPr>
    </w:p>
    <w:p w:rsidR="000B15CF" w:rsidRDefault="00B73393" w:rsidP="00AD0B90">
      <w:pPr>
        <w:numPr>
          <w:ilvl w:val="0"/>
          <w:numId w:val="1"/>
        </w:numPr>
        <w:tabs>
          <w:tab w:val="clear" w:pos="720"/>
          <w:tab w:val="num" w:pos="0"/>
        </w:tabs>
        <w:spacing w:line="276" w:lineRule="auto"/>
        <w:ind w:left="0"/>
        <w:rPr>
          <w:sz w:val="25"/>
          <w:szCs w:val="25"/>
        </w:rPr>
      </w:pPr>
      <w:r w:rsidRPr="002532DF">
        <w:rPr>
          <w:i/>
          <w:sz w:val="25"/>
          <w:szCs w:val="25"/>
        </w:rPr>
        <w:t xml:space="preserve">CAPM </w:t>
      </w:r>
      <w:r w:rsidR="00DB3CF3" w:rsidRPr="002532DF">
        <w:rPr>
          <w:i/>
          <w:sz w:val="25"/>
          <w:szCs w:val="25"/>
        </w:rPr>
        <w:t>Analyses.</w:t>
      </w:r>
      <w:r w:rsidR="00DB3CF3" w:rsidRPr="002532DF">
        <w:rPr>
          <w:sz w:val="25"/>
          <w:szCs w:val="25"/>
        </w:rPr>
        <w:t xml:space="preserve"> </w:t>
      </w:r>
      <w:r w:rsidR="000B15CF">
        <w:rPr>
          <w:sz w:val="25"/>
          <w:szCs w:val="25"/>
        </w:rPr>
        <w:t xml:space="preserve"> </w:t>
      </w:r>
      <w:r w:rsidR="00DB3CF3" w:rsidRPr="002532DF">
        <w:rPr>
          <w:sz w:val="25"/>
          <w:szCs w:val="25"/>
        </w:rPr>
        <w:t>Finally</w:t>
      </w:r>
      <w:r w:rsidR="00D70DE0" w:rsidRPr="002532DF">
        <w:rPr>
          <w:sz w:val="25"/>
          <w:szCs w:val="25"/>
        </w:rPr>
        <w:t xml:space="preserve">, we turn to the </w:t>
      </w:r>
      <w:r w:rsidR="00677D66" w:rsidRPr="002532DF">
        <w:rPr>
          <w:sz w:val="25"/>
          <w:szCs w:val="25"/>
        </w:rPr>
        <w:t>CAPM analys</w:t>
      </w:r>
      <w:r w:rsidR="00D70DE0" w:rsidRPr="002532DF">
        <w:rPr>
          <w:sz w:val="25"/>
          <w:szCs w:val="25"/>
        </w:rPr>
        <w:t>es performed by Staff and ICNU.  The inputs and variables for the CAPM analysis are relatively transparent and easy to perform, although parties usually differ over the calculation of the market risk premium.  Both Staff and ICNU derive relatively low results employing the CAPM formula in this case.  Staff develops a range of 8.30 to 9.70 percent, with a mid-point of 9.0.  ICNU develops a return on equity range o</w:t>
      </w:r>
      <w:r w:rsidR="00E85C26" w:rsidRPr="002532DF">
        <w:rPr>
          <w:sz w:val="25"/>
          <w:szCs w:val="25"/>
        </w:rPr>
        <w:t xml:space="preserve">f 8.28 to 9.31 percent, with a mid-point of 8.80 percent which it then increased to 9.10 percent to use in its summary calculation of return on equity and ultimate recommendation of 9.50 percent. </w:t>
      </w:r>
      <w:r w:rsidR="00D23E2D" w:rsidRPr="002532DF">
        <w:rPr>
          <w:sz w:val="25"/>
          <w:szCs w:val="25"/>
        </w:rPr>
        <w:t xml:space="preserve"> </w:t>
      </w:r>
    </w:p>
    <w:p w:rsidR="000B15CF" w:rsidRDefault="000B15CF" w:rsidP="00E77D4E">
      <w:pPr>
        <w:pStyle w:val="ListParagraph"/>
        <w:rPr>
          <w:sz w:val="25"/>
          <w:szCs w:val="25"/>
        </w:rPr>
      </w:pPr>
    </w:p>
    <w:p w:rsidR="000B15CF" w:rsidRDefault="00E85C26" w:rsidP="00AD0B90">
      <w:pPr>
        <w:numPr>
          <w:ilvl w:val="0"/>
          <w:numId w:val="1"/>
        </w:numPr>
        <w:tabs>
          <w:tab w:val="clear" w:pos="720"/>
          <w:tab w:val="num" w:pos="0"/>
        </w:tabs>
        <w:spacing w:line="276" w:lineRule="auto"/>
        <w:ind w:left="0"/>
        <w:rPr>
          <w:sz w:val="25"/>
          <w:szCs w:val="25"/>
        </w:rPr>
      </w:pPr>
      <w:r w:rsidRPr="002532DF">
        <w:rPr>
          <w:sz w:val="25"/>
          <w:szCs w:val="25"/>
        </w:rPr>
        <w:t xml:space="preserve">Each party implies that it uses the CAPM as a “check” or reference point against which it can compare the variants of the DCF methodologies as well as the risk premium method.  In this particular case, there is no dispute that the CAPM methodology produces results that are at the low range of estimates for return on equity.  </w:t>
      </w:r>
      <w:r w:rsidR="00E153E7" w:rsidRPr="002532DF">
        <w:rPr>
          <w:sz w:val="25"/>
          <w:szCs w:val="25"/>
        </w:rPr>
        <w:t xml:space="preserve">The Company </w:t>
      </w:r>
      <w:r w:rsidR="000B15CF">
        <w:rPr>
          <w:sz w:val="25"/>
          <w:szCs w:val="25"/>
        </w:rPr>
        <w:t>refused</w:t>
      </w:r>
      <w:r w:rsidR="00E153E7" w:rsidRPr="002532DF">
        <w:rPr>
          <w:sz w:val="25"/>
          <w:szCs w:val="25"/>
        </w:rPr>
        <w:t xml:space="preserve"> to perform a CAPM analysis </w:t>
      </w:r>
      <w:r w:rsidR="000B15CF">
        <w:rPr>
          <w:sz w:val="25"/>
          <w:szCs w:val="25"/>
        </w:rPr>
        <w:t xml:space="preserve">allegedly </w:t>
      </w:r>
      <w:r w:rsidR="00E153E7" w:rsidRPr="002532DF">
        <w:rPr>
          <w:sz w:val="25"/>
          <w:szCs w:val="25"/>
        </w:rPr>
        <w:t>because the results are not realistic, citing extremely low interest rates.</w:t>
      </w:r>
      <w:r w:rsidRPr="002532DF">
        <w:rPr>
          <w:sz w:val="25"/>
          <w:szCs w:val="25"/>
        </w:rPr>
        <w:t xml:space="preserve"> </w:t>
      </w:r>
      <w:r w:rsidR="00DD1140">
        <w:rPr>
          <w:sz w:val="25"/>
          <w:szCs w:val="25"/>
        </w:rPr>
        <w:t xml:space="preserve"> </w:t>
      </w:r>
      <w:r w:rsidR="00E153E7" w:rsidRPr="002532DF">
        <w:rPr>
          <w:sz w:val="25"/>
          <w:szCs w:val="25"/>
        </w:rPr>
        <w:t xml:space="preserve">However, </w:t>
      </w:r>
      <w:r w:rsidRPr="002532DF">
        <w:rPr>
          <w:sz w:val="25"/>
          <w:szCs w:val="25"/>
        </w:rPr>
        <w:t xml:space="preserve">low interest rates are a fact of current financial conditions in capital markets and no party </w:t>
      </w:r>
      <w:r w:rsidR="00DB3CF3" w:rsidRPr="002532DF">
        <w:rPr>
          <w:sz w:val="25"/>
          <w:szCs w:val="25"/>
        </w:rPr>
        <w:t>suggests that</w:t>
      </w:r>
      <w:r w:rsidRPr="002532DF">
        <w:rPr>
          <w:sz w:val="25"/>
          <w:szCs w:val="25"/>
        </w:rPr>
        <w:t xml:space="preserve"> such </w:t>
      </w:r>
      <w:r w:rsidR="00774710" w:rsidRPr="002532DF">
        <w:rPr>
          <w:sz w:val="25"/>
          <w:szCs w:val="25"/>
        </w:rPr>
        <w:t>conditions can</w:t>
      </w:r>
      <w:r w:rsidRPr="002532DF">
        <w:rPr>
          <w:sz w:val="25"/>
          <w:szCs w:val="25"/>
        </w:rPr>
        <w:t xml:space="preserve"> be expected to change in the near future, or at least during the projected rate year for this case. </w:t>
      </w:r>
      <w:r w:rsidR="00E153E7" w:rsidRPr="002532DF">
        <w:rPr>
          <w:sz w:val="25"/>
          <w:szCs w:val="25"/>
        </w:rPr>
        <w:t xml:space="preserve"> </w:t>
      </w:r>
    </w:p>
    <w:p w:rsidR="000B15CF" w:rsidRDefault="000B15CF" w:rsidP="00E77D4E">
      <w:pPr>
        <w:pStyle w:val="ListParagraph"/>
        <w:rPr>
          <w:sz w:val="25"/>
          <w:szCs w:val="25"/>
        </w:rPr>
      </w:pPr>
    </w:p>
    <w:p w:rsidR="00E85C26" w:rsidRPr="002532DF" w:rsidRDefault="00E153E7" w:rsidP="00AD0B90">
      <w:pPr>
        <w:numPr>
          <w:ilvl w:val="0"/>
          <w:numId w:val="1"/>
        </w:numPr>
        <w:tabs>
          <w:tab w:val="clear" w:pos="720"/>
          <w:tab w:val="num" w:pos="0"/>
        </w:tabs>
        <w:spacing w:line="276" w:lineRule="auto"/>
        <w:ind w:left="0"/>
        <w:rPr>
          <w:sz w:val="25"/>
          <w:szCs w:val="25"/>
        </w:rPr>
      </w:pPr>
      <w:r w:rsidRPr="002532DF">
        <w:rPr>
          <w:sz w:val="25"/>
          <w:szCs w:val="25"/>
        </w:rPr>
        <w:t xml:space="preserve">Accordingly, while the CAPM results seem abnormally low </w:t>
      </w:r>
      <w:r w:rsidR="00A3414F" w:rsidRPr="002532DF">
        <w:rPr>
          <w:sz w:val="25"/>
          <w:szCs w:val="25"/>
        </w:rPr>
        <w:t xml:space="preserve">those results, at a minimum, reflect a reason to be skeptical about the need for higher ROEs for investors in this stagnant economy.  At the least, these CAPM results suggest that we should be receptive to arguments to accept ROEs at the lower end of reasonable ranges developed by the other methodologies.  </w:t>
      </w:r>
    </w:p>
    <w:p w:rsidR="00D40563" w:rsidRPr="002532DF" w:rsidRDefault="00D40563">
      <w:pPr>
        <w:spacing w:line="276" w:lineRule="auto"/>
        <w:ind w:left="-720"/>
        <w:rPr>
          <w:sz w:val="25"/>
          <w:szCs w:val="25"/>
        </w:rPr>
      </w:pPr>
    </w:p>
    <w:p w:rsidR="0047653A" w:rsidRPr="002532DF" w:rsidRDefault="00A3414F" w:rsidP="00AD0B90">
      <w:pPr>
        <w:numPr>
          <w:ilvl w:val="0"/>
          <w:numId w:val="1"/>
        </w:numPr>
        <w:tabs>
          <w:tab w:val="clear" w:pos="720"/>
          <w:tab w:val="num" w:pos="0"/>
        </w:tabs>
        <w:spacing w:line="276" w:lineRule="auto"/>
        <w:ind w:left="0"/>
        <w:rPr>
          <w:sz w:val="25"/>
          <w:szCs w:val="25"/>
        </w:rPr>
      </w:pPr>
      <w:r w:rsidRPr="002532DF">
        <w:rPr>
          <w:sz w:val="25"/>
          <w:szCs w:val="25"/>
        </w:rPr>
        <w:t>W</w:t>
      </w:r>
      <w:r w:rsidR="00E85C26" w:rsidRPr="002532DF">
        <w:rPr>
          <w:sz w:val="25"/>
          <w:szCs w:val="25"/>
        </w:rPr>
        <w:t xml:space="preserve">e value each of the methodologies used to calculate the cost of equity and </w:t>
      </w:r>
      <w:r w:rsidR="000B15CF">
        <w:rPr>
          <w:sz w:val="25"/>
          <w:szCs w:val="25"/>
        </w:rPr>
        <w:t>do not find it appropriate to select a single method as being the</w:t>
      </w:r>
      <w:r w:rsidR="00E85C26" w:rsidRPr="002532DF">
        <w:rPr>
          <w:sz w:val="25"/>
          <w:szCs w:val="25"/>
        </w:rPr>
        <w:t xml:space="preserve"> most </w:t>
      </w:r>
      <w:r w:rsidR="000B15CF">
        <w:rPr>
          <w:sz w:val="25"/>
          <w:szCs w:val="25"/>
        </w:rPr>
        <w:t xml:space="preserve">accurate or </w:t>
      </w:r>
      <w:r w:rsidR="00E85C26" w:rsidRPr="002532DF">
        <w:rPr>
          <w:sz w:val="25"/>
          <w:szCs w:val="25"/>
        </w:rPr>
        <w:t>instructive</w:t>
      </w:r>
      <w:r w:rsidR="006A46F2" w:rsidRPr="002532DF">
        <w:rPr>
          <w:sz w:val="25"/>
          <w:szCs w:val="25"/>
        </w:rPr>
        <w:t>.</w:t>
      </w:r>
      <w:r w:rsidR="00E85C26" w:rsidRPr="002532DF">
        <w:rPr>
          <w:sz w:val="25"/>
          <w:szCs w:val="25"/>
        </w:rPr>
        <w:t xml:space="preserve">  Financial circumstances are constantly shifting and changing</w:t>
      </w:r>
      <w:r w:rsidR="0047653A" w:rsidRPr="002532DF">
        <w:rPr>
          <w:sz w:val="25"/>
          <w:szCs w:val="25"/>
        </w:rPr>
        <w:t xml:space="preserve">, </w:t>
      </w:r>
      <w:r w:rsidR="000B15CF">
        <w:rPr>
          <w:sz w:val="25"/>
          <w:szCs w:val="25"/>
        </w:rPr>
        <w:t xml:space="preserve">and </w:t>
      </w:r>
      <w:r w:rsidR="0047653A" w:rsidRPr="002532DF">
        <w:rPr>
          <w:sz w:val="25"/>
          <w:szCs w:val="25"/>
        </w:rPr>
        <w:t xml:space="preserve">we welcome a robust and diverse record of evidence based on a variety of analytics and cost of capital methodologies.  </w:t>
      </w:r>
      <w:r w:rsidR="000B15CF">
        <w:rPr>
          <w:sz w:val="25"/>
          <w:szCs w:val="25"/>
        </w:rPr>
        <w:t>As we observed in</w:t>
      </w:r>
      <w:r w:rsidR="0047653A" w:rsidRPr="002532DF">
        <w:rPr>
          <w:sz w:val="25"/>
          <w:szCs w:val="25"/>
        </w:rPr>
        <w:t xml:space="preserve"> our most recent litigated case with Puget Sound Energy</w:t>
      </w:r>
      <w:r w:rsidR="000B15CF">
        <w:rPr>
          <w:sz w:val="25"/>
          <w:szCs w:val="25"/>
        </w:rPr>
        <w:t>,</w:t>
      </w:r>
    </w:p>
    <w:p w:rsidR="00D40563" w:rsidRPr="002532DF" w:rsidRDefault="00D40563">
      <w:pPr>
        <w:spacing w:line="276" w:lineRule="auto"/>
        <w:ind w:left="-720"/>
        <w:rPr>
          <w:sz w:val="25"/>
          <w:szCs w:val="25"/>
        </w:rPr>
      </w:pPr>
    </w:p>
    <w:p w:rsidR="00BC0075" w:rsidRPr="002532DF" w:rsidRDefault="00C17E16">
      <w:pPr>
        <w:ind w:left="720" w:right="720"/>
        <w:rPr>
          <w:i/>
          <w:sz w:val="25"/>
          <w:szCs w:val="25"/>
        </w:rPr>
      </w:pPr>
      <w:r w:rsidRPr="002532DF">
        <w:rPr>
          <w:sz w:val="25"/>
          <w:szCs w:val="25"/>
        </w:rPr>
        <w:t xml:space="preserve">[T]he Commission has said in more than one order that it appreciates and values a variety of perspectives and analytic results because these serve to better inform the judgment it must exercise than would a single model, or a single expert’s opinion.  We reiterate that perspective here.  We value and rely on multiple methodologies, models, and expert opinions to develop a robust record of evidence to inform our judgment.  </w:t>
      </w:r>
      <w:r w:rsidRPr="002532DF">
        <w:rPr>
          <w:i/>
          <w:sz w:val="25"/>
          <w:szCs w:val="25"/>
        </w:rPr>
        <w:t>It is particularly important to take multiple methods and models into account in the present circumstances of financial turmoil that may affect the input values used in each method</w:t>
      </w:r>
      <w:r w:rsidRPr="002532DF">
        <w:rPr>
          <w:sz w:val="25"/>
          <w:szCs w:val="25"/>
        </w:rPr>
        <w:t>.</w:t>
      </w:r>
      <w:r w:rsidR="00940B49">
        <w:rPr>
          <w:rStyle w:val="FootnoteReference"/>
          <w:sz w:val="25"/>
          <w:szCs w:val="25"/>
        </w:rPr>
        <w:footnoteReference w:id="129"/>
      </w:r>
      <w:r w:rsidRPr="002532DF">
        <w:rPr>
          <w:sz w:val="25"/>
          <w:szCs w:val="25"/>
        </w:rPr>
        <w:t xml:space="preserve">  </w:t>
      </w:r>
    </w:p>
    <w:p w:rsidR="00A3414F" w:rsidRPr="002532DF" w:rsidRDefault="00A3414F">
      <w:pPr>
        <w:ind w:left="720" w:right="720"/>
        <w:rPr>
          <w:sz w:val="25"/>
          <w:szCs w:val="25"/>
        </w:rPr>
      </w:pPr>
    </w:p>
    <w:p w:rsidR="00DC3ACA" w:rsidRPr="002532DF" w:rsidRDefault="00A3414F" w:rsidP="00B85BB7">
      <w:pPr>
        <w:spacing w:line="276" w:lineRule="auto"/>
        <w:rPr>
          <w:sz w:val="25"/>
          <w:szCs w:val="25"/>
        </w:rPr>
      </w:pPr>
      <w:r w:rsidRPr="002532DF">
        <w:rPr>
          <w:sz w:val="25"/>
          <w:szCs w:val="25"/>
        </w:rPr>
        <w:t>Consistent with that statement, we expect the parties to submit evidence and recommendations utilizing all widely-accepted methodologies.</w:t>
      </w:r>
      <w:r w:rsidRPr="002532DF">
        <w:rPr>
          <w:rStyle w:val="FootnoteReference"/>
          <w:sz w:val="25"/>
          <w:szCs w:val="25"/>
        </w:rPr>
        <w:footnoteReference w:id="130"/>
      </w:r>
    </w:p>
    <w:p w:rsidR="00F42AC9" w:rsidRPr="002532DF" w:rsidRDefault="00F42AC9">
      <w:pPr>
        <w:spacing w:line="276" w:lineRule="auto"/>
        <w:ind w:left="-720"/>
        <w:rPr>
          <w:sz w:val="25"/>
          <w:szCs w:val="25"/>
        </w:rPr>
      </w:pPr>
    </w:p>
    <w:p w:rsidR="00224EA4" w:rsidRPr="002532DF" w:rsidRDefault="00DC3ACA" w:rsidP="00AD0B90">
      <w:pPr>
        <w:numPr>
          <w:ilvl w:val="0"/>
          <w:numId w:val="1"/>
        </w:numPr>
        <w:tabs>
          <w:tab w:val="clear" w:pos="720"/>
          <w:tab w:val="num" w:pos="0"/>
        </w:tabs>
        <w:spacing w:line="276" w:lineRule="auto"/>
        <w:ind w:left="0"/>
        <w:rPr>
          <w:sz w:val="25"/>
          <w:szCs w:val="25"/>
        </w:rPr>
      </w:pPr>
      <w:r w:rsidRPr="002532DF">
        <w:rPr>
          <w:i/>
          <w:sz w:val="25"/>
          <w:szCs w:val="25"/>
        </w:rPr>
        <w:t>Case Comparison</w:t>
      </w:r>
      <w:r w:rsidR="00A3414F" w:rsidRPr="002532DF">
        <w:rPr>
          <w:i/>
          <w:sz w:val="25"/>
          <w:szCs w:val="25"/>
        </w:rPr>
        <w:t xml:space="preserve">.  </w:t>
      </w:r>
      <w:r w:rsidR="002174E6" w:rsidRPr="002532DF">
        <w:rPr>
          <w:sz w:val="25"/>
          <w:szCs w:val="25"/>
        </w:rPr>
        <w:t>PacifiCorp cites other recent Commission cases, and the positions taken by Staff witnesses in those cases, as evidence that the Staff recommendation is too low.</w:t>
      </w:r>
      <w:r w:rsidR="002174E6" w:rsidRPr="002532DF">
        <w:rPr>
          <w:rStyle w:val="FootnoteReference"/>
          <w:sz w:val="25"/>
          <w:szCs w:val="25"/>
        </w:rPr>
        <w:footnoteReference w:id="131"/>
      </w:r>
      <w:r w:rsidR="003E0042" w:rsidRPr="002532DF">
        <w:rPr>
          <w:sz w:val="25"/>
          <w:szCs w:val="25"/>
        </w:rPr>
        <w:t xml:space="preserve">  </w:t>
      </w:r>
      <w:r w:rsidR="002174E6" w:rsidRPr="002532DF">
        <w:rPr>
          <w:sz w:val="25"/>
          <w:szCs w:val="25"/>
        </w:rPr>
        <w:t>The Company is correct that in</w:t>
      </w:r>
      <w:r w:rsidR="00224EA4" w:rsidRPr="002532DF">
        <w:rPr>
          <w:sz w:val="25"/>
          <w:szCs w:val="25"/>
        </w:rPr>
        <w:t xml:space="preserve"> </w:t>
      </w:r>
      <w:r w:rsidR="003E0042" w:rsidRPr="002532DF">
        <w:rPr>
          <w:sz w:val="25"/>
          <w:szCs w:val="25"/>
        </w:rPr>
        <w:t xml:space="preserve">Puget Sound Energy’s most recently </w:t>
      </w:r>
      <w:r w:rsidR="00AC575B" w:rsidRPr="002532DF">
        <w:rPr>
          <w:sz w:val="25"/>
          <w:szCs w:val="25"/>
        </w:rPr>
        <w:t>l</w:t>
      </w:r>
      <w:r w:rsidR="00224EA4" w:rsidRPr="002532DF">
        <w:rPr>
          <w:sz w:val="25"/>
          <w:szCs w:val="25"/>
        </w:rPr>
        <w:t xml:space="preserve">itigated </w:t>
      </w:r>
      <w:r w:rsidR="003E0042" w:rsidRPr="002532DF">
        <w:rPr>
          <w:sz w:val="25"/>
          <w:szCs w:val="25"/>
        </w:rPr>
        <w:t xml:space="preserve">general rate </w:t>
      </w:r>
      <w:r w:rsidR="00224EA4" w:rsidRPr="002532DF">
        <w:rPr>
          <w:sz w:val="25"/>
          <w:szCs w:val="25"/>
        </w:rPr>
        <w:t>case</w:t>
      </w:r>
      <w:r w:rsidR="00F336C8" w:rsidRPr="002532DF">
        <w:rPr>
          <w:sz w:val="25"/>
          <w:szCs w:val="25"/>
        </w:rPr>
        <w:t xml:space="preserve"> decided </w:t>
      </w:r>
      <w:r w:rsidR="002174E6" w:rsidRPr="002532DF">
        <w:rPr>
          <w:sz w:val="25"/>
          <w:szCs w:val="25"/>
        </w:rPr>
        <w:t>a year ago,</w:t>
      </w:r>
      <w:r w:rsidR="00224EA4" w:rsidRPr="002532DF">
        <w:rPr>
          <w:sz w:val="25"/>
          <w:szCs w:val="25"/>
        </w:rPr>
        <w:t xml:space="preserve"> we set </w:t>
      </w:r>
      <w:r w:rsidR="00283C30">
        <w:rPr>
          <w:sz w:val="25"/>
          <w:szCs w:val="25"/>
        </w:rPr>
        <w:t>that company’s</w:t>
      </w:r>
      <w:r w:rsidR="00224EA4" w:rsidRPr="002532DF">
        <w:rPr>
          <w:sz w:val="25"/>
          <w:szCs w:val="25"/>
        </w:rPr>
        <w:t xml:space="preserve"> ROE at 10.1 percent.</w:t>
      </w:r>
      <w:r w:rsidR="00224EA4" w:rsidRPr="002532DF">
        <w:rPr>
          <w:rStyle w:val="FootnoteReference"/>
          <w:sz w:val="25"/>
          <w:szCs w:val="25"/>
        </w:rPr>
        <w:footnoteReference w:id="132"/>
      </w:r>
      <w:r w:rsidR="00224EA4" w:rsidRPr="002532DF">
        <w:rPr>
          <w:sz w:val="25"/>
          <w:szCs w:val="25"/>
        </w:rPr>
        <w:t xml:space="preserve">  </w:t>
      </w:r>
      <w:r w:rsidR="002174E6" w:rsidRPr="002532DF">
        <w:rPr>
          <w:sz w:val="25"/>
          <w:szCs w:val="25"/>
        </w:rPr>
        <w:t>More recently, w</w:t>
      </w:r>
      <w:r w:rsidR="00224EA4" w:rsidRPr="002532DF">
        <w:rPr>
          <w:sz w:val="25"/>
          <w:szCs w:val="25"/>
        </w:rPr>
        <w:t>e approved a settlement in Avista’s most recent rate case that set the ROE at 10.2 percent</w:t>
      </w:r>
      <w:r w:rsidR="006D52C8" w:rsidRPr="002532DF">
        <w:rPr>
          <w:sz w:val="25"/>
          <w:szCs w:val="25"/>
        </w:rPr>
        <w:t xml:space="preserve"> in November 2010, although we did not have a chance to separately consider the ROE</w:t>
      </w:r>
      <w:r w:rsidR="00224EA4" w:rsidRPr="002532DF">
        <w:rPr>
          <w:sz w:val="25"/>
          <w:szCs w:val="25"/>
        </w:rPr>
        <w:t>.</w:t>
      </w:r>
      <w:r w:rsidR="00224EA4" w:rsidRPr="002532DF">
        <w:rPr>
          <w:rStyle w:val="FootnoteReference"/>
          <w:sz w:val="25"/>
          <w:szCs w:val="25"/>
        </w:rPr>
        <w:footnoteReference w:id="133"/>
      </w:r>
      <w:r w:rsidR="00F360BC" w:rsidRPr="002532DF">
        <w:rPr>
          <w:sz w:val="25"/>
          <w:szCs w:val="25"/>
        </w:rPr>
        <w:t xml:space="preserve">  </w:t>
      </w:r>
      <w:r w:rsidR="002174E6" w:rsidRPr="002532DF">
        <w:rPr>
          <w:sz w:val="25"/>
          <w:szCs w:val="25"/>
        </w:rPr>
        <w:t>However, t</w:t>
      </w:r>
      <w:r w:rsidR="00F360BC" w:rsidRPr="002532DF">
        <w:rPr>
          <w:sz w:val="25"/>
          <w:szCs w:val="25"/>
        </w:rPr>
        <w:t>he most recently litigated determination setting the PacifiCorp’s cost of capital</w:t>
      </w:r>
      <w:r w:rsidR="00AC575B" w:rsidRPr="002532DF">
        <w:rPr>
          <w:sz w:val="25"/>
          <w:szCs w:val="25"/>
        </w:rPr>
        <w:t xml:space="preserve">, albeit in </w:t>
      </w:r>
      <w:r w:rsidR="002174E6" w:rsidRPr="002532DF">
        <w:rPr>
          <w:sz w:val="25"/>
          <w:szCs w:val="25"/>
        </w:rPr>
        <w:t>Idaho</w:t>
      </w:r>
      <w:r w:rsidR="00AC575B" w:rsidRPr="002532DF">
        <w:rPr>
          <w:sz w:val="25"/>
          <w:szCs w:val="25"/>
        </w:rPr>
        <w:t>,</w:t>
      </w:r>
      <w:r w:rsidR="00F360BC" w:rsidRPr="002532DF">
        <w:rPr>
          <w:sz w:val="25"/>
          <w:szCs w:val="25"/>
        </w:rPr>
        <w:t xml:space="preserve"> lowered the Company’s ROE to 9.9 percent</w:t>
      </w:r>
      <w:r w:rsidR="002174E6" w:rsidRPr="002532DF">
        <w:rPr>
          <w:sz w:val="25"/>
          <w:szCs w:val="25"/>
        </w:rPr>
        <w:t xml:space="preserve"> in that jurisdiction</w:t>
      </w:r>
      <w:r w:rsidR="00F360BC" w:rsidRPr="002532DF">
        <w:rPr>
          <w:sz w:val="25"/>
          <w:szCs w:val="25"/>
        </w:rPr>
        <w:t>.</w:t>
      </w:r>
      <w:r w:rsidR="00F360BC" w:rsidRPr="002532DF">
        <w:rPr>
          <w:rStyle w:val="FootnoteReference"/>
          <w:sz w:val="25"/>
          <w:szCs w:val="25"/>
        </w:rPr>
        <w:footnoteReference w:id="134"/>
      </w:r>
      <w:r w:rsidR="00AC575B" w:rsidRPr="002532DF">
        <w:rPr>
          <w:sz w:val="25"/>
          <w:szCs w:val="25"/>
        </w:rPr>
        <w:t xml:space="preserve">  </w:t>
      </w:r>
      <w:r w:rsidR="001F0E8B" w:rsidRPr="002532DF">
        <w:rPr>
          <w:sz w:val="25"/>
          <w:szCs w:val="25"/>
        </w:rPr>
        <w:t>Though by no means binding on us, other state commission decisions have set ROEs well below 10.0 percent.</w:t>
      </w:r>
      <w:r w:rsidR="001F0E8B" w:rsidRPr="002532DF">
        <w:rPr>
          <w:rStyle w:val="FootnoteReference"/>
          <w:sz w:val="25"/>
          <w:szCs w:val="25"/>
        </w:rPr>
        <w:t xml:space="preserve"> </w:t>
      </w:r>
      <w:r w:rsidR="001F0E8B" w:rsidRPr="002532DF">
        <w:rPr>
          <w:rStyle w:val="FootnoteReference"/>
          <w:sz w:val="25"/>
          <w:szCs w:val="25"/>
        </w:rPr>
        <w:footnoteReference w:id="135"/>
      </w:r>
      <w:r w:rsidR="001F0E8B" w:rsidRPr="002532DF">
        <w:rPr>
          <w:sz w:val="25"/>
          <w:szCs w:val="25"/>
        </w:rPr>
        <w:t xml:space="preserve">  Given the </w:t>
      </w:r>
      <w:r w:rsidR="006D52C8" w:rsidRPr="002532DF">
        <w:rPr>
          <w:sz w:val="25"/>
          <w:szCs w:val="25"/>
        </w:rPr>
        <w:t>relatively low interest rates</w:t>
      </w:r>
      <w:r w:rsidR="001F0E8B" w:rsidRPr="002532DF">
        <w:rPr>
          <w:sz w:val="25"/>
          <w:szCs w:val="25"/>
        </w:rPr>
        <w:t xml:space="preserve"> in the current economic climate, it is fair to assume a general downward trend of ROEs, and certainly a cost of equity </w:t>
      </w:r>
      <w:r w:rsidR="00455A70" w:rsidRPr="002532DF">
        <w:rPr>
          <w:sz w:val="25"/>
          <w:szCs w:val="25"/>
        </w:rPr>
        <w:t xml:space="preserve">lower </w:t>
      </w:r>
      <w:r w:rsidR="001F0E8B" w:rsidRPr="002532DF">
        <w:rPr>
          <w:sz w:val="25"/>
          <w:szCs w:val="25"/>
        </w:rPr>
        <w:t>than the 10.6 percent pro</w:t>
      </w:r>
      <w:r w:rsidR="007F22D0">
        <w:rPr>
          <w:sz w:val="25"/>
          <w:szCs w:val="25"/>
        </w:rPr>
        <w:t>p</w:t>
      </w:r>
      <w:r w:rsidR="001F0E8B" w:rsidRPr="002532DF">
        <w:rPr>
          <w:sz w:val="25"/>
          <w:szCs w:val="25"/>
        </w:rPr>
        <w:t>osed by PacifiCorp.</w:t>
      </w:r>
      <w:r w:rsidRPr="002532DF">
        <w:rPr>
          <w:sz w:val="25"/>
          <w:szCs w:val="25"/>
        </w:rPr>
        <w:t xml:space="preserve"> </w:t>
      </w:r>
    </w:p>
    <w:p w:rsidR="00D26E53" w:rsidRPr="002532DF" w:rsidRDefault="00D26E53" w:rsidP="00D26E53">
      <w:pPr>
        <w:spacing w:line="276" w:lineRule="auto"/>
        <w:ind w:left="-720"/>
        <w:rPr>
          <w:sz w:val="25"/>
          <w:szCs w:val="25"/>
        </w:rPr>
      </w:pPr>
    </w:p>
    <w:p w:rsidR="00C10C2F" w:rsidRPr="002532DF" w:rsidRDefault="00283C30" w:rsidP="00AD0B90">
      <w:pPr>
        <w:numPr>
          <w:ilvl w:val="0"/>
          <w:numId w:val="1"/>
        </w:numPr>
        <w:tabs>
          <w:tab w:val="clear" w:pos="720"/>
          <w:tab w:val="num" w:pos="0"/>
        </w:tabs>
        <w:spacing w:line="276" w:lineRule="auto"/>
        <w:ind w:left="0"/>
        <w:rPr>
          <w:sz w:val="25"/>
          <w:szCs w:val="25"/>
        </w:rPr>
      </w:pPr>
      <w:r>
        <w:rPr>
          <w:sz w:val="25"/>
          <w:szCs w:val="25"/>
        </w:rPr>
        <w:t>The return on equity for PacifiCorp, therefore, must be within the reasonableness ranges established in the record.  As</w:t>
      </w:r>
      <w:r w:rsidR="00885F06" w:rsidRPr="002532DF">
        <w:rPr>
          <w:sz w:val="25"/>
          <w:szCs w:val="25"/>
        </w:rPr>
        <w:t xml:space="preserve"> we </w:t>
      </w:r>
      <w:r>
        <w:rPr>
          <w:sz w:val="25"/>
          <w:szCs w:val="25"/>
        </w:rPr>
        <w:t xml:space="preserve">have </w:t>
      </w:r>
      <w:r w:rsidR="00885F06" w:rsidRPr="002532DF">
        <w:rPr>
          <w:sz w:val="25"/>
          <w:szCs w:val="25"/>
        </w:rPr>
        <w:t>stated</w:t>
      </w:r>
      <w:r w:rsidR="007F22D0">
        <w:rPr>
          <w:sz w:val="25"/>
          <w:szCs w:val="25"/>
        </w:rPr>
        <w:t>,</w:t>
      </w:r>
      <w:r w:rsidR="00885F06" w:rsidRPr="002532DF">
        <w:rPr>
          <w:sz w:val="25"/>
          <w:szCs w:val="25"/>
        </w:rPr>
        <w:t xml:space="preserve"> </w:t>
      </w:r>
      <w:r w:rsidR="00C10C2F" w:rsidRPr="002532DF">
        <w:rPr>
          <w:sz w:val="25"/>
          <w:szCs w:val="25"/>
        </w:rPr>
        <w:t xml:space="preserve">we place substantial weight on ICNU’s </w:t>
      </w:r>
      <w:r w:rsidR="00885F06" w:rsidRPr="002532DF">
        <w:rPr>
          <w:sz w:val="25"/>
          <w:szCs w:val="25"/>
        </w:rPr>
        <w:t xml:space="preserve">DCF </w:t>
      </w:r>
      <w:r w:rsidR="00C10C2F" w:rsidRPr="002532DF">
        <w:rPr>
          <w:sz w:val="25"/>
          <w:szCs w:val="25"/>
        </w:rPr>
        <w:t>analysis</w:t>
      </w:r>
      <w:r w:rsidR="00A35EBE" w:rsidRPr="002532DF">
        <w:rPr>
          <w:sz w:val="25"/>
          <w:szCs w:val="25"/>
        </w:rPr>
        <w:t xml:space="preserve"> and its critique of the Company’s DCF analysis.  </w:t>
      </w:r>
      <w:r w:rsidR="007F22D0">
        <w:rPr>
          <w:sz w:val="25"/>
          <w:szCs w:val="25"/>
        </w:rPr>
        <w:t>We also</w:t>
      </w:r>
      <w:r w:rsidR="00A35EBE" w:rsidRPr="002532DF">
        <w:rPr>
          <w:sz w:val="25"/>
          <w:szCs w:val="25"/>
        </w:rPr>
        <w:t xml:space="preserve"> agree with ICNU’s and Staff’s criticism of the Company’s </w:t>
      </w:r>
      <w:r w:rsidR="007F22D0">
        <w:rPr>
          <w:sz w:val="25"/>
          <w:szCs w:val="25"/>
        </w:rPr>
        <w:t>r</w:t>
      </w:r>
      <w:r w:rsidR="00A35EBE" w:rsidRPr="002532DF">
        <w:rPr>
          <w:sz w:val="25"/>
          <w:szCs w:val="25"/>
        </w:rPr>
        <w:t xml:space="preserve">isk </w:t>
      </w:r>
      <w:r w:rsidR="007F22D0">
        <w:rPr>
          <w:sz w:val="25"/>
          <w:szCs w:val="25"/>
        </w:rPr>
        <w:t>p</w:t>
      </w:r>
      <w:r w:rsidR="00A35EBE" w:rsidRPr="002532DF">
        <w:rPr>
          <w:sz w:val="25"/>
          <w:szCs w:val="25"/>
        </w:rPr>
        <w:t xml:space="preserve">remium </w:t>
      </w:r>
      <w:r w:rsidR="007F22D0">
        <w:rPr>
          <w:sz w:val="25"/>
          <w:szCs w:val="25"/>
        </w:rPr>
        <w:t>a</w:t>
      </w:r>
      <w:r w:rsidR="00A35EBE" w:rsidRPr="002532DF">
        <w:rPr>
          <w:sz w:val="25"/>
          <w:szCs w:val="25"/>
        </w:rPr>
        <w:t>nalysis</w:t>
      </w:r>
      <w:r w:rsidR="00885F06" w:rsidRPr="002532DF">
        <w:rPr>
          <w:sz w:val="25"/>
          <w:szCs w:val="25"/>
        </w:rPr>
        <w:t>.</w:t>
      </w:r>
      <w:r w:rsidR="00C10C2F" w:rsidRPr="002532DF">
        <w:rPr>
          <w:sz w:val="25"/>
          <w:szCs w:val="25"/>
        </w:rPr>
        <w:t xml:space="preserve">  </w:t>
      </w:r>
      <w:r w:rsidR="00A35EBE" w:rsidRPr="002532DF">
        <w:rPr>
          <w:sz w:val="25"/>
          <w:szCs w:val="25"/>
        </w:rPr>
        <w:t xml:space="preserve">The range of DCF-derived ROEs is 9.55 to 10.21 percent.  The range of Risk Premium-derived ROEs is 9.4 to 9.8 percent.  The analysis for CAPM gives further weight to a lower adjustment. </w:t>
      </w:r>
      <w:r w:rsidR="007F22D0">
        <w:rPr>
          <w:sz w:val="25"/>
          <w:szCs w:val="25"/>
        </w:rPr>
        <w:t>The highest common ROE in both ranges is 9.8 percent.</w:t>
      </w:r>
      <w:r w:rsidR="00A35EBE" w:rsidRPr="002532DF">
        <w:rPr>
          <w:sz w:val="25"/>
          <w:szCs w:val="25"/>
        </w:rPr>
        <w:t xml:space="preserve"> </w:t>
      </w:r>
      <w:r w:rsidR="005F7503" w:rsidRPr="002532DF">
        <w:rPr>
          <w:sz w:val="25"/>
          <w:szCs w:val="25"/>
        </w:rPr>
        <w:t xml:space="preserve">  </w:t>
      </w:r>
    </w:p>
    <w:p w:rsidR="00C10C2F" w:rsidRPr="002532DF" w:rsidRDefault="00C10C2F" w:rsidP="00C10C2F">
      <w:pPr>
        <w:pStyle w:val="ListParagraph"/>
        <w:rPr>
          <w:b/>
          <w:sz w:val="25"/>
          <w:szCs w:val="25"/>
        </w:rPr>
      </w:pPr>
    </w:p>
    <w:p w:rsidR="000D7A32" w:rsidRPr="002532DF" w:rsidRDefault="007F22D0" w:rsidP="00AD0B90">
      <w:pPr>
        <w:numPr>
          <w:ilvl w:val="0"/>
          <w:numId w:val="1"/>
        </w:numPr>
        <w:tabs>
          <w:tab w:val="clear" w:pos="720"/>
          <w:tab w:val="num" w:pos="0"/>
        </w:tabs>
        <w:spacing w:line="276" w:lineRule="auto"/>
        <w:ind w:left="0"/>
        <w:rPr>
          <w:sz w:val="25"/>
          <w:szCs w:val="25"/>
        </w:rPr>
      </w:pPr>
      <w:r>
        <w:rPr>
          <w:sz w:val="25"/>
          <w:szCs w:val="25"/>
        </w:rPr>
        <w:t>B</w:t>
      </w:r>
      <w:r w:rsidR="00C10C2F" w:rsidRPr="002532DF">
        <w:rPr>
          <w:sz w:val="25"/>
          <w:szCs w:val="25"/>
        </w:rPr>
        <w:t xml:space="preserve">ased on </w:t>
      </w:r>
      <w:r w:rsidR="00A35EBE" w:rsidRPr="002532DF">
        <w:rPr>
          <w:sz w:val="25"/>
          <w:szCs w:val="25"/>
        </w:rPr>
        <w:t xml:space="preserve">our review of the </w:t>
      </w:r>
      <w:r w:rsidR="00DB3CF3" w:rsidRPr="002532DF">
        <w:rPr>
          <w:sz w:val="25"/>
          <w:szCs w:val="25"/>
        </w:rPr>
        <w:t>extensive</w:t>
      </w:r>
      <w:r w:rsidR="00A35EBE" w:rsidRPr="002532DF">
        <w:rPr>
          <w:sz w:val="25"/>
          <w:szCs w:val="25"/>
        </w:rPr>
        <w:t xml:space="preserve"> record in this case and on</w:t>
      </w:r>
      <w:r w:rsidR="00C10C2F" w:rsidRPr="002532DF">
        <w:rPr>
          <w:sz w:val="25"/>
          <w:szCs w:val="25"/>
        </w:rPr>
        <w:t xml:space="preserve"> our reasoning above,</w:t>
      </w:r>
      <w:r w:rsidR="00D26E53" w:rsidRPr="002532DF">
        <w:rPr>
          <w:sz w:val="25"/>
          <w:szCs w:val="25"/>
        </w:rPr>
        <w:t xml:space="preserve"> we </w:t>
      </w:r>
      <w:r w:rsidR="00A35EBE" w:rsidRPr="002532DF">
        <w:rPr>
          <w:sz w:val="25"/>
          <w:szCs w:val="25"/>
        </w:rPr>
        <w:t xml:space="preserve">exercise our informed judgment and </w:t>
      </w:r>
      <w:r w:rsidR="00D26E53" w:rsidRPr="002532DF">
        <w:rPr>
          <w:sz w:val="25"/>
          <w:szCs w:val="25"/>
        </w:rPr>
        <w:t xml:space="preserve">conclude that PacifiCorp’s cost of equity </w:t>
      </w:r>
      <w:r w:rsidR="00A35EBE" w:rsidRPr="002532DF">
        <w:rPr>
          <w:sz w:val="25"/>
          <w:szCs w:val="25"/>
        </w:rPr>
        <w:t xml:space="preserve">in this case </w:t>
      </w:r>
      <w:r w:rsidR="00D26E53" w:rsidRPr="002532DF">
        <w:rPr>
          <w:sz w:val="25"/>
          <w:szCs w:val="25"/>
        </w:rPr>
        <w:t>should be set at 9.8</w:t>
      </w:r>
      <w:r w:rsidR="00C10C2F" w:rsidRPr="002532DF">
        <w:rPr>
          <w:sz w:val="25"/>
          <w:szCs w:val="25"/>
        </w:rPr>
        <w:t>0</w:t>
      </w:r>
      <w:r w:rsidR="00D26E53" w:rsidRPr="002532DF">
        <w:rPr>
          <w:sz w:val="25"/>
          <w:szCs w:val="25"/>
        </w:rPr>
        <w:t xml:space="preserve"> percent</w:t>
      </w:r>
      <w:r w:rsidR="00C10C2F" w:rsidRPr="002532DF">
        <w:rPr>
          <w:sz w:val="25"/>
          <w:szCs w:val="25"/>
        </w:rPr>
        <w:t xml:space="preserve">.  </w:t>
      </w:r>
      <w:r w:rsidR="005F7503" w:rsidRPr="002532DF">
        <w:rPr>
          <w:sz w:val="25"/>
          <w:szCs w:val="25"/>
        </w:rPr>
        <w:t xml:space="preserve">We believe that such a conclusion is supported by the evidence and a comparative weighting of all the methodologies submitted.  </w:t>
      </w:r>
      <w:r w:rsidR="00C10C2F" w:rsidRPr="002532DF">
        <w:rPr>
          <w:sz w:val="25"/>
          <w:szCs w:val="25"/>
        </w:rPr>
        <w:t xml:space="preserve"> </w:t>
      </w:r>
    </w:p>
    <w:p w:rsidR="000D7A32" w:rsidRPr="002532DF" w:rsidRDefault="00973B0D" w:rsidP="00973B0D">
      <w:pPr>
        <w:pStyle w:val="Heading4"/>
        <w:ind w:left="1080"/>
        <w:rPr>
          <w:rFonts w:ascii="Times New Roman" w:hAnsi="Times New Roman"/>
          <w:sz w:val="25"/>
          <w:szCs w:val="25"/>
        </w:rPr>
      </w:pPr>
      <w:bookmarkStart w:id="16" w:name="_Toc288813724"/>
      <w:r>
        <w:rPr>
          <w:rFonts w:ascii="Times New Roman" w:hAnsi="Times New Roman"/>
          <w:sz w:val="25"/>
          <w:szCs w:val="25"/>
        </w:rPr>
        <w:t>3.</w:t>
      </w:r>
      <w:r>
        <w:rPr>
          <w:rFonts w:ascii="Times New Roman" w:hAnsi="Times New Roman"/>
          <w:sz w:val="25"/>
          <w:szCs w:val="25"/>
        </w:rPr>
        <w:tab/>
      </w:r>
      <w:r w:rsidR="000D7A32" w:rsidRPr="002532DF">
        <w:rPr>
          <w:rFonts w:ascii="Times New Roman" w:hAnsi="Times New Roman"/>
          <w:sz w:val="25"/>
          <w:szCs w:val="25"/>
        </w:rPr>
        <w:t>Cost of Preferred Stock</w:t>
      </w:r>
      <w:bookmarkEnd w:id="16"/>
    </w:p>
    <w:p w:rsidR="000D7A32" w:rsidRPr="002532DF" w:rsidRDefault="000D7A32" w:rsidP="000D7A32">
      <w:pPr>
        <w:spacing w:line="276" w:lineRule="auto"/>
        <w:ind w:left="1980"/>
        <w:outlineLvl w:val="3"/>
        <w:rPr>
          <w:b/>
          <w:sz w:val="25"/>
          <w:szCs w:val="25"/>
        </w:rPr>
      </w:pPr>
    </w:p>
    <w:p w:rsidR="000D7A32" w:rsidRPr="002532DF" w:rsidRDefault="000D7A32" w:rsidP="000D7A32">
      <w:pPr>
        <w:numPr>
          <w:ilvl w:val="0"/>
          <w:numId w:val="1"/>
        </w:numPr>
        <w:tabs>
          <w:tab w:val="clear" w:pos="720"/>
          <w:tab w:val="num" w:pos="0"/>
        </w:tabs>
        <w:spacing w:line="276" w:lineRule="auto"/>
        <w:ind w:left="0"/>
        <w:rPr>
          <w:b/>
          <w:sz w:val="25"/>
          <w:szCs w:val="25"/>
        </w:rPr>
      </w:pPr>
      <w:r w:rsidRPr="002532DF">
        <w:rPr>
          <w:i/>
          <w:sz w:val="25"/>
          <w:szCs w:val="25"/>
        </w:rPr>
        <w:t xml:space="preserve">Positions of the Parties.  </w:t>
      </w:r>
      <w:r w:rsidRPr="002532DF">
        <w:rPr>
          <w:sz w:val="25"/>
          <w:szCs w:val="25"/>
        </w:rPr>
        <w:t>The Company computes its embedded cost of preferred stock by dividing the annual dividend rate by the per-share net proceeds for each series.  The embedded cost is multiplied by total par or stated value of each series.  Total annualized cost is divided by the total amount of preferred stock outstanding resulting in the weighted average cost or the embedded cost of the company’s preferred stock.</w:t>
      </w:r>
      <w:r w:rsidRPr="002532DF">
        <w:rPr>
          <w:rStyle w:val="FootnoteReference"/>
          <w:sz w:val="25"/>
          <w:szCs w:val="25"/>
        </w:rPr>
        <w:footnoteReference w:id="136"/>
      </w:r>
      <w:r w:rsidRPr="002532DF">
        <w:rPr>
          <w:sz w:val="25"/>
          <w:szCs w:val="25"/>
        </w:rPr>
        <w:t xml:space="preserve">  PacifiCorp uses a December 31, 2010, </w:t>
      </w:r>
      <w:r w:rsidRPr="002532DF">
        <w:rPr>
          <w:i/>
          <w:sz w:val="25"/>
          <w:szCs w:val="25"/>
        </w:rPr>
        <w:t>pro forma</w:t>
      </w:r>
      <w:r w:rsidRPr="002532DF">
        <w:rPr>
          <w:sz w:val="25"/>
          <w:szCs w:val="25"/>
        </w:rPr>
        <w:t xml:space="preserve"> cost of 5.41 percent.</w:t>
      </w:r>
      <w:r w:rsidRPr="002532DF">
        <w:rPr>
          <w:rStyle w:val="FootnoteReference"/>
          <w:sz w:val="25"/>
          <w:szCs w:val="25"/>
        </w:rPr>
        <w:footnoteReference w:id="137"/>
      </w:r>
      <w:r w:rsidRPr="002532DF">
        <w:rPr>
          <w:sz w:val="25"/>
          <w:szCs w:val="25"/>
        </w:rPr>
        <w:t xml:space="preserve">  Neither Staff nor ICNU contest PacifiCorp’s </w:t>
      </w:r>
      <w:r w:rsidR="00234E2D" w:rsidRPr="002532DF">
        <w:rPr>
          <w:sz w:val="25"/>
          <w:szCs w:val="25"/>
        </w:rPr>
        <w:t xml:space="preserve">cost of </w:t>
      </w:r>
      <w:r w:rsidRPr="002532DF">
        <w:rPr>
          <w:sz w:val="25"/>
          <w:szCs w:val="25"/>
        </w:rPr>
        <w:t>preferred stock</w:t>
      </w:r>
      <w:r w:rsidR="00234E2D" w:rsidRPr="002532DF">
        <w:rPr>
          <w:sz w:val="25"/>
          <w:szCs w:val="25"/>
        </w:rPr>
        <w:t>.</w:t>
      </w:r>
      <w:r w:rsidRPr="002532DF">
        <w:rPr>
          <w:rStyle w:val="FootnoteReference"/>
          <w:sz w:val="25"/>
          <w:szCs w:val="25"/>
        </w:rPr>
        <w:footnoteReference w:id="138"/>
      </w:r>
      <w:r w:rsidRPr="002532DF">
        <w:rPr>
          <w:sz w:val="25"/>
          <w:szCs w:val="25"/>
        </w:rPr>
        <w:t xml:space="preserve">  </w:t>
      </w:r>
    </w:p>
    <w:p w:rsidR="000D7A32" w:rsidRPr="002532DF" w:rsidRDefault="000D7A32" w:rsidP="000D7A32">
      <w:pPr>
        <w:spacing w:line="276" w:lineRule="auto"/>
        <w:ind w:left="-720"/>
        <w:rPr>
          <w:b/>
          <w:sz w:val="25"/>
          <w:szCs w:val="25"/>
        </w:rPr>
      </w:pPr>
    </w:p>
    <w:p w:rsidR="000D7A32" w:rsidRPr="002532DF" w:rsidRDefault="000D7A32" w:rsidP="000D7A32">
      <w:pPr>
        <w:numPr>
          <w:ilvl w:val="0"/>
          <w:numId w:val="1"/>
        </w:numPr>
        <w:tabs>
          <w:tab w:val="clear" w:pos="720"/>
          <w:tab w:val="num" w:pos="0"/>
        </w:tabs>
        <w:spacing w:line="276" w:lineRule="auto"/>
        <w:ind w:left="0"/>
        <w:rPr>
          <w:b/>
          <w:sz w:val="25"/>
          <w:szCs w:val="25"/>
        </w:rPr>
      </w:pPr>
      <w:r w:rsidRPr="002532DF">
        <w:rPr>
          <w:i/>
          <w:sz w:val="25"/>
          <w:szCs w:val="25"/>
        </w:rPr>
        <w:t xml:space="preserve">Commission Decision.  </w:t>
      </w:r>
      <w:r w:rsidRPr="002532DF">
        <w:rPr>
          <w:sz w:val="25"/>
          <w:szCs w:val="25"/>
        </w:rPr>
        <w:t>We accept PacifiCorp’s undisputed cost of preferred stock to calculate PacifiCorp’s overall rate of return.</w:t>
      </w:r>
    </w:p>
    <w:p w:rsidR="000D7A32" w:rsidRPr="002532DF" w:rsidRDefault="00973B0D" w:rsidP="00973B0D">
      <w:pPr>
        <w:pStyle w:val="Heading4"/>
        <w:ind w:left="1080"/>
        <w:rPr>
          <w:rFonts w:ascii="Times New Roman" w:hAnsi="Times New Roman"/>
          <w:sz w:val="25"/>
          <w:szCs w:val="25"/>
        </w:rPr>
      </w:pPr>
      <w:bookmarkStart w:id="17" w:name="_Toc288813725"/>
      <w:r>
        <w:rPr>
          <w:rFonts w:ascii="Times New Roman" w:hAnsi="Times New Roman"/>
          <w:sz w:val="25"/>
          <w:szCs w:val="25"/>
        </w:rPr>
        <w:t>4.</w:t>
      </w:r>
      <w:r>
        <w:rPr>
          <w:rFonts w:ascii="Times New Roman" w:hAnsi="Times New Roman"/>
          <w:sz w:val="25"/>
          <w:szCs w:val="25"/>
        </w:rPr>
        <w:tab/>
      </w:r>
      <w:r w:rsidR="000D7A32" w:rsidRPr="002532DF">
        <w:rPr>
          <w:rFonts w:ascii="Times New Roman" w:hAnsi="Times New Roman"/>
          <w:sz w:val="25"/>
          <w:szCs w:val="25"/>
        </w:rPr>
        <w:t>Cost of Long-Term Debt</w:t>
      </w:r>
      <w:bookmarkEnd w:id="17"/>
    </w:p>
    <w:p w:rsidR="000D7A32" w:rsidRPr="002532DF" w:rsidRDefault="000D7A32" w:rsidP="000D7A32">
      <w:pPr>
        <w:spacing w:line="276" w:lineRule="auto"/>
        <w:outlineLvl w:val="3"/>
        <w:rPr>
          <w:b/>
          <w:sz w:val="25"/>
          <w:szCs w:val="25"/>
        </w:rPr>
      </w:pPr>
    </w:p>
    <w:p w:rsidR="000D7A32" w:rsidRPr="002532DF" w:rsidRDefault="000D7A32" w:rsidP="000D7A32">
      <w:pPr>
        <w:numPr>
          <w:ilvl w:val="0"/>
          <w:numId w:val="1"/>
        </w:numPr>
        <w:tabs>
          <w:tab w:val="clear" w:pos="720"/>
          <w:tab w:val="num" w:pos="0"/>
        </w:tabs>
        <w:spacing w:line="276" w:lineRule="auto"/>
        <w:ind w:left="0"/>
        <w:rPr>
          <w:b/>
          <w:sz w:val="25"/>
          <w:szCs w:val="25"/>
        </w:rPr>
      </w:pPr>
      <w:r w:rsidRPr="002532DF">
        <w:rPr>
          <w:i/>
          <w:sz w:val="25"/>
          <w:szCs w:val="25"/>
        </w:rPr>
        <w:t xml:space="preserve">Positions of the Parties.  </w:t>
      </w:r>
      <w:r w:rsidRPr="002532DF">
        <w:rPr>
          <w:sz w:val="25"/>
          <w:szCs w:val="25"/>
        </w:rPr>
        <w:t>The Company computes its embedded cost of long-term debt by calculating the cost by issue based on each series’ interest rate and net proceeds at issuance date resulting in bond-yield-to-maturity for each series of debt.</w:t>
      </w:r>
      <w:r w:rsidRPr="002532DF">
        <w:rPr>
          <w:b/>
          <w:sz w:val="25"/>
          <w:szCs w:val="25"/>
        </w:rPr>
        <w:t xml:space="preserve"> </w:t>
      </w:r>
      <w:r w:rsidRPr="002532DF">
        <w:rPr>
          <w:sz w:val="25"/>
          <w:szCs w:val="25"/>
        </w:rPr>
        <w:t xml:space="preserve"> For variable rate securities, the Company uses costs at December 31, 2009.</w:t>
      </w:r>
      <w:r w:rsidRPr="002532DF">
        <w:rPr>
          <w:rStyle w:val="FootnoteReference"/>
          <w:sz w:val="25"/>
          <w:szCs w:val="25"/>
        </w:rPr>
        <w:footnoteReference w:id="139"/>
      </w:r>
      <w:r w:rsidRPr="002532DF">
        <w:rPr>
          <w:sz w:val="25"/>
          <w:szCs w:val="25"/>
        </w:rPr>
        <w:t xml:space="preserve">  Bond yields were then multiplied by the outstanding principal amount resulting in the annualized cost for each issue. </w:t>
      </w:r>
      <w:r w:rsidR="00EC1E0E">
        <w:rPr>
          <w:sz w:val="25"/>
          <w:szCs w:val="25"/>
        </w:rPr>
        <w:t xml:space="preserve"> </w:t>
      </w:r>
      <w:r w:rsidRPr="002532DF">
        <w:rPr>
          <w:sz w:val="25"/>
          <w:szCs w:val="25"/>
        </w:rPr>
        <w:t>The total annual costs divided by total principal outstanding produces the weighted average cost for all long-term debt issues.</w:t>
      </w:r>
      <w:r w:rsidRPr="002532DF">
        <w:rPr>
          <w:rStyle w:val="FootnoteReference"/>
          <w:sz w:val="25"/>
          <w:szCs w:val="25"/>
        </w:rPr>
        <w:footnoteReference w:id="140"/>
      </w:r>
      <w:r w:rsidRPr="002532DF">
        <w:rPr>
          <w:sz w:val="25"/>
          <w:szCs w:val="25"/>
        </w:rPr>
        <w:t xml:space="preserve">  The Company’s embedded cost of long-term debt, as of December 31, 2010, was computed at 5.89 percent.</w:t>
      </w:r>
      <w:r w:rsidRPr="002532DF">
        <w:rPr>
          <w:rStyle w:val="FootnoteReference"/>
          <w:sz w:val="25"/>
          <w:szCs w:val="25"/>
        </w:rPr>
        <w:footnoteReference w:id="141"/>
      </w:r>
      <w:r w:rsidRPr="002532DF">
        <w:rPr>
          <w:sz w:val="25"/>
          <w:szCs w:val="25"/>
        </w:rPr>
        <w:t xml:space="preserve">  The Company asserts that its cost of long-term debt is reasonable and compares favorably with other utilities under the Commission’s jurisdiction.</w:t>
      </w:r>
      <w:r w:rsidRPr="002532DF">
        <w:rPr>
          <w:rStyle w:val="FootnoteReference"/>
          <w:sz w:val="25"/>
          <w:szCs w:val="25"/>
        </w:rPr>
        <w:footnoteReference w:id="142"/>
      </w:r>
      <w:r w:rsidRPr="002532DF">
        <w:rPr>
          <w:sz w:val="25"/>
          <w:szCs w:val="25"/>
        </w:rPr>
        <w:t xml:space="preserve">  In response to Staff’s and ICNU’s testimony on capital structure and cost of capital, the Company contends that its cost of debt would increase substantially if its credit rating were to decrease to a “BBB.”</w:t>
      </w:r>
    </w:p>
    <w:p w:rsidR="000D7A32" w:rsidRPr="002532DF" w:rsidRDefault="000D7A32" w:rsidP="000D7A32">
      <w:pPr>
        <w:spacing w:line="276" w:lineRule="auto"/>
        <w:ind w:left="-720"/>
        <w:rPr>
          <w:b/>
          <w:sz w:val="25"/>
          <w:szCs w:val="25"/>
        </w:rPr>
      </w:pPr>
    </w:p>
    <w:p w:rsidR="000D7A32" w:rsidRPr="002532DF" w:rsidRDefault="000D7A32" w:rsidP="000D7A32">
      <w:pPr>
        <w:numPr>
          <w:ilvl w:val="0"/>
          <w:numId w:val="1"/>
        </w:numPr>
        <w:tabs>
          <w:tab w:val="clear" w:pos="720"/>
          <w:tab w:val="num" w:pos="0"/>
        </w:tabs>
        <w:spacing w:line="276" w:lineRule="auto"/>
        <w:ind w:left="0"/>
        <w:rPr>
          <w:b/>
          <w:sz w:val="25"/>
          <w:szCs w:val="25"/>
        </w:rPr>
      </w:pPr>
      <w:r w:rsidRPr="002532DF">
        <w:rPr>
          <w:sz w:val="25"/>
          <w:szCs w:val="25"/>
        </w:rPr>
        <w:t>Staff and ICNU do not contest PacifiCorp’s calculation of the cost of long-term debt.</w:t>
      </w:r>
      <w:r w:rsidRPr="002532DF">
        <w:rPr>
          <w:rStyle w:val="FootnoteReference"/>
          <w:sz w:val="25"/>
          <w:szCs w:val="25"/>
        </w:rPr>
        <w:footnoteReference w:id="143"/>
      </w:r>
    </w:p>
    <w:p w:rsidR="000D7A32" w:rsidRPr="002532DF" w:rsidRDefault="000D7A32" w:rsidP="000D7A32">
      <w:pPr>
        <w:spacing w:line="276" w:lineRule="auto"/>
        <w:ind w:left="-720"/>
        <w:rPr>
          <w:b/>
          <w:sz w:val="25"/>
          <w:szCs w:val="25"/>
        </w:rPr>
      </w:pPr>
    </w:p>
    <w:p w:rsidR="000D7A32" w:rsidRPr="00CC39E4" w:rsidRDefault="000D7A32" w:rsidP="000D7A32">
      <w:pPr>
        <w:numPr>
          <w:ilvl w:val="0"/>
          <w:numId w:val="1"/>
        </w:numPr>
        <w:tabs>
          <w:tab w:val="clear" w:pos="720"/>
          <w:tab w:val="num" w:pos="0"/>
        </w:tabs>
        <w:spacing w:line="276" w:lineRule="auto"/>
        <w:ind w:left="0"/>
        <w:rPr>
          <w:b/>
          <w:sz w:val="25"/>
          <w:szCs w:val="25"/>
        </w:rPr>
      </w:pPr>
      <w:r w:rsidRPr="002532DF">
        <w:rPr>
          <w:i/>
          <w:sz w:val="25"/>
          <w:szCs w:val="25"/>
        </w:rPr>
        <w:t xml:space="preserve">Commission Decision. </w:t>
      </w:r>
      <w:r w:rsidRPr="002532DF">
        <w:rPr>
          <w:sz w:val="25"/>
          <w:szCs w:val="25"/>
        </w:rPr>
        <w:t>We adopt the undisputed cost of long-term debt as 5.89 percent.</w:t>
      </w:r>
    </w:p>
    <w:p w:rsidR="00CC39E4" w:rsidRDefault="00CC39E4" w:rsidP="00CC39E4">
      <w:pPr>
        <w:pStyle w:val="ListParagraph"/>
        <w:rPr>
          <w:b/>
          <w:sz w:val="25"/>
          <w:szCs w:val="25"/>
        </w:rPr>
      </w:pPr>
    </w:p>
    <w:p w:rsidR="002E7914" w:rsidRPr="002532DF" w:rsidRDefault="002E7914" w:rsidP="000D7A32">
      <w:pPr>
        <w:numPr>
          <w:ilvl w:val="0"/>
          <w:numId w:val="1"/>
        </w:numPr>
        <w:tabs>
          <w:tab w:val="clear" w:pos="720"/>
          <w:tab w:val="num" w:pos="0"/>
        </w:tabs>
        <w:spacing w:line="276" w:lineRule="auto"/>
        <w:ind w:left="0"/>
        <w:rPr>
          <w:sz w:val="25"/>
          <w:szCs w:val="25"/>
        </w:rPr>
      </w:pPr>
      <w:r w:rsidRPr="002532DF">
        <w:rPr>
          <w:sz w:val="25"/>
          <w:szCs w:val="25"/>
        </w:rPr>
        <w:t>The following table is a summary of our decisions on an appropriate capital structure for the Company and the cost for each component:</w:t>
      </w:r>
    </w:p>
    <w:p w:rsidR="00B67775" w:rsidRPr="002532DF" w:rsidRDefault="00B67775" w:rsidP="00B67775">
      <w:pPr>
        <w:pStyle w:val="ListParagraph"/>
        <w:ind w:left="0"/>
        <w:rPr>
          <w:sz w:val="25"/>
          <w:szCs w:val="25"/>
        </w:rPr>
      </w:pPr>
    </w:p>
    <w:p w:rsidR="00B67775" w:rsidRPr="002532DF" w:rsidRDefault="00B67775" w:rsidP="00B67775">
      <w:pPr>
        <w:pStyle w:val="NoSpacing"/>
        <w:jc w:val="center"/>
        <w:rPr>
          <w:b/>
          <w:sz w:val="25"/>
          <w:szCs w:val="25"/>
        </w:rPr>
      </w:pPr>
      <w:r w:rsidRPr="002532DF">
        <w:rPr>
          <w:b/>
          <w:sz w:val="25"/>
          <w:szCs w:val="25"/>
        </w:rPr>
        <w:t>Commission Decision</w:t>
      </w:r>
    </w:p>
    <w:p w:rsidR="00B67775" w:rsidRPr="002532DF" w:rsidRDefault="00B67775" w:rsidP="00B67775">
      <w:pPr>
        <w:pStyle w:val="NoSpacing"/>
        <w:rPr>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2092"/>
        <w:gridCol w:w="1999"/>
        <w:gridCol w:w="2198"/>
      </w:tblGrid>
      <w:tr w:rsidR="00B67775" w:rsidRPr="002532DF" w:rsidTr="00B232F0">
        <w:trPr>
          <w:trHeight w:val="431"/>
        </w:trPr>
        <w:tc>
          <w:tcPr>
            <w:tcW w:w="2628" w:type="dxa"/>
            <w:tcBorders>
              <w:top w:val="thinThickSmallGap" w:sz="24" w:space="0" w:color="auto"/>
              <w:left w:val="thinThickSmallGap" w:sz="24" w:space="0" w:color="auto"/>
            </w:tcBorders>
            <w:shd w:val="clear" w:color="auto" w:fill="auto"/>
          </w:tcPr>
          <w:p w:rsidR="00B67775" w:rsidRPr="002532DF" w:rsidRDefault="00B67775" w:rsidP="00B232F0">
            <w:pPr>
              <w:pStyle w:val="NoSpacing"/>
              <w:spacing w:line="360" w:lineRule="auto"/>
              <w:rPr>
                <w:sz w:val="25"/>
                <w:szCs w:val="25"/>
              </w:rPr>
            </w:pPr>
          </w:p>
        </w:tc>
        <w:tc>
          <w:tcPr>
            <w:tcW w:w="2160" w:type="dxa"/>
            <w:tcBorders>
              <w:top w:val="thinThickSmallGap" w:sz="24" w:space="0" w:color="auto"/>
            </w:tcBorders>
            <w:shd w:val="clear" w:color="auto" w:fill="auto"/>
          </w:tcPr>
          <w:p w:rsidR="00B67775" w:rsidRPr="002532DF" w:rsidRDefault="00B67775" w:rsidP="00B232F0">
            <w:pPr>
              <w:pStyle w:val="NoSpacing"/>
              <w:spacing w:line="360" w:lineRule="auto"/>
              <w:jc w:val="right"/>
              <w:rPr>
                <w:b/>
                <w:sz w:val="25"/>
                <w:szCs w:val="25"/>
              </w:rPr>
            </w:pPr>
            <w:r w:rsidRPr="002532DF">
              <w:rPr>
                <w:b/>
                <w:sz w:val="25"/>
                <w:szCs w:val="25"/>
              </w:rPr>
              <w:t>Share %</w:t>
            </w:r>
          </w:p>
        </w:tc>
        <w:tc>
          <w:tcPr>
            <w:tcW w:w="2070" w:type="dxa"/>
            <w:tcBorders>
              <w:top w:val="thinThickSmallGap" w:sz="24" w:space="0" w:color="auto"/>
            </w:tcBorders>
            <w:shd w:val="clear" w:color="auto" w:fill="auto"/>
          </w:tcPr>
          <w:p w:rsidR="00B67775" w:rsidRPr="002532DF" w:rsidRDefault="00B67775" w:rsidP="00B232F0">
            <w:pPr>
              <w:pStyle w:val="NoSpacing"/>
              <w:spacing w:line="360" w:lineRule="auto"/>
              <w:jc w:val="right"/>
              <w:rPr>
                <w:b/>
                <w:sz w:val="25"/>
                <w:szCs w:val="25"/>
              </w:rPr>
            </w:pPr>
            <w:r w:rsidRPr="002532DF">
              <w:rPr>
                <w:b/>
                <w:sz w:val="25"/>
                <w:szCs w:val="25"/>
              </w:rPr>
              <w:t>Cost %</w:t>
            </w:r>
          </w:p>
        </w:tc>
        <w:tc>
          <w:tcPr>
            <w:tcW w:w="2250" w:type="dxa"/>
            <w:tcBorders>
              <w:top w:val="thinThickSmallGap" w:sz="24" w:space="0" w:color="auto"/>
              <w:right w:val="thinThickSmallGap" w:sz="24" w:space="0" w:color="auto"/>
            </w:tcBorders>
            <w:shd w:val="clear" w:color="auto" w:fill="auto"/>
          </w:tcPr>
          <w:p w:rsidR="00B67775" w:rsidRPr="002532DF" w:rsidRDefault="00B67775" w:rsidP="00B232F0">
            <w:pPr>
              <w:pStyle w:val="NoSpacing"/>
              <w:spacing w:line="360" w:lineRule="auto"/>
              <w:jc w:val="right"/>
              <w:rPr>
                <w:b/>
                <w:sz w:val="25"/>
                <w:szCs w:val="25"/>
              </w:rPr>
            </w:pPr>
            <w:r w:rsidRPr="002532DF">
              <w:rPr>
                <w:b/>
                <w:sz w:val="25"/>
                <w:szCs w:val="25"/>
              </w:rPr>
              <w:t>Weighted Cost %</w:t>
            </w:r>
          </w:p>
        </w:tc>
      </w:tr>
      <w:tr w:rsidR="00B67775" w:rsidRPr="002532DF" w:rsidTr="00B232F0">
        <w:trPr>
          <w:trHeight w:val="431"/>
        </w:trPr>
        <w:tc>
          <w:tcPr>
            <w:tcW w:w="2628" w:type="dxa"/>
            <w:tcBorders>
              <w:left w:val="thinThickSmallGap" w:sz="24" w:space="0" w:color="auto"/>
            </w:tcBorders>
            <w:shd w:val="clear" w:color="auto" w:fill="auto"/>
          </w:tcPr>
          <w:p w:rsidR="00B67775" w:rsidRPr="002532DF" w:rsidRDefault="00B67775" w:rsidP="00B232F0">
            <w:pPr>
              <w:pStyle w:val="NoSpacing"/>
              <w:spacing w:line="360" w:lineRule="auto"/>
              <w:rPr>
                <w:sz w:val="25"/>
                <w:szCs w:val="25"/>
              </w:rPr>
            </w:pPr>
            <w:r w:rsidRPr="002532DF">
              <w:rPr>
                <w:sz w:val="25"/>
                <w:szCs w:val="25"/>
              </w:rPr>
              <w:t>Equity</w:t>
            </w:r>
          </w:p>
        </w:tc>
        <w:tc>
          <w:tcPr>
            <w:tcW w:w="2160" w:type="dxa"/>
            <w:shd w:val="clear" w:color="auto" w:fill="auto"/>
          </w:tcPr>
          <w:p w:rsidR="00B67775" w:rsidRPr="002532DF" w:rsidRDefault="00B67775" w:rsidP="00B232F0">
            <w:pPr>
              <w:pStyle w:val="NoSpacing"/>
              <w:spacing w:line="360" w:lineRule="auto"/>
              <w:jc w:val="right"/>
              <w:rPr>
                <w:sz w:val="25"/>
                <w:szCs w:val="25"/>
              </w:rPr>
            </w:pPr>
            <w:r w:rsidRPr="002532DF">
              <w:rPr>
                <w:sz w:val="25"/>
                <w:szCs w:val="25"/>
              </w:rPr>
              <w:t>49.10</w:t>
            </w:r>
          </w:p>
        </w:tc>
        <w:tc>
          <w:tcPr>
            <w:tcW w:w="2070" w:type="dxa"/>
            <w:shd w:val="clear" w:color="auto" w:fill="auto"/>
          </w:tcPr>
          <w:p w:rsidR="00B67775" w:rsidRPr="002532DF" w:rsidRDefault="00B67775" w:rsidP="00B232F0">
            <w:pPr>
              <w:pStyle w:val="NoSpacing"/>
              <w:spacing w:line="360" w:lineRule="auto"/>
              <w:jc w:val="right"/>
              <w:rPr>
                <w:sz w:val="25"/>
                <w:szCs w:val="25"/>
              </w:rPr>
            </w:pPr>
            <w:r w:rsidRPr="002532DF">
              <w:rPr>
                <w:sz w:val="25"/>
                <w:szCs w:val="25"/>
              </w:rPr>
              <w:t>9.80</w:t>
            </w:r>
          </w:p>
        </w:tc>
        <w:tc>
          <w:tcPr>
            <w:tcW w:w="2250" w:type="dxa"/>
            <w:tcBorders>
              <w:right w:val="thinThickSmallGap" w:sz="24" w:space="0" w:color="auto"/>
            </w:tcBorders>
            <w:shd w:val="clear" w:color="auto" w:fill="auto"/>
          </w:tcPr>
          <w:p w:rsidR="00B67775" w:rsidRPr="002532DF" w:rsidRDefault="00B67775" w:rsidP="00B232F0">
            <w:pPr>
              <w:pStyle w:val="NoSpacing"/>
              <w:spacing w:line="360" w:lineRule="auto"/>
              <w:jc w:val="right"/>
              <w:rPr>
                <w:sz w:val="25"/>
                <w:szCs w:val="25"/>
              </w:rPr>
            </w:pPr>
            <w:r w:rsidRPr="002532DF">
              <w:rPr>
                <w:sz w:val="25"/>
                <w:szCs w:val="25"/>
              </w:rPr>
              <w:t>4.81</w:t>
            </w:r>
          </w:p>
        </w:tc>
      </w:tr>
      <w:tr w:rsidR="00B67775" w:rsidRPr="002532DF" w:rsidTr="00B232F0">
        <w:trPr>
          <w:trHeight w:val="431"/>
        </w:trPr>
        <w:tc>
          <w:tcPr>
            <w:tcW w:w="2628" w:type="dxa"/>
            <w:tcBorders>
              <w:left w:val="thinThickSmallGap" w:sz="24" w:space="0" w:color="auto"/>
            </w:tcBorders>
            <w:shd w:val="clear" w:color="auto" w:fill="auto"/>
          </w:tcPr>
          <w:p w:rsidR="00B67775" w:rsidRPr="002532DF" w:rsidRDefault="00B67775" w:rsidP="00B232F0">
            <w:pPr>
              <w:pStyle w:val="NoSpacing"/>
              <w:spacing w:line="360" w:lineRule="auto"/>
              <w:rPr>
                <w:sz w:val="25"/>
                <w:szCs w:val="25"/>
              </w:rPr>
            </w:pPr>
            <w:r w:rsidRPr="002532DF">
              <w:rPr>
                <w:sz w:val="25"/>
                <w:szCs w:val="25"/>
              </w:rPr>
              <w:t>Long-term Debt</w:t>
            </w:r>
          </w:p>
        </w:tc>
        <w:tc>
          <w:tcPr>
            <w:tcW w:w="2160" w:type="dxa"/>
            <w:shd w:val="clear" w:color="auto" w:fill="auto"/>
          </w:tcPr>
          <w:p w:rsidR="00B67775" w:rsidRPr="002532DF" w:rsidRDefault="00B67775" w:rsidP="00B232F0">
            <w:pPr>
              <w:pStyle w:val="NoSpacing"/>
              <w:spacing w:line="360" w:lineRule="auto"/>
              <w:jc w:val="right"/>
              <w:rPr>
                <w:sz w:val="25"/>
                <w:szCs w:val="25"/>
              </w:rPr>
            </w:pPr>
            <w:r w:rsidRPr="002532DF">
              <w:rPr>
                <w:sz w:val="25"/>
                <w:szCs w:val="25"/>
              </w:rPr>
              <w:t>50.60</w:t>
            </w:r>
          </w:p>
        </w:tc>
        <w:tc>
          <w:tcPr>
            <w:tcW w:w="2070" w:type="dxa"/>
            <w:shd w:val="clear" w:color="auto" w:fill="auto"/>
          </w:tcPr>
          <w:p w:rsidR="00B67775" w:rsidRPr="002532DF" w:rsidRDefault="00B67775" w:rsidP="00B232F0">
            <w:pPr>
              <w:pStyle w:val="NoSpacing"/>
              <w:spacing w:line="360" w:lineRule="auto"/>
              <w:jc w:val="right"/>
              <w:rPr>
                <w:sz w:val="25"/>
                <w:szCs w:val="25"/>
              </w:rPr>
            </w:pPr>
            <w:r w:rsidRPr="002532DF">
              <w:rPr>
                <w:sz w:val="25"/>
                <w:szCs w:val="25"/>
              </w:rPr>
              <w:t>5.89</w:t>
            </w:r>
          </w:p>
        </w:tc>
        <w:tc>
          <w:tcPr>
            <w:tcW w:w="2250" w:type="dxa"/>
            <w:tcBorders>
              <w:right w:val="thinThickSmallGap" w:sz="24" w:space="0" w:color="auto"/>
            </w:tcBorders>
            <w:shd w:val="clear" w:color="auto" w:fill="auto"/>
          </w:tcPr>
          <w:p w:rsidR="00B67775" w:rsidRPr="002532DF" w:rsidRDefault="00B67775" w:rsidP="00B232F0">
            <w:pPr>
              <w:pStyle w:val="NoSpacing"/>
              <w:spacing w:line="360" w:lineRule="auto"/>
              <w:jc w:val="right"/>
              <w:rPr>
                <w:sz w:val="25"/>
                <w:szCs w:val="25"/>
              </w:rPr>
            </w:pPr>
            <w:r w:rsidRPr="002532DF">
              <w:rPr>
                <w:sz w:val="25"/>
                <w:szCs w:val="25"/>
              </w:rPr>
              <w:t>2.98</w:t>
            </w:r>
          </w:p>
        </w:tc>
      </w:tr>
      <w:tr w:rsidR="00B67775" w:rsidRPr="002532DF" w:rsidTr="00B232F0">
        <w:trPr>
          <w:trHeight w:val="431"/>
        </w:trPr>
        <w:tc>
          <w:tcPr>
            <w:tcW w:w="2628" w:type="dxa"/>
            <w:tcBorders>
              <w:left w:val="thinThickSmallGap" w:sz="24" w:space="0" w:color="auto"/>
            </w:tcBorders>
            <w:shd w:val="clear" w:color="auto" w:fill="auto"/>
          </w:tcPr>
          <w:p w:rsidR="00B67775" w:rsidRPr="002532DF" w:rsidRDefault="00B67775" w:rsidP="00B232F0">
            <w:pPr>
              <w:pStyle w:val="NoSpacing"/>
              <w:spacing w:line="360" w:lineRule="auto"/>
              <w:rPr>
                <w:sz w:val="25"/>
                <w:szCs w:val="25"/>
              </w:rPr>
            </w:pPr>
            <w:r w:rsidRPr="002532DF">
              <w:rPr>
                <w:sz w:val="25"/>
                <w:szCs w:val="25"/>
              </w:rPr>
              <w:t>Short-term Debt</w:t>
            </w:r>
          </w:p>
        </w:tc>
        <w:tc>
          <w:tcPr>
            <w:tcW w:w="2160" w:type="dxa"/>
            <w:shd w:val="clear" w:color="auto" w:fill="auto"/>
          </w:tcPr>
          <w:p w:rsidR="00B67775" w:rsidRPr="002532DF" w:rsidRDefault="00B67775" w:rsidP="00B232F0">
            <w:pPr>
              <w:pStyle w:val="NoSpacing"/>
              <w:spacing w:line="360" w:lineRule="auto"/>
              <w:jc w:val="right"/>
              <w:rPr>
                <w:sz w:val="25"/>
                <w:szCs w:val="25"/>
              </w:rPr>
            </w:pPr>
            <w:r w:rsidRPr="002532DF">
              <w:rPr>
                <w:sz w:val="25"/>
                <w:szCs w:val="25"/>
              </w:rPr>
              <w:t>0.00</w:t>
            </w:r>
          </w:p>
        </w:tc>
        <w:tc>
          <w:tcPr>
            <w:tcW w:w="2070" w:type="dxa"/>
            <w:shd w:val="clear" w:color="auto" w:fill="auto"/>
          </w:tcPr>
          <w:p w:rsidR="00B67775" w:rsidRPr="002532DF" w:rsidRDefault="00B67775" w:rsidP="00B232F0">
            <w:pPr>
              <w:pStyle w:val="NoSpacing"/>
              <w:spacing w:line="360" w:lineRule="auto"/>
              <w:jc w:val="right"/>
              <w:rPr>
                <w:sz w:val="25"/>
                <w:szCs w:val="25"/>
              </w:rPr>
            </w:pPr>
            <w:r w:rsidRPr="002532DF">
              <w:rPr>
                <w:sz w:val="25"/>
                <w:szCs w:val="25"/>
              </w:rPr>
              <w:t>0.00</w:t>
            </w:r>
          </w:p>
        </w:tc>
        <w:tc>
          <w:tcPr>
            <w:tcW w:w="2250" w:type="dxa"/>
            <w:tcBorders>
              <w:right w:val="thinThickSmallGap" w:sz="24" w:space="0" w:color="auto"/>
            </w:tcBorders>
            <w:shd w:val="clear" w:color="auto" w:fill="auto"/>
          </w:tcPr>
          <w:p w:rsidR="00B67775" w:rsidRPr="002532DF" w:rsidRDefault="00B67775" w:rsidP="00B232F0">
            <w:pPr>
              <w:pStyle w:val="NoSpacing"/>
              <w:spacing w:line="360" w:lineRule="auto"/>
              <w:jc w:val="right"/>
              <w:rPr>
                <w:sz w:val="25"/>
                <w:szCs w:val="25"/>
              </w:rPr>
            </w:pPr>
            <w:r w:rsidRPr="002532DF">
              <w:rPr>
                <w:sz w:val="25"/>
                <w:szCs w:val="25"/>
              </w:rPr>
              <w:t>0.00</w:t>
            </w:r>
          </w:p>
        </w:tc>
      </w:tr>
      <w:tr w:rsidR="00B67775" w:rsidRPr="002532DF" w:rsidTr="00B232F0">
        <w:trPr>
          <w:trHeight w:val="431"/>
        </w:trPr>
        <w:tc>
          <w:tcPr>
            <w:tcW w:w="2628" w:type="dxa"/>
            <w:tcBorders>
              <w:left w:val="thinThickSmallGap" w:sz="24" w:space="0" w:color="auto"/>
            </w:tcBorders>
            <w:shd w:val="clear" w:color="auto" w:fill="auto"/>
          </w:tcPr>
          <w:p w:rsidR="00B67775" w:rsidRPr="002532DF" w:rsidRDefault="00B67775" w:rsidP="00B232F0">
            <w:pPr>
              <w:pStyle w:val="NoSpacing"/>
              <w:spacing w:line="360" w:lineRule="auto"/>
              <w:rPr>
                <w:sz w:val="25"/>
                <w:szCs w:val="25"/>
              </w:rPr>
            </w:pPr>
            <w:r w:rsidRPr="002532DF">
              <w:rPr>
                <w:sz w:val="25"/>
                <w:szCs w:val="25"/>
              </w:rPr>
              <w:t>Preferred</w:t>
            </w:r>
          </w:p>
        </w:tc>
        <w:tc>
          <w:tcPr>
            <w:tcW w:w="2160" w:type="dxa"/>
            <w:shd w:val="clear" w:color="auto" w:fill="auto"/>
          </w:tcPr>
          <w:p w:rsidR="00B67775" w:rsidRPr="002532DF" w:rsidRDefault="00B67775" w:rsidP="00B232F0">
            <w:pPr>
              <w:pStyle w:val="NoSpacing"/>
              <w:spacing w:line="360" w:lineRule="auto"/>
              <w:jc w:val="right"/>
              <w:rPr>
                <w:sz w:val="25"/>
                <w:szCs w:val="25"/>
              </w:rPr>
            </w:pPr>
            <w:r w:rsidRPr="002532DF">
              <w:rPr>
                <w:sz w:val="25"/>
                <w:szCs w:val="25"/>
              </w:rPr>
              <w:t>0.30</w:t>
            </w:r>
          </w:p>
        </w:tc>
        <w:tc>
          <w:tcPr>
            <w:tcW w:w="2070" w:type="dxa"/>
            <w:shd w:val="clear" w:color="auto" w:fill="auto"/>
          </w:tcPr>
          <w:p w:rsidR="00B67775" w:rsidRPr="002532DF" w:rsidRDefault="00B67775" w:rsidP="00B232F0">
            <w:pPr>
              <w:pStyle w:val="NoSpacing"/>
              <w:spacing w:line="360" w:lineRule="auto"/>
              <w:jc w:val="right"/>
              <w:rPr>
                <w:sz w:val="25"/>
                <w:szCs w:val="25"/>
              </w:rPr>
            </w:pPr>
            <w:r w:rsidRPr="002532DF">
              <w:rPr>
                <w:sz w:val="25"/>
                <w:szCs w:val="25"/>
              </w:rPr>
              <w:t>5.41</w:t>
            </w:r>
          </w:p>
        </w:tc>
        <w:tc>
          <w:tcPr>
            <w:tcW w:w="2250" w:type="dxa"/>
            <w:tcBorders>
              <w:right w:val="thinThickSmallGap" w:sz="24" w:space="0" w:color="auto"/>
            </w:tcBorders>
            <w:shd w:val="clear" w:color="auto" w:fill="auto"/>
          </w:tcPr>
          <w:p w:rsidR="00B67775" w:rsidRPr="002532DF" w:rsidRDefault="00B67775" w:rsidP="00B232F0">
            <w:pPr>
              <w:pStyle w:val="NoSpacing"/>
              <w:spacing w:line="360" w:lineRule="auto"/>
              <w:jc w:val="right"/>
              <w:rPr>
                <w:sz w:val="25"/>
                <w:szCs w:val="25"/>
              </w:rPr>
            </w:pPr>
            <w:r w:rsidRPr="002532DF">
              <w:rPr>
                <w:sz w:val="25"/>
                <w:szCs w:val="25"/>
              </w:rPr>
              <w:t>0.02</w:t>
            </w:r>
          </w:p>
        </w:tc>
      </w:tr>
      <w:tr w:rsidR="00B67775" w:rsidRPr="002532DF" w:rsidTr="00B232F0">
        <w:trPr>
          <w:trHeight w:val="432"/>
        </w:trPr>
        <w:tc>
          <w:tcPr>
            <w:tcW w:w="2628" w:type="dxa"/>
            <w:tcBorders>
              <w:left w:val="thinThickSmallGap" w:sz="24" w:space="0" w:color="auto"/>
              <w:bottom w:val="thickThinSmallGap" w:sz="24" w:space="0" w:color="auto"/>
            </w:tcBorders>
            <w:shd w:val="clear" w:color="auto" w:fill="auto"/>
          </w:tcPr>
          <w:p w:rsidR="00B67775" w:rsidRPr="002532DF" w:rsidRDefault="0086728B" w:rsidP="00E77D4E">
            <w:pPr>
              <w:pStyle w:val="NoSpacing"/>
              <w:spacing w:line="360" w:lineRule="auto"/>
              <w:rPr>
                <w:b/>
                <w:sz w:val="25"/>
                <w:szCs w:val="25"/>
              </w:rPr>
            </w:pPr>
            <w:r>
              <w:rPr>
                <w:b/>
                <w:sz w:val="25"/>
                <w:szCs w:val="25"/>
              </w:rPr>
              <w:t>OVERALL</w:t>
            </w:r>
            <w:r w:rsidR="00B67775" w:rsidRPr="002532DF">
              <w:rPr>
                <w:b/>
                <w:sz w:val="25"/>
                <w:szCs w:val="25"/>
              </w:rPr>
              <w:t xml:space="preserve"> ROR</w:t>
            </w:r>
          </w:p>
        </w:tc>
        <w:tc>
          <w:tcPr>
            <w:tcW w:w="2160" w:type="dxa"/>
            <w:tcBorders>
              <w:bottom w:val="thickThinSmallGap" w:sz="24" w:space="0" w:color="auto"/>
            </w:tcBorders>
            <w:shd w:val="clear" w:color="auto" w:fill="auto"/>
          </w:tcPr>
          <w:p w:rsidR="00B67775" w:rsidRPr="002532DF" w:rsidRDefault="00B67775" w:rsidP="00B232F0">
            <w:pPr>
              <w:pStyle w:val="NoSpacing"/>
              <w:spacing w:line="360" w:lineRule="auto"/>
              <w:jc w:val="right"/>
              <w:rPr>
                <w:sz w:val="25"/>
                <w:szCs w:val="25"/>
              </w:rPr>
            </w:pPr>
          </w:p>
        </w:tc>
        <w:tc>
          <w:tcPr>
            <w:tcW w:w="2070" w:type="dxa"/>
            <w:tcBorders>
              <w:bottom w:val="thickThinSmallGap" w:sz="24" w:space="0" w:color="auto"/>
            </w:tcBorders>
            <w:shd w:val="clear" w:color="auto" w:fill="auto"/>
          </w:tcPr>
          <w:p w:rsidR="00B67775" w:rsidRPr="002532DF" w:rsidRDefault="00B67775" w:rsidP="00B232F0">
            <w:pPr>
              <w:pStyle w:val="NoSpacing"/>
              <w:spacing w:line="360" w:lineRule="auto"/>
              <w:jc w:val="right"/>
              <w:rPr>
                <w:sz w:val="25"/>
                <w:szCs w:val="25"/>
              </w:rPr>
            </w:pPr>
          </w:p>
        </w:tc>
        <w:tc>
          <w:tcPr>
            <w:tcW w:w="2250" w:type="dxa"/>
            <w:tcBorders>
              <w:bottom w:val="thickThinSmallGap" w:sz="24" w:space="0" w:color="auto"/>
              <w:right w:val="thinThickSmallGap" w:sz="24" w:space="0" w:color="auto"/>
            </w:tcBorders>
            <w:shd w:val="clear" w:color="auto" w:fill="auto"/>
          </w:tcPr>
          <w:p w:rsidR="00B67775" w:rsidRPr="002532DF" w:rsidRDefault="00B67775" w:rsidP="00B232F0">
            <w:pPr>
              <w:pStyle w:val="NoSpacing"/>
              <w:spacing w:line="360" w:lineRule="auto"/>
              <w:jc w:val="right"/>
              <w:rPr>
                <w:sz w:val="25"/>
                <w:szCs w:val="25"/>
              </w:rPr>
            </w:pPr>
            <w:r w:rsidRPr="002532DF">
              <w:rPr>
                <w:sz w:val="25"/>
                <w:szCs w:val="25"/>
              </w:rPr>
              <w:t>7.81</w:t>
            </w:r>
          </w:p>
        </w:tc>
      </w:tr>
    </w:tbl>
    <w:p w:rsidR="00B67775" w:rsidRPr="002532DF" w:rsidRDefault="00B67775" w:rsidP="00B67775">
      <w:pPr>
        <w:pStyle w:val="ListParagraph"/>
        <w:ind w:left="0"/>
        <w:rPr>
          <w:sz w:val="25"/>
          <w:szCs w:val="25"/>
        </w:rPr>
      </w:pPr>
    </w:p>
    <w:p w:rsidR="00FC0521" w:rsidRPr="002532DF" w:rsidRDefault="00973B0D" w:rsidP="00973B0D">
      <w:pPr>
        <w:pStyle w:val="Heading4"/>
        <w:ind w:left="1080"/>
        <w:rPr>
          <w:rFonts w:ascii="Times New Roman" w:hAnsi="Times New Roman"/>
          <w:sz w:val="25"/>
          <w:szCs w:val="25"/>
        </w:rPr>
      </w:pPr>
      <w:bookmarkStart w:id="18" w:name="_Toc288813726"/>
      <w:r>
        <w:rPr>
          <w:rFonts w:ascii="Times New Roman" w:hAnsi="Times New Roman"/>
          <w:sz w:val="25"/>
          <w:szCs w:val="25"/>
        </w:rPr>
        <w:t>5.</w:t>
      </w:r>
      <w:r>
        <w:rPr>
          <w:rFonts w:ascii="Times New Roman" w:hAnsi="Times New Roman"/>
          <w:sz w:val="25"/>
          <w:szCs w:val="25"/>
        </w:rPr>
        <w:tab/>
      </w:r>
      <w:r w:rsidR="00FC0521" w:rsidRPr="002532DF">
        <w:rPr>
          <w:rFonts w:ascii="Times New Roman" w:hAnsi="Times New Roman"/>
          <w:sz w:val="25"/>
          <w:szCs w:val="25"/>
        </w:rPr>
        <w:t>General Commitment 37</w:t>
      </w:r>
      <w:bookmarkEnd w:id="18"/>
    </w:p>
    <w:p w:rsidR="006D592D" w:rsidRPr="002532DF" w:rsidRDefault="00FC0521" w:rsidP="00817E21">
      <w:pPr>
        <w:spacing w:line="276" w:lineRule="auto"/>
        <w:rPr>
          <w:sz w:val="25"/>
          <w:szCs w:val="25"/>
        </w:rPr>
      </w:pPr>
      <w:r w:rsidRPr="002532DF">
        <w:rPr>
          <w:sz w:val="25"/>
          <w:szCs w:val="25"/>
        </w:rPr>
        <w:t xml:space="preserve"> </w:t>
      </w:r>
    </w:p>
    <w:p w:rsidR="00FC0521" w:rsidRPr="002532DF" w:rsidRDefault="00C3335A" w:rsidP="00AD0B90">
      <w:pPr>
        <w:numPr>
          <w:ilvl w:val="0"/>
          <w:numId w:val="1"/>
        </w:numPr>
        <w:tabs>
          <w:tab w:val="clear" w:pos="720"/>
          <w:tab w:val="num" w:pos="0"/>
        </w:tabs>
        <w:spacing w:line="276" w:lineRule="auto"/>
        <w:ind w:left="0"/>
        <w:rPr>
          <w:b/>
          <w:sz w:val="25"/>
          <w:szCs w:val="25"/>
        </w:rPr>
      </w:pPr>
      <w:r w:rsidRPr="002532DF">
        <w:rPr>
          <w:sz w:val="25"/>
          <w:szCs w:val="25"/>
        </w:rPr>
        <w:t>By Order 07 entered February 22, 2006</w:t>
      </w:r>
      <w:r w:rsidR="00B120DC">
        <w:rPr>
          <w:sz w:val="25"/>
          <w:szCs w:val="25"/>
        </w:rPr>
        <w:t>,</w:t>
      </w:r>
      <w:r w:rsidRPr="002532DF">
        <w:rPr>
          <w:sz w:val="25"/>
          <w:szCs w:val="25"/>
        </w:rPr>
        <w:t xml:space="preserve"> in Docket UE-051090,</w:t>
      </w:r>
      <w:r w:rsidRPr="002532DF">
        <w:rPr>
          <w:rStyle w:val="FootnoteReference"/>
          <w:sz w:val="25"/>
          <w:szCs w:val="25"/>
        </w:rPr>
        <w:footnoteReference w:id="144"/>
      </w:r>
      <w:r w:rsidRPr="002532DF">
        <w:rPr>
          <w:sz w:val="25"/>
          <w:szCs w:val="25"/>
        </w:rPr>
        <w:t xml:space="preserve"> the Commission accepted the Company’s commitment for five years, following the acquisition of PacifiCorp by MEHC, to spread incremental long-term debt issuances 10 basis points below the Company’s similarly</w:t>
      </w:r>
      <w:r w:rsidR="00852CCB" w:rsidRPr="002532DF">
        <w:rPr>
          <w:sz w:val="25"/>
          <w:szCs w:val="25"/>
        </w:rPr>
        <w:t>-</w:t>
      </w:r>
      <w:r w:rsidRPr="002532DF">
        <w:rPr>
          <w:sz w:val="25"/>
          <w:szCs w:val="25"/>
        </w:rPr>
        <w:t>rated peers.</w:t>
      </w:r>
      <w:r w:rsidRPr="002532DF">
        <w:rPr>
          <w:rStyle w:val="FootnoteReference"/>
          <w:sz w:val="25"/>
          <w:szCs w:val="25"/>
        </w:rPr>
        <w:footnoteReference w:id="145"/>
      </w:r>
      <w:r w:rsidRPr="002532DF">
        <w:rPr>
          <w:sz w:val="25"/>
          <w:szCs w:val="25"/>
        </w:rPr>
        <w:t xml:space="preserve">  The Company states that the five-year commitment end</w:t>
      </w:r>
      <w:r w:rsidR="00AA083B">
        <w:rPr>
          <w:sz w:val="25"/>
          <w:szCs w:val="25"/>
        </w:rPr>
        <w:t>ed</w:t>
      </w:r>
      <w:r w:rsidRPr="002532DF">
        <w:rPr>
          <w:sz w:val="25"/>
          <w:szCs w:val="25"/>
        </w:rPr>
        <w:t xml:space="preserve"> on March 21, 2011 (before the end of the suspension period in this docket).</w:t>
      </w:r>
      <w:r w:rsidRPr="002532DF">
        <w:rPr>
          <w:rStyle w:val="FootnoteReference"/>
          <w:sz w:val="25"/>
          <w:szCs w:val="25"/>
        </w:rPr>
        <w:footnoteReference w:id="146"/>
      </w:r>
      <w:r w:rsidRPr="002532DF">
        <w:rPr>
          <w:sz w:val="25"/>
          <w:szCs w:val="25"/>
        </w:rPr>
        <w:t xml:space="preserve">  The Company requests that the Commission recognize its compliance with General Commitment 37 and include a finding in the final order in this case that the requirements of the Commitment been fulfilled and the Commitment is complete.</w:t>
      </w:r>
      <w:r w:rsidRPr="002532DF">
        <w:rPr>
          <w:rStyle w:val="FootnoteReference"/>
          <w:sz w:val="25"/>
          <w:szCs w:val="25"/>
        </w:rPr>
        <w:footnoteReference w:id="147"/>
      </w:r>
    </w:p>
    <w:p w:rsidR="00792260" w:rsidRPr="002532DF" w:rsidRDefault="00792260" w:rsidP="00792260">
      <w:pPr>
        <w:spacing w:line="276" w:lineRule="auto"/>
        <w:ind w:left="-720"/>
        <w:rPr>
          <w:b/>
          <w:sz w:val="25"/>
          <w:szCs w:val="25"/>
        </w:rPr>
      </w:pPr>
    </w:p>
    <w:p w:rsidR="00C3335A" w:rsidRPr="002532DF" w:rsidRDefault="00D17347" w:rsidP="00F824D1">
      <w:pPr>
        <w:numPr>
          <w:ilvl w:val="0"/>
          <w:numId w:val="1"/>
        </w:numPr>
        <w:tabs>
          <w:tab w:val="clear" w:pos="720"/>
          <w:tab w:val="num" w:pos="0"/>
        </w:tabs>
        <w:spacing w:line="276" w:lineRule="auto"/>
        <w:ind w:left="0"/>
        <w:rPr>
          <w:b/>
          <w:sz w:val="25"/>
          <w:szCs w:val="25"/>
        </w:rPr>
      </w:pPr>
      <w:r w:rsidRPr="002532DF">
        <w:rPr>
          <w:i/>
          <w:sz w:val="25"/>
          <w:szCs w:val="25"/>
        </w:rPr>
        <w:t xml:space="preserve">Commission Decision.  </w:t>
      </w:r>
      <w:r w:rsidR="00C13217" w:rsidRPr="002532DF">
        <w:rPr>
          <w:sz w:val="25"/>
          <w:szCs w:val="25"/>
        </w:rPr>
        <w:t>No party opposed PacifiCorp’s request.</w:t>
      </w:r>
      <w:r w:rsidR="00792260" w:rsidRPr="002532DF">
        <w:rPr>
          <w:sz w:val="25"/>
          <w:szCs w:val="25"/>
        </w:rPr>
        <w:t xml:space="preserve"> </w:t>
      </w:r>
      <w:r w:rsidR="00CC39E4">
        <w:rPr>
          <w:sz w:val="25"/>
          <w:szCs w:val="25"/>
        </w:rPr>
        <w:t xml:space="preserve"> </w:t>
      </w:r>
      <w:r w:rsidR="00C3335A" w:rsidRPr="002532DF">
        <w:rPr>
          <w:sz w:val="25"/>
          <w:szCs w:val="25"/>
        </w:rPr>
        <w:t>We find that</w:t>
      </w:r>
      <w:r w:rsidR="00792260" w:rsidRPr="002532DF">
        <w:rPr>
          <w:sz w:val="25"/>
          <w:szCs w:val="25"/>
        </w:rPr>
        <w:t xml:space="preserve"> PacifiCorp fulfilled </w:t>
      </w:r>
      <w:r w:rsidR="00C3335A" w:rsidRPr="002532DF">
        <w:rPr>
          <w:sz w:val="25"/>
          <w:szCs w:val="25"/>
        </w:rPr>
        <w:t xml:space="preserve">the requirements of Commitment 37 </w:t>
      </w:r>
      <w:r w:rsidR="00792260" w:rsidRPr="002532DF">
        <w:rPr>
          <w:sz w:val="25"/>
          <w:szCs w:val="25"/>
        </w:rPr>
        <w:t>and this Commitment is complete.</w:t>
      </w:r>
      <w:r w:rsidR="00C3335A" w:rsidRPr="002532DF">
        <w:rPr>
          <w:sz w:val="25"/>
          <w:szCs w:val="25"/>
        </w:rPr>
        <w:t xml:space="preserve"> </w:t>
      </w:r>
    </w:p>
    <w:p w:rsidR="00146B27" w:rsidRPr="002532DF" w:rsidRDefault="00670368" w:rsidP="00EB79AA">
      <w:pPr>
        <w:pStyle w:val="Heading3"/>
        <w:ind w:left="720" w:hanging="360"/>
        <w:rPr>
          <w:rFonts w:ascii="Times New Roman" w:hAnsi="Times New Roman"/>
          <w:sz w:val="25"/>
          <w:szCs w:val="25"/>
        </w:rPr>
      </w:pPr>
      <w:bookmarkStart w:id="19" w:name="_Toc168986365"/>
      <w:bookmarkStart w:id="20" w:name="_Toc288813727"/>
      <w:r w:rsidRPr="002532DF">
        <w:rPr>
          <w:rFonts w:ascii="Times New Roman" w:hAnsi="Times New Roman"/>
          <w:sz w:val="25"/>
          <w:szCs w:val="25"/>
        </w:rPr>
        <w:t>C</w:t>
      </w:r>
      <w:r w:rsidR="00534B57" w:rsidRPr="002532DF">
        <w:rPr>
          <w:rFonts w:ascii="Times New Roman" w:hAnsi="Times New Roman"/>
          <w:sz w:val="25"/>
          <w:szCs w:val="25"/>
        </w:rPr>
        <w:t>.</w:t>
      </w:r>
      <w:r w:rsidR="00534B57" w:rsidRPr="002532DF">
        <w:rPr>
          <w:rFonts w:ascii="Times New Roman" w:hAnsi="Times New Roman"/>
          <w:sz w:val="25"/>
          <w:szCs w:val="25"/>
        </w:rPr>
        <w:tab/>
        <w:t>Revenue Adjustments</w:t>
      </w:r>
      <w:bookmarkEnd w:id="19"/>
      <w:bookmarkEnd w:id="20"/>
    </w:p>
    <w:p w:rsidR="00534B57" w:rsidRPr="002532DF" w:rsidRDefault="00534B57" w:rsidP="00D06480">
      <w:pPr>
        <w:pStyle w:val="Heading4"/>
        <w:ind w:left="1080" w:hanging="360"/>
        <w:rPr>
          <w:rFonts w:ascii="Times New Roman" w:hAnsi="Times New Roman"/>
          <w:sz w:val="25"/>
          <w:szCs w:val="25"/>
        </w:rPr>
      </w:pPr>
      <w:bookmarkStart w:id="21" w:name="_Toc288813728"/>
      <w:r w:rsidRPr="002532DF">
        <w:rPr>
          <w:rFonts w:ascii="Times New Roman" w:hAnsi="Times New Roman"/>
          <w:sz w:val="25"/>
          <w:szCs w:val="25"/>
        </w:rPr>
        <w:t>1.</w:t>
      </w:r>
      <w:r w:rsidR="009E240C" w:rsidRPr="002532DF">
        <w:rPr>
          <w:rFonts w:ascii="Times New Roman" w:hAnsi="Times New Roman"/>
          <w:sz w:val="25"/>
          <w:szCs w:val="25"/>
        </w:rPr>
        <w:tab/>
      </w:r>
      <w:r w:rsidRPr="002532DF">
        <w:rPr>
          <w:rFonts w:ascii="Times New Roman" w:hAnsi="Times New Roman"/>
          <w:sz w:val="25"/>
          <w:szCs w:val="25"/>
        </w:rPr>
        <w:t>Net Power Costs</w:t>
      </w:r>
      <w:bookmarkEnd w:id="21"/>
    </w:p>
    <w:p w:rsidR="00F824D1" w:rsidRPr="002532DF" w:rsidRDefault="00F824D1" w:rsidP="00F824D1">
      <w:pPr>
        <w:pStyle w:val="Heading5"/>
        <w:numPr>
          <w:ilvl w:val="0"/>
          <w:numId w:val="31"/>
        </w:numPr>
        <w:rPr>
          <w:rFonts w:ascii="Times New Roman" w:hAnsi="Times New Roman"/>
          <w:i w:val="0"/>
          <w:sz w:val="25"/>
          <w:szCs w:val="25"/>
        </w:rPr>
      </w:pPr>
      <w:bookmarkStart w:id="22" w:name="_Toc288813729"/>
      <w:r w:rsidRPr="002532DF">
        <w:rPr>
          <w:rFonts w:ascii="Times New Roman" w:hAnsi="Times New Roman"/>
          <w:i w:val="0"/>
          <w:sz w:val="25"/>
          <w:szCs w:val="25"/>
        </w:rPr>
        <w:t>Introduction.</w:t>
      </w:r>
      <w:bookmarkEnd w:id="22"/>
    </w:p>
    <w:p w:rsidR="00F824D1" w:rsidRPr="002532DF" w:rsidRDefault="00F824D1" w:rsidP="00F824D1">
      <w:pPr>
        <w:ind w:left="1080"/>
      </w:pPr>
    </w:p>
    <w:p w:rsidR="00BC0075" w:rsidRPr="002532DF" w:rsidRDefault="00AA083B" w:rsidP="00237E68">
      <w:pPr>
        <w:numPr>
          <w:ilvl w:val="0"/>
          <w:numId w:val="1"/>
        </w:numPr>
        <w:tabs>
          <w:tab w:val="clear" w:pos="720"/>
          <w:tab w:val="num" w:pos="0"/>
        </w:tabs>
        <w:spacing w:line="276" w:lineRule="auto"/>
        <w:ind w:left="0"/>
        <w:rPr>
          <w:sz w:val="25"/>
          <w:szCs w:val="25"/>
        </w:rPr>
      </w:pPr>
      <w:r>
        <w:rPr>
          <w:sz w:val="25"/>
          <w:szCs w:val="25"/>
        </w:rPr>
        <w:t>Net power costs (NPC) represent the costs the Company incurs to generate</w:t>
      </w:r>
      <w:r w:rsidR="00766CCD">
        <w:rPr>
          <w:sz w:val="25"/>
          <w:szCs w:val="25"/>
        </w:rPr>
        <w:t xml:space="preserve"> and</w:t>
      </w:r>
      <w:r>
        <w:rPr>
          <w:sz w:val="25"/>
          <w:szCs w:val="25"/>
        </w:rPr>
        <w:t xml:space="preserve"> transmit electricity to its customers.  </w:t>
      </w:r>
      <w:r w:rsidR="00F824D1" w:rsidRPr="002532DF">
        <w:rPr>
          <w:sz w:val="25"/>
          <w:szCs w:val="25"/>
        </w:rPr>
        <w:t xml:space="preserve">Many of the issues in the determination of NPC involve evaluation of the merits of the Company’s Generation and Regulation Initiatives Decision tools model, </w:t>
      </w:r>
      <w:r w:rsidR="005F7503" w:rsidRPr="002532DF">
        <w:rPr>
          <w:sz w:val="25"/>
          <w:szCs w:val="25"/>
        </w:rPr>
        <w:t>known</w:t>
      </w:r>
      <w:r w:rsidR="00F824D1" w:rsidRPr="002532DF">
        <w:rPr>
          <w:sz w:val="25"/>
          <w:szCs w:val="25"/>
        </w:rPr>
        <w:t xml:space="preserve"> as “GRID</w:t>
      </w:r>
      <w:r w:rsidR="00FE5A7F" w:rsidRPr="002532DF">
        <w:rPr>
          <w:sz w:val="25"/>
          <w:szCs w:val="25"/>
        </w:rPr>
        <w:t>.</w:t>
      </w:r>
      <w:r w:rsidR="00F824D1" w:rsidRPr="002532DF">
        <w:rPr>
          <w:sz w:val="25"/>
          <w:szCs w:val="25"/>
        </w:rPr>
        <w:t>”</w:t>
      </w:r>
      <w:r w:rsidR="00FE5A7F" w:rsidRPr="002532DF">
        <w:rPr>
          <w:rStyle w:val="FootnoteReference"/>
          <w:sz w:val="25"/>
          <w:szCs w:val="25"/>
        </w:rPr>
        <w:footnoteReference w:id="148"/>
      </w:r>
      <w:r w:rsidR="00F824D1" w:rsidRPr="002532DF">
        <w:rPr>
          <w:sz w:val="25"/>
          <w:szCs w:val="25"/>
        </w:rPr>
        <w:t xml:space="preserve"> </w:t>
      </w:r>
      <w:r w:rsidR="00D23E2D" w:rsidRPr="002532DF">
        <w:rPr>
          <w:sz w:val="25"/>
          <w:szCs w:val="25"/>
        </w:rPr>
        <w:t xml:space="preserve"> </w:t>
      </w:r>
      <w:r w:rsidR="00F824D1" w:rsidRPr="002532DF">
        <w:rPr>
          <w:sz w:val="25"/>
          <w:szCs w:val="25"/>
        </w:rPr>
        <w:t>The Company describes in general terms how the model works:</w:t>
      </w:r>
    </w:p>
    <w:p w:rsidR="00EC1E0E" w:rsidRPr="002532DF" w:rsidRDefault="00EC1E0E" w:rsidP="00F824D1">
      <w:pPr>
        <w:spacing w:line="276" w:lineRule="auto"/>
        <w:ind w:firstLine="1080"/>
        <w:rPr>
          <w:sz w:val="25"/>
          <w:szCs w:val="25"/>
        </w:rPr>
      </w:pPr>
    </w:p>
    <w:p w:rsidR="00BC0075" w:rsidRPr="002532DF" w:rsidRDefault="00F824D1">
      <w:pPr>
        <w:spacing w:line="276" w:lineRule="auto"/>
        <w:ind w:left="1080"/>
        <w:rPr>
          <w:sz w:val="25"/>
          <w:szCs w:val="25"/>
        </w:rPr>
      </w:pPr>
      <w:r w:rsidRPr="002532DF">
        <w:rPr>
          <w:sz w:val="25"/>
          <w:szCs w:val="25"/>
        </w:rPr>
        <w:t>The [GRID]</w:t>
      </w:r>
      <w:r w:rsidR="00237E68" w:rsidRPr="002532DF">
        <w:rPr>
          <w:sz w:val="25"/>
          <w:szCs w:val="25"/>
        </w:rPr>
        <w:t xml:space="preserve"> </w:t>
      </w:r>
      <w:r w:rsidRPr="002532DF">
        <w:rPr>
          <w:sz w:val="25"/>
          <w:szCs w:val="25"/>
        </w:rPr>
        <w:t>model is the Company’s hourly production dispatch model, which is used to calculate net power costs.  It is a serve</w:t>
      </w:r>
      <w:r w:rsidR="00E223B1" w:rsidRPr="002532DF">
        <w:rPr>
          <w:sz w:val="25"/>
          <w:szCs w:val="25"/>
        </w:rPr>
        <w:t>r</w:t>
      </w:r>
      <w:r w:rsidRPr="002532DF">
        <w:rPr>
          <w:sz w:val="25"/>
          <w:szCs w:val="25"/>
        </w:rPr>
        <w:t>-based application that uses the following high-level technical architecture to calculate net power costs:</w:t>
      </w:r>
    </w:p>
    <w:p w:rsidR="00FE5A7F" w:rsidRPr="002532DF" w:rsidRDefault="00FE5A7F" w:rsidP="00F824D1">
      <w:pPr>
        <w:spacing w:line="276" w:lineRule="auto"/>
        <w:ind w:firstLine="1080"/>
        <w:rPr>
          <w:sz w:val="25"/>
          <w:szCs w:val="25"/>
        </w:rPr>
      </w:pPr>
    </w:p>
    <w:p w:rsidR="00F824D1" w:rsidRPr="002532DF" w:rsidRDefault="00F824D1" w:rsidP="00F824D1">
      <w:pPr>
        <w:pStyle w:val="ListParagraph"/>
        <w:numPr>
          <w:ilvl w:val="0"/>
          <w:numId w:val="32"/>
        </w:numPr>
        <w:spacing w:line="276" w:lineRule="auto"/>
        <w:rPr>
          <w:sz w:val="25"/>
          <w:szCs w:val="25"/>
        </w:rPr>
      </w:pPr>
      <w:r w:rsidRPr="002532DF">
        <w:rPr>
          <w:sz w:val="25"/>
          <w:szCs w:val="25"/>
        </w:rPr>
        <w:t xml:space="preserve">An Oracle-based </w:t>
      </w:r>
      <w:r w:rsidR="00FE5A7F" w:rsidRPr="002532DF">
        <w:rPr>
          <w:sz w:val="25"/>
          <w:szCs w:val="25"/>
        </w:rPr>
        <w:t>data repository for storage of all inputs</w:t>
      </w:r>
    </w:p>
    <w:p w:rsidR="00FE5A7F" w:rsidRPr="002532DF" w:rsidRDefault="00FE5A7F" w:rsidP="00F824D1">
      <w:pPr>
        <w:pStyle w:val="ListParagraph"/>
        <w:numPr>
          <w:ilvl w:val="0"/>
          <w:numId w:val="32"/>
        </w:numPr>
        <w:spacing w:line="276" w:lineRule="auto"/>
        <w:rPr>
          <w:sz w:val="25"/>
          <w:szCs w:val="25"/>
        </w:rPr>
      </w:pPr>
      <w:r w:rsidRPr="002532DF">
        <w:rPr>
          <w:sz w:val="25"/>
          <w:szCs w:val="25"/>
        </w:rPr>
        <w:t>A Java-based software engine for algorithm and optimization processing</w:t>
      </w:r>
    </w:p>
    <w:p w:rsidR="00FE5A7F" w:rsidRPr="002532DF" w:rsidRDefault="00FE5A7F" w:rsidP="00F824D1">
      <w:pPr>
        <w:pStyle w:val="ListParagraph"/>
        <w:numPr>
          <w:ilvl w:val="0"/>
          <w:numId w:val="32"/>
        </w:numPr>
        <w:spacing w:line="276" w:lineRule="auto"/>
        <w:rPr>
          <w:sz w:val="25"/>
          <w:szCs w:val="25"/>
        </w:rPr>
      </w:pPr>
      <w:r w:rsidRPr="002532DF">
        <w:rPr>
          <w:sz w:val="25"/>
          <w:szCs w:val="25"/>
        </w:rPr>
        <w:t>Outputs that are exported in Excel readable format</w:t>
      </w:r>
    </w:p>
    <w:p w:rsidR="00FE5A7F" w:rsidRPr="002532DF" w:rsidRDefault="00FE5A7F" w:rsidP="00F824D1">
      <w:pPr>
        <w:pStyle w:val="ListParagraph"/>
        <w:numPr>
          <w:ilvl w:val="0"/>
          <w:numId w:val="32"/>
        </w:numPr>
        <w:spacing w:line="276" w:lineRule="auto"/>
        <w:rPr>
          <w:sz w:val="25"/>
          <w:szCs w:val="25"/>
        </w:rPr>
      </w:pPr>
      <w:r w:rsidRPr="002532DF">
        <w:rPr>
          <w:sz w:val="25"/>
          <w:szCs w:val="25"/>
        </w:rPr>
        <w:t>A web browser-based user interface</w:t>
      </w:r>
      <w:r w:rsidRPr="002532DF">
        <w:rPr>
          <w:rStyle w:val="FootnoteReference"/>
          <w:sz w:val="25"/>
          <w:szCs w:val="25"/>
        </w:rPr>
        <w:footnoteReference w:id="149"/>
      </w:r>
      <w:r w:rsidRPr="002532DF">
        <w:rPr>
          <w:sz w:val="25"/>
          <w:szCs w:val="25"/>
        </w:rPr>
        <w:t xml:space="preserve"> </w:t>
      </w:r>
    </w:p>
    <w:p w:rsidR="007F0DAF" w:rsidRPr="002532DF" w:rsidRDefault="007F0DAF" w:rsidP="007F0DAF">
      <w:pPr>
        <w:spacing w:line="276" w:lineRule="auto"/>
        <w:ind w:left="1080"/>
        <w:rPr>
          <w:sz w:val="25"/>
          <w:szCs w:val="25"/>
        </w:rPr>
      </w:pPr>
    </w:p>
    <w:p w:rsidR="00FE5A7F" w:rsidRPr="002532DF" w:rsidRDefault="00FE5A7F" w:rsidP="0033350F">
      <w:pPr>
        <w:numPr>
          <w:ilvl w:val="0"/>
          <w:numId w:val="1"/>
        </w:numPr>
        <w:tabs>
          <w:tab w:val="clear" w:pos="720"/>
          <w:tab w:val="num" w:pos="0"/>
        </w:tabs>
        <w:spacing w:line="276" w:lineRule="auto"/>
        <w:ind w:left="0"/>
        <w:rPr>
          <w:sz w:val="25"/>
          <w:szCs w:val="25"/>
        </w:rPr>
      </w:pPr>
      <w:r w:rsidRPr="002532DF">
        <w:rPr>
          <w:sz w:val="25"/>
          <w:szCs w:val="25"/>
        </w:rPr>
        <w:t xml:space="preserve">Expert witnesses from Staff and ICNU devote considerable portions of their testimony on net power costs to criticisms of the </w:t>
      </w:r>
      <w:r w:rsidR="00E223B1" w:rsidRPr="002532DF">
        <w:rPr>
          <w:sz w:val="25"/>
          <w:szCs w:val="25"/>
        </w:rPr>
        <w:t xml:space="preserve">GRID model’s </w:t>
      </w:r>
      <w:r w:rsidRPr="002532DF">
        <w:rPr>
          <w:sz w:val="25"/>
          <w:szCs w:val="25"/>
        </w:rPr>
        <w:t xml:space="preserve">limitations </w:t>
      </w:r>
      <w:r w:rsidR="00CF189F" w:rsidRPr="002532DF">
        <w:rPr>
          <w:sz w:val="25"/>
          <w:szCs w:val="25"/>
        </w:rPr>
        <w:t xml:space="preserve">and PacifiCorp’s choice of inputs and settings used in </w:t>
      </w:r>
      <w:r w:rsidR="00E223B1" w:rsidRPr="002532DF">
        <w:rPr>
          <w:sz w:val="25"/>
          <w:szCs w:val="25"/>
        </w:rPr>
        <w:t>it</w:t>
      </w:r>
      <w:r w:rsidRPr="002532DF">
        <w:rPr>
          <w:sz w:val="25"/>
          <w:szCs w:val="25"/>
        </w:rPr>
        <w:t>.</w:t>
      </w:r>
      <w:r w:rsidRPr="002532DF">
        <w:rPr>
          <w:rStyle w:val="FootnoteReference"/>
          <w:sz w:val="25"/>
          <w:szCs w:val="25"/>
        </w:rPr>
        <w:footnoteReference w:id="150"/>
      </w:r>
      <w:r w:rsidRPr="002532DF">
        <w:rPr>
          <w:sz w:val="25"/>
          <w:szCs w:val="25"/>
        </w:rPr>
        <w:t xml:space="preserve">  Much of the debate on the contested adjustments analyzed </w:t>
      </w:r>
      <w:r w:rsidR="00CF189F" w:rsidRPr="002532DF">
        <w:rPr>
          <w:sz w:val="25"/>
          <w:szCs w:val="25"/>
        </w:rPr>
        <w:t xml:space="preserve">below </w:t>
      </w:r>
      <w:r w:rsidRPr="002532DF">
        <w:rPr>
          <w:sz w:val="25"/>
          <w:szCs w:val="25"/>
        </w:rPr>
        <w:t xml:space="preserve">involves the question of whether the GRID model adequately estimates power costs and whether </w:t>
      </w:r>
      <w:r w:rsidR="00CF189F" w:rsidRPr="002532DF">
        <w:rPr>
          <w:sz w:val="25"/>
          <w:szCs w:val="25"/>
        </w:rPr>
        <w:t xml:space="preserve">the GRID model </w:t>
      </w:r>
      <w:r w:rsidR="005B74E6" w:rsidRPr="002532DF">
        <w:rPr>
          <w:sz w:val="25"/>
          <w:szCs w:val="25"/>
        </w:rPr>
        <w:t>performs well enough to determine certain costs</w:t>
      </w:r>
      <w:r w:rsidRPr="002532DF">
        <w:rPr>
          <w:sz w:val="25"/>
          <w:szCs w:val="25"/>
        </w:rPr>
        <w:t xml:space="preserve"> either “inside GRID” or “outside GRID.”</w:t>
      </w:r>
      <w:r w:rsidRPr="002532DF">
        <w:rPr>
          <w:rStyle w:val="FootnoteReference"/>
          <w:sz w:val="25"/>
          <w:szCs w:val="25"/>
        </w:rPr>
        <w:footnoteReference w:id="151"/>
      </w:r>
    </w:p>
    <w:p w:rsidR="004703C7" w:rsidRPr="002532DF" w:rsidRDefault="004703C7" w:rsidP="00FE5A7F">
      <w:pPr>
        <w:spacing w:line="276" w:lineRule="auto"/>
        <w:rPr>
          <w:sz w:val="25"/>
          <w:szCs w:val="25"/>
        </w:rPr>
      </w:pPr>
    </w:p>
    <w:p w:rsidR="004703C7" w:rsidRPr="002532DF" w:rsidRDefault="004703C7" w:rsidP="00237E68">
      <w:pPr>
        <w:numPr>
          <w:ilvl w:val="0"/>
          <w:numId w:val="1"/>
        </w:numPr>
        <w:tabs>
          <w:tab w:val="clear" w:pos="720"/>
          <w:tab w:val="num" w:pos="0"/>
        </w:tabs>
        <w:spacing w:line="276" w:lineRule="auto"/>
        <w:ind w:left="0"/>
        <w:rPr>
          <w:sz w:val="25"/>
          <w:szCs w:val="25"/>
        </w:rPr>
      </w:pPr>
      <w:r w:rsidRPr="002532DF">
        <w:rPr>
          <w:sz w:val="25"/>
          <w:szCs w:val="25"/>
        </w:rPr>
        <w:t xml:space="preserve">In assessing the differing views of the experts, we </w:t>
      </w:r>
      <w:r w:rsidR="00AA083B">
        <w:rPr>
          <w:sz w:val="25"/>
          <w:szCs w:val="25"/>
        </w:rPr>
        <w:t>are</w:t>
      </w:r>
      <w:r w:rsidRPr="002532DF">
        <w:rPr>
          <w:sz w:val="25"/>
          <w:szCs w:val="25"/>
        </w:rPr>
        <w:t xml:space="preserve"> mindful of the fact that the GRID model </w:t>
      </w:r>
      <w:r w:rsidR="005B74E6" w:rsidRPr="002532DF">
        <w:rPr>
          <w:sz w:val="25"/>
          <w:szCs w:val="25"/>
        </w:rPr>
        <w:t>and its data bases are designed, built, and supplied by</w:t>
      </w:r>
      <w:r w:rsidRPr="002532DF">
        <w:rPr>
          <w:sz w:val="25"/>
          <w:szCs w:val="25"/>
        </w:rPr>
        <w:t xml:space="preserve"> PacifiCorp.  Accordingly, in addition to the general burden of proof the Company bears to demonstrate that its overall rates are appropriate, the Company has the obligation to demonstrate that </w:t>
      </w:r>
      <w:r w:rsidR="00AA083B">
        <w:rPr>
          <w:sz w:val="25"/>
          <w:szCs w:val="25"/>
        </w:rPr>
        <w:t xml:space="preserve">the </w:t>
      </w:r>
      <w:r w:rsidR="00AA083B">
        <w:rPr>
          <w:i/>
          <w:sz w:val="25"/>
          <w:szCs w:val="25"/>
        </w:rPr>
        <w:t>Company’s</w:t>
      </w:r>
      <w:r w:rsidRPr="002532DF">
        <w:rPr>
          <w:i/>
          <w:sz w:val="25"/>
          <w:szCs w:val="25"/>
        </w:rPr>
        <w:t xml:space="preserve"> </w:t>
      </w:r>
      <w:r w:rsidRPr="00E77D4E">
        <w:rPr>
          <w:sz w:val="25"/>
          <w:szCs w:val="25"/>
        </w:rPr>
        <w:t>costs</w:t>
      </w:r>
      <w:r w:rsidRPr="002532DF">
        <w:rPr>
          <w:i/>
          <w:sz w:val="25"/>
          <w:szCs w:val="25"/>
        </w:rPr>
        <w:t xml:space="preserve"> </w:t>
      </w:r>
      <w:r w:rsidRPr="002532DF">
        <w:rPr>
          <w:sz w:val="25"/>
          <w:szCs w:val="25"/>
        </w:rPr>
        <w:t>are appropriately captured in</w:t>
      </w:r>
      <w:r w:rsidR="00AA083B">
        <w:rPr>
          <w:sz w:val="25"/>
          <w:szCs w:val="25"/>
        </w:rPr>
        <w:t xml:space="preserve"> the</w:t>
      </w:r>
      <w:r w:rsidRPr="002532DF">
        <w:rPr>
          <w:sz w:val="25"/>
          <w:szCs w:val="25"/>
        </w:rPr>
        <w:t xml:space="preserve"> </w:t>
      </w:r>
      <w:r w:rsidR="00AA083B">
        <w:rPr>
          <w:i/>
          <w:sz w:val="25"/>
          <w:szCs w:val="25"/>
        </w:rPr>
        <w:t>Company’s</w:t>
      </w:r>
      <w:r w:rsidRPr="002532DF">
        <w:rPr>
          <w:i/>
          <w:sz w:val="25"/>
          <w:szCs w:val="25"/>
        </w:rPr>
        <w:t xml:space="preserve"> </w:t>
      </w:r>
      <w:r w:rsidRPr="00E77D4E">
        <w:rPr>
          <w:sz w:val="25"/>
          <w:szCs w:val="25"/>
        </w:rPr>
        <w:t>model</w:t>
      </w:r>
      <w:r w:rsidRPr="002532DF">
        <w:rPr>
          <w:i/>
          <w:sz w:val="25"/>
          <w:szCs w:val="25"/>
        </w:rPr>
        <w:t xml:space="preserve">.  </w:t>
      </w:r>
      <w:r w:rsidRPr="002532DF">
        <w:rPr>
          <w:sz w:val="25"/>
          <w:szCs w:val="25"/>
        </w:rPr>
        <w:t>If a given cost is challenged by another part</w:t>
      </w:r>
      <w:r w:rsidR="00D57521" w:rsidRPr="002532DF">
        <w:rPr>
          <w:sz w:val="25"/>
          <w:szCs w:val="25"/>
        </w:rPr>
        <w:t>y</w:t>
      </w:r>
      <w:r w:rsidRPr="002532DF">
        <w:rPr>
          <w:sz w:val="25"/>
          <w:szCs w:val="25"/>
        </w:rPr>
        <w:t xml:space="preserve">, </w:t>
      </w:r>
      <w:r w:rsidR="00AA083B">
        <w:rPr>
          <w:sz w:val="25"/>
          <w:szCs w:val="25"/>
        </w:rPr>
        <w:t>PacifiCorp cannot satisfy its burden of proof by responding only</w:t>
      </w:r>
      <w:r w:rsidRPr="002532DF">
        <w:rPr>
          <w:sz w:val="25"/>
          <w:szCs w:val="25"/>
        </w:rPr>
        <w:t xml:space="preserve"> to the effect that “the GRID model captures the costs correctly.”  </w:t>
      </w:r>
    </w:p>
    <w:p w:rsidR="00534B57" w:rsidRPr="002532DF" w:rsidRDefault="00534B57" w:rsidP="009E240C">
      <w:pPr>
        <w:pStyle w:val="Heading5"/>
        <w:numPr>
          <w:ilvl w:val="0"/>
          <w:numId w:val="31"/>
        </w:numPr>
        <w:rPr>
          <w:rFonts w:ascii="Times New Roman" w:hAnsi="Times New Roman"/>
          <w:i w:val="0"/>
          <w:sz w:val="25"/>
          <w:szCs w:val="25"/>
        </w:rPr>
      </w:pPr>
      <w:bookmarkStart w:id="23" w:name="_Toc288813730"/>
      <w:r w:rsidRPr="002532DF">
        <w:rPr>
          <w:rFonts w:ascii="Times New Roman" w:hAnsi="Times New Roman"/>
          <w:i w:val="0"/>
          <w:sz w:val="25"/>
          <w:szCs w:val="25"/>
        </w:rPr>
        <w:t>Arbitrage Sales Margin</w:t>
      </w:r>
      <w:bookmarkEnd w:id="23"/>
    </w:p>
    <w:p w:rsidR="00534B57" w:rsidRDefault="00534B57" w:rsidP="00E77D4E">
      <w:pPr>
        <w:spacing w:line="276" w:lineRule="auto"/>
        <w:outlineLvl w:val="3"/>
        <w:rPr>
          <w:b/>
          <w:sz w:val="25"/>
          <w:szCs w:val="25"/>
        </w:rPr>
      </w:pPr>
    </w:p>
    <w:p w:rsidR="00AA083B" w:rsidRPr="00CE557B" w:rsidRDefault="00AA083B" w:rsidP="00AA083B">
      <w:pPr>
        <w:numPr>
          <w:ilvl w:val="0"/>
          <w:numId w:val="1"/>
        </w:numPr>
        <w:tabs>
          <w:tab w:val="clear" w:pos="720"/>
          <w:tab w:val="num" w:pos="0"/>
        </w:tabs>
        <w:spacing w:after="240" w:line="276" w:lineRule="auto"/>
        <w:ind w:left="0"/>
        <w:rPr>
          <w:sz w:val="25"/>
          <w:szCs w:val="25"/>
        </w:rPr>
      </w:pPr>
      <w:r>
        <w:rPr>
          <w:sz w:val="25"/>
          <w:szCs w:val="25"/>
        </w:rPr>
        <w:t xml:space="preserve">There are </w:t>
      </w:r>
      <w:r w:rsidRPr="007A0440">
        <w:rPr>
          <w:sz w:val="25"/>
          <w:szCs w:val="25"/>
        </w:rPr>
        <w:t xml:space="preserve">two types of </w:t>
      </w:r>
      <w:r>
        <w:rPr>
          <w:sz w:val="25"/>
          <w:szCs w:val="25"/>
        </w:rPr>
        <w:t xml:space="preserve">short-term </w:t>
      </w:r>
      <w:r w:rsidRPr="007A0440">
        <w:rPr>
          <w:sz w:val="25"/>
          <w:szCs w:val="25"/>
        </w:rPr>
        <w:t>transactions</w:t>
      </w:r>
      <w:r>
        <w:rPr>
          <w:sz w:val="25"/>
          <w:szCs w:val="25"/>
        </w:rPr>
        <w:t xml:space="preserve"> or “arbitrage sales” at issue in this case.  The first, called </w:t>
      </w:r>
      <w:r w:rsidRPr="007A0440">
        <w:rPr>
          <w:sz w:val="25"/>
          <w:szCs w:val="25"/>
        </w:rPr>
        <w:t>locational arbitrage</w:t>
      </w:r>
      <w:r>
        <w:rPr>
          <w:sz w:val="25"/>
          <w:szCs w:val="25"/>
        </w:rPr>
        <w:t>, is the buying of power at one location and the simultaneous selling of power at another location.  The second type of transaction is an energy trading opportunity that occurs when the Company has already entered into what may be a longer term position on energy or sales but then executes short-term purchases or sales to optimize revenue in response to daily or weekly prices.</w:t>
      </w:r>
      <w:r>
        <w:rPr>
          <w:rStyle w:val="FootnoteReference"/>
          <w:sz w:val="25"/>
          <w:szCs w:val="25"/>
        </w:rPr>
        <w:footnoteReference w:id="152"/>
      </w:r>
      <w:r>
        <w:rPr>
          <w:sz w:val="25"/>
          <w:szCs w:val="25"/>
        </w:rPr>
        <w:t xml:space="preserve">  </w:t>
      </w:r>
    </w:p>
    <w:p w:rsidR="00AA083B" w:rsidRPr="002532DF" w:rsidRDefault="00AA083B" w:rsidP="00E77D4E">
      <w:pPr>
        <w:spacing w:line="276" w:lineRule="auto"/>
        <w:outlineLvl w:val="3"/>
        <w:rPr>
          <w:b/>
          <w:sz w:val="25"/>
          <w:szCs w:val="25"/>
        </w:rPr>
      </w:pPr>
    </w:p>
    <w:p w:rsidR="001A262B" w:rsidRPr="002532DF" w:rsidRDefault="00E3767F" w:rsidP="00AD0B90">
      <w:pPr>
        <w:numPr>
          <w:ilvl w:val="0"/>
          <w:numId w:val="1"/>
        </w:numPr>
        <w:tabs>
          <w:tab w:val="clear" w:pos="720"/>
          <w:tab w:val="num" w:pos="0"/>
        </w:tabs>
        <w:spacing w:line="276" w:lineRule="auto"/>
        <w:ind w:left="0"/>
        <w:rPr>
          <w:sz w:val="25"/>
          <w:szCs w:val="25"/>
        </w:rPr>
      </w:pPr>
      <w:r w:rsidRPr="002532DF">
        <w:rPr>
          <w:i/>
          <w:sz w:val="25"/>
          <w:szCs w:val="25"/>
        </w:rPr>
        <w:t xml:space="preserve">Positions of the </w:t>
      </w:r>
      <w:r w:rsidR="008E74B6" w:rsidRPr="002532DF">
        <w:rPr>
          <w:i/>
          <w:sz w:val="25"/>
          <w:szCs w:val="25"/>
        </w:rPr>
        <w:t>P</w:t>
      </w:r>
      <w:r w:rsidRPr="002532DF">
        <w:rPr>
          <w:i/>
          <w:sz w:val="25"/>
          <w:szCs w:val="25"/>
        </w:rPr>
        <w:t xml:space="preserve">arties. </w:t>
      </w:r>
      <w:r w:rsidR="00534B57" w:rsidRPr="002532DF">
        <w:rPr>
          <w:sz w:val="25"/>
          <w:szCs w:val="25"/>
        </w:rPr>
        <w:t>The Company</w:t>
      </w:r>
      <w:r w:rsidR="009E2255">
        <w:rPr>
          <w:sz w:val="25"/>
          <w:szCs w:val="25"/>
        </w:rPr>
        <w:t xml:space="preserve"> contends that its</w:t>
      </w:r>
      <w:r w:rsidR="00534B57" w:rsidRPr="002532DF">
        <w:rPr>
          <w:sz w:val="25"/>
          <w:szCs w:val="25"/>
        </w:rPr>
        <w:t xml:space="preserve"> GRID model</w:t>
      </w:r>
      <w:r w:rsidR="001A262B" w:rsidRPr="002532DF">
        <w:rPr>
          <w:sz w:val="25"/>
          <w:szCs w:val="25"/>
        </w:rPr>
        <w:t xml:space="preserve"> </w:t>
      </w:r>
      <w:r w:rsidR="009E2255">
        <w:rPr>
          <w:sz w:val="25"/>
          <w:szCs w:val="25"/>
        </w:rPr>
        <w:t xml:space="preserve">accurately </w:t>
      </w:r>
      <w:r w:rsidR="001A262B" w:rsidRPr="002532DF">
        <w:rPr>
          <w:sz w:val="25"/>
          <w:szCs w:val="25"/>
        </w:rPr>
        <w:t>determines resource dispatch including “balancing market purchases and sales necessary to balance and optimize the system and net power costs taking into account the constraints of the Company’s system in the west control area.”</w:t>
      </w:r>
      <w:r w:rsidR="001A262B" w:rsidRPr="002532DF">
        <w:rPr>
          <w:rStyle w:val="FootnoteReference"/>
          <w:sz w:val="25"/>
          <w:szCs w:val="25"/>
        </w:rPr>
        <w:footnoteReference w:id="153"/>
      </w:r>
    </w:p>
    <w:p w:rsidR="00670A7E" w:rsidRPr="002532DF" w:rsidRDefault="00670A7E" w:rsidP="00817E21">
      <w:pPr>
        <w:spacing w:line="276" w:lineRule="auto"/>
        <w:rPr>
          <w:sz w:val="25"/>
          <w:szCs w:val="25"/>
        </w:rPr>
      </w:pPr>
    </w:p>
    <w:p w:rsidR="001A262B" w:rsidRPr="002532DF" w:rsidRDefault="001A262B" w:rsidP="00AD0B90">
      <w:pPr>
        <w:numPr>
          <w:ilvl w:val="0"/>
          <w:numId w:val="1"/>
        </w:numPr>
        <w:tabs>
          <w:tab w:val="clear" w:pos="720"/>
          <w:tab w:val="num" w:pos="0"/>
        </w:tabs>
        <w:spacing w:line="276" w:lineRule="auto"/>
        <w:ind w:left="0"/>
        <w:rPr>
          <w:sz w:val="25"/>
          <w:szCs w:val="25"/>
        </w:rPr>
      </w:pPr>
      <w:r w:rsidRPr="002532DF">
        <w:rPr>
          <w:sz w:val="25"/>
          <w:szCs w:val="25"/>
        </w:rPr>
        <w:t xml:space="preserve">Staff claims the model does not include any revenue from </w:t>
      </w:r>
      <w:r w:rsidR="009E2255">
        <w:rPr>
          <w:sz w:val="25"/>
          <w:szCs w:val="25"/>
        </w:rPr>
        <w:t>arbitrage sales.</w:t>
      </w:r>
      <w:r w:rsidR="00EE2DC4" w:rsidRPr="002532DF">
        <w:rPr>
          <w:sz w:val="25"/>
          <w:szCs w:val="25"/>
        </w:rPr>
        <w:t xml:space="preserve">  To reflect these transaction</w:t>
      </w:r>
      <w:r w:rsidR="001E3774" w:rsidRPr="002532DF">
        <w:rPr>
          <w:sz w:val="25"/>
          <w:szCs w:val="25"/>
        </w:rPr>
        <w:t>s</w:t>
      </w:r>
      <w:r w:rsidR="00EE2DC4" w:rsidRPr="002532DF">
        <w:rPr>
          <w:sz w:val="25"/>
          <w:szCs w:val="25"/>
        </w:rPr>
        <w:t>, Staff proposes an “arbitrage sales adjustment” that increases operating revenues from power sales by $527,315, thereby reducing NPC expenses.</w:t>
      </w:r>
      <w:r w:rsidR="00780547" w:rsidRPr="002532DF">
        <w:rPr>
          <w:rStyle w:val="FootnoteReference"/>
          <w:sz w:val="25"/>
          <w:szCs w:val="25"/>
        </w:rPr>
        <w:t xml:space="preserve"> </w:t>
      </w:r>
      <w:r w:rsidR="00780547" w:rsidRPr="002532DF">
        <w:rPr>
          <w:rStyle w:val="FootnoteReference"/>
          <w:sz w:val="25"/>
          <w:szCs w:val="25"/>
        </w:rPr>
        <w:footnoteReference w:id="154"/>
      </w:r>
      <w:r w:rsidR="00780547" w:rsidRPr="002532DF">
        <w:rPr>
          <w:sz w:val="25"/>
          <w:szCs w:val="25"/>
        </w:rPr>
        <w:t xml:space="preserve">  </w:t>
      </w:r>
      <w:r w:rsidRPr="002532DF">
        <w:rPr>
          <w:sz w:val="25"/>
          <w:szCs w:val="25"/>
        </w:rPr>
        <w:t>Staff calculates its adjustment as 90 percent of the four-year average of the transactions to arrive at its $52</w:t>
      </w:r>
      <w:r w:rsidR="0064412B" w:rsidRPr="002532DF">
        <w:rPr>
          <w:sz w:val="25"/>
          <w:szCs w:val="25"/>
        </w:rPr>
        <w:t>7,315</w:t>
      </w:r>
      <w:r w:rsidRPr="002532DF">
        <w:rPr>
          <w:sz w:val="25"/>
          <w:szCs w:val="25"/>
        </w:rPr>
        <w:t xml:space="preserve"> adjustment.  </w:t>
      </w:r>
      <w:r w:rsidR="00D63FD5" w:rsidRPr="002532DF">
        <w:rPr>
          <w:sz w:val="25"/>
          <w:szCs w:val="25"/>
        </w:rPr>
        <w:t>It argues</w:t>
      </w:r>
      <w:r w:rsidRPr="002532DF">
        <w:rPr>
          <w:sz w:val="25"/>
          <w:szCs w:val="25"/>
        </w:rPr>
        <w:t xml:space="preserve"> that a 10 percent “profit-sharing” with </w:t>
      </w:r>
      <w:r w:rsidR="000843C5" w:rsidRPr="002532DF">
        <w:rPr>
          <w:sz w:val="25"/>
          <w:szCs w:val="25"/>
        </w:rPr>
        <w:t>PacifiCorp</w:t>
      </w:r>
      <w:r w:rsidRPr="002532DF">
        <w:rPr>
          <w:sz w:val="25"/>
          <w:szCs w:val="25"/>
        </w:rPr>
        <w:t xml:space="preserve"> maintains </w:t>
      </w:r>
      <w:r w:rsidR="000843C5" w:rsidRPr="002532DF">
        <w:rPr>
          <w:sz w:val="25"/>
          <w:szCs w:val="25"/>
        </w:rPr>
        <w:t>the Company’s</w:t>
      </w:r>
      <w:r w:rsidRPr="002532DF">
        <w:rPr>
          <w:sz w:val="25"/>
          <w:szCs w:val="25"/>
        </w:rPr>
        <w:t xml:space="preserve"> incentive to maximize the use of its transmission system.</w:t>
      </w:r>
      <w:r w:rsidRPr="002532DF">
        <w:rPr>
          <w:rStyle w:val="FootnoteReference"/>
          <w:sz w:val="25"/>
          <w:szCs w:val="25"/>
        </w:rPr>
        <w:footnoteReference w:id="155"/>
      </w:r>
      <w:r w:rsidRPr="002532DF">
        <w:rPr>
          <w:sz w:val="25"/>
          <w:szCs w:val="25"/>
        </w:rPr>
        <w:t xml:space="preserve">  </w:t>
      </w:r>
    </w:p>
    <w:p w:rsidR="00670A7E" w:rsidRPr="002532DF" w:rsidRDefault="00670A7E" w:rsidP="00817E21">
      <w:pPr>
        <w:spacing w:line="276" w:lineRule="auto"/>
        <w:rPr>
          <w:sz w:val="25"/>
          <w:szCs w:val="25"/>
        </w:rPr>
      </w:pPr>
    </w:p>
    <w:p w:rsidR="001A262B" w:rsidRPr="002532DF" w:rsidRDefault="001A262B" w:rsidP="00AD0B90">
      <w:pPr>
        <w:numPr>
          <w:ilvl w:val="0"/>
          <w:numId w:val="1"/>
        </w:numPr>
        <w:tabs>
          <w:tab w:val="clear" w:pos="720"/>
          <w:tab w:val="num" w:pos="0"/>
        </w:tabs>
        <w:spacing w:line="276" w:lineRule="auto"/>
        <w:ind w:left="0"/>
        <w:rPr>
          <w:sz w:val="25"/>
          <w:szCs w:val="25"/>
        </w:rPr>
      </w:pPr>
      <w:r w:rsidRPr="002532DF">
        <w:rPr>
          <w:sz w:val="25"/>
          <w:szCs w:val="25"/>
        </w:rPr>
        <w:t>ICNU</w:t>
      </w:r>
      <w:r w:rsidR="00EE2DC4" w:rsidRPr="002532DF">
        <w:rPr>
          <w:sz w:val="25"/>
          <w:szCs w:val="25"/>
        </w:rPr>
        <w:t xml:space="preserve"> makes a </w:t>
      </w:r>
      <w:r w:rsidRPr="002532DF">
        <w:rPr>
          <w:sz w:val="25"/>
          <w:szCs w:val="25"/>
        </w:rPr>
        <w:t xml:space="preserve">comparable “added sales margins” adjustment </w:t>
      </w:r>
      <w:r w:rsidR="00EE2DC4" w:rsidRPr="002532DF">
        <w:rPr>
          <w:sz w:val="25"/>
          <w:szCs w:val="25"/>
        </w:rPr>
        <w:t xml:space="preserve">that </w:t>
      </w:r>
      <w:r w:rsidRPr="002532DF">
        <w:rPr>
          <w:sz w:val="25"/>
          <w:szCs w:val="25"/>
        </w:rPr>
        <w:t xml:space="preserve">increases operating revenues from power sales </w:t>
      </w:r>
      <w:r w:rsidR="00EE2DC4" w:rsidRPr="002532DF">
        <w:rPr>
          <w:sz w:val="25"/>
          <w:szCs w:val="25"/>
        </w:rPr>
        <w:t xml:space="preserve">and reduces NPC </w:t>
      </w:r>
      <w:r w:rsidRPr="002532DF">
        <w:rPr>
          <w:sz w:val="25"/>
          <w:szCs w:val="25"/>
        </w:rPr>
        <w:t>by $585,874.</w:t>
      </w:r>
      <w:r w:rsidRPr="002532DF">
        <w:rPr>
          <w:rStyle w:val="FootnoteReference"/>
          <w:sz w:val="25"/>
          <w:szCs w:val="25"/>
        </w:rPr>
        <w:footnoteReference w:id="156"/>
      </w:r>
      <w:r w:rsidRPr="002532DF">
        <w:rPr>
          <w:sz w:val="25"/>
          <w:szCs w:val="25"/>
        </w:rPr>
        <w:t xml:space="preserve">  ICNU explains that its adjustment is larger because it does not include Staff’s 10 percent “profit sharing” deduction in its calculation.</w:t>
      </w:r>
      <w:r w:rsidRPr="002532DF">
        <w:rPr>
          <w:rStyle w:val="FootnoteReference"/>
          <w:sz w:val="25"/>
          <w:szCs w:val="25"/>
        </w:rPr>
        <w:footnoteReference w:id="157"/>
      </w:r>
      <w:r w:rsidRPr="002532DF">
        <w:rPr>
          <w:sz w:val="25"/>
          <w:szCs w:val="25"/>
        </w:rPr>
        <w:t xml:space="preserve">  </w:t>
      </w:r>
    </w:p>
    <w:p w:rsidR="00670A7E" w:rsidRPr="002532DF" w:rsidRDefault="00670A7E" w:rsidP="00817E21">
      <w:pPr>
        <w:spacing w:line="276" w:lineRule="auto"/>
        <w:rPr>
          <w:sz w:val="25"/>
          <w:szCs w:val="25"/>
        </w:rPr>
      </w:pPr>
    </w:p>
    <w:p w:rsidR="00483FEF" w:rsidRPr="002532DF" w:rsidRDefault="001A262B" w:rsidP="00AD0B90">
      <w:pPr>
        <w:numPr>
          <w:ilvl w:val="0"/>
          <w:numId w:val="1"/>
        </w:numPr>
        <w:tabs>
          <w:tab w:val="clear" w:pos="720"/>
          <w:tab w:val="num" w:pos="0"/>
        </w:tabs>
        <w:spacing w:line="276" w:lineRule="auto"/>
        <w:ind w:left="0"/>
        <w:rPr>
          <w:b/>
          <w:sz w:val="25"/>
          <w:szCs w:val="25"/>
        </w:rPr>
      </w:pPr>
      <w:r w:rsidRPr="002532DF">
        <w:rPr>
          <w:sz w:val="25"/>
          <w:szCs w:val="25"/>
        </w:rPr>
        <w:t>In rebuttal</w:t>
      </w:r>
      <w:r w:rsidR="00EE2DC4" w:rsidRPr="002532DF">
        <w:rPr>
          <w:sz w:val="25"/>
          <w:szCs w:val="25"/>
        </w:rPr>
        <w:t xml:space="preserve"> testimony</w:t>
      </w:r>
      <w:r w:rsidRPr="002532DF">
        <w:rPr>
          <w:sz w:val="25"/>
          <w:szCs w:val="25"/>
        </w:rPr>
        <w:t>, the Company opposes both adjustments arguing that the GRID’s system of balancing sales and purchases act as a proxy for future short-term firm sales and purchases, including arbitrage transactions.</w:t>
      </w:r>
      <w:r w:rsidRPr="002532DF">
        <w:rPr>
          <w:rStyle w:val="FootnoteReference"/>
          <w:sz w:val="25"/>
          <w:szCs w:val="25"/>
        </w:rPr>
        <w:footnoteReference w:id="158"/>
      </w:r>
      <w:r w:rsidR="00534B57" w:rsidRPr="002532DF">
        <w:rPr>
          <w:sz w:val="25"/>
          <w:szCs w:val="25"/>
        </w:rPr>
        <w:t xml:space="preserve"> </w:t>
      </w:r>
    </w:p>
    <w:p w:rsidR="000843C5" w:rsidRPr="002532DF" w:rsidRDefault="000843C5" w:rsidP="000843C5">
      <w:pPr>
        <w:spacing w:line="276" w:lineRule="auto"/>
        <w:ind w:left="-720"/>
        <w:rPr>
          <w:b/>
          <w:sz w:val="25"/>
          <w:szCs w:val="25"/>
        </w:rPr>
      </w:pPr>
    </w:p>
    <w:p w:rsidR="00BC6850" w:rsidRPr="002532DF" w:rsidRDefault="00D17347" w:rsidP="00AD0B90">
      <w:pPr>
        <w:numPr>
          <w:ilvl w:val="0"/>
          <w:numId w:val="1"/>
        </w:numPr>
        <w:tabs>
          <w:tab w:val="clear" w:pos="720"/>
          <w:tab w:val="num" w:pos="0"/>
        </w:tabs>
        <w:spacing w:line="276" w:lineRule="auto"/>
        <w:ind w:left="0"/>
        <w:rPr>
          <w:b/>
          <w:sz w:val="25"/>
          <w:szCs w:val="25"/>
        </w:rPr>
      </w:pPr>
      <w:r w:rsidRPr="002532DF">
        <w:rPr>
          <w:i/>
          <w:sz w:val="25"/>
          <w:szCs w:val="25"/>
        </w:rPr>
        <w:t xml:space="preserve">Commission Decision. </w:t>
      </w:r>
      <w:r w:rsidR="00EE2DC4" w:rsidRPr="002532DF">
        <w:rPr>
          <w:i/>
          <w:sz w:val="25"/>
          <w:szCs w:val="25"/>
        </w:rPr>
        <w:t xml:space="preserve"> </w:t>
      </w:r>
      <w:r w:rsidR="00EE2DC4" w:rsidRPr="002532DF">
        <w:rPr>
          <w:sz w:val="25"/>
          <w:szCs w:val="25"/>
        </w:rPr>
        <w:t xml:space="preserve">Staff and ICNU’s proposed adjustments raise the essential question of all power cost modeling:  how well does the model capture expected expense and revenues of actual utility operations?  </w:t>
      </w:r>
      <w:r w:rsidR="00BC6850" w:rsidRPr="002532DF">
        <w:rPr>
          <w:sz w:val="25"/>
          <w:szCs w:val="25"/>
        </w:rPr>
        <w:t xml:space="preserve">The Company acknowledges that </w:t>
      </w:r>
      <w:r w:rsidR="00245329" w:rsidRPr="002532DF">
        <w:rPr>
          <w:sz w:val="25"/>
          <w:szCs w:val="25"/>
        </w:rPr>
        <w:t>arbitrage sales occur</w:t>
      </w:r>
      <w:r w:rsidR="00B50510" w:rsidRPr="002532DF">
        <w:rPr>
          <w:sz w:val="25"/>
          <w:szCs w:val="25"/>
        </w:rPr>
        <w:t xml:space="preserve"> and</w:t>
      </w:r>
      <w:r w:rsidR="00245329" w:rsidRPr="002532DF">
        <w:rPr>
          <w:sz w:val="25"/>
          <w:szCs w:val="25"/>
        </w:rPr>
        <w:t xml:space="preserve"> </w:t>
      </w:r>
      <w:r w:rsidR="00BC6850" w:rsidRPr="002532DF">
        <w:rPr>
          <w:sz w:val="25"/>
          <w:szCs w:val="25"/>
        </w:rPr>
        <w:t>argue</w:t>
      </w:r>
      <w:r w:rsidR="003D6299" w:rsidRPr="002532DF">
        <w:rPr>
          <w:sz w:val="25"/>
          <w:szCs w:val="25"/>
        </w:rPr>
        <w:t>s</w:t>
      </w:r>
      <w:r w:rsidR="00BC6850" w:rsidRPr="002532DF">
        <w:rPr>
          <w:sz w:val="25"/>
          <w:szCs w:val="25"/>
        </w:rPr>
        <w:t xml:space="preserve"> that the system balancing in the GRID model acts as a proxy for these sales.  </w:t>
      </w:r>
      <w:r w:rsidR="00245329" w:rsidRPr="002532DF">
        <w:rPr>
          <w:sz w:val="25"/>
          <w:szCs w:val="25"/>
        </w:rPr>
        <w:t>The question is whether</w:t>
      </w:r>
      <w:r w:rsidR="00BC6850" w:rsidRPr="002532DF">
        <w:rPr>
          <w:sz w:val="25"/>
          <w:szCs w:val="25"/>
        </w:rPr>
        <w:t xml:space="preserve"> the GRID model</w:t>
      </w:r>
      <w:r w:rsidR="00336DC3" w:rsidRPr="002532DF">
        <w:rPr>
          <w:sz w:val="25"/>
          <w:szCs w:val="25"/>
        </w:rPr>
        <w:t xml:space="preserve"> represents</w:t>
      </w:r>
      <w:r w:rsidR="00BC6850" w:rsidRPr="002532DF">
        <w:rPr>
          <w:sz w:val="25"/>
          <w:szCs w:val="25"/>
        </w:rPr>
        <w:t xml:space="preserve"> short-term sales.</w:t>
      </w:r>
      <w:r w:rsidR="00EE2DC4" w:rsidRPr="002532DF">
        <w:rPr>
          <w:sz w:val="25"/>
          <w:szCs w:val="25"/>
        </w:rPr>
        <w:t xml:space="preserve">  In this case, we are convinced that it does not.</w:t>
      </w:r>
    </w:p>
    <w:p w:rsidR="00BC6850" w:rsidRPr="002532DF" w:rsidRDefault="00BC6850" w:rsidP="00BC6850">
      <w:pPr>
        <w:spacing w:line="276" w:lineRule="auto"/>
        <w:ind w:left="-720"/>
        <w:rPr>
          <w:b/>
          <w:sz w:val="25"/>
          <w:szCs w:val="25"/>
        </w:rPr>
      </w:pPr>
    </w:p>
    <w:p w:rsidR="00BC6850" w:rsidRPr="002532DF" w:rsidRDefault="00E05E27" w:rsidP="00AD0B90">
      <w:pPr>
        <w:numPr>
          <w:ilvl w:val="0"/>
          <w:numId w:val="1"/>
        </w:numPr>
        <w:tabs>
          <w:tab w:val="clear" w:pos="720"/>
          <w:tab w:val="num" w:pos="0"/>
        </w:tabs>
        <w:spacing w:line="276" w:lineRule="auto"/>
        <w:ind w:left="0"/>
        <w:rPr>
          <w:b/>
          <w:sz w:val="25"/>
          <w:szCs w:val="25"/>
        </w:rPr>
      </w:pPr>
      <w:r w:rsidRPr="002532DF">
        <w:rPr>
          <w:sz w:val="25"/>
          <w:szCs w:val="25"/>
        </w:rPr>
        <w:t>We should accept proxy results only i</w:t>
      </w:r>
      <w:r w:rsidR="00BC6850" w:rsidRPr="002532DF">
        <w:rPr>
          <w:sz w:val="25"/>
          <w:szCs w:val="25"/>
        </w:rPr>
        <w:t>f no better alternative is available</w:t>
      </w:r>
      <w:r w:rsidR="004F115A" w:rsidRPr="002532DF">
        <w:rPr>
          <w:sz w:val="25"/>
          <w:szCs w:val="25"/>
        </w:rPr>
        <w:t xml:space="preserve">. </w:t>
      </w:r>
      <w:r w:rsidR="00BC6850" w:rsidRPr="002532DF">
        <w:rPr>
          <w:sz w:val="25"/>
          <w:szCs w:val="25"/>
        </w:rPr>
        <w:t xml:space="preserve"> In this case, we have a better alternative</w:t>
      </w:r>
      <w:r w:rsidRPr="002532DF">
        <w:rPr>
          <w:sz w:val="25"/>
          <w:szCs w:val="25"/>
        </w:rPr>
        <w:t>:</w:t>
      </w:r>
      <w:r w:rsidR="00BC6850" w:rsidRPr="002532DF">
        <w:rPr>
          <w:sz w:val="25"/>
          <w:szCs w:val="25"/>
        </w:rPr>
        <w:t xml:space="preserve"> the four-year average of actual operations.  PacifiCorp does not argue that Staff’s </w:t>
      </w:r>
      <w:r w:rsidR="00996957" w:rsidRPr="002532DF">
        <w:rPr>
          <w:sz w:val="25"/>
          <w:szCs w:val="25"/>
        </w:rPr>
        <w:t xml:space="preserve">and ICNU’s </w:t>
      </w:r>
      <w:r w:rsidR="00BC6850" w:rsidRPr="002532DF">
        <w:rPr>
          <w:sz w:val="25"/>
          <w:szCs w:val="25"/>
        </w:rPr>
        <w:t>number</w:t>
      </w:r>
      <w:r w:rsidR="004F0722" w:rsidRPr="002532DF">
        <w:rPr>
          <w:sz w:val="25"/>
          <w:szCs w:val="25"/>
        </w:rPr>
        <w:t>s</w:t>
      </w:r>
      <w:r w:rsidR="00BC6850" w:rsidRPr="002532DF">
        <w:rPr>
          <w:sz w:val="25"/>
          <w:szCs w:val="25"/>
        </w:rPr>
        <w:t xml:space="preserve"> </w:t>
      </w:r>
      <w:r w:rsidR="004F0722" w:rsidRPr="002532DF">
        <w:rPr>
          <w:sz w:val="25"/>
          <w:szCs w:val="25"/>
        </w:rPr>
        <w:t>are</w:t>
      </w:r>
      <w:r w:rsidR="00BC6850" w:rsidRPr="002532DF">
        <w:rPr>
          <w:sz w:val="25"/>
          <w:szCs w:val="25"/>
        </w:rPr>
        <w:t xml:space="preserve"> not representative of the sales it would anticipate during the term rates will be in effect.  Accordingly, we accept </w:t>
      </w:r>
      <w:r w:rsidR="00996957" w:rsidRPr="002532DF">
        <w:rPr>
          <w:sz w:val="25"/>
          <w:szCs w:val="25"/>
        </w:rPr>
        <w:t xml:space="preserve">ICNU’s </w:t>
      </w:r>
      <w:r w:rsidR="00BC6850" w:rsidRPr="002532DF">
        <w:rPr>
          <w:sz w:val="25"/>
          <w:szCs w:val="25"/>
        </w:rPr>
        <w:t>calculation of arbitrage sales.</w:t>
      </w:r>
    </w:p>
    <w:p w:rsidR="008252F2" w:rsidRPr="002532DF" w:rsidRDefault="008252F2" w:rsidP="008252F2">
      <w:pPr>
        <w:spacing w:line="276" w:lineRule="auto"/>
        <w:ind w:left="-720"/>
        <w:rPr>
          <w:b/>
          <w:sz w:val="25"/>
          <w:szCs w:val="25"/>
        </w:rPr>
      </w:pPr>
    </w:p>
    <w:p w:rsidR="000843C5" w:rsidRPr="002532DF" w:rsidRDefault="00BC6850" w:rsidP="00AD0B90">
      <w:pPr>
        <w:numPr>
          <w:ilvl w:val="0"/>
          <w:numId w:val="1"/>
        </w:numPr>
        <w:tabs>
          <w:tab w:val="clear" w:pos="720"/>
          <w:tab w:val="num" w:pos="0"/>
        </w:tabs>
        <w:spacing w:line="276" w:lineRule="auto"/>
        <w:ind w:left="0"/>
        <w:rPr>
          <w:b/>
          <w:sz w:val="25"/>
          <w:szCs w:val="25"/>
        </w:rPr>
      </w:pPr>
      <w:r w:rsidRPr="002532DF">
        <w:rPr>
          <w:sz w:val="25"/>
          <w:szCs w:val="25"/>
        </w:rPr>
        <w:t xml:space="preserve">The next issue is whether all arbitrage sales revenues should be used to offset net power costs, as proposed by ICNU, or whether a portion of those revenues should be </w:t>
      </w:r>
      <w:r w:rsidR="008252F2" w:rsidRPr="002532DF">
        <w:rPr>
          <w:sz w:val="25"/>
          <w:szCs w:val="25"/>
        </w:rPr>
        <w:t xml:space="preserve">“shared” with the Company, as proposed by Staff. </w:t>
      </w:r>
      <w:r w:rsidR="00794A7F" w:rsidRPr="002532DF">
        <w:rPr>
          <w:sz w:val="25"/>
          <w:szCs w:val="25"/>
        </w:rPr>
        <w:t xml:space="preserve"> </w:t>
      </w:r>
      <w:r w:rsidR="00C517F4" w:rsidRPr="002532DF">
        <w:rPr>
          <w:sz w:val="25"/>
          <w:szCs w:val="25"/>
        </w:rPr>
        <w:t xml:space="preserve">As a general rule, we do not believe </w:t>
      </w:r>
      <w:r w:rsidR="00307B99" w:rsidRPr="002532DF">
        <w:rPr>
          <w:sz w:val="25"/>
          <w:szCs w:val="25"/>
        </w:rPr>
        <w:t xml:space="preserve">it necessary to provide monetary </w:t>
      </w:r>
      <w:r w:rsidR="00622FEA" w:rsidRPr="002532DF">
        <w:rPr>
          <w:sz w:val="25"/>
          <w:szCs w:val="25"/>
        </w:rPr>
        <w:t>incentive</w:t>
      </w:r>
      <w:r w:rsidR="00307B99" w:rsidRPr="002532DF">
        <w:rPr>
          <w:sz w:val="25"/>
          <w:szCs w:val="25"/>
        </w:rPr>
        <w:t xml:space="preserve">s to utilities </w:t>
      </w:r>
      <w:r w:rsidR="00C517F4" w:rsidRPr="002532DF">
        <w:rPr>
          <w:sz w:val="25"/>
          <w:szCs w:val="25"/>
        </w:rPr>
        <w:t xml:space="preserve">for properly managing assets under their control.  Having found the expected revenue to be reasonable given the Company’s history of actual sales, we believe the Company has sufficient reason to continue to prudently manage its sales opportunities.  Should it do otherwise, </w:t>
      </w:r>
      <w:r w:rsidR="004E3D76">
        <w:rPr>
          <w:sz w:val="25"/>
          <w:szCs w:val="25"/>
        </w:rPr>
        <w:t>the Company</w:t>
      </w:r>
      <w:r w:rsidR="00C517F4" w:rsidRPr="002532DF">
        <w:rPr>
          <w:sz w:val="25"/>
          <w:szCs w:val="25"/>
        </w:rPr>
        <w:t xml:space="preserve"> would risk incurring a loss from this adjustment</w:t>
      </w:r>
      <w:r w:rsidR="00C82A76">
        <w:rPr>
          <w:sz w:val="25"/>
          <w:szCs w:val="25"/>
        </w:rPr>
        <w:t xml:space="preserve"> </w:t>
      </w:r>
      <w:r w:rsidR="004E3D76">
        <w:rPr>
          <w:sz w:val="25"/>
          <w:szCs w:val="25"/>
        </w:rPr>
        <w:t>because</w:t>
      </w:r>
      <w:r w:rsidR="00C517F4" w:rsidRPr="002532DF">
        <w:rPr>
          <w:sz w:val="25"/>
          <w:szCs w:val="25"/>
        </w:rPr>
        <w:t xml:space="preserve"> it has the effect of reducing NPC.  For this reason, we do not accept Staff’s “profit sharing” proposal</w:t>
      </w:r>
      <w:r w:rsidR="004E3D76">
        <w:rPr>
          <w:sz w:val="25"/>
          <w:szCs w:val="25"/>
        </w:rPr>
        <w:t>,</w:t>
      </w:r>
      <w:r w:rsidR="00C517F4" w:rsidRPr="002532DF">
        <w:rPr>
          <w:sz w:val="25"/>
          <w:szCs w:val="25"/>
        </w:rPr>
        <w:t xml:space="preserve"> and </w:t>
      </w:r>
      <w:r w:rsidR="004E3D76">
        <w:rPr>
          <w:sz w:val="25"/>
          <w:szCs w:val="25"/>
        </w:rPr>
        <w:t xml:space="preserve">we </w:t>
      </w:r>
      <w:r w:rsidR="00C517F4" w:rsidRPr="002532DF">
        <w:rPr>
          <w:sz w:val="25"/>
          <w:szCs w:val="25"/>
        </w:rPr>
        <w:t>increase operating revenues by $585,874.</w:t>
      </w:r>
    </w:p>
    <w:p w:rsidR="00146B27" w:rsidRPr="002532DF" w:rsidRDefault="00CA3600" w:rsidP="00D06480">
      <w:pPr>
        <w:pStyle w:val="Heading5"/>
        <w:ind w:left="1440" w:hanging="360"/>
        <w:rPr>
          <w:rFonts w:ascii="Times New Roman" w:hAnsi="Times New Roman"/>
          <w:i w:val="0"/>
          <w:sz w:val="25"/>
          <w:szCs w:val="25"/>
        </w:rPr>
      </w:pPr>
      <w:bookmarkStart w:id="24" w:name="_Toc168986366"/>
      <w:bookmarkStart w:id="25" w:name="_Toc288813731"/>
      <w:r w:rsidRPr="002532DF">
        <w:rPr>
          <w:rFonts w:ascii="Times New Roman" w:hAnsi="Times New Roman"/>
          <w:i w:val="0"/>
          <w:sz w:val="25"/>
          <w:szCs w:val="25"/>
        </w:rPr>
        <w:t>c</w:t>
      </w:r>
      <w:r w:rsidR="00534B57" w:rsidRPr="002532DF">
        <w:rPr>
          <w:rFonts w:ascii="Times New Roman" w:hAnsi="Times New Roman"/>
          <w:i w:val="0"/>
          <w:sz w:val="25"/>
          <w:szCs w:val="25"/>
        </w:rPr>
        <w:t>.</w:t>
      </w:r>
      <w:r w:rsidR="00534B57" w:rsidRPr="002532DF">
        <w:rPr>
          <w:rFonts w:ascii="Times New Roman" w:hAnsi="Times New Roman"/>
          <w:i w:val="0"/>
          <w:sz w:val="25"/>
          <w:szCs w:val="25"/>
        </w:rPr>
        <w:tab/>
        <w:t>Seattle City Light (SCL) Stateline Contact</w:t>
      </w:r>
      <w:bookmarkEnd w:id="24"/>
      <w:bookmarkEnd w:id="25"/>
    </w:p>
    <w:p w:rsidR="00146B27" w:rsidRPr="002532DF" w:rsidRDefault="00146B27" w:rsidP="00817E21">
      <w:pPr>
        <w:spacing w:line="276" w:lineRule="auto"/>
        <w:outlineLvl w:val="3"/>
        <w:rPr>
          <w:b/>
          <w:sz w:val="25"/>
          <w:szCs w:val="25"/>
        </w:rPr>
      </w:pPr>
    </w:p>
    <w:p w:rsidR="0077426E" w:rsidRPr="002532DF" w:rsidRDefault="00307B99" w:rsidP="00AD0B90">
      <w:pPr>
        <w:numPr>
          <w:ilvl w:val="0"/>
          <w:numId w:val="1"/>
        </w:numPr>
        <w:tabs>
          <w:tab w:val="clear" w:pos="720"/>
          <w:tab w:val="num" w:pos="0"/>
        </w:tabs>
        <w:spacing w:line="276" w:lineRule="auto"/>
        <w:ind w:left="0"/>
        <w:rPr>
          <w:sz w:val="25"/>
          <w:szCs w:val="25"/>
        </w:rPr>
      </w:pPr>
      <w:r w:rsidRPr="002532DF">
        <w:rPr>
          <w:sz w:val="25"/>
          <w:szCs w:val="25"/>
        </w:rPr>
        <w:t>PacifiCorp entered into contract</w:t>
      </w:r>
      <w:r w:rsidR="00996957" w:rsidRPr="002532DF">
        <w:rPr>
          <w:sz w:val="25"/>
          <w:szCs w:val="25"/>
        </w:rPr>
        <w:t>s</w:t>
      </w:r>
      <w:r w:rsidRPr="002532DF">
        <w:rPr>
          <w:sz w:val="25"/>
          <w:szCs w:val="25"/>
        </w:rPr>
        <w:t xml:space="preserve"> with Seattle City Light (</w:t>
      </w:r>
      <w:r w:rsidR="00534B57" w:rsidRPr="002532DF">
        <w:rPr>
          <w:sz w:val="25"/>
          <w:szCs w:val="25"/>
        </w:rPr>
        <w:t>SCL</w:t>
      </w:r>
      <w:r w:rsidRPr="002532DF">
        <w:rPr>
          <w:sz w:val="25"/>
          <w:szCs w:val="25"/>
        </w:rPr>
        <w:t>)</w:t>
      </w:r>
      <w:r w:rsidR="00534B57" w:rsidRPr="002532DF">
        <w:rPr>
          <w:sz w:val="25"/>
          <w:szCs w:val="25"/>
        </w:rPr>
        <w:t xml:space="preserve"> </w:t>
      </w:r>
      <w:r w:rsidRPr="002532DF">
        <w:rPr>
          <w:sz w:val="25"/>
          <w:szCs w:val="25"/>
        </w:rPr>
        <w:t xml:space="preserve">to receive </w:t>
      </w:r>
      <w:r w:rsidR="00534B57" w:rsidRPr="002532DF">
        <w:rPr>
          <w:sz w:val="25"/>
          <w:szCs w:val="25"/>
        </w:rPr>
        <w:t>real time output from SCL’s share of the Stateline wind farm</w:t>
      </w:r>
      <w:r w:rsidR="00F045AA" w:rsidRPr="002532DF">
        <w:rPr>
          <w:sz w:val="25"/>
          <w:szCs w:val="25"/>
        </w:rPr>
        <w:t>.  T</w:t>
      </w:r>
      <w:r w:rsidR="00534B57" w:rsidRPr="002532DF">
        <w:rPr>
          <w:sz w:val="25"/>
          <w:szCs w:val="25"/>
        </w:rPr>
        <w:t xml:space="preserve">he Company returns power two months </w:t>
      </w:r>
      <w:r w:rsidR="002B36A7" w:rsidRPr="002532DF">
        <w:rPr>
          <w:sz w:val="25"/>
          <w:szCs w:val="25"/>
        </w:rPr>
        <w:t>l</w:t>
      </w:r>
      <w:r w:rsidR="00534B57" w:rsidRPr="002532DF">
        <w:rPr>
          <w:sz w:val="25"/>
          <w:szCs w:val="25"/>
        </w:rPr>
        <w:t>ater.</w:t>
      </w:r>
      <w:r w:rsidR="0077426E" w:rsidRPr="002532DF">
        <w:rPr>
          <w:sz w:val="25"/>
          <w:szCs w:val="25"/>
        </w:rPr>
        <w:t xml:space="preserve">  The SCL Stateline contract terminates during the rate year on December 31, 2011.</w:t>
      </w:r>
      <w:r w:rsidR="0077426E" w:rsidRPr="002532DF">
        <w:rPr>
          <w:rStyle w:val="FootnoteReference"/>
          <w:sz w:val="25"/>
          <w:szCs w:val="25"/>
        </w:rPr>
        <w:footnoteReference w:id="159"/>
      </w:r>
      <w:r w:rsidR="0077426E" w:rsidRPr="002532DF">
        <w:rPr>
          <w:sz w:val="25"/>
          <w:szCs w:val="25"/>
        </w:rPr>
        <w:t xml:space="preserve"> </w:t>
      </w:r>
    </w:p>
    <w:p w:rsidR="00670A7E" w:rsidRPr="002532DF" w:rsidRDefault="00670A7E" w:rsidP="00817E21">
      <w:pPr>
        <w:spacing w:line="276" w:lineRule="auto"/>
        <w:rPr>
          <w:sz w:val="25"/>
          <w:szCs w:val="25"/>
        </w:rPr>
      </w:pPr>
    </w:p>
    <w:p w:rsidR="0077426E" w:rsidRPr="002532DF" w:rsidRDefault="00D17347" w:rsidP="00AD0B90">
      <w:pPr>
        <w:numPr>
          <w:ilvl w:val="0"/>
          <w:numId w:val="1"/>
        </w:numPr>
        <w:tabs>
          <w:tab w:val="clear" w:pos="720"/>
          <w:tab w:val="num" w:pos="0"/>
        </w:tabs>
        <w:spacing w:line="276" w:lineRule="auto"/>
        <w:ind w:left="0"/>
        <w:rPr>
          <w:sz w:val="25"/>
          <w:szCs w:val="25"/>
        </w:rPr>
      </w:pPr>
      <w:r w:rsidRPr="002532DF">
        <w:rPr>
          <w:i/>
          <w:sz w:val="25"/>
          <w:szCs w:val="25"/>
        </w:rPr>
        <w:t xml:space="preserve">Commission Decision. </w:t>
      </w:r>
      <w:r w:rsidR="001441FB" w:rsidRPr="002532DF">
        <w:rPr>
          <w:sz w:val="25"/>
          <w:szCs w:val="25"/>
        </w:rPr>
        <w:t>During the hearing, the parties reached agreement on how to address the SCL Stateline Contract in this case.</w:t>
      </w:r>
      <w:r w:rsidR="001441FB" w:rsidRPr="002532DF">
        <w:rPr>
          <w:rStyle w:val="FootnoteReference"/>
          <w:sz w:val="25"/>
          <w:szCs w:val="25"/>
        </w:rPr>
        <w:footnoteReference w:id="160"/>
      </w:r>
      <w:r w:rsidR="001441FB" w:rsidRPr="002532DF">
        <w:rPr>
          <w:sz w:val="25"/>
          <w:szCs w:val="25"/>
        </w:rPr>
        <w:t xml:space="preserve">  The parties concur that the contract should be treated in the manner presented in </w:t>
      </w:r>
      <w:r w:rsidR="0077426E" w:rsidRPr="002532DF">
        <w:rPr>
          <w:sz w:val="25"/>
          <w:szCs w:val="25"/>
        </w:rPr>
        <w:t>Company</w:t>
      </w:r>
      <w:r w:rsidR="00022A22" w:rsidRPr="002532DF">
        <w:rPr>
          <w:sz w:val="25"/>
          <w:szCs w:val="25"/>
        </w:rPr>
        <w:t>’s</w:t>
      </w:r>
      <w:r w:rsidR="0077426E" w:rsidRPr="002532DF">
        <w:rPr>
          <w:sz w:val="25"/>
          <w:szCs w:val="25"/>
        </w:rPr>
        <w:t xml:space="preserve"> </w:t>
      </w:r>
      <w:r w:rsidR="001441FB" w:rsidRPr="002532DF">
        <w:rPr>
          <w:sz w:val="25"/>
          <w:szCs w:val="25"/>
        </w:rPr>
        <w:t>rebuttal</w:t>
      </w:r>
      <w:r w:rsidR="00B71C5E" w:rsidRPr="002532DF">
        <w:rPr>
          <w:sz w:val="25"/>
          <w:szCs w:val="25"/>
        </w:rPr>
        <w:t xml:space="preserve"> testimony</w:t>
      </w:r>
      <w:r w:rsidR="00C82A76">
        <w:rPr>
          <w:sz w:val="25"/>
          <w:szCs w:val="25"/>
        </w:rPr>
        <w:t xml:space="preserve"> </w:t>
      </w:r>
      <w:r w:rsidR="004E3D76">
        <w:rPr>
          <w:sz w:val="25"/>
          <w:szCs w:val="25"/>
        </w:rPr>
        <w:t>and</w:t>
      </w:r>
      <w:r w:rsidR="00022A22" w:rsidRPr="002532DF">
        <w:rPr>
          <w:sz w:val="25"/>
          <w:szCs w:val="25"/>
        </w:rPr>
        <w:t xml:space="preserve"> agree to </w:t>
      </w:r>
      <w:r w:rsidR="001441FB" w:rsidRPr="002532DF">
        <w:rPr>
          <w:sz w:val="25"/>
          <w:szCs w:val="25"/>
        </w:rPr>
        <w:t>reduce NPC expense by $349,229.  We accept the p</w:t>
      </w:r>
      <w:r w:rsidR="00183984" w:rsidRPr="002532DF">
        <w:rPr>
          <w:sz w:val="25"/>
          <w:szCs w:val="25"/>
        </w:rPr>
        <w:t xml:space="preserve">arties’ agreement on this issue with the </w:t>
      </w:r>
      <w:r w:rsidR="004E3D76">
        <w:rPr>
          <w:sz w:val="25"/>
          <w:szCs w:val="25"/>
        </w:rPr>
        <w:t xml:space="preserve">understanding that this agreement, like all settlement </w:t>
      </w:r>
      <w:r w:rsidR="00183984" w:rsidRPr="002532DF">
        <w:rPr>
          <w:sz w:val="25"/>
          <w:szCs w:val="25"/>
        </w:rPr>
        <w:t>agreement</w:t>
      </w:r>
      <w:r w:rsidR="004E3D76">
        <w:rPr>
          <w:sz w:val="25"/>
          <w:szCs w:val="25"/>
        </w:rPr>
        <w:t>s</w:t>
      </w:r>
      <w:r w:rsidR="00766CCD">
        <w:rPr>
          <w:sz w:val="25"/>
          <w:szCs w:val="25"/>
        </w:rPr>
        <w:t>,</w:t>
      </w:r>
      <w:r w:rsidR="004E3D76">
        <w:rPr>
          <w:sz w:val="25"/>
          <w:szCs w:val="25"/>
        </w:rPr>
        <w:t xml:space="preserve"> may not be used</w:t>
      </w:r>
      <w:r w:rsidR="00183984" w:rsidRPr="002532DF">
        <w:rPr>
          <w:sz w:val="25"/>
          <w:szCs w:val="25"/>
        </w:rPr>
        <w:t xml:space="preserve"> as </w:t>
      </w:r>
      <w:r w:rsidR="004E3D76">
        <w:rPr>
          <w:sz w:val="25"/>
          <w:szCs w:val="25"/>
        </w:rPr>
        <w:t xml:space="preserve">a </w:t>
      </w:r>
      <w:r w:rsidR="00183984" w:rsidRPr="002532DF">
        <w:rPr>
          <w:sz w:val="25"/>
          <w:szCs w:val="25"/>
        </w:rPr>
        <w:t>precedent in future proceedings.</w:t>
      </w:r>
      <w:r w:rsidR="001441FB" w:rsidRPr="002532DF">
        <w:rPr>
          <w:sz w:val="25"/>
          <w:szCs w:val="25"/>
        </w:rPr>
        <w:t xml:space="preserve"> </w:t>
      </w:r>
    </w:p>
    <w:p w:rsidR="00146B27" w:rsidRPr="002532DF" w:rsidRDefault="00CA3600" w:rsidP="00794A7F">
      <w:pPr>
        <w:pStyle w:val="Heading5"/>
        <w:ind w:left="1440" w:hanging="360"/>
        <w:rPr>
          <w:rFonts w:ascii="Times New Roman" w:hAnsi="Times New Roman"/>
          <w:i w:val="0"/>
          <w:sz w:val="25"/>
          <w:szCs w:val="25"/>
        </w:rPr>
      </w:pPr>
      <w:bookmarkStart w:id="26" w:name="_Toc168986367"/>
      <w:bookmarkStart w:id="27" w:name="_Toc288813732"/>
      <w:r w:rsidRPr="002532DF">
        <w:rPr>
          <w:rFonts w:ascii="Times New Roman" w:hAnsi="Times New Roman"/>
          <w:i w:val="0"/>
          <w:sz w:val="25"/>
          <w:szCs w:val="25"/>
        </w:rPr>
        <w:t>d</w:t>
      </w:r>
      <w:r w:rsidR="002B36A7" w:rsidRPr="002532DF">
        <w:rPr>
          <w:rFonts w:ascii="Times New Roman" w:hAnsi="Times New Roman"/>
          <w:i w:val="0"/>
          <w:sz w:val="25"/>
          <w:szCs w:val="25"/>
        </w:rPr>
        <w:t>.</w:t>
      </w:r>
      <w:r w:rsidR="002B36A7" w:rsidRPr="002532DF">
        <w:rPr>
          <w:rFonts w:ascii="Times New Roman" w:hAnsi="Times New Roman"/>
          <w:i w:val="0"/>
          <w:sz w:val="25"/>
          <w:szCs w:val="25"/>
        </w:rPr>
        <w:tab/>
        <w:t xml:space="preserve">Wind </w:t>
      </w:r>
      <w:r w:rsidR="002B70FC" w:rsidRPr="002532DF">
        <w:rPr>
          <w:rFonts w:ascii="Times New Roman" w:hAnsi="Times New Roman"/>
          <w:i w:val="0"/>
          <w:sz w:val="25"/>
          <w:szCs w:val="25"/>
        </w:rPr>
        <w:t xml:space="preserve">Inter-hour </w:t>
      </w:r>
      <w:r w:rsidR="002B36A7" w:rsidRPr="002532DF">
        <w:rPr>
          <w:rFonts w:ascii="Times New Roman" w:hAnsi="Times New Roman"/>
          <w:i w:val="0"/>
          <w:sz w:val="25"/>
          <w:szCs w:val="25"/>
        </w:rPr>
        <w:t>Integration Costs</w:t>
      </w:r>
      <w:bookmarkEnd w:id="26"/>
      <w:bookmarkEnd w:id="27"/>
    </w:p>
    <w:p w:rsidR="008A32B4" w:rsidRPr="002532DF" w:rsidRDefault="008A32B4" w:rsidP="00794A7F">
      <w:pPr>
        <w:pStyle w:val="NoSpacing"/>
        <w:ind w:firstLine="720"/>
        <w:rPr>
          <w:sz w:val="25"/>
          <w:szCs w:val="25"/>
        </w:rPr>
      </w:pPr>
    </w:p>
    <w:p w:rsidR="0028077B" w:rsidRPr="002532DF" w:rsidRDefault="005F2005" w:rsidP="00AD0B90">
      <w:pPr>
        <w:numPr>
          <w:ilvl w:val="0"/>
          <w:numId w:val="1"/>
        </w:numPr>
        <w:tabs>
          <w:tab w:val="clear" w:pos="720"/>
          <w:tab w:val="num" w:pos="0"/>
        </w:tabs>
        <w:spacing w:line="276" w:lineRule="auto"/>
        <w:ind w:left="0"/>
        <w:rPr>
          <w:sz w:val="25"/>
          <w:szCs w:val="25"/>
        </w:rPr>
      </w:pPr>
      <w:r>
        <w:rPr>
          <w:sz w:val="25"/>
          <w:szCs w:val="25"/>
        </w:rPr>
        <w:t>W</w:t>
      </w:r>
      <w:r w:rsidR="004E3D76" w:rsidRPr="00E77D4E">
        <w:rPr>
          <w:sz w:val="25"/>
          <w:szCs w:val="25"/>
        </w:rPr>
        <w:t>ind integration costs refer to the costs the Company incurs to manage wind-generated power in conjunction with its other power sources.</w:t>
      </w:r>
      <w:r w:rsidR="005A3F9A" w:rsidRPr="00E77D4E">
        <w:rPr>
          <w:i/>
          <w:sz w:val="25"/>
          <w:szCs w:val="25"/>
        </w:rPr>
        <w:t xml:space="preserve">  </w:t>
      </w:r>
      <w:r w:rsidR="002B36A7" w:rsidRPr="00E77D4E">
        <w:rPr>
          <w:sz w:val="25"/>
          <w:szCs w:val="25"/>
        </w:rPr>
        <w:t>The Company includes two categories of wind integration charges</w:t>
      </w:r>
      <w:r w:rsidR="00C80D0B" w:rsidRPr="00E77D4E">
        <w:rPr>
          <w:sz w:val="25"/>
          <w:szCs w:val="25"/>
        </w:rPr>
        <w:t>:</w:t>
      </w:r>
      <w:r w:rsidR="002B36A7" w:rsidRPr="00E77D4E">
        <w:rPr>
          <w:sz w:val="25"/>
          <w:szCs w:val="25"/>
        </w:rPr>
        <w:t xml:space="preserve"> one for the Company’s wind resource </w:t>
      </w:r>
      <w:r w:rsidR="00E44276" w:rsidRPr="00E77D4E">
        <w:rPr>
          <w:sz w:val="25"/>
          <w:szCs w:val="25"/>
        </w:rPr>
        <w:t>located i</w:t>
      </w:r>
      <w:r w:rsidR="002B36A7" w:rsidRPr="00E77D4E">
        <w:rPr>
          <w:sz w:val="25"/>
          <w:szCs w:val="25"/>
        </w:rPr>
        <w:t>n</w:t>
      </w:r>
      <w:r w:rsidR="00E44276" w:rsidRPr="00E77D4E">
        <w:rPr>
          <w:sz w:val="25"/>
          <w:szCs w:val="25"/>
        </w:rPr>
        <w:t xml:space="preserve"> </w:t>
      </w:r>
      <w:r w:rsidR="002B36A7" w:rsidRPr="00E77D4E">
        <w:rPr>
          <w:sz w:val="25"/>
          <w:szCs w:val="25"/>
        </w:rPr>
        <w:t xml:space="preserve">the Bonneville Power Administration’s (BPA) control area and </w:t>
      </w:r>
      <w:r w:rsidR="00193DD4" w:rsidRPr="00E77D4E">
        <w:rPr>
          <w:sz w:val="25"/>
          <w:szCs w:val="25"/>
        </w:rPr>
        <w:t xml:space="preserve">another </w:t>
      </w:r>
      <w:r w:rsidR="002B36A7" w:rsidRPr="00E77D4E">
        <w:rPr>
          <w:sz w:val="25"/>
          <w:szCs w:val="25"/>
        </w:rPr>
        <w:t>one for the wind resources located in the Company’s West Control Area.</w:t>
      </w:r>
      <w:r w:rsidR="002B36A7" w:rsidRPr="002532DF">
        <w:rPr>
          <w:rStyle w:val="FootnoteReference"/>
          <w:sz w:val="25"/>
          <w:szCs w:val="25"/>
        </w:rPr>
        <w:footnoteReference w:id="161"/>
      </w:r>
      <w:r w:rsidR="00E44276" w:rsidRPr="00E77D4E">
        <w:rPr>
          <w:sz w:val="25"/>
          <w:szCs w:val="25"/>
        </w:rPr>
        <w:t xml:space="preserve">  </w:t>
      </w:r>
      <w:r w:rsidR="004E3D76" w:rsidRPr="00E77D4E">
        <w:rPr>
          <w:sz w:val="25"/>
          <w:szCs w:val="25"/>
        </w:rPr>
        <w:t>Staff and ICNU proposed adjustments to the Company’s inter-hour wind integration charges,</w:t>
      </w:r>
      <w:r w:rsidR="004E3D76">
        <w:rPr>
          <w:rStyle w:val="FootnoteReference"/>
          <w:sz w:val="25"/>
          <w:szCs w:val="25"/>
        </w:rPr>
        <w:footnoteReference w:id="162"/>
      </w:r>
      <w:r w:rsidR="004E3D76" w:rsidRPr="00E77D4E">
        <w:rPr>
          <w:sz w:val="25"/>
          <w:szCs w:val="25"/>
        </w:rPr>
        <w:t xml:space="preserve"> and in its rebuttal testimony, the Company accepted all Staff and ICNU’s inter-hour adjustments except for those that relate to the SCL Stateline exchange contract, reducing operating expense by $220,983. </w:t>
      </w:r>
    </w:p>
    <w:p w:rsidR="0028077B" w:rsidRPr="002532DF" w:rsidRDefault="0028077B" w:rsidP="0028077B">
      <w:pPr>
        <w:spacing w:line="276" w:lineRule="auto"/>
        <w:ind w:left="-720"/>
        <w:rPr>
          <w:sz w:val="25"/>
          <w:szCs w:val="25"/>
        </w:rPr>
      </w:pPr>
    </w:p>
    <w:p w:rsidR="00E44276" w:rsidRPr="002532DF" w:rsidRDefault="00D17347" w:rsidP="00AD0B90">
      <w:pPr>
        <w:numPr>
          <w:ilvl w:val="0"/>
          <w:numId w:val="1"/>
        </w:numPr>
        <w:tabs>
          <w:tab w:val="clear" w:pos="720"/>
          <w:tab w:val="num" w:pos="0"/>
        </w:tabs>
        <w:spacing w:line="276" w:lineRule="auto"/>
        <w:ind w:left="0"/>
        <w:rPr>
          <w:sz w:val="25"/>
          <w:szCs w:val="25"/>
        </w:rPr>
      </w:pPr>
      <w:r w:rsidRPr="002532DF">
        <w:rPr>
          <w:i/>
          <w:sz w:val="25"/>
          <w:szCs w:val="25"/>
        </w:rPr>
        <w:t>Commission Decision.</w:t>
      </w:r>
      <w:r w:rsidR="008E6B28">
        <w:rPr>
          <w:i/>
          <w:sz w:val="25"/>
          <w:szCs w:val="25"/>
        </w:rPr>
        <w:t xml:space="preserve"> </w:t>
      </w:r>
      <w:r w:rsidRPr="002532DF">
        <w:rPr>
          <w:i/>
          <w:sz w:val="25"/>
          <w:szCs w:val="25"/>
        </w:rPr>
        <w:t xml:space="preserve"> </w:t>
      </w:r>
      <w:r w:rsidR="0028077B" w:rsidRPr="002532DF">
        <w:rPr>
          <w:sz w:val="25"/>
          <w:szCs w:val="25"/>
        </w:rPr>
        <w:t>The Company’s acceptance of all inter-hour wind integration adjustments</w:t>
      </w:r>
      <w:r w:rsidR="00537880" w:rsidRPr="002532DF">
        <w:rPr>
          <w:sz w:val="25"/>
          <w:szCs w:val="25"/>
        </w:rPr>
        <w:t>,</w:t>
      </w:r>
      <w:r w:rsidR="0028077B" w:rsidRPr="002532DF">
        <w:rPr>
          <w:sz w:val="25"/>
          <w:szCs w:val="25"/>
        </w:rPr>
        <w:t xml:space="preserve"> save the one associated with the SCL Stateline contract</w:t>
      </w:r>
      <w:r w:rsidR="00537880" w:rsidRPr="002532DF">
        <w:rPr>
          <w:sz w:val="25"/>
          <w:szCs w:val="25"/>
        </w:rPr>
        <w:t>,</w:t>
      </w:r>
      <w:r w:rsidR="0028077B" w:rsidRPr="002532DF">
        <w:rPr>
          <w:sz w:val="25"/>
          <w:szCs w:val="25"/>
        </w:rPr>
        <w:t xml:space="preserve"> removes the majority of these costs from dispute.  The inter-hour wind integration costs associated with the SCL Stateline Contract were resolved</w:t>
      </w:r>
      <w:r w:rsidR="00625CF7" w:rsidRPr="002532DF">
        <w:rPr>
          <w:sz w:val="25"/>
          <w:szCs w:val="25"/>
        </w:rPr>
        <w:t xml:space="preserve"> according to the terms express</w:t>
      </w:r>
      <w:r w:rsidR="00481777" w:rsidRPr="002532DF">
        <w:rPr>
          <w:sz w:val="25"/>
          <w:szCs w:val="25"/>
        </w:rPr>
        <w:t>ed</w:t>
      </w:r>
      <w:r w:rsidR="00625CF7" w:rsidRPr="002532DF">
        <w:rPr>
          <w:sz w:val="25"/>
          <w:szCs w:val="25"/>
        </w:rPr>
        <w:t xml:space="preserve"> in Section </w:t>
      </w:r>
      <w:r w:rsidR="00537880" w:rsidRPr="002532DF">
        <w:rPr>
          <w:sz w:val="25"/>
          <w:szCs w:val="25"/>
        </w:rPr>
        <w:t>II.C.1.</w:t>
      </w:r>
      <w:r w:rsidR="00625CF7" w:rsidRPr="002532DF">
        <w:rPr>
          <w:sz w:val="25"/>
          <w:szCs w:val="25"/>
        </w:rPr>
        <w:t>c above.</w:t>
      </w:r>
      <w:r w:rsidR="002B70FC" w:rsidRPr="002532DF">
        <w:rPr>
          <w:rStyle w:val="FootnoteReference"/>
          <w:sz w:val="25"/>
          <w:szCs w:val="25"/>
        </w:rPr>
        <w:footnoteReference w:id="163"/>
      </w:r>
      <w:r w:rsidR="0028077B" w:rsidRPr="002532DF">
        <w:rPr>
          <w:sz w:val="25"/>
          <w:szCs w:val="25"/>
        </w:rPr>
        <w:t xml:space="preserve">  </w:t>
      </w:r>
      <w:r w:rsidR="004E3D76">
        <w:rPr>
          <w:sz w:val="25"/>
          <w:szCs w:val="25"/>
        </w:rPr>
        <w:t>We accept the parties’ agreement on this issue, again with the understanding that this agreement may not be used as a precedent in future proceedings.</w:t>
      </w:r>
    </w:p>
    <w:p w:rsidR="005F49D9" w:rsidRPr="002532DF" w:rsidRDefault="00CA3600" w:rsidP="00794A7F">
      <w:pPr>
        <w:pStyle w:val="Heading5"/>
        <w:ind w:left="1440" w:hanging="360"/>
        <w:rPr>
          <w:rFonts w:ascii="Times New Roman" w:hAnsi="Times New Roman"/>
          <w:i w:val="0"/>
          <w:sz w:val="25"/>
          <w:szCs w:val="25"/>
        </w:rPr>
      </w:pPr>
      <w:bookmarkStart w:id="28" w:name="_Toc288813733"/>
      <w:r w:rsidRPr="002532DF">
        <w:rPr>
          <w:rFonts w:ascii="Times New Roman" w:hAnsi="Times New Roman"/>
          <w:i w:val="0"/>
          <w:sz w:val="25"/>
          <w:szCs w:val="25"/>
        </w:rPr>
        <w:t>e</w:t>
      </w:r>
      <w:r w:rsidR="005F49D9" w:rsidRPr="002532DF">
        <w:rPr>
          <w:rFonts w:ascii="Times New Roman" w:hAnsi="Times New Roman"/>
          <w:i w:val="0"/>
          <w:sz w:val="25"/>
          <w:szCs w:val="25"/>
        </w:rPr>
        <w:t>.</w:t>
      </w:r>
      <w:r w:rsidR="005320B8" w:rsidRPr="002532DF">
        <w:rPr>
          <w:rFonts w:ascii="Times New Roman" w:hAnsi="Times New Roman"/>
          <w:i w:val="0"/>
          <w:sz w:val="25"/>
          <w:szCs w:val="25"/>
        </w:rPr>
        <w:tab/>
      </w:r>
      <w:r w:rsidR="002B36A7" w:rsidRPr="002532DF">
        <w:rPr>
          <w:rFonts w:ascii="Times New Roman" w:hAnsi="Times New Roman"/>
          <w:i w:val="0"/>
          <w:sz w:val="25"/>
          <w:szCs w:val="25"/>
        </w:rPr>
        <w:t>Wind Intra-Hour Integration Cost</w:t>
      </w:r>
      <w:bookmarkEnd w:id="28"/>
    </w:p>
    <w:p w:rsidR="005F49D9" w:rsidRPr="002532DF" w:rsidRDefault="005F49D9" w:rsidP="00817E21">
      <w:pPr>
        <w:spacing w:line="276" w:lineRule="auto"/>
        <w:ind w:left="1080"/>
        <w:rPr>
          <w:sz w:val="25"/>
          <w:szCs w:val="25"/>
        </w:rPr>
      </w:pPr>
    </w:p>
    <w:p w:rsidR="00FB5792" w:rsidRPr="002532DF" w:rsidRDefault="008E74B6" w:rsidP="00AD0B90">
      <w:pPr>
        <w:numPr>
          <w:ilvl w:val="0"/>
          <w:numId w:val="1"/>
        </w:numPr>
        <w:tabs>
          <w:tab w:val="clear" w:pos="720"/>
          <w:tab w:val="num" w:pos="0"/>
        </w:tabs>
        <w:spacing w:line="276" w:lineRule="auto"/>
        <w:ind w:left="0"/>
        <w:rPr>
          <w:sz w:val="25"/>
          <w:szCs w:val="25"/>
        </w:rPr>
      </w:pPr>
      <w:r w:rsidRPr="002532DF">
        <w:rPr>
          <w:i/>
          <w:sz w:val="25"/>
          <w:szCs w:val="25"/>
        </w:rPr>
        <w:t xml:space="preserve">Positions of the Parties.  </w:t>
      </w:r>
      <w:r w:rsidR="00556409" w:rsidRPr="002532DF">
        <w:rPr>
          <w:sz w:val="25"/>
          <w:szCs w:val="25"/>
        </w:rPr>
        <w:t>The Company</w:t>
      </w:r>
      <w:r w:rsidR="00E518FA" w:rsidRPr="002532DF">
        <w:rPr>
          <w:sz w:val="25"/>
          <w:szCs w:val="25"/>
        </w:rPr>
        <w:t xml:space="preserve"> </w:t>
      </w:r>
      <w:r w:rsidR="00B665E9" w:rsidRPr="002532DF">
        <w:rPr>
          <w:sz w:val="25"/>
          <w:szCs w:val="25"/>
        </w:rPr>
        <w:t xml:space="preserve">also </w:t>
      </w:r>
      <w:r w:rsidR="00E518FA" w:rsidRPr="002532DF">
        <w:rPr>
          <w:sz w:val="25"/>
          <w:szCs w:val="25"/>
        </w:rPr>
        <w:t xml:space="preserve">includes </w:t>
      </w:r>
      <w:r w:rsidR="00B665E9" w:rsidRPr="002532DF">
        <w:rPr>
          <w:sz w:val="25"/>
          <w:szCs w:val="25"/>
        </w:rPr>
        <w:t xml:space="preserve">intra-hour </w:t>
      </w:r>
      <w:r w:rsidR="00E518FA" w:rsidRPr="002532DF">
        <w:rPr>
          <w:sz w:val="25"/>
          <w:szCs w:val="25"/>
        </w:rPr>
        <w:t xml:space="preserve">wind integration costs in its NPC </w:t>
      </w:r>
      <w:r w:rsidR="00537880" w:rsidRPr="002532DF">
        <w:rPr>
          <w:sz w:val="25"/>
          <w:szCs w:val="25"/>
        </w:rPr>
        <w:t>calculation.  However,</w:t>
      </w:r>
      <w:r w:rsidR="00B665E9" w:rsidRPr="002532DF">
        <w:rPr>
          <w:sz w:val="25"/>
          <w:szCs w:val="25"/>
        </w:rPr>
        <w:t xml:space="preserve"> rather than determining t</w:t>
      </w:r>
      <w:r w:rsidR="00E518FA" w:rsidRPr="002532DF">
        <w:rPr>
          <w:sz w:val="25"/>
          <w:szCs w:val="25"/>
        </w:rPr>
        <w:t xml:space="preserve">hese costs </w:t>
      </w:r>
      <w:r w:rsidR="00B665E9" w:rsidRPr="002532DF">
        <w:rPr>
          <w:sz w:val="25"/>
          <w:szCs w:val="25"/>
        </w:rPr>
        <w:t>through its</w:t>
      </w:r>
      <w:r w:rsidR="00E518FA" w:rsidRPr="002532DF">
        <w:rPr>
          <w:sz w:val="25"/>
          <w:szCs w:val="25"/>
        </w:rPr>
        <w:t xml:space="preserve"> GRID</w:t>
      </w:r>
      <w:r w:rsidR="00B665E9" w:rsidRPr="002532DF">
        <w:rPr>
          <w:sz w:val="25"/>
          <w:szCs w:val="25"/>
        </w:rPr>
        <w:t xml:space="preserve"> model</w:t>
      </w:r>
      <w:r w:rsidR="00E518FA" w:rsidRPr="002532DF">
        <w:rPr>
          <w:sz w:val="25"/>
          <w:szCs w:val="25"/>
        </w:rPr>
        <w:t xml:space="preserve">, </w:t>
      </w:r>
      <w:r w:rsidR="004E3D76">
        <w:rPr>
          <w:sz w:val="25"/>
          <w:szCs w:val="25"/>
        </w:rPr>
        <w:t>PacifiCorp</w:t>
      </w:r>
      <w:r w:rsidR="00B665E9" w:rsidRPr="002532DF">
        <w:rPr>
          <w:sz w:val="25"/>
          <w:szCs w:val="25"/>
        </w:rPr>
        <w:t xml:space="preserve"> uses </w:t>
      </w:r>
      <w:r w:rsidR="00E518FA" w:rsidRPr="002532DF">
        <w:rPr>
          <w:sz w:val="25"/>
          <w:szCs w:val="25"/>
        </w:rPr>
        <w:t>separate wind integration studies</w:t>
      </w:r>
      <w:r w:rsidR="00FA031D" w:rsidRPr="002532DF">
        <w:rPr>
          <w:sz w:val="25"/>
          <w:szCs w:val="25"/>
        </w:rPr>
        <w:t xml:space="preserve"> based on the Company’s 2008 Integrated Resource Plan</w:t>
      </w:r>
      <w:r w:rsidR="00E518FA" w:rsidRPr="002532DF">
        <w:rPr>
          <w:sz w:val="25"/>
          <w:szCs w:val="25"/>
        </w:rPr>
        <w:t>.</w:t>
      </w:r>
      <w:r w:rsidR="009B485A" w:rsidRPr="002532DF">
        <w:rPr>
          <w:rStyle w:val="FootnoteReference"/>
          <w:sz w:val="25"/>
          <w:szCs w:val="25"/>
        </w:rPr>
        <w:footnoteReference w:id="164"/>
      </w:r>
      <w:r w:rsidR="00FA031D" w:rsidRPr="002532DF">
        <w:rPr>
          <w:sz w:val="25"/>
          <w:szCs w:val="25"/>
        </w:rPr>
        <w:t xml:space="preserve">  </w:t>
      </w:r>
      <w:r w:rsidR="005617DC" w:rsidRPr="002532DF">
        <w:rPr>
          <w:sz w:val="25"/>
          <w:szCs w:val="25"/>
        </w:rPr>
        <w:t xml:space="preserve">Since the last rate case, </w:t>
      </w:r>
      <w:r w:rsidR="00B665E9" w:rsidRPr="002532DF">
        <w:rPr>
          <w:sz w:val="25"/>
          <w:szCs w:val="25"/>
        </w:rPr>
        <w:t>the Company asserts its</w:t>
      </w:r>
      <w:r w:rsidR="00FA031D" w:rsidRPr="002532DF">
        <w:rPr>
          <w:sz w:val="25"/>
          <w:szCs w:val="25"/>
        </w:rPr>
        <w:t xml:space="preserve"> costs for wind integration increased from $1.15 per megawatt hour (MWh) to $6.97 per MWh.</w:t>
      </w:r>
      <w:r w:rsidR="00FA031D" w:rsidRPr="002532DF">
        <w:rPr>
          <w:rStyle w:val="FootnoteReference"/>
          <w:sz w:val="25"/>
          <w:szCs w:val="25"/>
        </w:rPr>
        <w:footnoteReference w:id="165"/>
      </w:r>
    </w:p>
    <w:p w:rsidR="00E518FA" w:rsidRPr="002532DF" w:rsidRDefault="00E518FA" w:rsidP="00E518FA">
      <w:pPr>
        <w:spacing w:line="276" w:lineRule="auto"/>
        <w:ind w:left="-720"/>
        <w:rPr>
          <w:sz w:val="25"/>
          <w:szCs w:val="25"/>
        </w:rPr>
      </w:pPr>
    </w:p>
    <w:p w:rsidR="00336DC3" w:rsidRPr="002532DF" w:rsidRDefault="00E518FA">
      <w:pPr>
        <w:numPr>
          <w:ilvl w:val="0"/>
          <w:numId w:val="1"/>
        </w:numPr>
        <w:tabs>
          <w:tab w:val="clear" w:pos="720"/>
          <w:tab w:val="num" w:pos="0"/>
        </w:tabs>
        <w:spacing w:line="276" w:lineRule="auto"/>
        <w:ind w:left="0"/>
        <w:rPr>
          <w:sz w:val="25"/>
          <w:szCs w:val="25"/>
        </w:rPr>
      </w:pPr>
      <w:r w:rsidRPr="002532DF">
        <w:rPr>
          <w:sz w:val="25"/>
          <w:szCs w:val="25"/>
        </w:rPr>
        <w:t xml:space="preserve">Staff </w:t>
      </w:r>
      <w:r w:rsidR="00F8003E" w:rsidRPr="002532DF">
        <w:rPr>
          <w:sz w:val="25"/>
          <w:szCs w:val="25"/>
        </w:rPr>
        <w:t xml:space="preserve">states </w:t>
      </w:r>
      <w:r w:rsidRPr="002532DF">
        <w:rPr>
          <w:sz w:val="25"/>
          <w:szCs w:val="25"/>
        </w:rPr>
        <w:t xml:space="preserve">that the Commission </w:t>
      </w:r>
      <w:r w:rsidR="004E3D76">
        <w:rPr>
          <w:sz w:val="25"/>
          <w:szCs w:val="25"/>
        </w:rPr>
        <w:t>should</w:t>
      </w:r>
      <w:r w:rsidRPr="002532DF">
        <w:rPr>
          <w:sz w:val="25"/>
          <w:szCs w:val="25"/>
        </w:rPr>
        <w:t xml:space="preserve"> remove </w:t>
      </w:r>
      <w:r w:rsidR="00915B26" w:rsidRPr="002532DF">
        <w:rPr>
          <w:sz w:val="25"/>
          <w:szCs w:val="25"/>
        </w:rPr>
        <w:t xml:space="preserve">all </w:t>
      </w:r>
      <w:r w:rsidRPr="002532DF">
        <w:rPr>
          <w:sz w:val="25"/>
          <w:szCs w:val="25"/>
        </w:rPr>
        <w:t>wind integration costs because the Company’s wind integration costs fail to pass the known and measurable standard</w:t>
      </w:r>
      <w:r w:rsidR="00F8003E" w:rsidRPr="002532DF">
        <w:rPr>
          <w:sz w:val="25"/>
          <w:szCs w:val="25"/>
        </w:rPr>
        <w:t xml:space="preserve"> and the facilities do not provide power to PacifiCorp</w:t>
      </w:r>
      <w:r w:rsidRPr="002532DF">
        <w:rPr>
          <w:sz w:val="25"/>
          <w:szCs w:val="25"/>
        </w:rPr>
        <w:t>.</w:t>
      </w:r>
      <w:r w:rsidRPr="002532DF">
        <w:rPr>
          <w:rStyle w:val="FootnoteReference"/>
          <w:sz w:val="25"/>
          <w:szCs w:val="25"/>
        </w:rPr>
        <w:footnoteReference w:id="166"/>
      </w:r>
      <w:r w:rsidRPr="002532DF">
        <w:rPr>
          <w:sz w:val="25"/>
          <w:szCs w:val="25"/>
        </w:rPr>
        <w:t xml:space="preserve">  </w:t>
      </w:r>
      <w:r w:rsidR="00B665E9" w:rsidRPr="002532DF">
        <w:rPr>
          <w:sz w:val="25"/>
          <w:szCs w:val="25"/>
        </w:rPr>
        <w:t>B</w:t>
      </w:r>
      <w:r w:rsidRPr="002532DF">
        <w:rPr>
          <w:sz w:val="25"/>
          <w:szCs w:val="25"/>
        </w:rPr>
        <w:t>ase</w:t>
      </w:r>
      <w:r w:rsidR="00B665E9" w:rsidRPr="002532DF">
        <w:rPr>
          <w:sz w:val="25"/>
          <w:szCs w:val="25"/>
        </w:rPr>
        <w:t>d on its review of four non-Company owned facilities,</w:t>
      </w:r>
      <w:r w:rsidR="00B665E9" w:rsidRPr="002532DF">
        <w:rPr>
          <w:rStyle w:val="FootnoteReference"/>
          <w:sz w:val="25"/>
          <w:szCs w:val="25"/>
        </w:rPr>
        <w:footnoteReference w:id="167"/>
      </w:r>
      <w:r w:rsidRPr="002532DF">
        <w:rPr>
          <w:sz w:val="25"/>
          <w:szCs w:val="25"/>
        </w:rPr>
        <w:t xml:space="preserve"> </w:t>
      </w:r>
      <w:r w:rsidR="006021D8" w:rsidRPr="002532DF">
        <w:rPr>
          <w:sz w:val="25"/>
          <w:szCs w:val="25"/>
        </w:rPr>
        <w:t xml:space="preserve">Staff recommends removing all intra-hour wind integration costs </w:t>
      </w:r>
      <w:r w:rsidR="00F8003E" w:rsidRPr="002532DF">
        <w:rPr>
          <w:sz w:val="25"/>
          <w:szCs w:val="25"/>
        </w:rPr>
        <w:t xml:space="preserve">for these facilities </w:t>
      </w:r>
      <w:r w:rsidR="006021D8" w:rsidRPr="002532DF">
        <w:rPr>
          <w:sz w:val="25"/>
          <w:szCs w:val="25"/>
        </w:rPr>
        <w:t>from NPC.</w:t>
      </w:r>
      <w:r w:rsidR="006021D8" w:rsidRPr="002532DF" w:rsidDel="006021D8">
        <w:rPr>
          <w:sz w:val="25"/>
          <w:szCs w:val="25"/>
        </w:rPr>
        <w:t xml:space="preserve"> </w:t>
      </w:r>
    </w:p>
    <w:p w:rsidR="0079500C" w:rsidRPr="002532DF" w:rsidRDefault="0079500C" w:rsidP="0079500C">
      <w:pPr>
        <w:spacing w:line="276" w:lineRule="auto"/>
        <w:ind w:left="-720"/>
        <w:rPr>
          <w:sz w:val="25"/>
          <w:szCs w:val="25"/>
        </w:rPr>
      </w:pPr>
    </w:p>
    <w:p w:rsidR="00C62D1E" w:rsidRPr="002532DF" w:rsidRDefault="00730EE7" w:rsidP="00817E21">
      <w:pPr>
        <w:numPr>
          <w:ilvl w:val="0"/>
          <w:numId w:val="1"/>
        </w:numPr>
        <w:tabs>
          <w:tab w:val="clear" w:pos="720"/>
          <w:tab w:val="num" w:pos="0"/>
        </w:tabs>
        <w:spacing w:line="276" w:lineRule="auto"/>
        <w:ind w:left="0"/>
        <w:rPr>
          <w:sz w:val="25"/>
          <w:szCs w:val="25"/>
        </w:rPr>
      </w:pPr>
      <w:r w:rsidRPr="002532DF">
        <w:rPr>
          <w:sz w:val="25"/>
          <w:szCs w:val="25"/>
        </w:rPr>
        <w:t>Staff questions the reliability of the</w:t>
      </w:r>
      <w:r w:rsidR="005617DC" w:rsidRPr="002532DF">
        <w:rPr>
          <w:sz w:val="25"/>
          <w:szCs w:val="25"/>
        </w:rPr>
        <w:t xml:space="preserve"> Company’s </w:t>
      </w:r>
      <w:r w:rsidR="00020CDC" w:rsidRPr="002532DF">
        <w:rPr>
          <w:sz w:val="25"/>
          <w:szCs w:val="25"/>
        </w:rPr>
        <w:t xml:space="preserve">data showing </w:t>
      </w:r>
      <w:r w:rsidR="000B63AD" w:rsidRPr="002532DF">
        <w:rPr>
          <w:sz w:val="25"/>
          <w:szCs w:val="25"/>
        </w:rPr>
        <w:t>the cost increase</w:t>
      </w:r>
      <w:r w:rsidR="00020CDC" w:rsidRPr="002532DF">
        <w:rPr>
          <w:sz w:val="25"/>
          <w:szCs w:val="25"/>
        </w:rPr>
        <w:t xml:space="preserve"> since the last rate case.</w:t>
      </w:r>
      <w:r w:rsidR="00C27864" w:rsidRPr="002532DF">
        <w:rPr>
          <w:rStyle w:val="FootnoteReference"/>
          <w:sz w:val="25"/>
          <w:szCs w:val="25"/>
        </w:rPr>
        <w:footnoteReference w:id="168"/>
      </w:r>
      <w:r w:rsidR="00020CDC" w:rsidRPr="002532DF">
        <w:rPr>
          <w:sz w:val="25"/>
          <w:szCs w:val="25"/>
        </w:rPr>
        <w:t xml:space="preserve">  The</w:t>
      </w:r>
      <w:r w:rsidRPr="002532DF">
        <w:rPr>
          <w:sz w:val="25"/>
          <w:szCs w:val="25"/>
        </w:rPr>
        <w:t xml:space="preserve"> study updating these </w:t>
      </w:r>
      <w:r w:rsidR="00020CDC" w:rsidRPr="002532DF">
        <w:rPr>
          <w:sz w:val="25"/>
          <w:szCs w:val="25"/>
        </w:rPr>
        <w:t>costs, though</w:t>
      </w:r>
      <w:r w:rsidRPr="002532DF">
        <w:rPr>
          <w:sz w:val="25"/>
          <w:szCs w:val="25"/>
        </w:rPr>
        <w:t xml:space="preserve"> anticipated in August 2010</w:t>
      </w:r>
      <w:r w:rsidR="00020CDC" w:rsidRPr="002532DF">
        <w:rPr>
          <w:sz w:val="25"/>
          <w:szCs w:val="25"/>
        </w:rPr>
        <w:t>,</w:t>
      </w:r>
      <w:r w:rsidRPr="002532DF">
        <w:rPr>
          <w:sz w:val="25"/>
          <w:szCs w:val="25"/>
        </w:rPr>
        <w:t xml:space="preserve"> was not completed until September 2010</w:t>
      </w:r>
      <w:r w:rsidR="007D4124" w:rsidRPr="002532DF">
        <w:rPr>
          <w:sz w:val="25"/>
          <w:szCs w:val="25"/>
        </w:rPr>
        <w:t>.  Should the</w:t>
      </w:r>
      <w:r w:rsidR="00F8003E" w:rsidRPr="002532DF">
        <w:rPr>
          <w:sz w:val="25"/>
          <w:szCs w:val="25"/>
        </w:rPr>
        <w:t>s</w:t>
      </w:r>
      <w:r w:rsidR="007D4124" w:rsidRPr="002532DF">
        <w:rPr>
          <w:sz w:val="25"/>
          <w:szCs w:val="25"/>
        </w:rPr>
        <w:t>e costs be updated now,</w:t>
      </w:r>
      <w:r w:rsidRPr="002532DF">
        <w:rPr>
          <w:sz w:val="25"/>
          <w:szCs w:val="25"/>
        </w:rPr>
        <w:t xml:space="preserve"> the Company claims that they </w:t>
      </w:r>
      <w:r w:rsidR="007D4124" w:rsidRPr="002532DF">
        <w:rPr>
          <w:sz w:val="25"/>
          <w:szCs w:val="25"/>
        </w:rPr>
        <w:t>w</w:t>
      </w:r>
      <w:r w:rsidRPr="002532DF">
        <w:rPr>
          <w:sz w:val="25"/>
          <w:szCs w:val="25"/>
        </w:rPr>
        <w:t>ould be even higher, $9.01 MWh.</w:t>
      </w:r>
      <w:r w:rsidRPr="002532DF">
        <w:rPr>
          <w:rStyle w:val="FootnoteReference"/>
          <w:sz w:val="25"/>
          <w:szCs w:val="25"/>
        </w:rPr>
        <w:footnoteReference w:id="169"/>
      </w:r>
      <w:r w:rsidRPr="002532DF">
        <w:rPr>
          <w:sz w:val="25"/>
          <w:szCs w:val="25"/>
        </w:rPr>
        <w:t xml:space="preserve">  </w:t>
      </w:r>
      <w:r w:rsidR="00915B26" w:rsidRPr="002532DF">
        <w:rPr>
          <w:sz w:val="25"/>
          <w:szCs w:val="25"/>
        </w:rPr>
        <w:t xml:space="preserve">Staff states that it has not had the opportunity to review or analyze the updated study because it was filed late and shortly before Staff’s testimony </w:t>
      </w:r>
      <w:r w:rsidR="00850A5C" w:rsidRPr="002532DF">
        <w:rPr>
          <w:sz w:val="25"/>
          <w:szCs w:val="25"/>
        </w:rPr>
        <w:t xml:space="preserve">was due </w:t>
      </w:r>
      <w:r w:rsidR="00915B26" w:rsidRPr="002532DF">
        <w:rPr>
          <w:sz w:val="25"/>
          <w:szCs w:val="25"/>
        </w:rPr>
        <w:t>in this case.</w:t>
      </w:r>
      <w:r w:rsidR="00F8003E" w:rsidRPr="002532DF">
        <w:rPr>
          <w:sz w:val="25"/>
          <w:szCs w:val="25"/>
        </w:rPr>
        <w:t xml:space="preserve"> </w:t>
      </w:r>
      <w:r w:rsidR="007D4124" w:rsidRPr="002532DF">
        <w:rPr>
          <w:sz w:val="25"/>
          <w:szCs w:val="25"/>
        </w:rPr>
        <w:t xml:space="preserve">Because of its </w:t>
      </w:r>
      <w:r w:rsidRPr="002532DF">
        <w:rPr>
          <w:sz w:val="25"/>
          <w:szCs w:val="25"/>
        </w:rPr>
        <w:t xml:space="preserve">complexity </w:t>
      </w:r>
      <w:r w:rsidR="007D4124" w:rsidRPr="002532DF">
        <w:rPr>
          <w:sz w:val="25"/>
          <w:szCs w:val="25"/>
        </w:rPr>
        <w:t xml:space="preserve">and numerous revisions, </w:t>
      </w:r>
      <w:r w:rsidR="00D63FD5" w:rsidRPr="002532DF">
        <w:rPr>
          <w:sz w:val="25"/>
          <w:szCs w:val="25"/>
        </w:rPr>
        <w:t>Staff</w:t>
      </w:r>
      <w:r w:rsidR="007D4124" w:rsidRPr="002532DF">
        <w:rPr>
          <w:sz w:val="25"/>
          <w:szCs w:val="25"/>
        </w:rPr>
        <w:t xml:space="preserve"> concludes that the study does not produce integration costs that meet the Commission’s known and measurable standard.</w:t>
      </w:r>
      <w:r w:rsidR="00020CA7" w:rsidRPr="002532DF">
        <w:rPr>
          <w:sz w:val="25"/>
          <w:szCs w:val="25"/>
        </w:rPr>
        <w:t xml:space="preserve"> </w:t>
      </w:r>
      <w:r w:rsidR="00C27864" w:rsidRPr="002532DF">
        <w:rPr>
          <w:sz w:val="25"/>
          <w:szCs w:val="25"/>
        </w:rPr>
        <w:t xml:space="preserve"> </w:t>
      </w:r>
      <w:r w:rsidR="00BD2EE3" w:rsidRPr="002532DF">
        <w:rPr>
          <w:sz w:val="25"/>
          <w:szCs w:val="25"/>
        </w:rPr>
        <w:t xml:space="preserve">Staff proposes removal of </w:t>
      </w:r>
      <w:r w:rsidRPr="002532DF">
        <w:rPr>
          <w:sz w:val="25"/>
          <w:szCs w:val="25"/>
        </w:rPr>
        <w:t xml:space="preserve">wind integration costs </w:t>
      </w:r>
      <w:r w:rsidR="00BD2EE3" w:rsidRPr="002532DF">
        <w:rPr>
          <w:sz w:val="25"/>
          <w:szCs w:val="25"/>
        </w:rPr>
        <w:t xml:space="preserve">for </w:t>
      </w:r>
      <w:r w:rsidR="00CB34D5" w:rsidRPr="002532DF">
        <w:rPr>
          <w:sz w:val="25"/>
          <w:szCs w:val="25"/>
        </w:rPr>
        <w:t xml:space="preserve">plants from </w:t>
      </w:r>
      <w:r w:rsidR="00BD2EE3" w:rsidRPr="002532DF">
        <w:rPr>
          <w:sz w:val="25"/>
          <w:szCs w:val="25"/>
        </w:rPr>
        <w:t xml:space="preserve">which Washington ratepayers receive no power and which, it alleges, are not known and measurable. </w:t>
      </w:r>
    </w:p>
    <w:p w:rsidR="00BD2EE3" w:rsidRPr="002532DF" w:rsidRDefault="00BD2EE3" w:rsidP="00BD2EE3">
      <w:pPr>
        <w:spacing w:line="276" w:lineRule="auto"/>
        <w:ind w:left="-720"/>
        <w:rPr>
          <w:sz w:val="25"/>
          <w:szCs w:val="25"/>
        </w:rPr>
      </w:pPr>
    </w:p>
    <w:p w:rsidR="00E23FBE" w:rsidRDefault="00723E37" w:rsidP="00EC1E0E">
      <w:pPr>
        <w:numPr>
          <w:ilvl w:val="0"/>
          <w:numId w:val="1"/>
        </w:numPr>
        <w:tabs>
          <w:tab w:val="clear" w:pos="720"/>
          <w:tab w:val="num" w:pos="0"/>
        </w:tabs>
        <w:spacing w:line="276" w:lineRule="auto"/>
        <w:ind w:left="0"/>
        <w:rPr>
          <w:sz w:val="25"/>
          <w:szCs w:val="25"/>
        </w:rPr>
      </w:pPr>
      <w:r w:rsidRPr="002532DF">
        <w:rPr>
          <w:sz w:val="25"/>
          <w:szCs w:val="25"/>
        </w:rPr>
        <w:t xml:space="preserve">ICNU also supports removing PacifiCorp’s intra-hour wind integration costs for non-SCL wind farm costs, Oregon QFs, Campbell wind farm, as well as for the SCL Stateline contract the parties reached a compromise on.  ICNU opposes </w:t>
      </w:r>
      <w:r w:rsidR="00C27864" w:rsidRPr="002532DF">
        <w:rPr>
          <w:sz w:val="25"/>
          <w:szCs w:val="25"/>
        </w:rPr>
        <w:t>non-SCL wind farm costs and Campbell wind farm costs</w:t>
      </w:r>
      <w:r w:rsidRPr="002532DF">
        <w:rPr>
          <w:sz w:val="25"/>
          <w:szCs w:val="25"/>
        </w:rPr>
        <w:t xml:space="preserve"> because the Company’s </w:t>
      </w:r>
      <w:r w:rsidR="009F350B" w:rsidRPr="002532DF">
        <w:rPr>
          <w:sz w:val="25"/>
          <w:szCs w:val="25"/>
        </w:rPr>
        <w:t xml:space="preserve">Open Access Transmission Tariff </w:t>
      </w:r>
      <w:r w:rsidR="009F350B">
        <w:rPr>
          <w:sz w:val="25"/>
          <w:szCs w:val="25"/>
        </w:rPr>
        <w:t>(</w:t>
      </w:r>
      <w:r w:rsidRPr="002532DF">
        <w:rPr>
          <w:sz w:val="25"/>
          <w:szCs w:val="25"/>
        </w:rPr>
        <w:t>OATT</w:t>
      </w:r>
      <w:r w:rsidR="009F350B">
        <w:rPr>
          <w:sz w:val="25"/>
          <w:szCs w:val="25"/>
        </w:rPr>
        <w:t>)</w:t>
      </w:r>
      <w:r w:rsidRPr="002532DF">
        <w:rPr>
          <w:sz w:val="25"/>
          <w:szCs w:val="25"/>
        </w:rPr>
        <w:t xml:space="preserve"> doesn’t have a provision for charging the wind customer for wind integration services.</w:t>
      </w:r>
      <w:r w:rsidR="00C27864" w:rsidRPr="002532DF">
        <w:rPr>
          <w:rStyle w:val="FootnoteReference"/>
          <w:sz w:val="25"/>
          <w:szCs w:val="25"/>
        </w:rPr>
        <w:footnoteReference w:id="170"/>
      </w:r>
      <w:r w:rsidRPr="002532DF">
        <w:rPr>
          <w:sz w:val="25"/>
          <w:szCs w:val="25"/>
        </w:rPr>
        <w:t xml:space="preserve">  ICNU also states that generation and costs for QFs are under the WCA and are assigned to each WCA state.</w:t>
      </w:r>
      <w:r w:rsidR="00020CA7" w:rsidRPr="002532DF" w:rsidDel="00020CA7">
        <w:rPr>
          <w:rStyle w:val="FootnoteReference"/>
          <w:sz w:val="25"/>
          <w:szCs w:val="25"/>
        </w:rPr>
        <w:t xml:space="preserve"> </w:t>
      </w:r>
    </w:p>
    <w:p w:rsidR="004E3D76" w:rsidRPr="002532DF" w:rsidRDefault="004E3D76">
      <w:pPr>
        <w:pStyle w:val="ListParagraph"/>
        <w:rPr>
          <w:sz w:val="25"/>
          <w:szCs w:val="25"/>
        </w:rPr>
      </w:pPr>
    </w:p>
    <w:p w:rsidR="00BD2EE3" w:rsidRPr="002532DF" w:rsidRDefault="003C20A2" w:rsidP="00AD0B90">
      <w:pPr>
        <w:numPr>
          <w:ilvl w:val="0"/>
          <w:numId w:val="1"/>
        </w:numPr>
        <w:tabs>
          <w:tab w:val="clear" w:pos="720"/>
          <w:tab w:val="num" w:pos="0"/>
        </w:tabs>
        <w:spacing w:line="276" w:lineRule="auto"/>
        <w:ind w:left="0"/>
        <w:rPr>
          <w:b/>
          <w:sz w:val="25"/>
          <w:szCs w:val="25"/>
        </w:rPr>
      </w:pPr>
      <w:r w:rsidRPr="002532DF">
        <w:rPr>
          <w:sz w:val="25"/>
          <w:szCs w:val="25"/>
        </w:rPr>
        <w:t xml:space="preserve">In a separate adjustment, </w:t>
      </w:r>
      <w:r w:rsidR="00E518FA" w:rsidRPr="002532DF">
        <w:rPr>
          <w:sz w:val="25"/>
          <w:szCs w:val="25"/>
        </w:rPr>
        <w:t xml:space="preserve">ICNU </w:t>
      </w:r>
      <w:r w:rsidR="00BD2EE3" w:rsidRPr="002532DF">
        <w:rPr>
          <w:sz w:val="25"/>
          <w:szCs w:val="25"/>
        </w:rPr>
        <w:t xml:space="preserve">supports removing </w:t>
      </w:r>
      <w:r w:rsidR="00251B8D" w:rsidRPr="002532DF">
        <w:rPr>
          <w:sz w:val="25"/>
          <w:szCs w:val="25"/>
        </w:rPr>
        <w:t xml:space="preserve">PacifiCorp’s </w:t>
      </w:r>
      <w:r w:rsidR="00BD2EE3" w:rsidRPr="002532DF">
        <w:rPr>
          <w:sz w:val="25"/>
          <w:szCs w:val="25"/>
        </w:rPr>
        <w:t>intra-hour wind integration costs</w:t>
      </w:r>
      <w:r w:rsidR="00CB34D5" w:rsidRPr="002532DF">
        <w:rPr>
          <w:sz w:val="25"/>
          <w:szCs w:val="25"/>
        </w:rPr>
        <w:t xml:space="preserve"> for Company-owned wind projects</w:t>
      </w:r>
      <w:r w:rsidR="00251B8D" w:rsidRPr="002532DF">
        <w:rPr>
          <w:sz w:val="25"/>
          <w:szCs w:val="25"/>
        </w:rPr>
        <w:t>,</w:t>
      </w:r>
      <w:r w:rsidR="00993FD0" w:rsidRPr="002532DF">
        <w:rPr>
          <w:rStyle w:val="FootnoteReference"/>
          <w:sz w:val="25"/>
          <w:szCs w:val="25"/>
        </w:rPr>
        <w:footnoteReference w:id="171"/>
      </w:r>
      <w:r w:rsidR="00993FD0" w:rsidRPr="002532DF">
        <w:rPr>
          <w:sz w:val="25"/>
          <w:szCs w:val="25"/>
        </w:rPr>
        <w:t xml:space="preserve"> </w:t>
      </w:r>
      <w:r w:rsidR="00251B8D" w:rsidRPr="002532DF">
        <w:rPr>
          <w:sz w:val="25"/>
          <w:szCs w:val="25"/>
        </w:rPr>
        <w:t>and</w:t>
      </w:r>
      <w:r w:rsidR="00FB5792" w:rsidRPr="002532DF">
        <w:rPr>
          <w:sz w:val="25"/>
          <w:szCs w:val="25"/>
        </w:rPr>
        <w:t xml:space="preserve"> argues that </w:t>
      </w:r>
      <w:r w:rsidR="00251B8D" w:rsidRPr="002532DF">
        <w:rPr>
          <w:sz w:val="25"/>
          <w:szCs w:val="25"/>
        </w:rPr>
        <w:t>these costs were</w:t>
      </w:r>
      <w:r w:rsidR="00FB5792" w:rsidRPr="002532DF">
        <w:rPr>
          <w:sz w:val="25"/>
          <w:szCs w:val="25"/>
        </w:rPr>
        <w:t xml:space="preserve"> determined outside the GRID</w:t>
      </w:r>
      <w:r w:rsidR="00251B8D" w:rsidRPr="002532DF">
        <w:rPr>
          <w:sz w:val="25"/>
          <w:szCs w:val="25"/>
        </w:rPr>
        <w:t xml:space="preserve"> model</w:t>
      </w:r>
      <w:r w:rsidR="00FB5792" w:rsidRPr="002532DF">
        <w:rPr>
          <w:sz w:val="25"/>
          <w:szCs w:val="25"/>
        </w:rPr>
        <w:t>.</w:t>
      </w:r>
      <w:r w:rsidR="00FB5792" w:rsidRPr="002532DF">
        <w:rPr>
          <w:rStyle w:val="FootnoteReference"/>
          <w:sz w:val="25"/>
          <w:szCs w:val="25"/>
        </w:rPr>
        <w:footnoteReference w:id="172"/>
      </w:r>
      <w:r w:rsidR="00FB5792" w:rsidRPr="002532DF">
        <w:rPr>
          <w:sz w:val="25"/>
          <w:szCs w:val="25"/>
        </w:rPr>
        <w:t xml:space="preserve">  ICNU </w:t>
      </w:r>
      <w:r w:rsidR="00BD2EE3" w:rsidRPr="002532DF">
        <w:rPr>
          <w:sz w:val="25"/>
          <w:szCs w:val="25"/>
        </w:rPr>
        <w:t xml:space="preserve">also </w:t>
      </w:r>
      <w:r w:rsidR="00FB5792" w:rsidRPr="002532DF">
        <w:rPr>
          <w:sz w:val="25"/>
          <w:szCs w:val="25"/>
        </w:rPr>
        <w:t>contends, for a number of reasons, that the costs are inaccurate and high</w:t>
      </w:r>
      <w:r w:rsidR="00020CDC" w:rsidRPr="002532DF">
        <w:rPr>
          <w:sz w:val="25"/>
          <w:szCs w:val="25"/>
        </w:rPr>
        <w:t>.</w:t>
      </w:r>
      <w:r w:rsidRPr="002532DF">
        <w:rPr>
          <w:rStyle w:val="FootnoteReference"/>
          <w:sz w:val="25"/>
          <w:szCs w:val="25"/>
        </w:rPr>
        <w:footnoteReference w:id="173"/>
      </w:r>
      <w:r w:rsidR="00020CDC" w:rsidRPr="002532DF">
        <w:rPr>
          <w:sz w:val="25"/>
          <w:szCs w:val="25"/>
        </w:rPr>
        <w:t xml:space="preserve">  It</w:t>
      </w:r>
      <w:r w:rsidR="00FB5792" w:rsidRPr="002532DF">
        <w:rPr>
          <w:sz w:val="25"/>
          <w:szCs w:val="25"/>
        </w:rPr>
        <w:t xml:space="preserve"> proposes its adjustment based on a wind cost derived from ICNU’s use of the GRID to determine </w:t>
      </w:r>
      <w:r w:rsidR="00CB34D5" w:rsidRPr="002532DF">
        <w:rPr>
          <w:sz w:val="25"/>
          <w:szCs w:val="25"/>
        </w:rPr>
        <w:t xml:space="preserve">intra-hour </w:t>
      </w:r>
      <w:r w:rsidR="00FB5792" w:rsidRPr="002532DF">
        <w:rPr>
          <w:sz w:val="25"/>
          <w:szCs w:val="25"/>
        </w:rPr>
        <w:t>wind integration costs</w:t>
      </w:r>
      <w:r w:rsidR="00CB34D5" w:rsidRPr="002532DF">
        <w:rPr>
          <w:sz w:val="25"/>
          <w:szCs w:val="25"/>
        </w:rPr>
        <w:t xml:space="preserve"> for Company-owned wind resources</w:t>
      </w:r>
      <w:r w:rsidR="00FB5792" w:rsidRPr="002532DF">
        <w:rPr>
          <w:sz w:val="25"/>
          <w:szCs w:val="25"/>
        </w:rPr>
        <w:t>.</w:t>
      </w:r>
      <w:r w:rsidR="00FB5792" w:rsidRPr="002532DF">
        <w:rPr>
          <w:rStyle w:val="FootnoteReference"/>
          <w:sz w:val="25"/>
          <w:szCs w:val="25"/>
        </w:rPr>
        <w:footnoteReference w:id="174"/>
      </w:r>
      <w:r w:rsidR="00FB5792" w:rsidRPr="002532DF">
        <w:rPr>
          <w:sz w:val="25"/>
          <w:szCs w:val="25"/>
        </w:rPr>
        <w:t xml:space="preserve">  </w:t>
      </w:r>
    </w:p>
    <w:p w:rsidR="00E23FBE" w:rsidRPr="002532DF" w:rsidRDefault="00E23FBE">
      <w:pPr>
        <w:spacing w:line="276" w:lineRule="auto"/>
        <w:ind w:left="-720"/>
        <w:rPr>
          <w:b/>
          <w:sz w:val="25"/>
          <w:szCs w:val="25"/>
        </w:rPr>
      </w:pPr>
    </w:p>
    <w:p w:rsidR="00556409" w:rsidRPr="002532DF" w:rsidRDefault="00FB5792" w:rsidP="00AD0B90">
      <w:pPr>
        <w:numPr>
          <w:ilvl w:val="0"/>
          <w:numId w:val="1"/>
        </w:numPr>
        <w:tabs>
          <w:tab w:val="clear" w:pos="720"/>
          <w:tab w:val="num" w:pos="0"/>
        </w:tabs>
        <w:spacing w:line="276" w:lineRule="auto"/>
        <w:ind w:left="0"/>
        <w:rPr>
          <w:b/>
          <w:sz w:val="25"/>
          <w:szCs w:val="25"/>
        </w:rPr>
      </w:pPr>
      <w:r w:rsidRPr="002532DF">
        <w:rPr>
          <w:sz w:val="25"/>
          <w:szCs w:val="25"/>
        </w:rPr>
        <w:t>In rebuttal</w:t>
      </w:r>
      <w:r w:rsidR="00251B8D" w:rsidRPr="002532DF">
        <w:rPr>
          <w:sz w:val="25"/>
          <w:szCs w:val="25"/>
        </w:rPr>
        <w:t xml:space="preserve"> testimony</w:t>
      </w:r>
      <w:r w:rsidRPr="002532DF">
        <w:rPr>
          <w:sz w:val="25"/>
          <w:szCs w:val="25"/>
        </w:rPr>
        <w:t>, the Company proposes a compromise approach that</w:t>
      </w:r>
      <w:r w:rsidR="00251B8D" w:rsidRPr="002532DF">
        <w:rPr>
          <w:sz w:val="25"/>
          <w:szCs w:val="25"/>
        </w:rPr>
        <w:t>, for this case,</w:t>
      </w:r>
      <w:r w:rsidRPr="002532DF">
        <w:rPr>
          <w:sz w:val="25"/>
          <w:szCs w:val="25"/>
        </w:rPr>
        <w:t xml:space="preserve"> would </w:t>
      </w:r>
      <w:r w:rsidR="00251B8D" w:rsidRPr="002532DF">
        <w:rPr>
          <w:sz w:val="25"/>
          <w:szCs w:val="25"/>
        </w:rPr>
        <w:t>use ICNU’s GRID-based intra-hour integration cost projections</w:t>
      </w:r>
      <w:r w:rsidR="009A2A9C" w:rsidRPr="002532DF">
        <w:rPr>
          <w:sz w:val="25"/>
          <w:szCs w:val="25"/>
        </w:rPr>
        <w:t xml:space="preserve"> for Company-owned resources </w:t>
      </w:r>
      <w:r w:rsidR="00D63FD5" w:rsidRPr="002532DF">
        <w:rPr>
          <w:sz w:val="25"/>
          <w:szCs w:val="25"/>
        </w:rPr>
        <w:t>costs.</w:t>
      </w:r>
      <w:r w:rsidR="0079500C" w:rsidRPr="002532DF">
        <w:rPr>
          <w:sz w:val="25"/>
          <w:szCs w:val="25"/>
        </w:rPr>
        <w:t xml:space="preserve"> </w:t>
      </w:r>
      <w:r w:rsidR="00D63FD5" w:rsidRPr="002532DF">
        <w:rPr>
          <w:sz w:val="25"/>
          <w:szCs w:val="25"/>
        </w:rPr>
        <w:t xml:space="preserve"> Rather</w:t>
      </w:r>
      <w:r w:rsidR="00251B8D" w:rsidRPr="002532DF">
        <w:rPr>
          <w:sz w:val="25"/>
          <w:szCs w:val="25"/>
        </w:rPr>
        <w:t xml:space="preserve"> than push for a</w:t>
      </w:r>
      <w:r w:rsidRPr="002532DF">
        <w:rPr>
          <w:sz w:val="25"/>
          <w:szCs w:val="25"/>
        </w:rPr>
        <w:t xml:space="preserve"> decision </w:t>
      </w:r>
      <w:r w:rsidR="00251B8D" w:rsidRPr="002532DF">
        <w:rPr>
          <w:sz w:val="25"/>
          <w:szCs w:val="25"/>
        </w:rPr>
        <w:t xml:space="preserve">in this docket, it would defer Commission approval of </w:t>
      </w:r>
      <w:r w:rsidRPr="002532DF">
        <w:rPr>
          <w:sz w:val="25"/>
          <w:szCs w:val="25"/>
        </w:rPr>
        <w:t>the proper modeling of wind integration in GRID to a future proceeding in which all parties have the opportunity to thoroughly evaluate intra-hour wind integration modeling proposals.</w:t>
      </w:r>
      <w:r w:rsidRPr="002532DF">
        <w:rPr>
          <w:rStyle w:val="FootnoteReference"/>
          <w:sz w:val="25"/>
          <w:szCs w:val="25"/>
        </w:rPr>
        <w:footnoteReference w:id="175"/>
      </w:r>
    </w:p>
    <w:p w:rsidR="00D40563" w:rsidRPr="002532DF" w:rsidRDefault="00D40563">
      <w:pPr>
        <w:pStyle w:val="ListParagraph"/>
        <w:rPr>
          <w:b/>
          <w:sz w:val="25"/>
          <w:szCs w:val="25"/>
        </w:rPr>
      </w:pPr>
    </w:p>
    <w:p w:rsidR="00020CDC" w:rsidRPr="002532DF" w:rsidRDefault="00020CDC" w:rsidP="00AD0B90">
      <w:pPr>
        <w:numPr>
          <w:ilvl w:val="0"/>
          <w:numId w:val="1"/>
        </w:numPr>
        <w:tabs>
          <w:tab w:val="clear" w:pos="720"/>
          <w:tab w:val="num" w:pos="0"/>
        </w:tabs>
        <w:spacing w:line="276" w:lineRule="auto"/>
        <w:ind w:left="0"/>
        <w:rPr>
          <w:b/>
          <w:sz w:val="25"/>
          <w:szCs w:val="25"/>
        </w:rPr>
      </w:pPr>
      <w:r w:rsidRPr="002532DF">
        <w:rPr>
          <w:sz w:val="25"/>
          <w:szCs w:val="25"/>
        </w:rPr>
        <w:t xml:space="preserve">In its </w:t>
      </w:r>
      <w:r w:rsidR="008525F9" w:rsidRPr="002532DF">
        <w:rPr>
          <w:sz w:val="25"/>
          <w:szCs w:val="25"/>
        </w:rPr>
        <w:t xml:space="preserve">testimony and its </w:t>
      </w:r>
      <w:r w:rsidRPr="002532DF">
        <w:rPr>
          <w:sz w:val="25"/>
          <w:szCs w:val="25"/>
        </w:rPr>
        <w:t>brief, PacifiCorp also argue</w:t>
      </w:r>
      <w:r w:rsidR="008E74B6" w:rsidRPr="002532DF">
        <w:rPr>
          <w:sz w:val="25"/>
          <w:szCs w:val="25"/>
        </w:rPr>
        <w:t>s</w:t>
      </w:r>
      <w:r w:rsidRPr="002532DF">
        <w:rPr>
          <w:sz w:val="25"/>
          <w:szCs w:val="25"/>
        </w:rPr>
        <w:t xml:space="preserve"> that it incurs these wind integration costs pursuant to the Federal Energy Regulatory Commission’s (FERC) OATT.</w:t>
      </w:r>
      <w:r w:rsidR="00AD2BA5" w:rsidRPr="002532DF">
        <w:rPr>
          <w:rStyle w:val="FootnoteReference"/>
          <w:sz w:val="25"/>
          <w:szCs w:val="25"/>
        </w:rPr>
        <w:footnoteReference w:id="176"/>
      </w:r>
      <w:r w:rsidRPr="002532DF">
        <w:rPr>
          <w:sz w:val="25"/>
          <w:szCs w:val="25"/>
        </w:rPr>
        <w:t xml:space="preserve">  Because FERC has exclusive authority over these costs pursuant to the Federal Power Act, states may not conclude that these rates are unreasonable and must pass them through to the retail customers.</w:t>
      </w:r>
      <w:r w:rsidRPr="002532DF">
        <w:rPr>
          <w:rStyle w:val="FootnoteReference"/>
          <w:sz w:val="25"/>
          <w:szCs w:val="25"/>
        </w:rPr>
        <w:footnoteReference w:id="177"/>
      </w:r>
      <w:r w:rsidRPr="002532DF">
        <w:rPr>
          <w:sz w:val="25"/>
          <w:szCs w:val="25"/>
        </w:rPr>
        <w:t xml:space="preserve">  Staff and ICNU respond that this is not an instance in which the Commission is failing to pass through a federally approved rate.</w:t>
      </w:r>
      <w:r w:rsidR="0097233E" w:rsidRPr="002532DF">
        <w:rPr>
          <w:sz w:val="25"/>
          <w:szCs w:val="25"/>
        </w:rPr>
        <w:t xml:space="preserve"> Rather, these are interstate costs and belong in the federal jurisdiction.</w:t>
      </w:r>
      <w:r w:rsidR="0097233E" w:rsidRPr="002532DF">
        <w:rPr>
          <w:rStyle w:val="FootnoteReference"/>
          <w:sz w:val="25"/>
          <w:szCs w:val="25"/>
        </w:rPr>
        <w:footnoteReference w:id="178"/>
      </w:r>
      <w:r w:rsidRPr="002532DF">
        <w:rPr>
          <w:sz w:val="25"/>
          <w:szCs w:val="25"/>
        </w:rPr>
        <w:t xml:space="preserve"> </w:t>
      </w:r>
      <w:r w:rsidR="0097233E" w:rsidRPr="002532DF">
        <w:rPr>
          <w:sz w:val="25"/>
          <w:szCs w:val="25"/>
        </w:rPr>
        <w:t xml:space="preserve"> </w:t>
      </w:r>
    </w:p>
    <w:p w:rsidR="00A70C87" w:rsidRPr="002532DF" w:rsidRDefault="00A70C87" w:rsidP="00A70C87">
      <w:pPr>
        <w:spacing w:line="276" w:lineRule="auto"/>
        <w:ind w:left="-720"/>
        <w:rPr>
          <w:b/>
          <w:sz w:val="25"/>
          <w:szCs w:val="25"/>
        </w:rPr>
      </w:pPr>
    </w:p>
    <w:p w:rsidR="00AE379F" w:rsidRPr="009F350B" w:rsidRDefault="00D17347" w:rsidP="00AD0B90">
      <w:pPr>
        <w:numPr>
          <w:ilvl w:val="0"/>
          <w:numId w:val="1"/>
        </w:numPr>
        <w:tabs>
          <w:tab w:val="clear" w:pos="720"/>
          <w:tab w:val="num" w:pos="0"/>
        </w:tabs>
        <w:spacing w:line="276" w:lineRule="auto"/>
        <w:ind w:left="0"/>
        <w:rPr>
          <w:b/>
          <w:sz w:val="25"/>
          <w:szCs w:val="25"/>
        </w:rPr>
      </w:pPr>
      <w:r w:rsidRPr="009F350B">
        <w:rPr>
          <w:i/>
          <w:sz w:val="25"/>
          <w:szCs w:val="25"/>
        </w:rPr>
        <w:t xml:space="preserve">Commission Decision. </w:t>
      </w:r>
      <w:r w:rsidR="00B0215C" w:rsidRPr="009F350B">
        <w:rPr>
          <w:i/>
          <w:sz w:val="25"/>
          <w:szCs w:val="25"/>
        </w:rPr>
        <w:t xml:space="preserve"> </w:t>
      </w:r>
      <w:r w:rsidR="00B0215C" w:rsidRPr="009F350B">
        <w:rPr>
          <w:sz w:val="25"/>
          <w:szCs w:val="25"/>
        </w:rPr>
        <w:t xml:space="preserve">We </w:t>
      </w:r>
      <w:r w:rsidR="008525F9" w:rsidRPr="009F350B">
        <w:rPr>
          <w:sz w:val="25"/>
          <w:szCs w:val="25"/>
        </w:rPr>
        <w:t>accept</w:t>
      </w:r>
      <w:r w:rsidR="00B0215C" w:rsidRPr="009F350B">
        <w:rPr>
          <w:sz w:val="25"/>
          <w:szCs w:val="25"/>
        </w:rPr>
        <w:t xml:space="preserve"> Staff and ICNU’s proposal to remove the intra-hour wind integration costs for non-owned facilities.  </w:t>
      </w:r>
      <w:r w:rsidR="00723E37" w:rsidRPr="009F350B">
        <w:rPr>
          <w:sz w:val="25"/>
          <w:szCs w:val="25"/>
        </w:rPr>
        <w:t>All</w:t>
      </w:r>
      <w:r w:rsidR="00AE379F" w:rsidRPr="009F350B">
        <w:rPr>
          <w:i/>
          <w:sz w:val="25"/>
          <w:szCs w:val="25"/>
        </w:rPr>
        <w:t xml:space="preserve"> </w:t>
      </w:r>
      <w:r w:rsidR="00C17E16" w:rsidRPr="009F350B">
        <w:rPr>
          <w:sz w:val="25"/>
          <w:szCs w:val="25"/>
        </w:rPr>
        <w:t>costs</w:t>
      </w:r>
      <w:r w:rsidR="00C17E16" w:rsidRPr="009F350B">
        <w:rPr>
          <w:i/>
          <w:sz w:val="25"/>
          <w:szCs w:val="25"/>
        </w:rPr>
        <w:t xml:space="preserve"> </w:t>
      </w:r>
      <w:r w:rsidR="00C17E16" w:rsidRPr="009F350B">
        <w:rPr>
          <w:sz w:val="25"/>
          <w:szCs w:val="25"/>
        </w:rPr>
        <w:t>for which a</w:t>
      </w:r>
      <w:r w:rsidR="00AE379F" w:rsidRPr="009F350B">
        <w:rPr>
          <w:sz w:val="25"/>
          <w:szCs w:val="25"/>
        </w:rPr>
        <w:t xml:space="preserve"> utility seeks recovery must be known and measurable.  In </w:t>
      </w:r>
      <w:r w:rsidR="00C17E16" w:rsidRPr="009F350B">
        <w:rPr>
          <w:sz w:val="25"/>
          <w:szCs w:val="25"/>
        </w:rPr>
        <w:t>t</w:t>
      </w:r>
      <w:r w:rsidR="00AE379F" w:rsidRPr="009F350B">
        <w:rPr>
          <w:sz w:val="25"/>
          <w:szCs w:val="25"/>
        </w:rPr>
        <w:t xml:space="preserve">his case, the Company calculated these intra-hour wind integration costs outside its own power supply model and </w:t>
      </w:r>
      <w:r w:rsidR="0070220B" w:rsidRPr="009F350B">
        <w:rPr>
          <w:sz w:val="25"/>
          <w:szCs w:val="25"/>
        </w:rPr>
        <w:t>presented an updated study that did not afford Staff and ICNU a reasonable opportunity for review.  The wind integration costs at issue represent a six-fold increase in one year</w:t>
      </w:r>
      <w:r w:rsidR="005319D5" w:rsidRPr="009F350B">
        <w:rPr>
          <w:sz w:val="25"/>
          <w:szCs w:val="25"/>
        </w:rPr>
        <w:t>, and if updated, would reflect an even greater increase</w:t>
      </w:r>
      <w:r w:rsidR="0070220B" w:rsidRPr="009F350B">
        <w:rPr>
          <w:sz w:val="25"/>
          <w:szCs w:val="25"/>
        </w:rPr>
        <w:t>.  Thus, the Company</w:t>
      </w:r>
      <w:r w:rsidR="004E3D76" w:rsidRPr="009F350B">
        <w:rPr>
          <w:sz w:val="25"/>
          <w:szCs w:val="25"/>
        </w:rPr>
        <w:t xml:space="preserve"> bears the burden </w:t>
      </w:r>
      <w:r w:rsidR="0070220B" w:rsidRPr="009F350B">
        <w:rPr>
          <w:sz w:val="25"/>
          <w:szCs w:val="25"/>
        </w:rPr>
        <w:t xml:space="preserve">to demonstrate that the substantial increase </w:t>
      </w:r>
      <w:r w:rsidR="005319D5" w:rsidRPr="009F350B">
        <w:rPr>
          <w:sz w:val="25"/>
          <w:szCs w:val="25"/>
        </w:rPr>
        <w:t>is</w:t>
      </w:r>
      <w:r w:rsidR="0070220B" w:rsidRPr="009F350B">
        <w:rPr>
          <w:sz w:val="25"/>
          <w:szCs w:val="25"/>
        </w:rPr>
        <w:t xml:space="preserve"> warranted. </w:t>
      </w:r>
      <w:r w:rsidR="00D84BE4" w:rsidRPr="009F350B">
        <w:rPr>
          <w:sz w:val="25"/>
          <w:szCs w:val="25"/>
        </w:rPr>
        <w:t xml:space="preserve"> </w:t>
      </w:r>
      <w:r w:rsidR="0070220B" w:rsidRPr="009F350B">
        <w:rPr>
          <w:sz w:val="25"/>
          <w:szCs w:val="25"/>
        </w:rPr>
        <w:t xml:space="preserve">We conclude that PacifiCorp failed to </w:t>
      </w:r>
      <w:r w:rsidR="004E3D76" w:rsidRPr="009F350B">
        <w:rPr>
          <w:sz w:val="25"/>
          <w:szCs w:val="25"/>
        </w:rPr>
        <w:t>satisfy</w:t>
      </w:r>
      <w:r w:rsidR="0070220B" w:rsidRPr="009F350B">
        <w:rPr>
          <w:sz w:val="25"/>
          <w:szCs w:val="25"/>
        </w:rPr>
        <w:t xml:space="preserve"> its burden </w:t>
      </w:r>
      <w:r w:rsidR="001303D3" w:rsidRPr="009F350B">
        <w:rPr>
          <w:sz w:val="25"/>
          <w:szCs w:val="25"/>
        </w:rPr>
        <w:t>to</w:t>
      </w:r>
      <w:r w:rsidR="0070220B" w:rsidRPr="009F350B">
        <w:rPr>
          <w:sz w:val="25"/>
          <w:szCs w:val="25"/>
        </w:rPr>
        <w:t xml:space="preserve"> demonstrate that these costs are known and measurable.  </w:t>
      </w:r>
    </w:p>
    <w:p w:rsidR="00020CDC" w:rsidRPr="002532DF" w:rsidRDefault="00020CDC" w:rsidP="008E74B6">
      <w:pPr>
        <w:spacing w:line="276" w:lineRule="auto"/>
        <w:ind w:left="-720"/>
        <w:rPr>
          <w:b/>
          <w:sz w:val="25"/>
          <w:szCs w:val="25"/>
        </w:rPr>
      </w:pPr>
    </w:p>
    <w:p w:rsidR="00020CDC" w:rsidRPr="00E77D4E" w:rsidRDefault="00E13B85" w:rsidP="00AD0B90">
      <w:pPr>
        <w:numPr>
          <w:ilvl w:val="0"/>
          <w:numId w:val="1"/>
        </w:numPr>
        <w:tabs>
          <w:tab w:val="clear" w:pos="720"/>
          <w:tab w:val="num" w:pos="0"/>
        </w:tabs>
        <w:spacing w:line="276" w:lineRule="auto"/>
        <w:ind w:left="0"/>
        <w:rPr>
          <w:b/>
          <w:sz w:val="25"/>
          <w:szCs w:val="25"/>
        </w:rPr>
      </w:pPr>
      <w:r>
        <w:rPr>
          <w:sz w:val="25"/>
          <w:szCs w:val="25"/>
        </w:rPr>
        <w:t xml:space="preserve">Nor can PacifiCorp evade its evidentiary burden by claiming that </w:t>
      </w:r>
      <w:r w:rsidRPr="00020CDC">
        <w:rPr>
          <w:sz w:val="25"/>
          <w:szCs w:val="25"/>
        </w:rPr>
        <w:t xml:space="preserve">the costs are associated with a FERC tariff.  A utility cannot </w:t>
      </w:r>
      <w:r>
        <w:rPr>
          <w:sz w:val="25"/>
          <w:szCs w:val="25"/>
        </w:rPr>
        <w:t>use a federal tariff to justify its failure</w:t>
      </w:r>
      <w:r w:rsidRPr="00020CDC">
        <w:rPr>
          <w:sz w:val="25"/>
          <w:szCs w:val="25"/>
        </w:rPr>
        <w:t xml:space="preserve"> to quantify the costs for which it seeks recovery</w:t>
      </w:r>
      <w:r>
        <w:rPr>
          <w:sz w:val="25"/>
          <w:szCs w:val="25"/>
        </w:rPr>
        <w:t xml:space="preserve"> in a state proceeding</w:t>
      </w:r>
      <w:r w:rsidRPr="00020CDC">
        <w:rPr>
          <w:sz w:val="25"/>
          <w:szCs w:val="25"/>
        </w:rPr>
        <w:t xml:space="preserve">.  </w:t>
      </w:r>
      <w:r w:rsidR="00020CDC" w:rsidRPr="002532DF">
        <w:rPr>
          <w:sz w:val="25"/>
          <w:szCs w:val="25"/>
        </w:rPr>
        <w:t xml:space="preserve">We </w:t>
      </w:r>
      <w:r w:rsidR="0097233E" w:rsidRPr="002532DF">
        <w:rPr>
          <w:sz w:val="25"/>
          <w:szCs w:val="25"/>
        </w:rPr>
        <w:t xml:space="preserve">agree with Staff and ICNU </w:t>
      </w:r>
      <w:r w:rsidR="00251B8D" w:rsidRPr="002532DF">
        <w:rPr>
          <w:sz w:val="25"/>
          <w:szCs w:val="25"/>
        </w:rPr>
        <w:t xml:space="preserve">that </w:t>
      </w:r>
      <w:r w:rsidR="0097233E" w:rsidRPr="002532DF">
        <w:rPr>
          <w:sz w:val="25"/>
          <w:szCs w:val="25"/>
        </w:rPr>
        <w:t xml:space="preserve">the Supremacy Clause of the United States Constitution does not require the Commission to pass through these costs.  </w:t>
      </w:r>
      <w:r w:rsidR="00317C4B" w:rsidRPr="002532DF">
        <w:rPr>
          <w:sz w:val="25"/>
          <w:szCs w:val="25"/>
        </w:rPr>
        <w:t xml:space="preserve">FERC has not set a wholesale wind integration rate under the Company’s </w:t>
      </w:r>
      <w:r w:rsidR="009F350B">
        <w:rPr>
          <w:sz w:val="25"/>
          <w:szCs w:val="25"/>
        </w:rPr>
        <w:t>OATT</w:t>
      </w:r>
      <w:r>
        <w:rPr>
          <w:sz w:val="25"/>
          <w:szCs w:val="25"/>
        </w:rPr>
        <w:t xml:space="preserve">, and accordingly, PacifiCorp’s remedy is </w:t>
      </w:r>
      <w:r w:rsidR="00317C4B" w:rsidRPr="002532DF">
        <w:rPr>
          <w:sz w:val="25"/>
          <w:szCs w:val="25"/>
        </w:rPr>
        <w:t>to file with FERC for an amendment to its OATT.  Indeed, PacifiCorp indicated that it planned to do just that.</w:t>
      </w:r>
      <w:r w:rsidR="00317C4B" w:rsidRPr="002532DF">
        <w:rPr>
          <w:rStyle w:val="FootnoteReference"/>
          <w:sz w:val="25"/>
          <w:szCs w:val="25"/>
        </w:rPr>
        <w:footnoteReference w:id="179"/>
      </w:r>
      <w:r w:rsidR="00077001" w:rsidRPr="002532DF">
        <w:rPr>
          <w:sz w:val="25"/>
          <w:szCs w:val="25"/>
        </w:rPr>
        <w:t xml:space="preserve">  These costs should be borne by the third-parties who create these costs</w:t>
      </w:r>
      <w:r>
        <w:rPr>
          <w:sz w:val="25"/>
          <w:szCs w:val="25"/>
        </w:rPr>
        <w:t>,</w:t>
      </w:r>
      <w:r w:rsidR="00077001" w:rsidRPr="002532DF">
        <w:rPr>
          <w:sz w:val="25"/>
          <w:szCs w:val="25"/>
        </w:rPr>
        <w:t xml:space="preserve"> not by Washington ratepayers who do not receive the power generated at these facilities.</w:t>
      </w:r>
      <w:r w:rsidR="00522162">
        <w:rPr>
          <w:sz w:val="25"/>
          <w:szCs w:val="25"/>
        </w:rPr>
        <w:t xml:space="preserve">  </w:t>
      </w:r>
      <w:r w:rsidR="00522162" w:rsidRPr="002532DF">
        <w:rPr>
          <w:sz w:val="25"/>
          <w:szCs w:val="25"/>
        </w:rPr>
        <w:t>Rejecting these intra-hour wind integration costs reduces NPC expense in Washington by $518</w:t>
      </w:r>
      <w:r w:rsidR="00522162">
        <w:rPr>
          <w:sz w:val="25"/>
          <w:szCs w:val="25"/>
        </w:rPr>
        <w:t>,</w:t>
      </w:r>
      <w:r w:rsidR="00522162" w:rsidRPr="002532DF">
        <w:rPr>
          <w:sz w:val="25"/>
          <w:szCs w:val="25"/>
        </w:rPr>
        <w:t>692.</w:t>
      </w:r>
      <w:r w:rsidR="00522162" w:rsidRPr="002532DF">
        <w:rPr>
          <w:rStyle w:val="FootnoteReference"/>
          <w:sz w:val="25"/>
          <w:szCs w:val="25"/>
        </w:rPr>
        <w:footnoteReference w:id="180"/>
      </w:r>
    </w:p>
    <w:p w:rsidR="00F817F2" w:rsidRDefault="00F817F2">
      <w:pPr>
        <w:rPr>
          <w:b/>
          <w:sz w:val="25"/>
          <w:szCs w:val="25"/>
        </w:rPr>
      </w:pPr>
      <w:r>
        <w:rPr>
          <w:b/>
          <w:sz w:val="25"/>
          <w:szCs w:val="25"/>
        </w:rPr>
        <w:br w:type="page"/>
      </w:r>
    </w:p>
    <w:p w:rsidR="00E77D4E" w:rsidRPr="002532DF" w:rsidRDefault="00E77D4E" w:rsidP="00E77D4E">
      <w:pPr>
        <w:spacing w:line="276" w:lineRule="auto"/>
        <w:rPr>
          <w:b/>
          <w:sz w:val="25"/>
          <w:szCs w:val="25"/>
        </w:rPr>
      </w:pPr>
    </w:p>
    <w:p w:rsidR="008A32B4" w:rsidRPr="002532DF" w:rsidRDefault="00CA3600" w:rsidP="00D84BE4">
      <w:pPr>
        <w:pStyle w:val="Heading5"/>
        <w:ind w:left="1440" w:hanging="360"/>
        <w:rPr>
          <w:rFonts w:ascii="Times New Roman" w:hAnsi="Times New Roman"/>
          <w:i w:val="0"/>
          <w:sz w:val="25"/>
          <w:szCs w:val="25"/>
        </w:rPr>
      </w:pPr>
      <w:bookmarkStart w:id="29" w:name="_Toc168986368"/>
      <w:bookmarkStart w:id="30" w:name="_Toc288813734"/>
      <w:r w:rsidRPr="002532DF">
        <w:rPr>
          <w:rFonts w:ascii="Times New Roman" w:hAnsi="Times New Roman"/>
          <w:i w:val="0"/>
          <w:sz w:val="25"/>
          <w:szCs w:val="25"/>
        </w:rPr>
        <w:t>f</w:t>
      </w:r>
      <w:r w:rsidR="00556409" w:rsidRPr="002532DF">
        <w:rPr>
          <w:rFonts w:ascii="Times New Roman" w:hAnsi="Times New Roman"/>
          <w:i w:val="0"/>
          <w:sz w:val="25"/>
          <w:szCs w:val="25"/>
        </w:rPr>
        <w:t>.</w:t>
      </w:r>
      <w:r w:rsidR="00556409" w:rsidRPr="002532DF">
        <w:rPr>
          <w:rFonts w:ascii="Times New Roman" w:hAnsi="Times New Roman"/>
          <w:i w:val="0"/>
          <w:sz w:val="25"/>
          <w:szCs w:val="25"/>
        </w:rPr>
        <w:tab/>
        <w:t>Sacramento Municipal Utility Dist</w:t>
      </w:r>
      <w:r w:rsidR="007474EF" w:rsidRPr="002532DF">
        <w:rPr>
          <w:rFonts w:ascii="Times New Roman" w:hAnsi="Times New Roman"/>
          <w:i w:val="0"/>
          <w:sz w:val="25"/>
          <w:szCs w:val="25"/>
        </w:rPr>
        <w:t>r</w:t>
      </w:r>
      <w:r w:rsidR="00556409" w:rsidRPr="002532DF">
        <w:rPr>
          <w:rFonts w:ascii="Times New Roman" w:hAnsi="Times New Roman"/>
          <w:i w:val="0"/>
          <w:sz w:val="25"/>
          <w:szCs w:val="25"/>
        </w:rPr>
        <w:t>ict (SMUD) Shaping Contract</w:t>
      </w:r>
      <w:bookmarkEnd w:id="29"/>
      <w:bookmarkEnd w:id="30"/>
    </w:p>
    <w:p w:rsidR="008A32B4" w:rsidRPr="002532DF" w:rsidRDefault="008A32B4" w:rsidP="00817E21">
      <w:pPr>
        <w:spacing w:line="276" w:lineRule="auto"/>
        <w:rPr>
          <w:sz w:val="25"/>
          <w:szCs w:val="25"/>
        </w:rPr>
      </w:pPr>
    </w:p>
    <w:p w:rsidR="00FB5792" w:rsidRPr="002532DF" w:rsidRDefault="00556409" w:rsidP="00AD0B90">
      <w:pPr>
        <w:numPr>
          <w:ilvl w:val="0"/>
          <w:numId w:val="1"/>
        </w:numPr>
        <w:tabs>
          <w:tab w:val="clear" w:pos="720"/>
          <w:tab w:val="num" w:pos="0"/>
        </w:tabs>
        <w:spacing w:line="276" w:lineRule="auto"/>
        <w:ind w:left="0"/>
        <w:rPr>
          <w:sz w:val="25"/>
          <w:szCs w:val="25"/>
        </w:rPr>
      </w:pPr>
      <w:r w:rsidRPr="002532DF">
        <w:rPr>
          <w:sz w:val="25"/>
          <w:szCs w:val="25"/>
        </w:rPr>
        <w:t xml:space="preserve">The </w:t>
      </w:r>
      <w:r w:rsidR="001935BB" w:rsidRPr="002532DF">
        <w:rPr>
          <w:sz w:val="25"/>
          <w:szCs w:val="25"/>
        </w:rPr>
        <w:t>Sacramento Municipal Utility District (</w:t>
      </w:r>
      <w:r w:rsidRPr="002532DF">
        <w:rPr>
          <w:sz w:val="25"/>
          <w:szCs w:val="25"/>
        </w:rPr>
        <w:t>SMUD</w:t>
      </w:r>
      <w:r w:rsidR="001935BB" w:rsidRPr="002532DF">
        <w:rPr>
          <w:sz w:val="25"/>
          <w:szCs w:val="25"/>
        </w:rPr>
        <w:t>)</w:t>
      </w:r>
      <w:r w:rsidRPr="002532DF">
        <w:rPr>
          <w:sz w:val="25"/>
          <w:szCs w:val="25"/>
        </w:rPr>
        <w:t xml:space="preserve"> purchases power </w:t>
      </w:r>
      <w:r w:rsidR="00E13B85">
        <w:rPr>
          <w:sz w:val="25"/>
          <w:szCs w:val="25"/>
        </w:rPr>
        <w:t xml:space="preserve">under a contract </w:t>
      </w:r>
      <w:r w:rsidRPr="002532DF">
        <w:rPr>
          <w:sz w:val="25"/>
          <w:szCs w:val="25"/>
        </w:rPr>
        <w:t>from PacifiCorp</w:t>
      </w:r>
      <w:r w:rsidR="00343378" w:rsidRPr="002532DF">
        <w:rPr>
          <w:sz w:val="25"/>
          <w:szCs w:val="25"/>
        </w:rPr>
        <w:t>, and</w:t>
      </w:r>
      <w:bookmarkStart w:id="31" w:name="_Toc168986369"/>
      <w:r w:rsidR="00FB5792" w:rsidRPr="002532DF">
        <w:rPr>
          <w:sz w:val="25"/>
          <w:szCs w:val="25"/>
        </w:rPr>
        <w:t xml:space="preserve"> </w:t>
      </w:r>
      <w:r w:rsidR="00E13B85">
        <w:rPr>
          <w:sz w:val="25"/>
          <w:szCs w:val="25"/>
        </w:rPr>
        <w:t>the Company includes the cost of this contract in its GRID model.</w:t>
      </w:r>
      <w:r w:rsidR="00FB5792" w:rsidRPr="002532DF">
        <w:rPr>
          <w:sz w:val="25"/>
          <w:szCs w:val="25"/>
        </w:rPr>
        <w:t xml:space="preserve"> </w:t>
      </w:r>
    </w:p>
    <w:p w:rsidR="00CE40B0" w:rsidRPr="002532DF" w:rsidRDefault="00CE40B0" w:rsidP="00817E21">
      <w:pPr>
        <w:spacing w:line="276" w:lineRule="auto"/>
        <w:rPr>
          <w:i/>
          <w:sz w:val="25"/>
          <w:szCs w:val="25"/>
        </w:rPr>
      </w:pPr>
    </w:p>
    <w:p w:rsidR="003D6299" w:rsidRPr="002532DF" w:rsidRDefault="00E13B85" w:rsidP="00AD0B90">
      <w:pPr>
        <w:numPr>
          <w:ilvl w:val="0"/>
          <w:numId w:val="1"/>
        </w:numPr>
        <w:tabs>
          <w:tab w:val="clear" w:pos="720"/>
          <w:tab w:val="num" w:pos="0"/>
        </w:tabs>
        <w:spacing w:line="276" w:lineRule="auto"/>
        <w:ind w:left="0"/>
        <w:rPr>
          <w:sz w:val="25"/>
          <w:szCs w:val="25"/>
        </w:rPr>
      </w:pPr>
      <w:r>
        <w:rPr>
          <w:i/>
          <w:sz w:val="25"/>
          <w:szCs w:val="25"/>
        </w:rPr>
        <w:t xml:space="preserve">Positions of the Parties.  </w:t>
      </w:r>
      <w:r w:rsidR="00FB5792" w:rsidRPr="002532DF">
        <w:rPr>
          <w:sz w:val="25"/>
          <w:szCs w:val="25"/>
        </w:rPr>
        <w:t xml:space="preserve">Staff argues that </w:t>
      </w:r>
      <w:r>
        <w:rPr>
          <w:sz w:val="25"/>
          <w:szCs w:val="25"/>
        </w:rPr>
        <w:t>SMUD has some discretion regarding the timing of power deliveries under the contract, and</w:t>
      </w:r>
      <w:r w:rsidRPr="007A0440">
        <w:rPr>
          <w:sz w:val="25"/>
          <w:szCs w:val="25"/>
        </w:rPr>
        <w:t xml:space="preserve"> </w:t>
      </w:r>
      <w:r w:rsidR="00FB5792" w:rsidRPr="002532DF">
        <w:rPr>
          <w:sz w:val="25"/>
          <w:szCs w:val="25"/>
        </w:rPr>
        <w:t xml:space="preserve">the GRID </w:t>
      </w:r>
      <w:r w:rsidR="00343378" w:rsidRPr="002532DF">
        <w:rPr>
          <w:sz w:val="25"/>
          <w:szCs w:val="25"/>
        </w:rPr>
        <w:t xml:space="preserve">model </w:t>
      </w:r>
      <w:r w:rsidR="00FB5792" w:rsidRPr="002532DF">
        <w:rPr>
          <w:sz w:val="25"/>
          <w:szCs w:val="25"/>
        </w:rPr>
        <w:t xml:space="preserve">overstates the </w:t>
      </w:r>
      <w:r w:rsidR="00343378" w:rsidRPr="002532DF">
        <w:rPr>
          <w:sz w:val="25"/>
          <w:szCs w:val="25"/>
        </w:rPr>
        <w:t>cont</w:t>
      </w:r>
      <w:r w:rsidR="0067439E" w:rsidRPr="002532DF">
        <w:rPr>
          <w:sz w:val="25"/>
          <w:szCs w:val="25"/>
        </w:rPr>
        <w:t>r</w:t>
      </w:r>
      <w:r w:rsidR="00343378" w:rsidRPr="002532DF">
        <w:rPr>
          <w:sz w:val="25"/>
          <w:szCs w:val="25"/>
        </w:rPr>
        <w:t xml:space="preserve">act’s </w:t>
      </w:r>
      <w:r w:rsidR="00FB5792" w:rsidRPr="002532DF">
        <w:rPr>
          <w:sz w:val="25"/>
          <w:szCs w:val="25"/>
        </w:rPr>
        <w:t xml:space="preserve">cost </w:t>
      </w:r>
      <w:r w:rsidR="00343378" w:rsidRPr="002532DF">
        <w:rPr>
          <w:sz w:val="25"/>
          <w:szCs w:val="25"/>
        </w:rPr>
        <w:t>by assuming</w:t>
      </w:r>
      <w:r w:rsidR="00FB5792" w:rsidRPr="002532DF">
        <w:rPr>
          <w:sz w:val="25"/>
          <w:szCs w:val="25"/>
        </w:rPr>
        <w:t xml:space="preserve"> that power </w:t>
      </w:r>
      <w:r w:rsidR="00343378" w:rsidRPr="002532DF">
        <w:rPr>
          <w:sz w:val="25"/>
          <w:szCs w:val="25"/>
        </w:rPr>
        <w:t xml:space="preserve">will not be </w:t>
      </w:r>
      <w:r w:rsidR="00D63FD5" w:rsidRPr="002532DF">
        <w:rPr>
          <w:sz w:val="25"/>
          <w:szCs w:val="25"/>
        </w:rPr>
        <w:t>delivered in</w:t>
      </w:r>
      <w:r w:rsidR="00343378" w:rsidRPr="002532DF">
        <w:rPr>
          <w:sz w:val="25"/>
          <w:szCs w:val="25"/>
        </w:rPr>
        <w:t xml:space="preserve"> the</w:t>
      </w:r>
      <w:r w:rsidR="00FB5792" w:rsidRPr="002532DF">
        <w:rPr>
          <w:sz w:val="25"/>
          <w:szCs w:val="25"/>
        </w:rPr>
        <w:t xml:space="preserve"> months of April, May and June</w:t>
      </w:r>
      <w:r w:rsidR="00343378" w:rsidRPr="002532DF">
        <w:rPr>
          <w:sz w:val="25"/>
          <w:szCs w:val="25"/>
        </w:rPr>
        <w:t>, when power costs are typically lower</w:t>
      </w:r>
      <w:r w:rsidR="00FB5792" w:rsidRPr="002532DF">
        <w:rPr>
          <w:sz w:val="25"/>
          <w:szCs w:val="25"/>
        </w:rPr>
        <w:t>.</w:t>
      </w:r>
      <w:r w:rsidR="00FB5792" w:rsidRPr="002532DF">
        <w:rPr>
          <w:rStyle w:val="FootnoteReference"/>
          <w:sz w:val="25"/>
          <w:szCs w:val="25"/>
        </w:rPr>
        <w:footnoteReference w:id="181"/>
      </w:r>
      <w:r w:rsidR="00FB5792" w:rsidRPr="002532DF">
        <w:rPr>
          <w:sz w:val="25"/>
          <w:szCs w:val="25"/>
        </w:rPr>
        <w:t xml:space="preserve">  </w:t>
      </w:r>
      <w:r w:rsidR="00343378" w:rsidRPr="002532DF">
        <w:rPr>
          <w:sz w:val="25"/>
          <w:szCs w:val="25"/>
        </w:rPr>
        <w:t>Using</w:t>
      </w:r>
      <w:r w:rsidR="00FB5792" w:rsidRPr="002532DF">
        <w:rPr>
          <w:sz w:val="25"/>
          <w:szCs w:val="25"/>
        </w:rPr>
        <w:t xml:space="preserve"> historic data of </w:t>
      </w:r>
      <w:r w:rsidR="00343378" w:rsidRPr="002532DF">
        <w:rPr>
          <w:sz w:val="25"/>
          <w:szCs w:val="25"/>
        </w:rPr>
        <w:t>PacifiCorp’s actual power deliver</w:t>
      </w:r>
      <w:r w:rsidR="0067439E" w:rsidRPr="002532DF">
        <w:rPr>
          <w:sz w:val="25"/>
          <w:szCs w:val="25"/>
        </w:rPr>
        <w:t>ie</w:t>
      </w:r>
      <w:r w:rsidR="00343378" w:rsidRPr="002532DF">
        <w:rPr>
          <w:sz w:val="25"/>
          <w:szCs w:val="25"/>
        </w:rPr>
        <w:t xml:space="preserve">s </w:t>
      </w:r>
      <w:r w:rsidR="00D63FD5" w:rsidRPr="002532DF">
        <w:rPr>
          <w:sz w:val="25"/>
          <w:szCs w:val="25"/>
        </w:rPr>
        <w:t>t</w:t>
      </w:r>
      <w:r w:rsidR="00053980" w:rsidRPr="002532DF">
        <w:rPr>
          <w:sz w:val="25"/>
          <w:szCs w:val="25"/>
        </w:rPr>
        <w:t xml:space="preserve">o </w:t>
      </w:r>
      <w:r w:rsidR="00D63FD5" w:rsidRPr="002532DF">
        <w:rPr>
          <w:sz w:val="25"/>
          <w:szCs w:val="25"/>
        </w:rPr>
        <w:t>the</w:t>
      </w:r>
      <w:r w:rsidR="00FB5792" w:rsidRPr="002532DF">
        <w:rPr>
          <w:sz w:val="25"/>
          <w:szCs w:val="25"/>
        </w:rPr>
        <w:t xml:space="preserve"> SMUD</w:t>
      </w:r>
      <w:r w:rsidR="00343378" w:rsidRPr="002532DF">
        <w:rPr>
          <w:sz w:val="25"/>
          <w:szCs w:val="25"/>
        </w:rPr>
        <w:t xml:space="preserve">, Staff produces an adjustment that </w:t>
      </w:r>
      <w:r w:rsidR="00FB5792" w:rsidRPr="002532DF">
        <w:rPr>
          <w:sz w:val="25"/>
          <w:szCs w:val="25"/>
        </w:rPr>
        <w:t>lowers normalized net power costs</w:t>
      </w:r>
      <w:r w:rsidR="00343378" w:rsidRPr="002532DF">
        <w:rPr>
          <w:sz w:val="25"/>
          <w:szCs w:val="25"/>
        </w:rPr>
        <w:t xml:space="preserve">, which takes into account </w:t>
      </w:r>
      <w:r w:rsidR="00FB5792" w:rsidRPr="002532DF">
        <w:rPr>
          <w:sz w:val="25"/>
          <w:szCs w:val="25"/>
        </w:rPr>
        <w:t>deliveries</w:t>
      </w:r>
      <w:r w:rsidR="00343378" w:rsidRPr="002532DF">
        <w:rPr>
          <w:sz w:val="25"/>
          <w:szCs w:val="25"/>
        </w:rPr>
        <w:t xml:space="preserve"> that would be made in</w:t>
      </w:r>
      <w:r w:rsidR="00FB5792" w:rsidRPr="002532DF">
        <w:rPr>
          <w:sz w:val="25"/>
          <w:szCs w:val="25"/>
        </w:rPr>
        <w:t xml:space="preserve"> lower cost months.</w:t>
      </w:r>
      <w:r w:rsidR="00FB5792" w:rsidRPr="002532DF">
        <w:rPr>
          <w:rStyle w:val="FootnoteReference"/>
          <w:sz w:val="25"/>
          <w:szCs w:val="25"/>
        </w:rPr>
        <w:footnoteReference w:id="182"/>
      </w:r>
      <w:r w:rsidR="00FB5792" w:rsidRPr="002532DF">
        <w:rPr>
          <w:sz w:val="25"/>
          <w:szCs w:val="25"/>
        </w:rPr>
        <w:t xml:space="preserve">  Staff’s adjustment </w:t>
      </w:r>
      <w:r w:rsidR="00343378" w:rsidRPr="002532DF">
        <w:rPr>
          <w:sz w:val="25"/>
          <w:szCs w:val="25"/>
        </w:rPr>
        <w:t>lowers the Company’s NPC</w:t>
      </w:r>
      <w:r w:rsidR="004B4812" w:rsidRPr="002532DF">
        <w:rPr>
          <w:sz w:val="25"/>
          <w:szCs w:val="25"/>
        </w:rPr>
        <w:t xml:space="preserve"> </w:t>
      </w:r>
      <w:r w:rsidR="00FB5792" w:rsidRPr="002532DF">
        <w:rPr>
          <w:sz w:val="25"/>
          <w:szCs w:val="25"/>
        </w:rPr>
        <w:t>by $55</w:t>
      </w:r>
      <w:r w:rsidR="002B70FC" w:rsidRPr="002532DF">
        <w:rPr>
          <w:sz w:val="25"/>
          <w:szCs w:val="25"/>
        </w:rPr>
        <w:t>4,460</w:t>
      </w:r>
      <w:r w:rsidR="00FB5792" w:rsidRPr="002532DF">
        <w:rPr>
          <w:sz w:val="25"/>
          <w:szCs w:val="25"/>
        </w:rPr>
        <w:t>.</w:t>
      </w:r>
      <w:r w:rsidR="00993FD0" w:rsidRPr="002532DF">
        <w:rPr>
          <w:rStyle w:val="FootnoteReference"/>
          <w:sz w:val="25"/>
          <w:szCs w:val="25"/>
        </w:rPr>
        <w:footnoteReference w:id="183"/>
      </w:r>
    </w:p>
    <w:p w:rsidR="00AD0537" w:rsidRPr="002532DF" w:rsidRDefault="00AD0537" w:rsidP="00AD0537">
      <w:pPr>
        <w:spacing w:line="276" w:lineRule="auto"/>
        <w:ind w:left="-720"/>
        <w:rPr>
          <w:sz w:val="25"/>
          <w:szCs w:val="25"/>
        </w:rPr>
      </w:pPr>
    </w:p>
    <w:p w:rsidR="00FB5792" w:rsidRPr="002532DF" w:rsidRDefault="003D6299" w:rsidP="00AD0B90">
      <w:pPr>
        <w:numPr>
          <w:ilvl w:val="0"/>
          <w:numId w:val="1"/>
        </w:numPr>
        <w:tabs>
          <w:tab w:val="clear" w:pos="720"/>
          <w:tab w:val="num" w:pos="0"/>
        </w:tabs>
        <w:spacing w:line="276" w:lineRule="auto"/>
        <w:ind w:left="0"/>
        <w:rPr>
          <w:sz w:val="25"/>
          <w:szCs w:val="25"/>
        </w:rPr>
      </w:pPr>
      <w:r w:rsidRPr="002532DF">
        <w:rPr>
          <w:sz w:val="25"/>
          <w:szCs w:val="25"/>
        </w:rPr>
        <w:t xml:space="preserve">ICNU also </w:t>
      </w:r>
      <w:r w:rsidR="00DD744E" w:rsidRPr="002532DF">
        <w:rPr>
          <w:sz w:val="25"/>
          <w:szCs w:val="25"/>
        </w:rPr>
        <w:t>reduces</w:t>
      </w:r>
      <w:r w:rsidRPr="002532DF">
        <w:rPr>
          <w:sz w:val="25"/>
          <w:szCs w:val="25"/>
        </w:rPr>
        <w:t xml:space="preserve"> the costs associated with the SMUD contract </w:t>
      </w:r>
      <w:r w:rsidR="00DD744E" w:rsidRPr="002532DF">
        <w:rPr>
          <w:sz w:val="25"/>
          <w:szCs w:val="25"/>
        </w:rPr>
        <w:t>and adjusts the NPC by $458,223.</w:t>
      </w:r>
      <w:r w:rsidR="00DD744E" w:rsidRPr="002532DF">
        <w:rPr>
          <w:rStyle w:val="FootnoteReference"/>
          <w:sz w:val="25"/>
          <w:szCs w:val="25"/>
        </w:rPr>
        <w:footnoteReference w:id="184"/>
      </w:r>
      <w:r w:rsidRPr="002532DF">
        <w:rPr>
          <w:sz w:val="25"/>
          <w:szCs w:val="25"/>
        </w:rPr>
        <w:t xml:space="preserve">  </w:t>
      </w:r>
      <w:r w:rsidR="00077001" w:rsidRPr="002532DF">
        <w:rPr>
          <w:sz w:val="25"/>
          <w:szCs w:val="25"/>
        </w:rPr>
        <w:t xml:space="preserve">However, </w:t>
      </w:r>
      <w:r w:rsidRPr="002532DF">
        <w:rPr>
          <w:sz w:val="25"/>
          <w:szCs w:val="25"/>
        </w:rPr>
        <w:t xml:space="preserve">ICNU’s </w:t>
      </w:r>
      <w:r w:rsidR="00DD744E" w:rsidRPr="002532DF">
        <w:rPr>
          <w:sz w:val="25"/>
          <w:szCs w:val="25"/>
        </w:rPr>
        <w:t>rationale</w:t>
      </w:r>
      <w:r w:rsidR="004B4812" w:rsidRPr="002532DF">
        <w:rPr>
          <w:sz w:val="25"/>
          <w:szCs w:val="25"/>
        </w:rPr>
        <w:t xml:space="preserve"> </w:t>
      </w:r>
      <w:r w:rsidRPr="002532DF">
        <w:rPr>
          <w:sz w:val="25"/>
          <w:szCs w:val="25"/>
        </w:rPr>
        <w:t xml:space="preserve">differs from Staff’s adjustment </w:t>
      </w:r>
      <w:r w:rsidR="001935BB" w:rsidRPr="002532DF">
        <w:rPr>
          <w:sz w:val="25"/>
          <w:szCs w:val="25"/>
        </w:rPr>
        <w:t xml:space="preserve">in </w:t>
      </w:r>
      <w:r w:rsidRPr="002532DF">
        <w:rPr>
          <w:sz w:val="25"/>
          <w:szCs w:val="25"/>
        </w:rPr>
        <w:t xml:space="preserve">two </w:t>
      </w:r>
      <w:r w:rsidR="001935BB" w:rsidRPr="002532DF">
        <w:rPr>
          <w:sz w:val="25"/>
          <w:szCs w:val="25"/>
        </w:rPr>
        <w:t>ways</w:t>
      </w:r>
      <w:r w:rsidRPr="002532DF">
        <w:rPr>
          <w:sz w:val="25"/>
          <w:szCs w:val="25"/>
        </w:rPr>
        <w:t>.</w:t>
      </w:r>
      <w:r w:rsidR="00993FD0" w:rsidRPr="002532DF">
        <w:rPr>
          <w:rStyle w:val="FootnoteReference"/>
          <w:sz w:val="25"/>
          <w:szCs w:val="25"/>
        </w:rPr>
        <w:footnoteReference w:id="185"/>
      </w:r>
      <w:r w:rsidRPr="002532DF">
        <w:rPr>
          <w:sz w:val="25"/>
          <w:szCs w:val="25"/>
        </w:rPr>
        <w:t xml:space="preserve"> </w:t>
      </w:r>
      <w:r w:rsidR="00993FD0" w:rsidRPr="002532DF">
        <w:rPr>
          <w:sz w:val="25"/>
          <w:szCs w:val="25"/>
        </w:rPr>
        <w:t xml:space="preserve"> </w:t>
      </w:r>
      <w:r w:rsidRPr="002532DF">
        <w:rPr>
          <w:sz w:val="25"/>
          <w:szCs w:val="25"/>
        </w:rPr>
        <w:t>First, ICNU decreases the quantity of energy taken under the contract</w:t>
      </w:r>
      <w:r w:rsidR="001935BB" w:rsidRPr="002532DF">
        <w:rPr>
          <w:sz w:val="25"/>
          <w:szCs w:val="25"/>
        </w:rPr>
        <w:t>,</w:t>
      </w:r>
      <w:r w:rsidRPr="002532DF">
        <w:rPr>
          <w:sz w:val="25"/>
          <w:szCs w:val="25"/>
        </w:rPr>
        <w:t xml:space="preserve"> arguing that PacifiCorp overstates the energy </w:t>
      </w:r>
      <w:r w:rsidR="00DD744E" w:rsidRPr="002532DF">
        <w:rPr>
          <w:sz w:val="25"/>
          <w:szCs w:val="25"/>
        </w:rPr>
        <w:t>delivered under</w:t>
      </w:r>
      <w:r w:rsidRPr="002532DF">
        <w:rPr>
          <w:sz w:val="25"/>
          <w:szCs w:val="25"/>
        </w:rPr>
        <w:t xml:space="preserve"> the </w:t>
      </w:r>
      <w:r w:rsidR="001935BB" w:rsidRPr="002532DF">
        <w:rPr>
          <w:sz w:val="25"/>
          <w:szCs w:val="25"/>
        </w:rPr>
        <w:t xml:space="preserve">contract </w:t>
      </w:r>
      <w:r w:rsidR="00DD744E" w:rsidRPr="002532DF">
        <w:rPr>
          <w:sz w:val="25"/>
          <w:szCs w:val="25"/>
        </w:rPr>
        <w:t>by 45,500 MWh</w:t>
      </w:r>
      <w:r w:rsidR="001303D3" w:rsidRPr="002532DF">
        <w:rPr>
          <w:sz w:val="25"/>
          <w:szCs w:val="25"/>
        </w:rPr>
        <w:t>,</w:t>
      </w:r>
      <w:r w:rsidR="001303D3" w:rsidRPr="002532DF">
        <w:rPr>
          <w:rStyle w:val="FootnoteReference"/>
          <w:sz w:val="25"/>
          <w:szCs w:val="25"/>
        </w:rPr>
        <w:t xml:space="preserve"> </w:t>
      </w:r>
      <w:r w:rsidR="001303D3" w:rsidRPr="002532DF">
        <w:rPr>
          <w:sz w:val="25"/>
          <w:szCs w:val="25"/>
        </w:rPr>
        <w:t>resulting in a reduction of</w:t>
      </w:r>
      <w:r w:rsidR="0013583E">
        <w:rPr>
          <w:sz w:val="25"/>
          <w:szCs w:val="25"/>
        </w:rPr>
        <w:t xml:space="preserve"> </w:t>
      </w:r>
      <w:r w:rsidR="00D63FD5" w:rsidRPr="002532DF">
        <w:rPr>
          <w:sz w:val="25"/>
          <w:szCs w:val="25"/>
        </w:rPr>
        <w:t>Washington</w:t>
      </w:r>
      <w:r w:rsidR="00DD744E" w:rsidRPr="002532DF">
        <w:rPr>
          <w:sz w:val="25"/>
          <w:szCs w:val="25"/>
        </w:rPr>
        <w:t xml:space="preserve"> allocated power costs </w:t>
      </w:r>
      <w:r w:rsidR="001303D3" w:rsidRPr="002532DF">
        <w:rPr>
          <w:sz w:val="25"/>
          <w:szCs w:val="25"/>
        </w:rPr>
        <w:t>of</w:t>
      </w:r>
      <w:r w:rsidRPr="002532DF">
        <w:rPr>
          <w:sz w:val="25"/>
          <w:szCs w:val="25"/>
        </w:rPr>
        <w:t xml:space="preserve"> $38,50</w:t>
      </w:r>
      <w:r w:rsidR="001303D3" w:rsidRPr="002532DF">
        <w:rPr>
          <w:sz w:val="25"/>
          <w:szCs w:val="25"/>
        </w:rPr>
        <w:t>4</w:t>
      </w:r>
      <w:r w:rsidRPr="002532DF">
        <w:rPr>
          <w:sz w:val="25"/>
          <w:szCs w:val="25"/>
        </w:rPr>
        <w:t>.</w:t>
      </w:r>
      <w:r w:rsidRPr="002532DF">
        <w:rPr>
          <w:rStyle w:val="FootnoteReference"/>
          <w:sz w:val="25"/>
          <w:szCs w:val="25"/>
        </w:rPr>
        <w:footnoteReference w:id="186"/>
      </w:r>
      <w:r w:rsidRPr="002532DF">
        <w:rPr>
          <w:sz w:val="25"/>
          <w:szCs w:val="25"/>
        </w:rPr>
        <w:t xml:space="preserve">  </w:t>
      </w:r>
      <w:r w:rsidR="00253F0F" w:rsidRPr="002532DF">
        <w:rPr>
          <w:sz w:val="25"/>
          <w:szCs w:val="25"/>
        </w:rPr>
        <w:t>ICNU also differs from Staff in that it uses the GRID model to calculate a dollar amount f</w:t>
      </w:r>
      <w:r w:rsidR="005224F1" w:rsidRPr="002532DF">
        <w:rPr>
          <w:sz w:val="25"/>
          <w:szCs w:val="25"/>
        </w:rPr>
        <w:t>r</w:t>
      </w:r>
      <w:r w:rsidR="00253F0F" w:rsidRPr="002532DF">
        <w:rPr>
          <w:sz w:val="25"/>
          <w:szCs w:val="25"/>
        </w:rPr>
        <w:t>om the historic avera</w:t>
      </w:r>
      <w:r w:rsidR="005224F1" w:rsidRPr="002532DF">
        <w:rPr>
          <w:sz w:val="25"/>
          <w:szCs w:val="25"/>
        </w:rPr>
        <w:t>g</w:t>
      </w:r>
      <w:r w:rsidR="00253F0F" w:rsidRPr="002532DF">
        <w:rPr>
          <w:sz w:val="25"/>
          <w:szCs w:val="25"/>
        </w:rPr>
        <w:t>e of energy delivered to the SMUD under the contract.</w:t>
      </w:r>
      <w:r w:rsidR="00253F0F" w:rsidRPr="002532DF">
        <w:rPr>
          <w:rStyle w:val="FootnoteReference"/>
          <w:sz w:val="25"/>
          <w:szCs w:val="25"/>
        </w:rPr>
        <w:footnoteReference w:id="187"/>
      </w:r>
      <w:r w:rsidRPr="002532DF">
        <w:rPr>
          <w:sz w:val="25"/>
          <w:szCs w:val="25"/>
        </w:rPr>
        <w:t xml:space="preserve"> </w:t>
      </w:r>
      <w:r w:rsidR="00CC39E4">
        <w:rPr>
          <w:sz w:val="25"/>
          <w:szCs w:val="25"/>
        </w:rPr>
        <w:t xml:space="preserve"> </w:t>
      </w:r>
      <w:r w:rsidRPr="002532DF">
        <w:rPr>
          <w:sz w:val="25"/>
          <w:szCs w:val="25"/>
        </w:rPr>
        <w:t>Staff</w:t>
      </w:r>
      <w:r w:rsidR="00253F0F" w:rsidRPr="002532DF">
        <w:rPr>
          <w:sz w:val="25"/>
          <w:szCs w:val="25"/>
        </w:rPr>
        <w:t>, on the other hand, uses a historic average to</w:t>
      </w:r>
      <w:r w:rsidRPr="002532DF">
        <w:rPr>
          <w:sz w:val="25"/>
          <w:szCs w:val="25"/>
        </w:rPr>
        <w:t xml:space="preserve"> calculate </w:t>
      </w:r>
      <w:r w:rsidR="00253F0F" w:rsidRPr="002532DF">
        <w:rPr>
          <w:sz w:val="25"/>
          <w:szCs w:val="25"/>
        </w:rPr>
        <w:t xml:space="preserve">a </w:t>
      </w:r>
      <w:r w:rsidRPr="002532DF">
        <w:rPr>
          <w:sz w:val="25"/>
          <w:szCs w:val="25"/>
        </w:rPr>
        <w:t>dollar amount</w:t>
      </w:r>
      <w:r w:rsidR="00253F0F" w:rsidRPr="002532DF">
        <w:rPr>
          <w:sz w:val="25"/>
          <w:szCs w:val="25"/>
        </w:rPr>
        <w:t>, but does not run its adjustment through the model.</w:t>
      </w:r>
      <w:r w:rsidR="00253F0F" w:rsidRPr="002532DF">
        <w:rPr>
          <w:rStyle w:val="FootnoteReference"/>
          <w:sz w:val="25"/>
          <w:szCs w:val="25"/>
        </w:rPr>
        <w:footnoteReference w:id="188"/>
      </w:r>
      <w:r w:rsidRPr="002532DF">
        <w:rPr>
          <w:sz w:val="25"/>
          <w:szCs w:val="25"/>
        </w:rPr>
        <w:t xml:space="preserve"> </w:t>
      </w:r>
      <w:r w:rsidR="00253F0F" w:rsidRPr="002532DF">
        <w:rPr>
          <w:sz w:val="25"/>
          <w:szCs w:val="25"/>
        </w:rPr>
        <w:t xml:space="preserve"> Should the Commission accept the reasoning behind Staff and ICNU’s adjustments, they recommend that it order the Company to model the contract within GRID with deliveries more in line with historical deliveries.</w:t>
      </w:r>
      <w:r w:rsidR="00253F0F" w:rsidRPr="002532DF">
        <w:rPr>
          <w:rStyle w:val="FootnoteReference"/>
          <w:sz w:val="25"/>
          <w:szCs w:val="25"/>
        </w:rPr>
        <w:footnoteReference w:id="189"/>
      </w:r>
    </w:p>
    <w:p w:rsidR="00AD0B90" w:rsidRPr="002532DF" w:rsidRDefault="00AD0B90" w:rsidP="00AD0B90">
      <w:pPr>
        <w:spacing w:line="276" w:lineRule="auto"/>
        <w:ind w:left="-720"/>
        <w:rPr>
          <w:sz w:val="25"/>
          <w:szCs w:val="25"/>
        </w:rPr>
      </w:pPr>
    </w:p>
    <w:p w:rsidR="00AA0565" w:rsidRPr="002532DF" w:rsidRDefault="00FB5792" w:rsidP="00AD0B90">
      <w:pPr>
        <w:numPr>
          <w:ilvl w:val="0"/>
          <w:numId w:val="1"/>
        </w:numPr>
        <w:tabs>
          <w:tab w:val="clear" w:pos="720"/>
          <w:tab w:val="num" w:pos="0"/>
        </w:tabs>
        <w:spacing w:line="276" w:lineRule="auto"/>
        <w:ind w:left="0"/>
        <w:rPr>
          <w:sz w:val="25"/>
          <w:szCs w:val="25"/>
        </w:rPr>
      </w:pPr>
      <w:r w:rsidRPr="002532DF">
        <w:rPr>
          <w:sz w:val="25"/>
          <w:szCs w:val="25"/>
        </w:rPr>
        <w:t>In rebuttal</w:t>
      </w:r>
      <w:r w:rsidR="00253F0F" w:rsidRPr="002532DF">
        <w:rPr>
          <w:sz w:val="25"/>
          <w:szCs w:val="25"/>
        </w:rPr>
        <w:t xml:space="preserve"> testimony</w:t>
      </w:r>
      <w:r w:rsidRPr="002532DF">
        <w:rPr>
          <w:sz w:val="25"/>
          <w:szCs w:val="25"/>
        </w:rPr>
        <w:t xml:space="preserve"> the Company agrees with ICNU’s adjustment to the level of allowed energy sales under the contract</w:t>
      </w:r>
      <w:r w:rsidR="00253F0F" w:rsidRPr="002532DF">
        <w:rPr>
          <w:sz w:val="25"/>
          <w:szCs w:val="25"/>
        </w:rPr>
        <w:t>, which results</w:t>
      </w:r>
      <w:r w:rsidRPr="002532DF">
        <w:rPr>
          <w:sz w:val="25"/>
          <w:szCs w:val="25"/>
        </w:rPr>
        <w:t xml:space="preserve"> in an increase to operating revenue of $1</w:t>
      </w:r>
      <w:r w:rsidR="00253F0F" w:rsidRPr="002532DF">
        <w:rPr>
          <w:sz w:val="25"/>
          <w:szCs w:val="25"/>
        </w:rPr>
        <w:t>9,039</w:t>
      </w:r>
      <w:r w:rsidRPr="002532DF">
        <w:rPr>
          <w:sz w:val="25"/>
          <w:szCs w:val="25"/>
        </w:rPr>
        <w:t>.</w:t>
      </w:r>
      <w:r w:rsidRPr="002532DF">
        <w:rPr>
          <w:rStyle w:val="FootnoteReference"/>
          <w:sz w:val="25"/>
          <w:szCs w:val="25"/>
        </w:rPr>
        <w:footnoteReference w:id="190"/>
      </w:r>
      <w:r w:rsidRPr="002532DF">
        <w:rPr>
          <w:sz w:val="25"/>
          <w:szCs w:val="25"/>
        </w:rPr>
        <w:t xml:space="preserve">  </w:t>
      </w:r>
      <w:r w:rsidR="002E6C0C" w:rsidRPr="002532DF">
        <w:rPr>
          <w:sz w:val="25"/>
          <w:szCs w:val="25"/>
        </w:rPr>
        <w:t xml:space="preserve">However, </w:t>
      </w:r>
      <w:r w:rsidR="00AA0565" w:rsidRPr="002532DF">
        <w:rPr>
          <w:sz w:val="25"/>
          <w:szCs w:val="25"/>
        </w:rPr>
        <w:t xml:space="preserve">for </w:t>
      </w:r>
      <w:r w:rsidR="003D27A2" w:rsidRPr="002532DF">
        <w:rPr>
          <w:sz w:val="25"/>
          <w:szCs w:val="25"/>
        </w:rPr>
        <w:t>three</w:t>
      </w:r>
      <w:r w:rsidR="00AA0565" w:rsidRPr="002532DF">
        <w:rPr>
          <w:sz w:val="25"/>
          <w:szCs w:val="25"/>
        </w:rPr>
        <w:t xml:space="preserve"> reasons, </w:t>
      </w:r>
      <w:r w:rsidR="002E6C0C" w:rsidRPr="002532DF">
        <w:rPr>
          <w:sz w:val="25"/>
          <w:szCs w:val="25"/>
        </w:rPr>
        <w:t>t</w:t>
      </w:r>
      <w:r w:rsidRPr="002532DF">
        <w:rPr>
          <w:sz w:val="25"/>
          <w:szCs w:val="25"/>
        </w:rPr>
        <w:t>he Company disagrees with the use of historic data for modeling the SMUD contract costs.</w:t>
      </w:r>
      <w:r w:rsidRPr="002532DF">
        <w:rPr>
          <w:rStyle w:val="FootnoteReference"/>
          <w:sz w:val="25"/>
          <w:szCs w:val="25"/>
        </w:rPr>
        <w:footnoteReference w:id="191"/>
      </w:r>
      <w:r w:rsidRPr="002532DF">
        <w:rPr>
          <w:sz w:val="25"/>
          <w:szCs w:val="25"/>
        </w:rPr>
        <w:t xml:space="preserve">  </w:t>
      </w:r>
    </w:p>
    <w:p w:rsidR="00D40563" w:rsidRPr="002532DF" w:rsidRDefault="00D40563">
      <w:pPr>
        <w:pStyle w:val="ListParagraph"/>
        <w:rPr>
          <w:sz w:val="25"/>
          <w:szCs w:val="25"/>
        </w:rPr>
      </w:pPr>
    </w:p>
    <w:p w:rsidR="00FB5792" w:rsidRPr="002532DF" w:rsidRDefault="00AA0565" w:rsidP="00AD0B90">
      <w:pPr>
        <w:numPr>
          <w:ilvl w:val="0"/>
          <w:numId w:val="1"/>
        </w:numPr>
        <w:tabs>
          <w:tab w:val="clear" w:pos="720"/>
          <w:tab w:val="num" w:pos="0"/>
        </w:tabs>
        <w:spacing w:line="276" w:lineRule="auto"/>
        <w:ind w:left="0"/>
        <w:rPr>
          <w:sz w:val="25"/>
          <w:szCs w:val="25"/>
        </w:rPr>
      </w:pPr>
      <w:r w:rsidRPr="002532DF">
        <w:rPr>
          <w:sz w:val="25"/>
          <w:szCs w:val="25"/>
        </w:rPr>
        <w:t>First, t</w:t>
      </w:r>
      <w:r w:rsidR="00FB5792" w:rsidRPr="002532DF">
        <w:rPr>
          <w:sz w:val="25"/>
          <w:szCs w:val="25"/>
        </w:rPr>
        <w:t>he Company asserts that</w:t>
      </w:r>
      <w:r w:rsidR="002E6C0C" w:rsidRPr="002532DF">
        <w:rPr>
          <w:sz w:val="25"/>
          <w:szCs w:val="25"/>
        </w:rPr>
        <w:t>,</w:t>
      </w:r>
      <w:r w:rsidR="00FB5792" w:rsidRPr="002532DF">
        <w:rPr>
          <w:sz w:val="25"/>
          <w:szCs w:val="25"/>
        </w:rPr>
        <w:t xml:space="preserve"> for normalization purposes</w:t>
      </w:r>
      <w:r w:rsidR="002E6C0C" w:rsidRPr="002532DF">
        <w:rPr>
          <w:sz w:val="25"/>
          <w:szCs w:val="25"/>
        </w:rPr>
        <w:t>,</w:t>
      </w:r>
      <w:r w:rsidR="00FB5792" w:rsidRPr="002532DF">
        <w:rPr>
          <w:sz w:val="25"/>
          <w:szCs w:val="25"/>
        </w:rPr>
        <w:t xml:space="preserve"> the model assumes that the third party (SMUD) </w:t>
      </w:r>
      <w:r w:rsidR="001303D3" w:rsidRPr="002532DF">
        <w:rPr>
          <w:sz w:val="25"/>
          <w:szCs w:val="25"/>
        </w:rPr>
        <w:t>that</w:t>
      </w:r>
      <w:r w:rsidR="00FB5792" w:rsidRPr="002532DF">
        <w:rPr>
          <w:sz w:val="25"/>
          <w:szCs w:val="25"/>
        </w:rPr>
        <w:t xml:space="preserve"> controls the timing of energy deliveries will maximize the value of the contract and take power at the </w:t>
      </w:r>
      <w:r w:rsidR="00253F0F" w:rsidRPr="002532DF">
        <w:rPr>
          <w:sz w:val="25"/>
          <w:szCs w:val="25"/>
        </w:rPr>
        <w:t xml:space="preserve">time </w:t>
      </w:r>
      <w:r w:rsidR="00FB5792" w:rsidRPr="002532DF">
        <w:rPr>
          <w:sz w:val="25"/>
          <w:szCs w:val="25"/>
        </w:rPr>
        <w:t xml:space="preserve">most economical </w:t>
      </w:r>
      <w:r w:rsidR="00253F0F" w:rsidRPr="002532DF">
        <w:rPr>
          <w:sz w:val="25"/>
          <w:szCs w:val="25"/>
        </w:rPr>
        <w:t>to it</w:t>
      </w:r>
      <w:r w:rsidR="00FB5792" w:rsidRPr="002532DF">
        <w:rPr>
          <w:sz w:val="25"/>
          <w:szCs w:val="25"/>
        </w:rPr>
        <w:t>.</w:t>
      </w:r>
      <w:r w:rsidR="00FB5792" w:rsidRPr="002532DF">
        <w:rPr>
          <w:rStyle w:val="FootnoteReference"/>
          <w:sz w:val="25"/>
          <w:szCs w:val="25"/>
        </w:rPr>
        <w:footnoteReference w:id="192"/>
      </w:r>
      <w:r w:rsidR="00FB5792" w:rsidRPr="002532DF">
        <w:rPr>
          <w:sz w:val="25"/>
          <w:szCs w:val="25"/>
        </w:rPr>
        <w:t xml:space="preserve">  The Company argues </w:t>
      </w:r>
      <w:r w:rsidR="00253F0F" w:rsidRPr="002532DF">
        <w:rPr>
          <w:sz w:val="25"/>
          <w:szCs w:val="25"/>
        </w:rPr>
        <w:t xml:space="preserve">further </w:t>
      </w:r>
      <w:r w:rsidR="00FB5792" w:rsidRPr="002532DF">
        <w:rPr>
          <w:sz w:val="25"/>
          <w:szCs w:val="25"/>
        </w:rPr>
        <w:t xml:space="preserve">that Staff and ICNU optimize flexible resources when </w:t>
      </w:r>
      <w:r w:rsidR="00253F0F" w:rsidRPr="002532DF">
        <w:rPr>
          <w:sz w:val="25"/>
          <w:szCs w:val="25"/>
        </w:rPr>
        <w:t>the effect is to</w:t>
      </w:r>
      <w:r w:rsidR="00FB5792" w:rsidRPr="002532DF">
        <w:rPr>
          <w:sz w:val="25"/>
          <w:szCs w:val="25"/>
        </w:rPr>
        <w:t xml:space="preserve"> lower NPC</w:t>
      </w:r>
      <w:r w:rsidR="00253F0F" w:rsidRPr="002532DF">
        <w:rPr>
          <w:sz w:val="25"/>
          <w:szCs w:val="25"/>
        </w:rPr>
        <w:t>,</w:t>
      </w:r>
      <w:r w:rsidR="00FB5792" w:rsidRPr="002532DF">
        <w:rPr>
          <w:sz w:val="25"/>
          <w:szCs w:val="25"/>
        </w:rPr>
        <w:t xml:space="preserve"> but </w:t>
      </w:r>
      <w:r w:rsidR="00253F0F" w:rsidRPr="002532DF">
        <w:rPr>
          <w:sz w:val="25"/>
          <w:szCs w:val="25"/>
        </w:rPr>
        <w:t xml:space="preserve">chooses </w:t>
      </w:r>
      <w:r w:rsidR="00FB5792" w:rsidRPr="002532DF">
        <w:rPr>
          <w:sz w:val="25"/>
          <w:szCs w:val="25"/>
        </w:rPr>
        <w:t xml:space="preserve">not </w:t>
      </w:r>
      <w:r w:rsidR="00253F0F" w:rsidRPr="002532DF">
        <w:rPr>
          <w:sz w:val="25"/>
          <w:szCs w:val="25"/>
        </w:rPr>
        <w:t xml:space="preserve">to </w:t>
      </w:r>
      <w:r w:rsidR="00FB5792" w:rsidRPr="002532DF">
        <w:rPr>
          <w:sz w:val="25"/>
          <w:szCs w:val="25"/>
        </w:rPr>
        <w:t>when it raises NPC</w:t>
      </w:r>
      <w:r w:rsidR="00253F0F" w:rsidRPr="002532DF">
        <w:rPr>
          <w:sz w:val="25"/>
          <w:szCs w:val="25"/>
        </w:rPr>
        <w:t xml:space="preserve">.  It </w:t>
      </w:r>
      <w:r w:rsidR="002E6C0C" w:rsidRPr="002532DF">
        <w:rPr>
          <w:sz w:val="25"/>
          <w:szCs w:val="25"/>
        </w:rPr>
        <w:t>contend</w:t>
      </w:r>
      <w:r w:rsidR="00253F0F" w:rsidRPr="002532DF">
        <w:rPr>
          <w:sz w:val="25"/>
          <w:szCs w:val="25"/>
        </w:rPr>
        <w:t>s</w:t>
      </w:r>
      <w:r w:rsidR="00FB5792" w:rsidRPr="002532DF">
        <w:rPr>
          <w:sz w:val="25"/>
          <w:szCs w:val="25"/>
        </w:rPr>
        <w:t xml:space="preserve"> that third party contracts should be treated consistently</w:t>
      </w:r>
      <w:r w:rsidR="002E6C0C" w:rsidRPr="002532DF">
        <w:rPr>
          <w:sz w:val="25"/>
          <w:szCs w:val="25"/>
        </w:rPr>
        <w:t>,</w:t>
      </w:r>
      <w:r w:rsidR="00FB5792" w:rsidRPr="002532DF">
        <w:rPr>
          <w:sz w:val="25"/>
          <w:szCs w:val="25"/>
        </w:rPr>
        <w:t xml:space="preserve"> and flexible resources should be optimized whether the Company is selling or buying power.</w:t>
      </w:r>
      <w:r w:rsidR="00FB5792" w:rsidRPr="002532DF">
        <w:rPr>
          <w:rStyle w:val="FootnoteReference"/>
          <w:sz w:val="25"/>
          <w:szCs w:val="25"/>
        </w:rPr>
        <w:footnoteReference w:id="193"/>
      </w:r>
    </w:p>
    <w:p w:rsidR="00CE40B0" w:rsidRPr="002532DF" w:rsidRDefault="00CE40B0" w:rsidP="00817E21">
      <w:pPr>
        <w:spacing w:line="276" w:lineRule="auto"/>
        <w:rPr>
          <w:sz w:val="25"/>
          <w:szCs w:val="25"/>
        </w:rPr>
      </w:pPr>
    </w:p>
    <w:p w:rsidR="00FB5792" w:rsidRPr="002532DF" w:rsidRDefault="00AA0565" w:rsidP="00AD0B90">
      <w:pPr>
        <w:numPr>
          <w:ilvl w:val="0"/>
          <w:numId w:val="1"/>
        </w:numPr>
        <w:tabs>
          <w:tab w:val="clear" w:pos="720"/>
          <w:tab w:val="num" w:pos="0"/>
        </w:tabs>
        <w:spacing w:line="276" w:lineRule="auto"/>
        <w:ind w:left="0"/>
        <w:rPr>
          <w:sz w:val="25"/>
          <w:szCs w:val="25"/>
        </w:rPr>
      </w:pPr>
      <w:r w:rsidRPr="002532DF">
        <w:rPr>
          <w:sz w:val="25"/>
          <w:szCs w:val="25"/>
        </w:rPr>
        <w:t>Second, t</w:t>
      </w:r>
      <w:r w:rsidR="00FB5792" w:rsidRPr="002532DF">
        <w:rPr>
          <w:sz w:val="25"/>
          <w:szCs w:val="25"/>
        </w:rPr>
        <w:t>he Company argues the proposed adjustment departs from its process of modeling power costs on a normalized basis.</w:t>
      </w:r>
      <w:r w:rsidR="00FB5792" w:rsidRPr="002532DF">
        <w:rPr>
          <w:rStyle w:val="FootnoteReference"/>
          <w:sz w:val="25"/>
          <w:szCs w:val="25"/>
        </w:rPr>
        <w:footnoteReference w:id="194"/>
      </w:r>
      <w:r w:rsidR="00FB5792" w:rsidRPr="002532DF">
        <w:rPr>
          <w:sz w:val="25"/>
          <w:szCs w:val="25"/>
        </w:rPr>
        <w:t xml:space="preserve">  </w:t>
      </w:r>
      <w:r w:rsidR="00253F0F" w:rsidRPr="002532DF">
        <w:rPr>
          <w:sz w:val="25"/>
          <w:szCs w:val="25"/>
        </w:rPr>
        <w:t>It claims</w:t>
      </w:r>
      <w:r w:rsidR="00FB5792" w:rsidRPr="002532DF">
        <w:rPr>
          <w:sz w:val="25"/>
          <w:szCs w:val="25"/>
        </w:rPr>
        <w:t xml:space="preserve"> that it cannot model constraints, forward price curves, or loads used by the counterparties because it cannot get that proprietary data and can only assume that all participants in the same market are rational and will exercise their contractual rights in a manner that lowers their costs.</w:t>
      </w:r>
      <w:r w:rsidR="00FB5792" w:rsidRPr="002532DF">
        <w:rPr>
          <w:rStyle w:val="FootnoteReference"/>
          <w:sz w:val="25"/>
          <w:szCs w:val="25"/>
        </w:rPr>
        <w:footnoteReference w:id="195"/>
      </w:r>
      <w:r w:rsidR="00FB5792" w:rsidRPr="002532DF">
        <w:rPr>
          <w:sz w:val="25"/>
          <w:szCs w:val="25"/>
        </w:rPr>
        <w:t xml:space="preserve">  </w:t>
      </w:r>
    </w:p>
    <w:p w:rsidR="00C62D1E" w:rsidRPr="002532DF" w:rsidRDefault="00C62D1E" w:rsidP="00817E21">
      <w:pPr>
        <w:spacing w:line="276" w:lineRule="auto"/>
        <w:rPr>
          <w:sz w:val="25"/>
          <w:szCs w:val="25"/>
        </w:rPr>
      </w:pPr>
    </w:p>
    <w:p w:rsidR="00556409" w:rsidRPr="002532DF" w:rsidRDefault="00AA0565" w:rsidP="00AD0B90">
      <w:pPr>
        <w:numPr>
          <w:ilvl w:val="0"/>
          <w:numId w:val="1"/>
        </w:numPr>
        <w:tabs>
          <w:tab w:val="clear" w:pos="720"/>
          <w:tab w:val="num" w:pos="0"/>
        </w:tabs>
        <w:spacing w:line="276" w:lineRule="auto"/>
        <w:ind w:left="0"/>
        <w:rPr>
          <w:b/>
          <w:sz w:val="25"/>
          <w:szCs w:val="25"/>
        </w:rPr>
      </w:pPr>
      <w:r w:rsidRPr="002532DF">
        <w:rPr>
          <w:sz w:val="25"/>
          <w:szCs w:val="25"/>
        </w:rPr>
        <w:t>Third, t</w:t>
      </w:r>
      <w:r w:rsidR="00FB5792" w:rsidRPr="002532DF">
        <w:rPr>
          <w:sz w:val="25"/>
          <w:szCs w:val="25"/>
        </w:rPr>
        <w:t>he Company contends that the model includes both the firm and the provisional features of the contract but that ICNU only addresses the firm feature in its adjustment.</w:t>
      </w:r>
      <w:r w:rsidR="00FB5792" w:rsidRPr="002532DF">
        <w:rPr>
          <w:rStyle w:val="FootnoteReference"/>
          <w:sz w:val="25"/>
          <w:szCs w:val="25"/>
        </w:rPr>
        <w:footnoteReference w:id="196"/>
      </w:r>
      <w:r w:rsidR="00FB5792" w:rsidRPr="002532DF">
        <w:rPr>
          <w:sz w:val="25"/>
          <w:szCs w:val="25"/>
        </w:rPr>
        <w:t xml:space="preserve">  The Company states that the </w:t>
      </w:r>
      <w:r w:rsidR="00253F0F" w:rsidRPr="002532DF">
        <w:rPr>
          <w:sz w:val="25"/>
          <w:szCs w:val="25"/>
        </w:rPr>
        <w:t xml:space="preserve">contract’s </w:t>
      </w:r>
      <w:r w:rsidR="00FB5792" w:rsidRPr="002532DF">
        <w:rPr>
          <w:sz w:val="25"/>
          <w:szCs w:val="25"/>
        </w:rPr>
        <w:t>provisional feature allows SMUD the right to take provisional power under the terms of the contract and return the power to the Company the following year.</w:t>
      </w:r>
      <w:r w:rsidR="00FB5792" w:rsidRPr="002532DF">
        <w:rPr>
          <w:rStyle w:val="FootnoteReference"/>
          <w:sz w:val="25"/>
          <w:szCs w:val="25"/>
        </w:rPr>
        <w:footnoteReference w:id="197"/>
      </w:r>
      <w:r w:rsidR="00FB5792" w:rsidRPr="002532DF">
        <w:rPr>
          <w:sz w:val="25"/>
          <w:szCs w:val="25"/>
        </w:rPr>
        <w:t xml:space="preserve">  </w:t>
      </w:r>
      <w:r w:rsidR="00253F0F" w:rsidRPr="002532DF">
        <w:rPr>
          <w:sz w:val="25"/>
          <w:szCs w:val="25"/>
        </w:rPr>
        <w:t>It</w:t>
      </w:r>
      <w:r w:rsidR="00FB5792" w:rsidRPr="002532DF">
        <w:rPr>
          <w:sz w:val="25"/>
          <w:szCs w:val="25"/>
        </w:rPr>
        <w:t xml:space="preserve"> argues </w:t>
      </w:r>
      <w:r w:rsidR="00253F0F" w:rsidRPr="002532DF">
        <w:rPr>
          <w:sz w:val="25"/>
          <w:szCs w:val="25"/>
        </w:rPr>
        <w:t xml:space="preserve">that </w:t>
      </w:r>
      <w:r w:rsidR="00FB5792" w:rsidRPr="002532DF">
        <w:rPr>
          <w:sz w:val="25"/>
          <w:szCs w:val="25"/>
        </w:rPr>
        <w:t xml:space="preserve">an examination of the </w:t>
      </w:r>
      <w:r w:rsidR="00253F0F" w:rsidRPr="002532DF">
        <w:rPr>
          <w:sz w:val="25"/>
          <w:szCs w:val="25"/>
        </w:rPr>
        <w:t xml:space="preserve">contract’s </w:t>
      </w:r>
      <w:r w:rsidR="00FB5792" w:rsidRPr="002532DF">
        <w:rPr>
          <w:sz w:val="25"/>
          <w:szCs w:val="25"/>
        </w:rPr>
        <w:t xml:space="preserve">provisional and firm power features </w:t>
      </w:r>
      <w:r w:rsidR="00253F0F" w:rsidRPr="002532DF">
        <w:rPr>
          <w:sz w:val="25"/>
          <w:szCs w:val="25"/>
        </w:rPr>
        <w:t xml:space="preserve">would </w:t>
      </w:r>
      <w:r w:rsidR="00FB5792" w:rsidRPr="002532DF">
        <w:rPr>
          <w:sz w:val="25"/>
          <w:szCs w:val="25"/>
        </w:rPr>
        <w:t xml:space="preserve">support the </w:t>
      </w:r>
      <w:r w:rsidR="00995B37" w:rsidRPr="002532DF">
        <w:rPr>
          <w:sz w:val="25"/>
          <w:szCs w:val="25"/>
        </w:rPr>
        <w:t>GRID’s conclusions as to power deliver</w:t>
      </w:r>
      <w:r w:rsidR="0067439E" w:rsidRPr="002532DF">
        <w:rPr>
          <w:sz w:val="25"/>
          <w:szCs w:val="25"/>
        </w:rPr>
        <w:t>ies</w:t>
      </w:r>
      <w:r w:rsidR="00995B37" w:rsidRPr="002532DF">
        <w:rPr>
          <w:sz w:val="25"/>
          <w:szCs w:val="25"/>
        </w:rPr>
        <w:t xml:space="preserve"> made to the</w:t>
      </w:r>
      <w:r w:rsidR="00FB5792" w:rsidRPr="002532DF">
        <w:rPr>
          <w:sz w:val="25"/>
          <w:szCs w:val="25"/>
        </w:rPr>
        <w:t xml:space="preserve"> SMUD under the contract</w:t>
      </w:r>
      <w:r w:rsidR="00995B37" w:rsidRPr="002532DF">
        <w:rPr>
          <w:sz w:val="25"/>
          <w:szCs w:val="25"/>
        </w:rPr>
        <w:t>.</w:t>
      </w:r>
      <w:r w:rsidR="00FB5792" w:rsidRPr="002532DF">
        <w:rPr>
          <w:rStyle w:val="FootnoteReference"/>
          <w:sz w:val="25"/>
          <w:szCs w:val="25"/>
        </w:rPr>
        <w:footnoteReference w:id="198"/>
      </w:r>
    </w:p>
    <w:p w:rsidR="003D6299" w:rsidRPr="002532DF" w:rsidRDefault="003D6299" w:rsidP="003D6299">
      <w:pPr>
        <w:spacing w:line="276" w:lineRule="auto"/>
        <w:ind w:left="-720"/>
        <w:rPr>
          <w:b/>
          <w:sz w:val="25"/>
          <w:szCs w:val="25"/>
        </w:rPr>
      </w:pPr>
    </w:p>
    <w:p w:rsidR="00B91B67" w:rsidRPr="002532DF" w:rsidRDefault="00D17347" w:rsidP="00AD0B90">
      <w:pPr>
        <w:numPr>
          <w:ilvl w:val="0"/>
          <w:numId w:val="1"/>
        </w:numPr>
        <w:tabs>
          <w:tab w:val="clear" w:pos="720"/>
          <w:tab w:val="num" w:pos="0"/>
        </w:tabs>
        <w:spacing w:line="276" w:lineRule="auto"/>
        <w:ind w:left="0"/>
        <w:rPr>
          <w:b/>
          <w:sz w:val="25"/>
          <w:szCs w:val="25"/>
        </w:rPr>
      </w:pPr>
      <w:r w:rsidRPr="002532DF">
        <w:rPr>
          <w:i/>
          <w:sz w:val="25"/>
          <w:szCs w:val="25"/>
        </w:rPr>
        <w:t xml:space="preserve">Commission Decision. </w:t>
      </w:r>
      <w:r w:rsidR="00E13B85">
        <w:rPr>
          <w:i/>
          <w:sz w:val="25"/>
          <w:szCs w:val="25"/>
        </w:rPr>
        <w:t xml:space="preserve"> </w:t>
      </w:r>
      <w:r w:rsidR="001303D3" w:rsidRPr="002532DF">
        <w:rPr>
          <w:sz w:val="25"/>
          <w:szCs w:val="25"/>
        </w:rPr>
        <w:t>W</w:t>
      </w:r>
      <w:r w:rsidR="00B91B67" w:rsidRPr="002532DF">
        <w:rPr>
          <w:sz w:val="25"/>
          <w:szCs w:val="25"/>
        </w:rPr>
        <w:t xml:space="preserve">e are asked again to select between the GRID model’s results </w:t>
      </w:r>
      <w:r w:rsidR="00766CCD">
        <w:rPr>
          <w:sz w:val="25"/>
          <w:szCs w:val="25"/>
        </w:rPr>
        <w:t>and</w:t>
      </w:r>
      <w:r w:rsidR="00B91B67" w:rsidRPr="002532DF">
        <w:rPr>
          <w:sz w:val="25"/>
          <w:szCs w:val="25"/>
        </w:rPr>
        <w:t xml:space="preserve"> an adjustment based on historic normalized data.  </w:t>
      </w:r>
      <w:r w:rsidR="00E13B85">
        <w:rPr>
          <w:sz w:val="25"/>
          <w:szCs w:val="25"/>
        </w:rPr>
        <w:t>A sharp</w:t>
      </w:r>
      <w:r w:rsidR="003D6299" w:rsidRPr="002532DF">
        <w:rPr>
          <w:sz w:val="25"/>
          <w:szCs w:val="25"/>
        </w:rPr>
        <w:t xml:space="preserve"> contrast </w:t>
      </w:r>
      <w:r w:rsidR="00E13B85">
        <w:rPr>
          <w:sz w:val="25"/>
          <w:szCs w:val="25"/>
        </w:rPr>
        <w:t xml:space="preserve">exists </w:t>
      </w:r>
      <w:r w:rsidR="003D6299" w:rsidRPr="002532DF">
        <w:rPr>
          <w:sz w:val="25"/>
          <w:szCs w:val="25"/>
        </w:rPr>
        <w:t xml:space="preserve">between </w:t>
      </w:r>
      <w:r w:rsidR="00B91B67" w:rsidRPr="002532DF">
        <w:rPr>
          <w:sz w:val="25"/>
          <w:szCs w:val="25"/>
        </w:rPr>
        <w:t xml:space="preserve">actual deliveries under </w:t>
      </w:r>
      <w:r w:rsidR="003D6299" w:rsidRPr="002532DF">
        <w:rPr>
          <w:sz w:val="25"/>
          <w:szCs w:val="25"/>
        </w:rPr>
        <w:t xml:space="preserve">the SMUD contract </w:t>
      </w:r>
      <w:r w:rsidR="00B91B67" w:rsidRPr="002532DF">
        <w:rPr>
          <w:sz w:val="25"/>
          <w:szCs w:val="25"/>
        </w:rPr>
        <w:t xml:space="preserve">and those projected by the GRID model, and the Company’s </w:t>
      </w:r>
      <w:r w:rsidR="003D6299" w:rsidRPr="002532DF">
        <w:rPr>
          <w:sz w:val="25"/>
          <w:szCs w:val="25"/>
        </w:rPr>
        <w:t xml:space="preserve">statement that it cannot model constraints, forward price curves, or loads used by a third-party further weakens the support for using the model’s results.  </w:t>
      </w:r>
      <w:r w:rsidR="00B91B67" w:rsidRPr="002532DF">
        <w:rPr>
          <w:sz w:val="25"/>
          <w:szCs w:val="25"/>
        </w:rPr>
        <w:t>When confronted with similar decisions, we give greater weight to actual results unless they are proven to be unreliable.</w:t>
      </w:r>
      <w:r w:rsidR="003D6299" w:rsidRPr="002532DF">
        <w:rPr>
          <w:sz w:val="25"/>
          <w:szCs w:val="25"/>
        </w:rPr>
        <w:t xml:space="preserve"> </w:t>
      </w:r>
      <w:r w:rsidR="00B91B67" w:rsidRPr="002532DF">
        <w:rPr>
          <w:sz w:val="25"/>
          <w:szCs w:val="25"/>
        </w:rPr>
        <w:t xml:space="preserve"> </w:t>
      </w:r>
      <w:r w:rsidR="00E13B85">
        <w:rPr>
          <w:sz w:val="25"/>
          <w:szCs w:val="25"/>
        </w:rPr>
        <w:t>T</w:t>
      </w:r>
      <w:r w:rsidR="00B91B67" w:rsidRPr="002532DF">
        <w:rPr>
          <w:sz w:val="25"/>
          <w:szCs w:val="25"/>
        </w:rPr>
        <w:t xml:space="preserve">he Company raised questions </w:t>
      </w:r>
      <w:r w:rsidR="00E13B85">
        <w:rPr>
          <w:sz w:val="25"/>
          <w:szCs w:val="25"/>
        </w:rPr>
        <w:t>about</w:t>
      </w:r>
      <w:r w:rsidR="00B91B67" w:rsidRPr="002532DF">
        <w:rPr>
          <w:sz w:val="25"/>
          <w:szCs w:val="25"/>
        </w:rPr>
        <w:t xml:space="preserve"> how the SMUD would take power under the agreement </w:t>
      </w:r>
      <w:r w:rsidR="00E13B85">
        <w:rPr>
          <w:sz w:val="25"/>
          <w:szCs w:val="25"/>
        </w:rPr>
        <w:t xml:space="preserve">but did not challenge </w:t>
      </w:r>
      <w:r w:rsidR="00B91B67" w:rsidRPr="002532DF">
        <w:rPr>
          <w:sz w:val="25"/>
          <w:szCs w:val="25"/>
        </w:rPr>
        <w:t xml:space="preserve">the actual data </w:t>
      </w:r>
      <w:r w:rsidR="00E13B85">
        <w:rPr>
          <w:sz w:val="25"/>
          <w:szCs w:val="25"/>
        </w:rPr>
        <w:t>on which</w:t>
      </w:r>
      <w:r w:rsidR="00B91B67" w:rsidRPr="002532DF">
        <w:rPr>
          <w:sz w:val="25"/>
          <w:szCs w:val="25"/>
        </w:rPr>
        <w:t xml:space="preserve"> Staff and ICNU </w:t>
      </w:r>
      <w:r w:rsidR="00E13B85">
        <w:rPr>
          <w:sz w:val="25"/>
          <w:szCs w:val="25"/>
        </w:rPr>
        <w:t>rely</w:t>
      </w:r>
      <w:r w:rsidR="00B91B67" w:rsidRPr="002532DF">
        <w:rPr>
          <w:sz w:val="25"/>
          <w:szCs w:val="25"/>
        </w:rPr>
        <w:t xml:space="preserve">. </w:t>
      </w:r>
    </w:p>
    <w:p w:rsidR="00E10BDB" w:rsidRPr="002532DF" w:rsidRDefault="00E10BDB" w:rsidP="00E10BDB">
      <w:pPr>
        <w:spacing w:line="276" w:lineRule="auto"/>
        <w:ind w:left="-720"/>
        <w:rPr>
          <w:b/>
          <w:sz w:val="25"/>
          <w:szCs w:val="25"/>
        </w:rPr>
      </w:pPr>
    </w:p>
    <w:p w:rsidR="00E13B85" w:rsidRPr="00E77D4E" w:rsidRDefault="00B91B67" w:rsidP="00AD0B90">
      <w:pPr>
        <w:numPr>
          <w:ilvl w:val="0"/>
          <w:numId w:val="1"/>
        </w:numPr>
        <w:tabs>
          <w:tab w:val="clear" w:pos="720"/>
          <w:tab w:val="num" w:pos="0"/>
        </w:tabs>
        <w:spacing w:line="276" w:lineRule="auto"/>
        <w:ind w:left="0"/>
        <w:rPr>
          <w:b/>
          <w:sz w:val="25"/>
          <w:szCs w:val="25"/>
        </w:rPr>
      </w:pPr>
      <w:r w:rsidRPr="002532DF">
        <w:rPr>
          <w:sz w:val="25"/>
          <w:szCs w:val="25"/>
        </w:rPr>
        <w:t xml:space="preserve">We conclude that the Company did not demonstrate that the GRID effectively models the SMUD contract’s actual impacts.  </w:t>
      </w:r>
      <w:r w:rsidR="00E10BDB" w:rsidRPr="002532DF">
        <w:rPr>
          <w:sz w:val="25"/>
          <w:szCs w:val="25"/>
        </w:rPr>
        <w:t xml:space="preserve">The Company </w:t>
      </w:r>
      <w:r w:rsidR="00E13B85">
        <w:rPr>
          <w:sz w:val="25"/>
          <w:szCs w:val="25"/>
        </w:rPr>
        <w:t xml:space="preserve">attempts to bolster its position </w:t>
      </w:r>
      <w:r w:rsidR="00E10BDB" w:rsidRPr="002532DF">
        <w:rPr>
          <w:sz w:val="25"/>
          <w:szCs w:val="25"/>
        </w:rPr>
        <w:t>by citing the importance of using SMUD’s pattern of use under the provisional call option to determine SMUD’s pattern of use under the demand portion of the contract.  This argument is misplaced</w:t>
      </w:r>
      <w:r w:rsidRPr="002532DF">
        <w:rPr>
          <w:sz w:val="25"/>
          <w:szCs w:val="25"/>
        </w:rPr>
        <w:t xml:space="preserve"> because</w:t>
      </w:r>
      <w:r w:rsidR="00E10BDB" w:rsidRPr="002532DF">
        <w:rPr>
          <w:sz w:val="25"/>
          <w:szCs w:val="25"/>
        </w:rPr>
        <w:t xml:space="preserve"> PacifiCorp does not propose to use provisional sales in </w:t>
      </w:r>
      <w:r w:rsidRPr="002532DF">
        <w:rPr>
          <w:sz w:val="25"/>
          <w:szCs w:val="25"/>
        </w:rPr>
        <w:t xml:space="preserve">its </w:t>
      </w:r>
      <w:r w:rsidR="00E10BDB" w:rsidRPr="002532DF">
        <w:rPr>
          <w:sz w:val="25"/>
          <w:szCs w:val="25"/>
        </w:rPr>
        <w:t xml:space="preserve">net power costs.  The </w:t>
      </w:r>
      <w:r w:rsidRPr="002532DF">
        <w:rPr>
          <w:sz w:val="25"/>
          <w:szCs w:val="25"/>
        </w:rPr>
        <w:t xml:space="preserve">real </w:t>
      </w:r>
      <w:r w:rsidR="00E10BDB" w:rsidRPr="002532DF">
        <w:rPr>
          <w:sz w:val="25"/>
          <w:szCs w:val="25"/>
        </w:rPr>
        <w:t xml:space="preserve">question is how to determine the </w:t>
      </w:r>
      <w:r w:rsidRPr="002532DF">
        <w:rPr>
          <w:sz w:val="25"/>
          <w:szCs w:val="25"/>
        </w:rPr>
        <w:t xml:space="preserve">effect of demand deliveries made under the </w:t>
      </w:r>
      <w:r w:rsidR="00E10BDB" w:rsidRPr="002532DF">
        <w:rPr>
          <w:sz w:val="25"/>
          <w:szCs w:val="25"/>
        </w:rPr>
        <w:t>SMUD contract</w:t>
      </w:r>
      <w:r w:rsidRPr="002532DF">
        <w:rPr>
          <w:sz w:val="25"/>
          <w:szCs w:val="25"/>
        </w:rPr>
        <w:t>.</w:t>
      </w:r>
      <w:r w:rsidR="00E10BDB" w:rsidRPr="002532DF">
        <w:rPr>
          <w:sz w:val="25"/>
          <w:szCs w:val="25"/>
        </w:rPr>
        <w:t xml:space="preserve">  To answer this question, we conclude that </w:t>
      </w:r>
      <w:r w:rsidRPr="002532DF">
        <w:rPr>
          <w:sz w:val="25"/>
          <w:szCs w:val="25"/>
        </w:rPr>
        <w:t xml:space="preserve">Staff and ICNU’s use of actual contract data to predict an outcome is correct and reasonably represents </w:t>
      </w:r>
      <w:r w:rsidR="0067439E" w:rsidRPr="002532DF">
        <w:rPr>
          <w:sz w:val="25"/>
          <w:szCs w:val="25"/>
        </w:rPr>
        <w:t xml:space="preserve">the </w:t>
      </w:r>
      <w:r w:rsidRPr="002532DF">
        <w:rPr>
          <w:sz w:val="25"/>
          <w:szCs w:val="25"/>
        </w:rPr>
        <w:t>SMUD’s demand under the contract.</w:t>
      </w:r>
      <w:r w:rsidRPr="002532DF">
        <w:rPr>
          <w:rStyle w:val="FootnoteReference"/>
          <w:sz w:val="25"/>
          <w:szCs w:val="25"/>
        </w:rPr>
        <w:t xml:space="preserve"> </w:t>
      </w:r>
      <w:r w:rsidRPr="002532DF">
        <w:rPr>
          <w:rStyle w:val="FootnoteReference"/>
          <w:sz w:val="25"/>
          <w:szCs w:val="25"/>
        </w:rPr>
        <w:footnoteReference w:id="199"/>
      </w:r>
      <w:r w:rsidRPr="002532DF">
        <w:rPr>
          <w:sz w:val="25"/>
          <w:szCs w:val="25"/>
        </w:rPr>
        <w:t xml:space="preserve"> </w:t>
      </w:r>
    </w:p>
    <w:p w:rsidR="00E13B85" w:rsidRDefault="00E13B85" w:rsidP="00E77D4E">
      <w:pPr>
        <w:pStyle w:val="ListParagraph"/>
        <w:rPr>
          <w:sz w:val="25"/>
          <w:szCs w:val="25"/>
        </w:rPr>
      </w:pPr>
    </w:p>
    <w:p w:rsidR="006E0EDA" w:rsidRPr="002532DF" w:rsidRDefault="00E13B85" w:rsidP="00AD0B90">
      <w:pPr>
        <w:numPr>
          <w:ilvl w:val="0"/>
          <w:numId w:val="1"/>
        </w:numPr>
        <w:tabs>
          <w:tab w:val="clear" w:pos="720"/>
          <w:tab w:val="num" w:pos="0"/>
        </w:tabs>
        <w:spacing w:line="276" w:lineRule="auto"/>
        <w:ind w:left="0"/>
        <w:rPr>
          <w:b/>
          <w:sz w:val="25"/>
          <w:szCs w:val="25"/>
        </w:rPr>
      </w:pPr>
      <w:r>
        <w:rPr>
          <w:sz w:val="25"/>
          <w:szCs w:val="25"/>
        </w:rPr>
        <w:t>Accordingly, we</w:t>
      </w:r>
      <w:r w:rsidR="006E0EDA" w:rsidRPr="002532DF">
        <w:rPr>
          <w:sz w:val="25"/>
          <w:szCs w:val="25"/>
        </w:rPr>
        <w:t xml:space="preserve"> require PacifiCorp to incorporate Staff’s SMUD contact demand shape into the balancing adjustment required by this Order.  We recognize that the amount of this adjustment cannot be calculated with specificity until all changes to the GRID model run are incorporated, but we estimate this adjustment will lower NPC </w:t>
      </w:r>
      <w:r w:rsidR="002B70FC" w:rsidRPr="002532DF">
        <w:rPr>
          <w:sz w:val="25"/>
          <w:szCs w:val="25"/>
        </w:rPr>
        <w:t xml:space="preserve">expense </w:t>
      </w:r>
      <w:r w:rsidR="006E0EDA" w:rsidRPr="002532DF">
        <w:rPr>
          <w:sz w:val="25"/>
          <w:szCs w:val="25"/>
        </w:rPr>
        <w:t>by $554,460.</w:t>
      </w:r>
    </w:p>
    <w:p w:rsidR="008A32B4" w:rsidRPr="002532DF" w:rsidRDefault="009106E3" w:rsidP="00D84BE4">
      <w:pPr>
        <w:pStyle w:val="Heading5"/>
        <w:ind w:left="1440" w:hanging="360"/>
        <w:rPr>
          <w:rFonts w:ascii="Times New Roman" w:hAnsi="Times New Roman"/>
          <w:i w:val="0"/>
          <w:sz w:val="25"/>
          <w:szCs w:val="25"/>
        </w:rPr>
      </w:pPr>
      <w:bookmarkStart w:id="32" w:name="_Toc288813735"/>
      <w:r w:rsidRPr="002532DF">
        <w:rPr>
          <w:rFonts w:ascii="Times New Roman" w:hAnsi="Times New Roman"/>
          <w:i w:val="0"/>
          <w:sz w:val="25"/>
          <w:szCs w:val="25"/>
        </w:rPr>
        <w:t>g</w:t>
      </w:r>
      <w:r w:rsidR="006723A4" w:rsidRPr="002532DF">
        <w:rPr>
          <w:rFonts w:ascii="Times New Roman" w:hAnsi="Times New Roman"/>
          <w:i w:val="0"/>
          <w:sz w:val="25"/>
          <w:szCs w:val="25"/>
        </w:rPr>
        <w:t>.</w:t>
      </w:r>
      <w:r w:rsidR="006723A4" w:rsidRPr="002532DF">
        <w:rPr>
          <w:rFonts w:ascii="Times New Roman" w:hAnsi="Times New Roman"/>
          <w:i w:val="0"/>
          <w:sz w:val="25"/>
          <w:szCs w:val="25"/>
        </w:rPr>
        <w:tab/>
        <w:t>Colstrip Outage</w:t>
      </w:r>
      <w:bookmarkEnd w:id="31"/>
      <w:bookmarkEnd w:id="32"/>
    </w:p>
    <w:p w:rsidR="008A32B4" w:rsidRDefault="008A32B4" w:rsidP="00583C8C">
      <w:pPr>
        <w:pStyle w:val="NoSpacing"/>
      </w:pPr>
    </w:p>
    <w:p w:rsidR="00E13B85" w:rsidRPr="00CE557B" w:rsidRDefault="00E13B85" w:rsidP="00583C8C">
      <w:pPr>
        <w:numPr>
          <w:ilvl w:val="0"/>
          <w:numId w:val="1"/>
        </w:numPr>
        <w:tabs>
          <w:tab w:val="clear" w:pos="720"/>
          <w:tab w:val="num" w:pos="0"/>
        </w:tabs>
        <w:spacing w:line="276" w:lineRule="auto"/>
        <w:ind w:left="0"/>
      </w:pPr>
      <w:r>
        <w:t>PacifiCorp generates a significant amount of its power at its Colstrip coal plant, which like all plants, is subject to outages.  The issue is how to compute the average outage rate for this plant as part of the Company’s NPC.</w:t>
      </w:r>
    </w:p>
    <w:p w:rsidR="00E13B85" w:rsidRPr="002532DF" w:rsidRDefault="00E13B85" w:rsidP="00583C8C">
      <w:pPr>
        <w:pStyle w:val="NoSpacing"/>
      </w:pPr>
    </w:p>
    <w:p w:rsidR="001B4814" w:rsidRDefault="008E74B6" w:rsidP="00AD0B90">
      <w:pPr>
        <w:numPr>
          <w:ilvl w:val="0"/>
          <w:numId w:val="1"/>
        </w:numPr>
        <w:tabs>
          <w:tab w:val="clear" w:pos="720"/>
          <w:tab w:val="num" w:pos="0"/>
        </w:tabs>
        <w:spacing w:line="276" w:lineRule="auto"/>
        <w:ind w:left="0"/>
        <w:rPr>
          <w:sz w:val="25"/>
          <w:szCs w:val="25"/>
        </w:rPr>
      </w:pPr>
      <w:r w:rsidRPr="002532DF">
        <w:rPr>
          <w:i/>
          <w:sz w:val="25"/>
          <w:szCs w:val="25"/>
        </w:rPr>
        <w:t>Positions of the Parties</w:t>
      </w:r>
      <w:r w:rsidRPr="002532DF">
        <w:rPr>
          <w:sz w:val="25"/>
          <w:szCs w:val="25"/>
        </w:rPr>
        <w:t xml:space="preserve">.  </w:t>
      </w:r>
      <w:r w:rsidR="0059416E" w:rsidRPr="002532DF">
        <w:rPr>
          <w:sz w:val="25"/>
          <w:szCs w:val="25"/>
        </w:rPr>
        <w:t>In 2009, PacifiCorp experienced a seven-month outage at Unit 4 of the Colstrip coal plant.</w:t>
      </w:r>
      <w:r w:rsidR="00C261CE" w:rsidRPr="002532DF">
        <w:rPr>
          <w:rStyle w:val="FootnoteReference"/>
          <w:sz w:val="25"/>
          <w:szCs w:val="25"/>
        </w:rPr>
        <w:footnoteReference w:id="200"/>
      </w:r>
      <w:r w:rsidR="0059416E" w:rsidRPr="002532DF">
        <w:rPr>
          <w:sz w:val="25"/>
          <w:szCs w:val="25"/>
        </w:rPr>
        <w:t xml:space="preserve">  The Company proposes to use the period 2006 through 2009 as the base for computing the average outage rate for this plant.</w:t>
      </w:r>
      <w:r w:rsidR="005102B9" w:rsidRPr="002532DF">
        <w:rPr>
          <w:rStyle w:val="FootnoteReference"/>
          <w:sz w:val="25"/>
          <w:szCs w:val="25"/>
        </w:rPr>
        <w:footnoteReference w:id="201"/>
      </w:r>
      <w:r w:rsidR="0059416E" w:rsidRPr="002532DF">
        <w:rPr>
          <w:sz w:val="25"/>
          <w:szCs w:val="25"/>
        </w:rPr>
        <w:t xml:space="preserve">  </w:t>
      </w:r>
    </w:p>
    <w:p w:rsidR="001B4814" w:rsidRDefault="001B4814" w:rsidP="00E77D4E">
      <w:pPr>
        <w:pStyle w:val="ListParagraph"/>
        <w:rPr>
          <w:sz w:val="25"/>
          <w:szCs w:val="25"/>
        </w:rPr>
      </w:pPr>
    </w:p>
    <w:p w:rsidR="00FB5792" w:rsidRPr="002532DF" w:rsidRDefault="0059416E" w:rsidP="00AD0B90">
      <w:pPr>
        <w:numPr>
          <w:ilvl w:val="0"/>
          <w:numId w:val="1"/>
        </w:numPr>
        <w:tabs>
          <w:tab w:val="clear" w:pos="720"/>
          <w:tab w:val="num" w:pos="0"/>
        </w:tabs>
        <w:spacing w:line="276" w:lineRule="auto"/>
        <w:ind w:left="0"/>
        <w:rPr>
          <w:sz w:val="25"/>
          <w:szCs w:val="25"/>
        </w:rPr>
      </w:pPr>
      <w:r w:rsidRPr="002532DF">
        <w:rPr>
          <w:sz w:val="25"/>
          <w:szCs w:val="25"/>
        </w:rPr>
        <w:t xml:space="preserve">Staff </w:t>
      </w:r>
      <w:r w:rsidR="00CA0172" w:rsidRPr="002532DF">
        <w:rPr>
          <w:sz w:val="25"/>
          <w:szCs w:val="25"/>
        </w:rPr>
        <w:t>believes</w:t>
      </w:r>
      <w:r w:rsidRPr="002532DF">
        <w:rPr>
          <w:sz w:val="25"/>
          <w:szCs w:val="25"/>
        </w:rPr>
        <w:t xml:space="preserve"> that </w:t>
      </w:r>
      <w:r w:rsidR="00CA0172" w:rsidRPr="002532DF">
        <w:rPr>
          <w:sz w:val="25"/>
          <w:szCs w:val="25"/>
        </w:rPr>
        <w:t>including the extraordinary 2009 period in the calculation of the plant’s</w:t>
      </w:r>
      <w:r w:rsidRPr="002532DF">
        <w:rPr>
          <w:sz w:val="25"/>
          <w:szCs w:val="25"/>
        </w:rPr>
        <w:t xml:space="preserve"> average outage rate would </w:t>
      </w:r>
      <w:r w:rsidR="00001D22" w:rsidRPr="002532DF">
        <w:rPr>
          <w:sz w:val="25"/>
          <w:szCs w:val="25"/>
        </w:rPr>
        <w:t>s</w:t>
      </w:r>
      <w:r w:rsidR="00CA0172" w:rsidRPr="002532DF">
        <w:rPr>
          <w:sz w:val="25"/>
          <w:szCs w:val="25"/>
        </w:rPr>
        <w:t>kew the outage average upward.</w:t>
      </w:r>
      <w:r w:rsidR="005102B9" w:rsidRPr="002532DF">
        <w:rPr>
          <w:rStyle w:val="FootnoteReference"/>
          <w:sz w:val="25"/>
          <w:szCs w:val="25"/>
        </w:rPr>
        <w:footnoteReference w:id="202"/>
      </w:r>
      <w:r w:rsidRPr="002532DF">
        <w:rPr>
          <w:sz w:val="25"/>
          <w:szCs w:val="25"/>
        </w:rPr>
        <w:t xml:space="preserve">  </w:t>
      </w:r>
      <w:r w:rsidR="00CA0172" w:rsidRPr="002532DF">
        <w:rPr>
          <w:sz w:val="25"/>
          <w:szCs w:val="25"/>
        </w:rPr>
        <w:t xml:space="preserve">This would increase the Company’s normalized net power costs, as the GRID model would seek to find replacement </w:t>
      </w:r>
      <w:r w:rsidR="00001D22" w:rsidRPr="002532DF">
        <w:rPr>
          <w:sz w:val="25"/>
          <w:szCs w:val="25"/>
        </w:rPr>
        <w:t>p</w:t>
      </w:r>
      <w:r w:rsidR="00CA0172" w:rsidRPr="002532DF">
        <w:rPr>
          <w:sz w:val="25"/>
          <w:szCs w:val="25"/>
        </w:rPr>
        <w:t>ower, which is available but at a higher cost.  In the alternative,</w:t>
      </w:r>
      <w:r w:rsidR="00FB5792" w:rsidRPr="002532DF">
        <w:rPr>
          <w:sz w:val="25"/>
          <w:szCs w:val="25"/>
        </w:rPr>
        <w:t xml:space="preserve"> Staff </w:t>
      </w:r>
      <w:r w:rsidRPr="002532DF">
        <w:rPr>
          <w:sz w:val="25"/>
          <w:szCs w:val="25"/>
        </w:rPr>
        <w:t>uses</w:t>
      </w:r>
      <w:r w:rsidR="00FB5792" w:rsidRPr="002532DF">
        <w:rPr>
          <w:sz w:val="25"/>
          <w:szCs w:val="25"/>
        </w:rPr>
        <w:t xml:space="preserve"> an average outage rate of eight percent in its calculation of Colstrip availability and contends that eight percent </w:t>
      </w:r>
      <w:r w:rsidR="00CA0172" w:rsidRPr="002532DF">
        <w:rPr>
          <w:sz w:val="25"/>
          <w:szCs w:val="25"/>
        </w:rPr>
        <w:t>better represents the outage rates experienced by other utilities that own a share of the Colstrip plants</w:t>
      </w:r>
      <w:r w:rsidR="0067439E" w:rsidRPr="002532DF">
        <w:rPr>
          <w:sz w:val="25"/>
          <w:szCs w:val="25"/>
        </w:rPr>
        <w:t>.</w:t>
      </w:r>
      <w:r w:rsidR="00FB5792" w:rsidRPr="002532DF">
        <w:rPr>
          <w:rStyle w:val="FootnoteReference"/>
          <w:sz w:val="25"/>
          <w:szCs w:val="25"/>
        </w:rPr>
        <w:footnoteReference w:id="203"/>
      </w:r>
      <w:r w:rsidR="00FB5792" w:rsidRPr="002532DF">
        <w:rPr>
          <w:sz w:val="25"/>
          <w:szCs w:val="25"/>
        </w:rPr>
        <w:t xml:space="preserve"> </w:t>
      </w:r>
      <w:r w:rsidRPr="002532DF">
        <w:rPr>
          <w:sz w:val="25"/>
          <w:szCs w:val="25"/>
        </w:rPr>
        <w:t xml:space="preserve"> Staff</w:t>
      </w:r>
      <w:r w:rsidR="00FD475E" w:rsidRPr="002532DF">
        <w:rPr>
          <w:sz w:val="25"/>
          <w:szCs w:val="25"/>
        </w:rPr>
        <w:t>’s</w:t>
      </w:r>
      <w:r w:rsidRPr="002532DF">
        <w:rPr>
          <w:sz w:val="25"/>
          <w:szCs w:val="25"/>
        </w:rPr>
        <w:t xml:space="preserve"> adjustment reduce</w:t>
      </w:r>
      <w:r w:rsidR="00FD475E" w:rsidRPr="002532DF">
        <w:rPr>
          <w:sz w:val="25"/>
          <w:szCs w:val="25"/>
        </w:rPr>
        <w:t>s</w:t>
      </w:r>
      <w:r w:rsidRPr="002532DF">
        <w:rPr>
          <w:sz w:val="25"/>
          <w:szCs w:val="25"/>
        </w:rPr>
        <w:t xml:space="preserve"> operating expense </w:t>
      </w:r>
      <w:r w:rsidR="00FD475E" w:rsidRPr="002532DF">
        <w:rPr>
          <w:sz w:val="25"/>
          <w:szCs w:val="25"/>
        </w:rPr>
        <w:t>by</w:t>
      </w:r>
      <w:r w:rsidRPr="002532DF">
        <w:rPr>
          <w:sz w:val="25"/>
          <w:szCs w:val="25"/>
        </w:rPr>
        <w:t xml:space="preserve"> $34</w:t>
      </w:r>
      <w:r w:rsidR="002B70FC" w:rsidRPr="002532DF">
        <w:rPr>
          <w:sz w:val="25"/>
          <w:szCs w:val="25"/>
        </w:rPr>
        <w:t>2,889</w:t>
      </w:r>
      <w:r w:rsidRPr="002532DF">
        <w:rPr>
          <w:sz w:val="25"/>
          <w:szCs w:val="25"/>
        </w:rPr>
        <w:t>.</w:t>
      </w:r>
      <w:r w:rsidRPr="002532DF">
        <w:rPr>
          <w:rStyle w:val="FootnoteReference"/>
          <w:sz w:val="25"/>
          <w:szCs w:val="25"/>
        </w:rPr>
        <w:footnoteReference w:id="204"/>
      </w:r>
      <w:r w:rsidR="004F115A" w:rsidRPr="002532DF">
        <w:rPr>
          <w:sz w:val="25"/>
          <w:szCs w:val="25"/>
        </w:rPr>
        <w:t xml:space="preserve">  </w:t>
      </w:r>
      <w:r w:rsidR="00FB5792" w:rsidRPr="002532DF">
        <w:rPr>
          <w:sz w:val="25"/>
          <w:szCs w:val="25"/>
        </w:rPr>
        <w:t xml:space="preserve">ICNU </w:t>
      </w:r>
      <w:r w:rsidR="00410281" w:rsidRPr="002532DF">
        <w:rPr>
          <w:sz w:val="25"/>
          <w:szCs w:val="25"/>
        </w:rPr>
        <w:t xml:space="preserve">also argues </w:t>
      </w:r>
      <w:r w:rsidR="00FD475E" w:rsidRPr="002532DF">
        <w:rPr>
          <w:sz w:val="25"/>
          <w:szCs w:val="25"/>
        </w:rPr>
        <w:t xml:space="preserve">against including the 2009 outage in the plant’s average outage calculation, concluding </w:t>
      </w:r>
      <w:r w:rsidR="00410281" w:rsidRPr="002532DF">
        <w:rPr>
          <w:sz w:val="25"/>
          <w:szCs w:val="25"/>
        </w:rPr>
        <w:t xml:space="preserve">that </w:t>
      </w:r>
      <w:r w:rsidR="00FD475E" w:rsidRPr="002532DF">
        <w:rPr>
          <w:sz w:val="25"/>
          <w:szCs w:val="25"/>
        </w:rPr>
        <w:t>the</w:t>
      </w:r>
      <w:r w:rsidR="00410281" w:rsidRPr="002532DF">
        <w:rPr>
          <w:sz w:val="25"/>
          <w:szCs w:val="25"/>
        </w:rPr>
        <w:t xml:space="preserve"> long outage </w:t>
      </w:r>
      <w:r w:rsidR="00FD475E" w:rsidRPr="002532DF">
        <w:rPr>
          <w:sz w:val="25"/>
          <w:szCs w:val="25"/>
        </w:rPr>
        <w:t xml:space="preserve">in 2009 </w:t>
      </w:r>
      <w:r w:rsidR="00410281" w:rsidRPr="002532DF">
        <w:rPr>
          <w:sz w:val="25"/>
          <w:szCs w:val="25"/>
        </w:rPr>
        <w:t>is “an extremely rare event” and not “likely to recur every four years.</w:t>
      </w:r>
      <w:r w:rsidR="00410281" w:rsidRPr="002532DF">
        <w:rPr>
          <w:rStyle w:val="FootnoteReference"/>
          <w:sz w:val="25"/>
          <w:szCs w:val="25"/>
        </w:rPr>
        <w:footnoteReference w:id="205"/>
      </w:r>
      <w:r w:rsidR="00410281" w:rsidRPr="002532DF">
        <w:rPr>
          <w:sz w:val="25"/>
          <w:szCs w:val="25"/>
        </w:rPr>
        <w:t xml:space="preserve"> </w:t>
      </w:r>
      <w:r w:rsidR="00305AEB" w:rsidRPr="002532DF">
        <w:rPr>
          <w:sz w:val="25"/>
          <w:szCs w:val="25"/>
        </w:rPr>
        <w:t xml:space="preserve"> </w:t>
      </w:r>
      <w:r w:rsidR="00410281" w:rsidRPr="002532DF">
        <w:rPr>
          <w:sz w:val="25"/>
          <w:szCs w:val="25"/>
        </w:rPr>
        <w:t>Therefore, ICNU proposes to cap the length of the outage at 28 days,</w:t>
      </w:r>
      <w:r w:rsidR="00410281" w:rsidRPr="002532DF">
        <w:rPr>
          <w:rStyle w:val="FootnoteReference"/>
          <w:sz w:val="25"/>
          <w:szCs w:val="25"/>
        </w:rPr>
        <w:footnoteReference w:id="206"/>
      </w:r>
      <w:r w:rsidR="00410281" w:rsidRPr="002532DF">
        <w:rPr>
          <w:sz w:val="25"/>
          <w:szCs w:val="25"/>
        </w:rPr>
        <w:t xml:space="preserve"> resulting in a</w:t>
      </w:r>
      <w:r w:rsidR="00FD475E" w:rsidRPr="002532DF">
        <w:rPr>
          <w:sz w:val="25"/>
          <w:szCs w:val="25"/>
        </w:rPr>
        <w:t xml:space="preserve">n operating expense </w:t>
      </w:r>
      <w:r w:rsidR="00410281" w:rsidRPr="002532DF">
        <w:rPr>
          <w:sz w:val="25"/>
          <w:szCs w:val="25"/>
        </w:rPr>
        <w:t>reduction of</w:t>
      </w:r>
      <w:r w:rsidR="00FB5792" w:rsidRPr="002532DF">
        <w:rPr>
          <w:sz w:val="25"/>
          <w:szCs w:val="25"/>
        </w:rPr>
        <w:t xml:space="preserve"> $376,492.</w:t>
      </w:r>
      <w:r w:rsidR="00993FD0" w:rsidRPr="002532DF">
        <w:rPr>
          <w:rStyle w:val="FootnoteReference"/>
          <w:sz w:val="25"/>
          <w:szCs w:val="25"/>
        </w:rPr>
        <w:footnoteReference w:id="207"/>
      </w:r>
      <w:r w:rsidR="00FB5792" w:rsidRPr="002532DF">
        <w:rPr>
          <w:sz w:val="25"/>
          <w:szCs w:val="25"/>
        </w:rPr>
        <w:t xml:space="preserve"> </w:t>
      </w:r>
    </w:p>
    <w:p w:rsidR="00C62D1E" w:rsidRPr="002532DF" w:rsidRDefault="00C62D1E" w:rsidP="00817E21">
      <w:pPr>
        <w:spacing w:line="276" w:lineRule="auto"/>
        <w:rPr>
          <w:sz w:val="25"/>
          <w:szCs w:val="25"/>
        </w:rPr>
      </w:pPr>
    </w:p>
    <w:p w:rsidR="006723A4" w:rsidRPr="002532DF" w:rsidRDefault="00FB5792" w:rsidP="00AD0B90">
      <w:pPr>
        <w:numPr>
          <w:ilvl w:val="0"/>
          <w:numId w:val="1"/>
        </w:numPr>
        <w:tabs>
          <w:tab w:val="clear" w:pos="720"/>
          <w:tab w:val="num" w:pos="0"/>
        </w:tabs>
        <w:spacing w:line="276" w:lineRule="auto"/>
        <w:ind w:left="0"/>
        <w:rPr>
          <w:sz w:val="25"/>
          <w:szCs w:val="25"/>
        </w:rPr>
      </w:pPr>
      <w:r w:rsidRPr="002532DF">
        <w:rPr>
          <w:sz w:val="25"/>
          <w:szCs w:val="25"/>
        </w:rPr>
        <w:t>In rebuttal</w:t>
      </w:r>
      <w:r w:rsidR="00FD475E" w:rsidRPr="002532DF">
        <w:rPr>
          <w:sz w:val="25"/>
          <w:szCs w:val="25"/>
        </w:rPr>
        <w:t xml:space="preserve"> testimony</w:t>
      </w:r>
      <w:r w:rsidRPr="002532DF">
        <w:rPr>
          <w:sz w:val="25"/>
          <w:szCs w:val="25"/>
        </w:rPr>
        <w:t xml:space="preserve">, the Company </w:t>
      </w:r>
      <w:r w:rsidR="00FD475E" w:rsidRPr="002532DF">
        <w:rPr>
          <w:sz w:val="25"/>
          <w:szCs w:val="25"/>
        </w:rPr>
        <w:t xml:space="preserve">argues that Staff and ICNU’s adjustments are </w:t>
      </w:r>
      <w:r w:rsidRPr="002532DF">
        <w:rPr>
          <w:sz w:val="25"/>
          <w:szCs w:val="25"/>
        </w:rPr>
        <w:t xml:space="preserve">unfair </w:t>
      </w:r>
      <w:r w:rsidR="00FD475E" w:rsidRPr="002532DF">
        <w:rPr>
          <w:sz w:val="25"/>
          <w:szCs w:val="25"/>
        </w:rPr>
        <w:t xml:space="preserve">because they </w:t>
      </w:r>
      <w:r w:rsidRPr="002532DF">
        <w:rPr>
          <w:sz w:val="25"/>
          <w:szCs w:val="25"/>
        </w:rPr>
        <w:t>selectively remove data that would lower forced outage rates and thereby eliminate the opportunity for the forced outage rates to fluctuate with actual data.</w:t>
      </w:r>
      <w:r w:rsidRPr="002532DF">
        <w:rPr>
          <w:rStyle w:val="FootnoteReference"/>
          <w:sz w:val="25"/>
          <w:szCs w:val="25"/>
        </w:rPr>
        <w:footnoteReference w:id="208"/>
      </w:r>
    </w:p>
    <w:p w:rsidR="006E0EDA" w:rsidRPr="002532DF" w:rsidRDefault="006E0EDA" w:rsidP="006E0EDA">
      <w:pPr>
        <w:spacing w:line="276" w:lineRule="auto"/>
        <w:ind w:left="-720"/>
        <w:rPr>
          <w:sz w:val="25"/>
          <w:szCs w:val="25"/>
        </w:rPr>
      </w:pPr>
    </w:p>
    <w:p w:rsidR="006E0EDA" w:rsidRPr="002532DF" w:rsidRDefault="00D17347" w:rsidP="00AD0B90">
      <w:pPr>
        <w:numPr>
          <w:ilvl w:val="0"/>
          <w:numId w:val="1"/>
        </w:numPr>
        <w:tabs>
          <w:tab w:val="clear" w:pos="720"/>
          <w:tab w:val="num" w:pos="0"/>
        </w:tabs>
        <w:spacing w:line="276" w:lineRule="auto"/>
        <w:ind w:left="0"/>
        <w:rPr>
          <w:sz w:val="25"/>
          <w:szCs w:val="25"/>
        </w:rPr>
      </w:pPr>
      <w:r w:rsidRPr="002532DF">
        <w:rPr>
          <w:i/>
          <w:sz w:val="25"/>
          <w:szCs w:val="25"/>
        </w:rPr>
        <w:t xml:space="preserve">Commission Decision. </w:t>
      </w:r>
      <w:r w:rsidR="00583C8C">
        <w:rPr>
          <w:i/>
          <w:sz w:val="25"/>
          <w:szCs w:val="25"/>
        </w:rPr>
        <w:t xml:space="preserve"> </w:t>
      </w:r>
      <w:r w:rsidR="006E0EDA" w:rsidRPr="002532DF">
        <w:rPr>
          <w:sz w:val="25"/>
          <w:szCs w:val="25"/>
        </w:rPr>
        <w:t>The dispute before us is how to set an annual outage rate in light of a single, large, anomalous event.  We agree with Staff that the purpose of establishing an annual outage rate is to represent expected outage levels during the rate year.  PacifiCorp does not dispute that the approximately seven month outage is an anomaly.  ICNU</w:t>
      </w:r>
      <w:r w:rsidR="00410281" w:rsidRPr="002532DF">
        <w:rPr>
          <w:sz w:val="25"/>
          <w:szCs w:val="25"/>
        </w:rPr>
        <w:t>’s proposal to</w:t>
      </w:r>
      <w:r w:rsidR="006E0EDA" w:rsidRPr="002532DF">
        <w:rPr>
          <w:sz w:val="25"/>
          <w:szCs w:val="25"/>
        </w:rPr>
        <w:t xml:space="preserve"> remove all outages longer than 28 days</w:t>
      </w:r>
      <w:r w:rsidR="00410281" w:rsidRPr="002532DF">
        <w:rPr>
          <w:sz w:val="25"/>
          <w:szCs w:val="25"/>
        </w:rPr>
        <w:t xml:space="preserve"> addresses the issue, </w:t>
      </w:r>
      <w:r w:rsidR="007A6191" w:rsidRPr="002532DF">
        <w:rPr>
          <w:sz w:val="25"/>
          <w:szCs w:val="25"/>
        </w:rPr>
        <w:t>but</w:t>
      </w:r>
      <w:r w:rsidR="00DB3CF3" w:rsidRPr="002532DF">
        <w:rPr>
          <w:sz w:val="25"/>
          <w:szCs w:val="25"/>
        </w:rPr>
        <w:t xml:space="preserve"> lacks</w:t>
      </w:r>
      <w:r w:rsidR="00410281" w:rsidRPr="002532DF">
        <w:rPr>
          <w:sz w:val="25"/>
          <w:szCs w:val="25"/>
        </w:rPr>
        <w:t xml:space="preserve"> substantial justification</w:t>
      </w:r>
      <w:r w:rsidR="006E0EDA" w:rsidRPr="002532DF">
        <w:rPr>
          <w:sz w:val="25"/>
          <w:szCs w:val="25"/>
        </w:rPr>
        <w:t xml:space="preserve">. </w:t>
      </w:r>
    </w:p>
    <w:p w:rsidR="00414929" w:rsidRPr="002532DF" w:rsidRDefault="00414929" w:rsidP="00414929">
      <w:pPr>
        <w:spacing w:line="276" w:lineRule="auto"/>
        <w:ind w:left="-720"/>
        <w:rPr>
          <w:sz w:val="25"/>
          <w:szCs w:val="25"/>
        </w:rPr>
      </w:pPr>
    </w:p>
    <w:p w:rsidR="006E0EDA" w:rsidRPr="002532DF" w:rsidRDefault="006E0EDA" w:rsidP="00AD0B90">
      <w:pPr>
        <w:numPr>
          <w:ilvl w:val="0"/>
          <w:numId w:val="1"/>
        </w:numPr>
        <w:tabs>
          <w:tab w:val="clear" w:pos="720"/>
          <w:tab w:val="num" w:pos="0"/>
        </w:tabs>
        <w:spacing w:line="276" w:lineRule="auto"/>
        <w:ind w:left="0"/>
        <w:rPr>
          <w:sz w:val="25"/>
          <w:szCs w:val="25"/>
        </w:rPr>
      </w:pPr>
      <w:r w:rsidRPr="002532DF">
        <w:rPr>
          <w:sz w:val="25"/>
          <w:szCs w:val="25"/>
        </w:rPr>
        <w:t xml:space="preserve">While Staff’s proposal is </w:t>
      </w:r>
      <w:r w:rsidR="00B951A0" w:rsidRPr="002532DF">
        <w:rPr>
          <w:sz w:val="25"/>
          <w:szCs w:val="25"/>
        </w:rPr>
        <w:t>not</w:t>
      </w:r>
      <w:r w:rsidR="00410281" w:rsidRPr="002532DF">
        <w:rPr>
          <w:sz w:val="25"/>
          <w:szCs w:val="25"/>
        </w:rPr>
        <w:t xml:space="preserve"> elaborately </w:t>
      </w:r>
      <w:r w:rsidRPr="002532DF">
        <w:rPr>
          <w:sz w:val="25"/>
          <w:szCs w:val="25"/>
        </w:rPr>
        <w:t xml:space="preserve">described, we conclude that it is a better approach than </w:t>
      </w:r>
      <w:r w:rsidR="002540E0" w:rsidRPr="002532DF">
        <w:rPr>
          <w:sz w:val="25"/>
          <w:szCs w:val="25"/>
        </w:rPr>
        <w:t xml:space="preserve">either </w:t>
      </w:r>
      <w:r w:rsidR="00820E9C" w:rsidRPr="002532DF">
        <w:rPr>
          <w:sz w:val="25"/>
          <w:szCs w:val="25"/>
        </w:rPr>
        <w:t xml:space="preserve">that </w:t>
      </w:r>
      <w:r w:rsidR="00FD475E" w:rsidRPr="002532DF">
        <w:rPr>
          <w:sz w:val="25"/>
          <w:szCs w:val="25"/>
        </w:rPr>
        <w:t>proposed by the</w:t>
      </w:r>
      <w:r w:rsidR="002540E0" w:rsidRPr="002532DF">
        <w:rPr>
          <w:sz w:val="25"/>
          <w:szCs w:val="25"/>
        </w:rPr>
        <w:t xml:space="preserve"> Company or ICNU</w:t>
      </w:r>
      <w:r w:rsidR="00216190" w:rsidRPr="002532DF">
        <w:rPr>
          <w:sz w:val="25"/>
          <w:szCs w:val="25"/>
        </w:rPr>
        <w:t xml:space="preserve"> </w:t>
      </w:r>
      <w:r w:rsidR="002540E0" w:rsidRPr="002532DF">
        <w:rPr>
          <w:sz w:val="25"/>
          <w:szCs w:val="25"/>
        </w:rPr>
        <w:t>and</w:t>
      </w:r>
      <w:r w:rsidR="00FD475E" w:rsidRPr="002532DF">
        <w:rPr>
          <w:sz w:val="25"/>
          <w:szCs w:val="25"/>
        </w:rPr>
        <w:t xml:space="preserve">, most importantly, is </w:t>
      </w:r>
      <w:r w:rsidR="002540E0" w:rsidRPr="002532DF">
        <w:rPr>
          <w:sz w:val="25"/>
          <w:szCs w:val="25"/>
        </w:rPr>
        <w:t xml:space="preserve">more predictive of what may occur in the future. </w:t>
      </w:r>
      <w:r w:rsidR="00FD475E" w:rsidRPr="002532DF">
        <w:rPr>
          <w:sz w:val="25"/>
          <w:szCs w:val="25"/>
        </w:rPr>
        <w:t>To calculate the impact of Staff’s eight percent outage rate, we require the Company to re-run the GRID model using this outage rate for Colstrip Unit 4.  Again, we recognize that the dollar amount of this adjust may vary as a result of other changes to the GRID model, and estimate that it will reduce NPC by $342,889.</w:t>
      </w:r>
    </w:p>
    <w:p w:rsidR="008A32B4" w:rsidRPr="002532DF" w:rsidRDefault="009106E3" w:rsidP="00D84BE4">
      <w:pPr>
        <w:pStyle w:val="Heading5"/>
        <w:ind w:left="1440" w:hanging="360"/>
        <w:rPr>
          <w:rFonts w:ascii="Times New Roman" w:hAnsi="Times New Roman"/>
          <w:i w:val="0"/>
          <w:sz w:val="25"/>
          <w:szCs w:val="25"/>
        </w:rPr>
      </w:pPr>
      <w:bookmarkStart w:id="33" w:name="_Toc168986370"/>
      <w:bookmarkStart w:id="34" w:name="_Toc288813736"/>
      <w:r w:rsidRPr="002532DF">
        <w:rPr>
          <w:rFonts w:ascii="Times New Roman" w:hAnsi="Times New Roman"/>
          <w:i w:val="0"/>
          <w:sz w:val="25"/>
          <w:szCs w:val="25"/>
        </w:rPr>
        <w:t>h</w:t>
      </w:r>
      <w:r w:rsidR="006723A4" w:rsidRPr="002532DF">
        <w:rPr>
          <w:rFonts w:ascii="Times New Roman" w:hAnsi="Times New Roman"/>
          <w:i w:val="0"/>
          <w:sz w:val="25"/>
          <w:szCs w:val="25"/>
        </w:rPr>
        <w:t>.</w:t>
      </w:r>
      <w:r w:rsidR="006723A4" w:rsidRPr="002532DF">
        <w:rPr>
          <w:rFonts w:ascii="Times New Roman" w:hAnsi="Times New Roman"/>
          <w:i w:val="0"/>
          <w:sz w:val="25"/>
          <w:szCs w:val="25"/>
        </w:rPr>
        <w:tab/>
        <w:t>Direct Current (DC) Intertie</w:t>
      </w:r>
      <w:bookmarkEnd w:id="33"/>
      <w:bookmarkEnd w:id="34"/>
    </w:p>
    <w:p w:rsidR="008A32B4" w:rsidRPr="002532DF" w:rsidRDefault="008A32B4" w:rsidP="00817E21">
      <w:pPr>
        <w:spacing w:line="276" w:lineRule="auto"/>
        <w:rPr>
          <w:b/>
          <w:sz w:val="25"/>
          <w:szCs w:val="25"/>
        </w:rPr>
      </w:pPr>
    </w:p>
    <w:p w:rsidR="001B4814" w:rsidRPr="00E77D4E" w:rsidRDefault="00934A46" w:rsidP="00AD0B90">
      <w:pPr>
        <w:numPr>
          <w:ilvl w:val="0"/>
          <w:numId w:val="1"/>
        </w:numPr>
        <w:tabs>
          <w:tab w:val="clear" w:pos="720"/>
          <w:tab w:val="num" w:pos="0"/>
        </w:tabs>
        <w:spacing w:line="276" w:lineRule="auto"/>
        <w:ind w:left="0"/>
        <w:rPr>
          <w:sz w:val="25"/>
          <w:szCs w:val="25"/>
        </w:rPr>
      </w:pPr>
      <w:r w:rsidRPr="002532DF">
        <w:rPr>
          <w:bCs/>
          <w:sz w:val="25"/>
          <w:szCs w:val="25"/>
        </w:rPr>
        <w:t xml:space="preserve">PacifiCorp currently has </w:t>
      </w:r>
      <w:r w:rsidR="001B4814">
        <w:rPr>
          <w:bCs/>
          <w:sz w:val="25"/>
          <w:szCs w:val="25"/>
        </w:rPr>
        <w:t xml:space="preserve">long-standing </w:t>
      </w:r>
      <w:r w:rsidRPr="002532DF">
        <w:rPr>
          <w:bCs/>
          <w:sz w:val="25"/>
          <w:szCs w:val="25"/>
        </w:rPr>
        <w:t xml:space="preserve">agreement with the BPA that provides </w:t>
      </w:r>
      <w:r w:rsidR="004234FA" w:rsidRPr="002532DF">
        <w:rPr>
          <w:bCs/>
          <w:sz w:val="25"/>
          <w:szCs w:val="25"/>
        </w:rPr>
        <w:t>transmission capacity</w:t>
      </w:r>
      <w:r w:rsidRPr="002532DF">
        <w:rPr>
          <w:bCs/>
          <w:sz w:val="25"/>
          <w:szCs w:val="25"/>
        </w:rPr>
        <w:t xml:space="preserve"> </w:t>
      </w:r>
      <w:r w:rsidR="00EA78A9" w:rsidRPr="002532DF">
        <w:rPr>
          <w:bCs/>
          <w:sz w:val="25"/>
          <w:szCs w:val="25"/>
        </w:rPr>
        <w:t xml:space="preserve">on BPA’s Direct Current (DC) Intertie </w:t>
      </w:r>
      <w:r w:rsidRPr="002532DF">
        <w:rPr>
          <w:bCs/>
          <w:sz w:val="25"/>
          <w:szCs w:val="25"/>
        </w:rPr>
        <w:t>from the Nevada-Oregon Border (NOB) to the Buckley substation</w:t>
      </w:r>
      <w:r w:rsidR="00EA78A9" w:rsidRPr="002532DF">
        <w:rPr>
          <w:bCs/>
          <w:sz w:val="25"/>
          <w:szCs w:val="25"/>
        </w:rPr>
        <w:t>.</w:t>
      </w:r>
      <w:r w:rsidR="00305AEB" w:rsidRPr="002532DF">
        <w:rPr>
          <w:bCs/>
          <w:sz w:val="25"/>
          <w:szCs w:val="25"/>
        </w:rPr>
        <w:t xml:space="preserve"> </w:t>
      </w:r>
      <w:r w:rsidRPr="002532DF">
        <w:rPr>
          <w:bCs/>
          <w:sz w:val="25"/>
          <w:szCs w:val="25"/>
        </w:rPr>
        <w:t xml:space="preserve"> </w:t>
      </w:r>
      <w:r w:rsidR="00EA78A9" w:rsidRPr="002532DF">
        <w:rPr>
          <w:bCs/>
          <w:sz w:val="25"/>
          <w:szCs w:val="25"/>
        </w:rPr>
        <w:t>PacifiCorp has BPA network transmission service from the Buckley substation to its system loads</w:t>
      </w:r>
      <w:r w:rsidR="004234FA" w:rsidRPr="002532DF">
        <w:rPr>
          <w:bCs/>
          <w:sz w:val="25"/>
          <w:szCs w:val="25"/>
        </w:rPr>
        <w:t>, which enables it to</w:t>
      </w:r>
      <w:r w:rsidR="00EA78A9" w:rsidRPr="002532DF">
        <w:rPr>
          <w:bCs/>
          <w:sz w:val="25"/>
          <w:szCs w:val="25"/>
        </w:rPr>
        <w:t xml:space="preserve"> make power purchases at </w:t>
      </w:r>
      <w:r w:rsidR="004234FA" w:rsidRPr="002532DF">
        <w:rPr>
          <w:bCs/>
          <w:sz w:val="25"/>
          <w:szCs w:val="25"/>
        </w:rPr>
        <w:t xml:space="preserve">the </w:t>
      </w:r>
      <w:r w:rsidR="00EA78A9" w:rsidRPr="002532DF">
        <w:rPr>
          <w:bCs/>
          <w:sz w:val="25"/>
          <w:szCs w:val="25"/>
        </w:rPr>
        <w:t>NOB.</w:t>
      </w:r>
      <w:r w:rsidRPr="002532DF">
        <w:rPr>
          <w:rStyle w:val="FootnoteReference"/>
          <w:bCs/>
          <w:sz w:val="25"/>
          <w:szCs w:val="25"/>
        </w:rPr>
        <w:footnoteReference w:id="209"/>
      </w:r>
      <w:r w:rsidRPr="002532DF">
        <w:rPr>
          <w:bCs/>
          <w:sz w:val="25"/>
          <w:szCs w:val="25"/>
        </w:rPr>
        <w:t xml:space="preserve">  </w:t>
      </w:r>
    </w:p>
    <w:p w:rsidR="001B4814" w:rsidRPr="00E77D4E" w:rsidRDefault="001B4814" w:rsidP="00E77D4E">
      <w:pPr>
        <w:spacing w:line="276" w:lineRule="auto"/>
        <w:ind w:left="-720"/>
        <w:rPr>
          <w:sz w:val="25"/>
          <w:szCs w:val="25"/>
        </w:rPr>
      </w:pPr>
    </w:p>
    <w:p w:rsidR="001B2040" w:rsidRPr="002532DF" w:rsidRDefault="001B4814" w:rsidP="00AD0B90">
      <w:pPr>
        <w:numPr>
          <w:ilvl w:val="0"/>
          <w:numId w:val="1"/>
        </w:numPr>
        <w:tabs>
          <w:tab w:val="clear" w:pos="720"/>
          <w:tab w:val="num" w:pos="0"/>
        </w:tabs>
        <w:spacing w:line="276" w:lineRule="auto"/>
        <w:ind w:left="0"/>
        <w:rPr>
          <w:sz w:val="25"/>
          <w:szCs w:val="25"/>
        </w:rPr>
      </w:pPr>
      <w:r>
        <w:rPr>
          <w:bCs/>
          <w:i/>
          <w:sz w:val="25"/>
          <w:szCs w:val="25"/>
        </w:rPr>
        <w:t xml:space="preserve">Positions of the Parties.  </w:t>
      </w:r>
      <w:r w:rsidR="006723A4" w:rsidRPr="002532DF">
        <w:rPr>
          <w:bCs/>
          <w:sz w:val="25"/>
          <w:szCs w:val="25"/>
        </w:rPr>
        <w:t xml:space="preserve">PacifiCorp states that </w:t>
      </w:r>
      <w:r w:rsidR="004234FA" w:rsidRPr="002532DF">
        <w:rPr>
          <w:bCs/>
          <w:sz w:val="25"/>
          <w:szCs w:val="25"/>
        </w:rPr>
        <w:t xml:space="preserve">both </w:t>
      </w:r>
      <w:r w:rsidR="006723A4" w:rsidRPr="002532DF">
        <w:rPr>
          <w:bCs/>
          <w:sz w:val="25"/>
          <w:szCs w:val="25"/>
        </w:rPr>
        <w:t>Company-owned transmission capa</w:t>
      </w:r>
      <w:r w:rsidR="004234FA" w:rsidRPr="002532DF">
        <w:rPr>
          <w:bCs/>
          <w:sz w:val="25"/>
          <w:szCs w:val="25"/>
        </w:rPr>
        <w:t>city</w:t>
      </w:r>
      <w:r w:rsidR="006723A4" w:rsidRPr="002532DF">
        <w:rPr>
          <w:bCs/>
          <w:sz w:val="25"/>
          <w:szCs w:val="25"/>
        </w:rPr>
        <w:t xml:space="preserve"> and </w:t>
      </w:r>
      <w:r>
        <w:rPr>
          <w:bCs/>
          <w:sz w:val="25"/>
          <w:szCs w:val="25"/>
        </w:rPr>
        <w:t>transmission capacity</w:t>
      </w:r>
      <w:r w:rsidR="004234FA" w:rsidRPr="002532DF">
        <w:rPr>
          <w:bCs/>
          <w:sz w:val="25"/>
          <w:szCs w:val="25"/>
        </w:rPr>
        <w:t xml:space="preserve"> provided by </w:t>
      </w:r>
      <w:r w:rsidR="006723A4" w:rsidRPr="002532DF">
        <w:rPr>
          <w:bCs/>
          <w:sz w:val="25"/>
          <w:szCs w:val="25"/>
        </w:rPr>
        <w:t>contracts with third pa</w:t>
      </w:r>
      <w:r w:rsidR="009921F4" w:rsidRPr="002532DF">
        <w:rPr>
          <w:bCs/>
          <w:sz w:val="25"/>
          <w:szCs w:val="25"/>
        </w:rPr>
        <w:t>r</w:t>
      </w:r>
      <w:r w:rsidR="006723A4" w:rsidRPr="002532DF">
        <w:rPr>
          <w:bCs/>
          <w:sz w:val="25"/>
          <w:szCs w:val="25"/>
        </w:rPr>
        <w:t xml:space="preserve">ties are </w:t>
      </w:r>
      <w:r>
        <w:rPr>
          <w:bCs/>
          <w:sz w:val="25"/>
          <w:szCs w:val="25"/>
        </w:rPr>
        <w:t xml:space="preserve">properly </w:t>
      </w:r>
      <w:r w:rsidR="006723A4" w:rsidRPr="002532DF">
        <w:rPr>
          <w:bCs/>
          <w:sz w:val="25"/>
          <w:szCs w:val="25"/>
        </w:rPr>
        <w:t>include</w:t>
      </w:r>
      <w:r w:rsidR="004234FA" w:rsidRPr="002532DF">
        <w:rPr>
          <w:bCs/>
          <w:sz w:val="25"/>
          <w:szCs w:val="25"/>
        </w:rPr>
        <w:t>d</w:t>
      </w:r>
      <w:r w:rsidR="006723A4" w:rsidRPr="002532DF">
        <w:rPr>
          <w:bCs/>
          <w:sz w:val="25"/>
          <w:szCs w:val="25"/>
        </w:rPr>
        <w:t xml:space="preserve"> in the W</w:t>
      </w:r>
      <w:r w:rsidR="00431BCE">
        <w:rPr>
          <w:bCs/>
          <w:sz w:val="25"/>
          <w:szCs w:val="25"/>
        </w:rPr>
        <w:t>est Control Area</w:t>
      </w:r>
      <w:r w:rsidR="006723A4" w:rsidRPr="002532DF">
        <w:rPr>
          <w:bCs/>
          <w:sz w:val="25"/>
          <w:szCs w:val="25"/>
        </w:rPr>
        <w:t xml:space="preserve"> modeling </w:t>
      </w:r>
      <w:r w:rsidR="004234FA" w:rsidRPr="002532DF">
        <w:rPr>
          <w:bCs/>
          <w:sz w:val="25"/>
          <w:szCs w:val="25"/>
        </w:rPr>
        <w:t xml:space="preserve">so long as the capacity is needed to </w:t>
      </w:r>
      <w:r w:rsidR="006723A4" w:rsidRPr="002532DF">
        <w:rPr>
          <w:bCs/>
          <w:sz w:val="25"/>
          <w:szCs w:val="25"/>
        </w:rPr>
        <w:t>transmit power from and to locations in the W</w:t>
      </w:r>
      <w:r w:rsidR="00431BCE">
        <w:rPr>
          <w:bCs/>
          <w:sz w:val="25"/>
          <w:szCs w:val="25"/>
        </w:rPr>
        <w:t>est Control Area</w:t>
      </w:r>
      <w:r w:rsidR="006723A4" w:rsidRPr="002532DF">
        <w:rPr>
          <w:bCs/>
          <w:sz w:val="25"/>
          <w:szCs w:val="25"/>
        </w:rPr>
        <w:t>.</w:t>
      </w:r>
      <w:r w:rsidR="001B2040" w:rsidRPr="002532DF">
        <w:rPr>
          <w:bCs/>
          <w:sz w:val="25"/>
          <w:szCs w:val="25"/>
        </w:rPr>
        <w:t xml:space="preserve">  </w:t>
      </w:r>
      <w:r>
        <w:rPr>
          <w:bCs/>
          <w:sz w:val="25"/>
          <w:szCs w:val="25"/>
        </w:rPr>
        <w:t xml:space="preserve">Specifically, the Company contends that the costs of the BPA’s DC Intertie </w:t>
      </w:r>
      <w:r w:rsidR="001D6AE8">
        <w:rPr>
          <w:bCs/>
          <w:sz w:val="25"/>
          <w:szCs w:val="25"/>
        </w:rPr>
        <w:t>are</w:t>
      </w:r>
      <w:r>
        <w:rPr>
          <w:bCs/>
          <w:sz w:val="25"/>
          <w:szCs w:val="25"/>
        </w:rPr>
        <w:t xml:space="preserve"> appropriately included in the GRID model.</w:t>
      </w:r>
    </w:p>
    <w:p w:rsidR="00C62D1E" w:rsidRPr="002532DF" w:rsidRDefault="00C62D1E" w:rsidP="00817E21">
      <w:pPr>
        <w:spacing w:line="276" w:lineRule="auto"/>
        <w:rPr>
          <w:sz w:val="25"/>
          <w:szCs w:val="25"/>
        </w:rPr>
      </w:pPr>
    </w:p>
    <w:p w:rsidR="001B2040" w:rsidRPr="002532DF" w:rsidRDefault="001B2040" w:rsidP="00AD0B90">
      <w:pPr>
        <w:numPr>
          <w:ilvl w:val="0"/>
          <w:numId w:val="1"/>
        </w:numPr>
        <w:tabs>
          <w:tab w:val="clear" w:pos="720"/>
          <w:tab w:val="num" w:pos="0"/>
        </w:tabs>
        <w:spacing w:line="276" w:lineRule="auto"/>
        <w:ind w:left="0"/>
        <w:rPr>
          <w:sz w:val="25"/>
          <w:szCs w:val="25"/>
        </w:rPr>
      </w:pPr>
      <w:r w:rsidRPr="002532DF">
        <w:rPr>
          <w:sz w:val="25"/>
          <w:szCs w:val="25"/>
        </w:rPr>
        <w:t>Staff argues that the cost</w:t>
      </w:r>
      <w:r w:rsidR="004234FA" w:rsidRPr="002532DF">
        <w:rPr>
          <w:sz w:val="25"/>
          <w:szCs w:val="25"/>
        </w:rPr>
        <w:t>s related to the transmission contract securing rights in BPA’s DC intertie</w:t>
      </w:r>
      <w:r w:rsidRPr="002532DF">
        <w:rPr>
          <w:sz w:val="25"/>
          <w:szCs w:val="25"/>
        </w:rPr>
        <w:t xml:space="preserve"> should be removed because the Company </w:t>
      </w:r>
      <w:r w:rsidR="004234FA" w:rsidRPr="002532DF">
        <w:rPr>
          <w:sz w:val="25"/>
          <w:szCs w:val="25"/>
        </w:rPr>
        <w:t xml:space="preserve">is </w:t>
      </w:r>
      <w:r w:rsidRPr="002532DF">
        <w:rPr>
          <w:sz w:val="25"/>
          <w:szCs w:val="25"/>
        </w:rPr>
        <w:t xml:space="preserve">unlikely to </w:t>
      </w:r>
      <w:r w:rsidR="004234FA" w:rsidRPr="002532DF">
        <w:rPr>
          <w:sz w:val="25"/>
          <w:szCs w:val="25"/>
        </w:rPr>
        <w:t xml:space="preserve">use the </w:t>
      </w:r>
      <w:r w:rsidR="00D63FD5" w:rsidRPr="002532DF">
        <w:rPr>
          <w:sz w:val="25"/>
          <w:szCs w:val="25"/>
        </w:rPr>
        <w:t>capacity during</w:t>
      </w:r>
      <w:r w:rsidRPr="002532DF">
        <w:rPr>
          <w:sz w:val="25"/>
          <w:szCs w:val="25"/>
        </w:rPr>
        <w:t xml:space="preserve"> the </w:t>
      </w:r>
      <w:r w:rsidR="00820E9C" w:rsidRPr="002532DF">
        <w:rPr>
          <w:sz w:val="25"/>
          <w:szCs w:val="25"/>
        </w:rPr>
        <w:t>year rates would take effect</w:t>
      </w:r>
      <w:r w:rsidRPr="002532DF">
        <w:rPr>
          <w:sz w:val="25"/>
          <w:szCs w:val="25"/>
        </w:rPr>
        <w:t xml:space="preserve"> because of the high price of the power</w:t>
      </w:r>
      <w:r w:rsidR="004234FA" w:rsidRPr="002532DF">
        <w:rPr>
          <w:sz w:val="25"/>
          <w:szCs w:val="25"/>
        </w:rPr>
        <w:t xml:space="preserve"> in California</w:t>
      </w:r>
      <w:r w:rsidRPr="002532DF">
        <w:rPr>
          <w:sz w:val="25"/>
          <w:szCs w:val="25"/>
        </w:rPr>
        <w:t>.</w:t>
      </w:r>
      <w:r w:rsidRPr="002532DF">
        <w:rPr>
          <w:rStyle w:val="FootnoteReference"/>
          <w:sz w:val="25"/>
          <w:szCs w:val="25"/>
        </w:rPr>
        <w:footnoteReference w:id="210"/>
      </w:r>
      <w:r w:rsidRPr="002532DF">
        <w:rPr>
          <w:sz w:val="25"/>
          <w:szCs w:val="25"/>
        </w:rPr>
        <w:t xml:space="preserve">  </w:t>
      </w:r>
      <w:r w:rsidR="004234FA" w:rsidRPr="002532DF">
        <w:rPr>
          <w:sz w:val="25"/>
          <w:szCs w:val="25"/>
        </w:rPr>
        <w:t xml:space="preserve">As support, Staff points to the fact that </w:t>
      </w:r>
      <w:r w:rsidRPr="002532DF">
        <w:rPr>
          <w:sz w:val="25"/>
          <w:szCs w:val="25"/>
        </w:rPr>
        <w:t xml:space="preserve">PacifiCorp does not include purchases </w:t>
      </w:r>
      <w:r w:rsidR="004234FA" w:rsidRPr="002532DF">
        <w:rPr>
          <w:sz w:val="25"/>
          <w:szCs w:val="25"/>
        </w:rPr>
        <w:t xml:space="preserve">at the NOB </w:t>
      </w:r>
      <w:r w:rsidRPr="002532DF">
        <w:rPr>
          <w:sz w:val="25"/>
          <w:szCs w:val="25"/>
        </w:rPr>
        <w:t>in its GRID</w:t>
      </w:r>
      <w:r w:rsidR="00934A46" w:rsidRPr="002532DF">
        <w:rPr>
          <w:sz w:val="25"/>
          <w:szCs w:val="25"/>
        </w:rPr>
        <w:t xml:space="preserve"> model</w:t>
      </w:r>
      <w:r w:rsidRPr="002532DF">
        <w:rPr>
          <w:sz w:val="25"/>
          <w:szCs w:val="25"/>
        </w:rPr>
        <w:t>.</w:t>
      </w:r>
      <w:r w:rsidRPr="002532DF">
        <w:rPr>
          <w:rStyle w:val="FootnoteReference"/>
          <w:sz w:val="25"/>
          <w:szCs w:val="25"/>
        </w:rPr>
        <w:footnoteReference w:id="211"/>
      </w:r>
      <w:r w:rsidRPr="002532DF">
        <w:rPr>
          <w:sz w:val="25"/>
          <w:szCs w:val="25"/>
        </w:rPr>
        <w:t xml:space="preserve">  </w:t>
      </w:r>
      <w:r w:rsidR="00BB6E18" w:rsidRPr="002532DF">
        <w:rPr>
          <w:sz w:val="25"/>
          <w:szCs w:val="25"/>
        </w:rPr>
        <w:t xml:space="preserve">Therefore, </w:t>
      </w:r>
      <w:r w:rsidR="0056600F" w:rsidRPr="002532DF">
        <w:rPr>
          <w:sz w:val="25"/>
          <w:szCs w:val="25"/>
        </w:rPr>
        <w:t>Staff proposes a $1,05</w:t>
      </w:r>
      <w:r w:rsidR="002B70FC" w:rsidRPr="002532DF">
        <w:rPr>
          <w:sz w:val="25"/>
          <w:szCs w:val="25"/>
        </w:rPr>
        <w:t>7,130</w:t>
      </w:r>
      <w:r w:rsidRPr="002532DF">
        <w:rPr>
          <w:sz w:val="25"/>
          <w:szCs w:val="25"/>
        </w:rPr>
        <w:t xml:space="preserve"> reduction in </w:t>
      </w:r>
      <w:r w:rsidR="004234FA" w:rsidRPr="002532DF">
        <w:rPr>
          <w:sz w:val="25"/>
          <w:szCs w:val="25"/>
        </w:rPr>
        <w:t xml:space="preserve">NPC </w:t>
      </w:r>
      <w:r w:rsidRPr="002532DF">
        <w:rPr>
          <w:sz w:val="25"/>
          <w:szCs w:val="25"/>
        </w:rPr>
        <w:t>expense.</w:t>
      </w:r>
      <w:r w:rsidR="00993FD0" w:rsidRPr="002532DF">
        <w:rPr>
          <w:rStyle w:val="FootnoteReference"/>
          <w:sz w:val="25"/>
          <w:szCs w:val="25"/>
        </w:rPr>
        <w:footnoteReference w:id="212"/>
      </w:r>
    </w:p>
    <w:p w:rsidR="00C62D1E" w:rsidRPr="002532DF" w:rsidRDefault="00C62D1E" w:rsidP="00817E21">
      <w:pPr>
        <w:spacing w:line="276" w:lineRule="auto"/>
        <w:rPr>
          <w:sz w:val="25"/>
          <w:szCs w:val="25"/>
        </w:rPr>
      </w:pPr>
    </w:p>
    <w:p w:rsidR="001B2040" w:rsidRPr="002532DF" w:rsidRDefault="001B2040" w:rsidP="00AD0B90">
      <w:pPr>
        <w:numPr>
          <w:ilvl w:val="0"/>
          <w:numId w:val="1"/>
        </w:numPr>
        <w:tabs>
          <w:tab w:val="clear" w:pos="720"/>
          <w:tab w:val="num" w:pos="0"/>
        </w:tabs>
        <w:spacing w:line="276" w:lineRule="auto"/>
        <w:ind w:left="0"/>
        <w:rPr>
          <w:sz w:val="25"/>
          <w:szCs w:val="25"/>
        </w:rPr>
      </w:pPr>
      <w:r w:rsidRPr="002532DF">
        <w:rPr>
          <w:sz w:val="25"/>
          <w:szCs w:val="25"/>
        </w:rPr>
        <w:t xml:space="preserve">ICNU </w:t>
      </w:r>
      <w:r w:rsidR="004234FA" w:rsidRPr="002532DF">
        <w:rPr>
          <w:sz w:val="25"/>
          <w:szCs w:val="25"/>
        </w:rPr>
        <w:t xml:space="preserve">agrees with Staff </w:t>
      </w:r>
      <w:r w:rsidR="006C0BD4" w:rsidRPr="002532DF">
        <w:rPr>
          <w:sz w:val="25"/>
          <w:szCs w:val="25"/>
        </w:rPr>
        <w:t xml:space="preserve">and </w:t>
      </w:r>
      <w:r w:rsidRPr="002532DF">
        <w:rPr>
          <w:sz w:val="25"/>
          <w:szCs w:val="25"/>
        </w:rPr>
        <w:t xml:space="preserve">recommends removing the DC intertie costs </w:t>
      </w:r>
      <w:r w:rsidR="004234FA" w:rsidRPr="002532DF">
        <w:rPr>
          <w:sz w:val="25"/>
          <w:szCs w:val="25"/>
        </w:rPr>
        <w:t xml:space="preserve">because </w:t>
      </w:r>
      <w:r w:rsidRPr="002532DF">
        <w:rPr>
          <w:sz w:val="25"/>
          <w:szCs w:val="25"/>
        </w:rPr>
        <w:t>the DC intertie contract is not used and useful</w:t>
      </w:r>
      <w:r w:rsidR="004234FA" w:rsidRPr="002532DF">
        <w:rPr>
          <w:sz w:val="25"/>
          <w:szCs w:val="25"/>
        </w:rPr>
        <w:t>,</w:t>
      </w:r>
      <w:r w:rsidRPr="002532DF">
        <w:rPr>
          <w:rStyle w:val="FootnoteReference"/>
          <w:sz w:val="25"/>
          <w:szCs w:val="25"/>
        </w:rPr>
        <w:footnoteReference w:id="213"/>
      </w:r>
      <w:r w:rsidRPr="002532DF">
        <w:rPr>
          <w:sz w:val="25"/>
          <w:szCs w:val="25"/>
        </w:rPr>
        <w:t xml:space="preserve"> </w:t>
      </w:r>
      <w:r w:rsidR="00BB6E18" w:rsidRPr="002532DF">
        <w:rPr>
          <w:sz w:val="25"/>
          <w:szCs w:val="25"/>
        </w:rPr>
        <w:t xml:space="preserve">and also </w:t>
      </w:r>
      <w:r w:rsidR="005F7503" w:rsidRPr="002532DF">
        <w:rPr>
          <w:sz w:val="25"/>
          <w:szCs w:val="25"/>
        </w:rPr>
        <w:t>argu</w:t>
      </w:r>
      <w:r w:rsidR="004234FA" w:rsidRPr="002532DF">
        <w:rPr>
          <w:sz w:val="25"/>
          <w:szCs w:val="25"/>
        </w:rPr>
        <w:t>es</w:t>
      </w:r>
      <w:r w:rsidR="005F7503" w:rsidRPr="002532DF">
        <w:rPr>
          <w:sz w:val="25"/>
          <w:szCs w:val="25"/>
        </w:rPr>
        <w:t xml:space="preserve"> that</w:t>
      </w:r>
      <w:r w:rsidR="009921F4" w:rsidRPr="002532DF">
        <w:rPr>
          <w:sz w:val="25"/>
          <w:szCs w:val="25"/>
        </w:rPr>
        <w:t xml:space="preserve"> </w:t>
      </w:r>
      <w:r w:rsidR="00BB6E18" w:rsidRPr="002532DF">
        <w:rPr>
          <w:sz w:val="25"/>
          <w:szCs w:val="25"/>
        </w:rPr>
        <w:t>such</w:t>
      </w:r>
      <w:r w:rsidR="009921F4" w:rsidRPr="002532DF">
        <w:rPr>
          <w:sz w:val="25"/>
          <w:szCs w:val="25"/>
        </w:rPr>
        <w:t xml:space="preserve"> purchases are unlikely to occur during the </w:t>
      </w:r>
      <w:r w:rsidR="00820E9C" w:rsidRPr="002532DF">
        <w:rPr>
          <w:sz w:val="25"/>
          <w:szCs w:val="25"/>
        </w:rPr>
        <w:t>rate year</w:t>
      </w:r>
      <w:r w:rsidR="009921F4" w:rsidRPr="002532DF">
        <w:rPr>
          <w:sz w:val="25"/>
          <w:szCs w:val="25"/>
        </w:rPr>
        <w:t>.</w:t>
      </w:r>
      <w:r w:rsidRPr="002532DF">
        <w:rPr>
          <w:rStyle w:val="FootnoteReference"/>
          <w:sz w:val="25"/>
          <w:szCs w:val="25"/>
        </w:rPr>
        <w:footnoteReference w:id="214"/>
      </w:r>
      <w:r w:rsidRPr="002532DF">
        <w:rPr>
          <w:sz w:val="25"/>
          <w:szCs w:val="25"/>
        </w:rPr>
        <w:t xml:space="preserve"> </w:t>
      </w:r>
      <w:r w:rsidR="00D84BE4" w:rsidRPr="002532DF">
        <w:rPr>
          <w:sz w:val="25"/>
          <w:szCs w:val="25"/>
        </w:rPr>
        <w:t xml:space="preserve"> </w:t>
      </w:r>
      <w:r w:rsidRPr="002532DF">
        <w:rPr>
          <w:sz w:val="25"/>
          <w:szCs w:val="25"/>
        </w:rPr>
        <w:t>ICNU proposes a $1,057,130</w:t>
      </w:r>
      <w:r w:rsidR="005B0F51" w:rsidRPr="002532DF">
        <w:rPr>
          <w:sz w:val="25"/>
          <w:szCs w:val="25"/>
        </w:rPr>
        <w:t xml:space="preserve"> reduction in NPC</w:t>
      </w:r>
      <w:r w:rsidRPr="002532DF">
        <w:rPr>
          <w:sz w:val="25"/>
          <w:szCs w:val="25"/>
        </w:rPr>
        <w:t>.</w:t>
      </w:r>
      <w:r w:rsidR="00993FD0" w:rsidRPr="002532DF">
        <w:rPr>
          <w:rStyle w:val="FootnoteReference"/>
          <w:sz w:val="25"/>
          <w:szCs w:val="25"/>
        </w:rPr>
        <w:footnoteReference w:id="215"/>
      </w:r>
    </w:p>
    <w:p w:rsidR="00C62D1E" w:rsidRPr="002532DF" w:rsidRDefault="00C62D1E" w:rsidP="00817E21">
      <w:pPr>
        <w:spacing w:line="276" w:lineRule="auto"/>
        <w:rPr>
          <w:sz w:val="25"/>
          <w:szCs w:val="25"/>
        </w:rPr>
      </w:pPr>
    </w:p>
    <w:p w:rsidR="001B2040" w:rsidRPr="002532DF" w:rsidRDefault="005B0F51" w:rsidP="00AD0B90">
      <w:pPr>
        <w:numPr>
          <w:ilvl w:val="0"/>
          <w:numId w:val="1"/>
        </w:numPr>
        <w:tabs>
          <w:tab w:val="clear" w:pos="720"/>
          <w:tab w:val="num" w:pos="0"/>
        </w:tabs>
        <w:spacing w:line="276" w:lineRule="auto"/>
        <w:ind w:left="0"/>
        <w:rPr>
          <w:sz w:val="25"/>
          <w:szCs w:val="25"/>
        </w:rPr>
      </w:pPr>
      <w:r w:rsidRPr="002532DF">
        <w:rPr>
          <w:sz w:val="25"/>
          <w:szCs w:val="25"/>
        </w:rPr>
        <w:t>In rebuttal</w:t>
      </w:r>
      <w:r w:rsidR="006C0BD4" w:rsidRPr="002532DF">
        <w:rPr>
          <w:sz w:val="25"/>
          <w:szCs w:val="25"/>
        </w:rPr>
        <w:t xml:space="preserve"> testimony</w:t>
      </w:r>
      <w:r w:rsidRPr="002532DF">
        <w:rPr>
          <w:sz w:val="25"/>
          <w:szCs w:val="25"/>
        </w:rPr>
        <w:t>, t</w:t>
      </w:r>
      <w:r w:rsidR="001B2040" w:rsidRPr="002532DF">
        <w:rPr>
          <w:sz w:val="25"/>
          <w:szCs w:val="25"/>
        </w:rPr>
        <w:t xml:space="preserve">he Company </w:t>
      </w:r>
      <w:r w:rsidRPr="002532DF">
        <w:rPr>
          <w:sz w:val="25"/>
          <w:szCs w:val="25"/>
        </w:rPr>
        <w:t>argues that the DC intertie</w:t>
      </w:r>
      <w:r w:rsidR="001B2040" w:rsidRPr="002532DF">
        <w:rPr>
          <w:sz w:val="25"/>
          <w:szCs w:val="25"/>
        </w:rPr>
        <w:t xml:space="preserve"> contract was entered into prudently and although </w:t>
      </w:r>
      <w:r w:rsidRPr="002532DF">
        <w:rPr>
          <w:sz w:val="25"/>
          <w:szCs w:val="25"/>
        </w:rPr>
        <w:t>the GRID model does not foresee</w:t>
      </w:r>
      <w:r w:rsidR="001B2040" w:rsidRPr="002532DF">
        <w:rPr>
          <w:sz w:val="25"/>
          <w:szCs w:val="25"/>
        </w:rPr>
        <w:t xml:space="preserve"> energy transactions </w:t>
      </w:r>
      <w:r w:rsidRPr="002532DF">
        <w:rPr>
          <w:sz w:val="25"/>
          <w:szCs w:val="25"/>
        </w:rPr>
        <w:t>at the NOB during the test year</w:t>
      </w:r>
      <w:r w:rsidR="001B2040" w:rsidRPr="002532DF">
        <w:rPr>
          <w:sz w:val="25"/>
          <w:szCs w:val="25"/>
        </w:rPr>
        <w:t>, the prudency of the Company’s actions should be judged based on the information that was known at the time the contract was executed, not on hindsight.</w:t>
      </w:r>
      <w:r w:rsidR="001B2040" w:rsidRPr="002532DF">
        <w:rPr>
          <w:rStyle w:val="FootnoteReference"/>
          <w:sz w:val="25"/>
          <w:szCs w:val="25"/>
        </w:rPr>
        <w:footnoteReference w:id="216"/>
      </w:r>
    </w:p>
    <w:p w:rsidR="00334DFF" w:rsidRPr="002532DF" w:rsidRDefault="00334DFF" w:rsidP="00334DFF">
      <w:pPr>
        <w:spacing w:line="276" w:lineRule="auto"/>
        <w:ind w:left="-720"/>
        <w:rPr>
          <w:sz w:val="25"/>
          <w:szCs w:val="25"/>
        </w:rPr>
      </w:pPr>
    </w:p>
    <w:p w:rsidR="005B0F51" w:rsidRPr="002532DF" w:rsidRDefault="00D17347" w:rsidP="00AD0B90">
      <w:pPr>
        <w:numPr>
          <w:ilvl w:val="0"/>
          <w:numId w:val="1"/>
        </w:numPr>
        <w:tabs>
          <w:tab w:val="clear" w:pos="720"/>
          <w:tab w:val="num" w:pos="0"/>
        </w:tabs>
        <w:spacing w:line="276" w:lineRule="auto"/>
        <w:ind w:left="0"/>
        <w:rPr>
          <w:sz w:val="25"/>
          <w:szCs w:val="25"/>
        </w:rPr>
      </w:pPr>
      <w:r w:rsidRPr="002532DF">
        <w:rPr>
          <w:i/>
          <w:sz w:val="25"/>
          <w:szCs w:val="25"/>
        </w:rPr>
        <w:t xml:space="preserve">Commission Decision. </w:t>
      </w:r>
      <w:r w:rsidR="00305AEB" w:rsidRPr="002532DF">
        <w:rPr>
          <w:i/>
          <w:sz w:val="25"/>
          <w:szCs w:val="25"/>
        </w:rPr>
        <w:t xml:space="preserve"> </w:t>
      </w:r>
      <w:r w:rsidR="00334DFF" w:rsidRPr="002532DF">
        <w:rPr>
          <w:sz w:val="25"/>
          <w:szCs w:val="25"/>
        </w:rPr>
        <w:t>PacifiCorp</w:t>
      </w:r>
      <w:r w:rsidR="001B4814">
        <w:rPr>
          <w:sz w:val="25"/>
          <w:szCs w:val="25"/>
        </w:rPr>
        <w:t>’s evidence and arguments</w:t>
      </w:r>
      <w:r w:rsidR="00334DFF" w:rsidRPr="002532DF">
        <w:rPr>
          <w:sz w:val="25"/>
          <w:szCs w:val="25"/>
        </w:rPr>
        <w:t xml:space="preserve"> </w:t>
      </w:r>
      <w:r w:rsidR="0048464D" w:rsidRPr="002532DF">
        <w:rPr>
          <w:sz w:val="25"/>
          <w:szCs w:val="25"/>
        </w:rPr>
        <w:t>focu</w:t>
      </w:r>
      <w:r w:rsidR="00816D88" w:rsidRPr="002532DF">
        <w:rPr>
          <w:sz w:val="25"/>
          <w:szCs w:val="25"/>
        </w:rPr>
        <w:t>s</w:t>
      </w:r>
      <w:r w:rsidR="0048464D" w:rsidRPr="002532DF">
        <w:rPr>
          <w:sz w:val="25"/>
          <w:szCs w:val="25"/>
        </w:rPr>
        <w:t xml:space="preserve"> on whether the </w:t>
      </w:r>
      <w:r w:rsidR="00334DFF" w:rsidRPr="002532DF">
        <w:rPr>
          <w:sz w:val="25"/>
          <w:szCs w:val="25"/>
        </w:rPr>
        <w:t>contract was prudent when it was executed</w:t>
      </w:r>
      <w:r w:rsidR="005B0F51" w:rsidRPr="002532DF">
        <w:rPr>
          <w:sz w:val="25"/>
          <w:szCs w:val="25"/>
        </w:rPr>
        <w:t xml:space="preserve">.  However, we do not need to answer that question in this Order.  Even if we assume that the contract was prudent at its inception the Company has an ongoing obligation to manage the resource under contract to provide a benefit to the </w:t>
      </w:r>
      <w:r w:rsidR="00D63FD5" w:rsidRPr="002532DF">
        <w:rPr>
          <w:sz w:val="25"/>
          <w:szCs w:val="25"/>
        </w:rPr>
        <w:t>Company</w:t>
      </w:r>
      <w:r w:rsidR="005B0F51" w:rsidRPr="002532DF">
        <w:rPr>
          <w:sz w:val="25"/>
          <w:szCs w:val="25"/>
        </w:rPr>
        <w:t xml:space="preserve"> and its ratepayers.</w:t>
      </w:r>
      <w:r w:rsidR="000A3C6C" w:rsidRPr="002532DF">
        <w:rPr>
          <w:sz w:val="25"/>
          <w:szCs w:val="25"/>
        </w:rPr>
        <w:t xml:space="preserve">  </w:t>
      </w:r>
      <w:r w:rsidR="001B4814">
        <w:rPr>
          <w:sz w:val="25"/>
          <w:szCs w:val="25"/>
        </w:rPr>
        <w:t>PacifiCorp has failed to demonstrate that it does so</w:t>
      </w:r>
      <w:r w:rsidR="005B0F51" w:rsidRPr="002532DF">
        <w:rPr>
          <w:sz w:val="25"/>
          <w:szCs w:val="25"/>
        </w:rPr>
        <w:t>.</w:t>
      </w:r>
    </w:p>
    <w:p w:rsidR="00336DC3" w:rsidRPr="002532DF" w:rsidRDefault="00336DC3">
      <w:pPr>
        <w:spacing w:line="276" w:lineRule="auto"/>
        <w:ind w:left="-720"/>
        <w:rPr>
          <w:sz w:val="25"/>
          <w:szCs w:val="25"/>
        </w:rPr>
      </w:pPr>
    </w:p>
    <w:p w:rsidR="00F42AC9" w:rsidRPr="002532DF" w:rsidRDefault="005B0F51">
      <w:pPr>
        <w:numPr>
          <w:ilvl w:val="0"/>
          <w:numId w:val="1"/>
        </w:numPr>
        <w:tabs>
          <w:tab w:val="clear" w:pos="720"/>
          <w:tab w:val="num" w:pos="0"/>
        </w:tabs>
        <w:spacing w:line="276" w:lineRule="auto"/>
        <w:ind w:left="0"/>
        <w:rPr>
          <w:sz w:val="25"/>
          <w:szCs w:val="25"/>
        </w:rPr>
      </w:pPr>
      <w:r w:rsidRPr="002532DF">
        <w:rPr>
          <w:sz w:val="25"/>
          <w:szCs w:val="25"/>
        </w:rPr>
        <w:t xml:space="preserve">Both </w:t>
      </w:r>
      <w:r w:rsidR="001B4814">
        <w:rPr>
          <w:sz w:val="25"/>
          <w:szCs w:val="25"/>
        </w:rPr>
        <w:t>Staff and ICNU</w:t>
      </w:r>
      <w:r w:rsidR="000A3C6C" w:rsidRPr="002532DF">
        <w:rPr>
          <w:sz w:val="25"/>
          <w:szCs w:val="25"/>
        </w:rPr>
        <w:t xml:space="preserve"> </w:t>
      </w:r>
      <w:r w:rsidRPr="002532DF">
        <w:rPr>
          <w:sz w:val="25"/>
          <w:szCs w:val="25"/>
        </w:rPr>
        <w:t xml:space="preserve">testify that the contract is not expected to be used during the rate year to support the </w:t>
      </w:r>
      <w:r w:rsidR="008E6B28">
        <w:rPr>
          <w:sz w:val="25"/>
          <w:szCs w:val="25"/>
        </w:rPr>
        <w:t>West Control Area</w:t>
      </w:r>
      <w:r w:rsidR="001B4814">
        <w:rPr>
          <w:sz w:val="25"/>
          <w:szCs w:val="25"/>
        </w:rPr>
        <w:t>, and thus</w:t>
      </w:r>
      <w:r w:rsidRPr="002532DF">
        <w:rPr>
          <w:sz w:val="25"/>
          <w:szCs w:val="25"/>
        </w:rPr>
        <w:t xml:space="preserve"> no benefits are likely to materialize from the transmission capacity under the contract.  </w:t>
      </w:r>
      <w:r w:rsidR="00723E37" w:rsidRPr="002532DF">
        <w:rPr>
          <w:sz w:val="25"/>
          <w:szCs w:val="25"/>
        </w:rPr>
        <w:t xml:space="preserve">The parties base their conclusions on the Company’s failure to use the DC intertie capacity during the test year.  As to its future use, they point to the absence of NOB contracts in the Company’s GRID model as further support for their conclusion that the contract’s capacity will not be used during the rate year.   </w:t>
      </w:r>
    </w:p>
    <w:p w:rsidR="00F42AC9" w:rsidRPr="002532DF" w:rsidRDefault="00F42AC9">
      <w:pPr>
        <w:spacing w:line="276" w:lineRule="auto"/>
        <w:ind w:left="-720"/>
        <w:rPr>
          <w:sz w:val="25"/>
          <w:szCs w:val="25"/>
        </w:rPr>
      </w:pPr>
    </w:p>
    <w:p w:rsidR="001B4814" w:rsidRDefault="005B0F51" w:rsidP="00AD0B90">
      <w:pPr>
        <w:numPr>
          <w:ilvl w:val="0"/>
          <w:numId w:val="1"/>
        </w:numPr>
        <w:tabs>
          <w:tab w:val="clear" w:pos="720"/>
          <w:tab w:val="num" w:pos="0"/>
        </w:tabs>
        <w:spacing w:line="276" w:lineRule="auto"/>
        <w:ind w:left="0"/>
        <w:rPr>
          <w:sz w:val="25"/>
          <w:szCs w:val="25"/>
        </w:rPr>
      </w:pPr>
      <w:r w:rsidRPr="002532DF">
        <w:rPr>
          <w:sz w:val="25"/>
          <w:szCs w:val="25"/>
        </w:rPr>
        <w:t xml:space="preserve">We find </w:t>
      </w:r>
      <w:r w:rsidR="001B4814">
        <w:rPr>
          <w:sz w:val="25"/>
          <w:szCs w:val="25"/>
        </w:rPr>
        <w:t>Staff’s and ICNU’s testimony and</w:t>
      </w:r>
      <w:r w:rsidRPr="002532DF">
        <w:rPr>
          <w:sz w:val="25"/>
          <w:szCs w:val="25"/>
        </w:rPr>
        <w:t xml:space="preserve"> arguments to be compelling.  Generally, for a resource to be included in rates, it must be found to be used and useful.  This is not to say that every component of the Company’s sys</w:t>
      </w:r>
      <w:r w:rsidR="005C4C9E" w:rsidRPr="002532DF">
        <w:rPr>
          <w:sz w:val="25"/>
          <w:szCs w:val="25"/>
        </w:rPr>
        <w:t>t</w:t>
      </w:r>
      <w:r w:rsidRPr="002532DF">
        <w:rPr>
          <w:sz w:val="25"/>
          <w:szCs w:val="25"/>
        </w:rPr>
        <w:t>em has to be used to provide service at all times.</w:t>
      </w:r>
      <w:r w:rsidRPr="002532DF">
        <w:rPr>
          <w:rStyle w:val="FootnoteReference"/>
          <w:sz w:val="25"/>
          <w:szCs w:val="25"/>
        </w:rPr>
        <w:footnoteReference w:id="217"/>
      </w:r>
      <w:r w:rsidR="005C4C9E" w:rsidRPr="002532DF">
        <w:rPr>
          <w:sz w:val="25"/>
          <w:szCs w:val="25"/>
        </w:rPr>
        <w:t xml:space="preserve">  However, the testimony here </w:t>
      </w:r>
      <w:r w:rsidR="001B4814">
        <w:rPr>
          <w:sz w:val="25"/>
          <w:szCs w:val="25"/>
        </w:rPr>
        <w:t>raises serious doubt</w:t>
      </w:r>
      <w:r w:rsidR="005C4C9E" w:rsidRPr="002532DF">
        <w:rPr>
          <w:sz w:val="25"/>
          <w:szCs w:val="25"/>
        </w:rPr>
        <w:t xml:space="preserve"> as to the continued usefulness of the DC intertie capacity</w:t>
      </w:r>
      <w:r w:rsidR="001B4814">
        <w:rPr>
          <w:sz w:val="25"/>
          <w:szCs w:val="25"/>
        </w:rPr>
        <w:t xml:space="preserve"> – doubt that PacifiCorp fails to address, much less resolve</w:t>
      </w:r>
      <w:r w:rsidR="005C4C9E" w:rsidRPr="002532DF">
        <w:rPr>
          <w:sz w:val="25"/>
          <w:szCs w:val="25"/>
        </w:rPr>
        <w:t xml:space="preserve">.  </w:t>
      </w:r>
    </w:p>
    <w:p w:rsidR="001B4814" w:rsidRDefault="001B4814" w:rsidP="00E77D4E">
      <w:pPr>
        <w:pStyle w:val="ListParagraph"/>
        <w:rPr>
          <w:sz w:val="25"/>
          <w:szCs w:val="25"/>
        </w:rPr>
      </w:pPr>
    </w:p>
    <w:p w:rsidR="005C4C9E" w:rsidRPr="002532DF" w:rsidRDefault="005C4C9E" w:rsidP="00AD0B90">
      <w:pPr>
        <w:numPr>
          <w:ilvl w:val="0"/>
          <w:numId w:val="1"/>
        </w:numPr>
        <w:tabs>
          <w:tab w:val="clear" w:pos="720"/>
          <w:tab w:val="num" w:pos="0"/>
        </w:tabs>
        <w:spacing w:line="276" w:lineRule="auto"/>
        <w:ind w:left="0"/>
        <w:rPr>
          <w:sz w:val="25"/>
          <w:szCs w:val="25"/>
        </w:rPr>
      </w:pPr>
      <w:r w:rsidRPr="002532DF">
        <w:rPr>
          <w:sz w:val="25"/>
          <w:szCs w:val="25"/>
        </w:rPr>
        <w:t>There is a point when facilities or even contracts such a</w:t>
      </w:r>
      <w:r w:rsidR="00FE1722" w:rsidRPr="002532DF">
        <w:rPr>
          <w:sz w:val="25"/>
          <w:szCs w:val="25"/>
        </w:rPr>
        <w:t>s</w:t>
      </w:r>
      <w:r w:rsidRPr="002532DF">
        <w:rPr>
          <w:sz w:val="25"/>
          <w:szCs w:val="25"/>
        </w:rPr>
        <w:t xml:space="preserve"> this have no demonstrated or foreseeable need.  It is at this point that such capacity should be retired or written off the books.  </w:t>
      </w:r>
      <w:r w:rsidR="001B4814">
        <w:rPr>
          <w:sz w:val="25"/>
          <w:szCs w:val="25"/>
        </w:rPr>
        <w:t>W</w:t>
      </w:r>
      <w:r w:rsidRPr="002532DF">
        <w:rPr>
          <w:sz w:val="25"/>
          <w:szCs w:val="25"/>
        </w:rPr>
        <w:t>e are not convinced that now is the time for such action</w:t>
      </w:r>
      <w:r w:rsidR="001B4814">
        <w:rPr>
          <w:sz w:val="25"/>
          <w:szCs w:val="25"/>
        </w:rPr>
        <w:t xml:space="preserve">, and </w:t>
      </w:r>
      <w:r w:rsidRPr="002532DF">
        <w:rPr>
          <w:sz w:val="25"/>
          <w:szCs w:val="25"/>
        </w:rPr>
        <w:t xml:space="preserve">we accept the Company’s rationale that </w:t>
      </w:r>
      <w:r w:rsidR="001B4814">
        <w:rPr>
          <w:sz w:val="25"/>
          <w:szCs w:val="25"/>
        </w:rPr>
        <w:t xml:space="preserve">the DC </w:t>
      </w:r>
      <w:r w:rsidR="009067EF">
        <w:rPr>
          <w:sz w:val="25"/>
          <w:szCs w:val="25"/>
        </w:rPr>
        <w:t>i</w:t>
      </w:r>
      <w:r w:rsidR="001B4814">
        <w:rPr>
          <w:sz w:val="25"/>
          <w:szCs w:val="25"/>
        </w:rPr>
        <w:t>ntertie</w:t>
      </w:r>
      <w:r w:rsidRPr="002532DF">
        <w:rPr>
          <w:sz w:val="25"/>
          <w:szCs w:val="25"/>
        </w:rPr>
        <w:t xml:space="preserve"> capacity could be useful in the future.  </w:t>
      </w:r>
      <w:r w:rsidR="009067EF">
        <w:rPr>
          <w:sz w:val="25"/>
          <w:szCs w:val="25"/>
        </w:rPr>
        <w:t>T</w:t>
      </w:r>
      <w:r w:rsidRPr="002532DF">
        <w:rPr>
          <w:sz w:val="25"/>
          <w:szCs w:val="25"/>
        </w:rPr>
        <w:t>he Company</w:t>
      </w:r>
      <w:r w:rsidR="009067EF">
        <w:rPr>
          <w:sz w:val="25"/>
          <w:szCs w:val="25"/>
        </w:rPr>
        <w:t>, however,</w:t>
      </w:r>
      <w:r w:rsidRPr="002532DF">
        <w:rPr>
          <w:sz w:val="25"/>
          <w:szCs w:val="25"/>
        </w:rPr>
        <w:t xml:space="preserve"> must do more than state </w:t>
      </w:r>
      <w:r w:rsidR="009067EF">
        <w:rPr>
          <w:sz w:val="25"/>
          <w:szCs w:val="25"/>
        </w:rPr>
        <w:t>that the facility might be used at some unspecified time</w:t>
      </w:r>
      <w:r w:rsidRPr="002532DF">
        <w:rPr>
          <w:sz w:val="25"/>
          <w:szCs w:val="25"/>
        </w:rPr>
        <w:t xml:space="preserve"> to </w:t>
      </w:r>
      <w:r w:rsidR="009067EF">
        <w:rPr>
          <w:sz w:val="25"/>
          <w:szCs w:val="25"/>
        </w:rPr>
        <w:t>justify including</w:t>
      </w:r>
      <w:r w:rsidRPr="002532DF">
        <w:rPr>
          <w:sz w:val="25"/>
          <w:szCs w:val="25"/>
        </w:rPr>
        <w:t xml:space="preserve"> this resource in rates.</w:t>
      </w:r>
    </w:p>
    <w:p w:rsidR="00B11759" w:rsidRPr="002532DF" w:rsidRDefault="00B11759" w:rsidP="00B11759">
      <w:pPr>
        <w:pStyle w:val="ListParagraph"/>
        <w:rPr>
          <w:sz w:val="25"/>
          <w:szCs w:val="25"/>
        </w:rPr>
      </w:pPr>
    </w:p>
    <w:p w:rsidR="00B11759" w:rsidRPr="002532DF" w:rsidRDefault="00766CCD" w:rsidP="00AD0B90">
      <w:pPr>
        <w:numPr>
          <w:ilvl w:val="0"/>
          <w:numId w:val="1"/>
        </w:numPr>
        <w:tabs>
          <w:tab w:val="clear" w:pos="720"/>
          <w:tab w:val="num" w:pos="0"/>
        </w:tabs>
        <w:spacing w:line="276" w:lineRule="auto"/>
        <w:ind w:left="0"/>
        <w:rPr>
          <w:sz w:val="25"/>
          <w:szCs w:val="25"/>
        </w:rPr>
      </w:pPr>
      <w:r>
        <w:rPr>
          <w:sz w:val="25"/>
          <w:szCs w:val="25"/>
        </w:rPr>
        <w:t>I</w:t>
      </w:r>
      <w:r w:rsidR="00B11759" w:rsidRPr="002532DF">
        <w:rPr>
          <w:sz w:val="25"/>
          <w:szCs w:val="25"/>
        </w:rPr>
        <w:t xml:space="preserve">f the contract is not being used by the Company, it has an obligation to market its available transmission capacity in an effort to recover some of its costs.  The </w:t>
      </w:r>
      <w:r w:rsidR="00820E9C" w:rsidRPr="002532DF">
        <w:rPr>
          <w:sz w:val="25"/>
          <w:szCs w:val="25"/>
        </w:rPr>
        <w:t xml:space="preserve">Company </w:t>
      </w:r>
      <w:r w:rsidR="00B11759" w:rsidRPr="002532DF">
        <w:rPr>
          <w:sz w:val="25"/>
          <w:szCs w:val="25"/>
        </w:rPr>
        <w:t>proffers no testimony along this line.  For these reasons, we conclude that PacifiCorp failed to demonstrate that the DC intertie contract would provide benefits to Washington ratepayers during the rate year.  Therefore, we adopt the adjustments presented by Staff and ICNU and reduce NPC expense by $1,057,130.</w:t>
      </w:r>
    </w:p>
    <w:p w:rsidR="00336DC3" w:rsidRPr="00973B0D" w:rsidRDefault="00915B26" w:rsidP="00973B0D">
      <w:pPr>
        <w:pStyle w:val="Heading5"/>
        <w:ind w:left="1440" w:hanging="360"/>
        <w:rPr>
          <w:rFonts w:ascii="Times New Roman" w:hAnsi="Times New Roman"/>
          <w:i w:val="0"/>
          <w:sz w:val="25"/>
          <w:szCs w:val="25"/>
        </w:rPr>
      </w:pPr>
      <w:bookmarkStart w:id="35" w:name="_Toc168986371"/>
      <w:bookmarkStart w:id="36" w:name="_Toc288813737"/>
      <w:r w:rsidRPr="00973B0D">
        <w:rPr>
          <w:rFonts w:ascii="Times New Roman" w:hAnsi="Times New Roman"/>
          <w:i w:val="0"/>
          <w:sz w:val="25"/>
          <w:szCs w:val="25"/>
        </w:rPr>
        <w:t>i.</w:t>
      </w:r>
      <w:r w:rsidRPr="00973B0D">
        <w:rPr>
          <w:rFonts w:ascii="Times New Roman" w:hAnsi="Times New Roman"/>
          <w:i w:val="0"/>
          <w:sz w:val="25"/>
          <w:szCs w:val="25"/>
        </w:rPr>
        <w:tab/>
        <w:t>Idaho Point-to-Point (PTP) Transmission Contract</w:t>
      </w:r>
      <w:bookmarkEnd w:id="35"/>
      <w:bookmarkEnd w:id="36"/>
    </w:p>
    <w:p w:rsidR="008215A1" w:rsidRPr="002532DF" w:rsidRDefault="008215A1" w:rsidP="00817E21">
      <w:pPr>
        <w:keepNext/>
        <w:keepLines/>
        <w:spacing w:line="276" w:lineRule="auto"/>
        <w:rPr>
          <w:sz w:val="25"/>
          <w:szCs w:val="25"/>
        </w:rPr>
      </w:pPr>
    </w:p>
    <w:p w:rsidR="009067EF" w:rsidRDefault="00176582" w:rsidP="00AD0B90">
      <w:pPr>
        <w:numPr>
          <w:ilvl w:val="0"/>
          <w:numId w:val="1"/>
        </w:numPr>
        <w:tabs>
          <w:tab w:val="clear" w:pos="720"/>
          <w:tab w:val="num" w:pos="0"/>
        </w:tabs>
        <w:spacing w:line="276" w:lineRule="auto"/>
        <w:ind w:left="0"/>
        <w:rPr>
          <w:sz w:val="25"/>
          <w:szCs w:val="25"/>
        </w:rPr>
      </w:pPr>
      <w:r w:rsidRPr="002532DF">
        <w:rPr>
          <w:sz w:val="25"/>
          <w:szCs w:val="25"/>
        </w:rPr>
        <w:t xml:space="preserve">The Company has a point-to-point (PTP) wheeling contract with the Idaho Power Company.  </w:t>
      </w:r>
      <w:r w:rsidR="009067EF">
        <w:rPr>
          <w:sz w:val="25"/>
          <w:szCs w:val="25"/>
        </w:rPr>
        <w:t>The issue arises concerning the extent to which the costs associated with that contract should be included in Pacifi</w:t>
      </w:r>
      <w:r w:rsidR="004900A9">
        <w:rPr>
          <w:sz w:val="25"/>
          <w:szCs w:val="25"/>
        </w:rPr>
        <w:t>C</w:t>
      </w:r>
      <w:r w:rsidR="009067EF">
        <w:rPr>
          <w:sz w:val="25"/>
          <w:szCs w:val="25"/>
        </w:rPr>
        <w:t>orp’s NPC.</w:t>
      </w:r>
    </w:p>
    <w:p w:rsidR="009067EF" w:rsidRDefault="009067EF" w:rsidP="00E77D4E">
      <w:pPr>
        <w:spacing w:line="276" w:lineRule="auto"/>
        <w:ind w:left="-720"/>
        <w:rPr>
          <w:sz w:val="25"/>
          <w:szCs w:val="25"/>
        </w:rPr>
      </w:pPr>
    </w:p>
    <w:p w:rsidR="002711B8" w:rsidRPr="002532DF" w:rsidRDefault="009067EF" w:rsidP="00AD0B90">
      <w:pPr>
        <w:numPr>
          <w:ilvl w:val="0"/>
          <w:numId w:val="1"/>
        </w:numPr>
        <w:tabs>
          <w:tab w:val="clear" w:pos="720"/>
          <w:tab w:val="num" w:pos="0"/>
        </w:tabs>
        <w:spacing w:line="276" w:lineRule="auto"/>
        <w:ind w:left="0"/>
        <w:rPr>
          <w:sz w:val="25"/>
          <w:szCs w:val="25"/>
        </w:rPr>
      </w:pPr>
      <w:r w:rsidRPr="005C4C9E">
        <w:rPr>
          <w:i/>
          <w:sz w:val="25"/>
          <w:szCs w:val="25"/>
        </w:rPr>
        <w:t xml:space="preserve">Positions of the Parties.  </w:t>
      </w:r>
      <w:r w:rsidR="0036285F" w:rsidRPr="002532DF">
        <w:rPr>
          <w:sz w:val="25"/>
          <w:szCs w:val="25"/>
        </w:rPr>
        <w:t>Staff uses confidential information to explain the terms of this contract</w:t>
      </w:r>
      <w:r w:rsidR="00176582" w:rsidRPr="002532DF">
        <w:rPr>
          <w:sz w:val="25"/>
          <w:szCs w:val="25"/>
        </w:rPr>
        <w:t>, arguing</w:t>
      </w:r>
      <w:r w:rsidR="0036285F" w:rsidRPr="002532DF">
        <w:rPr>
          <w:sz w:val="25"/>
          <w:szCs w:val="25"/>
        </w:rPr>
        <w:t xml:space="preserve"> that d</w:t>
      </w:r>
      <w:r w:rsidR="002711B8" w:rsidRPr="002532DF">
        <w:rPr>
          <w:sz w:val="25"/>
          <w:szCs w:val="25"/>
        </w:rPr>
        <w:t xml:space="preserve">espite the benefits to both </w:t>
      </w:r>
      <w:r w:rsidR="009D119D" w:rsidRPr="002532DF">
        <w:rPr>
          <w:sz w:val="25"/>
          <w:szCs w:val="25"/>
        </w:rPr>
        <w:t xml:space="preserve">the </w:t>
      </w:r>
      <w:r w:rsidR="00551578" w:rsidRPr="002532DF">
        <w:rPr>
          <w:sz w:val="25"/>
          <w:szCs w:val="25"/>
        </w:rPr>
        <w:t>western control area</w:t>
      </w:r>
      <w:r w:rsidR="002711B8" w:rsidRPr="002532DF">
        <w:rPr>
          <w:sz w:val="25"/>
          <w:szCs w:val="25"/>
        </w:rPr>
        <w:t xml:space="preserve"> and</w:t>
      </w:r>
      <w:r w:rsidR="00176582" w:rsidRPr="002532DF">
        <w:rPr>
          <w:sz w:val="25"/>
          <w:szCs w:val="25"/>
        </w:rPr>
        <w:t xml:space="preserve"> the eastern control area</w:t>
      </w:r>
      <w:r w:rsidR="00190696">
        <w:rPr>
          <w:sz w:val="25"/>
          <w:szCs w:val="25"/>
        </w:rPr>
        <w:t>.</w:t>
      </w:r>
      <w:r w:rsidR="009D119D" w:rsidRPr="002532DF">
        <w:rPr>
          <w:rStyle w:val="FootnoteReference"/>
          <w:sz w:val="25"/>
          <w:szCs w:val="25"/>
        </w:rPr>
        <w:footnoteReference w:id="218"/>
      </w:r>
      <w:r w:rsidR="00583C8C">
        <w:rPr>
          <w:sz w:val="25"/>
          <w:szCs w:val="25"/>
        </w:rPr>
        <w:t xml:space="preserve"> </w:t>
      </w:r>
      <w:r w:rsidR="00190696">
        <w:rPr>
          <w:sz w:val="25"/>
          <w:szCs w:val="25"/>
        </w:rPr>
        <w:t xml:space="preserve"> </w:t>
      </w:r>
      <w:r w:rsidR="002711B8" w:rsidRPr="002532DF">
        <w:rPr>
          <w:sz w:val="25"/>
          <w:szCs w:val="25"/>
        </w:rPr>
        <w:t>PacifiCorp assigns all the contract cost</w:t>
      </w:r>
      <w:r w:rsidR="0036285F" w:rsidRPr="002532DF">
        <w:rPr>
          <w:sz w:val="25"/>
          <w:szCs w:val="25"/>
        </w:rPr>
        <w:t>s</w:t>
      </w:r>
      <w:r w:rsidR="002711B8" w:rsidRPr="002532DF">
        <w:rPr>
          <w:sz w:val="25"/>
          <w:szCs w:val="25"/>
        </w:rPr>
        <w:t xml:space="preserve"> to </w:t>
      </w:r>
      <w:r w:rsidR="00176582" w:rsidRPr="002532DF">
        <w:rPr>
          <w:sz w:val="25"/>
          <w:szCs w:val="25"/>
        </w:rPr>
        <w:t>PACW</w:t>
      </w:r>
      <w:r w:rsidR="002711B8" w:rsidRPr="002532DF">
        <w:rPr>
          <w:sz w:val="25"/>
          <w:szCs w:val="25"/>
        </w:rPr>
        <w:t>.</w:t>
      </w:r>
      <w:r w:rsidR="002711B8" w:rsidRPr="002532DF">
        <w:rPr>
          <w:rStyle w:val="FootnoteReference"/>
          <w:sz w:val="25"/>
          <w:szCs w:val="25"/>
        </w:rPr>
        <w:footnoteReference w:id="219"/>
      </w:r>
      <w:r w:rsidR="002711B8" w:rsidRPr="002532DF">
        <w:rPr>
          <w:sz w:val="25"/>
          <w:szCs w:val="25"/>
        </w:rPr>
        <w:t xml:space="preserve">  Staff argues that </w:t>
      </w:r>
      <w:r w:rsidR="009D119D" w:rsidRPr="002532DF">
        <w:rPr>
          <w:sz w:val="25"/>
          <w:szCs w:val="25"/>
        </w:rPr>
        <w:t xml:space="preserve">this result </w:t>
      </w:r>
      <w:r w:rsidR="002711B8" w:rsidRPr="002532DF">
        <w:rPr>
          <w:sz w:val="25"/>
          <w:szCs w:val="25"/>
        </w:rPr>
        <w:t xml:space="preserve">is inappropriate </w:t>
      </w:r>
      <w:r w:rsidR="009D119D" w:rsidRPr="002532DF">
        <w:rPr>
          <w:sz w:val="25"/>
          <w:szCs w:val="25"/>
        </w:rPr>
        <w:t xml:space="preserve">and assigns only </w:t>
      </w:r>
      <w:r w:rsidR="002711B8" w:rsidRPr="002532DF">
        <w:rPr>
          <w:sz w:val="25"/>
          <w:szCs w:val="25"/>
        </w:rPr>
        <w:t xml:space="preserve">half of the Idaho PTP transmission cost </w:t>
      </w:r>
      <w:r w:rsidR="009C7C4F" w:rsidRPr="002532DF">
        <w:rPr>
          <w:sz w:val="25"/>
          <w:szCs w:val="25"/>
        </w:rPr>
        <w:t xml:space="preserve">to the </w:t>
      </w:r>
      <w:r w:rsidR="00B11759" w:rsidRPr="002532DF">
        <w:rPr>
          <w:sz w:val="25"/>
          <w:szCs w:val="25"/>
        </w:rPr>
        <w:t>PACW</w:t>
      </w:r>
      <w:r w:rsidR="009C7C4F" w:rsidRPr="002532DF">
        <w:rPr>
          <w:sz w:val="25"/>
          <w:szCs w:val="25"/>
        </w:rPr>
        <w:t xml:space="preserve"> thus </w:t>
      </w:r>
      <w:r w:rsidR="005F7503" w:rsidRPr="002532DF">
        <w:rPr>
          <w:sz w:val="25"/>
          <w:szCs w:val="25"/>
        </w:rPr>
        <w:t>reducing</w:t>
      </w:r>
      <w:r w:rsidR="0056600F" w:rsidRPr="002532DF">
        <w:rPr>
          <w:sz w:val="25"/>
          <w:szCs w:val="25"/>
        </w:rPr>
        <w:t xml:space="preserve"> NPC expense by $3</w:t>
      </w:r>
      <w:r w:rsidR="00C3760B" w:rsidRPr="002532DF">
        <w:rPr>
          <w:sz w:val="25"/>
          <w:szCs w:val="25"/>
        </w:rPr>
        <w:t>51,118</w:t>
      </w:r>
      <w:r w:rsidR="002711B8" w:rsidRPr="002532DF">
        <w:rPr>
          <w:sz w:val="25"/>
          <w:szCs w:val="25"/>
        </w:rPr>
        <w:t>.</w:t>
      </w:r>
      <w:r w:rsidR="00C36E15" w:rsidRPr="002532DF">
        <w:rPr>
          <w:rStyle w:val="FootnoteReference"/>
          <w:sz w:val="25"/>
          <w:szCs w:val="25"/>
        </w:rPr>
        <w:footnoteReference w:id="220"/>
      </w:r>
      <w:r w:rsidR="002711B8" w:rsidRPr="002532DF">
        <w:rPr>
          <w:sz w:val="25"/>
          <w:szCs w:val="25"/>
        </w:rPr>
        <w:t xml:space="preserve"> </w:t>
      </w:r>
    </w:p>
    <w:p w:rsidR="00C62D1E" w:rsidRPr="002532DF" w:rsidRDefault="00C62D1E" w:rsidP="00817E21">
      <w:pPr>
        <w:spacing w:line="276" w:lineRule="auto"/>
        <w:rPr>
          <w:sz w:val="25"/>
          <w:szCs w:val="25"/>
        </w:rPr>
      </w:pPr>
    </w:p>
    <w:p w:rsidR="002711B8" w:rsidRPr="002532DF" w:rsidRDefault="002711B8" w:rsidP="00AD0B90">
      <w:pPr>
        <w:numPr>
          <w:ilvl w:val="0"/>
          <w:numId w:val="1"/>
        </w:numPr>
        <w:tabs>
          <w:tab w:val="clear" w:pos="720"/>
          <w:tab w:val="num" w:pos="0"/>
        </w:tabs>
        <w:spacing w:line="276" w:lineRule="auto"/>
        <w:ind w:left="0"/>
        <w:rPr>
          <w:sz w:val="25"/>
          <w:szCs w:val="25"/>
        </w:rPr>
      </w:pPr>
      <w:r w:rsidRPr="002532DF">
        <w:rPr>
          <w:sz w:val="25"/>
          <w:szCs w:val="25"/>
        </w:rPr>
        <w:t xml:space="preserve">ICNU’s adjustment </w:t>
      </w:r>
      <w:r w:rsidR="00D0450C" w:rsidRPr="002532DF">
        <w:rPr>
          <w:sz w:val="25"/>
          <w:szCs w:val="25"/>
        </w:rPr>
        <w:t xml:space="preserve">likewise </w:t>
      </w:r>
      <w:r w:rsidR="00282614" w:rsidRPr="002532DF">
        <w:rPr>
          <w:sz w:val="25"/>
          <w:szCs w:val="25"/>
        </w:rPr>
        <w:t xml:space="preserve">allocates 50 </w:t>
      </w:r>
      <w:r w:rsidR="00D63FD5" w:rsidRPr="002532DF">
        <w:rPr>
          <w:sz w:val="25"/>
          <w:szCs w:val="25"/>
        </w:rPr>
        <w:t>percent of</w:t>
      </w:r>
      <w:r w:rsidR="00282614" w:rsidRPr="002532DF">
        <w:rPr>
          <w:sz w:val="25"/>
          <w:szCs w:val="25"/>
        </w:rPr>
        <w:t xml:space="preserve"> the transmission contract’s cost to the </w:t>
      </w:r>
      <w:r w:rsidR="00B11759" w:rsidRPr="002532DF">
        <w:rPr>
          <w:sz w:val="25"/>
          <w:szCs w:val="25"/>
        </w:rPr>
        <w:t>west control area</w:t>
      </w:r>
      <w:r w:rsidRPr="002532DF">
        <w:rPr>
          <w:sz w:val="25"/>
          <w:szCs w:val="25"/>
        </w:rPr>
        <w:t xml:space="preserve"> based on the parallel treatment of other resources.  </w:t>
      </w:r>
      <w:r w:rsidR="00D63FD5" w:rsidRPr="002532DF">
        <w:rPr>
          <w:sz w:val="25"/>
          <w:szCs w:val="25"/>
        </w:rPr>
        <w:t>It argues</w:t>
      </w:r>
      <w:r w:rsidRPr="002532DF">
        <w:rPr>
          <w:sz w:val="25"/>
          <w:szCs w:val="25"/>
        </w:rPr>
        <w:t xml:space="preserve"> that </w:t>
      </w:r>
      <w:r w:rsidR="00282614" w:rsidRPr="002532DF">
        <w:rPr>
          <w:sz w:val="25"/>
          <w:szCs w:val="25"/>
        </w:rPr>
        <w:t xml:space="preserve">because </w:t>
      </w:r>
      <w:r w:rsidRPr="002532DF">
        <w:rPr>
          <w:sz w:val="25"/>
          <w:szCs w:val="25"/>
        </w:rPr>
        <w:t xml:space="preserve">the Commission </w:t>
      </w:r>
      <w:r w:rsidR="00282614" w:rsidRPr="002532DF">
        <w:rPr>
          <w:sz w:val="25"/>
          <w:szCs w:val="25"/>
        </w:rPr>
        <w:t xml:space="preserve">once </w:t>
      </w:r>
      <w:r w:rsidRPr="002532DF">
        <w:rPr>
          <w:sz w:val="25"/>
          <w:szCs w:val="25"/>
        </w:rPr>
        <w:t>disallow</w:t>
      </w:r>
      <w:r w:rsidR="00282614" w:rsidRPr="002532DF">
        <w:rPr>
          <w:sz w:val="25"/>
          <w:szCs w:val="25"/>
        </w:rPr>
        <w:t>ed</w:t>
      </w:r>
      <w:r w:rsidRPr="002532DF">
        <w:rPr>
          <w:sz w:val="25"/>
          <w:szCs w:val="25"/>
        </w:rPr>
        <w:t xml:space="preserve"> benefits </w:t>
      </w:r>
      <w:r w:rsidR="00A9336B" w:rsidRPr="002532DF">
        <w:rPr>
          <w:sz w:val="25"/>
          <w:szCs w:val="25"/>
        </w:rPr>
        <w:t>similar to those being realized by PACE in this instance</w:t>
      </w:r>
      <w:r w:rsidR="00282614" w:rsidRPr="002532DF">
        <w:rPr>
          <w:sz w:val="25"/>
          <w:szCs w:val="25"/>
        </w:rPr>
        <w:t>,</w:t>
      </w:r>
      <w:r w:rsidR="00A9336B" w:rsidRPr="002532DF">
        <w:rPr>
          <w:sz w:val="25"/>
          <w:szCs w:val="25"/>
        </w:rPr>
        <w:t xml:space="preserve"> the Commission </w:t>
      </w:r>
      <w:r w:rsidR="00282614" w:rsidRPr="002532DF">
        <w:rPr>
          <w:sz w:val="25"/>
          <w:szCs w:val="25"/>
        </w:rPr>
        <w:t xml:space="preserve">should </w:t>
      </w:r>
      <w:r w:rsidR="00A9336B" w:rsidRPr="002532DF">
        <w:rPr>
          <w:sz w:val="25"/>
          <w:szCs w:val="25"/>
        </w:rPr>
        <w:t xml:space="preserve">disallow </w:t>
      </w:r>
      <w:r w:rsidR="00FE1722" w:rsidRPr="002532DF">
        <w:rPr>
          <w:sz w:val="25"/>
          <w:szCs w:val="25"/>
        </w:rPr>
        <w:t>one-</w:t>
      </w:r>
      <w:r w:rsidR="00A9336B" w:rsidRPr="002532DF">
        <w:rPr>
          <w:sz w:val="25"/>
          <w:szCs w:val="25"/>
        </w:rPr>
        <w:t>half of the Idaho PTP transmission contract costs at issue here</w:t>
      </w:r>
      <w:r w:rsidR="00536518" w:rsidRPr="002532DF">
        <w:rPr>
          <w:sz w:val="25"/>
          <w:szCs w:val="25"/>
        </w:rPr>
        <w:t>.</w:t>
      </w:r>
      <w:r w:rsidRPr="002532DF">
        <w:rPr>
          <w:rStyle w:val="FootnoteReference"/>
          <w:sz w:val="25"/>
          <w:szCs w:val="25"/>
        </w:rPr>
        <w:footnoteReference w:id="221"/>
      </w:r>
      <w:r w:rsidRPr="002532DF">
        <w:rPr>
          <w:sz w:val="25"/>
          <w:szCs w:val="25"/>
        </w:rPr>
        <w:t xml:space="preserve">  ICNU explains that its adjustment amount differs from Staff’s because it also excludes costs related to providing transmission service to isolated loads in Idaho.</w:t>
      </w:r>
      <w:r w:rsidRPr="002532DF">
        <w:rPr>
          <w:rStyle w:val="FootnoteReference"/>
          <w:sz w:val="25"/>
          <w:szCs w:val="25"/>
        </w:rPr>
        <w:footnoteReference w:id="222"/>
      </w:r>
      <w:r w:rsidRPr="002532DF">
        <w:rPr>
          <w:sz w:val="25"/>
          <w:szCs w:val="25"/>
        </w:rPr>
        <w:t xml:space="preserve">  ICNU’s adjustment reduces expense by $363,988.</w:t>
      </w:r>
      <w:r w:rsidR="003C53CF" w:rsidRPr="002532DF">
        <w:rPr>
          <w:rStyle w:val="FootnoteReference"/>
          <w:sz w:val="25"/>
          <w:szCs w:val="25"/>
        </w:rPr>
        <w:footnoteReference w:id="223"/>
      </w:r>
      <w:r w:rsidRPr="002532DF">
        <w:rPr>
          <w:sz w:val="25"/>
          <w:szCs w:val="25"/>
        </w:rPr>
        <w:t xml:space="preserve">    </w:t>
      </w:r>
    </w:p>
    <w:p w:rsidR="00C62D1E" w:rsidRPr="002532DF" w:rsidRDefault="00C62D1E" w:rsidP="00817E21">
      <w:pPr>
        <w:spacing w:line="276" w:lineRule="auto"/>
        <w:rPr>
          <w:sz w:val="25"/>
          <w:szCs w:val="25"/>
        </w:rPr>
      </w:pPr>
    </w:p>
    <w:p w:rsidR="002711B8" w:rsidRPr="002532DF" w:rsidRDefault="002711B8" w:rsidP="00AD0B90">
      <w:pPr>
        <w:numPr>
          <w:ilvl w:val="0"/>
          <w:numId w:val="1"/>
        </w:numPr>
        <w:tabs>
          <w:tab w:val="clear" w:pos="720"/>
          <w:tab w:val="num" w:pos="0"/>
        </w:tabs>
        <w:spacing w:line="276" w:lineRule="auto"/>
        <w:ind w:left="0"/>
        <w:rPr>
          <w:sz w:val="25"/>
          <w:szCs w:val="25"/>
        </w:rPr>
      </w:pPr>
      <w:r w:rsidRPr="002532DF">
        <w:rPr>
          <w:sz w:val="25"/>
          <w:szCs w:val="25"/>
        </w:rPr>
        <w:t>In rebuttal</w:t>
      </w:r>
      <w:r w:rsidR="00282614" w:rsidRPr="002532DF">
        <w:rPr>
          <w:sz w:val="25"/>
          <w:szCs w:val="25"/>
        </w:rPr>
        <w:t xml:space="preserve"> testimony</w:t>
      </w:r>
      <w:r w:rsidRPr="002532DF">
        <w:rPr>
          <w:sz w:val="25"/>
          <w:szCs w:val="25"/>
        </w:rPr>
        <w:t xml:space="preserve">, the Company opposes the adjustment stating that it is a change to the WCA methodology and that </w:t>
      </w:r>
      <w:r w:rsidRPr="002532DF">
        <w:rPr>
          <w:i/>
          <w:sz w:val="25"/>
          <w:szCs w:val="25"/>
        </w:rPr>
        <w:t>ad hoc</w:t>
      </w:r>
      <w:r w:rsidRPr="002532DF">
        <w:rPr>
          <w:sz w:val="25"/>
          <w:szCs w:val="25"/>
        </w:rPr>
        <w:t xml:space="preserve"> changes to the WCA should not be made until the five-year review of the methodology ordered by the Commission in Order 8 in Docket UE-061546.</w:t>
      </w:r>
      <w:r w:rsidRPr="002532DF">
        <w:rPr>
          <w:rStyle w:val="FootnoteReference"/>
          <w:sz w:val="25"/>
          <w:szCs w:val="25"/>
        </w:rPr>
        <w:footnoteReference w:id="224"/>
      </w:r>
      <w:r w:rsidRPr="002532DF">
        <w:rPr>
          <w:sz w:val="25"/>
          <w:szCs w:val="25"/>
        </w:rPr>
        <w:t xml:space="preserve">  The Company also updates its cost for the Idaho PTP contract rate arguing that if the forward price curves are updated, the matching principle requires that other costs also be updated.</w:t>
      </w:r>
      <w:r w:rsidRPr="002532DF">
        <w:rPr>
          <w:rStyle w:val="FootnoteReference"/>
          <w:sz w:val="25"/>
          <w:szCs w:val="25"/>
        </w:rPr>
        <w:footnoteReference w:id="225"/>
      </w:r>
      <w:r w:rsidRPr="002532DF">
        <w:rPr>
          <w:sz w:val="25"/>
          <w:szCs w:val="25"/>
        </w:rPr>
        <w:t xml:space="preserve">  The Company’s update increases operating expense by $166,501.</w:t>
      </w:r>
      <w:r w:rsidRPr="002532DF">
        <w:rPr>
          <w:rStyle w:val="FootnoteReference"/>
          <w:sz w:val="25"/>
          <w:szCs w:val="25"/>
        </w:rPr>
        <w:footnoteReference w:id="226"/>
      </w:r>
      <w:r w:rsidRPr="002532DF">
        <w:rPr>
          <w:sz w:val="25"/>
          <w:szCs w:val="25"/>
        </w:rPr>
        <w:t xml:space="preserve">  </w:t>
      </w:r>
    </w:p>
    <w:p w:rsidR="00C62D1E" w:rsidRPr="002532DF" w:rsidRDefault="00C62D1E" w:rsidP="00817E21">
      <w:pPr>
        <w:spacing w:line="276" w:lineRule="auto"/>
        <w:rPr>
          <w:sz w:val="25"/>
          <w:szCs w:val="25"/>
        </w:rPr>
      </w:pPr>
    </w:p>
    <w:p w:rsidR="00945C6F" w:rsidRPr="002532DF" w:rsidRDefault="00282614" w:rsidP="00AD0B90">
      <w:pPr>
        <w:numPr>
          <w:ilvl w:val="0"/>
          <w:numId w:val="1"/>
        </w:numPr>
        <w:tabs>
          <w:tab w:val="clear" w:pos="720"/>
          <w:tab w:val="num" w:pos="0"/>
        </w:tabs>
        <w:spacing w:line="276" w:lineRule="auto"/>
        <w:ind w:left="0"/>
        <w:rPr>
          <w:sz w:val="25"/>
          <w:szCs w:val="25"/>
        </w:rPr>
      </w:pPr>
      <w:r w:rsidRPr="002532DF">
        <w:rPr>
          <w:sz w:val="25"/>
          <w:szCs w:val="25"/>
        </w:rPr>
        <w:t>In its brief, the Company s</w:t>
      </w:r>
      <w:r w:rsidR="00AF6C8E" w:rsidRPr="002532DF">
        <w:rPr>
          <w:sz w:val="25"/>
          <w:szCs w:val="25"/>
        </w:rPr>
        <w:t>t</w:t>
      </w:r>
      <w:r w:rsidRPr="002532DF">
        <w:rPr>
          <w:sz w:val="25"/>
          <w:szCs w:val="25"/>
        </w:rPr>
        <w:t>ates that ICNU agreed that some PTP contract costs had been removed in the Company’s initial filing.</w:t>
      </w:r>
      <w:r w:rsidRPr="002532DF">
        <w:rPr>
          <w:rStyle w:val="FootnoteReference"/>
          <w:sz w:val="25"/>
          <w:szCs w:val="25"/>
        </w:rPr>
        <w:footnoteReference w:id="227"/>
      </w:r>
      <w:r w:rsidRPr="002532DF">
        <w:rPr>
          <w:sz w:val="25"/>
          <w:szCs w:val="25"/>
        </w:rPr>
        <w:t xml:space="preserve">  </w:t>
      </w:r>
      <w:r w:rsidR="00945C6F" w:rsidRPr="002532DF">
        <w:rPr>
          <w:sz w:val="25"/>
          <w:szCs w:val="25"/>
        </w:rPr>
        <w:t>T</w:t>
      </w:r>
      <w:r w:rsidRPr="002532DF">
        <w:rPr>
          <w:sz w:val="25"/>
          <w:szCs w:val="25"/>
        </w:rPr>
        <w:t>here are two parts to the Idaho PTP transmission contract.</w:t>
      </w:r>
      <w:r w:rsidR="00945C6F" w:rsidRPr="002532DF">
        <w:rPr>
          <w:rStyle w:val="FootnoteReference"/>
          <w:sz w:val="25"/>
          <w:szCs w:val="25"/>
        </w:rPr>
        <w:footnoteReference w:id="228"/>
      </w:r>
      <w:r w:rsidRPr="002532DF">
        <w:rPr>
          <w:sz w:val="25"/>
          <w:szCs w:val="25"/>
        </w:rPr>
        <w:t xml:space="preserve"> </w:t>
      </w:r>
      <w:r w:rsidR="00583C8C">
        <w:rPr>
          <w:sz w:val="25"/>
          <w:szCs w:val="25"/>
        </w:rPr>
        <w:t xml:space="preserve"> </w:t>
      </w:r>
      <w:r w:rsidRPr="002532DF">
        <w:rPr>
          <w:sz w:val="25"/>
          <w:szCs w:val="25"/>
        </w:rPr>
        <w:t xml:space="preserve">The first part relates to the </w:t>
      </w:r>
      <w:r w:rsidR="00945C6F" w:rsidRPr="002532DF">
        <w:rPr>
          <w:sz w:val="25"/>
          <w:szCs w:val="25"/>
        </w:rPr>
        <w:t>Idaho PTP east portion</w:t>
      </w:r>
      <w:r w:rsidR="00D63FD5" w:rsidRPr="002532DF">
        <w:rPr>
          <w:sz w:val="25"/>
          <w:szCs w:val="25"/>
        </w:rPr>
        <w:t xml:space="preserve"> and</w:t>
      </w:r>
      <w:r w:rsidRPr="002532DF">
        <w:rPr>
          <w:sz w:val="25"/>
          <w:szCs w:val="25"/>
        </w:rPr>
        <w:t xml:space="preserve"> the</w:t>
      </w:r>
      <w:r w:rsidR="00E34D80" w:rsidRPr="002532DF">
        <w:rPr>
          <w:sz w:val="25"/>
          <w:szCs w:val="25"/>
        </w:rPr>
        <w:t xml:space="preserve"> Company </w:t>
      </w:r>
      <w:r w:rsidRPr="002532DF">
        <w:rPr>
          <w:sz w:val="25"/>
          <w:szCs w:val="25"/>
        </w:rPr>
        <w:t xml:space="preserve">removed </w:t>
      </w:r>
      <w:r w:rsidR="00E34D80" w:rsidRPr="002532DF">
        <w:rPr>
          <w:sz w:val="25"/>
          <w:szCs w:val="25"/>
        </w:rPr>
        <w:t>these costs</w:t>
      </w:r>
      <w:r w:rsidRPr="002532DF">
        <w:rPr>
          <w:sz w:val="25"/>
          <w:szCs w:val="25"/>
        </w:rPr>
        <w:t>.  The second part relates to the Idaho PTP west portion that is included in the Company’s initial filing and is subject to ICNU’s proposed adjustment.</w:t>
      </w:r>
    </w:p>
    <w:p w:rsidR="00E23FBE" w:rsidRPr="002532DF" w:rsidRDefault="00E23FBE">
      <w:pPr>
        <w:pStyle w:val="ListParagraph"/>
        <w:rPr>
          <w:sz w:val="25"/>
          <w:szCs w:val="25"/>
        </w:rPr>
      </w:pPr>
    </w:p>
    <w:p w:rsidR="0036285F" w:rsidRPr="002532DF" w:rsidRDefault="00945C6F" w:rsidP="00AD0B90">
      <w:pPr>
        <w:numPr>
          <w:ilvl w:val="0"/>
          <w:numId w:val="1"/>
        </w:numPr>
        <w:tabs>
          <w:tab w:val="clear" w:pos="720"/>
          <w:tab w:val="num" w:pos="0"/>
        </w:tabs>
        <w:spacing w:line="276" w:lineRule="auto"/>
        <w:ind w:left="0"/>
        <w:rPr>
          <w:sz w:val="25"/>
          <w:szCs w:val="25"/>
        </w:rPr>
      </w:pPr>
      <w:r w:rsidRPr="002532DF">
        <w:rPr>
          <w:sz w:val="25"/>
          <w:szCs w:val="25"/>
        </w:rPr>
        <w:t>T</w:t>
      </w:r>
      <w:r w:rsidR="00282614" w:rsidRPr="002532DF">
        <w:rPr>
          <w:sz w:val="25"/>
          <w:szCs w:val="25"/>
        </w:rPr>
        <w:t>he</w:t>
      </w:r>
      <w:r w:rsidR="002711B8" w:rsidRPr="002532DF">
        <w:rPr>
          <w:sz w:val="25"/>
          <w:szCs w:val="25"/>
        </w:rPr>
        <w:t xml:space="preserve"> Company agrees with the portion of ICNU’s adjustment that removes costs associated with providing transmission service to isolated loads in Idaho.  PacifiCorp represents that removing those costs reduce operating expenses by $12,836.</w:t>
      </w:r>
      <w:r w:rsidR="002711B8" w:rsidRPr="002532DF">
        <w:rPr>
          <w:rStyle w:val="FootnoteReference"/>
          <w:sz w:val="25"/>
          <w:szCs w:val="25"/>
        </w:rPr>
        <w:footnoteReference w:id="229"/>
      </w:r>
    </w:p>
    <w:p w:rsidR="00237764" w:rsidRPr="002532DF" w:rsidRDefault="00237764" w:rsidP="00237764">
      <w:pPr>
        <w:pStyle w:val="ListParagraph"/>
        <w:rPr>
          <w:sz w:val="25"/>
          <w:szCs w:val="25"/>
        </w:rPr>
      </w:pPr>
    </w:p>
    <w:p w:rsidR="009067EF" w:rsidRDefault="00237764" w:rsidP="00AD0B90">
      <w:pPr>
        <w:numPr>
          <w:ilvl w:val="0"/>
          <w:numId w:val="1"/>
        </w:numPr>
        <w:tabs>
          <w:tab w:val="clear" w:pos="720"/>
          <w:tab w:val="num" w:pos="0"/>
        </w:tabs>
        <w:spacing w:line="276" w:lineRule="auto"/>
        <w:ind w:left="0"/>
        <w:rPr>
          <w:sz w:val="25"/>
          <w:szCs w:val="25"/>
        </w:rPr>
      </w:pPr>
      <w:r w:rsidRPr="002532DF">
        <w:rPr>
          <w:i/>
          <w:sz w:val="25"/>
          <w:szCs w:val="25"/>
        </w:rPr>
        <w:t xml:space="preserve">Commission Decision.  </w:t>
      </w:r>
      <w:r w:rsidRPr="002532DF">
        <w:rPr>
          <w:sz w:val="25"/>
          <w:szCs w:val="25"/>
        </w:rPr>
        <w:t xml:space="preserve">We reject PacifiCorp’s argument that the proposed adjustment is an </w:t>
      </w:r>
      <w:r w:rsidRPr="002532DF">
        <w:rPr>
          <w:i/>
          <w:sz w:val="25"/>
          <w:szCs w:val="25"/>
        </w:rPr>
        <w:t xml:space="preserve">ad hoc </w:t>
      </w:r>
      <w:r w:rsidRPr="002532DF">
        <w:rPr>
          <w:sz w:val="25"/>
          <w:szCs w:val="25"/>
        </w:rPr>
        <w:t xml:space="preserve">change to the WCA methodology that cannot be undertaken until the WCA’s five-year review.  We also reject the Company’s assertion that the parties’ adjustments run contrary to the principles underlying the WCA methodology.  It is not inconsistent with that methodology to allocate costs of a resource between the PACW and PACE, so long as both divisions realize benefits.  The costs of PACW resources included in NPC should be offset to reflect the benefits realized by the PACE when it uses PACW resources.  </w:t>
      </w:r>
    </w:p>
    <w:p w:rsidR="009067EF" w:rsidRDefault="009067EF" w:rsidP="00E77D4E">
      <w:pPr>
        <w:pStyle w:val="ListParagraph"/>
        <w:rPr>
          <w:sz w:val="25"/>
          <w:szCs w:val="25"/>
        </w:rPr>
      </w:pPr>
    </w:p>
    <w:p w:rsidR="00237764" w:rsidRPr="002532DF" w:rsidRDefault="00237764" w:rsidP="00AD0B90">
      <w:pPr>
        <w:numPr>
          <w:ilvl w:val="0"/>
          <w:numId w:val="1"/>
        </w:numPr>
        <w:tabs>
          <w:tab w:val="clear" w:pos="720"/>
          <w:tab w:val="num" w:pos="0"/>
        </w:tabs>
        <w:spacing w:line="276" w:lineRule="auto"/>
        <w:ind w:left="0"/>
        <w:rPr>
          <w:sz w:val="25"/>
          <w:szCs w:val="25"/>
        </w:rPr>
      </w:pPr>
      <w:r w:rsidRPr="002532DF">
        <w:rPr>
          <w:sz w:val="25"/>
          <w:szCs w:val="25"/>
        </w:rPr>
        <w:t>We conclude that Staff</w:t>
      </w:r>
      <w:r w:rsidRPr="002532DF">
        <w:rPr>
          <w:i/>
          <w:sz w:val="25"/>
          <w:szCs w:val="25"/>
        </w:rPr>
        <w:t xml:space="preserve"> </w:t>
      </w:r>
      <w:r w:rsidRPr="002532DF">
        <w:rPr>
          <w:sz w:val="25"/>
          <w:szCs w:val="25"/>
        </w:rPr>
        <w:t>and ICNU’s arguments for removing one-half the expenses associated with</w:t>
      </w:r>
      <w:r w:rsidRPr="002532DF">
        <w:rPr>
          <w:i/>
          <w:sz w:val="25"/>
          <w:szCs w:val="25"/>
        </w:rPr>
        <w:t xml:space="preserve"> </w:t>
      </w:r>
      <w:r w:rsidRPr="002532DF">
        <w:rPr>
          <w:sz w:val="25"/>
          <w:szCs w:val="25"/>
        </w:rPr>
        <w:t xml:space="preserve">the Idaho PTP west portion of the transmission contract are persuasive.  These parties demonstrate that both the PACW and PACE realize benefits under the contract, so the costs should not be assigned exclusively to the PACW.  The Commission observes that the Company provides no evidence supporting the claim that half the costs associated with the west portion of the contract have been removed.  ICNU’s explanation at hearing that the adjustment is based on the west portion of the Idaho PTP contract costs is complete and convincing.  We conclude that one-half of the Idaho PTP’s </w:t>
      </w:r>
      <w:r w:rsidRPr="002532DF">
        <w:rPr>
          <w:i/>
          <w:sz w:val="25"/>
          <w:szCs w:val="25"/>
        </w:rPr>
        <w:t>updated</w:t>
      </w:r>
      <w:r w:rsidRPr="002532DF">
        <w:rPr>
          <w:sz w:val="25"/>
          <w:szCs w:val="25"/>
        </w:rPr>
        <w:t xml:space="preserve"> costs, $753,840, should be removed from NPC.  We </w:t>
      </w:r>
      <w:r w:rsidR="00766CCD">
        <w:rPr>
          <w:sz w:val="25"/>
          <w:szCs w:val="25"/>
        </w:rPr>
        <w:t xml:space="preserve">also </w:t>
      </w:r>
      <w:r w:rsidRPr="002532DF">
        <w:rPr>
          <w:sz w:val="25"/>
          <w:szCs w:val="25"/>
        </w:rPr>
        <w:t>accept the undisputed adjustment to remove $12,836 in costs associated with the providing transmission services to isolated loads in Idaho prior to the removal of one half of the contract as ordered.</w:t>
      </w:r>
    </w:p>
    <w:p w:rsidR="00336DC3" w:rsidRPr="00973B0D" w:rsidRDefault="00915B26" w:rsidP="00973B0D">
      <w:pPr>
        <w:pStyle w:val="Heading5"/>
        <w:ind w:left="1440" w:hanging="360"/>
        <w:rPr>
          <w:rFonts w:ascii="Times New Roman" w:hAnsi="Times New Roman"/>
          <w:i w:val="0"/>
          <w:sz w:val="25"/>
          <w:szCs w:val="25"/>
        </w:rPr>
      </w:pPr>
      <w:bookmarkStart w:id="37" w:name="_Toc168986372"/>
      <w:bookmarkStart w:id="38" w:name="_Toc288813738"/>
      <w:r w:rsidRPr="00973B0D">
        <w:rPr>
          <w:rFonts w:ascii="Times New Roman" w:hAnsi="Times New Roman"/>
          <w:i w:val="0"/>
          <w:sz w:val="25"/>
          <w:szCs w:val="25"/>
        </w:rPr>
        <w:t>j.</w:t>
      </w:r>
      <w:r w:rsidRPr="00973B0D">
        <w:rPr>
          <w:rFonts w:ascii="Times New Roman" w:hAnsi="Times New Roman"/>
          <w:i w:val="0"/>
          <w:sz w:val="25"/>
          <w:szCs w:val="25"/>
        </w:rPr>
        <w:tab/>
        <w:t xml:space="preserve"> Price Update</w:t>
      </w:r>
      <w:bookmarkEnd w:id="37"/>
      <w:bookmarkEnd w:id="38"/>
      <w:r w:rsidRPr="00973B0D">
        <w:rPr>
          <w:rFonts w:ascii="Times New Roman" w:hAnsi="Times New Roman"/>
          <w:i w:val="0"/>
          <w:sz w:val="25"/>
          <w:szCs w:val="25"/>
        </w:rPr>
        <w:t xml:space="preserve"> </w:t>
      </w:r>
    </w:p>
    <w:p w:rsidR="008A32B4" w:rsidRPr="002532DF" w:rsidRDefault="008A32B4" w:rsidP="00817E21">
      <w:pPr>
        <w:spacing w:line="276" w:lineRule="auto"/>
        <w:rPr>
          <w:b/>
          <w:sz w:val="25"/>
          <w:szCs w:val="25"/>
        </w:rPr>
      </w:pPr>
    </w:p>
    <w:p w:rsidR="002711B8" w:rsidRPr="002532DF" w:rsidRDefault="00BA102A" w:rsidP="00AD0B90">
      <w:pPr>
        <w:numPr>
          <w:ilvl w:val="0"/>
          <w:numId w:val="1"/>
        </w:numPr>
        <w:tabs>
          <w:tab w:val="clear" w:pos="720"/>
          <w:tab w:val="num" w:pos="0"/>
        </w:tabs>
        <w:spacing w:line="276" w:lineRule="auto"/>
        <w:ind w:left="0"/>
        <w:rPr>
          <w:sz w:val="25"/>
          <w:szCs w:val="25"/>
        </w:rPr>
      </w:pPr>
      <w:r w:rsidRPr="002532DF">
        <w:rPr>
          <w:sz w:val="25"/>
          <w:szCs w:val="25"/>
        </w:rPr>
        <w:t>The parties agreed to use the December 31, 2010, forward prices in the balancing adjustment to NPC.</w:t>
      </w:r>
      <w:r w:rsidRPr="002532DF">
        <w:rPr>
          <w:rStyle w:val="FootnoteReference"/>
          <w:sz w:val="25"/>
          <w:szCs w:val="25"/>
        </w:rPr>
        <w:footnoteReference w:id="230"/>
      </w:r>
      <w:r w:rsidR="007D2AA2" w:rsidRPr="002532DF">
        <w:rPr>
          <w:sz w:val="25"/>
          <w:szCs w:val="25"/>
        </w:rPr>
        <w:t xml:space="preserve">  We accept the use of these forward </w:t>
      </w:r>
      <w:r w:rsidRPr="002532DF">
        <w:rPr>
          <w:sz w:val="25"/>
          <w:szCs w:val="25"/>
        </w:rPr>
        <w:t>price</w:t>
      </w:r>
      <w:r w:rsidR="007D2AA2" w:rsidRPr="002532DF">
        <w:rPr>
          <w:sz w:val="25"/>
          <w:szCs w:val="25"/>
        </w:rPr>
        <w:t>s</w:t>
      </w:r>
      <w:r w:rsidRPr="002532DF">
        <w:rPr>
          <w:sz w:val="25"/>
          <w:szCs w:val="25"/>
        </w:rPr>
        <w:t xml:space="preserve"> for the purpose of this case.</w:t>
      </w:r>
    </w:p>
    <w:p w:rsidR="008A32B4" w:rsidRPr="00973B0D" w:rsidRDefault="00915B26" w:rsidP="00785C8E">
      <w:pPr>
        <w:pStyle w:val="Heading5"/>
        <w:ind w:left="1440" w:hanging="360"/>
        <w:rPr>
          <w:rFonts w:ascii="Times New Roman" w:hAnsi="Times New Roman"/>
          <w:i w:val="0"/>
          <w:sz w:val="25"/>
          <w:szCs w:val="25"/>
        </w:rPr>
      </w:pPr>
      <w:bookmarkStart w:id="39" w:name="_Toc168986373"/>
      <w:bookmarkStart w:id="40" w:name="_Toc288813739"/>
      <w:r w:rsidRPr="00973B0D">
        <w:rPr>
          <w:rFonts w:ascii="Times New Roman" w:hAnsi="Times New Roman"/>
          <w:i w:val="0"/>
          <w:sz w:val="25"/>
          <w:szCs w:val="25"/>
        </w:rPr>
        <w:t>k.</w:t>
      </w:r>
      <w:r w:rsidRPr="00973B0D">
        <w:rPr>
          <w:rFonts w:ascii="Times New Roman" w:hAnsi="Times New Roman"/>
          <w:i w:val="0"/>
          <w:sz w:val="25"/>
          <w:szCs w:val="25"/>
        </w:rPr>
        <w:tab/>
        <w:t>Logic Screen</w:t>
      </w:r>
      <w:bookmarkEnd w:id="39"/>
      <w:bookmarkEnd w:id="40"/>
    </w:p>
    <w:p w:rsidR="008A32B4" w:rsidRPr="002532DF" w:rsidRDefault="008A32B4" w:rsidP="00817E21">
      <w:pPr>
        <w:spacing w:line="276" w:lineRule="auto"/>
        <w:ind w:left="1980"/>
        <w:rPr>
          <w:b/>
          <w:sz w:val="25"/>
          <w:szCs w:val="25"/>
        </w:rPr>
      </w:pPr>
    </w:p>
    <w:p w:rsidR="002711B8" w:rsidRPr="002532DF" w:rsidRDefault="00AC6466" w:rsidP="00AD0B90">
      <w:pPr>
        <w:numPr>
          <w:ilvl w:val="0"/>
          <w:numId w:val="1"/>
        </w:numPr>
        <w:tabs>
          <w:tab w:val="clear" w:pos="720"/>
          <w:tab w:val="num" w:pos="0"/>
        </w:tabs>
        <w:spacing w:line="276" w:lineRule="auto"/>
        <w:ind w:left="0"/>
        <w:rPr>
          <w:sz w:val="25"/>
          <w:szCs w:val="25"/>
        </w:rPr>
      </w:pPr>
      <w:r w:rsidRPr="002532DF">
        <w:rPr>
          <w:i/>
          <w:sz w:val="25"/>
          <w:szCs w:val="25"/>
        </w:rPr>
        <w:t xml:space="preserve">Positions of the Parties.  </w:t>
      </w:r>
      <w:r w:rsidR="00E804C5" w:rsidRPr="002532DF">
        <w:rPr>
          <w:sz w:val="25"/>
          <w:szCs w:val="25"/>
        </w:rPr>
        <w:t xml:space="preserve">ICNU </w:t>
      </w:r>
      <w:r w:rsidR="004019D2" w:rsidRPr="002532DF">
        <w:rPr>
          <w:sz w:val="25"/>
          <w:szCs w:val="25"/>
        </w:rPr>
        <w:t>argues that there is a logic error in the GRID model</w:t>
      </w:r>
      <w:r w:rsidR="00BD5766" w:rsidRPr="002532DF">
        <w:rPr>
          <w:sz w:val="25"/>
          <w:szCs w:val="25"/>
        </w:rPr>
        <w:t xml:space="preserve"> that results in </w:t>
      </w:r>
      <w:r w:rsidR="00A71DDE" w:rsidRPr="002532DF">
        <w:rPr>
          <w:sz w:val="25"/>
          <w:szCs w:val="25"/>
        </w:rPr>
        <w:t xml:space="preserve">an excessive number of </w:t>
      </w:r>
      <w:r w:rsidR="00841BF2" w:rsidRPr="002532DF">
        <w:rPr>
          <w:sz w:val="25"/>
          <w:szCs w:val="25"/>
        </w:rPr>
        <w:t>start-ups and shut-downs of the Company’s gas fired resources.”</w:t>
      </w:r>
      <w:r w:rsidR="00BD5766" w:rsidRPr="002532DF">
        <w:rPr>
          <w:rStyle w:val="FootnoteReference"/>
          <w:sz w:val="25"/>
          <w:szCs w:val="25"/>
        </w:rPr>
        <w:footnoteReference w:id="231"/>
      </w:r>
      <w:r w:rsidR="00BD5766" w:rsidRPr="002532DF">
        <w:rPr>
          <w:sz w:val="25"/>
          <w:szCs w:val="25"/>
        </w:rPr>
        <w:t xml:space="preserve"> </w:t>
      </w:r>
      <w:r w:rsidR="004019D2" w:rsidRPr="002532DF">
        <w:rPr>
          <w:sz w:val="25"/>
          <w:szCs w:val="25"/>
        </w:rPr>
        <w:t xml:space="preserve"> </w:t>
      </w:r>
      <w:r w:rsidR="00BD5766" w:rsidRPr="002532DF">
        <w:rPr>
          <w:sz w:val="25"/>
          <w:szCs w:val="25"/>
        </w:rPr>
        <w:t>According</w:t>
      </w:r>
      <w:r w:rsidR="00A71DDE" w:rsidRPr="002532DF">
        <w:rPr>
          <w:sz w:val="25"/>
          <w:szCs w:val="25"/>
        </w:rPr>
        <w:t>ly</w:t>
      </w:r>
      <w:r w:rsidR="00841BF2" w:rsidRPr="002532DF">
        <w:rPr>
          <w:sz w:val="25"/>
          <w:szCs w:val="25"/>
        </w:rPr>
        <w:t>, ICNU proposes a different screening logic for the start-up (dispatch) of plants in GRID and proposes an accompanying adjustment outside of NPC to the variable O &amp; M costs for thermal plants with dispatch affected by the proposed logic screening methodology.</w:t>
      </w:r>
      <w:r w:rsidR="009B655D" w:rsidRPr="002532DF">
        <w:rPr>
          <w:rStyle w:val="FootnoteReference"/>
          <w:sz w:val="25"/>
          <w:szCs w:val="25"/>
        </w:rPr>
        <w:footnoteReference w:id="232"/>
      </w:r>
      <w:r w:rsidR="002711B8" w:rsidRPr="002532DF">
        <w:rPr>
          <w:sz w:val="25"/>
          <w:szCs w:val="25"/>
        </w:rPr>
        <w:t xml:space="preserve">  ICNU’s adjustment for logic screen, not including the O&amp;M adjustment, reduces expense by $973,337.</w:t>
      </w:r>
      <w:r w:rsidR="003C53CF" w:rsidRPr="002532DF">
        <w:rPr>
          <w:rStyle w:val="FootnoteReference"/>
          <w:sz w:val="25"/>
          <w:szCs w:val="25"/>
        </w:rPr>
        <w:footnoteReference w:id="233"/>
      </w:r>
    </w:p>
    <w:p w:rsidR="00C62D1E" w:rsidRPr="002532DF" w:rsidRDefault="00C62D1E" w:rsidP="00817E21">
      <w:pPr>
        <w:spacing w:line="276" w:lineRule="auto"/>
        <w:rPr>
          <w:sz w:val="25"/>
          <w:szCs w:val="25"/>
        </w:rPr>
      </w:pPr>
    </w:p>
    <w:p w:rsidR="002711B8" w:rsidRPr="002532DF" w:rsidRDefault="00841BF2" w:rsidP="00AD0B90">
      <w:pPr>
        <w:numPr>
          <w:ilvl w:val="0"/>
          <w:numId w:val="1"/>
        </w:numPr>
        <w:tabs>
          <w:tab w:val="clear" w:pos="720"/>
          <w:tab w:val="num" w:pos="0"/>
        </w:tabs>
        <w:spacing w:line="276" w:lineRule="auto"/>
        <w:ind w:left="0"/>
        <w:rPr>
          <w:sz w:val="25"/>
          <w:szCs w:val="25"/>
        </w:rPr>
      </w:pPr>
      <w:r w:rsidRPr="002532DF">
        <w:rPr>
          <w:sz w:val="25"/>
          <w:szCs w:val="25"/>
        </w:rPr>
        <w:t>In rebuttal testimony, the Company accepts ICNU’s proposed logic screen but does not accept that ICNU’s conclusion that its screening logic changes incremental fixed O&amp;M expenses included in the test year.</w:t>
      </w:r>
      <w:r w:rsidR="002711B8" w:rsidRPr="002532DF">
        <w:rPr>
          <w:rStyle w:val="FootnoteReference"/>
          <w:sz w:val="25"/>
          <w:szCs w:val="25"/>
        </w:rPr>
        <w:footnoteReference w:id="234"/>
      </w:r>
      <w:r w:rsidR="002711B8" w:rsidRPr="002532DF">
        <w:rPr>
          <w:sz w:val="25"/>
          <w:szCs w:val="25"/>
        </w:rPr>
        <w:t xml:space="preserve">  </w:t>
      </w:r>
      <w:r w:rsidR="00BD5766" w:rsidRPr="002532DF">
        <w:rPr>
          <w:sz w:val="25"/>
          <w:szCs w:val="25"/>
        </w:rPr>
        <w:t>It argues that ICNU “provides no explanation of its adjustment or evidence to support it.”</w:t>
      </w:r>
      <w:r w:rsidR="00BD5766" w:rsidRPr="002532DF">
        <w:rPr>
          <w:rStyle w:val="FootnoteReference"/>
          <w:sz w:val="25"/>
          <w:szCs w:val="25"/>
        </w:rPr>
        <w:footnoteReference w:id="235"/>
      </w:r>
      <w:r w:rsidR="00BD5766" w:rsidRPr="002532DF">
        <w:rPr>
          <w:sz w:val="25"/>
          <w:szCs w:val="25"/>
        </w:rPr>
        <w:t xml:space="preserve"> </w:t>
      </w:r>
      <w:r w:rsidR="00583C8C">
        <w:rPr>
          <w:sz w:val="25"/>
          <w:szCs w:val="25"/>
        </w:rPr>
        <w:t xml:space="preserve"> </w:t>
      </w:r>
      <w:r w:rsidR="002711B8" w:rsidRPr="002532DF">
        <w:rPr>
          <w:sz w:val="25"/>
          <w:szCs w:val="25"/>
        </w:rPr>
        <w:t xml:space="preserve">The </w:t>
      </w:r>
      <w:r w:rsidR="00C3760B" w:rsidRPr="002532DF">
        <w:rPr>
          <w:sz w:val="25"/>
          <w:szCs w:val="25"/>
        </w:rPr>
        <w:t xml:space="preserve">net effect on revenues and expenses of the </w:t>
      </w:r>
      <w:r w:rsidR="002711B8" w:rsidRPr="002532DF">
        <w:rPr>
          <w:sz w:val="25"/>
          <w:szCs w:val="25"/>
        </w:rPr>
        <w:t xml:space="preserve">Company’s adjustment </w:t>
      </w:r>
      <w:r w:rsidR="00C3760B" w:rsidRPr="002532DF">
        <w:rPr>
          <w:sz w:val="25"/>
          <w:szCs w:val="25"/>
        </w:rPr>
        <w:t>is a reduction in NPC of</w:t>
      </w:r>
      <w:r w:rsidR="002711B8" w:rsidRPr="002532DF">
        <w:rPr>
          <w:sz w:val="25"/>
          <w:szCs w:val="25"/>
        </w:rPr>
        <w:t xml:space="preserve"> $239,636.</w:t>
      </w:r>
      <w:r w:rsidR="002711B8" w:rsidRPr="002532DF">
        <w:rPr>
          <w:rStyle w:val="FootnoteReference"/>
          <w:sz w:val="25"/>
          <w:szCs w:val="25"/>
        </w:rPr>
        <w:footnoteReference w:id="236"/>
      </w:r>
      <w:r w:rsidR="002711B8" w:rsidRPr="002532DF">
        <w:rPr>
          <w:sz w:val="25"/>
          <w:szCs w:val="25"/>
        </w:rPr>
        <w:t xml:space="preserve">  </w:t>
      </w:r>
    </w:p>
    <w:p w:rsidR="00E36EBF" w:rsidRPr="002532DF" w:rsidRDefault="00E36EBF" w:rsidP="00E36EBF">
      <w:pPr>
        <w:spacing w:line="276" w:lineRule="auto"/>
        <w:ind w:left="-720"/>
        <w:rPr>
          <w:sz w:val="25"/>
          <w:szCs w:val="25"/>
        </w:rPr>
      </w:pPr>
    </w:p>
    <w:p w:rsidR="00E36EBF" w:rsidRPr="002532DF" w:rsidRDefault="00BD5766" w:rsidP="00AD0B90">
      <w:pPr>
        <w:numPr>
          <w:ilvl w:val="0"/>
          <w:numId w:val="1"/>
        </w:numPr>
        <w:tabs>
          <w:tab w:val="clear" w:pos="720"/>
          <w:tab w:val="num" w:pos="0"/>
        </w:tabs>
        <w:spacing w:line="276" w:lineRule="auto"/>
        <w:ind w:left="0"/>
        <w:rPr>
          <w:sz w:val="25"/>
          <w:szCs w:val="25"/>
        </w:rPr>
      </w:pPr>
      <w:r w:rsidRPr="002532DF">
        <w:rPr>
          <w:i/>
          <w:sz w:val="25"/>
          <w:szCs w:val="25"/>
        </w:rPr>
        <w:t xml:space="preserve">Commission Decision. </w:t>
      </w:r>
      <w:r w:rsidR="00583C8C">
        <w:rPr>
          <w:i/>
          <w:sz w:val="25"/>
          <w:szCs w:val="25"/>
        </w:rPr>
        <w:t xml:space="preserve"> </w:t>
      </w:r>
      <w:r w:rsidR="00E36EBF" w:rsidRPr="002532DF">
        <w:rPr>
          <w:sz w:val="25"/>
          <w:szCs w:val="25"/>
        </w:rPr>
        <w:t xml:space="preserve">We conclude that the undisputed modification to the logic screen is reasonable and should be accepted.  We require the Company to use the modified logic screen in its balancing adjustment.  However, ICNU failed to demonstrate that PacifiCorp made an incremental adjustment to O &amp; M or its calculation of NPC to reflect the costs of additional dispatches.  Therefore, we reject ICNU’s adjustment to the O&amp;M costs for thermal plants. </w:t>
      </w:r>
    </w:p>
    <w:p w:rsidR="008A32B4" w:rsidRPr="002532DF" w:rsidRDefault="009106E3" w:rsidP="00785C8E">
      <w:pPr>
        <w:pStyle w:val="Heading5"/>
        <w:ind w:left="1440" w:hanging="360"/>
        <w:rPr>
          <w:rFonts w:ascii="Times New Roman" w:hAnsi="Times New Roman"/>
          <w:i w:val="0"/>
          <w:sz w:val="25"/>
          <w:szCs w:val="25"/>
        </w:rPr>
      </w:pPr>
      <w:bookmarkStart w:id="41" w:name="_Toc168986374"/>
      <w:bookmarkStart w:id="42" w:name="_Toc288813740"/>
      <w:r w:rsidRPr="002532DF">
        <w:rPr>
          <w:rFonts w:ascii="Times New Roman" w:hAnsi="Times New Roman"/>
          <w:i w:val="0"/>
          <w:sz w:val="25"/>
          <w:szCs w:val="25"/>
        </w:rPr>
        <w:t>l</w:t>
      </w:r>
      <w:r w:rsidR="00B100DF" w:rsidRPr="002532DF">
        <w:rPr>
          <w:rFonts w:ascii="Times New Roman" w:hAnsi="Times New Roman"/>
          <w:i w:val="0"/>
          <w:sz w:val="25"/>
          <w:szCs w:val="25"/>
        </w:rPr>
        <w:t>.</w:t>
      </w:r>
      <w:r w:rsidR="00B100DF" w:rsidRPr="002532DF">
        <w:rPr>
          <w:rFonts w:ascii="Times New Roman" w:hAnsi="Times New Roman"/>
          <w:i w:val="0"/>
          <w:sz w:val="25"/>
          <w:szCs w:val="25"/>
        </w:rPr>
        <w:tab/>
        <w:t>Eastern Market Sale</w:t>
      </w:r>
      <w:bookmarkEnd w:id="41"/>
      <w:bookmarkEnd w:id="42"/>
    </w:p>
    <w:p w:rsidR="008A32B4" w:rsidRPr="002532DF" w:rsidRDefault="008A32B4" w:rsidP="00817E21">
      <w:pPr>
        <w:spacing w:line="276" w:lineRule="auto"/>
        <w:rPr>
          <w:b/>
          <w:sz w:val="25"/>
          <w:szCs w:val="25"/>
        </w:rPr>
      </w:pPr>
    </w:p>
    <w:p w:rsidR="009706CF" w:rsidRPr="002532DF" w:rsidRDefault="00AC6466" w:rsidP="00AD0B90">
      <w:pPr>
        <w:numPr>
          <w:ilvl w:val="0"/>
          <w:numId w:val="1"/>
        </w:numPr>
        <w:tabs>
          <w:tab w:val="clear" w:pos="720"/>
          <w:tab w:val="num" w:pos="0"/>
        </w:tabs>
        <w:spacing w:line="276" w:lineRule="auto"/>
        <w:ind w:left="0"/>
        <w:rPr>
          <w:sz w:val="25"/>
          <w:szCs w:val="25"/>
        </w:rPr>
      </w:pPr>
      <w:r w:rsidRPr="002532DF">
        <w:rPr>
          <w:i/>
          <w:sz w:val="25"/>
          <w:szCs w:val="25"/>
        </w:rPr>
        <w:t xml:space="preserve">Positions of the Parties.  </w:t>
      </w:r>
      <w:r w:rsidR="00F42AC9" w:rsidRPr="002532DF">
        <w:rPr>
          <w:sz w:val="25"/>
          <w:szCs w:val="25"/>
        </w:rPr>
        <w:t xml:space="preserve">ICNU states that </w:t>
      </w:r>
      <w:r w:rsidR="00477FD3" w:rsidRPr="002532DF">
        <w:rPr>
          <w:sz w:val="25"/>
          <w:szCs w:val="25"/>
        </w:rPr>
        <w:t xml:space="preserve">PacifiCorp </w:t>
      </w:r>
      <w:r w:rsidR="006F206A" w:rsidRPr="002532DF">
        <w:rPr>
          <w:sz w:val="25"/>
          <w:szCs w:val="25"/>
        </w:rPr>
        <w:t>includes</w:t>
      </w:r>
      <w:r w:rsidR="00477FD3" w:rsidRPr="002532DF">
        <w:rPr>
          <w:sz w:val="25"/>
          <w:szCs w:val="25"/>
        </w:rPr>
        <w:t xml:space="preserve"> sale</w:t>
      </w:r>
      <w:r w:rsidR="006F206A" w:rsidRPr="002532DF">
        <w:rPr>
          <w:sz w:val="25"/>
          <w:szCs w:val="25"/>
        </w:rPr>
        <w:t>s</w:t>
      </w:r>
      <w:r w:rsidR="00477FD3" w:rsidRPr="002532DF">
        <w:rPr>
          <w:sz w:val="25"/>
          <w:szCs w:val="25"/>
        </w:rPr>
        <w:t xml:space="preserve"> to the eastern control area</w:t>
      </w:r>
      <w:r w:rsidR="006F206A" w:rsidRPr="002532DF">
        <w:rPr>
          <w:sz w:val="25"/>
          <w:szCs w:val="25"/>
        </w:rPr>
        <w:t xml:space="preserve"> when it models </w:t>
      </w:r>
      <w:r w:rsidR="00E34D80" w:rsidRPr="002532DF">
        <w:rPr>
          <w:sz w:val="25"/>
          <w:szCs w:val="25"/>
        </w:rPr>
        <w:t>PACW</w:t>
      </w:r>
      <w:r w:rsidR="006F206A" w:rsidRPr="002532DF">
        <w:rPr>
          <w:sz w:val="25"/>
          <w:szCs w:val="25"/>
        </w:rPr>
        <w:t xml:space="preserve"> power costs</w:t>
      </w:r>
      <w:r w:rsidR="00477FD3" w:rsidRPr="002532DF">
        <w:rPr>
          <w:sz w:val="25"/>
          <w:szCs w:val="25"/>
        </w:rPr>
        <w:t xml:space="preserve">. </w:t>
      </w:r>
      <w:r w:rsidR="004F115A" w:rsidRPr="002532DF">
        <w:rPr>
          <w:sz w:val="25"/>
          <w:szCs w:val="25"/>
        </w:rPr>
        <w:t xml:space="preserve"> </w:t>
      </w:r>
      <w:r w:rsidR="001E2F09" w:rsidRPr="002532DF">
        <w:rPr>
          <w:sz w:val="25"/>
          <w:szCs w:val="25"/>
        </w:rPr>
        <w:t xml:space="preserve">ICNU </w:t>
      </w:r>
      <w:r w:rsidR="00B100DF" w:rsidRPr="002532DF">
        <w:rPr>
          <w:sz w:val="25"/>
          <w:szCs w:val="25"/>
        </w:rPr>
        <w:t xml:space="preserve">proposes two adjustments that it argues </w:t>
      </w:r>
      <w:r w:rsidR="006F206A" w:rsidRPr="002532DF">
        <w:rPr>
          <w:sz w:val="25"/>
          <w:szCs w:val="25"/>
        </w:rPr>
        <w:t xml:space="preserve">would </w:t>
      </w:r>
      <w:r w:rsidR="00B100DF" w:rsidRPr="002532DF">
        <w:rPr>
          <w:sz w:val="25"/>
          <w:szCs w:val="25"/>
        </w:rPr>
        <w:t xml:space="preserve">better reflect the benefits </w:t>
      </w:r>
      <w:r w:rsidR="006F206A" w:rsidRPr="002532DF">
        <w:rPr>
          <w:sz w:val="25"/>
          <w:szCs w:val="25"/>
        </w:rPr>
        <w:t xml:space="preserve">to the </w:t>
      </w:r>
      <w:r w:rsidR="00E34D80" w:rsidRPr="002532DF">
        <w:rPr>
          <w:sz w:val="25"/>
          <w:szCs w:val="25"/>
        </w:rPr>
        <w:t>PACW</w:t>
      </w:r>
      <w:r w:rsidR="006F206A" w:rsidRPr="002532DF">
        <w:rPr>
          <w:sz w:val="25"/>
          <w:szCs w:val="25"/>
        </w:rPr>
        <w:t xml:space="preserve"> </w:t>
      </w:r>
      <w:r w:rsidR="00B100DF" w:rsidRPr="002532DF">
        <w:rPr>
          <w:sz w:val="25"/>
          <w:szCs w:val="25"/>
        </w:rPr>
        <w:t xml:space="preserve">of </w:t>
      </w:r>
      <w:r w:rsidR="00945C6F" w:rsidRPr="002532DF">
        <w:rPr>
          <w:sz w:val="25"/>
          <w:szCs w:val="25"/>
        </w:rPr>
        <w:t xml:space="preserve">energy </w:t>
      </w:r>
      <w:r w:rsidR="00DB3CF3" w:rsidRPr="002532DF">
        <w:rPr>
          <w:sz w:val="25"/>
          <w:szCs w:val="25"/>
        </w:rPr>
        <w:t>transactions between</w:t>
      </w:r>
      <w:r w:rsidR="00B100DF" w:rsidRPr="002532DF">
        <w:rPr>
          <w:sz w:val="25"/>
          <w:szCs w:val="25"/>
        </w:rPr>
        <w:t xml:space="preserve"> the western and eastern markets.</w:t>
      </w:r>
      <w:r w:rsidR="00477FD3" w:rsidRPr="002532DF">
        <w:rPr>
          <w:sz w:val="25"/>
          <w:szCs w:val="25"/>
        </w:rPr>
        <w:t xml:space="preserve">  </w:t>
      </w:r>
      <w:r w:rsidR="00E32C46" w:rsidRPr="002532DF">
        <w:rPr>
          <w:sz w:val="25"/>
          <w:szCs w:val="25"/>
        </w:rPr>
        <w:t>ICNU’s first adjustment is intended to capture the reliability benefits of utilizing excess generation to supply PACE.  The second adjustment is intended to better capture the advantage of the price difference between prices at Mid-C and the eastern markets.</w:t>
      </w:r>
      <w:r w:rsidR="00B100DF" w:rsidRPr="002532DF">
        <w:rPr>
          <w:rStyle w:val="FootnoteReference"/>
          <w:sz w:val="25"/>
          <w:szCs w:val="25"/>
        </w:rPr>
        <w:footnoteReference w:id="237"/>
      </w:r>
      <w:r w:rsidR="009706CF" w:rsidRPr="002532DF">
        <w:rPr>
          <w:sz w:val="25"/>
          <w:szCs w:val="25"/>
        </w:rPr>
        <w:t xml:space="preserve">  ICNU also contends that the GRID only models sales </w:t>
      </w:r>
      <w:r w:rsidR="00B0411B" w:rsidRPr="002532DF">
        <w:rPr>
          <w:sz w:val="25"/>
          <w:szCs w:val="25"/>
        </w:rPr>
        <w:t xml:space="preserve">from the west control area to the east control area, and </w:t>
      </w:r>
      <w:r w:rsidR="009706CF" w:rsidRPr="002532DF">
        <w:rPr>
          <w:sz w:val="25"/>
          <w:szCs w:val="25"/>
        </w:rPr>
        <w:t>not purchases</w:t>
      </w:r>
      <w:r w:rsidR="00477FD3" w:rsidRPr="002532DF">
        <w:rPr>
          <w:sz w:val="25"/>
          <w:szCs w:val="25"/>
        </w:rPr>
        <w:t>;</w:t>
      </w:r>
      <w:r w:rsidR="009706CF" w:rsidRPr="002532DF">
        <w:rPr>
          <w:sz w:val="25"/>
          <w:szCs w:val="25"/>
        </w:rPr>
        <w:t xml:space="preserve"> does not properly consider hourly price</w:t>
      </w:r>
      <w:r w:rsidR="00E24C41" w:rsidRPr="002532DF">
        <w:rPr>
          <w:sz w:val="25"/>
          <w:szCs w:val="25"/>
        </w:rPr>
        <w:t>s and off-peak sales</w:t>
      </w:r>
      <w:r w:rsidR="00477FD3" w:rsidRPr="002532DF">
        <w:rPr>
          <w:sz w:val="25"/>
          <w:szCs w:val="25"/>
        </w:rPr>
        <w:t>;</w:t>
      </w:r>
      <w:r w:rsidR="009706CF" w:rsidRPr="002532DF">
        <w:rPr>
          <w:sz w:val="25"/>
          <w:szCs w:val="25"/>
        </w:rPr>
        <w:t xml:space="preserve"> and only considers on-peak sales, ignoring opportunities for off-peak transactions that frequently exist.</w:t>
      </w:r>
      <w:r w:rsidR="009706CF" w:rsidRPr="002532DF">
        <w:rPr>
          <w:rStyle w:val="FootnoteReference"/>
          <w:sz w:val="25"/>
          <w:szCs w:val="25"/>
        </w:rPr>
        <w:footnoteReference w:id="238"/>
      </w:r>
      <w:r w:rsidR="009706CF" w:rsidRPr="002532DF">
        <w:rPr>
          <w:sz w:val="25"/>
          <w:szCs w:val="25"/>
        </w:rPr>
        <w:t xml:space="preserve">  ICNU’s two adjustments increase operating revenue by $502,308.</w:t>
      </w:r>
      <w:r w:rsidR="003C53CF" w:rsidRPr="002532DF">
        <w:rPr>
          <w:rStyle w:val="FootnoteReference"/>
          <w:sz w:val="25"/>
          <w:szCs w:val="25"/>
        </w:rPr>
        <w:footnoteReference w:id="239"/>
      </w:r>
    </w:p>
    <w:p w:rsidR="009706CF" w:rsidRPr="002532DF" w:rsidRDefault="009706CF" w:rsidP="00817E21">
      <w:pPr>
        <w:spacing w:line="276" w:lineRule="auto"/>
        <w:rPr>
          <w:sz w:val="25"/>
          <w:szCs w:val="25"/>
        </w:rPr>
      </w:pPr>
    </w:p>
    <w:p w:rsidR="009706CF" w:rsidRPr="002532DF" w:rsidRDefault="009706CF" w:rsidP="00AD0B90">
      <w:pPr>
        <w:numPr>
          <w:ilvl w:val="0"/>
          <w:numId w:val="1"/>
        </w:numPr>
        <w:tabs>
          <w:tab w:val="clear" w:pos="720"/>
          <w:tab w:val="num" w:pos="0"/>
        </w:tabs>
        <w:spacing w:line="276" w:lineRule="auto"/>
        <w:ind w:left="0"/>
        <w:rPr>
          <w:sz w:val="25"/>
          <w:szCs w:val="25"/>
        </w:rPr>
      </w:pPr>
      <w:r w:rsidRPr="002532DF">
        <w:rPr>
          <w:sz w:val="25"/>
          <w:szCs w:val="25"/>
        </w:rPr>
        <w:t>ICNU contends that Commission precedent supports its adjustments because the Commission decision on the WCA methodology supports the “indirect inclusion of eastside benefits and costs if purchases or sales between the control areas are economic.”</w:t>
      </w:r>
      <w:r w:rsidRPr="002532DF">
        <w:rPr>
          <w:rStyle w:val="FootnoteReference"/>
          <w:sz w:val="25"/>
          <w:szCs w:val="25"/>
        </w:rPr>
        <w:footnoteReference w:id="240"/>
      </w:r>
      <w:r w:rsidRPr="002532DF">
        <w:rPr>
          <w:sz w:val="25"/>
          <w:szCs w:val="25"/>
        </w:rPr>
        <w:t xml:space="preserve">  </w:t>
      </w:r>
    </w:p>
    <w:p w:rsidR="00C62D1E" w:rsidRPr="002532DF" w:rsidRDefault="00C62D1E" w:rsidP="00817E21">
      <w:pPr>
        <w:spacing w:line="276" w:lineRule="auto"/>
        <w:rPr>
          <w:sz w:val="25"/>
          <w:szCs w:val="25"/>
        </w:rPr>
      </w:pPr>
    </w:p>
    <w:p w:rsidR="009706CF" w:rsidRPr="002532DF" w:rsidRDefault="009706CF" w:rsidP="00AD0B90">
      <w:pPr>
        <w:numPr>
          <w:ilvl w:val="0"/>
          <w:numId w:val="1"/>
        </w:numPr>
        <w:tabs>
          <w:tab w:val="clear" w:pos="720"/>
          <w:tab w:val="num" w:pos="0"/>
        </w:tabs>
        <w:spacing w:line="276" w:lineRule="auto"/>
        <w:ind w:left="0"/>
        <w:rPr>
          <w:sz w:val="25"/>
          <w:szCs w:val="25"/>
        </w:rPr>
      </w:pPr>
      <w:r w:rsidRPr="002532DF">
        <w:rPr>
          <w:sz w:val="25"/>
          <w:szCs w:val="25"/>
        </w:rPr>
        <w:t xml:space="preserve">The Company opposes these adjustments arguing that </w:t>
      </w:r>
      <w:r w:rsidRPr="002532DF">
        <w:rPr>
          <w:i/>
          <w:sz w:val="25"/>
          <w:szCs w:val="25"/>
        </w:rPr>
        <w:t>ad hoc</w:t>
      </w:r>
      <w:r w:rsidRPr="002532DF">
        <w:rPr>
          <w:sz w:val="25"/>
          <w:szCs w:val="25"/>
        </w:rPr>
        <w:t xml:space="preserve"> changes to the WCA cost allocation methodology should not be allowed until the five-year review of the methodology ordered by the Commission is completed.</w:t>
      </w:r>
      <w:r w:rsidRPr="002532DF">
        <w:rPr>
          <w:rStyle w:val="FootnoteReference"/>
          <w:sz w:val="25"/>
          <w:szCs w:val="25"/>
        </w:rPr>
        <w:footnoteReference w:id="241"/>
      </w:r>
      <w:r w:rsidRPr="002532DF">
        <w:rPr>
          <w:sz w:val="25"/>
          <w:szCs w:val="25"/>
        </w:rPr>
        <w:t xml:space="preserve">  The Company also argues that ICNU’s adjustment to eastern market modeling is flawed because it was done outside the GRID and ignores the impact of serving the assumed sale (the cost of electricity production).  The Company proposes that if the Commission accepts this adjustment it should be run inside the GRID to determine its impact on NPC.  The Company also asserts that ICNU proposes to adjust wheeling expense from the Colstrip plant, but allows the energy to pass through the transmission to the east side.</w:t>
      </w:r>
      <w:r w:rsidRPr="002532DF">
        <w:rPr>
          <w:rStyle w:val="FootnoteReference"/>
          <w:sz w:val="25"/>
          <w:szCs w:val="25"/>
        </w:rPr>
        <w:footnoteReference w:id="242"/>
      </w:r>
      <w:r w:rsidRPr="002532DF">
        <w:rPr>
          <w:sz w:val="25"/>
          <w:szCs w:val="25"/>
        </w:rPr>
        <w:t xml:space="preserve">  </w:t>
      </w:r>
      <w:r w:rsidR="004725B7" w:rsidRPr="002532DF">
        <w:rPr>
          <w:sz w:val="25"/>
          <w:szCs w:val="25"/>
        </w:rPr>
        <w:t>Finally, t</w:t>
      </w:r>
      <w:r w:rsidRPr="002532DF">
        <w:rPr>
          <w:sz w:val="25"/>
          <w:szCs w:val="25"/>
        </w:rPr>
        <w:t>he Company a</w:t>
      </w:r>
      <w:r w:rsidR="004725B7" w:rsidRPr="002532DF">
        <w:rPr>
          <w:sz w:val="25"/>
          <w:szCs w:val="25"/>
        </w:rPr>
        <w:t>rgues</w:t>
      </w:r>
      <w:r w:rsidRPr="002532DF">
        <w:rPr>
          <w:sz w:val="25"/>
          <w:szCs w:val="25"/>
        </w:rPr>
        <w:t xml:space="preserve"> that ICNU relies on benefits created after ICNU fabricates, within the model, an energy shortage for the eastern control area.</w:t>
      </w:r>
      <w:r w:rsidRPr="002532DF">
        <w:rPr>
          <w:rStyle w:val="FootnoteReference"/>
          <w:sz w:val="25"/>
          <w:szCs w:val="25"/>
        </w:rPr>
        <w:footnoteReference w:id="243"/>
      </w:r>
      <w:r w:rsidRPr="002532DF">
        <w:rPr>
          <w:sz w:val="25"/>
          <w:szCs w:val="25"/>
        </w:rPr>
        <w:t xml:space="preserve">  The Company recommends the Commission reject both adjustments.</w:t>
      </w:r>
      <w:r w:rsidRPr="002532DF">
        <w:rPr>
          <w:rStyle w:val="FootnoteReference"/>
          <w:sz w:val="25"/>
          <w:szCs w:val="25"/>
        </w:rPr>
        <w:footnoteReference w:id="244"/>
      </w:r>
      <w:r w:rsidRPr="002532DF">
        <w:rPr>
          <w:sz w:val="25"/>
          <w:szCs w:val="25"/>
        </w:rPr>
        <w:t xml:space="preserve"> </w:t>
      </w:r>
    </w:p>
    <w:p w:rsidR="009D18FE" w:rsidRPr="002532DF" w:rsidRDefault="009D18FE" w:rsidP="009D18FE">
      <w:pPr>
        <w:spacing w:line="276" w:lineRule="auto"/>
        <w:ind w:left="-720"/>
        <w:rPr>
          <w:sz w:val="25"/>
          <w:szCs w:val="25"/>
        </w:rPr>
      </w:pPr>
    </w:p>
    <w:p w:rsidR="00E32C46" w:rsidRPr="002532DF" w:rsidRDefault="00D17347" w:rsidP="00616136">
      <w:pPr>
        <w:numPr>
          <w:ilvl w:val="0"/>
          <w:numId w:val="1"/>
        </w:numPr>
        <w:tabs>
          <w:tab w:val="clear" w:pos="720"/>
          <w:tab w:val="num" w:pos="0"/>
        </w:tabs>
        <w:spacing w:line="276" w:lineRule="auto"/>
        <w:ind w:left="0"/>
        <w:rPr>
          <w:b/>
          <w:sz w:val="25"/>
          <w:szCs w:val="25"/>
        </w:rPr>
      </w:pPr>
      <w:r w:rsidRPr="002532DF">
        <w:rPr>
          <w:i/>
          <w:sz w:val="25"/>
          <w:szCs w:val="25"/>
        </w:rPr>
        <w:t xml:space="preserve">Commission Decision.  </w:t>
      </w:r>
      <w:r w:rsidR="00E32C46" w:rsidRPr="002532DF">
        <w:rPr>
          <w:sz w:val="25"/>
          <w:szCs w:val="25"/>
        </w:rPr>
        <w:t xml:space="preserve">We agree with PacifiCorp that ICNU did not provide adequate support for its first adjustment.  ICNU’s method for adjusting the model’s operation to derive a dollar figure for the value of the </w:t>
      </w:r>
      <w:r w:rsidR="009D41FA" w:rsidRPr="002532DF">
        <w:rPr>
          <w:sz w:val="25"/>
          <w:szCs w:val="25"/>
        </w:rPr>
        <w:t xml:space="preserve">reliability </w:t>
      </w:r>
      <w:r w:rsidR="00E32C46" w:rsidRPr="002532DF">
        <w:rPr>
          <w:sz w:val="25"/>
          <w:szCs w:val="25"/>
        </w:rPr>
        <w:t>benefit is not adequately explained.</w:t>
      </w:r>
    </w:p>
    <w:p w:rsidR="00336DC3" w:rsidRPr="002532DF" w:rsidRDefault="00336DC3">
      <w:pPr>
        <w:spacing w:line="276" w:lineRule="auto"/>
        <w:ind w:left="-720"/>
        <w:rPr>
          <w:b/>
          <w:sz w:val="25"/>
          <w:szCs w:val="25"/>
        </w:rPr>
      </w:pPr>
    </w:p>
    <w:p w:rsidR="00816D88" w:rsidRPr="002532DF" w:rsidRDefault="00E32C46" w:rsidP="00616136">
      <w:pPr>
        <w:numPr>
          <w:ilvl w:val="0"/>
          <w:numId w:val="1"/>
        </w:numPr>
        <w:tabs>
          <w:tab w:val="clear" w:pos="720"/>
          <w:tab w:val="num" w:pos="0"/>
        </w:tabs>
        <w:spacing w:line="276" w:lineRule="auto"/>
        <w:ind w:left="0"/>
        <w:rPr>
          <w:b/>
          <w:sz w:val="25"/>
          <w:szCs w:val="25"/>
        </w:rPr>
      </w:pPr>
      <w:r w:rsidRPr="002532DF">
        <w:rPr>
          <w:sz w:val="25"/>
          <w:szCs w:val="25"/>
        </w:rPr>
        <w:t>We do find merit in ICNU’s second adjustment.  Pac</w:t>
      </w:r>
      <w:r w:rsidR="007447F4" w:rsidRPr="002532DF">
        <w:rPr>
          <w:sz w:val="25"/>
          <w:szCs w:val="25"/>
        </w:rPr>
        <w:t xml:space="preserve">ifiCorp’s argument that it is an </w:t>
      </w:r>
      <w:r w:rsidR="007447F4" w:rsidRPr="002532DF">
        <w:rPr>
          <w:i/>
          <w:sz w:val="25"/>
          <w:szCs w:val="25"/>
        </w:rPr>
        <w:t xml:space="preserve">ad hoc </w:t>
      </w:r>
      <w:r w:rsidR="007447F4" w:rsidRPr="002532DF">
        <w:rPr>
          <w:sz w:val="25"/>
          <w:szCs w:val="25"/>
        </w:rPr>
        <w:t xml:space="preserve">adjustment to the WCA methodology misses the mark here as much as it did in our discussion of the Idaho </w:t>
      </w:r>
      <w:r w:rsidR="009067EF">
        <w:rPr>
          <w:sz w:val="25"/>
          <w:szCs w:val="25"/>
        </w:rPr>
        <w:t>point-to-point</w:t>
      </w:r>
      <w:r w:rsidR="007447F4" w:rsidRPr="002532DF">
        <w:rPr>
          <w:sz w:val="25"/>
          <w:szCs w:val="25"/>
        </w:rPr>
        <w:t xml:space="preserve"> contract.  The Company fails to defend its use of only on-peak hours in its eastern sales calculations.  The Company also fails to defend or refute its use of monthly average hourly prices for the PACE</w:t>
      </w:r>
      <w:r w:rsidR="00945C6F" w:rsidRPr="002532DF">
        <w:rPr>
          <w:sz w:val="25"/>
          <w:szCs w:val="25"/>
        </w:rPr>
        <w:t>,</w:t>
      </w:r>
      <w:r w:rsidR="007447F4" w:rsidRPr="002532DF">
        <w:rPr>
          <w:sz w:val="25"/>
          <w:szCs w:val="25"/>
        </w:rPr>
        <w:t xml:space="preserve"> prices used to calculate the economics of a sale.  We conclude that ICNU’s second adjustment should be accepted </w:t>
      </w:r>
      <w:r w:rsidR="00986C0D" w:rsidRPr="002532DF">
        <w:rPr>
          <w:sz w:val="25"/>
          <w:szCs w:val="25"/>
        </w:rPr>
        <w:t xml:space="preserve">thereby </w:t>
      </w:r>
      <w:r w:rsidR="007447F4" w:rsidRPr="002532DF">
        <w:rPr>
          <w:sz w:val="25"/>
          <w:szCs w:val="25"/>
        </w:rPr>
        <w:t>reducing NPC by approximately $225,248.</w:t>
      </w:r>
    </w:p>
    <w:p w:rsidR="00BC0075" w:rsidRPr="002532DF" w:rsidRDefault="00816D88" w:rsidP="00305AEB">
      <w:pPr>
        <w:pStyle w:val="Heading5"/>
        <w:ind w:left="1440" w:hanging="360"/>
        <w:rPr>
          <w:rFonts w:ascii="Times New Roman" w:hAnsi="Times New Roman"/>
          <w:i w:val="0"/>
          <w:sz w:val="25"/>
          <w:szCs w:val="25"/>
        </w:rPr>
      </w:pPr>
      <w:bookmarkStart w:id="43" w:name="_Toc288813741"/>
      <w:r w:rsidRPr="002532DF">
        <w:rPr>
          <w:rFonts w:ascii="Times New Roman" w:hAnsi="Times New Roman"/>
          <w:i w:val="0"/>
          <w:sz w:val="25"/>
          <w:szCs w:val="25"/>
        </w:rPr>
        <w:t>m.</w:t>
      </w:r>
      <w:r w:rsidR="00305AEB" w:rsidRPr="002532DF">
        <w:rPr>
          <w:rFonts w:ascii="Times New Roman" w:hAnsi="Times New Roman"/>
          <w:i w:val="0"/>
          <w:sz w:val="25"/>
          <w:szCs w:val="25"/>
        </w:rPr>
        <w:tab/>
      </w:r>
      <w:r w:rsidRPr="002532DF">
        <w:rPr>
          <w:rFonts w:ascii="Times New Roman" w:hAnsi="Times New Roman"/>
          <w:i w:val="0"/>
          <w:sz w:val="25"/>
          <w:szCs w:val="25"/>
        </w:rPr>
        <w:t>Eastern Control Area Transmission Costs- Colstrip East</w:t>
      </w:r>
      <w:bookmarkEnd w:id="43"/>
    </w:p>
    <w:p w:rsidR="00BC0075" w:rsidRPr="002532DF" w:rsidRDefault="00716917">
      <w:pPr>
        <w:spacing w:line="276" w:lineRule="auto"/>
        <w:ind w:left="-720"/>
        <w:rPr>
          <w:b/>
          <w:sz w:val="25"/>
          <w:szCs w:val="25"/>
        </w:rPr>
      </w:pPr>
      <w:r w:rsidRPr="002532DF">
        <w:rPr>
          <w:sz w:val="25"/>
          <w:szCs w:val="25"/>
        </w:rPr>
        <w:t xml:space="preserve"> </w:t>
      </w:r>
    </w:p>
    <w:p w:rsidR="00816D88" w:rsidRPr="002532DF" w:rsidRDefault="00C46208" w:rsidP="00C46208">
      <w:pPr>
        <w:numPr>
          <w:ilvl w:val="0"/>
          <w:numId w:val="1"/>
        </w:numPr>
        <w:tabs>
          <w:tab w:val="clear" w:pos="720"/>
          <w:tab w:val="num" w:pos="0"/>
        </w:tabs>
        <w:spacing w:line="276" w:lineRule="auto"/>
        <w:ind w:left="0"/>
        <w:rPr>
          <w:b/>
          <w:sz w:val="25"/>
          <w:szCs w:val="25"/>
        </w:rPr>
      </w:pPr>
      <w:r w:rsidRPr="002532DF">
        <w:rPr>
          <w:i/>
          <w:sz w:val="25"/>
          <w:szCs w:val="25"/>
        </w:rPr>
        <w:t xml:space="preserve">Positions of the Parties.  </w:t>
      </w:r>
      <w:r w:rsidR="0064193A" w:rsidRPr="002532DF">
        <w:rPr>
          <w:sz w:val="25"/>
          <w:szCs w:val="25"/>
        </w:rPr>
        <w:t xml:space="preserve">The Company splits in half the transmission costs of the transmission capacity from Colstrip to its entire system (both PACW and PACE) and includes half the costs of the entire transmission system in its Washington-allocated NPC.  </w:t>
      </w:r>
      <w:r w:rsidR="00816D88" w:rsidRPr="002532DF">
        <w:rPr>
          <w:sz w:val="25"/>
          <w:szCs w:val="25"/>
        </w:rPr>
        <w:t>ICNU pr</w:t>
      </w:r>
      <w:r w:rsidRPr="002532DF">
        <w:rPr>
          <w:sz w:val="25"/>
          <w:szCs w:val="25"/>
        </w:rPr>
        <w:t>o</w:t>
      </w:r>
      <w:r w:rsidR="00816D88" w:rsidRPr="002532DF">
        <w:rPr>
          <w:sz w:val="25"/>
          <w:szCs w:val="25"/>
        </w:rPr>
        <w:t xml:space="preserve">poses a reduction in </w:t>
      </w:r>
      <w:r w:rsidR="004725B7" w:rsidRPr="002532DF">
        <w:rPr>
          <w:sz w:val="25"/>
          <w:szCs w:val="25"/>
        </w:rPr>
        <w:t xml:space="preserve">this </w:t>
      </w:r>
      <w:r w:rsidR="00816D88" w:rsidRPr="002532DF">
        <w:rPr>
          <w:sz w:val="25"/>
          <w:szCs w:val="25"/>
        </w:rPr>
        <w:t>wheeling expense to reflect the proportion of the transfer capacity from Colstrip to PacifiCorp that is attributable to connecting Colstrip</w:t>
      </w:r>
      <w:r w:rsidRPr="002532DF">
        <w:rPr>
          <w:sz w:val="25"/>
          <w:szCs w:val="25"/>
        </w:rPr>
        <w:t xml:space="preserve"> to the PACW.</w:t>
      </w:r>
      <w:r w:rsidR="00816D88" w:rsidRPr="002532DF">
        <w:rPr>
          <w:rStyle w:val="FootnoteReference"/>
          <w:sz w:val="25"/>
          <w:szCs w:val="25"/>
        </w:rPr>
        <w:footnoteReference w:id="245"/>
      </w:r>
      <w:r w:rsidRPr="002532DF">
        <w:rPr>
          <w:sz w:val="25"/>
          <w:szCs w:val="25"/>
        </w:rPr>
        <w:t xml:space="preserve">  Utilizing a current topology map of PacifiCorp</w:t>
      </w:r>
      <w:r w:rsidR="00862ABD" w:rsidRPr="002532DF">
        <w:rPr>
          <w:sz w:val="25"/>
          <w:szCs w:val="25"/>
        </w:rPr>
        <w:t>’</w:t>
      </w:r>
      <w:r w:rsidRPr="002532DF">
        <w:rPr>
          <w:sz w:val="25"/>
          <w:szCs w:val="25"/>
        </w:rPr>
        <w:t xml:space="preserve">s GRID transmission, ICNU divides the Colstrip to PACW transfer capacity by the total Colstrip to PacifiCorp transfer capacity and uses that factor to allocate a portion of the total wheeling expense to the </w:t>
      </w:r>
      <w:r w:rsidR="007447F4" w:rsidRPr="002532DF">
        <w:rPr>
          <w:sz w:val="25"/>
          <w:szCs w:val="25"/>
        </w:rPr>
        <w:t>PAC</w:t>
      </w:r>
      <w:r w:rsidRPr="002532DF">
        <w:rPr>
          <w:sz w:val="25"/>
          <w:szCs w:val="25"/>
        </w:rPr>
        <w:t>W.  ICNU’s adjustment reduces NPC expenses by $45,690.</w:t>
      </w:r>
      <w:r w:rsidRPr="002532DF">
        <w:rPr>
          <w:rStyle w:val="FootnoteReference"/>
          <w:sz w:val="25"/>
          <w:szCs w:val="25"/>
        </w:rPr>
        <w:footnoteReference w:id="246"/>
      </w:r>
      <w:r w:rsidRPr="002532DF">
        <w:rPr>
          <w:sz w:val="25"/>
          <w:szCs w:val="25"/>
        </w:rPr>
        <w:t xml:space="preserve"> </w:t>
      </w:r>
    </w:p>
    <w:p w:rsidR="00BC0075" w:rsidRPr="002532DF" w:rsidRDefault="00BC0075">
      <w:pPr>
        <w:spacing w:line="276" w:lineRule="auto"/>
        <w:ind w:left="-720"/>
        <w:rPr>
          <w:b/>
          <w:sz w:val="25"/>
          <w:szCs w:val="25"/>
        </w:rPr>
      </w:pPr>
    </w:p>
    <w:p w:rsidR="00B452B3" w:rsidRPr="002532DF" w:rsidRDefault="00B452B3" w:rsidP="00C46208">
      <w:pPr>
        <w:numPr>
          <w:ilvl w:val="0"/>
          <w:numId w:val="1"/>
        </w:numPr>
        <w:tabs>
          <w:tab w:val="clear" w:pos="720"/>
          <w:tab w:val="num" w:pos="0"/>
        </w:tabs>
        <w:spacing w:line="276" w:lineRule="auto"/>
        <w:ind w:left="0"/>
        <w:rPr>
          <w:b/>
          <w:sz w:val="25"/>
          <w:szCs w:val="25"/>
        </w:rPr>
      </w:pPr>
      <w:r w:rsidRPr="002532DF">
        <w:rPr>
          <w:sz w:val="25"/>
          <w:szCs w:val="25"/>
        </w:rPr>
        <w:t xml:space="preserve">In rebuttal, the Company opposes the adjustment arguing that it is a change in the WCA methodology and that </w:t>
      </w:r>
      <w:r w:rsidRPr="002532DF">
        <w:rPr>
          <w:i/>
          <w:sz w:val="25"/>
          <w:szCs w:val="25"/>
        </w:rPr>
        <w:t xml:space="preserve">ad hoc </w:t>
      </w:r>
      <w:r w:rsidRPr="002532DF">
        <w:rPr>
          <w:sz w:val="25"/>
          <w:szCs w:val="25"/>
        </w:rPr>
        <w:t xml:space="preserve">changes should not be allowed. </w:t>
      </w:r>
      <w:r w:rsidR="00583C8C">
        <w:rPr>
          <w:sz w:val="25"/>
          <w:szCs w:val="25"/>
        </w:rPr>
        <w:t xml:space="preserve"> </w:t>
      </w:r>
      <w:r w:rsidRPr="002532DF">
        <w:rPr>
          <w:sz w:val="25"/>
          <w:szCs w:val="25"/>
        </w:rPr>
        <w:t>The Company recommends that changes be deferred to the Commission’s five-year year review of the WCA methodology.</w:t>
      </w:r>
    </w:p>
    <w:p w:rsidR="00BC0075" w:rsidRPr="002532DF" w:rsidRDefault="00BC0075">
      <w:pPr>
        <w:spacing w:line="276" w:lineRule="auto"/>
        <w:ind w:left="-720"/>
        <w:rPr>
          <w:b/>
          <w:sz w:val="25"/>
          <w:szCs w:val="25"/>
        </w:rPr>
      </w:pPr>
    </w:p>
    <w:p w:rsidR="00B452B3" w:rsidRPr="002532DF" w:rsidRDefault="00B452B3" w:rsidP="00C46208">
      <w:pPr>
        <w:numPr>
          <w:ilvl w:val="0"/>
          <w:numId w:val="1"/>
        </w:numPr>
        <w:tabs>
          <w:tab w:val="clear" w:pos="720"/>
          <w:tab w:val="num" w:pos="0"/>
        </w:tabs>
        <w:spacing w:line="276" w:lineRule="auto"/>
        <w:ind w:left="0"/>
        <w:rPr>
          <w:b/>
          <w:sz w:val="25"/>
          <w:szCs w:val="25"/>
        </w:rPr>
      </w:pPr>
      <w:r w:rsidRPr="002532DF">
        <w:rPr>
          <w:i/>
          <w:sz w:val="25"/>
          <w:szCs w:val="25"/>
        </w:rPr>
        <w:t>Commission Decision.</w:t>
      </w:r>
      <w:r w:rsidRPr="002532DF">
        <w:rPr>
          <w:sz w:val="25"/>
          <w:szCs w:val="25"/>
        </w:rPr>
        <w:t xml:space="preserve">  </w:t>
      </w:r>
      <w:r w:rsidR="003503F0" w:rsidRPr="002532DF">
        <w:rPr>
          <w:sz w:val="25"/>
          <w:szCs w:val="25"/>
        </w:rPr>
        <w:t xml:space="preserve">As with the Idaho point-to-point contract, we are not persuaded by the Company’s argument that adjustment is an </w:t>
      </w:r>
      <w:r w:rsidR="00F43AA5" w:rsidRPr="002532DF">
        <w:rPr>
          <w:i/>
          <w:sz w:val="25"/>
          <w:szCs w:val="25"/>
        </w:rPr>
        <w:t xml:space="preserve">ad hoc </w:t>
      </w:r>
      <w:r w:rsidR="00F43AA5" w:rsidRPr="002532DF">
        <w:rPr>
          <w:sz w:val="25"/>
          <w:szCs w:val="25"/>
        </w:rPr>
        <w:t>change to the WCA methodology that cannot be undertaken now.  We reiterate that this position is contrary to the principles underlying the WCA methodology</w:t>
      </w:r>
      <w:r w:rsidR="00986C0D" w:rsidRPr="002532DF">
        <w:rPr>
          <w:sz w:val="25"/>
          <w:szCs w:val="25"/>
        </w:rPr>
        <w:t>:</w:t>
      </w:r>
      <w:r w:rsidR="00F43AA5" w:rsidRPr="002532DF">
        <w:rPr>
          <w:sz w:val="25"/>
          <w:szCs w:val="25"/>
        </w:rPr>
        <w:t xml:space="preserve"> that is, </w:t>
      </w:r>
      <w:r w:rsidR="00DB3CF3" w:rsidRPr="002532DF">
        <w:rPr>
          <w:sz w:val="25"/>
          <w:szCs w:val="25"/>
        </w:rPr>
        <w:t>those burdens align</w:t>
      </w:r>
      <w:r w:rsidR="00F43AA5" w:rsidRPr="002532DF">
        <w:rPr>
          <w:sz w:val="25"/>
          <w:szCs w:val="25"/>
        </w:rPr>
        <w:t xml:space="preserve"> with benefits</w:t>
      </w:r>
      <w:r w:rsidR="009067EF">
        <w:rPr>
          <w:sz w:val="25"/>
          <w:szCs w:val="25"/>
        </w:rPr>
        <w:t>,</w:t>
      </w:r>
      <w:r w:rsidR="00F43AA5" w:rsidRPr="002532DF">
        <w:rPr>
          <w:sz w:val="25"/>
          <w:szCs w:val="25"/>
        </w:rPr>
        <w:t xml:space="preserve"> and only those costs attributable to the </w:t>
      </w:r>
      <w:r w:rsidR="00E34D80" w:rsidRPr="002532DF">
        <w:rPr>
          <w:sz w:val="25"/>
          <w:szCs w:val="25"/>
        </w:rPr>
        <w:t>western control area</w:t>
      </w:r>
      <w:r w:rsidR="00F43AA5" w:rsidRPr="002532DF">
        <w:rPr>
          <w:sz w:val="25"/>
          <w:szCs w:val="25"/>
        </w:rPr>
        <w:t xml:space="preserve"> should borne by </w:t>
      </w:r>
      <w:r w:rsidR="009067EF">
        <w:rPr>
          <w:sz w:val="25"/>
          <w:szCs w:val="25"/>
        </w:rPr>
        <w:t>PacifiCorp’</w:t>
      </w:r>
      <w:r w:rsidR="00F43AA5" w:rsidRPr="002532DF">
        <w:rPr>
          <w:sz w:val="25"/>
          <w:szCs w:val="25"/>
        </w:rPr>
        <w:t xml:space="preserve"> customers</w:t>
      </w:r>
      <w:r w:rsidR="009067EF">
        <w:rPr>
          <w:sz w:val="25"/>
          <w:szCs w:val="25"/>
        </w:rPr>
        <w:t xml:space="preserve"> in that area</w:t>
      </w:r>
      <w:r w:rsidR="00F43AA5" w:rsidRPr="002532DF">
        <w:rPr>
          <w:sz w:val="25"/>
          <w:szCs w:val="25"/>
        </w:rPr>
        <w:t xml:space="preserve">.  The costs of </w:t>
      </w:r>
      <w:r w:rsidR="0064193A" w:rsidRPr="002532DF">
        <w:rPr>
          <w:sz w:val="25"/>
          <w:szCs w:val="25"/>
        </w:rPr>
        <w:t>resources included in</w:t>
      </w:r>
      <w:r w:rsidR="003503F0" w:rsidRPr="002532DF">
        <w:rPr>
          <w:sz w:val="25"/>
          <w:szCs w:val="25"/>
        </w:rPr>
        <w:t xml:space="preserve"> </w:t>
      </w:r>
      <w:r w:rsidR="00E34D80" w:rsidRPr="002532DF">
        <w:rPr>
          <w:sz w:val="25"/>
          <w:szCs w:val="25"/>
        </w:rPr>
        <w:t>PACW</w:t>
      </w:r>
      <w:r w:rsidR="003503F0" w:rsidRPr="002532DF">
        <w:rPr>
          <w:sz w:val="25"/>
          <w:szCs w:val="25"/>
        </w:rPr>
        <w:t xml:space="preserve"> </w:t>
      </w:r>
      <w:r w:rsidR="0064193A" w:rsidRPr="002532DF">
        <w:rPr>
          <w:sz w:val="25"/>
          <w:szCs w:val="25"/>
        </w:rPr>
        <w:t xml:space="preserve">net power costs should be proportional to the benefits </w:t>
      </w:r>
      <w:r w:rsidR="004725B7" w:rsidRPr="002532DF">
        <w:rPr>
          <w:sz w:val="25"/>
          <w:szCs w:val="25"/>
        </w:rPr>
        <w:t xml:space="preserve">the </w:t>
      </w:r>
      <w:r w:rsidR="0064193A" w:rsidRPr="002532DF">
        <w:rPr>
          <w:sz w:val="25"/>
          <w:szCs w:val="25"/>
        </w:rPr>
        <w:t xml:space="preserve">PACW realizes from those resources.  ICNU presents a reasonable </w:t>
      </w:r>
      <w:r w:rsidR="0060676F" w:rsidRPr="002532DF">
        <w:rPr>
          <w:sz w:val="25"/>
          <w:szCs w:val="25"/>
        </w:rPr>
        <w:t xml:space="preserve">cost/benefit </w:t>
      </w:r>
      <w:r w:rsidR="0064193A" w:rsidRPr="002532DF">
        <w:rPr>
          <w:sz w:val="25"/>
          <w:szCs w:val="25"/>
        </w:rPr>
        <w:t xml:space="preserve">ratio based on </w:t>
      </w:r>
      <w:r w:rsidR="0060676F" w:rsidRPr="002532DF">
        <w:rPr>
          <w:sz w:val="25"/>
          <w:szCs w:val="25"/>
        </w:rPr>
        <w:t xml:space="preserve">the </w:t>
      </w:r>
      <w:r w:rsidR="0064193A" w:rsidRPr="002532DF">
        <w:rPr>
          <w:sz w:val="25"/>
          <w:szCs w:val="25"/>
        </w:rPr>
        <w:t xml:space="preserve">transmission </w:t>
      </w:r>
      <w:r w:rsidR="0060676F" w:rsidRPr="002532DF">
        <w:rPr>
          <w:sz w:val="25"/>
          <w:szCs w:val="25"/>
        </w:rPr>
        <w:t xml:space="preserve">capacity to </w:t>
      </w:r>
      <w:r w:rsidR="004725B7" w:rsidRPr="002532DF">
        <w:rPr>
          <w:sz w:val="25"/>
          <w:szCs w:val="25"/>
        </w:rPr>
        <w:t xml:space="preserve">the </w:t>
      </w:r>
      <w:r w:rsidR="0060676F" w:rsidRPr="002532DF">
        <w:rPr>
          <w:sz w:val="25"/>
          <w:szCs w:val="25"/>
        </w:rPr>
        <w:t xml:space="preserve">PACW and PACE.  </w:t>
      </w:r>
      <w:r w:rsidR="003503F0" w:rsidRPr="002532DF">
        <w:rPr>
          <w:sz w:val="25"/>
          <w:szCs w:val="25"/>
        </w:rPr>
        <w:t xml:space="preserve">We </w:t>
      </w:r>
      <w:r w:rsidR="009067EF">
        <w:rPr>
          <w:sz w:val="25"/>
          <w:szCs w:val="25"/>
        </w:rPr>
        <w:t>accept</w:t>
      </w:r>
      <w:r w:rsidR="003503F0" w:rsidRPr="002532DF">
        <w:rPr>
          <w:sz w:val="25"/>
          <w:szCs w:val="25"/>
        </w:rPr>
        <w:t xml:space="preserve"> ICNU’s proportional split of transmission costs</w:t>
      </w:r>
      <w:r w:rsidR="004725B7" w:rsidRPr="002532DF">
        <w:rPr>
          <w:sz w:val="25"/>
          <w:szCs w:val="25"/>
        </w:rPr>
        <w:t xml:space="preserve">, </w:t>
      </w:r>
      <w:r w:rsidR="00D63FD5" w:rsidRPr="002532DF">
        <w:rPr>
          <w:sz w:val="25"/>
          <w:szCs w:val="25"/>
        </w:rPr>
        <w:t>thereby reducing</w:t>
      </w:r>
      <w:r w:rsidR="004725B7" w:rsidRPr="002532DF">
        <w:rPr>
          <w:sz w:val="25"/>
          <w:szCs w:val="25"/>
        </w:rPr>
        <w:t xml:space="preserve"> NPC </w:t>
      </w:r>
      <w:r w:rsidR="003503F0" w:rsidRPr="002532DF">
        <w:rPr>
          <w:sz w:val="25"/>
          <w:szCs w:val="25"/>
        </w:rPr>
        <w:t>by $45,690.</w:t>
      </w:r>
    </w:p>
    <w:p w:rsidR="008A32B4" w:rsidRPr="002532DF" w:rsidRDefault="00C46208" w:rsidP="00785C8E">
      <w:pPr>
        <w:pStyle w:val="Heading5"/>
        <w:ind w:left="1440" w:hanging="360"/>
        <w:rPr>
          <w:rFonts w:ascii="Times New Roman" w:hAnsi="Times New Roman"/>
          <w:i w:val="0"/>
          <w:sz w:val="25"/>
          <w:szCs w:val="25"/>
        </w:rPr>
      </w:pPr>
      <w:bookmarkStart w:id="44" w:name="_Toc168986375"/>
      <w:bookmarkStart w:id="45" w:name="_Toc288813742"/>
      <w:r w:rsidRPr="002532DF">
        <w:rPr>
          <w:rFonts w:ascii="Times New Roman" w:hAnsi="Times New Roman"/>
          <w:i w:val="0"/>
          <w:sz w:val="25"/>
          <w:szCs w:val="25"/>
        </w:rPr>
        <w:t>n</w:t>
      </w:r>
      <w:r w:rsidR="00504F84" w:rsidRPr="002532DF">
        <w:rPr>
          <w:rFonts w:ascii="Times New Roman" w:hAnsi="Times New Roman"/>
          <w:i w:val="0"/>
          <w:sz w:val="25"/>
          <w:szCs w:val="25"/>
        </w:rPr>
        <w:t>.</w:t>
      </w:r>
      <w:r w:rsidR="00504F84" w:rsidRPr="002532DF">
        <w:rPr>
          <w:rFonts w:ascii="Times New Roman" w:hAnsi="Times New Roman"/>
          <w:i w:val="0"/>
          <w:sz w:val="25"/>
          <w:szCs w:val="25"/>
        </w:rPr>
        <w:tab/>
        <w:t>Non-Firm Transmission</w:t>
      </w:r>
      <w:bookmarkEnd w:id="44"/>
      <w:bookmarkEnd w:id="45"/>
    </w:p>
    <w:p w:rsidR="008A32B4" w:rsidRPr="002532DF" w:rsidRDefault="008A32B4" w:rsidP="00817E21">
      <w:pPr>
        <w:spacing w:line="276" w:lineRule="auto"/>
        <w:ind w:left="1980"/>
        <w:rPr>
          <w:sz w:val="25"/>
          <w:szCs w:val="25"/>
        </w:rPr>
      </w:pPr>
    </w:p>
    <w:p w:rsidR="00B452B3" w:rsidRPr="002532DF" w:rsidRDefault="00B452B3" w:rsidP="00B452B3">
      <w:pPr>
        <w:numPr>
          <w:ilvl w:val="0"/>
          <w:numId w:val="1"/>
        </w:numPr>
        <w:tabs>
          <w:tab w:val="clear" w:pos="720"/>
          <w:tab w:val="num" w:pos="0"/>
        </w:tabs>
        <w:spacing w:line="276" w:lineRule="auto"/>
        <w:ind w:left="0"/>
        <w:rPr>
          <w:sz w:val="25"/>
          <w:szCs w:val="25"/>
        </w:rPr>
      </w:pPr>
      <w:r w:rsidRPr="002532DF">
        <w:rPr>
          <w:i/>
          <w:sz w:val="25"/>
          <w:szCs w:val="25"/>
        </w:rPr>
        <w:t xml:space="preserve">Positions of the Parties. </w:t>
      </w:r>
      <w:r w:rsidR="00862ABD" w:rsidRPr="002532DF">
        <w:rPr>
          <w:i/>
          <w:sz w:val="25"/>
          <w:szCs w:val="25"/>
        </w:rPr>
        <w:t xml:space="preserve"> </w:t>
      </w:r>
      <w:r w:rsidRPr="002532DF">
        <w:rPr>
          <w:sz w:val="25"/>
          <w:szCs w:val="25"/>
        </w:rPr>
        <w:t>ICNU proposes an adjustment to include non-firm transmission in the dispatch in GRID, as the Company has done in other states.</w:t>
      </w:r>
      <w:r w:rsidRPr="002532DF">
        <w:rPr>
          <w:rStyle w:val="FootnoteReference"/>
          <w:sz w:val="25"/>
          <w:szCs w:val="25"/>
        </w:rPr>
        <w:footnoteReference w:id="247"/>
      </w:r>
      <w:r w:rsidRPr="002532DF">
        <w:rPr>
          <w:sz w:val="25"/>
          <w:szCs w:val="25"/>
        </w:rPr>
        <w:t xml:space="preserve">  ICNU’s adjustment reduces operating expense by $159,576. </w:t>
      </w:r>
      <w:r w:rsidRPr="002532DF">
        <w:rPr>
          <w:rStyle w:val="FootnoteReference"/>
          <w:sz w:val="25"/>
          <w:szCs w:val="25"/>
        </w:rPr>
        <w:footnoteReference w:id="248"/>
      </w:r>
    </w:p>
    <w:p w:rsidR="00B452B3" w:rsidRPr="002532DF" w:rsidRDefault="00B452B3" w:rsidP="00B452B3">
      <w:pPr>
        <w:spacing w:line="276" w:lineRule="auto"/>
        <w:rPr>
          <w:sz w:val="25"/>
          <w:szCs w:val="25"/>
        </w:rPr>
      </w:pPr>
    </w:p>
    <w:p w:rsidR="00B452B3" w:rsidRPr="002532DF" w:rsidRDefault="00B452B3" w:rsidP="00B452B3">
      <w:pPr>
        <w:numPr>
          <w:ilvl w:val="0"/>
          <w:numId w:val="1"/>
        </w:numPr>
        <w:tabs>
          <w:tab w:val="clear" w:pos="720"/>
          <w:tab w:val="num" w:pos="0"/>
        </w:tabs>
        <w:spacing w:line="276" w:lineRule="auto"/>
        <w:ind w:left="0"/>
        <w:rPr>
          <w:sz w:val="25"/>
          <w:szCs w:val="25"/>
        </w:rPr>
      </w:pPr>
      <w:r w:rsidRPr="002532DF">
        <w:rPr>
          <w:sz w:val="25"/>
          <w:szCs w:val="25"/>
        </w:rPr>
        <w:t>In rebuttal, the Company agrees to ICNU’s adjustment but argues that if non-firm transmission is included, short-term firm transmission should also be included and both should be modeled the same way.</w:t>
      </w:r>
      <w:r w:rsidRPr="002532DF">
        <w:rPr>
          <w:rStyle w:val="FootnoteReference"/>
          <w:sz w:val="25"/>
          <w:szCs w:val="25"/>
        </w:rPr>
        <w:footnoteReference w:id="249"/>
      </w:r>
      <w:r w:rsidRPr="002532DF">
        <w:rPr>
          <w:sz w:val="25"/>
          <w:szCs w:val="25"/>
        </w:rPr>
        <w:t xml:space="preserve">  According to the Company, including both short-term firm and non-firm transmission </w:t>
      </w:r>
      <w:r w:rsidRPr="002532DF">
        <w:rPr>
          <w:i/>
          <w:sz w:val="25"/>
          <w:szCs w:val="25"/>
        </w:rPr>
        <w:t>increases</w:t>
      </w:r>
      <w:r w:rsidRPr="002532DF">
        <w:rPr>
          <w:sz w:val="25"/>
          <w:szCs w:val="25"/>
        </w:rPr>
        <w:t xml:space="preserve"> the NPC by $274,089.</w:t>
      </w:r>
      <w:r w:rsidRPr="002532DF">
        <w:rPr>
          <w:rStyle w:val="FootnoteReference"/>
          <w:sz w:val="25"/>
          <w:szCs w:val="25"/>
        </w:rPr>
        <w:footnoteReference w:id="250"/>
      </w:r>
    </w:p>
    <w:p w:rsidR="00BC0075" w:rsidRPr="002532DF" w:rsidRDefault="00BC0075">
      <w:pPr>
        <w:spacing w:line="276" w:lineRule="auto"/>
        <w:ind w:left="-720"/>
        <w:rPr>
          <w:sz w:val="25"/>
          <w:szCs w:val="25"/>
        </w:rPr>
      </w:pPr>
    </w:p>
    <w:p w:rsidR="009D18FE" w:rsidRPr="002532DF" w:rsidRDefault="00D17347" w:rsidP="00AD0B90">
      <w:pPr>
        <w:numPr>
          <w:ilvl w:val="0"/>
          <w:numId w:val="1"/>
        </w:numPr>
        <w:tabs>
          <w:tab w:val="clear" w:pos="720"/>
          <w:tab w:val="num" w:pos="0"/>
        </w:tabs>
        <w:spacing w:line="276" w:lineRule="auto"/>
        <w:ind w:left="0"/>
        <w:rPr>
          <w:sz w:val="25"/>
          <w:szCs w:val="25"/>
        </w:rPr>
      </w:pPr>
      <w:r w:rsidRPr="002532DF">
        <w:rPr>
          <w:i/>
          <w:sz w:val="25"/>
          <w:szCs w:val="25"/>
        </w:rPr>
        <w:t xml:space="preserve">Commission Decision. </w:t>
      </w:r>
      <w:r w:rsidR="00785C8E" w:rsidRPr="002532DF">
        <w:rPr>
          <w:i/>
          <w:sz w:val="25"/>
          <w:szCs w:val="25"/>
        </w:rPr>
        <w:t xml:space="preserve"> </w:t>
      </w:r>
      <w:r w:rsidR="00B81C47" w:rsidRPr="002532DF">
        <w:rPr>
          <w:sz w:val="25"/>
          <w:szCs w:val="25"/>
        </w:rPr>
        <w:t>We</w:t>
      </w:r>
      <w:r w:rsidR="009454D5" w:rsidRPr="002532DF">
        <w:rPr>
          <w:i/>
          <w:sz w:val="25"/>
          <w:szCs w:val="25"/>
        </w:rPr>
        <w:t xml:space="preserve"> </w:t>
      </w:r>
      <w:r w:rsidR="00B81C47" w:rsidRPr="002532DF">
        <w:rPr>
          <w:sz w:val="25"/>
          <w:szCs w:val="25"/>
        </w:rPr>
        <w:t xml:space="preserve">reject both adjustments.  There is insufficient evidence in this record to support </w:t>
      </w:r>
      <w:r w:rsidR="00552DB8" w:rsidRPr="002532DF">
        <w:rPr>
          <w:sz w:val="25"/>
          <w:szCs w:val="25"/>
        </w:rPr>
        <w:t>inclu</w:t>
      </w:r>
      <w:r w:rsidR="00D972E8" w:rsidRPr="002532DF">
        <w:rPr>
          <w:sz w:val="25"/>
          <w:szCs w:val="25"/>
        </w:rPr>
        <w:t>ding</w:t>
      </w:r>
      <w:r w:rsidR="00552DB8" w:rsidRPr="002532DF">
        <w:rPr>
          <w:sz w:val="25"/>
          <w:szCs w:val="25"/>
        </w:rPr>
        <w:t xml:space="preserve"> a</w:t>
      </w:r>
      <w:r w:rsidR="00B81C47" w:rsidRPr="002532DF">
        <w:rPr>
          <w:sz w:val="25"/>
          <w:szCs w:val="25"/>
        </w:rPr>
        <w:t xml:space="preserve"> non-firm transmission adjustment</w:t>
      </w:r>
      <w:r w:rsidR="00552DB8" w:rsidRPr="002532DF">
        <w:rPr>
          <w:sz w:val="25"/>
          <w:szCs w:val="25"/>
        </w:rPr>
        <w:t xml:space="preserve"> because the</w:t>
      </w:r>
      <w:r w:rsidR="00D972E8" w:rsidRPr="002532DF">
        <w:rPr>
          <w:sz w:val="25"/>
          <w:szCs w:val="25"/>
        </w:rPr>
        <w:t xml:space="preserve">re is no </w:t>
      </w:r>
      <w:r w:rsidR="00552DB8" w:rsidRPr="002532DF">
        <w:rPr>
          <w:sz w:val="25"/>
          <w:szCs w:val="25"/>
        </w:rPr>
        <w:t xml:space="preserve">explanation of whether or not doing so </w:t>
      </w:r>
      <w:r w:rsidR="0002311B" w:rsidRPr="002532DF">
        <w:rPr>
          <w:sz w:val="25"/>
          <w:szCs w:val="25"/>
        </w:rPr>
        <w:t>in the same manner as</w:t>
      </w:r>
      <w:r w:rsidR="00552DB8" w:rsidRPr="002532DF">
        <w:rPr>
          <w:sz w:val="25"/>
          <w:szCs w:val="25"/>
        </w:rPr>
        <w:t xml:space="preserve"> short-term firm transmission is a more accurate modeling of the NPC.  It is clear in the record who benefits from the adjustments</w:t>
      </w:r>
      <w:r w:rsidR="00986C0D" w:rsidRPr="002532DF">
        <w:rPr>
          <w:sz w:val="25"/>
          <w:szCs w:val="25"/>
        </w:rPr>
        <w:t>,</w:t>
      </w:r>
      <w:r w:rsidR="00552DB8" w:rsidRPr="002532DF">
        <w:rPr>
          <w:sz w:val="25"/>
          <w:szCs w:val="25"/>
        </w:rPr>
        <w:t xml:space="preserve"> but this is not </w:t>
      </w:r>
      <w:r w:rsidR="00D972E8" w:rsidRPr="002532DF">
        <w:rPr>
          <w:sz w:val="25"/>
          <w:szCs w:val="25"/>
        </w:rPr>
        <w:t xml:space="preserve">a sufficient </w:t>
      </w:r>
      <w:r w:rsidR="00552DB8" w:rsidRPr="002532DF">
        <w:rPr>
          <w:sz w:val="25"/>
          <w:szCs w:val="25"/>
        </w:rPr>
        <w:t xml:space="preserve">basis for a decision.  The Company’s proposal to include short-term firm transmission with </w:t>
      </w:r>
      <w:r w:rsidR="00D972E8" w:rsidRPr="002532DF">
        <w:rPr>
          <w:sz w:val="25"/>
          <w:szCs w:val="25"/>
        </w:rPr>
        <w:t>ICNU’s proposed adjustment fails to</w:t>
      </w:r>
      <w:r w:rsidR="00552DB8" w:rsidRPr="002532DF">
        <w:rPr>
          <w:sz w:val="25"/>
          <w:szCs w:val="25"/>
        </w:rPr>
        <w:t xml:space="preserve"> address the question of how the model’s accuracy is improved over the method the Company uses in its initial filing.  The Commission seeks greater accuracy in the NPC modeling</w:t>
      </w:r>
      <w:r w:rsidR="00766CCD">
        <w:rPr>
          <w:sz w:val="25"/>
          <w:szCs w:val="25"/>
        </w:rPr>
        <w:t>.  F</w:t>
      </w:r>
      <w:r w:rsidR="00552DB8" w:rsidRPr="002532DF">
        <w:rPr>
          <w:sz w:val="25"/>
          <w:szCs w:val="25"/>
        </w:rPr>
        <w:t>ailing to find explanations of that in the record, we cannot accept these adjustments.</w:t>
      </w:r>
      <w:r w:rsidR="00B81C47" w:rsidRPr="002532DF">
        <w:rPr>
          <w:sz w:val="25"/>
          <w:szCs w:val="25"/>
        </w:rPr>
        <w:t xml:space="preserve">  The Company must file its balancing adjustment using the Company’s initial calculation for short-term firm transmission and excluding non-firm transmission.</w:t>
      </w:r>
    </w:p>
    <w:p w:rsidR="008A32B4" w:rsidRPr="002532DF" w:rsidRDefault="005A3738" w:rsidP="00785C8E">
      <w:pPr>
        <w:pStyle w:val="Heading5"/>
        <w:ind w:left="1440" w:hanging="360"/>
        <w:rPr>
          <w:rFonts w:ascii="Times New Roman" w:hAnsi="Times New Roman"/>
          <w:i w:val="0"/>
          <w:sz w:val="25"/>
          <w:szCs w:val="25"/>
        </w:rPr>
      </w:pPr>
      <w:bookmarkStart w:id="46" w:name="_Toc168986376"/>
      <w:bookmarkStart w:id="47" w:name="_Toc288813743"/>
      <w:r w:rsidRPr="002532DF">
        <w:rPr>
          <w:rFonts w:ascii="Times New Roman" w:hAnsi="Times New Roman"/>
          <w:i w:val="0"/>
          <w:sz w:val="25"/>
          <w:szCs w:val="25"/>
        </w:rPr>
        <w:t>o</w:t>
      </w:r>
      <w:r w:rsidR="00504F84" w:rsidRPr="002532DF">
        <w:rPr>
          <w:rFonts w:ascii="Times New Roman" w:hAnsi="Times New Roman"/>
          <w:i w:val="0"/>
          <w:sz w:val="25"/>
          <w:szCs w:val="25"/>
        </w:rPr>
        <w:t>.</w:t>
      </w:r>
      <w:r w:rsidR="00504F84" w:rsidRPr="002532DF">
        <w:rPr>
          <w:rFonts w:ascii="Times New Roman" w:hAnsi="Times New Roman"/>
          <w:i w:val="0"/>
          <w:sz w:val="25"/>
          <w:szCs w:val="25"/>
        </w:rPr>
        <w:tab/>
        <w:t>Planned Outage Schedule</w:t>
      </w:r>
      <w:bookmarkEnd w:id="46"/>
      <w:bookmarkEnd w:id="47"/>
    </w:p>
    <w:p w:rsidR="008A32B4" w:rsidRPr="002532DF" w:rsidRDefault="008A32B4" w:rsidP="00817E21">
      <w:pPr>
        <w:spacing w:line="276" w:lineRule="auto"/>
        <w:rPr>
          <w:sz w:val="25"/>
          <w:szCs w:val="25"/>
        </w:rPr>
      </w:pPr>
    </w:p>
    <w:p w:rsidR="00EF5A55" w:rsidRPr="002532DF" w:rsidRDefault="00AC6466" w:rsidP="00AD0B90">
      <w:pPr>
        <w:numPr>
          <w:ilvl w:val="0"/>
          <w:numId w:val="1"/>
        </w:numPr>
        <w:tabs>
          <w:tab w:val="clear" w:pos="720"/>
          <w:tab w:val="num" w:pos="0"/>
        </w:tabs>
        <w:spacing w:line="276" w:lineRule="auto"/>
        <w:ind w:left="0"/>
        <w:rPr>
          <w:sz w:val="25"/>
          <w:szCs w:val="25"/>
        </w:rPr>
      </w:pPr>
      <w:r w:rsidRPr="002532DF">
        <w:rPr>
          <w:i/>
          <w:sz w:val="25"/>
          <w:szCs w:val="25"/>
        </w:rPr>
        <w:t xml:space="preserve">Positions of the Parties.  </w:t>
      </w:r>
      <w:r w:rsidR="0045136C" w:rsidRPr="002532DF">
        <w:rPr>
          <w:sz w:val="25"/>
          <w:szCs w:val="25"/>
        </w:rPr>
        <w:t>PacifiCorp uses actual outages in a four year period ending in 2009 to predict outages in the rate year.</w:t>
      </w:r>
      <w:r w:rsidR="007A32E6" w:rsidRPr="002532DF">
        <w:rPr>
          <w:rStyle w:val="FootnoteReference"/>
          <w:sz w:val="25"/>
          <w:szCs w:val="25"/>
        </w:rPr>
        <w:footnoteReference w:id="251"/>
      </w:r>
      <w:r w:rsidR="0045136C" w:rsidRPr="002532DF">
        <w:rPr>
          <w:sz w:val="25"/>
          <w:szCs w:val="25"/>
        </w:rPr>
        <w:t xml:space="preserve">  </w:t>
      </w:r>
      <w:r w:rsidR="00343EF4" w:rsidRPr="002532DF">
        <w:rPr>
          <w:sz w:val="25"/>
          <w:szCs w:val="25"/>
        </w:rPr>
        <w:t xml:space="preserve">ICNU </w:t>
      </w:r>
      <w:r w:rsidR="0045136C" w:rsidRPr="002532DF">
        <w:rPr>
          <w:sz w:val="25"/>
          <w:szCs w:val="25"/>
        </w:rPr>
        <w:t>p</w:t>
      </w:r>
      <w:r w:rsidR="00D71D09" w:rsidRPr="002532DF">
        <w:rPr>
          <w:sz w:val="25"/>
          <w:szCs w:val="25"/>
        </w:rPr>
        <w:t xml:space="preserve">roposes an adjustment based on </w:t>
      </w:r>
      <w:r w:rsidR="00774710" w:rsidRPr="002532DF">
        <w:rPr>
          <w:sz w:val="25"/>
          <w:szCs w:val="25"/>
        </w:rPr>
        <w:t>revised timing</w:t>
      </w:r>
      <w:r w:rsidR="00504F84" w:rsidRPr="002532DF">
        <w:rPr>
          <w:sz w:val="25"/>
          <w:szCs w:val="25"/>
        </w:rPr>
        <w:t xml:space="preserve"> for planned plant outages for Colstrip Unit 4 and Hermiston generation station.</w:t>
      </w:r>
      <w:r w:rsidR="00504F84" w:rsidRPr="002532DF">
        <w:rPr>
          <w:rStyle w:val="FootnoteReference"/>
          <w:sz w:val="25"/>
          <w:szCs w:val="25"/>
        </w:rPr>
        <w:footnoteReference w:id="252"/>
      </w:r>
      <w:r w:rsidR="00EF5A55" w:rsidRPr="002532DF">
        <w:rPr>
          <w:sz w:val="25"/>
          <w:szCs w:val="25"/>
        </w:rPr>
        <w:t xml:space="preserve">  ICNU argues that PacifiCorp plans outages for periods of least-cost replacement power but such timing is not reflected in the assumptions in GRID.</w:t>
      </w:r>
      <w:r w:rsidR="00EF5A55" w:rsidRPr="002532DF">
        <w:rPr>
          <w:rStyle w:val="FootnoteReference"/>
          <w:sz w:val="25"/>
          <w:szCs w:val="25"/>
        </w:rPr>
        <w:footnoteReference w:id="253"/>
      </w:r>
      <w:r w:rsidR="00EF5A55" w:rsidRPr="002532DF">
        <w:rPr>
          <w:sz w:val="25"/>
          <w:szCs w:val="25"/>
        </w:rPr>
        <w:t xml:space="preserve">  </w:t>
      </w:r>
      <w:r w:rsidR="00723E37" w:rsidRPr="002532DF">
        <w:rPr>
          <w:sz w:val="25"/>
          <w:szCs w:val="25"/>
        </w:rPr>
        <w:t>ICNU argues that the termination of the low cost gas contract that PacifiCorp uses to supply the Hermiston plant will change the operation of that plant.</w:t>
      </w:r>
      <w:r w:rsidR="000C0B3A" w:rsidRPr="002532DF">
        <w:rPr>
          <w:rStyle w:val="FootnoteReference"/>
          <w:sz w:val="25"/>
          <w:szCs w:val="25"/>
        </w:rPr>
        <w:footnoteReference w:id="254"/>
      </w:r>
      <w:r w:rsidR="00723E37" w:rsidRPr="002532DF">
        <w:rPr>
          <w:sz w:val="25"/>
          <w:szCs w:val="25"/>
        </w:rPr>
        <w:t xml:space="preserve">  Rather than operating continuously (due to the low-cost gas contract), the plant would </w:t>
      </w:r>
      <w:r w:rsidR="00DB3CF3" w:rsidRPr="002532DF">
        <w:rPr>
          <w:sz w:val="25"/>
          <w:szCs w:val="25"/>
        </w:rPr>
        <w:t>operate</w:t>
      </w:r>
      <w:r w:rsidR="00723E37" w:rsidRPr="002532DF">
        <w:rPr>
          <w:sz w:val="25"/>
          <w:szCs w:val="25"/>
        </w:rPr>
        <w:t xml:space="preserve"> on a more intermittent basis, more like the Chehalis plant.</w:t>
      </w:r>
      <w:r w:rsidR="00417D1C" w:rsidRPr="002532DF">
        <w:rPr>
          <w:rStyle w:val="FootnoteReference"/>
          <w:sz w:val="25"/>
          <w:szCs w:val="25"/>
        </w:rPr>
        <w:footnoteReference w:id="255"/>
      </w:r>
      <w:r w:rsidR="00EF5A55" w:rsidRPr="002532DF">
        <w:rPr>
          <w:sz w:val="25"/>
          <w:szCs w:val="25"/>
        </w:rPr>
        <w:t xml:space="preserve">  ICNU models the Hermiston planned outage in late February and March; a time ICNU contends the economics of running the plant are least attractive.</w:t>
      </w:r>
      <w:r w:rsidR="00EF5A55" w:rsidRPr="002532DF">
        <w:rPr>
          <w:rStyle w:val="FootnoteReference"/>
          <w:sz w:val="25"/>
          <w:szCs w:val="25"/>
        </w:rPr>
        <w:footnoteReference w:id="256"/>
      </w:r>
      <w:r w:rsidR="00EF5A55" w:rsidRPr="002532DF">
        <w:rPr>
          <w:sz w:val="25"/>
          <w:szCs w:val="25"/>
        </w:rPr>
        <w:t xml:space="preserve">  ICNU’s adjustment reduces operating expense by $429,712. </w:t>
      </w:r>
      <w:r w:rsidR="00785C8E" w:rsidRPr="002532DF">
        <w:rPr>
          <w:rStyle w:val="FootnoteReference"/>
          <w:sz w:val="25"/>
          <w:szCs w:val="25"/>
        </w:rPr>
        <w:footnoteReference w:id="257"/>
      </w:r>
      <w:r w:rsidR="00EF5A55" w:rsidRPr="002532DF">
        <w:rPr>
          <w:sz w:val="25"/>
          <w:szCs w:val="25"/>
        </w:rPr>
        <w:t xml:space="preserve"> </w:t>
      </w:r>
    </w:p>
    <w:p w:rsidR="00C62D1E" w:rsidRPr="002532DF" w:rsidRDefault="00C62D1E" w:rsidP="00817E21">
      <w:pPr>
        <w:spacing w:line="276" w:lineRule="auto"/>
        <w:rPr>
          <w:sz w:val="25"/>
          <w:szCs w:val="25"/>
        </w:rPr>
      </w:pPr>
    </w:p>
    <w:p w:rsidR="00EF5A55" w:rsidRPr="002532DF" w:rsidRDefault="00EF5A55" w:rsidP="00AD0B90">
      <w:pPr>
        <w:numPr>
          <w:ilvl w:val="0"/>
          <w:numId w:val="1"/>
        </w:numPr>
        <w:tabs>
          <w:tab w:val="clear" w:pos="720"/>
          <w:tab w:val="num" w:pos="0"/>
        </w:tabs>
        <w:spacing w:line="276" w:lineRule="auto"/>
        <w:ind w:left="0"/>
        <w:rPr>
          <w:sz w:val="25"/>
          <w:szCs w:val="25"/>
        </w:rPr>
      </w:pPr>
      <w:r w:rsidRPr="002532DF">
        <w:rPr>
          <w:sz w:val="25"/>
          <w:szCs w:val="25"/>
        </w:rPr>
        <w:t>In rebuttal</w:t>
      </w:r>
      <w:r w:rsidR="004725B7" w:rsidRPr="002532DF">
        <w:rPr>
          <w:sz w:val="25"/>
          <w:szCs w:val="25"/>
        </w:rPr>
        <w:t xml:space="preserve"> testimony</w:t>
      </w:r>
      <w:r w:rsidRPr="002532DF">
        <w:rPr>
          <w:sz w:val="25"/>
          <w:szCs w:val="25"/>
        </w:rPr>
        <w:t>, the Company agrees to the outage schedule change for Colstrip Unit 4 but not for the Hermiston plant.</w:t>
      </w:r>
      <w:r w:rsidRPr="002532DF">
        <w:rPr>
          <w:rStyle w:val="FootnoteReference"/>
          <w:sz w:val="25"/>
          <w:szCs w:val="25"/>
        </w:rPr>
        <w:footnoteReference w:id="258"/>
      </w:r>
      <w:r w:rsidRPr="002532DF">
        <w:rPr>
          <w:sz w:val="25"/>
          <w:szCs w:val="25"/>
        </w:rPr>
        <w:t xml:space="preserve">  The Company states that accepting the Colstrip Unit 4 outage schedule </w:t>
      </w:r>
      <w:r w:rsidR="00C3760B" w:rsidRPr="002532DF">
        <w:rPr>
          <w:sz w:val="25"/>
          <w:szCs w:val="25"/>
        </w:rPr>
        <w:t>reduces NPC</w:t>
      </w:r>
      <w:r w:rsidRPr="002532DF">
        <w:rPr>
          <w:sz w:val="25"/>
          <w:szCs w:val="25"/>
        </w:rPr>
        <w:t xml:space="preserve"> </w:t>
      </w:r>
      <w:r w:rsidR="004725B7" w:rsidRPr="002532DF">
        <w:rPr>
          <w:sz w:val="25"/>
          <w:szCs w:val="25"/>
        </w:rPr>
        <w:t>by</w:t>
      </w:r>
      <w:r w:rsidR="009571EC" w:rsidRPr="002532DF">
        <w:rPr>
          <w:sz w:val="25"/>
          <w:szCs w:val="25"/>
        </w:rPr>
        <w:t xml:space="preserve"> </w:t>
      </w:r>
      <w:r w:rsidRPr="002532DF">
        <w:rPr>
          <w:sz w:val="25"/>
          <w:szCs w:val="25"/>
        </w:rPr>
        <w:t>$119,286.</w:t>
      </w:r>
      <w:r w:rsidRPr="002532DF">
        <w:rPr>
          <w:rStyle w:val="FootnoteReference"/>
          <w:sz w:val="25"/>
          <w:szCs w:val="25"/>
        </w:rPr>
        <w:footnoteReference w:id="259"/>
      </w:r>
      <w:r w:rsidRPr="002532DF">
        <w:rPr>
          <w:sz w:val="25"/>
          <w:szCs w:val="25"/>
        </w:rPr>
        <w:t xml:space="preserve">  The Company argues that the Commission previously determined that it is not reasonable to assume that plant maintenance is timed to coincide with the period of lowest wholesale prices.</w:t>
      </w:r>
      <w:r w:rsidRPr="002532DF">
        <w:rPr>
          <w:rStyle w:val="FootnoteReference"/>
          <w:sz w:val="25"/>
          <w:szCs w:val="25"/>
        </w:rPr>
        <w:footnoteReference w:id="260"/>
      </w:r>
      <w:r w:rsidRPr="002532DF">
        <w:rPr>
          <w:sz w:val="25"/>
          <w:szCs w:val="25"/>
        </w:rPr>
        <w:t xml:space="preserve">  The Company asserts that the Hermiston plant’s planned outage in 2011 is required.</w:t>
      </w:r>
      <w:r w:rsidRPr="002532DF">
        <w:rPr>
          <w:rStyle w:val="FootnoteReference"/>
          <w:sz w:val="25"/>
          <w:szCs w:val="25"/>
        </w:rPr>
        <w:footnoteReference w:id="261"/>
      </w:r>
      <w:r w:rsidRPr="002532DF">
        <w:rPr>
          <w:sz w:val="25"/>
          <w:szCs w:val="25"/>
        </w:rPr>
        <w:t xml:space="preserve">  </w:t>
      </w:r>
    </w:p>
    <w:p w:rsidR="000A3B71" w:rsidRPr="002532DF" w:rsidRDefault="000A3B71" w:rsidP="000A3B71">
      <w:pPr>
        <w:spacing w:line="276" w:lineRule="auto"/>
        <w:ind w:left="-720"/>
        <w:rPr>
          <w:sz w:val="25"/>
          <w:szCs w:val="25"/>
        </w:rPr>
      </w:pPr>
    </w:p>
    <w:p w:rsidR="00BA102A" w:rsidRPr="002532DF" w:rsidRDefault="00D17347" w:rsidP="00AD0B90">
      <w:pPr>
        <w:numPr>
          <w:ilvl w:val="0"/>
          <w:numId w:val="1"/>
        </w:numPr>
        <w:tabs>
          <w:tab w:val="clear" w:pos="720"/>
          <w:tab w:val="num" w:pos="0"/>
        </w:tabs>
        <w:spacing w:line="276" w:lineRule="auto"/>
        <w:ind w:left="0"/>
        <w:rPr>
          <w:sz w:val="25"/>
          <w:szCs w:val="25"/>
        </w:rPr>
      </w:pPr>
      <w:r w:rsidRPr="002532DF">
        <w:rPr>
          <w:i/>
          <w:sz w:val="25"/>
          <w:szCs w:val="25"/>
        </w:rPr>
        <w:t xml:space="preserve">Commission Decision. </w:t>
      </w:r>
      <w:r w:rsidR="00785C8E" w:rsidRPr="002532DF">
        <w:rPr>
          <w:i/>
          <w:sz w:val="25"/>
          <w:szCs w:val="25"/>
        </w:rPr>
        <w:t xml:space="preserve"> </w:t>
      </w:r>
      <w:r w:rsidR="000A3B71" w:rsidRPr="002532DF">
        <w:rPr>
          <w:sz w:val="25"/>
          <w:szCs w:val="25"/>
        </w:rPr>
        <w:t xml:space="preserve">We conclude that ICNU’s assumption that the Company can postpone regularly-scheduled maintenance on the Hermiston plant in order to take advantage of the last few months of its gas contract is unsupported. </w:t>
      </w:r>
      <w:r w:rsidR="00785C8E" w:rsidRPr="002532DF">
        <w:rPr>
          <w:sz w:val="25"/>
          <w:szCs w:val="25"/>
        </w:rPr>
        <w:t xml:space="preserve"> </w:t>
      </w:r>
      <w:r w:rsidR="000A3B71" w:rsidRPr="002532DF">
        <w:rPr>
          <w:sz w:val="25"/>
          <w:szCs w:val="25"/>
        </w:rPr>
        <w:t xml:space="preserve">ICNU </w:t>
      </w:r>
      <w:r w:rsidR="004725B7" w:rsidRPr="002532DF">
        <w:rPr>
          <w:sz w:val="25"/>
          <w:szCs w:val="25"/>
        </w:rPr>
        <w:t>provides no</w:t>
      </w:r>
      <w:r w:rsidR="000A3B71" w:rsidRPr="002532DF">
        <w:rPr>
          <w:sz w:val="25"/>
          <w:szCs w:val="25"/>
        </w:rPr>
        <w:t xml:space="preserve"> factual basis </w:t>
      </w:r>
      <w:r w:rsidR="004725B7" w:rsidRPr="002532DF">
        <w:rPr>
          <w:sz w:val="25"/>
          <w:szCs w:val="25"/>
        </w:rPr>
        <w:t xml:space="preserve">for the proposition </w:t>
      </w:r>
      <w:r w:rsidR="000A3B71" w:rsidRPr="002532DF">
        <w:rPr>
          <w:sz w:val="25"/>
          <w:szCs w:val="25"/>
        </w:rPr>
        <w:t>that postponing</w:t>
      </w:r>
      <w:r w:rsidR="004725B7" w:rsidRPr="002532DF">
        <w:rPr>
          <w:sz w:val="25"/>
          <w:szCs w:val="25"/>
        </w:rPr>
        <w:t xml:space="preserve"> Hermiston’s</w:t>
      </w:r>
      <w:r w:rsidR="000A3B71" w:rsidRPr="002532DF">
        <w:rPr>
          <w:sz w:val="25"/>
          <w:szCs w:val="25"/>
        </w:rPr>
        <w:t xml:space="preserve"> maintenance is within the reasonable limits of the </w:t>
      </w:r>
      <w:r w:rsidR="004725B7" w:rsidRPr="002532DF">
        <w:rPr>
          <w:sz w:val="25"/>
          <w:szCs w:val="25"/>
        </w:rPr>
        <w:t xml:space="preserve">plant’s </w:t>
      </w:r>
      <w:r w:rsidR="000A3B71" w:rsidRPr="002532DF">
        <w:rPr>
          <w:sz w:val="25"/>
          <w:szCs w:val="25"/>
        </w:rPr>
        <w:t>maintenance requirements</w:t>
      </w:r>
      <w:r w:rsidR="004725B7" w:rsidRPr="002532DF">
        <w:rPr>
          <w:sz w:val="25"/>
          <w:szCs w:val="25"/>
        </w:rPr>
        <w:t>.</w:t>
      </w:r>
      <w:r w:rsidR="000A3B71" w:rsidRPr="002532DF">
        <w:rPr>
          <w:sz w:val="25"/>
          <w:szCs w:val="25"/>
        </w:rPr>
        <w:t xml:space="preserve"> </w:t>
      </w:r>
      <w:r w:rsidR="006C6D81" w:rsidRPr="002532DF">
        <w:rPr>
          <w:sz w:val="25"/>
          <w:szCs w:val="25"/>
        </w:rPr>
        <w:t>Conversely, PacifiCorp argues convincingly that maintenance on the Hermiston plant cannot be delayed.  We reject ICNU’s proposed adjustment for the Hermiston plant.</w:t>
      </w:r>
    </w:p>
    <w:p w:rsidR="006C6D81" w:rsidRPr="002532DF" w:rsidRDefault="006C6D81" w:rsidP="006C6D81">
      <w:pPr>
        <w:spacing w:line="276" w:lineRule="auto"/>
        <w:ind w:left="-720"/>
        <w:rPr>
          <w:sz w:val="25"/>
          <w:szCs w:val="25"/>
        </w:rPr>
      </w:pPr>
    </w:p>
    <w:p w:rsidR="006C6D81" w:rsidRPr="002532DF" w:rsidRDefault="006C6D81" w:rsidP="00AD0B90">
      <w:pPr>
        <w:numPr>
          <w:ilvl w:val="0"/>
          <w:numId w:val="1"/>
        </w:numPr>
        <w:tabs>
          <w:tab w:val="clear" w:pos="720"/>
          <w:tab w:val="num" w:pos="0"/>
        </w:tabs>
        <w:spacing w:line="276" w:lineRule="auto"/>
        <w:ind w:left="0"/>
        <w:rPr>
          <w:sz w:val="25"/>
          <w:szCs w:val="25"/>
        </w:rPr>
      </w:pPr>
      <w:r w:rsidRPr="002532DF">
        <w:rPr>
          <w:sz w:val="25"/>
          <w:szCs w:val="25"/>
        </w:rPr>
        <w:t xml:space="preserve">We accept the undisputed adjustment regarding the proposed outage schedule for Colstrip Unit 4.  The balancing adjustment should include the undisputed adjustment thereby </w:t>
      </w:r>
      <w:r w:rsidR="00C3760B" w:rsidRPr="002532DF">
        <w:rPr>
          <w:sz w:val="25"/>
          <w:szCs w:val="25"/>
        </w:rPr>
        <w:t>reducing NPC</w:t>
      </w:r>
      <w:r w:rsidRPr="002532DF">
        <w:rPr>
          <w:sz w:val="25"/>
          <w:szCs w:val="25"/>
        </w:rPr>
        <w:t xml:space="preserve"> by </w:t>
      </w:r>
      <w:r w:rsidR="00C3760B" w:rsidRPr="002532DF">
        <w:rPr>
          <w:sz w:val="25"/>
          <w:szCs w:val="25"/>
        </w:rPr>
        <w:t xml:space="preserve">approximately </w:t>
      </w:r>
      <w:r w:rsidRPr="002532DF">
        <w:rPr>
          <w:sz w:val="25"/>
          <w:szCs w:val="25"/>
        </w:rPr>
        <w:t>$119,286.  The balancing adjustment should also reflect retaining the Company’s maintenance schedule for Hermiston.  We recognize that the specific amount of this adjustment is interdependent on other changes to the GRID model run</w:t>
      </w:r>
      <w:r w:rsidR="00A150F0" w:rsidRPr="002532DF">
        <w:rPr>
          <w:sz w:val="25"/>
          <w:szCs w:val="25"/>
        </w:rPr>
        <w:t>.</w:t>
      </w:r>
    </w:p>
    <w:p w:rsidR="008A32B4" w:rsidRPr="002532DF" w:rsidRDefault="005A3738" w:rsidP="00785C8E">
      <w:pPr>
        <w:pStyle w:val="Heading5"/>
        <w:ind w:left="1440" w:hanging="360"/>
        <w:rPr>
          <w:rFonts w:ascii="Times New Roman" w:hAnsi="Times New Roman"/>
          <w:i w:val="0"/>
          <w:sz w:val="25"/>
          <w:szCs w:val="25"/>
        </w:rPr>
      </w:pPr>
      <w:bookmarkStart w:id="48" w:name="_Toc168986377"/>
      <w:bookmarkStart w:id="49" w:name="_Toc288813744"/>
      <w:r w:rsidRPr="002532DF">
        <w:rPr>
          <w:rFonts w:ascii="Times New Roman" w:hAnsi="Times New Roman"/>
          <w:i w:val="0"/>
          <w:sz w:val="25"/>
          <w:szCs w:val="25"/>
        </w:rPr>
        <w:t>p</w:t>
      </w:r>
      <w:r w:rsidR="00504F84" w:rsidRPr="002532DF">
        <w:rPr>
          <w:rFonts w:ascii="Times New Roman" w:hAnsi="Times New Roman"/>
          <w:i w:val="0"/>
          <w:sz w:val="25"/>
          <w:szCs w:val="25"/>
        </w:rPr>
        <w:t>.</w:t>
      </w:r>
      <w:r w:rsidR="00504F84" w:rsidRPr="002532DF">
        <w:rPr>
          <w:rFonts w:ascii="Times New Roman" w:hAnsi="Times New Roman"/>
          <w:i w:val="0"/>
          <w:sz w:val="25"/>
          <w:szCs w:val="25"/>
        </w:rPr>
        <w:tab/>
        <w:t>Jim Bridger Fuel Adjustment</w:t>
      </w:r>
      <w:bookmarkEnd w:id="48"/>
      <w:bookmarkEnd w:id="49"/>
    </w:p>
    <w:p w:rsidR="008A32B4" w:rsidRPr="002532DF" w:rsidRDefault="008A32B4" w:rsidP="00817E21">
      <w:pPr>
        <w:spacing w:line="276" w:lineRule="auto"/>
        <w:ind w:left="1980"/>
        <w:rPr>
          <w:sz w:val="25"/>
          <w:szCs w:val="25"/>
        </w:rPr>
      </w:pPr>
    </w:p>
    <w:p w:rsidR="0041609B" w:rsidRPr="002532DF" w:rsidRDefault="00AC6466" w:rsidP="00AD0B90">
      <w:pPr>
        <w:numPr>
          <w:ilvl w:val="0"/>
          <w:numId w:val="1"/>
        </w:numPr>
        <w:tabs>
          <w:tab w:val="clear" w:pos="720"/>
          <w:tab w:val="num" w:pos="0"/>
        </w:tabs>
        <w:spacing w:line="276" w:lineRule="auto"/>
        <w:ind w:left="0"/>
        <w:rPr>
          <w:sz w:val="25"/>
          <w:szCs w:val="25"/>
        </w:rPr>
      </w:pPr>
      <w:r w:rsidRPr="002532DF">
        <w:rPr>
          <w:i/>
          <w:sz w:val="25"/>
          <w:szCs w:val="25"/>
        </w:rPr>
        <w:t xml:space="preserve">Positions of the Parties.  </w:t>
      </w:r>
      <w:r w:rsidR="00504F84" w:rsidRPr="002532DF">
        <w:rPr>
          <w:sz w:val="25"/>
          <w:szCs w:val="25"/>
        </w:rPr>
        <w:t>The Company argues that Jim Bridger mine costs have decreased due to increased production and efficiency in the underground mining operation</w:t>
      </w:r>
      <w:r w:rsidR="009067EF">
        <w:rPr>
          <w:sz w:val="25"/>
          <w:szCs w:val="25"/>
        </w:rPr>
        <w:t>, and those cost decreases are reflected in its NPC</w:t>
      </w:r>
      <w:r w:rsidR="00504F84" w:rsidRPr="002532DF">
        <w:rPr>
          <w:sz w:val="25"/>
          <w:szCs w:val="25"/>
        </w:rPr>
        <w:t>.</w:t>
      </w:r>
      <w:r w:rsidR="00504F84" w:rsidRPr="002532DF">
        <w:rPr>
          <w:rStyle w:val="FootnoteReference"/>
          <w:sz w:val="25"/>
          <w:szCs w:val="25"/>
        </w:rPr>
        <w:footnoteReference w:id="262"/>
      </w:r>
      <w:r w:rsidR="0041609B" w:rsidRPr="002532DF">
        <w:rPr>
          <w:sz w:val="25"/>
          <w:szCs w:val="25"/>
        </w:rPr>
        <w:t xml:space="preserve">  </w:t>
      </w:r>
    </w:p>
    <w:p w:rsidR="00084031" w:rsidRPr="002532DF" w:rsidRDefault="00084031" w:rsidP="00084031">
      <w:pPr>
        <w:spacing w:line="276" w:lineRule="auto"/>
        <w:ind w:left="-720"/>
        <w:rPr>
          <w:sz w:val="25"/>
          <w:szCs w:val="25"/>
        </w:rPr>
      </w:pPr>
    </w:p>
    <w:p w:rsidR="00084031" w:rsidRPr="002532DF" w:rsidRDefault="00084031" w:rsidP="00AD0B90">
      <w:pPr>
        <w:numPr>
          <w:ilvl w:val="0"/>
          <w:numId w:val="1"/>
        </w:numPr>
        <w:tabs>
          <w:tab w:val="clear" w:pos="720"/>
          <w:tab w:val="num" w:pos="0"/>
        </w:tabs>
        <w:spacing w:line="276" w:lineRule="auto"/>
        <w:ind w:left="0"/>
        <w:rPr>
          <w:sz w:val="25"/>
          <w:szCs w:val="25"/>
        </w:rPr>
      </w:pPr>
      <w:r w:rsidRPr="002532DF">
        <w:rPr>
          <w:sz w:val="25"/>
          <w:szCs w:val="25"/>
        </w:rPr>
        <w:t>ICNU adjusts costs associated with the Jim Bridger coal plant arguing that the plant experiences excessive outages due to poor quality fuel.</w:t>
      </w:r>
      <w:r w:rsidRPr="002532DF">
        <w:rPr>
          <w:rStyle w:val="FootnoteReference"/>
          <w:sz w:val="25"/>
          <w:szCs w:val="25"/>
        </w:rPr>
        <w:footnoteReference w:id="263"/>
      </w:r>
      <w:r w:rsidRPr="002532DF">
        <w:rPr>
          <w:sz w:val="25"/>
          <w:szCs w:val="25"/>
        </w:rPr>
        <w:t xml:space="preserve">  ICNU removes all management bonuses and other employee expenses arguing that these costs should not be included until plant performance improves because the Company has direct control over coal production for the plant.</w:t>
      </w:r>
      <w:r w:rsidRPr="002532DF">
        <w:rPr>
          <w:rStyle w:val="FootnoteReference"/>
          <w:sz w:val="25"/>
          <w:szCs w:val="25"/>
        </w:rPr>
        <w:footnoteReference w:id="264"/>
      </w:r>
      <w:r w:rsidRPr="002532DF">
        <w:rPr>
          <w:sz w:val="25"/>
          <w:szCs w:val="25"/>
        </w:rPr>
        <w:t xml:space="preserve">  ICNU’s adjustment reduces expense by $650,958.</w:t>
      </w:r>
      <w:r w:rsidR="00785C8E" w:rsidRPr="002532DF">
        <w:rPr>
          <w:rStyle w:val="FootnoteReference"/>
          <w:sz w:val="25"/>
          <w:szCs w:val="25"/>
        </w:rPr>
        <w:footnoteReference w:id="265"/>
      </w:r>
    </w:p>
    <w:p w:rsidR="00C62D1E" w:rsidRPr="002532DF" w:rsidRDefault="00C62D1E" w:rsidP="00817E21">
      <w:pPr>
        <w:spacing w:line="276" w:lineRule="auto"/>
        <w:rPr>
          <w:sz w:val="25"/>
          <w:szCs w:val="25"/>
        </w:rPr>
      </w:pPr>
    </w:p>
    <w:p w:rsidR="0041609B" w:rsidRPr="002532DF" w:rsidRDefault="0041609B" w:rsidP="00AD0B90">
      <w:pPr>
        <w:numPr>
          <w:ilvl w:val="0"/>
          <w:numId w:val="1"/>
        </w:numPr>
        <w:tabs>
          <w:tab w:val="clear" w:pos="720"/>
          <w:tab w:val="num" w:pos="0"/>
        </w:tabs>
        <w:spacing w:line="276" w:lineRule="auto"/>
        <w:ind w:left="0"/>
        <w:rPr>
          <w:sz w:val="25"/>
          <w:szCs w:val="25"/>
        </w:rPr>
      </w:pPr>
      <w:r w:rsidRPr="002532DF">
        <w:rPr>
          <w:sz w:val="25"/>
          <w:szCs w:val="25"/>
        </w:rPr>
        <w:t xml:space="preserve">In rebuttal, the Company argues that the advent of less expensive underground mining at </w:t>
      </w:r>
      <w:r w:rsidR="00E7540C" w:rsidRPr="002532DF">
        <w:rPr>
          <w:sz w:val="25"/>
          <w:szCs w:val="25"/>
        </w:rPr>
        <w:t xml:space="preserve">the Jim </w:t>
      </w:r>
      <w:r w:rsidRPr="002532DF">
        <w:rPr>
          <w:sz w:val="25"/>
          <w:szCs w:val="25"/>
        </w:rPr>
        <w:t xml:space="preserve">Bridger </w:t>
      </w:r>
      <w:r w:rsidR="00E7540C" w:rsidRPr="002532DF">
        <w:rPr>
          <w:sz w:val="25"/>
          <w:szCs w:val="25"/>
        </w:rPr>
        <w:t xml:space="preserve">mine </w:t>
      </w:r>
      <w:r w:rsidRPr="002532DF">
        <w:rPr>
          <w:sz w:val="25"/>
          <w:szCs w:val="25"/>
        </w:rPr>
        <w:t>limits its capacity to blend coal to improve the coal quality and prevent outages.</w:t>
      </w:r>
      <w:r w:rsidRPr="002532DF">
        <w:rPr>
          <w:rStyle w:val="FootnoteReference"/>
          <w:sz w:val="25"/>
          <w:szCs w:val="25"/>
        </w:rPr>
        <w:footnoteReference w:id="266"/>
      </w:r>
      <w:r w:rsidRPr="002532DF">
        <w:rPr>
          <w:sz w:val="25"/>
          <w:szCs w:val="25"/>
        </w:rPr>
        <w:t xml:space="preserve">  The Company contends that it is inappropriate to remove costs associated with “low-quality” coal from the underground mine, but accept the lower coal costs that result from the favorable economics associated with underground mining.</w:t>
      </w:r>
      <w:r w:rsidRPr="002532DF">
        <w:rPr>
          <w:rStyle w:val="FootnoteReference"/>
          <w:sz w:val="25"/>
          <w:szCs w:val="25"/>
        </w:rPr>
        <w:footnoteReference w:id="267"/>
      </w:r>
      <w:r w:rsidRPr="002532DF">
        <w:rPr>
          <w:sz w:val="25"/>
          <w:szCs w:val="25"/>
        </w:rPr>
        <w:t xml:space="preserve">  The Company </w:t>
      </w:r>
      <w:r w:rsidR="00084031" w:rsidRPr="002532DF">
        <w:rPr>
          <w:sz w:val="25"/>
          <w:szCs w:val="25"/>
        </w:rPr>
        <w:t>asserts</w:t>
      </w:r>
      <w:r w:rsidRPr="002532DF">
        <w:rPr>
          <w:sz w:val="25"/>
          <w:szCs w:val="25"/>
        </w:rPr>
        <w:t xml:space="preserve"> that it is evaluating a storage area for surges of poor quality coal so that it can engage in better coal mixing.</w:t>
      </w:r>
      <w:r w:rsidRPr="002532DF">
        <w:rPr>
          <w:rStyle w:val="FootnoteReference"/>
          <w:sz w:val="25"/>
          <w:szCs w:val="25"/>
        </w:rPr>
        <w:footnoteReference w:id="268"/>
      </w:r>
    </w:p>
    <w:p w:rsidR="00E7540C" w:rsidRPr="002532DF" w:rsidRDefault="00E7540C" w:rsidP="00E7540C">
      <w:pPr>
        <w:spacing w:line="276" w:lineRule="auto"/>
        <w:ind w:left="-720"/>
        <w:rPr>
          <w:sz w:val="25"/>
          <w:szCs w:val="25"/>
        </w:rPr>
      </w:pPr>
    </w:p>
    <w:p w:rsidR="006B7F1D" w:rsidRPr="002532DF" w:rsidRDefault="00D17347" w:rsidP="00AD0B90">
      <w:pPr>
        <w:numPr>
          <w:ilvl w:val="0"/>
          <w:numId w:val="1"/>
        </w:numPr>
        <w:tabs>
          <w:tab w:val="clear" w:pos="720"/>
          <w:tab w:val="num" w:pos="0"/>
        </w:tabs>
        <w:spacing w:line="276" w:lineRule="auto"/>
        <w:ind w:left="0"/>
        <w:rPr>
          <w:sz w:val="25"/>
          <w:szCs w:val="25"/>
        </w:rPr>
      </w:pPr>
      <w:r w:rsidRPr="002532DF">
        <w:rPr>
          <w:i/>
          <w:sz w:val="25"/>
          <w:szCs w:val="25"/>
        </w:rPr>
        <w:t xml:space="preserve">Commission Decision. </w:t>
      </w:r>
      <w:r w:rsidR="009067EF">
        <w:rPr>
          <w:sz w:val="25"/>
          <w:szCs w:val="25"/>
        </w:rPr>
        <w:t>W</w:t>
      </w:r>
      <w:r w:rsidR="00D63FD5" w:rsidRPr="002532DF">
        <w:rPr>
          <w:sz w:val="25"/>
          <w:szCs w:val="25"/>
        </w:rPr>
        <w:t xml:space="preserve">e acknowledge the concern that the Company’s mining operations and facility design may be the cause of more frequent outages, </w:t>
      </w:r>
      <w:r w:rsidR="009067EF">
        <w:rPr>
          <w:sz w:val="25"/>
          <w:szCs w:val="25"/>
        </w:rPr>
        <w:t>but</w:t>
      </w:r>
      <w:r w:rsidR="00D63FD5" w:rsidRPr="002532DF">
        <w:rPr>
          <w:sz w:val="25"/>
          <w:szCs w:val="25"/>
        </w:rPr>
        <w:t xml:space="preserve"> ICNU </w:t>
      </w:r>
      <w:r w:rsidR="009067EF">
        <w:rPr>
          <w:sz w:val="25"/>
          <w:szCs w:val="25"/>
        </w:rPr>
        <w:t xml:space="preserve">fails to make a plausible </w:t>
      </w:r>
      <w:r w:rsidR="00D63FD5" w:rsidRPr="002532DF">
        <w:rPr>
          <w:sz w:val="25"/>
          <w:szCs w:val="25"/>
        </w:rPr>
        <w:t xml:space="preserve">argument for disallowing certain personnel costs associated with the Jim Bridger mine.  </w:t>
      </w:r>
      <w:r w:rsidR="00E7540C" w:rsidRPr="002532DF">
        <w:rPr>
          <w:sz w:val="25"/>
          <w:szCs w:val="25"/>
        </w:rPr>
        <w:t xml:space="preserve">ICNU does not argue that the </w:t>
      </w:r>
      <w:r w:rsidR="00DA61D8" w:rsidRPr="002532DF">
        <w:rPr>
          <w:sz w:val="25"/>
          <w:szCs w:val="25"/>
        </w:rPr>
        <w:t>facility’s underground</w:t>
      </w:r>
      <w:r w:rsidR="00E7540C" w:rsidRPr="002532DF">
        <w:rPr>
          <w:sz w:val="25"/>
          <w:szCs w:val="25"/>
        </w:rPr>
        <w:t xml:space="preserve"> mining operations are not beneficial even if the costs of increased outages are factored into the equation</w:t>
      </w:r>
      <w:r w:rsidR="00DA61D8" w:rsidRPr="002532DF">
        <w:rPr>
          <w:sz w:val="25"/>
          <w:szCs w:val="25"/>
        </w:rPr>
        <w:t xml:space="preserve">. </w:t>
      </w:r>
      <w:r w:rsidR="00B71039" w:rsidRPr="002532DF">
        <w:rPr>
          <w:sz w:val="25"/>
          <w:szCs w:val="25"/>
        </w:rPr>
        <w:t xml:space="preserve"> </w:t>
      </w:r>
      <w:r w:rsidR="00DA61D8" w:rsidRPr="002532DF">
        <w:rPr>
          <w:sz w:val="25"/>
          <w:szCs w:val="25"/>
        </w:rPr>
        <w:t xml:space="preserve">Nor does </w:t>
      </w:r>
      <w:r w:rsidR="009067EF">
        <w:rPr>
          <w:sz w:val="25"/>
          <w:szCs w:val="25"/>
        </w:rPr>
        <w:t>ICNU</w:t>
      </w:r>
      <w:r w:rsidR="00DA61D8" w:rsidRPr="002532DF">
        <w:rPr>
          <w:sz w:val="25"/>
          <w:szCs w:val="25"/>
        </w:rPr>
        <w:t xml:space="preserve"> argue </w:t>
      </w:r>
      <w:r w:rsidR="00E7540C" w:rsidRPr="002532DF">
        <w:rPr>
          <w:sz w:val="25"/>
          <w:szCs w:val="25"/>
        </w:rPr>
        <w:t xml:space="preserve">that the Company failed to consider coal blending options when it shifted to an underground mining operation.  ICNU simply </w:t>
      </w:r>
      <w:r w:rsidR="00DA61D8" w:rsidRPr="002532DF">
        <w:rPr>
          <w:sz w:val="25"/>
          <w:szCs w:val="25"/>
        </w:rPr>
        <w:t>asserts</w:t>
      </w:r>
      <w:r w:rsidR="00E7540C" w:rsidRPr="002532DF">
        <w:rPr>
          <w:sz w:val="25"/>
          <w:szCs w:val="25"/>
        </w:rPr>
        <w:t xml:space="preserve"> that outages have increased due to poor coal quality.  Even </w:t>
      </w:r>
      <w:r w:rsidR="00DA61D8" w:rsidRPr="002532DF">
        <w:rPr>
          <w:sz w:val="25"/>
          <w:szCs w:val="25"/>
        </w:rPr>
        <w:t>if we assume that ICNU’s assertion is true,</w:t>
      </w:r>
      <w:r w:rsidR="00E7540C" w:rsidRPr="002532DF">
        <w:rPr>
          <w:sz w:val="25"/>
          <w:szCs w:val="25"/>
        </w:rPr>
        <w:t xml:space="preserve"> </w:t>
      </w:r>
      <w:r w:rsidR="009067EF">
        <w:rPr>
          <w:sz w:val="25"/>
          <w:szCs w:val="25"/>
        </w:rPr>
        <w:t>ICNU</w:t>
      </w:r>
      <w:r w:rsidR="00E7540C" w:rsidRPr="002532DF">
        <w:rPr>
          <w:sz w:val="25"/>
          <w:szCs w:val="25"/>
        </w:rPr>
        <w:t xml:space="preserve"> does not base an adjustment on the costs associated with those outages</w:t>
      </w:r>
      <w:r w:rsidR="009067EF">
        <w:rPr>
          <w:sz w:val="25"/>
          <w:szCs w:val="25"/>
        </w:rPr>
        <w:t>.  Rather</w:t>
      </w:r>
      <w:r w:rsidR="00766CCD">
        <w:rPr>
          <w:sz w:val="25"/>
          <w:szCs w:val="25"/>
        </w:rPr>
        <w:t>,</w:t>
      </w:r>
      <w:r w:rsidR="009067EF">
        <w:rPr>
          <w:sz w:val="25"/>
          <w:szCs w:val="25"/>
        </w:rPr>
        <w:t xml:space="preserve"> ICNU’s</w:t>
      </w:r>
      <w:r w:rsidR="00E7540C" w:rsidRPr="002532DF">
        <w:rPr>
          <w:sz w:val="25"/>
          <w:szCs w:val="25"/>
        </w:rPr>
        <w:t xml:space="preserve"> adjustment centers on removing bonuses, meals, and sundries provided to workers at the facility.  </w:t>
      </w:r>
      <w:r w:rsidR="00DA61D8" w:rsidRPr="002532DF">
        <w:rPr>
          <w:sz w:val="25"/>
          <w:szCs w:val="25"/>
        </w:rPr>
        <w:t xml:space="preserve">We conclude that </w:t>
      </w:r>
      <w:r w:rsidR="00E7540C" w:rsidRPr="002532DF">
        <w:rPr>
          <w:sz w:val="25"/>
          <w:szCs w:val="25"/>
        </w:rPr>
        <w:t>ICNU</w:t>
      </w:r>
      <w:r w:rsidR="00DA61D8" w:rsidRPr="002532DF">
        <w:rPr>
          <w:sz w:val="25"/>
          <w:szCs w:val="25"/>
        </w:rPr>
        <w:t xml:space="preserve"> has not demonstrated</w:t>
      </w:r>
      <w:r w:rsidR="00E7540C" w:rsidRPr="002532DF">
        <w:rPr>
          <w:sz w:val="25"/>
          <w:szCs w:val="25"/>
        </w:rPr>
        <w:t xml:space="preserve"> a reasonable nexus </w:t>
      </w:r>
      <w:r w:rsidR="00DA61D8" w:rsidRPr="002532DF">
        <w:rPr>
          <w:sz w:val="25"/>
          <w:szCs w:val="25"/>
        </w:rPr>
        <w:t>between the outages</w:t>
      </w:r>
      <w:r w:rsidR="00E7540C" w:rsidRPr="002532DF">
        <w:rPr>
          <w:sz w:val="25"/>
          <w:szCs w:val="25"/>
        </w:rPr>
        <w:t xml:space="preserve"> it claims are the purpose for the adjustment</w:t>
      </w:r>
      <w:r w:rsidR="00DA61D8" w:rsidRPr="002532DF">
        <w:rPr>
          <w:sz w:val="25"/>
          <w:szCs w:val="25"/>
        </w:rPr>
        <w:t>, and the costs it removes</w:t>
      </w:r>
      <w:r w:rsidR="006B7F1D" w:rsidRPr="002532DF">
        <w:rPr>
          <w:sz w:val="25"/>
          <w:szCs w:val="25"/>
        </w:rPr>
        <w:t>.  Thus, we reject the adjustment.</w:t>
      </w:r>
    </w:p>
    <w:p w:rsidR="006B7F1D" w:rsidRPr="002532DF" w:rsidRDefault="006B7F1D" w:rsidP="006B7F1D">
      <w:pPr>
        <w:spacing w:line="276" w:lineRule="auto"/>
        <w:ind w:left="-720"/>
        <w:rPr>
          <w:sz w:val="25"/>
          <w:szCs w:val="25"/>
        </w:rPr>
      </w:pPr>
    </w:p>
    <w:p w:rsidR="00661789" w:rsidRPr="002532DF" w:rsidRDefault="009067EF" w:rsidP="00AD0B90">
      <w:pPr>
        <w:numPr>
          <w:ilvl w:val="0"/>
          <w:numId w:val="1"/>
        </w:numPr>
        <w:tabs>
          <w:tab w:val="clear" w:pos="720"/>
          <w:tab w:val="num" w:pos="0"/>
        </w:tabs>
        <w:spacing w:line="276" w:lineRule="auto"/>
        <w:ind w:left="0"/>
        <w:rPr>
          <w:sz w:val="25"/>
          <w:szCs w:val="25"/>
        </w:rPr>
      </w:pPr>
      <w:r>
        <w:rPr>
          <w:sz w:val="25"/>
          <w:szCs w:val="25"/>
        </w:rPr>
        <w:t>W</w:t>
      </w:r>
      <w:r w:rsidR="006B7F1D" w:rsidRPr="002532DF">
        <w:rPr>
          <w:sz w:val="25"/>
          <w:szCs w:val="25"/>
        </w:rPr>
        <w:t xml:space="preserve">e </w:t>
      </w:r>
      <w:r>
        <w:rPr>
          <w:sz w:val="25"/>
          <w:szCs w:val="25"/>
        </w:rPr>
        <w:t xml:space="preserve">nevertheless </w:t>
      </w:r>
      <w:r w:rsidR="006B7F1D" w:rsidRPr="002532DF">
        <w:rPr>
          <w:sz w:val="25"/>
          <w:szCs w:val="25"/>
        </w:rPr>
        <w:t>are concerned with increased plant outages attr</w:t>
      </w:r>
      <w:r w:rsidR="007D2AA2" w:rsidRPr="002532DF">
        <w:rPr>
          <w:sz w:val="25"/>
          <w:szCs w:val="25"/>
        </w:rPr>
        <w:t xml:space="preserve">ibutable to poor coal quality. </w:t>
      </w:r>
      <w:r w:rsidR="00E7540C" w:rsidRPr="002532DF">
        <w:rPr>
          <w:sz w:val="25"/>
          <w:szCs w:val="25"/>
        </w:rPr>
        <w:t xml:space="preserve"> </w:t>
      </w:r>
      <w:r w:rsidR="006B7F1D" w:rsidRPr="002532DF">
        <w:rPr>
          <w:sz w:val="25"/>
          <w:szCs w:val="25"/>
        </w:rPr>
        <w:t xml:space="preserve">The Company appears to acknowledge this problem in its discussion of its efforts to evaluate a storage area for surges of poor quality coal.  In its next general rate case, the Company must present evidence of its efforts to manage coal quality at the Jim Bridger </w:t>
      </w:r>
      <w:r w:rsidR="00DA61D8" w:rsidRPr="002532DF">
        <w:rPr>
          <w:sz w:val="25"/>
          <w:szCs w:val="25"/>
        </w:rPr>
        <w:t>plant</w:t>
      </w:r>
      <w:r w:rsidR="006B7F1D" w:rsidRPr="002532DF">
        <w:rPr>
          <w:sz w:val="25"/>
          <w:szCs w:val="25"/>
        </w:rPr>
        <w:t xml:space="preserve"> and expla</w:t>
      </w:r>
      <w:r w:rsidR="003C797B" w:rsidRPr="002532DF">
        <w:rPr>
          <w:sz w:val="25"/>
          <w:szCs w:val="25"/>
        </w:rPr>
        <w:t>i</w:t>
      </w:r>
      <w:r w:rsidR="006B7F1D" w:rsidRPr="002532DF">
        <w:rPr>
          <w:sz w:val="25"/>
          <w:szCs w:val="25"/>
        </w:rPr>
        <w:t xml:space="preserve">n its efforts to mitigate the adverse effects of the poor coal quality attendant to its underground mining operations. </w:t>
      </w:r>
    </w:p>
    <w:p w:rsidR="00EC08CB" w:rsidRPr="002532DF" w:rsidRDefault="005A3738" w:rsidP="00785C8E">
      <w:pPr>
        <w:pStyle w:val="Heading5"/>
        <w:ind w:left="1440" w:hanging="360"/>
        <w:rPr>
          <w:rFonts w:ascii="Times New Roman" w:hAnsi="Times New Roman"/>
          <w:i w:val="0"/>
          <w:sz w:val="25"/>
          <w:szCs w:val="25"/>
        </w:rPr>
      </w:pPr>
      <w:bookmarkStart w:id="50" w:name="_Toc168986378"/>
      <w:bookmarkStart w:id="51" w:name="_Toc288813745"/>
      <w:r w:rsidRPr="002532DF">
        <w:rPr>
          <w:rFonts w:ascii="Times New Roman" w:hAnsi="Times New Roman"/>
          <w:i w:val="0"/>
          <w:sz w:val="25"/>
          <w:szCs w:val="25"/>
        </w:rPr>
        <w:t>q</w:t>
      </w:r>
      <w:r w:rsidR="00B51DDE" w:rsidRPr="002532DF">
        <w:rPr>
          <w:rFonts w:ascii="Times New Roman" w:hAnsi="Times New Roman"/>
          <w:i w:val="0"/>
          <w:sz w:val="25"/>
          <w:szCs w:val="25"/>
        </w:rPr>
        <w:t>.</w:t>
      </w:r>
      <w:r w:rsidR="00B51DDE" w:rsidRPr="002532DF">
        <w:rPr>
          <w:rFonts w:ascii="Times New Roman" w:hAnsi="Times New Roman"/>
          <w:i w:val="0"/>
          <w:sz w:val="25"/>
          <w:szCs w:val="25"/>
        </w:rPr>
        <w:tab/>
        <w:t>Minimum Loading and D</w:t>
      </w:r>
      <w:r w:rsidR="00D53468" w:rsidRPr="002532DF">
        <w:rPr>
          <w:rFonts w:ascii="Times New Roman" w:hAnsi="Times New Roman"/>
          <w:i w:val="0"/>
          <w:sz w:val="25"/>
          <w:szCs w:val="25"/>
        </w:rPr>
        <w:t>e</w:t>
      </w:r>
      <w:r w:rsidR="00B51DDE" w:rsidRPr="002532DF">
        <w:rPr>
          <w:rFonts w:ascii="Times New Roman" w:hAnsi="Times New Roman"/>
          <w:i w:val="0"/>
          <w:sz w:val="25"/>
          <w:szCs w:val="25"/>
        </w:rPr>
        <w:t>ration Adjustment</w:t>
      </w:r>
      <w:bookmarkEnd w:id="50"/>
      <w:bookmarkEnd w:id="51"/>
    </w:p>
    <w:p w:rsidR="00EC08CB" w:rsidRPr="002532DF" w:rsidRDefault="00EC08CB" w:rsidP="00817E21">
      <w:pPr>
        <w:spacing w:line="276" w:lineRule="auto"/>
        <w:ind w:left="-720"/>
        <w:rPr>
          <w:sz w:val="25"/>
          <w:szCs w:val="25"/>
        </w:rPr>
      </w:pPr>
    </w:p>
    <w:p w:rsidR="00CF3C67" w:rsidRPr="00E77D4E" w:rsidRDefault="00D53468" w:rsidP="00237E68">
      <w:pPr>
        <w:numPr>
          <w:ilvl w:val="0"/>
          <w:numId w:val="1"/>
        </w:numPr>
        <w:tabs>
          <w:tab w:val="clear" w:pos="720"/>
          <w:tab w:val="num" w:pos="0"/>
        </w:tabs>
        <w:spacing w:line="276" w:lineRule="auto"/>
        <w:ind w:left="0"/>
        <w:rPr>
          <w:i/>
          <w:sz w:val="25"/>
          <w:szCs w:val="25"/>
        </w:rPr>
      </w:pPr>
      <w:r w:rsidRPr="002532DF">
        <w:rPr>
          <w:sz w:val="25"/>
          <w:szCs w:val="25"/>
        </w:rPr>
        <w:t>To account for outages,</w:t>
      </w:r>
      <w:r w:rsidR="00E36EBF" w:rsidRPr="002532DF">
        <w:rPr>
          <w:sz w:val="25"/>
          <w:szCs w:val="25"/>
        </w:rPr>
        <w:t xml:space="preserve"> GRID reduces a</w:t>
      </w:r>
      <w:r w:rsidR="00876C97">
        <w:rPr>
          <w:sz w:val="25"/>
          <w:szCs w:val="25"/>
        </w:rPr>
        <w:t>n electrical</w:t>
      </w:r>
      <w:r w:rsidR="00E36EBF" w:rsidRPr="002532DF">
        <w:rPr>
          <w:sz w:val="25"/>
          <w:szCs w:val="25"/>
        </w:rPr>
        <w:t xml:space="preserve"> generation unit’s full capacity</w:t>
      </w:r>
      <w:r w:rsidRPr="002532DF">
        <w:rPr>
          <w:sz w:val="25"/>
          <w:szCs w:val="25"/>
        </w:rPr>
        <w:t xml:space="preserve"> by “shrinking” the capacity of </w:t>
      </w:r>
      <w:r w:rsidR="00876C97">
        <w:rPr>
          <w:sz w:val="25"/>
          <w:szCs w:val="25"/>
        </w:rPr>
        <w:t>that</w:t>
      </w:r>
      <w:r w:rsidRPr="002532DF">
        <w:rPr>
          <w:sz w:val="25"/>
          <w:szCs w:val="25"/>
        </w:rPr>
        <w:t xml:space="preserve"> unit.  Thus, if there is a 20</w:t>
      </w:r>
      <w:r w:rsidR="00B16B21" w:rsidRPr="002532DF">
        <w:rPr>
          <w:sz w:val="25"/>
          <w:szCs w:val="25"/>
        </w:rPr>
        <w:t xml:space="preserve"> percent</w:t>
      </w:r>
      <w:r w:rsidRPr="002532DF">
        <w:rPr>
          <w:sz w:val="25"/>
          <w:szCs w:val="25"/>
        </w:rPr>
        <w:t xml:space="preserve"> outage rate at a 100 MW facility, the GRID model would view that as a</w:t>
      </w:r>
      <w:r w:rsidR="00D972E8" w:rsidRPr="002532DF">
        <w:rPr>
          <w:sz w:val="25"/>
          <w:szCs w:val="25"/>
        </w:rPr>
        <w:t xml:space="preserve"> plant with an</w:t>
      </w:r>
      <w:r w:rsidRPr="002532DF">
        <w:rPr>
          <w:sz w:val="25"/>
          <w:szCs w:val="25"/>
        </w:rPr>
        <w:t xml:space="preserve"> 80 MW </w:t>
      </w:r>
      <w:r w:rsidR="00774710" w:rsidRPr="002532DF">
        <w:rPr>
          <w:sz w:val="25"/>
          <w:szCs w:val="25"/>
        </w:rPr>
        <w:t xml:space="preserve">maximum </w:t>
      </w:r>
      <w:r w:rsidR="00CF3C67" w:rsidRPr="002532DF">
        <w:rPr>
          <w:sz w:val="25"/>
          <w:szCs w:val="25"/>
        </w:rPr>
        <w:t>capacity plant,</w:t>
      </w:r>
      <w:r w:rsidR="00C70108" w:rsidRPr="002532DF">
        <w:rPr>
          <w:sz w:val="25"/>
          <w:szCs w:val="25"/>
        </w:rPr>
        <w:t xml:space="preserve"> </w:t>
      </w:r>
      <w:r w:rsidR="00774710" w:rsidRPr="002532DF">
        <w:rPr>
          <w:sz w:val="25"/>
          <w:szCs w:val="25"/>
        </w:rPr>
        <w:t>and</w:t>
      </w:r>
      <w:r w:rsidR="00D972E8" w:rsidRPr="002532DF">
        <w:rPr>
          <w:sz w:val="25"/>
          <w:szCs w:val="25"/>
        </w:rPr>
        <w:t xml:space="preserve"> would not lower the plant’s low-end operating range. The adjustment to the top range, but not to the lower range </w:t>
      </w:r>
      <w:r w:rsidR="00774710" w:rsidRPr="002532DF">
        <w:rPr>
          <w:sz w:val="25"/>
          <w:szCs w:val="25"/>
        </w:rPr>
        <w:t>decreases</w:t>
      </w:r>
      <w:r w:rsidR="00D972E8" w:rsidRPr="002532DF">
        <w:rPr>
          <w:sz w:val="25"/>
          <w:szCs w:val="25"/>
        </w:rPr>
        <w:t xml:space="preserve"> the generation unit’s range</w:t>
      </w:r>
      <w:r w:rsidR="00F54BE2" w:rsidRPr="002532DF">
        <w:rPr>
          <w:sz w:val="25"/>
          <w:szCs w:val="25"/>
        </w:rPr>
        <w:t xml:space="preserve"> of variable output and thereby reduces its revenues in the model in response to short-term market prices</w:t>
      </w:r>
      <w:r w:rsidR="00774710" w:rsidRPr="002532DF">
        <w:rPr>
          <w:sz w:val="25"/>
          <w:szCs w:val="25"/>
        </w:rPr>
        <w:t>.</w:t>
      </w:r>
      <w:r w:rsidRPr="002532DF">
        <w:rPr>
          <w:sz w:val="25"/>
          <w:szCs w:val="25"/>
        </w:rPr>
        <w:t xml:space="preserve"> </w:t>
      </w:r>
      <w:r w:rsidR="00E36EBF" w:rsidRPr="002532DF">
        <w:rPr>
          <w:sz w:val="25"/>
          <w:szCs w:val="25"/>
        </w:rPr>
        <w:t xml:space="preserve"> </w:t>
      </w:r>
    </w:p>
    <w:p w:rsidR="00876C97" w:rsidRDefault="00876C97" w:rsidP="00E77D4E">
      <w:pPr>
        <w:pStyle w:val="ListParagraph"/>
        <w:rPr>
          <w:i/>
          <w:sz w:val="25"/>
          <w:szCs w:val="25"/>
        </w:rPr>
      </w:pPr>
    </w:p>
    <w:p w:rsidR="00876C97" w:rsidRPr="003D3FF2" w:rsidRDefault="00876C97" w:rsidP="00876C97">
      <w:pPr>
        <w:numPr>
          <w:ilvl w:val="0"/>
          <w:numId w:val="1"/>
        </w:numPr>
        <w:tabs>
          <w:tab w:val="clear" w:pos="720"/>
          <w:tab w:val="num" w:pos="0"/>
        </w:tabs>
        <w:spacing w:line="276" w:lineRule="auto"/>
        <w:ind w:left="0"/>
        <w:rPr>
          <w:i/>
          <w:sz w:val="25"/>
          <w:szCs w:val="25"/>
        </w:rPr>
      </w:pPr>
      <w:r w:rsidRPr="003D3FF2">
        <w:rPr>
          <w:i/>
          <w:sz w:val="25"/>
          <w:szCs w:val="25"/>
        </w:rPr>
        <w:t xml:space="preserve">Positions of the Parties.  </w:t>
      </w:r>
      <w:r w:rsidRPr="003D3FF2">
        <w:rPr>
          <w:sz w:val="25"/>
          <w:szCs w:val="25"/>
        </w:rPr>
        <w:t>PacifiCorp states that if a generation unit is capable of cycling up or down through the usable range of its variable output during a short period of time, the</w:t>
      </w:r>
      <w:r>
        <w:rPr>
          <w:sz w:val="25"/>
          <w:szCs w:val="25"/>
        </w:rPr>
        <w:t xml:space="preserve"> Company’s</w:t>
      </w:r>
      <w:r w:rsidRPr="003D3FF2">
        <w:rPr>
          <w:sz w:val="25"/>
          <w:szCs w:val="25"/>
        </w:rPr>
        <w:t xml:space="preserve"> GRID model</w:t>
      </w:r>
      <w:r>
        <w:rPr>
          <w:sz w:val="25"/>
          <w:szCs w:val="25"/>
        </w:rPr>
        <w:t xml:space="preserve"> </w:t>
      </w:r>
      <w:r w:rsidRPr="003D3FF2">
        <w:rPr>
          <w:sz w:val="25"/>
          <w:szCs w:val="25"/>
        </w:rPr>
        <w:t xml:space="preserve">compares </w:t>
      </w:r>
      <w:r>
        <w:rPr>
          <w:sz w:val="25"/>
          <w:szCs w:val="25"/>
        </w:rPr>
        <w:t>the</w:t>
      </w:r>
      <w:r w:rsidRPr="003D3FF2">
        <w:rPr>
          <w:sz w:val="25"/>
          <w:szCs w:val="25"/>
        </w:rPr>
        <w:t xml:space="preserve"> operating cost with the market price to determine if it can take advantage of market price opportunities.</w:t>
      </w:r>
      <w:r>
        <w:rPr>
          <w:rStyle w:val="FootnoteReference"/>
          <w:sz w:val="25"/>
          <w:szCs w:val="25"/>
        </w:rPr>
        <w:footnoteReference w:id="269"/>
      </w:r>
      <w:r w:rsidRPr="003D3FF2">
        <w:rPr>
          <w:b/>
          <w:sz w:val="25"/>
          <w:szCs w:val="25"/>
        </w:rPr>
        <w:t xml:space="preserve">  </w:t>
      </w:r>
      <w:r w:rsidRPr="003D3FF2">
        <w:rPr>
          <w:sz w:val="25"/>
          <w:szCs w:val="25"/>
        </w:rPr>
        <w:t>However, ICNU argues that the model under-represents the usable range of a generation unit’s variable output.</w:t>
      </w:r>
      <w:r w:rsidRPr="00D53468">
        <w:rPr>
          <w:rStyle w:val="FootnoteReference"/>
          <w:sz w:val="25"/>
          <w:szCs w:val="25"/>
        </w:rPr>
        <w:footnoteReference w:id="270"/>
      </w:r>
      <w:r w:rsidRPr="003D3FF2">
        <w:rPr>
          <w:sz w:val="25"/>
          <w:szCs w:val="25"/>
        </w:rPr>
        <w:t xml:space="preserve"> </w:t>
      </w:r>
    </w:p>
    <w:p w:rsidR="00336DC3" w:rsidRPr="002532DF" w:rsidRDefault="00336DC3">
      <w:pPr>
        <w:spacing w:line="276" w:lineRule="auto"/>
        <w:ind w:left="-720"/>
        <w:rPr>
          <w:i/>
          <w:sz w:val="25"/>
          <w:szCs w:val="25"/>
        </w:rPr>
      </w:pPr>
    </w:p>
    <w:p w:rsidR="00BC0075" w:rsidRPr="002532DF" w:rsidRDefault="00E36EBF" w:rsidP="00237E68">
      <w:pPr>
        <w:numPr>
          <w:ilvl w:val="0"/>
          <w:numId w:val="1"/>
        </w:numPr>
        <w:tabs>
          <w:tab w:val="clear" w:pos="720"/>
          <w:tab w:val="num" w:pos="0"/>
        </w:tabs>
        <w:spacing w:line="276" w:lineRule="auto"/>
        <w:ind w:left="0"/>
        <w:rPr>
          <w:i/>
          <w:sz w:val="25"/>
          <w:szCs w:val="25"/>
        </w:rPr>
      </w:pPr>
      <w:r w:rsidRPr="002532DF">
        <w:rPr>
          <w:sz w:val="25"/>
          <w:szCs w:val="25"/>
        </w:rPr>
        <w:t xml:space="preserve">ICNU agrees that </w:t>
      </w:r>
      <w:r w:rsidR="00F54BE2" w:rsidRPr="002532DF">
        <w:rPr>
          <w:sz w:val="25"/>
          <w:szCs w:val="25"/>
        </w:rPr>
        <w:t>it is appropriate to represent outages by the “shrinking” or “deration” method</w:t>
      </w:r>
      <w:r w:rsidR="00CF3C67" w:rsidRPr="002532DF">
        <w:rPr>
          <w:sz w:val="25"/>
          <w:szCs w:val="25"/>
        </w:rPr>
        <w:t>,</w:t>
      </w:r>
      <w:r w:rsidR="00F54BE2" w:rsidRPr="002532DF">
        <w:rPr>
          <w:sz w:val="25"/>
          <w:szCs w:val="25"/>
        </w:rPr>
        <w:t xml:space="preserve"> but ICNU proposes that the lower end of the generation unit’s operating range also be lowered by the same percentage </w:t>
      </w:r>
      <w:r w:rsidR="00CF3C67" w:rsidRPr="002532DF">
        <w:rPr>
          <w:sz w:val="25"/>
          <w:szCs w:val="25"/>
        </w:rPr>
        <w:t xml:space="preserve">as the top range </w:t>
      </w:r>
      <w:r w:rsidR="00F54BE2" w:rsidRPr="002532DF">
        <w:rPr>
          <w:sz w:val="25"/>
          <w:szCs w:val="25"/>
        </w:rPr>
        <w:t>to more accurately represent the total variable range of the generation unit.</w:t>
      </w:r>
      <w:r w:rsidRPr="002532DF">
        <w:rPr>
          <w:rStyle w:val="FootnoteReference"/>
          <w:sz w:val="25"/>
          <w:szCs w:val="25"/>
        </w:rPr>
        <w:footnoteReference w:id="271"/>
      </w:r>
      <w:r w:rsidRPr="002532DF">
        <w:rPr>
          <w:sz w:val="25"/>
          <w:szCs w:val="25"/>
        </w:rPr>
        <w:t xml:space="preserve">  </w:t>
      </w:r>
    </w:p>
    <w:p w:rsidR="00237E68" w:rsidRPr="002532DF" w:rsidRDefault="00237E68" w:rsidP="00237E68">
      <w:pPr>
        <w:spacing w:line="276" w:lineRule="auto"/>
        <w:rPr>
          <w:sz w:val="25"/>
          <w:szCs w:val="25"/>
        </w:rPr>
      </w:pPr>
    </w:p>
    <w:p w:rsidR="00AA3669" w:rsidRPr="002532DF" w:rsidRDefault="00CF3C67" w:rsidP="00AD0B90">
      <w:pPr>
        <w:numPr>
          <w:ilvl w:val="0"/>
          <w:numId w:val="1"/>
        </w:numPr>
        <w:tabs>
          <w:tab w:val="clear" w:pos="720"/>
          <w:tab w:val="num" w:pos="0"/>
        </w:tabs>
        <w:spacing w:line="276" w:lineRule="auto"/>
        <w:ind w:left="0"/>
        <w:rPr>
          <w:sz w:val="25"/>
          <w:szCs w:val="25"/>
        </w:rPr>
      </w:pPr>
      <w:r w:rsidRPr="002532DF">
        <w:rPr>
          <w:sz w:val="25"/>
          <w:szCs w:val="25"/>
        </w:rPr>
        <w:t>Next</w:t>
      </w:r>
      <w:r w:rsidR="00AA3669" w:rsidRPr="002532DF">
        <w:rPr>
          <w:sz w:val="25"/>
          <w:szCs w:val="25"/>
        </w:rPr>
        <w:t xml:space="preserve">, ICNU applies what it </w:t>
      </w:r>
      <w:r w:rsidR="00B81C47" w:rsidRPr="002532DF">
        <w:rPr>
          <w:sz w:val="25"/>
          <w:szCs w:val="25"/>
        </w:rPr>
        <w:t>descr</w:t>
      </w:r>
      <w:r w:rsidR="0015651E" w:rsidRPr="002532DF">
        <w:rPr>
          <w:sz w:val="25"/>
          <w:szCs w:val="25"/>
        </w:rPr>
        <w:t>i</w:t>
      </w:r>
      <w:r w:rsidR="00AA3669" w:rsidRPr="002532DF">
        <w:rPr>
          <w:sz w:val="25"/>
          <w:szCs w:val="25"/>
        </w:rPr>
        <w:t>bes as a “better match” between the heat rate curve and the de-rated capacity of the plant.</w:t>
      </w:r>
      <w:r w:rsidR="00447580" w:rsidRPr="002532DF">
        <w:rPr>
          <w:rStyle w:val="FootnoteReference"/>
          <w:sz w:val="25"/>
          <w:szCs w:val="25"/>
        </w:rPr>
        <w:footnoteReference w:id="272"/>
      </w:r>
      <w:r w:rsidR="00AA3669" w:rsidRPr="002532DF">
        <w:rPr>
          <w:sz w:val="25"/>
          <w:szCs w:val="25"/>
        </w:rPr>
        <w:t xml:space="preserve"> </w:t>
      </w:r>
      <w:r w:rsidR="0070496A" w:rsidRPr="002532DF">
        <w:rPr>
          <w:sz w:val="25"/>
          <w:szCs w:val="25"/>
        </w:rPr>
        <w:t xml:space="preserve"> </w:t>
      </w:r>
      <w:r w:rsidR="00AA3669" w:rsidRPr="002532DF">
        <w:rPr>
          <w:sz w:val="25"/>
          <w:szCs w:val="25"/>
        </w:rPr>
        <w:t>ICNU explains, by example, that when the heat rate curve sized for a 100 MW unit is applied to a de-rated, 80 MW unit in GRID, it artificially increases the heat rate curves and the efficiency of the unit is reduced.</w:t>
      </w:r>
      <w:r w:rsidR="00AA3669" w:rsidRPr="002532DF">
        <w:rPr>
          <w:rStyle w:val="FootnoteReference"/>
          <w:sz w:val="25"/>
          <w:szCs w:val="25"/>
        </w:rPr>
        <w:footnoteReference w:id="273"/>
      </w:r>
      <w:r w:rsidR="00AA3669" w:rsidRPr="002532DF">
        <w:rPr>
          <w:sz w:val="25"/>
          <w:szCs w:val="25"/>
        </w:rPr>
        <w:t xml:space="preserve">  ICNU’s adjustment reduces expense by $299,8</w:t>
      </w:r>
      <w:r w:rsidR="00D752A0" w:rsidRPr="002532DF">
        <w:rPr>
          <w:sz w:val="25"/>
          <w:szCs w:val="25"/>
        </w:rPr>
        <w:t>9</w:t>
      </w:r>
      <w:r w:rsidR="00AA3669" w:rsidRPr="002532DF">
        <w:rPr>
          <w:sz w:val="25"/>
          <w:szCs w:val="25"/>
        </w:rPr>
        <w:t>7.</w:t>
      </w:r>
      <w:r w:rsidR="00785C8E" w:rsidRPr="002532DF">
        <w:rPr>
          <w:rStyle w:val="FootnoteReference"/>
          <w:sz w:val="25"/>
          <w:szCs w:val="25"/>
        </w:rPr>
        <w:footnoteReference w:id="274"/>
      </w:r>
    </w:p>
    <w:p w:rsidR="00C62D1E" w:rsidRPr="002532DF" w:rsidRDefault="00C62D1E" w:rsidP="00817E21">
      <w:pPr>
        <w:spacing w:line="276" w:lineRule="auto"/>
        <w:rPr>
          <w:sz w:val="25"/>
          <w:szCs w:val="25"/>
        </w:rPr>
      </w:pPr>
    </w:p>
    <w:p w:rsidR="00AA3669" w:rsidRPr="002532DF" w:rsidRDefault="009454D5" w:rsidP="00817E21">
      <w:pPr>
        <w:numPr>
          <w:ilvl w:val="0"/>
          <w:numId w:val="1"/>
        </w:numPr>
        <w:tabs>
          <w:tab w:val="clear" w:pos="720"/>
          <w:tab w:val="num" w:pos="0"/>
        </w:tabs>
        <w:spacing w:line="276" w:lineRule="auto"/>
        <w:ind w:left="0"/>
        <w:rPr>
          <w:sz w:val="25"/>
          <w:szCs w:val="25"/>
        </w:rPr>
      </w:pPr>
      <w:r w:rsidRPr="002532DF">
        <w:rPr>
          <w:sz w:val="25"/>
          <w:szCs w:val="25"/>
        </w:rPr>
        <w:t>In rebuttal</w:t>
      </w:r>
      <w:r w:rsidR="00CF3C67" w:rsidRPr="002532DF">
        <w:rPr>
          <w:sz w:val="25"/>
          <w:szCs w:val="25"/>
        </w:rPr>
        <w:t xml:space="preserve"> testimony</w:t>
      </w:r>
      <w:r w:rsidRPr="002532DF">
        <w:rPr>
          <w:sz w:val="25"/>
          <w:szCs w:val="25"/>
        </w:rPr>
        <w:t>, PacifiCorp opposes both adjustments.</w:t>
      </w:r>
      <w:r w:rsidR="00AA3669" w:rsidRPr="002532DF">
        <w:rPr>
          <w:rStyle w:val="FootnoteReference"/>
          <w:sz w:val="25"/>
          <w:szCs w:val="25"/>
        </w:rPr>
        <w:footnoteReference w:id="275"/>
      </w:r>
      <w:r w:rsidR="00AA3669" w:rsidRPr="002532DF">
        <w:rPr>
          <w:sz w:val="25"/>
          <w:szCs w:val="25"/>
        </w:rPr>
        <w:t xml:space="preserve">  The Company argues that ICNU’s adjustment understates the heat rate because:</w:t>
      </w:r>
    </w:p>
    <w:p w:rsidR="00AA3669" w:rsidRPr="002532DF" w:rsidRDefault="00AA3669" w:rsidP="00AA3669">
      <w:pPr>
        <w:pStyle w:val="NoSpacing"/>
        <w:spacing w:line="288" w:lineRule="auto"/>
        <w:rPr>
          <w:sz w:val="25"/>
          <w:szCs w:val="25"/>
        </w:rPr>
      </w:pPr>
    </w:p>
    <w:p w:rsidR="00D40563" w:rsidRPr="002532DF" w:rsidRDefault="009454D5">
      <w:pPr>
        <w:pStyle w:val="NoSpacing"/>
        <w:spacing w:line="264" w:lineRule="auto"/>
        <w:ind w:left="720" w:right="720"/>
        <w:rPr>
          <w:sz w:val="25"/>
          <w:szCs w:val="25"/>
        </w:rPr>
      </w:pPr>
      <w:r w:rsidRPr="002532DF">
        <w:rPr>
          <w:sz w:val="25"/>
          <w:szCs w:val="25"/>
        </w:rPr>
        <w:t>The only time when the derate adjustment to the heat rate may be applicable is when the unit is dispatched at one particular level of generation—its derated maximum capacity, with the assumption that the unit would have otherwise been dispatched at its stated maximum capacity in GRID if there were not the availability “haircut”.  When the unit is dispatched at any level below its derated maximum capacity, GRID has made the optimal decision to dispatch that unit at a lower and less efficient generation level, whether it has been derated or not.  Therefore, derating the en</w:t>
      </w:r>
      <w:r w:rsidR="00AA3669" w:rsidRPr="002532DF">
        <w:rPr>
          <w:sz w:val="25"/>
          <w:szCs w:val="25"/>
        </w:rPr>
        <w:t>tire heat rate curve overstates the efficiency of the unit and understates the heat inputs.</w:t>
      </w:r>
      <w:r w:rsidR="00AA3669" w:rsidRPr="002532DF">
        <w:rPr>
          <w:rStyle w:val="FootnoteReference"/>
          <w:sz w:val="25"/>
          <w:szCs w:val="25"/>
        </w:rPr>
        <w:t xml:space="preserve"> </w:t>
      </w:r>
      <w:r w:rsidR="00AA3669" w:rsidRPr="002532DF">
        <w:rPr>
          <w:rStyle w:val="FootnoteReference"/>
          <w:sz w:val="25"/>
          <w:szCs w:val="25"/>
        </w:rPr>
        <w:footnoteReference w:id="276"/>
      </w:r>
    </w:p>
    <w:p w:rsidR="00AA3669" w:rsidRPr="002532DF" w:rsidRDefault="00AA3669" w:rsidP="00AA3669">
      <w:pPr>
        <w:pStyle w:val="NoSpacing"/>
        <w:spacing w:line="288" w:lineRule="auto"/>
        <w:rPr>
          <w:sz w:val="25"/>
          <w:szCs w:val="25"/>
        </w:rPr>
      </w:pPr>
    </w:p>
    <w:p w:rsidR="00AA3669" w:rsidRPr="002532DF" w:rsidRDefault="00AA3669" w:rsidP="00817E21">
      <w:pPr>
        <w:pStyle w:val="NoSpacing"/>
        <w:spacing w:line="276" w:lineRule="auto"/>
        <w:rPr>
          <w:sz w:val="25"/>
          <w:szCs w:val="25"/>
        </w:rPr>
      </w:pPr>
      <w:r w:rsidRPr="002532DF">
        <w:rPr>
          <w:sz w:val="25"/>
          <w:szCs w:val="25"/>
        </w:rPr>
        <w:t>The Company also argues that the minimum capacity in Grid Model is the technical limit below which the generation unit can’t operate.</w:t>
      </w:r>
      <w:r w:rsidRPr="002532DF">
        <w:rPr>
          <w:rStyle w:val="FootnoteReference"/>
          <w:sz w:val="25"/>
          <w:szCs w:val="25"/>
        </w:rPr>
        <w:footnoteReference w:id="277"/>
      </w:r>
    </w:p>
    <w:p w:rsidR="00B81C47" w:rsidRPr="002532DF" w:rsidRDefault="00B81C47" w:rsidP="00817E21">
      <w:pPr>
        <w:pStyle w:val="NoSpacing"/>
        <w:spacing w:line="276" w:lineRule="auto"/>
        <w:rPr>
          <w:sz w:val="25"/>
          <w:szCs w:val="25"/>
        </w:rPr>
      </w:pPr>
    </w:p>
    <w:p w:rsidR="00B81C47" w:rsidRPr="002532DF" w:rsidRDefault="00D17347" w:rsidP="00785C8E">
      <w:pPr>
        <w:numPr>
          <w:ilvl w:val="0"/>
          <w:numId w:val="1"/>
        </w:numPr>
        <w:tabs>
          <w:tab w:val="clear" w:pos="720"/>
          <w:tab w:val="num" w:pos="0"/>
        </w:tabs>
        <w:spacing w:line="276" w:lineRule="auto"/>
        <w:ind w:left="0"/>
        <w:rPr>
          <w:sz w:val="25"/>
          <w:szCs w:val="25"/>
        </w:rPr>
      </w:pPr>
      <w:r w:rsidRPr="002532DF">
        <w:rPr>
          <w:i/>
          <w:sz w:val="25"/>
          <w:szCs w:val="25"/>
        </w:rPr>
        <w:t xml:space="preserve">Commission Decision. </w:t>
      </w:r>
      <w:r w:rsidR="00785C8E" w:rsidRPr="002532DF">
        <w:rPr>
          <w:i/>
          <w:sz w:val="25"/>
          <w:szCs w:val="25"/>
        </w:rPr>
        <w:t xml:space="preserve"> </w:t>
      </w:r>
      <w:r w:rsidR="00B81C47" w:rsidRPr="002532DF">
        <w:rPr>
          <w:sz w:val="25"/>
          <w:szCs w:val="25"/>
        </w:rPr>
        <w:t>We move with some hesitation in</w:t>
      </w:r>
      <w:r w:rsidR="00B0104A" w:rsidRPr="002532DF">
        <w:rPr>
          <w:sz w:val="25"/>
          <w:szCs w:val="25"/>
        </w:rPr>
        <w:t xml:space="preserve"> this </w:t>
      </w:r>
      <w:r w:rsidR="00986C0D" w:rsidRPr="002532DF">
        <w:rPr>
          <w:sz w:val="25"/>
          <w:szCs w:val="25"/>
        </w:rPr>
        <w:t xml:space="preserve">particular </w:t>
      </w:r>
      <w:r w:rsidR="00B0104A" w:rsidRPr="002532DF">
        <w:rPr>
          <w:sz w:val="25"/>
          <w:szCs w:val="25"/>
        </w:rPr>
        <w:t>area of power cost modeling.</w:t>
      </w:r>
      <w:r w:rsidR="00B81C47" w:rsidRPr="002532DF">
        <w:rPr>
          <w:sz w:val="25"/>
          <w:szCs w:val="25"/>
        </w:rPr>
        <w:t xml:space="preserve">  </w:t>
      </w:r>
      <w:r w:rsidR="005F7503" w:rsidRPr="002532DF">
        <w:rPr>
          <w:sz w:val="25"/>
          <w:szCs w:val="25"/>
        </w:rPr>
        <w:t xml:space="preserve">Both approaches </w:t>
      </w:r>
      <w:r w:rsidR="00CF3C67" w:rsidRPr="002532DF">
        <w:rPr>
          <w:sz w:val="25"/>
          <w:szCs w:val="25"/>
        </w:rPr>
        <w:t xml:space="preserve">before us </w:t>
      </w:r>
      <w:r w:rsidR="005F7503" w:rsidRPr="002532DF">
        <w:rPr>
          <w:sz w:val="25"/>
          <w:szCs w:val="25"/>
        </w:rPr>
        <w:t xml:space="preserve">have merit, and both have flaws.  </w:t>
      </w:r>
      <w:r w:rsidR="00723E37" w:rsidRPr="002532DF">
        <w:rPr>
          <w:sz w:val="25"/>
          <w:szCs w:val="25"/>
        </w:rPr>
        <w:t>Both methods alter the match of the heat rate to the plant output level.</w:t>
      </w:r>
      <w:r w:rsidR="009571EC" w:rsidRPr="002532DF">
        <w:rPr>
          <w:sz w:val="25"/>
          <w:szCs w:val="25"/>
        </w:rPr>
        <w:t xml:space="preserve">  </w:t>
      </w:r>
      <w:r w:rsidR="0015651E" w:rsidRPr="002532DF">
        <w:rPr>
          <w:sz w:val="25"/>
          <w:szCs w:val="25"/>
        </w:rPr>
        <w:t>Ultimately, the Company has the responsibility to develop a computer mode</w:t>
      </w:r>
      <w:r w:rsidR="00B113DF" w:rsidRPr="002532DF">
        <w:rPr>
          <w:sz w:val="25"/>
          <w:szCs w:val="25"/>
        </w:rPr>
        <w:t>l</w:t>
      </w:r>
      <w:r w:rsidR="0015651E" w:rsidRPr="002532DF">
        <w:rPr>
          <w:sz w:val="25"/>
          <w:szCs w:val="25"/>
        </w:rPr>
        <w:t xml:space="preserve"> to determine NPC and the burden to demonstrate that the model is well-designed.  </w:t>
      </w:r>
    </w:p>
    <w:p w:rsidR="0015651E" w:rsidRPr="002532DF" w:rsidRDefault="0015651E" w:rsidP="00817E21">
      <w:pPr>
        <w:pStyle w:val="NoSpacing"/>
        <w:spacing w:line="276" w:lineRule="auto"/>
        <w:rPr>
          <w:sz w:val="25"/>
          <w:szCs w:val="25"/>
        </w:rPr>
      </w:pPr>
    </w:p>
    <w:p w:rsidR="00E36EBF" w:rsidRPr="002532DF" w:rsidRDefault="0015651E" w:rsidP="00785C8E">
      <w:pPr>
        <w:numPr>
          <w:ilvl w:val="0"/>
          <w:numId w:val="1"/>
        </w:numPr>
        <w:tabs>
          <w:tab w:val="clear" w:pos="720"/>
          <w:tab w:val="num" w:pos="0"/>
        </w:tabs>
        <w:spacing w:line="276" w:lineRule="auto"/>
        <w:ind w:left="0"/>
        <w:rPr>
          <w:sz w:val="25"/>
          <w:szCs w:val="25"/>
        </w:rPr>
      </w:pPr>
      <w:r w:rsidRPr="002532DF">
        <w:rPr>
          <w:sz w:val="25"/>
          <w:szCs w:val="25"/>
        </w:rPr>
        <w:t>We conclude that</w:t>
      </w:r>
      <w:r w:rsidR="00B0104A" w:rsidRPr="002532DF">
        <w:rPr>
          <w:sz w:val="25"/>
          <w:szCs w:val="25"/>
        </w:rPr>
        <w:t xml:space="preserve">, </w:t>
      </w:r>
      <w:r w:rsidR="00876C97">
        <w:rPr>
          <w:sz w:val="25"/>
          <w:szCs w:val="25"/>
        </w:rPr>
        <w:t>al</w:t>
      </w:r>
      <w:r w:rsidR="00B0104A" w:rsidRPr="002532DF">
        <w:rPr>
          <w:sz w:val="25"/>
          <w:szCs w:val="25"/>
        </w:rPr>
        <w:t>though</w:t>
      </w:r>
      <w:r w:rsidRPr="002532DF">
        <w:rPr>
          <w:sz w:val="25"/>
          <w:szCs w:val="25"/>
        </w:rPr>
        <w:t xml:space="preserve"> this is a close call</w:t>
      </w:r>
      <w:r w:rsidR="00B0104A" w:rsidRPr="002532DF">
        <w:rPr>
          <w:sz w:val="25"/>
          <w:szCs w:val="25"/>
        </w:rPr>
        <w:t>, we support</w:t>
      </w:r>
      <w:r w:rsidRPr="002532DF">
        <w:rPr>
          <w:sz w:val="25"/>
          <w:szCs w:val="25"/>
        </w:rPr>
        <w:t xml:space="preserve"> ICNU’s proposal because it appears to better represent the usable range of a generation unit and because it appears to </w:t>
      </w:r>
      <w:r w:rsidR="00F54BE2" w:rsidRPr="002532DF">
        <w:rPr>
          <w:sz w:val="25"/>
          <w:szCs w:val="25"/>
        </w:rPr>
        <w:t xml:space="preserve">better </w:t>
      </w:r>
      <w:r w:rsidRPr="002532DF">
        <w:rPr>
          <w:sz w:val="25"/>
          <w:szCs w:val="25"/>
        </w:rPr>
        <w:t xml:space="preserve">match the heat rate curve with the de-rated capacity of the plant.  </w:t>
      </w:r>
      <w:r w:rsidR="00B113DF" w:rsidRPr="002532DF">
        <w:rPr>
          <w:sz w:val="25"/>
          <w:szCs w:val="25"/>
        </w:rPr>
        <w:t>Accordingly, we adopt ICNU’s adjustment</w:t>
      </w:r>
      <w:r w:rsidR="003871EF" w:rsidRPr="002532DF">
        <w:rPr>
          <w:sz w:val="25"/>
          <w:szCs w:val="25"/>
        </w:rPr>
        <w:t xml:space="preserve"> and reduce NPC expense by $299,897</w:t>
      </w:r>
      <w:r w:rsidR="00774710" w:rsidRPr="002532DF">
        <w:rPr>
          <w:sz w:val="25"/>
          <w:szCs w:val="25"/>
        </w:rPr>
        <w:t>.</w:t>
      </w:r>
      <w:r w:rsidR="00B113DF" w:rsidRPr="002532DF">
        <w:rPr>
          <w:sz w:val="25"/>
          <w:szCs w:val="25"/>
        </w:rPr>
        <w:t xml:space="preserve">  </w:t>
      </w:r>
      <w:r w:rsidRPr="002532DF">
        <w:rPr>
          <w:sz w:val="25"/>
          <w:szCs w:val="25"/>
        </w:rPr>
        <w:t xml:space="preserve">We </w:t>
      </w:r>
      <w:r w:rsidR="00876C97">
        <w:rPr>
          <w:sz w:val="25"/>
          <w:szCs w:val="25"/>
        </w:rPr>
        <w:t>will consider in a future case</w:t>
      </w:r>
      <w:r w:rsidRPr="002532DF">
        <w:rPr>
          <w:sz w:val="25"/>
          <w:szCs w:val="25"/>
        </w:rPr>
        <w:t xml:space="preserve">, however, </w:t>
      </w:r>
      <w:r w:rsidR="00876C97">
        <w:rPr>
          <w:sz w:val="25"/>
          <w:szCs w:val="25"/>
        </w:rPr>
        <w:t>an</w:t>
      </w:r>
      <w:r w:rsidRPr="002532DF">
        <w:rPr>
          <w:sz w:val="25"/>
          <w:szCs w:val="25"/>
        </w:rPr>
        <w:t xml:space="preserve"> adjustment that </w:t>
      </w:r>
      <w:r w:rsidR="00A936B1" w:rsidRPr="002532DF">
        <w:rPr>
          <w:sz w:val="25"/>
          <w:szCs w:val="25"/>
        </w:rPr>
        <w:t>reflects</w:t>
      </w:r>
      <w:r w:rsidRPr="002532DF">
        <w:rPr>
          <w:sz w:val="25"/>
          <w:szCs w:val="25"/>
        </w:rPr>
        <w:t xml:space="preserve"> a more accurate middle ground between ICNU’s and the Company’s approaches to this issue. </w:t>
      </w:r>
    </w:p>
    <w:p w:rsidR="008A32B4" w:rsidRPr="002532DF" w:rsidRDefault="005A3738" w:rsidP="00785C8E">
      <w:pPr>
        <w:pStyle w:val="Heading5"/>
        <w:ind w:left="1440" w:hanging="360"/>
        <w:rPr>
          <w:rFonts w:ascii="Times New Roman" w:hAnsi="Times New Roman"/>
          <w:i w:val="0"/>
          <w:sz w:val="25"/>
          <w:szCs w:val="25"/>
        </w:rPr>
      </w:pPr>
      <w:bookmarkStart w:id="52" w:name="_Toc168986379"/>
      <w:bookmarkStart w:id="53" w:name="_Toc288813746"/>
      <w:r w:rsidRPr="002532DF">
        <w:rPr>
          <w:rFonts w:ascii="Times New Roman" w:hAnsi="Times New Roman"/>
          <w:i w:val="0"/>
          <w:sz w:val="25"/>
          <w:szCs w:val="25"/>
        </w:rPr>
        <w:t>r</w:t>
      </w:r>
      <w:r w:rsidR="00DB3D14" w:rsidRPr="002532DF">
        <w:rPr>
          <w:rFonts w:ascii="Times New Roman" w:hAnsi="Times New Roman"/>
          <w:i w:val="0"/>
          <w:sz w:val="25"/>
          <w:szCs w:val="25"/>
        </w:rPr>
        <w:t>.</w:t>
      </w:r>
      <w:r w:rsidR="00DB3D14" w:rsidRPr="002532DF">
        <w:rPr>
          <w:rFonts w:ascii="Times New Roman" w:hAnsi="Times New Roman"/>
          <w:i w:val="0"/>
          <w:sz w:val="25"/>
          <w:szCs w:val="25"/>
        </w:rPr>
        <w:tab/>
        <w:t>Balancing Adjustment</w:t>
      </w:r>
      <w:bookmarkEnd w:id="52"/>
      <w:bookmarkEnd w:id="53"/>
    </w:p>
    <w:p w:rsidR="008A32B4" w:rsidRPr="002532DF" w:rsidRDefault="008A32B4" w:rsidP="00817E21">
      <w:pPr>
        <w:spacing w:line="276" w:lineRule="auto"/>
        <w:ind w:left="1980"/>
        <w:rPr>
          <w:sz w:val="25"/>
          <w:szCs w:val="25"/>
        </w:rPr>
      </w:pPr>
    </w:p>
    <w:p w:rsidR="004A17D4" w:rsidRPr="002532DF" w:rsidRDefault="00AC6466" w:rsidP="00817E21">
      <w:pPr>
        <w:numPr>
          <w:ilvl w:val="0"/>
          <w:numId w:val="1"/>
        </w:numPr>
        <w:tabs>
          <w:tab w:val="clear" w:pos="720"/>
          <w:tab w:val="num" w:pos="0"/>
        </w:tabs>
        <w:spacing w:line="276" w:lineRule="auto"/>
        <w:ind w:left="0"/>
        <w:rPr>
          <w:sz w:val="25"/>
          <w:szCs w:val="25"/>
        </w:rPr>
      </w:pPr>
      <w:r w:rsidRPr="002532DF">
        <w:rPr>
          <w:i/>
          <w:sz w:val="25"/>
          <w:szCs w:val="25"/>
        </w:rPr>
        <w:t xml:space="preserve">Positions of the Parties.  </w:t>
      </w:r>
      <w:r w:rsidR="004A17D4" w:rsidRPr="002532DF">
        <w:rPr>
          <w:sz w:val="25"/>
          <w:szCs w:val="25"/>
        </w:rPr>
        <w:t>The Company, Staff, and ICNU agree that individual adjustments to the GRID model logic and inputs interact during power model runs and have interdependent effects on the final net power costs determined from the model.</w:t>
      </w:r>
      <w:r w:rsidR="00447580" w:rsidRPr="002532DF">
        <w:rPr>
          <w:rStyle w:val="FootnoteReference"/>
          <w:sz w:val="25"/>
          <w:szCs w:val="25"/>
        </w:rPr>
        <w:footnoteReference w:id="278"/>
      </w:r>
      <w:r w:rsidR="004A17D4" w:rsidRPr="002532DF">
        <w:rPr>
          <w:sz w:val="25"/>
          <w:szCs w:val="25"/>
        </w:rPr>
        <w:t xml:space="preserve">  Therefore, Staff and ICNU recommend that the GRID model be re-run with Commission-accepted adjustments in order to make a final determination of net power costs.  The Company, Staff and ICNU agree that the GRID model needs to be re-run to reflect the most recent gas forward prices as of December 31, 2010.</w:t>
      </w:r>
      <w:bookmarkStart w:id="54" w:name="_Toc168986380"/>
    </w:p>
    <w:p w:rsidR="00B34FB2" w:rsidRPr="002532DF" w:rsidRDefault="00B34FB2" w:rsidP="004A17D4">
      <w:pPr>
        <w:tabs>
          <w:tab w:val="num" w:pos="0"/>
        </w:tabs>
        <w:spacing w:line="276" w:lineRule="auto"/>
        <w:ind w:left="-720"/>
        <w:rPr>
          <w:b/>
          <w:sz w:val="25"/>
          <w:szCs w:val="25"/>
          <w:u w:val="single"/>
        </w:rPr>
      </w:pPr>
    </w:p>
    <w:p w:rsidR="00E36EBF" w:rsidRPr="002532DF" w:rsidRDefault="00D17347" w:rsidP="00AD0B90">
      <w:pPr>
        <w:numPr>
          <w:ilvl w:val="0"/>
          <w:numId w:val="1"/>
        </w:numPr>
        <w:tabs>
          <w:tab w:val="clear" w:pos="720"/>
          <w:tab w:val="num" w:pos="0"/>
        </w:tabs>
        <w:spacing w:line="276" w:lineRule="auto"/>
        <w:ind w:left="0"/>
        <w:rPr>
          <w:b/>
          <w:sz w:val="25"/>
          <w:szCs w:val="25"/>
          <w:u w:val="single"/>
        </w:rPr>
      </w:pPr>
      <w:r w:rsidRPr="002532DF">
        <w:rPr>
          <w:i/>
          <w:sz w:val="25"/>
          <w:szCs w:val="25"/>
        </w:rPr>
        <w:t xml:space="preserve">Commission Decision. </w:t>
      </w:r>
      <w:r w:rsidR="00785C8E" w:rsidRPr="002532DF">
        <w:rPr>
          <w:i/>
          <w:sz w:val="25"/>
          <w:szCs w:val="25"/>
        </w:rPr>
        <w:t xml:space="preserve"> </w:t>
      </w:r>
      <w:r w:rsidR="004A17D4" w:rsidRPr="002532DF">
        <w:rPr>
          <w:sz w:val="25"/>
          <w:szCs w:val="25"/>
        </w:rPr>
        <w:t>We conclude that PacifiCorp should re-run the GRID model with the forward prices as of December 31, 2010, and the net power costs adjustments approved above.</w:t>
      </w:r>
      <w:r w:rsidR="00447580" w:rsidRPr="002532DF">
        <w:rPr>
          <w:rStyle w:val="FootnoteReference"/>
          <w:sz w:val="25"/>
          <w:szCs w:val="25"/>
        </w:rPr>
        <w:footnoteReference w:id="279"/>
      </w:r>
    </w:p>
    <w:p w:rsidR="008A32B4" w:rsidRPr="002532DF" w:rsidRDefault="00DB3D14" w:rsidP="006A6C81">
      <w:pPr>
        <w:pStyle w:val="Heading4"/>
        <w:ind w:left="1080" w:hanging="360"/>
        <w:rPr>
          <w:rFonts w:ascii="Times New Roman" w:hAnsi="Times New Roman"/>
          <w:sz w:val="25"/>
          <w:szCs w:val="25"/>
        </w:rPr>
      </w:pPr>
      <w:bookmarkStart w:id="55" w:name="_Toc288813747"/>
      <w:r w:rsidRPr="002532DF">
        <w:rPr>
          <w:rFonts w:ascii="Times New Roman" w:hAnsi="Times New Roman"/>
          <w:sz w:val="25"/>
          <w:szCs w:val="25"/>
        </w:rPr>
        <w:t>2.</w:t>
      </w:r>
      <w:r w:rsidRPr="002532DF">
        <w:rPr>
          <w:rFonts w:ascii="Times New Roman" w:hAnsi="Times New Roman"/>
          <w:sz w:val="25"/>
          <w:szCs w:val="25"/>
        </w:rPr>
        <w:tab/>
        <w:t>Renewable Energy Credit Revenue</w:t>
      </w:r>
      <w:bookmarkEnd w:id="54"/>
      <w:r w:rsidR="0065345A" w:rsidRPr="002532DF">
        <w:rPr>
          <w:rFonts w:ascii="Times New Roman" w:hAnsi="Times New Roman"/>
          <w:sz w:val="25"/>
          <w:szCs w:val="25"/>
        </w:rPr>
        <w:t xml:space="preserve"> (REC)</w:t>
      </w:r>
      <w:bookmarkEnd w:id="55"/>
    </w:p>
    <w:p w:rsidR="008A32B4" w:rsidRPr="002532DF" w:rsidRDefault="008A32B4" w:rsidP="00817E21">
      <w:pPr>
        <w:spacing w:line="276" w:lineRule="auto"/>
        <w:rPr>
          <w:b/>
          <w:sz w:val="25"/>
          <w:szCs w:val="25"/>
        </w:rPr>
      </w:pPr>
    </w:p>
    <w:p w:rsidR="00C80CB2" w:rsidRPr="002532DF" w:rsidRDefault="00B25DB7" w:rsidP="00817E21">
      <w:pPr>
        <w:numPr>
          <w:ilvl w:val="0"/>
          <w:numId w:val="1"/>
        </w:numPr>
        <w:tabs>
          <w:tab w:val="clear" w:pos="720"/>
          <w:tab w:val="num" w:pos="0"/>
        </w:tabs>
        <w:spacing w:line="276" w:lineRule="auto"/>
        <w:ind w:left="0"/>
        <w:rPr>
          <w:sz w:val="25"/>
          <w:szCs w:val="25"/>
        </w:rPr>
      </w:pPr>
      <w:r w:rsidRPr="002532DF">
        <w:rPr>
          <w:sz w:val="25"/>
          <w:szCs w:val="25"/>
        </w:rPr>
        <w:t>PacifiCorp generates electricity from renewable sources</w:t>
      </w:r>
      <w:r w:rsidR="00CF3C67" w:rsidRPr="002532DF">
        <w:rPr>
          <w:sz w:val="25"/>
          <w:szCs w:val="25"/>
        </w:rPr>
        <w:t xml:space="preserve"> located in the </w:t>
      </w:r>
      <w:r w:rsidR="00F42EFD" w:rsidRPr="002532DF">
        <w:rPr>
          <w:sz w:val="25"/>
          <w:szCs w:val="25"/>
        </w:rPr>
        <w:t>west control area</w:t>
      </w:r>
      <w:r w:rsidR="00C41AD0" w:rsidRPr="002532DF">
        <w:rPr>
          <w:sz w:val="25"/>
          <w:szCs w:val="25"/>
        </w:rPr>
        <w:t xml:space="preserve"> that qualify under RCW Chapter 19.2</w:t>
      </w:r>
      <w:r w:rsidR="00455A70" w:rsidRPr="002532DF">
        <w:rPr>
          <w:sz w:val="25"/>
          <w:szCs w:val="25"/>
        </w:rPr>
        <w:t>8</w:t>
      </w:r>
      <w:r w:rsidR="00C41AD0" w:rsidRPr="002532DF">
        <w:rPr>
          <w:sz w:val="25"/>
          <w:szCs w:val="25"/>
        </w:rPr>
        <w:t xml:space="preserve">5 as </w:t>
      </w:r>
      <w:r w:rsidR="00CF3C67" w:rsidRPr="002532DF">
        <w:rPr>
          <w:sz w:val="25"/>
          <w:szCs w:val="25"/>
        </w:rPr>
        <w:t xml:space="preserve"> </w:t>
      </w:r>
      <w:r w:rsidR="00D63FD5" w:rsidRPr="002532DF">
        <w:rPr>
          <w:sz w:val="25"/>
          <w:szCs w:val="25"/>
        </w:rPr>
        <w:t xml:space="preserve">resources </w:t>
      </w:r>
      <w:r w:rsidR="00C41AD0" w:rsidRPr="002532DF">
        <w:rPr>
          <w:sz w:val="25"/>
          <w:szCs w:val="25"/>
        </w:rPr>
        <w:t>that can</w:t>
      </w:r>
      <w:r w:rsidR="00CF3C67" w:rsidRPr="002532DF">
        <w:rPr>
          <w:sz w:val="25"/>
          <w:szCs w:val="25"/>
        </w:rPr>
        <w:t xml:space="preserve"> be </w:t>
      </w:r>
      <w:r w:rsidRPr="002532DF">
        <w:rPr>
          <w:sz w:val="25"/>
          <w:szCs w:val="25"/>
        </w:rPr>
        <w:t xml:space="preserve">used to meet </w:t>
      </w:r>
      <w:r w:rsidR="00C41AD0" w:rsidRPr="002532DF">
        <w:rPr>
          <w:sz w:val="25"/>
          <w:szCs w:val="25"/>
        </w:rPr>
        <w:t>the</w:t>
      </w:r>
      <w:r w:rsidRPr="002532DF">
        <w:rPr>
          <w:sz w:val="25"/>
          <w:szCs w:val="25"/>
        </w:rPr>
        <w:t xml:space="preserve"> renewable portfolio standards (RPS)</w:t>
      </w:r>
      <w:r w:rsidR="00CF3C67" w:rsidRPr="002532DF">
        <w:rPr>
          <w:sz w:val="25"/>
          <w:szCs w:val="25"/>
        </w:rPr>
        <w:t xml:space="preserve"> </w:t>
      </w:r>
      <w:r w:rsidR="00C41AD0" w:rsidRPr="002532DF">
        <w:rPr>
          <w:sz w:val="25"/>
          <w:szCs w:val="25"/>
        </w:rPr>
        <w:t>established by the statute.  Washington’s RPS</w:t>
      </w:r>
      <w:r w:rsidR="00CF3C67" w:rsidRPr="002532DF">
        <w:rPr>
          <w:sz w:val="25"/>
          <w:szCs w:val="25"/>
        </w:rPr>
        <w:t xml:space="preserve"> require</w:t>
      </w:r>
      <w:r w:rsidR="00C80CB2" w:rsidRPr="002532DF">
        <w:rPr>
          <w:sz w:val="25"/>
          <w:szCs w:val="25"/>
        </w:rPr>
        <w:t xml:space="preserve"> electric utilities </w:t>
      </w:r>
      <w:r w:rsidR="00CF3C67" w:rsidRPr="002532DF">
        <w:rPr>
          <w:sz w:val="25"/>
          <w:szCs w:val="25"/>
        </w:rPr>
        <w:t>to</w:t>
      </w:r>
      <w:r w:rsidR="00C80CB2" w:rsidRPr="002532DF">
        <w:rPr>
          <w:sz w:val="25"/>
          <w:szCs w:val="25"/>
        </w:rPr>
        <w:t xml:space="preserve"> provide at least three percent of </w:t>
      </w:r>
      <w:r w:rsidR="00AC6466" w:rsidRPr="002532DF">
        <w:rPr>
          <w:sz w:val="25"/>
          <w:szCs w:val="25"/>
        </w:rPr>
        <w:t>their</w:t>
      </w:r>
      <w:r w:rsidR="00C80CB2" w:rsidRPr="002532DF">
        <w:rPr>
          <w:sz w:val="25"/>
          <w:szCs w:val="25"/>
        </w:rPr>
        <w:t xml:space="preserve"> load from renewable sources</w:t>
      </w:r>
      <w:r w:rsidR="00CF3C67" w:rsidRPr="002532DF">
        <w:rPr>
          <w:sz w:val="25"/>
          <w:szCs w:val="25"/>
        </w:rPr>
        <w:t xml:space="preserve"> by January 1, 2012</w:t>
      </w:r>
      <w:r w:rsidR="00C80CB2" w:rsidRPr="002532DF">
        <w:rPr>
          <w:sz w:val="25"/>
          <w:szCs w:val="25"/>
        </w:rPr>
        <w:t>.</w:t>
      </w:r>
      <w:r w:rsidRPr="002532DF">
        <w:rPr>
          <w:rStyle w:val="FootnoteReference"/>
          <w:sz w:val="25"/>
          <w:szCs w:val="25"/>
        </w:rPr>
        <w:footnoteReference w:id="280"/>
      </w:r>
      <w:r w:rsidRPr="002532DF">
        <w:rPr>
          <w:sz w:val="25"/>
          <w:szCs w:val="25"/>
        </w:rPr>
        <w:t xml:space="preserve">  </w:t>
      </w:r>
      <w:r w:rsidR="000F18D0" w:rsidRPr="002532DF">
        <w:rPr>
          <w:sz w:val="25"/>
          <w:szCs w:val="25"/>
        </w:rPr>
        <w:t xml:space="preserve">Electricity generated by qualified resources has </w:t>
      </w:r>
      <w:r w:rsidR="00C41AD0" w:rsidRPr="002532DF">
        <w:rPr>
          <w:sz w:val="25"/>
          <w:szCs w:val="25"/>
        </w:rPr>
        <w:t>added value in the form of renewable energy credits (RECs)</w:t>
      </w:r>
      <w:r w:rsidR="000F18D0" w:rsidRPr="002532DF">
        <w:rPr>
          <w:sz w:val="25"/>
          <w:szCs w:val="25"/>
        </w:rPr>
        <w:t xml:space="preserve"> that can be used to meet the RPS, sold, or</w:t>
      </w:r>
      <w:r w:rsidR="00C41AD0" w:rsidRPr="002532DF">
        <w:rPr>
          <w:sz w:val="25"/>
          <w:szCs w:val="25"/>
        </w:rPr>
        <w:t>, in some jurisdictions,</w:t>
      </w:r>
      <w:r w:rsidR="000F18D0" w:rsidRPr="002532DF">
        <w:rPr>
          <w:sz w:val="25"/>
          <w:szCs w:val="25"/>
        </w:rPr>
        <w:t xml:space="preserve"> banked for future use.</w:t>
      </w:r>
      <w:r w:rsidR="000F18D0" w:rsidRPr="002532DF">
        <w:rPr>
          <w:rStyle w:val="FootnoteReference"/>
          <w:sz w:val="25"/>
          <w:szCs w:val="25"/>
        </w:rPr>
        <w:footnoteReference w:id="281"/>
      </w:r>
      <w:r w:rsidR="000F18D0" w:rsidRPr="002532DF">
        <w:rPr>
          <w:sz w:val="25"/>
          <w:szCs w:val="25"/>
        </w:rPr>
        <w:t xml:space="preserve">  As a general rule today, </w:t>
      </w:r>
      <w:r w:rsidR="00C41AD0" w:rsidRPr="002532DF">
        <w:rPr>
          <w:sz w:val="25"/>
          <w:szCs w:val="25"/>
        </w:rPr>
        <w:t>PacifiCorp “unbundles” RECs from the electricity output of its qualified renewable  generation, using electricity to serve load and either selling or banking the RECs</w:t>
      </w:r>
      <w:r w:rsidR="000F18D0" w:rsidRPr="002532DF">
        <w:rPr>
          <w:rStyle w:val="FootnoteReference"/>
          <w:sz w:val="25"/>
          <w:szCs w:val="25"/>
        </w:rPr>
        <w:footnoteReference w:id="282"/>
      </w:r>
      <w:r w:rsidR="00766CCD">
        <w:rPr>
          <w:sz w:val="25"/>
          <w:szCs w:val="25"/>
        </w:rPr>
        <w:t>.</w:t>
      </w:r>
    </w:p>
    <w:p w:rsidR="00C80CB2" w:rsidRPr="002532DF" w:rsidRDefault="00C80CB2" w:rsidP="00AC6466">
      <w:pPr>
        <w:spacing w:line="276" w:lineRule="auto"/>
        <w:ind w:left="-720"/>
        <w:rPr>
          <w:sz w:val="25"/>
          <w:szCs w:val="25"/>
        </w:rPr>
      </w:pPr>
    </w:p>
    <w:p w:rsidR="00F42AC9" w:rsidRPr="00F42C95" w:rsidRDefault="00766CCD" w:rsidP="0086728B">
      <w:pPr>
        <w:numPr>
          <w:ilvl w:val="0"/>
          <w:numId w:val="1"/>
        </w:numPr>
        <w:tabs>
          <w:tab w:val="clear" w:pos="720"/>
          <w:tab w:val="num" w:pos="0"/>
        </w:tabs>
        <w:spacing w:line="276" w:lineRule="auto"/>
        <w:ind w:left="0"/>
        <w:rPr>
          <w:sz w:val="25"/>
          <w:szCs w:val="25"/>
        </w:rPr>
      </w:pPr>
      <w:r w:rsidRPr="00F42C95">
        <w:rPr>
          <w:i/>
          <w:sz w:val="25"/>
          <w:szCs w:val="25"/>
        </w:rPr>
        <w:t>Positions of the Parties</w:t>
      </w:r>
      <w:r w:rsidRPr="00F42C95">
        <w:rPr>
          <w:sz w:val="25"/>
          <w:szCs w:val="25"/>
        </w:rPr>
        <w:t xml:space="preserve">.  </w:t>
      </w:r>
      <w:r w:rsidR="00AE38B0" w:rsidRPr="00F42C95">
        <w:rPr>
          <w:sz w:val="25"/>
          <w:szCs w:val="25"/>
        </w:rPr>
        <w:t>In its initial filing</w:t>
      </w:r>
      <w:r w:rsidR="00D63FD5" w:rsidRPr="00F42C95">
        <w:rPr>
          <w:sz w:val="25"/>
          <w:szCs w:val="25"/>
        </w:rPr>
        <w:t>, PacifiCorp</w:t>
      </w:r>
      <w:r w:rsidR="00C80CB2" w:rsidRPr="00F42C95">
        <w:rPr>
          <w:sz w:val="25"/>
          <w:szCs w:val="25"/>
        </w:rPr>
        <w:t xml:space="preserve"> </w:t>
      </w:r>
      <w:r w:rsidR="00AE38B0" w:rsidRPr="00F42C95">
        <w:rPr>
          <w:sz w:val="25"/>
          <w:szCs w:val="25"/>
        </w:rPr>
        <w:t>stated that during the test year it</w:t>
      </w:r>
      <w:r w:rsidR="00C80CB2" w:rsidRPr="00F42C95">
        <w:rPr>
          <w:sz w:val="25"/>
          <w:szCs w:val="25"/>
        </w:rPr>
        <w:t xml:space="preserve"> received </w:t>
      </w:r>
      <w:r w:rsidR="000F18D0" w:rsidRPr="00F42C95">
        <w:rPr>
          <w:sz w:val="25"/>
          <w:szCs w:val="25"/>
        </w:rPr>
        <w:t>$4,211,639 in</w:t>
      </w:r>
      <w:r w:rsidR="00C80CB2" w:rsidRPr="00F42C95">
        <w:rPr>
          <w:sz w:val="25"/>
          <w:szCs w:val="25"/>
        </w:rPr>
        <w:t xml:space="preserve"> revenue from the sale of RECs to other utilities</w:t>
      </w:r>
      <w:r w:rsidR="000F18D0" w:rsidRPr="00F42C95">
        <w:rPr>
          <w:sz w:val="25"/>
          <w:szCs w:val="25"/>
        </w:rPr>
        <w:t>.</w:t>
      </w:r>
      <w:r w:rsidR="000F18D0" w:rsidRPr="002532DF">
        <w:rPr>
          <w:rStyle w:val="FootnoteReference"/>
          <w:sz w:val="25"/>
          <w:szCs w:val="25"/>
        </w:rPr>
        <w:footnoteReference w:id="283"/>
      </w:r>
      <w:r w:rsidR="00C80CB2" w:rsidRPr="00F42C95">
        <w:rPr>
          <w:sz w:val="25"/>
          <w:szCs w:val="25"/>
        </w:rPr>
        <w:t xml:space="preserve">  </w:t>
      </w:r>
      <w:r w:rsidR="00C41AD0" w:rsidRPr="00F42C95">
        <w:rPr>
          <w:sz w:val="25"/>
          <w:szCs w:val="25"/>
        </w:rPr>
        <w:t>However,</w:t>
      </w:r>
      <w:r w:rsidR="00B05AE3" w:rsidRPr="00F42C95">
        <w:rPr>
          <w:sz w:val="25"/>
          <w:szCs w:val="25"/>
        </w:rPr>
        <w:t xml:space="preserve"> PacifiCorp </w:t>
      </w:r>
      <w:r w:rsidR="00C41AD0" w:rsidRPr="00F42C95">
        <w:rPr>
          <w:sz w:val="25"/>
          <w:szCs w:val="25"/>
        </w:rPr>
        <w:t xml:space="preserve">did not account for any of this revenue in its revenue requirement calculations.  PacifiCorp’s stated rationale for excluding this revenue was that it </w:t>
      </w:r>
      <w:r w:rsidR="00365C58" w:rsidRPr="00F42C95">
        <w:rPr>
          <w:sz w:val="25"/>
          <w:szCs w:val="25"/>
        </w:rPr>
        <w:t>intended</w:t>
      </w:r>
      <w:r w:rsidR="00C41AD0" w:rsidRPr="00F42C95">
        <w:rPr>
          <w:sz w:val="25"/>
          <w:szCs w:val="25"/>
        </w:rPr>
        <w:t xml:space="preserve"> to “bank” all </w:t>
      </w:r>
      <w:r w:rsidR="0065345A" w:rsidRPr="00F42C95">
        <w:rPr>
          <w:sz w:val="25"/>
          <w:szCs w:val="25"/>
        </w:rPr>
        <w:t>eligible RECs</w:t>
      </w:r>
      <w:r w:rsidR="00B05AE3" w:rsidRPr="00F42C95">
        <w:rPr>
          <w:sz w:val="25"/>
          <w:szCs w:val="25"/>
        </w:rPr>
        <w:t xml:space="preserve"> in the future</w:t>
      </w:r>
      <w:r w:rsidR="009D3B15" w:rsidRPr="00F42C95">
        <w:rPr>
          <w:sz w:val="25"/>
          <w:szCs w:val="25"/>
        </w:rPr>
        <w:t xml:space="preserve"> to help meet jurisdictional-specific renewable portfolio standards</w:t>
      </w:r>
      <w:r w:rsidR="0065345A" w:rsidRPr="00F42C95">
        <w:rPr>
          <w:sz w:val="25"/>
          <w:szCs w:val="25"/>
        </w:rPr>
        <w:t>.</w:t>
      </w:r>
      <w:r w:rsidR="0065345A" w:rsidRPr="002532DF">
        <w:rPr>
          <w:rStyle w:val="FootnoteReference"/>
          <w:sz w:val="25"/>
          <w:szCs w:val="25"/>
        </w:rPr>
        <w:footnoteReference w:id="284"/>
      </w:r>
      <w:r w:rsidR="00B34FB2" w:rsidRPr="00F42C95">
        <w:rPr>
          <w:sz w:val="25"/>
          <w:szCs w:val="25"/>
        </w:rPr>
        <w:t xml:space="preserve">  </w:t>
      </w:r>
      <w:r w:rsidR="00C41AD0" w:rsidRPr="00F42C95">
        <w:rPr>
          <w:sz w:val="25"/>
          <w:szCs w:val="25"/>
        </w:rPr>
        <w:t xml:space="preserve">Insofar as Washington is concerned, this rationale depended in significant part on the Company’s assertion that it “anticipated legislative changes to Washington’s RPS which </w:t>
      </w:r>
      <w:r w:rsidR="00365C58" w:rsidRPr="00F42C95">
        <w:rPr>
          <w:sz w:val="25"/>
          <w:szCs w:val="25"/>
        </w:rPr>
        <w:t>would</w:t>
      </w:r>
      <w:r w:rsidR="00C41AD0" w:rsidRPr="00F42C95">
        <w:rPr>
          <w:sz w:val="25"/>
          <w:szCs w:val="25"/>
        </w:rPr>
        <w:t xml:space="preserve"> allow longer-term REC banking: and therefore would not sell excess RECs in 2011.</w:t>
      </w:r>
      <w:r w:rsidR="00C41AD0" w:rsidRPr="002532DF">
        <w:rPr>
          <w:rStyle w:val="FootnoteReference"/>
          <w:sz w:val="25"/>
          <w:szCs w:val="25"/>
        </w:rPr>
        <w:footnoteReference w:id="285"/>
      </w:r>
      <w:r w:rsidR="00C41AD0" w:rsidRPr="00F42C95">
        <w:rPr>
          <w:sz w:val="25"/>
          <w:szCs w:val="25"/>
        </w:rPr>
        <w:t xml:space="preserve">  No such change occurred.  Long-term banking of RECs is not allowed under current Washington law.</w:t>
      </w:r>
      <w:r w:rsidR="00C41AD0" w:rsidRPr="002532DF">
        <w:rPr>
          <w:rStyle w:val="FootnoteReference"/>
          <w:sz w:val="25"/>
          <w:szCs w:val="25"/>
        </w:rPr>
        <w:footnoteReference w:id="286"/>
      </w:r>
    </w:p>
    <w:p w:rsidR="00920EF4" w:rsidRPr="002532DF" w:rsidRDefault="00920EF4" w:rsidP="00920EF4">
      <w:pPr>
        <w:spacing w:line="276" w:lineRule="auto"/>
        <w:ind w:left="-720"/>
        <w:rPr>
          <w:sz w:val="25"/>
          <w:szCs w:val="25"/>
        </w:rPr>
      </w:pPr>
    </w:p>
    <w:p w:rsidR="00BA753B" w:rsidRPr="002532DF" w:rsidRDefault="00C41AD0" w:rsidP="00AD0B90">
      <w:pPr>
        <w:numPr>
          <w:ilvl w:val="0"/>
          <w:numId w:val="1"/>
        </w:numPr>
        <w:tabs>
          <w:tab w:val="clear" w:pos="720"/>
          <w:tab w:val="num" w:pos="0"/>
        </w:tabs>
        <w:spacing w:line="276" w:lineRule="auto"/>
        <w:ind w:left="0"/>
        <w:rPr>
          <w:sz w:val="25"/>
          <w:szCs w:val="25"/>
        </w:rPr>
      </w:pPr>
      <w:r w:rsidRPr="002532DF">
        <w:rPr>
          <w:sz w:val="25"/>
          <w:szCs w:val="25"/>
        </w:rPr>
        <w:t>In rebuttal testimony, PacifiCorp at least tacitly acknowledges these circumstances, agreeing with Staff that test year results should be relied on to determine an amount of REC revenue to be reflected in the Company’s rates.</w:t>
      </w:r>
      <w:r w:rsidRPr="002532DF">
        <w:rPr>
          <w:rStyle w:val="FootnoteReference"/>
          <w:sz w:val="25"/>
          <w:szCs w:val="25"/>
        </w:rPr>
        <w:footnoteReference w:id="287"/>
      </w:r>
      <w:r w:rsidR="00431D5F" w:rsidRPr="002532DF">
        <w:rPr>
          <w:sz w:val="25"/>
          <w:szCs w:val="25"/>
        </w:rPr>
        <w:t xml:space="preserve">  PacifiCorp proposed on rebuttal to reduce the Washington revenue requirement approximately $5.0 million, based on REC revenues of approximately $4.8 million.  Staff had proposed reflecting somewhat less, about $4.2 million, but agreed </w:t>
      </w:r>
      <w:r w:rsidR="00455A70" w:rsidRPr="002532DF">
        <w:rPr>
          <w:sz w:val="25"/>
          <w:szCs w:val="25"/>
        </w:rPr>
        <w:t>in its</w:t>
      </w:r>
      <w:r w:rsidR="00431D5F" w:rsidRPr="002532DF">
        <w:rPr>
          <w:sz w:val="25"/>
          <w:szCs w:val="25"/>
        </w:rPr>
        <w:t xml:space="preserve"> brief with the Company’s figure.</w:t>
      </w:r>
      <w:r w:rsidR="00431D5F" w:rsidRPr="002532DF">
        <w:rPr>
          <w:rStyle w:val="FootnoteReference"/>
          <w:sz w:val="25"/>
          <w:szCs w:val="25"/>
        </w:rPr>
        <w:footnoteReference w:id="288"/>
      </w:r>
      <w:r w:rsidR="00431D5F" w:rsidRPr="002532DF">
        <w:rPr>
          <w:sz w:val="25"/>
          <w:szCs w:val="25"/>
        </w:rPr>
        <w:t xml:space="preserve">  ICNU’s initially pro</w:t>
      </w:r>
      <w:r w:rsidR="004809A3" w:rsidRPr="002532DF">
        <w:rPr>
          <w:sz w:val="25"/>
          <w:szCs w:val="25"/>
        </w:rPr>
        <w:t>p</w:t>
      </w:r>
      <w:r w:rsidR="00431D5F" w:rsidRPr="002532DF">
        <w:rPr>
          <w:sz w:val="25"/>
          <w:szCs w:val="25"/>
        </w:rPr>
        <w:t>osed adjustment is in line with the amount to which PacifiCorp and Staff agree.</w:t>
      </w:r>
      <w:r w:rsidR="004809A3" w:rsidRPr="002532DF">
        <w:rPr>
          <w:rStyle w:val="FootnoteReference"/>
          <w:sz w:val="25"/>
          <w:szCs w:val="25"/>
        </w:rPr>
        <w:footnoteReference w:id="289"/>
      </w:r>
      <w:r w:rsidR="00431D5F" w:rsidRPr="002532DF">
        <w:rPr>
          <w:sz w:val="25"/>
          <w:szCs w:val="25"/>
        </w:rPr>
        <w:t xml:space="preserve">  </w:t>
      </w:r>
    </w:p>
    <w:p w:rsidR="00F42AC9" w:rsidRPr="002532DF" w:rsidRDefault="00F42AC9">
      <w:pPr>
        <w:spacing w:line="276" w:lineRule="auto"/>
        <w:ind w:left="-720"/>
        <w:rPr>
          <w:sz w:val="25"/>
          <w:szCs w:val="25"/>
        </w:rPr>
      </w:pPr>
    </w:p>
    <w:p w:rsidR="00B34FB2" w:rsidRPr="002532DF" w:rsidRDefault="00BA753B" w:rsidP="00AD0B90">
      <w:pPr>
        <w:numPr>
          <w:ilvl w:val="0"/>
          <w:numId w:val="1"/>
        </w:numPr>
        <w:tabs>
          <w:tab w:val="clear" w:pos="720"/>
          <w:tab w:val="num" w:pos="0"/>
        </w:tabs>
        <w:spacing w:line="276" w:lineRule="auto"/>
        <w:ind w:left="0"/>
        <w:rPr>
          <w:sz w:val="25"/>
          <w:szCs w:val="25"/>
        </w:rPr>
      </w:pPr>
      <w:r w:rsidRPr="002532DF">
        <w:rPr>
          <w:sz w:val="25"/>
          <w:szCs w:val="25"/>
        </w:rPr>
        <w:t xml:space="preserve">Staff also </w:t>
      </w:r>
      <w:r w:rsidR="00B34FB2" w:rsidRPr="002532DF">
        <w:rPr>
          <w:sz w:val="25"/>
          <w:szCs w:val="25"/>
        </w:rPr>
        <w:t xml:space="preserve">recommends </w:t>
      </w:r>
      <w:r w:rsidR="00876CB0" w:rsidRPr="002532DF">
        <w:rPr>
          <w:sz w:val="25"/>
          <w:szCs w:val="25"/>
        </w:rPr>
        <w:t xml:space="preserve">that </w:t>
      </w:r>
      <w:r w:rsidR="00B34FB2" w:rsidRPr="002532DF">
        <w:rPr>
          <w:sz w:val="25"/>
          <w:szCs w:val="25"/>
        </w:rPr>
        <w:t xml:space="preserve">the Commission order PacifiCorp to record as a regulatory liability all </w:t>
      </w:r>
      <w:r w:rsidR="000171A8" w:rsidRPr="002532DF">
        <w:rPr>
          <w:sz w:val="25"/>
          <w:szCs w:val="25"/>
        </w:rPr>
        <w:t>REC</w:t>
      </w:r>
      <w:r w:rsidR="00B34FB2" w:rsidRPr="002532DF">
        <w:rPr>
          <w:sz w:val="25"/>
          <w:szCs w:val="25"/>
        </w:rPr>
        <w:t xml:space="preserve"> revenues from January 1, 2010, forward</w:t>
      </w:r>
      <w:r w:rsidR="00876CB0" w:rsidRPr="002532DF">
        <w:rPr>
          <w:sz w:val="25"/>
          <w:szCs w:val="25"/>
        </w:rPr>
        <w:t>.</w:t>
      </w:r>
      <w:r w:rsidR="00876CB0" w:rsidRPr="002532DF">
        <w:rPr>
          <w:rStyle w:val="FootnoteReference"/>
          <w:sz w:val="25"/>
          <w:szCs w:val="25"/>
        </w:rPr>
        <w:footnoteReference w:id="290"/>
      </w:r>
      <w:r w:rsidR="00B34FB2" w:rsidRPr="002532DF">
        <w:rPr>
          <w:sz w:val="25"/>
          <w:szCs w:val="25"/>
        </w:rPr>
        <w:t xml:space="preserve"> </w:t>
      </w:r>
      <w:r w:rsidR="00583C8C">
        <w:rPr>
          <w:sz w:val="25"/>
          <w:szCs w:val="25"/>
        </w:rPr>
        <w:t xml:space="preserve"> </w:t>
      </w:r>
      <w:r w:rsidR="00B34FB2" w:rsidRPr="002532DF">
        <w:rPr>
          <w:sz w:val="25"/>
          <w:szCs w:val="25"/>
        </w:rPr>
        <w:t>Staff recommends that the Commission address the ratemaking treatment of the deferred revenues in future general rate cases.</w:t>
      </w:r>
      <w:r w:rsidR="00B34FB2" w:rsidRPr="002532DF">
        <w:rPr>
          <w:rStyle w:val="FootnoteReference"/>
          <w:sz w:val="25"/>
          <w:szCs w:val="25"/>
        </w:rPr>
        <w:footnoteReference w:id="291"/>
      </w:r>
      <w:r w:rsidR="00B34FB2" w:rsidRPr="002532DF">
        <w:rPr>
          <w:sz w:val="25"/>
          <w:szCs w:val="25"/>
        </w:rPr>
        <w:t xml:space="preserve">    </w:t>
      </w:r>
    </w:p>
    <w:p w:rsidR="00B34FB2" w:rsidRPr="002532DF" w:rsidRDefault="00B34FB2" w:rsidP="00817E21">
      <w:pPr>
        <w:pStyle w:val="NoSpacing"/>
        <w:spacing w:line="276" w:lineRule="auto"/>
        <w:rPr>
          <w:sz w:val="25"/>
          <w:szCs w:val="25"/>
        </w:rPr>
      </w:pPr>
    </w:p>
    <w:p w:rsidR="00B34FB2" w:rsidRDefault="00B34FB2" w:rsidP="00AD0B90">
      <w:pPr>
        <w:numPr>
          <w:ilvl w:val="0"/>
          <w:numId w:val="1"/>
        </w:numPr>
        <w:tabs>
          <w:tab w:val="clear" w:pos="720"/>
          <w:tab w:val="num" w:pos="0"/>
        </w:tabs>
        <w:spacing w:line="276" w:lineRule="auto"/>
        <w:ind w:left="0"/>
        <w:rPr>
          <w:color w:val="000000"/>
          <w:sz w:val="25"/>
          <w:szCs w:val="25"/>
        </w:rPr>
      </w:pPr>
      <w:r w:rsidRPr="002532DF">
        <w:rPr>
          <w:color w:val="000000"/>
          <w:sz w:val="25"/>
          <w:szCs w:val="25"/>
        </w:rPr>
        <w:t>The Company c</w:t>
      </w:r>
      <w:r w:rsidR="00876CB0" w:rsidRPr="002532DF">
        <w:rPr>
          <w:color w:val="000000"/>
          <w:sz w:val="25"/>
          <w:szCs w:val="25"/>
        </w:rPr>
        <w:t>riticizes</w:t>
      </w:r>
      <w:r w:rsidRPr="002532DF">
        <w:rPr>
          <w:color w:val="000000"/>
          <w:sz w:val="25"/>
          <w:szCs w:val="25"/>
        </w:rPr>
        <w:t xml:space="preserve"> Staff’s </w:t>
      </w:r>
      <w:r w:rsidR="00B20C27" w:rsidRPr="002532DF">
        <w:rPr>
          <w:color w:val="000000"/>
          <w:sz w:val="25"/>
          <w:szCs w:val="25"/>
        </w:rPr>
        <w:t xml:space="preserve">proposal to establish a regulatory liability account effective January 1, 2010, </w:t>
      </w:r>
      <w:r w:rsidR="00876CB0" w:rsidRPr="002532DF">
        <w:rPr>
          <w:color w:val="000000"/>
          <w:sz w:val="25"/>
          <w:szCs w:val="25"/>
        </w:rPr>
        <w:t xml:space="preserve">and characterizes it </w:t>
      </w:r>
      <w:r w:rsidRPr="002532DF">
        <w:rPr>
          <w:color w:val="000000"/>
          <w:sz w:val="25"/>
          <w:szCs w:val="25"/>
        </w:rPr>
        <w:t>as retroactive ratemaking.</w:t>
      </w:r>
      <w:r w:rsidRPr="002532DF">
        <w:rPr>
          <w:rStyle w:val="FootnoteReference"/>
          <w:color w:val="000000"/>
          <w:sz w:val="25"/>
          <w:szCs w:val="25"/>
        </w:rPr>
        <w:footnoteReference w:id="292"/>
      </w:r>
      <w:r w:rsidRPr="002532DF">
        <w:rPr>
          <w:color w:val="000000"/>
          <w:sz w:val="25"/>
          <w:szCs w:val="25"/>
        </w:rPr>
        <w:t xml:space="preserve">  The Company </w:t>
      </w:r>
      <w:r w:rsidR="00BA753B" w:rsidRPr="002532DF">
        <w:rPr>
          <w:color w:val="000000"/>
          <w:sz w:val="25"/>
          <w:szCs w:val="25"/>
        </w:rPr>
        <w:t xml:space="preserve">also </w:t>
      </w:r>
      <w:r w:rsidRPr="002532DF">
        <w:rPr>
          <w:color w:val="000000"/>
          <w:sz w:val="25"/>
          <w:szCs w:val="25"/>
        </w:rPr>
        <w:t xml:space="preserve">objects </w:t>
      </w:r>
      <w:r w:rsidR="00BA753B" w:rsidRPr="002532DF">
        <w:rPr>
          <w:color w:val="000000"/>
          <w:sz w:val="25"/>
          <w:szCs w:val="25"/>
        </w:rPr>
        <w:t>that such treatment would result in double-counting the REC revenues and violation of the matching principle.</w:t>
      </w:r>
      <w:r w:rsidRPr="002532DF">
        <w:rPr>
          <w:rStyle w:val="FootnoteReference"/>
          <w:color w:val="000000"/>
          <w:sz w:val="25"/>
          <w:szCs w:val="25"/>
        </w:rPr>
        <w:footnoteReference w:id="293"/>
      </w:r>
    </w:p>
    <w:p w:rsidR="0086728B" w:rsidRPr="002532DF" w:rsidRDefault="0086728B" w:rsidP="00E77D4E">
      <w:pPr>
        <w:spacing w:line="276" w:lineRule="auto"/>
        <w:ind w:left="-720"/>
        <w:rPr>
          <w:color w:val="000000"/>
          <w:sz w:val="25"/>
          <w:szCs w:val="25"/>
        </w:rPr>
      </w:pPr>
    </w:p>
    <w:p w:rsidR="00BA753B" w:rsidRPr="002532DF" w:rsidRDefault="00BA753B" w:rsidP="00AD0B90">
      <w:pPr>
        <w:numPr>
          <w:ilvl w:val="0"/>
          <w:numId w:val="1"/>
        </w:numPr>
        <w:tabs>
          <w:tab w:val="clear" w:pos="720"/>
          <w:tab w:val="num" w:pos="0"/>
        </w:tabs>
        <w:spacing w:line="276" w:lineRule="auto"/>
        <w:ind w:left="0"/>
        <w:rPr>
          <w:color w:val="000000"/>
          <w:sz w:val="25"/>
          <w:szCs w:val="25"/>
        </w:rPr>
      </w:pPr>
      <w:r w:rsidRPr="002532DF">
        <w:rPr>
          <w:i/>
          <w:color w:val="000000"/>
          <w:sz w:val="25"/>
          <w:szCs w:val="25"/>
        </w:rPr>
        <w:t xml:space="preserve">Commission Decision.  </w:t>
      </w:r>
      <w:r w:rsidRPr="002532DF">
        <w:rPr>
          <w:color w:val="000000"/>
          <w:sz w:val="25"/>
          <w:szCs w:val="25"/>
        </w:rPr>
        <w:t>The Commission considered the appropriate accounting and rate treatment for RECs for the first time in a proceeding concluded less than one year ago.</w:t>
      </w:r>
      <w:r w:rsidRPr="002532DF">
        <w:rPr>
          <w:rStyle w:val="FootnoteReference"/>
          <w:color w:val="000000"/>
          <w:sz w:val="25"/>
          <w:szCs w:val="25"/>
        </w:rPr>
        <w:footnoteReference w:id="294"/>
      </w:r>
      <w:r w:rsidR="00FC1651" w:rsidRPr="002532DF">
        <w:rPr>
          <w:color w:val="000000"/>
          <w:sz w:val="25"/>
          <w:szCs w:val="25"/>
        </w:rPr>
        <w:t xml:space="preserve">  This proceeding is only the second occasion upon which such issues have been raised for determination in a litigated case.</w:t>
      </w:r>
      <w:r w:rsidR="00FC1651" w:rsidRPr="002532DF">
        <w:rPr>
          <w:rStyle w:val="FootnoteReference"/>
          <w:color w:val="000000"/>
          <w:sz w:val="25"/>
          <w:szCs w:val="25"/>
        </w:rPr>
        <w:footnoteReference w:id="295"/>
      </w:r>
      <w:r w:rsidR="00FC1651" w:rsidRPr="002532DF">
        <w:rPr>
          <w:color w:val="000000"/>
          <w:sz w:val="25"/>
          <w:szCs w:val="25"/>
        </w:rPr>
        <w:t xml:space="preserve">  In the prior contested case, the </w:t>
      </w:r>
      <w:r w:rsidR="00365C58" w:rsidRPr="002532DF">
        <w:rPr>
          <w:color w:val="000000"/>
          <w:sz w:val="25"/>
          <w:szCs w:val="25"/>
        </w:rPr>
        <w:t>Commission</w:t>
      </w:r>
      <w:r w:rsidR="00FC1651" w:rsidRPr="002532DF">
        <w:rPr>
          <w:color w:val="000000"/>
          <w:sz w:val="25"/>
          <w:szCs w:val="25"/>
        </w:rPr>
        <w:t xml:space="preserve"> determined fundamentally that the REC benefits should go to all of PSE’s retail ratepayers because they are the ones burdened with the responsibility of paying rates sufficient for the Company to recover all of the costs of the resources that generate the RECs, including a reasonable return on the Company’s investment.</w:t>
      </w:r>
    </w:p>
    <w:p w:rsidR="00F42AC9" w:rsidRPr="002532DF" w:rsidRDefault="00F42AC9">
      <w:pPr>
        <w:spacing w:line="276" w:lineRule="auto"/>
        <w:ind w:left="-720"/>
        <w:rPr>
          <w:color w:val="000000"/>
          <w:sz w:val="25"/>
          <w:szCs w:val="25"/>
        </w:rPr>
      </w:pPr>
    </w:p>
    <w:p w:rsidR="00FC1651" w:rsidRPr="002532DF" w:rsidRDefault="00FC1651" w:rsidP="00AD0B90">
      <w:pPr>
        <w:numPr>
          <w:ilvl w:val="0"/>
          <w:numId w:val="1"/>
        </w:numPr>
        <w:tabs>
          <w:tab w:val="clear" w:pos="720"/>
          <w:tab w:val="num" w:pos="0"/>
        </w:tabs>
        <w:spacing w:line="276" w:lineRule="auto"/>
        <w:ind w:left="0"/>
        <w:rPr>
          <w:color w:val="000000"/>
          <w:sz w:val="25"/>
          <w:szCs w:val="25"/>
        </w:rPr>
      </w:pPr>
      <w:r w:rsidRPr="002532DF">
        <w:rPr>
          <w:color w:val="000000"/>
          <w:sz w:val="25"/>
          <w:szCs w:val="25"/>
        </w:rPr>
        <w:t>Beyond that fundamental determination, to which we adhere in this proceeding, questions concerning the proper accounting and rate treatment for REC proceeds proved challenging in the PSE docket.  Indeed, it was not until Commission action on petitions for reconsideration</w:t>
      </w:r>
      <w:r w:rsidRPr="002532DF">
        <w:rPr>
          <w:rStyle w:val="FootnoteReference"/>
          <w:color w:val="000000"/>
          <w:sz w:val="25"/>
          <w:szCs w:val="25"/>
        </w:rPr>
        <w:footnoteReference w:id="296"/>
      </w:r>
      <w:r w:rsidRPr="002532DF">
        <w:rPr>
          <w:color w:val="000000"/>
          <w:sz w:val="25"/>
          <w:szCs w:val="25"/>
        </w:rPr>
        <w:t xml:space="preserve"> and on a joint proposal by the parties expressly invited by the Commission,</w:t>
      </w:r>
      <w:r w:rsidRPr="002532DF">
        <w:rPr>
          <w:rStyle w:val="FootnoteReference"/>
          <w:color w:val="000000"/>
          <w:sz w:val="25"/>
          <w:szCs w:val="25"/>
        </w:rPr>
        <w:footnoteReference w:id="297"/>
      </w:r>
      <w:r w:rsidR="00646B9C" w:rsidRPr="002532DF">
        <w:rPr>
          <w:color w:val="000000"/>
          <w:sz w:val="25"/>
          <w:szCs w:val="25"/>
        </w:rPr>
        <w:t xml:space="preserve"> that these questions were fully resolved.</w:t>
      </w:r>
    </w:p>
    <w:p w:rsidR="00F42AC9" w:rsidRPr="002532DF" w:rsidRDefault="00F42AC9">
      <w:pPr>
        <w:spacing w:line="276" w:lineRule="auto"/>
        <w:ind w:left="-720"/>
        <w:rPr>
          <w:color w:val="000000"/>
          <w:sz w:val="25"/>
          <w:szCs w:val="25"/>
        </w:rPr>
      </w:pPr>
    </w:p>
    <w:p w:rsidR="00646B9C" w:rsidRPr="002532DF" w:rsidRDefault="00646B9C" w:rsidP="00AD0B90">
      <w:pPr>
        <w:numPr>
          <w:ilvl w:val="0"/>
          <w:numId w:val="1"/>
        </w:numPr>
        <w:tabs>
          <w:tab w:val="clear" w:pos="720"/>
          <w:tab w:val="num" w:pos="0"/>
        </w:tabs>
        <w:spacing w:line="276" w:lineRule="auto"/>
        <w:ind w:left="0"/>
        <w:rPr>
          <w:color w:val="000000"/>
          <w:sz w:val="25"/>
          <w:szCs w:val="25"/>
        </w:rPr>
      </w:pPr>
      <w:r w:rsidRPr="002532DF">
        <w:rPr>
          <w:color w:val="000000"/>
          <w:sz w:val="25"/>
          <w:szCs w:val="25"/>
        </w:rPr>
        <w:t xml:space="preserve">The Commission finds again in this case that neither the record nor the </w:t>
      </w:r>
      <w:r w:rsidR="00455A70" w:rsidRPr="002532DF">
        <w:rPr>
          <w:color w:val="000000"/>
          <w:sz w:val="25"/>
          <w:szCs w:val="25"/>
        </w:rPr>
        <w:t>briefing on legal issues</w:t>
      </w:r>
      <w:r w:rsidRPr="002532DF">
        <w:rPr>
          <w:color w:val="000000"/>
          <w:sz w:val="25"/>
          <w:szCs w:val="25"/>
        </w:rPr>
        <w:t xml:space="preserve"> is fully sufficient to make all necessary determinations concerning the </w:t>
      </w:r>
      <w:r w:rsidR="00365C58" w:rsidRPr="002532DF">
        <w:rPr>
          <w:color w:val="000000"/>
          <w:sz w:val="25"/>
          <w:szCs w:val="25"/>
        </w:rPr>
        <w:t>amount</w:t>
      </w:r>
      <w:r w:rsidRPr="002532DF">
        <w:rPr>
          <w:color w:val="000000"/>
          <w:sz w:val="25"/>
          <w:szCs w:val="25"/>
        </w:rPr>
        <w:t xml:space="preserve"> of RECs that should be returned to customers, various accounting issues, and the </w:t>
      </w:r>
      <w:r w:rsidR="00365C58" w:rsidRPr="002532DF">
        <w:rPr>
          <w:color w:val="000000"/>
          <w:sz w:val="25"/>
          <w:szCs w:val="25"/>
        </w:rPr>
        <w:t>precise</w:t>
      </w:r>
      <w:r w:rsidRPr="002532DF">
        <w:rPr>
          <w:color w:val="000000"/>
          <w:sz w:val="25"/>
          <w:szCs w:val="25"/>
        </w:rPr>
        <w:t xml:space="preserve"> rate treatment that should be afforded REC proceeds received by PacifiCorp.  </w:t>
      </w:r>
      <w:r w:rsidR="00455A70" w:rsidRPr="002532DF">
        <w:rPr>
          <w:color w:val="000000"/>
          <w:sz w:val="25"/>
          <w:szCs w:val="25"/>
        </w:rPr>
        <w:t>A</w:t>
      </w:r>
      <w:r w:rsidRPr="002532DF">
        <w:rPr>
          <w:color w:val="000000"/>
          <w:sz w:val="25"/>
          <w:szCs w:val="25"/>
        </w:rPr>
        <w:t xml:space="preserve">ccordingly </w:t>
      </w:r>
      <w:r w:rsidR="00455A70" w:rsidRPr="002532DF">
        <w:rPr>
          <w:color w:val="000000"/>
          <w:sz w:val="25"/>
          <w:szCs w:val="25"/>
        </w:rPr>
        <w:t xml:space="preserve">we </w:t>
      </w:r>
      <w:r w:rsidRPr="002532DF">
        <w:rPr>
          <w:color w:val="000000"/>
          <w:sz w:val="25"/>
          <w:szCs w:val="25"/>
        </w:rPr>
        <w:t xml:space="preserve">will make in this Order only fundamental </w:t>
      </w:r>
      <w:r w:rsidR="00365C58" w:rsidRPr="002532DF">
        <w:rPr>
          <w:color w:val="000000"/>
          <w:sz w:val="25"/>
          <w:szCs w:val="25"/>
        </w:rPr>
        <w:t>determinations</w:t>
      </w:r>
      <w:r w:rsidRPr="002532DF">
        <w:rPr>
          <w:color w:val="000000"/>
          <w:sz w:val="25"/>
          <w:szCs w:val="25"/>
        </w:rPr>
        <w:t xml:space="preserve"> concerning the treatment of REC proceeds.  We also will provide some guidance to the parties while requiring further briefing and alternative or agreed proposals concerning certain matters, so that we can fully determine the details </w:t>
      </w:r>
      <w:r w:rsidR="00365C58" w:rsidRPr="002532DF">
        <w:rPr>
          <w:color w:val="000000"/>
          <w:sz w:val="25"/>
          <w:szCs w:val="25"/>
        </w:rPr>
        <w:t>of</w:t>
      </w:r>
      <w:r w:rsidRPr="002532DF">
        <w:rPr>
          <w:color w:val="000000"/>
          <w:sz w:val="25"/>
          <w:szCs w:val="25"/>
        </w:rPr>
        <w:t xml:space="preserve"> how PacifiCorp will be required to treat REC revenues in terms of account and rates.</w:t>
      </w:r>
    </w:p>
    <w:p w:rsidR="00F42AC9" w:rsidRPr="002532DF" w:rsidRDefault="00F42AC9">
      <w:pPr>
        <w:spacing w:line="276" w:lineRule="auto"/>
        <w:ind w:left="-720"/>
        <w:rPr>
          <w:color w:val="000000"/>
          <w:sz w:val="25"/>
          <w:szCs w:val="25"/>
        </w:rPr>
      </w:pPr>
    </w:p>
    <w:p w:rsidR="00646B9C" w:rsidRPr="002532DF" w:rsidRDefault="00646B9C" w:rsidP="00AD0B90">
      <w:pPr>
        <w:numPr>
          <w:ilvl w:val="0"/>
          <w:numId w:val="1"/>
        </w:numPr>
        <w:tabs>
          <w:tab w:val="clear" w:pos="720"/>
          <w:tab w:val="num" w:pos="0"/>
        </w:tabs>
        <w:spacing w:line="276" w:lineRule="auto"/>
        <w:ind w:left="0"/>
        <w:rPr>
          <w:color w:val="000000"/>
          <w:sz w:val="25"/>
          <w:szCs w:val="25"/>
        </w:rPr>
      </w:pPr>
      <w:r w:rsidRPr="002532DF">
        <w:rPr>
          <w:color w:val="000000"/>
          <w:sz w:val="25"/>
          <w:szCs w:val="25"/>
        </w:rPr>
        <w:t>As previously indicated, we adhere in this proceeding to the basic principles discussed in Order 03 in Docket UE-070725 that require the proceeds derived fro</w:t>
      </w:r>
      <w:r w:rsidR="00365C58" w:rsidRPr="002532DF">
        <w:rPr>
          <w:color w:val="000000"/>
          <w:sz w:val="25"/>
          <w:szCs w:val="25"/>
        </w:rPr>
        <w:t>m</w:t>
      </w:r>
      <w:r w:rsidRPr="002532DF">
        <w:rPr>
          <w:color w:val="000000"/>
          <w:sz w:val="25"/>
          <w:szCs w:val="25"/>
        </w:rPr>
        <w:t xml:space="preserve"> the sale of RECs to be returned to customers.  In this proceeding, we determine further that these proceedings should be returned in the form of bill credits, identified separately on customers’ monthly bills.</w:t>
      </w:r>
    </w:p>
    <w:p w:rsidR="00F42AC9" w:rsidRPr="002532DF" w:rsidRDefault="00F42AC9">
      <w:pPr>
        <w:spacing w:line="276" w:lineRule="auto"/>
        <w:ind w:left="-720"/>
        <w:rPr>
          <w:color w:val="000000"/>
          <w:sz w:val="25"/>
          <w:szCs w:val="25"/>
        </w:rPr>
      </w:pPr>
    </w:p>
    <w:p w:rsidR="00646B9C" w:rsidRPr="002532DF" w:rsidRDefault="00646B9C" w:rsidP="00AD0B90">
      <w:pPr>
        <w:numPr>
          <w:ilvl w:val="0"/>
          <w:numId w:val="1"/>
        </w:numPr>
        <w:tabs>
          <w:tab w:val="clear" w:pos="720"/>
          <w:tab w:val="num" w:pos="0"/>
        </w:tabs>
        <w:spacing w:line="276" w:lineRule="auto"/>
        <w:ind w:left="0"/>
        <w:rPr>
          <w:color w:val="000000"/>
          <w:sz w:val="25"/>
          <w:szCs w:val="25"/>
        </w:rPr>
      </w:pPr>
      <w:r w:rsidRPr="002532DF">
        <w:rPr>
          <w:color w:val="000000"/>
          <w:sz w:val="25"/>
          <w:szCs w:val="25"/>
        </w:rPr>
        <w:t xml:space="preserve">Since, in our view, questions remain concerning the timing and amounts on which PacifiCorp’s REC proceeds should be based for the test, post-test, and rate periods implicated </w:t>
      </w:r>
      <w:r w:rsidR="00455A70" w:rsidRPr="002532DF">
        <w:rPr>
          <w:color w:val="000000"/>
          <w:sz w:val="25"/>
          <w:szCs w:val="25"/>
        </w:rPr>
        <w:t>b</w:t>
      </w:r>
      <w:r w:rsidRPr="002532DF">
        <w:rPr>
          <w:color w:val="000000"/>
          <w:sz w:val="25"/>
          <w:szCs w:val="25"/>
        </w:rPr>
        <w:t xml:space="preserve">y this case, we will require PacifiCorp to </w:t>
      </w:r>
      <w:r w:rsidR="00365C58" w:rsidRPr="002532DF">
        <w:rPr>
          <w:color w:val="000000"/>
          <w:sz w:val="25"/>
          <w:szCs w:val="25"/>
        </w:rPr>
        <w:t>establish</w:t>
      </w:r>
      <w:r w:rsidRPr="002532DF">
        <w:rPr>
          <w:color w:val="000000"/>
          <w:sz w:val="25"/>
          <w:szCs w:val="25"/>
        </w:rPr>
        <w:t xml:space="preserve"> a separate tracking account for all REC proceeds received beginning January 1, 2009 (</w:t>
      </w:r>
      <w:r w:rsidRPr="002532DF">
        <w:rPr>
          <w:i/>
          <w:color w:val="000000"/>
          <w:sz w:val="25"/>
          <w:szCs w:val="25"/>
        </w:rPr>
        <w:t xml:space="preserve">i.e. </w:t>
      </w:r>
      <w:r w:rsidRPr="002532DF">
        <w:rPr>
          <w:color w:val="000000"/>
          <w:sz w:val="25"/>
          <w:szCs w:val="25"/>
        </w:rPr>
        <w:t xml:space="preserve">the beginning of the test year) and continuing through the rate </w:t>
      </w:r>
      <w:r w:rsidR="00365C58" w:rsidRPr="002532DF">
        <w:rPr>
          <w:color w:val="000000"/>
          <w:sz w:val="25"/>
          <w:szCs w:val="25"/>
        </w:rPr>
        <w:t>year</w:t>
      </w:r>
      <w:r w:rsidRPr="002532DF">
        <w:rPr>
          <w:color w:val="000000"/>
          <w:sz w:val="25"/>
          <w:szCs w:val="25"/>
        </w:rPr>
        <w:t xml:space="preserve"> (</w:t>
      </w:r>
      <w:r w:rsidRPr="002532DF">
        <w:rPr>
          <w:i/>
          <w:color w:val="000000"/>
          <w:sz w:val="25"/>
          <w:szCs w:val="25"/>
        </w:rPr>
        <w:t xml:space="preserve">i.e. </w:t>
      </w:r>
      <w:r w:rsidR="009D3D37" w:rsidRPr="002532DF">
        <w:rPr>
          <w:color w:val="000000"/>
          <w:sz w:val="25"/>
          <w:szCs w:val="25"/>
        </w:rPr>
        <w:t>until 12 months from the effective date of rates following approval of PacifiCorp’s compliance filing in this docket</w:t>
      </w:r>
      <w:r w:rsidR="00766CCD">
        <w:rPr>
          <w:color w:val="000000"/>
          <w:sz w:val="25"/>
          <w:szCs w:val="25"/>
        </w:rPr>
        <w:t>)</w:t>
      </w:r>
      <w:r w:rsidR="009D3D37" w:rsidRPr="002532DF">
        <w:rPr>
          <w:color w:val="000000"/>
          <w:sz w:val="25"/>
          <w:szCs w:val="25"/>
        </w:rPr>
        <w:t>.  We also will require PacifiCorp to maintain the tracking account for subsequent periods.</w:t>
      </w:r>
    </w:p>
    <w:p w:rsidR="00F42AC9" w:rsidRPr="002532DF" w:rsidRDefault="00F42AC9">
      <w:pPr>
        <w:spacing w:line="276" w:lineRule="auto"/>
        <w:ind w:left="-720"/>
        <w:rPr>
          <w:color w:val="000000"/>
          <w:sz w:val="25"/>
          <w:szCs w:val="25"/>
        </w:rPr>
      </w:pPr>
    </w:p>
    <w:p w:rsidR="00A9318F" w:rsidRPr="002532DF" w:rsidRDefault="00365C58" w:rsidP="00AD0B90">
      <w:pPr>
        <w:numPr>
          <w:ilvl w:val="0"/>
          <w:numId w:val="1"/>
        </w:numPr>
        <w:tabs>
          <w:tab w:val="clear" w:pos="720"/>
          <w:tab w:val="num" w:pos="0"/>
        </w:tabs>
        <w:spacing w:line="276" w:lineRule="auto"/>
        <w:ind w:left="0"/>
        <w:rPr>
          <w:color w:val="000000"/>
          <w:sz w:val="25"/>
          <w:szCs w:val="25"/>
        </w:rPr>
      </w:pPr>
      <w:r w:rsidRPr="002532DF">
        <w:rPr>
          <w:color w:val="000000"/>
          <w:sz w:val="25"/>
          <w:szCs w:val="25"/>
        </w:rPr>
        <w:t>In order to initiate the bill credit to customers coincident with the increase in rates they will experience based on our other determinations in this proceeding, we will accept for purposes of establishing 2011 credits the amount of REC revenues to which Staff and PacifiCorp agree, approximately $4.8 million.</w:t>
      </w:r>
      <w:r w:rsidRPr="002532DF">
        <w:rPr>
          <w:rStyle w:val="FootnoteReference"/>
          <w:color w:val="000000"/>
          <w:sz w:val="25"/>
          <w:szCs w:val="25"/>
        </w:rPr>
        <w:footnoteReference w:id="298"/>
      </w:r>
      <w:r w:rsidRPr="002532DF">
        <w:rPr>
          <w:color w:val="000000"/>
          <w:sz w:val="25"/>
          <w:szCs w:val="25"/>
        </w:rPr>
        <w:t xml:space="preserve">  </w:t>
      </w:r>
      <w:r w:rsidR="00A9318F" w:rsidRPr="002532DF">
        <w:rPr>
          <w:color w:val="000000"/>
          <w:sz w:val="25"/>
          <w:szCs w:val="25"/>
        </w:rPr>
        <w:t xml:space="preserve">This amount will be returned to ratepayers in 12 monthly credits in the same manner in which </w:t>
      </w:r>
      <w:r w:rsidRPr="002532DF">
        <w:rPr>
          <w:color w:val="000000"/>
          <w:sz w:val="25"/>
          <w:szCs w:val="25"/>
        </w:rPr>
        <w:t>rate</w:t>
      </w:r>
      <w:r w:rsidR="00A9318F" w:rsidRPr="002532DF">
        <w:rPr>
          <w:color w:val="000000"/>
          <w:sz w:val="25"/>
          <w:szCs w:val="25"/>
        </w:rPr>
        <w:t xml:space="preserve"> classes are assigned cost responsibility for the generation resources that produce REC revenue.</w:t>
      </w:r>
    </w:p>
    <w:p w:rsidR="00F42AC9" w:rsidRPr="002532DF" w:rsidRDefault="00F42AC9">
      <w:pPr>
        <w:spacing w:line="276" w:lineRule="auto"/>
        <w:ind w:left="-720"/>
        <w:rPr>
          <w:color w:val="000000"/>
          <w:sz w:val="25"/>
          <w:szCs w:val="25"/>
        </w:rPr>
      </w:pPr>
    </w:p>
    <w:p w:rsidR="00A9318F" w:rsidRPr="002532DF" w:rsidRDefault="00A9318F" w:rsidP="00AD0B90">
      <w:pPr>
        <w:numPr>
          <w:ilvl w:val="0"/>
          <w:numId w:val="1"/>
        </w:numPr>
        <w:tabs>
          <w:tab w:val="clear" w:pos="720"/>
          <w:tab w:val="num" w:pos="0"/>
        </w:tabs>
        <w:spacing w:line="276" w:lineRule="auto"/>
        <w:ind w:left="0"/>
        <w:rPr>
          <w:color w:val="000000"/>
          <w:sz w:val="25"/>
          <w:szCs w:val="25"/>
        </w:rPr>
      </w:pPr>
      <w:r w:rsidRPr="002532DF">
        <w:rPr>
          <w:color w:val="000000"/>
          <w:sz w:val="25"/>
          <w:szCs w:val="25"/>
        </w:rPr>
        <w:t>At the end of the rate y</w:t>
      </w:r>
      <w:r w:rsidR="008028DF" w:rsidRPr="002532DF">
        <w:rPr>
          <w:color w:val="000000"/>
          <w:sz w:val="25"/>
          <w:szCs w:val="25"/>
        </w:rPr>
        <w:t>e</w:t>
      </w:r>
      <w:r w:rsidRPr="002532DF">
        <w:rPr>
          <w:color w:val="000000"/>
          <w:sz w:val="25"/>
          <w:szCs w:val="25"/>
        </w:rPr>
        <w:t xml:space="preserve">ar, PacifiCorp will be required to submit a full accounting of REC proceeds actually received during the preceding 12 months.  This accounting will be considered in light of other information to determine if the amount of credits that should have been returned to customers exceeds or fall </w:t>
      </w:r>
      <w:r w:rsidR="00365C58" w:rsidRPr="002532DF">
        <w:rPr>
          <w:color w:val="000000"/>
          <w:sz w:val="25"/>
          <w:szCs w:val="25"/>
        </w:rPr>
        <w:t>short</w:t>
      </w:r>
      <w:r w:rsidRPr="002532DF">
        <w:rPr>
          <w:color w:val="000000"/>
          <w:sz w:val="25"/>
          <w:szCs w:val="25"/>
        </w:rPr>
        <w:t xml:space="preserve"> of the estimated $4.8 million upon which the initial bill credits are based.  In other words, the Commission will authorize a true-up of the </w:t>
      </w:r>
      <w:r w:rsidR="00365C58" w:rsidRPr="002532DF">
        <w:rPr>
          <w:color w:val="000000"/>
          <w:sz w:val="25"/>
          <w:szCs w:val="25"/>
        </w:rPr>
        <w:t>initial</w:t>
      </w:r>
      <w:r w:rsidRPr="002532DF">
        <w:rPr>
          <w:color w:val="000000"/>
          <w:sz w:val="25"/>
          <w:szCs w:val="25"/>
        </w:rPr>
        <w:t xml:space="preserve"> credits that can be reconciled as credits are paid during the following 12 months.</w:t>
      </w:r>
    </w:p>
    <w:p w:rsidR="00F42AC9" w:rsidRPr="002532DF" w:rsidRDefault="00F42AC9">
      <w:pPr>
        <w:spacing w:line="276" w:lineRule="auto"/>
        <w:ind w:left="-720"/>
        <w:rPr>
          <w:color w:val="000000"/>
          <w:sz w:val="25"/>
          <w:szCs w:val="25"/>
        </w:rPr>
      </w:pPr>
    </w:p>
    <w:p w:rsidR="00F42AC9" w:rsidRPr="002532DF" w:rsidRDefault="00365C58">
      <w:pPr>
        <w:numPr>
          <w:ilvl w:val="0"/>
          <w:numId w:val="1"/>
        </w:numPr>
        <w:tabs>
          <w:tab w:val="clear" w:pos="720"/>
          <w:tab w:val="num" w:pos="0"/>
        </w:tabs>
        <w:spacing w:line="276" w:lineRule="auto"/>
        <w:ind w:left="0"/>
        <w:rPr>
          <w:sz w:val="25"/>
          <w:szCs w:val="25"/>
        </w:rPr>
      </w:pPr>
      <w:r w:rsidRPr="002532DF">
        <w:rPr>
          <w:color w:val="000000"/>
          <w:sz w:val="25"/>
          <w:szCs w:val="25"/>
        </w:rPr>
        <w:t xml:space="preserve">At the end of the rate year and each subsequent annual period after the end of the rate year, PacifiCorp will be required to provide an estimate of the REC proceeds its expects to receive during the following 12 months.  </w:t>
      </w:r>
      <w:r w:rsidR="00A9318F" w:rsidRPr="002532DF">
        <w:rPr>
          <w:color w:val="000000"/>
          <w:sz w:val="25"/>
          <w:szCs w:val="25"/>
        </w:rPr>
        <w:t xml:space="preserve">This is the amount on which credits during that period will be based.  As at the conclusion of the </w:t>
      </w:r>
      <w:r w:rsidRPr="002532DF">
        <w:rPr>
          <w:color w:val="000000"/>
          <w:sz w:val="25"/>
          <w:szCs w:val="25"/>
        </w:rPr>
        <w:t>initial</w:t>
      </w:r>
      <w:r w:rsidR="00A9318F" w:rsidRPr="002532DF">
        <w:rPr>
          <w:color w:val="000000"/>
          <w:sz w:val="25"/>
          <w:szCs w:val="25"/>
        </w:rPr>
        <w:t xml:space="preserve"> period there will be a true-up at the end of each subsequent 12 month period. </w:t>
      </w:r>
      <w:r w:rsidR="007A6191" w:rsidRPr="002532DF">
        <w:rPr>
          <w:sz w:val="25"/>
          <w:szCs w:val="25"/>
        </w:rPr>
        <w:t xml:space="preserve">Having stated the </w:t>
      </w:r>
      <w:r w:rsidR="008028DF" w:rsidRPr="002532DF">
        <w:rPr>
          <w:sz w:val="25"/>
          <w:szCs w:val="25"/>
        </w:rPr>
        <w:t>b</w:t>
      </w:r>
      <w:r w:rsidR="007A6191" w:rsidRPr="002532DF">
        <w:rPr>
          <w:sz w:val="25"/>
          <w:szCs w:val="25"/>
        </w:rPr>
        <w:t>asis upon which we resolve the issue for pu</w:t>
      </w:r>
      <w:r w:rsidR="00A9318F" w:rsidRPr="002532DF">
        <w:rPr>
          <w:sz w:val="25"/>
          <w:szCs w:val="25"/>
        </w:rPr>
        <w:t xml:space="preserve">rposes of setting rates and establishing credits in this proceeding, we return to our earlier discussion of the concerns we have with the state of the record on the issue of RECs.  </w:t>
      </w:r>
      <w:r w:rsidRPr="002532DF">
        <w:rPr>
          <w:sz w:val="25"/>
          <w:szCs w:val="25"/>
        </w:rPr>
        <w:t xml:space="preserve">In light of our concerns we require, as we did in Docket UE-070725, that the Company prepare and file within 60 days following the date of this Order a detailed accounting of all REC proceeds received during the period January 1, 2009, to the most recent date for which data are available.  </w:t>
      </w:r>
      <w:r w:rsidR="00A9318F" w:rsidRPr="002532DF">
        <w:rPr>
          <w:sz w:val="25"/>
          <w:szCs w:val="25"/>
        </w:rPr>
        <w:t>The report must include any updated forecast of PacifiCorp’s REC sales for the rate year.  We direct the company to work cooperatively with Commission Staff as to the form and content of this fili</w:t>
      </w:r>
      <w:r w:rsidR="008028DF" w:rsidRPr="002532DF">
        <w:rPr>
          <w:sz w:val="25"/>
          <w:szCs w:val="25"/>
        </w:rPr>
        <w:t>ng</w:t>
      </w:r>
      <w:r w:rsidR="00A9318F" w:rsidRPr="002532DF">
        <w:rPr>
          <w:sz w:val="25"/>
          <w:szCs w:val="25"/>
        </w:rPr>
        <w:t xml:space="preserve"> so that it will prove most beneficial to the Commission.</w:t>
      </w:r>
    </w:p>
    <w:p w:rsidR="008028DF" w:rsidRPr="002532DF" w:rsidRDefault="008028DF" w:rsidP="008028DF">
      <w:pPr>
        <w:spacing w:line="276" w:lineRule="auto"/>
        <w:ind w:left="-720"/>
        <w:rPr>
          <w:sz w:val="25"/>
          <w:szCs w:val="25"/>
        </w:rPr>
      </w:pPr>
    </w:p>
    <w:p w:rsidR="00F42AC9" w:rsidRPr="002532DF" w:rsidRDefault="00F67B46">
      <w:pPr>
        <w:numPr>
          <w:ilvl w:val="0"/>
          <w:numId w:val="1"/>
        </w:numPr>
        <w:tabs>
          <w:tab w:val="clear" w:pos="720"/>
          <w:tab w:val="num" w:pos="0"/>
        </w:tabs>
        <w:spacing w:line="276" w:lineRule="auto"/>
        <w:ind w:left="0"/>
        <w:rPr>
          <w:sz w:val="25"/>
          <w:szCs w:val="25"/>
        </w:rPr>
      </w:pPr>
      <w:r w:rsidRPr="002532DF">
        <w:rPr>
          <w:sz w:val="25"/>
          <w:szCs w:val="25"/>
        </w:rPr>
        <w:t xml:space="preserve">We require this detailed accounting, in part, considering the disputed question </w:t>
      </w:r>
      <w:r w:rsidR="00455A70" w:rsidRPr="002532DF">
        <w:rPr>
          <w:sz w:val="25"/>
          <w:szCs w:val="25"/>
        </w:rPr>
        <w:t>of</w:t>
      </w:r>
      <w:r w:rsidR="00C63C64" w:rsidRPr="002532DF">
        <w:rPr>
          <w:sz w:val="25"/>
          <w:szCs w:val="25"/>
        </w:rPr>
        <w:t xml:space="preserve"> </w:t>
      </w:r>
      <w:r w:rsidRPr="002532DF">
        <w:rPr>
          <w:sz w:val="25"/>
          <w:szCs w:val="25"/>
        </w:rPr>
        <w:t>whether PacifiCorp should be required to include</w:t>
      </w:r>
      <w:r w:rsidR="00455A70" w:rsidRPr="002532DF">
        <w:rPr>
          <w:sz w:val="25"/>
          <w:szCs w:val="25"/>
        </w:rPr>
        <w:t>,</w:t>
      </w:r>
      <w:r w:rsidR="00583C8C">
        <w:rPr>
          <w:sz w:val="25"/>
          <w:szCs w:val="25"/>
        </w:rPr>
        <w:t xml:space="preserve"> </w:t>
      </w:r>
      <w:r w:rsidRPr="002532DF">
        <w:rPr>
          <w:sz w:val="25"/>
          <w:szCs w:val="25"/>
        </w:rPr>
        <w:t xml:space="preserve">in what we here describe as a tracking account, REC proceeds received during periods after the test year, including those received during the pendency of this proceeding.  Staff </w:t>
      </w:r>
      <w:r w:rsidR="00365C58" w:rsidRPr="002532DF">
        <w:rPr>
          <w:sz w:val="25"/>
          <w:szCs w:val="25"/>
        </w:rPr>
        <w:t>proposed</w:t>
      </w:r>
      <w:r w:rsidRPr="002532DF">
        <w:rPr>
          <w:sz w:val="25"/>
          <w:szCs w:val="25"/>
        </w:rPr>
        <w:t xml:space="preserve"> that REC proceeds received after January 1, 2010, be accounted </w:t>
      </w:r>
      <w:r w:rsidR="00365C58" w:rsidRPr="002532DF">
        <w:rPr>
          <w:sz w:val="25"/>
          <w:szCs w:val="25"/>
        </w:rPr>
        <w:t>for</w:t>
      </w:r>
      <w:r w:rsidRPr="002532DF">
        <w:rPr>
          <w:sz w:val="25"/>
          <w:szCs w:val="25"/>
        </w:rPr>
        <w:t xml:space="preserve"> and established as a regulatory liability on </w:t>
      </w:r>
      <w:r w:rsidR="00365C58" w:rsidRPr="002532DF">
        <w:rPr>
          <w:sz w:val="25"/>
          <w:szCs w:val="25"/>
        </w:rPr>
        <w:t>the</w:t>
      </w:r>
      <w:r w:rsidRPr="002532DF">
        <w:rPr>
          <w:sz w:val="25"/>
          <w:szCs w:val="25"/>
        </w:rPr>
        <w:t xml:space="preserve"> Company’s books, the rate treatment of which </w:t>
      </w:r>
      <w:r w:rsidR="00365C58" w:rsidRPr="002532DF">
        <w:rPr>
          <w:sz w:val="25"/>
          <w:szCs w:val="25"/>
        </w:rPr>
        <w:t>could</w:t>
      </w:r>
      <w:r w:rsidRPr="002532DF">
        <w:rPr>
          <w:sz w:val="25"/>
          <w:szCs w:val="25"/>
        </w:rPr>
        <w:t xml:space="preserve"> be determined in a future proceeding.  </w:t>
      </w:r>
      <w:r w:rsidR="00365C58" w:rsidRPr="002532DF">
        <w:rPr>
          <w:sz w:val="25"/>
          <w:szCs w:val="25"/>
        </w:rPr>
        <w:t>Another</w:t>
      </w:r>
      <w:r w:rsidRPr="002532DF">
        <w:rPr>
          <w:sz w:val="25"/>
          <w:szCs w:val="25"/>
        </w:rPr>
        <w:t xml:space="preserve"> possible starting date for such an account might be the date on which PacifiCorp made its </w:t>
      </w:r>
      <w:r w:rsidR="00365C58" w:rsidRPr="002532DF">
        <w:rPr>
          <w:sz w:val="25"/>
          <w:szCs w:val="25"/>
        </w:rPr>
        <w:t>initial</w:t>
      </w:r>
      <w:r w:rsidRPr="002532DF">
        <w:rPr>
          <w:sz w:val="25"/>
          <w:szCs w:val="25"/>
        </w:rPr>
        <w:t xml:space="preserve"> filing in this proceeding, which put the rate and accounting treatment of REC revenues in issue.  Other possible </w:t>
      </w:r>
      <w:r w:rsidR="00365C58" w:rsidRPr="002532DF">
        <w:rPr>
          <w:sz w:val="25"/>
          <w:szCs w:val="25"/>
        </w:rPr>
        <w:t>dates</w:t>
      </w:r>
      <w:r w:rsidRPr="002532DF">
        <w:rPr>
          <w:sz w:val="25"/>
          <w:szCs w:val="25"/>
        </w:rPr>
        <w:t xml:space="preserve"> are conceivable, including the start of the rate </w:t>
      </w:r>
      <w:r w:rsidR="00365C58" w:rsidRPr="002532DF">
        <w:rPr>
          <w:sz w:val="25"/>
          <w:szCs w:val="25"/>
        </w:rPr>
        <w:t>year</w:t>
      </w:r>
      <w:r w:rsidRPr="002532DF">
        <w:rPr>
          <w:sz w:val="25"/>
          <w:szCs w:val="25"/>
        </w:rPr>
        <w:t xml:space="preserve">.  We do not finally resolve </w:t>
      </w:r>
      <w:r w:rsidR="00365C58" w:rsidRPr="002532DF">
        <w:rPr>
          <w:sz w:val="25"/>
          <w:szCs w:val="25"/>
        </w:rPr>
        <w:t>these</w:t>
      </w:r>
      <w:r w:rsidRPr="002532DF">
        <w:rPr>
          <w:sz w:val="25"/>
          <w:szCs w:val="25"/>
        </w:rPr>
        <w:t xml:space="preserve"> questions in this Order.  We </w:t>
      </w:r>
      <w:r w:rsidR="00365C58" w:rsidRPr="002532DF">
        <w:rPr>
          <w:sz w:val="25"/>
          <w:szCs w:val="25"/>
        </w:rPr>
        <w:t>require</w:t>
      </w:r>
      <w:r w:rsidRPr="002532DF">
        <w:rPr>
          <w:sz w:val="25"/>
          <w:szCs w:val="25"/>
        </w:rPr>
        <w:t xml:space="preserve"> </w:t>
      </w:r>
      <w:r w:rsidR="00365C58" w:rsidRPr="002532DF">
        <w:rPr>
          <w:sz w:val="25"/>
          <w:szCs w:val="25"/>
        </w:rPr>
        <w:t>additional</w:t>
      </w:r>
      <w:r w:rsidRPr="002532DF">
        <w:rPr>
          <w:sz w:val="25"/>
          <w:szCs w:val="25"/>
        </w:rPr>
        <w:t xml:space="preserve"> briefing on the subject, and may require additional evidence.  We will </w:t>
      </w:r>
      <w:r w:rsidR="00365C58" w:rsidRPr="002532DF">
        <w:rPr>
          <w:sz w:val="25"/>
          <w:szCs w:val="25"/>
        </w:rPr>
        <w:t>establish process</w:t>
      </w:r>
      <w:r w:rsidRPr="002532DF">
        <w:rPr>
          <w:sz w:val="25"/>
          <w:szCs w:val="25"/>
        </w:rPr>
        <w:t xml:space="preserve"> and schedule for this by </w:t>
      </w:r>
      <w:r w:rsidR="00365C58" w:rsidRPr="002532DF">
        <w:rPr>
          <w:sz w:val="25"/>
          <w:szCs w:val="25"/>
        </w:rPr>
        <w:t>subsequent</w:t>
      </w:r>
      <w:r w:rsidRPr="002532DF">
        <w:rPr>
          <w:sz w:val="25"/>
          <w:szCs w:val="25"/>
        </w:rPr>
        <w:t xml:space="preserve"> notice.</w:t>
      </w:r>
    </w:p>
    <w:p w:rsidR="00F42AC9" w:rsidRPr="002532DF" w:rsidRDefault="00F42AC9">
      <w:pPr>
        <w:pStyle w:val="ListParagraph"/>
        <w:rPr>
          <w:sz w:val="25"/>
          <w:szCs w:val="25"/>
        </w:rPr>
      </w:pPr>
    </w:p>
    <w:p w:rsidR="00F42AC9" w:rsidRPr="002532DF" w:rsidRDefault="008028DF">
      <w:pPr>
        <w:numPr>
          <w:ilvl w:val="0"/>
          <w:numId w:val="1"/>
        </w:numPr>
        <w:tabs>
          <w:tab w:val="clear" w:pos="720"/>
          <w:tab w:val="num" w:pos="0"/>
        </w:tabs>
        <w:spacing w:line="276" w:lineRule="auto"/>
        <w:ind w:left="0"/>
        <w:rPr>
          <w:sz w:val="25"/>
          <w:szCs w:val="25"/>
        </w:rPr>
      </w:pPr>
      <w:r w:rsidRPr="002532DF">
        <w:rPr>
          <w:sz w:val="25"/>
          <w:szCs w:val="25"/>
        </w:rPr>
        <w:t xml:space="preserve">We also require the Company to file within 60 days after the date of this </w:t>
      </w:r>
      <w:r w:rsidR="007327D3" w:rsidRPr="002532DF">
        <w:rPr>
          <w:sz w:val="25"/>
          <w:szCs w:val="25"/>
        </w:rPr>
        <w:t>O</w:t>
      </w:r>
      <w:r w:rsidRPr="002532DF">
        <w:rPr>
          <w:sz w:val="25"/>
          <w:szCs w:val="25"/>
        </w:rPr>
        <w:t>rder a detailed proposal for operation of the track</w:t>
      </w:r>
      <w:r w:rsidR="00766CCD">
        <w:rPr>
          <w:sz w:val="25"/>
          <w:szCs w:val="25"/>
        </w:rPr>
        <w:t>ing</w:t>
      </w:r>
      <w:r w:rsidRPr="002532DF">
        <w:rPr>
          <w:sz w:val="25"/>
          <w:szCs w:val="25"/>
        </w:rPr>
        <w:t xml:space="preserve"> mechanism going forward.  This proposal should be developed in </w:t>
      </w:r>
      <w:r w:rsidR="00365C58" w:rsidRPr="002532DF">
        <w:rPr>
          <w:sz w:val="25"/>
          <w:szCs w:val="25"/>
        </w:rPr>
        <w:t>consultation</w:t>
      </w:r>
      <w:r w:rsidRPr="002532DF">
        <w:rPr>
          <w:sz w:val="25"/>
          <w:szCs w:val="25"/>
        </w:rPr>
        <w:t xml:space="preserve"> with Staff and any other parties who wish to participate.  The propos</w:t>
      </w:r>
      <w:r w:rsidR="00035851" w:rsidRPr="002532DF">
        <w:rPr>
          <w:sz w:val="25"/>
          <w:szCs w:val="25"/>
        </w:rPr>
        <w:t>al</w:t>
      </w:r>
      <w:r w:rsidRPr="002532DF">
        <w:rPr>
          <w:sz w:val="25"/>
          <w:szCs w:val="25"/>
        </w:rPr>
        <w:t xml:space="preserve"> must include a detailed discussion of the allocation method(s) the Company uses, or proposes to use, when allocating and reporting REC proceeds to </w:t>
      </w:r>
      <w:r w:rsidR="00365C58" w:rsidRPr="002532DF">
        <w:rPr>
          <w:sz w:val="25"/>
          <w:szCs w:val="25"/>
        </w:rPr>
        <w:t>Washington</w:t>
      </w:r>
      <w:r w:rsidRPr="002532DF">
        <w:rPr>
          <w:sz w:val="25"/>
          <w:szCs w:val="25"/>
        </w:rPr>
        <w:t>.  If other parties disagree with PacifiCorp as to the details of the track</w:t>
      </w:r>
      <w:r w:rsidR="00766CCD">
        <w:rPr>
          <w:sz w:val="25"/>
          <w:szCs w:val="25"/>
        </w:rPr>
        <w:t>ing</w:t>
      </w:r>
      <w:r w:rsidRPr="002532DF">
        <w:rPr>
          <w:sz w:val="25"/>
          <w:szCs w:val="25"/>
        </w:rPr>
        <w:t xml:space="preserve"> mechanism or the allocation and reporting method(s) PacifiCorp uses or proposes to use, they may file alternative proposals.</w:t>
      </w:r>
    </w:p>
    <w:p w:rsidR="008A32B4" w:rsidRPr="002532DF" w:rsidRDefault="0065345A" w:rsidP="006A6C81">
      <w:pPr>
        <w:pStyle w:val="Heading4"/>
        <w:ind w:left="1080" w:hanging="360"/>
        <w:rPr>
          <w:rFonts w:ascii="Times New Roman" w:hAnsi="Times New Roman"/>
          <w:sz w:val="25"/>
          <w:szCs w:val="25"/>
        </w:rPr>
      </w:pPr>
      <w:bookmarkStart w:id="56" w:name="_Toc168986381"/>
      <w:bookmarkStart w:id="57" w:name="_Toc288813748"/>
      <w:r w:rsidRPr="002532DF">
        <w:rPr>
          <w:rFonts w:ascii="Times New Roman" w:hAnsi="Times New Roman"/>
          <w:sz w:val="25"/>
          <w:szCs w:val="25"/>
        </w:rPr>
        <w:t>3.</w:t>
      </w:r>
      <w:r w:rsidRPr="002532DF">
        <w:rPr>
          <w:rFonts w:ascii="Times New Roman" w:hAnsi="Times New Roman"/>
          <w:sz w:val="25"/>
          <w:szCs w:val="25"/>
        </w:rPr>
        <w:tab/>
        <w:t>SO</w:t>
      </w:r>
      <w:r w:rsidRPr="002532DF">
        <w:rPr>
          <w:rFonts w:ascii="Times New Roman" w:hAnsi="Times New Roman"/>
          <w:sz w:val="25"/>
          <w:szCs w:val="25"/>
          <w:vertAlign w:val="subscript"/>
        </w:rPr>
        <w:t>2</w:t>
      </w:r>
      <w:r w:rsidRPr="002532DF">
        <w:rPr>
          <w:rFonts w:ascii="Times New Roman" w:hAnsi="Times New Roman"/>
          <w:sz w:val="25"/>
          <w:szCs w:val="25"/>
        </w:rPr>
        <w:t xml:space="preserve"> Emission Allowance Sales Revenue</w:t>
      </w:r>
      <w:bookmarkEnd w:id="56"/>
      <w:bookmarkEnd w:id="57"/>
    </w:p>
    <w:p w:rsidR="008A32B4" w:rsidRPr="002532DF" w:rsidRDefault="008A32B4" w:rsidP="00817E21">
      <w:pPr>
        <w:spacing w:line="276" w:lineRule="auto"/>
        <w:ind w:left="1980"/>
        <w:rPr>
          <w:b/>
          <w:sz w:val="25"/>
          <w:szCs w:val="25"/>
        </w:rPr>
      </w:pPr>
    </w:p>
    <w:p w:rsidR="00656FDA" w:rsidRPr="002532DF" w:rsidRDefault="00656FDA" w:rsidP="00AD0B90">
      <w:pPr>
        <w:numPr>
          <w:ilvl w:val="0"/>
          <w:numId w:val="1"/>
        </w:numPr>
        <w:tabs>
          <w:tab w:val="clear" w:pos="720"/>
          <w:tab w:val="num" w:pos="0"/>
        </w:tabs>
        <w:spacing w:line="276" w:lineRule="auto"/>
        <w:ind w:left="0"/>
        <w:rPr>
          <w:sz w:val="25"/>
          <w:szCs w:val="25"/>
        </w:rPr>
      </w:pPr>
      <w:r w:rsidRPr="002532DF">
        <w:rPr>
          <w:sz w:val="25"/>
          <w:szCs w:val="25"/>
        </w:rPr>
        <w:t xml:space="preserve">PacifiCorp’s </w:t>
      </w:r>
      <w:r w:rsidR="002E7DD1" w:rsidRPr="002532DF">
        <w:rPr>
          <w:sz w:val="25"/>
          <w:szCs w:val="25"/>
        </w:rPr>
        <w:t>initial</w:t>
      </w:r>
      <w:r w:rsidRPr="002532DF">
        <w:rPr>
          <w:sz w:val="25"/>
          <w:szCs w:val="25"/>
        </w:rPr>
        <w:t xml:space="preserve"> testimony includes a 15-year amortization of current and past SO</w:t>
      </w:r>
      <w:r w:rsidRPr="002532DF">
        <w:rPr>
          <w:sz w:val="25"/>
          <w:szCs w:val="25"/>
          <w:vertAlign w:val="subscript"/>
        </w:rPr>
        <w:t>2</w:t>
      </w:r>
      <w:r w:rsidRPr="002532DF">
        <w:rPr>
          <w:sz w:val="25"/>
          <w:szCs w:val="25"/>
        </w:rPr>
        <w:t xml:space="preserve"> emission allowance sales revenues in its cost of service.</w:t>
      </w:r>
      <w:r w:rsidRPr="002532DF">
        <w:rPr>
          <w:rStyle w:val="FootnoteReference"/>
          <w:sz w:val="25"/>
          <w:szCs w:val="25"/>
        </w:rPr>
        <w:footnoteReference w:id="299"/>
      </w:r>
      <w:r w:rsidRPr="002532DF">
        <w:rPr>
          <w:sz w:val="25"/>
          <w:szCs w:val="25"/>
        </w:rPr>
        <w:t xml:space="preserve">  </w:t>
      </w:r>
    </w:p>
    <w:p w:rsidR="00656FDA" w:rsidRPr="002532DF" w:rsidRDefault="00656FDA" w:rsidP="00817E21">
      <w:pPr>
        <w:pStyle w:val="NoSpacing"/>
        <w:spacing w:line="276" w:lineRule="auto"/>
        <w:rPr>
          <w:sz w:val="25"/>
          <w:szCs w:val="25"/>
        </w:rPr>
      </w:pPr>
    </w:p>
    <w:p w:rsidR="00656FDA" w:rsidRPr="002532DF" w:rsidRDefault="00656FDA" w:rsidP="00AD0B90">
      <w:pPr>
        <w:numPr>
          <w:ilvl w:val="0"/>
          <w:numId w:val="1"/>
        </w:numPr>
        <w:tabs>
          <w:tab w:val="clear" w:pos="720"/>
          <w:tab w:val="num" w:pos="0"/>
        </w:tabs>
        <w:spacing w:line="276" w:lineRule="auto"/>
        <w:ind w:left="0"/>
        <w:rPr>
          <w:sz w:val="25"/>
          <w:szCs w:val="25"/>
        </w:rPr>
      </w:pPr>
      <w:r w:rsidRPr="002532DF">
        <w:rPr>
          <w:sz w:val="25"/>
          <w:szCs w:val="25"/>
        </w:rPr>
        <w:t>Joint Parties propose that the unamortized balance of SO</w:t>
      </w:r>
      <w:r w:rsidRPr="002532DF">
        <w:rPr>
          <w:sz w:val="25"/>
          <w:szCs w:val="25"/>
          <w:vertAlign w:val="subscript"/>
        </w:rPr>
        <w:t>2</w:t>
      </w:r>
      <w:r w:rsidRPr="002532DF">
        <w:rPr>
          <w:sz w:val="25"/>
          <w:szCs w:val="25"/>
        </w:rPr>
        <w:t xml:space="preserve"> allowance revenues at December 31, 2009, be amortized over five years instead of 15 years.</w:t>
      </w:r>
      <w:r w:rsidRPr="002532DF">
        <w:rPr>
          <w:rStyle w:val="FootnoteReference"/>
          <w:sz w:val="25"/>
          <w:szCs w:val="25"/>
        </w:rPr>
        <w:footnoteReference w:id="300"/>
      </w:r>
      <w:r w:rsidRPr="002532DF">
        <w:rPr>
          <w:sz w:val="25"/>
          <w:szCs w:val="25"/>
        </w:rPr>
        <w:t xml:space="preserve">  Joint Parties argue that five years is generally the most widely accepted amortization period for extraordinary events or recurring events with volatility.</w:t>
      </w:r>
      <w:r w:rsidRPr="002532DF">
        <w:rPr>
          <w:rStyle w:val="FootnoteReference"/>
          <w:sz w:val="25"/>
          <w:szCs w:val="25"/>
        </w:rPr>
        <w:footnoteReference w:id="301"/>
      </w:r>
      <w:r w:rsidRPr="002532DF">
        <w:rPr>
          <w:sz w:val="25"/>
          <w:szCs w:val="25"/>
        </w:rPr>
        <w:t xml:space="preserve">  </w:t>
      </w:r>
      <w:r w:rsidR="00E4780F" w:rsidRPr="002532DF">
        <w:rPr>
          <w:sz w:val="25"/>
          <w:szCs w:val="25"/>
        </w:rPr>
        <w:t>They</w:t>
      </w:r>
      <w:r w:rsidRPr="002532DF">
        <w:rPr>
          <w:sz w:val="25"/>
          <w:szCs w:val="25"/>
        </w:rPr>
        <w:t xml:space="preserve"> also assert that a five-year amortization period is more appropriate because it more timely credits customers’ rates for the sales of SO</w:t>
      </w:r>
      <w:r w:rsidRPr="002532DF">
        <w:rPr>
          <w:sz w:val="25"/>
          <w:szCs w:val="25"/>
          <w:vertAlign w:val="subscript"/>
        </w:rPr>
        <w:t>2</w:t>
      </w:r>
      <w:r w:rsidRPr="002532DF">
        <w:rPr>
          <w:sz w:val="25"/>
          <w:szCs w:val="25"/>
        </w:rPr>
        <w:t xml:space="preserve"> allowances.</w:t>
      </w:r>
      <w:r w:rsidRPr="002532DF">
        <w:rPr>
          <w:rStyle w:val="FootnoteReference"/>
          <w:sz w:val="25"/>
          <w:szCs w:val="25"/>
        </w:rPr>
        <w:footnoteReference w:id="302"/>
      </w:r>
      <w:r w:rsidRPr="002532DF">
        <w:rPr>
          <w:sz w:val="25"/>
          <w:szCs w:val="25"/>
        </w:rPr>
        <w:t xml:space="preserve"> </w:t>
      </w:r>
    </w:p>
    <w:p w:rsidR="00656FDA" w:rsidRPr="002532DF" w:rsidRDefault="00656FDA" w:rsidP="00817E21">
      <w:pPr>
        <w:pStyle w:val="NoSpacing"/>
        <w:spacing w:line="276" w:lineRule="auto"/>
        <w:rPr>
          <w:sz w:val="25"/>
          <w:szCs w:val="25"/>
        </w:rPr>
      </w:pPr>
    </w:p>
    <w:p w:rsidR="00656FDA" w:rsidRPr="002532DF" w:rsidRDefault="00656FDA" w:rsidP="00AD0B90">
      <w:pPr>
        <w:numPr>
          <w:ilvl w:val="0"/>
          <w:numId w:val="1"/>
        </w:numPr>
        <w:tabs>
          <w:tab w:val="clear" w:pos="720"/>
          <w:tab w:val="num" w:pos="0"/>
        </w:tabs>
        <w:spacing w:line="276" w:lineRule="auto"/>
        <w:ind w:left="0"/>
        <w:rPr>
          <w:b/>
          <w:sz w:val="25"/>
          <w:szCs w:val="25"/>
          <w:u w:val="single"/>
        </w:rPr>
      </w:pPr>
      <w:r w:rsidRPr="002532DF">
        <w:rPr>
          <w:sz w:val="25"/>
          <w:szCs w:val="25"/>
        </w:rPr>
        <w:t xml:space="preserve">In rebuttal, the Company agrees with a five-year amortization </w:t>
      </w:r>
      <w:r w:rsidR="001130F4" w:rsidRPr="002532DF">
        <w:rPr>
          <w:sz w:val="25"/>
          <w:szCs w:val="25"/>
        </w:rPr>
        <w:t>pe</w:t>
      </w:r>
      <w:r w:rsidRPr="002532DF">
        <w:rPr>
          <w:sz w:val="25"/>
          <w:szCs w:val="25"/>
        </w:rPr>
        <w:t>riod and proposes to increase NOI by $322,038.</w:t>
      </w:r>
      <w:r w:rsidRPr="002532DF">
        <w:rPr>
          <w:rStyle w:val="FootnoteReference"/>
          <w:sz w:val="25"/>
          <w:szCs w:val="25"/>
        </w:rPr>
        <w:footnoteReference w:id="303"/>
      </w:r>
      <w:r w:rsidRPr="002532DF">
        <w:rPr>
          <w:sz w:val="25"/>
          <w:szCs w:val="25"/>
        </w:rPr>
        <w:t xml:space="preserve">  The Company adds that the adjustment removes the sales that occur in the test period.</w:t>
      </w:r>
      <w:r w:rsidRPr="002532DF">
        <w:rPr>
          <w:rStyle w:val="FootnoteReference"/>
          <w:sz w:val="25"/>
          <w:szCs w:val="25"/>
        </w:rPr>
        <w:footnoteReference w:id="304"/>
      </w:r>
      <w:r w:rsidRPr="002532DF">
        <w:rPr>
          <w:sz w:val="25"/>
          <w:szCs w:val="25"/>
        </w:rPr>
        <w:t xml:space="preserve">  </w:t>
      </w:r>
    </w:p>
    <w:p w:rsidR="00913727" w:rsidRPr="002532DF" w:rsidRDefault="00913727" w:rsidP="00913727">
      <w:pPr>
        <w:spacing w:line="276" w:lineRule="auto"/>
        <w:ind w:left="-720"/>
        <w:rPr>
          <w:b/>
          <w:sz w:val="25"/>
          <w:szCs w:val="25"/>
          <w:u w:val="single"/>
        </w:rPr>
      </w:pPr>
    </w:p>
    <w:p w:rsidR="00CF08B8" w:rsidRPr="002532DF" w:rsidRDefault="00D17347" w:rsidP="00AD0B90">
      <w:pPr>
        <w:numPr>
          <w:ilvl w:val="0"/>
          <w:numId w:val="1"/>
        </w:numPr>
        <w:tabs>
          <w:tab w:val="clear" w:pos="720"/>
          <w:tab w:val="num" w:pos="0"/>
        </w:tabs>
        <w:spacing w:line="276" w:lineRule="auto"/>
        <w:ind w:left="0"/>
        <w:rPr>
          <w:b/>
          <w:sz w:val="25"/>
          <w:szCs w:val="25"/>
          <w:u w:val="single"/>
        </w:rPr>
      </w:pPr>
      <w:r w:rsidRPr="002532DF">
        <w:rPr>
          <w:i/>
          <w:sz w:val="25"/>
          <w:szCs w:val="25"/>
        </w:rPr>
        <w:t xml:space="preserve">Commission Decision. </w:t>
      </w:r>
      <w:r w:rsidR="006A6C81" w:rsidRPr="002532DF">
        <w:rPr>
          <w:i/>
          <w:sz w:val="25"/>
          <w:szCs w:val="25"/>
        </w:rPr>
        <w:t xml:space="preserve"> </w:t>
      </w:r>
      <w:r w:rsidR="00CF08B8" w:rsidRPr="002532DF">
        <w:rPr>
          <w:sz w:val="25"/>
          <w:szCs w:val="25"/>
        </w:rPr>
        <w:t xml:space="preserve">We accept the Company and Joint Parties’ agreement to modify the amortization period established by prior order.  </w:t>
      </w:r>
      <w:r w:rsidR="00913727" w:rsidRPr="002532DF">
        <w:rPr>
          <w:sz w:val="25"/>
          <w:szCs w:val="25"/>
        </w:rPr>
        <w:t>The unamortized balance of SO</w:t>
      </w:r>
      <w:r w:rsidR="00913727" w:rsidRPr="002532DF">
        <w:rPr>
          <w:sz w:val="25"/>
          <w:szCs w:val="25"/>
          <w:vertAlign w:val="subscript"/>
        </w:rPr>
        <w:t xml:space="preserve">2 </w:t>
      </w:r>
      <w:r w:rsidR="00913727" w:rsidRPr="002532DF">
        <w:rPr>
          <w:sz w:val="25"/>
          <w:szCs w:val="25"/>
        </w:rPr>
        <w:t>allowance revenues as of December 31,</w:t>
      </w:r>
      <w:r w:rsidR="006A6C81" w:rsidRPr="002532DF">
        <w:rPr>
          <w:sz w:val="25"/>
          <w:szCs w:val="25"/>
        </w:rPr>
        <w:t xml:space="preserve"> </w:t>
      </w:r>
      <w:r w:rsidR="00913727" w:rsidRPr="002532DF">
        <w:rPr>
          <w:sz w:val="25"/>
          <w:szCs w:val="25"/>
        </w:rPr>
        <w:t>2009, should be amortized over five years thereby increasing NOI by $322,038.</w:t>
      </w:r>
    </w:p>
    <w:p w:rsidR="00711B4E" w:rsidRPr="002532DF" w:rsidRDefault="00FD57F2" w:rsidP="006A6C81">
      <w:pPr>
        <w:pStyle w:val="Heading4"/>
        <w:ind w:left="1080" w:hanging="360"/>
        <w:rPr>
          <w:rFonts w:ascii="Times New Roman" w:hAnsi="Times New Roman"/>
          <w:sz w:val="25"/>
          <w:szCs w:val="25"/>
        </w:rPr>
      </w:pPr>
      <w:bookmarkStart w:id="58" w:name="_Toc288813749"/>
      <w:r w:rsidRPr="002532DF">
        <w:rPr>
          <w:rFonts w:ascii="Times New Roman" w:hAnsi="Times New Roman"/>
          <w:sz w:val="25"/>
          <w:szCs w:val="25"/>
        </w:rPr>
        <w:t>4.</w:t>
      </w:r>
      <w:r w:rsidRPr="002532DF">
        <w:rPr>
          <w:rFonts w:ascii="Times New Roman" w:hAnsi="Times New Roman"/>
          <w:sz w:val="25"/>
          <w:szCs w:val="25"/>
        </w:rPr>
        <w:tab/>
      </w:r>
      <w:r w:rsidR="00A303B0" w:rsidRPr="002532DF">
        <w:rPr>
          <w:rFonts w:ascii="Times New Roman" w:hAnsi="Times New Roman"/>
          <w:sz w:val="25"/>
          <w:szCs w:val="25"/>
        </w:rPr>
        <w:t xml:space="preserve">Temperature Normalization - </w:t>
      </w:r>
      <w:r w:rsidRPr="002532DF">
        <w:rPr>
          <w:rFonts w:ascii="Times New Roman" w:hAnsi="Times New Roman"/>
          <w:sz w:val="25"/>
          <w:szCs w:val="25"/>
        </w:rPr>
        <w:t>Retail Sales</w:t>
      </w:r>
      <w:bookmarkEnd w:id="58"/>
    </w:p>
    <w:p w:rsidR="00FD57F2" w:rsidRPr="002532DF" w:rsidRDefault="00FD57F2" w:rsidP="00817E21">
      <w:pPr>
        <w:spacing w:line="276" w:lineRule="auto"/>
        <w:ind w:left="1080"/>
        <w:rPr>
          <w:b/>
          <w:sz w:val="25"/>
          <w:szCs w:val="25"/>
        </w:rPr>
      </w:pPr>
    </w:p>
    <w:p w:rsidR="002B4BD4" w:rsidRPr="002532DF" w:rsidRDefault="00A303B0" w:rsidP="00AD0B90">
      <w:pPr>
        <w:numPr>
          <w:ilvl w:val="0"/>
          <w:numId w:val="1"/>
        </w:numPr>
        <w:tabs>
          <w:tab w:val="clear" w:pos="720"/>
          <w:tab w:val="num" w:pos="0"/>
        </w:tabs>
        <w:spacing w:line="276" w:lineRule="auto"/>
        <w:ind w:left="0"/>
        <w:rPr>
          <w:sz w:val="25"/>
          <w:szCs w:val="25"/>
        </w:rPr>
      </w:pPr>
      <w:r w:rsidRPr="002532DF">
        <w:rPr>
          <w:sz w:val="25"/>
          <w:szCs w:val="25"/>
        </w:rPr>
        <w:t xml:space="preserve">Temperature normalization is a ratemaking method that seeks to project an “average” level of electric sales (kWh) in the rate year by adjusting actual sales in the test year to </w:t>
      </w:r>
      <w:r w:rsidR="002B4BD4" w:rsidRPr="002532DF">
        <w:rPr>
          <w:sz w:val="25"/>
          <w:szCs w:val="25"/>
        </w:rPr>
        <w:t xml:space="preserve">reflect “normal” </w:t>
      </w:r>
      <w:r w:rsidRPr="002532DF">
        <w:rPr>
          <w:sz w:val="25"/>
          <w:szCs w:val="25"/>
        </w:rPr>
        <w:t>temperature</w:t>
      </w:r>
      <w:r w:rsidR="002B4BD4" w:rsidRPr="002532DF">
        <w:rPr>
          <w:sz w:val="25"/>
          <w:szCs w:val="25"/>
        </w:rPr>
        <w:t xml:space="preserve">s over a longer period of time.  </w:t>
      </w:r>
      <w:r w:rsidRPr="002532DF">
        <w:rPr>
          <w:sz w:val="25"/>
          <w:szCs w:val="25"/>
        </w:rPr>
        <w:t xml:space="preserve">This </w:t>
      </w:r>
      <w:r w:rsidR="002B4BD4" w:rsidRPr="002532DF">
        <w:rPr>
          <w:sz w:val="25"/>
          <w:szCs w:val="25"/>
        </w:rPr>
        <w:t xml:space="preserve">tool, usually called a “temperature normalization </w:t>
      </w:r>
      <w:r w:rsidR="00D63FD5" w:rsidRPr="002532DF">
        <w:rPr>
          <w:sz w:val="25"/>
          <w:szCs w:val="25"/>
        </w:rPr>
        <w:t>adjustment, “seeks</w:t>
      </w:r>
      <w:r w:rsidR="002B4BD4" w:rsidRPr="002532DF">
        <w:rPr>
          <w:sz w:val="25"/>
          <w:szCs w:val="25"/>
        </w:rPr>
        <w:t xml:space="preserve"> to average out the rate peaks and valleys that can occur if actual temperatures are either above or below the average.</w:t>
      </w:r>
      <w:r w:rsidRPr="002532DF">
        <w:rPr>
          <w:sz w:val="25"/>
          <w:szCs w:val="25"/>
        </w:rPr>
        <w:t xml:space="preserve">  Many customers in PacifiCorp’s service territory in Washington use electricity for space heating, which increases their sensitivity to fluctuations in temperature.  </w:t>
      </w:r>
    </w:p>
    <w:p w:rsidR="002B4BD4" w:rsidRPr="002532DF" w:rsidRDefault="002B4BD4" w:rsidP="00F42EFD">
      <w:pPr>
        <w:spacing w:line="276" w:lineRule="auto"/>
        <w:ind w:left="-720"/>
        <w:rPr>
          <w:sz w:val="25"/>
          <w:szCs w:val="25"/>
        </w:rPr>
      </w:pPr>
    </w:p>
    <w:p w:rsidR="00AC3419" w:rsidRPr="002532DF" w:rsidRDefault="00AC6466" w:rsidP="00AD0B90">
      <w:pPr>
        <w:numPr>
          <w:ilvl w:val="0"/>
          <w:numId w:val="1"/>
        </w:numPr>
        <w:tabs>
          <w:tab w:val="clear" w:pos="720"/>
          <w:tab w:val="num" w:pos="0"/>
        </w:tabs>
        <w:spacing w:line="276" w:lineRule="auto"/>
        <w:ind w:left="0"/>
        <w:rPr>
          <w:sz w:val="25"/>
          <w:szCs w:val="25"/>
        </w:rPr>
      </w:pPr>
      <w:r w:rsidRPr="002532DF">
        <w:rPr>
          <w:i/>
          <w:sz w:val="25"/>
          <w:szCs w:val="25"/>
        </w:rPr>
        <w:t xml:space="preserve">Positions of the Parties.  </w:t>
      </w:r>
      <w:r w:rsidR="00FD57F2" w:rsidRPr="002532DF">
        <w:rPr>
          <w:sz w:val="25"/>
          <w:szCs w:val="25"/>
        </w:rPr>
        <w:t>PacifiCor</w:t>
      </w:r>
      <w:r w:rsidR="00341E22" w:rsidRPr="002532DF">
        <w:rPr>
          <w:sz w:val="25"/>
          <w:szCs w:val="25"/>
        </w:rPr>
        <w:t>p</w:t>
      </w:r>
      <w:r w:rsidR="00FD57F2" w:rsidRPr="002532DF">
        <w:rPr>
          <w:sz w:val="25"/>
          <w:szCs w:val="25"/>
        </w:rPr>
        <w:t xml:space="preserve"> includes a temperature normalization restating adjustment that decreas</w:t>
      </w:r>
      <w:r w:rsidR="00341E22" w:rsidRPr="002532DF">
        <w:rPr>
          <w:sz w:val="25"/>
          <w:szCs w:val="25"/>
        </w:rPr>
        <w:t>es</w:t>
      </w:r>
      <w:r w:rsidR="00FD57F2" w:rsidRPr="002532DF">
        <w:rPr>
          <w:sz w:val="25"/>
          <w:szCs w:val="25"/>
        </w:rPr>
        <w:t xml:space="preserve"> revenues for the residential class by $</w:t>
      </w:r>
      <w:r w:rsidR="00322732" w:rsidRPr="002532DF">
        <w:rPr>
          <w:sz w:val="25"/>
          <w:szCs w:val="25"/>
        </w:rPr>
        <w:t>5</w:t>
      </w:r>
      <w:r w:rsidR="00FD57F2" w:rsidRPr="002532DF">
        <w:rPr>
          <w:sz w:val="25"/>
          <w:szCs w:val="25"/>
        </w:rPr>
        <w:t>,577,662.</w:t>
      </w:r>
      <w:r w:rsidR="00FD57F2" w:rsidRPr="002532DF">
        <w:rPr>
          <w:rStyle w:val="FootnoteReference"/>
          <w:sz w:val="25"/>
          <w:szCs w:val="25"/>
        </w:rPr>
        <w:footnoteReference w:id="305"/>
      </w:r>
      <w:r w:rsidR="00AC3419" w:rsidRPr="002532DF">
        <w:rPr>
          <w:sz w:val="25"/>
          <w:szCs w:val="25"/>
        </w:rPr>
        <w:t xml:space="preserve"> </w:t>
      </w:r>
      <w:r w:rsidR="00583C8C">
        <w:rPr>
          <w:sz w:val="25"/>
          <w:szCs w:val="25"/>
        </w:rPr>
        <w:t xml:space="preserve"> </w:t>
      </w:r>
      <w:r w:rsidR="002B4BD4" w:rsidRPr="002532DF">
        <w:rPr>
          <w:sz w:val="25"/>
          <w:szCs w:val="25"/>
        </w:rPr>
        <w:t>I</w:t>
      </w:r>
      <w:r w:rsidR="002507F5" w:rsidRPr="002532DF">
        <w:rPr>
          <w:sz w:val="25"/>
          <w:szCs w:val="25"/>
        </w:rPr>
        <w:t>n this case, i</w:t>
      </w:r>
      <w:r w:rsidR="002B4BD4" w:rsidRPr="002532DF">
        <w:rPr>
          <w:sz w:val="25"/>
          <w:szCs w:val="25"/>
        </w:rPr>
        <w:t>t used the temperature normalization methodology agreed to by the parties in a previous rate case.</w:t>
      </w:r>
      <w:r w:rsidR="002B4BD4" w:rsidRPr="002532DF">
        <w:rPr>
          <w:rStyle w:val="FootnoteReference"/>
          <w:sz w:val="25"/>
          <w:szCs w:val="25"/>
        </w:rPr>
        <w:footnoteReference w:id="306"/>
      </w:r>
    </w:p>
    <w:p w:rsidR="00AC3419" w:rsidRPr="002532DF" w:rsidRDefault="00AC3419" w:rsidP="00817E21">
      <w:pPr>
        <w:pStyle w:val="NoSpacing"/>
        <w:spacing w:line="276" w:lineRule="auto"/>
        <w:rPr>
          <w:sz w:val="25"/>
          <w:szCs w:val="25"/>
        </w:rPr>
      </w:pPr>
    </w:p>
    <w:p w:rsidR="00AC3419" w:rsidRPr="002532DF" w:rsidRDefault="00AC3419" w:rsidP="00027588">
      <w:pPr>
        <w:numPr>
          <w:ilvl w:val="0"/>
          <w:numId w:val="1"/>
        </w:numPr>
        <w:tabs>
          <w:tab w:val="clear" w:pos="720"/>
          <w:tab w:val="num" w:pos="0"/>
        </w:tabs>
        <w:spacing w:line="276" w:lineRule="auto"/>
        <w:ind w:left="0"/>
        <w:rPr>
          <w:sz w:val="25"/>
          <w:szCs w:val="25"/>
        </w:rPr>
      </w:pPr>
      <w:r w:rsidRPr="002532DF">
        <w:rPr>
          <w:sz w:val="25"/>
          <w:szCs w:val="25"/>
        </w:rPr>
        <w:t>Joint Parties argue that the Company’s average actual usage per residential customer over the last five years is higher than the Company’s temperature normalized customer usage for the test year.</w:t>
      </w:r>
      <w:r w:rsidRPr="002532DF">
        <w:rPr>
          <w:rStyle w:val="FootnoteReference"/>
          <w:sz w:val="25"/>
          <w:szCs w:val="25"/>
        </w:rPr>
        <w:footnoteReference w:id="307"/>
      </w:r>
      <w:r w:rsidRPr="002532DF">
        <w:rPr>
          <w:sz w:val="25"/>
          <w:szCs w:val="25"/>
        </w:rPr>
        <w:t xml:space="preserve">  They propose to decrease test year revenues by $79,439 (after the offset for additional fuel expense) as compared to what they state is PacifiCorp’s $4,337,210 decrease.</w:t>
      </w:r>
      <w:r w:rsidRPr="002532DF">
        <w:rPr>
          <w:rStyle w:val="FootnoteReference"/>
          <w:sz w:val="25"/>
          <w:szCs w:val="25"/>
        </w:rPr>
        <w:footnoteReference w:id="308"/>
      </w:r>
      <w:r w:rsidRPr="002532DF">
        <w:rPr>
          <w:sz w:val="25"/>
          <w:szCs w:val="25"/>
        </w:rPr>
        <w:t xml:space="preserve">  Joint Parties state that </w:t>
      </w:r>
      <w:r w:rsidR="002B4BD4" w:rsidRPr="002532DF">
        <w:rPr>
          <w:sz w:val="25"/>
          <w:szCs w:val="25"/>
        </w:rPr>
        <w:t xml:space="preserve">it is proper to use actual data averaged over five years instead of temperature-normalized data </w:t>
      </w:r>
      <w:r w:rsidRPr="002532DF">
        <w:rPr>
          <w:sz w:val="25"/>
          <w:szCs w:val="25"/>
        </w:rPr>
        <w:t>to determine per customer use.</w:t>
      </w:r>
      <w:r w:rsidRPr="002532DF">
        <w:rPr>
          <w:rStyle w:val="FootnoteReference"/>
          <w:sz w:val="25"/>
          <w:szCs w:val="25"/>
        </w:rPr>
        <w:footnoteReference w:id="309"/>
      </w:r>
    </w:p>
    <w:p w:rsidR="00AC3419" w:rsidRPr="002532DF" w:rsidRDefault="00AC3419" w:rsidP="00817E21">
      <w:pPr>
        <w:pStyle w:val="NoSpacing"/>
        <w:spacing w:line="276" w:lineRule="auto"/>
        <w:rPr>
          <w:sz w:val="25"/>
          <w:szCs w:val="25"/>
        </w:rPr>
      </w:pPr>
    </w:p>
    <w:p w:rsidR="00AC3419" w:rsidRPr="002532DF" w:rsidRDefault="00AC3419" w:rsidP="00027588">
      <w:pPr>
        <w:numPr>
          <w:ilvl w:val="0"/>
          <w:numId w:val="1"/>
        </w:numPr>
        <w:tabs>
          <w:tab w:val="clear" w:pos="720"/>
          <w:tab w:val="num" w:pos="0"/>
        </w:tabs>
        <w:spacing w:line="276" w:lineRule="auto"/>
        <w:ind w:left="0"/>
        <w:rPr>
          <w:sz w:val="25"/>
          <w:szCs w:val="25"/>
        </w:rPr>
      </w:pPr>
      <w:r w:rsidRPr="002532DF">
        <w:rPr>
          <w:sz w:val="25"/>
          <w:szCs w:val="25"/>
        </w:rPr>
        <w:t>In rebuttal</w:t>
      </w:r>
      <w:r w:rsidR="00DA41B4" w:rsidRPr="002532DF">
        <w:rPr>
          <w:sz w:val="25"/>
          <w:szCs w:val="25"/>
        </w:rPr>
        <w:t xml:space="preserve"> testimony</w:t>
      </w:r>
      <w:r w:rsidRPr="002532DF">
        <w:rPr>
          <w:sz w:val="25"/>
          <w:szCs w:val="25"/>
        </w:rPr>
        <w:t>, the Company recommends rejecting the Joint Parties’ adjustment pointing to Staff’s testimony that the Company’s residential class forecast demonstrates a good approximation of the relationship that exists between temperature fluctuations and electricity consumption.</w:t>
      </w:r>
      <w:r w:rsidRPr="002532DF">
        <w:rPr>
          <w:rStyle w:val="FootnoteReference"/>
          <w:sz w:val="25"/>
          <w:szCs w:val="25"/>
        </w:rPr>
        <w:footnoteReference w:id="310"/>
      </w:r>
      <w:r w:rsidRPr="002532DF">
        <w:rPr>
          <w:sz w:val="25"/>
          <w:szCs w:val="25"/>
        </w:rPr>
        <w:t xml:space="preserve">  The Company argues that the Joint Parties’ calculation is faulty because it removes out-of- period adjustments and uses a five-year average without presenting either a rationale or precedent for doing so.</w:t>
      </w:r>
      <w:r w:rsidRPr="002532DF">
        <w:rPr>
          <w:rStyle w:val="FootnoteReference"/>
          <w:sz w:val="25"/>
          <w:szCs w:val="25"/>
        </w:rPr>
        <w:footnoteReference w:id="311"/>
      </w:r>
      <w:r w:rsidRPr="002532DF">
        <w:rPr>
          <w:sz w:val="25"/>
          <w:szCs w:val="25"/>
        </w:rPr>
        <w:t xml:space="preserve">  </w:t>
      </w:r>
    </w:p>
    <w:p w:rsidR="00AC3419" w:rsidRPr="002532DF" w:rsidRDefault="00AC3419" w:rsidP="00817E21">
      <w:pPr>
        <w:pStyle w:val="NoSpacing"/>
        <w:spacing w:line="276" w:lineRule="auto"/>
        <w:rPr>
          <w:sz w:val="25"/>
          <w:szCs w:val="25"/>
        </w:rPr>
      </w:pPr>
    </w:p>
    <w:p w:rsidR="008A32B4" w:rsidRPr="002532DF" w:rsidRDefault="00AC3419" w:rsidP="00027588">
      <w:pPr>
        <w:numPr>
          <w:ilvl w:val="0"/>
          <w:numId w:val="1"/>
        </w:numPr>
        <w:tabs>
          <w:tab w:val="clear" w:pos="720"/>
          <w:tab w:val="num" w:pos="0"/>
        </w:tabs>
        <w:spacing w:line="276" w:lineRule="auto"/>
        <w:ind w:left="0"/>
        <w:rPr>
          <w:sz w:val="25"/>
          <w:szCs w:val="25"/>
        </w:rPr>
      </w:pPr>
      <w:r w:rsidRPr="002532DF">
        <w:rPr>
          <w:sz w:val="25"/>
          <w:szCs w:val="25"/>
        </w:rPr>
        <w:t>In cross-answering</w:t>
      </w:r>
      <w:r w:rsidR="008E7680" w:rsidRPr="002532DF">
        <w:rPr>
          <w:sz w:val="25"/>
          <w:szCs w:val="25"/>
        </w:rPr>
        <w:t xml:space="preserve"> testimony</w:t>
      </w:r>
      <w:r w:rsidRPr="002532DF">
        <w:rPr>
          <w:sz w:val="25"/>
          <w:szCs w:val="25"/>
        </w:rPr>
        <w:t xml:space="preserve">, Staff </w:t>
      </w:r>
      <w:r w:rsidR="002B4BD4" w:rsidRPr="002532DF">
        <w:rPr>
          <w:sz w:val="25"/>
          <w:szCs w:val="25"/>
        </w:rPr>
        <w:t xml:space="preserve">also </w:t>
      </w:r>
      <w:r w:rsidRPr="002532DF">
        <w:rPr>
          <w:sz w:val="25"/>
          <w:szCs w:val="25"/>
        </w:rPr>
        <w:t>opposes the Joint Parties’ adjustment asserting that they should have used temperature-normalized usage, not actual usage, and that they fail to account for factors that offset the additional revenue they seek to impute to PacifiCorp.</w:t>
      </w:r>
      <w:r w:rsidRPr="002532DF">
        <w:rPr>
          <w:rStyle w:val="FootnoteReference"/>
          <w:sz w:val="25"/>
          <w:szCs w:val="25"/>
        </w:rPr>
        <w:footnoteReference w:id="312"/>
      </w:r>
      <w:r w:rsidRPr="002532DF">
        <w:rPr>
          <w:sz w:val="25"/>
          <w:szCs w:val="25"/>
        </w:rPr>
        <w:t xml:space="preserve">  </w:t>
      </w:r>
    </w:p>
    <w:p w:rsidR="00840306" w:rsidRPr="002532DF" w:rsidRDefault="00840306" w:rsidP="00840306">
      <w:pPr>
        <w:spacing w:line="276" w:lineRule="auto"/>
        <w:ind w:left="-720"/>
        <w:rPr>
          <w:sz w:val="25"/>
          <w:szCs w:val="25"/>
        </w:rPr>
      </w:pPr>
    </w:p>
    <w:p w:rsidR="00876C97" w:rsidRDefault="00D17347" w:rsidP="00027588">
      <w:pPr>
        <w:numPr>
          <w:ilvl w:val="0"/>
          <w:numId w:val="1"/>
        </w:numPr>
        <w:tabs>
          <w:tab w:val="clear" w:pos="720"/>
          <w:tab w:val="num" w:pos="0"/>
        </w:tabs>
        <w:spacing w:line="276" w:lineRule="auto"/>
        <w:ind w:left="0"/>
        <w:rPr>
          <w:sz w:val="25"/>
          <w:szCs w:val="25"/>
        </w:rPr>
      </w:pPr>
      <w:r w:rsidRPr="002532DF">
        <w:rPr>
          <w:i/>
          <w:sz w:val="25"/>
          <w:szCs w:val="25"/>
        </w:rPr>
        <w:t xml:space="preserve">Commission Decision. </w:t>
      </w:r>
      <w:r w:rsidR="006A6C81" w:rsidRPr="002532DF">
        <w:rPr>
          <w:i/>
          <w:sz w:val="25"/>
          <w:szCs w:val="25"/>
        </w:rPr>
        <w:t xml:space="preserve"> </w:t>
      </w:r>
      <w:r w:rsidR="00840306" w:rsidRPr="002532DF">
        <w:rPr>
          <w:sz w:val="25"/>
          <w:szCs w:val="25"/>
        </w:rPr>
        <w:t xml:space="preserve">We </w:t>
      </w:r>
      <w:r w:rsidR="00DF0647" w:rsidRPr="002532DF">
        <w:rPr>
          <w:sz w:val="25"/>
          <w:szCs w:val="25"/>
        </w:rPr>
        <w:t>determine</w:t>
      </w:r>
      <w:r w:rsidR="00840306" w:rsidRPr="002532DF">
        <w:rPr>
          <w:sz w:val="25"/>
          <w:szCs w:val="25"/>
        </w:rPr>
        <w:t xml:space="preserve"> that the </w:t>
      </w:r>
      <w:r w:rsidR="008C1BE5" w:rsidRPr="002532DF">
        <w:rPr>
          <w:sz w:val="25"/>
          <w:szCs w:val="25"/>
        </w:rPr>
        <w:t xml:space="preserve">Joint Parties failed to support their recommendation that residential revenues should be based on the last five years of actual usage.  </w:t>
      </w:r>
      <w:r w:rsidR="00DF0647" w:rsidRPr="002532DF">
        <w:rPr>
          <w:sz w:val="25"/>
          <w:szCs w:val="25"/>
        </w:rPr>
        <w:t xml:space="preserve">The Company’s temperature normalization methodology was </w:t>
      </w:r>
      <w:r w:rsidR="00876C97">
        <w:rPr>
          <w:sz w:val="25"/>
          <w:szCs w:val="25"/>
        </w:rPr>
        <w:t>included</w:t>
      </w:r>
      <w:r w:rsidR="00DF0647" w:rsidRPr="002532DF">
        <w:rPr>
          <w:sz w:val="25"/>
          <w:szCs w:val="25"/>
        </w:rPr>
        <w:t xml:space="preserve"> in a settlement adopted by the Commission</w:t>
      </w:r>
      <w:r w:rsidR="00E43F96" w:rsidRPr="002532DF">
        <w:rPr>
          <w:sz w:val="25"/>
          <w:szCs w:val="25"/>
        </w:rPr>
        <w:t>,</w:t>
      </w:r>
      <w:r w:rsidR="00DF0647" w:rsidRPr="002532DF">
        <w:rPr>
          <w:sz w:val="25"/>
          <w:szCs w:val="25"/>
        </w:rPr>
        <w:t xml:space="preserve"> and </w:t>
      </w:r>
      <w:r w:rsidR="00876C97">
        <w:rPr>
          <w:sz w:val="25"/>
          <w:szCs w:val="25"/>
        </w:rPr>
        <w:t>that methodology’s</w:t>
      </w:r>
      <w:r w:rsidR="00DF0647" w:rsidRPr="002532DF">
        <w:rPr>
          <w:sz w:val="25"/>
          <w:szCs w:val="25"/>
        </w:rPr>
        <w:t xml:space="preserve"> application to residential customer usage has proven to be quite accurate.  We </w:t>
      </w:r>
      <w:r w:rsidR="00876C97">
        <w:rPr>
          <w:sz w:val="25"/>
          <w:szCs w:val="25"/>
        </w:rPr>
        <w:t>find</w:t>
      </w:r>
      <w:r w:rsidR="00DF0647" w:rsidRPr="002532DF">
        <w:rPr>
          <w:sz w:val="25"/>
          <w:szCs w:val="25"/>
        </w:rPr>
        <w:t xml:space="preserve"> </w:t>
      </w:r>
      <w:r w:rsidR="008C1BE5" w:rsidRPr="002532DF">
        <w:rPr>
          <w:sz w:val="25"/>
          <w:szCs w:val="25"/>
        </w:rPr>
        <w:t xml:space="preserve">that temperature normalization is </w:t>
      </w:r>
      <w:r w:rsidR="00DF0647" w:rsidRPr="002532DF">
        <w:rPr>
          <w:sz w:val="25"/>
          <w:szCs w:val="25"/>
        </w:rPr>
        <w:t xml:space="preserve">a more appropriate method to estimate test year sales </w:t>
      </w:r>
      <w:r w:rsidR="008C1BE5" w:rsidRPr="002532DF">
        <w:rPr>
          <w:sz w:val="25"/>
          <w:szCs w:val="25"/>
        </w:rPr>
        <w:t xml:space="preserve">because many of PacifiCorp’s customers use electricity for space heating and temperature may have a significant impact on customer usage.  </w:t>
      </w:r>
    </w:p>
    <w:p w:rsidR="00876C97" w:rsidRDefault="00876C97" w:rsidP="00E77D4E">
      <w:pPr>
        <w:pStyle w:val="ListParagraph"/>
        <w:rPr>
          <w:sz w:val="25"/>
          <w:szCs w:val="25"/>
        </w:rPr>
      </w:pPr>
    </w:p>
    <w:p w:rsidR="0016233D" w:rsidRPr="002532DF" w:rsidRDefault="00DF0647" w:rsidP="00027588">
      <w:pPr>
        <w:numPr>
          <w:ilvl w:val="0"/>
          <w:numId w:val="1"/>
        </w:numPr>
        <w:tabs>
          <w:tab w:val="clear" w:pos="720"/>
          <w:tab w:val="num" w:pos="0"/>
        </w:tabs>
        <w:spacing w:line="276" w:lineRule="auto"/>
        <w:ind w:left="0"/>
        <w:rPr>
          <w:sz w:val="25"/>
          <w:szCs w:val="25"/>
        </w:rPr>
      </w:pPr>
      <w:r w:rsidRPr="002532DF">
        <w:rPr>
          <w:sz w:val="25"/>
          <w:szCs w:val="25"/>
        </w:rPr>
        <w:t>Staff</w:t>
      </w:r>
      <w:r w:rsidR="00876C97">
        <w:rPr>
          <w:sz w:val="25"/>
          <w:szCs w:val="25"/>
        </w:rPr>
        <w:t>, moreover, compared</w:t>
      </w:r>
      <w:r w:rsidR="008C1BE5" w:rsidRPr="002532DF">
        <w:rPr>
          <w:sz w:val="25"/>
          <w:szCs w:val="25"/>
        </w:rPr>
        <w:t xml:space="preserve"> usage for the 12-month period ending December 31, 2009, with the usage for the 12-month period ending June 2008.  This comparison revealed a two percent increase in actual residential usage between these periods.  However, a comparison of the temperature-normalized usage revealed that there was virtually no change in usage.</w:t>
      </w:r>
      <w:r w:rsidR="008C1BE5" w:rsidRPr="002532DF">
        <w:rPr>
          <w:rStyle w:val="FootnoteReference"/>
          <w:sz w:val="25"/>
          <w:szCs w:val="25"/>
        </w:rPr>
        <w:footnoteReference w:id="313"/>
      </w:r>
      <w:r w:rsidR="008C1BE5" w:rsidRPr="002532DF">
        <w:rPr>
          <w:sz w:val="25"/>
          <w:szCs w:val="25"/>
        </w:rPr>
        <w:t xml:space="preserve">  </w:t>
      </w:r>
      <w:r w:rsidRPr="002532DF">
        <w:rPr>
          <w:sz w:val="25"/>
          <w:szCs w:val="25"/>
        </w:rPr>
        <w:t xml:space="preserve">This comparison demonstrates that the increased usage can be solely attributable to differences in temperature.  </w:t>
      </w:r>
      <w:r w:rsidR="008C1BE5" w:rsidRPr="002532DF">
        <w:rPr>
          <w:sz w:val="25"/>
          <w:szCs w:val="25"/>
        </w:rPr>
        <w:t>Simply put, the Joint Parties’ proposed adjustment creates exactly the</w:t>
      </w:r>
      <w:r w:rsidR="0016233D" w:rsidRPr="002532DF">
        <w:rPr>
          <w:sz w:val="25"/>
          <w:szCs w:val="25"/>
        </w:rPr>
        <w:t xml:space="preserve"> situation we seek to avoid</w:t>
      </w:r>
      <w:r w:rsidR="00E43F96" w:rsidRPr="002532DF">
        <w:rPr>
          <w:sz w:val="25"/>
          <w:szCs w:val="25"/>
        </w:rPr>
        <w:t>:</w:t>
      </w:r>
      <w:r w:rsidR="0016233D" w:rsidRPr="002532DF">
        <w:rPr>
          <w:sz w:val="25"/>
          <w:szCs w:val="25"/>
        </w:rPr>
        <w:t xml:space="preserve"> significant fluctuations in rates due to temperature differences.</w:t>
      </w:r>
    </w:p>
    <w:p w:rsidR="0016233D" w:rsidRPr="002532DF" w:rsidRDefault="0016233D" w:rsidP="0016233D">
      <w:pPr>
        <w:spacing w:line="276" w:lineRule="auto"/>
        <w:ind w:left="-720"/>
        <w:rPr>
          <w:sz w:val="25"/>
          <w:szCs w:val="25"/>
        </w:rPr>
      </w:pPr>
    </w:p>
    <w:p w:rsidR="00840306" w:rsidRPr="002532DF" w:rsidRDefault="00876C97" w:rsidP="00027588">
      <w:pPr>
        <w:numPr>
          <w:ilvl w:val="0"/>
          <w:numId w:val="1"/>
        </w:numPr>
        <w:tabs>
          <w:tab w:val="clear" w:pos="720"/>
          <w:tab w:val="num" w:pos="0"/>
        </w:tabs>
        <w:spacing w:line="276" w:lineRule="auto"/>
        <w:ind w:left="0"/>
        <w:rPr>
          <w:sz w:val="25"/>
          <w:szCs w:val="25"/>
        </w:rPr>
      </w:pPr>
      <w:r>
        <w:rPr>
          <w:sz w:val="25"/>
          <w:szCs w:val="25"/>
        </w:rPr>
        <w:t>Accordingly</w:t>
      </w:r>
      <w:r w:rsidR="00DF0647" w:rsidRPr="002532DF">
        <w:rPr>
          <w:sz w:val="25"/>
          <w:szCs w:val="25"/>
        </w:rPr>
        <w:t>, w</w:t>
      </w:r>
      <w:r w:rsidR="0016233D" w:rsidRPr="002532DF">
        <w:rPr>
          <w:sz w:val="25"/>
          <w:szCs w:val="25"/>
        </w:rPr>
        <w:t xml:space="preserve">e conclude that the Company’s </w:t>
      </w:r>
      <w:r w:rsidR="004532BC" w:rsidRPr="002532DF">
        <w:rPr>
          <w:sz w:val="25"/>
          <w:szCs w:val="25"/>
        </w:rPr>
        <w:t xml:space="preserve">residential </w:t>
      </w:r>
      <w:r w:rsidR="0016233D" w:rsidRPr="002532DF">
        <w:rPr>
          <w:sz w:val="25"/>
          <w:szCs w:val="25"/>
        </w:rPr>
        <w:t xml:space="preserve">temperature normalization adjustment reflects an </w:t>
      </w:r>
      <w:r w:rsidR="00E43F96" w:rsidRPr="002532DF">
        <w:rPr>
          <w:sz w:val="25"/>
          <w:szCs w:val="25"/>
        </w:rPr>
        <w:t>appropriate</w:t>
      </w:r>
      <w:r w:rsidR="0016233D" w:rsidRPr="002532DF">
        <w:rPr>
          <w:sz w:val="25"/>
          <w:szCs w:val="25"/>
        </w:rPr>
        <w:t xml:space="preserve"> correlation between temperature fluctuations and residential electrical consumption.</w:t>
      </w:r>
      <w:r w:rsidR="0016233D" w:rsidRPr="002532DF">
        <w:rPr>
          <w:rStyle w:val="FootnoteReference"/>
          <w:sz w:val="25"/>
          <w:szCs w:val="25"/>
        </w:rPr>
        <w:footnoteReference w:id="314"/>
      </w:r>
      <w:r w:rsidR="00840306" w:rsidRPr="002532DF">
        <w:rPr>
          <w:sz w:val="25"/>
          <w:szCs w:val="25"/>
        </w:rPr>
        <w:t xml:space="preserve"> </w:t>
      </w:r>
    </w:p>
    <w:p w:rsidR="00FD57F2" w:rsidRPr="002532DF" w:rsidRDefault="00341E22" w:rsidP="006A6C81">
      <w:pPr>
        <w:pStyle w:val="Heading4"/>
        <w:ind w:left="1080" w:hanging="360"/>
        <w:rPr>
          <w:rFonts w:ascii="Times New Roman" w:hAnsi="Times New Roman"/>
          <w:sz w:val="25"/>
          <w:szCs w:val="25"/>
        </w:rPr>
      </w:pPr>
      <w:bookmarkStart w:id="59" w:name="_Toc288813750"/>
      <w:r w:rsidRPr="002532DF">
        <w:rPr>
          <w:rFonts w:ascii="Times New Roman" w:hAnsi="Times New Roman"/>
          <w:sz w:val="25"/>
          <w:szCs w:val="25"/>
        </w:rPr>
        <w:t>5.</w:t>
      </w:r>
      <w:r w:rsidRPr="002532DF">
        <w:rPr>
          <w:rFonts w:ascii="Times New Roman" w:hAnsi="Times New Roman"/>
          <w:sz w:val="25"/>
          <w:szCs w:val="25"/>
        </w:rPr>
        <w:tab/>
      </w:r>
      <w:r w:rsidR="002507F5" w:rsidRPr="002532DF">
        <w:rPr>
          <w:rFonts w:ascii="Times New Roman" w:hAnsi="Times New Roman"/>
          <w:sz w:val="25"/>
          <w:szCs w:val="25"/>
        </w:rPr>
        <w:t xml:space="preserve">Temperature Normalization - </w:t>
      </w:r>
      <w:r w:rsidRPr="002532DF">
        <w:rPr>
          <w:rFonts w:ascii="Times New Roman" w:hAnsi="Times New Roman"/>
          <w:sz w:val="25"/>
          <w:szCs w:val="25"/>
        </w:rPr>
        <w:t>Commercial Sales</w:t>
      </w:r>
      <w:bookmarkEnd w:id="59"/>
    </w:p>
    <w:p w:rsidR="00341E22" w:rsidRPr="002532DF" w:rsidRDefault="00341E22" w:rsidP="00817E21">
      <w:pPr>
        <w:spacing w:line="276" w:lineRule="auto"/>
        <w:ind w:left="1170"/>
        <w:rPr>
          <w:b/>
          <w:sz w:val="25"/>
          <w:szCs w:val="25"/>
        </w:rPr>
      </w:pPr>
    </w:p>
    <w:p w:rsidR="002507F5" w:rsidRPr="002532DF" w:rsidRDefault="00876C97" w:rsidP="00027588">
      <w:pPr>
        <w:numPr>
          <w:ilvl w:val="0"/>
          <w:numId w:val="1"/>
        </w:numPr>
        <w:tabs>
          <w:tab w:val="clear" w:pos="720"/>
          <w:tab w:val="num" w:pos="0"/>
        </w:tabs>
        <w:spacing w:line="276" w:lineRule="auto"/>
        <w:ind w:left="0"/>
        <w:rPr>
          <w:sz w:val="25"/>
          <w:szCs w:val="25"/>
        </w:rPr>
      </w:pPr>
      <w:r>
        <w:rPr>
          <w:sz w:val="25"/>
          <w:szCs w:val="25"/>
        </w:rPr>
        <w:t>The</w:t>
      </w:r>
      <w:r w:rsidR="002507F5" w:rsidRPr="002532DF">
        <w:rPr>
          <w:sz w:val="25"/>
          <w:szCs w:val="25"/>
        </w:rPr>
        <w:t xml:space="preserve"> second </w:t>
      </w:r>
      <w:r>
        <w:rPr>
          <w:sz w:val="25"/>
          <w:szCs w:val="25"/>
        </w:rPr>
        <w:t>aspect</w:t>
      </w:r>
      <w:r w:rsidR="002507F5" w:rsidRPr="002532DF">
        <w:rPr>
          <w:sz w:val="25"/>
          <w:szCs w:val="25"/>
        </w:rPr>
        <w:t xml:space="preserve"> of temperature normalization relates to an adjustment to commercial sales, rather than residential sales.</w:t>
      </w:r>
    </w:p>
    <w:p w:rsidR="002507F5" w:rsidRPr="002532DF" w:rsidRDefault="002507F5" w:rsidP="00266717">
      <w:pPr>
        <w:spacing w:line="276" w:lineRule="auto"/>
        <w:ind w:left="-720"/>
        <w:rPr>
          <w:sz w:val="25"/>
          <w:szCs w:val="25"/>
        </w:rPr>
      </w:pPr>
    </w:p>
    <w:p w:rsidR="002A2241" w:rsidRPr="002532DF" w:rsidRDefault="00AC6466" w:rsidP="00027588">
      <w:pPr>
        <w:numPr>
          <w:ilvl w:val="0"/>
          <w:numId w:val="1"/>
        </w:numPr>
        <w:tabs>
          <w:tab w:val="clear" w:pos="720"/>
          <w:tab w:val="num" w:pos="0"/>
        </w:tabs>
        <w:spacing w:line="276" w:lineRule="auto"/>
        <w:ind w:left="0"/>
        <w:rPr>
          <w:sz w:val="25"/>
          <w:szCs w:val="25"/>
        </w:rPr>
      </w:pPr>
      <w:r w:rsidRPr="002532DF">
        <w:rPr>
          <w:i/>
          <w:sz w:val="25"/>
          <w:szCs w:val="25"/>
        </w:rPr>
        <w:t xml:space="preserve">Positions of the Parties.  </w:t>
      </w:r>
      <w:r w:rsidR="00FD57F2" w:rsidRPr="002532DF">
        <w:rPr>
          <w:sz w:val="25"/>
          <w:szCs w:val="25"/>
        </w:rPr>
        <w:t>The Company’s temperature normalizat</w:t>
      </w:r>
      <w:r w:rsidR="00341E22" w:rsidRPr="002532DF">
        <w:rPr>
          <w:sz w:val="25"/>
          <w:szCs w:val="25"/>
        </w:rPr>
        <w:t>i</w:t>
      </w:r>
      <w:r w:rsidR="00FD57F2" w:rsidRPr="002532DF">
        <w:rPr>
          <w:sz w:val="25"/>
          <w:szCs w:val="25"/>
        </w:rPr>
        <w:t>on adjustment is a restating adjustment that normalizes revenues in the test period by comparing actual sales to temperature-normalized sal</w:t>
      </w:r>
      <w:r w:rsidR="00341E22" w:rsidRPr="002532DF">
        <w:rPr>
          <w:sz w:val="25"/>
          <w:szCs w:val="25"/>
        </w:rPr>
        <w:t>e</w:t>
      </w:r>
      <w:r w:rsidR="00FD57F2" w:rsidRPr="002532DF">
        <w:rPr>
          <w:sz w:val="25"/>
          <w:szCs w:val="25"/>
        </w:rPr>
        <w:t>s using the average weather over a 20-year rolling time period (currently 1990 through 2009)</w:t>
      </w:r>
      <w:r w:rsidR="00341E22" w:rsidRPr="002532DF">
        <w:rPr>
          <w:sz w:val="25"/>
          <w:szCs w:val="25"/>
        </w:rPr>
        <w:t>.</w:t>
      </w:r>
      <w:r w:rsidR="00FD57F2" w:rsidRPr="002532DF">
        <w:rPr>
          <w:rStyle w:val="FootnoteReference"/>
          <w:sz w:val="25"/>
          <w:szCs w:val="25"/>
        </w:rPr>
        <w:footnoteReference w:id="315"/>
      </w:r>
      <w:r w:rsidR="002A2241" w:rsidRPr="002532DF">
        <w:rPr>
          <w:sz w:val="25"/>
          <w:szCs w:val="25"/>
        </w:rPr>
        <w:t xml:space="preserve">  </w:t>
      </w:r>
      <w:r w:rsidR="002507F5" w:rsidRPr="002532DF">
        <w:rPr>
          <w:sz w:val="25"/>
          <w:szCs w:val="25"/>
        </w:rPr>
        <w:t>This adjustment combines both residential and commercial sales using the methodology discussed in the previous subsection.</w:t>
      </w:r>
      <w:r w:rsidR="002A2241" w:rsidRPr="002532DF">
        <w:rPr>
          <w:rStyle w:val="FootnoteReference"/>
          <w:sz w:val="25"/>
          <w:szCs w:val="25"/>
        </w:rPr>
        <w:footnoteReference w:id="316"/>
      </w:r>
      <w:r w:rsidR="002A2241" w:rsidRPr="002532DF">
        <w:rPr>
          <w:sz w:val="25"/>
          <w:szCs w:val="25"/>
        </w:rPr>
        <w:t xml:space="preserve">  </w:t>
      </w:r>
    </w:p>
    <w:p w:rsidR="00C62D1E" w:rsidRPr="002532DF" w:rsidRDefault="00C62D1E" w:rsidP="00817E21">
      <w:pPr>
        <w:spacing w:line="276" w:lineRule="auto"/>
        <w:rPr>
          <w:sz w:val="25"/>
          <w:szCs w:val="25"/>
        </w:rPr>
      </w:pPr>
    </w:p>
    <w:p w:rsidR="002A2241" w:rsidRPr="002532DF" w:rsidRDefault="002507F5" w:rsidP="00027588">
      <w:pPr>
        <w:numPr>
          <w:ilvl w:val="0"/>
          <w:numId w:val="1"/>
        </w:numPr>
        <w:tabs>
          <w:tab w:val="clear" w:pos="720"/>
          <w:tab w:val="num" w:pos="0"/>
        </w:tabs>
        <w:spacing w:line="276" w:lineRule="auto"/>
        <w:ind w:left="0"/>
        <w:rPr>
          <w:sz w:val="25"/>
          <w:szCs w:val="25"/>
        </w:rPr>
      </w:pPr>
      <w:r w:rsidRPr="002532DF">
        <w:rPr>
          <w:sz w:val="25"/>
          <w:szCs w:val="25"/>
        </w:rPr>
        <w:t>While Staff agrees with the Company’s methodology, it asserts that its application to commercial class customers produces unreliable results because it fails to explain 35.6 percent of the variation between temperature and commercial loads.</w:t>
      </w:r>
      <w:r w:rsidR="002A2241" w:rsidRPr="002532DF">
        <w:rPr>
          <w:rStyle w:val="FootnoteReference"/>
          <w:sz w:val="25"/>
          <w:szCs w:val="25"/>
        </w:rPr>
        <w:footnoteReference w:id="317"/>
      </w:r>
      <w:r w:rsidR="002A2241" w:rsidRPr="002532DF">
        <w:rPr>
          <w:sz w:val="25"/>
          <w:szCs w:val="25"/>
        </w:rPr>
        <w:t xml:space="preserve">  Staff’s assertion is based on its claim that </w:t>
      </w:r>
      <w:r w:rsidR="004532BC" w:rsidRPr="002532DF">
        <w:rPr>
          <w:sz w:val="25"/>
          <w:szCs w:val="25"/>
        </w:rPr>
        <w:t>the Company’s analysis</w:t>
      </w:r>
      <w:r w:rsidR="002A2241" w:rsidRPr="002532DF">
        <w:rPr>
          <w:sz w:val="25"/>
          <w:szCs w:val="25"/>
        </w:rPr>
        <w:t xml:space="preserve"> does not show a sufficiently proximate relationship between temperature and electricity consumption.</w:t>
      </w:r>
      <w:r w:rsidR="002A2241" w:rsidRPr="002532DF">
        <w:rPr>
          <w:rStyle w:val="FootnoteReference"/>
          <w:sz w:val="25"/>
          <w:szCs w:val="25"/>
        </w:rPr>
        <w:footnoteReference w:id="318"/>
      </w:r>
      <w:r w:rsidR="002A2241" w:rsidRPr="002532DF">
        <w:rPr>
          <w:sz w:val="25"/>
          <w:szCs w:val="25"/>
        </w:rPr>
        <w:t xml:space="preserve">  Staff proposes removing the Company’s temperature normalization adjustment for commercial sales only.  </w:t>
      </w:r>
    </w:p>
    <w:p w:rsidR="00840306" w:rsidRPr="002532DF" w:rsidRDefault="00840306" w:rsidP="00817E21">
      <w:pPr>
        <w:spacing w:line="276" w:lineRule="auto"/>
        <w:rPr>
          <w:sz w:val="25"/>
          <w:szCs w:val="25"/>
        </w:rPr>
      </w:pPr>
    </w:p>
    <w:p w:rsidR="002A2241" w:rsidRPr="002532DF" w:rsidRDefault="002A2241" w:rsidP="00027588">
      <w:pPr>
        <w:numPr>
          <w:ilvl w:val="0"/>
          <w:numId w:val="1"/>
        </w:numPr>
        <w:tabs>
          <w:tab w:val="clear" w:pos="720"/>
          <w:tab w:val="num" w:pos="0"/>
        </w:tabs>
        <w:spacing w:line="276" w:lineRule="auto"/>
        <w:ind w:left="0"/>
        <w:rPr>
          <w:sz w:val="25"/>
          <w:szCs w:val="25"/>
        </w:rPr>
      </w:pPr>
      <w:r w:rsidRPr="002532DF">
        <w:rPr>
          <w:sz w:val="25"/>
          <w:szCs w:val="25"/>
        </w:rPr>
        <w:t>PacifiCorp recommends the Commission retain the commercial temperature normalization portion of its adjustment.</w:t>
      </w:r>
      <w:r w:rsidRPr="002532DF">
        <w:rPr>
          <w:rStyle w:val="FootnoteReference"/>
          <w:sz w:val="25"/>
          <w:szCs w:val="25"/>
        </w:rPr>
        <w:footnoteReference w:id="319"/>
      </w:r>
      <w:r w:rsidRPr="002532DF">
        <w:rPr>
          <w:sz w:val="25"/>
          <w:szCs w:val="25"/>
        </w:rPr>
        <w:t xml:space="preserve">  The Company argues that Staff’s </w:t>
      </w:r>
      <w:r w:rsidR="00A02F37" w:rsidRPr="002532DF">
        <w:rPr>
          <w:sz w:val="25"/>
          <w:szCs w:val="25"/>
        </w:rPr>
        <w:t xml:space="preserve">analysis should be rejected for three reasons.  First, Staff’s analysis is too limited because its </w:t>
      </w:r>
      <w:r w:rsidRPr="002532DF">
        <w:rPr>
          <w:sz w:val="25"/>
          <w:szCs w:val="25"/>
        </w:rPr>
        <w:t xml:space="preserve">sole focus </w:t>
      </w:r>
      <w:r w:rsidR="00A02F37" w:rsidRPr="002532DF">
        <w:rPr>
          <w:sz w:val="25"/>
          <w:szCs w:val="25"/>
        </w:rPr>
        <w:t xml:space="preserve">is </w:t>
      </w:r>
      <w:r w:rsidRPr="002532DF">
        <w:rPr>
          <w:sz w:val="25"/>
          <w:szCs w:val="25"/>
        </w:rPr>
        <w:t xml:space="preserve">on the </w:t>
      </w:r>
      <w:r w:rsidR="002507F5" w:rsidRPr="002532DF">
        <w:rPr>
          <w:sz w:val="25"/>
          <w:szCs w:val="25"/>
        </w:rPr>
        <w:t xml:space="preserve">sensitivity coefficient or </w:t>
      </w:r>
      <w:r w:rsidRPr="002532DF">
        <w:rPr>
          <w:sz w:val="25"/>
          <w:szCs w:val="25"/>
        </w:rPr>
        <w:t>R-square value</w:t>
      </w:r>
      <w:r w:rsidR="00A02F37" w:rsidRPr="002532DF">
        <w:rPr>
          <w:sz w:val="25"/>
          <w:szCs w:val="25"/>
        </w:rPr>
        <w:t>.</w:t>
      </w:r>
      <w:r w:rsidR="002507F5" w:rsidRPr="002532DF">
        <w:rPr>
          <w:rStyle w:val="FootnoteReference"/>
          <w:sz w:val="25"/>
          <w:szCs w:val="25"/>
        </w:rPr>
        <w:footnoteReference w:id="320"/>
      </w:r>
      <w:r w:rsidRPr="002532DF">
        <w:rPr>
          <w:sz w:val="25"/>
          <w:szCs w:val="25"/>
        </w:rPr>
        <w:t xml:space="preserve">  </w:t>
      </w:r>
      <w:r w:rsidR="00A02F37" w:rsidRPr="002532DF">
        <w:rPr>
          <w:sz w:val="25"/>
          <w:szCs w:val="25"/>
        </w:rPr>
        <w:t xml:space="preserve">Second, </w:t>
      </w:r>
      <w:r w:rsidRPr="002532DF">
        <w:rPr>
          <w:sz w:val="25"/>
          <w:szCs w:val="25"/>
        </w:rPr>
        <w:t>the Company’s method</w:t>
      </w:r>
      <w:r w:rsidR="00A02F37" w:rsidRPr="002532DF">
        <w:rPr>
          <w:sz w:val="25"/>
          <w:szCs w:val="25"/>
        </w:rPr>
        <w:t>ology</w:t>
      </w:r>
      <w:r w:rsidRPr="002532DF">
        <w:rPr>
          <w:sz w:val="25"/>
          <w:szCs w:val="25"/>
        </w:rPr>
        <w:t xml:space="preserve"> is consistent with Commission practice</w:t>
      </w:r>
      <w:r w:rsidR="00A02F37" w:rsidRPr="002532DF">
        <w:rPr>
          <w:sz w:val="25"/>
          <w:szCs w:val="25"/>
        </w:rPr>
        <w:t>.  Moreover, Staff agreed to this methodology in a previous case and now objects to its application to the commercial class.  And finally,</w:t>
      </w:r>
      <w:r w:rsidRPr="002532DF">
        <w:rPr>
          <w:sz w:val="25"/>
          <w:szCs w:val="25"/>
        </w:rPr>
        <w:t xml:space="preserve"> the Company’s temperature normalization adjustment improves </w:t>
      </w:r>
      <w:r w:rsidR="00A02F37" w:rsidRPr="002532DF">
        <w:rPr>
          <w:sz w:val="25"/>
          <w:szCs w:val="25"/>
        </w:rPr>
        <w:t xml:space="preserve">the accuracy of the combined </w:t>
      </w:r>
      <w:r w:rsidRPr="002532DF">
        <w:rPr>
          <w:sz w:val="25"/>
          <w:szCs w:val="25"/>
        </w:rPr>
        <w:t xml:space="preserve">load </w:t>
      </w:r>
      <w:r w:rsidR="00A02F37" w:rsidRPr="002532DF">
        <w:rPr>
          <w:sz w:val="25"/>
          <w:szCs w:val="25"/>
        </w:rPr>
        <w:t>forecast</w:t>
      </w:r>
      <w:r w:rsidRPr="002532DF">
        <w:rPr>
          <w:sz w:val="25"/>
          <w:szCs w:val="25"/>
        </w:rPr>
        <w:t>.</w:t>
      </w:r>
      <w:r w:rsidRPr="002532DF">
        <w:rPr>
          <w:rStyle w:val="FootnoteReference"/>
          <w:sz w:val="25"/>
          <w:szCs w:val="25"/>
        </w:rPr>
        <w:footnoteReference w:id="321"/>
      </w:r>
    </w:p>
    <w:p w:rsidR="002A2241" w:rsidRPr="002532DF" w:rsidRDefault="002A2241" w:rsidP="00D552F1">
      <w:pPr>
        <w:pStyle w:val="NoSpacing"/>
      </w:pPr>
    </w:p>
    <w:p w:rsidR="00FD57F2" w:rsidRPr="002532DF" w:rsidRDefault="00D17347" w:rsidP="00027588">
      <w:pPr>
        <w:numPr>
          <w:ilvl w:val="0"/>
          <w:numId w:val="1"/>
        </w:numPr>
        <w:tabs>
          <w:tab w:val="clear" w:pos="720"/>
          <w:tab w:val="num" w:pos="0"/>
        </w:tabs>
        <w:spacing w:line="276" w:lineRule="auto"/>
        <w:ind w:left="0"/>
        <w:rPr>
          <w:sz w:val="25"/>
          <w:szCs w:val="25"/>
        </w:rPr>
      </w:pPr>
      <w:r w:rsidRPr="002532DF">
        <w:rPr>
          <w:i/>
          <w:sz w:val="25"/>
          <w:szCs w:val="25"/>
        </w:rPr>
        <w:t xml:space="preserve">Commission Decision. </w:t>
      </w:r>
      <w:r w:rsidR="006A6C81" w:rsidRPr="002532DF">
        <w:rPr>
          <w:i/>
          <w:sz w:val="25"/>
          <w:szCs w:val="25"/>
        </w:rPr>
        <w:t xml:space="preserve"> </w:t>
      </w:r>
      <w:r w:rsidR="00840306" w:rsidRPr="002532DF">
        <w:rPr>
          <w:sz w:val="25"/>
          <w:szCs w:val="25"/>
        </w:rPr>
        <w:t>We a</w:t>
      </w:r>
      <w:r w:rsidR="004532BC" w:rsidRPr="002532DF">
        <w:rPr>
          <w:sz w:val="25"/>
          <w:szCs w:val="25"/>
        </w:rPr>
        <w:t xml:space="preserve">gree with Staff that PacifiCorp failed to meet its burden </w:t>
      </w:r>
      <w:r w:rsidR="00876C97">
        <w:rPr>
          <w:sz w:val="25"/>
          <w:szCs w:val="25"/>
        </w:rPr>
        <w:t>to prove</w:t>
      </w:r>
      <w:r w:rsidR="004532BC" w:rsidRPr="002532DF">
        <w:rPr>
          <w:sz w:val="25"/>
          <w:szCs w:val="25"/>
        </w:rPr>
        <w:t xml:space="preserve"> that </w:t>
      </w:r>
      <w:r w:rsidR="000606DB" w:rsidRPr="002532DF">
        <w:rPr>
          <w:sz w:val="25"/>
          <w:szCs w:val="25"/>
        </w:rPr>
        <w:t xml:space="preserve">its </w:t>
      </w:r>
      <w:r w:rsidR="004532BC" w:rsidRPr="002532DF">
        <w:rPr>
          <w:sz w:val="25"/>
          <w:szCs w:val="25"/>
        </w:rPr>
        <w:t xml:space="preserve">temperature normalization adjustment </w:t>
      </w:r>
      <w:r w:rsidR="000606DB" w:rsidRPr="002532DF">
        <w:rPr>
          <w:sz w:val="25"/>
          <w:szCs w:val="25"/>
        </w:rPr>
        <w:t xml:space="preserve">produces a reliable result that </w:t>
      </w:r>
      <w:r w:rsidR="004532BC" w:rsidRPr="002532DF">
        <w:rPr>
          <w:sz w:val="25"/>
          <w:szCs w:val="25"/>
        </w:rPr>
        <w:t>should be applied to the commercial class.  The Company’s adjustment does not demonstrate a proximate relationship between temperature and ele</w:t>
      </w:r>
      <w:r w:rsidR="005A2BF9" w:rsidRPr="002532DF">
        <w:rPr>
          <w:sz w:val="25"/>
          <w:szCs w:val="25"/>
        </w:rPr>
        <w:t xml:space="preserve">ctricity consumption.  Staff suggests that other analyses of the data could be performed </w:t>
      </w:r>
      <w:r w:rsidR="000606DB" w:rsidRPr="002532DF">
        <w:rPr>
          <w:sz w:val="25"/>
          <w:szCs w:val="25"/>
        </w:rPr>
        <w:t xml:space="preserve">to examine the causes of the wide variability in results, </w:t>
      </w:r>
      <w:r w:rsidR="005A2BF9" w:rsidRPr="002532DF">
        <w:rPr>
          <w:sz w:val="25"/>
          <w:szCs w:val="25"/>
        </w:rPr>
        <w:t>including evaluating subgroups within the commercial class.</w:t>
      </w:r>
      <w:r w:rsidR="005A2BF9" w:rsidRPr="002532DF">
        <w:rPr>
          <w:rStyle w:val="FootnoteReference"/>
          <w:sz w:val="25"/>
          <w:szCs w:val="25"/>
        </w:rPr>
        <w:footnoteReference w:id="322"/>
      </w:r>
      <w:r w:rsidR="005A2BF9" w:rsidRPr="002532DF">
        <w:rPr>
          <w:sz w:val="25"/>
          <w:szCs w:val="25"/>
        </w:rPr>
        <w:t xml:space="preserve">  This is an option the Company may wish to pursue in a future rate case.  Our rejection of the </w:t>
      </w:r>
      <w:r w:rsidR="000606DB" w:rsidRPr="002532DF">
        <w:rPr>
          <w:sz w:val="25"/>
          <w:szCs w:val="25"/>
        </w:rPr>
        <w:t xml:space="preserve">Company’s temperature normalization adjustment for the </w:t>
      </w:r>
      <w:r w:rsidR="005A2BF9" w:rsidRPr="002532DF">
        <w:rPr>
          <w:sz w:val="25"/>
          <w:szCs w:val="25"/>
        </w:rPr>
        <w:t>commercial class reduces revenue requirement by $</w:t>
      </w:r>
      <w:r w:rsidR="00322732" w:rsidRPr="002532DF">
        <w:rPr>
          <w:sz w:val="25"/>
          <w:szCs w:val="25"/>
        </w:rPr>
        <w:t>965,319</w:t>
      </w:r>
      <w:r w:rsidR="00840306" w:rsidRPr="002532DF">
        <w:rPr>
          <w:sz w:val="25"/>
          <w:szCs w:val="25"/>
        </w:rPr>
        <w:t>.</w:t>
      </w:r>
    </w:p>
    <w:p w:rsidR="00341E22" w:rsidRPr="002532DF" w:rsidRDefault="00341E22" w:rsidP="006A6C81">
      <w:pPr>
        <w:pStyle w:val="Heading4"/>
        <w:ind w:left="1080" w:hanging="360"/>
        <w:rPr>
          <w:rFonts w:ascii="Times New Roman" w:hAnsi="Times New Roman"/>
          <w:i/>
          <w:sz w:val="25"/>
          <w:szCs w:val="25"/>
        </w:rPr>
      </w:pPr>
      <w:bookmarkStart w:id="60" w:name="_Toc288813751"/>
      <w:r w:rsidRPr="002532DF">
        <w:rPr>
          <w:rFonts w:ascii="Times New Roman" w:hAnsi="Times New Roman"/>
          <w:sz w:val="25"/>
          <w:szCs w:val="25"/>
        </w:rPr>
        <w:t>6.</w:t>
      </w:r>
      <w:r w:rsidRPr="002532DF">
        <w:rPr>
          <w:rFonts w:ascii="Times New Roman" w:hAnsi="Times New Roman"/>
          <w:sz w:val="25"/>
          <w:szCs w:val="25"/>
        </w:rPr>
        <w:tab/>
      </w:r>
      <w:r w:rsidR="006C34B5" w:rsidRPr="002532DF">
        <w:rPr>
          <w:rFonts w:ascii="Times New Roman" w:hAnsi="Times New Roman"/>
          <w:sz w:val="25"/>
          <w:szCs w:val="25"/>
        </w:rPr>
        <w:t>Restating and</w:t>
      </w:r>
      <w:r w:rsidR="006C34B5" w:rsidRPr="002532DF">
        <w:rPr>
          <w:rFonts w:ascii="Times New Roman" w:hAnsi="Times New Roman"/>
          <w:i/>
          <w:sz w:val="25"/>
          <w:szCs w:val="25"/>
        </w:rPr>
        <w:t xml:space="preserve"> </w:t>
      </w:r>
      <w:r w:rsidRPr="002532DF">
        <w:rPr>
          <w:rFonts w:ascii="Times New Roman" w:hAnsi="Times New Roman"/>
          <w:i/>
          <w:sz w:val="25"/>
          <w:szCs w:val="25"/>
        </w:rPr>
        <w:t xml:space="preserve">Pro forma </w:t>
      </w:r>
      <w:r w:rsidRPr="002532DF">
        <w:rPr>
          <w:rFonts w:ascii="Times New Roman" w:hAnsi="Times New Roman"/>
          <w:sz w:val="25"/>
          <w:szCs w:val="25"/>
        </w:rPr>
        <w:t>Wage Increase</w:t>
      </w:r>
      <w:r w:rsidR="006C34B5" w:rsidRPr="002532DF">
        <w:rPr>
          <w:rFonts w:ascii="Times New Roman" w:hAnsi="Times New Roman"/>
          <w:sz w:val="25"/>
          <w:szCs w:val="25"/>
        </w:rPr>
        <w:t>s</w:t>
      </w:r>
      <w:bookmarkEnd w:id="60"/>
    </w:p>
    <w:p w:rsidR="000776ED" w:rsidRPr="002532DF" w:rsidRDefault="000776ED" w:rsidP="00817E21">
      <w:pPr>
        <w:tabs>
          <w:tab w:val="left" w:pos="1800"/>
        </w:tabs>
        <w:spacing w:line="276" w:lineRule="auto"/>
        <w:ind w:left="1440"/>
        <w:rPr>
          <w:b/>
          <w:i/>
          <w:sz w:val="25"/>
          <w:szCs w:val="25"/>
        </w:rPr>
      </w:pPr>
    </w:p>
    <w:p w:rsidR="00643DC5" w:rsidRPr="002532DF" w:rsidRDefault="00AC6466" w:rsidP="00027588">
      <w:pPr>
        <w:numPr>
          <w:ilvl w:val="0"/>
          <w:numId w:val="1"/>
        </w:numPr>
        <w:tabs>
          <w:tab w:val="clear" w:pos="720"/>
          <w:tab w:val="num" w:pos="0"/>
        </w:tabs>
        <w:spacing w:line="276" w:lineRule="auto"/>
        <w:ind w:left="0"/>
        <w:rPr>
          <w:sz w:val="25"/>
          <w:szCs w:val="25"/>
        </w:rPr>
      </w:pPr>
      <w:r w:rsidRPr="002532DF">
        <w:rPr>
          <w:i/>
          <w:sz w:val="25"/>
          <w:szCs w:val="25"/>
        </w:rPr>
        <w:t xml:space="preserve">Positions of the Parties.  </w:t>
      </w:r>
      <w:r w:rsidR="00341E22" w:rsidRPr="002532DF">
        <w:rPr>
          <w:sz w:val="25"/>
          <w:szCs w:val="25"/>
        </w:rPr>
        <w:t>The Company restates its te</w:t>
      </w:r>
      <w:r w:rsidR="001F2E7D" w:rsidRPr="002532DF">
        <w:rPr>
          <w:sz w:val="25"/>
          <w:szCs w:val="25"/>
        </w:rPr>
        <w:t>s</w:t>
      </w:r>
      <w:r w:rsidR="00341E22" w:rsidRPr="002532DF">
        <w:rPr>
          <w:sz w:val="25"/>
          <w:szCs w:val="25"/>
        </w:rPr>
        <w:t xml:space="preserve">t year wages for increases in labor costs </w:t>
      </w:r>
      <w:r w:rsidR="006C34B5" w:rsidRPr="002532DF">
        <w:rPr>
          <w:sz w:val="25"/>
          <w:szCs w:val="25"/>
        </w:rPr>
        <w:t>to reflect salary increase</w:t>
      </w:r>
      <w:r w:rsidR="006275B2" w:rsidRPr="002532DF">
        <w:rPr>
          <w:sz w:val="25"/>
          <w:szCs w:val="25"/>
        </w:rPr>
        <w:t>s</w:t>
      </w:r>
      <w:r w:rsidR="006C34B5" w:rsidRPr="002532DF">
        <w:rPr>
          <w:sz w:val="25"/>
          <w:szCs w:val="25"/>
        </w:rPr>
        <w:t xml:space="preserve"> for all employees during the test year.  This adjustment increases the revenue requirement by $30,329.</w:t>
      </w:r>
      <w:r w:rsidR="006C34B5" w:rsidRPr="002532DF">
        <w:rPr>
          <w:rStyle w:val="FootnoteReference"/>
          <w:sz w:val="25"/>
          <w:szCs w:val="25"/>
        </w:rPr>
        <w:footnoteReference w:id="323"/>
      </w:r>
      <w:r w:rsidR="006C34B5" w:rsidRPr="002532DF">
        <w:rPr>
          <w:sz w:val="25"/>
          <w:szCs w:val="25"/>
        </w:rPr>
        <w:t xml:space="preserve">  PacifiCorp also proposes a </w:t>
      </w:r>
      <w:r w:rsidR="006C34B5" w:rsidRPr="002532DF">
        <w:rPr>
          <w:i/>
          <w:sz w:val="25"/>
          <w:szCs w:val="25"/>
        </w:rPr>
        <w:t xml:space="preserve">pro forma </w:t>
      </w:r>
      <w:r w:rsidR="006C34B5" w:rsidRPr="002532DF">
        <w:rPr>
          <w:sz w:val="25"/>
          <w:szCs w:val="25"/>
        </w:rPr>
        <w:t xml:space="preserve">wage increase that reflects union contract based wage increases effective </w:t>
      </w:r>
      <w:r w:rsidR="00341E22" w:rsidRPr="002532DF">
        <w:rPr>
          <w:sz w:val="25"/>
          <w:szCs w:val="25"/>
        </w:rPr>
        <w:t>after the test year</w:t>
      </w:r>
      <w:r w:rsidR="006C34B5" w:rsidRPr="002532DF">
        <w:rPr>
          <w:sz w:val="25"/>
          <w:szCs w:val="25"/>
        </w:rPr>
        <w:t xml:space="preserve">, as of </w:t>
      </w:r>
      <w:r w:rsidR="00341E22" w:rsidRPr="002532DF">
        <w:rPr>
          <w:sz w:val="25"/>
          <w:szCs w:val="25"/>
        </w:rPr>
        <w:t>December 2010.</w:t>
      </w:r>
      <w:r w:rsidR="00643DC5" w:rsidRPr="002532DF">
        <w:rPr>
          <w:sz w:val="25"/>
          <w:szCs w:val="25"/>
        </w:rPr>
        <w:t xml:space="preserve">  This a</w:t>
      </w:r>
      <w:r w:rsidR="006C34B5" w:rsidRPr="002532DF">
        <w:rPr>
          <w:sz w:val="25"/>
          <w:szCs w:val="25"/>
        </w:rPr>
        <w:t>djustment increases wages by $392,082</w:t>
      </w:r>
      <w:r w:rsidR="00643DC5" w:rsidRPr="002532DF">
        <w:rPr>
          <w:sz w:val="25"/>
          <w:szCs w:val="25"/>
        </w:rPr>
        <w:t>.  Union labor cost increases were adjusted using contract agreements whereas non-union and exempt employee adjustments are based on actual labor cost increases effective January 2009 and 2010.</w:t>
      </w:r>
      <w:r w:rsidR="00643DC5" w:rsidRPr="002532DF">
        <w:rPr>
          <w:rStyle w:val="FootnoteReference"/>
          <w:sz w:val="25"/>
          <w:szCs w:val="25"/>
        </w:rPr>
        <w:footnoteReference w:id="324"/>
      </w:r>
      <w:r w:rsidR="00643DC5" w:rsidRPr="002532DF">
        <w:rPr>
          <w:sz w:val="25"/>
          <w:szCs w:val="25"/>
        </w:rPr>
        <w:t xml:space="preserve">  The Company adjusts payroll taxes to reflect the impact of the changes.  However, PacifiCorp did not adjust changes in workforce levels, employee benefits and incentives, or pensions. </w:t>
      </w:r>
      <w:r w:rsidR="00643DC5" w:rsidRPr="002532DF">
        <w:rPr>
          <w:rStyle w:val="FootnoteReference"/>
          <w:sz w:val="25"/>
          <w:szCs w:val="25"/>
        </w:rPr>
        <w:footnoteReference w:id="325"/>
      </w:r>
      <w:r w:rsidR="00643DC5" w:rsidRPr="002532DF">
        <w:rPr>
          <w:sz w:val="25"/>
          <w:szCs w:val="25"/>
        </w:rPr>
        <w:t xml:space="preserve"> </w:t>
      </w:r>
    </w:p>
    <w:p w:rsidR="00C62D1E" w:rsidRPr="002532DF" w:rsidRDefault="00C62D1E" w:rsidP="00817E21">
      <w:pPr>
        <w:spacing w:line="276" w:lineRule="auto"/>
        <w:rPr>
          <w:sz w:val="25"/>
          <w:szCs w:val="25"/>
        </w:rPr>
      </w:pPr>
    </w:p>
    <w:p w:rsidR="00643DC5" w:rsidRPr="002532DF" w:rsidRDefault="00643DC5" w:rsidP="00027588">
      <w:pPr>
        <w:numPr>
          <w:ilvl w:val="0"/>
          <w:numId w:val="1"/>
        </w:numPr>
        <w:tabs>
          <w:tab w:val="clear" w:pos="720"/>
          <w:tab w:val="num" w:pos="0"/>
        </w:tabs>
        <w:spacing w:line="276" w:lineRule="auto"/>
        <w:ind w:left="0"/>
        <w:rPr>
          <w:sz w:val="25"/>
          <w:szCs w:val="25"/>
        </w:rPr>
      </w:pPr>
      <w:r w:rsidRPr="002532DF">
        <w:rPr>
          <w:sz w:val="25"/>
          <w:szCs w:val="25"/>
        </w:rPr>
        <w:t>The Joint Parties</w:t>
      </w:r>
      <w:r w:rsidR="002B1E75" w:rsidRPr="002532DF">
        <w:rPr>
          <w:sz w:val="25"/>
          <w:szCs w:val="25"/>
        </w:rPr>
        <w:t xml:space="preserve"> oppose both the restating and </w:t>
      </w:r>
      <w:r w:rsidR="002B1E75" w:rsidRPr="002532DF">
        <w:rPr>
          <w:i/>
          <w:sz w:val="25"/>
          <w:szCs w:val="25"/>
        </w:rPr>
        <w:t xml:space="preserve">pro forma </w:t>
      </w:r>
      <w:r w:rsidR="002B1E75" w:rsidRPr="002532DF">
        <w:rPr>
          <w:sz w:val="25"/>
          <w:szCs w:val="25"/>
        </w:rPr>
        <w:t>wage adjustments</w:t>
      </w:r>
      <w:r w:rsidR="002B1E75" w:rsidRPr="003821F4">
        <w:rPr>
          <w:sz w:val="25"/>
          <w:szCs w:val="25"/>
        </w:rPr>
        <w:t>.</w:t>
      </w:r>
      <w:r w:rsidR="00AE50B2" w:rsidRPr="003821F4">
        <w:rPr>
          <w:rStyle w:val="FootnoteReference"/>
          <w:sz w:val="25"/>
          <w:szCs w:val="25"/>
        </w:rPr>
        <w:footnoteReference w:id="326"/>
      </w:r>
      <w:r w:rsidRPr="003821F4">
        <w:rPr>
          <w:sz w:val="25"/>
          <w:szCs w:val="25"/>
        </w:rPr>
        <w:t xml:space="preserve"> </w:t>
      </w:r>
      <w:r w:rsidR="003821F4">
        <w:rPr>
          <w:sz w:val="25"/>
          <w:szCs w:val="25"/>
        </w:rPr>
        <w:t xml:space="preserve"> </w:t>
      </w:r>
      <w:r w:rsidR="002B1E75" w:rsidRPr="003821F4">
        <w:rPr>
          <w:sz w:val="25"/>
          <w:szCs w:val="25"/>
        </w:rPr>
        <w:t>W</w:t>
      </w:r>
      <w:r w:rsidR="002B1E75" w:rsidRPr="002532DF">
        <w:rPr>
          <w:sz w:val="25"/>
          <w:szCs w:val="25"/>
        </w:rPr>
        <w:t xml:space="preserve">ith respect to the </w:t>
      </w:r>
      <w:r w:rsidR="006C34B5" w:rsidRPr="002532DF">
        <w:rPr>
          <w:i/>
          <w:sz w:val="25"/>
          <w:szCs w:val="25"/>
        </w:rPr>
        <w:t xml:space="preserve">pro forma </w:t>
      </w:r>
      <w:r w:rsidRPr="002532DF">
        <w:rPr>
          <w:sz w:val="25"/>
          <w:szCs w:val="25"/>
        </w:rPr>
        <w:t>wage adjustment</w:t>
      </w:r>
      <w:r w:rsidR="002B1E75" w:rsidRPr="002532DF">
        <w:rPr>
          <w:sz w:val="25"/>
          <w:szCs w:val="25"/>
        </w:rPr>
        <w:t xml:space="preserve">, they argue it </w:t>
      </w:r>
      <w:r w:rsidRPr="002532DF">
        <w:rPr>
          <w:sz w:val="25"/>
          <w:szCs w:val="25"/>
        </w:rPr>
        <w:t>should be disallowed because the Company did not consider all relevant factors including whether there are corresponding offsets to the wage increases such as changes in workforce levels</w:t>
      </w:r>
      <w:r w:rsidR="00FA5654" w:rsidRPr="002532DF">
        <w:rPr>
          <w:sz w:val="25"/>
          <w:szCs w:val="25"/>
        </w:rPr>
        <w:t xml:space="preserve"> </w:t>
      </w:r>
      <w:r w:rsidR="00A22FE9" w:rsidRPr="002532DF">
        <w:rPr>
          <w:sz w:val="25"/>
          <w:szCs w:val="25"/>
        </w:rPr>
        <w:t xml:space="preserve">or the </w:t>
      </w:r>
      <w:r w:rsidR="00FA5654" w:rsidRPr="002532DF">
        <w:rPr>
          <w:sz w:val="25"/>
          <w:szCs w:val="25"/>
        </w:rPr>
        <w:t xml:space="preserve">Powerdale </w:t>
      </w:r>
      <w:r w:rsidR="00A22FE9" w:rsidRPr="002532DF">
        <w:rPr>
          <w:sz w:val="25"/>
          <w:szCs w:val="25"/>
        </w:rPr>
        <w:t>H</w:t>
      </w:r>
      <w:r w:rsidR="00FA5654" w:rsidRPr="002532DF">
        <w:rPr>
          <w:sz w:val="25"/>
          <w:szCs w:val="25"/>
        </w:rPr>
        <w:t xml:space="preserve">ydro </w:t>
      </w:r>
      <w:r w:rsidR="00A22FE9" w:rsidRPr="002532DF">
        <w:rPr>
          <w:sz w:val="25"/>
          <w:szCs w:val="25"/>
        </w:rPr>
        <w:t>Removal adjustment</w:t>
      </w:r>
      <w:r w:rsidRPr="002532DF">
        <w:rPr>
          <w:sz w:val="25"/>
          <w:szCs w:val="25"/>
        </w:rPr>
        <w:t>.</w:t>
      </w:r>
      <w:r w:rsidRPr="002532DF">
        <w:rPr>
          <w:rStyle w:val="FootnoteReference"/>
          <w:sz w:val="25"/>
          <w:szCs w:val="25"/>
        </w:rPr>
        <w:footnoteReference w:id="327"/>
      </w:r>
      <w:r w:rsidRPr="002532DF">
        <w:rPr>
          <w:sz w:val="25"/>
          <w:szCs w:val="25"/>
        </w:rPr>
        <w:t xml:space="preserve"> </w:t>
      </w:r>
      <w:r w:rsidR="002B1E75" w:rsidRPr="002532DF">
        <w:rPr>
          <w:sz w:val="25"/>
          <w:szCs w:val="25"/>
        </w:rPr>
        <w:t xml:space="preserve"> With respect to the restating adjustment, they argue that 2009 wage increases for officer and exempt employees should be limited to the average increase granted to the other labor groups, or 2.07 percent.  This adjustment would reduce required revenues by $128,366.</w:t>
      </w:r>
      <w:r w:rsidR="002B1E75" w:rsidRPr="002532DF">
        <w:rPr>
          <w:rStyle w:val="FootnoteReference"/>
          <w:sz w:val="25"/>
          <w:szCs w:val="25"/>
        </w:rPr>
        <w:footnoteReference w:id="328"/>
      </w:r>
    </w:p>
    <w:p w:rsidR="00C14F44" w:rsidRPr="002532DF" w:rsidRDefault="00C14F44" w:rsidP="00817E21">
      <w:pPr>
        <w:spacing w:line="276" w:lineRule="auto"/>
        <w:rPr>
          <w:sz w:val="25"/>
          <w:szCs w:val="25"/>
        </w:rPr>
      </w:pPr>
    </w:p>
    <w:p w:rsidR="00643DC5" w:rsidRPr="002532DF" w:rsidRDefault="00643DC5" w:rsidP="00027588">
      <w:pPr>
        <w:numPr>
          <w:ilvl w:val="0"/>
          <w:numId w:val="1"/>
        </w:numPr>
        <w:tabs>
          <w:tab w:val="clear" w:pos="720"/>
          <w:tab w:val="num" w:pos="0"/>
        </w:tabs>
        <w:spacing w:line="276" w:lineRule="auto"/>
        <w:ind w:left="0"/>
        <w:rPr>
          <w:sz w:val="25"/>
          <w:szCs w:val="25"/>
        </w:rPr>
      </w:pPr>
      <w:r w:rsidRPr="002532DF">
        <w:rPr>
          <w:sz w:val="25"/>
          <w:szCs w:val="25"/>
        </w:rPr>
        <w:t>In rebuttal</w:t>
      </w:r>
      <w:r w:rsidR="00687858" w:rsidRPr="002532DF">
        <w:rPr>
          <w:sz w:val="25"/>
          <w:szCs w:val="25"/>
        </w:rPr>
        <w:t xml:space="preserve"> testimony</w:t>
      </w:r>
      <w:r w:rsidRPr="002532DF">
        <w:rPr>
          <w:sz w:val="25"/>
          <w:szCs w:val="25"/>
        </w:rPr>
        <w:t xml:space="preserve">, PacifiCorp argues that </w:t>
      </w:r>
      <w:r w:rsidR="006C34B5" w:rsidRPr="002532DF">
        <w:rPr>
          <w:sz w:val="25"/>
          <w:szCs w:val="25"/>
        </w:rPr>
        <w:t xml:space="preserve">both officer/exempt and non-exempt employees </w:t>
      </w:r>
      <w:r w:rsidR="00D535B8" w:rsidRPr="002532DF">
        <w:rPr>
          <w:sz w:val="25"/>
          <w:szCs w:val="25"/>
        </w:rPr>
        <w:t>received a</w:t>
      </w:r>
      <w:r w:rsidR="002B1E75" w:rsidRPr="002532DF">
        <w:rPr>
          <w:sz w:val="25"/>
          <w:szCs w:val="25"/>
        </w:rPr>
        <w:t>n actual</w:t>
      </w:r>
      <w:r w:rsidR="00D535B8" w:rsidRPr="002532DF">
        <w:rPr>
          <w:sz w:val="25"/>
          <w:szCs w:val="25"/>
        </w:rPr>
        <w:t xml:space="preserve"> 3.5 percent wage increase in 2009, rather than the 2.07 percent increase provided to union employees.</w:t>
      </w:r>
      <w:r w:rsidR="00D535B8" w:rsidRPr="002532DF">
        <w:rPr>
          <w:rStyle w:val="FootnoteReference"/>
          <w:sz w:val="25"/>
          <w:szCs w:val="25"/>
        </w:rPr>
        <w:footnoteReference w:id="329"/>
      </w:r>
      <w:r w:rsidR="00D535B8" w:rsidRPr="002532DF">
        <w:rPr>
          <w:sz w:val="25"/>
          <w:szCs w:val="25"/>
        </w:rPr>
        <w:t xml:space="preserve">  </w:t>
      </w:r>
      <w:r w:rsidR="002B1E75" w:rsidRPr="002532DF">
        <w:rPr>
          <w:sz w:val="25"/>
          <w:szCs w:val="25"/>
        </w:rPr>
        <w:t>It</w:t>
      </w:r>
      <w:r w:rsidR="00D535B8" w:rsidRPr="002532DF">
        <w:rPr>
          <w:sz w:val="25"/>
          <w:szCs w:val="25"/>
        </w:rPr>
        <w:t xml:space="preserve"> contends that it is unreasonable to limit non-union employees’ wage increase to that afforded union employees because the negotiated agreements with union employees may have included </w:t>
      </w:r>
      <w:r w:rsidR="002B1E75" w:rsidRPr="002532DF">
        <w:rPr>
          <w:sz w:val="25"/>
          <w:szCs w:val="25"/>
        </w:rPr>
        <w:t>offsetting</w:t>
      </w:r>
      <w:r w:rsidR="00D535B8" w:rsidRPr="002532DF">
        <w:rPr>
          <w:sz w:val="25"/>
          <w:szCs w:val="25"/>
        </w:rPr>
        <w:t xml:space="preserve"> benefit</w:t>
      </w:r>
      <w:r w:rsidR="002B1E75" w:rsidRPr="002532DF">
        <w:rPr>
          <w:sz w:val="25"/>
          <w:szCs w:val="25"/>
        </w:rPr>
        <w:t xml:space="preserve">s that make a direct comparison difficult. </w:t>
      </w:r>
      <w:r w:rsidR="00D535B8" w:rsidRPr="002532DF">
        <w:rPr>
          <w:sz w:val="25"/>
          <w:szCs w:val="25"/>
        </w:rPr>
        <w:t xml:space="preserve"> PacifiCorp also opposes the Joint Parties’ proposal to eliminate </w:t>
      </w:r>
      <w:r w:rsidRPr="002532DF">
        <w:rPr>
          <w:sz w:val="25"/>
          <w:szCs w:val="25"/>
        </w:rPr>
        <w:t xml:space="preserve">the </w:t>
      </w:r>
      <w:r w:rsidR="006C34B5" w:rsidRPr="002532DF">
        <w:rPr>
          <w:i/>
          <w:sz w:val="25"/>
          <w:szCs w:val="25"/>
        </w:rPr>
        <w:t xml:space="preserve">pro forma </w:t>
      </w:r>
      <w:r w:rsidRPr="002532DF">
        <w:rPr>
          <w:sz w:val="25"/>
          <w:szCs w:val="25"/>
        </w:rPr>
        <w:t xml:space="preserve">increases in labor costs </w:t>
      </w:r>
      <w:r w:rsidR="00D535B8" w:rsidRPr="002532DF">
        <w:rPr>
          <w:sz w:val="25"/>
          <w:szCs w:val="25"/>
        </w:rPr>
        <w:t xml:space="preserve">arguing that these costs </w:t>
      </w:r>
      <w:r w:rsidRPr="002532DF">
        <w:rPr>
          <w:sz w:val="25"/>
          <w:szCs w:val="25"/>
        </w:rPr>
        <w:t>are known, measurable, and reasonable because the “Company implemented 2010 wage increases were slightly below market</w:t>
      </w:r>
      <w:r w:rsidR="007F1AC8" w:rsidRPr="002532DF">
        <w:rPr>
          <w:sz w:val="25"/>
          <w:szCs w:val="25"/>
        </w:rPr>
        <w:t xml:space="preserve"> </w:t>
      </w:r>
      <w:r w:rsidRPr="002532DF">
        <w:rPr>
          <w:sz w:val="25"/>
          <w:szCs w:val="25"/>
        </w:rPr>
        <w:t>…” and only for employees earning a base salary below $100,000.</w:t>
      </w:r>
      <w:r w:rsidRPr="002532DF">
        <w:rPr>
          <w:rStyle w:val="FootnoteReference"/>
          <w:sz w:val="25"/>
          <w:szCs w:val="25"/>
        </w:rPr>
        <w:footnoteReference w:id="330"/>
      </w:r>
      <w:r w:rsidRPr="002532DF">
        <w:rPr>
          <w:sz w:val="25"/>
          <w:szCs w:val="25"/>
        </w:rPr>
        <w:t xml:space="preserve">  The Company notes that the Joint Parties do not object to the level of the proposed 2010 wage increase, but rather that other adjustments should be included in the revenue requirement.  Finally, PacifiCorp stresses that the Joint Parties do not provide evidence supporting the “other adjustments.”</w:t>
      </w:r>
      <w:r w:rsidRPr="002532DF">
        <w:rPr>
          <w:rStyle w:val="FootnoteReference"/>
          <w:sz w:val="25"/>
          <w:szCs w:val="25"/>
        </w:rPr>
        <w:footnoteReference w:id="331"/>
      </w:r>
      <w:r w:rsidRPr="002532DF">
        <w:rPr>
          <w:sz w:val="25"/>
          <w:szCs w:val="25"/>
        </w:rPr>
        <w:t xml:space="preserve"> </w:t>
      </w:r>
    </w:p>
    <w:p w:rsidR="00C14F44" w:rsidRPr="002532DF" w:rsidRDefault="00C14F44" w:rsidP="00817E21">
      <w:pPr>
        <w:spacing w:line="276" w:lineRule="auto"/>
        <w:rPr>
          <w:i/>
          <w:sz w:val="25"/>
          <w:szCs w:val="25"/>
        </w:rPr>
      </w:pPr>
    </w:p>
    <w:p w:rsidR="00FA5654" w:rsidRPr="002532DF" w:rsidRDefault="00D17347" w:rsidP="00027588">
      <w:pPr>
        <w:numPr>
          <w:ilvl w:val="0"/>
          <w:numId w:val="1"/>
        </w:numPr>
        <w:tabs>
          <w:tab w:val="clear" w:pos="720"/>
          <w:tab w:val="num" w:pos="0"/>
        </w:tabs>
        <w:spacing w:line="276" w:lineRule="auto"/>
        <w:ind w:left="0"/>
        <w:rPr>
          <w:sz w:val="25"/>
          <w:szCs w:val="25"/>
        </w:rPr>
      </w:pPr>
      <w:r w:rsidRPr="002532DF">
        <w:rPr>
          <w:i/>
          <w:sz w:val="25"/>
          <w:szCs w:val="25"/>
        </w:rPr>
        <w:t xml:space="preserve">Commission Decision. </w:t>
      </w:r>
      <w:r w:rsidR="00876C97">
        <w:rPr>
          <w:i/>
          <w:sz w:val="25"/>
          <w:szCs w:val="25"/>
        </w:rPr>
        <w:t xml:space="preserve"> </w:t>
      </w:r>
      <w:r w:rsidR="00C14F44" w:rsidRPr="002532DF">
        <w:rPr>
          <w:sz w:val="25"/>
          <w:szCs w:val="25"/>
        </w:rPr>
        <w:t xml:space="preserve">We </w:t>
      </w:r>
      <w:r w:rsidR="00876C97">
        <w:rPr>
          <w:sz w:val="25"/>
          <w:szCs w:val="25"/>
        </w:rPr>
        <w:t>reject</w:t>
      </w:r>
      <w:r w:rsidR="006275B2" w:rsidRPr="002532DF">
        <w:rPr>
          <w:sz w:val="25"/>
          <w:szCs w:val="25"/>
        </w:rPr>
        <w:t xml:space="preserve"> the Joint Parties’ adjustments to 2009 and 2010 wage increases.  </w:t>
      </w:r>
      <w:r w:rsidR="002B1E75" w:rsidRPr="002532DF">
        <w:rPr>
          <w:sz w:val="25"/>
          <w:szCs w:val="25"/>
        </w:rPr>
        <w:t>We are not persuaded by their argument that</w:t>
      </w:r>
      <w:r w:rsidR="00FA5654" w:rsidRPr="002532DF">
        <w:rPr>
          <w:sz w:val="25"/>
          <w:szCs w:val="25"/>
        </w:rPr>
        <w:t xml:space="preserve"> the wage increase for non-union employees </w:t>
      </w:r>
      <w:r w:rsidR="002B1E75" w:rsidRPr="002532DF">
        <w:rPr>
          <w:sz w:val="25"/>
          <w:szCs w:val="25"/>
        </w:rPr>
        <w:t xml:space="preserve">should </w:t>
      </w:r>
      <w:r w:rsidR="00FA5654" w:rsidRPr="002532DF">
        <w:rPr>
          <w:sz w:val="25"/>
          <w:szCs w:val="25"/>
        </w:rPr>
        <w:t xml:space="preserve">be limited to the level of wage increase granted union employees.  </w:t>
      </w:r>
      <w:r w:rsidR="001D204E" w:rsidRPr="002532DF">
        <w:rPr>
          <w:sz w:val="25"/>
          <w:szCs w:val="25"/>
        </w:rPr>
        <w:t>A</w:t>
      </w:r>
      <w:r w:rsidR="00FA5654" w:rsidRPr="002532DF">
        <w:rPr>
          <w:sz w:val="25"/>
          <w:szCs w:val="25"/>
        </w:rPr>
        <w:t xml:space="preserve">s PacifiCorp and Staff point out, the Joint Parties </w:t>
      </w:r>
      <w:r w:rsidR="001D204E" w:rsidRPr="002532DF">
        <w:rPr>
          <w:sz w:val="25"/>
          <w:szCs w:val="25"/>
        </w:rPr>
        <w:t xml:space="preserve">erroneously </w:t>
      </w:r>
      <w:r w:rsidR="00FA5654" w:rsidRPr="002532DF">
        <w:rPr>
          <w:sz w:val="25"/>
          <w:szCs w:val="25"/>
        </w:rPr>
        <w:t xml:space="preserve">assume that all employees have the same </w:t>
      </w:r>
      <w:r w:rsidR="001D204E" w:rsidRPr="002532DF">
        <w:rPr>
          <w:sz w:val="25"/>
          <w:szCs w:val="25"/>
        </w:rPr>
        <w:t xml:space="preserve">overall </w:t>
      </w:r>
      <w:r w:rsidR="00FA5654" w:rsidRPr="002532DF">
        <w:rPr>
          <w:sz w:val="25"/>
          <w:szCs w:val="25"/>
        </w:rPr>
        <w:t>compensation package</w:t>
      </w:r>
      <w:r w:rsidR="001D204E" w:rsidRPr="002532DF">
        <w:rPr>
          <w:sz w:val="25"/>
          <w:szCs w:val="25"/>
        </w:rPr>
        <w:t xml:space="preserve"> thereby allowing a direct comparison of wage levels</w:t>
      </w:r>
      <w:r w:rsidR="00FA5654" w:rsidRPr="002532DF">
        <w:rPr>
          <w:sz w:val="25"/>
          <w:szCs w:val="25"/>
        </w:rPr>
        <w:t xml:space="preserve">.  Negotiated agreements with union employees may well consider other offsetting benefits such as increased medical benefits and </w:t>
      </w:r>
      <w:r w:rsidR="001D204E" w:rsidRPr="002532DF">
        <w:rPr>
          <w:sz w:val="25"/>
          <w:szCs w:val="25"/>
        </w:rPr>
        <w:t xml:space="preserve">pension or other </w:t>
      </w:r>
      <w:r w:rsidR="00FA5654" w:rsidRPr="002532DF">
        <w:rPr>
          <w:sz w:val="25"/>
          <w:szCs w:val="25"/>
        </w:rPr>
        <w:t>retirement funding.  In any event, there is no argument that the 2009 wages result in above-market compensation.  These known and measurable wage increases are reasonable and should be approved.</w:t>
      </w:r>
    </w:p>
    <w:p w:rsidR="00FA5654" w:rsidRPr="002532DF" w:rsidRDefault="00FA5654" w:rsidP="00FA5654">
      <w:pPr>
        <w:pStyle w:val="ListParagraph"/>
        <w:rPr>
          <w:sz w:val="25"/>
          <w:szCs w:val="25"/>
        </w:rPr>
      </w:pPr>
    </w:p>
    <w:p w:rsidR="000F7071" w:rsidRPr="002532DF" w:rsidRDefault="00876C97" w:rsidP="00027588">
      <w:pPr>
        <w:numPr>
          <w:ilvl w:val="0"/>
          <w:numId w:val="1"/>
        </w:numPr>
        <w:tabs>
          <w:tab w:val="clear" w:pos="720"/>
          <w:tab w:val="num" w:pos="0"/>
        </w:tabs>
        <w:spacing w:line="276" w:lineRule="auto"/>
        <w:ind w:left="0"/>
        <w:rPr>
          <w:sz w:val="25"/>
          <w:szCs w:val="25"/>
        </w:rPr>
      </w:pPr>
      <w:r>
        <w:rPr>
          <w:sz w:val="25"/>
          <w:szCs w:val="25"/>
        </w:rPr>
        <w:t>We do not lightly reject t</w:t>
      </w:r>
      <w:r w:rsidR="001D204E" w:rsidRPr="002532DF">
        <w:rPr>
          <w:sz w:val="25"/>
          <w:szCs w:val="25"/>
        </w:rPr>
        <w:t xml:space="preserve">he </w:t>
      </w:r>
      <w:r w:rsidR="00FA5654" w:rsidRPr="002532DF">
        <w:rPr>
          <w:sz w:val="25"/>
          <w:szCs w:val="25"/>
        </w:rPr>
        <w:t xml:space="preserve">Joint Parties </w:t>
      </w:r>
      <w:r w:rsidR="001D204E" w:rsidRPr="002532DF">
        <w:rPr>
          <w:sz w:val="25"/>
          <w:szCs w:val="25"/>
        </w:rPr>
        <w:t>argument that</w:t>
      </w:r>
      <w:r w:rsidR="00FA5654" w:rsidRPr="002532DF">
        <w:rPr>
          <w:sz w:val="25"/>
          <w:szCs w:val="25"/>
        </w:rPr>
        <w:t xml:space="preserve"> all wage increases in 2010 </w:t>
      </w:r>
      <w:r w:rsidR="001D204E" w:rsidRPr="002532DF">
        <w:rPr>
          <w:sz w:val="25"/>
          <w:szCs w:val="25"/>
        </w:rPr>
        <w:t xml:space="preserve">should </w:t>
      </w:r>
      <w:r w:rsidR="00FA5654" w:rsidRPr="002532DF">
        <w:rPr>
          <w:sz w:val="25"/>
          <w:szCs w:val="25"/>
        </w:rPr>
        <w:t>be eliminated</w:t>
      </w:r>
      <w:r w:rsidR="001D204E" w:rsidRPr="002532DF">
        <w:rPr>
          <w:sz w:val="25"/>
          <w:szCs w:val="25"/>
        </w:rPr>
        <w:t xml:space="preserve"> because </w:t>
      </w:r>
      <w:r w:rsidR="000F7071" w:rsidRPr="002532DF">
        <w:rPr>
          <w:sz w:val="25"/>
          <w:szCs w:val="25"/>
        </w:rPr>
        <w:t>workforce reductions can offset any increases.</w:t>
      </w:r>
      <w:r w:rsidR="000F7071" w:rsidRPr="002532DF">
        <w:rPr>
          <w:rStyle w:val="FootnoteReference"/>
          <w:sz w:val="25"/>
          <w:szCs w:val="25"/>
        </w:rPr>
        <w:footnoteReference w:id="332"/>
      </w:r>
      <w:r w:rsidR="000F7071" w:rsidRPr="002532DF">
        <w:rPr>
          <w:sz w:val="25"/>
          <w:szCs w:val="25"/>
        </w:rPr>
        <w:t xml:space="preserve">  </w:t>
      </w:r>
      <w:r>
        <w:rPr>
          <w:sz w:val="25"/>
          <w:szCs w:val="25"/>
        </w:rPr>
        <w:t>I</w:t>
      </w:r>
      <w:r w:rsidR="001D204E" w:rsidRPr="002532DF">
        <w:rPr>
          <w:sz w:val="25"/>
          <w:szCs w:val="25"/>
        </w:rPr>
        <w:t>n</w:t>
      </w:r>
      <w:r w:rsidR="00FF5C03" w:rsidRPr="002532DF">
        <w:rPr>
          <w:sz w:val="25"/>
          <w:szCs w:val="25"/>
        </w:rPr>
        <w:t xml:space="preserve"> this difficult economic time, utilities, like other businesses, should find ways to tighten their belts to minimize costs for the benefit of their customers and their investors.  </w:t>
      </w:r>
      <w:r w:rsidR="000F7071" w:rsidRPr="002532DF">
        <w:rPr>
          <w:sz w:val="25"/>
          <w:szCs w:val="25"/>
        </w:rPr>
        <w:t>PacifiCorp</w:t>
      </w:r>
      <w:r w:rsidR="00FC43A3">
        <w:rPr>
          <w:sz w:val="25"/>
          <w:szCs w:val="25"/>
        </w:rPr>
        <w:t>, moreover, largely failed to show it is taking substantial</w:t>
      </w:r>
      <w:r w:rsidR="000F7071" w:rsidRPr="002532DF">
        <w:rPr>
          <w:sz w:val="25"/>
          <w:szCs w:val="25"/>
        </w:rPr>
        <w:t xml:space="preserve"> actions to cut costs</w:t>
      </w:r>
      <w:r w:rsidR="00FC43A3">
        <w:rPr>
          <w:sz w:val="25"/>
          <w:szCs w:val="25"/>
        </w:rPr>
        <w:t>,</w:t>
      </w:r>
      <w:r w:rsidR="000F7071" w:rsidRPr="002532DF">
        <w:rPr>
          <w:rStyle w:val="FootnoteReference"/>
          <w:sz w:val="25"/>
          <w:szCs w:val="25"/>
        </w:rPr>
        <w:footnoteReference w:id="333"/>
      </w:r>
      <w:r w:rsidR="000F7071" w:rsidRPr="002532DF">
        <w:rPr>
          <w:sz w:val="25"/>
          <w:szCs w:val="25"/>
        </w:rPr>
        <w:t xml:space="preserve"> </w:t>
      </w:r>
      <w:r w:rsidR="00FC43A3">
        <w:rPr>
          <w:sz w:val="25"/>
          <w:szCs w:val="25"/>
        </w:rPr>
        <w:t>and</w:t>
      </w:r>
      <w:r w:rsidR="0037095C" w:rsidRPr="002532DF">
        <w:rPr>
          <w:sz w:val="25"/>
          <w:szCs w:val="25"/>
        </w:rPr>
        <w:t xml:space="preserve"> the Company offer</w:t>
      </w:r>
      <w:r w:rsidR="00FC43A3">
        <w:rPr>
          <w:sz w:val="25"/>
          <w:szCs w:val="25"/>
        </w:rPr>
        <w:t>ed no</w:t>
      </w:r>
      <w:r w:rsidR="0037095C" w:rsidRPr="002532DF">
        <w:rPr>
          <w:sz w:val="25"/>
          <w:szCs w:val="25"/>
        </w:rPr>
        <w:t xml:space="preserve"> convincing evidence that it is </w:t>
      </w:r>
      <w:r w:rsidR="00FC43A3">
        <w:rPr>
          <w:sz w:val="25"/>
          <w:szCs w:val="25"/>
        </w:rPr>
        <w:t>making</w:t>
      </w:r>
      <w:r w:rsidR="0037095C" w:rsidRPr="002532DF">
        <w:rPr>
          <w:sz w:val="25"/>
          <w:szCs w:val="25"/>
        </w:rPr>
        <w:t xml:space="preserve"> aggressive efforts to reduce its administrative and general and other variable expenses.  </w:t>
      </w:r>
      <w:r w:rsidR="000F7071" w:rsidRPr="002532DF">
        <w:rPr>
          <w:sz w:val="25"/>
          <w:szCs w:val="25"/>
        </w:rPr>
        <w:t>However, there are two reasons why, in this case, we cannot make the requested adjustments.</w:t>
      </w:r>
    </w:p>
    <w:p w:rsidR="00D40563" w:rsidRPr="002532DF" w:rsidRDefault="00D40563">
      <w:pPr>
        <w:pStyle w:val="ListParagraph"/>
        <w:rPr>
          <w:sz w:val="25"/>
          <w:szCs w:val="25"/>
        </w:rPr>
      </w:pPr>
    </w:p>
    <w:p w:rsidR="000F7071" w:rsidRPr="002532DF" w:rsidRDefault="000F7071" w:rsidP="00027588">
      <w:pPr>
        <w:numPr>
          <w:ilvl w:val="0"/>
          <w:numId w:val="1"/>
        </w:numPr>
        <w:tabs>
          <w:tab w:val="clear" w:pos="720"/>
          <w:tab w:val="num" w:pos="0"/>
        </w:tabs>
        <w:spacing w:line="276" w:lineRule="auto"/>
        <w:ind w:left="0"/>
        <w:rPr>
          <w:sz w:val="25"/>
          <w:szCs w:val="25"/>
        </w:rPr>
      </w:pPr>
      <w:r w:rsidRPr="002532DF">
        <w:rPr>
          <w:sz w:val="25"/>
          <w:szCs w:val="25"/>
        </w:rPr>
        <w:t xml:space="preserve">First, </w:t>
      </w:r>
      <w:r w:rsidR="0037095C" w:rsidRPr="002532DF">
        <w:rPr>
          <w:sz w:val="25"/>
          <w:szCs w:val="25"/>
        </w:rPr>
        <w:t>al</w:t>
      </w:r>
      <w:r w:rsidRPr="002532DF">
        <w:rPr>
          <w:sz w:val="25"/>
          <w:szCs w:val="25"/>
        </w:rPr>
        <w:t>though it appear</w:t>
      </w:r>
      <w:r w:rsidR="00FC43A3">
        <w:rPr>
          <w:sz w:val="25"/>
          <w:szCs w:val="25"/>
        </w:rPr>
        <w:t>s</w:t>
      </w:r>
      <w:r w:rsidRPr="002532DF">
        <w:rPr>
          <w:sz w:val="25"/>
          <w:szCs w:val="25"/>
        </w:rPr>
        <w:t xml:space="preserve"> that </w:t>
      </w:r>
      <w:r w:rsidR="0037095C" w:rsidRPr="002532DF">
        <w:rPr>
          <w:sz w:val="25"/>
          <w:szCs w:val="25"/>
        </w:rPr>
        <w:t xml:space="preserve">workforce </w:t>
      </w:r>
      <w:r w:rsidR="00D63FD5" w:rsidRPr="002532DF">
        <w:rPr>
          <w:sz w:val="25"/>
          <w:szCs w:val="25"/>
        </w:rPr>
        <w:t>levels are</w:t>
      </w:r>
      <w:r w:rsidRPr="002532DF">
        <w:rPr>
          <w:sz w:val="25"/>
          <w:szCs w:val="25"/>
        </w:rPr>
        <w:t xml:space="preserve"> lower, </w:t>
      </w:r>
      <w:r w:rsidR="0037095C" w:rsidRPr="002532DF">
        <w:rPr>
          <w:sz w:val="25"/>
          <w:szCs w:val="25"/>
        </w:rPr>
        <w:t>there is insufficient evidence in this record to quantify a potential offset to the revenue requirement</w:t>
      </w:r>
      <w:r w:rsidRPr="002532DF">
        <w:rPr>
          <w:sz w:val="25"/>
          <w:szCs w:val="25"/>
        </w:rPr>
        <w:t xml:space="preserve">.  No witness of the Joint Parties offered an adjustment for us to evaluate </w:t>
      </w:r>
      <w:r w:rsidR="00CD6C98" w:rsidRPr="002532DF">
        <w:rPr>
          <w:sz w:val="25"/>
          <w:szCs w:val="25"/>
        </w:rPr>
        <w:t xml:space="preserve">or </w:t>
      </w:r>
      <w:r w:rsidRPr="002532DF">
        <w:rPr>
          <w:sz w:val="25"/>
          <w:szCs w:val="25"/>
        </w:rPr>
        <w:t xml:space="preserve">for the other parties to critique.  Accordingly, we would be creating an adjustment out of an imprecise record on this point, a task we are reluctant in this instance to undertake.  </w:t>
      </w:r>
    </w:p>
    <w:p w:rsidR="00D40563" w:rsidRPr="002532DF" w:rsidRDefault="00D40563">
      <w:pPr>
        <w:pStyle w:val="ListParagraph"/>
        <w:rPr>
          <w:sz w:val="25"/>
          <w:szCs w:val="25"/>
        </w:rPr>
      </w:pPr>
    </w:p>
    <w:p w:rsidR="00A22FE9" w:rsidRPr="002532DF" w:rsidRDefault="000F7071" w:rsidP="009C6293">
      <w:pPr>
        <w:numPr>
          <w:ilvl w:val="0"/>
          <w:numId w:val="1"/>
        </w:numPr>
        <w:tabs>
          <w:tab w:val="clear" w:pos="720"/>
          <w:tab w:val="num" w:pos="0"/>
        </w:tabs>
        <w:spacing w:line="276" w:lineRule="auto"/>
        <w:ind w:left="0"/>
        <w:rPr>
          <w:sz w:val="25"/>
          <w:szCs w:val="25"/>
        </w:rPr>
      </w:pPr>
      <w:r w:rsidRPr="002532DF">
        <w:rPr>
          <w:sz w:val="25"/>
          <w:szCs w:val="25"/>
        </w:rPr>
        <w:t xml:space="preserve">Second, even if the proposed adjustment could be precisely quantified, </w:t>
      </w:r>
      <w:r w:rsidR="00FF5C03" w:rsidRPr="002532DF">
        <w:rPr>
          <w:sz w:val="25"/>
          <w:szCs w:val="25"/>
        </w:rPr>
        <w:t xml:space="preserve">the </w:t>
      </w:r>
      <w:r w:rsidR="00A22FE9" w:rsidRPr="002532DF">
        <w:rPr>
          <w:sz w:val="25"/>
          <w:szCs w:val="25"/>
        </w:rPr>
        <w:t xml:space="preserve">Joint Parties </w:t>
      </w:r>
      <w:r w:rsidR="009C6293" w:rsidRPr="002532DF">
        <w:rPr>
          <w:sz w:val="25"/>
          <w:szCs w:val="25"/>
        </w:rPr>
        <w:t xml:space="preserve">do not demonstrate </w:t>
      </w:r>
      <w:r w:rsidR="005F7503" w:rsidRPr="002532DF">
        <w:rPr>
          <w:sz w:val="25"/>
          <w:szCs w:val="25"/>
        </w:rPr>
        <w:t>that these</w:t>
      </w:r>
      <w:r w:rsidR="00A22FE9" w:rsidRPr="002532DF">
        <w:rPr>
          <w:sz w:val="25"/>
          <w:szCs w:val="25"/>
        </w:rPr>
        <w:t xml:space="preserve"> are permanent work force reductions.  The Company </w:t>
      </w:r>
      <w:r w:rsidR="0037095C" w:rsidRPr="002532DF">
        <w:rPr>
          <w:sz w:val="25"/>
          <w:szCs w:val="25"/>
        </w:rPr>
        <w:t xml:space="preserve">persuasively </w:t>
      </w:r>
      <w:r w:rsidR="00FF5C03" w:rsidRPr="002532DF">
        <w:rPr>
          <w:sz w:val="25"/>
          <w:szCs w:val="25"/>
        </w:rPr>
        <w:t xml:space="preserve">countered that </w:t>
      </w:r>
      <w:r w:rsidR="005F7503" w:rsidRPr="002532DF">
        <w:rPr>
          <w:sz w:val="25"/>
          <w:szCs w:val="25"/>
        </w:rPr>
        <w:t>the</w:t>
      </w:r>
      <w:r w:rsidR="00A22FE9" w:rsidRPr="002532DF">
        <w:rPr>
          <w:sz w:val="25"/>
          <w:szCs w:val="25"/>
        </w:rPr>
        <w:t xml:space="preserve"> reduction in workforce levels is </w:t>
      </w:r>
      <w:r w:rsidR="0037095C" w:rsidRPr="002532DF">
        <w:rPr>
          <w:sz w:val="25"/>
          <w:szCs w:val="25"/>
        </w:rPr>
        <w:t>temporary and the slight downward trend is due to</w:t>
      </w:r>
      <w:r w:rsidR="00A22FE9" w:rsidRPr="002532DF">
        <w:rPr>
          <w:sz w:val="25"/>
          <w:szCs w:val="25"/>
        </w:rPr>
        <w:t xml:space="preserve"> a hiring lag</w:t>
      </w:r>
      <w:r w:rsidR="0037095C" w:rsidRPr="002532DF">
        <w:rPr>
          <w:sz w:val="25"/>
          <w:szCs w:val="25"/>
        </w:rPr>
        <w:t xml:space="preserve">.  </w:t>
      </w:r>
      <w:r w:rsidR="00FC43A3">
        <w:rPr>
          <w:sz w:val="25"/>
          <w:szCs w:val="25"/>
        </w:rPr>
        <w:t>PacifiCorp</w:t>
      </w:r>
      <w:r w:rsidR="0037095C" w:rsidRPr="002532DF">
        <w:rPr>
          <w:sz w:val="25"/>
          <w:szCs w:val="25"/>
        </w:rPr>
        <w:t xml:space="preserve"> also states that </w:t>
      </w:r>
      <w:r w:rsidR="00964B96" w:rsidRPr="002532DF">
        <w:rPr>
          <w:sz w:val="25"/>
          <w:szCs w:val="25"/>
        </w:rPr>
        <w:t xml:space="preserve">while these positions are available and expected to be filled, </w:t>
      </w:r>
      <w:r w:rsidR="0037095C" w:rsidRPr="002532DF">
        <w:rPr>
          <w:sz w:val="25"/>
          <w:szCs w:val="25"/>
        </w:rPr>
        <w:t>many of these positions required specific skills, training, and education levels</w:t>
      </w:r>
      <w:r w:rsidR="00964B96" w:rsidRPr="002532DF">
        <w:rPr>
          <w:sz w:val="25"/>
          <w:szCs w:val="25"/>
        </w:rPr>
        <w:t xml:space="preserve"> and </w:t>
      </w:r>
      <w:r w:rsidR="00FC43A3">
        <w:rPr>
          <w:sz w:val="25"/>
          <w:szCs w:val="25"/>
        </w:rPr>
        <w:t>the Company</w:t>
      </w:r>
      <w:r w:rsidR="00964B96" w:rsidRPr="002532DF">
        <w:rPr>
          <w:sz w:val="25"/>
          <w:szCs w:val="25"/>
        </w:rPr>
        <w:t xml:space="preserve"> must take the time to find employees with appropriate qualifications</w:t>
      </w:r>
      <w:r w:rsidR="00A22FE9" w:rsidRPr="002532DF">
        <w:rPr>
          <w:sz w:val="25"/>
          <w:szCs w:val="25"/>
        </w:rPr>
        <w:t>.</w:t>
      </w:r>
      <w:r w:rsidR="00A22FE9" w:rsidRPr="002532DF">
        <w:rPr>
          <w:rStyle w:val="FootnoteReference"/>
          <w:sz w:val="25"/>
          <w:szCs w:val="25"/>
        </w:rPr>
        <w:footnoteReference w:id="334"/>
      </w:r>
      <w:r w:rsidR="00FF5C03" w:rsidRPr="002532DF">
        <w:rPr>
          <w:sz w:val="25"/>
          <w:szCs w:val="25"/>
        </w:rPr>
        <w:t xml:space="preserve"> </w:t>
      </w:r>
    </w:p>
    <w:p w:rsidR="00A22FE9" w:rsidRPr="002532DF" w:rsidRDefault="00A22FE9" w:rsidP="00A22FE9">
      <w:pPr>
        <w:pStyle w:val="ListParagraph"/>
        <w:rPr>
          <w:sz w:val="25"/>
          <w:szCs w:val="25"/>
        </w:rPr>
      </w:pPr>
    </w:p>
    <w:p w:rsidR="001C4A1D" w:rsidRPr="002532DF" w:rsidRDefault="00A22FE9" w:rsidP="001C4A1D">
      <w:pPr>
        <w:numPr>
          <w:ilvl w:val="0"/>
          <w:numId w:val="1"/>
        </w:numPr>
        <w:tabs>
          <w:tab w:val="clear" w:pos="720"/>
          <w:tab w:val="num" w:pos="0"/>
        </w:tabs>
        <w:spacing w:line="276" w:lineRule="auto"/>
        <w:ind w:left="0"/>
        <w:rPr>
          <w:sz w:val="25"/>
          <w:szCs w:val="25"/>
        </w:rPr>
      </w:pPr>
      <w:r w:rsidRPr="002532DF">
        <w:rPr>
          <w:sz w:val="25"/>
          <w:szCs w:val="25"/>
        </w:rPr>
        <w:t xml:space="preserve">With respect to other “offsetting” factors such as the Powerdale Hydro Removal, the Joint Parties fail to demonstrate any relationship between the expiration of the </w:t>
      </w:r>
      <w:r w:rsidR="00DD6A3A" w:rsidRPr="002532DF">
        <w:rPr>
          <w:sz w:val="25"/>
          <w:szCs w:val="25"/>
        </w:rPr>
        <w:t>amortization period of this asset and the wage increases.  As we noted</w:t>
      </w:r>
      <w:r w:rsidR="00746B91" w:rsidRPr="002532DF">
        <w:rPr>
          <w:sz w:val="25"/>
          <w:szCs w:val="25"/>
        </w:rPr>
        <w:t xml:space="preserve"> in other proceedings</w:t>
      </w:r>
      <w:r w:rsidR="00DD6A3A" w:rsidRPr="002532DF">
        <w:rPr>
          <w:sz w:val="25"/>
          <w:szCs w:val="25"/>
        </w:rPr>
        <w:t xml:space="preserve">, a party proposing an offset must net </w:t>
      </w:r>
      <w:r w:rsidR="00DD6A3A" w:rsidRPr="002532DF">
        <w:rPr>
          <w:i/>
          <w:sz w:val="25"/>
          <w:szCs w:val="25"/>
        </w:rPr>
        <w:t xml:space="preserve">all </w:t>
      </w:r>
      <w:r w:rsidR="00DD6A3A" w:rsidRPr="002532DF">
        <w:rPr>
          <w:sz w:val="25"/>
          <w:szCs w:val="25"/>
        </w:rPr>
        <w:t>changes in revenues and expenses utility-wide to determine whether a particular adjustment is offset.</w:t>
      </w:r>
      <w:r w:rsidR="00746B91" w:rsidRPr="002532DF">
        <w:rPr>
          <w:rStyle w:val="FootnoteReference"/>
          <w:sz w:val="25"/>
          <w:szCs w:val="25"/>
        </w:rPr>
        <w:footnoteReference w:id="335"/>
      </w:r>
      <w:r w:rsidR="00DD6A3A" w:rsidRPr="002532DF">
        <w:rPr>
          <w:sz w:val="25"/>
          <w:szCs w:val="25"/>
        </w:rPr>
        <w:t xml:space="preserve">  In this case, the Joint Parties performed no such analysis.  </w:t>
      </w:r>
    </w:p>
    <w:p w:rsidR="00A22FE9" w:rsidRPr="002532DF" w:rsidRDefault="00A22FE9" w:rsidP="001C4A1D">
      <w:pPr>
        <w:spacing w:line="276" w:lineRule="auto"/>
        <w:ind w:left="-720"/>
        <w:rPr>
          <w:sz w:val="25"/>
          <w:szCs w:val="25"/>
        </w:rPr>
      </w:pPr>
    </w:p>
    <w:p w:rsidR="00BB5034" w:rsidRPr="002532DF" w:rsidRDefault="00964B96" w:rsidP="001C4A1D">
      <w:pPr>
        <w:numPr>
          <w:ilvl w:val="0"/>
          <w:numId w:val="1"/>
        </w:numPr>
        <w:tabs>
          <w:tab w:val="clear" w:pos="720"/>
          <w:tab w:val="num" w:pos="0"/>
        </w:tabs>
        <w:spacing w:line="276" w:lineRule="auto"/>
        <w:ind w:left="0"/>
        <w:rPr>
          <w:sz w:val="25"/>
          <w:szCs w:val="25"/>
        </w:rPr>
      </w:pPr>
      <w:r w:rsidRPr="002532DF">
        <w:rPr>
          <w:sz w:val="25"/>
          <w:szCs w:val="25"/>
        </w:rPr>
        <w:t>Additionally</w:t>
      </w:r>
      <w:r w:rsidR="00DD6A3A" w:rsidRPr="002532DF">
        <w:rPr>
          <w:sz w:val="25"/>
          <w:szCs w:val="25"/>
        </w:rPr>
        <w:t xml:space="preserve">, there is an </w:t>
      </w:r>
      <w:r w:rsidR="00FC43A3">
        <w:rPr>
          <w:sz w:val="25"/>
          <w:szCs w:val="25"/>
        </w:rPr>
        <w:t xml:space="preserve">inaccurate </w:t>
      </w:r>
      <w:r w:rsidR="00DD6A3A" w:rsidRPr="002532DF">
        <w:rPr>
          <w:sz w:val="25"/>
          <w:szCs w:val="25"/>
        </w:rPr>
        <w:t xml:space="preserve">undercurrent in the Joint Parties’ argument that these wage increases somehow benefit the higher </w:t>
      </w:r>
      <w:r w:rsidR="00360D44" w:rsidRPr="002532DF">
        <w:rPr>
          <w:sz w:val="25"/>
          <w:szCs w:val="25"/>
        </w:rPr>
        <w:t>echelon</w:t>
      </w:r>
      <w:r w:rsidR="00DD6A3A" w:rsidRPr="002532DF">
        <w:rPr>
          <w:sz w:val="25"/>
          <w:szCs w:val="25"/>
        </w:rPr>
        <w:t xml:space="preserve"> of PacifiCorp management.  The majority of the employees receiving these wage incr</w:t>
      </w:r>
      <w:r w:rsidR="00746B91" w:rsidRPr="002532DF">
        <w:rPr>
          <w:sz w:val="25"/>
          <w:szCs w:val="25"/>
        </w:rPr>
        <w:t>e</w:t>
      </w:r>
      <w:r w:rsidR="00DD6A3A" w:rsidRPr="002532DF">
        <w:rPr>
          <w:sz w:val="25"/>
          <w:szCs w:val="25"/>
        </w:rPr>
        <w:t xml:space="preserve">ases are </w:t>
      </w:r>
      <w:r w:rsidR="00FC43A3">
        <w:rPr>
          <w:sz w:val="25"/>
          <w:szCs w:val="25"/>
        </w:rPr>
        <w:t xml:space="preserve">not executives but are </w:t>
      </w:r>
      <w:r w:rsidR="00DD6A3A" w:rsidRPr="002532DF">
        <w:rPr>
          <w:sz w:val="25"/>
          <w:szCs w:val="25"/>
        </w:rPr>
        <w:t>professional, te</w:t>
      </w:r>
      <w:r w:rsidR="00746B91" w:rsidRPr="002532DF">
        <w:rPr>
          <w:sz w:val="25"/>
          <w:szCs w:val="25"/>
        </w:rPr>
        <w:t>c</w:t>
      </w:r>
      <w:r w:rsidR="00DD6A3A" w:rsidRPr="002532DF">
        <w:rPr>
          <w:sz w:val="25"/>
          <w:szCs w:val="25"/>
        </w:rPr>
        <w:t>hnical, support, and middle-management employees</w:t>
      </w:r>
      <w:r w:rsidR="00055C4A" w:rsidRPr="002532DF">
        <w:rPr>
          <w:sz w:val="25"/>
          <w:szCs w:val="25"/>
        </w:rPr>
        <w:t xml:space="preserve"> making less than $100,000 per year</w:t>
      </w:r>
      <w:r w:rsidR="00746B91" w:rsidRPr="002532DF">
        <w:rPr>
          <w:sz w:val="25"/>
          <w:szCs w:val="25"/>
        </w:rPr>
        <w:t>.</w:t>
      </w:r>
      <w:r w:rsidR="00DD6A3A" w:rsidRPr="002532DF">
        <w:rPr>
          <w:rStyle w:val="FootnoteReference"/>
          <w:sz w:val="25"/>
          <w:szCs w:val="25"/>
        </w:rPr>
        <w:footnoteReference w:id="336"/>
      </w:r>
      <w:r w:rsidR="00746B91" w:rsidRPr="002532DF">
        <w:rPr>
          <w:sz w:val="25"/>
          <w:szCs w:val="25"/>
        </w:rPr>
        <w:t xml:space="preserve">  </w:t>
      </w:r>
    </w:p>
    <w:p w:rsidR="00237680" w:rsidRPr="002532DF" w:rsidRDefault="00237680">
      <w:pPr>
        <w:spacing w:line="276" w:lineRule="auto"/>
        <w:ind w:left="-720"/>
        <w:rPr>
          <w:sz w:val="25"/>
          <w:szCs w:val="25"/>
        </w:rPr>
      </w:pPr>
    </w:p>
    <w:p w:rsidR="00964B96" w:rsidRPr="002532DF" w:rsidRDefault="00964B96" w:rsidP="001C4A1D">
      <w:pPr>
        <w:numPr>
          <w:ilvl w:val="0"/>
          <w:numId w:val="1"/>
        </w:numPr>
        <w:tabs>
          <w:tab w:val="clear" w:pos="720"/>
          <w:tab w:val="num" w:pos="0"/>
        </w:tabs>
        <w:spacing w:line="276" w:lineRule="auto"/>
        <w:ind w:left="0"/>
        <w:rPr>
          <w:sz w:val="25"/>
          <w:szCs w:val="25"/>
        </w:rPr>
      </w:pPr>
      <w:r w:rsidRPr="002532DF">
        <w:rPr>
          <w:sz w:val="25"/>
          <w:szCs w:val="25"/>
        </w:rPr>
        <w:t xml:space="preserve">The 2010 </w:t>
      </w:r>
      <w:r w:rsidRPr="002532DF">
        <w:rPr>
          <w:i/>
          <w:sz w:val="25"/>
          <w:szCs w:val="25"/>
        </w:rPr>
        <w:t xml:space="preserve">pro forma </w:t>
      </w:r>
      <w:r w:rsidRPr="002532DF">
        <w:rPr>
          <w:sz w:val="25"/>
          <w:szCs w:val="25"/>
        </w:rPr>
        <w:t>wage increases reflect known and measurable changes</w:t>
      </w:r>
      <w:r w:rsidR="00FC43A3">
        <w:rPr>
          <w:sz w:val="25"/>
          <w:szCs w:val="25"/>
        </w:rPr>
        <w:t>,</w:t>
      </w:r>
      <w:r w:rsidRPr="002532DF">
        <w:rPr>
          <w:sz w:val="25"/>
          <w:szCs w:val="25"/>
        </w:rPr>
        <w:t xml:space="preserve"> and </w:t>
      </w:r>
      <w:r w:rsidR="00FC43A3">
        <w:rPr>
          <w:sz w:val="25"/>
          <w:szCs w:val="25"/>
        </w:rPr>
        <w:t>we approve them</w:t>
      </w:r>
      <w:r w:rsidRPr="002532DF">
        <w:rPr>
          <w:sz w:val="25"/>
          <w:szCs w:val="25"/>
        </w:rPr>
        <w:t>.  We reiterate that the Joint Parties failed to make any argument that the 2010 wage increases elevated employee compensation above market-value.</w:t>
      </w:r>
    </w:p>
    <w:p w:rsidR="00BB5034" w:rsidRPr="002532DF" w:rsidRDefault="00BB5034" w:rsidP="006A6C81">
      <w:pPr>
        <w:pStyle w:val="Heading4"/>
        <w:ind w:left="1080" w:hanging="360"/>
        <w:rPr>
          <w:rFonts w:ascii="Times New Roman" w:hAnsi="Times New Roman"/>
          <w:sz w:val="25"/>
          <w:szCs w:val="25"/>
        </w:rPr>
      </w:pPr>
      <w:bookmarkStart w:id="61" w:name="_Toc288813752"/>
      <w:r w:rsidRPr="002532DF">
        <w:rPr>
          <w:rFonts w:ascii="Times New Roman" w:hAnsi="Times New Roman"/>
          <w:sz w:val="25"/>
          <w:szCs w:val="25"/>
        </w:rPr>
        <w:t>7.</w:t>
      </w:r>
      <w:r w:rsidRPr="002532DF">
        <w:rPr>
          <w:rFonts w:ascii="Times New Roman" w:hAnsi="Times New Roman"/>
          <w:sz w:val="25"/>
          <w:szCs w:val="25"/>
        </w:rPr>
        <w:tab/>
        <w:t>Affiliate Management Fees</w:t>
      </w:r>
      <w:bookmarkEnd w:id="61"/>
    </w:p>
    <w:p w:rsidR="00BB5034" w:rsidRPr="002532DF" w:rsidRDefault="00BB5034" w:rsidP="006A6C81">
      <w:pPr>
        <w:spacing w:line="276" w:lineRule="auto"/>
        <w:rPr>
          <w:sz w:val="25"/>
          <w:szCs w:val="25"/>
        </w:rPr>
      </w:pPr>
    </w:p>
    <w:p w:rsidR="00A17BDE" w:rsidRPr="002532DF" w:rsidRDefault="00A46530" w:rsidP="00027588">
      <w:pPr>
        <w:numPr>
          <w:ilvl w:val="0"/>
          <w:numId w:val="1"/>
        </w:numPr>
        <w:tabs>
          <w:tab w:val="clear" w:pos="720"/>
          <w:tab w:val="num" w:pos="0"/>
        </w:tabs>
        <w:spacing w:line="276" w:lineRule="auto"/>
        <w:ind w:left="0"/>
        <w:rPr>
          <w:sz w:val="25"/>
          <w:szCs w:val="25"/>
        </w:rPr>
      </w:pPr>
      <w:r w:rsidRPr="002532DF">
        <w:rPr>
          <w:i/>
          <w:sz w:val="25"/>
          <w:szCs w:val="25"/>
        </w:rPr>
        <w:t xml:space="preserve">Positions of the Parties.  </w:t>
      </w:r>
      <w:r w:rsidR="00341E22" w:rsidRPr="002532DF">
        <w:rPr>
          <w:sz w:val="25"/>
          <w:szCs w:val="25"/>
        </w:rPr>
        <w:t>PacifiCorp asserts that it was billed for $8.53 million in MidAmerican Energy Holding Company (MEHC) Washington-allocated management fees during the test year.</w:t>
      </w:r>
      <w:r w:rsidR="001F2E7D" w:rsidRPr="002532DF">
        <w:rPr>
          <w:rStyle w:val="FootnoteReference"/>
          <w:sz w:val="25"/>
          <w:szCs w:val="25"/>
        </w:rPr>
        <w:footnoteReference w:id="337"/>
      </w:r>
      <w:r w:rsidR="00A17BDE" w:rsidRPr="002532DF">
        <w:rPr>
          <w:sz w:val="25"/>
          <w:szCs w:val="25"/>
        </w:rPr>
        <w:t xml:space="preserve">  In its restated actual adjustment, PacifiCorp removes $1,053,029 leaving a total of $7.3 million.</w:t>
      </w:r>
      <w:r w:rsidR="00A17BDE" w:rsidRPr="002532DF">
        <w:rPr>
          <w:rStyle w:val="FootnoteReference"/>
          <w:sz w:val="25"/>
          <w:szCs w:val="25"/>
        </w:rPr>
        <w:footnoteReference w:id="338"/>
      </w:r>
      <w:r w:rsidR="00A17BDE" w:rsidRPr="002532DF">
        <w:rPr>
          <w:sz w:val="25"/>
          <w:szCs w:val="25"/>
        </w:rPr>
        <w:t xml:space="preserve">  PacifiCorp contends that $7.3 million is the maximum allowed under the MEHC Washington acquisition commitment.</w:t>
      </w:r>
      <w:r w:rsidR="00A17BDE" w:rsidRPr="002532DF">
        <w:rPr>
          <w:rStyle w:val="FootnoteReference"/>
          <w:sz w:val="25"/>
          <w:szCs w:val="25"/>
        </w:rPr>
        <w:footnoteReference w:id="339"/>
      </w:r>
    </w:p>
    <w:p w:rsidR="00A17BDE" w:rsidRPr="002532DF" w:rsidRDefault="00A17BDE" w:rsidP="00817E21">
      <w:pPr>
        <w:pStyle w:val="FootnoteText"/>
        <w:spacing w:line="276" w:lineRule="auto"/>
        <w:rPr>
          <w:sz w:val="25"/>
          <w:szCs w:val="25"/>
        </w:rPr>
      </w:pPr>
    </w:p>
    <w:p w:rsidR="00E70E5B" w:rsidRPr="002532DF" w:rsidRDefault="00A17BDE" w:rsidP="00027588">
      <w:pPr>
        <w:numPr>
          <w:ilvl w:val="0"/>
          <w:numId w:val="1"/>
        </w:numPr>
        <w:tabs>
          <w:tab w:val="clear" w:pos="720"/>
          <w:tab w:val="num" w:pos="0"/>
        </w:tabs>
        <w:spacing w:line="276" w:lineRule="auto"/>
        <w:ind w:left="0"/>
        <w:rPr>
          <w:sz w:val="25"/>
          <w:szCs w:val="25"/>
        </w:rPr>
      </w:pPr>
      <w:r w:rsidRPr="002532DF">
        <w:rPr>
          <w:sz w:val="25"/>
          <w:szCs w:val="25"/>
        </w:rPr>
        <w:t>Joint Parties state that PacifiCorp pays an annual Management Fee to MEHC under an “Intercompany Administrative Services Agreement.”</w:t>
      </w:r>
      <w:r w:rsidRPr="002532DF">
        <w:rPr>
          <w:rStyle w:val="FootnoteReference"/>
          <w:sz w:val="25"/>
          <w:szCs w:val="25"/>
        </w:rPr>
        <w:footnoteReference w:id="340"/>
      </w:r>
      <w:r w:rsidRPr="002532DF">
        <w:rPr>
          <w:sz w:val="25"/>
          <w:szCs w:val="25"/>
        </w:rPr>
        <w:t xml:space="preserve">  According to the Joint Parties, the Agreement allocates certain MEHC costs to its subsidiaries.</w:t>
      </w:r>
      <w:r w:rsidRPr="002532DF">
        <w:rPr>
          <w:rStyle w:val="FootnoteReference"/>
          <w:sz w:val="25"/>
          <w:szCs w:val="25"/>
        </w:rPr>
        <w:footnoteReference w:id="341"/>
      </w:r>
      <w:r w:rsidRPr="002532DF">
        <w:rPr>
          <w:sz w:val="25"/>
          <w:szCs w:val="25"/>
        </w:rPr>
        <w:t xml:space="preserve">  </w:t>
      </w:r>
      <w:r w:rsidR="00C373D0" w:rsidRPr="002532DF">
        <w:rPr>
          <w:sz w:val="25"/>
          <w:szCs w:val="25"/>
        </w:rPr>
        <w:t>They</w:t>
      </w:r>
      <w:r w:rsidRPr="002532DF">
        <w:rPr>
          <w:sz w:val="25"/>
          <w:szCs w:val="25"/>
        </w:rPr>
        <w:t xml:space="preserve"> recommend disallowance of the following costs under the Management Fee as </w:t>
      </w:r>
      <w:r w:rsidR="009F4E11" w:rsidRPr="002532DF">
        <w:rPr>
          <w:sz w:val="25"/>
          <w:szCs w:val="25"/>
        </w:rPr>
        <w:t>i</w:t>
      </w:r>
      <w:r w:rsidRPr="002532DF">
        <w:rPr>
          <w:sz w:val="25"/>
          <w:szCs w:val="25"/>
        </w:rPr>
        <w:t>nappropriate to include in Washington rates</w:t>
      </w:r>
      <w:r w:rsidR="00E70E5B" w:rsidRPr="002532DF">
        <w:rPr>
          <w:sz w:val="25"/>
          <w:szCs w:val="25"/>
        </w:rPr>
        <w:t>:</w:t>
      </w:r>
    </w:p>
    <w:p w:rsidR="00E70E5B" w:rsidRPr="002532DF" w:rsidRDefault="00E70E5B" w:rsidP="00E70E5B">
      <w:pPr>
        <w:spacing w:line="276" w:lineRule="auto"/>
        <w:ind w:left="-720"/>
        <w:rPr>
          <w:sz w:val="25"/>
          <w:szCs w:val="25"/>
        </w:rPr>
      </w:pPr>
    </w:p>
    <w:p w:rsidR="00E70E5B" w:rsidRPr="002532DF" w:rsidRDefault="00E70E5B" w:rsidP="00E70E5B">
      <w:pPr>
        <w:pStyle w:val="FootnoteText"/>
        <w:numPr>
          <w:ilvl w:val="0"/>
          <w:numId w:val="12"/>
        </w:numPr>
        <w:spacing w:line="276" w:lineRule="auto"/>
        <w:rPr>
          <w:i/>
          <w:sz w:val="25"/>
          <w:szCs w:val="25"/>
        </w:rPr>
      </w:pPr>
      <w:r w:rsidRPr="002532DF">
        <w:rPr>
          <w:sz w:val="25"/>
          <w:szCs w:val="25"/>
        </w:rPr>
        <w:t xml:space="preserve">MEHC and MidAmerican Energy Company (“MEC”) bonuses, </w:t>
      </w:r>
    </w:p>
    <w:p w:rsidR="00E70E5B" w:rsidRPr="002532DF" w:rsidRDefault="00E70E5B" w:rsidP="00E70E5B">
      <w:pPr>
        <w:pStyle w:val="FootnoteText"/>
        <w:numPr>
          <w:ilvl w:val="0"/>
          <w:numId w:val="12"/>
        </w:numPr>
        <w:spacing w:line="276" w:lineRule="auto"/>
        <w:rPr>
          <w:i/>
          <w:sz w:val="25"/>
          <w:szCs w:val="25"/>
        </w:rPr>
      </w:pPr>
      <w:r w:rsidRPr="002532DF">
        <w:rPr>
          <w:sz w:val="25"/>
          <w:szCs w:val="25"/>
        </w:rPr>
        <w:t>costs of the Supplemental Executive Retirement Plan (SERP), and</w:t>
      </w:r>
    </w:p>
    <w:p w:rsidR="00E70E5B" w:rsidRPr="002532DF" w:rsidRDefault="00E70E5B" w:rsidP="00E70E5B">
      <w:pPr>
        <w:numPr>
          <w:ilvl w:val="0"/>
          <w:numId w:val="12"/>
        </w:numPr>
        <w:spacing w:line="276" w:lineRule="auto"/>
        <w:rPr>
          <w:sz w:val="25"/>
          <w:szCs w:val="25"/>
        </w:rPr>
      </w:pPr>
      <w:r w:rsidRPr="002532DF">
        <w:rPr>
          <w:sz w:val="25"/>
          <w:szCs w:val="25"/>
        </w:rPr>
        <w:t>legislative costs and contributions.</w:t>
      </w:r>
      <w:r w:rsidRPr="002532DF">
        <w:rPr>
          <w:rStyle w:val="FootnoteReference"/>
          <w:sz w:val="25"/>
          <w:szCs w:val="25"/>
        </w:rPr>
        <w:footnoteReference w:id="342"/>
      </w:r>
    </w:p>
    <w:p w:rsidR="00E70E5B" w:rsidRPr="002532DF" w:rsidRDefault="00E70E5B" w:rsidP="00E70E5B">
      <w:pPr>
        <w:spacing w:line="276" w:lineRule="auto"/>
        <w:ind w:left="-720"/>
        <w:rPr>
          <w:sz w:val="25"/>
          <w:szCs w:val="25"/>
        </w:rPr>
      </w:pPr>
    </w:p>
    <w:p w:rsidR="00E70E5B" w:rsidRPr="002532DF" w:rsidRDefault="00E70E5B" w:rsidP="00027588">
      <w:pPr>
        <w:numPr>
          <w:ilvl w:val="0"/>
          <w:numId w:val="1"/>
        </w:numPr>
        <w:tabs>
          <w:tab w:val="clear" w:pos="720"/>
          <w:tab w:val="num" w:pos="0"/>
        </w:tabs>
        <w:spacing w:line="276" w:lineRule="auto"/>
        <w:ind w:left="0"/>
        <w:rPr>
          <w:sz w:val="25"/>
          <w:szCs w:val="25"/>
        </w:rPr>
      </w:pPr>
      <w:r w:rsidRPr="002532DF">
        <w:rPr>
          <w:sz w:val="25"/>
          <w:szCs w:val="25"/>
        </w:rPr>
        <w:t>In rebuttal</w:t>
      </w:r>
      <w:r w:rsidR="009F4E11" w:rsidRPr="002532DF">
        <w:rPr>
          <w:sz w:val="25"/>
          <w:szCs w:val="25"/>
        </w:rPr>
        <w:t xml:space="preserve"> testimony</w:t>
      </w:r>
      <w:r w:rsidRPr="002532DF">
        <w:rPr>
          <w:sz w:val="25"/>
          <w:szCs w:val="25"/>
        </w:rPr>
        <w:t xml:space="preserve">, the Company accepts Joint Parties’ </w:t>
      </w:r>
      <w:r w:rsidRPr="002532DF">
        <w:rPr>
          <w:rFonts w:eastAsia="Calibri"/>
          <w:sz w:val="25"/>
          <w:szCs w:val="25"/>
        </w:rPr>
        <w:t>removal of SERP and legislative expenses from the MEHC affiliate management fee on the basis that these costs are inappropriate to include in rates.  The Company also removes capitalized expenses, the cost of air travel in excess of commercial-equivalent</w:t>
      </w:r>
      <w:r w:rsidR="00C373D0" w:rsidRPr="002532DF">
        <w:rPr>
          <w:rFonts w:eastAsia="Calibri"/>
          <w:sz w:val="25"/>
          <w:szCs w:val="25"/>
        </w:rPr>
        <w:t>,</w:t>
      </w:r>
      <w:r w:rsidRPr="002532DF">
        <w:rPr>
          <w:rFonts w:eastAsia="Calibri"/>
          <w:sz w:val="25"/>
          <w:szCs w:val="25"/>
        </w:rPr>
        <w:t xml:space="preserve"> and long-term incentive payments.</w:t>
      </w:r>
      <w:r w:rsidRPr="002532DF">
        <w:rPr>
          <w:rStyle w:val="FootnoteReference"/>
          <w:rFonts w:eastAsia="Calibri"/>
          <w:sz w:val="25"/>
          <w:szCs w:val="25"/>
        </w:rPr>
        <w:footnoteReference w:id="343"/>
      </w:r>
      <w:r w:rsidRPr="002532DF">
        <w:rPr>
          <w:rFonts w:eastAsia="Calibri"/>
          <w:sz w:val="25"/>
          <w:szCs w:val="25"/>
        </w:rPr>
        <w:t xml:space="preserve">  The Company argues that its rebuttal adjustments and the Joint Parties’ adjustments should be applied against the total amount billed by MEHC rather than the $7.3 million that remains in Washington-allocated expenses after the Company removed amounts above the cap.</w:t>
      </w:r>
      <w:r w:rsidRPr="002532DF">
        <w:rPr>
          <w:rStyle w:val="FootnoteReference"/>
          <w:rFonts w:eastAsia="Calibri"/>
          <w:sz w:val="25"/>
          <w:szCs w:val="25"/>
        </w:rPr>
        <w:footnoteReference w:id="344"/>
      </w:r>
      <w:r w:rsidRPr="002532DF">
        <w:rPr>
          <w:rFonts w:eastAsia="Calibri"/>
          <w:sz w:val="25"/>
          <w:szCs w:val="25"/>
        </w:rPr>
        <w:t xml:space="preserve">  The combined effect of the Company’s rebuttal adjustments reduces this amount to $7.11 million.  </w:t>
      </w:r>
      <w:r w:rsidR="009F4E11" w:rsidRPr="002532DF">
        <w:rPr>
          <w:rFonts w:eastAsia="Calibri"/>
          <w:sz w:val="25"/>
          <w:szCs w:val="25"/>
        </w:rPr>
        <w:t>It</w:t>
      </w:r>
      <w:r w:rsidRPr="002532DF">
        <w:rPr>
          <w:rFonts w:eastAsia="Calibri"/>
          <w:sz w:val="25"/>
          <w:szCs w:val="25"/>
        </w:rPr>
        <w:t xml:space="preserve"> argues that because the $7.1 million is less than the level of the Merger Commitment cap of $7.3 million, no additional adjustment is necessary.</w:t>
      </w:r>
      <w:r w:rsidRPr="002532DF">
        <w:rPr>
          <w:rStyle w:val="FootnoteReference"/>
          <w:rFonts w:eastAsia="Calibri"/>
          <w:sz w:val="25"/>
          <w:szCs w:val="25"/>
        </w:rPr>
        <w:footnoteReference w:id="345"/>
      </w:r>
    </w:p>
    <w:p w:rsidR="00D73D59" w:rsidRPr="002532DF" w:rsidRDefault="00D73D59" w:rsidP="00D73D59">
      <w:pPr>
        <w:spacing w:line="276" w:lineRule="auto"/>
        <w:ind w:left="-720"/>
        <w:rPr>
          <w:sz w:val="25"/>
          <w:szCs w:val="25"/>
        </w:rPr>
      </w:pPr>
    </w:p>
    <w:p w:rsidR="0078423E" w:rsidRPr="002532DF" w:rsidRDefault="00D17347" w:rsidP="00027588">
      <w:pPr>
        <w:numPr>
          <w:ilvl w:val="0"/>
          <w:numId w:val="1"/>
        </w:numPr>
        <w:tabs>
          <w:tab w:val="clear" w:pos="720"/>
          <w:tab w:val="num" w:pos="0"/>
        </w:tabs>
        <w:spacing w:line="276" w:lineRule="auto"/>
        <w:ind w:left="0"/>
        <w:rPr>
          <w:sz w:val="25"/>
          <w:szCs w:val="25"/>
        </w:rPr>
      </w:pPr>
      <w:r w:rsidRPr="002532DF">
        <w:rPr>
          <w:i/>
          <w:sz w:val="25"/>
          <w:szCs w:val="25"/>
        </w:rPr>
        <w:t xml:space="preserve">Commission Decision. </w:t>
      </w:r>
      <w:r w:rsidR="009F4FAC" w:rsidRPr="002532DF">
        <w:rPr>
          <w:i/>
          <w:sz w:val="25"/>
          <w:szCs w:val="25"/>
        </w:rPr>
        <w:t xml:space="preserve"> </w:t>
      </w:r>
      <w:r w:rsidR="0062493A" w:rsidRPr="002532DF">
        <w:rPr>
          <w:sz w:val="25"/>
          <w:szCs w:val="25"/>
        </w:rPr>
        <w:t xml:space="preserve">We conclude that Joint Parties misconstrue </w:t>
      </w:r>
      <w:r w:rsidR="009F4E11" w:rsidRPr="002532DF">
        <w:rPr>
          <w:sz w:val="25"/>
          <w:szCs w:val="25"/>
        </w:rPr>
        <w:t xml:space="preserve">the merger commitment and apply the wrong methodology. </w:t>
      </w:r>
      <w:r w:rsidR="0062493A" w:rsidRPr="002532DF">
        <w:rPr>
          <w:sz w:val="25"/>
          <w:szCs w:val="25"/>
        </w:rPr>
        <w:t xml:space="preserve"> Our order establishing the $7.3 million </w:t>
      </w:r>
      <w:r w:rsidR="009F4E11" w:rsidRPr="002532DF">
        <w:rPr>
          <w:sz w:val="25"/>
          <w:szCs w:val="25"/>
        </w:rPr>
        <w:t>“</w:t>
      </w:r>
      <w:r w:rsidR="0062493A" w:rsidRPr="002532DF">
        <w:rPr>
          <w:sz w:val="25"/>
          <w:szCs w:val="25"/>
        </w:rPr>
        <w:t>cap</w:t>
      </w:r>
      <w:r w:rsidR="009F4E11" w:rsidRPr="002532DF">
        <w:rPr>
          <w:sz w:val="25"/>
          <w:szCs w:val="25"/>
        </w:rPr>
        <w:t>”</w:t>
      </w:r>
      <w:r w:rsidR="0062493A" w:rsidRPr="002532DF">
        <w:rPr>
          <w:sz w:val="25"/>
          <w:szCs w:val="25"/>
        </w:rPr>
        <w:t xml:space="preserve"> </w:t>
      </w:r>
      <w:r w:rsidR="0078423E" w:rsidRPr="002532DF">
        <w:rPr>
          <w:sz w:val="25"/>
          <w:szCs w:val="25"/>
        </w:rPr>
        <w:t xml:space="preserve">simply means that </w:t>
      </w:r>
      <w:r w:rsidR="0078423E" w:rsidRPr="002532DF">
        <w:rPr>
          <w:i/>
          <w:sz w:val="25"/>
          <w:szCs w:val="25"/>
        </w:rPr>
        <w:t>any</w:t>
      </w:r>
      <w:r w:rsidR="0078423E" w:rsidRPr="002532DF">
        <w:rPr>
          <w:sz w:val="25"/>
          <w:szCs w:val="25"/>
        </w:rPr>
        <w:t xml:space="preserve"> expenses over that level will be deemed unreasonable for Washington ratepayers </w:t>
      </w:r>
      <w:r w:rsidR="0069447E" w:rsidRPr="002532DF">
        <w:rPr>
          <w:sz w:val="25"/>
          <w:szCs w:val="25"/>
        </w:rPr>
        <w:t xml:space="preserve">to bear </w:t>
      </w:r>
      <w:r w:rsidR="0078423E" w:rsidRPr="002532DF">
        <w:rPr>
          <w:sz w:val="25"/>
          <w:szCs w:val="25"/>
        </w:rPr>
        <w:t xml:space="preserve">and </w:t>
      </w:r>
      <w:r w:rsidR="002E7DD1" w:rsidRPr="002532DF">
        <w:rPr>
          <w:sz w:val="25"/>
          <w:szCs w:val="25"/>
        </w:rPr>
        <w:t xml:space="preserve">will be </w:t>
      </w:r>
      <w:r w:rsidR="0078423E" w:rsidRPr="002532DF">
        <w:rPr>
          <w:sz w:val="25"/>
          <w:szCs w:val="25"/>
        </w:rPr>
        <w:t>disallowed.  The Company’s proposed management fee is well below the cap</w:t>
      </w:r>
      <w:r w:rsidR="00C373D0" w:rsidRPr="002532DF">
        <w:rPr>
          <w:sz w:val="25"/>
          <w:szCs w:val="25"/>
        </w:rPr>
        <w:t>.</w:t>
      </w:r>
      <w:r w:rsidR="0078423E" w:rsidRPr="002532DF">
        <w:rPr>
          <w:sz w:val="25"/>
          <w:szCs w:val="25"/>
        </w:rPr>
        <w:t xml:space="preserve">  Accordingly, we allow the</w:t>
      </w:r>
      <w:r w:rsidR="0069447E" w:rsidRPr="002532DF">
        <w:rPr>
          <w:sz w:val="25"/>
          <w:szCs w:val="25"/>
        </w:rPr>
        <w:t xml:space="preserve"> $7.11 million in MEHC management fees</w:t>
      </w:r>
      <w:r w:rsidR="0078423E" w:rsidRPr="002532DF">
        <w:rPr>
          <w:sz w:val="25"/>
          <w:szCs w:val="25"/>
        </w:rPr>
        <w:t>.</w:t>
      </w:r>
      <w:r w:rsidR="000965BA" w:rsidRPr="002532DF">
        <w:rPr>
          <w:rStyle w:val="FootnoteReference"/>
          <w:sz w:val="25"/>
          <w:szCs w:val="25"/>
        </w:rPr>
        <w:t xml:space="preserve"> </w:t>
      </w:r>
      <w:r w:rsidR="000965BA" w:rsidRPr="002532DF">
        <w:rPr>
          <w:rStyle w:val="FootnoteReference"/>
          <w:sz w:val="25"/>
          <w:szCs w:val="25"/>
        </w:rPr>
        <w:footnoteReference w:id="346"/>
      </w:r>
    </w:p>
    <w:p w:rsidR="00BB5034" w:rsidRPr="002532DF" w:rsidRDefault="003C797B" w:rsidP="009F4FAC">
      <w:pPr>
        <w:pStyle w:val="Heading4"/>
        <w:ind w:left="1080" w:hanging="360"/>
        <w:rPr>
          <w:rFonts w:ascii="Times New Roman" w:hAnsi="Times New Roman"/>
          <w:sz w:val="25"/>
          <w:szCs w:val="25"/>
        </w:rPr>
      </w:pPr>
      <w:bookmarkStart w:id="62" w:name="_Toc288813753"/>
      <w:r w:rsidRPr="002532DF">
        <w:rPr>
          <w:rFonts w:ascii="Times New Roman" w:hAnsi="Times New Roman"/>
          <w:sz w:val="25"/>
          <w:szCs w:val="25"/>
        </w:rPr>
        <w:t>8</w:t>
      </w:r>
      <w:r w:rsidR="00BB5034" w:rsidRPr="002532DF">
        <w:rPr>
          <w:rFonts w:ascii="Times New Roman" w:hAnsi="Times New Roman"/>
          <w:sz w:val="25"/>
          <w:szCs w:val="25"/>
        </w:rPr>
        <w:t>.</w:t>
      </w:r>
      <w:r w:rsidR="00BB5034" w:rsidRPr="002532DF">
        <w:rPr>
          <w:rFonts w:ascii="Times New Roman" w:hAnsi="Times New Roman"/>
          <w:sz w:val="25"/>
          <w:szCs w:val="25"/>
        </w:rPr>
        <w:tab/>
        <w:t>Annual Incentive Plan (AIP)</w:t>
      </w:r>
      <w:bookmarkEnd w:id="62"/>
    </w:p>
    <w:p w:rsidR="00BB5034" w:rsidRPr="002532DF" w:rsidRDefault="00BB5034" w:rsidP="00817E21">
      <w:pPr>
        <w:spacing w:line="276" w:lineRule="auto"/>
        <w:ind w:left="1080"/>
        <w:rPr>
          <w:b/>
          <w:sz w:val="25"/>
          <w:szCs w:val="25"/>
        </w:rPr>
      </w:pPr>
    </w:p>
    <w:p w:rsidR="00A17BDE" w:rsidRPr="002532DF" w:rsidRDefault="00A46530" w:rsidP="00027588">
      <w:pPr>
        <w:numPr>
          <w:ilvl w:val="0"/>
          <w:numId w:val="1"/>
        </w:numPr>
        <w:tabs>
          <w:tab w:val="clear" w:pos="720"/>
          <w:tab w:val="num" w:pos="0"/>
        </w:tabs>
        <w:spacing w:line="276" w:lineRule="auto"/>
        <w:ind w:left="0"/>
        <w:rPr>
          <w:sz w:val="25"/>
          <w:szCs w:val="25"/>
        </w:rPr>
      </w:pPr>
      <w:r w:rsidRPr="002532DF">
        <w:rPr>
          <w:i/>
          <w:sz w:val="25"/>
          <w:szCs w:val="25"/>
        </w:rPr>
        <w:t xml:space="preserve">Positions of the Parties.  </w:t>
      </w:r>
      <w:r w:rsidR="00A17BDE" w:rsidRPr="002532DF">
        <w:rPr>
          <w:sz w:val="25"/>
          <w:szCs w:val="25"/>
        </w:rPr>
        <w:t>PacifiCorp proposes to include $1.4 million in incentive compensation expenses</w:t>
      </w:r>
      <w:r w:rsidR="00C373D0" w:rsidRPr="002532DF">
        <w:rPr>
          <w:sz w:val="25"/>
          <w:szCs w:val="25"/>
        </w:rPr>
        <w:t xml:space="preserve"> arguing</w:t>
      </w:r>
      <w:r w:rsidR="00A17BDE" w:rsidRPr="002532DF">
        <w:rPr>
          <w:sz w:val="25"/>
          <w:szCs w:val="25"/>
        </w:rPr>
        <w:t xml:space="preserve"> that its primary goal in determining employee compensation is to provide pay at the market average.</w:t>
      </w:r>
      <w:r w:rsidR="00A17BDE" w:rsidRPr="002532DF">
        <w:rPr>
          <w:rStyle w:val="FootnoteReference"/>
          <w:sz w:val="25"/>
          <w:szCs w:val="25"/>
        </w:rPr>
        <w:footnoteReference w:id="347"/>
      </w:r>
      <w:r w:rsidR="00A17BDE" w:rsidRPr="002532DF">
        <w:rPr>
          <w:sz w:val="25"/>
          <w:szCs w:val="25"/>
        </w:rPr>
        <w:t xml:space="preserve">  In addition, it contends that to encourage superior performance, a certain percentage of an employee’s compensation must be “at risk</w:t>
      </w:r>
      <w:r w:rsidR="00C373D0" w:rsidRPr="002532DF">
        <w:rPr>
          <w:sz w:val="25"/>
          <w:szCs w:val="25"/>
        </w:rPr>
        <w:t>,</w:t>
      </w:r>
      <w:r w:rsidR="00A17BDE" w:rsidRPr="002532DF">
        <w:rPr>
          <w:sz w:val="25"/>
          <w:szCs w:val="25"/>
        </w:rPr>
        <w:t>”</w:t>
      </w:r>
      <w:r w:rsidR="00A17BDE" w:rsidRPr="002532DF">
        <w:rPr>
          <w:rStyle w:val="FootnoteReference"/>
          <w:sz w:val="25"/>
          <w:szCs w:val="25"/>
        </w:rPr>
        <w:footnoteReference w:id="348"/>
      </w:r>
      <w:r w:rsidR="00A17BDE" w:rsidRPr="002532DF">
        <w:rPr>
          <w:sz w:val="25"/>
          <w:szCs w:val="25"/>
        </w:rPr>
        <w:t xml:space="preserve"> its AIP provides employees with the incentive to perform at an above average level.</w:t>
      </w:r>
      <w:r w:rsidR="00A17BDE" w:rsidRPr="002532DF">
        <w:rPr>
          <w:rStyle w:val="FootnoteReference"/>
          <w:sz w:val="25"/>
          <w:szCs w:val="25"/>
        </w:rPr>
        <w:footnoteReference w:id="349"/>
      </w:r>
    </w:p>
    <w:p w:rsidR="00C62D1E" w:rsidRPr="002532DF" w:rsidRDefault="00C62D1E" w:rsidP="00817E21">
      <w:pPr>
        <w:spacing w:line="276" w:lineRule="auto"/>
        <w:rPr>
          <w:sz w:val="25"/>
          <w:szCs w:val="25"/>
        </w:rPr>
      </w:pPr>
    </w:p>
    <w:p w:rsidR="00A17BDE" w:rsidRPr="002532DF" w:rsidRDefault="00A92029" w:rsidP="00027588">
      <w:pPr>
        <w:numPr>
          <w:ilvl w:val="0"/>
          <w:numId w:val="1"/>
        </w:numPr>
        <w:tabs>
          <w:tab w:val="clear" w:pos="720"/>
          <w:tab w:val="num" w:pos="0"/>
        </w:tabs>
        <w:spacing w:line="276" w:lineRule="auto"/>
        <w:ind w:left="0"/>
        <w:rPr>
          <w:sz w:val="25"/>
          <w:szCs w:val="25"/>
        </w:rPr>
      </w:pPr>
      <w:r w:rsidRPr="002532DF">
        <w:rPr>
          <w:sz w:val="25"/>
          <w:szCs w:val="25"/>
        </w:rPr>
        <w:t>PacifiCorp asse</w:t>
      </w:r>
      <w:r w:rsidR="00A17BDE" w:rsidRPr="002532DF">
        <w:rPr>
          <w:sz w:val="25"/>
          <w:szCs w:val="25"/>
        </w:rPr>
        <w:t>rts that incentive compensation is a greater benefit to customers than compensation consisting solely of base compensation because a higher level of employee performance is achieved and the Company is able to attract and retain talented employees in a competitive market.</w:t>
      </w:r>
      <w:r w:rsidR="00A17BDE" w:rsidRPr="002532DF">
        <w:rPr>
          <w:rStyle w:val="FootnoteReference"/>
          <w:sz w:val="25"/>
          <w:szCs w:val="25"/>
        </w:rPr>
        <w:footnoteReference w:id="350"/>
      </w:r>
      <w:r w:rsidR="00A17BDE" w:rsidRPr="002532DF">
        <w:rPr>
          <w:sz w:val="25"/>
          <w:szCs w:val="25"/>
        </w:rPr>
        <w:t xml:space="preserve">  </w:t>
      </w:r>
    </w:p>
    <w:p w:rsidR="00C62D1E" w:rsidRPr="002532DF" w:rsidRDefault="00C62D1E" w:rsidP="00817E21">
      <w:pPr>
        <w:spacing w:line="276" w:lineRule="auto"/>
        <w:rPr>
          <w:sz w:val="25"/>
          <w:szCs w:val="25"/>
        </w:rPr>
      </w:pPr>
    </w:p>
    <w:p w:rsidR="00A17BDE" w:rsidRPr="002532DF" w:rsidRDefault="00A17BDE" w:rsidP="00027588">
      <w:pPr>
        <w:numPr>
          <w:ilvl w:val="0"/>
          <w:numId w:val="1"/>
        </w:numPr>
        <w:tabs>
          <w:tab w:val="clear" w:pos="720"/>
          <w:tab w:val="num" w:pos="0"/>
        </w:tabs>
        <w:spacing w:line="276" w:lineRule="auto"/>
        <w:ind w:left="0"/>
        <w:rPr>
          <w:sz w:val="25"/>
          <w:szCs w:val="25"/>
        </w:rPr>
      </w:pPr>
      <w:r w:rsidRPr="002532DF">
        <w:rPr>
          <w:sz w:val="25"/>
          <w:szCs w:val="25"/>
        </w:rPr>
        <w:t>The Company’s AIP provides performance awards based on: (1) the employee’s performance against individual goals; (2) the employee’s performance against group goals; and (3) success in addressing new issues and opportunities that arise.</w:t>
      </w:r>
      <w:r w:rsidRPr="002532DF">
        <w:rPr>
          <w:rStyle w:val="FootnoteReference"/>
          <w:sz w:val="25"/>
          <w:szCs w:val="25"/>
        </w:rPr>
        <w:footnoteReference w:id="351"/>
      </w:r>
      <w:r w:rsidRPr="002532DF">
        <w:rPr>
          <w:sz w:val="25"/>
          <w:szCs w:val="25"/>
        </w:rPr>
        <w:t xml:space="preserve">  </w:t>
      </w:r>
      <w:r w:rsidR="000047CE" w:rsidRPr="002532DF">
        <w:rPr>
          <w:sz w:val="25"/>
          <w:szCs w:val="25"/>
        </w:rPr>
        <w:t xml:space="preserve">Individual goals constitute 70 percent of the performance award and group goals account for the remaining 30 percent.  </w:t>
      </w:r>
      <w:r w:rsidRPr="002532DF">
        <w:rPr>
          <w:sz w:val="25"/>
          <w:szCs w:val="25"/>
        </w:rPr>
        <w:t>PacifiCorp states that employees are not evaluated on the basis of the financial performance of the Company.</w:t>
      </w:r>
      <w:r w:rsidRPr="002532DF">
        <w:rPr>
          <w:rStyle w:val="FootnoteReference"/>
          <w:sz w:val="25"/>
          <w:szCs w:val="25"/>
        </w:rPr>
        <w:footnoteReference w:id="352"/>
      </w:r>
      <w:r w:rsidRPr="002532DF">
        <w:rPr>
          <w:sz w:val="25"/>
          <w:szCs w:val="25"/>
        </w:rPr>
        <w:t xml:space="preserve">  PacifiCorp maintains a separate plan for executives that awards bonuses based on corporate performance</w:t>
      </w:r>
      <w:r w:rsidR="000C4A79" w:rsidRPr="002532DF">
        <w:rPr>
          <w:sz w:val="25"/>
          <w:szCs w:val="25"/>
        </w:rPr>
        <w:t>; that plan</w:t>
      </w:r>
      <w:r w:rsidR="00B958A2" w:rsidRPr="002532DF">
        <w:rPr>
          <w:sz w:val="25"/>
          <w:szCs w:val="25"/>
        </w:rPr>
        <w:t xml:space="preserve"> is paid for by shareholders, </w:t>
      </w:r>
      <w:r w:rsidR="00D63FD5" w:rsidRPr="002532DF">
        <w:rPr>
          <w:sz w:val="25"/>
          <w:szCs w:val="25"/>
        </w:rPr>
        <w:t>not</w:t>
      </w:r>
      <w:r w:rsidRPr="002532DF">
        <w:rPr>
          <w:sz w:val="25"/>
          <w:szCs w:val="25"/>
        </w:rPr>
        <w:t xml:space="preserve"> ratepayers.</w:t>
      </w:r>
      <w:r w:rsidRPr="002532DF">
        <w:rPr>
          <w:rStyle w:val="FootnoteReference"/>
          <w:sz w:val="25"/>
          <w:szCs w:val="25"/>
        </w:rPr>
        <w:footnoteReference w:id="353"/>
      </w:r>
    </w:p>
    <w:p w:rsidR="00C62D1E" w:rsidRPr="002532DF" w:rsidRDefault="00C62D1E" w:rsidP="00817E21">
      <w:pPr>
        <w:spacing w:line="276" w:lineRule="auto"/>
        <w:rPr>
          <w:sz w:val="25"/>
          <w:szCs w:val="25"/>
        </w:rPr>
      </w:pPr>
    </w:p>
    <w:p w:rsidR="00A17BDE" w:rsidRPr="002532DF" w:rsidRDefault="00A17BDE" w:rsidP="00027588">
      <w:pPr>
        <w:numPr>
          <w:ilvl w:val="0"/>
          <w:numId w:val="1"/>
        </w:numPr>
        <w:tabs>
          <w:tab w:val="clear" w:pos="720"/>
          <w:tab w:val="num" w:pos="0"/>
        </w:tabs>
        <w:spacing w:line="276" w:lineRule="auto"/>
        <w:ind w:left="0"/>
        <w:rPr>
          <w:sz w:val="25"/>
          <w:szCs w:val="25"/>
        </w:rPr>
      </w:pPr>
      <w:r w:rsidRPr="002532DF">
        <w:rPr>
          <w:sz w:val="25"/>
          <w:szCs w:val="25"/>
        </w:rPr>
        <w:t xml:space="preserve">In this case, </w:t>
      </w:r>
      <w:r w:rsidR="00B958A2" w:rsidRPr="002532DF">
        <w:rPr>
          <w:sz w:val="25"/>
          <w:szCs w:val="25"/>
        </w:rPr>
        <w:t>the annual cost of the AIP</w:t>
      </w:r>
      <w:r w:rsidRPr="002532DF">
        <w:rPr>
          <w:sz w:val="25"/>
          <w:szCs w:val="25"/>
        </w:rPr>
        <w:t xml:space="preserve"> based on the twelve-months ended December 31, 2009, </w:t>
      </w:r>
      <w:r w:rsidR="00B958A2" w:rsidRPr="002532DF">
        <w:rPr>
          <w:sz w:val="25"/>
          <w:szCs w:val="25"/>
        </w:rPr>
        <w:t>is</w:t>
      </w:r>
      <w:r w:rsidRPr="002532DF">
        <w:rPr>
          <w:sz w:val="25"/>
          <w:szCs w:val="25"/>
        </w:rPr>
        <w:t xml:space="preserve"> approximately $29</w:t>
      </w:r>
      <w:r w:rsidR="00B958A2" w:rsidRPr="002532DF">
        <w:rPr>
          <w:sz w:val="25"/>
          <w:szCs w:val="25"/>
        </w:rPr>
        <w:t>.8</w:t>
      </w:r>
      <w:r w:rsidRPr="002532DF">
        <w:rPr>
          <w:sz w:val="25"/>
          <w:szCs w:val="25"/>
        </w:rPr>
        <w:t xml:space="preserve"> million</w:t>
      </w:r>
      <w:r w:rsidR="00B958A2" w:rsidRPr="002532DF">
        <w:rPr>
          <w:sz w:val="25"/>
          <w:szCs w:val="25"/>
        </w:rPr>
        <w:t xml:space="preserve"> on a system-wide basis.  It seeks to recover </w:t>
      </w:r>
      <w:r w:rsidRPr="002532DF">
        <w:rPr>
          <w:sz w:val="25"/>
          <w:szCs w:val="25"/>
        </w:rPr>
        <w:t xml:space="preserve">the Washington-allocated share of this expense </w:t>
      </w:r>
      <w:r w:rsidR="00B958A2" w:rsidRPr="002532DF">
        <w:rPr>
          <w:sz w:val="25"/>
          <w:szCs w:val="25"/>
        </w:rPr>
        <w:t>of</w:t>
      </w:r>
      <w:r w:rsidRPr="002532DF">
        <w:rPr>
          <w:sz w:val="25"/>
          <w:szCs w:val="25"/>
        </w:rPr>
        <w:t xml:space="preserve"> $1.4 million.</w:t>
      </w:r>
      <w:r w:rsidRPr="002532DF">
        <w:rPr>
          <w:rStyle w:val="FootnoteReference"/>
          <w:sz w:val="25"/>
          <w:szCs w:val="25"/>
        </w:rPr>
        <w:footnoteReference w:id="354"/>
      </w:r>
    </w:p>
    <w:p w:rsidR="00C62D1E" w:rsidRPr="002532DF" w:rsidRDefault="00C62D1E" w:rsidP="00817E21">
      <w:pPr>
        <w:spacing w:line="276" w:lineRule="auto"/>
        <w:rPr>
          <w:sz w:val="25"/>
          <w:szCs w:val="25"/>
        </w:rPr>
      </w:pPr>
    </w:p>
    <w:p w:rsidR="00A17BDE" w:rsidRPr="002532DF" w:rsidRDefault="00A17BDE" w:rsidP="00027588">
      <w:pPr>
        <w:numPr>
          <w:ilvl w:val="0"/>
          <w:numId w:val="1"/>
        </w:numPr>
        <w:tabs>
          <w:tab w:val="clear" w:pos="720"/>
          <w:tab w:val="num" w:pos="0"/>
        </w:tabs>
        <w:spacing w:line="276" w:lineRule="auto"/>
        <w:ind w:left="0"/>
        <w:rPr>
          <w:sz w:val="25"/>
          <w:szCs w:val="25"/>
        </w:rPr>
      </w:pPr>
      <w:r w:rsidRPr="002532DF">
        <w:rPr>
          <w:sz w:val="25"/>
          <w:szCs w:val="25"/>
        </w:rPr>
        <w:t xml:space="preserve">The Joint Parties recommend that </w:t>
      </w:r>
      <w:r w:rsidR="00B958A2" w:rsidRPr="002532DF">
        <w:rPr>
          <w:sz w:val="25"/>
          <w:szCs w:val="25"/>
        </w:rPr>
        <w:t>one-</w:t>
      </w:r>
      <w:r w:rsidRPr="002532DF">
        <w:rPr>
          <w:sz w:val="25"/>
          <w:szCs w:val="25"/>
        </w:rPr>
        <w:t>half of the incentive compensation expense, or $700,000, be disallowed.</w:t>
      </w:r>
      <w:r w:rsidRPr="002532DF">
        <w:rPr>
          <w:rStyle w:val="FootnoteReference"/>
          <w:sz w:val="25"/>
          <w:szCs w:val="25"/>
        </w:rPr>
        <w:footnoteReference w:id="355"/>
      </w:r>
      <w:r w:rsidRPr="002532DF">
        <w:rPr>
          <w:sz w:val="25"/>
          <w:szCs w:val="25"/>
        </w:rPr>
        <w:t xml:space="preserve">  The Joint Parties argue that the goals for the achievement of incentive compensation payments are not well-defined and many of the goals are not quantitative.</w:t>
      </w:r>
      <w:r w:rsidRPr="002532DF">
        <w:rPr>
          <w:rStyle w:val="FootnoteReference"/>
          <w:sz w:val="25"/>
          <w:szCs w:val="25"/>
        </w:rPr>
        <w:footnoteReference w:id="356"/>
      </w:r>
      <w:r w:rsidRPr="002532DF">
        <w:rPr>
          <w:sz w:val="25"/>
          <w:szCs w:val="25"/>
        </w:rPr>
        <w:t xml:space="preserve">  They state that PacifiCorp’s AIP is based on the achievement of six group goals including: (1) customer focus; (2) job knowledge; (3) planning and decision making; (4) productivity; (5) building relationships; and (6) leadership.</w:t>
      </w:r>
      <w:r w:rsidRPr="002532DF">
        <w:rPr>
          <w:rStyle w:val="FootnoteReference"/>
          <w:sz w:val="25"/>
          <w:szCs w:val="25"/>
        </w:rPr>
        <w:footnoteReference w:id="357"/>
      </w:r>
      <w:r w:rsidRPr="002532DF">
        <w:rPr>
          <w:sz w:val="25"/>
          <w:szCs w:val="25"/>
        </w:rPr>
        <w:t xml:space="preserve">  </w:t>
      </w:r>
    </w:p>
    <w:p w:rsidR="00C62D1E" w:rsidRPr="002532DF" w:rsidRDefault="00C62D1E" w:rsidP="00817E21">
      <w:pPr>
        <w:spacing w:line="276" w:lineRule="auto"/>
        <w:rPr>
          <w:sz w:val="25"/>
          <w:szCs w:val="25"/>
        </w:rPr>
      </w:pPr>
    </w:p>
    <w:p w:rsidR="00A17BDE" w:rsidRPr="002532DF" w:rsidRDefault="00A17BDE" w:rsidP="00027588">
      <w:pPr>
        <w:numPr>
          <w:ilvl w:val="0"/>
          <w:numId w:val="1"/>
        </w:numPr>
        <w:tabs>
          <w:tab w:val="clear" w:pos="720"/>
          <w:tab w:val="num" w:pos="0"/>
        </w:tabs>
        <w:spacing w:line="276" w:lineRule="auto"/>
        <w:ind w:left="0"/>
        <w:rPr>
          <w:sz w:val="25"/>
          <w:szCs w:val="25"/>
        </w:rPr>
      </w:pPr>
      <w:r w:rsidRPr="002532DF">
        <w:rPr>
          <w:sz w:val="25"/>
          <w:szCs w:val="25"/>
        </w:rPr>
        <w:t>The Joint Parties assert that an acceptable incentive plan should include goals that improve or maintain PacifiCorp’s existing operational performance in areas such as safety, managing operation and maintenance expenses, system reliability, and customer service.</w:t>
      </w:r>
      <w:r w:rsidRPr="002532DF">
        <w:rPr>
          <w:rStyle w:val="FootnoteReference"/>
          <w:sz w:val="25"/>
          <w:szCs w:val="25"/>
        </w:rPr>
        <w:footnoteReference w:id="358"/>
      </w:r>
      <w:r w:rsidRPr="002532DF">
        <w:rPr>
          <w:sz w:val="25"/>
          <w:szCs w:val="25"/>
        </w:rPr>
        <w:t xml:space="preserve">  They further note that some of the group goals enhance shareholder value</w:t>
      </w:r>
      <w:r w:rsidR="00881D0C" w:rsidRPr="002532DF">
        <w:rPr>
          <w:sz w:val="25"/>
          <w:szCs w:val="25"/>
        </w:rPr>
        <w:t>, instead of providing tangible benefits to ratepayers</w:t>
      </w:r>
      <w:r w:rsidRPr="002532DF">
        <w:rPr>
          <w:sz w:val="25"/>
          <w:szCs w:val="25"/>
        </w:rPr>
        <w:t>.</w:t>
      </w:r>
      <w:r w:rsidRPr="002532DF">
        <w:rPr>
          <w:rStyle w:val="FootnoteReference"/>
          <w:sz w:val="25"/>
          <w:szCs w:val="25"/>
        </w:rPr>
        <w:footnoteReference w:id="359"/>
      </w:r>
      <w:r w:rsidRPr="002532DF">
        <w:rPr>
          <w:sz w:val="25"/>
          <w:szCs w:val="25"/>
        </w:rPr>
        <w:t xml:space="preserve">  </w:t>
      </w:r>
    </w:p>
    <w:p w:rsidR="00C62D1E" w:rsidRPr="002532DF" w:rsidRDefault="00C62D1E" w:rsidP="00817E21">
      <w:pPr>
        <w:spacing w:line="276" w:lineRule="auto"/>
        <w:rPr>
          <w:sz w:val="25"/>
          <w:szCs w:val="25"/>
        </w:rPr>
      </w:pPr>
    </w:p>
    <w:p w:rsidR="00A17BDE" w:rsidRPr="002532DF" w:rsidRDefault="00A17BDE" w:rsidP="00027588">
      <w:pPr>
        <w:numPr>
          <w:ilvl w:val="0"/>
          <w:numId w:val="1"/>
        </w:numPr>
        <w:tabs>
          <w:tab w:val="clear" w:pos="720"/>
          <w:tab w:val="num" w:pos="0"/>
        </w:tabs>
        <w:spacing w:line="276" w:lineRule="auto"/>
        <w:ind w:left="0"/>
        <w:rPr>
          <w:sz w:val="25"/>
          <w:szCs w:val="25"/>
        </w:rPr>
      </w:pPr>
      <w:r w:rsidRPr="002532DF">
        <w:rPr>
          <w:sz w:val="25"/>
          <w:szCs w:val="25"/>
        </w:rPr>
        <w:t>In rebuttal</w:t>
      </w:r>
      <w:r w:rsidR="00881D0C" w:rsidRPr="002532DF">
        <w:rPr>
          <w:sz w:val="25"/>
          <w:szCs w:val="25"/>
        </w:rPr>
        <w:t xml:space="preserve"> testimony</w:t>
      </w:r>
      <w:r w:rsidRPr="002532DF">
        <w:rPr>
          <w:sz w:val="25"/>
          <w:szCs w:val="25"/>
        </w:rPr>
        <w:t>, the Company states that ICNU recommended that the Commission disallow incentive compensation payments in PacifiCorp’s last litigated general rate case</w:t>
      </w:r>
      <w:r w:rsidR="00881D0C" w:rsidRPr="002532DF">
        <w:rPr>
          <w:sz w:val="25"/>
          <w:szCs w:val="25"/>
        </w:rPr>
        <w:t xml:space="preserve"> in 2006</w:t>
      </w:r>
      <w:r w:rsidRPr="002532DF">
        <w:rPr>
          <w:sz w:val="25"/>
          <w:szCs w:val="25"/>
        </w:rPr>
        <w:t>.</w:t>
      </w:r>
      <w:r w:rsidRPr="002532DF">
        <w:rPr>
          <w:rStyle w:val="FootnoteReference"/>
          <w:sz w:val="25"/>
          <w:szCs w:val="25"/>
        </w:rPr>
        <w:footnoteReference w:id="360"/>
      </w:r>
      <w:r w:rsidRPr="002532DF">
        <w:rPr>
          <w:sz w:val="25"/>
          <w:szCs w:val="25"/>
        </w:rPr>
        <w:t xml:space="preserve">  The Commission rejected ICNU’s argument that the payments were tied to business and financial performance and concluded that the payments were related to operational effectiveness, customer satisfaction, and safety.</w:t>
      </w:r>
      <w:r w:rsidRPr="002532DF">
        <w:rPr>
          <w:rStyle w:val="FootnoteReference"/>
          <w:sz w:val="25"/>
          <w:szCs w:val="25"/>
        </w:rPr>
        <w:footnoteReference w:id="361"/>
      </w:r>
      <w:r w:rsidRPr="002532DF">
        <w:rPr>
          <w:sz w:val="25"/>
          <w:szCs w:val="25"/>
        </w:rPr>
        <w:t xml:space="preserve">  The Company asserts that </w:t>
      </w:r>
      <w:r w:rsidR="00881D0C" w:rsidRPr="002532DF">
        <w:rPr>
          <w:sz w:val="25"/>
          <w:szCs w:val="25"/>
        </w:rPr>
        <w:t>the</w:t>
      </w:r>
      <w:r w:rsidRPr="002532DF">
        <w:rPr>
          <w:sz w:val="25"/>
          <w:szCs w:val="25"/>
        </w:rPr>
        <w:t xml:space="preserve"> current </w:t>
      </w:r>
      <w:r w:rsidR="00881D0C" w:rsidRPr="002532DF">
        <w:rPr>
          <w:sz w:val="25"/>
          <w:szCs w:val="25"/>
        </w:rPr>
        <w:t xml:space="preserve">structure and goals of the AIP </w:t>
      </w:r>
      <w:r w:rsidRPr="002532DF">
        <w:rPr>
          <w:sz w:val="25"/>
          <w:szCs w:val="25"/>
        </w:rPr>
        <w:t>reflect</w:t>
      </w:r>
      <w:r w:rsidR="00881D0C" w:rsidRPr="002532DF">
        <w:rPr>
          <w:sz w:val="25"/>
          <w:szCs w:val="25"/>
        </w:rPr>
        <w:t xml:space="preserve"> the principles that the Commission stated in its approval of these costs in the 2006 case.</w:t>
      </w:r>
      <w:r w:rsidRPr="002532DF">
        <w:rPr>
          <w:sz w:val="25"/>
          <w:szCs w:val="25"/>
        </w:rPr>
        <w:t xml:space="preserve"> </w:t>
      </w:r>
    </w:p>
    <w:p w:rsidR="00C62D1E" w:rsidRPr="002532DF" w:rsidRDefault="00C62D1E" w:rsidP="00817E21">
      <w:pPr>
        <w:spacing w:line="276" w:lineRule="auto"/>
        <w:rPr>
          <w:sz w:val="25"/>
          <w:szCs w:val="25"/>
        </w:rPr>
      </w:pPr>
    </w:p>
    <w:p w:rsidR="00A17BDE" w:rsidRPr="002532DF" w:rsidRDefault="00A17BDE" w:rsidP="00027588">
      <w:pPr>
        <w:numPr>
          <w:ilvl w:val="0"/>
          <w:numId w:val="1"/>
        </w:numPr>
        <w:tabs>
          <w:tab w:val="clear" w:pos="720"/>
          <w:tab w:val="num" w:pos="0"/>
        </w:tabs>
        <w:spacing w:line="276" w:lineRule="auto"/>
        <w:ind w:left="0"/>
        <w:rPr>
          <w:sz w:val="25"/>
          <w:szCs w:val="25"/>
        </w:rPr>
      </w:pPr>
      <w:r w:rsidRPr="002532DF">
        <w:rPr>
          <w:sz w:val="25"/>
          <w:szCs w:val="25"/>
        </w:rPr>
        <w:t xml:space="preserve">PacifiCorp </w:t>
      </w:r>
      <w:r w:rsidR="00C373D0" w:rsidRPr="002532DF">
        <w:rPr>
          <w:sz w:val="25"/>
          <w:szCs w:val="25"/>
        </w:rPr>
        <w:t>reiterates</w:t>
      </w:r>
      <w:r w:rsidRPr="002532DF">
        <w:rPr>
          <w:sz w:val="25"/>
          <w:szCs w:val="25"/>
        </w:rPr>
        <w:t xml:space="preserve"> that adopting the Joint Parties’ position will result in employees being under-paid because the incentive compensation is not a “bonus;</w:t>
      </w:r>
      <w:r w:rsidR="00BC2E3A" w:rsidRPr="002532DF">
        <w:rPr>
          <w:sz w:val="25"/>
          <w:szCs w:val="25"/>
        </w:rPr>
        <w:t>”</w:t>
      </w:r>
      <w:r w:rsidRPr="002532DF">
        <w:rPr>
          <w:sz w:val="25"/>
          <w:szCs w:val="25"/>
        </w:rPr>
        <w:t xml:space="preserve"> it is an integral part of a competitive level of pay.</w:t>
      </w:r>
      <w:r w:rsidRPr="002532DF">
        <w:rPr>
          <w:rStyle w:val="FootnoteReference"/>
          <w:sz w:val="25"/>
          <w:szCs w:val="25"/>
        </w:rPr>
        <w:footnoteReference w:id="362"/>
      </w:r>
      <w:r w:rsidRPr="002532DF">
        <w:rPr>
          <w:sz w:val="25"/>
          <w:szCs w:val="25"/>
        </w:rPr>
        <w:t xml:space="preserve">  PacifiCorp contends that the Commission has generally left companies with the task of determining appropriate employee incentives and should reject the Joint Parties’ proposal to disallow </w:t>
      </w:r>
      <w:r w:rsidR="00881D0C" w:rsidRPr="002532DF">
        <w:rPr>
          <w:sz w:val="25"/>
          <w:szCs w:val="25"/>
        </w:rPr>
        <w:t xml:space="preserve">what it calls an arbitrary and unsupported </w:t>
      </w:r>
      <w:r w:rsidRPr="002532DF">
        <w:rPr>
          <w:sz w:val="25"/>
          <w:szCs w:val="25"/>
        </w:rPr>
        <w:t xml:space="preserve">50 percent </w:t>
      </w:r>
      <w:r w:rsidR="00881D0C" w:rsidRPr="002532DF">
        <w:rPr>
          <w:sz w:val="25"/>
          <w:szCs w:val="25"/>
        </w:rPr>
        <w:t>reduction to its AIP.</w:t>
      </w:r>
    </w:p>
    <w:p w:rsidR="00986298" w:rsidRPr="002532DF" w:rsidRDefault="00986298" w:rsidP="00986298">
      <w:pPr>
        <w:spacing w:line="276" w:lineRule="auto"/>
        <w:ind w:left="-720"/>
        <w:rPr>
          <w:sz w:val="25"/>
          <w:szCs w:val="25"/>
        </w:rPr>
      </w:pPr>
    </w:p>
    <w:p w:rsidR="008205A3" w:rsidRPr="002532DF" w:rsidRDefault="00D17347" w:rsidP="00027588">
      <w:pPr>
        <w:numPr>
          <w:ilvl w:val="0"/>
          <w:numId w:val="1"/>
        </w:numPr>
        <w:tabs>
          <w:tab w:val="clear" w:pos="720"/>
          <w:tab w:val="num" w:pos="0"/>
        </w:tabs>
        <w:spacing w:line="276" w:lineRule="auto"/>
        <w:ind w:left="0"/>
        <w:rPr>
          <w:sz w:val="25"/>
          <w:szCs w:val="25"/>
        </w:rPr>
      </w:pPr>
      <w:r w:rsidRPr="002532DF">
        <w:rPr>
          <w:i/>
          <w:sz w:val="25"/>
          <w:szCs w:val="25"/>
        </w:rPr>
        <w:t>Commission Decision.</w:t>
      </w:r>
      <w:r w:rsidR="009F4FAC" w:rsidRPr="002532DF">
        <w:rPr>
          <w:i/>
          <w:sz w:val="25"/>
          <w:szCs w:val="25"/>
        </w:rPr>
        <w:t xml:space="preserve"> </w:t>
      </w:r>
      <w:r w:rsidRPr="002532DF">
        <w:rPr>
          <w:i/>
          <w:sz w:val="25"/>
          <w:szCs w:val="25"/>
        </w:rPr>
        <w:t xml:space="preserve"> </w:t>
      </w:r>
      <w:r w:rsidR="00881D0C" w:rsidRPr="002532DF">
        <w:rPr>
          <w:sz w:val="25"/>
          <w:szCs w:val="25"/>
        </w:rPr>
        <w:t xml:space="preserve">As we decided in the last litigated case, we conclude that the AIP is an appropriate method of implementing “incentive-based” compensation.  PacifiCorp </w:t>
      </w:r>
      <w:r w:rsidR="00BC54D7" w:rsidRPr="002532DF">
        <w:rPr>
          <w:sz w:val="25"/>
          <w:szCs w:val="25"/>
        </w:rPr>
        <w:t xml:space="preserve">has chosen </w:t>
      </w:r>
      <w:r w:rsidR="00881D0C" w:rsidRPr="002532DF">
        <w:rPr>
          <w:sz w:val="25"/>
          <w:szCs w:val="25"/>
        </w:rPr>
        <w:t xml:space="preserve">an overall </w:t>
      </w:r>
      <w:r w:rsidR="00BC54D7" w:rsidRPr="002532DF">
        <w:rPr>
          <w:sz w:val="25"/>
          <w:szCs w:val="25"/>
        </w:rPr>
        <w:t xml:space="preserve">structure </w:t>
      </w:r>
      <w:r w:rsidR="00881D0C" w:rsidRPr="002532DF">
        <w:rPr>
          <w:sz w:val="25"/>
          <w:szCs w:val="25"/>
        </w:rPr>
        <w:t xml:space="preserve">of </w:t>
      </w:r>
      <w:r w:rsidR="00BC54D7" w:rsidRPr="002532DF">
        <w:rPr>
          <w:sz w:val="25"/>
          <w:szCs w:val="25"/>
        </w:rPr>
        <w:t xml:space="preserve">employee compensation </w:t>
      </w:r>
      <w:r w:rsidR="00FC43A3">
        <w:rPr>
          <w:sz w:val="25"/>
          <w:szCs w:val="25"/>
        </w:rPr>
        <w:t>that</w:t>
      </w:r>
      <w:r w:rsidR="00881D0C" w:rsidRPr="002532DF">
        <w:rPr>
          <w:sz w:val="25"/>
          <w:szCs w:val="25"/>
        </w:rPr>
        <w:t xml:space="preserve"> includes both</w:t>
      </w:r>
      <w:r w:rsidR="00BC54D7" w:rsidRPr="002532DF">
        <w:rPr>
          <w:sz w:val="25"/>
          <w:szCs w:val="25"/>
        </w:rPr>
        <w:t xml:space="preserve"> a base salary </w:t>
      </w:r>
      <w:r w:rsidR="00881D0C" w:rsidRPr="002532DF">
        <w:rPr>
          <w:sz w:val="25"/>
          <w:szCs w:val="25"/>
        </w:rPr>
        <w:t>and a certain portion that is “at-risk</w:t>
      </w:r>
      <w:r w:rsidR="00B94A37" w:rsidRPr="002532DF">
        <w:rPr>
          <w:sz w:val="25"/>
          <w:szCs w:val="25"/>
        </w:rPr>
        <w:t>,</w:t>
      </w:r>
      <w:r w:rsidR="00881D0C" w:rsidRPr="002532DF">
        <w:rPr>
          <w:sz w:val="25"/>
          <w:szCs w:val="25"/>
        </w:rPr>
        <w:t xml:space="preserve">” </w:t>
      </w:r>
      <w:r w:rsidR="00B94A37" w:rsidRPr="002532DF">
        <w:rPr>
          <w:sz w:val="25"/>
          <w:szCs w:val="25"/>
        </w:rPr>
        <w:t>or</w:t>
      </w:r>
      <w:r w:rsidR="00BC54D7" w:rsidRPr="002532DF">
        <w:rPr>
          <w:sz w:val="25"/>
          <w:szCs w:val="25"/>
        </w:rPr>
        <w:t xml:space="preserve"> incentive compensation</w:t>
      </w:r>
      <w:r w:rsidR="00986298" w:rsidRPr="002532DF">
        <w:rPr>
          <w:sz w:val="25"/>
          <w:szCs w:val="25"/>
        </w:rPr>
        <w:t xml:space="preserve">.  By its very definition, incentive compensation is not a bonus </w:t>
      </w:r>
      <w:r w:rsidR="00FC43A3">
        <w:rPr>
          <w:sz w:val="25"/>
          <w:szCs w:val="25"/>
        </w:rPr>
        <w:t xml:space="preserve">or </w:t>
      </w:r>
      <w:r w:rsidR="00986298" w:rsidRPr="002532DF">
        <w:rPr>
          <w:sz w:val="25"/>
          <w:szCs w:val="25"/>
        </w:rPr>
        <w:t xml:space="preserve">a level of pay in excess of the maximum compensation for a position.  It is simply motivation for an employee to strive for the total compensation for his or her position by achieving certain individual and group goals.   </w:t>
      </w:r>
    </w:p>
    <w:p w:rsidR="00986298" w:rsidRPr="002532DF" w:rsidRDefault="00986298" w:rsidP="00986298">
      <w:pPr>
        <w:spacing w:line="276" w:lineRule="auto"/>
        <w:ind w:left="-720"/>
        <w:rPr>
          <w:sz w:val="25"/>
          <w:szCs w:val="25"/>
        </w:rPr>
      </w:pPr>
    </w:p>
    <w:p w:rsidR="00B94A37" w:rsidRPr="002532DF" w:rsidRDefault="00986298" w:rsidP="00027588">
      <w:pPr>
        <w:numPr>
          <w:ilvl w:val="0"/>
          <w:numId w:val="1"/>
        </w:numPr>
        <w:tabs>
          <w:tab w:val="clear" w:pos="720"/>
          <w:tab w:val="num" w:pos="0"/>
        </w:tabs>
        <w:spacing w:line="276" w:lineRule="auto"/>
        <w:ind w:left="0"/>
        <w:rPr>
          <w:sz w:val="25"/>
          <w:szCs w:val="25"/>
        </w:rPr>
      </w:pPr>
      <w:r w:rsidRPr="002532DF">
        <w:rPr>
          <w:sz w:val="25"/>
          <w:szCs w:val="25"/>
        </w:rPr>
        <w:t xml:space="preserve">There does not appear to be disagreement that this is a preferable means to structure employee compensation.  </w:t>
      </w:r>
      <w:r w:rsidR="00B77CFC" w:rsidRPr="002532DF">
        <w:rPr>
          <w:sz w:val="25"/>
          <w:szCs w:val="25"/>
        </w:rPr>
        <w:t>In fact, d</w:t>
      </w:r>
      <w:r w:rsidRPr="002532DF">
        <w:rPr>
          <w:sz w:val="25"/>
          <w:szCs w:val="25"/>
        </w:rPr>
        <w:t>uring the hearing, the Joint Parties agreed that it was preferable to have employee compensation with an incentive component</w:t>
      </w:r>
      <w:r w:rsidR="00B77CFC" w:rsidRPr="002532DF">
        <w:rPr>
          <w:sz w:val="25"/>
          <w:szCs w:val="25"/>
        </w:rPr>
        <w:t xml:space="preserve"> rather than a flat salary.</w:t>
      </w:r>
      <w:r w:rsidR="00B77CFC" w:rsidRPr="002532DF">
        <w:rPr>
          <w:rStyle w:val="FootnoteReference"/>
          <w:sz w:val="25"/>
          <w:szCs w:val="25"/>
        </w:rPr>
        <w:footnoteReference w:id="363"/>
      </w:r>
      <w:r w:rsidR="00B77CFC" w:rsidRPr="002532DF">
        <w:rPr>
          <w:sz w:val="25"/>
          <w:szCs w:val="25"/>
        </w:rPr>
        <w:t xml:space="preserve">  </w:t>
      </w:r>
    </w:p>
    <w:p w:rsidR="00B94A37" w:rsidRPr="002532DF" w:rsidRDefault="00B94A37" w:rsidP="00BC2E3A">
      <w:pPr>
        <w:spacing w:line="276" w:lineRule="auto"/>
        <w:ind w:left="-720"/>
        <w:rPr>
          <w:sz w:val="25"/>
          <w:szCs w:val="25"/>
        </w:rPr>
      </w:pPr>
    </w:p>
    <w:p w:rsidR="00986298" w:rsidRPr="002532DF" w:rsidRDefault="00B94A37" w:rsidP="00027588">
      <w:pPr>
        <w:numPr>
          <w:ilvl w:val="0"/>
          <w:numId w:val="1"/>
        </w:numPr>
        <w:tabs>
          <w:tab w:val="clear" w:pos="720"/>
          <w:tab w:val="num" w:pos="0"/>
        </w:tabs>
        <w:spacing w:line="276" w:lineRule="auto"/>
        <w:ind w:left="0"/>
        <w:rPr>
          <w:sz w:val="25"/>
          <w:szCs w:val="25"/>
        </w:rPr>
      </w:pPr>
      <w:r w:rsidRPr="002532DF">
        <w:rPr>
          <w:sz w:val="25"/>
          <w:szCs w:val="25"/>
        </w:rPr>
        <w:t xml:space="preserve">We do not wish to delve too deeply in to the Company’s management of its human resources and the manner in which it determines overall compensation policy.  </w:t>
      </w:r>
      <w:r w:rsidR="00B77CFC" w:rsidRPr="002532DF">
        <w:rPr>
          <w:sz w:val="25"/>
          <w:szCs w:val="25"/>
        </w:rPr>
        <w:t xml:space="preserve">Thus, </w:t>
      </w:r>
      <w:r w:rsidR="00FC43A3">
        <w:rPr>
          <w:sz w:val="25"/>
          <w:szCs w:val="25"/>
        </w:rPr>
        <w:t>we inquire only</w:t>
      </w:r>
      <w:r w:rsidR="00B77CFC" w:rsidRPr="002532DF">
        <w:rPr>
          <w:sz w:val="25"/>
          <w:szCs w:val="25"/>
        </w:rPr>
        <w:t xml:space="preserve"> whether that compensation exceeds the market average</w:t>
      </w:r>
      <w:r w:rsidRPr="002532DF">
        <w:rPr>
          <w:sz w:val="25"/>
          <w:szCs w:val="25"/>
        </w:rPr>
        <w:t>, is unreasonable, and offers benefits to ratepayers</w:t>
      </w:r>
      <w:r w:rsidR="00B77CFC" w:rsidRPr="002532DF">
        <w:rPr>
          <w:sz w:val="25"/>
          <w:szCs w:val="25"/>
        </w:rPr>
        <w:t xml:space="preserve">.  </w:t>
      </w:r>
      <w:r w:rsidR="000965BA" w:rsidRPr="002532DF">
        <w:rPr>
          <w:sz w:val="25"/>
          <w:szCs w:val="25"/>
        </w:rPr>
        <w:t>No party disputes</w:t>
      </w:r>
      <w:r w:rsidR="00B77CFC" w:rsidRPr="002532DF">
        <w:rPr>
          <w:sz w:val="25"/>
          <w:szCs w:val="25"/>
        </w:rPr>
        <w:t xml:space="preserve"> </w:t>
      </w:r>
      <w:r w:rsidR="00681846" w:rsidRPr="002532DF">
        <w:rPr>
          <w:sz w:val="25"/>
          <w:szCs w:val="25"/>
        </w:rPr>
        <w:t xml:space="preserve">that </w:t>
      </w:r>
      <w:r w:rsidR="00B77CFC" w:rsidRPr="002532DF">
        <w:rPr>
          <w:sz w:val="25"/>
          <w:szCs w:val="25"/>
        </w:rPr>
        <w:t xml:space="preserve">the total amount of compensation, adding the base salary and incentive compensation elements, </w:t>
      </w:r>
      <w:r w:rsidR="00FC43A3">
        <w:rPr>
          <w:sz w:val="25"/>
          <w:szCs w:val="25"/>
        </w:rPr>
        <w:t>results in</w:t>
      </w:r>
      <w:r w:rsidR="00B77CFC" w:rsidRPr="002532DF">
        <w:rPr>
          <w:sz w:val="25"/>
          <w:szCs w:val="25"/>
        </w:rPr>
        <w:t xml:space="preserve"> a sum equivalent to the market average. </w:t>
      </w:r>
      <w:r w:rsidR="00986298" w:rsidRPr="002532DF">
        <w:rPr>
          <w:sz w:val="25"/>
          <w:szCs w:val="25"/>
        </w:rPr>
        <w:t xml:space="preserve"> </w:t>
      </w:r>
      <w:r w:rsidRPr="002532DF">
        <w:rPr>
          <w:sz w:val="25"/>
          <w:szCs w:val="25"/>
        </w:rPr>
        <w:t xml:space="preserve">The AIP is reasonable and its goals offer benefits to ratepayers.  </w:t>
      </w:r>
      <w:r w:rsidR="00B77CFC" w:rsidRPr="002532DF">
        <w:rPr>
          <w:sz w:val="25"/>
          <w:szCs w:val="25"/>
        </w:rPr>
        <w:t xml:space="preserve">Accordingly, </w:t>
      </w:r>
      <w:r w:rsidR="005F7503" w:rsidRPr="002532DF">
        <w:rPr>
          <w:sz w:val="25"/>
          <w:szCs w:val="25"/>
        </w:rPr>
        <w:t>we reject</w:t>
      </w:r>
      <w:r w:rsidR="00B77CFC" w:rsidRPr="002532DF">
        <w:rPr>
          <w:sz w:val="25"/>
          <w:szCs w:val="25"/>
        </w:rPr>
        <w:t xml:space="preserve"> the Joint Parties’ proposed adjustment.  </w:t>
      </w:r>
    </w:p>
    <w:p w:rsidR="005F229D" w:rsidRPr="002532DF" w:rsidRDefault="009F4FAC" w:rsidP="009F4FAC">
      <w:pPr>
        <w:pStyle w:val="Heading4"/>
        <w:ind w:left="1080" w:hanging="360"/>
        <w:rPr>
          <w:rFonts w:ascii="Times New Roman" w:hAnsi="Times New Roman"/>
          <w:sz w:val="25"/>
          <w:szCs w:val="25"/>
        </w:rPr>
      </w:pPr>
      <w:bookmarkStart w:id="63" w:name="_Toc288813754"/>
      <w:r w:rsidRPr="002532DF">
        <w:rPr>
          <w:rFonts w:ascii="Times New Roman" w:hAnsi="Times New Roman"/>
          <w:sz w:val="25"/>
          <w:szCs w:val="25"/>
        </w:rPr>
        <w:t>9</w:t>
      </w:r>
      <w:r w:rsidR="005F229D" w:rsidRPr="002532DF">
        <w:rPr>
          <w:rFonts w:ascii="Times New Roman" w:hAnsi="Times New Roman"/>
          <w:sz w:val="25"/>
          <w:szCs w:val="25"/>
        </w:rPr>
        <w:t>.</w:t>
      </w:r>
      <w:r w:rsidRPr="002532DF">
        <w:rPr>
          <w:rFonts w:ascii="Times New Roman" w:hAnsi="Times New Roman"/>
          <w:sz w:val="25"/>
          <w:szCs w:val="25"/>
        </w:rPr>
        <w:tab/>
      </w:r>
      <w:r w:rsidR="005F229D" w:rsidRPr="002532DF">
        <w:rPr>
          <w:rFonts w:ascii="Times New Roman" w:hAnsi="Times New Roman"/>
          <w:sz w:val="25"/>
          <w:szCs w:val="25"/>
        </w:rPr>
        <w:t>Legal Expenses</w:t>
      </w:r>
      <w:bookmarkEnd w:id="63"/>
    </w:p>
    <w:p w:rsidR="005F229D" w:rsidRPr="002532DF" w:rsidRDefault="005F229D" w:rsidP="005F229D">
      <w:pPr>
        <w:tabs>
          <w:tab w:val="left" w:pos="1440"/>
        </w:tabs>
        <w:spacing w:line="276" w:lineRule="auto"/>
        <w:ind w:left="-720"/>
        <w:rPr>
          <w:b/>
          <w:sz w:val="25"/>
          <w:szCs w:val="25"/>
        </w:rPr>
      </w:pPr>
    </w:p>
    <w:p w:rsidR="00B576C3" w:rsidRPr="002532DF" w:rsidRDefault="006F1B90" w:rsidP="00027588">
      <w:pPr>
        <w:numPr>
          <w:ilvl w:val="0"/>
          <w:numId w:val="1"/>
        </w:numPr>
        <w:tabs>
          <w:tab w:val="clear" w:pos="720"/>
          <w:tab w:val="num" w:pos="0"/>
        </w:tabs>
        <w:spacing w:line="276" w:lineRule="auto"/>
        <w:ind w:left="0"/>
        <w:rPr>
          <w:sz w:val="25"/>
          <w:szCs w:val="25"/>
        </w:rPr>
      </w:pPr>
      <w:r w:rsidRPr="002532DF">
        <w:rPr>
          <w:i/>
          <w:sz w:val="25"/>
          <w:szCs w:val="25"/>
        </w:rPr>
        <w:t xml:space="preserve">Positions of the Parties.  </w:t>
      </w:r>
      <w:r w:rsidR="00B576C3" w:rsidRPr="002532DF">
        <w:rPr>
          <w:sz w:val="25"/>
          <w:szCs w:val="25"/>
        </w:rPr>
        <w:t>The Joint Parties recommend that $48,931 be excluded from the Company’s outside legal expenses.</w:t>
      </w:r>
      <w:r w:rsidR="00B576C3" w:rsidRPr="002532DF">
        <w:rPr>
          <w:rStyle w:val="FootnoteReference"/>
          <w:sz w:val="25"/>
          <w:szCs w:val="25"/>
        </w:rPr>
        <w:footnoteReference w:id="364"/>
      </w:r>
      <w:r w:rsidR="00B576C3" w:rsidRPr="002532DF">
        <w:rPr>
          <w:sz w:val="25"/>
          <w:szCs w:val="25"/>
        </w:rPr>
        <w:t xml:space="preserve">  The Joint Parties argue that</w:t>
      </w:r>
      <w:r w:rsidR="00681846" w:rsidRPr="002532DF">
        <w:rPr>
          <w:sz w:val="25"/>
          <w:szCs w:val="25"/>
        </w:rPr>
        <w:t>,</w:t>
      </w:r>
      <w:r w:rsidR="00B576C3" w:rsidRPr="002532DF">
        <w:rPr>
          <w:sz w:val="25"/>
          <w:szCs w:val="25"/>
        </w:rPr>
        <w:t xml:space="preserve"> while it may be reasonable to allocate some expenses </w:t>
      </w:r>
      <w:r w:rsidR="005F229D" w:rsidRPr="002532DF">
        <w:rPr>
          <w:sz w:val="25"/>
          <w:szCs w:val="25"/>
        </w:rPr>
        <w:t xml:space="preserve">using an overhead allocation </w:t>
      </w:r>
      <w:r w:rsidR="005F7503" w:rsidRPr="002532DF">
        <w:rPr>
          <w:sz w:val="25"/>
          <w:szCs w:val="25"/>
        </w:rPr>
        <w:t>factor;</w:t>
      </w:r>
      <w:r w:rsidR="005F229D" w:rsidRPr="002532DF">
        <w:rPr>
          <w:sz w:val="25"/>
          <w:szCs w:val="25"/>
        </w:rPr>
        <w:t xml:space="preserve"> other expenses should be limited to the jurisdiction in which the costs occurred.</w:t>
      </w:r>
      <w:r w:rsidR="005F229D" w:rsidRPr="002532DF">
        <w:rPr>
          <w:rStyle w:val="FootnoteReference"/>
          <w:sz w:val="25"/>
          <w:szCs w:val="25"/>
        </w:rPr>
        <w:footnoteReference w:id="365"/>
      </w:r>
      <w:r w:rsidR="005F229D" w:rsidRPr="002532DF">
        <w:rPr>
          <w:sz w:val="25"/>
          <w:szCs w:val="25"/>
        </w:rPr>
        <w:t xml:space="preserve">  The</w:t>
      </w:r>
      <w:r w:rsidR="00667BFD" w:rsidRPr="002532DF">
        <w:rPr>
          <w:sz w:val="25"/>
          <w:szCs w:val="25"/>
        </w:rPr>
        <w:t>y contend</w:t>
      </w:r>
      <w:r w:rsidR="005F229D" w:rsidRPr="002532DF">
        <w:rPr>
          <w:sz w:val="25"/>
          <w:szCs w:val="25"/>
        </w:rPr>
        <w:t xml:space="preserve"> that legal expenses should </w:t>
      </w:r>
      <w:r w:rsidR="00423F05" w:rsidRPr="002532DF">
        <w:rPr>
          <w:sz w:val="25"/>
          <w:szCs w:val="25"/>
        </w:rPr>
        <w:t xml:space="preserve">not be calculated using the allocation factor and that </w:t>
      </w:r>
      <w:r w:rsidR="005F229D" w:rsidRPr="002532DF">
        <w:rPr>
          <w:sz w:val="25"/>
          <w:szCs w:val="25"/>
        </w:rPr>
        <w:t>$48, 931 in legal expenses be excluded</w:t>
      </w:r>
      <w:r w:rsidR="00423F05" w:rsidRPr="002532DF">
        <w:rPr>
          <w:sz w:val="25"/>
          <w:szCs w:val="25"/>
        </w:rPr>
        <w:t xml:space="preserve"> because they were not generated in Washington.</w:t>
      </w:r>
    </w:p>
    <w:p w:rsidR="005F229D" w:rsidRPr="002532DF" w:rsidRDefault="005F229D" w:rsidP="005F229D">
      <w:pPr>
        <w:spacing w:line="276" w:lineRule="auto"/>
        <w:ind w:left="-720"/>
        <w:rPr>
          <w:sz w:val="25"/>
          <w:szCs w:val="25"/>
        </w:rPr>
      </w:pPr>
    </w:p>
    <w:p w:rsidR="005F229D" w:rsidRPr="002532DF" w:rsidRDefault="00B94A37" w:rsidP="00027588">
      <w:pPr>
        <w:numPr>
          <w:ilvl w:val="0"/>
          <w:numId w:val="1"/>
        </w:numPr>
        <w:tabs>
          <w:tab w:val="clear" w:pos="720"/>
          <w:tab w:val="num" w:pos="0"/>
        </w:tabs>
        <w:spacing w:line="276" w:lineRule="auto"/>
        <w:ind w:left="0"/>
        <w:rPr>
          <w:sz w:val="25"/>
          <w:szCs w:val="25"/>
        </w:rPr>
      </w:pPr>
      <w:r w:rsidRPr="002532DF">
        <w:rPr>
          <w:sz w:val="25"/>
          <w:szCs w:val="25"/>
        </w:rPr>
        <w:t xml:space="preserve">PacifiCorp opposes this selective adjustment that departs from the normal method cost allocation set forth in the WCA.  </w:t>
      </w:r>
      <w:r w:rsidR="005F229D" w:rsidRPr="002532DF">
        <w:rPr>
          <w:sz w:val="25"/>
          <w:szCs w:val="25"/>
        </w:rPr>
        <w:t>The Company notes that Staff also identifies cost categories that are being allocated to Washington customers on a system-wide basis rather by direct assignment.</w:t>
      </w:r>
      <w:r w:rsidR="005F229D" w:rsidRPr="002532DF">
        <w:rPr>
          <w:rStyle w:val="FootnoteReference"/>
          <w:sz w:val="25"/>
          <w:szCs w:val="25"/>
        </w:rPr>
        <w:footnoteReference w:id="366"/>
      </w:r>
      <w:r w:rsidR="005F229D" w:rsidRPr="002532DF">
        <w:rPr>
          <w:sz w:val="25"/>
          <w:szCs w:val="25"/>
        </w:rPr>
        <w:t xml:space="preserve">  However, </w:t>
      </w:r>
      <w:r w:rsidR="00DF3377" w:rsidRPr="002532DF">
        <w:rPr>
          <w:sz w:val="25"/>
          <w:szCs w:val="25"/>
        </w:rPr>
        <w:t>rather than potentially increasing the revenue requirement by</w:t>
      </w:r>
      <w:r w:rsidR="005F229D" w:rsidRPr="002532DF">
        <w:rPr>
          <w:sz w:val="25"/>
          <w:szCs w:val="25"/>
        </w:rPr>
        <w:t xml:space="preserve"> assigning costs to specific states, Staff </w:t>
      </w:r>
      <w:r w:rsidR="00FE3B38" w:rsidRPr="002532DF">
        <w:rPr>
          <w:sz w:val="25"/>
          <w:szCs w:val="25"/>
        </w:rPr>
        <w:t>proposes that the parties discuss ways to refine the allocation assignment of accounts on an overall basis in accordance with the WCA methodology.</w:t>
      </w:r>
    </w:p>
    <w:p w:rsidR="00FE3B38" w:rsidRPr="002532DF" w:rsidRDefault="00FE3B38" w:rsidP="00FE3B38">
      <w:pPr>
        <w:spacing w:line="276" w:lineRule="auto"/>
        <w:ind w:left="-720"/>
        <w:rPr>
          <w:sz w:val="25"/>
          <w:szCs w:val="25"/>
        </w:rPr>
      </w:pPr>
    </w:p>
    <w:p w:rsidR="00FE3B38" w:rsidRPr="002532DF" w:rsidRDefault="00D17347" w:rsidP="00027588">
      <w:pPr>
        <w:numPr>
          <w:ilvl w:val="0"/>
          <w:numId w:val="1"/>
        </w:numPr>
        <w:tabs>
          <w:tab w:val="clear" w:pos="720"/>
          <w:tab w:val="num" w:pos="0"/>
        </w:tabs>
        <w:spacing w:line="276" w:lineRule="auto"/>
        <w:ind w:left="0"/>
        <w:rPr>
          <w:sz w:val="25"/>
          <w:szCs w:val="25"/>
        </w:rPr>
      </w:pPr>
      <w:r w:rsidRPr="002532DF">
        <w:rPr>
          <w:i/>
          <w:sz w:val="25"/>
          <w:szCs w:val="25"/>
        </w:rPr>
        <w:t xml:space="preserve">Commission Decision. </w:t>
      </w:r>
      <w:r w:rsidR="009F4FAC" w:rsidRPr="002532DF">
        <w:rPr>
          <w:i/>
          <w:sz w:val="25"/>
          <w:szCs w:val="25"/>
        </w:rPr>
        <w:t xml:space="preserve"> </w:t>
      </w:r>
      <w:r w:rsidR="00FE3B38" w:rsidRPr="002532DF">
        <w:rPr>
          <w:sz w:val="25"/>
          <w:szCs w:val="25"/>
        </w:rPr>
        <w:t xml:space="preserve">We </w:t>
      </w:r>
      <w:r w:rsidR="00DF3377" w:rsidRPr="002532DF">
        <w:rPr>
          <w:sz w:val="25"/>
          <w:szCs w:val="25"/>
        </w:rPr>
        <w:t xml:space="preserve">agree with the Company and Staff that this proposal is too selective and should be </w:t>
      </w:r>
      <w:r w:rsidR="00FE3B38" w:rsidRPr="002532DF">
        <w:rPr>
          <w:sz w:val="25"/>
          <w:szCs w:val="25"/>
        </w:rPr>
        <w:t>reject</w:t>
      </w:r>
      <w:r w:rsidR="00DF3377" w:rsidRPr="002532DF">
        <w:rPr>
          <w:sz w:val="25"/>
          <w:szCs w:val="25"/>
        </w:rPr>
        <w:t>ed</w:t>
      </w:r>
      <w:r w:rsidR="00FE3B38" w:rsidRPr="002532DF">
        <w:rPr>
          <w:sz w:val="25"/>
          <w:szCs w:val="25"/>
        </w:rPr>
        <w:t xml:space="preserve">.  </w:t>
      </w:r>
      <w:r w:rsidR="00DF3377" w:rsidRPr="002532DF">
        <w:rPr>
          <w:sz w:val="25"/>
          <w:szCs w:val="25"/>
        </w:rPr>
        <w:t xml:space="preserve">We encourage the parties to </w:t>
      </w:r>
      <w:r w:rsidR="00FE3B38" w:rsidRPr="002532DF">
        <w:rPr>
          <w:sz w:val="25"/>
          <w:szCs w:val="25"/>
        </w:rPr>
        <w:t>engag</w:t>
      </w:r>
      <w:r w:rsidR="00DF3377" w:rsidRPr="002532DF">
        <w:rPr>
          <w:sz w:val="25"/>
          <w:szCs w:val="25"/>
        </w:rPr>
        <w:t>e</w:t>
      </w:r>
      <w:r w:rsidR="00FE3B38" w:rsidRPr="002532DF">
        <w:rPr>
          <w:sz w:val="25"/>
          <w:szCs w:val="25"/>
        </w:rPr>
        <w:t xml:space="preserve"> in a dialog</w:t>
      </w:r>
      <w:r w:rsidR="00DF3377" w:rsidRPr="002532DF">
        <w:rPr>
          <w:sz w:val="25"/>
          <w:szCs w:val="25"/>
        </w:rPr>
        <w:t>ue</w:t>
      </w:r>
      <w:r w:rsidR="00FE3B38" w:rsidRPr="002532DF">
        <w:rPr>
          <w:sz w:val="25"/>
          <w:szCs w:val="25"/>
        </w:rPr>
        <w:t xml:space="preserve"> that explores effective means to refine the allocation of </w:t>
      </w:r>
      <w:r w:rsidR="00FE3B38" w:rsidRPr="002532DF">
        <w:rPr>
          <w:i/>
          <w:sz w:val="25"/>
          <w:szCs w:val="25"/>
        </w:rPr>
        <w:t xml:space="preserve">all </w:t>
      </w:r>
      <w:r w:rsidR="00FE3B38" w:rsidRPr="002532DF">
        <w:rPr>
          <w:sz w:val="25"/>
          <w:szCs w:val="25"/>
        </w:rPr>
        <w:t xml:space="preserve">cost categories and quantifies the revenue requirement impact of </w:t>
      </w:r>
      <w:r w:rsidR="00FC43A3">
        <w:rPr>
          <w:sz w:val="25"/>
          <w:szCs w:val="25"/>
        </w:rPr>
        <w:t xml:space="preserve">state-specific cost </w:t>
      </w:r>
      <w:r w:rsidR="00FE3B38" w:rsidRPr="002532DF">
        <w:rPr>
          <w:sz w:val="25"/>
          <w:szCs w:val="25"/>
        </w:rPr>
        <w:t>allocation v</w:t>
      </w:r>
      <w:r w:rsidR="00423F05" w:rsidRPr="002532DF">
        <w:rPr>
          <w:sz w:val="25"/>
          <w:szCs w:val="25"/>
        </w:rPr>
        <w:t>ersus</w:t>
      </w:r>
      <w:r w:rsidR="00FE3B38" w:rsidRPr="002532DF">
        <w:rPr>
          <w:sz w:val="25"/>
          <w:szCs w:val="25"/>
        </w:rPr>
        <w:t xml:space="preserve"> the use of a system allocation factor.  </w:t>
      </w:r>
    </w:p>
    <w:p w:rsidR="007449FA" w:rsidRPr="002532DF" w:rsidRDefault="00670368" w:rsidP="006C06F3">
      <w:pPr>
        <w:pStyle w:val="Heading3"/>
        <w:ind w:left="720" w:hanging="360"/>
        <w:rPr>
          <w:rFonts w:ascii="Times New Roman" w:hAnsi="Times New Roman"/>
          <w:sz w:val="25"/>
          <w:szCs w:val="25"/>
        </w:rPr>
      </w:pPr>
      <w:bookmarkStart w:id="64" w:name="_Toc288813755"/>
      <w:r w:rsidRPr="002532DF">
        <w:rPr>
          <w:rFonts w:ascii="Times New Roman" w:hAnsi="Times New Roman"/>
          <w:sz w:val="25"/>
          <w:szCs w:val="25"/>
        </w:rPr>
        <w:t>D</w:t>
      </w:r>
      <w:r w:rsidR="007449FA" w:rsidRPr="002532DF">
        <w:rPr>
          <w:rFonts w:ascii="Times New Roman" w:hAnsi="Times New Roman"/>
          <w:sz w:val="25"/>
          <w:szCs w:val="25"/>
        </w:rPr>
        <w:t>.</w:t>
      </w:r>
      <w:r w:rsidR="007449FA" w:rsidRPr="002532DF">
        <w:rPr>
          <w:rFonts w:ascii="Times New Roman" w:hAnsi="Times New Roman"/>
          <w:sz w:val="25"/>
          <w:szCs w:val="25"/>
        </w:rPr>
        <w:tab/>
        <w:t>Tax Adjustments</w:t>
      </w:r>
      <w:bookmarkEnd w:id="64"/>
    </w:p>
    <w:p w:rsidR="007449FA" w:rsidRPr="002532DF" w:rsidRDefault="008568EA" w:rsidP="006C06F3">
      <w:pPr>
        <w:pStyle w:val="Heading4"/>
        <w:ind w:left="1080" w:hanging="360"/>
        <w:rPr>
          <w:rFonts w:ascii="Times New Roman" w:hAnsi="Times New Roman"/>
          <w:sz w:val="25"/>
          <w:szCs w:val="25"/>
        </w:rPr>
      </w:pPr>
      <w:bookmarkStart w:id="65" w:name="_Toc288813756"/>
      <w:r w:rsidRPr="002532DF">
        <w:rPr>
          <w:rFonts w:ascii="Times New Roman" w:hAnsi="Times New Roman"/>
          <w:sz w:val="25"/>
          <w:szCs w:val="25"/>
        </w:rPr>
        <w:t>1</w:t>
      </w:r>
      <w:r w:rsidR="007449FA" w:rsidRPr="002532DF">
        <w:rPr>
          <w:rFonts w:ascii="Times New Roman" w:hAnsi="Times New Roman"/>
          <w:sz w:val="25"/>
          <w:szCs w:val="25"/>
        </w:rPr>
        <w:t>.</w:t>
      </w:r>
      <w:r w:rsidR="007449FA" w:rsidRPr="002532DF">
        <w:rPr>
          <w:rFonts w:ascii="Times New Roman" w:hAnsi="Times New Roman"/>
          <w:sz w:val="25"/>
          <w:szCs w:val="25"/>
        </w:rPr>
        <w:tab/>
        <w:t>Repairs Deduction</w:t>
      </w:r>
      <w:bookmarkEnd w:id="65"/>
    </w:p>
    <w:p w:rsidR="007449FA" w:rsidRPr="002532DF" w:rsidRDefault="007449FA" w:rsidP="00817E21">
      <w:pPr>
        <w:tabs>
          <w:tab w:val="left" w:pos="1800"/>
        </w:tabs>
        <w:spacing w:line="276" w:lineRule="auto"/>
        <w:ind w:left="1440"/>
        <w:rPr>
          <w:b/>
          <w:sz w:val="25"/>
          <w:szCs w:val="25"/>
        </w:rPr>
      </w:pPr>
      <w:r w:rsidRPr="002532DF">
        <w:rPr>
          <w:b/>
          <w:sz w:val="25"/>
          <w:szCs w:val="25"/>
        </w:rPr>
        <w:tab/>
      </w:r>
    </w:p>
    <w:p w:rsidR="00A17BDE" w:rsidRPr="002532DF" w:rsidRDefault="006F1B90" w:rsidP="00027588">
      <w:pPr>
        <w:numPr>
          <w:ilvl w:val="0"/>
          <w:numId w:val="1"/>
        </w:numPr>
        <w:tabs>
          <w:tab w:val="clear" w:pos="720"/>
          <w:tab w:val="num" w:pos="0"/>
        </w:tabs>
        <w:spacing w:line="276" w:lineRule="auto"/>
        <w:ind w:left="0"/>
        <w:rPr>
          <w:sz w:val="25"/>
          <w:szCs w:val="25"/>
        </w:rPr>
      </w:pPr>
      <w:r w:rsidRPr="002532DF">
        <w:rPr>
          <w:i/>
          <w:sz w:val="25"/>
          <w:szCs w:val="25"/>
        </w:rPr>
        <w:t xml:space="preserve">Positions of the Parties.  </w:t>
      </w:r>
      <w:r w:rsidR="007449FA" w:rsidRPr="002532DF">
        <w:rPr>
          <w:sz w:val="25"/>
          <w:szCs w:val="25"/>
        </w:rPr>
        <w:t xml:space="preserve">PacifiCorp proposes to </w:t>
      </w:r>
      <w:r w:rsidR="00827ABE" w:rsidRPr="002532DF">
        <w:rPr>
          <w:sz w:val="25"/>
          <w:szCs w:val="25"/>
        </w:rPr>
        <w:t>normalize</w:t>
      </w:r>
      <w:r w:rsidR="007449FA" w:rsidRPr="002532DF">
        <w:rPr>
          <w:sz w:val="25"/>
          <w:szCs w:val="25"/>
        </w:rPr>
        <w:t xml:space="preserve"> the cumulative effect of an Internal Revenue Service (IRS) approved change in </w:t>
      </w:r>
      <w:r w:rsidR="00827ABE" w:rsidRPr="002532DF">
        <w:rPr>
          <w:sz w:val="25"/>
          <w:szCs w:val="25"/>
        </w:rPr>
        <w:t xml:space="preserve">its </w:t>
      </w:r>
      <w:r w:rsidR="007449FA" w:rsidRPr="002532DF">
        <w:rPr>
          <w:sz w:val="25"/>
          <w:szCs w:val="25"/>
        </w:rPr>
        <w:t xml:space="preserve">income tax accounting for certain capital assets. </w:t>
      </w:r>
      <w:r w:rsidR="00A17BDE" w:rsidRPr="002532DF">
        <w:rPr>
          <w:sz w:val="25"/>
          <w:szCs w:val="25"/>
        </w:rPr>
        <w:t xml:space="preserve"> </w:t>
      </w:r>
      <w:r w:rsidR="00424C6B" w:rsidRPr="002532DF">
        <w:rPr>
          <w:sz w:val="25"/>
          <w:szCs w:val="25"/>
        </w:rPr>
        <w:t>T</w:t>
      </w:r>
      <w:r w:rsidR="00A17BDE" w:rsidRPr="002532DF">
        <w:rPr>
          <w:sz w:val="25"/>
          <w:szCs w:val="25"/>
        </w:rPr>
        <w:t>he change in tax accounting allows the Company to expense</w:t>
      </w:r>
      <w:r w:rsidR="00237680" w:rsidRPr="002532DF">
        <w:rPr>
          <w:sz w:val="25"/>
          <w:szCs w:val="25"/>
        </w:rPr>
        <w:t xml:space="preserve"> a cost</w:t>
      </w:r>
      <w:r w:rsidR="00A17BDE" w:rsidRPr="002532DF">
        <w:rPr>
          <w:sz w:val="25"/>
          <w:szCs w:val="25"/>
        </w:rPr>
        <w:t xml:space="preserve"> for income tax purposes, </w:t>
      </w:r>
      <w:r w:rsidR="00237680" w:rsidRPr="002532DF">
        <w:rPr>
          <w:sz w:val="25"/>
          <w:szCs w:val="25"/>
        </w:rPr>
        <w:t xml:space="preserve">instead of capitalizing and depreciating it for </w:t>
      </w:r>
      <w:r w:rsidR="00A17BDE" w:rsidRPr="002532DF">
        <w:rPr>
          <w:sz w:val="25"/>
          <w:szCs w:val="25"/>
        </w:rPr>
        <w:t>regulatory purposes.</w:t>
      </w:r>
      <w:r w:rsidR="00A17BDE" w:rsidRPr="002532DF">
        <w:rPr>
          <w:rStyle w:val="FootnoteReference"/>
          <w:sz w:val="25"/>
          <w:szCs w:val="25"/>
        </w:rPr>
        <w:footnoteReference w:id="367"/>
      </w:r>
      <w:r w:rsidR="00A17BDE" w:rsidRPr="002532DF">
        <w:rPr>
          <w:sz w:val="25"/>
          <w:szCs w:val="25"/>
        </w:rPr>
        <w:t xml:space="preserve">  </w:t>
      </w:r>
    </w:p>
    <w:p w:rsidR="00C62D1E" w:rsidRPr="002532DF" w:rsidRDefault="00C62D1E" w:rsidP="00817E21">
      <w:pPr>
        <w:spacing w:line="276" w:lineRule="auto"/>
        <w:rPr>
          <w:sz w:val="25"/>
          <w:szCs w:val="25"/>
        </w:rPr>
      </w:pPr>
    </w:p>
    <w:p w:rsidR="00A17BDE" w:rsidRPr="002532DF" w:rsidRDefault="00A17BDE" w:rsidP="00027588">
      <w:pPr>
        <w:numPr>
          <w:ilvl w:val="0"/>
          <w:numId w:val="1"/>
        </w:numPr>
        <w:tabs>
          <w:tab w:val="clear" w:pos="720"/>
          <w:tab w:val="num" w:pos="0"/>
        </w:tabs>
        <w:spacing w:line="276" w:lineRule="auto"/>
        <w:ind w:left="0"/>
        <w:rPr>
          <w:sz w:val="25"/>
          <w:szCs w:val="25"/>
        </w:rPr>
      </w:pPr>
      <w:r w:rsidRPr="002532DF">
        <w:rPr>
          <w:sz w:val="25"/>
          <w:szCs w:val="25"/>
        </w:rPr>
        <w:t>The IRS allowed PacifiCorp to adopt the “repairs deduction” method of accounting starting January 1, 2008.</w:t>
      </w:r>
      <w:r w:rsidRPr="002532DF">
        <w:rPr>
          <w:rStyle w:val="FootnoteReference"/>
          <w:sz w:val="25"/>
          <w:szCs w:val="25"/>
        </w:rPr>
        <w:footnoteReference w:id="368"/>
      </w:r>
      <w:r w:rsidRPr="002532DF">
        <w:rPr>
          <w:sz w:val="25"/>
          <w:szCs w:val="25"/>
        </w:rPr>
        <w:t xml:space="preserve">  However, it appears that the Company also recognized the “repairs deduction” retroactively for the years 1999 to 2007.</w:t>
      </w:r>
      <w:r w:rsidRPr="002532DF">
        <w:rPr>
          <w:rStyle w:val="FootnoteReference"/>
          <w:sz w:val="25"/>
          <w:szCs w:val="25"/>
        </w:rPr>
        <w:footnoteReference w:id="369"/>
      </w:r>
      <w:r w:rsidRPr="002532DF">
        <w:rPr>
          <w:sz w:val="25"/>
          <w:szCs w:val="25"/>
        </w:rPr>
        <w:t xml:space="preserve">  With that in mind, the Company </w:t>
      </w:r>
      <w:r w:rsidR="00827ABE" w:rsidRPr="002532DF">
        <w:rPr>
          <w:sz w:val="25"/>
          <w:szCs w:val="25"/>
        </w:rPr>
        <w:t xml:space="preserve">also </w:t>
      </w:r>
      <w:r w:rsidRPr="002532DF">
        <w:rPr>
          <w:sz w:val="25"/>
          <w:szCs w:val="25"/>
        </w:rPr>
        <w:t>proposes that its adjustment be considered “non-final” in nature</w:t>
      </w:r>
      <w:r w:rsidR="00237680" w:rsidRPr="002532DF">
        <w:rPr>
          <w:sz w:val="25"/>
          <w:szCs w:val="25"/>
        </w:rPr>
        <w:t xml:space="preserve"> and</w:t>
      </w:r>
      <w:r w:rsidRPr="002532DF">
        <w:rPr>
          <w:sz w:val="25"/>
          <w:szCs w:val="25"/>
        </w:rPr>
        <w:t xml:space="preserve"> requests that the </w:t>
      </w:r>
      <w:r w:rsidR="007A2459" w:rsidRPr="002532DF">
        <w:rPr>
          <w:sz w:val="25"/>
          <w:szCs w:val="25"/>
        </w:rPr>
        <w:t>$14,</w:t>
      </w:r>
      <w:r w:rsidR="00900849" w:rsidRPr="002532DF">
        <w:rPr>
          <w:sz w:val="25"/>
          <w:szCs w:val="25"/>
        </w:rPr>
        <w:t xml:space="preserve">463,685 reduction to </w:t>
      </w:r>
      <w:r w:rsidRPr="002532DF">
        <w:rPr>
          <w:sz w:val="25"/>
          <w:szCs w:val="25"/>
        </w:rPr>
        <w:t>rate base be “adjusted if necessary after the Service [IRS] has completed its examination</w:t>
      </w:r>
      <w:r w:rsidR="006D50C3" w:rsidRPr="002532DF">
        <w:rPr>
          <w:sz w:val="25"/>
          <w:szCs w:val="25"/>
        </w:rPr>
        <w:t xml:space="preserve"> .</w:t>
      </w:r>
      <w:r w:rsidRPr="002532DF">
        <w:rPr>
          <w:sz w:val="25"/>
          <w:szCs w:val="25"/>
        </w:rPr>
        <w:t>...”</w:t>
      </w:r>
      <w:r w:rsidRPr="002532DF">
        <w:rPr>
          <w:rStyle w:val="FootnoteReference"/>
          <w:sz w:val="25"/>
          <w:szCs w:val="25"/>
        </w:rPr>
        <w:footnoteReference w:id="370"/>
      </w:r>
      <w:r w:rsidRPr="002532DF">
        <w:rPr>
          <w:sz w:val="25"/>
          <w:szCs w:val="25"/>
        </w:rPr>
        <w:t xml:space="preserve"> </w:t>
      </w:r>
    </w:p>
    <w:p w:rsidR="00C62D1E" w:rsidRPr="002532DF" w:rsidRDefault="00C62D1E" w:rsidP="00817E21">
      <w:pPr>
        <w:spacing w:line="276" w:lineRule="auto"/>
        <w:rPr>
          <w:sz w:val="25"/>
          <w:szCs w:val="25"/>
        </w:rPr>
      </w:pPr>
    </w:p>
    <w:p w:rsidR="00A17BDE" w:rsidRPr="002532DF" w:rsidRDefault="00A17BDE" w:rsidP="00027588">
      <w:pPr>
        <w:numPr>
          <w:ilvl w:val="0"/>
          <w:numId w:val="1"/>
        </w:numPr>
        <w:tabs>
          <w:tab w:val="clear" w:pos="720"/>
          <w:tab w:val="num" w:pos="0"/>
        </w:tabs>
        <w:spacing w:line="276" w:lineRule="auto"/>
        <w:ind w:left="0"/>
        <w:rPr>
          <w:sz w:val="25"/>
          <w:szCs w:val="25"/>
        </w:rPr>
      </w:pPr>
      <w:r w:rsidRPr="002532DF">
        <w:rPr>
          <w:sz w:val="25"/>
          <w:szCs w:val="25"/>
        </w:rPr>
        <w:t xml:space="preserve">Recognizing the impact of the change in its income tax accounting on its regulatory books, the Company </w:t>
      </w:r>
      <w:r w:rsidR="00827ABE" w:rsidRPr="002532DF">
        <w:rPr>
          <w:sz w:val="25"/>
          <w:szCs w:val="25"/>
        </w:rPr>
        <w:t>recognized</w:t>
      </w:r>
      <w:r w:rsidRPr="002532DF">
        <w:rPr>
          <w:sz w:val="25"/>
          <w:szCs w:val="25"/>
        </w:rPr>
        <w:t xml:space="preserve"> a deferred tax to account for the </w:t>
      </w:r>
      <w:r w:rsidR="00827ABE" w:rsidRPr="002532DF">
        <w:rPr>
          <w:sz w:val="25"/>
          <w:szCs w:val="25"/>
        </w:rPr>
        <w:t xml:space="preserve">related </w:t>
      </w:r>
      <w:r w:rsidRPr="002532DF">
        <w:rPr>
          <w:sz w:val="25"/>
          <w:szCs w:val="25"/>
        </w:rPr>
        <w:t>book-tax timing difference.  The timing difference is caused by the rapid recovery afforded by the repairs deduction for tax purposes and the slower depreciation for regulatory purposes.  The increase in accumulated deferred taxes using average of monthly averages reduces the Company’s revenue requirement by $1.7 million.</w:t>
      </w:r>
      <w:r w:rsidRPr="002532DF">
        <w:rPr>
          <w:rStyle w:val="FootnoteReference"/>
          <w:sz w:val="25"/>
          <w:szCs w:val="25"/>
        </w:rPr>
        <w:footnoteReference w:id="371"/>
      </w:r>
      <w:r w:rsidRPr="002532DF">
        <w:rPr>
          <w:sz w:val="25"/>
          <w:szCs w:val="25"/>
        </w:rPr>
        <w:t xml:space="preserve"> </w:t>
      </w:r>
    </w:p>
    <w:p w:rsidR="00C62D1E" w:rsidRPr="002532DF" w:rsidRDefault="00C62D1E" w:rsidP="00817E21">
      <w:pPr>
        <w:spacing w:line="276" w:lineRule="auto"/>
        <w:rPr>
          <w:sz w:val="25"/>
          <w:szCs w:val="25"/>
        </w:rPr>
      </w:pPr>
    </w:p>
    <w:p w:rsidR="00A17BDE" w:rsidRPr="002532DF" w:rsidRDefault="00A17BDE" w:rsidP="00027588">
      <w:pPr>
        <w:numPr>
          <w:ilvl w:val="0"/>
          <w:numId w:val="1"/>
        </w:numPr>
        <w:tabs>
          <w:tab w:val="clear" w:pos="720"/>
          <w:tab w:val="num" w:pos="0"/>
        </w:tabs>
        <w:spacing w:line="276" w:lineRule="auto"/>
        <w:ind w:left="0"/>
        <w:rPr>
          <w:sz w:val="25"/>
          <w:szCs w:val="25"/>
        </w:rPr>
      </w:pPr>
      <w:r w:rsidRPr="002532DF">
        <w:rPr>
          <w:sz w:val="25"/>
          <w:szCs w:val="25"/>
        </w:rPr>
        <w:t>Staff agrees with the adjustment, but asserts that the Company’s recognition of the rate base impact reflects only half of the impact to accumulated deferred income tax.</w:t>
      </w:r>
      <w:r w:rsidRPr="002532DF">
        <w:rPr>
          <w:rStyle w:val="FootnoteReference"/>
          <w:sz w:val="25"/>
          <w:szCs w:val="25"/>
        </w:rPr>
        <w:footnoteReference w:id="372"/>
      </w:r>
      <w:r w:rsidRPr="002532DF">
        <w:rPr>
          <w:sz w:val="25"/>
          <w:szCs w:val="25"/>
        </w:rPr>
        <w:t xml:space="preserve">  Staff proposes a $</w:t>
      </w:r>
      <w:r w:rsidR="00900849" w:rsidRPr="002532DF">
        <w:rPr>
          <w:sz w:val="25"/>
          <w:szCs w:val="25"/>
        </w:rPr>
        <w:t>28,927,930</w:t>
      </w:r>
      <w:r w:rsidRPr="002532DF">
        <w:rPr>
          <w:sz w:val="25"/>
          <w:szCs w:val="25"/>
        </w:rPr>
        <w:t xml:space="preserve"> deferred tax deduction from rate base thereby decreasing the Company’s revenue requirement by </w:t>
      </w:r>
      <w:r w:rsidR="00900849" w:rsidRPr="002532DF">
        <w:rPr>
          <w:sz w:val="25"/>
          <w:szCs w:val="25"/>
        </w:rPr>
        <w:t>$3.5 million</w:t>
      </w:r>
      <w:r w:rsidRPr="002532DF">
        <w:rPr>
          <w:sz w:val="25"/>
          <w:szCs w:val="25"/>
        </w:rPr>
        <w:t>.</w:t>
      </w:r>
      <w:r w:rsidRPr="002532DF">
        <w:rPr>
          <w:rStyle w:val="FootnoteReference"/>
          <w:sz w:val="25"/>
          <w:szCs w:val="25"/>
        </w:rPr>
        <w:footnoteReference w:id="373"/>
      </w:r>
      <w:r w:rsidRPr="002532DF">
        <w:rPr>
          <w:sz w:val="25"/>
          <w:szCs w:val="25"/>
        </w:rPr>
        <w:t xml:space="preserve">  </w:t>
      </w:r>
    </w:p>
    <w:p w:rsidR="00C62D1E" w:rsidRPr="002532DF" w:rsidRDefault="00C62D1E" w:rsidP="00817E21">
      <w:pPr>
        <w:spacing w:line="276" w:lineRule="auto"/>
        <w:rPr>
          <w:sz w:val="25"/>
          <w:szCs w:val="25"/>
        </w:rPr>
      </w:pPr>
    </w:p>
    <w:p w:rsidR="007449FA" w:rsidRPr="002532DF" w:rsidRDefault="00A17BDE" w:rsidP="00027588">
      <w:pPr>
        <w:numPr>
          <w:ilvl w:val="0"/>
          <w:numId w:val="1"/>
        </w:numPr>
        <w:tabs>
          <w:tab w:val="clear" w:pos="720"/>
          <w:tab w:val="num" w:pos="0"/>
        </w:tabs>
        <w:spacing w:line="276" w:lineRule="auto"/>
        <w:ind w:left="0"/>
        <w:rPr>
          <w:sz w:val="25"/>
          <w:szCs w:val="25"/>
        </w:rPr>
      </w:pPr>
      <w:r w:rsidRPr="002532DF">
        <w:rPr>
          <w:sz w:val="25"/>
          <w:szCs w:val="25"/>
        </w:rPr>
        <w:t>In rebuttal</w:t>
      </w:r>
      <w:r w:rsidR="00FB191E" w:rsidRPr="002532DF">
        <w:rPr>
          <w:sz w:val="25"/>
          <w:szCs w:val="25"/>
        </w:rPr>
        <w:t xml:space="preserve"> testimony</w:t>
      </w:r>
      <w:r w:rsidRPr="002532DF">
        <w:rPr>
          <w:sz w:val="25"/>
          <w:szCs w:val="25"/>
        </w:rPr>
        <w:t xml:space="preserve">, PacifiCorp argues that deferred taxes are a source of interest-free funds that </w:t>
      </w:r>
      <w:r w:rsidR="00FB191E" w:rsidRPr="002532DF">
        <w:rPr>
          <w:sz w:val="25"/>
          <w:szCs w:val="25"/>
        </w:rPr>
        <w:t>can be used</w:t>
      </w:r>
      <w:r w:rsidRPr="002532DF">
        <w:rPr>
          <w:sz w:val="25"/>
          <w:szCs w:val="25"/>
        </w:rPr>
        <w:t xml:space="preserve"> to support of rate base investment.  However, it contends that a utility cannot use the funds until it realizes the benefit.  In this case, the Company argues it did not realize the benefit of the repairs deduction until it filed its </w:t>
      </w:r>
      <w:r w:rsidR="00237680" w:rsidRPr="002532DF">
        <w:rPr>
          <w:sz w:val="25"/>
          <w:szCs w:val="25"/>
        </w:rPr>
        <w:t xml:space="preserve">income tax </w:t>
      </w:r>
      <w:r w:rsidRPr="002532DF">
        <w:rPr>
          <w:sz w:val="25"/>
          <w:szCs w:val="25"/>
        </w:rPr>
        <w:t>return in September 2009.</w:t>
      </w:r>
      <w:r w:rsidRPr="002532DF">
        <w:rPr>
          <w:rStyle w:val="FootnoteReference"/>
          <w:sz w:val="25"/>
          <w:szCs w:val="25"/>
        </w:rPr>
        <w:footnoteReference w:id="374"/>
      </w:r>
      <w:r w:rsidRPr="002532DF">
        <w:rPr>
          <w:sz w:val="25"/>
          <w:szCs w:val="25"/>
        </w:rPr>
        <w:t xml:space="preserve">  The Company argues that the deferred tax amount was properly recorded in 2009, but Staff improperly characterizes it as a prior year adjustment.</w:t>
      </w:r>
      <w:r w:rsidRPr="002532DF">
        <w:rPr>
          <w:rStyle w:val="FootnoteReference"/>
          <w:sz w:val="25"/>
          <w:szCs w:val="25"/>
        </w:rPr>
        <w:footnoteReference w:id="375"/>
      </w:r>
    </w:p>
    <w:p w:rsidR="000672A0" w:rsidRPr="002532DF" w:rsidRDefault="000672A0" w:rsidP="000672A0">
      <w:pPr>
        <w:spacing w:line="276" w:lineRule="auto"/>
        <w:ind w:left="-720"/>
        <w:rPr>
          <w:sz w:val="25"/>
          <w:szCs w:val="25"/>
        </w:rPr>
      </w:pPr>
    </w:p>
    <w:p w:rsidR="000672A0" w:rsidRPr="002532DF" w:rsidRDefault="00D17347" w:rsidP="00027588">
      <w:pPr>
        <w:numPr>
          <w:ilvl w:val="0"/>
          <w:numId w:val="1"/>
        </w:numPr>
        <w:tabs>
          <w:tab w:val="clear" w:pos="720"/>
          <w:tab w:val="num" w:pos="0"/>
        </w:tabs>
        <w:spacing w:line="276" w:lineRule="auto"/>
        <w:ind w:left="0"/>
        <w:rPr>
          <w:sz w:val="25"/>
          <w:szCs w:val="25"/>
        </w:rPr>
      </w:pPr>
      <w:r w:rsidRPr="002532DF">
        <w:rPr>
          <w:i/>
          <w:sz w:val="25"/>
          <w:szCs w:val="25"/>
        </w:rPr>
        <w:t>Commission Decision.</w:t>
      </w:r>
      <w:r w:rsidR="006C06F3" w:rsidRPr="002532DF">
        <w:rPr>
          <w:i/>
          <w:sz w:val="25"/>
          <w:szCs w:val="25"/>
        </w:rPr>
        <w:t xml:space="preserve"> </w:t>
      </w:r>
      <w:r w:rsidRPr="002532DF">
        <w:rPr>
          <w:i/>
          <w:sz w:val="25"/>
          <w:szCs w:val="25"/>
        </w:rPr>
        <w:t xml:space="preserve"> </w:t>
      </w:r>
      <w:r w:rsidR="00D236FC">
        <w:rPr>
          <w:sz w:val="25"/>
          <w:szCs w:val="25"/>
        </w:rPr>
        <w:t>T</w:t>
      </w:r>
      <w:r w:rsidR="00756CC8" w:rsidRPr="002532DF">
        <w:rPr>
          <w:sz w:val="25"/>
          <w:szCs w:val="25"/>
        </w:rPr>
        <w:t xml:space="preserve">he parties do not dispute that PacifiCorp </w:t>
      </w:r>
      <w:r w:rsidR="00687272" w:rsidRPr="002532DF">
        <w:rPr>
          <w:sz w:val="25"/>
          <w:szCs w:val="25"/>
        </w:rPr>
        <w:t xml:space="preserve">is expensing </w:t>
      </w:r>
      <w:r w:rsidR="00756CC8" w:rsidRPr="002532DF">
        <w:rPr>
          <w:sz w:val="25"/>
          <w:szCs w:val="25"/>
        </w:rPr>
        <w:t xml:space="preserve">certain repair costs that it previously capitalized for tax purposes.  </w:t>
      </w:r>
      <w:r w:rsidR="00237680" w:rsidRPr="002532DF">
        <w:rPr>
          <w:sz w:val="25"/>
          <w:szCs w:val="25"/>
        </w:rPr>
        <w:t>Because</w:t>
      </w:r>
      <w:r w:rsidR="00687272" w:rsidRPr="002532DF">
        <w:rPr>
          <w:sz w:val="25"/>
          <w:szCs w:val="25"/>
        </w:rPr>
        <w:t xml:space="preserve"> </w:t>
      </w:r>
      <w:r w:rsidR="00756CC8" w:rsidRPr="002532DF">
        <w:rPr>
          <w:sz w:val="25"/>
          <w:szCs w:val="25"/>
        </w:rPr>
        <w:t xml:space="preserve">the Company </w:t>
      </w:r>
      <w:r w:rsidR="00237680" w:rsidRPr="002532DF">
        <w:rPr>
          <w:sz w:val="25"/>
          <w:szCs w:val="25"/>
        </w:rPr>
        <w:t xml:space="preserve">creates a book-tax difference by </w:t>
      </w:r>
      <w:r w:rsidR="00756CC8" w:rsidRPr="002532DF">
        <w:rPr>
          <w:sz w:val="25"/>
          <w:szCs w:val="25"/>
        </w:rPr>
        <w:t>continu</w:t>
      </w:r>
      <w:r w:rsidR="00237680" w:rsidRPr="002532DF">
        <w:rPr>
          <w:sz w:val="25"/>
          <w:szCs w:val="25"/>
        </w:rPr>
        <w:t>ing</w:t>
      </w:r>
      <w:r w:rsidR="00756CC8" w:rsidRPr="002532DF">
        <w:rPr>
          <w:sz w:val="25"/>
          <w:szCs w:val="25"/>
        </w:rPr>
        <w:t xml:space="preserve"> to capitalize these costs</w:t>
      </w:r>
      <w:r w:rsidR="00687272" w:rsidRPr="002532DF">
        <w:rPr>
          <w:sz w:val="25"/>
          <w:szCs w:val="25"/>
        </w:rPr>
        <w:t xml:space="preserve">, </w:t>
      </w:r>
      <w:r w:rsidR="00237680" w:rsidRPr="002532DF">
        <w:rPr>
          <w:sz w:val="25"/>
          <w:szCs w:val="25"/>
        </w:rPr>
        <w:t xml:space="preserve">the parties also agree that </w:t>
      </w:r>
      <w:r w:rsidR="00687272" w:rsidRPr="002532DF">
        <w:rPr>
          <w:sz w:val="25"/>
          <w:szCs w:val="25"/>
        </w:rPr>
        <w:t xml:space="preserve">the amounts should be normalized.  </w:t>
      </w:r>
      <w:r w:rsidR="00756CC8" w:rsidRPr="002532DF">
        <w:rPr>
          <w:sz w:val="25"/>
          <w:szCs w:val="25"/>
        </w:rPr>
        <w:t>The</w:t>
      </w:r>
      <w:r w:rsidR="00687272" w:rsidRPr="002532DF">
        <w:rPr>
          <w:sz w:val="25"/>
          <w:szCs w:val="25"/>
        </w:rPr>
        <w:t xml:space="preserve">refore, the </w:t>
      </w:r>
      <w:r w:rsidR="00756CC8" w:rsidRPr="002532DF">
        <w:rPr>
          <w:sz w:val="25"/>
          <w:szCs w:val="25"/>
        </w:rPr>
        <w:t xml:space="preserve">sole issue is the </w:t>
      </w:r>
      <w:r w:rsidR="00237680" w:rsidRPr="002532DF">
        <w:rPr>
          <w:sz w:val="25"/>
          <w:szCs w:val="25"/>
        </w:rPr>
        <w:t xml:space="preserve">timing of recognition and </w:t>
      </w:r>
      <w:r w:rsidR="00756CC8" w:rsidRPr="002532DF">
        <w:rPr>
          <w:sz w:val="25"/>
          <w:szCs w:val="25"/>
        </w:rPr>
        <w:t>magnitude of the impact on rate base.  The Company contends that it did not receive the benefit of the repairs deduction until i</w:t>
      </w:r>
      <w:r w:rsidR="00E26244" w:rsidRPr="002532DF">
        <w:rPr>
          <w:sz w:val="25"/>
          <w:szCs w:val="25"/>
        </w:rPr>
        <w:t xml:space="preserve">t filed its </w:t>
      </w:r>
      <w:r w:rsidR="00237680" w:rsidRPr="002532DF">
        <w:rPr>
          <w:sz w:val="25"/>
          <w:szCs w:val="25"/>
        </w:rPr>
        <w:t xml:space="preserve">federal income tax </w:t>
      </w:r>
      <w:r w:rsidR="00E26244" w:rsidRPr="002532DF">
        <w:rPr>
          <w:sz w:val="25"/>
          <w:szCs w:val="25"/>
        </w:rPr>
        <w:t xml:space="preserve">return in September 2009, so it reduces rate base by $14,463,685.  Staff, on the other hand, </w:t>
      </w:r>
      <w:r w:rsidR="00237680" w:rsidRPr="002532DF">
        <w:rPr>
          <w:sz w:val="25"/>
          <w:szCs w:val="25"/>
        </w:rPr>
        <w:t>calculates</w:t>
      </w:r>
      <w:r w:rsidR="00E26244" w:rsidRPr="002532DF">
        <w:rPr>
          <w:sz w:val="25"/>
          <w:szCs w:val="25"/>
        </w:rPr>
        <w:t xml:space="preserve"> the full impact of the tax accounting change </w:t>
      </w:r>
      <w:r w:rsidR="00D236FC">
        <w:rPr>
          <w:sz w:val="25"/>
          <w:szCs w:val="25"/>
        </w:rPr>
        <w:t xml:space="preserve">during the entire test year </w:t>
      </w:r>
      <w:r w:rsidR="00E26244" w:rsidRPr="002532DF">
        <w:rPr>
          <w:sz w:val="25"/>
          <w:szCs w:val="25"/>
        </w:rPr>
        <w:t xml:space="preserve">and reduces rate base by $28,927,370.  </w:t>
      </w:r>
      <w:r w:rsidR="000672A0" w:rsidRPr="002532DF">
        <w:rPr>
          <w:sz w:val="25"/>
          <w:szCs w:val="25"/>
        </w:rPr>
        <w:t xml:space="preserve"> </w:t>
      </w:r>
    </w:p>
    <w:p w:rsidR="00E26244" w:rsidRPr="002532DF" w:rsidRDefault="00E26244" w:rsidP="00E26244">
      <w:pPr>
        <w:pStyle w:val="ListParagraph"/>
        <w:rPr>
          <w:sz w:val="25"/>
          <w:szCs w:val="25"/>
        </w:rPr>
      </w:pPr>
    </w:p>
    <w:p w:rsidR="00237680" w:rsidRPr="002532DF" w:rsidRDefault="00237680" w:rsidP="00027588">
      <w:pPr>
        <w:numPr>
          <w:ilvl w:val="0"/>
          <w:numId w:val="1"/>
        </w:numPr>
        <w:tabs>
          <w:tab w:val="clear" w:pos="720"/>
          <w:tab w:val="num" w:pos="0"/>
        </w:tabs>
        <w:spacing w:line="276" w:lineRule="auto"/>
        <w:ind w:left="0"/>
        <w:rPr>
          <w:sz w:val="25"/>
          <w:szCs w:val="25"/>
        </w:rPr>
      </w:pPr>
      <w:r w:rsidRPr="002532DF">
        <w:rPr>
          <w:sz w:val="25"/>
          <w:szCs w:val="25"/>
        </w:rPr>
        <w:t xml:space="preserve">PacifiCorp argues that </w:t>
      </w:r>
      <w:r w:rsidR="00D236FC">
        <w:rPr>
          <w:sz w:val="25"/>
          <w:szCs w:val="25"/>
        </w:rPr>
        <w:t xml:space="preserve">the Commission denied an adjustment </w:t>
      </w:r>
      <w:r w:rsidRPr="002532DF">
        <w:rPr>
          <w:sz w:val="25"/>
          <w:szCs w:val="25"/>
        </w:rPr>
        <w:t xml:space="preserve">in the 2009 Puget Sound Energy (PSE) rate case </w:t>
      </w:r>
      <w:r w:rsidR="00D236FC">
        <w:rPr>
          <w:sz w:val="25"/>
          <w:szCs w:val="25"/>
        </w:rPr>
        <w:t>that is identical to the adjustment Staff proposed here</w:t>
      </w:r>
      <w:r w:rsidRPr="002532DF">
        <w:rPr>
          <w:sz w:val="25"/>
          <w:szCs w:val="25"/>
        </w:rPr>
        <w:t>.</w:t>
      </w:r>
      <w:r w:rsidRPr="002532DF">
        <w:rPr>
          <w:rStyle w:val="FootnoteReference"/>
          <w:sz w:val="25"/>
          <w:szCs w:val="25"/>
        </w:rPr>
        <w:footnoteReference w:id="376"/>
      </w:r>
      <w:r w:rsidRPr="002532DF">
        <w:rPr>
          <w:sz w:val="25"/>
          <w:szCs w:val="25"/>
        </w:rPr>
        <w:t xml:space="preserve">  The Company’s reliance on that case is misplaced.  In the PSE case, we rejected the argument that </w:t>
      </w:r>
      <w:r w:rsidRPr="002532DF">
        <w:rPr>
          <w:i/>
          <w:sz w:val="25"/>
          <w:szCs w:val="25"/>
        </w:rPr>
        <w:t xml:space="preserve">no </w:t>
      </w:r>
      <w:r w:rsidRPr="002532DF">
        <w:rPr>
          <w:sz w:val="25"/>
          <w:szCs w:val="25"/>
        </w:rPr>
        <w:t>adjustment could be made to rate base until after an IRS audit because the amount was not known and measurable.  Here, according to the Company, the accumulated deferred income tax liability balance as of December 31, 2009, is $28,927,370.</w:t>
      </w:r>
      <w:r w:rsidRPr="002532DF">
        <w:rPr>
          <w:rStyle w:val="FootnoteReference"/>
          <w:sz w:val="25"/>
          <w:szCs w:val="25"/>
        </w:rPr>
        <w:footnoteReference w:id="377"/>
      </w:r>
      <w:r w:rsidRPr="002532DF">
        <w:rPr>
          <w:sz w:val="25"/>
          <w:szCs w:val="25"/>
        </w:rPr>
        <w:t xml:space="preserve">  Thus, the amount is both known and measurable.  </w:t>
      </w:r>
      <w:r w:rsidR="00D236FC">
        <w:rPr>
          <w:sz w:val="25"/>
          <w:szCs w:val="25"/>
        </w:rPr>
        <w:t>In addition, the IRS allowed the</w:t>
      </w:r>
      <w:r w:rsidRPr="002532DF">
        <w:rPr>
          <w:sz w:val="25"/>
          <w:szCs w:val="25"/>
        </w:rPr>
        <w:t xml:space="preserve"> tax treatment </w:t>
      </w:r>
      <w:r w:rsidR="00D236FC">
        <w:rPr>
          <w:sz w:val="25"/>
          <w:szCs w:val="25"/>
        </w:rPr>
        <w:t xml:space="preserve">in the PSE case </w:t>
      </w:r>
      <w:r w:rsidRPr="002532DF">
        <w:rPr>
          <w:sz w:val="25"/>
          <w:szCs w:val="25"/>
        </w:rPr>
        <w:t xml:space="preserve">long after the end of the test year.  </w:t>
      </w:r>
      <w:r w:rsidR="00D236FC">
        <w:rPr>
          <w:sz w:val="25"/>
          <w:szCs w:val="25"/>
        </w:rPr>
        <w:t xml:space="preserve">Here, in sharp contrast, the IRS allowed </w:t>
      </w:r>
      <w:r w:rsidRPr="002532DF">
        <w:rPr>
          <w:sz w:val="25"/>
          <w:szCs w:val="25"/>
        </w:rPr>
        <w:t xml:space="preserve">the tax treatment </w:t>
      </w:r>
      <w:r w:rsidRPr="002532DF">
        <w:rPr>
          <w:i/>
          <w:sz w:val="25"/>
          <w:szCs w:val="25"/>
        </w:rPr>
        <w:t xml:space="preserve">during </w:t>
      </w:r>
      <w:r w:rsidRPr="002532DF">
        <w:rPr>
          <w:sz w:val="25"/>
          <w:szCs w:val="25"/>
        </w:rPr>
        <w:t>the test year.</w:t>
      </w:r>
      <w:r w:rsidRPr="002532DF">
        <w:rPr>
          <w:rStyle w:val="FootnoteReference"/>
          <w:sz w:val="25"/>
          <w:szCs w:val="25"/>
        </w:rPr>
        <w:footnoteReference w:id="378"/>
      </w:r>
      <w:r w:rsidRPr="002532DF">
        <w:rPr>
          <w:sz w:val="25"/>
          <w:szCs w:val="25"/>
        </w:rPr>
        <w:t xml:space="preserve">  </w:t>
      </w:r>
    </w:p>
    <w:p w:rsidR="00237680" w:rsidRPr="002532DF" w:rsidRDefault="00237680" w:rsidP="00237680">
      <w:pPr>
        <w:spacing w:line="276" w:lineRule="auto"/>
        <w:ind w:left="-720"/>
        <w:rPr>
          <w:sz w:val="25"/>
          <w:szCs w:val="25"/>
        </w:rPr>
      </w:pPr>
    </w:p>
    <w:p w:rsidR="00FF0387" w:rsidRPr="002532DF" w:rsidRDefault="00870A12" w:rsidP="00027588">
      <w:pPr>
        <w:numPr>
          <w:ilvl w:val="0"/>
          <w:numId w:val="1"/>
        </w:numPr>
        <w:tabs>
          <w:tab w:val="clear" w:pos="720"/>
          <w:tab w:val="num" w:pos="0"/>
        </w:tabs>
        <w:spacing w:line="276" w:lineRule="auto"/>
        <w:ind w:left="0"/>
        <w:rPr>
          <w:sz w:val="25"/>
          <w:szCs w:val="25"/>
        </w:rPr>
      </w:pPr>
      <w:r w:rsidRPr="002532DF">
        <w:rPr>
          <w:sz w:val="25"/>
          <w:szCs w:val="25"/>
        </w:rPr>
        <w:t xml:space="preserve">We conclude that </w:t>
      </w:r>
      <w:r w:rsidR="00900849" w:rsidRPr="002532DF">
        <w:rPr>
          <w:sz w:val="25"/>
          <w:szCs w:val="25"/>
        </w:rPr>
        <w:t xml:space="preserve">Staff is correct and we should </w:t>
      </w:r>
      <w:r w:rsidR="00237680" w:rsidRPr="002532DF">
        <w:rPr>
          <w:sz w:val="25"/>
          <w:szCs w:val="25"/>
        </w:rPr>
        <w:t xml:space="preserve">accept its adjustment to </w:t>
      </w:r>
      <w:r w:rsidR="00900849" w:rsidRPr="002532DF">
        <w:rPr>
          <w:sz w:val="25"/>
          <w:szCs w:val="25"/>
        </w:rPr>
        <w:t>reduce rate base by</w:t>
      </w:r>
      <w:r w:rsidR="00687272" w:rsidRPr="002532DF">
        <w:rPr>
          <w:sz w:val="25"/>
          <w:szCs w:val="25"/>
        </w:rPr>
        <w:t xml:space="preserve"> </w:t>
      </w:r>
      <w:r w:rsidR="00900849" w:rsidRPr="002532DF">
        <w:rPr>
          <w:sz w:val="25"/>
          <w:szCs w:val="25"/>
        </w:rPr>
        <w:t>$28,927,370</w:t>
      </w:r>
      <w:r w:rsidR="00237680" w:rsidRPr="002532DF">
        <w:rPr>
          <w:sz w:val="25"/>
          <w:szCs w:val="25"/>
        </w:rPr>
        <w:t>, which reflects the impact of the full year of the change</w:t>
      </w:r>
      <w:r w:rsidR="00900849" w:rsidRPr="002532DF">
        <w:rPr>
          <w:sz w:val="25"/>
          <w:szCs w:val="25"/>
        </w:rPr>
        <w:t xml:space="preserve">.  The repairs deduction is an ongoing </w:t>
      </w:r>
      <w:r w:rsidR="00687272" w:rsidRPr="002532DF">
        <w:rPr>
          <w:sz w:val="25"/>
          <w:szCs w:val="25"/>
        </w:rPr>
        <w:t>difference</w:t>
      </w:r>
      <w:r w:rsidR="00900849" w:rsidRPr="002532DF">
        <w:rPr>
          <w:sz w:val="25"/>
          <w:szCs w:val="25"/>
        </w:rPr>
        <w:t xml:space="preserve"> in accounting that will be in effect for the same period as the rates set in this proceeding.  The change is known and measurable.  Accordingly, it is reasonable to normalize and reflect the impact as if it were in effect for the entire period.  </w:t>
      </w:r>
      <w:r w:rsidR="0064412B" w:rsidRPr="002532DF">
        <w:rPr>
          <w:sz w:val="25"/>
          <w:szCs w:val="25"/>
        </w:rPr>
        <w:t>The impact of this adjustment reduces the revenue requirement by $</w:t>
      </w:r>
      <w:r w:rsidR="00667BFD" w:rsidRPr="002532DF">
        <w:rPr>
          <w:sz w:val="25"/>
          <w:szCs w:val="25"/>
        </w:rPr>
        <w:t>1,822,309</w:t>
      </w:r>
      <w:r w:rsidR="00D236FC">
        <w:rPr>
          <w:sz w:val="25"/>
          <w:szCs w:val="25"/>
        </w:rPr>
        <w:t xml:space="preserve"> in addition to the $1.7 million the Company has already recognized</w:t>
      </w:r>
      <w:r w:rsidR="0064412B" w:rsidRPr="002532DF">
        <w:rPr>
          <w:sz w:val="25"/>
          <w:szCs w:val="25"/>
        </w:rPr>
        <w:t>.</w:t>
      </w:r>
    </w:p>
    <w:p w:rsidR="00870A12" w:rsidRPr="002532DF" w:rsidRDefault="008568EA" w:rsidP="006C06F3">
      <w:pPr>
        <w:pStyle w:val="Heading4"/>
        <w:ind w:left="1080" w:hanging="360"/>
        <w:rPr>
          <w:rFonts w:ascii="Times New Roman" w:hAnsi="Times New Roman"/>
          <w:sz w:val="25"/>
          <w:szCs w:val="25"/>
        </w:rPr>
      </w:pPr>
      <w:bookmarkStart w:id="66" w:name="_Toc288813757"/>
      <w:r w:rsidRPr="002532DF">
        <w:rPr>
          <w:rFonts w:ascii="Times New Roman" w:hAnsi="Times New Roman"/>
          <w:sz w:val="25"/>
          <w:szCs w:val="25"/>
        </w:rPr>
        <w:t>2</w:t>
      </w:r>
      <w:r w:rsidR="00FC1047" w:rsidRPr="002532DF">
        <w:rPr>
          <w:rFonts w:ascii="Times New Roman" w:hAnsi="Times New Roman"/>
          <w:sz w:val="25"/>
          <w:szCs w:val="25"/>
        </w:rPr>
        <w:t>.</w:t>
      </w:r>
      <w:r w:rsidR="00FC1047" w:rsidRPr="002532DF">
        <w:rPr>
          <w:rFonts w:ascii="Times New Roman" w:hAnsi="Times New Roman"/>
          <w:sz w:val="25"/>
          <w:szCs w:val="25"/>
        </w:rPr>
        <w:tab/>
      </w:r>
      <w:r w:rsidR="00870A12" w:rsidRPr="002532DF">
        <w:rPr>
          <w:rFonts w:ascii="Times New Roman" w:hAnsi="Times New Roman"/>
          <w:sz w:val="25"/>
          <w:szCs w:val="25"/>
        </w:rPr>
        <w:t>Interest Reserve</w:t>
      </w:r>
      <w:bookmarkEnd w:id="66"/>
    </w:p>
    <w:p w:rsidR="00870A12" w:rsidRPr="002532DF" w:rsidRDefault="00870A12" w:rsidP="00870A12">
      <w:pPr>
        <w:pStyle w:val="ListParagraph"/>
        <w:rPr>
          <w:sz w:val="25"/>
          <w:szCs w:val="25"/>
        </w:rPr>
      </w:pPr>
    </w:p>
    <w:p w:rsidR="00870A12" w:rsidRPr="002532DF" w:rsidRDefault="006F1B90" w:rsidP="00027588">
      <w:pPr>
        <w:numPr>
          <w:ilvl w:val="0"/>
          <w:numId w:val="1"/>
        </w:numPr>
        <w:tabs>
          <w:tab w:val="clear" w:pos="720"/>
          <w:tab w:val="num" w:pos="0"/>
        </w:tabs>
        <w:spacing w:line="276" w:lineRule="auto"/>
        <w:ind w:left="0"/>
        <w:rPr>
          <w:sz w:val="25"/>
          <w:szCs w:val="25"/>
        </w:rPr>
      </w:pPr>
      <w:r w:rsidRPr="002532DF">
        <w:rPr>
          <w:i/>
          <w:sz w:val="25"/>
          <w:szCs w:val="25"/>
        </w:rPr>
        <w:t xml:space="preserve">Positions of the Parties.  </w:t>
      </w:r>
      <w:r w:rsidR="00870A12" w:rsidRPr="002532DF">
        <w:rPr>
          <w:sz w:val="25"/>
          <w:szCs w:val="25"/>
        </w:rPr>
        <w:t>The Company requests approval to establish a regulatory asset or liability to recover interest paid to or received from the IRS for any audit adjustments the IRS may make to the repairs deduction taken by the Company in its 2008 and 2009 income tax returns.</w:t>
      </w:r>
      <w:r w:rsidR="00870A12" w:rsidRPr="002532DF">
        <w:rPr>
          <w:sz w:val="25"/>
          <w:szCs w:val="25"/>
          <w:vertAlign w:val="superscript"/>
        </w:rPr>
        <w:footnoteReference w:id="379"/>
      </w:r>
    </w:p>
    <w:p w:rsidR="00870A12" w:rsidRPr="002532DF" w:rsidRDefault="00870A12" w:rsidP="00870A12">
      <w:pPr>
        <w:pStyle w:val="ListParagraph"/>
        <w:rPr>
          <w:sz w:val="25"/>
          <w:szCs w:val="25"/>
        </w:rPr>
      </w:pPr>
    </w:p>
    <w:p w:rsidR="00870A12" w:rsidRPr="002532DF" w:rsidRDefault="00870A12" w:rsidP="00027588">
      <w:pPr>
        <w:numPr>
          <w:ilvl w:val="0"/>
          <w:numId w:val="1"/>
        </w:numPr>
        <w:tabs>
          <w:tab w:val="clear" w:pos="720"/>
          <w:tab w:val="num" w:pos="0"/>
        </w:tabs>
        <w:spacing w:line="276" w:lineRule="auto"/>
        <w:ind w:left="0"/>
        <w:rPr>
          <w:sz w:val="25"/>
          <w:szCs w:val="25"/>
        </w:rPr>
      </w:pPr>
      <w:r w:rsidRPr="002532DF">
        <w:rPr>
          <w:sz w:val="25"/>
          <w:szCs w:val="25"/>
        </w:rPr>
        <w:t>Staff contends that although there is a risk of an adverse IRS audit, the exact level of risk is unknown</w:t>
      </w:r>
      <w:r w:rsidR="00FB191E" w:rsidRPr="002532DF">
        <w:rPr>
          <w:sz w:val="25"/>
          <w:szCs w:val="25"/>
        </w:rPr>
        <w:t>.  T</w:t>
      </w:r>
      <w:r w:rsidRPr="002532DF">
        <w:rPr>
          <w:sz w:val="25"/>
          <w:szCs w:val="25"/>
        </w:rPr>
        <w:t>herefore the Company’s request to establish a regulatory asset or liability is premature.</w:t>
      </w:r>
      <w:r w:rsidRPr="002532DF">
        <w:rPr>
          <w:rStyle w:val="FootnoteReference"/>
          <w:sz w:val="25"/>
          <w:szCs w:val="25"/>
        </w:rPr>
        <w:footnoteReference w:id="380"/>
      </w:r>
      <w:r w:rsidRPr="002532DF">
        <w:rPr>
          <w:sz w:val="25"/>
          <w:szCs w:val="25"/>
        </w:rPr>
        <w:t xml:space="preserve">  Citing a prior Commission order, Staff argues that the Company can request an accounting order once any costs associated with an adverse IRS ruling become known and measurable.  Staff asserts that the Commission would then consider the deferred costs in a future rate proceeding.</w:t>
      </w:r>
      <w:r w:rsidRPr="002532DF">
        <w:rPr>
          <w:rStyle w:val="FootnoteReference"/>
          <w:sz w:val="25"/>
          <w:szCs w:val="25"/>
        </w:rPr>
        <w:footnoteReference w:id="381"/>
      </w:r>
    </w:p>
    <w:p w:rsidR="00870A12" w:rsidRPr="002532DF" w:rsidRDefault="00870A12" w:rsidP="00870A12">
      <w:pPr>
        <w:pStyle w:val="ListParagraph"/>
        <w:rPr>
          <w:sz w:val="25"/>
          <w:szCs w:val="25"/>
        </w:rPr>
      </w:pPr>
    </w:p>
    <w:p w:rsidR="00973B0D" w:rsidRDefault="00D17347" w:rsidP="00027588">
      <w:pPr>
        <w:numPr>
          <w:ilvl w:val="0"/>
          <w:numId w:val="1"/>
        </w:numPr>
        <w:tabs>
          <w:tab w:val="clear" w:pos="720"/>
          <w:tab w:val="num" w:pos="0"/>
        </w:tabs>
        <w:spacing w:line="276" w:lineRule="auto"/>
        <w:ind w:left="0"/>
        <w:rPr>
          <w:sz w:val="25"/>
          <w:szCs w:val="25"/>
        </w:rPr>
      </w:pPr>
      <w:r w:rsidRPr="002532DF">
        <w:rPr>
          <w:i/>
          <w:sz w:val="25"/>
          <w:szCs w:val="25"/>
        </w:rPr>
        <w:t xml:space="preserve">Commission Decision. </w:t>
      </w:r>
      <w:r w:rsidR="006C06F3" w:rsidRPr="002532DF">
        <w:rPr>
          <w:i/>
          <w:sz w:val="25"/>
          <w:szCs w:val="25"/>
        </w:rPr>
        <w:t xml:space="preserve"> </w:t>
      </w:r>
      <w:r w:rsidR="00870A12" w:rsidRPr="002532DF">
        <w:rPr>
          <w:sz w:val="25"/>
          <w:szCs w:val="25"/>
        </w:rPr>
        <w:t>We reject the Company’s request to establish an interest reserve account.  We agree with Staff that the Company’s request is premature because</w:t>
      </w:r>
      <w:r w:rsidR="00CD107D" w:rsidRPr="002532DF">
        <w:rPr>
          <w:sz w:val="25"/>
          <w:szCs w:val="25"/>
        </w:rPr>
        <w:t>,</w:t>
      </w:r>
      <w:r w:rsidR="00870A12" w:rsidRPr="002532DF">
        <w:rPr>
          <w:sz w:val="25"/>
          <w:szCs w:val="25"/>
        </w:rPr>
        <w:t xml:space="preserve"> at this juncture, the</w:t>
      </w:r>
      <w:r w:rsidR="0064412B" w:rsidRPr="002532DF">
        <w:rPr>
          <w:sz w:val="25"/>
          <w:szCs w:val="25"/>
        </w:rPr>
        <w:t xml:space="preserve"> Company does not have a definitive</w:t>
      </w:r>
      <w:r w:rsidR="00870A12" w:rsidRPr="002532DF">
        <w:rPr>
          <w:sz w:val="25"/>
          <w:szCs w:val="25"/>
        </w:rPr>
        <w:t xml:space="preserve"> ruling from the IRS</w:t>
      </w:r>
      <w:r w:rsidR="0064412B" w:rsidRPr="002532DF">
        <w:rPr>
          <w:sz w:val="25"/>
          <w:szCs w:val="25"/>
        </w:rPr>
        <w:t>.  This leaves us with</w:t>
      </w:r>
      <w:r w:rsidR="00A11545" w:rsidRPr="002532DF">
        <w:rPr>
          <w:sz w:val="25"/>
          <w:szCs w:val="25"/>
        </w:rPr>
        <w:t xml:space="preserve"> no means to measure any risk the Company faces</w:t>
      </w:r>
      <w:r w:rsidR="00870A12" w:rsidRPr="002532DF">
        <w:rPr>
          <w:sz w:val="25"/>
          <w:szCs w:val="25"/>
        </w:rPr>
        <w:t xml:space="preserve">.  PacifiCorp may request an accounting order when the results of any IRS audit are known and measurable. </w:t>
      </w:r>
    </w:p>
    <w:p w:rsidR="007449FA" w:rsidRPr="002532DF" w:rsidRDefault="008568EA" w:rsidP="006C06F3">
      <w:pPr>
        <w:pStyle w:val="Heading4"/>
        <w:ind w:left="1080" w:hanging="360"/>
        <w:rPr>
          <w:rFonts w:ascii="Times New Roman" w:hAnsi="Times New Roman"/>
          <w:sz w:val="25"/>
          <w:szCs w:val="25"/>
        </w:rPr>
      </w:pPr>
      <w:bookmarkStart w:id="67" w:name="_Toc288813758"/>
      <w:r w:rsidRPr="002532DF">
        <w:rPr>
          <w:rFonts w:ascii="Times New Roman" w:hAnsi="Times New Roman"/>
          <w:sz w:val="25"/>
          <w:szCs w:val="25"/>
        </w:rPr>
        <w:t>3</w:t>
      </w:r>
      <w:r w:rsidR="007449FA" w:rsidRPr="002532DF">
        <w:rPr>
          <w:rFonts w:ascii="Times New Roman" w:hAnsi="Times New Roman"/>
          <w:sz w:val="25"/>
          <w:szCs w:val="25"/>
        </w:rPr>
        <w:t>.</w:t>
      </w:r>
      <w:r w:rsidR="007449FA" w:rsidRPr="002532DF">
        <w:rPr>
          <w:rFonts w:ascii="Times New Roman" w:hAnsi="Times New Roman"/>
          <w:sz w:val="25"/>
          <w:szCs w:val="25"/>
        </w:rPr>
        <w:tab/>
      </w:r>
      <w:r w:rsidR="00AF585C" w:rsidRPr="002532DF">
        <w:rPr>
          <w:rFonts w:ascii="Times New Roman" w:hAnsi="Times New Roman"/>
          <w:sz w:val="25"/>
          <w:szCs w:val="25"/>
        </w:rPr>
        <w:t>Federal Income Tax: Normalization or Flow-Through</w:t>
      </w:r>
      <w:bookmarkEnd w:id="67"/>
    </w:p>
    <w:p w:rsidR="007449FA" w:rsidRPr="002532DF" w:rsidRDefault="007449FA" w:rsidP="00817E21">
      <w:pPr>
        <w:tabs>
          <w:tab w:val="left" w:pos="1800"/>
        </w:tabs>
        <w:spacing w:line="276" w:lineRule="auto"/>
        <w:ind w:left="1440"/>
        <w:rPr>
          <w:b/>
          <w:sz w:val="25"/>
          <w:szCs w:val="25"/>
        </w:rPr>
      </w:pPr>
    </w:p>
    <w:p w:rsidR="00E23FBE" w:rsidRPr="00D236FC" w:rsidRDefault="006F1B90" w:rsidP="00D236FC">
      <w:pPr>
        <w:numPr>
          <w:ilvl w:val="0"/>
          <w:numId w:val="1"/>
        </w:numPr>
        <w:tabs>
          <w:tab w:val="clear" w:pos="720"/>
          <w:tab w:val="num" w:pos="0"/>
        </w:tabs>
        <w:spacing w:line="276" w:lineRule="auto"/>
        <w:ind w:left="0"/>
        <w:rPr>
          <w:i/>
          <w:sz w:val="25"/>
          <w:szCs w:val="25"/>
        </w:rPr>
      </w:pPr>
      <w:r w:rsidRPr="002532DF">
        <w:rPr>
          <w:i/>
          <w:sz w:val="25"/>
          <w:szCs w:val="25"/>
        </w:rPr>
        <w:t xml:space="preserve">Positions of the Parties.  </w:t>
      </w:r>
      <w:r w:rsidR="007449FA" w:rsidRPr="002532DF">
        <w:rPr>
          <w:sz w:val="25"/>
          <w:szCs w:val="25"/>
        </w:rPr>
        <w:t xml:space="preserve">The Company proposes </w:t>
      </w:r>
      <w:r w:rsidR="00AF585C" w:rsidRPr="002532DF">
        <w:rPr>
          <w:sz w:val="25"/>
          <w:szCs w:val="25"/>
        </w:rPr>
        <w:t xml:space="preserve">in its originally filed case </w:t>
      </w:r>
      <w:r w:rsidR="007449FA" w:rsidRPr="002532DF">
        <w:rPr>
          <w:sz w:val="25"/>
          <w:szCs w:val="25"/>
        </w:rPr>
        <w:t xml:space="preserve">to adjust its books to reflect full income tax normalization accounting </w:t>
      </w:r>
      <w:r w:rsidR="00727713" w:rsidRPr="002532DF">
        <w:rPr>
          <w:sz w:val="25"/>
          <w:szCs w:val="25"/>
        </w:rPr>
        <w:t xml:space="preserve">for </w:t>
      </w:r>
      <w:r w:rsidR="007449FA" w:rsidRPr="002532DF">
        <w:rPr>
          <w:sz w:val="25"/>
          <w:szCs w:val="25"/>
        </w:rPr>
        <w:t>regulatory rate-setting purposes.</w:t>
      </w:r>
      <w:r w:rsidR="00A17BDE" w:rsidRPr="002532DF">
        <w:rPr>
          <w:sz w:val="25"/>
          <w:szCs w:val="25"/>
        </w:rPr>
        <w:t xml:space="preserve">  It has, with the exception of Allowance For Funds</w:t>
      </w:r>
      <w:r w:rsidR="0026076D" w:rsidRPr="002532DF">
        <w:rPr>
          <w:sz w:val="25"/>
          <w:szCs w:val="25"/>
        </w:rPr>
        <w:t xml:space="preserve"> </w:t>
      </w:r>
      <w:r w:rsidR="00A17BDE" w:rsidRPr="002532DF">
        <w:rPr>
          <w:sz w:val="25"/>
          <w:szCs w:val="25"/>
        </w:rPr>
        <w:t>U</w:t>
      </w:r>
      <w:r w:rsidR="00727713" w:rsidRPr="002532DF">
        <w:rPr>
          <w:sz w:val="25"/>
          <w:szCs w:val="25"/>
        </w:rPr>
        <w:t>sed During Construction (AFUDC)</w:t>
      </w:r>
      <w:r w:rsidR="003B19B0" w:rsidRPr="002532DF">
        <w:rPr>
          <w:sz w:val="25"/>
          <w:szCs w:val="25"/>
        </w:rPr>
        <w:t xml:space="preserve"> </w:t>
      </w:r>
      <w:r w:rsidR="00A17BDE" w:rsidRPr="002532DF">
        <w:rPr>
          <w:sz w:val="25"/>
          <w:szCs w:val="25"/>
        </w:rPr>
        <w:t>equity,</w:t>
      </w:r>
      <w:r w:rsidR="00FB191E" w:rsidRPr="002532DF">
        <w:rPr>
          <w:rStyle w:val="FootnoteReference"/>
          <w:sz w:val="25"/>
          <w:szCs w:val="25"/>
        </w:rPr>
        <w:footnoteReference w:id="382"/>
      </w:r>
      <w:r w:rsidR="00A17BDE" w:rsidRPr="002532DF">
        <w:rPr>
          <w:sz w:val="25"/>
          <w:szCs w:val="25"/>
        </w:rPr>
        <w:t xml:space="preserve"> abandoned the partial flow-through method traditionally used by the Commission.</w:t>
      </w:r>
      <w:r w:rsidR="00A17BDE" w:rsidRPr="002532DF">
        <w:rPr>
          <w:rStyle w:val="FootnoteReference"/>
          <w:sz w:val="25"/>
          <w:szCs w:val="25"/>
        </w:rPr>
        <w:footnoteReference w:id="383"/>
      </w:r>
      <w:r w:rsidR="006E328D" w:rsidRPr="002532DF">
        <w:rPr>
          <w:sz w:val="25"/>
          <w:szCs w:val="25"/>
        </w:rPr>
        <w:t xml:space="preserve"> </w:t>
      </w:r>
      <w:r w:rsidR="00A17BDE" w:rsidRPr="002532DF">
        <w:rPr>
          <w:sz w:val="25"/>
          <w:szCs w:val="25"/>
        </w:rPr>
        <w:t xml:space="preserve"> The Company proposes to move to full normalization for practical reasons </w:t>
      </w:r>
      <w:r w:rsidR="006E328D" w:rsidRPr="002532DF">
        <w:rPr>
          <w:sz w:val="25"/>
          <w:szCs w:val="25"/>
        </w:rPr>
        <w:t xml:space="preserve">because income taxes are fully normalized in </w:t>
      </w:r>
      <w:r w:rsidR="00AF585C" w:rsidRPr="002532DF">
        <w:rPr>
          <w:sz w:val="25"/>
          <w:szCs w:val="25"/>
        </w:rPr>
        <w:t xml:space="preserve">Oregon, Utah, and </w:t>
      </w:r>
      <w:r w:rsidR="00DB3CF3" w:rsidRPr="002532DF">
        <w:rPr>
          <w:sz w:val="25"/>
          <w:szCs w:val="25"/>
        </w:rPr>
        <w:t>Wyoming which</w:t>
      </w:r>
      <w:r w:rsidR="006E328D" w:rsidRPr="002532DF">
        <w:rPr>
          <w:sz w:val="25"/>
          <w:szCs w:val="25"/>
        </w:rPr>
        <w:t xml:space="preserve"> constitute </w:t>
      </w:r>
      <w:r w:rsidR="00A17BDE" w:rsidRPr="002532DF">
        <w:rPr>
          <w:sz w:val="25"/>
          <w:szCs w:val="25"/>
        </w:rPr>
        <w:t>85 percent of the Company’s total regulated operations</w:t>
      </w:r>
      <w:r w:rsidR="00AF585C" w:rsidRPr="002532DF">
        <w:rPr>
          <w:sz w:val="25"/>
          <w:szCs w:val="25"/>
        </w:rPr>
        <w:t>.  It asserts that full normalization would create a clear and unambiguous policy for the Commission</w:t>
      </w:r>
      <w:r w:rsidR="006E328D" w:rsidRPr="002532DF">
        <w:rPr>
          <w:sz w:val="25"/>
          <w:szCs w:val="25"/>
        </w:rPr>
        <w:t xml:space="preserve"> and </w:t>
      </w:r>
      <w:r w:rsidR="00AF585C" w:rsidRPr="002532DF">
        <w:rPr>
          <w:sz w:val="25"/>
          <w:szCs w:val="25"/>
        </w:rPr>
        <w:t xml:space="preserve">Washington would benefit from </w:t>
      </w:r>
      <w:r w:rsidR="006E328D" w:rsidRPr="002532DF">
        <w:rPr>
          <w:sz w:val="25"/>
          <w:szCs w:val="25"/>
        </w:rPr>
        <w:t xml:space="preserve">increased efficiency </w:t>
      </w:r>
      <w:r w:rsidR="00D63FD5" w:rsidRPr="002532DF">
        <w:rPr>
          <w:sz w:val="25"/>
          <w:szCs w:val="25"/>
        </w:rPr>
        <w:t>in the</w:t>
      </w:r>
      <w:r w:rsidR="006E328D" w:rsidRPr="002532DF">
        <w:rPr>
          <w:sz w:val="25"/>
          <w:szCs w:val="25"/>
        </w:rPr>
        <w:t xml:space="preserve"> Company’s income tax accounting and reporting processes.</w:t>
      </w:r>
      <w:r w:rsidR="00A17BDE" w:rsidRPr="002532DF">
        <w:rPr>
          <w:rStyle w:val="FootnoteReference"/>
          <w:sz w:val="25"/>
          <w:szCs w:val="25"/>
        </w:rPr>
        <w:footnoteReference w:id="384"/>
      </w:r>
      <w:r w:rsidR="00A17BDE" w:rsidRPr="002532DF">
        <w:rPr>
          <w:sz w:val="25"/>
          <w:szCs w:val="25"/>
        </w:rPr>
        <w:t xml:space="preserve"> </w:t>
      </w:r>
    </w:p>
    <w:p w:rsidR="00D236FC" w:rsidRPr="002532DF" w:rsidRDefault="00D236FC" w:rsidP="00D236FC">
      <w:pPr>
        <w:spacing w:line="276" w:lineRule="auto"/>
        <w:ind w:left="-720"/>
        <w:rPr>
          <w:i/>
          <w:sz w:val="25"/>
          <w:szCs w:val="25"/>
        </w:rPr>
      </w:pPr>
    </w:p>
    <w:p w:rsidR="00A17BDE" w:rsidRPr="002532DF" w:rsidRDefault="00723E37" w:rsidP="00027588">
      <w:pPr>
        <w:numPr>
          <w:ilvl w:val="0"/>
          <w:numId w:val="1"/>
        </w:numPr>
        <w:tabs>
          <w:tab w:val="clear" w:pos="720"/>
          <w:tab w:val="num" w:pos="0"/>
        </w:tabs>
        <w:spacing w:line="276" w:lineRule="auto"/>
        <w:ind w:left="0"/>
        <w:rPr>
          <w:sz w:val="25"/>
          <w:szCs w:val="25"/>
        </w:rPr>
      </w:pPr>
      <w:r w:rsidRPr="002532DF">
        <w:rPr>
          <w:sz w:val="25"/>
          <w:szCs w:val="25"/>
        </w:rPr>
        <w:t>PacifiCorp further argues</w:t>
      </w:r>
      <w:r w:rsidRPr="002532DF">
        <w:rPr>
          <w:i/>
          <w:sz w:val="25"/>
          <w:szCs w:val="25"/>
        </w:rPr>
        <w:t xml:space="preserve"> </w:t>
      </w:r>
      <w:r w:rsidR="00A17BDE" w:rsidRPr="002532DF">
        <w:rPr>
          <w:sz w:val="25"/>
          <w:szCs w:val="25"/>
        </w:rPr>
        <w:t>that “[</w:t>
      </w:r>
      <w:r w:rsidR="00244553" w:rsidRPr="002532DF">
        <w:rPr>
          <w:sz w:val="25"/>
          <w:szCs w:val="25"/>
        </w:rPr>
        <w:t>a</w:t>
      </w:r>
      <w:r w:rsidR="00A17BDE" w:rsidRPr="002532DF">
        <w:rPr>
          <w:sz w:val="25"/>
          <w:szCs w:val="25"/>
        </w:rPr>
        <w:t>]s a policy matter, the Company supports [full] tax normalization based on the matching principle and intergenerational equity.”</w:t>
      </w:r>
      <w:r w:rsidR="00A17BDE" w:rsidRPr="002532DF">
        <w:rPr>
          <w:rStyle w:val="FootnoteReference"/>
          <w:sz w:val="25"/>
          <w:szCs w:val="25"/>
        </w:rPr>
        <w:footnoteReference w:id="385"/>
      </w:r>
      <w:r w:rsidR="00A17BDE" w:rsidRPr="002532DF">
        <w:rPr>
          <w:sz w:val="25"/>
          <w:szCs w:val="25"/>
        </w:rPr>
        <w:t xml:space="preserve">  The Company contends that its proposal matches tax benefits with cost responsibility and prevents customers who pay </w:t>
      </w:r>
      <w:r w:rsidR="00E56A3B" w:rsidRPr="002532DF">
        <w:rPr>
          <w:sz w:val="25"/>
          <w:szCs w:val="25"/>
        </w:rPr>
        <w:t>costs</w:t>
      </w:r>
      <w:r w:rsidR="00A17BDE" w:rsidRPr="002532DF">
        <w:rPr>
          <w:sz w:val="25"/>
          <w:szCs w:val="25"/>
        </w:rPr>
        <w:t xml:space="preserve"> beyond the </w:t>
      </w:r>
      <w:r w:rsidR="00E56A3B" w:rsidRPr="002532DF">
        <w:rPr>
          <w:sz w:val="25"/>
          <w:szCs w:val="25"/>
        </w:rPr>
        <w:t xml:space="preserve">tax </w:t>
      </w:r>
      <w:r w:rsidR="00A17BDE" w:rsidRPr="002532DF">
        <w:rPr>
          <w:sz w:val="25"/>
          <w:szCs w:val="25"/>
        </w:rPr>
        <w:t xml:space="preserve">life of an asset from incurring a disproportionately higher tax rate than customers who pay over the life of the </w:t>
      </w:r>
      <w:r w:rsidR="00E56A3B" w:rsidRPr="002532DF">
        <w:rPr>
          <w:sz w:val="25"/>
          <w:szCs w:val="25"/>
        </w:rPr>
        <w:t xml:space="preserve">same </w:t>
      </w:r>
      <w:r w:rsidR="00A17BDE" w:rsidRPr="002532DF">
        <w:rPr>
          <w:sz w:val="25"/>
          <w:szCs w:val="25"/>
        </w:rPr>
        <w:t>asset.</w:t>
      </w:r>
      <w:r w:rsidR="00A17BDE" w:rsidRPr="002532DF">
        <w:rPr>
          <w:rStyle w:val="FootnoteReference"/>
          <w:sz w:val="25"/>
          <w:szCs w:val="25"/>
        </w:rPr>
        <w:footnoteReference w:id="386"/>
      </w:r>
      <w:r w:rsidR="00A17BDE" w:rsidRPr="002532DF">
        <w:rPr>
          <w:sz w:val="25"/>
          <w:szCs w:val="25"/>
        </w:rPr>
        <w:t xml:space="preserve">  </w:t>
      </w:r>
    </w:p>
    <w:p w:rsidR="00EC45A4" w:rsidRPr="002532DF" w:rsidRDefault="00EC45A4" w:rsidP="00817E21">
      <w:pPr>
        <w:spacing w:line="276" w:lineRule="auto"/>
        <w:rPr>
          <w:sz w:val="25"/>
          <w:szCs w:val="25"/>
        </w:rPr>
      </w:pPr>
    </w:p>
    <w:p w:rsidR="00A17BDE" w:rsidRPr="002532DF" w:rsidRDefault="00A17BDE" w:rsidP="00027588">
      <w:pPr>
        <w:numPr>
          <w:ilvl w:val="0"/>
          <w:numId w:val="1"/>
        </w:numPr>
        <w:tabs>
          <w:tab w:val="clear" w:pos="720"/>
          <w:tab w:val="num" w:pos="0"/>
        </w:tabs>
        <w:spacing w:line="276" w:lineRule="auto"/>
        <w:ind w:left="0"/>
        <w:rPr>
          <w:sz w:val="25"/>
          <w:szCs w:val="25"/>
        </w:rPr>
      </w:pPr>
      <w:r w:rsidRPr="002532DF">
        <w:rPr>
          <w:sz w:val="25"/>
          <w:szCs w:val="25"/>
        </w:rPr>
        <w:t>The Company requests approval to account for Washington-allocated income taxes on a fully normalized basis</w:t>
      </w:r>
      <w:r w:rsidR="006E328D" w:rsidRPr="002532DF">
        <w:rPr>
          <w:sz w:val="25"/>
          <w:szCs w:val="25"/>
        </w:rPr>
        <w:t xml:space="preserve">, except for AFUDC-equity, </w:t>
      </w:r>
      <w:r w:rsidRPr="002532DF">
        <w:rPr>
          <w:sz w:val="25"/>
          <w:szCs w:val="25"/>
        </w:rPr>
        <w:t>effective January 1, 2011.</w:t>
      </w:r>
      <w:r w:rsidRPr="002532DF">
        <w:rPr>
          <w:rStyle w:val="FootnoteReference"/>
          <w:sz w:val="25"/>
          <w:szCs w:val="25"/>
        </w:rPr>
        <w:footnoteReference w:id="387"/>
      </w:r>
      <w:r w:rsidRPr="002532DF">
        <w:rPr>
          <w:sz w:val="25"/>
          <w:szCs w:val="25"/>
        </w:rPr>
        <w:t xml:space="preserve">  To fully implement income tax normalization, the Commission </w:t>
      </w:r>
      <w:r w:rsidR="00DB3CF3" w:rsidRPr="002532DF">
        <w:rPr>
          <w:sz w:val="25"/>
          <w:szCs w:val="25"/>
        </w:rPr>
        <w:t>would need</w:t>
      </w:r>
      <w:r w:rsidRPr="002532DF">
        <w:rPr>
          <w:sz w:val="25"/>
          <w:szCs w:val="25"/>
        </w:rPr>
        <w:t xml:space="preserve"> to address the disposition of an income-tax regulatory asset associated with income tax flow-through.</w:t>
      </w:r>
      <w:r w:rsidRPr="002532DF">
        <w:rPr>
          <w:rStyle w:val="FootnoteReference"/>
          <w:sz w:val="25"/>
          <w:szCs w:val="25"/>
        </w:rPr>
        <w:footnoteReference w:id="388"/>
      </w:r>
      <w:r w:rsidRPr="002532DF">
        <w:rPr>
          <w:sz w:val="25"/>
          <w:szCs w:val="25"/>
        </w:rPr>
        <w:t xml:space="preserve">  Because the Commission has required the flow-through of tax-book timing differences that were not mandated to be normalized under the Internal Revenue Code, any conversion to full normalization must recognize a regulatory asset.  The regulatory asset </w:t>
      </w:r>
      <w:r w:rsidR="00E56A3B" w:rsidRPr="002532DF">
        <w:rPr>
          <w:sz w:val="25"/>
          <w:szCs w:val="25"/>
        </w:rPr>
        <w:t xml:space="preserve">would </w:t>
      </w:r>
      <w:r w:rsidRPr="002532DF">
        <w:rPr>
          <w:sz w:val="25"/>
          <w:szCs w:val="25"/>
        </w:rPr>
        <w:t>represent the deferred tax amount associated with costs for which the rate payer has already received the benefit through a lower income tax expense.</w:t>
      </w:r>
      <w:r w:rsidRPr="002532DF">
        <w:rPr>
          <w:rStyle w:val="FootnoteReference"/>
          <w:sz w:val="25"/>
          <w:szCs w:val="25"/>
        </w:rPr>
        <w:footnoteReference w:id="389"/>
      </w:r>
      <w:r w:rsidRPr="002532DF">
        <w:rPr>
          <w:sz w:val="25"/>
          <w:szCs w:val="25"/>
        </w:rPr>
        <w:t xml:space="preserve">  However, because the Company is proposing to use flow-through accounting through December 31, 2010, PacifiCorp request</w:t>
      </w:r>
      <w:r w:rsidR="00E56A3B" w:rsidRPr="002532DF">
        <w:rPr>
          <w:sz w:val="25"/>
          <w:szCs w:val="25"/>
        </w:rPr>
        <w:t>s</w:t>
      </w:r>
      <w:r w:rsidRPr="002532DF">
        <w:rPr>
          <w:sz w:val="25"/>
          <w:szCs w:val="25"/>
        </w:rPr>
        <w:t xml:space="preserve"> the Commission </w:t>
      </w:r>
      <w:r w:rsidR="00E56A3B" w:rsidRPr="002532DF">
        <w:rPr>
          <w:sz w:val="25"/>
          <w:szCs w:val="25"/>
        </w:rPr>
        <w:t>address</w:t>
      </w:r>
      <w:r w:rsidRPr="002532DF">
        <w:rPr>
          <w:sz w:val="25"/>
          <w:szCs w:val="25"/>
        </w:rPr>
        <w:t xml:space="preserve"> the regulatory asset issue associated with its proposed </w:t>
      </w:r>
      <w:r w:rsidR="00AF585C" w:rsidRPr="002532DF">
        <w:rPr>
          <w:sz w:val="25"/>
          <w:szCs w:val="25"/>
        </w:rPr>
        <w:t xml:space="preserve">transition </w:t>
      </w:r>
      <w:r w:rsidRPr="002532DF">
        <w:rPr>
          <w:sz w:val="25"/>
          <w:szCs w:val="25"/>
        </w:rPr>
        <w:t>to full normalization in its next rate case.</w:t>
      </w:r>
      <w:r w:rsidRPr="002532DF">
        <w:rPr>
          <w:rStyle w:val="FootnoteReference"/>
          <w:sz w:val="25"/>
          <w:szCs w:val="25"/>
        </w:rPr>
        <w:footnoteReference w:id="390"/>
      </w:r>
      <w:r w:rsidRPr="002532DF">
        <w:rPr>
          <w:sz w:val="25"/>
          <w:szCs w:val="25"/>
        </w:rPr>
        <w:t xml:space="preserve">  The change to full income tax normalization, other than the book-tax difference associated with AFUDC equity, reduces the Company’s revenue requirement by </w:t>
      </w:r>
      <w:r w:rsidR="00402013" w:rsidRPr="002532DF">
        <w:rPr>
          <w:sz w:val="25"/>
          <w:szCs w:val="25"/>
        </w:rPr>
        <w:t>$5,</w:t>
      </w:r>
      <w:r w:rsidR="00E27FC1" w:rsidRPr="002532DF">
        <w:rPr>
          <w:sz w:val="25"/>
          <w:szCs w:val="25"/>
        </w:rPr>
        <w:t>967</w:t>
      </w:r>
      <w:r w:rsidR="00402013" w:rsidRPr="002532DF">
        <w:rPr>
          <w:sz w:val="25"/>
          <w:szCs w:val="25"/>
        </w:rPr>
        <w:t>.</w:t>
      </w:r>
      <w:r w:rsidR="00402013" w:rsidRPr="002532DF">
        <w:rPr>
          <w:rStyle w:val="FootnoteReference"/>
          <w:sz w:val="25"/>
          <w:szCs w:val="25"/>
        </w:rPr>
        <w:footnoteReference w:id="391"/>
      </w:r>
      <w:r w:rsidRPr="002532DF">
        <w:rPr>
          <w:sz w:val="25"/>
          <w:szCs w:val="25"/>
        </w:rPr>
        <w:t xml:space="preserve"> </w:t>
      </w:r>
    </w:p>
    <w:p w:rsidR="00EC45A4" w:rsidRPr="002532DF" w:rsidRDefault="00EC45A4" w:rsidP="00817E21">
      <w:pPr>
        <w:spacing w:line="276" w:lineRule="auto"/>
        <w:rPr>
          <w:sz w:val="25"/>
          <w:szCs w:val="25"/>
        </w:rPr>
      </w:pPr>
    </w:p>
    <w:p w:rsidR="00A17BDE" w:rsidRPr="002532DF" w:rsidRDefault="00A17BDE" w:rsidP="00817E21">
      <w:pPr>
        <w:numPr>
          <w:ilvl w:val="0"/>
          <w:numId w:val="1"/>
        </w:numPr>
        <w:tabs>
          <w:tab w:val="clear" w:pos="720"/>
          <w:tab w:val="num" w:pos="0"/>
        </w:tabs>
        <w:spacing w:line="276" w:lineRule="auto"/>
        <w:ind w:left="0"/>
        <w:rPr>
          <w:sz w:val="25"/>
          <w:szCs w:val="25"/>
        </w:rPr>
      </w:pPr>
      <w:r w:rsidRPr="002532DF">
        <w:rPr>
          <w:sz w:val="25"/>
          <w:szCs w:val="25"/>
        </w:rPr>
        <w:t xml:space="preserve">Staff recommends the Commission reject the Company’s proposal </w:t>
      </w:r>
      <w:r w:rsidR="00D236FC">
        <w:rPr>
          <w:sz w:val="25"/>
          <w:szCs w:val="25"/>
        </w:rPr>
        <w:t>because</w:t>
      </w:r>
      <w:r w:rsidR="00244553" w:rsidRPr="002532DF">
        <w:rPr>
          <w:sz w:val="25"/>
          <w:szCs w:val="25"/>
        </w:rPr>
        <w:t xml:space="preserve"> flow-through </w:t>
      </w:r>
      <w:r w:rsidR="00D236FC">
        <w:rPr>
          <w:sz w:val="25"/>
          <w:szCs w:val="25"/>
        </w:rPr>
        <w:t xml:space="preserve">accounting </w:t>
      </w:r>
      <w:r w:rsidR="00244553" w:rsidRPr="002532DF">
        <w:rPr>
          <w:sz w:val="25"/>
          <w:szCs w:val="25"/>
        </w:rPr>
        <w:t>passes the tax benefits to customers as the customer receives them.”</w:t>
      </w:r>
      <w:r w:rsidR="00244553" w:rsidRPr="002532DF">
        <w:rPr>
          <w:rStyle w:val="FootnoteReference"/>
          <w:sz w:val="25"/>
          <w:szCs w:val="25"/>
        </w:rPr>
        <w:footnoteReference w:id="392"/>
      </w:r>
      <w:r w:rsidR="00244553" w:rsidRPr="002532DF">
        <w:rPr>
          <w:sz w:val="25"/>
          <w:szCs w:val="25"/>
        </w:rPr>
        <w:t xml:space="preserve"> </w:t>
      </w:r>
      <w:r w:rsidR="00DF37A7">
        <w:rPr>
          <w:sz w:val="25"/>
          <w:szCs w:val="25"/>
        </w:rPr>
        <w:t xml:space="preserve"> </w:t>
      </w:r>
      <w:r w:rsidR="00244553" w:rsidRPr="002532DF">
        <w:rPr>
          <w:sz w:val="25"/>
          <w:szCs w:val="25"/>
        </w:rPr>
        <w:t>Staff buttresses this position with four arguments.  First, PacifiCorp did not fully address</w:t>
      </w:r>
      <w:r w:rsidRPr="002532DF">
        <w:rPr>
          <w:sz w:val="25"/>
          <w:szCs w:val="25"/>
        </w:rPr>
        <w:t xml:space="preserve"> the impact of full normalization</w:t>
      </w:r>
      <w:r w:rsidR="00244553" w:rsidRPr="002532DF">
        <w:rPr>
          <w:sz w:val="25"/>
          <w:szCs w:val="25"/>
        </w:rPr>
        <w:t xml:space="preserve">, so it </w:t>
      </w:r>
      <w:r w:rsidRPr="002532DF">
        <w:rPr>
          <w:sz w:val="25"/>
          <w:szCs w:val="25"/>
        </w:rPr>
        <w:t>is unknown</w:t>
      </w:r>
      <w:r w:rsidR="00AF585C" w:rsidRPr="002532DF">
        <w:rPr>
          <w:sz w:val="25"/>
          <w:szCs w:val="25"/>
        </w:rPr>
        <w:t xml:space="preserve"> since it</w:t>
      </w:r>
      <w:r w:rsidRPr="002532DF">
        <w:rPr>
          <w:sz w:val="25"/>
          <w:szCs w:val="25"/>
        </w:rPr>
        <w:t xml:space="preserve"> would be considered in its next rate case</w:t>
      </w:r>
      <w:r w:rsidR="00244553" w:rsidRPr="002532DF">
        <w:rPr>
          <w:sz w:val="25"/>
          <w:szCs w:val="25"/>
        </w:rPr>
        <w:t xml:space="preserve">.  Second, PacifiCorp did not demonstrate the overall </w:t>
      </w:r>
      <w:r w:rsidRPr="002532DF">
        <w:rPr>
          <w:sz w:val="25"/>
          <w:szCs w:val="25"/>
        </w:rPr>
        <w:t xml:space="preserve">impact on </w:t>
      </w:r>
      <w:r w:rsidR="007A1375" w:rsidRPr="002532DF">
        <w:rPr>
          <w:sz w:val="25"/>
          <w:szCs w:val="25"/>
        </w:rPr>
        <w:t>ratepayers. Third</w:t>
      </w:r>
      <w:r w:rsidR="00244553" w:rsidRPr="002532DF">
        <w:rPr>
          <w:sz w:val="25"/>
          <w:szCs w:val="25"/>
        </w:rPr>
        <w:t xml:space="preserve">, </w:t>
      </w:r>
      <w:r w:rsidRPr="002532DF">
        <w:rPr>
          <w:sz w:val="25"/>
          <w:szCs w:val="25"/>
        </w:rPr>
        <w:t>adopting full normalization for PacifiCorp could require the Commission to apply the same policy to all companies.</w:t>
      </w:r>
      <w:r w:rsidRPr="002532DF">
        <w:rPr>
          <w:rStyle w:val="FootnoteReference"/>
          <w:sz w:val="25"/>
          <w:szCs w:val="25"/>
        </w:rPr>
        <w:footnoteReference w:id="393"/>
      </w:r>
      <w:r w:rsidRPr="002532DF">
        <w:rPr>
          <w:sz w:val="25"/>
          <w:szCs w:val="25"/>
        </w:rPr>
        <w:t xml:space="preserve"> </w:t>
      </w:r>
      <w:r w:rsidR="00C2040E" w:rsidRPr="002532DF">
        <w:rPr>
          <w:sz w:val="25"/>
          <w:szCs w:val="25"/>
        </w:rPr>
        <w:t xml:space="preserve"> </w:t>
      </w:r>
      <w:r w:rsidR="00244553" w:rsidRPr="002532DF">
        <w:rPr>
          <w:sz w:val="25"/>
          <w:szCs w:val="25"/>
        </w:rPr>
        <w:t xml:space="preserve">Finally, retention of </w:t>
      </w:r>
      <w:r w:rsidR="00E56A3B" w:rsidRPr="002532DF">
        <w:rPr>
          <w:sz w:val="25"/>
          <w:szCs w:val="25"/>
        </w:rPr>
        <w:t xml:space="preserve">partial </w:t>
      </w:r>
      <w:r w:rsidRPr="002532DF">
        <w:rPr>
          <w:sz w:val="25"/>
          <w:szCs w:val="25"/>
        </w:rPr>
        <w:t>flow-through accounting is consistent with prior Commission decisions</w:t>
      </w:r>
      <w:r w:rsidR="00244553" w:rsidRPr="002532DF">
        <w:rPr>
          <w:sz w:val="25"/>
          <w:szCs w:val="25"/>
        </w:rPr>
        <w:t>, two of three of which it cites involve PacifiCorp</w:t>
      </w:r>
      <w:r w:rsidRPr="002532DF">
        <w:rPr>
          <w:sz w:val="25"/>
          <w:szCs w:val="25"/>
        </w:rPr>
        <w:t>.</w:t>
      </w:r>
      <w:r w:rsidRPr="002532DF">
        <w:rPr>
          <w:rStyle w:val="FootnoteReference"/>
          <w:sz w:val="25"/>
          <w:szCs w:val="25"/>
        </w:rPr>
        <w:footnoteReference w:id="394"/>
      </w:r>
      <w:r w:rsidRPr="002532DF">
        <w:rPr>
          <w:sz w:val="25"/>
          <w:szCs w:val="25"/>
        </w:rPr>
        <w:t xml:space="preserve">  Staff’s adjustment reduces the overall revenue requirement by $1,</w:t>
      </w:r>
      <w:r w:rsidR="0003192E" w:rsidRPr="002532DF">
        <w:rPr>
          <w:sz w:val="25"/>
          <w:szCs w:val="25"/>
        </w:rPr>
        <w:t>1</w:t>
      </w:r>
      <w:r w:rsidR="000C4A79" w:rsidRPr="002532DF">
        <w:rPr>
          <w:sz w:val="25"/>
          <w:szCs w:val="25"/>
        </w:rPr>
        <w:t>74,264</w:t>
      </w:r>
      <w:r w:rsidRPr="002532DF">
        <w:rPr>
          <w:sz w:val="25"/>
          <w:szCs w:val="25"/>
        </w:rPr>
        <w:t xml:space="preserve">. </w:t>
      </w:r>
    </w:p>
    <w:p w:rsidR="00EC45A4" w:rsidRPr="002532DF" w:rsidRDefault="00EC45A4" w:rsidP="00817E21">
      <w:pPr>
        <w:spacing w:line="276" w:lineRule="auto"/>
        <w:rPr>
          <w:i/>
          <w:sz w:val="25"/>
          <w:szCs w:val="25"/>
        </w:rPr>
      </w:pPr>
    </w:p>
    <w:p w:rsidR="00A17BDE" w:rsidRPr="002532DF" w:rsidRDefault="00A17BDE" w:rsidP="00027588">
      <w:pPr>
        <w:numPr>
          <w:ilvl w:val="0"/>
          <w:numId w:val="1"/>
        </w:numPr>
        <w:tabs>
          <w:tab w:val="clear" w:pos="720"/>
          <w:tab w:val="num" w:pos="0"/>
        </w:tabs>
        <w:spacing w:line="276" w:lineRule="auto"/>
        <w:ind w:left="0"/>
        <w:rPr>
          <w:sz w:val="25"/>
          <w:szCs w:val="25"/>
        </w:rPr>
      </w:pPr>
      <w:r w:rsidRPr="002532DF">
        <w:rPr>
          <w:sz w:val="25"/>
          <w:szCs w:val="25"/>
        </w:rPr>
        <w:t>In rebuttal, the Company argues that it did provide support for the impact for full normalization</w:t>
      </w:r>
      <w:r w:rsidR="00AD2819" w:rsidRPr="002532DF">
        <w:rPr>
          <w:sz w:val="25"/>
          <w:szCs w:val="25"/>
        </w:rPr>
        <w:t xml:space="preserve"> and</w:t>
      </w:r>
      <w:r w:rsidRPr="002532DF">
        <w:rPr>
          <w:rStyle w:val="FootnoteReference"/>
          <w:sz w:val="25"/>
          <w:szCs w:val="25"/>
        </w:rPr>
        <w:footnoteReference w:id="395"/>
      </w:r>
      <w:r w:rsidRPr="002532DF">
        <w:rPr>
          <w:sz w:val="25"/>
          <w:szCs w:val="25"/>
        </w:rPr>
        <w:t xml:space="preserve"> that it </w:t>
      </w:r>
      <w:r w:rsidR="00AD2819" w:rsidRPr="002532DF">
        <w:rPr>
          <w:sz w:val="25"/>
          <w:szCs w:val="25"/>
        </w:rPr>
        <w:t xml:space="preserve">did </w:t>
      </w:r>
      <w:r w:rsidRPr="002532DF">
        <w:rPr>
          <w:sz w:val="25"/>
          <w:szCs w:val="25"/>
        </w:rPr>
        <w:t>address customer impact</w:t>
      </w:r>
      <w:r w:rsidR="00CD107D" w:rsidRPr="002532DF">
        <w:rPr>
          <w:sz w:val="25"/>
          <w:szCs w:val="25"/>
        </w:rPr>
        <w:t>.  It</w:t>
      </w:r>
      <w:r w:rsidR="00AD2819" w:rsidRPr="002532DF">
        <w:rPr>
          <w:sz w:val="25"/>
          <w:szCs w:val="25"/>
        </w:rPr>
        <w:t xml:space="preserve"> refers to a calculation</w:t>
      </w:r>
      <w:r w:rsidRPr="002532DF">
        <w:rPr>
          <w:sz w:val="25"/>
          <w:szCs w:val="25"/>
        </w:rPr>
        <w:t xml:space="preserve"> in its direct </w:t>
      </w:r>
      <w:r w:rsidR="007A1375" w:rsidRPr="002532DF">
        <w:rPr>
          <w:sz w:val="25"/>
          <w:szCs w:val="25"/>
        </w:rPr>
        <w:t>testimony of</w:t>
      </w:r>
      <w:r w:rsidRPr="002532DF">
        <w:rPr>
          <w:sz w:val="25"/>
          <w:szCs w:val="25"/>
        </w:rPr>
        <w:t xml:space="preserve"> </w:t>
      </w:r>
      <w:r w:rsidR="006E328D" w:rsidRPr="002532DF">
        <w:rPr>
          <w:sz w:val="25"/>
          <w:szCs w:val="25"/>
        </w:rPr>
        <w:t>the</w:t>
      </w:r>
      <w:r w:rsidRPr="002532DF">
        <w:rPr>
          <w:sz w:val="25"/>
          <w:szCs w:val="25"/>
        </w:rPr>
        <w:t xml:space="preserve"> reduction in revenue requirement compared to flow-through accounting.</w:t>
      </w:r>
      <w:r w:rsidRPr="002532DF">
        <w:rPr>
          <w:rStyle w:val="FootnoteReference"/>
          <w:sz w:val="25"/>
          <w:szCs w:val="25"/>
        </w:rPr>
        <w:footnoteReference w:id="396"/>
      </w:r>
      <w:r w:rsidRPr="002532DF">
        <w:rPr>
          <w:sz w:val="25"/>
          <w:szCs w:val="25"/>
        </w:rPr>
        <w:t xml:space="preserve">  The Company counters Staff’s argument that approval of full normalization for PacifiCorp will require application of the same treatment for all companies.  </w:t>
      </w:r>
      <w:r w:rsidR="00741F38" w:rsidRPr="002532DF">
        <w:rPr>
          <w:sz w:val="25"/>
          <w:szCs w:val="25"/>
        </w:rPr>
        <w:t xml:space="preserve">Citing </w:t>
      </w:r>
      <w:r w:rsidRPr="002532DF">
        <w:rPr>
          <w:sz w:val="25"/>
          <w:szCs w:val="25"/>
        </w:rPr>
        <w:t>the same three cases as Staff</w:t>
      </w:r>
      <w:r w:rsidR="00AD2819" w:rsidRPr="002532DF">
        <w:rPr>
          <w:sz w:val="25"/>
          <w:szCs w:val="25"/>
        </w:rPr>
        <w:t>,</w:t>
      </w:r>
      <w:r w:rsidRPr="002532DF">
        <w:rPr>
          <w:sz w:val="25"/>
          <w:szCs w:val="25"/>
        </w:rPr>
        <w:t xml:space="preserve"> </w:t>
      </w:r>
      <w:r w:rsidR="00D63FD5" w:rsidRPr="002532DF">
        <w:rPr>
          <w:sz w:val="25"/>
          <w:szCs w:val="25"/>
        </w:rPr>
        <w:t>it</w:t>
      </w:r>
      <w:r w:rsidRPr="002532DF">
        <w:rPr>
          <w:sz w:val="25"/>
          <w:szCs w:val="25"/>
        </w:rPr>
        <w:t xml:space="preserve"> argues that they are examples of the Commission approving normalization to varying degrees.</w:t>
      </w:r>
      <w:r w:rsidRPr="002532DF">
        <w:rPr>
          <w:rStyle w:val="FootnoteReference"/>
          <w:sz w:val="25"/>
          <w:szCs w:val="25"/>
        </w:rPr>
        <w:footnoteReference w:id="397"/>
      </w:r>
    </w:p>
    <w:p w:rsidR="006E328D" w:rsidRPr="002532DF" w:rsidRDefault="006E328D" w:rsidP="006E328D">
      <w:pPr>
        <w:spacing w:line="276" w:lineRule="auto"/>
        <w:ind w:left="-720"/>
        <w:rPr>
          <w:sz w:val="25"/>
          <w:szCs w:val="25"/>
        </w:rPr>
      </w:pPr>
    </w:p>
    <w:p w:rsidR="006E328D" w:rsidRPr="002532DF" w:rsidRDefault="006E328D" w:rsidP="00027588">
      <w:pPr>
        <w:numPr>
          <w:ilvl w:val="0"/>
          <w:numId w:val="1"/>
        </w:numPr>
        <w:tabs>
          <w:tab w:val="clear" w:pos="720"/>
          <w:tab w:val="num" w:pos="0"/>
        </w:tabs>
        <w:spacing w:line="276" w:lineRule="auto"/>
        <w:ind w:left="0"/>
        <w:rPr>
          <w:sz w:val="25"/>
          <w:szCs w:val="25"/>
        </w:rPr>
      </w:pPr>
      <w:r w:rsidRPr="002532DF">
        <w:rPr>
          <w:sz w:val="25"/>
          <w:szCs w:val="25"/>
        </w:rPr>
        <w:t>In addition, the Company argues that</w:t>
      </w:r>
      <w:r w:rsidR="00B40BEA" w:rsidRPr="002532DF">
        <w:rPr>
          <w:sz w:val="25"/>
          <w:szCs w:val="25"/>
        </w:rPr>
        <w:t xml:space="preserve"> it addressed all the issues it needs to address </w:t>
      </w:r>
      <w:r w:rsidRPr="002532DF">
        <w:rPr>
          <w:sz w:val="25"/>
          <w:szCs w:val="25"/>
        </w:rPr>
        <w:t xml:space="preserve">according to </w:t>
      </w:r>
      <w:r w:rsidR="00AD2819" w:rsidRPr="002532DF">
        <w:rPr>
          <w:sz w:val="25"/>
          <w:szCs w:val="25"/>
        </w:rPr>
        <w:t>standard accounting methods</w:t>
      </w:r>
      <w:r w:rsidRPr="002532DF">
        <w:rPr>
          <w:sz w:val="25"/>
          <w:szCs w:val="25"/>
        </w:rPr>
        <w:t>: (1) the timing of the change; (2) whether the change is retrospective or prospective; and (3) the proper treatment of the flow-through effect from past periods.</w:t>
      </w:r>
      <w:r w:rsidRPr="002532DF">
        <w:rPr>
          <w:rStyle w:val="FootnoteReference"/>
          <w:sz w:val="25"/>
          <w:szCs w:val="25"/>
        </w:rPr>
        <w:footnoteReference w:id="398"/>
      </w:r>
      <w:r w:rsidRPr="002532DF">
        <w:rPr>
          <w:sz w:val="25"/>
          <w:szCs w:val="25"/>
        </w:rPr>
        <w:t xml:space="preserve">  Specifically, the change would take effect in 2011</w:t>
      </w:r>
      <w:r w:rsidR="00AD2819" w:rsidRPr="002532DF">
        <w:rPr>
          <w:sz w:val="25"/>
          <w:szCs w:val="25"/>
        </w:rPr>
        <w:t>.  It</w:t>
      </w:r>
      <w:r w:rsidRPr="002532DF">
        <w:rPr>
          <w:sz w:val="25"/>
          <w:szCs w:val="25"/>
        </w:rPr>
        <w:t xml:space="preserve"> would be prospective, and the income tax effect would be reversed over the same time period as flow-through accounting.  The Company recommends reversing the remaining book-tax differences over a fixed amortization period that would approximate the current time period to result in no net effect on customers.</w:t>
      </w:r>
      <w:r w:rsidRPr="002532DF">
        <w:rPr>
          <w:rStyle w:val="FootnoteReference"/>
          <w:sz w:val="25"/>
          <w:szCs w:val="25"/>
        </w:rPr>
        <w:footnoteReference w:id="399"/>
      </w:r>
    </w:p>
    <w:p w:rsidR="006E328D" w:rsidRPr="002532DF" w:rsidRDefault="006E328D" w:rsidP="006E328D">
      <w:pPr>
        <w:spacing w:line="276" w:lineRule="auto"/>
        <w:ind w:left="-720"/>
        <w:rPr>
          <w:sz w:val="25"/>
          <w:szCs w:val="25"/>
        </w:rPr>
      </w:pPr>
    </w:p>
    <w:p w:rsidR="00EC45A4" w:rsidRPr="002532DF" w:rsidRDefault="00A17BDE" w:rsidP="00027588">
      <w:pPr>
        <w:numPr>
          <w:ilvl w:val="0"/>
          <w:numId w:val="1"/>
        </w:numPr>
        <w:tabs>
          <w:tab w:val="clear" w:pos="720"/>
          <w:tab w:val="num" w:pos="0"/>
        </w:tabs>
        <w:spacing w:line="276" w:lineRule="auto"/>
        <w:ind w:left="0"/>
        <w:rPr>
          <w:sz w:val="25"/>
          <w:szCs w:val="25"/>
        </w:rPr>
      </w:pPr>
      <w:r w:rsidRPr="002532DF">
        <w:rPr>
          <w:sz w:val="25"/>
          <w:szCs w:val="25"/>
        </w:rPr>
        <w:t>In support of its proposal, the Company argues that full normalization should not be prescribed prior to allowing temporary book-tax differences in rates.</w:t>
      </w:r>
      <w:r w:rsidRPr="002532DF">
        <w:rPr>
          <w:rStyle w:val="FootnoteReference"/>
          <w:sz w:val="25"/>
          <w:szCs w:val="25"/>
        </w:rPr>
        <w:footnoteReference w:id="400"/>
      </w:r>
      <w:r w:rsidRPr="002532DF">
        <w:rPr>
          <w:sz w:val="25"/>
          <w:szCs w:val="25"/>
        </w:rPr>
        <w:t xml:space="preserve">  It contends that it is necessary to “freeze and quantify” the flowed-through effects from prior periods for its book-tax differences</w:t>
      </w:r>
      <w:r w:rsidR="00741F38" w:rsidRPr="002532DF">
        <w:rPr>
          <w:sz w:val="25"/>
          <w:szCs w:val="25"/>
        </w:rPr>
        <w:t xml:space="preserve"> for non-fixed assets</w:t>
      </w:r>
      <w:r w:rsidRPr="002532DF">
        <w:rPr>
          <w:sz w:val="25"/>
          <w:szCs w:val="25"/>
        </w:rPr>
        <w:t xml:space="preserve">. </w:t>
      </w:r>
      <w:r w:rsidR="00C2040E" w:rsidRPr="002532DF">
        <w:rPr>
          <w:sz w:val="25"/>
          <w:szCs w:val="25"/>
        </w:rPr>
        <w:t xml:space="preserve"> </w:t>
      </w:r>
      <w:r w:rsidRPr="002532DF">
        <w:rPr>
          <w:sz w:val="25"/>
          <w:szCs w:val="25"/>
        </w:rPr>
        <w:t xml:space="preserve">Citing a regulatory </w:t>
      </w:r>
      <w:r w:rsidR="00AD2819" w:rsidRPr="002532DF">
        <w:rPr>
          <w:sz w:val="25"/>
          <w:szCs w:val="25"/>
        </w:rPr>
        <w:t>“</w:t>
      </w:r>
      <w:r w:rsidRPr="002532DF">
        <w:rPr>
          <w:sz w:val="25"/>
          <w:szCs w:val="25"/>
        </w:rPr>
        <w:t>Catch 22,</w:t>
      </w:r>
      <w:r w:rsidR="00AD2819" w:rsidRPr="002532DF">
        <w:rPr>
          <w:sz w:val="25"/>
          <w:szCs w:val="25"/>
        </w:rPr>
        <w:t>”</w:t>
      </w:r>
      <w:r w:rsidRPr="002532DF">
        <w:rPr>
          <w:sz w:val="25"/>
          <w:szCs w:val="25"/>
        </w:rPr>
        <w:t xml:space="preserve"> PacifiCorp claims it cannot quantify the flowed-through amount and propose an amortization period without Commission authorization to fully normalize and even then not until the close of the 2010 calendar year.</w:t>
      </w:r>
      <w:r w:rsidRPr="002532DF">
        <w:rPr>
          <w:rStyle w:val="FootnoteReference"/>
          <w:sz w:val="25"/>
          <w:szCs w:val="25"/>
        </w:rPr>
        <w:footnoteReference w:id="401"/>
      </w:r>
    </w:p>
    <w:p w:rsidR="00A17BDE" w:rsidRPr="002532DF" w:rsidRDefault="00A17BDE" w:rsidP="00817E21">
      <w:pPr>
        <w:spacing w:line="276" w:lineRule="auto"/>
        <w:rPr>
          <w:sz w:val="25"/>
          <w:szCs w:val="25"/>
        </w:rPr>
      </w:pPr>
    </w:p>
    <w:p w:rsidR="00A17BDE" w:rsidRPr="002532DF" w:rsidRDefault="00A17BDE" w:rsidP="00027588">
      <w:pPr>
        <w:numPr>
          <w:ilvl w:val="0"/>
          <w:numId w:val="1"/>
        </w:numPr>
        <w:tabs>
          <w:tab w:val="clear" w:pos="720"/>
          <w:tab w:val="num" w:pos="0"/>
        </w:tabs>
        <w:spacing w:line="276" w:lineRule="auto"/>
        <w:ind w:left="0"/>
        <w:rPr>
          <w:sz w:val="25"/>
          <w:szCs w:val="25"/>
        </w:rPr>
      </w:pPr>
      <w:r w:rsidRPr="002532DF">
        <w:rPr>
          <w:sz w:val="25"/>
          <w:szCs w:val="25"/>
        </w:rPr>
        <w:t xml:space="preserve">In the alternative, if the Commission finds that additional analysis and discovery is necessary, the Company proposes that the Commission order PacifiCorp to file an accounting application within 30 days from the date of the final order and establish a six-month review period. </w:t>
      </w:r>
    </w:p>
    <w:p w:rsidR="00EC45A4" w:rsidRPr="002532DF" w:rsidRDefault="00EC45A4" w:rsidP="00817E21">
      <w:pPr>
        <w:spacing w:line="276" w:lineRule="auto"/>
        <w:rPr>
          <w:sz w:val="25"/>
          <w:szCs w:val="25"/>
        </w:rPr>
      </w:pPr>
    </w:p>
    <w:p w:rsidR="00A17BDE" w:rsidRPr="002532DF" w:rsidRDefault="00A17BDE" w:rsidP="00027588">
      <w:pPr>
        <w:numPr>
          <w:ilvl w:val="0"/>
          <w:numId w:val="1"/>
        </w:numPr>
        <w:tabs>
          <w:tab w:val="clear" w:pos="720"/>
          <w:tab w:val="num" w:pos="0"/>
        </w:tabs>
        <w:spacing w:line="276" w:lineRule="auto"/>
        <w:ind w:left="0"/>
        <w:rPr>
          <w:sz w:val="25"/>
          <w:szCs w:val="25"/>
        </w:rPr>
      </w:pPr>
      <w:r w:rsidRPr="002532DF">
        <w:rPr>
          <w:sz w:val="25"/>
          <w:szCs w:val="25"/>
        </w:rPr>
        <w:t xml:space="preserve">Finally, </w:t>
      </w:r>
      <w:r w:rsidR="00B40BEA" w:rsidRPr="002532DF">
        <w:rPr>
          <w:sz w:val="25"/>
          <w:szCs w:val="25"/>
        </w:rPr>
        <w:t xml:space="preserve">if the Commission rejects the Company’s proposal to adopt full normalization, </w:t>
      </w:r>
      <w:r w:rsidRPr="002532DF">
        <w:rPr>
          <w:sz w:val="25"/>
          <w:szCs w:val="25"/>
        </w:rPr>
        <w:t xml:space="preserve">the Company argues that Staff’s adjustment to remove the impact of full normalization from the </w:t>
      </w:r>
      <w:r w:rsidRPr="002532DF">
        <w:rPr>
          <w:i/>
          <w:sz w:val="25"/>
          <w:szCs w:val="25"/>
        </w:rPr>
        <w:t>pro forma</w:t>
      </w:r>
      <w:r w:rsidRPr="002532DF">
        <w:rPr>
          <w:sz w:val="25"/>
          <w:szCs w:val="25"/>
        </w:rPr>
        <w:t xml:space="preserve"> financials is incorrect</w:t>
      </w:r>
      <w:r w:rsidR="00AD2819" w:rsidRPr="002532DF">
        <w:rPr>
          <w:sz w:val="25"/>
          <w:szCs w:val="25"/>
        </w:rPr>
        <w:t xml:space="preserve"> for two reasons</w:t>
      </w:r>
      <w:r w:rsidRPr="002532DF">
        <w:rPr>
          <w:sz w:val="25"/>
          <w:szCs w:val="25"/>
        </w:rPr>
        <w:t>.  First, the Company contends that Staff’s adjustment includes the impact of other state income taxes</w:t>
      </w:r>
      <w:r w:rsidR="00AD2819" w:rsidRPr="002532DF">
        <w:rPr>
          <w:sz w:val="25"/>
          <w:szCs w:val="25"/>
        </w:rPr>
        <w:t>.  Second, it</w:t>
      </w:r>
      <w:r w:rsidRPr="002532DF">
        <w:rPr>
          <w:sz w:val="25"/>
          <w:szCs w:val="25"/>
        </w:rPr>
        <w:t xml:space="preserve"> does not exclude </w:t>
      </w:r>
      <w:r w:rsidR="00B40BEA" w:rsidRPr="002532DF">
        <w:rPr>
          <w:sz w:val="25"/>
          <w:szCs w:val="25"/>
        </w:rPr>
        <w:t xml:space="preserve">all </w:t>
      </w:r>
      <w:r w:rsidRPr="002532DF">
        <w:rPr>
          <w:sz w:val="25"/>
          <w:szCs w:val="25"/>
        </w:rPr>
        <w:t>deferred income tax expense and accumulated deferred income taxes for non-property-related book-tax differences that are not required to be normalized.</w:t>
      </w:r>
      <w:r w:rsidRPr="002532DF">
        <w:rPr>
          <w:rStyle w:val="FootnoteReference"/>
          <w:sz w:val="25"/>
          <w:szCs w:val="25"/>
        </w:rPr>
        <w:footnoteReference w:id="402"/>
      </w:r>
      <w:r w:rsidRPr="002532DF">
        <w:rPr>
          <w:sz w:val="25"/>
          <w:szCs w:val="25"/>
        </w:rPr>
        <w:t xml:space="preserve"> </w:t>
      </w:r>
      <w:r w:rsidR="00643835" w:rsidRPr="002532DF">
        <w:rPr>
          <w:sz w:val="25"/>
          <w:szCs w:val="25"/>
        </w:rPr>
        <w:t xml:space="preserve"> The Company argues that Staff does not remove deferred taxes related to certain book-tax differences that it believes are not consistent with the Commission’s regulatory treatment of income taxes on a flow-through basis.</w:t>
      </w:r>
      <w:r w:rsidR="00643835" w:rsidRPr="002532DF">
        <w:rPr>
          <w:rStyle w:val="FootnoteReference"/>
          <w:sz w:val="25"/>
          <w:szCs w:val="25"/>
        </w:rPr>
        <w:footnoteReference w:id="403"/>
      </w:r>
      <w:r w:rsidR="00643835" w:rsidRPr="002532DF">
        <w:rPr>
          <w:sz w:val="25"/>
          <w:szCs w:val="25"/>
        </w:rPr>
        <w:t xml:space="preserve">  The effect of Staff’s inclusion of the deferred taxes is a $6.4 million reduction to rate base.</w:t>
      </w:r>
      <w:r w:rsidR="00643835" w:rsidRPr="002532DF">
        <w:rPr>
          <w:rStyle w:val="FootnoteReference"/>
          <w:sz w:val="25"/>
          <w:szCs w:val="25"/>
        </w:rPr>
        <w:footnoteReference w:id="404"/>
      </w:r>
    </w:p>
    <w:p w:rsidR="003E7B57" w:rsidRPr="002532DF" w:rsidRDefault="003E7B57" w:rsidP="00817E21">
      <w:pPr>
        <w:spacing w:line="276" w:lineRule="auto"/>
        <w:rPr>
          <w:sz w:val="25"/>
          <w:szCs w:val="25"/>
        </w:rPr>
      </w:pPr>
    </w:p>
    <w:p w:rsidR="00A17BDE" w:rsidRPr="002532DF" w:rsidRDefault="00A17BDE" w:rsidP="00027588">
      <w:pPr>
        <w:numPr>
          <w:ilvl w:val="0"/>
          <w:numId w:val="1"/>
        </w:numPr>
        <w:tabs>
          <w:tab w:val="clear" w:pos="720"/>
          <w:tab w:val="num" w:pos="0"/>
        </w:tabs>
        <w:spacing w:line="276" w:lineRule="auto"/>
        <w:ind w:left="0"/>
        <w:rPr>
          <w:sz w:val="25"/>
          <w:szCs w:val="25"/>
        </w:rPr>
      </w:pPr>
      <w:r w:rsidRPr="002532DF">
        <w:rPr>
          <w:sz w:val="25"/>
          <w:szCs w:val="25"/>
        </w:rPr>
        <w:t xml:space="preserve">In supplemental testimony the Company </w:t>
      </w:r>
      <w:r w:rsidR="00AD2819" w:rsidRPr="002532DF">
        <w:rPr>
          <w:sz w:val="25"/>
          <w:szCs w:val="25"/>
        </w:rPr>
        <w:t xml:space="preserve">further </w:t>
      </w:r>
      <w:r w:rsidRPr="002532DF">
        <w:rPr>
          <w:sz w:val="25"/>
          <w:szCs w:val="25"/>
        </w:rPr>
        <w:t>explains that the purpose of its adjustment to remove state income taxes is to recognize that although state taxes are considered a system</w:t>
      </w:r>
      <w:r w:rsidR="00741F38" w:rsidRPr="002532DF">
        <w:rPr>
          <w:sz w:val="25"/>
          <w:szCs w:val="25"/>
        </w:rPr>
        <w:t>-wide</w:t>
      </w:r>
      <w:r w:rsidRPr="002532DF">
        <w:rPr>
          <w:sz w:val="25"/>
          <w:szCs w:val="25"/>
        </w:rPr>
        <w:t xml:space="preserve"> cost, they are not recoverable in Washington.</w:t>
      </w:r>
      <w:r w:rsidRPr="002532DF">
        <w:rPr>
          <w:rStyle w:val="FootnoteReference"/>
          <w:sz w:val="25"/>
          <w:szCs w:val="25"/>
        </w:rPr>
        <w:footnoteReference w:id="405"/>
      </w:r>
      <w:r w:rsidRPr="002532DF">
        <w:rPr>
          <w:sz w:val="25"/>
          <w:szCs w:val="25"/>
        </w:rPr>
        <w:t xml:space="preserve">  The Company also clarifies its proposal to use full normalization accounting for income taxes rather than the current </w:t>
      </w:r>
      <w:r w:rsidR="00B40BEA" w:rsidRPr="002532DF">
        <w:rPr>
          <w:sz w:val="25"/>
          <w:szCs w:val="25"/>
        </w:rPr>
        <w:t xml:space="preserve">partial </w:t>
      </w:r>
      <w:r w:rsidRPr="002532DF">
        <w:rPr>
          <w:sz w:val="25"/>
          <w:szCs w:val="25"/>
        </w:rPr>
        <w:t>flow-through basis a</w:t>
      </w:r>
      <w:r w:rsidR="00B40BEA" w:rsidRPr="002532DF">
        <w:rPr>
          <w:sz w:val="25"/>
          <w:szCs w:val="25"/>
        </w:rPr>
        <w:t xml:space="preserve">dopted </w:t>
      </w:r>
      <w:r w:rsidRPr="002532DF">
        <w:rPr>
          <w:sz w:val="25"/>
          <w:szCs w:val="25"/>
        </w:rPr>
        <w:t xml:space="preserve">by the Commission. </w:t>
      </w:r>
    </w:p>
    <w:p w:rsidR="00EC45A4" w:rsidRPr="002532DF" w:rsidRDefault="00EC45A4" w:rsidP="00817E21">
      <w:pPr>
        <w:spacing w:line="276" w:lineRule="auto"/>
        <w:rPr>
          <w:sz w:val="25"/>
          <w:szCs w:val="25"/>
        </w:rPr>
      </w:pPr>
    </w:p>
    <w:p w:rsidR="00A17BDE" w:rsidRPr="002532DF" w:rsidRDefault="00A17BDE" w:rsidP="00027588">
      <w:pPr>
        <w:numPr>
          <w:ilvl w:val="0"/>
          <w:numId w:val="1"/>
        </w:numPr>
        <w:tabs>
          <w:tab w:val="clear" w:pos="720"/>
          <w:tab w:val="num" w:pos="0"/>
        </w:tabs>
        <w:spacing w:line="276" w:lineRule="auto"/>
        <w:ind w:left="0"/>
        <w:rPr>
          <w:sz w:val="25"/>
          <w:szCs w:val="25"/>
        </w:rPr>
      </w:pPr>
      <w:r w:rsidRPr="002532DF">
        <w:rPr>
          <w:sz w:val="25"/>
          <w:szCs w:val="25"/>
        </w:rPr>
        <w:t>In supplemental responsive testimony, Staff revises its proposed adjustment and states that, with the new more detailed information provided by the Company in its supplemental filing, it was able to “more accurately portray federal income taxes on a Commission basis.</w:t>
      </w:r>
      <w:r w:rsidRPr="002532DF">
        <w:rPr>
          <w:rStyle w:val="FootnoteReference"/>
          <w:sz w:val="25"/>
          <w:szCs w:val="25"/>
        </w:rPr>
        <w:footnoteReference w:id="406"/>
      </w:r>
      <w:r w:rsidRPr="002532DF">
        <w:rPr>
          <w:sz w:val="25"/>
          <w:szCs w:val="25"/>
        </w:rPr>
        <w:t xml:space="preserve">  Staff adjusts the Company’s “per books” income taxes to what it argues is the correct method for ratemaking in Washington; (</w:t>
      </w:r>
      <w:r w:rsidRPr="002532DF">
        <w:rPr>
          <w:i/>
          <w:sz w:val="25"/>
          <w:szCs w:val="25"/>
        </w:rPr>
        <w:t>e.g</w:t>
      </w:r>
      <w:r w:rsidRPr="002532DF">
        <w:rPr>
          <w:sz w:val="25"/>
          <w:szCs w:val="25"/>
        </w:rPr>
        <w:t>., partial flow-through accounting).</w:t>
      </w:r>
      <w:r w:rsidRPr="002532DF">
        <w:rPr>
          <w:rStyle w:val="FootnoteReference"/>
          <w:sz w:val="25"/>
          <w:szCs w:val="25"/>
        </w:rPr>
        <w:footnoteReference w:id="407"/>
      </w:r>
      <w:r w:rsidRPr="002532DF">
        <w:rPr>
          <w:sz w:val="25"/>
          <w:szCs w:val="25"/>
        </w:rPr>
        <w:t xml:space="preserve">  Staff’s revised adjustment results in a $5.4 million rate base reduction, with a $323,865 decrease in income tax expense.</w:t>
      </w:r>
      <w:r w:rsidRPr="002532DF">
        <w:rPr>
          <w:rStyle w:val="FootnoteReference"/>
          <w:sz w:val="25"/>
          <w:szCs w:val="25"/>
        </w:rPr>
        <w:footnoteReference w:id="408"/>
      </w:r>
      <w:r w:rsidRPr="002532DF">
        <w:rPr>
          <w:sz w:val="25"/>
          <w:szCs w:val="25"/>
        </w:rPr>
        <w:t xml:space="preserve"> </w:t>
      </w:r>
    </w:p>
    <w:p w:rsidR="00EC45A4" w:rsidRPr="002532DF" w:rsidRDefault="00EC45A4" w:rsidP="00817E21">
      <w:pPr>
        <w:spacing w:line="276" w:lineRule="auto"/>
        <w:rPr>
          <w:sz w:val="25"/>
          <w:szCs w:val="25"/>
        </w:rPr>
      </w:pPr>
    </w:p>
    <w:p w:rsidR="007449FA" w:rsidRPr="002532DF" w:rsidRDefault="00A17BDE" w:rsidP="00027588">
      <w:pPr>
        <w:numPr>
          <w:ilvl w:val="0"/>
          <w:numId w:val="1"/>
        </w:numPr>
        <w:tabs>
          <w:tab w:val="clear" w:pos="720"/>
          <w:tab w:val="num" w:pos="0"/>
        </w:tabs>
        <w:spacing w:line="276" w:lineRule="auto"/>
        <w:ind w:left="0"/>
        <w:rPr>
          <w:sz w:val="25"/>
          <w:szCs w:val="25"/>
        </w:rPr>
      </w:pPr>
      <w:r w:rsidRPr="002532DF">
        <w:rPr>
          <w:sz w:val="25"/>
          <w:szCs w:val="25"/>
        </w:rPr>
        <w:t xml:space="preserve">In supplemental rebuttal testimony, the Company argues that the Staff revised adjustment is inconsistent with its opposition to the Company’s full normalization proposal.  As evidence, the Company cites the Staff’s use of normalized accounting for book-tax differences not required to be normalized by the Internal Revenue Code </w:t>
      </w:r>
      <w:r w:rsidR="00741F38" w:rsidRPr="002532DF">
        <w:rPr>
          <w:sz w:val="25"/>
          <w:szCs w:val="25"/>
        </w:rPr>
        <w:t xml:space="preserve">as well as </w:t>
      </w:r>
      <w:r w:rsidRPr="002532DF">
        <w:rPr>
          <w:sz w:val="25"/>
          <w:szCs w:val="25"/>
        </w:rPr>
        <w:t xml:space="preserve">the Staff’s normalization of other items not </w:t>
      </w:r>
      <w:r w:rsidR="00741F38" w:rsidRPr="002532DF">
        <w:rPr>
          <w:sz w:val="25"/>
          <w:szCs w:val="25"/>
        </w:rPr>
        <w:t xml:space="preserve">explicitly </w:t>
      </w:r>
      <w:r w:rsidRPr="002532DF">
        <w:rPr>
          <w:sz w:val="25"/>
          <w:szCs w:val="25"/>
        </w:rPr>
        <w:t>approved for normalization accounting by the Commission.</w:t>
      </w:r>
      <w:r w:rsidRPr="002532DF">
        <w:rPr>
          <w:rStyle w:val="FootnoteReference"/>
          <w:sz w:val="25"/>
          <w:szCs w:val="25"/>
        </w:rPr>
        <w:footnoteReference w:id="409"/>
      </w:r>
    </w:p>
    <w:p w:rsidR="003F0CB2" w:rsidRPr="002532DF" w:rsidRDefault="003F0CB2" w:rsidP="003F0CB2">
      <w:pPr>
        <w:spacing w:line="276" w:lineRule="auto"/>
        <w:ind w:left="-720"/>
        <w:rPr>
          <w:sz w:val="25"/>
          <w:szCs w:val="25"/>
        </w:rPr>
      </w:pPr>
    </w:p>
    <w:p w:rsidR="00E95261" w:rsidRPr="002532DF" w:rsidRDefault="00D17347" w:rsidP="00027588">
      <w:pPr>
        <w:numPr>
          <w:ilvl w:val="0"/>
          <w:numId w:val="1"/>
        </w:numPr>
        <w:tabs>
          <w:tab w:val="clear" w:pos="720"/>
          <w:tab w:val="num" w:pos="0"/>
        </w:tabs>
        <w:spacing w:line="276" w:lineRule="auto"/>
        <w:ind w:left="0"/>
        <w:rPr>
          <w:sz w:val="25"/>
          <w:szCs w:val="25"/>
        </w:rPr>
      </w:pPr>
      <w:r w:rsidRPr="002532DF">
        <w:rPr>
          <w:i/>
          <w:sz w:val="25"/>
          <w:szCs w:val="25"/>
        </w:rPr>
        <w:t xml:space="preserve">Commission Decision. </w:t>
      </w:r>
      <w:r w:rsidR="00C2040E" w:rsidRPr="002532DF">
        <w:rPr>
          <w:i/>
          <w:sz w:val="25"/>
          <w:szCs w:val="25"/>
        </w:rPr>
        <w:t xml:space="preserve"> </w:t>
      </w:r>
      <w:r w:rsidR="00AD2819" w:rsidRPr="00152F9C">
        <w:rPr>
          <w:sz w:val="25"/>
          <w:szCs w:val="25"/>
        </w:rPr>
        <w:t>Any</w:t>
      </w:r>
      <w:r w:rsidR="00E95261" w:rsidRPr="00152F9C">
        <w:rPr>
          <w:sz w:val="25"/>
          <w:szCs w:val="25"/>
        </w:rPr>
        <w:t xml:space="preserve"> decision to allow</w:t>
      </w:r>
      <w:r w:rsidR="00E95261" w:rsidRPr="002532DF">
        <w:rPr>
          <w:i/>
          <w:sz w:val="25"/>
          <w:szCs w:val="25"/>
        </w:rPr>
        <w:t xml:space="preserve"> </w:t>
      </w:r>
      <w:r w:rsidR="00E95261" w:rsidRPr="002532DF">
        <w:rPr>
          <w:sz w:val="25"/>
          <w:szCs w:val="25"/>
        </w:rPr>
        <w:t xml:space="preserve">full normalization is a significant policy decision.  </w:t>
      </w:r>
      <w:r w:rsidR="00036CD2" w:rsidRPr="002532DF">
        <w:rPr>
          <w:sz w:val="25"/>
          <w:szCs w:val="25"/>
        </w:rPr>
        <w:t>We have used f</w:t>
      </w:r>
      <w:r w:rsidR="00E95261" w:rsidRPr="002532DF">
        <w:rPr>
          <w:sz w:val="25"/>
          <w:szCs w:val="25"/>
        </w:rPr>
        <w:t xml:space="preserve">low-through accounting for income taxes </w:t>
      </w:r>
      <w:r w:rsidR="00D236FC">
        <w:rPr>
          <w:sz w:val="25"/>
          <w:szCs w:val="25"/>
        </w:rPr>
        <w:t>generally</w:t>
      </w:r>
      <w:r w:rsidR="00036CD2" w:rsidRPr="002532DF">
        <w:rPr>
          <w:sz w:val="25"/>
          <w:szCs w:val="25"/>
        </w:rPr>
        <w:t xml:space="preserve"> since liberalized depreciation was first introduced into tax law.</w:t>
      </w:r>
      <w:r w:rsidR="00036CD2" w:rsidRPr="002532DF">
        <w:rPr>
          <w:rStyle w:val="FootnoteReference"/>
          <w:sz w:val="25"/>
          <w:szCs w:val="25"/>
        </w:rPr>
        <w:footnoteReference w:id="410"/>
      </w:r>
      <w:r w:rsidR="00B47E14" w:rsidRPr="002532DF">
        <w:rPr>
          <w:sz w:val="25"/>
          <w:szCs w:val="25"/>
        </w:rPr>
        <w:t xml:space="preserve">  Thus, we </w:t>
      </w:r>
      <w:r w:rsidR="00AD2819" w:rsidRPr="002532DF">
        <w:rPr>
          <w:sz w:val="25"/>
          <w:szCs w:val="25"/>
        </w:rPr>
        <w:t xml:space="preserve">must </w:t>
      </w:r>
      <w:r w:rsidR="00B47E14" w:rsidRPr="002532DF">
        <w:rPr>
          <w:sz w:val="25"/>
          <w:szCs w:val="25"/>
        </w:rPr>
        <w:t>carefully evaluate the merits of this proposed policy change</w:t>
      </w:r>
      <w:r w:rsidR="00AD2819" w:rsidRPr="002532DF">
        <w:rPr>
          <w:sz w:val="25"/>
          <w:szCs w:val="25"/>
        </w:rPr>
        <w:t xml:space="preserve"> and</w:t>
      </w:r>
      <w:r w:rsidR="00B47E14" w:rsidRPr="002532DF">
        <w:rPr>
          <w:sz w:val="25"/>
          <w:szCs w:val="25"/>
        </w:rPr>
        <w:t xml:space="preserve"> first decide if there is ample evidence in the record to demonstrate that </w:t>
      </w:r>
      <w:r w:rsidR="00741F38" w:rsidRPr="002532DF">
        <w:rPr>
          <w:sz w:val="25"/>
          <w:szCs w:val="25"/>
        </w:rPr>
        <w:t xml:space="preserve">it will not harm </w:t>
      </w:r>
      <w:r w:rsidR="00B47E14" w:rsidRPr="002532DF">
        <w:rPr>
          <w:sz w:val="25"/>
          <w:szCs w:val="25"/>
        </w:rPr>
        <w:t xml:space="preserve">ratepayers and </w:t>
      </w:r>
      <w:r w:rsidR="00741F38" w:rsidRPr="002532DF">
        <w:rPr>
          <w:sz w:val="25"/>
          <w:szCs w:val="25"/>
        </w:rPr>
        <w:t xml:space="preserve">not generate unwarranted revenue for the </w:t>
      </w:r>
      <w:r w:rsidR="00D63FD5" w:rsidRPr="002532DF">
        <w:rPr>
          <w:sz w:val="25"/>
          <w:szCs w:val="25"/>
        </w:rPr>
        <w:t>Company</w:t>
      </w:r>
      <w:r w:rsidR="00B47E14" w:rsidRPr="002532DF">
        <w:rPr>
          <w:sz w:val="25"/>
          <w:szCs w:val="25"/>
        </w:rPr>
        <w:t>.</w:t>
      </w:r>
    </w:p>
    <w:p w:rsidR="00B47E14" w:rsidRPr="002532DF" w:rsidRDefault="00B47E14" w:rsidP="00B47E14">
      <w:pPr>
        <w:spacing w:line="276" w:lineRule="auto"/>
        <w:ind w:left="-720"/>
        <w:rPr>
          <w:sz w:val="25"/>
          <w:szCs w:val="25"/>
        </w:rPr>
      </w:pPr>
    </w:p>
    <w:p w:rsidR="00FB4F1F" w:rsidRPr="002532DF" w:rsidRDefault="00B47E14" w:rsidP="00027588">
      <w:pPr>
        <w:numPr>
          <w:ilvl w:val="0"/>
          <w:numId w:val="1"/>
        </w:numPr>
        <w:tabs>
          <w:tab w:val="clear" w:pos="720"/>
          <w:tab w:val="num" w:pos="0"/>
        </w:tabs>
        <w:spacing w:line="276" w:lineRule="auto"/>
        <w:ind w:left="0"/>
        <w:rPr>
          <w:sz w:val="25"/>
          <w:szCs w:val="25"/>
        </w:rPr>
      </w:pPr>
      <w:r w:rsidRPr="002532DF">
        <w:rPr>
          <w:sz w:val="25"/>
          <w:szCs w:val="25"/>
        </w:rPr>
        <w:t xml:space="preserve">We conclude that PacifiCorp failed to meet its burden </w:t>
      </w:r>
      <w:r w:rsidR="00D236FC">
        <w:rPr>
          <w:sz w:val="25"/>
          <w:szCs w:val="25"/>
        </w:rPr>
        <w:t>to prove</w:t>
      </w:r>
      <w:r w:rsidRPr="002532DF">
        <w:rPr>
          <w:sz w:val="25"/>
          <w:szCs w:val="25"/>
        </w:rPr>
        <w:t xml:space="preserve"> that we should adopt full normalized accounting for income taxes.  </w:t>
      </w:r>
      <w:r w:rsidR="00FB4F1F" w:rsidRPr="002532DF">
        <w:rPr>
          <w:sz w:val="25"/>
          <w:szCs w:val="25"/>
        </w:rPr>
        <w:t>The Company explains that it cannot quantify the flowed-through amount and propose an amortization period without our approval to fully normalize taxes; a situation it explains as a “regulatory Catch-22.”</w:t>
      </w:r>
      <w:r w:rsidR="00FB4F1F" w:rsidRPr="002532DF">
        <w:rPr>
          <w:rStyle w:val="FootnoteReference"/>
          <w:sz w:val="25"/>
          <w:szCs w:val="25"/>
        </w:rPr>
        <w:footnoteReference w:id="411"/>
      </w:r>
      <w:r w:rsidR="00FB4F1F" w:rsidRPr="002532DF">
        <w:rPr>
          <w:sz w:val="25"/>
          <w:szCs w:val="25"/>
        </w:rPr>
        <w:t xml:space="preserve">  We view this issue differently.  </w:t>
      </w:r>
      <w:r w:rsidR="001608FB" w:rsidRPr="002532DF">
        <w:rPr>
          <w:sz w:val="25"/>
          <w:szCs w:val="25"/>
        </w:rPr>
        <w:t xml:space="preserve">The Company, in essence, is asking us to approve a “black box” whose contents would not be revealed until its next general rate case.  </w:t>
      </w:r>
      <w:r w:rsidR="00C62392" w:rsidRPr="002532DF">
        <w:rPr>
          <w:sz w:val="25"/>
          <w:szCs w:val="25"/>
        </w:rPr>
        <w:t xml:space="preserve">That is </w:t>
      </w:r>
      <w:r w:rsidR="00DB3CF3" w:rsidRPr="002532DF">
        <w:rPr>
          <w:sz w:val="25"/>
          <w:szCs w:val="25"/>
        </w:rPr>
        <w:t>unsatisfactory because</w:t>
      </w:r>
      <w:r w:rsidR="001608FB" w:rsidRPr="002532DF">
        <w:rPr>
          <w:sz w:val="25"/>
          <w:szCs w:val="25"/>
        </w:rPr>
        <w:t xml:space="preserve"> it does not provide us with sufficient information to assess the validity of the request</w:t>
      </w:r>
      <w:r w:rsidR="006C7B19" w:rsidRPr="002532DF">
        <w:rPr>
          <w:sz w:val="25"/>
          <w:szCs w:val="25"/>
        </w:rPr>
        <w:t>.</w:t>
      </w:r>
      <w:r w:rsidR="00C82A76">
        <w:rPr>
          <w:sz w:val="25"/>
          <w:szCs w:val="25"/>
        </w:rPr>
        <w:t xml:space="preserve">  T</w:t>
      </w:r>
      <w:r w:rsidR="00D236FC">
        <w:rPr>
          <w:sz w:val="25"/>
          <w:szCs w:val="25"/>
        </w:rPr>
        <w:t>he Company defies logic by arguing that</w:t>
      </w:r>
      <w:r w:rsidR="001608FB" w:rsidRPr="002532DF">
        <w:rPr>
          <w:sz w:val="25"/>
          <w:szCs w:val="25"/>
        </w:rPr>
        <w:t xml:space="preserve"> an accounting-based number remain</w:t>
      </w:r>
      <w:r w:rsidR="00D236FC">
        <w:rPr>
          <w:sz w:val="25"/>
          <w:szCs w:val="25"/>
        </w:rPr>
        <w:t>s</w:t>
      </w:r>
      <w:r w:rsidR="001608FB" w:rsidRPr="002532DF">
        <w:rPr>
          <w:sz w:val="25"/>
          <w:szCs w:val="25"/>
        </w:rPr>
        <w:t xml:space="preserve"> a mystery until we approve the methodology that generates that number.  </w:t>
      </w:r>
      <w:r w:rsidR="00FB4F1F" w:rsidRPr="002532DF">
        <w:rPr>
          <w:sz w:val="25"/>
          <w:szCs w:val="25"/>
        </w:rPr>
        <w:t>Accordingly, we reject PacifiCorp’s proposal to convert to full normalized accounting for income taxes</w:t>
      </w:r>
      <w:r w:rsidR="00C62392" w:rsidRPr="002532DF">
        <w:rPr>
          <w:sz w:val="25"/>
          <w:szCs w:val="25"/>
        </w:rPr>
        <w:t xml:space="preserve"> and adopt Staff’s recommendation to adjust rate base</w:t>
      </w:r>
      <w:r w:rsidR="00D242DB">
        <w:rPr>
          <w:sz w:val="25"/>
          <w:szCs w:val="25"/>
        </w:rPr>
        <w:t>.</w:t>
      </w:r>
      <w:r w:rsidR="00D242DB">
        <w:rPr>
          <w:rStyle w:val="FootnoteReference"/>
          <w:sz w:val="25"/>
          <w:szCs w:val="25"/>
        </w:rPr>
        <w:footnoteReference w:id="412"/>
      </w:r>
    </w:p>
    <w:p w:rsidR="00382E89" w:rsidRPr="002532DF" w:rsidRDefault="00382E89" w:rsidP="00382E89">
      <w:pPr>
        <w:spacing w:line="276" w:lineRule="auto"/>
        <w:ind w:left="-720"/>
        <w:rPr>
          <w:sz w:val="25"/>
          <w:szCs w:val="25"/>
        </w:rPr>
      </w:pPr>
    </w:p>
    <w:p w:rsidR="00E70D5D" w:rsidRPr="002532DF" w:rsidRDefault="00382E89" w:rsidP="00027588">
      <w:pPr>
        <w:numPr>
          <w:ilvl w:val="0"/>
          <w:numId w:val="1"/>
        </w:numPr>
        <w:tabs>
          <w:tab w:val="clear" w:pos="720"/>
          <w:tab w:val="num" w:pos="0"/>
        </w:tabs>
        <w:spacing w:line="276" w:lineRule="auto"/>
        <w:ind w:left="0"/>
        <w:rPr>
          <w:sz w:val="25"/>
          <w:szCs w:val="25"/>
        </w:rPr>
      </w:pPr>
      <w:r w:rsidRPr="002532DF">
        <w:rPr>
          <w:sz w:val="25"/>
          <w:szCs w:val="25"/>
        </w:rPr>
        <w:t xml:space="preserve">Our rejection of full normalization requires an adjustment to rate base.  </w:t>
      </w:r>
      <w:r w:rsidR="006C7B19" w:rsidRPr="002532DF">
        <w:rPr>
          <w:sz w:val="25"/>
          <w:szCs w:val="25"/>
        </w:rPr>
        <w:t>Because the</w:t>
      </w:r>
      <w:r w:rsidRPr="002532DF">
        <w:rPr>
          <w:sz w:val="25"/>
          <w:szCs w:val="25"/>
        </w:rPr>
        <w:t xml:space="preserve"> Company’s case is f</w:t>
      </w:r>
      <w:r w:rsidR="006C1CDE" w:rsidRPr="002532DF">
        <w:rPr>
          <w:sz w:val="25"/>
          <w:szCs w:val="25"/>
        </w:rPr>
        <w:t>iled on a fully-normalized basis</w:t>
      </w:r>
      <w:r w:rsidR="006C7B19" w:rsidRPr="002532DF">
        <w:rPr>
          <w:sz w:val="25"/>
          <w:szCs w:val="25"/>
        </w:rPr>
        <w:t>,</w:t>
      </w:r>
      <w:r w:rsidRPr="002532DF">
        <w:rPr>
          <w:sz w:val="25"/>
          <w:szCs w:val="25"/>
        </w:rPr>
        <w:t xml:space="preserve"> it is necessary to </w:t>
      </w:r>
      <w:r w:rsidR="00C62392" w:rsidRPr="002532DF">
        <w:rPr>
          <w:sz w:val="25"/>
          <w:szCs w:val="25"/>
        </w:rPr>
        <w:t xml:space="preserve">revise </w:t>
      </w:r>
      <w:r w:rsidRPr="002532DF">
        <w:rPr>
          <w:sz w:val="25"/>
          <w:szCs w:val="25"/>
        </w:rPr>
        <w:t xml:space="preserve">the </w:t>
      </w:r>
      <w:r w:rsidR="00E70D5D" w:rsidRPr="002532DF">
        <w:rPr>
          <w:sz w:val="25"/>
          <w:szCs w:val="25"/>
        </w:rPr>
        <w:t xml:space="preserve">accumulated </w:t>
      </w:r>
      <w:r w:rsidRPr="002532DF">
        <w:rPr>
          <w:sz w:val="25"/>
          <w:szCs w:val="25"/>
        </w:rPr>
        <w:t xml:space="preserve">deferred </w:t>
      </w:r>
      <w:r w:rsidR="00573861" w:rsidRPr="002532DF">
        <w:rPr>
          <w:sz w:val="25"/>
          <w:szCs w:val="25"/>
        </w:rPr>
        <w:t xml:space="preserve">income </w:t>
      </w:r>
      <w:r w:rsidRPr="002532DF">
        <w:rPr>
          <w:sz w:val="25"/>
          <w:szCs w:val="25"/>
        </w:rPr>
        <w:t xml:space="preserve">tax </w:t>
      </w:r>
      <w:r w:rsidR="00C62392" w:rsidRPr="002532DF">
        <w:rPr>
          <w:sz w:val="25"/>
          <w:szCs w:val="25"/>
        </w:rPr>
        <w:t xml:space="preserve">(ADIT) </w:t>
      </w:r>
      <w:r w:rsidRPr="002532DF">
        <w:rPr>
          <w:sz w:val="25"/>
          <w:szCs w:val="25"/>
        </w:rPr>
        <w:t>amount</w:t>
      </w:r>
      <w:r w:rsidR="00C62392" w:rsidRPr="002532DF">
        <w:rPr>
          <w:sz w:val="25"/>
          <w:szCs w:val="25"/>
        </w:rPr>
        <w:t xml:space="preserve"> that is included in rate base</w:t>
      </w:r>
      <w:r w:rsidR="00881D03" w:rsidRPr="002532DF">
        <w:rPr>
          <w:sz w:val="25"/>
          <w:szCs w:val="25"/>
        </w:rPr>
        <w:t>.</w:t>
      </w:r>
      <w:r w:rsidR="006A7777" w:rsidRPr="002532DF">
        <w:rPr>
          <w:sz w:val="25"/>
          <w:szCs w:val="25"/>
        </w:rPr>
        <w:t xml:space="preserve"> </w:t>
      </w:r>
      <w:r w:rsidR="00FD2247" w:rsidRPr="002532DF">
        <w:rPr>
          <w:sz w:val="25"/>
          <w:szCs w:val="25"/>
        </w:rPr>
        <w:t xml:space="preserve"> First, we address </w:t>
      </w:r>
      <w:r w:rsidR="006C1CDE" w:rsidRPr="002532DF">
        <w:rPr>
          <w:sz w:val="25"/>
          <w:szCs w:val="25"/>
        </w:rPr>
        <w:t>Staff’s reduction to rate base resulting from removal of $5.4 million of prepaid income taxes from accumulated deferred income taxes.  In support of its adjustment, Staff argues that all non-property items not protected by Internal Revenue Code normalization requirements (or as provided by Commission Order) should be flowed-through.</w:t>
      </w:r>
      <w:r w:rsidR="006C1CDE" w:rsidRPr="002532DF">
        <w:rPr>
          <w:rStyle w:val="FootnoteReference"/>
          <w:sz w:val="25"/>
          <w:szCs w:val="25"/>
        </w:rPr>
        <w:footnoteReference w:id="413"/>
      </w:r>
      <w:r w:rsidR="006C1CDE" w:rsidRPr="002532DF">
        <w:rPr>
          <w:sz w:val="25"/>
          <w:szCs w:val="25"/>
        </w:rPr>
        <w:t xml:space="preserve">  The Company does not contest this adjustment.  </w:t>
      </w:r>
      <w:r w:rsidR="00FD2247" w:rsidRPr="002532DF">
        <w:rPr>
          <w:sz w:val="25"/>
          <w:szCs w:val="25"/>
        </w:rPr>
        <w:t xml:space="preserve">Given our rejection of full normalization, </w:t>
      </w:r>
      <w:r w:rsidR="00AE2C31" w:rsidRPr="002532DF">
        <w:rPr>
          <w:sz w:val="25"/>
          <w:szCs w:val="25"/>
        </w:rPr>
        <w:t xml:space="preserve">we adopt Staff’s recommendation to </w:t>
      </w:r>
      <w:r w:rsidR="006C1CDE" w:rsidRPr="002532DF">
        <w:rPr>
          <w:sz w:val="25"/>
          <w:szCs w:val="25"/>
        </w:rPr>
        <w:t xml:space="preserve">adjust </w:t>
      </w:r>
      <w:r w:rsidR="00FD2247" w:rsidRPr="002532DF">
        <w:rPr>
          <w:sz w:val="25"/>
          <w:szCs w:val="25"/>
        </w:rPr>
        <w:t xml:space="preserve">total accumulated deferred income tax </w:t>
      </w:r>
      <w:r w:rsidR="006C1CDE" w:rsidRPr="002532DF">
        <w:rPr>
          <w:sz w:val="25"/>
          <w:szCs w:val="25"/>
        </w:rPr>
        <w:t>to reflect flow-through accounting.</w:t>
      </w:r>
    </w:p>
    <w:p w:rsidR="00E70D5D" w:rsidRPr="002532DF" w:rsidRDefault="00E70D5D" w:rsidP="00E70D5D">
      <w:pPr>
        <w:spacing w:line="276" w:lineRule="auto"/>
        <w:ind w:left="-720"/>
        <w:rPr>
          <w:sz w:val="25"/>
          <w:szCs w:val="25"/>
        </w:rPr>
      </w:pPr>
    </w:p>
    <w:p w:rsidR="0095090C" w:rsidRPr="002532DF" w:rsidRDefault="00B54E1D" w:rsidP="00027588">
      <w:pPr>
        <w:numPr>
          <w:ilvl w:val="0"/>
          <w:numId w:val="1"/>
        </w:numPr>
        <w:tabs>
          <w:tab w:val="clear" w:pos="720"/>
          <w:tab w:val="num" w:pos="0"/>
        </w:tabs>
        <w:spacing w:line="276" w:lineRule="auto"/>
        <w:ind w:left="0"/>
        <w:rPr>
          <w:sz w:val="25"/>
          <w:szCs w:val="25"/>
        </w:rPr>
      </w:pPr>
      <w:r w:rsidRPr="002532DF">
        <w:rPr>
          <w:sz w:val="25"/>
          <w:szCs w:val="25"/>
        </w:rPr>
        <w:t>Staff propose</w:t>
      </w:r>
      <w:r w:rsidR="006010C0" w:rsidRPr="002532DF">
        <w:rPr>
          <w:sz w:val="25"/>
          <w:szCs w:val="25"/>
        </w:rPr>
        <w:t>s</w:t>
      </w:r>
      <w:r w:rsidRPr="002532DF">
        <w:rPr>
          <w:sz w:val="25"/>
          <w:szCs w:val="25"/>
        </w:rPr>
        <w:t xml:space="preserve"> </w:t>
      </w:r>
      <w:r w:rsidR="006010C0" w:rsidRPr="002532DF">
        <w:rPr>
          <w:sz w:val="25"/>
          <w:szCs w:val="25"/>
        </w:rPr>
        <w:t xml:space="preserve">a </w:t>
      </w:r>
      <w:r w:rsidRPr="002532DF">
        <w:rPr>
          <w:sz w:val="25"/>
          <w:szCs w:val="25"/>
        </w:rPr>
        <w:t xml:space="preserve">$6.4 million reduction to rate base related to deferred taxes the Company contends were flowed-through.  </w:t>
      </w:r>
      <w:r w:rsidR="006010C0" w:rsidRPr="002532DF">
        <w:rPr>
          <w:sz w:val="25"/>
          <w:szCs w:val="25"/>
        </w:rPr>
        <w:t>In its analysis the Company treats the ADIT on these regulatory assets as flow-through and argues we</w:t>
      </w:r>
      <w:r w:rsidRPr="002532DF">
        <w:rPr>
          <w:sz w:val="25"/>
          <w:szCs w:val="25"/>
        </w:rPr>
        <w:t xml:space="preserve"> should reject Staff’s proposal</w:t>
      </w:r>
      <w:r w:rsidR="00AD2819" w:rsidRPr="002532DF">
        <w:rPr>
          <w:sz w:val="25"/>
          <w:szCs w:val="25"/>
        </w:rPr>
        <w:t>,</w:t>
      </w:r>
      <w:r w:rsidRPr="002532DF">
        <w:rPr>
          <w:sz w:val="25"/>
          <w:szCs w:val="25"/>
        </w:rPr>
        <w:t xml:space="preserve"> maintaining that the Commission did not explicitly authorize normalization of the tax benefits.</w:t>
      </w:r>
      <w:r w:rsidRPr="002532DF">
        <w:rPr>
          <w:rStyle w:val="FootnoteReference"/>
          <w:sz w:val="25"/>
          <w:szCs w:val="25"/>
        </w:rPr>
        <w:footnoteReference w:id="414"/>
      </w:r>
      <w:r w:rsidR="0095090C" w:rsidRPr="002532DF">
        <w:rPr>
          <w:sz w:val="25"/>
          <w:szCs w:val="25"/>
        </w:rPr>
        <w:t xml:space="preserve">  The Company contends that absent explicit authorization to normalize, tax benefits must be recognized on a flow-through basis.</w:t>
      </w:r>
      <w:r w:rsidR="0095090C" w:rsidRPr="002532DF">
        <w:rPr>
          <w:rStyle w:val="FootnoteReference"/>
          <w:sz w:val="25"/>
          <w:szCs w:val="25"/>
        </w:rPr>
        <w:footnoteReference w:id="415"/>
      </w:r>
    </w:p>
    <w:p w:rsidR="0095090C" w:rsidRPr="002532DF" w:rsidRDefault="0095090C" w:rsidP="0095090C">
      <w:pPr>
        <w:pStyle w:val="ListParagraph"/>
        <w:rPr>
          <w:sz w:val="25"/>
          <w:szCs w:val="25"/>
        </w:rPr>
      </w:pPr>
    </w:p>
    <w:p w:rsidR="00881D03" w:rsidRPr="002532DF" w:rsidRDefault="0095090C" w:rsidP="00027588">
      <w:pPr>
        <w:numPr>
          <w:ilvl w:val="0"/>
          <w:numId w:val="1"/>
        </w:numPr>
        <w:tabs>
          <w:tab w:val="clear" w:pos="720"/>
          <w:tab w:val="num" w:pos="0"/>
        </w:tabs>
        <w:spacing w:line="276" w:lineRule="auto"/>
        <w:ind w:left="0"/>
        <w:rPr>
          <w:sz w:val="25"/>
          <w:szCs w:val="25"/>
        </w:rPr>
      </w:pPr>
      <w:r w:rsidRPr="002532DF">
        <w:rPr>
          <w:sz w:val="25"/>
          <w:szCs w:val="25"/>
        </w:rPr>
        <w:t xml:space="preserve">We find the Company’s argument lacking.  </w:t>
      </w:r>
      <w:r w:rsidR="00F67833" w:rsidRPr="002532DF">
        <w:rPr>
          <w:sz w:val="25"/>
          <w:szCs w:val="25"/>
        </w:rPr>
        <w:t>T</w:t>
      </w:r>
      <w:r w:rsidR="009C31C5" w:rsidRPr="002532DF">
        <w:rPr>
          <w:sz w:val="25"/>
          <w:szCs w:val="25"/>
        </w:rPr>
        <w:t xml:space="preserve">hese </w:t>
      </w:r>
      <w:r w:rsidR="00E70B76" w:rsidRPr="002532DF">
        <w:rPr>
          <w:sz w:val="25"/>
          <w:szCs w:val="25"/>
        </w:rPr>
        <w:t xml:space="preserve">regulatory </w:t>
      </w:r>
      <w:r w:rsidR="009C31C5" w:rsidRPr="002532DF">
        <w:rPr>
          <w:sz w:val="25"/>
          <w:szCs w:val="25"/>
        </w:rPr>
        <w:t xml:space="preserve">assets were deferred by specific Commission decisions.  </w:t>
      </w:r>
      <w:r w:rsidR="006010C0" w:rsidRPr="002532DF">
        <w:rPr>
          <w:sz w:val="25"/>
          <w:szCs w:val="25"/>
        </w:rPr>
        <w:t xml:space="preserve">This dispute largely concerns the proper deferred tax treatment for the regulatory asset created by the </w:t>
      </w:r>
      <w:r w:rsidR="000E5877" w:rsidRPr="002532DF">
        <w:rPr>
          <w:sz w:val="25"/>
          <w:szCs w:val="25"/>
        </w:rPr>
        <w:t>Chehalis plant</w:t>
      </w:r>
      <w:r w:rsidR="006010C0" w:rsidRPr="002532DF">
        <w:rPr>
          <w:sz w:val="25"/>
          <w:szCs w:val="25"/>
        </w:rPr>
        <w:t>.</w:t>
      </w:r>
      <w:r w:rsidR="000E5877" w:rsidRPr="002532DF">
        <w:rPr>
          <w:sz w:val="25"/>
          <w:szCs w:val="25"/>
        </w:rPr>
        <w:t xml:space="preserve">   </w:t>
      </w:r>
      <w:r w:rsidR="009C31C5" w:rsidRPr="002532DF">
        <w:rPr>
          <w:sz w:val="25"/>
          <w:szCs w:val="25"/>
        </w:rPr>
        <w:t xml:space="preserve">In the Company’s last general rate case, we accepted a settlement that </w:t>
      </w:r>
      <w:r w:rsidR="00AE2C31" w:rsidRPr="002532DF">
        <w:rPr>
          <w:sz w:val="25"/>
          <w:szCs w:val="25"/>
        </w:rPr>
        <w:t>established a regulato</w:t>
      </w:r>
      <w:r w:rsidR="009C31C5" w:rsidRPr="002532DF">
        <w:rPr>
          <w:sz w:val="25"/>
          <w:szCs w:val="25"/>
        </w:rPr>
        <w:t>ry asset for the Chehalis plant.</w:t>
      </w:r>
      <w:r w:rsidR="009C31C5" w:rsidRPr="002532DF">
        <w:rPr>
          <w:rStyle w:val="FootnoteReference"/>
          <w:sz w:val="25"/>
          <w:szCs w:val="25"/>
        </w:rPr>
        <w:footnoteReference w:id="416"/>
      </w:r>
      <w:r w:rsidR="00AE2C31" w:rsidRPr="002532DF">
        <w:rPr>
          <w:sz w:val="25"/>
          <w:szCs w:val="25"/>
        </w:rPr>
        <w:t xml:space="preserve"> </w:t>
      </w:r>
      <w:r w:rsidR="009C31C5" w:rsidRPr="002532DF">
        <w:rPr>
          <w:sz w:val="25"/>
          <w:szCs w:val="25"/>
        </w:rPr>
        <w:t xml:space="preserve"> According to RCW 80.80.060(6) and WAC 480-100-435, the cost of the investment and related taxes are deferred</w:t>
      </w:r>
      <w:r w:rsidR="00D242DB">
        <w:rPr>
          <w:sz w:val="25"/>
          <w:szCs w:val="25"/>
        </w:rPr>
        <w:t>,</w:t>
      </w:r>
      <w:r w:rsidR="009C31C5" w:rsidRPr="002532DF">
        <w:rPr>
          <w:sz w:val="25"/>
          <w:szCs w:val="25"/>
        </w:rPr>
        <w:t xml:space="preserve"> </w:t>
      </w:r>
      <w:r w:rsidR="00B478AF" w:rsidRPr="002532DF">
        <w:rPr>
          <w:sz w:val="25"/>
          <w:szCs w:val="25"/>
        </w:rPr>
        <w:t xml:space="preserve">which we interpret to be </w:t>
      </w:r>
      <w:r w:rsidR="009C31C5" w:rsidRPr="002532DF">
        <w:rPr>
          <w:sz w:val="25"/>
          <w:szCs w:val="25"/>
        </w:rPr>
        <w:t>consistent w</w:t>
      </w:r>
      <w:r w:rsidR="000E5877" w:rsidRPr="002532DF">
        <w:rPr>
          <w:sz w:val="25"/>
          <w:szCs w:val="25"/>
        </w:rPr>
        <w:t xml:space="preserve">ith normalization.  Therefore, we accept Staff’s recommendation to remove $6,404,813 in </w:t>
      </w:r>
      <w:r w:rsidR="00B478AF" w:rsidRPr="002532DF">
        <w:rPr>
          <w:sz w:val="25"/>
          <w:szCs w:val="25"/>
        </w:rPr>
        <w:t>ADIT</w:t>
      </w:r>
      <w:r w:rsidR="000E5877" w:rsidRPr="002532DF">
        <w:rPr>
          <w:sz w:val="25"/>
          <w:szCs w:val="25"/>
        </w:rPr>
        <w:t xml:space="preserve"> from rate base.</w:t>
      </w:r>
      <w:r w:rsidR="000E5877" w:rsidRPr="002532DF">
        <w:rPr>
          <w:rStyle w:val="FootnoteReference"/>
          <w:sz w:val="25"/>
          <w:szCs w:val="25"/>
        </w:rPr>
        <w:footnoteReference w:id="417"/>
      </w:r>
      <w:r w:rsidR="00FD2247" w:rsidRPr="002532DF">
        <w:rPr>
          <w:sz w:val="25"/>
          <w:szCs w:val="25"/>
        </w:rPr>
        <w:t xml:space="preserve"> </w:t>
      </w:r>
    </w:p>
    <w:p w:rsidR="00336DC3" w:rsidRPr="00973B0D" w:rsidRDefault="008568EA" w:rsidP="00973B0D">
      <w:pPr>
        <w:pStyle w:val="Heading4"/>
        <w:ind w:left="1080" w:hanging="360"/>
        <w:rPr>
          <w:rFonts w:ascii="Times New Roman" w:hAnsi="Times New Roman"/>
          <w:sz w:val="25"/>
          <w:szCs w:val="25"/>
        </w:rPr>
      </w:pPr>
      <w:bookmarkStart w:id="68" w:name="_Toc288813759"/>
      <w:r w:rsidRPr="00973B0D">
        <w:rPr>
          <w:rFonts w:ascii="Times New Roman" w:hAnsi="Times New Roman"/>
          <w:sz w:val="25"/>
          <w:szCs w:val="25"/>
        </w:rPr>
        <w:t>4.</w:t>
      </w:r>
      <w:r w:rsidR="00140814" w:rsidRPr="00973B0D">
        <w:rPr>
          <w:rFonts w:ascii="Times New Roman" w:hAnsi="Times New Roman"/>
          <w:sz w:val="25"/>
          <w:szCs w:val="25"/>
        </w:rPr>
        <w:tab/>
      </w:r>
      <w:r w:rsidRPr="00973B0D">
        <w:rPr>
          <w:rFonts w:ascii="Times New Roman" w:hAnsi="Times New Roman"/>
          <w:sz w:val="25"/>
          <w:szCs w:val="25"/>
        </w:rPr>
        <w:t>Interest True-Up</w:t>
      </w:r>
      <w:bookmarkEnd w:id="68"/>
    </w:p>
    <w:p w:rsidR="008568EA" w:rsidRPr="002532DF" w:rsidRDefault="008568EA" w:rsidP="008568EA">
      <w:pPr>
        <w:spacing w:line="276" w:lineRule="auto"/>
        <w:ind w:left="1440"/>
        <w:rPr>
          <w:b/>
          <w:sz w:val="25"/>
          <w:szCs w:val="25"/>
        </w:rPr>
      </w:pPr>
    </w:p>
    <w:p w:rsidR="008568EA" w:rsidRPr="002532DF" w:rsidRDefault="008568EA" w:rsidP="008568EA">
      <w:pPr>
        <w:numPr>
          <w:ilvl w:val="0"/>
          <w:numId w:val="1"/>
        </w:numPr>
        <w:tabs>
          <w:tab w:val="clear" w:pos="720"/>
          <w:tab w:val="num" w:pos="0"/>
        </w:tabs>
        <w:spacing w:line="276" w:lineRule="auto"/>
        <w:ind w:left="0"/>
        <w:rPr>
          <w:sz w:val="25"/>
          <w:szCs w:val="25"/>
        </w:rPr>
      </w:pPr>
      <w:r w:rsidRPr="002532DF">
        <w:rPr>
          <w:sz w:val="25"/>
          <w:szCs w:val="25"/>
        </w:rPr>
        <w:t xml:space="preserve">In this case, all parties calculate the interest true-up adjustment by multiplying the rate base by the weighted cost of debt to determine the </w:t>
      </w:r>
      <w:r w:rsidRPr="002532DF">
        <w:rPr>
          <w:i/>
          <w:sz w:val="25"/>
          <w:szCs w:val="25"/>
        </w:rPr>
        <w:t xml:space="preserve">pro forma </w:t>
      </w:r>
      <w:r w:rsidRPr="002532DF">
        <w:rPr>
          <w:sz w:val="25"/>
          <w:szCs w:val="25"/>
        </w:rPr>
        <w:t>interest expense.</w:t>
      </w:r>
      <w:r w:rsidR="00AD2819" w:rsidRPr="002532DF">
        <w:rPr>
          <w:rStyle w:val="FootnoteReference"/>
          <w:sz w:val="25"/>
          <w:szCs w:val="25"/>
        </w:rPr>
        <w:footnoteReference w:id="418"/>
      </w:r>
      <w:r w:rsidR="00D242DB">
        <w:rPr>
          <w:sz w:val="25"/>
          <w:szCs w:val="25"/>
        </w:rPr>
        <w:t xml:space="preserve">  We approve and adopt this approach for purposes of this case.</w:t>
      </w:r>
    </w:p>
    <w:p w:rsidR="007449FA" w:rsidRPr="002532DF" w:rsidRDefault="00670368" w:rsidP="00C2040E">
      <w:pPr>
        <w:pStyle w:val="Heading3"/>
        <w:ind w:left="720" w:hanging="360"/>
        <w:rPr>
          <w:rFonts w:ascii="Times New Roman" w:hAnsi="Times New Roman"/>
          <w:sz w:val="25"/>
          <w:szCs w:val="25"/>
        </w:rPr>
      </w:pPr>
      <w:bookmarkStart w:id="69" w:name="_Toc288813760"/>
      <w:r w:rsidRPr="002532DF">
        <w:rPr>
          <w:rFonts w:ascii="Times New Roman" w:hAnsi="Times New Roman"/>
          <w:sz w:val="25"/>
          <w:szCs w:val="25"/>
        </w:rPr>
        <w:t>E</w:t>
      </w:r>
      <w:r w:rsidR="007449FA" w:rsidRPr="002532DF">
        <w:rPr>
          <w:rFonts w:ascii="Times New Roman" w:hAnsi="Times New Roman"/>
          <w:sz w:val="25"/>
          <w:szCs w:val="25"/>
        </w:rPr>
        <w:t>.</w:t>
      </w:r>
      <w:r w:rsidR="007449FA" w:rsidRPr="002532DF">
        <w:rPr>
          <w:rFonts w:ascii="Times New Roman" w:hAnsi="Times New Roman"/>
          <w:sz w:val="25"/>
          <w:szCs w:val="25"/>
        </w:rPr>
        <w:tab/>
        <w:t>Rate Base Adjustments</w:t>
      </w:r>
      <w:bookmarkEnd w:id="69"/>
    </w:p>
    <w:p w:rsidR="007449FA" w:rsidRPr="002532DF" w:rsidRDefault="007449FA" w:rsidP="00C2040E">
      <w:pPr>
        <w:pStyle w:val="Heading4"/>
        <w:ind w:left="1080" w:hanging="360"/>
        <w:rPr>
          <w:rFonts w:ascii="Times New Roman" w:hAnsi="Times New Roman"/>
          <w:sz w:val="25"/>
          <w:szCs w:val="25"/>
        </w:rPr>
      </w:pPr>
      <w:bookmarkStart w:id="70" w:name="_Toc288813761"/>
      <w:r w:rsidRPr="002532DF">
        <w:rPr>
          <w:rFonts w:ascii="Times New Roman" w:hAnsi="Times New Roman"/>
          <w:sz w:val="25"/>
          <w:szCs w:val="25"/>
        </w:rPr>
        <w:t>1.</w:t>
      </w:r>
      <w:r w:rsidRPr="002532DF">
        <w:rPr>
          <w:rFonts w:ascii="Times New Roman" w:hAnsi="Times New Roman"/>
          <w:sz w:val="25"/>
          <w:szCs w:val="25"/>
        </w:rPr>
        <w:tab/>
      </w:r>
      <w:r w:rsidR="003B19B0" w:rsidRPr="002532DF">
        <w:rPr>
          <w:rFonts w:ascii="Times New Roman" w:hAnsi="Times New Roman"/>
          <w:sz w:val="25"/>
          <w:szCs w:val="25"/>
        </w:rPr>
        <w:t>Working Capital/</w:t>
      </w:r>
      <w:r w:rsidRPr="002532DF">
        <w:rPr>
          <w:rFonts w:ascii="Times New Roman" w:hAnsi="Times New Roman"/>
          <w:sz w:val="25"/>
          <w:szCs w:val="25"/>
        </w:rPr>
        <w:t>Jim Bridger</w:t>
      </w:r>
      <w:r w:rsidR="003B19B0" w:rsidRPr="002532DF">
        <w:rPr>
          <w:rFonts w:ascii="Times New Roman" w:hAnsi="Times New Roman"/>
          <w:sz w:val="25"/>
          <w:szCs w:val="25"/>
        </w:rPr>
        <w:t xml:space="preserve"> Mine </w:t>
      </w:r>
      <w:r w:rsidRPr="002532DF">
        <w:rPr>
          <w:rFonts w:ascii="Times New Roman" w:hAnsi="Times New Roman"/>
          <w:sz w:val="25"/>
          <w:szCs w:val="25"/>
        </w:rPr>
        <w:t>O &amp; M</w:t>
      </w:r>
      <w:r w:rsidR="003B19B0" w:rsidRPr="002532DF">
        <w:rPr>
          <w:rFonts w:ascii="Times New Roman" w:hAnsi="Times New Roman"/>
          <w:sz w:val="25"/>
          <w:szCs w:val="25"/>
        </w:rPr>
        <w:t>/Current Assets</w:t>
      </w:r>
      <w:bookmarkEnd w:id="70"/>
      <w:r w:rsidRPr="002532DF">
        <w:rPr>
          <w:rFonts w:ascii="Times New Roman" w:hAnsi="Times New Roman"/>
          <w:sz w:val="25"/>
          <w:szCs w:val="25"/>
        </w:rPr>
        <w:t xml:space="preserve"> </w:t>
      </w:r>
    </w:p>
    <w:p w:rsidR="007449FA" w:rsidRPr="002532DF" w:rsidRDefault="007449FA" w:rsidP="00817E21">
      <w:pPr>
        <w:tabs>
          <w:tab w:val="left" w:pos="1440"/>
          <w:tab w:val="left" w:pos="1800"/>
        </w:tabs>
        <w:spacing w:line="276" w:lineRule="auto"/>
        <w:ind w:left="1080"/>
        <w:rPr>
          <w:b/>
          <w:sz w:val="25"/>
          <w:szCs w:val="25"/>
        </w:rPr>
      </w:pPr>
    </w:p>
    <w:p w:rsidR="003D0FF2" w:rsidRPr="002532DF" w:rsidRDefault="00AD2819" w:rsidP="00027588">
      <w:pPr>
        <w:numPr>
          <w:ilvl w:val="0"/>
          <w:numId w:val="1"/>
        </w:numPr>
        <w:tabs>
          <w:tab w:val="clear" w:pos="720"/>
          <w:tab w:val="num" w:pos="0"/>
        </w:tabs>
        <w:spacing w:line="276" w:lineRule="auto"/>
        <w:ind w:left="0"/>
        <w:rPr>
          <w:sz w:val="25"/>
          <w:szCs w:val="25"/>
        </w:rPr>
      </w:pPr>
      <w:r w:rsidRPr="002532DF">
        <w:rPr>
          <w:sz w:val="25"/>
          <w:szCs w:val="25"/>
        </w:rPr>
        <w:t xml:space="preserve"> </w:t>
      </w:r>
      <w:r w:rsidR="003D0FF2" w:rsidRPr="002532DF">
        <w:rPr>
          <w:sz w:val="25"/>
          <w:szCs w:val="25"/>
        </w:rPr>
        <w:t xml:space="preserve">Working capital is a component of rate base that consists of cash and other short-term funds that can be used to finance non-utility plant items such as accounts receivables and certain inventories and supplies.  It also helps finance the lag between billing and collecting for utility services.  The dispute in this case concerns both the selection of a methodology to determine the amount of working capital to include in rate base and how to apply the methodology to a </w:t>
      </w:r>
      <w:r w:rsidR="00D242DB">
        <w:rPr>
          <w:sz w:val="25"/>
          <w:szCs w:val="25"/>
        </w:rPr>
        <w:t>multi</w:t>
      </w:r>
      <w:r w:rsidR="003D0FF2" w:rsidRPr="002532DF">
        <w:rPr>
          <w:sz w:val="25"/>
          <w:szCs w:val="25"/>
        </w:rPr>
        <w:t>-state utility like PacifiCorp.</w:t>
      </w:r>
    </w:p>
    <w:p w:rsidR="003D0FF2" w:rsidRPr="002532DF" w:rsidRDefault="003D0FF2" w:rsidP="003D0FF2">
      <w:pPr>
        <w:spacing w:line="276" w:lineRule="auto"/>
        <w:ind w:left="-720"/>
        <w:rPr>
          <w:sz w:val="25"/>
          <w:szCs w:val="25"/>
        </w:rPr>
      </w:pPr>
    </w:p>
    <w:p w:rsidR="00BA1886" w:rsidRPr="002532DF" w:rsidRDefault="006F1B90" w:rsidP="00027588">
      <w:pPr>
        <w:numPr>
          <w:ilvl w:val="0"/>
          <w:numId w:val="1"/>
        </w:numPr>
        <w:tabs>
          <w:tab w:val="clear" w:pos="720"/>
          <w:tab w:val="num" w:pos="0"/>
        </w:tabs>
        <w:spacing w:line="276" w:lineRule="auto"/>
        <w:ind w:left="0"/>
        <w:rPr>
          <w:sz w:val="25"/>
          <w:szCs w:val="25"/>
        </w:rPr>
      </w:pPr>
      <w:r w:rsidRPr="002532DF">
        <w:rPr>
          <w:i/>
          <w:sz w:val="25"/>
          <w:szCs w:val="25"/>
        </w:rPr>
        <w:t xml:space="preserve">Positions of the Parties.  </w:t>
      </w:r>
      <w:r w:rsidR="00311D29" w:rsidRPr="002532DF">
        <w:rPr>
          <w:sz w:val="25"/>
          <w:szCs w:val="25"/>
        </w:rPr>
        <w:t>T</w:t>
      </w:r>
      <w:r w:rsidR="00BA1886" w:rsidRPr="002532DF">
        <w:rPr>
          <w:sz w:val="25"/>
          <w:szCs w:val="25"/>
        </w:rPr>
        <w:t xml:space="preserve">he Company calculates working capital using the </w:t>
      </w:r>
      <w:r w:rsidR="00442080" w:rsidRPr="002532DF">
        <w:rPr>
          <w:sz w:val="25"/>
          <w:szCs w:val="25"/>
        </w:rPr>
        <w:t>one-eighth</w:t>
      </w:r>
      <w:r w:rsidR="00BA1886" w:rsidRPr="002532DF">
        <w:rPr>
          <w:sz w:val="25"/>
          <w:szCs w:val="25"/>
        </w:rPr>
        <w:t xml:space="preserve"> of Operations &amp; Maintenance (O&amp;M) formula,</w:t>
      </w:r>
      <w:r w:rsidR="00BA1886" w:rsidRPr="002532DF">
        <w:rPr>
          <w:rStyle w:val="FootnoteReference"/>
          <w:sz w:val="25"/>
          <w:szCs w:val="25"/>
        </w:rPr>
        <w:footnoteReference w:id="419"/>
      </w:r>
      <w:r w:rsidR="00BA1886" w:rsidRPr="002532DF">
        <w:rPr>
          <w:sz w:val="25"/>
          <w:szCs w:val="25"/>
        </w:rPr>
        <w:t xml:space="preserve"> an approach commonly referred to as the </w:t>
      </w:r>
      <w:r w:rsidR="00311D29" w:rsidRPr="002532DF">
        <w:rPr>
          <w:sz w:val="25"/>
          <w:szCs w:val="25"/>
        </w:rPr>
        <w:t>“</w:t>
      </w:r>
      <w:r w:rsidR="00BA1886" w:rsidRPr="002532DF">
        <w:rPr>
          <w:sz w:val="25"/>
          <w:szCs w:val="25"/>
        </w:rPr>
        <w:t>formula method</w:t>
      </w:r>
      <w:r w:rsidR="00311D29" w:rsidRPr="002532DF">
        <w:rPr>
          <w:sz w:val="25"/>
          <w:szCs w:val="25"/>
        </w:rPr>
        <w:t>”</w:t>
      </w:r>
      <w:r w:rsidR="00BA1886" w:rsidRPr="002532DF">
        <w:rPr>
          <w:sz w:val="25"/>
          <w:szCs w:val="25"/>
        </w:rPr>
        <w:t xml:space="preserve"> or the 45-day method.  Th</w:t>
      </w:r>
      <w:r w:rsidR="00053AB9" w:rsidRPr="002532DF">
        <w:rPr>
          <w:sz w:val="25"/>
          <w:szCs w:val="25"/>
        </w:rPr>
        <w:t>e</w:t>
      </w:r>
      <w:r w:rsidR="00BA1886" w:rsidRPr="002532DF">
        <w:rPr>
          <w:sz w:val="25"/>
          <w:szCs w:val="25"/>
        </w:rPr>
        <w:t xml:space="preserve"> formula </w:t>
      </w:r>
      <w:r w:rsidR="00053AB9" w:rsidRPr="002532DF">
        <w:rPr>
          <w:sz w:val="25"/>
          <w:szCs w:val="25"/>
        </w:rPr>
        <w:t xml:space="preserve">method </w:t>
      </w:r>
      <w:r w:rsidR="00BA1886" w:rsidRPr="002532DF">
        <w:rPr>
          <w:sz w:val="25"/>
          <w:szCs w:val="25"/>
        </w:rPr>
        <w:t>divides total Washington-allocated normalized O &amp; M expenses, less fuel and purchased power, by eight</w:t>
      </w:r>
      <w:r w:rsidR="00841BF2" w:rsidRPr="002532DF">
        <w:rPr>
          <w:sz w:val="25"/>
          <w:szCs w:val="25"/>
        </w:rPr>
        <w:t xml:space="preserve"> which is the approximate number of 45-day periods within a year.</w:t>
      </w:r>
      <w:r w:rsidR="00BA1886" w:rsidRPr="002532DF">
        <w:rPr>
          <w:rStyle w:val="FootnoteReference"/>
          <w:sz w:val="25"/>
          <w:szCs w:val="25"/>
        </w:rPr>
        <w:footnoteReference w:id="420"/>
      </w:r>
      <w:r w:rsidR="00BA1886" w:rsidRPr="002532DF">
        <w:rPr>
          <w:sz w:val="25"/>
          <w:szCs w:val="25"/>
        </w:rPr>
        <w:t xml:space="preserve">  </w:t>
      </w:r>
      <w:r w:rsidR="00442080" w:rsidRPr="002532DF">
        <w:rPr>
          <w:sz w:val="25"/>
          <w:szCs w:val="25"/>
        </w:rPr>
        <w:t>In effect, this method assumes that a</w:t>
      </w:r>
      <w:r w:rsidR="00333A90" w:rsidRPr="002532DF">
        <w:rPr>
          <w:sz w:val="25"/>
          <w:szCs w:val="25"/>
        </w:rPr>
        <w:t xml:space="preserve"> company always</w:t>
      </w:r>
      <w:r w:rsidR="00442080" w:rsidRPr="002532DF">
        <w:rPr>
          <w:sz w:val="25"/>
          <w:szCs w:val="25"/>
        </w:rPr>
        <w:t xml:space="preserve"> has 45 days worth of working capital in hand.  </w:t>
      </w:r>
      <w:r w:rsidR="00BA1886" w:rsidRPr="002532DF">
        <w:rPr>
          <w:sz w:val="25"/>
          <w:szCs w:val="25"/>
        </w:rPr>
        <w:t>This formula is also used by the BP</w:t>
      </w:r>
      <w:r w:rsidR="00E21F4B">
        <w:rPr>
          <w:sz w:val="25"/>
          <w:szCs w:val="25"/>
        </w:rPr>
        <w:t>A</w:t>
      </w:r>
      <w:r w:rsidR="00BA1886" w:rsidRPr="002532DF">
        <w:rPr>
          <w:sz w:val="25"/>
          <w:szCs w:val="25"/>
        </w:rPr>
        <w:t xml:space="preserve"> in the calculation of average system costs for investor-owned utilities.</w:t>
      </w:r>
      <w:r w:rsidR="00BA1886" w:rsidRPr="002532DF">
        <w:rPr>
          <w:rStyle w:val="FootnoteReference"/>
          <w:sz w:val="25"/>
          <w:szCs w:val="25"/>
        </w:rPr>
        <w:footnoteReference w:id="421"/>
      </w:r>
      <w:r w:rsidR="00BA1886" w:rsidRPr="002532DF">
        <w:rPr>
          <w:sz w:val="25"/>
          <w:szCs w:val="25"/>
        </w:rPr>
        <w:t xml:space="preserve">  Using the formula method, the Company’s working capital is </w:t>
      </w:r>
      <w:r w:rsidR="00C128D8" w:rsidRPr="002532DF">
        <w:rPr>
          <w:sz w:val="25"/>
          <w:szCs w:val="25"/>
        </w:rPr>
        <w:t>approximately $37 million</w:t>
      </w:r>
      <w:r w:rsidR="006637EC" w:rsidRPr="002532DF">
        <w:rPr>
          <w:sz w:val="25"/>
          <w:szCs w:val="25"/>
        </w:rPr>
        <w:t xml:space="preserve">, composed of </w:t>
      </w:r>
      <w:r w:rsidR="000F2C90" w:rsidRPr="002532DF">
        <w:rPr>
          <w:sz w:val="25"/>
          <w:szCs w:val="25"/>
        </w:rPr>
        <w:t>$11.</w:t>
      </w:r>
      <w:r w:rsidR="00C128D8" w:rsidRPr="002532DF">
        <w:rPr>
          <w:sz w:val="25"/>
          <w:szCs w:val="25"/>
        </w:rPr>
        <w:t xml:space="preserve">2 </w:t>
      </w:r>
      <w:r w:rsidR="000F2C90" w:rsidRPr="002532DF">
        <w:rPr>
          <w:sz w:val="25"/>
          <w:szCs w:val="25"/>
        </w:rPr>
        <w:t>million in cash working capital</w:t>
      </w:r>
      <w:r w:rsidR="00442080" w:rsidRPr="002532DF">
        <w:rPr>
          <w:sz w:val="25"/>
          <w:szCs w:val="25"/>
        </w:rPr>
        <w:t>,</w:t>
      </w:r>
      <w:r w:rsidR="000F2C90" w:rsidRPr="002532DF">
        <w:rPr>
          <w:sz w:val="25"/>
          <w:szCs w:val="25"/>
        </w:rPr>
        <w:t xml:space="preserve"> </w:t>
      </w:r>
      <w:r w:rsidR="00A40CA9" w:rsidRPr="002532DF">
        <w:rPr>
          <w:sz w:val="25"/>
          <w:szCs w:val="25"/>
        </w:rPr>
        <w:t>$11.3 million in current assets</w:t>
      </w:r>
      <w:r w:rsidR="00C128D8" w:rsidRPr="002532DF">
        <w:rPr>
          <w:sz w:val="25"/>
          <w:szCs w:val="25"/>
        </w:rPr>
        <w:t xml:space="preserve"> (including </w:t>
      </w:r>
      <w:r w:rsidR="00A40CA9" w:rsidRPr="002532DF">
        <w:rPr>
          <w:sz w:val="25"/>
          <w:szCs w:val="25"/>
        </w:rPr>
        <w:t>$</w:t>
      </w:r>
      <w:r w:rsidR="000F2C90" w:rsidRPr="002532DF">
        <w:rPr>
          <w:sz w:val="25"/>
          <w:szCs w:val="25"/>
        </w:rPr>
        <w:t xml:space="preserve">7.8 </w:t>
      </w:r>
      <w:r w:rsidR="00A40CA9" w:rsidRPr="002532DF">
        <w:rPr>
          <w:sz w:val="25"/>
          <w:szCs w:val="25"/>
        </w:rPr>
        <w:t xml:space="preserve">million in materials and supplies and </w:t>
      </w:r>
      <w:r w:rsidR="000F2C90" w:rsidRPr="002532DF">
        <w:rPr>
          <w:sz w:val="25"/>
          <w:szCs w:val="25"/>
        </w:rPr>
        <w:t xml:space="preserve">$3.5 million in </w:t>
      </w:r>
      <w:r w:rsidR="00A40CA9" w:rsidRPr="002532DF">
        <w:rPr>
          <w:sz w:val="25"/>
          <w:szCs w:val="25"/>
        </w:rPr>
        <w:t>fuel stock</w:t>
      </w:r>
      <w:r w:rsidR="00C128D8" w:rsidRPr="002532DF">
        <w:rPr>
          <w:sz w:val="25"/>
          <w:szCs w:val="25"/>
        </w:rPr>
        <w:t>)</w:t>
      </w:r>
      <w:r w:rsidR="006637EC" w:rsidRPr="002532DF">
        <w:rPr>
          <w:sz w:val="25"/>
          <w:szCs w:val="25"/>
        </w:rPr>
        <w:t>;</w:t>
      </w:r>
      <w:r w:rsidR="00C128D8" w:rsidRPr="002532DF">
        <w:rPr>
          <w:sz w:val="25"/>
          <w:szCs w:val="25"/>
        </w:rPr>
        <w:t xml:space="preserve"> and an additional $4 million in materi</w:t>
      </w:r>
      <w:r w:rsidR="00053AB9" w:rsidRPr="002532DF">
        <w:rPr>
          <w:sz w:val="25"/>
          <w:szCs w:val="25"/>
        </w:rPr>
        <w:t>als and supplies and fuel stock</w:t>
      </w:r>
      <w:r w:rsidR="000F2C90" w:rsidRPr="002532DF">
        <w:rPr>
          <w:sz w:val="25"/>
          <w:szCs w:val="25"/>
        </w:rPr>
        <w:t xml:space="preserve"> related to </w:t>
      </w:r>
      <w:r w:rsidR="00053AB9" w:rsidRPr="002532DF">
        <w:rPr>
          <w:sz w:val="25"/>
          <w:szCs w:val="25"/>
        </w:rPr>
        <w:t>transferring</w:t>
      </w:r>
      <w:r w:rsidR="00C128D8" w:rsidRPr="002532DF">
        <w:rPr>
          <w:sz w:val="25"/>
          <w:szCs w:val="25"/>
        </w:rPr>
        <w:t xml:space="preserve"> </w:t>
      </w:r>
      <w:r w:rsidR="000F2C90" w:rsidRPr="002532DF">
        <w:rPr>
          <w:sz w:val="25"/>
          <w:szCs w:val="25"/>
        </w:rPr>
        <w:t>the Jim Bridger Mine</w:t>
      </w:r>
      <w:r w:rsidR="00C128D8" w:rsidRPr="002532DF">
        <w:rPr>
          <w:sz w:val="25"/>
          <w:szCs w:val="25"/>
        </w:rPr>
        <w:t xml:space="preserve"> to rate base</w:t>
      </w:r>
      <w:r w:rsidR="000F2C90" w:rsidRPr="002532DF">
        <w:rPr>
          <w:sz w:val="25"/>
          <w:szCs w:val="25"/>
        </w:rPr>
        <w:t>.</w:t>
      </w:r>
      <w:r w:rsidR="000F2C90" w:rsidRPr="002532DF">
        <w:rPr>
          <w:rStyle w:val="FootnoteReference"/>
          <w:sz w:val="25"/>
          <w:szCs w:val="25"/>
        </w:rPr>
        <w:footnoteReference w:id="422"/>
      </w:r>
    </w:p>
    <w:p w:rsidR="00EC45A4" w:rsidRPr="002532DF" w:rsidRDefault="00EC45A4" w:rsidP="00817E21">
      <w:pPr>
        <w:spacing w:line="276" w:lineRule="auto"/>
        <w:rPr>
          <w:sz w:val="25"/>
          <w:szCs w:val="25"/>
        </w:rPr>
      </w:pPr>
    </w:p>
    <w:p w:rsidR="009E4D59" w:rsidRPr="002532DF" w:rsidRDefault="00BA1886" w:rsidP="00027588">
      <w:pPr>
        <w:numPr>
          <w:ilvl w:val="0"/>
          <w:numId w:val="1"/>
        </w:numPr>
        <w:tabs>
          <w:tab w:val="clear" w:pos="720"/>
          <w:tab w:val="num" w:pos="0"/>
        </w:tabs>
        <w:spacing w:line="276" w:lineRule="auto"/>
        <w:ind w:left="0"/>
        <w:rPr>
          <w:sz w:val="25"/>
          <w:szCs w:val="25"/>
        </w:rPr>
      </w:pPr>
      <w:r w:rsidRPr="002532DF">
        <w:rPr>
          <w:sz w:val="25"/>
          <w:szCs w:val="25"/>
        </w:rPr>
        <w:t xml:space="preserve">Staff uses the </w:t>
      </w:r>
      <w:r w:rsidR="004C389F" w:rsidRPr="002532DF">
        <w:rPr>
          <w:sz w:val="25"/>
          <w:szCs w:val="25"/>
        </w:rPr>
        <w:t xml:space="preserve">Investor-Supplied Working Capital (ISWC) </w:t>
      </w:r>
      <w:r w:rsidRPr="002532DF">
        <w:rPr>
          <w:sz w:val="25"/>
          <w:szCs w:val="25"/>
        </w:rPr>
        <w:t xml:space="preserve">method to analyze </w:t>
      </w:r>
      <w:r w:rsidR="00D63FD5" w:rsidRPr="002532DF">
        <w:rPr>
          <w:sz w:val="25"/>
          <w:szCs w:val="25"/>
        </w:rPr>
        <w:t>the average</w:t>
      </w:r>
      <w:r w:rsidRPr="002532DF">
        <w:rPr>
          <w:sz w:val="25"/>
          <w:szCs w:val="25"/>
        </w:rPr>
        <w:t xml:space="preserve"> of monthly averages </w:t>
      </w:r>
      <w:r w:rsidR="005D5920" w:rsidRPr="002532DF">
        <w:rPr>
          <w:sz w:val="25"/>
          <w:szCs w:val="25"/>
        </w:rPr>
        <w:t xml:space="preserve">for the test year on the basis of the </w:t>
      </w:r>
      <w:r w:rsidRPr="002532DF">
        <w:rPr>
          <w:sz w:val="25"/>
          <w:szCs w:val="25"/>
        </w:rPr>
        <w:t>total company balance sheet.</w:t>
      </w:r>
      <w:r w:rsidRPr="002532DF">
        <w:rPr>
          <w:rStyle w:val="FootnoteReference"/>
          <w:sz w:val="25"/>
          <w:szCs w:val="25"/>
        </w:rPr>
        <w:footnoteReference w:id="423"/>
      </w:r>
      <w:r w:rsidRPr="002532DF">
        <w:rPr>
          <w:sz w:val="25"/>
          <w:szCs w:val="25"/>
        </w:rPr>
        <w:t xml:space="preserve">  </w:t>
      </w:r>
      <w:r w:rsidR="00CE72D3" w:rsidRPr="002532DF">
        <w:rPr>
          <w:sz w:val="25"/>
          <w:szCs w:val="25"/>
        </w:rPr>
        <w:t>T</w:t>
      </w:r>
      <w:r w:rsidRPr="002532DF">
        <w:rPr>
          <w:sz w:val="25"/>
          <w:szCs w:val="25"/>
        </w:rPr>
        <w:t>he ISWC method</w:t>
      </w:r>
      <w:r w:rsidR="00CE72D3" w:rsidRPr="002532DF">
        <w:rPr>
          <w:sz w:val="25"/>
          <w:szCs w:val="25"/>
        </w:rPr>
        <w:t xml:space="preserve"> is a balance sheet approach of computing working capital; it</w:t>
      </w:r>
      <w:r w:rsidRPr="002532DF">
        <w:rPr>
          <w:sz w:val="25"/>
          <w:szCs w:val="25"/>
        </w:rPr>
        <w:t xml:space="preserve"> is the net difference between current assets and current liabilities</w:t>
      </w:r>
      <w:r w:rsidR="002A6B75" w:rsidRPr="002532DF">
        <w:rPr>
          <w:sz w:val="25"/>
          <w:szCs w:val="25"/>
        </w:rPr>
        <w:t>.</w:t>
      </w:r>
      <w:r w:rsidRPr="002532DF">
        <w:rPr>
          <w:sz w:val="25"/>
          <w:szCs w:val="25"/>
        </w:rPr>
        <w:t xml:space="preserve">  </w:t>
      </w:r>
      <w:r w:rsidR="002A6B75" w:rsidRPr="002532DF">
        <w:rPr>
          <w:sz w:val="25"/>
          <w:szCs w:val="25"/>
        </w:rPr>
        <w:t xml:space="preserve">Staff’s approach involves a detailed analysis of the Company’s assets and liabilities to determine the amount of working capital and takes the further step of determining its source.  In operation, </w:t>
      </w:r>
      <w:r w:rsidRPr="002532DF">
        <w:rPr>
          <w:sz w:val="25"/>
          <w:szCs w:val="25"/>
        </w:rPr>
        <w:t>ISWC limits working capital to the amount provided solely by investors by systematically removing any non-investor provided working capital.</w:t>
      </w:r>
      <w:r w:rsidRPr="002532DF">
        <w:rPr>
          <w:rStyle w:val="FootnoteReference"/>
          <w:sz w:val="25"/>
          <w:szCs w:val="25"/>
        </w:rPr>
        <w:footnoteReference w:id="424"/>
      </w:r>
      <w:r w:rsidRPr="002532DF">
        <w:rPr>
          <w:sz w:val="25"/>
          <w:szCs w:val="25"/>
        </w:rPr>
        <w:t xml:space="preserve">  Staff proposes to remove all working capital, including the individually identified fuel stock and materials and supplies items, because </w:t>
      </w:r>
      <w:r w:rsidR="00442080" w:rsidRPr="002532DF">
        <w:rPr>
          <w:sz w:val="25"/>
          <w:szCs w:val="25"/>
        </w:rPr>
        <w:t>such</w:t>
      </w:r>
      <w:r w:rsidRPr="002532DF">
        <w:rPr>
          <w:sz w:val="25"/>
          <w:szCs w:val="25"/>
        </w:rPr>
        <w:t xml:space="preserve"> working capital is not investor-supplied.</w:t>
      </w:r>
      <w:r w:rsidRPr="002532DF">
        <w:rPr>
          <w:rStyle w:val="FootnoteReference"/>
          <w:sz w:val="25"/>
          <w:szCs w:val="25"/>
        </w:rPr>
        <w:footnoteReference w:id="425"/>
      </w:r>
      <w:r w:rsidRPr="002532DF">
        <w:rPr>
          <w:sz w:val="25"/>
          <w:szCs w:val="25"/>
        </w:rPr>
        <w:t xml:space="preserve">  </w:t>
      </w:r>
      <w:r w:rsidR="00442080" w:rsidRPr="002532DF">
        <w:rPr>
          <w:sz w:val="25"/>
          <w:szCs w:val="25"/>
        </w:rPr>
        <w:t>The result is</w:t>
      </w:r>
      <w:r w:rsidRPr="002532DF">
        <w:rPr>
          <w:sz w:val="25"/>
          <w:szCs w:val="25"/>
        </w:rPr>
        <w:t xml:space="preserve"> working capital </w:t>
      </w:r>
      <w:r w:rsidR="00442080" w:rsidRPr="002532DF">
        <w:rPr>
          <w:sz w:val="25"/>
          <w:szCs w:val="25"/>
        </w:rPr>
        <w:t xml:space="preserve">of a </w:t>
      </w:r>
      <w:r w:rsidRPr="002532DF">
        <w:rPr>
          <w:sz w:val="25"/>
          <w:szCs w:val="25"/>
        </w:rPr>
        <w:t>negative $7.0 million.</w:t>
      </w:r>
      <w:r w:rsidRPr="002532DF">
        <w:rPr>
          <w:rStyle w:val="FootnoteReference"/>
          <w:sz w:val="25"/>
          <w:szCs w:val="25"/>
        </w:rPr>
        <w:footnoteReference w:id="426"/>
      </w:r>
      <w:r w:rsidRPr="002532DF">
        <w:rPr>
          <w:sz w:val="25"/>
          <w:szCs w:val="25"/>
        </w:rPr>
        <w:t xml:space="preserve">  </w:t>
      </w:r>
      <w:r w:rsidR="009E4D59" w:rsidRPr="002532DF">
        <w:rPr>
          <w:sz w:val="25"/>
          <w:szCs w:val="25"/>
        </w:rPr>
        <w:t>Staff criticizes the formula method because it assumes that investors supplied the working capital.</w:t>
      </w:r>
    </w:p>
    <w:p w:rsidR="003B19B0" w:rsidRPr="002532DF" w:rsidRDefault="003B19B0" w:rsidP="003B19B0">
      <w:pPr>
        <w:spacing w:line="276" w:lineRule="auto"/>
        <w:ind w:left="-720"/>
        <w:rPr>
          <w:sz w:val="25"/>
          <w:szCs w:val="25"/>
        </w:rPr>
      </w:pPr>
    </w:p>
    <w:p w:rsidR="003B19B0" w:rsidRPr="002532DF" w:rsidRDefault="003B19B0" w:rsidP="00027588">
      <w:pPr>
        <w:numPr>
          <w:ilvl w:val="0"/>
          <w:numId w:val="1"/>
        </w:numPr>
        <w:tabs>
          <w:tab w:val="clear" w:pos="720"/>
          <w:tab w:val="num" w:pos="0"/>
        </w:tabs>
        <w:spacing w:line="276" w:lineRule="auto"/>
        <w:ind w:left="0"/>
        <w:rPr>
          <w:sz w:val="25"/>
          <w:szCs w:val="25"/>
        </w:rPr>
      </w:pPr>
      <w:r w:rsidRPr="002532DF">
        <w:rPr>
          <w:sz w:val="25"/>
          <w:szCs w:val="25"/>
        </w:rPr>
        <w:t xml:space="preserve">Staff </w:t>
      </w:r>
      <w:r w:rsidR="002A6B75" w:rsidRPr="002532DF">
        <w:rPr>
          <w:sz w:val="25"/>
          <w:szCs w:val="25"/>
        </w:rPr>
        <w:t xml:space="preserve">also </w:t>
      </w:r>
      <w:r w:rsidRPr="002532DF">
        <w:rPr>
          <w:sz w:val="25"/>
          <w:szCs w:val="25"/>
        </w:rPr>
        <w:t xml:space="preserve">opposes the </w:t>
      </w:r>
      <w:r w:rsidR="005D5920" w:rsidRPr="002532DF">
        <w:rPr>
          <w:sz w:val="25"/>
          <w:szCs w:val="25"/>
        </w:rPr>
        <w:t xml:space="preserve">inclusion </w:t>
      </w:r>
      <w:r w:rsidRPr="002532DF">
        <w:rPr>
          <w:sz w:val="25"/>
          <w:szCs w:val="25"/>
        </w:rPr>
        <w:t xml:space="preserve">of the materials and supplies and fuel stock related to the Jim Bridger mine </w:t>
      </w:r>
      <w:r w:rsidR="00CE1FCA" w:rsidRPr="002532DF">
        <w:rPr>
          <w:sz w:val="25"/>
          <w:szCs w:val="25"/>
        </w:rPr>
        <w:t>in</w:t>
      </w:r>
      <w:r w:rsidRPr="002532DF">
        <w:rPr>
          <w:sz w:val="25"/>
          <w:szCs w:val="25"/>
        </w:rPr>
        <w:t xml:space="preserve"> rate base </w:t>
      </w:r>
      <w:r w:rsidR="00CE1FCA" w:rsidRPr="002532DF">
        <w:rPr>
          <w:sz w:val="25"/>
          <w:szCs w:val="25"/>
        </w:rPr>
        <w:t>as</w:t>
      </w:r>
      <w:r w:rsidRPr="002532DF">
        <w:rPr>
          <w:sz w:val="25"/>
          <w:szCs w:val="25"/>
        </w:rPr>
        <w:t xml:space="preserve"> working capital.  </w:t>
      </w:r>
      <w:r w:rsidR="00CE1FCA" w:rsidRPr="002532DF">
        <w:rPr>
          <w:sz w:val="25"/>
          <w:szCs w:val="25"/>
        </w:rPr>
        <w:t>It</w:t>
      </w:r>
      <w:r w:rsidRPr="002532DF">
        <w:rPr>
          <w:sz w:val="25"/>
          <w:szCs w:val="25"/>
        </w:rPr>
        <w:t xml:space="preserve"> argues that because the Company has not provided </w:t>
      </w:r>
      <w:r w:rsidR="002A6B75" w:rsidRPr="002532DF">
        <w:rPr>
          <w:sz w:val="25"/>
          <w:szCs w:val="25"/>
        </w:rPr>
        <w:t>th</w:t>
      </w:r>
      <w:r w:rsidR="00CE1FCA" w:rsidRPr="002532DF">
        <w:rPr>
          <w:sz w:val="25"/>
          <w:szCs w:val="25"/>
        </w:rPr>
        <w:t>at</w:t>
      </w:r>
      <w:r w:rsidR="002A6B75" w:rsidRPr="002532DF">
        <w:rPr>
          <w:sz w:val="25"/>
          <w:szCs w:val="25"/>
        </w:rPr>
        <w:t xml:space="preserve"> </w:t>
      </w:r>
      <w:r w:rsidRPr="002532DF">
        <w:rPr>
          <w:sz w:val="25"/>
          <w:szCs w:val="25"/>
        </w:rPr>
        <w:t xml:space="preserve">working capital, it </w:t>
      </w:r>
      <w:r w:rsidR="00CE1FCA" w:rsidRPr="002532DF">
        <w:rPr>
          <w:sz w:val="25"/>
          <w:szCs w:val="25"/>
        </w:rPr>
        <w:t>should not be included</w:t>
      </w:r>
      <w:r w:rsidRPr="002532DF">
        <w:rPr>
          <w:sz w:val="25"/>
          <w:szCs w:val="25"/>
        </w:rPr>
        <w:t>.</w:t>
      </w:r>
      <w:r w:rsidRPr="002532DF">
        <w:rPr>
          <w:rStyle w:val="FootnoteReference"/>
          <w:sz w:val="25"/>
          <w:szCs w:val="25"/>
        </w:rPr>
        <w:footnoteReference w:id="427"/>
      </w:r>
    </w:p>
    <w:p w:rsidR="00EC45A4" w:rsidRPr="002532DF" w:rsidRDefault="00EC45A4" w:rsidP="00817E21">
      <w:pPr>
        <w:spacing w:line="276" w:lineRule="auto"/>
        <w:rPr>
          <w:sz w:val="25"/>
          <w:szCs w:val="25"/>
        </w:rPr>
      </w:pPr>
    </w:p>
    <w:p w:rsidR="00BA1886" w:rsidRPr="002532DF" w:rsidRDefault="004C389F" w:rsidP="00027588">
      <w:pPr>
        <w:numPr>
          <w:ilvl w:val="0"/>
          <w:numId w:val="1"/>
        </w:numPr>
        <w:tabs>
          <w:tab w:val="clear" w:pos="720"/>
          <w:tab w:val="num" w:pos="0"/>
        </w:tabs>
        <w:spacing w:line="276" w:lineRule="auto"/>
        <w:ind w:left="0"/>
        <w:rPr>
          <w:sz w:val="25"/>
          <w:szCs w:val="25"/>
        </w:rPr>
      </w:pPr>
      <w:r w:rsidRPr="002532DF">
        <w:rPr>
          <w:sz w:val="25"/>
          <w:szCs w:val="25"/>
        </w:rPr>
        <w:t>The Joint Parties support the use of a lead-lag study to compute working capital</w:t>
      </w:r>
      <w:r w:rsidR="00865DD4" w:rsidRPr="002532DF">
        <w:rPr>
          <w:sz w:val="25"/>
          <w:szCs w:val="25"/>
        </w:rPr>
        <w:t xml:space="preserve"> though they did not perform such a study for this case.  Such a </w:t>
      </w:r>
      <w:r w:rsidR="00CE1FCA" w:rsidRPr="002532DF">
        <w:rPr>
          <w:sz w:val="25"/>
          <w:szCs w:val="25"/>
        </w:rPr>
        <w:t>study analyzes who provides the flow of cash necessary to fund day-to-day operations.</w:t>
      </w:r>
      <w:r w:rsidR="00CE1FCA" w:rsidRPr="002532DF">
        <w:rPr>
          <w:rStyle w:val="FootnoteReference"/>
          <w:sz w:val="25"/>
          <w:szCs w:val="25"/>
        </w:rPr>
        <w:footnoteReference w:id="428"/>
      </w:r>
      <w:r w:rsidRPr="002532DF">
        <w:rPr>
          <w:sz w:val="25"/>
          <w:szCs w:val="25"/>
        </w:rPr>
        <w:t xml:space="preserve"> </w:t>
      </w:r>
      <w:r w:rsidR="00CE1FCA" w:rsidRPr="002532DF">
        <w:rPr>
          <w:sz w:val="25"/>
          <w:szCs w:val="25"/>
        </w:rPr>
        <w:t xml:space="preserve"> If a utility must expend cash before the ratepayer pays for utility service, a shareholder provides the cash.  However, if the ratepayer pays for service before the utility needs to pay expenses, </w:t>
      </w:r>
      <w:r w:rsidR="00865DD4" w:rsidRPr="002532DF">
        <w:rPr>
          <w:sz w:val="25"/>
          <w:szCs w:val="25"/>
        </w:rPr>
        <w:t>the ratepayers provide</w:t>
      </w:r>
      <w:r w:rsidR="00E67D1F" w:rsidRPr="002532DF">
        <w:rPr>
          <w:sz w:val="25"/>
          <w:szCs w:val="25"/>
        </w:rPr>
        <w:t>s</w:t>
      </w:r>
      <w:r w:rsidR="00865DD4" w:rsidRPr="002532DF">
        <w:rPr>
          <w:sz w:val="25"/>
          <w:szCs w:val="25"/>
        </w:rPr>
        <w:t xml:space="preserve"> the cash</w:t>
      </w:r>
      <w:r w:rsidR="00CE1FCA" w:rsidRPr="002532DF">
        <w:rPr>
          <w:sz w:val="25"/>
          <w:szCs w:val="25"/>
        </w:rPr>
        <w:t xml:space="preserve">.  </w:t>
      </w:r>
      <w:r w:rsidRPr="002532DF">
        <w:rPr>
          <w:sz w:val="25"/>
          <w:szCs w:val="25"/>
        </w:rPr>
        <w:t>They argue that a lead-lag study provides an adjustment to rate base allowing a utility to earn a return on the amount of cash necessary for operations that is supported by capital on which investors are entitled to a return.</w:t>
      </w:r>
      <w:r w:rsidRPr="002532DF">
        <w:rPr>
          <w:rStyle w:val="FootnoteReference"/>
          <w:sz w:val="25"/>
          <w:szCs w:val="25"/>
        </w:rPr>
        <w:footnoteReference w:id="429"/>
      </w:r>
      <w:r w:rsidRPr="002532DF">
        <w:rPr>
          <w:sz w:val="25"/>
          <w:szCs w:val="25"/>
        </w:rPr>
        <w:t xml:space="preserve">  </w:t>
      </w:r>
      <w:r w:rsidR="00BA1886" w:rsidRPr="002532DF">
        <w:rPr>
          <w:sz w:val="25"/>
          <w:szCs w:val="25"/>
        </w:rPr>
        <w:t>They contend that electric utilities generally have negative working capital when a properly calculated lead-lag study is performed.</w:t>
      </w:r>
      <w:r w:rsidR="00BA1886" w:rsidRPr="002532DF">
        <w:rPr>
          <w:rStyle w:val="FootnoteReference"/>
          <w:sz w:val="25"/>
          <w:szCs w:val="25"/>
        </w:rPr>
        <w:footnoteReference w:id="430"/>
      </w:r>
      <w:r w:rsidR="00BA1886" w:rsidRPr="002532DF">
        <w:rPr>
          <w:sz w:val="25"/>
          <w:szCs w:val="25"/>
        </w:rPr>
        <w:t xml:space="preserve"> </w:t>
      </w:r>
      <w:r w:rsidRPr="002532DF">
        <w:rPr>
          <w:sz w:val="25"/>
          <w:szCs w:val="25"/>
        </w:rPr>
        <w:t xml:space="preserve"> The Joint Parties c</w:t>
      </w:r>
      <w:r w:rsidR="002A6B75" w:rsidRPr="002532DF">
        <w:rPr>
          <w:sz w:val="25"/>
          <w:szCs w:val="25"/>
        </w:rPr>
        <w:t xml:space="preserve">riticize </w:t>
      </w:r>
      <w:r w:rsidRPr="002532DF">
        <w:rPr>
          <w:sz w:val="25"/>
          <w:szCs w:val="25"/>
        </w:rPr>
        <w:t xml:space="preserve">the Company’s formula method </w:t>
      </w:r>
      <w:r w:rsidR="002A6B75" w:rsidRPr="002532DF">
        <w:rPr>
          <w:sz w:val="25"/>
          <w:szCs w:val="25"/>
        </w:rPr>
        <w:t xml:space="preserve">because it </w:t>
      </w:r>
      <w:r w:rsidRPr="002532DF">
        <w:rPr>
          <w:sz w:val="25"/>
          <w:szCs w:val="25"/>
        </w:rPr>
        <w:t>assumes that a utility has a 45-day revenue lag and zero expense lag which can only produce a positive working capital amount.</w:t>
      </w:r>
      <w:r w:rsidRPr="002532DF">
        <w:rPr>
          <w:rStyle w:val="FootnoteReference"/>
          <w:sz w:val="25"/>
          <w:szCs w:val="25"/>
        </w:rPr>
        <w:t xml:space="preserve"> </w:t>
      </w:r>
      <w:r w:rsidRPr="002532DF">
        <w:rPr>
          <w:rStyle w:val="FootnoteReference"/>
          <w:sz w:val="25"/>
          <w:szCs w:val="25"/>
        </w:rPr>
        <w:footnoteReference w:id="431"/>
      </w:r>
      <w:r w:rsidRPr="002532DF">
        <w:rPr>
          <w:sz w:val="25"/>
          <w:szCs w:val="25"/>
        </w:rPr>
        <w:t xml:space="preserve">  Like Staff, the Joint Parties recommend that no working capital be allowed in rate base.</w:t>
      </w:r>
      <w:r w:rsidRPr="002532DF">
        <w:rPr>
          <w:rStyle w:val="FootnoteReference"/>
          <w:sz w:val="25"/>
          <w:szCs w:val="25"/>
        </w:rPr>
        <w:footnoteReference w:id="432"/>
      </w:r>
      <w:r w:rsidRPr="002532DF">
        <w:rPr>
          <w:sz w:val="25"/>
          <w:szCs w:val="25"/>
        </w:rPr>
        <w:t xml:space="preserve"> </w:t>
      </w:r>
      <w:r w:rsidR="00BA1886" w:rsidRPr="002532DF">
        <w:rPr>
          <w:sz w:val="25"/>
          <w:szCs w:val="25"/>
        </w:rPr>
        <w:t xml:space="preserve"> </w:t>
      </w:r>
    </w:p>
    <w:p w:rsidR="00EC45A4" w:rsidRPr="002532DF" w:rsidRDefault="00EC45A4" w:rsidP="00817E21">
      <w:pPr>
        <w:spacing w:line="276" w:lineRule="auto"/>
        <w:rPr>
          <w:sz w:val="25"/>
          <w:szCs w:val="25"/>
        </w:rPr>
      </w:pPr>
    </w:p>
    <w:p w:rsidR="00BA1886" w:rsidRPr="002532DF" w:rsidRDefault="00BA1886" w:rsidP="00027588">
      <w:pPr>
        <w:numPr>
          <w:ilvl w:val="0"/>
          <w:numId w:val="1"/>
        </w:numPr>
        <w:tabs>
          <w:tab w:val="clear" w:pos="720"/>
          <w:tab w:val="num" w:pos="0"/>
        </w:tabs>
        <w:spacing w:line="276" w:lineRule="auto"/>
        <w:ind w:left="0"/>
        <w:rPr>
          <w:sz w:val="25"/>
          <w:szCs w:val="25"/>
        </w:rPr>
      </w:pPr>
      <w:r w:rsidRPr="002532DF">
        <w:rPr>
          <w:sz w:val="25"/>
          <w:szCs w:val="25"/>
        </w:rPr>
        <w:t xml:space="preserve">In rebuttal, PacifiCorp argues that Staff is using essentially the same </w:t>
      </w:r>
      <w:r w:rsidR="005D5920" w:rsidRPr="002532DF">
        <w:rPr>
          <w:sz w:val="25"/>
          <w:szCs w:val="25"/>
        </w:rPr>
        <w:t xml:space="preserve">allocation </w:t>
      </w:r>
      <w:r w:rsidRPr="002532DF">
        <w:rPr>
          <w:sz w:val="25"/>
          <w:szCs w:val="25"/>
        </w:rPr>
        <w:t>method</w:t>
      </w:r>
      <w:r w:rsidR="005D5920" w:rsidRPr="002532DF">
        <w:rPr>
          <w:sz w:val="25"/>
          <w:szCs w:val="25"/>
        </w:rPr>
        <w:t>ology</w:t>
      </w:r>
      <w:r w:rsidRPr="002532DF">
        <w:rPr>
          <w:sz w:val="25"/>
          <w:szCs w:val="25"/>
        </w:rPr>
        <w:t xml:space="preserve"> that the Commission rejected in its last litigated general rate case.</w:t>
      </w:r>
      <w:r w:rsidRPr="002532DF">
        <w:rPr>
          <w:rStyle w:val="FootnoteReference"/>
          <w:sz w:val="25"/>
          <w:szCs w:val="25"/>
        </w:rPr>
        <w:footnoteReference w:id="433"/>
      </w:r>
      <w:r w:rsidRPr="002532DF">
        <w:rPr>
          <w:sz w:val="25"/>
          <w:szCs w:val="25"/>
        </w:rPr>
        <w:t xml:space="preserve">  The Company contends that Staff’s use of a total company approach in its analys</w:t>
      </w:r>
      <w:r w:rsidR="00B07EA9" w:rsidRPr="002532DF">
        <w:rPr>
          <w:sz w:val="25"/>
          <w:szCs w:val="25"/>
        </w:rPr>
        <w:t>i</w:t>
      </w:r>
      <w:r w:rsidRPr="002532DF">
        <w:rPr>
          <w:sz w:val="25"/>
          <w:szCs w:val="25"/>
        </w:rPr>
        <w:t>s of working capital fails because it includes significant Company investments not allocated to Washington under the WCA</w:t>
      </w:r>
      <w:r w:rsidR="004C389F" w:rsidRPr="002532DF">
        <w:rPr>
          <w:sz w:val="25"/>
          <w:szCs w:val="25"/>
        </w:rPr>
        <w:t xml:space="preserve"> </w:t>
      </w:r>
      <w:r w:rsidRPr="002532DF">
        <w:rPr>
          <w:sz w:val="25"/>
          <w:szCs w:val="25"/>
        </w:rPr>
        <w:t>allocation methodology.</w:t>
      </w:r>
      <w:r w:rsidRPr="002532DF">
        <w:rPr>
          <w:rStyle w:val="FootnoteReference"/>
          <w:sz w:val="25"/>
          <w:szCs w:val="25"/>
        </w:rPr>
        <w:footnoteReference w:id="434"/>
      </w:r>
      <w:r w:rsidRPr="002532DF">
        <w:rPr>
          <w:sz w:val="25"/>
          <w:szCs w:val="25"/>
        </w:rPr>
        <w:t xml:space="preserve">  </w:t>
      </w:r>
      <w:r w:rsidR="00B50319" w:rsidRPr="002532DF">
        <w:rPr>
          <w:sz w:val="25"/>
          <w:szCs w:val="25"/>
        </w:rPr>
        <w:t xml:space="preserve">In addition, it opposes Staff’s </w:t>
      </w:r>
      <w:r w:rsidR="00C173FB" w:rsidRPr="002532DF">
        <w:rPr>
          <w:sz w:val="25"/>
          <w:szCs w:val="25"/>
        </w:rPr>
        <w:t xml:space="preserve">rate base </w:t>
      </w:r>
      <w:r w:rsidR="00B50319" w:rsidRPr="002532DF">
        <w:rPr>
          <w:sz w:val="25"/>
          <w:szCs w:val="25"/>
        </w:rPr>
        <w:t xml:space="preserve">removal of </w:t>
      </w:r>
      <w:r w:rsidR="00C173FB" w:rsidRPr="002532DF">
        <w:rPr>
          <w:sz w:val="25"/>
          <w:szCs w:val="25"/>
        </w:rPr>
        <w:t>materials and supplies and fuel stock arguing that those items are necessary to maintain generation, transmission, and distribution functions and provide service to customers.</w:t>
      </w:r>
      <w:r w:rsidR="00C173FB" w:rsidRPr="002532DF">
        <w:rPr>
          <w:rStyle w:val="FootnoteReference"/>
          <w:sz w:val="25"/>
          <w:szCs w:val="25"/>
        </w:rPr>
        <w:footnoteReference w:id="435"/>
      </w:r>
      <w:r w:rsidR="00B50319" w:rsidRPr="002532DF">
        <w:rPr>
          <w:sz w:val="25"/>
          <w:szCs w:val="25"/>
        </w:rPr>
        <w:t xml:space="preserve"> </w:t>
      </w:r>
      <w:r w:rsidR="003B19B0" w:rsidRPr="002532DF">
        <w:rPr>
          <w:sz w:val="25"/>
          <w:szCs w:val="25"/>
        </w:rPr>
        <w:t xml:space="preserve"> </w:t>
      </w:r>
    </w:p>
    <w:p w:rsidR="00EC45A4" w:rsidRPr="002532DF" w:rsidRDefault="00EC45A4" w:rsidP="00817E21">
      <w:pPr>
        <w:spacing w:line="276" w:lineRule="auto"/>
        <w:rPr>
          <w:sz w:val="25"/>
          <w:szCs w:val="25"/>
        </w:rPr>
      </w:pPr>
    </w:p>
    <w:p w:rsidR="00D02803" w:rsidRPr="002532DF" w:rsidRDefault="00BA1886" w:rsidP="00027588">
      <w:pPr>
        <w:numPr>
          <w:ilvl w:val="0"/>
          <w:numId w:val="1"/>
        </w:numPr>
        <w:tabs>
          <w:tab w:val="clear" w:pos="720"/>
          <w:tab w:val="num" w:pos="0"/>
        </w:tabs>
        <w:spacing w:line="276" w:lineRule="auto"/>
        <w:ind w:left="0"/>
        <w:rPr>
          <w:sz w:val="25"/>
          <w:szCs w:val="25"/>
        </w:rPr>
      </w:pPr>
      <w:r w:rsidRPr="002532DF">
        <w:rPr>
          <w:sz w:val="25"/>
          <w:szCs w:val="25"/>
        </w:rPr>
        <w:t>The Company argues that the Joint Parties’ proposed adjustment to working capital lacks “any valid basis</w:t>
      </w:r>
      <w:r w:rsidR="00865DD4" w:rsidRPr="002532DF">
        <w:rPr>
          <w:sz w:val="25"/>
          <w:szCs w:val="25"/>
        </w:rPr>
        <w:t>.</w:t>
      </w:r>
      <w:r w:rsidRPr="002532DF">
        <w:rPr>
          <w:sz w:val="25"/>
          <w:szCs w:val="25"/>
        </w:rPr>
        <w:t>”</w:t>
      </w:r>
      <w:r w:rsidRPr="002532DF">
        <w:rPr>
          <w:rStyle w:val="FootnoteReference"/>
          <w:sz w:val="25"/>
          <w:szCs w:val="25"/>
        </w:rPr>
        <w:footnoteReference w:id="436"/>
      </w:r>
      <w:r w:rsidRPr="002532DF">
        <w:rPr>
          <w:sz w:val="25"/>
          <w:szCs w:val="25"/>
        </w:rPr>
        <w:t xml:space="preserve">  The Company </w:t>
      </w:r>
      <w:r w:rsidR="00B07EA9" w:rsidRPr="002532DF">
        <w:rPr>
          <w:sz w:val="25"/>
          <w:szCs w:val="25"/>
        </w:rPr>
        <w:t xml:space="preserve">notes that Joint Parties do not present </w:t>
      </w:r>
      <w:r w:rsidRPr="002532DF">
        <w:rPr>
          <w:sz w:val="25"/>
          <w:szCs w:val="25"/>
          <w:lang w:bidi="en-US"/>
        </w:rPr>
        <w:t>a lead-lag study and primarily rely on their witness’</w:t>
      </w:r>
      <w:r w:rsidRPr="002532DF">
        <w:rPr>
          <w:sz w:val="25"/>
          <w:szCs w:val="25"/>
        </w:rPr>
        <w:t xml:space="preserve"> </w:t>
      </w:r>
      <w:r w:rsidRPr="002532DF">
        <w:rPr>
          <w:sz w:val="25"/>
          <w:szCs w:val="25"/>
          <w:lang w:bidi="en-US"/>
        </w:rPr>
        <w:t xml:space="preserve">experience that </w:t>
      </w:r>
      <w:r w:rsidRPr="002532DF">
        <w:rPr>
          <w:sz w:val="25"/>
          <w:szCs w:val="25"/>
        </w:rPr>
        <w:t xml:space="preserve">lead-lag studies for </w:t>
      </w:r>
      <w:r w:rsidRPr="002532DF">
        <w:rPr>
          <w:sz w:val="25"/>
          <w:szCs w:val="25"/>
          <w:lang w:bidi="en-US"/>
        </w:rPr>
        <w:t>electric utilities</w:t>
      </w:r>
      <w:r w:rsidRPr="002532DF">
        <w:rPr>
          <w:sz w:val="25"/>
          <w:szCs w:val="25"/>
        </w:rPr>
        <w:t xml:space="preserve"> </w:t>
      </w:r>
      <w:r w:rsidRPr="002532DF">
        <w:rPr>
          <w:sz w:val="25"/>
          <w:szCs w:val="25"/>
          <w:lang w:bidi="en-US"/>
        </w:rPr>
        <w:t xml:space="preserve">generally </w:t>
      </w:r>
      <w:r w:rsidRPr="002532DF">
        <w:rPr>
          <w:sz w:val="25"/>
          <w:szCs w:val="25"/>
        </w:rPr>
        <w:t>show</w:t>
      </w:r>
      <w:r w:rsidRPr="002532DF">
        <w:rPr>
          <w:sz w:val="25"/>
          <w:szCs w:val="25"/>
          <w:lang w:bidi="en-US"/>
        </w:rPr>
        <w:t xml:space="preserve"> a negative </w:t>
      </w:r>
      <w:r w:rsidRPr="002532DF">
        <w:rPr>
          <w:sz w:val="25"/>
          <w:szCs w:val="25"/>
        </w:rPr>
        <w:t xml:space="preserve">working capital </w:t>
      </w:r>
      <w:r w:rsidRPr="002532DF">
        <w:rPr>
          <w:sz w:val="25"/>
          <w:szCs w:val="25"/>
          <w:lang w:bidi="en-US"/>
        </w:rPr>
        <w:t>allowance</w:t>
      </w:r>
      <w:r w:rsidRPr="002532DF">
        <w:rPr>
          <w:sz w:val="25"/>
          <w:szCs w:val="25"/>
        </w:rPr>
        <w:t>.</w:t>
      </w:r>
      <w:r w:rsidRPr="002532DF">
        <w:rPr>
          <w:rStyle w:val="FootnoteReference"/>
          <w:sz w:val="25"/>
          <w:szCs w:val="25"/>
        </w:rPr>
        <w:footnoteReference w:id="437"/>
      </w:r>
      <w:r w:rsidRPr="002532DF">
        <w:rPr>
          <w:sz w:val="25"/>
          <w:szCs w:val="25"/>
        </w:rPr>
        <w:t xml:space="preserve">  </w:t>
      </w:r>
    </w:p>
    <w:p w:rsidR="00B07EA9" w:rsidRPr="002532DF" w:rsidRDefault="00B07EA9" w:rsidP="00B07EA9">
      <w:pPr>
        <w:spacing w:line="276" w:lineRule="auto"/>
        <w:ind w:left="-720"/>
        <w:rPr>
          <w:sz w:val="25"/>
          <w:szCs w:val="25"/>
        </w:rPr>
      </w:pPr>
    </w:p>
    <w:p w:rsidR="00311D29" w:rsidRPr="002532DF" w:rsidRDefault="00480F16" w:rsidP="00027588">
      <w:pPr>
        <w:numPr>
          <w:ilvl w:val="0"/>
          <w:numId w:val="1"/>
        </w:numPr>
        <w:tabs>
          <w:tab w:val="clear" w:pos="720"/>
          <w:tab w:val="num" w:pos="0"/>
        </w:tabs>
        <w:spacing w:line="276" w:lineRule="auto"/>
        <w:ind w:left="0"/>
        <w:rPr>
          <w:sz w:val="25"/>
          <w:szCs w:val="25"/>
        </w:rPr>
      </w:pPr>
      <w:r w:rsidRPr="002532DF">
        <w:rPr>
          <w:i/>
          <w:sz w:val="25"/>
          <w:szCs w:val="25"/>
        </w:rPr>
        <w:t xml:space="preserve">Commission Decision. </w:t>
      </w:r>
      <w:r w:rsidR="004C1866" w:rsidRPr="002532DF">
        <w:rPr>
          <w:sz w:val="25"/>
          <w:szCs w:val="25"/>
        </w:rPr>
        <w:t xml:space="preserve"> We c</w:t>
      </w:r>
      <w:r w:rsidR="001A2DC5" w:rsidRPr="002532DF">
        <w:rPr>
          <w:sz w:val="25"/>
          <w:szCs w:val="25"/>
        </w:rPr>
        <w:t xml:space="preserve">onsidered the issue of working capital in </w:t>
      </w:r>
      <w:r w:rsidR="004C1866" w:rsidRPr="002532DF">
        <w:rPr>
          <w:sz w:val="25"/>
          <w:szCs w:val="25"/>
        </w:rPr>
        <w:t xml:space="preserve">several prior rate cases </w:t>
      </w:r>
      <w:r w:rsidR="00D242DB">
        <w:rPr>
          <w:sz w:val="25"/>
          <w:szCs w:val="25"/>
        </w:rPr>
        <w:t>beginning</w:t>
      </w:r>
      <w:r w:rsidR="004C1866" w:rsidRPr="002532DF">
        <w:rPr>
          <w:sz w:val="25"/>
          <w:szCs w:val="25"/>
        </w:rPr>
        <w:t xml:space="preserve"> in 2006 when we rejected the Company’s lead-lag study and Staff’s ISWC method.</w:t>
      </w:r>
      <w:r w:rsidR="004C1866" w:rsidRPr="002532DF">
        <w:rPr>
          <w:rStyle w:val="FootnoteReference"/>
          <w:sz w:val="25"/>
          <w:szCs w:val="25"/>
        </w:rPr>
        <w:footnoteReference w:id="438"/>
      </w:r>
      <w:r w:rsidR="004C1866" w:rsidRPr="002532DF">
        <w:rPr>
          <w:sz w:val="25"/>
          <w:szCs w:val="25"/>
        </w:rPr>
        <w:t xml:space="preserve">  In th</w:t>
      </w:r>
      <w:r w:rsidR="001A2DC5" w:rsidRPr="002532DF">
        <w:rPr>
          <w:sz w:val="25"/>
          <w:szCs w:val="25"/>
        </w:rPr>
        <w:t>e Company’s last litigated general rate case</w:t>
      </w:r>
      <w:r w:rsidR="004C1866" w:rsidRPr="002532DF">
        <w:rPr>
          <w:sz w:val="25"/>
          <w:szCs w:val="25"/>
        </w:rPr>
        <w:t xml:space="preserve">, we also </w:t>
      </w:r>
      <w:r w:rsidR="001A2DC5" w:rsidRPr="002532DF">
        <w:rPr>
          <w:sz w:val="25"/>
          <w:szCs w:val="25"/>
        </w:rPr>
        <w:t xml:space="preserve">rejected both the Company’s and Staff’s </w:t>
      </w:r>
      <w:r w:rsidR="004C1866" w:rsidRPr="002532DF">
        <w:rPr>
          <w:sz w:val="25"/>
          <w:szCs w:val="25"/>
        </w:rPr>
        <w:t>working capital</w:t>
      </w:r>
      <w:r w:rsidR="003C797B" w:rsidRPr="002532DF">
        <w:rPr>
          <w:sz w:val="25"/>
          <w:szCs w:val="25"/>
        </w:rPr>
        <w:t xml:space="preserve"> </w:t>
      </w:r>
      <w:r w:rsidR="001A2DC5" w:rsidRPr="002532DF">
        <w:rPr>
          <w:sz w:val="25"/>
          <w:szCs w:val="25"/>
        </w:rPr>
        <w:t>computation</w:t>
      </w:r>
      <w:r w:rsidR="004C1866" w:rsidRPr="002532DF">
        <w:rPr>
          <w:sz w:val="25"/>
          <w:szCs w:val="25"/>
        </w:rPr>
        <w:t>s</w:t>
      </w:r>
      <w:r w:rsidR="001A2DC5" w:rsidRPr="002532DF">
        <w:rPr>
          <w:sz w:val="25"/>
          <w:szCs w:val="25"/>
        </w:rPr>
        <w:t>.</w:t>
      </w:r>
      <w:r w:rsidR="001A2DC5" w:rsidRPr="002532DF">
        <w:rPr>
          <w:rStyle w:val="FootnoteReference"/>
          <w:sz w:val="25"/>
          <w:szCs w:val="25"/>
        </w:rPr>
        <w:footnoteReference w:id="439"/>
      </w:r>
      <w:r w:rsidR="0047705B" w:rsidRPr="002532DF">
        <w:rPr>
          <w:sz w:val="25"/>
          <w:szCs w:val="25"/>
        </w:rPr>
        <w:t xml:space="preserve">  The issue is now before us again.</w:t>
      </w:r>
    </w:p>
    <w:p w:rsidR="001A2DC5" w:rsidRPr="002532DF" w:rsidRDefault="001A2DC5" w:rsidP="001A2DC5">
      <w:pPr>
        <w:pStyle w:val="ListParagraph"/>
        <w:rPr>
          <w:sz w:val="25"/>
          <w:szCs w:val="25"/>
        </w:rPr>
      </w:pPr>
    </w:p>
    <w:p w:rsidR="00AD6764" w:rsidRPr="002532DF" w:rsidRDefault="00865DD4" w:rsidP="00027588">
      <w:pPr>
        <w:numPr>
          <w:ilvl w:val="0"/>
          <w:numId w:val="1"/>
        </w:numPr>
        <w:tabs>
          <w:tab w:val="clear" w:pos="720"/>
          <w:tab w:val="num" w:pos="0"/>
        </w:tabs>
        <w:spacing w:line="276" w:lineRule="auto"/>
        <w:ind w:left="0"/>
        <w:rPr>
          <w:sz w:val="25"/>
          <w:szCs w:val="25"/>
        </w:rPr>
      </w:pPr>
      <w:r w:rsidRPr="002532DF">
        <w:rPr>
          <w:sz w:val="25"/>
          <w:szCs w:val="25"/>
        </w:rPr>
        <w:t xml:space="preserve">Of the three methods proposed, we are persuaded that the Staff’s methodology is the most appropriate for this case.  We agree with Staff </w:t>
      </w:r>
      <w:r w:rsidR="00E67D1F" w:rsidRPr="002532DF">
        <w:rPr>
          <w:sz w:val="25"/>
          <w:szCs w:val="25"/>
        </w:rPr>
        <w:t xml:space="preserve">that </w:t>
      </w:r>
      <w:r w:rsidRPr="002532DF">
        <w:rPr>
          <w:sz w:val="25"/>
          <w:szCs w:val="25"/>
        </w:rPr>
        <w:t xml:space="preserve">this </w:t>
      </w:r>
      <w:r w:rsidR="00DB3CF3" w:rsidRPr="002532DF">
        <w:rPr>
          <w:sz w:val="25"/>
          <w:szCs w:val="25"/>
        </w:rPr>
        <w:t>dispute</w:t>
      </w:r>
      <w:r w:rsidRPr="002532DF">
        <w:rPr>
          <w:sz w:val="25"/>
          <w:szCs w:val="25"/>
        </w:rPr>
        <w:t xml:space="preserve"> centers on the choice of the most appropriate methodology for working capital, rather than a disagreement on the actual calculation of the adjustment.  Although the Joint Parties recommend the use of the lead-lag methodology, they did not submit any such study in this record and, therefore, we decline to adopt its use here.</w:t>
      </w:r>
      <w:r w:rsidR="00FA2EB5" w:rsidRPr="002532DF">
        <w:rPr>
          <w:sz w:val="25"/>
          <w:szCs w:val="25"/>
        </w:rPr>
        <w:t xml:space="preserve"> </w:t>
      </w:r>
    </w:p>
    <w:p w:rsidR="00AD6764" w:rsidRPr="002532DF" w:rsidRDefault="00AD6764" w:rsidP="00AD6764">
      <w:pPr>
        <w:spacing w:line="276" w:lineRule="auto"/>
        <w:ind w:left="-720"/>
        <w:rPr>
          <w:sz w:val="25"/>
          <w:szCs w:val="25"/>
        </w:rPr>
      </w:pPr>
    </w:p>
    <w:p w:rsidR="00734656" w:rsidRPr="002532DF" w:rsidRDefault="00865DD4" w:rsidP="00734656">
      <w:pPr>
        <w:numPr>
          <w:ilvl w:val="0"/>
          <w:numId w:val="1"/>
        </w:numPr>
        <w:tabs>
          <w:tab w:val="clear" w:pos="720"/>
          <w:tab w:val="num" w:pos="0"/>
        </w:tabs>
        <w:spacing w:line="276" w:lineRule="auto"/>
        <w:ind w:left="0"/>
        <w:rPr>
          <w:sz w:val="25"/>
          <w:szCs w:val="25"/>
        </w:rPr>
      </w:pPr>
      <w:r w:rsidRPr="002532DF">
        <w:rPr>
          <w:sz w:val="25"/>
          <w:szCs w:val="25"/>
        </w:rPr>
        <w:t xml:space="preserve">Regarding the Company’s formula method, we agree with the arguments of Staff and the Joint Parties that it is deficient </w:t>
      </w:r>
      <w:r w:rsidR="00734656" w:rsidRPr="002532DF">
        <w:rPr>
          <w:sz w:val="25"/>
          <w:szCs w:val="25"/>
        </w:rPr>
        <w:t xml:space="preserve">because it assumes that </w:t>
      </w:r>
      <w:r w:rsidR="00D242DB">
        <w:rPr>
          <w:sz w:val="25"/>
          <w:szCs w:val="25"/>
        </w:rPr>
        <w:t xml:space="preserve">investors provide </w:t>
      </w:r>
      <w:r w:rsidR="00734656" w:rsidRPr="002532DF">
        <w:rPr>
          <w:sz w:val="25"/>
          <w:szCs w:val="25"/>
        </w:rPr>
        <w:t xml:space="preserve">all funds </w:t>
      </w:r>
      <w:r w:rsidR="00FA2EB5" w:rsidRPr="002532DF">
        <w:rPr>
          <w:sz w:val="25"/>
          <w:szCs w:val="25"/>
        </w:rPr>
        <w:t xml:space="preserve">necessary to the operations of the Company.  As a result, </w:t>
      </w:r>
      <w:r w:rsidRPr="002532DF">
        <w:rPr>
          <w:sz w:val="25"/>
          <w:szCs w:val="25"/>
        </w:rPr>
        <w:t>we agree that this</w:t>
      </w:r>
      <w:r w:rsidR="00FA2EB5" w:rsidRPr="002532DF">
        <w:rPr>
          <w:sz w:val="25"/>
          <w:szCs w:val="25"/>
        </w:rPr>
        <w:t xml:space="preserve"> </w:t>
      </w:r>
      <w:r w:rsidR="007A1375" w:rsidRPr="002532DF">
        <w:rPr>
          <w:sz w:val="25"/>
          <w:szCs w:val="25"/>
        </w:rPr>
        <w:t>method will</w:t>
      </w:r>
      <w:r w:rsidR="00734656" w:rsidRPr="002532DF">
        <w:rPr>
          <w:sz w:val="25"/>
          <w:szCs w:val="25"/>
        </w:rPr>
        <w:t xml:space="preserve"> always </w:t>
      </w:r>
      <w:r w:rsidR="007A1375" w:rsidRPr="002532DF">
        <w:rPr>
          <w:sz w:val="25"/>
          <w:szCs w:val="25"/>
        </w:rPr>
        <w:t>produce positive</w:t>
      </w:r>
      <w:r w:rsidR="00734656" w:rsidRPr="002532DF">
        <w:rPr>
          <w:sz w:val="25"/>
          <w:szCs w:val="25"/>
        </w:rPr>
        <w:t xml:space="preserve"> working capital.</w:t>
      </w:r>
      <w:r w:rsidR="00734656" w:rsidRPr="002532DF">
        <w:rPr>
          <w:rStyle w:val="FootnoteReference"/>
          <w:sz w:val="25"/>
          <w:szCs w:val="25"/>
        </w:rPr>
        <w:footnoteReference w:id="440"/>
      </w:r>
      <w:r w:rsidR="00734656" w:rsidRPr="002532DF">
        <w:rPr>
          <w:sz w:val="25"/>
          <w:szCs w:val="25"/>
        </w:rPr>
        <w:t xml:space="preserve">  </w:t>
      </w:r>
      <w:r w:rsidR="005C46DF" w:rsidRPr="002532DF">
        <w:rPr>
          <w:sz w:val="25"/>
          <w:szCs w:val="25"/>
        </w:rPr>
        <w:t xml:space="preserve">There are instances when </w:t>
      </w:r>
      <w:r w:rsidR="00FA2EB5" w:rsidRPr="002532DF">
        <w:rPr>
          <w:sz w:val="25"/>
          <w:szCs w:val="25"/>
        </w:rPr>
        <w:t xml:space="preserve">the Company relies on non-investor supplied working capital.  For example, non-investor working capital </w:t>
      </w:r>
      <w:r w:rsidR="00D242DB">
        <w:rPr>
          <w:sz w:val="25"/>
          <w:szCs w:val="25"/>
        </w:rPr>
        <w:t>results from</w:t>
      </w:r>
      <w:r w:rsidR="00FA2EB5" w:rsidRPr="002532DF">
        <w:rPr>
          <w:sz w:val="25"/>
          <w:szCs w:val="25"/>
        </w:rPr>
        <w:t xml:space="preserve"> the lag between the receipt of a vendor bill and actual payment by the Company.  </w:t>
      </w:r>
      <w:r w:rsidR="00D242DB">
        <w:rPr>
          <w:sz w:val="25"/>
          <w:szCs w:val="25"/>
        </w:rPr>
        <w:t>Customer deposits are a</w:t>
      </w:r>
      <w:r w:rsidR="00FA2EB5" w:rsidRPr="002532DF">
        <w:rPr>
          <w:sz w:val="25"/>
          <w:szCs w:val="25"/>
        </w:rPr>
        <w:t xml:space="preserve">nother common source of non-investor supplied working capital.  Because the Company’s method fails to recognize the different sources of working capital and </w:t>
      </w:r>
      <w:r w:rsidR="00D242DB">
        <w:rPr>
          <w:sz w:val="25"/>
          <w:szCs w:val="25"/>
        </w:rPr>
        <w:t>separately identify the working capital</w:t>
      </w:r>
      <w:r w:rsidR="00FA2EB5" w:rsidRPr="002532DF">
        <w:rPr>
          <w:sz w:val="25"/>
          <w:szCs w:val="25"/>
        </w:rPr>
        <w:t xml:space="preserve"> that shareholders</w:t>
      </w:r>
      <w:r w:rsidR="00D242DB">
        <w:rPr>
          <w:sz w:val="25"/>
          <w:szCs w:val="25"/>
        </w:rPr>
        <w:t xml:space="preserve"> provide</w:t>
      </w:r>
      <w:r w:rsidR="00FA2EB5" w:rsidRPr="002532DF">
        <w:rPr>
          <w:sz w:val="25"/>
          <w:szCs w:val="25"/>
        </w:rPr>
        <w:t xml:space="preserve">, </w:t>
      </w:r>
      <w:r w:rsidR="00563019" w:rsidRPr="002532DF">
        <w:rPr>
          <w:sz w:val="25"/>
          <w:szCs w:val="25"/>
        </w:rPr>
        <w:t xml:space="preserve">we </w:t>
      </w:r>
      <w:r w:rsidR="00B50319" w:rsidRPr="002532DF">
        <w:rPr>
          <w:sz w:val="25"/>
          <w:szCs w:val="25"/>
        </w:rPr>
        <w:t>conclude that the formula method</w:t>
      </w:r>
      <w:r w:rsidR="00FA2EB5" w:rsidRPr="002532DF">
        <w:rPr>
          <w:sz w:val="25"/>
          <w:szCs w:val="25"/>
        </w:rPr>
        <w:t>, as presented here,</w:t>
      </w:r>
      <w:r w:rsidR="00B50319" w:rsidRPr="002532DF">
        <w:rPr>
          <w:sz w:val="25"/>
          <w:szCs w:val="25"/>
        </w:rPr>
        <w:t xml:space="preserve"> is not useful </w:t>
      </w:r>
      <w:r w:rsidR="00563019" w:rsidRPr="002532DF">
        <w:rPr>
          <w:sz w:val="25"/>
          <w:szCs w:val="25"/>
        </w:rPr>
        <w:t>to calculate working capital.</w:t>
      </w:r>
    </w:p>
    <w:p w:rsidR="0071488A" w:rsidRPr="002532DF" w:rsidRDefault="0071488A" w:rsidP="0071488A">
      <w:pPr>
        <w:spacing w:line="276" w:lineRule="auto"/>
        <w:ind w:left="-720"/>
        <w:rPr>
          <w:sz w:val="25"/>
          <w:szCs w:val="25"/>
        </w:rPr>
      </w:pPr>
    </w:p>
    <w:p w:rsidR="00B61E8D" w:rsidRDefault="00892E94" w:rsidP="00E77D4E">
      <w:pPr>
        <w:numPr>
          <w:ilvl w:val="0"/>
          <w:numId w:val="1"/>
        </w:numPr>
        <w:tabs>
          <w:tab w:val="clear" w:pos="720"/>
          <w:tab w:val="num" w:pos="0"/>
        </w:tabs>
        <w:spacing w:line="276" w:lineRule="auto"/>
        <w:ind w:left="0"/>
        <w:rPr>
          <w:sz w:val="25"/>
          <w:szCs w:val="25"/>
        </w:rPr>
      </w:pPr>
      <w:r w:rsidRPr="00E77D4E">
        <w:rPr>
          <w:sz w:val="25"/>
          <w:szCs w:val="25"/>
        </w:rPr>
        <w:t>On the other hand, Staff’s</w:t>
      </w:r>
      <w:r w:rsidR="0071488A" w:rsidRPr="00E77D4E">
        <w:rPr>
          <w:sz w:val="25"/>
          <w:szCs w:val="25"/>
        </w:rPr>
        <w:t xml:space="preserve"> ISWC method </w:t>
      </w:r>
      <w:r w:rsidRPr="00E77D4E">
        <w:rPr>
          <w:sz w:val="25"/>
          <w:szCs w:val="25"/>
        </w:rPr>
        <w:t xml:space="preserve">determines working capital by </w:t>
      </w:r>
      <w:r w:rsidR="00CD70B9" w:rsidRPr="00E77D4E">
        <w:rPr>
          <w:sz w:val="25"/>
          <w:szCs w:val="25"/>
        </w:rPr>
        <w:t xml:space="preserve">comparing the Company’s assets to its invested capital while systematically removing non-investor supplied working capital.  Staff can then determine to what extent investors have supplied additional capital that should be added to rate base.  </w:t>
      </w:r>
      <w:r w:rsidR="007A1375" w:rsidRPr="00E77D4E">
        <w:rPr>
          <w:sz w:val="25"/>
          <w:szCs w:val="25"/>
        </w:rPr>
        <w:t>In other words, if PacifiCorp’s invested capital exceeds its investments, the difference results in positive investor-supplied working capital.</w:t>
      </w:r>
      <w:r w:rsidR="007A1375" w:rsidRPr="002532DF">
        <w:rPr>
          <w:rStyle w:val="FootnoteReference"/>
          <w:sz w:val="25"/>
          <w:szCs w:val="25"/>
        </w:rPr>
        <w:footnoteReference w:id="441"/>
      </w:r>
      <w:r w:rsidR="007A1375" w:rsidRPr="00E77D4E">
        <w:rPr>
          <w:sz w:val="25"/>
          <w:szCs w:val="25"/>
        </w:rPr>
        <w:t xml:space="preserve">  </w:t>
      </w:r>
      <w:r w:rsidR="0071488A" w:rsidRPr="00E77D4E">
        <w:rPr>
          <w:sz w:val="25"/>
          <w:szCs w:val="25"/>
        </w:rPr>
        <w:t>Staff</w:t>
      </w:r>
      <w:r w:rsidR="00CD70B9" w:rsidRPr="00E77D4E">
        <w:rPr>
          <w:sz w:val="25"/>
          <w:szCs w:val="25"/>
        </w:rPr>
        <w:t xml:space="preserve">’s analysis </w:t>
      </w:r>
      <w:r w:rsidR="0071488A" w:rsidRPr="00E77D4E">
        <w:rPr>
          <w:sz w:val="25"/>
          <w:szCs w:val="25"/>
        </w:rPr>
        <w:t xml:space="preserve">concludes that the Company’s invested capital does not exceed investments and therefore, investors did not supply </w:t>
      </w:r>
      <w:r w:rsidR="00D052CE" w:rsidRPr="00E77D4E">
        <w:rPr>
          <w:sz w:val="25"/>
          <w:szCs w:val="25"/>
        </w:rPr>
        <w:t>enough</w:t>
      </w:r>
      <w:r w:rsidR="0071488A" w:rsidRPr="00E77D4E">
        <w:rPr>
          <w:sz w:val="25"/>
          <w:szCs w:val="25"/>
        </w:rPr>
        <w:t xml:space="preserve"> working capital.  </w:t>
      </w:r>
    </w:p>
    <w:p w:rsidR="00E77D4E" w:rsidRPr="00E77D4E" w:rsidRDefault="00E77D4E" w:rsidP="00E77D4E">
      <w:pPr>
        <w:spacing w:line="276" w:lineRule="auto"/>
        <w:ind w:left="-1440"/>
        <w:rPr>
          <w:sz w:val="25"/>
          <w:szCs w:val="25"/>
        </w:rPr>
      </w:pPr>
    </w:p>
    <w:p w:rsidR="00B878D9" w:rsidRPr="002532DF" w:rsidRDefault="00D242DB" w:rsidP="00734656">
      <w:pPr>
        <w:numPr>
          <w:ilvl w:val="0"/>
          <w:numId w:val="1"/>
        </w:numPr>
        <w:tabs>
          <w:tab w:val="clear" w:pos="720"/>
          <w:tab w:val="num" w:pos="0"/>
        </w:tabs>
        <w:spacing w:line="276" w:lineRule="auto"/>
        <w:ind w:left="0"/>
        <w:rPr>
          <w:sz w:val="25"/>
          <w:szCs w:val="25"/>
        </w:rPr>
      </w:pPr>
      <w:r>
        <w:rPr>
          <w:sz w:val="25"/>
          <w:szCs w:val="25"/>
        </w:rPr>
        <w:t>The Company criticizes Staff’s use of the total company balance sheet to calculate working capital.</w:t>
      </w:r>
      <w:r>
        <w:rPr>
          <w:rStyle w:val="FootnoteReference"/>
          <w:sz w:val="25"/>
          <w:szCs w:val="25"/>
        </w:rPr>
        <w:footnoteReference w:id="442"/>
      </w:r>
      <w:r>
        <w:rPr>
          <w:sz w:val="25"/>
          <w:szCs w:val="25"/>
        </w:rPr>
        <w:t xml:space="preserve">  Staff counters by pointing out that its method uses Washington-specific allocation factors based on the WCA method.</w:t>
      </w:r>
      <w:r>
        <w:rPr>
          <w:rStyle w:val="FootnoteReference"/>
          <w:sz w:val="25"/>
          <w:szCs w:val="25"/>
        </w:rPr>
        <w:footnoteReference w:id="443"/>
      </w:r>
      <w:r>
        <w:rPr>
          <w:sz w:val="25"/>
          <w:szCs w:val="25"/>
        </w:rPr>
        <w:t xml:space="preserve">  </w:t>
      </w:r>
      <w:r w:rsidR="00B61E8D" w:rsidRPr="002532DF">
        <w:rPr>
          <w:sz w:val="25"/>
          <w:szCs w:val="25"/>
        </w:rPr>
        <w:t xml:space="preserve">We </w:t>
      </w:r>
      <w:r w:rsidR="00B878D9" w:rsidRPr="002532DF">
        <w:rPr>
          <w:sz w:val="25"/>
          <w:szCs w:val="25"/>
        </w:rPr>
        <w:t xml:space="preserve">are not persuaded by the Company’s </w:t>
      </w:r>
      <w:r w:rsidR="00B61E8D" w:rsidRPr="002532DF">
        <w:rPr>
          <w:sz w:val="25"/>
          <w:szCs w:val="25"/>
        </w:rPr>
        <w:t xml:space="preserve">criticism of Staff’s </w:t>
      </w:r>
      <w:r w:rsidR="00B878D9" w:rsidRPr="002532DF">
        <w:rPr>
          <w:sz w:val="25"/>
          <w:szCs w:val="25"/>
        </w:rPr>
        <w:t>use of allocation factors it believes to be inconsistent with the WCA methodology.</w:t>
      </w:r>
      <w:r w:rsidR="00B61E8D" w:rsidRPr="002532DF">
        <w:rPr>
          <w:sz w:val="25"/>
          <w:szCs w:val="25"/>
        </w:rPr>
        <w:t xml:space="preserve">  </w:t>
      </w:r>
      <w:r w:rsidR="00706BF2" w:rsidRPr="002532DF">
        <w:rPr>
          <w:sz w:val="25"/>
          <w:szCs w:val="25"/>
        </w:rPr>
        <w:t>While we would prefer a rate case that presented only Washington-specific costs and revenues, the middle ground we have accepted is the WCA methodology used by the parties to allocate costs and revenues to Washington.</w:t>
      </w:r>
      <w:r w:rsidR="00706BF2" w:rsidRPr="002532DF">
        <w:rPr>
          <w:rStyle w:val="FootnoteReference"/>
          <w:sz w:val="25"/>
          <w:szCs w:val="25"/>
        </w:rPr>
        <w:footnoteReference w:id="444"/>
      </w:r>
      <w:r w:rsidR="00706BF2" w:rsidRPr="002532DF">
        <w:rPr>
          <w:sz w:val="25"/>
          <w:szCs w:val="25"/>
        </w:rPr>
        <w:t xml:space="preserve">  To determine working capital, both Staff and the Company start by analyzing the </w:t>
      </w:r>
      <w:r w:rsidR="00B878D9" w:rsidRPr="002532DF">
        <w:rPr>
          <w:sz w:val="25"/>
          <w:szCs w:val="25"/>
        </w:rPr>
        <w:t xml:space="preserve">balance sheet accounts of the </w:t>
      </w:r>
      <w:r w:rsidR="00706BF2" w:rsidRPr="002532DF">
        <w:rPr>
          <w:sz w:val="25"/>
          <w:szCs w:val="25"/>
        </w:rPr>
        <w:t>entire company.  If positive working capital r</w:t>
      </w:r>
      <w:r w:rsidR="00D32D59" w:rsidRPr="002532DF">
        <w:rPr>
          <w:sz w:val="25"/>
          <w:szCs w:val="25"/>
        </w:rPr>
        <w:t>esults from their analysis, then</w:t>
      </w:r>
      <w:r w:rsidR="00706BF2" w:rsidRPr="002532DF">
        <w:rPr>
          <w:sz w:val="25"/>
          <w:szCs w:val="25"/>
        </w:rPr>
        <w:t xml:space="preserve"> they allocate </w:t>
      </w:r>
      <w:r w:rsidR="00D32D59" w:rsidRPr="002532DF">
        <w:rPr>
          <w:sz w:val="25"/>
          <w:szCs w:val="25"/>
        </w:rPr>
        <w:t>some</w:t>
      </w:r>
      <w:r w:rsidR="00706BF2" w:rsidRPr="002532DF">
        <w:rPr>
          <w:sz w:val="25"/>
          <w:szCs w:val="25"/>
        </w:rPr>
        <w:t xml:space="preserve"> portion </w:t>
      </w:r>
      <w:r w:rsidR="00D32D59" w:rsidRPr="002532DF">
        <w:rPr>
          <w:sz w:val="25"/>
          <w:szCs w:val="25"/>
        </w:rPr>
        <w:t xml:space="preserve">of it </w:t>
      </w:r>
      <w:r w:rsidR="00706BF2" w:rsidRPr="002532DF">
        <w:rPr>
          <w:sz w:val="25"/>
          <w:szCs w:val="25"/>
        </w:rPr>
        <w:t>to Washington.</w:t>
      </w:r>
      <w:r w:rsidR="00D32D59" w:rsidRPr="002532DF">
        <w:rPr>
          <w:sz w:val="25"/>
          <w:szCs w:val="25"/>
        </w:rPr>
        <w:t xml:space="preserve">  We are satisfied that Staff’s method is consistent with the WCA’s allocation principles and </w:t>
      </w:r>
      <w:r w:rsidR="00B878D9" w:rsidRPr="002532DF">
        <w:rPr>
          <w:sz w:val="25"/>
          <w:szCs w:val="25"/>
        </w:rPr>
        <w:t xml:space="preserve">with </w:t>
      </w:r>
      <w:r w:rsidR="00D32D59" w:rsidRPr="002532DF">
        <w:rPr>
          <w:sz w:val="25"/>
          <w:szCs w:val="25"/>
        </w:rPr>
        <w:t>our treatment of this issue for other multi-jurisdictional utilities.</w:t>
      </w:r>
      <w:r w:rsidR="00B878D9" w:rsidRPr="002532DF">
        <w:rPr>
          <w:rStyle w:val="FootnoteReference"/>
          <w:sz w:val="25"/>
          <w:szCs w:val="25"/>
        </w:rPr>
        <w:footnoteReference w:id="445"/>
      </w:r>
    </w:p>
    <w:p w:rsidR="00E23FBE" w:rsidRPr="002532DF" w:rsidRDefault="00E23FBE">
      <w:pPr>
        <w:pStyle w:val="ListParagraph"/>
        <w:rPr>
          <w:sz w:val="25"/>
          <w:szCs w:val="25"/>
        </w:rPr>
      </w:pPr>
    </w:p>
    <w:p w:rsidR="00320BF1" w:rsidRPr="002532DF" w:rsidRDefault="00A867FE" w:rsidP="00734656">
      <w:pPr>
        <w:numPr>
          <w:ilvl w:val="0"/>
          <w:numId w:val="1"/>
        </w:numPr>
        <w:tabs>
          <w:tab w:val="clear" w:pos="720"/>
          <w:tab w:val="num" w:pos="0"/>
        </w:tabs>
        <w:spacing w:line="276" w:lineRule="auto"/>
        <w:ind w:left="0"/>
        <w:rPr>
          <w:sz w:val="25"/>
          <w:szCs w:val="25"/>
        </w:rPr>
      </w:pPr>
      <w:r w:rsidRPr="002532DF">
        <w:rPr>
          <w:sz w:val="25"/>
          <w:szCs w:val="25"/>
        </w:rPr>
        <w:t xml:space="preserve">We next consider whether separately identified items such as materials and supplies and fuel stock should be included in rate base.  We recognize that including these amounts in rate base allows recovery </w:t>
      </w:r>
      <w:r w:rsidRPr="002532DF">
        <w:rPr>
          <w:i/>
          <w:sz w:val="25"/>
          <w:szCs w:val="25"/>
        </w:rPr>
        <w:t>of</w:t>
      </w:r>
      <w:r w:rsidR="000672A0" w:rsidRPr="002532DF">
        <w:rPr>
          <w:i/>
          <w:sz w:val="25"/>
          <w:szCs w:val="25"/>
        </w:rPr>
        <w:t xml:space="preserve"> </w:t>
      </w:r>
      <w:r w:rsidRPr="002532DF">
        <w:rPr>
          <w:sz w:val="25"/>
          <w:szCs w:val="25"/>
        </w:rPr>
        <w:t xml:space="preserve">the investment plus recovery of a return </w:t>
      </w:r>
      <w:r w:rsidRPr="002532DF">
        <w:rPr>
          <w:i/>
          <w:sz w:val="25"/>
          <w:szCs w:val="25"/>
        </w:rPr>
        <w:t xml:space="preserve">on </w:t>
      </w:r>
      <w:r w:rsidRPr="002532DF">
        <w:rPr>
          <w:sz w:val="25"/>
          <w:szCs w:val="25"/>
        </w:rPr>
        <w:t xml:space="preserve">the investment.  We conclude that Staff properly excluded these items from rate base.  </w:t>
      </w:r>
      <w:r w:rsidR="00B878D9" w:rsidRPr="002532DF">
        <w:rPr>
          <w:sz w:val="25"/>
          <w:szCs w:val="25"/>
        </w:rPr>
        <w:t>M</w:t>
      </w:r>
      <w:r w:rsidRPr="002532DF">
        <w:rPr>
          <w:sz w:val="25"/>
          <w:szCs w:val="25"/>
        </w:rPr>
        <w:t>aterials and supplies and fuel stock are consumed or built into permanent plant.</w:t>
      </w:r>
      <w:r w:rsidRPr="002532DF">
        <w:rPr>
          <w:rStyle w:val="FootnoteReference"/>
          <w:sz w:val="25"/>
          <w:szCs w:val="25"/>
        </w:rPr>
        <w:footnoteReference w:id="446"/>
      </w:r>
      <w:r w:rsidRPr="002532DF">
        <w:rPr>
          <w:sz w:val="25"/>
          <w:szCs w:val="25"/>
        </w:rPr>
        <w:t xml:space="preserve">  Thus, these items are </w:t>
      </w:r>
      <w:r w:rsidR="00D242DB">
        <w:rPr>
          <w:sz w:val="25"/>
          <w:szCs w:val="25"/>
        </w:rPr>
        <w:t>essentially</w:t>
      </w:r>
      <w:r w:rsidRPr="002532DF">
        <w:rPr>
          <w:sz w:val="25"/>
          <w:szCs w:val="25"/>
        </w:rPr>
        <w:t xml:space="preserve"> </w:t>
      </w:r>
      <w:r w:rsidR="00714508" w:rsidRPr="002532DF">
        <w:rPr>
          <w:sz w:val="25"/>
          <w:szCs w:val="25"/>
        </w:rPr>
        <w:t xml:space="preserve">operating </w:t>
      </w:r>
      <w:r w:rsidRPr="002532DF">
        <w:rPr>
          <w:sz w:val="25"/>
          <w:szCs w:val="25"/>
        </w:rPr>
        <w:t xml:space="preserve">expenses or </w:t>
      </w:r>
      <w:r w:rsidR="00714508" w:rsidRPr="002532DF">
        <w:rPr>
          <w:sz w:val="25"/>
          <w:szCs w:val="25"/>
        </w:rPr>
        <w:t xml:space="preserve">are transformed into </w:t>
      </w:r>
      <w:r w:rsidRPr="002532DF">
        <w:rPr>
          <w:sz w:val="25"/>
          <w:szCs w:val="25"/>
        </w:rPr>
        <w:t xml:space="preserve">permanent plant assets.  </w:t>
      </w:r>
      <w:r w:rsidR="00B878D9" w:rsidRPr="002532DF">
        <w:rPr>
          <w:sz w:val="25"/>
          <w:szCs w:val="25"/>
        </w:rPr>
        <w:t xml:space="preserve">To allow their recovery as either operating expenses or plant assets and also consider them working capital that should be added to </w:t>
      </w:r>
      <w:r w:rsidRPr="002532DF">
        <w:rPr>
          <w:sz w:val="25"/>
          <w:szCs w:val="25"/>
        </w:rPr>
        <w:t>rate base would allow double recovery of these items.</w:t>
      </w:r>
      <w:r w:rsidRPr="002532DF">
        <w:rPr>
          <w:rStyle w:val="FootnoteReference"/>
          <w:sz w:val="25"/>
          <w:szCs w:val="25"/>
        </w:rPr>
        <w:footnoteReference w:id="447"/>
      </w:r>
    </w:p>
    <w:p w:rsidR="00A867FE" w:rsidRPr="002532DF" w:rsidRDefault="00A867FE" w:rsidP="00A867FE">
      <w:pPr>
        <w:spacing w:line="276" w:lineRule="auto"/>
        <w:ind w:left="-720"/>
        <w:rPr>
          <w:sz w:val="25"/>
          <w:szCs w:val="25"/>
        </w:rPr>
      </w:pPr>
    </w:p>
    <w:p w:rsidR="00A867FE" w:rsidRPr="002532DF" w:rsidRDefault="00A867FE" w:rsidP="00734656">
      <w:pPr>
        <w:numPr>
          <w:ilvl w:val="0"/>
          <w:numId w:val="1"/>
        </w:numPr>
        <w:tabs>
          <w:tab w:val="clear" w:pos="720"/>
          <w:tab w:val="num" w:pos="0"/>
        </w:tabs>
        <w:spacing w:line="276" w:lineRule="auto"/>
        <w:ind w:left="0"/>
        <w:rPr>
          <w:sz w:val="25"/>
          <w:szCs w:val="25"/>
        </w:rPr>
      </w:pPr>
      <w:r w:rsidRPr="002532DF">
        <w:rPr>
          <w:sz w:val="25"/>
          <w:szCs w:val="25"/>
        </w:rPr>
        <w:t>In conclusion, we accept Staff’s use of the ISWC method and its calculation of zero working capital</w:t>
      </w:r>
      <w:r w:rsidR="00D32D59" w:rsidRPr="002532DF">
        <w:rPr>
          <w:sz w:val="25"/>
          <w:szCs w:val="25"/>
        </w:rPr>
        <w:t>.</w:t>
      </w:r>
      <w:r w:rsidRPr="002532DF">
        <w:rPr>
          <w:sz w:val="25"/>
          <w:szCs w:val="25"/>
        </w:rPr>
        <w:t xml:space="preserve"> </w:t>
      </w:r>
      <w:r w:rsidR="00A961B6" w:rsidRPr="002532DF">
        <w:rPr>
          <w:sz w:val="25"/>
          <w:szCs w:val="25"/>
        </w:rPr>
        <w:t xml:space="preserve"> We </w:t>
      </w:r>
      <w:r w:rsidR="00D32D59" w:rsidRPr="002532DF">
        <w:rPr>
          <w:sz w:val="25"/>
          <w:szCs w:val="25"/>
        </w:rPr>
        <w:t xml:space="preserve">also </w:t>
      </w:r>
      <w:r w:rsidR="00A961B6" w:rsidRPr="002532DF">
        <w:rPr>
          <w:sz w:val="25"/>
          <w:szCs w:val="25"/>
        </w:rPr>
        <w:t xml:space="preserve">accept Staff’s </w:t>
      </w:r>
      <w:r w:rsidR="00D32D59" w:rsidRPr="002532DF">
        <w:rPr>
          <w:sz w:val="25"/>
          <w:szCs w:val="25"/>
        </w:rPr>
        <w:t xml:space="preserve">proposal to </w:t>
      </w:r>
      <w:r w:rsidR="00A961B6" w:rsidRPr="002532DF">
        <w:rPr>
          <w:sz w:val="25"/>
          <w:szCs w:val="25"/>
        </w:rPr>
        <w:t>remov</w:t>
      </w:r>
      <w:r w:rsidR="00D32D59" w:rsidRPr="002532DF">
        <w:rPr>
          <w:sz w:val="25"/>
          <w:szCs w:val="25"/>
        </w:rPr>
        <w:t>e from rate base the</w:t>
      </w:r>
      <w:r w:rsidR="00A961B6" w:rsidRPr="002532DF">
        <w:rPr>
          <w:sz w:val="25"/>
          <w:szCs w:val="25"/>
        </w:rPr>
        <w:t xml:space="preserve"> materials and supplies and fuel stock related to </w:t>
      </w:r>
      <w:r w:rsidR="00D32D59" w:rsidRPr="002532DF">
        <w:rPr>
          <w:sz w:val="25"/>
          <w:szCs w:val="25"/>
        </w:rPr>
        <w:t xml:space="preserve">the operations of the </w:t>
      </w:r>
      <w:r w:rsidR="00A961B6" w:rsidRPr="002532DF">
        <w:rPr>
          <w:sz w:val="25"/>
          <w:szCs w:val="25"/>
        </w:rPr>
        <w:t>Jim Bridger Mine</w:t>
      </w:r>
      <w:r w:rsidR="00D32D59" w:rsidRPr="002532DF">
        <w:rPr>
          <w:sz w:val="25"/>
          <w:szCs w:val="25"/>
        </w:rPr>
        <w:t>.</w:t>
      </w:r>
    </w:p>
    <w:p w:rsidR="00114E85" w:rsidRPr="002532DF" w:rsidRDefault="00670368" w:rsidP="00C2040E">
      <w:pPr>
        <w:pStyle w:val="Heading3"/>
        <w:ind w:left="720" w:hanging="360"/>
        <w:rPr>
          <w:rFonts w:ascii="Times New Roman" w:hAnsi="Times New Roman"/>
          <w:sz w:val="25"/>
          <w:szCs w:val="25"/>
        </w:rPr>
      </w:pPr>
      <w:bookmarkStart w:id="71" w:name="_Toc288813762"/>
      <w:r w:rsidRPr="002532DF">
        <w:rPr>
          <w:rFonts w:ascii="Times New Roman" w:hAnsi="Times New Roman"/>
          <w:sz w:val="25"/>
          <w:szCs w:val="25"/>
        </w:rPr>
        <w:t>F</w:t>
      </w:r>
      <w:r w:rsidR="00114E85" w:rsidRPr="002532DF">
        <w:rPr>
          <w:rFonts w:ascii="Times New Roman" w:hAnsi="Times New Roman"/>
          <w:sz w:val="25"/>
          <w:szCs w:val="25"/>
        </w:rPr>
        <w:t>.</w:t>
      </w:r>
      <w:r w:rsidR="00114E85" w:rsidRPr="002532DF">
        <w:rPr>
          <w:rFonts w:ascii="Times New Roman" w:hAnsi="Times New Roman"/>
          <w:sz w:val="25"/>
          <w:szCs w:val="25"/>
        </w:rPr>
        <w:tab/>
        <w:t>Cost-of-Service Study/Rate Spread/Rate Design</w:t>
      </w:r>
      <w:bookmarkEnd w:id="71"/>
    </w:p>
    <w:p w:rsidR="00114E85" w:rsidRPr="002532DF" w:rsidRDefault="00114E85" w:rsidP="00C2040E">
      <w:pPr>
        <w:pStyle w:val="Heading4"/>
        <w:ind w:left="1080" w:hanging="360"/>
        <w:rPr>
          <w:rFonts w:ascii="Times New Roman" w:hAnsi="Times New Roman"/>
          <w:sz w:val="25"/>
          <w:szCs w:val="25"/>
        </w:rPr>
      </w:pPr>
      <w:bookmarkStart w:id="72" w:name="_Toc288813763"/>
      <w:r w:rsidRPr="002532DF">
        <w:rPr>
          <w:rFonts w:ascii="Times New Roman" w:hAnsi="Times New Roman"/>
          <w:sz w:val="25"/>
          <w:szCs w:val="25"/>
        </w:rPr>
        <w:t>1.</w:t>
      </w:r>
      <w:r w:rsidRPr="002532DF">
        <w:rPr>
          <w:rFonts w:ascii="Times New Roman" w:hAnsi="Times New Roman"/>
          <w:sz w:val="25"/>
          <w:szCs w:val="25"/>
        </w:rPr>
        <w:tab/>
        <w:t>Cost-of-Service Study</w:t>
      </w:r>
      <w:bookmarkEnd w:id="72"/>
    </w:p>
    <w:p w:rsidR="00114E85" w:rsidRDefault="00114E85" w:rsidP="00114E85">
      <w:pPr>
        <w:tabs>
          <w:tab w:val="left" w:pos="1440"/>
          <w:tab w:val="left" w:pos="1890"/>
        </w:tabs>
        <w:ind w:left="1080"/>
        <w:rPr>
          <w:b/>
          <w:sz w:val="25"/>
          <w:szCs w:val="25"/>
        </w:rPr>
      </w:pPr>
    </w:p>
    <w:p w:rsidR="00D242DB" w:rsidRPr="00CE557B" w:rsidRDefault="00D242DB" w:rsidP="00D242DB">
      <w:pPr>
        <w:numPr>
          <w:ilvl w:val="0"/>
          <w:numId w:val="1"/>
        </w:numPr>
        <w:tabs>
          <w:tab w:val="clear" w:pos="720"/>
          <w:tab w:val="num" w:pos="0"/>
        </w:tabs>
        <w:spacing w:after="240" w:line="276" w:lineRule="auto"/>
        <w:ind w:left="0"/>
        <w:rPr>
          <w:sz w:val="25"/>
          <w:szCs w:val="25"/>
        </w:rPr>
      </w:pPr>
      <w:r>
        <w:rPr>
          <w:sz w:val="25"/>
          <w:szCs w:val="25"/>
        </w:rPr>
        <w:t>Once the Commission establishes the Company’s revenue requirement, the Commission must decide how the Company may generate that revenue in the rates it charges its customers.  The first step in this process is to evaluate the Company’s cost of service study (COSS) which identifies the costs caused by, or otherwise allocated to, each customer class.</w:t>
      </w:r>
    </w:p>
    <w:p w:rsidR="00D242DB" w:rsidRPr="002532DF" w:rsidRDefault="00D242DB" w:rsidP="00114E85">
      <w:pPr>
        <w:tabs>
          <w:tab w:val="left" w:pos="1440"/>
          <w:tab w:val="left" w:pos="1890"/>
        </w:tabs>
        <w:ind w:left="1080"/>
        <w:rPr>
          <w:b/>
          <w:sz w:val="25"/>
          <w:szCs w:val="25"/>
        </w:rPr>
      </w:pPr>
    </w:p>
    <w:p w:rsidR="006D592D" w:rsidRPr="002532DF" w:rsidRDefault="006F1B90" w:rsidP="00817E21">
      <w:pPr>
        <w:numPr>
          <w:ilvl w:val="0"/>
          <w:numId w:val="1"/>
        </w:numPr>
        <w:tabs>
          <w:tab w:val="clear" w:pos="720"/>
          <w:tab w:val="num" w:pos="0"/>
        </w:tabs>
        <w:spacing w:line="276" w:lineRule="auto"/>
        <w:ind w:left="0"/>
        <w:rPr>
          <w:sz w:val="25"/>
          <w:szCs w:val="25"/>
        </w:rPr>
      </w:pPr>
      <w:r w:rsidRPr="002532DF">
        <w:rPr>
          <w:i/>
          <w:sz w:val="25"/>
          <w:szCs w:val="25"/>
        </w:rPr>
        <w:t xml:space="preserve">Positions of the Parties.  </w:t>
      </w:r>
      <w:r w:rsidR="00114E85" w:rsidRPr="002532DF">
        <w:rPr>
          <w:sz w:val="25"/>
          <w:szCs w:val="25"/>
        </w:rPr>
        <w:t>PacifiCorp prepared a functionalized Washington class COSS based on the historic 12-month period ended December 31, 2009, using the Company’s annual results of operation</w:t>
      </w:r>
      <w:r w:rsidR="006D592D" w:rsidRPr="002532DF">
        <w:rPr>
          <w:sz w:val="25"/>
          <w:szCs w:val="25"/>
        </w:rPr>
        <w:t>.</w:t>
      </w:r>
      <w:r w:rsidR="006D592D" w:rsidRPr="002532DF">
        <w:rPr>
          <w:rStyle w:val="FootnoteReference"/>
          <w:sz w:val="25"/>
          <w:szCs w:val="25"/>
        </w:rPr>
        <w:footnoteReference w:id="448"/>
      </w:r>
      <w:r w:rsidR="006D592D" w:rsidRPr="002532DF">
        <w:rPr>
          <w:sz w:val="25"/>
          <w:szCs w:val="25"/>
        </w:rPr>
        <w:t xml:space="preserve">  </w:t>
      </w:r>
      <w:r w:rsidR="00D32D59" w:rsidRPr="002532DF">
        <w:rPr>
          <w:sz w:val="25"/>
          <w:szCs w:val="25"/>
        </w:rPr>
        <w:t>The 2009 study modifies the previous methodology by</w:t>
      </w:r>
      <w:r w:rsidR="006D592D" w:rsidRPr="002532DF">
        <w:rPr>
          <w:sz w:val="25"/>
          <w:szCs w:val="25"/>
        </w:rPr>
        <w:t xml:space="preserve"> revis</w:t>
      </w:r>
      <w:r w:rsidR="00D32D59" w:rsidRPr="002532DF">
        <w:rPr>
          <w:sz w:val="25"/>
          <w:szCs w:val="25"/>
        </w:rPr>
        <w:t>ing</w:t>
      </w:r>
      <w:r w:rsidR="006D592D" w:rsidRPr="002532DF">
        <w:rPr>
          <w:sz w:val="25"/>
          <w:szCs w:val="25"/>
        </w:rPr>
        <w:t xml:space="preserve"> the peak credit method </w:t>
      </w:r>
      <w:r w:rsidR="00D32D59" w:rsidRPr="002532DF">
        <w:rPr>
          <w:sz w:val="25"/>
          <w:szCs w:val="25"/>
        </w:rPr>
        <w:t xml:space="preserve">which is </w:t>
      </w:r>
      <w:r w:rsidR="006D592D" w:rsidRPr="002532DF">
        <w:rPr>
          <w:sz w:val="25"/>
          <w:szCs w:val="25"/>
        </w:rPr>
        <w:t>used to classify production and transmission costs as either demand or energy.</w:t>
      </w:r>
      <w:r w:rsidR="006D592D" w:rsidRPr="002532DF">
        <w:rPr>
          <w:rStyle w:val="FootnoteReference"/>
          <w:sz w:val="25"/>
          <w:szCs w:val="25"/>
        </w:rPr>
        <w:footnoteReference w:id="449"/>
      </w:r>
      <w:r w:rsidR="006D592D" w:rsidRPr="002532DF">
        <w:rPr>
          <w:sz w:val="25"/>
          <w:szCs w:val="25"/>
        </w:rPr>
        <w:t xml:space="preserve">  The peak credit method formerly compared the cost of a current peaking resource, a Simple Cycle Combustion Turbine (SCCT), with the cost of a current baseload resource, Combined Cycle Combustion Turbine (CCCT), to determine the demand-related component.</w:t>
      </w:r>
      <w:r w:rsidR="006D592D" w:rsidRPr="002532DF">
        <w:rPr>
          <w:rStyle w:val="FootnoteReference"/>
          <w:sz w:val="25"/>
          <w:szCs w:val="25"/>
        </w:rPr>
        <w:footnoteReference w:id="450"/>
      </w:r>
      <w:r w:rsidR="006D592D" w:rsidRPr="002532DF">
        <w:rPr>
          <w:sz w:val="25"/>
          <w:szCs w:val="25"/>
        </w:rPr>
        <w:t xml:space="preserve">  All other costs </w:t>
      </w:r>
      <w:r w:rsidR="00D32D59" w:rsidRPr="002532DF">
        <w:rPr>
          <w:sz w:val="25"/>
          <w:szCs w:val="25"/>
        </w:rPr>
        <w:t>are</w:t>
      </w:r>
      <w:r w:rsidR="006D592D" w:rsidRPr="002532DF">
        <w:rPr>
          <w:sz w:val="25"/>
          <w:szCs w:val="25"/>
        </w:rPr>
        <w:t xml:space="preserve"> specified as energy related.  In this case, PacifiCorp </w:t>
      </w:r>
      <w:r w:rsidR="007A6251" w:rsidRPr="002532DF">
        <w:rPr>
          <w:sz w:val="25"/>
          <w:szCs w:val="25"/>
        </w:rPr>
        <w:t>uses</w:t>
      </w:r>
      <w:r w:rsidR="006D592D" w:rsidRPr="002532DF">
        <w:rPr>
          <w:sz w:val="25"/>
          <w:szCs w:val="25"/>
        </w:rPr>
        <w:t xml:space="preserve"> the capacity cost</w:t>
      </w:r>
      <w:r w:rsidR="007A6251" w:rsidRPr="002532DF">
        <w:rPr>
          <w:sz w:val="25"/>
          <w:szCs w:val="25"/>
        </w:rPr>
        <w:t>s</w:t>
      </w:r>
      <w:r w:rsidR="006D592D" w:rsidRPr="002532DF">
        <w:rPr>
          <w:sz w:val="25"/>
          <w:szCs w:val="25"/>
        </w:rPr>
        <w:t xml:space="preserve"> from </w:t>
      </w:r>
      <w:r w:rsidR="007A6251" w:rsidRPr="002532DF">
        <w:rPr>
          <w:sz w:val="25"/>
          <w:szCs w:val="25"/>
        </w:rPr>
        <w:t>its</w:t>
      </w:r>
      <w:r w:rsidR="006D592D" w:rsidRPr="002532DF">
        <w:rPr>
          <w:sz w:val="25"/>
          <w:szCs w:val="25"/>
        </w:rPr>
        <w:t xml:space="preserve"> Firm Capacity Sales Agreement (Agreement) </w:t>
      </w:r>
      <w:r w:rsidR="007A6251" w:rsidRPr="002532DF">
        <w:rPr>
          <w:sz w:val="25"/>
          <w:szCs w:val="25"/>
        </w:rPr>
        <w:t>with</w:t>
      </w:r>
      <w:r w:rsidR="006D592D" w:rsidRPr="002532DF">
        <w:rPr>
          <w:sz w:val="25"/>
          <w:szCs w:val="25"/>
        </w:rPr>
        <w:t xml:space="preserve"> BPA instead of </w:t>
      </w:r>
      <w:r w:rsidR="007A6251" w:rsidRPr="002532DF">
        <w:rPr>
          <w:sz w:val="25"/>
          <w:szCs w:val="25"/>
        </w:rPr>
        <w:t xml:space="preserve">its </w:t>
      </w:r>
      <w:r w:rsidR="006D592D" w:rsidRPr="002532DF">
        <w:rPr>
          <w:sz w:val="25"/>
          <w:szCs w:val="25"/>
        </w:rPr>
        <w:t xml:space="preserve">SCCT </w:t>
      </w:r>
      <w:r w:rsidR="007A6251" w:rsidRPr="002532DF">
        <w:rPr>
          <w:sz w:val="25"/>
          <w:szCs w:val="25"/>
        </w:rPr>
        <w:t>costs to determine the demand-related cost component</w:t>
      </w:r>
      <w:r w:rsidR="006D592D" w:rsidRPr="002532DF">
        <w:rPr>
          <w:sz w:val="25"/>
          <w:szCs w:val="25"/>
        </w:rPr>
        <w:t>.</w:t>
      </w:r>
      <w:r w:rsidR="006D592D" w:rsidRPr="002532DF">
        <w:rPr>
          <w:rStyle w:val="FootnoteReference"/>
          <w:sz w:val="25"/>
          <w:szCs w:val="25"/>
        </w:rPr>
        <w:footnoteReference w:id="451"/>
      </w:r>
      <w:r w:rsidR="006D592D" w:rsidRPr="002532DF">
        <w:rPr>
          <w:sz w:val="25"/>
          <w:szCs w:val="25"/>
        </w:rPr>
        <w:t xml:space="preserve">  The Company </w:t>
      </w:r>
      <w:r w:rsidR="007A6251" w:rsidRPr="002532DF">
        <w:rPr>
          <w:sz w:val="25"/>
          <w:szCs w:val="25"/>
        </w:rPr>
        <w:t xml:space="preserve">points out that it </w:t>
      </w:r>
      <w:r w:rsidR="006D592D" w:rsidRPr="002532DF">
        <w:rPr>
          <w:sz w:val="25"/>
          <w:szCs w:val="25"/>
        </w:rPr>
        <w:t xml:space="preserve">modified </w:t>
      </w:r>
      <w:r w:rsidR="007A6251" w:rsidRPr="002532DF">
        <w:rPr>
          <w:sz w:val="25"/>
          <w:szCs w:val="25"/>
        </w:rPr>
        <w:t>the peaking re</w:t>
      </w:r>
      <w:r w:rsidR="00E208DC" w:rsidRPr="002532DF">
        <w:rPr>
          <w:sz w:val="25"/>
          <w:szCs w:val="25"/>
        </w:rPr>
        <w:t>source</w:t>
      </w:r>
      <w:r w:rsidR="006D592D" w:rsidRPr="002532DF">
        <w:rPr>
          <w:sz w:val="25"/>
          <w:szCs w:val="25"/>
        </w:rPr>
        <w:t xml:space="preserve"> because it does not employ SCCT generating facilities in the </w:t>
      </w:r>
      <w:r w:rsidR="008E6B28">
        <w:rPr>
          <w:sz w:val="25"/>
          <w:szCs w:val="25"/>
        </w:rPr>
        <w:t>West Control Area</w:t>
      </w:r>
      <w:r w:rsidR="006D592D" w:rsidRPr="002532DF">
        <w:rPr>
          <w:sz w:val="25"/>
          <w:szCs w:val="25"/>
        </w:rPr>
        <w:t>.</w:t>
      </w:r>
      <w:r w:rsidR="006D592D" w:rsidRPr="002532DF">
        <w:rPr>
          <w:rStyle w:val="FootnoteReference"/>
          <w:sz w:val="25"/>
          <w:szCs w:val="25"/>
        </w:rPr>
        <w:footnoteReference w:id="452"/>
      </w:r>
      <w:r w:rsidR="006D592D" w:rsidRPr="002532DF">
        <w:rPr>
          <w:sz w:val="25"/>
          <w:szCs w:val="25"/>
        </w:rPr>
        <w:t xml:space="preserve">  </w:t>
      </w:r>
      <w:r w:rsidR="007A6251" w:rsidRPr="002532DF">
        <w:rPr>
          <w:sz w:val="25"/>
          <w:szCs w:val="25"/>
        </w:rPr>
        <w:t xml:space="preserve">Thus, the new costs </w:t>
      </w:r>
      <w:r w:rsidR="006D592D" w:rsidRPr="002532DF">
        <w:rPr>
          <w:sz w:val="25"/>
          <w:szCs w:val="25"/>
        </w:rPr>
        <w:t>reflect actual Company operations within the W</w:t>
      </w:r>
      <w:r w:rsidR="008E6B28">
        <w:rPr>
          <w:sz w:val="25"/>
          <w:szCs w:val="25"/>
        </w:rPr>
        <w:t>est Control Area</w:t>
      </w:r>
      <w:r w:rsidR="006D592D" w:rsidRPr="002532DF">
        <w:rPr>
          <w:sz w:val="25"/>
          <w:szCs w:val="25"/>
        </w:rPr>
        <w:t>.</w:t>
      </w:r>
      <w:r w:rsidR="006D592D" w:rsidRPr="002532DF">
        <w:rPr>
          <w:rStyle w:val="FootnoteReference"/>
          <w:sz w:val="25"/>
          <w:szCs w:val="25"/>
        </w:rPr>
        <w:footnoteReference w:id="453"/>
      </w:r>
      <w:r w:rsidR="006D592D" w:rsidRPr="002532DF">
        <w:rPr>
          <w:sz w:val="25"/>
          <w:szCs w:val="25"/>
        </w:rPr>
        <w:t xml:space="preserve">  This modification results in 33 percent of costs being classified as demand-related and 67 percent of costs being classified as energy-relate</w:t>
      </w:r>
      <w:r w:rsidR="00E208DC" w:rsidRPr="002532DF">
        <w:rPr>
          <w:sz w:val="25"/>
          <w:szCs w:val="25"/>
        </w:rPr>
        <w:t>.  This</w:t>
      </w:r>
      <w:r w:rsidR="007A6251" w:rsidRPr="002532DF">
        <w:rPr>
          <w:sz w:val="25"/>
          <w:szCs w:val="25"/>
        </w:rPr>
        <w:t xml:space="preserve"> increases the costs allocated to the Residential Schedule and decreases the costs allocated to the industrial schedules.</w:t>
      </w:r>
      <w:r w:rsidR="007A6251" w:rsidRPr="002532DF">
        <w:rPr>
          <w:rStyle w:val="FootnoteReference"/>
          <w:sz w:val="25"/>
          <w:szCs w:val="25"/>
        </w:rPr>
        <w:t xml:space="preserve"> </w:t>
      </w:r>
      <w:r w:rsidR="007A6251" w:rsidRPr="002532DF">
        <w:rPr>
          <w:rStyle w:val="FootnoteReference"/>
          <w:sz w:val="25"/>
          <w:szCs w:val="25"/>
        </w:rPr>
        <w:footnoteReference w:id="454"/>
      </w:r>
      <w:r w:rsidR="007A6251" w:rsidRPr="002532DF">
        <w:rPr>
          <w:sz w:val="25"/>
          <w:szCs w:val="25"/>
        </w:rPr>
        <w:t xml:space="preserve">  Staff does not oppose the Company’s use of the BPA Agreement as its peaking resource cost input.</w:t>
      </w:r>
      <w:r w:rsidR="007A6251" w:rsidRPr="002532DF">
        <w:rPr>
          <w:rStyle w:val="FootnoteReference"/>
          <w:sz w:val="25"/>
          <w:szCs w:val="25"/>
        </w:rPr>
        <w:t xml:space="preserve"> </w:t>
      </w:r>
      <w:r w:rsidR="007A6251" w:rsidRPr="002532DF">
        <w:rPr>
          <w:rStyle w:val="FootnoteReference"/>
          <w:sz w:val="25"/>
          <w:szCs w:val="25"/>
        </w:rPr>
        <w:footnoteReference w:id="455"/>
      </w:r>
      <w:r w:rsidR="007A6251" w:rsidRPr="002532DF">
        <w:rPr>
          <w:sz w:val="25"/>
          <w:szCs w:val="25"/>
        </w:rPr>
        <w:t xml:space="preserve"> </w:t>
      </w:r>
      <w:r w:rsidR="006D592D" w:rsidRPr="002532DF">
        <w:rPr>
          <w:sz w:val="25"/>
          <w:szCs w:val="25"/>
        </w:rPr>
        <w:t xml:space="preserve"> </w:t>
      </w:r>
    </w:p>
    <w:p w:rsidR="00EC45A4" w:rsidRPr="002532DF" w:rsidRDefault="00EC45A4" w:rsidP="00817E21">
      <w:pPr>
        <w:spacing w:line="276" w:lineRule="auto"/>
        <w:rPr>
          <w:sz w:val="25"/>
          <w:szCs w:val="25"/>
        </w:rPr>
      </w:pPr>
    </w:p>
    <w:p w:rsidR="006D592D" w:rsidRPr="002532DF" w:rsidRDefault="006D592D" w:rsidP="00027588">
      <w:pPr>
        <w:numPr>
          <w:ilvl w:val="0"/>
          <w:numId w:val="1"/>
        </w:numPr>
        <w:tabs>
          <w:tab w:val="clear" w:pos="720"/>
          <w:tab w:val="num" w:pos="0"/>
        </w:tabs>
        <w:spacing w:line="276" w:lineRule="auto"/>
        <w:ind w:left="0"/>
        <w:rPr>
          <w:sz w:val="25"/>
          <w:szCs w:val="25"/>
        </w:rPr>
      </w:pPr>
      <w:r w:rsidRPr="002532DF">
        <w:rPr>
          <w:sz w:val="25"/>
          <w:szCs w:val="25"/>
        </w:rPr>
        <w:t xml:space="preserve">ICNU supports the Company’s modification to its peak </w:t>
      </w:r>
      <w:r w:rsidR="0035732E" w:rsidRPr="002532DF">
        <w:rPr>
          <w:sz w:val="25"/>
          <w:szCs w:val="25"/>
        </w:rPr>
        <w:t xml:space="preserve">resource input asserting that it </w:t>
      </w:r>
      <w:r w:rsidRPr="002532DF">
        <w:rPr>
          <w:sz w:val="25"/>
          <w:szCs w:val="25"/>
        </w:rPr>
        <w:t xml:space="preserve">takes into consideration the actual peaking resource relied on by PacifiCorp in the </w:t>
      </w:r>
      <w:r w:rsidR="008E6B28">
        <w:rPr>
          <w:sz w:val="25"/>
          <w:szCs w:val="25"/>
        </w:rPr>
        <w:t>West Control Area</w:t>
      </w:r>
      <w:r w:rsidRPr="002532DF">
        <w:rPr>
          <w:sz w:val="25"/>
          <w:szCs w:val="25"/>
        </w:rPr>
        <w:t>.</w:t>
      </w:r>
      <w:r w:rsidRPr="002532DF">
        <w:rPr>
          <w:rStyle w:val="FootnoteReference"/>
          <w:sz w:val="25"/>
          <w:szCs w:val="25"/>
        </w:rPr>
        <w:footnoteReference w:id="456"/>
      </w:r>
      <w:r w:rsidRPr="002532DF">
        <w:rPr>
          <w:sz w:val="25"/>
          <w:szCs w:val="25"/>
        </w:rPr>
        <w:t xml:space="preserve">  However, </w:t>
      </w:r>
      <w:r w:rsidR="0035732E" w:rsidRPr="002532DF">
        <w:rPr>
          <w:sz w:val="25"/>
          <w:szCs w:val="25"/>
        </w:rPr>
        <w:t>it</w:t>
      </w:r>
      <w:r w:rsidRPr="002532DF">
        <w:rPr>
          <w:sz w:val="25"/>
          <w:szCs w:val="25"/>
        </w:rPr>
        <w:t xml:space="preserve"> disagrees with the use of 100 winter hours and 100 summer hours for allocating system demand-related costs arguing that this factor encompasses too many hours to accurately assign system demand costs.</w:t>
      </w:r>
      <w:r w:rsidRPr="002532DF">
        <w:rPr>
          <w:rStyle w:val="FootnoteReference"/>
          <w:sz w:val="25"/>
          <w:szCs w:val="25"/>
        </w:rPr>
        <w:footnoteReference w:id="457"/>
      </w:r>
      <w:r w:rsidRPr="002532DF">
        <w:rPr>
          <w:sz w:val="25"/>
          <w:szCs w:val="25"/>
        </w:rPr>
        <w:t xml:space="preserve">  ICNU contends that the peak demand factor should be determined using only those hours that are within 95 percent of the system peak hour or 48 summer hours and 23 winter hours.</w:t>
      </w:r>
      <w:r w:rsidRPr="002532DF">
        <w:rPr>
          <w:rStyle w:val="FootnoteReference"/>
          <w:sz w:val="25"/>
          <w:szCs w:val="25"/>
        </w:rPr>
        <w:footnoteReference w:id="458"/>
      </w:r>
      <w:r w:rsidRPr="002532DF">
        <w:rPr>
          <w:sz w:val="25"/>
          <w:szCs w:val="25"/>
        </w:rPr>
        <w:t xml:space="preserve">  </w:t>
      </w:r>
    </w:p>
    <w:p w:rsidR="00EC45A4" w:rsidRPr="002532DF" w:rsidRDefault="00EC45A4" w:rsidP="00817E21">
      <w:pPr>
        <w:spacing w:line="276" w:lineRule="auto"/>
        <w:rPr>
          <w:sz w:val="25"/>
          <w:szCs w:val="25"/>
        </w:rPr>
      </w:pPr>
    </w:p>
    <w:p w:rsidR="006D592D" w:rsidRPr="002532DF" w:rsidRDefault="006D592D" w:rsidP="00817E21">
      <w:pPr>
        <w:numPr>
          <w:ilvl w:val="0"/>
          <w:numId w:val="1"/>
        </w:numPr>
        <w:tabs>
          <w:tab w:val="clear" w:pos="720"/>
          <w:tab w:val="num" w:pos="0"/>
        </w:tabs>
        <w:spacing w:line="276" w:lineRule="auto"/>
        <w:ind w:left="0"/>
        <w:rPr>
          <w:sz w:val="25"/>
          <w:szCs w:val="25"/>
        </w:rPr>
      </w:pPr>
      <w:r w:rsidRPr="002532DF">
        <w:rPr>
          <w:sz w:val="25"/>
          <w:szCs w:val="25"/>
        </w:rPr>
        <w:t>In rebuttal</w:t>
      </w:r>
      <w:r w:rsidR="0035732E" w:rsidRPr="002532DF">
        <w:rPr>
          <w:sz w:val="25"/>
          <w:szCs w:val="25"/>
        </w:rPr>
        <w:t xml:space="preserve"> testimony</w:t>
      </w:r>
      <w:r w:rsidRPr="002532DF">
        <w:rPr>
          <w:sz w:val="25"/>
          <w:szCs w:val="25"/>
        </w:rPr>
        <w:t>, the Company opposes ICNU’s proposal to calculate peak demand using only those hours that are within 95 percent of the system peak hour because it can produce volatility in results depending on the test period.</w:t>
      </w:r>
      <w:r w:rsidRPr="002532DF">
        <w:rPr>
          <w:rStyle w:val="FootnoteReference"/>
          <w:sz w:val="25"/>
          <w:szCs w:val="25"/>
        </w:rPr>
        <w:footnoteReference w:id="459"/>
      </w:r>
      <w:r w:rsidRPr="002532DF">
        <w:rPr>
          <w:sz w:val="25"/>
          <w:szCs w:val="25"/>
        </w:rPr>
        <w:t xml:space="preserve">  For example, PacifiCorp notes that </w:t>
      </w:r>
      <w:r w:rsidR="002D0F1F" w:rsidRPr="002532DF">
        <w:rPr>
          <w:sz w:val="25"/>
          <w:szCs w:val="25"/>
        </w:rPr>
        <w:t>had</w:t>
      </w:r>
      <w:r w:rsidRPr="002532DF">
        <w:rPr>
          <w:sz w:val="25"/>
          <w:szCs w:val="25"/>
        </w:rPr>
        <w:t xml:space="preserve"> this method been in place during its last rate case th</w:t>
      </w:r>
      <w:r w:rsidR="002D0F1F" w:rsidRPr="002532DF">
        <w:rPr>
          <w:sz w:val="25"/>
          <w:szCs w:val="25"/>
        </w:rPr>
        <w:t>en</w:t>
      </w:r>
      <w:r w:rsidRPr="002532DF">
        <w:rPr>
          <w:sz w:val="25"/>
          <w:szCs w:val="25"/>
        </w:rPr>
        <w:t xml:space="preserve"> only 35 hours would have been included and none of those hours included the winter peak.</w:t>
      </w:r>
      <w:r w:rsidRPr="002532DF">
        <w:rPr>
          <w:rStyle w:val="FootnoteReference"/>
          <w:sz w:val="25"/>
          <w:szCs w:val="25"/>
        </w:rPr>
        <w:footnoteReference w:id="460"/>
      </w:r>
      <w:r w:rsidRPr="002532DF">
        <w:rPr>
          <w:sz w:val="25"/>
          <w:szCs w:val="25"/>
        </w:rPr>
        <w:t xml:space="preserve">  PacifiCorp recommends </w:t>
      </w:r>
      <w:r w:rsidR="005D5920" w:rsidRPr="002532DF">
        <w:rPr>
          <w:sz w:val="25"/>
          <w:szCs w:val="25"/>
        </w:rPr>
        <w:t xml:space="preserve">that we reject </w:t>
      </w:r>
      <w:r w:rsidRPr="002532DF">
        <w:rPr>
          <w:sz w:val="25"/>
          <w:szCs w:val="25"/>
        </w:rPr>
        <w:t>ICNU</w:t>
      </w:r>
      <w:r w:rsidR="005D5920" w:rsidRPr="002532DF">
        <w:rPr>
          <w:sz w:val="25"/>
          <w:szCs w:val="25"/>
        </w:rPr>
        <w:t>’s</w:t>
      </w:r>
      <w:r w:rsidRPr="002532DF">
        <w:rPr>
          <w:sz w:val="25"/>
          <w:szCs w:val="25"/>
        </w:rPr>
        <w:t xml:space="preserve"> adjustment because it </w:t>
      </w:r>
      <w:r w:rsidR="002D0F1F" w:rsidRPr="002532DF">
        <w:rPr>
          <w:sz w:val="25"/>
          <w:szCs w:val="25"/>
        </w:rPr>
        <w:t xml:space="preserve">is contrary to the principles of consistency and gradualism as it </w:t>
      </w:r>
      <w:r w:rsidRPr="002532DF">
        <w:rPr>
          <w:sz w:val="25"/>
          <w:szCs w:val="25"/>
        </w:rPr>
        <w:t>has the potential to create rate volatility and shift costs between customer classes</w:t>
      </w:r>
      <w:r w:rsidR="002D0F1F" w:rsidRPr="002532DF">
        <w:rPr>
          <w:sz w:val="25"/>
          <w:szCs w:val="25"/>
        </w:rPr>
        <w:t xml:space="preserve">.  It further argues </w:t>
      </w:r>
      <w:r w:rsidR="007A1375" w:rsidRPr="002532DF">
        <w:rPr>
          <w:sz w:val="25"/>
          <w:szCs w:val="25"/>
        </w:rPr>
        <w:t>that ICNU’s</w:t>
      </w:r>
      <w:r w:rsidR="002D0F1F" w:rsidRPr="002532DF">
        <w:rPr>
          <w:sz w:val="25"/>
          <w:szCs w:val="25"/>
        </w:rPr>
        <w:t xml:space="preserve"> proposal</w:t>
      </w:r>
      <w:r w:rsidRPr="002532DF">
        <w:rPr>
          <w:sz w:val="25"/>
          <w:szCs w:val="25"/>
        </w:rPr>
        <w:t xml:space="preserve"> is not based on analytical analysis</w:t>
      </w:r>
      <w:r w:rsidR="002D0F1F" w:rsidRPr="002532DF">
        <w:rPr>
          <w:sz w:val="25"/>
          <w:szCs w:val="25"/>
        </w:rPr>
        <w:t xml:space="preserve"> and that it uses</w:t>
      </w:r>
      <w:r w:rsidRPr="002532DF">
        <w:rPr>
          <w:sz w:val="25"/>
          <w:szCs w:val="25"/>
        </w:rPr>
        <w:t xml:space="preserve"> total system peak hours and not just the </w:t>
      </w:r>
      <w:r w:rsidR="008E6B28">
        <w:rPr>
          <w:sz w:val="25"/>
          <w:szCs w:val="25"/>
        </w:rPr>
        <w:t>West Control Area</w:t>
      </w:r>
      <w:r w:rsidR="002D0F1F" w:rsidRPr="002532DF">
        <w:rPr>
          <w:sz w:val="25"/>
          <w:szCs w:val="25"/>
        </w:rPr>
        <w:t xml:space="preserve"> to determine its results.</w:t>
      </w:r>
      <w:r w:rsidRPr="002532DF">
        <w:rPr>
          <w:rStyle w:val="FootnoteReference"/>
          <w:sz w:val="25"/>
          <w:szCs w:val="25"/>
        </w:rPr>
        <w:footnoteReference w:id="461"/>
      </w:r>
      <w:r w:rsidRPr="002532DF">
        <w:rPr>
          <w:sz w:val="25"/>
          <w:szCs w:val="25"/>
        </w:rPr>
        <w:t xml:space="preserve"> </w:t>
      </w:r>
    </w:p>
    <w:p w:rsidR="00EC45A4" w:rsidRPr="002532DF" w:rsidRDefault="00EC45A4" w:rsidP="00817E21">
      <w:pPr>
        <w:spacing w:line="276" w:lineRule="auto"/>
        <w:rPr>
          <w:sz w:val="25"/>
          <w:szCs w:val="25"/>
        </w:rPr>
      </w:pPr>
    </w:p>
    <w:p w:rsidR="006D592D" w:rsidRPr="002532DF" w:rsidRDefault="006D592D" w:rsidP="00027588">
      <w:pPr>
        <w:numPr>
          <w:ilvl w:val="0"/>
          <w:numId w:val="1"/>
        </w:numPr>
        <w:tabs>
          <w:tab w:val="clear" w:pos="720"/>
          <w:tab w:val="num" w:pos="0"/>
        </w:tabs>
        <w:spacing w:line="276" w:lineRule="auto"/>
        <w:ind w:left="0"/>
        <w:rPr>
          <w:sz w:val="25"/>
          <w:szCs w:val="25"/>
        </w:rPr>
      </w:pPr>
      <w:r w:rsidRPr="002532DF">
        <w:rPr>
          <w:sz w:val="25"/>
          <w:szCs w:val="25"/>
        </w:rPr>
        <w:t xml:space="preserve">In cross-answering testimony, Staff agrees that the cost of meeting peak demand should be shared by those </w:t>
      </w:r>
      <w:r w:rsidR="002D0F1F" w:rsidRPr="002532DF">
        <w:rPr>
          <w:sz w:val="25"/>
          <w:szCs w:val="25"/>
        </w:rPr>
        <w:t>using the system</w:t>
      </w:r>
      <w:r w:rsidRPr="002532DF">
        <w:rPr>
          <w:sz w:val="25"/>
          <w:szCs w:val="25"/>
        </w:rPr>
        <w:t xml:space="preserve"> at that time but disagrees with ICNU that peak demand should be calculated using only 71 hours or 0.8 percent of the year.</w:t>
      </w:r>
      <w:r w:rsidRPr="002532DF">
        <w:rPr>
          <w:rStyle w:val="FootnoteReference"/>
          <w:sz w:val="25"/>
          <w:szCs w:val="25"/>
        </w:rPr>
        <w:footnoteReference w:id="462"/>
      </w:r>
      <w:r w:rsidRPr="002532DF">
        <w:rPr>
          <w:sz w:val="25"/>
          <w:szCs w:val="25"/>
        </w:rPr>
        <w:t xml:space="preserve">  Staff argues that it is more reasonable to calculate peak demand using 200 peak hours and note that this time period was specifically approved by the Commission in a previous P</w:t>
      </w:r>
      <w:r w:rsidR="002D0F1F" w:rsidRPr="002532DF">
        <w:rPr>
          <w:sz w:val="25"/>
          <w:szCs w:val="25"/>
        </w:rPr>
        <w:t>SE</w:t>
      </w:r>
      <w:r w:rsidRPr="002532DF">
        <w:rPr>
          <w:sz w:val="25"/>
          <w:szCs w:val="25"/>
        </w:rPr>
        <w:t xml:space="preserve"> case.</w:t>
      </w:r>
      <w:r w:rsidRPr="002532DF">
        <w:rPr>
          <w:rStyle w:val="FootnoteReference"/>
          <w:sz w:val="25"/>
          <w:szCs w:val="25"/>
        </w:rPr>
        <w:footnoteReference w:id="463"/>
      </w:r>
      <w:r w:rsidRPr="002532DF">
        <w:rPr>
          <w:sz w:val="25"/>
          <w:szCs w:val="25"/>
        </w:rPr>
        <w:t xml:space="preserve">  Staff concludes that adopting ICNU’s recommendation will </w:t>
      </w:r>
      <w:r w:rsidR="002D0F1F" w:rsidRPr="002532DF">
        <w:rPr>
          <w:sz w:val="25"/>
          <w:szCs w:val="25"/>
        </w:rPr>
        <w:t xml:space="preserve">further </w:t>
      </w:r>
      <w:r w:rsidRPr="002532DF">
        <w:rPr>
          <w:sz w:val="25"/>
          <w:szCs w:val="25"/>
        </w:rPr>
        <w:t>shift costs to residential customers from industrial customers.</w:t>
      </w:r>
      <w:r w:rsidRPr="002532DF">
        <w:rPr>
          <w:rStyle w:val="FootnoteReference"/>
          <w:sz w:val="25"/>
          <w:szCs w:val="25"/>
        </w:rPr>
        <w:footnoteReference w:id="464"/>
      </w:r>
    </w:p>
    <w:p w:rsidR="002723D0" w:rsidRPr="002532DF" w:rsidRDefault="002723D0" w:rsidP="002723D0">
      <w:pPr>
        <w:spacing w:line="276" w:lineRule="auto"/>
        <w:ind w:left="-720"/>
        <w:rPr>
          <w:sz w:val="25"/>
          <w:szCs w:val="25"/>
        </w:rPr>
      </w:pPr>
    </w:p>
    <w:p w:rsidR="00652735" w:rsidRPr="002532DF" w:rsidRDefault="002D0F1F" w:rsidP="00027588">
      <w:pPr>
        <w:numPr>
          <w:ilvl w:val="0"/>
          <w:numId w:val="1"/>
        </w:numPr>
        <w:tabs>
          <w:tab w:val="clear" w:pos="720"/>
          <w:tab w:val="num" w:pos="0"/>
        </w:tabs>
        <w:spacing w:line="276" w:lineRule="auto"/>
        <w:ind w:left="0"/>
        <w:rPr>
          <w:sz w:val="25"/>
          <w:szCs w:val="25"/>
        </w:rPr>
      </w:pPr>
      <w:r w:rsidRPr="002532DF">
        <w:rPr>
          <w:sz w:val="25"/>
          <w:szCs w:val="25"/>
        </w:rPr>
        <w:t>In summary, t</w:t>
      </w:r>
      <w:r w:rsidR="002723D0" w:rsidRPr="002532DF">
        <w:rPr>
          <w:sz w:val="25"/>
          <w:szCs w:val="25"/>
        </w:rPr>
        <w:t xml:space="preserve">he sole area of dispute regarding the Company’s COSS is the method used to calculate peak demand.  ICNU seeks to narrow the peak demand calculation to those hours </w:t>
      </w:r>
      <w:r w:rsidR="00D242DB">
        <w:rPr>
          <w:sz w:val="25"/>
          <w:szCs w:val="25"/>
        </w:rPr>
        <w:t>that</w:t>
      </w:r>
      <w:r w:rsidR="002723D0" w:rsidRPr="002532DF">
        <w:rPr>
          <w:sz w:val="25"/>
          <w:szCs w:val="25"/>
        </w:rPr>
        <w:t xml:space="preserve"> fall within 95 percent of the system peak</w:t>
      </w:r>
      <w:r w:rsidR="005D5920" w:rsidRPr="002532DF">
        <w:rPr>
          <w:sz w:val="25"/>
          <w:szCs w:val="25"/>
        </w:rPr>
        <w:t>, instead of using the Company’s proposed 200 peak hours</w:t>
      </w:r>
      <w:r w:rsidR="002723D0" w:rsidRPr="002532DF">
        <w:rPr>
          <w:sz w:val="25"/>
          <w:szCs w:val="25"/>
        </w:rPr>
        <w:t>.</w:t>
      </w:r>
      <w:r w:rsidR="005D5920" w:rsidRPr="002532DF">
        <w:rPr>
          <w:sz w:val="25"/>
          <w:szCs w:val="25"/>
        </w:rPr>
        <w:t xml:space="preserve">  The Company and Staff disagree with ICNU’s approach and assumptions.</w:t>
      </w:r>
      <w:r w:rsidR="002723D0" w:rsidRPr="002532DF">
        <w:rPr>
          <w:sz w:val="25"/>
          <w:szCs w:val="25"/>
        </w:rPr>
        <w:t xml:space="preserve">  </w:t>
      </w:r>
    </w:p>
    <w:p w:rsidR="00652735" w:rsidRPr="002532DF" w:rsidRDefault="00652735" w:rsidP="00652735">
      <w:pPr>
        <w:spacing w:line="276" w:lineRule="auto"/>
        <w:ind w:left="-720"/>
        <w:rPr>
          <w:sz w:val="25"/>
          <w:szCs w:val="25"/>
        </w:rPr>
      </w:pPr>
    </w:p>
    <w:p w:rsidR="000024FA" w:rsidRPr="002532DF" w:rsidRDefault="00480F16" w:rsidP="00027588">
      <w:pPr>
        <w:numPr>
          <w:ilvl w:val="0"/>
          <w:numId w:val="1"/>
        </w:numPr>
        <w:tabs>
          <w:tab w:val="clear" w:pos="720"/>
          <w:tab w:val="num" w:pos="0"/>
        </w:tabs>
        <w:spacing w:line="276" w:lineRule="auto"/>
        <w:ind w:left="0"/>
        <w:rPr>
          <w:sz w:val="25"/>
          <w:szCs w:val="25"/>
        </w:rPr>
      </w:pPr>
      <w:r w:rsidRPr="002532DF">
        <w:rPr>
          <w:i/>
          <w:sz w:val="25"/>
          <w:szCs w:val="25"/>
        </w:rPr>
        <w:t xml:space="preserve">Commission Decision.  </w:t>
      </w:r>
      <w:r w:rsidR="00652735" w:rsidRPr="002532DF">
        <w:rPr>
          <w:sz w:val="25"/>
          <w:szCs w:val="25"/>
        </w:rPr>
        <w:t xml:space="preserve">We accept the Company’s unopposed revision to its COSS to replace a </w:t>
      </w:r>
      <w:r w:rsidR="007A1375" w:rsidRPr="002532DF">
        <w:rPr>
          <w:sz w:val="25"/>
          <w:szCs w:val="25"/>
        </w:rPr>
        <w:t>SCCT</w:t>
      </w:r>
      <w:r w:rsidR="00652735" w:rsidRPr="002532DF">
        <w:rPr>
          <w:sz w:val="25"/>
          <w:szCs w:val="25"/>
        </w:rPr>
        <w:t xml:space="preserve"> with the costs of its BPA contract.  This revision synchronizes the calculation of demand-related and energy-related costs with the Company’s actual operations</w:t>
      </w:r>
      <w:r w:rsidR="002D0F1F" w:rsidRPr="002532DF">
        <w:rPr>
          <w:sz w:val="25"/>
          <w:szCs w:val="25"/>
        </w:rPr>
        <w:t>.</w:t>
      </w:r>
      <w:r w:rsidR="00652735" w:rsidRPr="002532DF">
        <w:rPr>
          <w:sz w:val="25"/>
          <w:szCs w:val="25"/>
        </w:rPr>
        <w:t xml:space="preserve">  </w:t>
      </w:r>
      <w:r w:rsidR="002D0F1F" w:rsidRPr="002532DF">
        <w:rPr>
          <w:sz w:val="25"/>
          <w:szCs w:val="25"/>
        </w:rPr>
        <w:t>While we</w:t>
      </w:r>
      <w:r w:rsidR="00652735" w:rsidRPr="002532DF">
        <w:rPr>
          <w:sz w:val="25"/>
          <w:szCs w:val="25"/>
        </w:rPr>
        <w:t xml:space="preserve"> recognize that this modification results in more costs being </w:t>
      </w:r>
      <w:r w:rsidR="000024FA" w:rsidRPr="002532DF">
        <w:rPr>
          <w:sz w:val="25"/>
          <w:szCs w:val="25"/>
        </w:rPr>
        <w:t xml:space="preserve">allocated to residential </w:t>
      </w:r>
      <w:r w:rsidR="002D0F1F" w:rsidRPr="002532DF">
        <w:rPr>
          <w:sz w:val="25"/>
          <w:szCs w:val="25"/>
        </w:rPr>
        <w:t>customers, the change better represents actual system use by the affected classes.  We believe this is a sufficient reason to make the change.</w:t>
      </w:r>
    </w:p>
    <w:p w:rsidR="000024FA" w:rsidRPr="002532DF" w:rsidRDefault="000024FA" w:rsidP="000024FA">
      <w:pPr>
        <w:spacing w:line="276" w:lineRule="auto"/>
        <w:ind w:left="-720"/>
        <w:rPr>
          <w:sz w:val="25"/>
          <w:szCs w:val="25"/>
        </w:rPr>
      </w:pPr>
    </w:p>
    <w:p w:rsidR="008D746F" w:rsidRPr="002532DF" w:rsidRDefault="00435E25" w:rsidP="00027588">
      <w:pPr>
        <w:numPr>
          <w:ilvl w:val="0"/>
          <w:numId w:val="1"/>
        </w:numPr>
        <w:tabs>
          <w:tab w:val="clear" w:pos="720"/>
          <w:tab w:val="num" w:pos="0"/>
        </w:tabs>
        <w:spacing w:line="276" w:lineRule="auto"/>
        <w:ind w:left="0"/>
        <w:rPr>
          <w:sz w:val="25"/>
          <w:szCs w:val="25"/>
        </w:rPr>
      </w:pPr>
      <w:r w:rsidRPr="002532DF">
        <w:rPr>
          <w:sz w:val="25"/>
          <w:szCs w:val="25"/>
        </w:rPr>
        <w:t>As to the issue in dispute, w</w:t>
      </w:r>
      <w:r w:rsidR="000024FA" w:rsidRPr="002532DF">
        <w:rPr>
          <w:sz w:val="25"/>
          <w:szCs w:val="25"/>
        </w:rPr>
        <w:t xml:space="preserve">e reject ICNU’s </w:t>
      </w:r>
      <w:r w:rsidRPr="002532DF">
        <w:rPr>
          <w:sz w:val="25"/>
          <w:szCs w:val="25"/>
        </w:rPr>
        <w:t xml:space="preserve">proposal to recalculate the COSS’ </w:t>
      </w:r>
      <w:r w:rsidR="000024FA" w:rsidRPr="002532DF">
        <w:rPr>
          <w:sz w:val="25"/>
          <w:szCs w:val="25"/>
        </w:rPr>
        <w:t xml:space="preserve">peak demand calculation.  </w:t>
      </w:r>
      <w:r w:rsidR="0041402D" w:rsidRPr="002532DF">
        <w:rPr>
          <w:sz w:val="25"/>
          <w:szCs w:val="25"/>
        </w:rPr>
        <w:t xml:space="preserve">ICNU’s calculation would </w:t>
      </w:r>
      <w:r w:rsidRPr="002532DF">
        <w:rPr>
          <w:sz w:val="25"/>
          <w:szCs w:val="25"/>
        </w:rPr>
        <w:t>calculate peak COSS from only</w:t>
      </w:r>
      <w:r w:rsidR="0041402D" w:rsidRPr="002532DF">
        <w:rPr>
          <w:sz w:val="25"/>
          <w:szCs w:val="25"/>
        </w:rPr>
        <w:t xml:space="preserve"> 71 hours</w:t>
      </w:r>
      <w:r w:rsidRPr="002532DF">
        <w:rPr>
          <w:sz w:val="25"/>
          <w:szCs w:val="25"/>
        </w:rPr>
        <w:t xml:space="preserve"> annually</w:t>
      </w:r>
      <w:r w:rsidR="0041402D" w:rsidRPr="002532DF">
        <w:rPr>
          <w:sz w:val="25"/>
          <w:szCs w:val="25"/>
        </w:rPr>
        <w:t xml:space="preserve">, or approximately one-third of the hours considered by PacifiCorp.  </w:t>
      </w:r>
      <w:r w:rsidR="001B5A02" w:rsidRPr="002532DF">
        <w:rPr>
          <w:sz w:val="25"/>
          <w:szCs w:val="25"/>
        </w:rPr>
        <w:t xml:space="preserve">As we have in the past when presented with </w:t>
      </w:r>
      <w:r w:rsidR="007A1375" w:rsidRPr="002532DF">
        <w:rPr>
          <w:sz w:val="25"/>
          <w:szCs w:val="25"/>
        </w:rPr>
        <w:t>a</w:t>
      </w:r>
      <w:r w:rsidR="001B5A02" w:rsidRPr="002532DF">
        <w:rPr>
          <w:sz w:val="25"/>
          <w:szCs w:val="25"/>
        </w:rPr>
        <w:t xml:space="preserve"> precise revision to peak demand, we conclude that this is too narrow a range</w:t>
      </w:r>
      <w:r w:rsidR="007F713C" w:rsidRPr="002532DF">
        <w:rPr>
          <w:sz w:val="25"/>
          <w:szCs w:val="25"/>
        </w:rPr>
        <w:t xml:space="preserve">. </w:t>
      </w:r>
      <w:r w:rsidR="007F713C" w:rsidRPr="002532DF">
        <w:rPr>
          <w:rStyle w:val="FootnoteReference"/>
          <w:sz w:val="25"/>
          <w:szCs w:val="25"/>
        </w:rPr>
        <w:footnoteReference w:id="465"/>
      </w:r>
      <w:r w:rsidR="007F713C" w:rsidRPr="002532DF">
        <w:rPr>
          <w:sz w:val="25"/>
          <w:szCs w:val="25"/>
        </w:rPr>
        <w:t xml:space="preserve">  </w:t>
      </w:r>
      <w:r w:rsidRPr="002532DF">
        <w:rPr>
          <w:sz w:val="25"/>
          <w:szCs w:val="25"/>
        </w:rPr>
        <w:t>We agree with</w:t>
      </w:r>
      <w:r w:rsidR="007F713C" w:rsidRPr="002532DF">
        <w:rPr>
          <w:sz w:val="25"/>
          <w:szCs w:val="25"/>
        </w:rPr>
        <w:t xml:space="preserve"> </w:t>
      </w:r>
      <w:r w:rsidR="007A1375" w:rsidRPr="002532DF">
        <w:rPr>
          <w:sz w:val="25"/>
          <w:szCs w:val="25"/>
        </w:rPr>
        <w:t>PacifiCorp that</w:t>
      </w:r>
      <w:r w:rsidR="007F713C" w:rsidRPr="002532DF">
        <w:rPr>
          <w:sz w:val="25"/>
          <w:szCs w:val="25"/>
        </w:rPr>
        <w:t xml:space="preserve"> </w:t>
      </w:r>
      <w:r w:rsidRPr="002532DF">
        <w:rPr>
          <w:sz w:val="25"/>
          <w:szCs w:val="25"/>
        </w:rPr>
        <w:t xml:space="preserve">ICNU’s proposal could produce </w:t>
      </w:r>
      <w:r w:rsidR="007F713C" w:rsidRPr="002532DF">
        <w:rPr>
          <w:sz w:val="25"/>
          <w:szCs w:val="25"/>
        </w:rPr>
        <w:t>volatility in results depending on the test period</w:t>
      </w:r>
      <w:r w:rsidRPr="002532DF">
        <w:rPr>
          <w:sz w:val="25"/>
          <w:szCs w:val="25"/>
        </w:rPr>
        <w:t>.</w:t>
      </w:r>
      <w:r w:rsidR="007F713C" w:rsidRPr="002532DF">
        <w:rPr>
          <w:rStyle w:val="FootnoteReference"/>
          <w:sz w:val="25"/>
          <w:szCs w:val="25"/>
        </w:rPr>
        <w:footnoteReference w:id="466"/>
      </w:r>
      <w:r w:rsidR="005B1944" w:rsidRPr="002532DF">
        <w:rPr>
          <w:sz w:val="25"/>
          <w:szCs w:val="25"/>
        </w:rPr>
        <w:t xml:space="preserve">  </w:t>
      </w:r>
      <w:r w:rsidR="00D62604" w:rsidRPr="002532DF">
        <w:rPr>
          <w:sz w:val="25"/>
          <w:szCs w:val="25"/>
        </w:rPr>
        <w:t>While i</w:t>
      </w:r>
      <w:r w:rsidR="001B5A02" w:rsidRPr="002532DF">
        <w:rPr>
          <w:sz w:val="25"/>
          <w:szCs w:val="25"/>
        </w:rPr>
        <w:t xml:space="preserve">t is reasonable to allocate the costs of peaking resources based on the hours </w:t>
      </w:r>
      <w:r w:rsidR="000E090F">
        <w:rPr>
          <w:sz w:val="25"/>
          <w:szCs w:val="25"/>
        </w:rPr>
        <w:t>those resources</w:t>
      </w:r>
      <w:r w:rsidR="001B5A02" w:rsidRPr="002532DF">
        <w:rPr>
          <w:sz w:val="25"/>
          <w:szCs w:val="25"/>
        </w:rPr>
        <w:t xml:space="preserve"> will actually be used to serve load</w:t>
      </w:r>
      <w:r w:rsidR="00D62604" w:rsidRPr="002532DF">
        <w:rPr>
          <w:sz w:val="25"/>
          <w:szCs w:val="25"/>
        </w:rPr>
        <w:t>, the allocation method should be flexible enough to incorporate the variable peaks experience</w:t>
      </w:r>
      <w:r w:rsidR="000E090F">
        <w:rPr>
          <w:sz w:val="25"/>
          <w:szCs w:val="25"/>
        </w:rPr>
        <w:t>d</w:t>
      </w:r>
      <w:r w:rsidR="00D62604" w:rsidRPr="002532DF">
        <w:rPr>
          <w:sz w:val="25"/>
          <w:szCs w:val="25"/>
        </w:rPr>
        <w:t xml:space="preserve"> in Washington</w:t>
      </w:r>
      <w:r w:rsidR="001B5A02" w:rsidRPr="002532DF">
        <w:rPr>
          <w:sz w:val="25"/>
          <w:szCs w:val="25"/>
        </w:rPr>
        <w:t xml:space="preserve">.  </w:t>
      </w:r>
      <w:r w:rsidR="00D62604" w:rsidRPr="002532DF">
        <w:rPr>
          <w:sz w:val="25"/>
          <w:szCs w:val="25"/>
        </w:rPr>
        <w:t xml:space="preserve">PacifiCorp experiences both a summer peak and a winter peak, and its </w:t>
      </w:r>
      <w:r w:rsidR="001B5A02" w:rsidRPr="002532DF">
        <w:rPr>
          <w:sz w:val="25"/>
          <w:szCs w:val="25"/>
        </w:rPr>
        <w:t xml:space="preserve">proposal to include 100 summer hours and 100 winter hours </w:t>
      </w:r>
      <w:r w:rsidR="00D62604" w:rsidRPr="002532DF">
        <w:rPr>
          <w:sz w:val="25"/>
          <w:szCs w:val="25"/>
        </w:rPr>
        <w:t xml:space="preserve">to determine peak demand </w:t>
      </w:r>
      <w:r w:rsidR="001B5A02" w:rsidRPr="002532DF">
        <w:rPr>
          <w:sz w:val="25"/>
          <w:szCs w:val="25"/>
        </w:rPr>
        <w:t xml:space="preserve">recognizes </w:t>
      </w:r>
      <w:r w:rsidR="00D62604" w:rsidRPr="002532DF">
        <w:rPr>
          <w:sz w:val="25"/>
          <w:szCs w:val="25"/>
        </w:rPr>
        <w:t xml:space="preserve">how </w:t>
      </w:r>
      <w:r w:rsidR="001B5A02" w:rsidRPr="002532DF">
        <w:rPr>
          <w:sz w:val="25"/>
          <w:szCs w:val="25"/>
        </w:rPr>
        <w:t xml:space="preserve">resources </w:t>
      </w:r>
      <w:r w:rsidR="007F713C" w:rsidRPr="002532DF">
        <w:rPr>
          <w:sz w:val="25"/>
          <w:szCs w:val="25"/>
        </w:rPr>
        <w:t>are used</w:t>
      </w:r>
      <w:r w:rsidR="00D62604" w:rsidRPr="002532DF">
        <w:rPr>
          <w:sz w:val="25"/>
          <w:szCs w:val="25"/>
        </w:rPr>
        <w:t>.</w:t>
      </w:r>
      <w:r w:rsidR="007F713C" w:rsidRPr="002532DF">
        <w:rPr>
          <w:sz w:val="25"/>
          <w:szCs w:val="25"/>
        </w:rPr>
        <w:t xml:space="preserve"> </w:t>
      </w:r>
      <w:r w:rsidR="000C3B67" w:rsidRPr="002532DF">
        <w:rPr>
          <w:sz w:val="25"/>
          <w:szCs w:val="25"/>
        </w:rPr>
        <w:t xml:space="preserve"> </w:t>
      </w:r>
      <w:r w:rsidR="007F713C" w:rsidRPr="002532DF">
        <w:rPr>
          <w:sz w:val="25"/>
          <w:szCs w:val="25"/>
        </w:rPr>
        <w:t xml:space="preserve">The Company </w:t>
      </w:r>
      <w:r w:rsidR="00D62604" w:rsidRPr="002532DF">
        <w:rPr>
          <w:sz w:val="25"/>
          <w:szCs w:val="25"/>
        </w:rPr>
        <w:t>points out</w:t>
      </w:r>
      <w:r w:rsidR="007F713C" w:rsidRPr="002532DF">
        <w:rPr>
          <w:sz w:val="25"/>
          <w:szCs w:val="25"/>
        </w:rPr>
        <w:t xml:space="preserve"> that had </w:t>
      </w:r>
      <w:r w:rsidR="000E090F">
        <w:rPr>
          <w:sz w:val="25"/>
          <w:szCs w:val="25"/>
        </w:rPr>
        <w:t xml:space="preserve">ICNU’s proposed methodology </w:t>
      </w:r>
      <w:r w:rsidR="007F713C" w:rsidRPr="002532DF">
        <w:rPr>
          <w:sz w:val="25"/>
          <w:szCs w:val="25"/>
        </w:rPr>
        <w:t xml:space="preserve">been in place during </w:t>
      </w:r>
      <w:r w:rsidR="000E090F">
        <w:rPr>
          <w:sz w:val="25"/>
          <w:szCs w:val="25"/>
        </w:rPr>
        <w:t>PacifiCorp’s</w:t>
      </w:r>
      <w:r w:rsidR="007F713C" w:rsidRPr="002532DF">
        <w:rPr>
          <w:sz w:val="25"/>
          <w:szCs w:val="25"/>
        </w:rPr>
        <w:t xml:space="preserve"> last rate case</w:t>
      </w:r>
      <w:r w:rsidR="00D62604" w:rsidRPr="002532DF">
        <w:rPr>
          <w:sz w:val="25"/>
          <w:szCs w:val="25"/>
        </w:rPr>
        <w:t xml:space="preserve">, only </w:t>
      </w:r>
      <w:r w:rsidR="007F713C" w:rsidRPr="002532DF">
        <w:rPr>
          <w:sz w:val="25"/>
          <w:szCs w:val="25"/>
        </w:rPr>
        <w:t xml:space="preserve">35 hours would have been </w:t>
      </w:r>
      <w:r w:rsidR="00D62604" w:rsidRPr="002532DF">
        <w:rPr>
          <w:sz w:val="25"/>
          <w:szCs w:val="25"/>
        </w:rPr>
        <w:t>used to determine peak demand</w:t>
      </w:r>
      <w:r w:rsidR="007F713C" w:rsidRPr="002532DF">
        <w:rPr>
          <w:sz w:val="25"/>
          <w:szCs w:val="25"/>
        </w:rPr>
        <w:t xml:space="preserve"> and none of those hours would have included the winter peak.</w:t>
      </w:r>
      <w:r w:rsidR="007F713C" w:rsidRPr="002532DF">
        <w:rPr>
          <w:rStyle w:val="FootnoteReference"/>
          <w:sz w:val="25"/>
          <w:szCs w:val="25"/>
        </w:rPr>
        <w:footnoteReference w:id="467"/>
      </w:r>
      <w:r w:rsidR="007F713C" w:rsidRPr="002532DF">
        <w:rPr>
          <w:sz w:val="25"/>
          <w:szCs w:val="25"/>
        </w:rPr>
        <w:t xml:space="preserve"> </w:t>
      </w:r>
      <w:r w:rsidR="001B5A02" w:rsidRPr="002532DF">
        <w:rPr>
          <w:sz w:val="25"/>
          <w:szCs w:val="25"/>
        </w:rPr>
        <w:t xml:space="preserve"> </w:t>
      </w:r>
      <w:r w:rsidR="007F713C" w:rsidRPr="002532DF">
        <w:rPr>
          <w:sz w:val="25"/>
          <w:szCs w:val="25"/>
        </w:rPr>
        <w:t xml:space="preserve">This example clearly demonstrates that </w:t>
      </w:r>
      <w:r w:rsidR="00D62604" w:rsidRPr="002532DF">
        <w:rPr>
          <w:sz w:val="25"/>
          <w:szCs w:val="25"/>
        </w:rPr>
        <w:t xml:space="preserve">ICNU’s proposed methodology produces </w:t>
      </w:r>
      <w:r w:rsidR="007F713C" w:rsidRPr="002532DF">
        <w:rPr>
          <w:sz w:val="25"/>
          <w:szCs w:val="25"/>
        </w:rPr>
        <w:t>unreasonable results and should be rejected.</w:t>
      </w:r>
    </w:p>
    <w:p w:rsidR="00C47C11" w:rsidRPr="002532DF" w:rsidRDefault="00C47C11" w:rsidP="00320C1B">
      <w:pPr>
        <w:pStyle w:val="Heading4"/>
        <w:ind w:left="1080" w:hanging="360"/>
        <w:rPr>
          <w:rFonts w:ascii="Times New Roman" w:hAnsi="Times New Roman"/>
          <w:sz w:val="25"/>
          <w:szCs w:val="25"/>
        </w:rPr>
      </w:pPr>
      <w:bookmarkStart w:id="73" w:name="_Toc288813764"/>
      <w:r w:rsidRPr="002532DF">
        <w:rPr>
          <w:rFonts w:ascii="Times New Roman" w:hAnsi="Times New Roman"/>
          <w:sz w:val="25"/>
          <w:szCs w:val="25"/>
        </w:rPr>
        <w:t>2.</w:t>
      </w:r>
      <w:r w:rsidRPr="002532DF">
        <w:rPr>
          <w:rFonts w:ascii="Times New Roman" w:hAnsi="Times New Roman"/>
          <w:sz w:val="25"/>
          <w:szCs w:val="25"/>
        </w:rPr>
        <w:tab/>
        <w:t>Rate Spread</w:t>
      </w:r>
      <w:bookmarkEnd w:id="73"/>
    </w:p>
    <w:p w:rsidR="00C47C11" w:rsidRDefault="00C47C11" w:rsidP="00817E21">
      <w:pPr>
        <w:tabs>
          <w:tab w:val="left" w:pos="1800"/>
        </w:tabs>
        <w:spacing w:line="276" w:lineRule="auto"/>
        <w:ind w:left="1440"/>
        <w:rPr>
          <w:b/>
          <w:sz w:val="25"/>
          <w:szCs w:val="25"/>
        </w:rPr>
      </w:pPr>
    </w:p>
    <w:p w:rsidR="000E090F" w:rsidRPr="00CE557B" w:rsidRDefault="000E090F" w:rsidP="000E090F">
      <w:pPr>
        <w:numPr>
          <w:ilvl w:val="0"/>
          <w:numId w:val="1"/>
        </w:numPr>
        <w:tabs>
          <w:tab w:val="clear" w:pos="720"/>
          <w:tab w:val="num" w:pos="0"/>
        </w:tabs>
        <w:spacing w:after="240" w:line="276" w:lineRule="auto"/>
        <w:ind w:left="0"/>
        <w:rPr>
          <w:sz w:val="25"/>
          <w:szCs w:val="25"/>
        </w:rPr>
      </w:pPr>
      <w:r>
        <w:rPr>
          <w:sz w:val="25"/>
          <w:szCs w:val="25"/>
        </w:rPr>
        <w:t>Having allocated its costs among customer classes, PacifiCorp must assign recovery of those costs to each class.  Each class generally should be responsible for the costs it causes, but public policy goals and other factors influence the extent to which the rates charged a particular class recover all of the costs allocated to that class.  The Commission reviews this rate spread to ensure that it is fair, just, and reasonable.</w:t>
      </w:r>
    </w:p>
    <w:p w:rsidR="000E090F" w:rsidRPr="002532DF" w:rsidRDefault="000E090F" w:rsidP="00817E21">
      <w:pPr>
        <w:tabs>
          <w:tab w:val="left" w:pos="1800"/>
        </w:tabs>
        <w:spacing w:line="276" w:lineRule="auto"/>
        <w:ind w:left="1440"/>
        <w:rPr>
          <w:b/>
          <w:sz w:val="25"/>
          <w:szCs w:val="25"/>
        </w:rPr>
      </w:pPr>
    </w:p>
    <w:p w:rsidR="006D592D" w:rsidRPr="002532DF" w:rsidRDefault="006F1B90" w:rsidP="00027588">
      <w:pPr>
        <w:numPr>
          <w:ilvl w:val="0"/>
          <w:numId w:val="1"/>
        </w:numPr>
        <w:tabs>
          <w:tab w:val="clear" w:pos="720"/>
          <w:tab w:val="num" w:pos="0"/>
        </w:tabs>
        <w:spacing w:line="276" w:lineRule="auto"/>
        <w:ind w:left="0"/>
        <w:rPr>
          <w:sz w:val="25"/>
          <w:szCs w:val="25"/>
        </w:rPr>
      </w:pPr>
      <w:r w:rsidRPr="002532DF">
        <w:rPr>
          <w:i/>
          <w:sz w:val="25"/>
          <w:szCs w:val="25"/>
        </w:rPr>
        <w:t xml:space="preserve">Positions of the Parties.  </w:t>
      </w:r>
      <w:r w:rsidR="00544CB5" w:rsidRPr="002532DF">
        <w:rPr>
          <w:sz w:val="25"/>
          <w:szCs w:val="25"/>
        </w:rPr>
        <w:t>In its initial filing, PacifiCorp</w:t>
      </w:r>
      <w:r w:rsidR="006D592D" w:rsidRPr="002532DF">
        <w:rPr>
          <w:sz w:val="25"/>
          <w:szCs w:val="25"/>
        </w:rPr>
        <w:t xml:space="preserve"> propose</w:t>
      </w:r>
      <w:r w:rsidR="000E090F">
        <w:rPr>
          <w:sz w:val="25"/>
          <w:szCs w:val="25"/>
        </w:rPr>
        <w:t>d</w:t>
      </w:r>
      <w:r w:rsidR="006D592D" w:rsidRPr="002532DF">
        <w:rPr>
          <w:sz w:val="25"/>
          <w:szCs w:val="25"/>
        </w:rPr>
        <w:t xml:space="preserve"> to spread the rate increase to all rate schedules, other than street lighting, on an equal percentage basis.</w:t>
      </w:r>
      <w:r w:rsidR="006D592D" w:rsidRPr="002532DF">
        <w:rPr>
          <w:rStyle w:val="FootnoteReference"/>
          <w:sz w:val="25"/>
          <w:szCs w:val="25"/>
        </w:rPr>
        <w:footnoteReference w:id="468"/>
      </w:r>
      <w:r w:rsidR="006D592D" w:rsidRPr="002532DF">
        <w:rPr>
          <w:sz w:val="25"/>
          <w:szCs w:val="25"/>
        </w:rPr>
        <w:t xml:space="preserve">  For street lighting customers, the COSS results suggest only a small increase; the Company proposes a five percent increase for this schedule.</w:t>
      </w:r>
      <w:r w:rsidR="006D592D" w:rsidRPr="002532DF">
        <w:rPr>
          <w:rStyle w:val="FootnoteReference"/>
          <w:sz w:val="25"/>
          <w:szCs w:val="25"/>
        </w:rPr>
        <w:footnoteReference w:id="469"/>
      </w:r>
      <w:r w:rsidR="006D592D" w:rsidRPr="002532DF">
        <w:rPr>
          <w:sz w:val="25"/>
          <w:szCs w:val="25"/>
        </w:rPr>
        <w:t xml:space="preserve">  </w:t>
      </w:r>
    </w:p>
    <w:p w:rsidR="00EC45A4" w:rsidRPr="002532DF" w:rsidRDefault="00EC45A4" w:rsidP="00817E21">
      <w:pPr>
        <w:spacing w:line="276" w:lineRule="auto"/>
        <w:rPr>
          <w:sz w:val="25"/>
          <w:szCs w:val="25"/>
        </w:rPr>
      </w:pPr>
    </w:p>
    <w:p w:rsidR="006D592D" w:rsidRPr="002532DF" w:rsidRDefault="006D592D" w:rsidP="00027588">
      <w:pPr>
        <w:numPr>
          <w:ilvl w:val="0"/>
          <w:numId w:val="1"/>
        </w:numPr>
        <w:tabs>
          <w:tab w:val="clear" w:pos="720"/>
          <w:tab w:val="num" w:pos="0"/>
        </w:tabs>
        <w:spacing w:line="276" w:lineRule="auto"/>
        <w:ind w:left="0"/>
        <w:rPr>
          <w:sz w:val="25"/>
          <w:szCs w:val="25"/>
        </w:rPr>
      </w:pPr>
      <w:r w:rsidRPr="002532DF">
        <w:rPr>
          <w:sz w:val="25"/>
          <w:szCs w:val="25"/>
        </w:rPr>
        <w:t>Staff proposes higher than average increases in revenue for Residential Service (Schedule 16), Industrial Service (Schedule 48T), and Large General Service (Large General Service &gt;1,000kW) schedules and lower than average increases for the commercial schedules</w:t>
      </w:r>
      <w:r w:rsidR="00E208DC" w:rsidRPr="002532DF">
        <w:rPr>
          <w:sz w:val="25"/>
          <w:szCs w:val="25"/>
        </w:rPr>
        <w:t>,</w:t>
      </w:r>
      <w:r w:rsidRPr="002532DF">
        <w:rPr>
          <w:sz w:val="25"/>
          <w:szCs w:val="25"/>
        </w:rPr>
        <w:t xml:space="preserve"> Small General Service (Schedule 24), Large General Service &lt;1,000 kW (Schedule 36), and Agricultural Pumping Service (Schedule 40).</w:t>
      </w:r>
      <w:r w:rsidRPr="002532DF">
        <w:rPr>
          <w:rStyle w:val="FootnoteReference"/>
          <w:sz w:val="25"/>
          <w:szCs w:val="25"/>
        </w:rPr>
        <w:footnoteReference w:id="470"/>
      </w:r>
      <w:r w:rsidRPr="002532DF">
        <w:rPr>
          <w:sz w:val="25"/>
          <w:szCs w:val="25"/>
        </w:rPr>
        <w:t xml:space="preserve">  Staff proposes a minimal increase for </w:t>
      </w:r>
      <w:r w:rsidR="00D62604" w:rsidRPr="002532DF">
        <w:rPr>
          <w:sz w:val="25"/>
          <w:szCs w:val="25"/>
        </w:rPr>
        <w:t xml:space="preserve">the </w:t>
      </w:r>
      <w:r w:rsidRPr="002532DF">
        <w:rPr>
          <w:sz w:val="25"/>
          <w:szCs w:val="25"/>
        </w:rPr>
        <w:t>Street Lighting Service schedules.</w:t>
      </w:r>
      <w:r w:rsidRPr="002532DF">
        <w:rPr>
          <w:rStyle w:val="FootnoteReference"/>
          <w:sz w:val="25"/>
          <w:szCs w:val="25"/>
        </w:rPr>
        <w:footnoteReference w:id="471"/>
      </w:r>
    </w:p>
    <w:p w:rsidR="00EC45A4" w:rsidRPr="002532DF" w:rsidRDefault="00EC45A4" w:rsidP="00817E21">
      <w:pPr>
        <w:spacing w:line="276" w:lineRule="auto"/>
        <w:rPr>
          <w:sz w:val="25"/>
          <w:szCs w:val="25"/>
        </w:rPr>
      </w:pPr>
    </w:p>
    <w:p w:rsidR="006D592D" w:rsidRPr="002532DF" w:rsidRDefault="006D592D" w:rsidP="00027588">
      <w:pPr>
        <w:numPr>
          <w:ilvl w:val="0"/>
          <w:numId w:val="1"/>
        </w:numPr>
        <w:tabs>
          <w:tab w:val="clear" w:pos="720"/>
          <w:tab w:val="num" w:pos="0"/>
        </w:tabs>
        <w:spacing w:line="276" w:lineRule="auto"/>
        <w:ind w:left="0"/>
        <w:rPr>
          <w:sz w:val="25"/>
          <w:szCs w:val="25"/>
        </w:rPr>
      </w:pPr>
      <w:r w:rsidRPr="002532DF">
        <w:rPr>
          <w:sz w:val="25"/>
          <w:szCs w:val="25"/>
        </w:rPr>
        <w:t>Using its recommended 10.</w:t>
      </w:r>
      <w:r w:rsidR="00EC45A4" w:rsidRPr="002532DF">
        <w:rPr>
          <w:sz w:val="25"/>
          <w:szCs w:val="25"/>
        </w:rPr>
        <w:t>58</w:t>
      </w:r>
      <w:r w:rsidRPr="002532DF">
        <w:rPr>
          <w:sz w:val="25"/>
          <w:szCs w:val="25"/>
        </w:rPr>
        <w:t xml:space="preserve"> percent overall revenue increase, Staff recommends a 12.5 percent increase for Residential, Large General Service &gt;1,000 kW, and Dedicated Facilities, or 114 percent of the average increase.</w:t>
      </w:r>
      <w:r w:rsidR="00320C1B" w:rsidRPr="002532DF">
        <w:rPr>
          <w:rStyle w:val="FootnoteReference"/>
          <w:sz w:val="25"/>
          <w:szCs w:val="25"/>
        </w:rPr>
        <w:footnoteReference w:id="472"/>
      </w:r>
      <w:r w:rsidR="00320C1B" w:rsidRPr="002532DF">
        <w:rPr>
          <w:sz w:val="25"/>
          <w:szCs w:val="25"/>
        </w:rPr>
        <w:t xml:space="preserve"> </w:t>
      </w:r>
      <w:r w:rsidRPr="002532DF">
        <w:rPr>
          <w:sz w:val="25"/>
          <w:szCs w:val="25"/>
        </w:rPr>
        <w:t xml:space="preserve"> For Small General Service, Large General Service &lt;1,000 kW, and Agricultural Pumping Schedule, Staff recommends a 9.08 percent increase, or 83 percent of the average increase.</w:t>
      </w:r>
      <w:r w:rsidRPr="002532DF">
        <w:rPr>
          <w:rStyle w:val="FootnoteReference"/>
          <w:sz w:val="25"/>
          <w:szCs w:val="25"/>
        </w:rPr>
        <w:footnoteReference w:id="473"/>
      </w:r>
      <w:r w:rsidRPr="002532DF">
        <w:rPr>
          <w:sz w:val="25"/>
          <w:szCs w:val="25"/>
        </w:rPr>
        <w:t xml:space="preserve">  For the Street Lighting schedules, Staff recommends a one percent increase or about nine percent of the average increase.</w:t>
      </w:r>
      <w:r w:rsidRPr="002532DF">
        <w:rPr>
          <w:rStyle w:val="FootnoteReference"/>
          <w:sz w:val="25"/>
          <w:szCs w:val="25"/>
        </w:rPr>
        <w:footnoteReference w:id="474"/>
      </w:r>
      <w:r w:rsidRPr="002532DF">
        <w:rPr>
          <w:sz w:val="25"/>
          <w:szCs w:val="25"/>
        </w:rPr>
        <w:t xml:space="preserve">  Staff argues that its rate spread moves each schedule closer to full parity.</w:t>
      </w:r>
      <w:r w:rsidRPr="002532DF">
        <w:rPr>
          <w:rStyle w:val="FootnoteReference"/>
          <w:sz w:val="25"/>
          <w:szCs w:val="25"/>
        </w:rPr>
        <w:footnoteReference w:id="475"/>
      </w:r>
    </w:p>
    <w:p w:rsidR="00EC45A4" w:rsidRPr="002532DF" w:rsidRDefault="00EC45A4" w:rsidP="00817E21">
      <w:pPr>
        <w:spacing w:line="276" w:lineRule="auto"/>
        <w:rPr>
          <w:sz w:val="25"/>
          <w:szCs w:val="25"/>
        </w:rPr>
      </w:pPr>
    </w:p>
    <w:p w:rsidR="006D592D" w:rsidRPr="002532DF" w:rsidRDefault="006D592D" w:rsidP="00027588">
      <w:pPr>
        <w:numPr>
          <w:ilvl w:val="0"/>
          <w:numId w:val="1"/>
        </w:numPr>
        <w:tabs>
          <w:tab w:val="clear" w:pos="720"/>
          <w:tab w:val="num" w:pos="0"/>
        </w:tabs>
        <w:spacing w:line="276" w:lineRule="auto"/>
        <w:ind w:left="0"/>
        <w:rPr>
          <w:sz w:val="25"/>
          <w:szCs w:val="25"/>
        </w:rPr>
      </w:pPr>
      <w:r w:rsidRPr="002532DF">
        <w:rPr>
          <w:sz w:val="25"/>
          <w:szCs w:val="25"/>
        </w:rPr>
        <w:t>ICNU supports the Company’s rate spread proposal.</w:t>
      </w:r>
      <w:r w:rsidRPr="002532DF">
        <w:rPr>
          <w:rStyle w:val="FootnoteReference"/>
          <w:sz w:val="25"/>
          <w:szCs w:val="25"/>
        </w:rPr>
        <w:footnoteReference w:id="476"/>
      </w:r>
      <w:r w:rsidRPr="002532DF">
        <w:rPr>
          <w:sz w:val="25"/>
          <w:szCs w:val="25"/>
        </w:rPr>
        <w:t xml:space="preserve"> </w:t>
      </w:r>
      <w:r w:rsidR="00DF37A7">
        <w:rPr>
          <w:sz w:val="25"/>
          <w:szCs w:val="25"/>
        </w:rPr>
        <w:t xml:space="preserve"> </w:t>
      </w:r>
      <w:r w:rsidR="00D62604" w:rsidRPr="002532DF">
        <w:rPr>
          <w:sz w:val="25"/>
          <w:szCs w:val="25"/>
        </w:rPr>
        <w:t>ICNU argues that while PacifiCorp overstated the cost of serving the industrial customers on Schedule 48T, it believes the Company’s proposed equal percentage rate increase is reasonable.</w:t>
      </w:r>
      <w:r w:rsidR="00D62604" w:rsidRPr="002532DF">
        <w:rPr>
          <w:rStyle w:val="FootnoteReference"/>
          <w:sz w:val="25"/>
          <w:szCs w:val="25"/>
        </w:rPr>
        <w:footnoteReference w:id="477"/>
      </w:r>
      <w:r w:rsidR="00D62604" w:rsidRPr="002532DF">
        <w:rPr>
          <w:sz w:val="25"/>
          <w:szCs w:val="25"/>
        </w:rPr>
        <w:t xml:space="preserve">  ICNU contends that the Company’s COSS demonstrates that all major customer classes are within 96 to 107 percent of parity.</w:t>
      </w:r>
      <w:r w:rsidR="00D62604" w:rsidRPr="002532DF">
        <w:rPr>
          <w:rStyle w:val="FootnoteReference"/>
          <w:sz w:val="25"/>
          <w:szCs w:val="25"/>
        </w:rPr>
        <w:footnoteReference w:id="478"/>
      </w:r>
      <w:r w:rsidR="00D62604" w:rsidRPr="002532DF">
        <w:rPr>
          <w:sz w:val="25"/>
          <w:szCs w:val="25"/>
        </w:rPr>
        <w:t xml:space="preserve"> </w:t>
      </w:r>
      <w:r w:rsidR="000C3B67" w:rsidRPr="002532DF">
        <w:rPr>
          <w:sz w:val="25"/>
          <w:szCs w:val="25"/>
        </w:rPr>
        <w:t xml:space="preserve"> </w:t>
      </w:r>
      <w:r w:rsidR="00C04B4F" w:rsidRPr="002532DF">
        <w:rPr>
          <w:sz w:val="25"/>
          <w:szCs w:val="25"/>
        </w:rPr>
        <w:t>It argues that the Company’s proposal is consistent with the Commission’s practice of approving equal percentage rate increases for classes with similar parity ratios and that it should be approved.</w:t>
      </w:r>
      <w:r w:rsidR="00C04B4F" w:rsidRPr="002532DF">
        <w:rPr>
          <w:rStyle w:val="FootnoteReference"/>
          <w:sz w:val="25"/>
          <w:szCs w:val="25"/>
        </w:rPr>
        <w:footnoteReference w:id="479"/>
      </w:r>
    </w:p>
    <w:p w:rsidR="00EC45A4" w:rsidRPr="002532DF" w:rsidRDefault="00EC45A4" w:rsidP="00817E21">
      <w:pPr>
        <w:spacing w:line="276" w:lineRule="auto"/>
        <w:rPr>
          <w:sz w:val="25"/>
          <w:szCs w:val="25"/>
        </w:rPr>
      </w:pPr>
    </w:p>
    <w:p w:rsidR="006D592D" w:rsidRPr="002532DF" w:rsidRDefault="006D592D" w:rsidP="00027588">
      <w:pPr>
        <w:numPr>
          <w:ilvl w:val="0"/>
          <w:numId w:val="1"/>
        </w:numPr>
        <w:tabs>
          <w:tab w:val="clear" w:pos="720"/>
          <w:tab w:val="num" w:pos="0"/>
        </w:tabs>
        <w:spacing w:line="276" w:lineRule="auto"/>
        <w:ind w:left="0"/>
        <w:rPr>
          <w:sz w:val="25"/>
          <w:szCs w:val="25"/>
        </w:rPr>
      </w:pPr>
      <w:r w:rsidRPr="002532DF">
        <w:rPr>
          <w:sz w:val="25"/>
          <w:szCs w:val="25"/>
        </w:rPr>
        <w:t xml:space="preserve">Wal-Mart argues that the Company’s rate spread proposal would move only one customer class closer to the actual cost of service and </w:t>
      </w:r>
      <w:r w:rsidR="00E54F62" w:rsidRPr="002532DF">
        <w:rPr>
          <w:sz w:val="25"/>
          <w:szCs w:val="25"/>
        </w:rPr>
        <w:t xml:space="preserve">would </w:t>
      </w:r>
      <w:r w:rsidRPr="002532DF">
        <w:rPr>
          <w:sz w:val="25"/>
          <w:szCs w:val="25"/>
        </w:rPr>
        <w:t>create a larger gap between the actual cost of service and other customer classes.</w:t>
      </w:r>
      <w:r w:rsidRPr="002532DF">
        <w:rPr>
          <w:rStyle w:val="FootnoteReference"/>
          <w:sz w:val="25"/>
          <w:szCs w:val="25"/>
        </w:rPr>
        <w:footnoteReference w:id="480"/>
      </w:r>
      <w:r w:rsidRPr="002532DF">
        <w:rPr>
          <w:sz w:val="25"/>
          <w:szCs w:val="25"/>
        </w:rPr>
        <w:t xml:space="preserve">  Wal-Mart recommends that the Commission approve the Company’s proposed rate increases for Partial Requirements Service and Street Lighting services and that the rate increases for Small General Service, Large General Service, and Agricultural Pumping be set at the jurisdictional average.</w:t>
      </w:r>
      <w:r w:rsidRPr="002532DF">
        <w:rPr>
          <w:rStyle w:val="FootnoteReference"/>
          <w:sz w:val="25"/>
          <w:szCs w:val="25"/>
        </w:rPr>
        <w:footnoteReference w:id="481"/>
      </w:r>
      <w:r w:rsidRPr="002532DF">
        <w:rPr>
          <w:sz w:val="25"/>
          <w:szCs w:val="25"/>
        </w:rPr>
        <w:t xml:space="preserve">  Wal-Mart proposes that the difference be collected from the rate schedules where rates are set at less than the cost of service.</w:t>
      </w:r>
      <w:r w:rsidRPr="002532DF">
        <w:rPr>
          <w:rStyle w:val="FootnoteReference"/>
          <w:sz w:val="25"/>
          <w:szCs w:val="25"/>
        </w:rPr>
        <w:footnoteReference w:id="482"/>
      </w:r>
    </w:p>
    <w:p w:rsidR="00EC45A4" w:rsidRPr="002532DF" w:rsidRDefault="00EC45A4" w:rsidP="00817E21">
      <w:pPr>
        <w:spacing w:line="276" w:lineRule="auto"/>
        <w:rPr>
          <w:sz w:val="25"/>
          <w:szCs w:val="25"/>
        </w:rPr>
      </w:pPr>
    </w:p>
    <w:p w:rsidR="006D592D" w:rsidRPr="002532DF" w:rsidRDefault="006D592D" w:rsidP="00027588">
      <w:pPr>
        <w:numPr>
          <w:ilvl w:val="0"/>
          <w:numId w:val="1"/>
        </w:numPr>
        <w:tabs>
          <w:tab w:val="clear" w:pos="720"/>
          <w:tab w:val="num" w:pos="0"/>
        </w:tabs>
        <w:spacing w:line="276" w:lineRule="auto"/>
        <w:ind w:left="0"/>
        <w:rPr>
          <w:sz w:val="25"/>
          <w:szCs w:val="25"/>
        </w:rPr>
      </w:pPr>
      <w:r w:rsidRPr="002532DF">
        <w:rPr>
          <w:sz w:val="25"/>
          <w:szCs w:val="25"/>
        </w:rPr>
        <w:t>In rebuttal</w:t>
      </w:r>
      <w:r w:rsidR="005D3597" w:rsidRPr="002532DF">
        <w:rPr>
          <w:sz w:val="25"/>
          <w:szCs w:val="25"/>
        </w:rPr>
        <w:t xml:space="preserve"> testimony</w:t>
      </w:r>
      <w:r w:rsidRPr="002532DF">
        <w:rPr>
          <w:sz w:val="25"/>
          <w:szCs w:val="25"/>
        </w:rPr>
        <w:t xml:space="preserve">, </w:t>
      </w:r>
      <w:r w:rsidR="005D3597" w:rsidRPr="002532DF">
        <w:rPr>
          <w:sz w:val="25"/>
          <w:szCs w:val="25"/>
        </w:rPr>
        <w:t xml:space="preserve">wherein </w:t>
      </w:r>
      <w:r w:rsidRPr="002532DF">
        <w:rPr>
          <w:sz w:val="25"/>
          <w:szCs w:val="25"/>
        </w:rPr>
        <w:t xml:space="preserve">the Company </w:t>
      </w:r>
      <w:r w:rsidR="00A072F1" w:rsidRPr="002532DF">
        <w:rPr>
          <w:sz w:val="25"/>
          <w:szCs w:val="25"/>
        </w:rPr>
        <w:t xml:space="preserve">reduces its </w:t>
      </w:r>
      <w:r w:rsidR="005D3597" w:rsidRPr="002532DF">
        <w:rPr>
          <w:sz w:val="25"/>
          <w:szCs w:val="25"/>
        </w:rPr>
        <w:t xml:space="preserve">rate increase </w:t>
      </w:r>
      <w:r w:rsidR="00A072F1" w:rsidRPr="002532DF">
        <w:rPr>
          <w:sz w:val="25"/>
          <w:szCs w:val="25"/>
        </w:rPr>
        <w:t xml:space="preserve">request </w:t>
      </w:r>
      <w:r w:rsidR="005D3597" w:rsidRPr="002532DF">
        <w:rPr>
          <w:sz w:val="25"/>
          <w:szCs w:val="25"/>
        </w:rPr>
        <w:t xml:space="preserve">from 21 percent to </w:t>
      </w:r>
      <w:r w:rsidR="00A072F1" w:rsidRPr="002532DF">
        <w:rPr>
          <w:sz w:val="25"/>
          <w:szCs w:val="25"/>
        </w:rPr>
        <w:t>17.85 percent</w:t>
      </w:r>
      <w:r w:rsidR="005D3597" w:rsidRPr="002532DF">
        <w:rPr>
          <w:sz w:val="25"/>
          <w:szCs w:val="25"/>
        </w:rPr>
        <w:t xml:space="preserve">, it </w:t>
      </w:r>
      <w:r w:rsidR="00A072F1" w:rsidRPr="002532DF">
        <w:rPr>
          <w:sz w:val="25"/>
          <w:szCs w:val="25"/>
        </w:rPr>
        <w:t xml:space="preserve">Company concurs with Staff’s rate spread recommendation </w:t>
      </w:r>
      <w:r w:rsidRPr="002532DF">
        <w:rPr>
          <w:sz w:val="25"/>
          <w:szCs w:val="25"/>
        </w:rPr>
        <w:t>propos</w:t>
      </w:r>
      <w:r w:rsidR="005D3597" w:rsidRPr="002532DF">
        <w:rPr>
          <w:sz w:val="25"/>
          <w:szCs w:val="25"/>
        </w:rPr>
        <w:t>ing</w:t>
      </w:r>
      <w:r w:rsidRPr="002532DF">
        <w:rPr>
          <w:sz w:val="25"/>
          <w:szCs w:val="25"/>
        </w:rPr>
        <w:t xml:space="preserve"> to spread </w:t>
      </w:r>
      <w:r w:rsidR="00A072F1" w:rsidRPr="002532DF">
        <w:rPr>
          <w:sz w:val="25"/>
          <w:szCs w:val="25"/>
        </w:rPr>
        <w:t>the</w:t>
      </w:r>
      <w:r w:rsidRPr="002532DF">
        <w:rPr>
          <w:sz w:val="25"/>
          <w:szCs w:val="25"/>
        </w:rPr>
        <w:t xml:space="preserve"> 17.8</w:t>
      </w:r>
      <w:r w:rsidR="00435472" w:rsidRPr="002532DF">
        <w:rPr>
          <w:sz w:val="25"/>
          <w:szCs w:val="25"/>
        </w:rPr>
        <w:t>5</w:t>
      </w:r>
      <w:r w:rsidRPr="002532DF">
        <w:rPr>
          <w:sz w:val="25"/>
          <w:szCs w:val="25"/>
        </w:rPr>
        <w:t xml:space="preserve"> percent rate increase consistent with Staff’s recommendation.</w:t>
      </w:r>
      <w:r w:rsidRPr="002532DF">
        <w:rPr>
          <w:rStyle w:val="FootnoteReference"/>
          <w:sz w:val="25"/>
          <w:szCs w:val="25"/>
        </w:rPr>
        <w:footnoteReference w:id="483"/>
      </w:r>
      <w:r w:rsidRPr="002532DF">
        <w:rPr>
          <w:sz w:val="25"/>
          <w:szCs w:val="25"/>
        </w:rPr>
        <w:t xml:space="preserve">  The Company argues that this approach better reflects cost-of-service study results and applies smaller rate increases to Schedules 24, 36, and 40, and the lighting schedules that are currently paying more than the cost of service.</w:t>
      </w:r>
      <w:r w:rsidRPr="002532DF">
        <w:rPr>
          <w:rStyle w:val="FootnoteReference"/>
          <w:sz w:val="25"/>
          <w:szCs w:val="25"/>
        </w:rPr>
        <w:footnoteReference w:id="484"/>
      </w:r>
      <w:r w:rsidRPr="002532DF">
        <w:rPr>
          <w:sz w:val="25"/>
          <w:szCs w:val="25"/>
        </w:rPr>
        <w:t xml:space="preserve">  The other major rate schedules would receive a uniform percentage increase.  Residential Service (Schedule 16) and Large General Service (Schedule 48T) would receive a 20.2 percent increase, equal to 113 percent of the average increase.</w:t>
      </w:r>
      <w:r w:rsidRPr="002532DF">
        <w:rPr>
          <w:rStyle w:val="FootnoteReference"/>
          <w:sz w:val="25"/>
          <w:szCs w:val="25"/>
        </w:rPr>
        <w:footnoteReference w:id="485"/>
      </w:r>
      <w:r w:rsidRPr="002532DF">
        <w:rPr>
          <w:sz w:val="25"/>
          <w:szCs w:val="25"/>
        </w:rPr>
        <w:t xml:space="preserve">  </w:t>
      </w:r>
      <w:r w:rsidR="005D3597" w:rsidRPr="002532DF">
        <w:rPr>
          <w:sz w:val="25"/>
          <w:szCs w:val="25"/>
        </w:rPr>
        <w:t xml:space="preserve">The commercial schedules, </w:t>
      </w:r>
      <w:r w:rsidRPr="002532DF">
        <w:rPr>
          <w:sz w:val="25"/>
          <w:szCs w:val="25"/>
        </w:rPr>
        <w:t>Small General Service (Schedule 24), Large General Service (Schedule 36), and Agricultural Pumping Service (Schedule 40) would receive a 14.7 percent increase, equal to 83 percent of the average increase.</w:t>
      </w:r>
      <w:r w:rsidRPr="002532DF">
        <w:rPr>
          <w:rStyle w:val="FootnoteReference"/>
          <w:sz w:val="25"/>
          <w:szCs w:val="25"/>
        </w:rPr>
        <w:footnoteReference w:id="486"/>
      </w:r>
      <w:r w:rsidRPr="002532DF">
        <w:rPr>
          <w:sz w:val="25"/>
          <w:szCs w:val="25"/>
        </w:rPr>
        <w:t xml:space="preserve">  The lighting schedules would receive a one percent rate increase.  </w:t>
      </w:r>
    </w:p>
    <w:p w:rsidR="00EC45A4" w:rsidRPr="002532DF" w:rsidRDefault="00EC45A4" w:rsidP="00817E21">
      <w:pPr>
        <w:spacing w:line="276" w:lineRule="auto"/>
        <w:rPr>
          <w:sz w:val="25"/>
          <w:szCs w:val="25"/>
        </w:rPr>
      </w:pPr>
    </w:p>
    <w:p w:rsidR="006D592D" w:rsidRPr="002532DF" w:rsidRDefault="006D592D" w:rsidP="00027588">
      <w:pPr>
        <w:numPr>
          <w:ilvl w:val="0"/>
          <w:numId w:val="1"/>
        </w:numPr>
        <w:tabs>
          <w:tab w:val="clear" w:pos="720"/>
          <w:tab w:val="num" w:pos="0"/>
        </w:tabs>
        <w:spacing w:line="276" w:lineRule="auto"/>
        <w:ind w:left="0"/>
        <w:rPr>
          <w:sz w:val="25"/>
          <w:szCs w:val="25"/>
        </w:rPr>
      </w:pPr>
      <w:r w:rsidRPr="002532DF">
        <w:rPr>
          <w:sz w:val="25"/>
          <w:szCs w:val="25"/>
        </w:rPr>
        <w:t>In cross-answering</w:t>
      </w:r>
      <w:r w:rsidR="005D3597" w:rsidRPr="002532DF">
        <w:rPr>
          <w:sz w:val="25"/>
          <w:szCs w:val="25"/>
        </w:rPr>
        <w:t xml:space="preserve"> testimony</w:t>
      </w:r>
      <w:r w:rsidRPr="002532DF">
        <w:rPr>
          <w:sz w:val="25"/>
          <w:szCs w:val="25"/>
        </w:rPr>
        <w:t>, Staff disagrees with ICNU that a 90 to 110 percent parity ratio is reasonable.</w:t>
      </w:r>
      <w:r w:rsidRPr="002532DF">
        <w:rPr>
          <w:rStyle w:val="FootnoteReference"/>
          <w:sz w:val="25"/>
          <w:szCs w:val="25"/>
        </w:rPr>
        <w:footnoteReference w:id="487"/>
      </w:r>
      <w:r w:rsidRPr="002532DF">
        <w:rPr>
          <w:sz w:val="25"/>
          <w:szCs w:val="25"/>
        </w:rPr>
        <w:t xml:space="preserve">  Staff argues that PacifiCorp’s rate schedules have not moved closer to parity over the past five general rate cases.</w:t>
      </w:r>
      <w:r w:rsidRPr="002532DF">
        <w:rPr>
          <w:rStyle w:val="FootnoteReference"/>
          <w:sz w:val="25"/>
          <w:szCs w:val="25"/>
        </w:rPr>
        <w:footnoteReference w:id="488"/>
      </w:r>
      <w:r w:rsidRPr="002532DF">
        <w:rPr>
          <w:sz w:val="25"/>
          <w:szCs w:val="25"/>
        </w:rPr>
        <w:t xml:space="preserve">  Staff contends that industrial customers on Schedule 48T have been consistently below parity and commercial customers remain at parity ratios great than 1.0.</w:t>
      </w:r>
      <w:r w:rsidRPr="002532DF">
        <w:rPr>
          <w:rStyle w:val="FootnoteReference"/>
          <w:sz w:val="25"/>
          <w:szCs w:val="25"/>
        </w:rPr>
        <w:footnoteReference w:id="489"/>
      </w:r>
      <w:r w:rsidRPr="002532DF">
        <w:rPr>
          <w:sz w:val="25"/>
          <w:szCs w:val="25"/>
        </w:rPr>
        <w:t xml:space="preserve">  Staff reiterates that its recommendation will move customers toward parity.</w:t>
      </w:r>
      <w:r w:rsidRPr="002532DF">
        <w:rPr>
          <w:rStyle w:val="FootnoteReference"/>
          <w:sz w:val="25"/>
          <w:szCs w:val="25"/>
        </w:rPr>
        <w:footnoteReference w:id="490"/>
      </w:r>
    </w:p>
    <w:p w:rsidR="00EC45A4" w:rsidRPr="002532DF" w:rsidRDefault="00EC45A4" w:rsidP="00817E21">
      <w:pPr>
        <w:spacing w:line="276" w:lineRule="auto"/>
        <w:rPr>
          <w:sz w:val="25"/>
          <w:szCs w:val="25"/>
        </w:rPr>
      </w:pPr>
    </w:p>
    <w:p w:rsidR="00C47C11" w:rsidRPr="002532DF" w:rsidRDefault="006D592D" w:rsidP="00027588">
      <w:pPr>
        <w:numPr>
          <w:ilvl w:val="0"/>
          <w:numId w:val="1"/>
        </w:numPr>
        <w:tabs>
          <w:tab w:val="clear" w:pos="720"/>
          <w:tab w:val="num" w:pos="0"/>
        </w:tabs>
        <w:spacing w:line="276" w:lineRule="auto"/>
        <w:ind w:left="0"/>
        <w:rPr>
          <w:sz w:val="25"/>
          <w:szCs w:val="25"/>
        </w:rPr>
      </w:pPr>
      <w:r w:rsidRPr="002532DF">
        <w:rPr>
          <w:sz w:val="25"/>
          <w:szCs w:val="25"/>
        </w:rPr>
        <w:t xml:space="preserve">In </w:t>
      </w:r>
      <w:r w:rsidR="005D3597" w:rsidRPr="002532DF">
        <w:rPr>
          <w:sz w:val="25"/>
          <w:szCs w:val="25"/>
        </w:rPr>
        <w:t xml:space="preserve">its </w:t>
      </w:r>
      <w:r w:rsidRPr="002532DF">
        <w:rPr>
          <w:sz w:val="25"/>
          <w:szCs w:val="25"/>
        </w:rPr>
        <w:t>cross-answering</w:t>
      </w:r>
      <w:r w:rsidR="005D3597" w:rsidRPr="002532DF">
        <w:rPr>
          <w:sz w:val="25"/>
          <w:szCs w:val="25"/>
        </w:rPr>
        <w:t xml:space="preserve"> testimony</w:t>
      </w:r>
      <w:r w:rsidRPr="002532DF">
        <w:rPr>
          <w:sz w:val="25"/>
          <w:szCs w:val="25"/>
        </w:rPr>
        <w:t>, ICNU argues that Staff’s proposal is inconsistent with Commission decisions about rate spread for many years and should not be adopted.</w:t>
      </w:r>
      <w:r w:rsidRPr="002532DF">
        <w:rPr>
          <w:rStyle w:val="FootnoteReference"/>
          <w:sz w:val="25"/>
          <w:szCs w:val="25"/>
        </w:rPr>
        <w:footnoteReference w:id="491"/>
      </w:r>
      <w:r w:rsidRPr="002532DF">
        <w:rPr>
          <w:sz w:val="25"/>
          <w:szCs w:val="25"/>
        </w:rPr>
        <w:t xml:space="preserve">  ICNU points out that most major customer classes are within a few points of cost-based rates except for the street lighting class which is well above the class cost assignment.</w:t>
      </w:r>
      <w:r w:rsidRPr="002532DF">
        <w:rPr>
          <w:rStyle w:val="FootnoteReference"/>
          <w:sz w:val="25"/>
          <w:szCs w:val="25"/>
        </w:rPr>
        <w:footnoteReference w:id="492"/>
      </w:r>
      <w:r w:rsidRPr="002532DF">
        <w:rPr>
          <w:sz w:val="25"/>
          <w:szCs w:val="25"/>
        </w:rPr>
        <w:t xml:space="preserve">  ICNU supports the Company’s proposal to assign a modest increase to street lighting and assign an equal percentage increase to other customer classes because they are relatively close to parity.</w:t>
      </w:r>
      <w:r w:rsidRPr="002532DF">
        <w:rPr>
          <w:rStyle w:val="FootnoteReference"/>
          <w:sz w:val="25"/>
          <w:szCs w:val="25"/>
        </w:rPr>
        <w:footnoteReference w:id="493"/>
      </w:r>
      <w:r w:rsidRPr="002532DF">
        <w:rPr>
          <w:sz w:val="25"/>
          <w:szCs w:val="25"/>
        </w:rPr>
        <w:t xml:space="preserve">  ICNU notes that Wal-Mart’s approach is relatively close to the Company’s proposal, but ICNU recommends that it be rejected for the same reasons Staff’s proposal should be rejected.</w:t>
      </w:r>
      <w:r w:rsidRPr="002532DF">
        <w:rPr>
          <w:rStyle w:val="FootnoteReference"/>
          <w:sz w:val="25"/>
          <w:szCs w:val="25"/>
        </w:rPr>
        <w:footnoteReference w:id="494"/>
      </w:r>
      <w:r w:rsidRPr="002532DF">
        <w:rPr>
          <w:sz w:val="25"/>
          <w:szCs w:val="25"/>
        </w:rPr>
        <w:t xml:space="preserve">  </w:t>
      </w:r>
    </w:p>
    <w:p w:rsidR="005261DF" w:rsidRPr="002532DF" w:rsidRDefault="005261DF" w:rsidP="005261DF">
      <w:pPr>
        <w:spacing w:line="276" w:lineRule="auto"/>
        <w:ind w:left="-720"/>
        <w:rPr>
          <w:sz w:val="25"/>
          <w:szCs w:val="25"/>
        </w:rPr>
      </w:pPr>
    </w:p>
    <w:p w:rsidR="00C61013" w:rsidRPr="002532DF" w:rsidRDefault="00480F16" w:rsidP="00027588">
      <w:pPr>
        <w:numPr>
          <w:ilvl w:val="0"/>
          <w:numId w:val="1"/>
        </w:numPr>
        <w:tabs>
          <w:tab w:val="clear" w:pos="720"/>
          <w:tab w:val="num" w:pos="0"/>
        </w:tabs>
        <w:spacing w:line="276" w:lineRule="auto"/>
        <w:ind w:left="0"/>
        <w:rPr>
          <w:sz w:val="25"/>
          <w:szCs w:val="25"/>
        </w:rPr>
      </w:pPr>
      <w:r w:rsidRPr="002532DF">
        <w:rPr>
          <w:i/>
          <w:sz w:val="25"/>
          <w:szCs w:val="25"/>
        </w:rPr>
        <w:t xml:space="preserve">Commission Decision.  </w:t>
      </w:r>
      <w:r w:rsidR="00673710" w:rsidRPr="002532DF">
        <w:rPr>
          <w:sz w:val="25"/>
          <w:szCs w:val="25"/>
        </w:rPr>
        <w:t xml:space="preserve">In this case, </w:t>
      </w:r>
      <w:r w:rsidR="00C61013" w:rsidRPr="002532DF">
        <w:rPr>
          <w:sz w:val="25"/>
          <w:szCs w:val="25"/>
        </w:rPr>
        <w:t>the parties</w:t>
      </w:r>
      <w:r w:rsidR="00673710" w:rsidRPr="002532DF">
        <w:rPr>
          <w:sz w:val="25"/>
          <w:szCs w:val="25"/>
        </w:rPr>
        <w:t xml:space="preserve"> and all the customers </w:t>
      </w:r>
      <w:r w:rsidR="00C61013" w:rsidRPr="002532DF">
        <w:rPr>
          <w:sz w:val="25"/>
          <w:szCs w:val="25"/>
        </w:rPr>
        <w:t>testifying during</w:t>
      </w:r>
      <w:r w:rsidR="00673710" w:rsidRPr="002532DF">
        <w:rPr>
          <w:sz w:val="25"/>
          <w:szCs w:val="25"/>
        </w:rPr>
        <w:t xml:space="preserve"> our public comment hearing addressed </w:t>
      </w:r>
      <w:r w:rsidR="00C61013" w:rsidRPr="002532DF">
        <w:rPr>
          <w:sz w:val="25"/>
          <w:szCs w:val="25"/>
        </w:rPr>
        <w:t xml:space="preserve">the challenges presented by the difficult </w:t>
      </w:r>
      <w:r w:rsidR="00673710" w:rsidRPr="002532DF">
        <w:rPr>
          <w:sz w:val="25"/>
          <w:szCs w:val="25"/>
        </w:rPr>
        <w:t xml:space="preserve">economic </w:t>
      </w:r>
      <w:r w:rsidR="00C61013" w:rsidRPr="002532DF">
        <w:rPr>
          <w:sz w:val="25"/>
          <w:szCs w:val="25"/>
        </w:rPr>
        <w:t xml:space="preserve">times faced not only by the state of Washington, but by the entire country.  While it is true that each party used economic </w:t>
      </w:r>
      <w:r w:rsidR="00673710" w:rsidRPr="002532DF">
        <w:rPr>
          <w:sz w:val="25"/>
          <w:szCs w:val="25"/>
        </w:rPr>
        <w:t xml:space="preserve">challenges </w:t>
      </w:r>
      <w:r w:rsidR="00C61013" w:rsidRPr="002532DF">
        <w:rPr>
          <w:sz w:val="25"/>
          <w:szCs w:val="25"/>
        </w:rPr>
        <w:t xml:space="preserve">to support a particular position on a specific issue, the concern with current economic conditions was pervasive.  </w:t>
      </w:r>
    </w:p>
    <w:p w:rsidR="00727064" w:rsidRPr="002532DF" w:rsidRDefault="00727064" w:rsidP="00727064">
      <w:pPr>
        <w:spacing w:line="276" w:lineRule="auto"/>
        <w:ind w:left="-720"/>
        <w:rPr>
          <w:sz w:val="25"/>
          <w:szCs w:val="25"/>
        </w:rPr>
      </w:pPr>
    </w:p>
    <w:p w:rsidR="00F87745" w:rsidRPr="002532DF" w:rsidRDefault="00C61013" w:rsidP="00027588">
      <w:pPr>
        <w:numPr>
          <w:ilvl w:val="0"/>
          <w:numId w:val="1"/>
        </w:numPr>
        <w:tabs>
          <w:tab w:val="clear" w:pos="720"/>
          <w:tab w:val="num" w:pos="0"/>
        </w:tabs>
        <w:spacing w:line="276" w:lineRule="auto"/>
        <w:ind w:left="0"/>
        <w:rPr>
          <w:sz w:val="25"/>
          <w:szCs w:val="25"/>
        </w:rPr>
      </w:pPr>
      <w:r w:rsidRPr="002532DF">
        <w:rPr>
          <w:sz w:val="25"/>
          <w:szCs w:val="25"/>
        </w:rPr>
        <w:t>This concern reminds us that determining an appropriate rate spread requires consideration of a number of factors and is not the result of pure arithmetic calculations.  Of course we consider the results of a valid COSS with the goal of ensuring that each customer class bears the burden of the costs it imposes on the utility</w:t>
      </w:r>
      <w:r w:rsidR="00727064" w:rsidRPr="002532DF">
        <w:rPr>
          <w:sz w:val="25"/>
          <w:szCs w:val="25"/>
        </w:rPr>
        <w:t>.</w:t>
      </w:r>
      <w:r w:rsidRPr="002532DF">
        <w:rPr>
          <w:sz w:val="25"/>
          <w:szCs w:val="25"/>
        </w:rPr>
        <w:t xml:space="preserve">  However we also consider principles of </w:t>
      </w:r>
      <w:r w:rsidR="00727064" w:rsidRPr="002532DF">
        <w:rPr>
          <w:sz w:val="25"/>
          <w:szCs w:val="25"/>
        </w:rPr>
        <w:t xml:space="preserve">rate stability, </w:t>
      </w:r>
      <w:r w:rsidRPr="002532DF">
        <w:rPr>
          <w:sz w:val="25"/>
          <w:szCs w:val="25"/>
        </w:rPr>
        <w:t>gradualism</w:t>
      </w:r>
      <w:r w:rsidR="00727064" w:rsidRPr="002532DF">
        <w:rPr>
          <w:sz w:val="25"/>
          <w:szCs w:val="25"/>
        </w:rPr>
        <w:t xml:space="preserve">, </w:t>
      </w:r>
      <w:r w:rsidRPr="002532DF">
        <w:rPr>
          <w:sz w:val="25"/>
          <w:szCs w:val="25"/>
        </w:rPr>
        <w:t xml:space="preserve">and </w:t>
      </w:r>
      <w:r w:rsidR="00AE2C79" w:rsidRPr="002532DF">
        <w:rPr>
          <w:sz w:val="25"/>
          <w:szCs w:val="25"/>
        </w:rPr>
        <w:t xml:space="preserve">the avoidance of </w:t>
      </w:r>
      <w:r w:rsidRPr="002532DF">
        <w:rPr>
          <w:sz w:val="25"/>
          <w:szCs w:val="25"/>
        </w:rPr>
        <w:t xml:space="preserve">rate shock. </w:t>
      </w:r>
    </w:p>
    <w:p w:rsidR="00F87745" w:rsidRPr="002532DF" w:rsidRDefault="00F87745" w:rsidP="00F87745">
      <w:pPr>
        <w:spacing w:line="276" w:lineRule="auto"/>
        <w:ind w:left="-720"/>
        <w:rPr>
          <w:sz w:val="25"/>
          <w:szCs w:val="25"/>
        </w:rPr>
      </w:pPr>
    </w:p>
    <w:p w:rsidR="00A072F1" w:rsidRPr="002532DF" w:rsidRDefault="00F87745" w:rsidP="00027588">
      <w:pPr>
        <w:numPr>
          <w:ilvl w:val="0"/>
          <w:numId w:val="1"/>
        </w:numPr>
        <w:tabs>
          <w:tab w:val="clear" w:pos="720"/>
          <w:tab w:val="num" w:pos="0"/>
        </w:tabs>
        <w:spacing w:line="276" w:lineRule="auto"/>
        <w:ind w:left="0"/>
        <w:rPr>
          <w:sz w:val="25"/>
          <w:szCs w:val="25"/>
        </w:rPr>
      </w:pPr>
      <w:r w:rsidRPr="002532DF">
        <w:rPr>
          <w:sz w:val="25"/>
          <w:szCs w:val="25"/>
        </w:rPr>
        <w:t>Staff’s rate spread, now supported by the Company, proposes higher than average increases for certain schedules and lower than average increases for others with the intent to move each customer class closer to full parity.</w:t>
      </w:r>
      <w:r w:rsidR="005261DF" w:rsidRPr="002532DF">
        <w:rPr>
          <w:sz w:val="25"/>
          <w:szCs w:val="25"/>
        </w:rPr>
        <w:t xml:space="preserve"> </w:t>
      </w:r>
      <w:r w:rsidRPr="002532DF">
        <w:rPr>
          <w:sz w:val="25"/>
          <w:szCs w:val="25"/>
        </w:rPr>
        <w:t xml:space="preserve"> For example, Staff’s rate spread would result in residential and industrial customers receiving a rate increase of 114 percent of the average increase.  We conclude that this is unreasonable and ignores the other principles that guide a determination of rate spread.  Using PacifiCorp’s COSS, all major customer classes are within 97 to 107 percent of parity.  We conclude that the principles of gradualism and rate stability do not warrant moving these customer classes even closer to actual parity in the current economic conditions.  Indeed, </w:t>
      </w:r>
      <w:r w:rsidR="00F019D4" w:rsidRPr="002532DF">
        <w:rPr>
          <w:sz w:val="25"/>
          <w:szCs w:val="25"/>
        </w:rPr>
        <w:t>the composite effect of the revision to the Company’s peak credit method, the proposed rate spread, and the revisions to rate design (which are discussed next) could well result in rate shock.</w:t>
      </w:r>
    </w:p>
    <w:p w:rsidR="00F019D4" w:rsidRPr="002532DF" w:rsidRDefault="00F019D4" w:rsidP="00F019D4">
      <w:pPr>
        <w:spacing w:line="276" w:lineRule="auto"/>
        <w:ind w:left="-720"/>
        <w:rPr>
          <w:sz w:val="25"/>
          <w:szCs w:val="25"/>
        </w:rPr>
      </w:pPr>
    </w:p>
    <w:p w:rsidR="00F019D4" w:rsidRPr="002532DF" w:rsidRDefault="00F019D4" w:rsidP="00027588">
      <w:pPr>
        <w:numPr>
          <w:ilvl w:val="0"/>
          <w:numId w:val="1"/>
        </w:numPr>
        <w:tabs>
          <w:tab w:val="clear" w:pos="720"/>
          <w:tab w:val="num" w:pos="0"/>
        </w:tabs>
        <w:spacing w:line="276" w:lineRule="auto"/>
        <w:ind w:left="0"/>
        <w:rPr>
          <w:sz w:val="25"/>
          <w:szCs w:val="25"/>
        </w:rPr>
      </w:pPr>
      <w:r w:rsidRPr="002532DF">
        <w:rPr>
          <w:sz w:val="25"/>
          <w:szCs w:val="25"/>
        </w:rPr>
        <w:t>The</w:t>
      </w:r>
      <w:r w:rsidR="005D3597" w:rsidRPr="002532DF">
        <w:rPr>
          <w:sz w:val="25"/>
          <w:szCs w:val="25"/>
        </w:rPr>
        <w:t>se</w:t>
      </w:r>
      <w:r w:rsidRPr="002532DF">
        <w:rPr>
          <w:sz w:val="25"/>
          <w:szCs w:val="25"/>
        </w:rPr>
        <w:t xml:space="preserve"> principles of overall fairness, gradualism, and rate stability warrant spreading the rate increase in accordance with the Company’s initial proposal</w:t>
      </w:r>
      <w:r w:rsidR="00E208DC" w:rsidRPr="002532DF">
        <w:rPr>
          <w:sz w:val="25"/>
          <w:szCs w:val="25"/>
        </w:rPr>
        <w:t>:</w:t>
      </w:r>
      <w:r w:rsidRPr="002532DF">
        <w:rPr>
          <w:sz w:val="25"/>
          <w:szCs w:val="25"/>
        </w:rPr>
        <w:t xml:space="preserve"> spreading the rate increase to all rate schedules other than street lighting, on an equal percentage basis.  For street lighting customers, the Company’s initial proposed five percent increase is reasonable. </w:t>
      </w:r>
    </w:p>
    <w:p w:rsidR="00C47C11" w:rsidRPr="002532DF" w:rsidRDefault="00C47C11" w:rsidP="00320C1B">
      <w:pPr>
        <w:pStyle w:val="Heading4"/>
        <w:ind w:left="1080" w:hanging="360"/>
        <w:rPr>
          <w:rFonts w:ascii="Times New Roman" w:hAnsi="Times New Roman"/>
          <w:sz w:val="25"/>
          <w:szCs w:val="25"/>
        </w:rPr>
      </w:pPr>
      <w:bookmarkStart w:id="74" w:name="_Toc288813765"/>
      <w:r w:rsidRPr="002532DF">
        <w:rPr>
          <w:rFonts w:ascii="Times New Roman" w:hAnsi="Times New Roman"/>
          <w:sz w:val="25"/>
          <w:szCs w:val="25"/>
        </w:rPr>
        <w:t>3.</w:t>
      </w:r>
      <w:r w:rsidR="002F65FA" w:rsidRPr="002532DF">
        <w:rPr>
          <w:rFonts w:ascii="Times New Roman" w:hAnsi="Times New Roman"/>
          <w:sz w:val="25"/>
          <w:szCs w:val="25"/>
        </w:rPr>
        <w:tab/>
      </w:r>
      <w:r w:rsidRPr="002532DF">
        <w:rPr>
          <w:rFonts w:ascii="Times New Roman" w:hAnsi="Times New Roman"/>
          <w:sz w:val="25"/>
          <w:szCs w:val="25"/>
        </w:rPr>
        <w:t>Rate Design</w:t>
      </w:r>
      <w:bookmarkEnd w:id="74"/>
    </w:p>
    <w:p w:rsidR="00C47C11" w:rsidRDefault="00C47C11" w:rsidP="00817E21">
      <w:pPr>
        <w:tabs>
          <w:tab w:val="left" w:pos="1800"/>
        </w:tabs>
        <w:spacing w:line="276" w:lineRule="auto"/>
        <w:ind w:left="1440"/>
        <w:rPr>
          <w:b/>
          <w:sz w:val="25"/>
          <w:szCs w:val="25"/>
        </w:rPr>
      </w:pPr>
    </w:p>
    <w:p w:rsidR="000E090F" w:rsidRPr="00CE557B" w:rsidRDefault="000E090F" w:rsidP="000E090F">
      <w:pPr>
        <w:numPr>
          <w:ilvl w:val="0"/>
          <w:numId w:val="1"/>
        </w:numPr>
        <w:tabs>
          <w:tab w:val="clear" w:pos="720"/>
          <w:tab w:val="num" w:pos="0"/>
        </w:tabs>
        <w:spacing w:after="240" w:line="276" w:lineRule="auto"/>
        <w:ind w:left="0"/>
        <w:rPr>
          <w:sz w:val="25"/>
          <w:szCs w:val="25"/>
        </w:rPr>
      </w:pPr>
      <w:r>
        <w:rPr>
          <w:sz w:val="25"/>
          <w:szCs w:val="25"/>
        </w:rPr>
        <w:t>Rate design is the final component of providing the Company with the opportunity to recover its authorized revenue requirement.  Rate design determines how the Company structures the rates for each customer class.</w:t>
      </w:r>
    </w:p>
    <w:p w:rsidR="006D592D" w:rsidRPr="002532DF" w:rsidRDefault="006F1B90" w:rsidP="00027588">
      <w:pPr>
        <w:numPr>
          <w:ilvl w:val="0"/>
          <w:numId w:val="1"/>
        </w:numPr>
        <w:tabs>
          <w:tab w:val="clear" w:pos="720"/>
          <w:tab w:val="num" w:pos="0"/>
        </w:tabs>
        <w:spacing w:line="276" w:lineRule="auto"/>
        <w:ind w:left="0"/>
        <w:rPr>
          <w:sz w:val="25"/>
          <w:szCs w:val="25"/>
        </w:rPr>
      </w:pPr>
      <w:r w:rsidRPr="002532DF">
        <w:rPr>
          <w:i/>
          <w:sz w:val="25"/>
          <w:szCs w:val="25"/>
        </w:rPr>
        <w:t xml:space="preserve">Positions of the Parties.  </w:t>
      </w:r>
      <w:r w:rsidR="006D592D" w:rsidRPr="002532DF">
        <w:rPr>
          <w:sz w:val="25"/>
          <w:szCs w:val="25"/>
        </w:rPr>
        <w:t xml:space="preserve">The Company asserts that its rate design proposals </w:t>
      </w:r>
      <w:r w:rsidR="005D3597" w:rsidRPr="002532DF">
        <w:rPr>
          <w:sz w:val="25"/>
          <w:szCs w:val="25"/>
        </w:rPr>
        <w:t xml:space="preserve">are consistent with the </w:t>
      </w:r>
      <w:r w:rsidR="006D592D" w:rsidRPr="002532DF">
        <w:rPr>
          <w:sz w:val="25"/>
          <w:szCs w:val="25"/>
        </w:rPr>
        <w:t xml:space="preserve">COSS </w:t>
      </w:r>
      <w:r w:rsidR="005D3597" w:rsidRPr="002532DF">
        <w:rPr>
          <w:sz w:val="25"/>
          <w:szCs w:val="25"/>
        </w:rPr>
        <w:t xml:space="preserve">and are sufficient to </w:t>
      </w:r>
      <w:r w:rsidR="006D592D" w:rsidRPr="002532DF">
        <w:rPr>
          <w:sz w:val="25"/>
          <w:szCs w:val="25"/>
        </w:rPr>
        <w:t>recover the proposed revenue requirement.</w:t>
      </w:r>
      <w:r w:rsidR="006D592D" w:rsidRPr="002532DF">
        <w:rPr>
          <w:rStyle w:val="FootnoteReference"/>
          <w:sz w:val="25"/>
          <w:szCs w:val="25"/>
        </w:rPr>
        <w:footnoteReference w:id="495"/>
      </w:r>
      <w:r w:rsidR="006D592D" w:rsidRPr="002532DF">
        <w:rPr>
          <w:sz w:val="25"/>
          <w:szCs w:val="25"/>
        </w:rPr>
        <w:t xml:space="preserve">  According to the COSS, the costs related to energy charges have increased more than the costs related to other rate components.</w:t>
      </w:r>
      <w:r w:rsidR="006D592D" w:rsidRPr="002532DF">
        <w:rPr>
          <w:rStyle w:val="FootnoteReference"/>
          <w:sz w:val="25"/>
          <w:szCs w:val="25"/>
        </w:rPr>
        <w:footnoteReference w:id="496"/>
      </w:r>
      <w:r w:rsidR="006D592D" w:rsidRPr="002532DF">
        <w:rPr>
          <w:sz w:val="25"/>
          <w:szCs w:val="25"/>
        </w:rPr>
        <w:t xml:space="preserve">  Therefore, the Company proposes larger increases to energy charges than demand charges.</w:t>
      </w:r>
      <w:r w:rsidR="006D592D" w:rsidRPr="002532DF">
        <w:rPr>
          <w:rStyle w:val="FootnoteReference"/>
          <w:sz w:val="25"/>
          <w:szCs w:val="25"/>
        </w:rPr>
        <w:footnoteReference w:id="497"/>
      </w:r>
    </w:p>
    <w:p w:rsidR="00027588" w:rsidRPr="002532DF" w:rsidRDefault="00027588" w:rsidP="00027588">
      <w:pPr>
        <w:pStyle w:val="ListParagraph"/>
        <w:rPr>
          <w:sz w:val="25"/>
          <w:szCs w:val="25"/>
        </w:rPr>
      </w:pPr>
    </w:p>
    <w:p w:rsidR="006D592D" w:rsidRPr="002532DF" w:rsidRDefault="006D592D" w:rsidP="00027588">
      <w:pPr>
        <w:numPr>
          <w:ilvl w:val="0"/>
          <w:numId w:val="1"/>
        </w:numPr>
        <w:tabs>
          <w:tab w:val="clear" w:pos="720"/>
          <w:tab w:val="num" w:pos="0"/>
        </w:tabs>
        <w:spacing w:line="276" w:lineRule="auto"/>
        <w:ind w:left="0"/>
        <w:rPr>
          <w:sz w:val="25"/>
          <w:szCs w:val="25"/>
        </w:rPr>
      </w:pPr>
      <w:r w:rsidRPr="002532DF">
        <w:rPr>
          <w:sz w:val="25"/>
          <w:szCs w:val="25"/>
        </w:rPr>
        <w:t>For General Service and Large General Service schedules, PacifiCorp asserts that the COSS indicates that larger increases are needed for energy charges than for demand, load size, and basic charges.</w:t>
      </w:r>
      <w:r w:rsidRPr="002532DF">
        <w:rPr>
          <w:rStyle w:val="FootnoteReference"/>
          <w:sz w:val="25"/>
          <w:szCs w:val="25"/>
        </w:rPr>
        <w:footnoteReference w:id="498"/>
      </w:r>
      <w:r w:rsidRPr="002532DF">
        <w:rPr>
          <w:sz w:val="25"/>
          <w:szCs w:val="25"/>
        </w:rPr>
        <w:t xml:space="preserve">  The rates for these schedules reflect </w:t>
      </w:r>
      <w:r w:rsidR="0052342D" w:rsidRPr="002532DF">
        <w:rPr>
          <w:sz w:val="25"/>
          <w:szCs w:val="25"/>
        </w:rPr>
        <w:t>t</w:t>
      </w:r>
      <w:r w:rsidRPr="002532DF">
        <w:rPr>
          <w:sz w:val="25"/>
          <w:szCs w:val="25"/>
        </w:rPr>
        <w:t>he COSS results.</w:t>
      </w:r>
      <w:r w:rsidRPr="002532DF">
        <w:rPr>
          <w:rStyle w:val="FootnoteReference"/>
          <w:sz w:val="25"/>
          <w:szCs w:val="25"/>
        </w:rPr>
        <w:footnoteReference w:id="499"/>
      </w:r>
      <w:r w:rsidRPr="002532DF">
        <w:rPr>
          <w:sz w:val="25"/>
          <w:szCs w:val="25"/>
        </w:rPr>
        <w:t xml:space="preserve">  With respect to Agricultural Pumping Service, the COSS indicates that both the load size and energy charges should be increased.</w:t>
      </w:r>
      <w:r w:rsidRPr="002532DF">
        <w:rPr>
          <w:rStyle w:val="FootnoteReference"/>
          <w:sz w:val="25"/>
          <w:szCs w:val="25"/>
        </w:rPr>
        <w:footnoteReference w:id="500"/>
      </w:r>
    </w:p>
    <w:p w:rsidR="00EC45A4" w:rsidRPr="002532DF" w:rsidRDefault="00EC45A4" w:rsidP="00817E21">
      <w:pPr>
        <w:spacing w:line="276" w:lineRule="auto"/>
        <w:rPr>
          <w:sz w:val="25"/>
          <w:szCs w:val="25"/>
        </w:rPr>
      </w:pPr>
    </w:p>
    <w:p w:rsidR="006D592D" w:rsidRPr="002532DF" w:rsidRDefault="006D592D" w:rsidP="00027588">
      <w:pPr>
        <w:numPr>
          <w:ilvl w:val="0"/>
          <w:numId w:val="1"/>
        </w:numPr>
        <w:tabs>
          <w:tab w:val="clear" w:pos="720"/>
          <w:tab w:val="num" w:pos="0"/>
        </w:tabs>
        <w:spacing w:line="276" w:lineRule="auto"/>
        <w:ind w:left="0"/>
        <w:rPr>
          <w:sz w:val="25"/>
          <w:szCs w:val="25"/>
        </w:rPr>
      </w:pPr>
      <w:r w:rsidRPr="002532DF">
        <w:rPr>
          <w:sz w:val="25"/>
          <w:szCs w:val="25"/>
        </w:rPr>
        <w:t>With respect to Street Lighting Schedules, the COSS indicates that only a small increase is warranted, so the Company proposes a five percent increase spread equally to all Street Lighting Schedules.</w:t>
      </w:r>
      <w:r w:rsidRPr="002532DF">
        <w:rPr>
          <w:rStyle w:val="FootnoteReference"/>
          <w:sz w:val="25"/>
          <w:szCs w:val="25"/>
        </w:rPr>
        <w:footnoteReference w:id="501"/>
      </w:r>
      <w:r w:rsidRPr="002532DF">
        <w:rPr>
          <w:sz w:val="25"/>
          <w:szCs w:val="25"/>
        </w:rPr>
        <w:t xml:space="preserve">  PacifiCorp proposes that the metal halide offering currently available in Schedule 52 be eliminated because the Company has no customers on these rates and does not anticipate any in the future.</w:t>
      </w:r>
      <w:r w:rsidRPr="002532DF">
        <w:rPr>
          <w:rStyle w:val="FootnoteReference"/>
          <w:sz w:val="25"/>
          <w:szCs w:val="25"/>
        </w:rPr>
        <w:footnoteReference w:id="502"/>
      </w:r>
      <w:r w:rsidRPr="002532DF">
        <w:rPr>
          <w:sz w:val="25"/>
          <w:szCs w:val="25"/>
        </w:rPr>
        <w:t xml:space="preserve">  Moreover, the Energy Independence and Security Act of 2007, Section 324 provides that metal halide fixtures cannot be manufactured after January 1, 2009.</w:t>
      </w:r>
      <w:r w:rsidRPr="002532DF">
        <w:rPr>
          <w:rStyle w:val="FootnoteReference"/>
          <w:sz w:val="25"/>
          <w:szCs w:val="25"/>
        </w:rPr>
        <w:footnoteReference w:id="503"/>
      </w:r>
    </w:p>
    <w:p w:rsidR="00863C9E" w:rsidRPr="002532DF" w:rsidRDefault="00863C9E" w:rsidP="00863C9E">
      <w:pPr>
        <w:spacing w:line="276" w:lineRule="auto"/>
        <w:ind w:left="-720"/>
        <w:rPr>
          <w:sz w:val="25"/>
          <w:szCs w:val="25"/>
        </w:rPr>
      </w:pPr>
    </w:p>
    <w:p w:rsidR="00863C9E" w:rsidRPr="002532DF" w:rsidRDefault="00863C9E" w:rsidP="00027588">
      <w:pPr>
        <w:numPr>
          <w:ilvl w:val="0"/>
          <w:numId w:val="1"/>
        </w:numPr>
        <w:tabs>
          <w:tab w:val="clear" w:pos="720"/>
          <w:tab w:val="num" w:pos="0"/>
        </w:tabs>
        <w:spacing w:line="276" w:lineRule="auto"/>
        <w:ind w:left="0"/>
        <w:rPr>
          <w:sz w:val="25"/>
          <w:szCs w:val="25"/>
        </w:rPr>
      </w:pPr>
      <w:r w:rsidRPr="002532DF">
        <w:rPr>
          <w:sz w:val="25"/>
          <w:szCs w:val="25"/>
        </w:rPr>
        <w:t>Staff recommends that the Commission accept PacifiCorp’s proposed increases to basic charges and demand charges for non-residential schedules.</w:t>
      </w:r>
      <w:r w:rsidRPr="002532DF">
        <w:rPr>
          <w:rStyle w:val="FootnoteReference"/>
          <w:sz w:val="25"/>
          <w:szCs w:val="25"/>
        </w:rPr>
        <w:footnoteReference w:id="504"/>
      </w:r>
      <w:r w:rsidRPr="002532DF">
        <w:rPr>
          <w:sz w:val="25"/>
          <w:szCs w:val="25"/>
        </w:rPr>
        <w:t xml:space="preserve">  Staff asserts that most of the increase is to the energy charge.</w:t>
      </w:r>
      <w:r w:rsidRPr="002532DF">
        <w:rPr>
          <w:rStyle w:val="FootnoteReference"/>
          <w:sz w:val="25"/>
          <w:szCs w:val="25"/>
        </w:rPr>
        <w:footnoteReference w:id="505"/>
      </w:r>
      <w:r w:rsidRPr="002532DF">
        <w:rPr>
          <w:sz w:val="25"/>
          <w:szCs w:val="25"/>
        </w:rPr>
        <w:t xml:space="preserve">  Staff recommends that the basic charge and demand charges for Schedules 24, 26, and 48T be increased by the amount proposed by the Company regardless of the revenue increase.</w:t>
      </w:r>
      <w:r w:rsidRPr="002532DF">
        <w:rPr>
          <w:rStyle w:val="FootnoteReference"/>
          <w:sz w:val="25"/>
          <w:szCs w:val="25"/>
        </w:rPr>
        <w:footnoteReference w:id="506"/>
      </w:r>
      <w:r w:rsidRPr="002532DF">
        <w:rPr>
          <w:sz w:val="25"/>
          <w:szCs w:val="25"/>
        </w:rPr>
        <w:t xml:space="preserve">  If the revenue requirement approved by the Commission is less than requested, then Staff recommends that the energy charge be reduced by a commensurate amount.</w:t>
      </w:r>
      <w:r w:rsidRPr="002532DF">
        <w:rPr>
          <w:rStyle w:val="FootnoteReference"/>
          <w:sz w:val="25"/>
          <w:szCs w:val="25"/>
        </w:rPr>
        <w:footnoteReference w:id="507"/>
      </w:r>
      <w:r w:rsidRPr="002532DF">
        <w:rPr>
          <w:sz w:val="25"/>
          <w:szCs w:val="25"/>
        </w:rPr>
        <w:t xml:space="preserve"> </w:t>
      </w:r>
    </w:p>
    <w:p w:rsidR="003674B4" w:rsidRPr="002532DF" w:rsidRDefault="003674B4" w:rsidP="00817E21">
      <w:pPr>
        <w:spacing w:line="276" w:lineRule="auto"/>
        <w:rPr>
          <w:sz w:val="25"/>
          <w:szCs w:val="25"/>
        </w:rPr>
      </w:pPr>
    </w:p>
    <w:p w:rsidR="006D592D" w:rsidRPr="002532DF" w:rsidRDefault="006D592D" w:rsidP="00027588">
      <w:pPr>
        <w:numPr>
          <w:ilvl w:val="0"/>
          <w:numId w:val="1"/>
        </w:numPr>
        <w:tabs>
          <w:tab w:val="clear" w:pos="720"/>
          <w:tab w:val="num" w:pos="0"/>
        </w:tabs>
        <w:spacing w:line="276" w:lineRule="auto"/>
        <w:ind w:left="0"/>
        <w:rPr>
          <w:sz w:val="25"/>
          <w:szCs w:val="25"/>
        </w:rPr>
      </w:pPr>
      <w:r w:rsidRPr="002532DF">
        <w:rPr>
          <w:sz w:val="25"/>
          <w:szCs w:val="25"/>
        </w:rPr>
        <w:t>ICNU does not support the Company’s rate design for Schedule 48T</w:t>
      </w:r>
      <w:r w:rsidR="003A5FF3" w:rsidRPr="002532DF">
        <w:rPr>
          <w:sz w:val="25"/>
          <w:szCs w:val="25"/>
        </w:rPr>
        <w:t xml:space="preserve"> and argues against</w:t>
      </w:r>
      <w:r w:rsidRPr="002532DF">
        <w:rPr>
          <w:sz w:val="25"/>
          <w:szCs w:val="25"/>
        </w:rPr>
        <w:t xml:space="preserve"> increasing energy charges </w:t>
      </w:r>
      <w:r w:rsidR="00BD11FE" w:rsidRPr="002532DF">
        <w:rPr>
          <w:sz w:val="25"/>
          <w:szCs w:val="25"/>
        </w:rPr>
        <w:t xml:space="preserve">by </w:t>
      </w:r>
      <w:r w:rsidR="0052342D" w:rsidRPr="002532DF">
        <w:rPr>
          <w:sz w:val="25"/>
          <w:szCs w:val="25"/>
        </w:rPr>
        <w:t xml:space="preserve">a greater percentage than </w:t>
      </w:r>
      <w:r w:rsidRPr="002532DF">
        <w:rPr>
          <w:sz w:val="25"/>
          <w:szCs w:val="25"/>
        </w:rPr>
        <w:t>demand charges.</w:t>
      </w:r>
      <w:r w:rsidRPr="002532DF">
        <w:rPr>
          <w:rStyle w:val="FootnoteReference"/>
          <w:sz w:val="25"/>
          <w:szCs w:val="25"/>
        </w:rPr>
        <w:footnoteReference w:id="508"/>
      </w:r>
      <w:r w:rsidRPr="002532DF">
        <w:rPr>
          <w:sz w:val="25"/>
          <w:szCs w:val="25"/>
        </w:rPr>
        <w:t xml:space="preserve">  I</w:t>
      </w:r>
      <w:r w:rsidR="003A5FF3" w:rsidRPr="002532DF">
        <w:rPr>
          <w:sz w:val="25"/>
          <w:szCs w:val="25"/>
        </w:rPr>
        <w:t xml:space="preserve">t contends that to do so </w:t>
      </w:r>
      <w:r w:rsidR="000B1CE0" w:rsidRPr="002532DF">
        <w:rPr>
          <w:sz w:val="25"/>
          <w:szCs w:val="25"/>
        </w:rPr>
        <w:t>would move Schedule 48T</w:t>
      </w:r>
      <w:r w:rsidRPr="002532DF">
        <w:rPr>
          <w:sz w:val="25"/>
          <w:szCs w:val="25"/>
        </w:rPr>
        <w:t xml:space="preserve"> further from the cost-of-service</w:t>
      </w:r>
      <w:r w:rsidR="000B1CE0" w:rsidRPr="002532DF">
        <w:rPr>
          <w:sz w:val="25"/>
          <w:szCs w:val="25"/>
        </w:rPr>
        <w:t xml:space="preserve">. To avoid this result, it </w:t>
      </w:r>
      <w:r w:rsidRPr="002532DF">
        <w:rPr>
          <w:sz w:val="25"/>
          <w:szCs w:val="25"/>
        </w:rPr>
        <w:t>recommends that all Schedule 48T charges be increased by the same percentage regardless of the actual revenue increase granted by the Commission.</w:t>
      </w:r>
      <w:r w:rsidRPr="002532DF">
        <w:rPr>
          <w:rStyle w:val="FootnoteReference"/>
          <w:sz w:val="25"/>
          <w:szCs w:val="25"/>
        </w:rPr>
        <w:footnoteReference w:id="509"/>
      </w:r>
    </w:p>
    <w:p w:rsidR="00EC45A4" w:rsidRPr="002532DF" w:rsidRDefault="00EC45A4" w:rsidP="00817E21">
      <w:pPr>
        <w:spacing w:line="276" w:lineRule="auto"/>
        <w:rPr>
          <w:sz w:val="25"/>
          <w:szCs w:val="25"/>
        </w:rPr>
      </w:pPr>
    </w:p>
    <w:p w:rsidR="006D592D" w:rsidRPr="002532DF" w:rsidRDefault="006D592D" w:rsidP="00027588">
      <w:pPr>
        <w:numPr>
          <w:ilvl w:val="0"/>
          <w:numId w:val="1"/>
        </w:numPr>
        <w:tabs>
          <w:tab w:val="clear" w:pos="720"/>
          <w:tab w:val="num" w:pos="0"/>
        </w:tabs>
        <w:spacing w:line="276" w:lineRule="auto"/>
        <w:ind w:left="0"/>
        <w:rPr>
          <w:sz w:val="25"/>
          <w:szCs w:val="25"/>
        </w:rPr>
      </w:pPr>
      <w:r w:rsidRPr="002532DF">
        <w:rPr>
          <w:sz w:val="25"/>
          <w:szCs w:val="25"/>
        </w:rPr>
        <w:t>Wal-Mart states that the Company</w:t>
      </w:r>
      <w:r w:rsidR="000B1CE0" w:rsidRPr="002532DF">
        <w:rPr>
          <w:sz w:val="25"/>
          <w:szCs w:val="25"/>
        </w:rPr>
        <w:t>’s</w:t>
      </w:r>
      <w:r w:rsidRPr="002532DF">
        <w:rPr>
          <w:sz w:val="25"/>
          <w:szCs w:val="25"/>
        </w:rPr>
        <w:t xml:space="preserve"> propos</w:t>
      </w:r>
      <w:r w:rsidR="000B1CE0" w:rsidRPr="002532DF">
        <w:rPr>
          <w:sz w:val="25"/>
          <w:szCs w:val="25"/>
        </w:rPr>
        <w:t>al to increase</w:t>
      </w:r>
      <w:r w:rsidRPr="002532DF">
        <w:rPr>
          <w:sz w:val="25"/>
          <w:szCs w:val="25"/>
        </w:rPr>
        <w:t xml:space="preserve"> energy </w:t>
      </w:r>
      <w:r w:rsidR="000B1CE0" w:rsidRPr="002532DF">
        <w:rPr>
          <w:sz w:val="25"/>
          <w:szCs w:val="25"/>
        </w:rPr>
        <w:t>charges</w:t>
      </w:r>
      <w:r w:rsidR="0052342D" w:rsidRPr="002532DF">
        <w:rPr>
          <w:sz w:val="25"/>
          <w:szCs w:val="25"/>
        </w:rPr>
        <w:t xml:space="preserve"> </w:t>
      </w:r>
      <w:r w:rsidR="00E54F62" w:rsidRPr="002532DF">
        <w:rPr>
          <w:sz w:val="25"/>
          <w:szCs w:val="25"/>
        </w:rPr>
        <w:t xml:space="preserve">which </w:t>
      </w:r>
      <w:r w:rsidR="0052342D" w:rsidRPr="002532DF">
        <w:rPr>
          <w:sz w:val="25"/>
          <w:szCs w:val="25"/>
        </w:rPr>
        <w:t>s</w:t>
      </w:r>
      <w:r w:rsidRPr="002532DF">
        <w:rPr>
          <w:sz w:val="25"/>
          <w:szCs w:val="25"/>
        </w:rPr>
        <w:t>hift</w:t>
      </w:r>
      <w:r w:rsidR="000B1CE0" w:rsidRPr="002532DF">
        <w:rPr>
          <w:sz w:val="25"/>
          <w:szCs w:val="25"/>
        </w:rPr>
        <w:t>s</w:t>
      </w:r>
      <w:r w:rsidRPr="002532DF">
        <w:rPr>
          <w:sz w:val="25"/>
          <w:szCs w:val="25"/>
        </w:rPr>
        <w:t xml:space="preserve"> demand cost responsibility from lower load factor customers to higher load factor customers.</w:t>
      </w:r>
      <w:r w:rsidRPr="002532DF">
        <w:rPr>
          <w:rStyle w:val="FootnoteReference"/>
          <w:sz w:val="25"/>
          <w:szCs w:val="25"/>
        </w:rPr>
        <w:footnoteReference w:id="510"/>
      </w:r>
      <w:r w:rsidRPr="002532DF">
        <w:rPr>
          <w:sz w:val="25"/>
          <w:szCs w:val="25"/>
        </w:rPr>
        <w:t xml:space="preserve">  That is, the Company will over-recover demand cost from higher load factor customers and under-recover demand costs from lower load factor customers.</w:t>
      </w:r>
      <w:r w:rsidRPr="002532DF">
        <w:rPr>
          <w:rStyle w:val="FootnoteReference"/>
          <w:sz w:val="25"/>
          <w:szCs w:val="25"/>
        </w:rPr>
        <w:footnoteReference w:id="511"/>
      </w:r>
      <w:r w:rsidRPr="002532DF">
        <w:rPr>
          <w:sz w:val="25"/>
          <w:szCs w:val="25"/>
        </w:rPr>
        <w:t xml:space="preserve">  Wal-Mart argues that one benefit of collecting demand-related costs through demand charges is t</w:t>
      </w:r>
      <w:r w:rsidR="000B1CE0" w:rsidRPr="002532DF">
        <w:rPr>
          <w:sz w:val="25"/>
          <w:szCs w:val="25"/>
        </w:rPr>
        <w:t xml:space="preserve">o reduce the risk of revenue instability as customers become more energy efficient, which makes demand-based revenues theoretically </w:t>
      </w:r>
      <w:r w:rsidRPr="002532DF">
        <w:rPr>
          <w:sz w:val="25"/>
          <w:szCs w:val="25"/>
        </w:rPr>
        <w:t>more stable than energy</w:t>
      </w:r>
      <w:r w:rsidR="000B1CE0" w:rsidRPr="002532DF">
        <w:rPr>
          <w:sz w:val="25"/>
          <w:szCs w:val="25"/>
        </w:rPr>
        <w:t>-based revenues.</w:t>
      </w:r>
      <w:r w:rsidRPr="002532DF">
        <w:rPr>
          <w:rStyle w:val="FootnoteReference"/>
          <w:sz w:val="25"/>
          <w:szCs w:val="25"/>
        </w:rPr>
        <w:footnoteReference w:id="512"/>
      </w:r>
      <w:r w:rsidRPr="002532DF">
        <w:rPr>
          <w:sz w:val="25"/>
          <w:szCs w:val="25"/>
        </w:rPr>
        <w:t xml:space="preserve">  Wal-Mart recommends that the Commission approve demand charges for Large General Service that represent 25 percent of the difference between the proposed rate design percentage of 16.7 percent and the proposed cost of service percentage of 29.3 percent, or approximately 20 percent of the total revenue requirement.</w:t>
      </w:r>
      <w:r w:rsidRPr="002532DF">
        <w:rPr>
          <w:rStyle w:val="FootnoteReference"/>
          <w:sz w:val="25"/>
          <w:szCs w:val="25"/>
        </w:rPr>
        <w:footnoteReference w:id="513"/>
      </w:r>
    </w:p>
    <w:p w:rsidR="00575FCF" w:rsidRPr="002532DF" w:rsidRDefault="00575FCF" w:rsidP="000C3B67">
      <w:pPr>
        <w:spacing w:line="276" w:lineRule="auto"/>
        <w:ind w:left="-720"/>
        <w:rPr>
          <w:sz w:val="25"/>
          <w:szCs w:val="25"/>
        </w:rPr>
      </w:pPr>
    </w:p>
    <w:p w:rsidR="00575FCF" w:rsidRPr="002532DF" w:rsidRDefault="00575FCF" w:rsidP="00027588">
      <w:pPr>
        <w:numPr>
          <w:ilvl w:val="0"/>
          <w:numId w:val="1"/>
        </w:numPr>
        <w:tabs>
          <w:tab w:val="clear" w:pos="720"/>
          <w:tab w:val="num" w:pos="0"/>
        </w:tabs>
        <w:spacing w:line="276" w:lineRule="auto"/>
        <w:ind w:left="0"/>
        <w:rPr>
          <w:sz w:val="25"/>
          <w:szCs w:val="25"/>
        </w:rPr>
      </w:pPr>
      <w:r w:rsidRPr="002532DF" w:rsidDel="000B1CE0">
        <w:rPr>
          <w:sz w:val="25"/>
          <w:szCs w:val="25"/>
        </w:rPr>
        <w:t>In response to ICNU’s and Wal-Mart’s concerns, the Company revises its rate design for Large General Service, Small General Service, and Industrial Service by increasing all billing elements by a uniform percentage.</w:t>
      </w:r>
      <w:r w:rsidR="004A17CD">
        <w:rPr>
          <w:rStyle w:val="FootnoteReference"/>
          <w:sz w:val="25"/>
          <w:szCs w:val="25"/>
        </w:rPr>
        <w:footnoteReference w:id="514"/>
      </w:r>
      <w:r w:rsidRPr="002532DF" w:rsidDel="000B1CE0">
        <w:rPr>
          <w:sz w:val="25"/>
          <w:szCs w:val="25"/>
        </w:rPr>
        <w:t xml:space="preserve">  For Agricultural Pumping Service, PacifiCorp proposes to reflect the revised revenue requirement by increasing the Load Size Charge and Energy Charge by an approximately equal percentage.  PacifiCorp proposes an increase of one percent for all street lighting schedules.  </w:t>
      </w:r>
    </w:p>
    <w:p w:rsidR="005D3597" w:rsidRPr="002532DF" w:rsidRDefault="005D3597" w:rsidP="000C3B67">
      <w:pPr>
        <w:spacing w:line="276" w:lineRule="auto"/>
        <w:ind w:left="-720"/>
        <w:rPr>
          <w:sz w:val="25"/>
          <w:szCs w:val="25"/>
        </w:rPr>
      </w:pPr>
    </w:p>
    <w:p w:rsidR="005D3597" w:rsidRPr="002532DF" w:rsidRDefault="005D3597" w:rsidP="005D3597">
      <w:pPr>
        <w:numPr>
          <w:ilvl w:val="0"/>
          <w:numId w:val="1"/>
        </w:numPr>
        <w:tabs>
          <w:tab w:val="clear" w:pos="720"/>
          <w:tab w:val="num" w:pos="0"/>
        </w:tabs>
        <w:spacing w:line="276" w:lineRule="auto"/>
        <w:ind w:left="0"/>
        <w:rPr>
          <w:sz w:val="25"/>
          <w:szCs w:val="25"/>
        </w:rPr>
      </w:pPr>
      <w:r w:rsidRPr="002532DF">
        <w:rPr>
          <w:sz w:val="25"/>
          <w:szCs w:val="25"/>
        </w:rPr>
        <w:t>With respect to residential rate design, the Company proposes increasing the monthly residential basic charge from $6 to $9 to more closely reflect the COSS results which reflect a cost of $10.38.</w:t>
      </w:r>
      <w:r w:rsidRPr="002532DF">
        <w:rPr>
          <w:rStyle w:val="FootnoteReference"/>
          <w:sz w:val="25"/>
          <w:szCs w:val="25"/>
        </w:rPr>
        <w:footnoteReference w:id="515"/>
      </w:r>
      <w:r w:rsidRPr="002532DF">
        <w:rPr>
          <w:sz w:val="25"/>
          <w:szCs w:val="25"/>
        </w:rPr>
        <w:t xml:space="preserve">  PacifiCorp argues that increasing the basic charge to $9 moves closer to the cost-of-service while minimizing the bill impact.</w:t>
      </w:r>
      <w:r w:rsidRPr="002532DF">
        <w:rPr>
          <w:rStyle w:val="FootnoteReference"/>
          <w:sz w:val="25"/>
          <w:szCs w:val="25"/>
        </w:rPr>
        <w:footnoteReference w:id="516"/>
      </w:r>
      <w:r w:rsidRPr="002532DF">
        <w:rPr>
          <w:sz w:val="25"/>
          <w:szCs w:val="25"/>
        </w:rPr>
        <w:t xml:space="preserve">  The Company further argues that a $9 basic charge would continue to be one of the lowest among Washington utilities.</w:t>
      </w:r>
      <w:r w:rsidRPr="002532DF">
        <w:rPr>
          <w:rStyle w:val="FootnoteReference"/>
          <w:sz w:val="25"/>
          <w:szCs w:val="25"/>
        </w:rPr>
        <w:footnoteReference w:id="517"/>
      </w:r>
      <w:r w:rsidRPr="002532DF">
        <w:rPr>
          <w:sz w:val="25"/>
          <w:szCs w:val="25"/>
        </w:rPr>
        <w:t xml:space="preserve">  For energy charges, PacifiCorp proposes to retain the current inverted rate structure and apply an approximately uniform percentage increase to the two kilowatt-hour blocks.</w:t>
      </w:r>
      <w:r w:rsidRPr="002532DF">
        <w:rPr>
          <w:rStyle w:val="FootnoteReference"/>
          <w:sz w:val="25"/>
          <w:szCs w:val="25"/>
        </w:rPr>
        <w:footnoteReference w:id="518"/>
      </w:r>
      <w:r w:rsidRPr="002532DF">
        <w:rPr>
          <w:sz w:val="25"/>
          <w:szCs w:val="25"/>
        </w:rPr>
        <w:t xml:space="preserve">  </w:t>
      </w:r>
    </w:p>
    <w:p w:rsidR="003A5FF3" w:rsidRPr="002532DF" w:rsidRDefault="003A5FF3" w:rsidP="000B1CE0">
      <w:pPr>
        <w:spacing w:line="276" w:lineRule="auto"/>
        <w:ind w:left="-720"/>
        <w:rPr>
          <w:sz w:val="25"/>
          <w:szCs w:val="25"/>
        </w:rPr>
      </w:pPr>
    </w:p>
    <w:p w:rsidR="003A5FF3" w:rsidRPr="002532DF" w:rsidRDefault="003A5FF3" w:rsidP="003A5FF3">
      <w:pPr>
        <w:numPr>
          <w:ilvl w:val="0"/>
          <w:numId w:val="1"/>
        </w:numPr>
        <w:tabs>
          <w:tab w:val="clear" w:pos="720"/>
          <w:tab w:val="num" w:pos="0"/>
        </w:tabs>
        <w:spacing w:line="276" w:lineRule="auto"/>
        <w:ind w:left="0"/>
        <w:rPr>
          <w:sz w:val="25"/>
          <w:szCs w:val="25"/>
        </w:rPr>
      </w:pPr>
      <w:r w:rsidRPr="002532DF">
        <w:rPr>
          <w:sz w:val="25"/>
          <w:szCs w:val="25"/>
        </w:rPr>
        <w:t>Staff recommends that the residential basic charge be increased from $6.00 to $7.50 and that the Commission accept the Company’s rate design proposal for the other rate schedules.</w:t>
      </w:r>
      <w:r w:rsidRPr="002532DF">
        <w:rPr>
          <w:rStyle w:val="FootnoteReference"/>
          <w:sz w:val="25"/>
          <w:szCs w:val="25"/>
        </w:rPr>
        <w:footnoteReference w:id="519"/>
      </w:r>
      <w:r w:rsidRPr="002532DF">
        <w:rPr>
          <w:sz w:val="25"/>
          <w:szCs w:val="25"/>
        </w:rPr>
        <w:t xml:space="preserve">  Staff argues that because its proposed revenue increase of 10.58 percent is roughly half of the Company’s proposed increase of 20.88 percent; the basic charge should be increased by one-half of the Company’s increase or $1.50.</w:t>
      </w:r>
      <w:r w:rsidRPr="002532DF">
        <w:rPr>
          <w:rStyle w:val="FootnoteReference"/>
          <w:sz w:val="25"/>
          <w:szCs w:val="25"/>
        </w:rPr>
        <w:footnoteReference w:id="520"/>
      </w:r>
      <w:r w:rsidRPr="002532DF">
        <w:rPr>
          <w:sz w:val="25"/>
          <w:szCs w:val="25"/>
        </w:rPr>
        <w:t xml:space="preserve">  Staff notes that increasing the basic charge effectively reduces the energy charge.</w:t>
      </w:r>
      <w:r w:rsidRPr="002532DF">
        <w:rPr>
          <w:rStyle w:val="FootnoteReference"/>
          <w:sz w:val="25"/>
          <w:szCs w:val="25"/>
        </w:rPr>
        <w:footnoteReference w:id="521"/>
      </w:r>
      <w:r w:rsidRPr="002532DF">
        <w:rPr>
          <w:sz w:val="25"/>
          <w:szCs w:val="25"/>
        </w:rPr>
        <w:t xml:space="preserve">  Thus, the rate impact of a basic charge increase affects a customer with low energy use more than a customer with high energy use.</w:t>
      </w:r>
      <w:r w:rsidRPr="002532DF">
        <w:rPr>
          <w:rStyle w:val="FootnoteReference"/>
          <w:sz w:val="25"/>
          <w:szCs w:val="25"/>
        </w:rPr>
        <w:footnoteReference w:id="522"/>
      </w:r>
    </w:p>
    <w:p w:rsidR="00EC45A4" w:rsidRPr="002532DF" w:rsidRDefault="00EC45A4" w:rsidP="00817E21">
      <w:pPr>
        <w:spacing w:line="276" w:lineRule="auto"/>
        <w:rPr>
          <w:sz w:val="25"/>
          <w:szCs w:val="25"/>
        </w:rPr>
      </w:pPr>
    </w:p>
    <w:p w:rsidR="006D592D" w:rsidRPr="002532DF" w:rsidRDefault="006D592D" w:rsidP="00027588">
      <w:pPr>
        <w:numPr>
          <w:ilvl w:val="0"/>
          <w:numId w:val="1"/>
        </w:numPr>
        <w:tabs>
          <w:tab w:val="clear" w:pos="720"/>
          <w:tab w:val="num" w:pos="0"/>
        </w:tabs>
        <w:spacing w:line="276" w:lineRule="auto"/>
        <w:ind w:left="0"/>
        <w:rPr>
          <w:sz w:val="25"/>
          <w:szCs w:val="25"/>
        </w:rPr>
      </w:pPr>
      <w:r w:rsidRPr="002532DF">
        <w:rPr>
          <w:sz w:val="25"/>
          <w:szCs w:val="25"/>
        </w:rPr>
        <w:t>With respect to the Company’s propos</w:t>
      </w:r>
      <w:r w:rsidR="00E42CCD" w:rsidRPr="002532DF">
        <w:rPr>
          <w:sz w:val="25"/>
          <w:szCs w:val="25"/>
        </w:rPr>
        <w:t>ed</w:t>
      </w:r>
      <w:r w:rsidRPr="002532DF">
        <w:rPr>
          <w:sz w:val="25"/>
          <w:szCs w:val="25"/>
        </w:rPr>
        <w:t xml:space="preserve"> increase in the residential basic charge, The Energy Project argues that factors other than the cost of service should be considered </w:t>
      </w:r>
      <w:r w:rsidR="00E42CCD" w:rsidRPr="002532DF">
        <w:rPr>
          <w:sz w:val="25"/>
          <w:szCs w:val="25"/>
        </w:rPr>
        <w:t>when</w:t>
      </w:r>
      <w:r w:rsidRPr="002532DF">
        <w:rPr>
          <w:sz w:val="25"/>
          <w:szCs w:val="25"/>
        </w:rPr>
        <w:t xml:space="preserve"> determining the level of the charge.</w:t>
      </w:r>
      <w:r w:rsidRPr="002532DF">
        <w:rPr>
          <w:rStyle w:val="FootnoteReference"/>
          <w:sz w:val="25"/>
          <w:szCs w:val="25"/>
        </w:rPr>
        <w:footnoteReference w:id="523"/>
      </w:r>
      <w:r w:rsidRPr="002532DF">
        <w:rPr>
          <w:sz w:val="25"/>
          <w:szCs w:val="25"/>
        </w:rPr>
        <w:t xml:space="preserve">  First, </w:t>
      </w:r>
      <w:r w:rsidR="00DF37A7">
        <w:rPr>
          <w:sz w:val="25"/>
          <w:szCs w:val="25"/>
        </w:rPr>
        <w:t>T</w:t>
      </w:r>
      <w:r w:rsidRPr="002532DF">
        <w:rPr>
          <w:sz w:val="25"/>
          <w:szCs w:val="25"/>
        </w:rPr>
        <w:t xml:space="preserve">he Energy Project </w:t>
      </w:r>
      <w:r w:rsidR="0052342D" w:rsidRPr="002532DF">
        <w:rPr>
          <w:sz w:val="25"/>
          <w:szCs w:val="25"/>
        </w:rPr>
        <w:t>contends</w:t>
      </w:r>
      <w:r w:rsidRPr="002532DF">
        <w:rPr>
          <w:sz w:val="25"/>
          <w:szCs w:val="25"/>
        </w:rPr>
        <w:t xml:space="preserve"> that when consumption-based costs are diminished and transferred to fixed charges, customers lose the incentive to use energy efficiently.</w:t>
      </w:r>
      <w:r w:rsidRPr="002532DF">
        <w:rPr>
          <w:rStyle w:val="FootnoteReference"/>
          <w:sz w:val="25"/>
          <w:szCs w:val="25"/>
        </w:rPr>
        <w:footnoteReference w:id="524"/>
      </w:r>
      <w:r w:rsidRPr="002532DF">
        <w:rPr>
          <w:sz w:val="25"/>
          <w:szCs w:val="25"/>
        </w:rPr>
        <w:t xml:space="preserve">  Second, the higher fixed costs disproportionately impact low-use customers many of whom will be low-income customers.</w:t>
      </w:r>
      <w:r w:rsidRPr="002532DF">
        <w:rPr>
          <w:rStyle w:val="FootnoteReference"/>
          <w:sz w:val="25"/>
          <w:szCs w:val="25"/>
        </w:rPr>
        <w:footnoteReference w:id="525"/>
      </w:r>
      <w:r w:rsidRPr="002532DF">
        <w:rPr>
          <w:sz w:val="25"/>
          <w:szCs w:val="25"/>
        </w:rPr>
        <w:t xml:space="preserve">  The Energy Project recommends that the Commission reject any increase to the residential basic charge.</w:t>
      </w:r>
      <w:r w:rsidRPr="002532DF">
        <w:rPr>
          <w:rStyle w:val="FootnoteReference"/>
          <w:sz w:val="25"/>
          <w:szCs w:val="25"/>
        </w:rPr>
        <w:footnoteReference w:id="526"/>
      </w:r>
    </w:p>
    <w:p w:rsidR="00575FCF" w:rsidRPr="002532DF" w:rsidRDefault="00575FCF" w:rsidP="00E208DC">
      <w:pPr>
        <w:spacing w:line="276" w:lineRule="auto"/>
        <w:ind w:left="-720"/>
        <w:rPr>
          <w:sz w:val="25"/>
          <w:szCs w:val="25"/>
        </w:rPr>
      </w:pPr>
    </w:p>
    <w:p w:rsidR="00E42CCD" w:rsidRPr="002532DF" w:rsidRDefault="00E42CCD" w:rsidP="00027588">
      <w:pPr>
        <w:numPr>
          <w:ilvl w:val="0"/>
          <w:numId w:val="1"/>
        </w:numPr>
        <w:tabs>
          <w:tab w:val="clear" w:pos="720"/>
          <w:tab w:val="num" w:pos="0"/>
        </w:tabs>
        <w:spacing w:line="276" w:lineRule="auto"/>
        <w:ind w:left="0"/>
        <w:rPr>
          <w:sz w:val="25"/>
          <w:szCs w:val="25"/>
        </w:rPr>
      </w:pPr>
      <w:r w:rsidRPr="002532DF">
        <w:rPr>
          <w:sz w:val="25"/>
          <w:szCs w:val="25"/>
        </w:rPr>
        <w:t xml:space="preserve">In cross-answering testimony, </w:t>
      </w:r>
      <w:r w:rsidR="00763CE7" w:rsidRPr="002532DF">
        <w:rPr>
          <w:sz w:val="25"/>
          <w:szCs w:val="25"/>
        </w:rPr>
        <w:t>Staff argues that, contrary to The Energy Project’s assertions, energy charges exceeding nine cents per kWh give customers ample opportunity to conserve.</w:t>
      </w:r>
      <w:r w:rsidR="00763CE7" w:rsidRPr="002532DF">
        <w:rPr>
          <w:rStyle w:val="FootnoteReference"/>
          <w:sz w:val="25"/>
          <w:szCs w:val="25"/>
        </w:rPr>
        <w:footnoteReference w:id="527"/>
      </w:r>
      <w:r w:rsidRPr="002532DF">
        <w:rPr>
          <w:sz w:val="25"/>
          <w:szCs w:val="25"/>
        </w:rPr>
        <w:t xml:space="preserve"> </w:t>
      </w:r>
    </w:p>
    <w:p w:rsidR="00EC45A4" w:rsidRPr="002532DF" w:rsidRDefault="00EC45A4" w:rsidP="00817E21">
      <w:pPr>
        <w:spacing w:line="276" w:lineRule="auto"/>
        <w:rPr>
          <w:sz w:val="25"/>
          <w:szCs w:val="25"/>
        </w:rPr>
      </w:pPr>
    </w:p>
    <w:p w:rsidR="006D592D" w:rsidRPr="002532DF" w:rsidRDefault="006D592D" w:rsidP="00027588">
      <w:pPr>
        <w:numPr>
          <w:ilvl w:val="0"/>
          <w:numId w:val="1"/>
        </w:numPr>
        <w:tabs>
          <w:tab w:val="clear" w:pos="720"/>
          <w:tab w:val="num" w:pos="0"/>
        </w:tabs>
        <w:spacing w:line="276" w:lineRule="auto"/>
        <w:ind w:left="0"/>
        <w:rPr>
          <w:sz w:val="25"/>
          <w:szCs w:val="25"/>
        </w:rPr>
      </w:pPr>
      <w:r w:rsidRPr="002532DF">
        <w:rPr>
          <w:sz w:val="25"/>
          <w:szCs w:val="25"/>
        </w:rPr>
        <w:t>In rebuttal</w:t>
      </w:r>
      <w:r w:rsidR="00575FCF" w:rsidRPr="002532DF">
        <w:rPr>
          <w:sz w:val="25"/>
          <w:szCs w:val="25"/>
        </w:rPr>
        <w:t xml:space="preserve"> testimony</w:t>
      </w:r>
      <w:r w:rsidRPr="002532DF">
        <w:rPr>
          <w:sz w:val="25"/>
          <w:szCs w:val="25"/>
        </w:rPr>
        <w:t xml:space="preserve">, the Company proposes to </w:t>
      </w:r>
      <w:r w:rsidR="00575FCF" w:rsidRPr="002532DF">
        <w:rPr>
          <w:sz w:val="25"/>
          <w:szCs w:val="25"/>
        </w:rPr>
        <w:t xml:space="preserve">reduce </w:t>
      </w:r>
      <w:r w:rsidR="004634EC" w:rsidRPr="002532DF">
        <w:rPr>
          <w:sz w:val="25"/>
          <w:szCs w:val="25"/>
        </w:rPr>
        <w:t xml:space="preserve">its proposed </w:t>
      </w:r>
      <w:r w:rsidRPr="002532DF">
        <w:rPr>
          <w:sz w:val="25"/>
          <w:szCs w:val="25"/>
        </w:rPr>
        <w:t xml:space="preserve">increase </w:t>
      </w:r>
      <w:r w:rsidR="007A1375" w:rsidRPr="002532DF">
        <w:rPr>
          <w:sz w:val="25"/>
          <w:szCs w:val="25"/>
        </w:rPr>
        <w:t>to the</w:t>
      </w:r>
      <w:r w:rsidRPr="002532DF">
        <w:rPr>
          <w:sz w:val="25"/>
          <w:szCs w:val="25"/>
        </w:rPr>
        <w:t xml:space="preserve"> residential basic charge to $8.50 </w:t>
      </w:r>
      <w:r w:rsidR="004634EC" w:rsidRPr="002532DF">
        <w:rPr>
          <w:sz w:val="25"/>
          <w:szCs w:val="25"/>
        </w:rPr>
        <w:t>from its originally proposed $9.00</w:t>
      </w:r>
      <w:r w:rsidR="00033662" w:rsidRPr="002532DF">
        <w:rPr>
          <w:sz w:val="25"/>
          <w:szCs w:val="25"/>
        </w:rPr>
        <w:t>,</w:t>
      </w:r>
      <w:r w:rsidR="004634EC" w:rsidRPr="002532DF">
        <w:rPr>
          <w:sz w:val="25"/>
          <w:szCs w:val="25"/>
        </w:rPr>
        <w:t xml:space="preserve"> </w:t>
      </w:r>
      <w:r w:rsidRPr="002532DF">
        <w:rPr>
          <w:sz w:val="25"/>
          <w:szCs w:val="25"/>
        </w:rPr>
        <w:t>and to retain the existing inverted rate structure.</w:t>
      </w:r>
      <w:r w:rsidRPr="002532DF">
        <w:rPr>
          <w:rStyle w:val="FootnoteReference"/>
          <w:sz w:val="25"/>
          <w:szCs w:val="25"/>
        </w:rPr>
        <w:footnoteReference w:id="528"/>
      </w:r>
      <w:r w:rsidRPr="002532DF">
        <w:rPr>
          <w:sz w:val="25"/>
          <w:szCs w:val="25"/>
        </w:rPr>
        <w:t xml:space="preserve">  The revised residential basic charge reflects the reduced revenue requirement sought in rebuttal.  The Company disagrees with The Energy Project that increasing the basic charge sends an anti-conservation message.  PacifiCorp argues that its rate structure supports an 18 percent increase in the energy charge and that this rate structure sends a proper conservation signal.</w:t>
      </w:r>
      <w:r w:rsidRPr="002532DF">
        <w:rPr>
          <w:rStyle w:val="FootnoteReference"/>
          <w:sz w:val="25"/>
          <w:szCs w:val="25"/>
        </w:rPr>
        <w:footnoteReference w:id="529"/>
      </w:r>
      <w:r w:rsidRPr="002532DF">
        <w:rPr>
          <w:sz w:val="25"/>
          <w:szCs w:val="25"/>
        </w:rPr>
        <w:t xml:space="preserve">  </w:t>
      </w:r>
    </w:p>
    <w:p w:rsidR="00725588" w:rsidRPr="002532DF" w:rsidDel="000B1CE0" w:rsidRDefault="00725588" w:rsidP="00725588">
      <w:pPr>
        <w:tabs>
          <w:tab w:val="num" w:pos="0"/>
        </w:tabs>
        <w:spacing w:line="276" w:lineRule="auto"/>
        <w:ind w:left="-720"/>
        <w:rPr>
          <w:sz w:val="25"/>
          <w:szCs w:val="25"/>
        </w:rPr>
      </w:pPr>
    </w:p>
    <w:p w:rsidR="00725588" w:rsidRPr="002532DF" w:rsidRDefault="00480F16" w:rsidP="00027588">
      <w:pPr>
        <w:numPr>
          <w:ilvl w:val="0"/>
          <w:numId w:val="1"/>
        </w:numPr>
        <w:tabs>
          <w:tab w:val="clear" w:pos="720"/>
          <w:tab w:val="num" w:pos="0"/>
        </w:tabs>
        <w:spacing w:line="276" w:lineRule="auto"/>
        <w:ind w:left="0"/>
        <w:rPr>
          <w:sz w:val="25"/>
          <w:szCs w:val="25"/>
        </w:rPr>
      </w:pPr>
      <w:r w:rsidRPr="002532DF">
        <w:rPr>
          <w:i/>
          <w:sz w:val="25"/>
          <w:szCs w:val="25"/>
        </w:rPr>
        <w:t xml:space="preserve">Commission Decision. </w:t>
      </w:r>
      <w:r w:rsidR="00DF37A7">
        <w:rPr>
          <w:i/>
          <w:sz w:val="25"/>
          <w:szCs w:val="25"/>
        </w:rPr>
        <w:t xml:space="preserve"> </w:t>
      </w:r>
      <w:r w:rsidR="00E54F62" w:rsidRPr="002532DF">
        <w:rPr>
          <w:sz w:val="25"/>
          <w:szCs w:val="25"/>
        </w:rPr>
        <w:t>First,</w:t>
      </w:r>
      <w:r w:rsidR="001B0EF4" w:rsidRPr="002532DF">
        <w:rPr>
          <w:sz w:val="25"/>
          <w:szCs w:val="25"/>
        </w:rPr>
        <w:t xml:space="preserve"> </w:t>
      </w:r>
      <w:r w:rsidR="00E54F62" w:rsidRPr="002532DF">
        <w:rPr>
          <w:sz w:val="25"/>
          <w:szCs w:val="25"/>
        </w:rPr>
        <w:t>w</w:t>
      </w:r>
      <w:r w:rsidR="00D63FD5" w:rsidRPr="002532DF">
        <w:rPr>
          <w:sz w:val="25"/>
          <w:szCs w:val="25"/>
        </w:rPr>
        <w:t>e</w:t>
      </w:r>
      <w:r w:rsidR="00725588" w:rsidRPr="002532DF">
        <w:rPr>
          <w:sz w:val="25"/>
          <w:szCs w:val="25"/>
        </w:rPr>
        <w:t xml:space="preserve"> accep</w:t>
      </w:r>
      <w:r w:rsidR="00D63FD5" w:rsidRPr="002532DF">
        <w:rPr>
          <w:sz w:val="25"/>
          <w:szCs w:val="25"/>
        </w:rPr>
        <w:t>t</w:t>
      </w:r>
      <w:r w:rsidR="00725588" w:rsidRPr="002532DF">
        <w:rPr>
          <w:sz w:val="25"/>
          <w:szCs w:val="25"/>
        </w:rPr>
        <w:t xml:space="preserve"> PacifiCorp’s re</w:t>
      </w:r>
      <w:r w:rsidR="00033662" w:rsidRPr="002532DF">
        <w:rPr>
          <w:sz w:val="25"/>
          <w:szCs w:val="25"/>
        </w:rPr>
        <w:t>vised</w:t>
      </w:r>
      <w:r w:rsidR="00725588" w:rsidRPr="002532DF">
        <w:rPr>
          <w:sz w:val="25"/>
          <w:szCs w:val="25"/>
        </w:rPr>
        <w:t xml:space="preserve"> rate design proposal for Small General Service, Large General Service, Industrial Service, and Agricultural Pumping Service.  We conclude that </w:t>
      </w:r>
      <w:r w:rsidR="000E090F">
        <w:rPr>
          <w:sz w:val="25"/>
          <w:szCs w:val="25"/>
        </w:rPr>
        <w:t>this rate design</w:t>
      </w:r>
      <w:r w:rsidR="00725588" w:rsidRPr="002532DF">
        <w:rPr>
          <w:sz w:val="25"/>
          <w:szCs w:val="25"/>
        </w:rPr>
        <w:t xml:space="preserve"> adequately addresses the concerns raised by ICNU and Wal-</w:t>
      </w:r>
      <w:r w:rsidR="00281AA7" w:rsidRPr="002532DF">
        <w:rPr>
          <w:sz w:val="25"/>
          <w:szCs w:val="25"/>
        </w:rPr>
        <w:t>M</w:t>
      </w:r>
      <w:r w:rsidR="00725588" w:rsidRPr="002532DF">
        <w:rPr>
          <w:sz w:val="25"/>
          <w:szCs w:val="25"/>
        </w:rPr>
        <w:t>art.  We further conclude that the Company should be permitted to eliminate the metal halide offering currently available to Street Lighting customers in Schedule 52.  As the Company notes, it does not have any customers taking service under Schedule 52 and does not envision any in the future.</w:t>
      </w:r>
    </w:p>
    <w:p w:rsidR="00725588" w:rsidRPr="002532DF" w:rsidRDefault="00725588" w:rsidP="00725588">
      <w:pPr>
        <w:spacing w:line="276" w:lineRule="auto"/>
        <w:ind w:left="-720"/>
        <w:rPr>
          <w:sz w:val="25"/>
          <w:szCs w:val="25"/>
        </w:rPr>
      </w:pPr>
    </w:p>
    <w:p w:rsidR="00435472" w:rsidRPr="002532DF" w:rsidRDefault="00E54F62" w:rsidP="00027588">
      <w:pPr>
        <w:numPr>
          <w:ilvl w:val="0"/>
          <w:numId w:val="1"/>
        </w:numPr>
        <w:tabs>
          <w:tab w:val="clear" w:pos="720"/>
          <w:tab w:val="num" w:pos="0"/>
        </w:tabs>
        <w:spacing w:line="276" w:lineRule="auto"/>
        <w:ind w:left="0"/>
        <w:rPr>
          <w:sz w:val="25"/>
          <w:szCs w:val="25"/>
        </w:rPr>
      </w:pPr>
      <w:r w:rsidRPr="002532DF">
        <w:rPr>
          <w:sz w:val="25"/>
          <w:szCs w:val="25"/>
        </w:rPr>
        <w:t>Second, w</w:t>
      </w:r>
      <w:r w:rsidR="00DB558B" w:rsidRPr="002532DF">
        <w:rPr>
          <w:sz w:val="25"/>
          <w:szCs w:val="25"/>
        </w:rPr>
        <w:t xml:space="preserve">ith respect to the residential basic charge, we conclude that the basic charge should remain at $6.00.  While we acknowledge the Company’s and Staff’s intention to bring the basic charge more in line with their proposed rates for the class and to cover a number of the costs attributable to individual customers (such as those associated with meters, service drops, and billing), these </w:t>
      </w:r>
      <w:r w:rsidR="000E090F">
        <w:rPr>
          <w:sz w:val="25"/>
          <w:szCs w:val="25"/>
        </w:rPr>
        <w:t>are</w:t>
      </w:r>
      <w:r w:rsidR="00DB558B" w:rsidRPr="002532DF">
        <w:rPr>
          <w:sz w:val="25"/>
          <w:szCs w:val="25"/>
        </w:rPr>
        <w:t xml:space="preserve"> not the only considerations.  </w:t>
      </w:r>
    </w:p>
    <w:p w:rsidR="00435472" w:rsidRPr="002532DF" w:rsidRDefault="00435472" w:rsidP="00435472">
      <w:pPr>
        <w:spacing w:line="276" w:lineRule="auto"/>
        <w:ind w:left="-720"/>
        <w:rPr>
          <w:sz w:val="25"/>
          <w:szCs w:val="25"/>
        </w:rPr>
      </w:pPr>
    </w:p>
    <w:p w:rsidR="004B5AB4" w:rsidRPr="002532DF" w:rsidRDefault="000E090F" w:rsidP="00033662">
      <w:pPr>
        <w:numPr>
          <w:ilvl w:val="0"/>
          <w:numId w:val="1"/>
        </w:numPr>
        <w:tabs>
          <w:tab w:val="clear" w:pos="720"/>
          <w:tab w:val="num" w:pos="0"/>
        </w:tabs>
        <w:spacing w:line="276" w:lineRule="auto"/>
        <w:ind w:left="0"/>
        <w:rPr>
          <w:sz w:val="25"/>
          <w:szCs w:val="25"/>
        </w:rPr>
      </w:pPr>
      <w:r>
        <w:rPr>
          <w:sz w:val="25"/>
          <w:szCs w:val="25"/>
        </w:rPr>
        <w:t xml:space="preserve">No one questions that we are still in the midst of difficult economic times.  Under these </w:t>
      </w:r>
      <w:r w:rsidR="00C82A76">
        <w:rPr>
          <w:sz w:val="25"/>
          <w:szCs w:val="25"/>
        </w:rPr>
        <w:t>circumstances</w:t>
      </w:r>
      <w:r>
        <w:rPr>
          <w:sz w:val="25"/>
          <w:szCs w:val="25"/>
        </w:rPr>
        <w:t xml:space="preserve"> in particular,</w:t>
      </w:r>
      <w:r w:rsidR="00033662" w:rsidRPr="002532DF">
        <w:rPr>
          <w:sz w:val="25"/>
          <w:szCs w:val="25"/>
        </w:rPr>
        <w:t xml:space="preserve"> </w:t>
      </w:r>
      <w:r>
        <w:rPr>
          <w:sz w:val="25"/>
          <w:szCs w:val="25"/>
        </w:rPr>
        <w:t xml:space="preserve">many </w:t>
      </w:r>
      <w:r w:rsidR="00033662" w:rsidRPr="002532DF">
        <w:rPr>
          <w:sz w:val="25"/>
          <w:szCs w:val="25"/>
        </w:rPr>
        <w:t xml:space="preserve">customers will view any basic charge increase as an </w:t>
      </w:r>
      <w:r>
        <w:rPr>
          <w:sz w:val="25"/>
          <w:szCs w:val="25"/>
        </w:rPr>
        <w:t>additional increase above and beyond</w:t>
      </w:r>
      <w:r w:rsidR="00033662" w:rsidRPr="002532DF">
        <w:rPr>
          <w:sz w:val="25"/>
          <w:szCs w:val="25"/>
        </w:rPr>
        <w:t xml:space="preserve"> the rates approved in this Order.  </w:t>
      </w:r>
      <w:r>
        <w:rPr>
          <w:sz w:val="25"/>
          <w:szCs w:val="25"/>
        </w:rPr>
        <w:t>Those customers</w:t>
      </w:r>
      <w:r w:rsidR="00033662" w:rsidRPr="002532DF">
        <w:rPr>
          <w:sz w:val="25"/>
          <w:szCs w:val="25"/>
        </w:rPr>
        <w:t xml:space="preserve"> will not take into account the offsetting decrease in energy charges that would accompany an increase in their basic charge.</w:t>
      </w:r>
      <w:r w:rsidR="004B5AB4" w:rsidRPr="002532DF">
        <w:rPr>
          <w:sz w:val="25"/>
          <w:szCs w:val="25"/>
        </w:rPr>
        <w:t xml:space="preserve">  Given the significant increase in rates approved in this Order, we do not want to wish to add to the rate burden already imposed on customers, whether real or perceived.</w:t>
      </w:r>
      <w:r w:rsidR="00E208DC" w:rsidRPr="002532DF">
        <w:rPr>
          <w:rStyle w:val="FootnoteReference"/>
          <w:sz w:val="25"/>
          <w:szCs w:val="25"/>
        </w:rPr>
        <w:footnoteReference w:id="530"/>
      </w:r>
      <w:r>
        <w:rPr>
          <w:sz w:val="25"/>
          <w:szCs w:val="25"/>
        </w:rPr>
        <w:t xml:space="preserve">  Not recovering some of the “basic” costs through the basic charge does not mean those costs will not be recovered; rather, those costs will just be recovered through the variable charges.</w:t>
      </w:r>
    </w:p>
    <w:p w:rsidR="004B5AB4" w:rsidRPr="002532DF" w:rsidRDefault="004B5AB4" w:rsidP="004B5AB4">
      <w:pPr>
        <w:spacing w:line="276" w:lineRule="auto"/>
        <w:ind w:left="-720"/>
        <w:rPr>
          <w:sz w:val="25"/>
          <w:szCs w:val="25"/>
        </w:rPr>
      </w:pPr>
    </w:p>
    <w:p w:rsidR="004B5AB4" w:rsidRPr="002532DF" w:rsidRDefault="004B5AB4" w:rsidP="00033662">
      <w:pPr>
        <w:numPr>
          <w:ilvl w:val="0"/>
          <w:numId w:val="1"/>
        </w:numPr>
        <w:tabs>
          <w:tab w:val="clear" w:pos="720"/>
          <w:tab w:val="num" w:pos="0"/>
        </w:tabs>
        <w:spacing w:line="276" w:lineRule="auto"/>
        <w:ind w:left="0"/>
        <w:rPr>
          <w:sz w:val="25"/>
          <w:szCs w:val="25"/>
        </w:rPr>
      </w:pPr>
      <w:r w:rsidRPr="002532DF">
        <w:rPr>
          <w:sz w:val="25"/>
          <w:szCs w:val="25"/>
        </w:rPr>
        <w:t xml:space="preserve">Finally, we </w:t>
      </w:r>
      <w:r w:rsidR="000E090F">
        <w:rPr>
          <w:sz w:val="25"/>
          <w:szCs w:val="25"/>
        </w:rPr>
        <w:t>share the Energy Project’s concern</w:t>
      </w:r>
      <w:r w:rsidRPr="002532DF">
        <w:rPr>
          <w:sz w:val="25"/>
          <w:szCs w:val="25"/>
        </w:rPr>
        <w:t xml:space="preserve"> that lower energy charges could result in reduced deployment of energy efficiency. While no party presented empirical evidence tying a reduced energy charge to the performance of the Company’s energy efficiency program, there is sufficient testimony to </w:t>
      </w:r>
      <w:r w:rsidR="000E090F">
        <w:rPr>
          <w:sz w:val="25"/>
          <w:szCs w:val="25"/>
        </w:rPr>
        <w:t>establish</w:t>
      </w:r>
      <w:r w:rsidRPr="002532DF">
        <w:rPr>
          <w:sz w:val="25"/>
          <w:szCs w:val="25"/>
        </w:rPr>
        <w:t xml:space="preserve"> a logical relationship between lower energy charges and customer interest in energy efficiency.  As energy charges decrease relative to increased basic charges, a customer’s energy efficiency investment recovery period is extended, which may </w:t>
      </w:r>
      <w:r w:rsidR="00766CCD">
        <w:rPr>
          <w:sz w:val="25"/>
          <w:szCs w:val="25"/>
        </w:rPr>
        <w:t xml:space="preserve">negatively </w:t>
      </w:r>
      <w:r w:rsidRPr="002532DF">
        <w:rPr>
          <w:sz w:val="25"/>
          <w:szCs w:val="25"/>
        </w:rPr>
        <w:t>affect a customer’s decision to invest</w:t>
      </w:r>
      <w:r w:rsidR="009B6BEA">
        <w:rPr>
          <w:sz w:val="25"/>
          <w:szCs w:val="25"/>
        </w:rPr>
        <w:t xml:space="preserve"> in energy efficiency efforts</w:t>
      </w:r>
      <w:r w:rsidRPr="002532DF">
        <w:rPr>
          <w:sz w:val="25"/>
          <w:szCs w:val="25"/>
        </w:rPr>
        <w:t>.</w:t>
      </w:r>
    </w:p>
    <w:p w:rsidR="004B5AB4" w:rsidRPr="002532DF" w:rsidRDefault="004B5AB4" w:rsidP="004B5AB4">
      <w:pPr>
        <w:spacing w:line="276" w:lineRule="auto"/>
        <w:ind w:left="-720"/>
        <w:rPr>
          <w:sz w:val="25"/>
          <w:szCs w:val="25"/>
        </w:rPr>
      </w:pPr>
    </w:p>
    <w:p w:rsidR="0052342D" w:rsidRPr="002532DF" w:rsidRDefault="004B5AB4" w:rsidP="00033662">
      <w:pPr>
        <w:numPr>
          <w:ilvl w:val="0"/>
          <w:numId w:val="1"/>
        </w:numPr>
        <w:tabs>
          <w:tab w:val="clear" w:pos="720"/>
          <w:tab w:val="num" w:pos="0"/>
        </w:tabs>
        <w:spacing w:line="276" w:lineRule="auto"/>
        <w:ind w:left="0"/>
        <w:rPr>
          <w:sz w:val="25"/>
          <w:szCs w:val="25"/>
        </w:rPr>
      </w:pPr>
      <w:r w:rsidRPr="002532DF">
        <w:rPr>
          <w:sz w:val="25"/>
          <w:szCs w:val="25"/>
        </w:rPr>
        <w:t xml:space="preserve">In conclusion, </w:t>
      </w:r>
      <w:r w:rsidR="000E090F">
        <w:rPr>
          <w:sz w:val="25"/>
          <w:szCs w:val="25"/>
        </w:rPr>
        <w:t>we find no</w:t>
      </w:r>
      <w:r w:rsidRPr="002532DF">
        <w:rPr>
          <w:sz w:val="25"/>
          <w:szCs w:val="25"/>
        </w:rPr>
        <w:t xml:space="preserve"> compelling reason to increase the basic charge, </w:t>
      </w:r>
      <w:r w:rsidR="000E090F">
        <w:rPr>
          <w:sz w:val="25"/>
          <w:szCs w:val="25"/>
        </w:rPr>
        <w:t xml:space="preserve">and therefore, </w:t>
      </w:r>
      <w:r w:rsidRPr="002532DF">
        <w:rPr>
          <w:sz w:val="25"/>
          <w:szCs w:val="25"/>
        </w:rPr>
        <w:t>we will</w:t>
      </w:r>
      <w:r w:rsidR="00F4560F" w:rsidRPr="002532DF">
        <w:rPr>
          <w:sz w:val="25"/>
          <w:szCs w:val="25"/>
        </w:rPr>
        <w:t xml:space="preserve"> retain the current basic charge of $6.00.</w:t>
      </w:r>
      <w:r w:rsidR="00725588" w:rsidRPr="002532DF">
        <w:rPr>
          <w:sz w:val="25"/>
          <w:szCs w:val="25"/>
        </w:rPr>
        <w:t xml:space="preserve"> </w:t>
      </w:r>
    </w:p>
    <w:p w:rsidR="00C47C11" w:rsidRPr="002532DF" w:rsidRDefault="00C47C11" w:rsidP="00320C1B">
      <w:pPr>
        <w:pStyle w:val="Heading4"/>
        <w:ind w:left="1080" w:hanging="360"/>
        <w:rPr>
          <w:rFonts w:ascii="Times New Roman" w:hAnsi="Times New Roman"/>
          <w:sz w:val="25"/>
          <w:szCs w:val="25"/>
        </w:rPr>
      </w:pPr>
      <w:bookmarkStart w:id="75" w:name="_Toc288813766"/>
      <w:r w:rsidRPr="002532DF">
        <w:rPr>
          <w:rFonts w:ascii="Times New Roman" w:hAnsi="Times New Roman"/>
          <w:sz w:val="25"/>
          <w:szCs w:val="25"/>
        </w:rPr>
        <w:t>4.</w:t>
      </w:r>
      <w:r w:rsidRPr="002532DF">
        <w:rPr>
          <w:rFonts w:ascii="Times New Roman" w:hAnsi="Times New Roman"/>
          <w:sz w:val="25"/>
          <w:szCs w:val="25"/>
        </w:rPr>
        <w:tab/>
        <w:t>Low Income Bill Assistance/Low Income Weatherization Assistance</w:t>
      </w:r>
      <w:bookmarkEnd w:id="75"/>
    </w:p>
    <w:p w:rsidR="00C47C11" w:rsidRPr="002532DF" w:rsidRDefault="00C47C11" w:rsidP="00817E21">
      <w:pPr>
        <w:tabs>
          <w:tab w:val="left" w:pos="1800"/>
        </w:tabs>
        <w:spacing w:line="276" w:lineRule="auto"/>
        <w:ind w:left="1440"/>
        <w:rPr>
          <w:b/>
          <w:sz w:val="25"/>
          <w:szCs w:val="25"/>
        </w:rPr>
      </w:pPr>
    </w:p>
    <w:p w:rsidR="00742A31" w:rsidRPr="002532DF" w:rsidRDefault="006F1B90" w:rsidP="00027588">
      <w:pPr>
        <w:numPr>
          <w:ilvl w:val="0"/>
          <w:numId w:val="1"/>
        </w:numPr>
        <w:tabs>
          <w:tab w:val="clear" w:pos="720"/>
          <w:tab w:val="num" w:pos="0"/>
        </w:tabs>
        <w:spacing w:line="276" w:lineRule="auto"/>
        <w:ind w:left="0"/>
        <w:rPr>
          <w:sz w:val="25"/>
          <w:szCs w:val="25"/>
        </w:rPr>
      </w:pPr>
      <w:r w:rsidRPr="002532DF">
        <w:rPr>
          <w:i/>
          <w:sz w:val="25"/>
          <w:szCs w:val="25"/>
        </w:rPr>
        <w:t xml:space="preserve">Positions of the Parties.  </w:t>
      </w:r>
      <w:r w:rsidR="00742A31" w:rsidRPr="002532DF">
        <w:rPr>
          <w:sz w:val="25"/>
          <w:szCs w:val="25"/>
        </w:rPr>
        <w:t>The Low Income Bill Assistance Program (LIBA) Program credit is available to low-income customers through Schedule 17 and is funded through a Schedule 91 surcharge.</w:t>
      </w:r>
      <w:r w:rsidR="00742A31" w:rsidRPr="002532DF">
        <w:rPr>
          <w:rStyle w:val="FootnoteReference"/>
          <w:sz w:val="25"/>
          <w:szCs w:val="25"/>
        </w:rPr>
        <w:footnoteReference w:id="531"/>
      </w:r>
      <w:r w:rsidR="00742A31" w:rsidRPr="002532DF">
        <w:rPr>
          <w:sz w:val="25"/>
          <w:szCs w:val="25"/>
        </w:rPr>
        <w:t xml:space="preserve">  The Company proposes changes to LIBA that will inc</w:t>
      </w:r>
      <w:r w:rsidR="00E87A44" w:rsidRPr="002532DF">
        <w:rPr>
          <w:sz w:val="25"/>
          <w:szCs w:val="25"/>
        </w:rPr>
        <w:t xml:space="preserve">rease the funding level, expand </w:t>
      </w:r>
      <w:r w:rsidR="00742A31" w:rsidRPr="002532DF">
        <w:rPr>
          <w:sz w:val="25"/>
          <w:szCs w:val="25"/>
        </w:rPr>
        <w:t>eligibility criteria, and reduce administrative overhead.</w:t>
      </w:r>
      <w:r w:rsidR="00742A31" w:rsidRPr="002532DF">
        <w:rPr>
          <w:rStyle w:val="FootnoteReference"/>
          <w:sz w:val="25"/>
          <w:szCs w:val="25"/>
        </w:rPr>
        <w:footnoteReference w:id="532"/>
      </w:r>
      <w:r w:rsidR="00742A31" w:rsidRPr="002532DF">
        <w:rPr>
          <w:sz w:val="25"/>
          <w:szCs w:val="25"/>
        </w:rPr>
        <w:t xml:space="preserve">  PacifiCorp proposes to increase the Schedule 91 surcharge collections by the same percentage amount as the price change proposed for residential customers in this case.</w:t>
      </w:r>
      <w:r w:rsidR="00742A31" w:rsidRPr="002532DF">
        <w:rPr>
          <w:rStyle w:val="FootnoteReference"/>
          <w:sz w:val="25"/>
          <w:szCs w:val="25"/>
        </w:rPr>
        <w:footnoteReference w:id="533"/>
      </w:r>
      <w:r w:rsidR="00742A31" w:rsidRPr="002532DF">
        <w:rPr>
          <w:sz w:val="25"/>
          <w:szCs w:val="25"/>
        </w:rPr>
        <w:t xml:space="preserve">  </w:t>
      </w:r>
    </w:p>
    <w:p w:rsidR="00EC45A4" w:rsidRPr="002532DF" w:rsidRDefault="00EC45A4" w:rsidP="00027588">
      <w:pPr>
        <w:spacing w:line="276" w:lineRule="auto"/>
        <w:rPr>
          <w:sz w:val="25"/>
          <w:szCs w:val="25"/>
        </w:rPr>
      </w:pPr>
    </w:p>
    <w:p w:rsidR="00742A31" w:rsidRPr="002532DF" w:rsidRDefault="000C4EFD" w:rsidP="00027588">
      <w:pPr>
        <w:numPr>
          <w:ilvl w:val="0"/>
          <w:numId w:val="1"/>
        </w:numPr>
        <w:tabs>
          <w:tab w:val="clear" w:pos="720"/>
          <w:tab w:val="num" w:pos="0"/>
        </w:tabs>
        <w:spacing w:line="276" w:lineRule="auto"/>
        <w:ind w:left="0"/>
        <w:rPr>
          <w:sz w:val="25"/>
          <w:szCs w:val="25"/>
        </w:rPr>
      </w:pPr>
      <w:r w:rsidRPr="002532DF">
        <w:rPr>
          <w:sz w:val="25"/>
          <w:szCs w:val="25"/>
        </w:rPr>
        <w:t>The</w:t>
      </w:r>
      <w:r w:rsidR="00742A31" w:rsidRPr="002532DF">
        <w:rPr>
          <w:sz w:val="25"/>
          <w:szCs w:val="25"/>
        </w:rPr>
        <w:t xml:space="preserve"> Company </w:t>
      </w:r>
      <w:r w:rsidRPr="002532DF">
        <w:rPr>
          <w:sz w:val="25"/>
          <w:szCs w:val="25"/>
        </w:rPr>
        <w:t xml:space="preserve">also </w:t>
      </w:r>
      <w:r w:rsidR="00742A31" w:rsidRPr="002532DF">
        <w:rPr>
          <w:sz w:val="25"/>
          <w:szCs w:val="25"/>
        </w:rPr>
        <w:t xml:space="preserve">proposes </w:t>
      </w:r>
      <w:r w:rsidR="00EE0C9B" w:rsidRPr="002532DF">
        <w:rPr>
          <w:sz w:val="25"/>
          <w:szCs w:val="25"/>
        </w:rPr>
        <w:t xml:space="preserve">to allocate </w:t>
      </w:r>
      <w:r w:rsidR="00742A31" w:rsidRPr="002532DF">
        <w:rPr>
          <w:sz w:val="25"/>
          <w:szCs w:val="25"/>
        </w:rPr>
        <w:t>70 percent of the surcharge to increas</w:t>
      </w:r>
      <w:r w:rsidR="00EE0C9B" w:rsidRPr="002532DF">
        <w:rPr>
          <w:sz w:val="25"/>
          <w:szCs w:val="25"/>
        </w:rPr>
        <w:t>e</w:t>
      </w:r>
      <w:r w:rsidR="00742A31" w:rsidRPr="002532DF">
        <w:rPr>
          <w:sz w:val="25"/>
          <w:szCs w:val="25"/>
        </w:rPr>
        <w:t xml:space="preserve"> the low income bill credit and 30 percent to increas</w:t>
      </w:r>
      <w:r w:rsidR="0024450C" w:rsidRPr="002532DF">
        <w:rPr>
          <w:sz w:val="25"/>
          <w:szCs w:val="25"/>
        </w:rPr>
        <w:t>e</w:t>
      </w:r>
      <w:r w:rsidR="00742A31" w:rsidRPr="002532DF">
        <w:rPr>
          <w:sz w:val="25"/>
          <w:szCs w:val="25"/>
        </w:rPr>
        <w:t xml:space="preserve"> the qualifying low income customer program cap.</w:t>
      </w:r>
      <w:r w:rsidR="00742A31" w:rsidRPr="002532DF">
        <w:rPr>
          <w:rStyle w:val="FootnoteReference"/>
          <w:sz w:val="25"/>
          <w:szCs w:val="25"/>
        </w:rPr>
        <w:footnoteReference w:id="534"/>
      </w:r>
      <w:r w:rsidR="00742A31" w:rsidRPr="002532DF">
        <w:rPr>
          <w:sz w:val="25"/>
          <w:szCs w:val="25"/>
        </w:rPr>
        <w:t xml:space="preserve"> </w:t>
      </w:r>
      <w:r w:rsidR="00896A98" w:rsidRPr="002532DF">
        <w:rPr>
          <w:sz w:val="25"/>
          <w:szCs w:val="25"/>
        </w:rPr>
        <w:t xml:space="preserve"> </w:t>
      </w:r>
      <w:r w:rsidRPr="002532DF">
        <w:rPr>
          <w:sz w:val="25"/>
          <w:szCs w:val="25"/>
        </w:rPr>
        <w:t xml:space="preserve">PacifiCorp also proposes </w:t>
      </w:r>
      <w:r w:rsidR="00742A31" w:rsidRPr="002532DF">
        <w:rPr>
          <w:sz w:val="25"/>
          <w:szCs w:val="25"/>
        </w:rPr>
        <w:t xml:space="preserve">that income eligibility should be increased from 125 percent to 150 percent of the </w:t>
      </w:r>
      <w:r w:rsidR="00E84F17" w:rsidRPr="002532DF">
        <w:rPr>
          <w:sz w:val="25"/>
          <w:szCs w:val="25"/>
        </w:rPr>
        <w:t xml:space="preserve">Federal Poverty Level (FPL) </w:t>
      </w:r>
      <w:r w:rsidRPr="002532DF">
        <w:rPr>
          <w:sz w:val="25"/>
          <w:szCs w:val="25"/>
        </w:rPr>
        <w:t xml:space="preserve">to </w:t>
      </w:r>
      <w:r w:rsidR="00742A31" w:rsidRPr="002532DF">
        <w:rPr>
          <w:sz w:val="25"/>
          <w:szCs w:val="25"/>
        </w:rPr>
        <w:t>provide a benefit to households with a limited income that do not qualify for other services.</w:t>
      </w:r>
      <w:r w:rsidR="00742A31" w:rsidRPr="002532DF">
        <w:rPr>
          <w:rStyle w:val="FootnoteReference"/>
          <w:sz w:val="25"/>
          <w:szCs w:val="25"/>
        </w:rPr>
        <w:footnoteReference w:id="535"/>
      </w:r>
    </w:p>
    <w:p w:rsidR="00EC45A4" w:rsidRPr="002532DF" w:rsidRDefault="00EC45A4" w:rsidP="00027588">
      <w:pPr>
        <w:spacing w:line="276" w:lineRule="auto"/>
        <w:rPr>
          <w:sz w:val="25"/>
          <w:szCs w:val="25"/>
        </w:rPr>
      </w:pPr>
    </w:p>
    <w:p w:rsidR="00EC45A4" w:rsidRPr="002532DF" w:rsidRDefault="00742A31" w:rsidP="00027588">
      <w:pPr>
        <w:numPr>
          <w:ilvl w:val="0"/>
          <w:numId w:val="1"/>
        </w:numPr>
        <w:tabs>
          <w:tab w:val="clear" w:pos="720"/>
          <w:tab w:val="num" w:pos="0"/>
        </w:tabs>
        <w:spacing w:line="276" w:lineRule="auto"/>
        <w:ind w:left="0"/>
        <w:rPr>
          <w:sz w:val="25"/>
          <w:szCs w:val="25"/>
        </w:rPr>
      </w:pPr>
      <w:r w:rsidRPr="002532DF">
        <w:rPr>
          <w:sz w:val="25"/>
          <w:szCs w:val="25"/>
        </w:rPr>
        <w:t>In addition, PacifiCorp proposes to require bi-annual, rather than annual, recertification of eligibility</w:t>
      </w:r>
      <w:r w:rsidR="000C4EFD" w:rsidRPr="002532DF">
        <w:rPr>
          <w:sz w:val="25"/>
          <w:szCs w:val="25"/>
        </w:rPr>
        <w:t xml:space="preserve"> argu</w:t>
      </w:r>
      <w:r w:rsidR="0024450C" w:rsidRPr="002532DF">
        <w:rPr>
          <w:sz w:val="25"/>
          <w:szCs w:val="25"/>
        </w:rPr>
        <w:t>ing</w:t>
      </w:r>
      <w:r w:rsidR="000C4EFD" w:rsidRPr="002532DF">
        <w:rPr>
          <w:sz w:val="25"/>
          <w:szCs w:val="25"/>
        </w:rPr>
        <w:t xml:space="preserve"> that b</w:t>
      </w:r>
      <w:r w:rsidRPr="002532DF">
        <w:rPr>
          <w:sz w:val="25"/>
          <w:szCs w:val="25"/>
        </w:rPr>
        <w:t>i-annual recertification will decrease program costs and provide greater benefits to eligible customers.</w:t>
      </w:r>
      <w:r w:rsidRPr="002532DF">
        <w:rPr>
          <w:rStyle w:val="FootnoteReference"/>
          <w:sz w:val="25"/>
          <w:szCs w:val="25"/>
        </w:rPr>
        <w:footnoteReference w:id="536"/>
      </w:r>
      <w:r w:rsidRPr="002532DF">
        <w:rPr>
          <w:sz w:val="25"/>
          <w:szCs w:val="25"/>
        </w:rPr>
        <w:t xml:space="preserve">  </w:t>
      </w:r>
    </w:p>
    <w:p w:rsidR="000C4EFD" w:rsidRPr="002532DF" w:rsidRDefault="000C4EFD" w:rsidP="000C4EFD">
      <w:pPr>
        <w:spacing w:line="276" w:lineRule="auto"/>
        <w:ind w:left="-720"/>
        <w:rPr>
          <w:sz w:val="25"/>
          <w:szCs w:val="25"/>
        </w:rPr>
      </w:pPr>
    </w:p>
    <w:p w:rsidR="00742A31" w:rsidRPr="002532DF" w:rsidRDefault="00742A31" w:rsidP="00027588">
      <w:pPr>
        <w:numPr>
          <w:ilvl w:val="0"/>
          <w:numId w:val="1"/>
        </w:numPr>
        <w:tabs>
          <w:tab w:val="clear" w:pos="720"/>
          <w:tab w:val="num" w:pos="0"/>
        </w:tabs>
        <w:spacing w:line="276" w:lineRule="auto"/>
        <w:ind w:left="0"/>
        <w:rPr>
          <w:sz w:val="25"/>
          <w:szCs w:val="25"/>
        </w:rPr>
      </w:pPr>
      <w:r w:rsidRPr="002532DF">
        <w:rPr>
          <w:sz w:val="25"/>
          <w:szCs w:val="25"/>
        </w:rPr>
        <w:t>Staff accept</w:t>
      </w:r>
      <w:r w:rsidR="0024450C" w:rsidRPr="002532DF">
        <w:rPr>
          <w:sz w:val="25"/>
          <w:szCs w:val="25"/>
        </w:rPr>
        <w:t>s</w:t>
      </w:r>
      <w:r w:rsidRPr="002532DF">
        <w:rPr>
          <w:sz w:val="25"/>
          <w:szCs w:val="25"/>
        </w:rPr>
        <w:t xml:space="preserve"> the Company’s proposal</w:t>
      </w:r>
      <w:r w:rsidR="00766DA1" w:rsidRPr="002532DF">
        <w:rPr>
          <w:sz w:val="25"/>
          <w:szCs w:val="25"/>
        </w:rPr>
        <w:t>s</w:t>
      </w:r>
      <w:r w:rsidRPr="002532DF">
        <w:rPr>
          <w:sz w:val="25"/>
          <w:szCs w:val="25"/>
        </w:rPr>
        <w:t xml:space="preserve"> regarding LIBA</w:t>
      </w:r>
      <w:r w:rsidR="0024450C" w:rsidRPr="002532DF">
        <w:rPr>
          <w:sz w:val="25"/>
          <w:szCs w:val="25"/>
        </w:rPr>
        <w:t>,</w:t>
      </w:r>
      <w:r w:rsidR="0024450C" w:rsidRPr="002532DF" w:rsidDel="0024450C">
        <w:rPr>
          <w:rStyle w:val="FootnoteReference"/>
          <w:sz w:val="25"/>
          <w:szCs w:val="25"/>
        </w:rPr>
        <w:t xml:space="preserve"> </w:t>
      </w:r>
      <w:r w:rsidR="0024450C" w:rsidRPr="002532DF">
        <w:rPr>
          <w:sz w:val="25"/>
          <w:szCs w:val="25"/>
        </w:rPr>
        <w:t>but</w:t>
      </w:r>
      <w:r w:rsidRPr="002532DF">
        <w:rPr>
          <w:sz w:val="25"/>
          <w:szCs w:val="25"/>
        </w:rPr>
        <w:t xml:space="preserve"> Staff recommends that the Schedule 91 Surcharge be set at 21 percent even if the percentage increase approved by the Commission for the residential class is less than </w:t>
      </w:r>
      <w:r w:rsidR="00766DA1" w:rsidRPr="002532DF">
        <w:rPr>
          <w:sz w:val="25"/>
          <w:szCs w:val="25"/>
        </w:rPr>
        <w:t>that amount</w:t>
      </w:r>
      <w:r w:rsidRPr="002532DF">
        <w:rPr>
          <w:sz w:val="25"/>
          <w:szCs w:val="25"/>
        </w:rPr>
        <w:t>.</w:t>
      </w:r>
      <w:r w:rsidRPr="002532DF">
        <w:rPr>
          <w:rStyle w:val="FootnoteReference"/>
          <w:sz w:val="25"/>
          <w:szCs w:val="25"/>
        </w:rPr>
        <w:footnoteReference w:id="537"/>
      </w:r>
    </w:p>
    <w:p w:rsidR="00EC45A4" w:rsidRPr="002532DF" w:rsidRDefault="00EC45A4" w:rsidP="00E81150">
      <w:pPr>
        <w:spacing w:line="276" w:lineRule="auto"/>
        <w:ind w:left="-720"/>
        <w:rPr>
          <w:sz w:val="25"/>
          <w:szCs w:val="25"/>
        </w:rPr>
      </w:pPr>
    </w:p>
    <w:p w:rsidR="00742A31" w:rsidRPr="002532DF" w:rsidRDefault="00742A31" w:rsidP="00027588">
      <w:pPr>
        <w:numPr>
          <w:ilvl w:val="0"/>
          <w:numId w:val="1"/>
        </w:numPr>
        <w:tabs>
          <w:tab w:val="clear" w:pos="720"/>
          <w:tab w:val="num" w:pos="0"/>
        </w:tabs>
        <w:spacing w:line="276" w:lineRule="auto"/>
        <w:ind w:left="0"/>
        <w:rPr>
          <w:sz w:val="25"/>
          <w:szCs w:val="25"/>
        </w:rPr>
      </w:pPr>
      <w:r w:rsidRPr="002532DF">
        <w:rPr>
          <w:sz w:val="25"/>
          <w:szCs w:val="25"/>
        </w:rPr>
        <w:t>The Energy Project proposes t</w:t>
      </w:r>
      <w:r w:rsidR="0024450C" w:rsidRPr="002532DF">
        <w:rPr>
          <w:sz w:val="25"/>
          <w:szCs w:val="25"/>
        </w:rPr>
        <w:t>o increase</w:t>
      </w:r>
      <w:r w:rsidRPr="002532DF">
        <w:rPr>
          <w:sz w:val="25"/>
          <w:szCs w:val="25"/>
        </w:rPr>
        <w:t xml:space="preserve"> LIBA funding in</w:t>
      </w:r>
      <w:r w:rsidR="0024450C" w:rsidRPr="002532DF">
        <w:rPr>
          <w:sz w:val="25"/>
          <w:szCs w:val="25"/>
        </w:rPr>
        <w:t xml:space="preserve"> an </w:t>
      </w:r>
      <w:r w:rsidR="007A1375" w:rsidRPr="002532DF">
        <w:rPr>
          <w:sz w:val="25"/>
          <w:szCs w:val="25"/>
        </w:rPr>
        <w:t>amount greater</w:t>
      </w:r>
      <w:r w:rsidRPr="002532DF">
        <w:rPr>
          <w:sz w:val="25"/>
          <w:szCs w:val="25"/>
        </w:rPr>
        <w:t xml:space="preserve"> than the level of rate increase granted PacifiCorp for its residential customers.</w:t>
      </w:r>
      <w:r w:rsidRPr="002532DF">
        <w:rPr>
          <w:rStyle w:val="FootnoteReference"/>
          <w:sz w:val="25"/>
          <w:szCs w:val="25"/>
        </w:rPr>
        <w:footnoteReference w:id="538"/>
      </w:r>
      <w:r w:rsidRPr="002532DF">
        <w:rPr>
          <w:sz w:val="25"/>
          <w:szCs w:val="25"/>
        </w:rPr>
        <w:t xml:space="preserve">  </w:t>
      </w:r>
      <w:r w:rsidR="0024450C" w:rsidRPr="002532DF">
        <w:rPr>
          <w:sz w:val="25"/>
          <w:szCs w:val="25"/>
        </w:rPr>
        <w:t>It also</w:t>
      </w:r>
      <w:r w:rsidRPr="002532DF">
        <w:rPr>
          <w:sz w:val="25"/>
          <w:szCs w:val="25"/>
        </w:rPr>
        <w:t xml:space="preserve"> expresses concern with splitting the incremental increase in LIBA benefits between deepening the existing discount and serving additional customers because the program needs to provide a meaningful benefit to each participating household.</w:t>
      </w:r>
      <w:r w:rsidRPr="002532DF">
        <w:rPr>
          <w:rStyle w:val="FootnoteReference"/>
          <w:sz w:val="25"/>
          <w:szCs w:val="25"/>
        </w:rPr>
        <w:footnoteReference w:id="539"/>
      </w:r>
      <w:r w:rsidRPr="002532DF">
        <w:rPr>
          <w:sz w:val="25"/>
          <w:szCs w:val="25"/>
        </w:rPr>
        <w:t xml:space="preserve">  </w:t>
      </w:r>
    </w:p>
    <w:p w:rsidR="00EC45A4" w:rsidRPr="002532DF" w:rsidRDefault="00EC45A4" w:rsidP="00E81150">
      <w:pPr>
        <w:spacing w:line="276" w:lineRule="auto"/>
        <w:ind w:left="-720"/>
        <w:rPr>
          <w:sz w:val="25"/>
          <w:szCs w:val="25"/>
        </w:rPr>
      </w:pPr>
    </w:p>
    <w:p w:rsidR="00742A31" w:rsidRPr="002532DF" w:rsidRDefault="00742A31" w:rsidP="00027588">
      <w:pPr>
        <w:numPr>
          <w:ilvl w:val="0"/>
          <w:numId w:val="1"/>
        </w:numPr>
        <w:tabs>
          <w:tab w:val="clear" w:pos="720"/>
          <w:tab w:val="num" w:pos="0"/>
        </w:tabs>
        <w:spacing w:line="276" w:lineRule="auto"/>
        <w:ind w:left="0"/>
        <w:rPr>
          <w:sz w:val="25"/>
          <w:szCs w:val="25"/>
        </w:rPr>
      </w:pPr>
      <w:r w:rsidRPr="002532DF">
        <w:rPr>
          <w:sz w:val="25"/>
          <w:szCs w:val="25"/>
        </w:rPr>
        <w:t xml:space="preserve">With respect </w:t>
      </w:r>
      <w:r w:rsidR="00BB236F" w:rsidRPr="002532DF">
        <w:rPr>
          <w:sz w:val="25"/>
          <w:szCs w:val="25"/>
        </w:rPr>
        <w:t xml:space="preserve">to </w:t>
      </w:r>
      <w:r w:rsidRPr="002532DF">
        <w:rPr>
          <w:sz w:val="25"/>
          <w:szCs w:val="25"/>
        </w:rPr>
        <w:t xml:space="preserve">the Company’s proposal to </w:t>
      </w:r>
      <w:r w:rsidR="0024450C" w:rsidRPr="002532DF">
        <w:rPr>
          <w:sz w:val="25"/>
          <w:szCs w:val="25"/>
        </w:rPr>
        <w:t>modify the program’s</w:t>
      </w:r>
      <w:r w:rsidRPr="002532DF">
        <w:rPr>
          <w:sz w:val="25"/>
          <w:szCs w:val="25"/>
        </w:rPr>
        <w:t xml:space="preserve"> income eligibility</w:t>
      </w:r>
      <w:r w:rsidR="0024450C" w:rsidRPr="002532DF">
        <w:rPr>
          <w:sz w:val="25"/>
          <w:szCs w:val="25"/>
        </w:rPr>
        <w:t xml:space="preserve"> threshold,</w:t>
      </w:r>
      <w:r w:rsidRPr="002532DF">
        <w:rPr>
          <w:sz w:val="25"/>
          <w:szCs w:val="25"/>
        </w:rPr>
        <w:t xml:space="preserve"> </w:t>
      </w:r>
      <w:r w:rsidR="0024450C" w:rsidRPr="002532DF">
        <w:rPr>
          <w:sz w:val="25"/>
          <w:szCs w:val="25"/>
        </w:rPr>
        <w:t>T</w:t>
      </w:r>
      <w:r w:rsidRPr="002532DF">
        <w:rPr>
          <w:sz w:val="25"/>
          <w:szCs w:val="25"/>
        </w:rPr>
        <w:t xml:space="preserve">he Energy Project </w:t>
      </w:r>
      <w:r w:rsidR="0024450C" w:rsidRPr="002532DF">
        <w:rPr>
          <w:sz w:val="25"/>
          <w:szCs w:val="25"/>
        </w:rPr>
        <w:t xml:space="preserve">points out that such a </w:t>
      </w:r>
      <w:r w:rsidRPr="002532DF">
        <w:rPr>
          <w:sz w:val="25"/>
          <w:szCs w:val="25"/>
        </w:rPr>
        <w:t xml:space="preserve">result </w:t>
      </w:r>
      <w:r w:rsidR="0024450C" w:rsidRPr="002532DF">
        <w:rPr>
          <w:sz w:val="25"/>
          <w:szCs w:val="25"/>
        </w:rPr>
        <w:t>could</w:t>
      </w:r>
      <w:r w:rsidRPr="002532DF">
        <w:rPr>
          <w:sz w:val="25"/>
          <w:szCs w:val="25"/>
        </w:rPr>
        <w:t xml:space="preserve"> reduc</w:t>
      </w:r>
      <w:r w:rsidR="0024450C" w:rsidRPr="002532DF">
        <w:rPr>
          <w:sz w:val="25"/>
          <w:szCs w:val="25"/>
        </w:rPr>
        <w:t>e</w:t>
      </w:r>
      <w:r w:rsidRPr="002532DF">
        <w:rPr>
          <w:sz w:val="25"/>
          <w:szCs w:val="25"/>
        </w:rPr>
        <w:t xml:space="preserve"> the level of benefits for households at the bottom of the poverty ladder.</w:t>
      </w:r>
      <w:r w:rsidRPr="002532DF">
        <w:rPr>
          <w:rStyle w:val="FootnoteReference"/>
          <w:sz w:val="25"/>
          <w:szCs w:val="25"/>
        </w:rPr>
        <w:footnoteReference w:id="540"/>
      </w:r>
      <w:r w:rsidRPr="002532DF">
        <w:rPr>
          <w:sz w:val="25"/>
          <w:szCs w:val="25"/>
        </w:rPr>
        <w:t xml:space="preserve">  </w:t>
      </w:r>
      <w:r w:rsidR="0024450C" w:rsidRPr="002532DF">
        <w:rPr>
          <w:sz w:val="25"/>
          <w:szCs w:val="25"/>
        </w:rPr>
        <w:t xml:space="preserve">It </w:t>
      </w:r>
      <w:r w:rsidRPr="002532DF">
        <w:rPr>
          <w:sz w:val="25"/>
          <w:szCs w:val="25"/>
        </w:rPr>
        <w:t>further notes that last year Washington elected to retain LIHEAP</w:t>
      </w:r>
      <w:r w:rsidRPr="002532DF">
        <w:rPr>
          <w:rStyle w:val="FootnoteReference"/>
          <w:sz w:val="25"/>
          <w:szCs w:val="25"/>
        </w:rPr>
        <w:footnoteReference w:id="541"/>
      </w:r>
      <w:r w:rsidRPr="002532DF">
        <w:rPr>
          <w:sz w:val="25"/>
          <w:szCs w:val="25"/>
        </w:rPr>
        <w:t xml:space="preserve"> eligibility at 125 percent of the FPL rather than increasing it because </w:t>
      </w:r>
      <w:r w:rsidR="0024450C" w:rsidRPr="002532DF">
        <w:rPr>
          <w:sz w:val="25"/>
          <w:szCs w:val="25"/>
        </w:rPr>
        <w:t xml:space="preserve">of the number of </w:t>
      </w:r>
      <w:r w:rsidRPr="002532DF">
        <w:rPr>
          <w:sz w:val="25"/>
          <w:szCs w:val="25"/>
        </w:rPr>
        <w:t xml:space="preserve">households at the 125 percent level </w:t>
      </w:r>
      <w:r w:rsidR="0024450C" w:rsidRPr="002532DF">
        <w:rPr>
          <w:sz w:val="25"/>
          <w:szCs w:val="25"/>
        </w:rPr>
        <w:t>that could not</w:t>
      </w:r>
      <w:r w:rsidRPr="002532DF">
        <w:rPr>
          <w:sz w:val="25"/>
          <w:szCs w:val="25"/>
        </w:rPr>
        <w:t xml:space="preserve"> get served.</w:t>
      </w:r>
      <w:r w:rsidRPr="002532DF">
        <w:rPr>
          <w:rStyle w:val="FootnoteReference"/>
          <w:sz w:val="25"/>
          <w:szCs w:val="25"/>
        </w:rPr>
        <w:footnoteReference w:id="542"/>
      </w:r>
      <w:r w:rsidRPr="002532DF">
        <w:rPr>
          <w:sz w:val="25"/>
          <w:szCs w:val="25"/>
        </w:rPr>
        <w:t xml:space="preserve">  Moreover, </w:t>
      </w:r>
      <w:r w:rsidR="00BB236F" w:rsidRPr="002532DF">
        <w:rPr>
          <w:sz w:val="25"/>
          <w:szCs w:val="25"/>
        </w:rPr>
        <w:t>T</w:t>
      </w:r>
      <w:r w:rsidRPr="002532DF">
        <w:rPr>
          <w:sz w:val="25"/>
          <w:szCs w:val="25"/>
        </w:rPr>
        <w:t>he Energy Project argues that having a different eligibility standard for LIBA and LIHEAP funding sets up a double standard that is difficult to explain.</w:t>
      </w:r>
      <w:r w:rsidRPr="002532DF">
        <w:rPr>
          <w:rStyle w:val="FootnoteReference"/>
          <w:sz w:val="25"/>
          <w:szCs w:val="25"/>
        </w:rPr>
        <w:footnoteReference w:id="543"/>
      </w:r>
      <w:r w:rsidRPr="002532DF">
        <w:rPr>
          <w:sz w:val="25"/>
          <w:szCs w:val="25"/>
        </w:rPr>
        <w:t xml:space="preserve">  In the alternative, </w:t>
      </w:r>
      <w:r w:rsidR="0024450C" w:rsidRPr="002532DF">
        <w:rPr>
          <w:sz w:val="25"/>
          <w:szCs w:val="25"/>
        </w:rPr>
        <w:t>i</w:t>
      </w:r>
      <w:r w:rsidRPr="002532DF">
        <w:rPr>
          <w:sz w:val="25"/>
          <w:szCs w:val="25"/>
        </w:rPr>
        <w:t>t suggest</w:t>
      </w:r>
      <w:r w:rsidR="0024450C" w:rsidRPr="002532DF">
        <w:rPr>
          <w:sz w:val="25"/>
          <w:szCs w:val="25"/>
        </w:rPr>
        <w:t>s</w:t>
      </w:r>
      <w:r w:rsidRPr="002532DF">
        <w:rPr>
          <w:sz w:val="25"/>
          <w:szCs w:val="25"/>
        </w:rPr>
        <w:t xml:space="preserve"> that all parties work toward developing an alternat</w:t>
      </w:r>
      <w:r w:rsidR="00397B4E" w:rsidRPr="002532DF">
        <w:rPr>
          <w:sz w:val="25"/>
          <w:szCs w:val="25"/>
        </w:rPr>
        <w:t>iv</w:t>
      </w:r>
      <w:r w:rsidRPr="002532DF">
        <w:rPr>
          <w:sz w:val="25"/>
          <w:szCs w:val="25"/>
        </w:rPr>
        <w:t>e delivery mechanism before the next rate case.</w:t>
      </w:r>
      <w:r w:rsidRPr="002532DF">
        <w:rPr>
          <w:rStyle w:val="FootnoteReference"/>
          <w:sz w:val="25"/>
          <w:szCs w:val="25"/>
        </w:rPr>
        <w:footnoteReference w:id="544"/>
      </w:r>
    </w:p>
    <w:p w:rsidR="00EC45A4" w:rsidRPr="002532DF" w:rsidRDefault="00EC45A4" w:rsidP="00E81150">
      <w:pPr>
        <w:spacing w:line="276" w:lineRule="auto"/>
        <w:ind w:left="-720"/>
        <w:rPr>
          <w:sz w:val="25"/>
          <w:szCs w:val="25"/>
        </w:rPr>
      </w:pPr>
    </w:p>
    <w:p w:rsidR="00742A31" w:rsidRPr="002532DF" w:rsidRDefault="00742A31" w:rsidP="00027588">
      <w:pPr>
        <w:numPr>
          <w:ilvl w:val="0"/>
          <w:numId w:val="1"/>
        </w:numPr>
        <w:tabs>
          <w:tab w:val="clear" w:pos="720"/>
          <w:tab w:val="num" w:pos="0"/>
        </w:tabs>
        <w:spacing w:line="276" w:lineRule="auto"/>
        <w:ind w:left="0"/>
        <w:rPr>
          <w:sz w:val="25"/>
          <w:szCs w:val="25"/>
        </w:rPr>
      </w:pPr>
      <w:r w:rsidRPr="002532DF">
        <w:rPr>
          <w:sz w:val="25"/>
          <w:szCs w:val="25"/>
        </w:rPr>
        <w:t xml:space="preserve">With respect to modifying the certification process to every other year, </w:t>
      </w:r>
      <w:r w:rsidR="0024450C" w:rsidRPr="002532DF">
        <w:rPr>
          <w:sz w:val="25"/>
          <w:szCs w:val="25"/>
        </w:rPr>
        <w:t>T</w:t>
      </w:r>
      <w:r w:rsidRPr="002532DF">
        <w:rPr>
          <w:sz w:val="25"/>
          <w:szCs w:val="25"/>
        </w:rPr>
        <w:t>he Energy Project applaud</w:t>
      </w:r>
      <w:r w:rsidR="00DA6007" w:rsidRPr="002532DF">
        <w:rPr>
          <w:sz w:val="25"/>
          <w:szCs w:val="25"/>
        </w:rPr>
        <w:t>s</w:t>
      </w:r>
      <w:r w:rsidRPr="002532DF">
        <w:rPr>
          <w:sz w:val="25"/>
          <w:szCs w:val="25"/>
        </w:rPr>
        <w:t xml:space="preserve"> PacifiCorp’s intent to serve more customers, </w:t>
      </w:r>
      <w:r w:rsidR="0024450C" w:rsidRPr="002532DF">
        <w:rPr>
          <w:sz w:val="25"/>
          <w:szCs w:val="25"/>
        </w:rPr>
        <w:t>but</w:t>
      </w:r>
      <w:r w:rsidR="00DA6007" w:rsidRPr="002532DF">
        <w:rPr>
          <w:sz w:val="25"/>
          <w:szCs w:val="25"/>
        </w:rPr>
        <w:t xml:space="preserve"> argues that </w:t>
      </w:r>
      <w:r w:rsidRPr="002532DF">
        <w:rPr>
          <w:sz w:val="25"/>
          <w:szCs w:val="25"/>
        </w:rPr>
        <w:t>the proposal hinders agencies’ ability to provide income certification because it effectively reduces administrative support.</w:t>
      </w:r>
      <w:r w:rsidRPr="002532DF">
        <w:rPr>
          <w:rStyle w:val="FootnoteReference"/>
          <w:sz w:val="25"/>
          <w:szCs w:val="25"/>
        </w:rPr>
        <w:footnoteReference w:id="545"/>
      </w:r>
      <w:r w:rsidRPr="002532DF">
        <w:rPr>
          <w:sz w:val="25"/>
          <w:szCs w:val="25"/>
        </w:rPr>
        <w:t xml:space="preserve">  This “feast or famine” approach makes it impractical for agencies to process approximately 5</w:t>
      </w:r>
      <w:r w:rsidR="00B40F0C">
        <w:rPr>
          <w:sz w:val="25"/>
          <w:szCs w:val="25"/>
        </w:rPr>
        <w:t>,</w:t>
      </w:r>
      <w:r w:rsidRPr="002532DF">
        <w:rPr>
          <w:sz w:val="25"/>
          <w:szCs w:val="25"/>
        </w:rPr>
        <w:t>000 households one year and few or none the next.</w:t>
      </w:r>
      <w:r w:rsidRPr="002532DF">
        <w:rPr>
          <w:rStyle w:val="FootnoteReference"/>
          <w:sz w:val="25"/>
          <w:szCs w:val="25"/>
        </w:rPr>
        <w:footnoteReference w:id="546"/>
      </w:r>
      <w:r w:rsidRPr="002532DF">
        <w:rPr>
          <w:sz w:val="25"/>
          <w:szCs w:val="25"/>
        </w:rPr>
        <w:t xml:space="preserve">  In addition, The Energy Project </w:t>
      </w:r>
      <w:r w:rsidR="0024450C" w:rsidRPr="002532DF">
        <w:rPr>
          <w:sz w:val="25"/>
          <w:szCs w:val="25"/>
        </w:rPr>
        <w:t>asserts</w:t>
      </w:r>
      <w:r w:rsidRPr="002532DF">
        <w:rPr>
          <w:sz w:val="25"/>
          <w:szCs w:val="25"/>
        </w:rPr>
        <w:t xml:space="preserve"> that the fee PacifiCorp currently pays agencies for </w:t>
      </w:r>
      <w:r w:rsidR="007A1375" w:rsidRPr="002532DF">
        <w:rPr>
          <w:sz w:val="25"/>
          <w:szCs w:val="25"/>
        </w:rPr>
        <w:t>certification does</w:t>
      </w:r>
      <w:r w:rsidRPr="002532DF">
        <w:rPr>
          <w:sz w:val="25"/>
          <w:szCs w:val="25"/>
        </w:rPr>
        <w:t xml:space="preserve"> not cover the costs of certification and recommend</w:t>
      </w:r>
      <w:r w:rsidR="0024450C" w:rsidRPr="002532DF">
        <w:rPr>
          <w:sz w:val="25"/>
          <w:szCs w:val="25"/>
        </w:rPr>
        <w:t>s</w:t>
      </w:r>
      <w:r w:rsidRPr="002532DF">
        <w:rPr>
          <w:sz w:val="25"/>
          <w:szCs w:val="25"/>
        </w:rPr>
        <w:t xml:space="preserve"> that the certification fee be increased to $65 per household.</w:t>
      </w:r>
      <w:r w:rsidRPr="002532DF">
        <w:rPr>
          <w:rStyle w:val="FootnoteReference"/>
          <w:sz w:val="25"/>
          <w:szCs w:val="25"/>
        </w:rPr>
        <w:footnoteReference w:id="547"/>
      </w:r>
      <w:r w:rsidRPr="002532DF">
        <w:rPr>
          <w:sz w:val="25"/>
          <w:szCs w:val="25"/>
        </w:rPr>
        <w:t xml:space="preserve">  </w:t>
      </w:r>
    </w:p>
    <w:p w:rsidR="00DA6007" w:rsidRPr="002532DF" w:rsidRDefault="00DA6007" w:rsidP="00DA6007">
      <w:pPr>
        <w:spacing w:line="276" w:lineRule="auto"/>
        <w:ind w:left="-720"/>
        <w:rPr>
          <w:sz w:val="25"/>
          <w:szCs w:val="25"/>
        </w:rPr>
      </w:pPr>
    </w:p>
    <w:p w:rsidR="00DA6007" w:rsidRPr="002532DF" w:rsidRDefault="0024450C" w:rsidP="00027588">
      <w:pPr>
        <w:numPr>
          <w:ilvl w:val="0"/>
          <w:numId w:val="1"/>
        </w:numPr>
        <w:tabs>
          <w:tab w:val="clear" w:pos="720"/>
          <w:tab w:val="num" w:pos="0"/>
        </w:tabs>
        <w:spacing w:line="276" w:lineRule="auto"/>
        <w:ind w:left="0"/>
        <w:rPr>
          <w:sz w:val="25"/>
          <w:szCs w:val="25"/>
        </w:rPr>
      </w:pPr>
      <w:r w:rsidRPr="002532DF">
        <w:rPr>
          <w:sz w:val="25"/>
          <w:szCs w:val="25"/>
        </w:rPr>
        <w:t xml:space="preserve">Finally, </w:t>
      </w:r>
      <w:r w:rsidR="00DA6007" w:rsidRPr="002532DF">
        <w:rPr>
          <w:sz w:val="25"/>
          <w:szCs w:val="25"/>
        </w:rPr>
        <w:t>The Energy Project argues that this is a critical time for PacifiCorp to increase its investment in the Low-Income Weatherization Assistance program (LIWA).</w:t>
      </w:r>
      <w:r w:rsidR="00DA6007" w:rsidRPr="002532DF">
        <w:rPr>
          <w:rStyle w:val="FootnoteReference"/>
          <w:sz w:val="25"/>
          <w:szCs w:val="25"/>
        </w:rPr>
        <w:footnoteReference w:id="548"/>
      </w:r>
      <w:r w:rsidR="00DA6007" w:rsidRPr="002532DF">
        <w:rPr>
          <w:sz w:val="25"/>
          <w:szCs w:val="25"/>
        </w:rPr>
        <w:t xml:space="preserve">  </w:t>
      </w:r>
      <w:r w:rsidR="007A1375" w:rsidRPr="002532DF">
        <w:rPr>
          <w:sz w:val="25"/>
          <w:szCs w:val="25"/>
        </w:rPr>
        <w:t>It notes that The American Recovery and Reinvestment Act (ARRA) added $59 million to Washington’s normal Department of Energy Weatherization Assistance Program (WAP) from 2009 - 2011 argues that PacifiCorp should increase LIWA funding by $500,000 to fill the void that will be left when ARRA funding expires.</w:t>
      </w:r>
      <w:r w:rsidR="007A1375" w:rsidRPr="002532DF">
        <w:rPr>
          <w:rStyle w:val="FootnoteReference"/>
          <w:sz w:val="25"/>
          <w:szCs w:val="25"/>
        </w:rPr>
        <w:footnoteReference w:id="549"/>
      </w:r>
      <w:r w:rsidR="007A1375" w:rsidRPr="002532DF">
        <w:rPr>
          <w:sz w:val="25"/>
          <w:szCs w:val="25"/>
        </w:rPr>
        <w:t xml:space="preserve"> </w:t>
      </w:r>
    </w:p>
    <w:p w:rsidR="00EC45A4" w:rsidRPr="002532DF" w:rsidRDefault="00EC45A4" w:rsidP="00E81150">
      <w:pPr>
        <w:spacing w:line="276" w:lineRule="auto"/>
        <w:ind w:left="-720"/>
        <w:rPr>
          <w:sz w:val="25"/>
          <w:szCs w:val="25"/>
        </w:rPr>
      </w:pPr>
    </w:p>
    <w:p w:rsidR="00742A31" w:rsidRPr="002532DF" w:rsidRDefault="00742A31" w:rsidP="00027588">
      <w:pPr>
        <w:numPr>
          <w:ilvl w:val="0"/>
          <w:numId w:val="1"/>
        </w:numPr>
        <w:tabs>
          <w:tab w:val="clear" w:pos="720"/>
          <w:tab w:val="num" w:pos="0"/>
        </w:tabs>
        <w:spacing w:line="276" w:lineRule="auto"/>
        <w:ind w:left="0"/>
        <w:rPr>
          <w:sz w:val="25"/>
          <w:szCs w:val="25"/>
        </w:rPr>
      </w:pPr>
      <w:r w:rsidRPr="002532DF">
        <w:rPr>
          <w:sz w:val="25"/>
          <w:szCs w:val="25"/>
        </w:rPr>
        <w:t>In rebuttal</w:t>
      </w:r>
      <w:r w:rsidR="00582E35" w:rsidRPr="002532DF">
        <w:rPr>
          <w:sz w:val="25"/>
          <w:szCs w:val="25"/>
        </w:rPr>
        <w:t xml:space="preserve"> </w:t>
      </w:r>
      <w:r w:rsidR="007A1375" w:rsidRPr="002532DF">
        <w:rPr>
          <w:sz w:val="25"/>
          <w:szCs w:val="25"/>
        </w:rPr>
        <w:t>testimony</w:t>
      </w:r>
      <w:r w:rsidRPr="002532DF">
        <w:rPr>
          <w:sz w:val="25"/>
          <w:szCs w:val="25"/>
        </w:rPr>
        <w:t>, the Company support</w:t>
      </w:r>
      <w:r w:rsidR="00582E35" w:rsidRPr="002532DF">
        <w:rPr>
          <w:sz w:val="25"/>
          <w:szCs w:val="25"/>
        </w:rPr>
        <w:t>s</w:t>
      </w:r>
      <w:r w:rsidRPr="002532DF">
        <w:rPr>
          <w:sz w:val="25"/>
          <w:szCs w:val="25"/>
        </w:rPr>
        <w:t xml:space="preserve"> Staff’s proposal </w:t>
      </w:r>
      <w:r w:rsidR="00582E35" w:rsidRPr="002532DF">
        <w:rPr>
          <w:sz w:val="25"/>
          <w:szCs w:val="25"/>
        </w:rPr>
        <w:t>to increase</w:t>
      </w:r>
      <w:r w:rsidRPr="002532DF">
        <w:rPr>
          <w:sz w:val="25"/>
          <w:szCs w:val="25"/>
        </w:rPr>
        <w:t xml:space="preserve"> the Schedule 91 surcharge b</w:t>
      </w:r>
      <w:r w:rsidR="00582E35" w:rsidRPr="002532DF">
        <w:rPr>
          <w:sz w:val="25"/>
          <w:szCs w:val="25"/>
        </w:rPr>
        <w:t>y</w:t>
      </w:r>
      <w:r w:rsidRPr="002532DF">
        <w:rPr>
          <w:sz w:val="25"/>
          <w:szCs w:val="25"/>
        </w:rPr>
        <w:t xml:space="preserve"> 21 percent regardless of the actual amount of residential increase approved by the Commission</w:t>
      </w:r>
      <w:r w:rsidR="00582E35" w:rsidRPr="002532DF">
        <w:rPr>
          <w:sz w:val="25"/>
          <w:szCs w:val="25"/>
        </w:rPr>
        <w:t>, citing the benefit that this result would confer upon</w:t>
      </w:r>
      <w:r w:rsidRPr="002532DF">
        <w:rPr>
          <w:sz w:val="25"/>
          <w:szCs w:val="25"/>
        </w:rPr>
        <w:t xml:space="preserve"> low-income customers.</w:t>
      </w:r>
      <w:r w:rsidRPr="002532DF">
        <w:rPr>
          <w:rStyle w:val="FootnoteReference"/>
          <w:sz w:val="25"/>
          <w:szCs w:val="25"/>
        </w:rPr>
        <w:footnoteReference w:id="550"/>
      </w:r>
    </w:p>
    <w:p w:rsidR="00E81150" w:rsidRPr="002532DF" w:rsidRDefault="00E81150" w:rsidP="00E81150">
      <w:pPr>
        <w:spacing w:line="276" w:lineRule="auto"/>
        <w:ind w:left="-720"/>
        <w:rPr>
          <w:sz w:val="25"/>
          <w:szCs w:val="25"/>
        </w:rPr>
      </w:pPr>
    </w:p>
    <w:p w:rsidR="00742A31" w:rsidRPr="002532DF" w:rsidRDefault="00E84F17" w:rsidP="00027588">
      <w:pPr>
        <w:numPr>
          <w:ilvl w:val="0"/>
          <w:numId w:val="1"/>
        </w:numPr>
        <w:tabs>
          <w:tab w:val="clear" w:pos="720"/>
          <w:tab w:val="num" w:pos="0"/>
        </w:tabs>
        <w:spacing w:line="276" w:lineRule="auto"/>
        <w:ind w:left="0"/>
        <w:rPr>
          <w:sz w:val="25"/>
          <w:szCs w:val="25"/>
        </w:rPr>
      </w:pPr>
      <w:r w:rsidRPr="002532DF">
        <w:rPr>
          <w:sz w:val="25"/>
          <w:szCs w:val="25"/>
        </w:rPr>
        <w:t>T</w:t>
      </w:r>
      <w:r w:rsidR="00742A31" w:rsidRPr="002532DF">
        <w:rPr>
          <w:sz w:val="25"/>
          <w:szCs w:val="25"/>
        </w:rPr>
        <w:t xml:space="preserve">he Company </w:t>
      </w:r>
      <w:r w:rsidRPr="002532DF">
        <w:rPr>
          <w:sz w:val="25"/>
          <w:szCs w:val="25"/>
        </w:rPr>
        <w:t>also</w:t>
      </w:r>
      <w:r w:rsidR="00742A31" w:rsidRPr="002532DF">
        <w:rPr>
          <w:sz w:val="25"/>
          <w:szCs w:val="25"/>
        </w:rPr>
        <w:t xml:space="preserve"> accept</w:t>
      </w:r>
      <w:r w:rsidRPr="002532DF">
        <w:rPr>
          <w:sz w:val="25"/>
          <w:szCs w:val="25"/>
        </w:rPr>
        <w:t xml:space="preserve">s </w:t>
      </w:r>
      <w:r w:rsidR="00742A31" w:rsidRPr="002532DF">
        <w:rPr>
          <w:sz w:val="25"/>
          <w:szCs w:val="25"/>
        </w:rPr>
        <w:t xml:space="preserve">The Energy Project’s proposal to retain the income guideline at 125 percent of </w:t>
      </w:r>
      <w:r w:rsidRPr="002532DF">
        <w:rPr>
          <w:sz w:val="25"/>
          <w:szCs w:val="25"/>
        </w:rPr>
        <w:t xml:space="preserve">FPL noting </w:t>
      </w:r>
      <w:r w:rsidR="00742A31" w:rsidRPr="002532DF">
        <w:rPr>
          <w:sz w:val="25"/>
          <w:szCs w:val="25"/>
        </w:rPr>
        <w:t xml:space="preserve">that revision could increase administrative costs if the income guideline is different than the one </w:t>
      </w:r>
      <w:r w:rsidR="00582E35" w:rsidRPr="002532DF">
        <w:rPr>
          <w:sz w:val="25"/>
          <w:szCs w:val="25"/>
        </w:rPr>
        <w:t xml:space="preserve">used </w:t>
      </w:r>
      <w:r w:rsidR="00742A31" w:rsidRPr="002532DF">
        <w:rPr>
          <w:sz w:val="25"/>
          <w:szCs w:val="25"/>
        </w:rPr>
        <w:t>for LIHEAP.</w:t>
      </w:r>
      <w:r w:rsidR="00742A31" w:rsidRPr="002532DF">
        <w:rPr>
          <w:rStyle w:val="FootnoteReference"/>
          <w:sz w:val="25"/>
          <w:szCs w:val="25"/>
        </w:rPr>
        <w:footnoteReference w:id="551"/>
      </w:r>
    </w:p>
    <w:p w:rsidR="00EC45A4" w:rsidRPr="002532DF" w:rsidRDefault="00EC45A4" w:rsidP="00E81150">
      <w:pPr>
        <w:spacing w:line="276" w:lineRule="auto"/>
        <w:ind w:left="-720"/>
        <w:rPr>
          <w:sz w:val="25"/>
          <w:szCs w:val="25"/>
        </w:rPr>
      </w:pPr>
    </w:p>
    <w:p w:rsidR="00742A31" w:rsidRPr="002532DF" w:rsidRDefault="00742A31" w:rsidP="00027588">
      <w:pPr>
        <w:numPr>
          <w:ilvl w:val="0"/>
          <w:numId w:val="1"/>
        </w:numPr>
        <w:tabs>
          <w:tab w:val="clear" w:pos="720"/>
          <w:tab w:val="num" w:pos="0"/>
        </w:tabs>
        <w:spacing w:line="276" w:lineRule="auto"/>
        <w:ind w:left="0"/>
        <w:rPr>
          <w:sz w:val="25"/>
          <w:szCs w:val="25"/>
        </w:rPr>
      </w:pPr>
      <w:r w:rsidRPr="002532DF">
        <w:rPr>
          <w:sz w:val="25"/>
          <w:szCs w:val="25"/>
        </w:rPr>
        <w:t>PacifiCorp disagrees with The Energy Project’s proposal to use all LIBA funds to increase the discount without increasing the cap on the number of program participants.</w:t>
      </w:r>
      <w:r w:rsidRPr="002532DF">
        <w:rPr>
          <w:rStyle w:val="FootnoteReference"/>
          <w:sz w:val="25"/>
          <w:szCs w:val="25"/>
        </w:rPr>
        <w:footnoteReference w:id="552"/>
      </w:r>
      <w:r w:rsidRPr="002532DF">
        <w:rPr>
          <w:sz w:val="25"/>
          <w:szCs w:val="25"/>
        </w:rPr>
        <w:t xml:space="preserve">  </w:t>
      </w:r>
      <w:r w:rsidR="00582E35" w:rsidRPr="002532DF">
        <w:rPr>
          <w:sz w:val="25"/>
          <w:szCs w:val="25"/>
        </w:rPr>
        <w:t>It also</w:t>
      </w:r>
      <w:r w:rsidRPr="002532DF">
        <w:rPr>
          <w:sz w:val="25"/>
          <w:szCs w:val="25"/>
        </w:rPr>
        <w:t xml:space="preserve"> opposes The Energy Project’s proposal to continue annual certification of program participants.</w:t>
      </w:r>
      <w:r w:rsidRPr="002532DF">
        <w:rPr>
          <w:rStyle w:val="FootnoteReference"/>
          <w:sz w:val="25"/>
          <w:szCs w:val="25"/>
        </w:rPr>
        <w:footnoteReference w:id="553"/>
      </w:r>
      <w:r w:rsidRPr="002532DF">
        <w:rPr>
          <w:sz w:val="25"/>
          <w:szCs w:val="25"/>
        </w:rPr>
        <w:t xml:space="preserve">  During the past program year, agency administrative costs accounted for 21 percent of total program costs and participants’ discount accounted for 79 percent.</w:t>
      </w:r>
      <w:r w:rsidRPr="002532DF">
        <w:rPr>
          <w:rStyle w:val="FootnoteReference"/>
          <w:sz w:val="25"/>
          <w:szCs w:val="25"/>
        </w:rPr>
        <w:footnoteReference w:id="554"/>
      </w:r>
      <w:r w:rsidRPr="002532DF">
        <w:rPr>
          <w:sz w:val="25"/>
          <w:szCs w:val="25"/>
        </w:rPr>
        <w:t xml:space="preserve">  The Company argued that if administrative costs can be decreased, more households will receive program benefits.</w:t>
      </w:r>
      <w:r w:rsidRPr="002532DF">
        <w:rPr>
          <w:rStyle w:val="FootnoteReference"/>
          <w:sz w:val="25"/>
          <w:szCs w:val="25"/>
        </w:rPr>
        <w:footnoteReference w:id="555"/>
      </w:r>
    </w:p>
    <w:p w:rsidR="00EC45A4" w:rsidRPr="002532DF" w:rsidRDefault="00EC45A4" w:rsidP="00E81150">
      <w:pPr>
        <w:spacing w:line="276" w:lineRule="auto"/>
        <w:ind w:left="-720"/>
        <w:rPr>
          <w:sz w:val="25"/>
          <w:szCs w:val="25"/>
        </w:rPr>
      </w:pPr>
    </w:p>
    <w:p w:rsidR="00742A31" w:rsidRPr="002532DF" w:rsidRDefault="00742A31" w:rsidP="00027588">
      <w:pPr>
        <w:numPr>
          <w:ilvl w:val="0"/>
          <w:numId w:val="1"/>
        </w:numPr>
        <w:tabs>
          <w:tab w:val="clear" w:pos="720"/>
          <w:tab w:val="num" w:pos="0"/>
        </w:tabs>
        <w:spacing w:line="276" w:lineRule="auto"/>
        <w:ind w:left="0"/>
        <w:rPr>
          <w:sz w:val="25"/>
          <w:szCs w:val="25"/>
        </w:rPr>
      </w:pPr>
      <w:r w:rsidRPr="002532DF">
        <w:rPr>
          <w:sz w:val="25"/>
          <w:szCs w:val="25"/>
        </w:rPr>
        <w:t>The Company also opposes The Energy Project’s recommendation to increase the administrative fee from $48 to $65 per household certified because it does not believe the increase is in the best interest of its customers.</w:t>
      </w:r>
      <w:r w:rsidRPr="002532DF">
        <w:rPr>
          <w:rStyle w:val="FootnoteReference"/>
          <w:sz w:val="25"/>
          <w:szCs w:val="25"/>
        </w:rPr>
        <w:footnoteReference w:id="556"/>
      </w:r>
      <w:r w:rsidRPr="002532DF">
        <w:rPr>
          <w:sz w:val="25"/>
          <w:szCs w:val="25"/>
        </w:rPr>
        <w:t xml:space="preserve">  However, </w:t>
      </w:r>
      <w:r w:rsidR="00582E35" w:rsidRPr="002532DF">
        <w:rPr>
          <w:sz w:val="25"/>
          <w:szCs w:val="25"/>
        </w:rPr>
        <w:t>it</w:t>
      </w:r>
      <w:r w:rsidRPr="002532DF">
        <w:rPr>
          <w:sz w:val="25"/>
          <w:szCs w:val="25"/>
        </w:rPr>
        <w:t xml:space="preserve"> recommends that the Commission Staff convene a collaborative meeting with the parties to determine how the certification process can be modified to lower agency costs and increase benefits to people in need. </w:t>
      </w:r>
      <w:r w:rsidRPr="002532DF">
        <w:rPr>
          <w:rStyle w:val="FootnoteReference"/>
          <w:sz w:val="25"/>
          <w:szCs w:val="25"/>
        </w:rPr>
        <w:footnoteReference w:id="557"/>
      </w:r>
    </w:p>
    <w:p w:rsidR="00EC45A4" w:rsidRPr="002532DF" w:rsidRDefault="00EC45A4" w:rsidP="00E81150">
      <w:pPr>
        <w:spacing w:line="276" w:lineRule="auto"/>
        <w:ind w:left="-720"/>
        <w:rPr>
          <w:sz w:val="25"/>
          <w:szCs w:val="25"/>
        </w:rPr>
      </w:pPr>
    </w:p>
    <w:p w:rsidR="00742A31" w:rsidRPr="002532DF" w:rsidRDefault="00742A31" w:rsidP="00027588">
      <w:pPr>
        <w:numPr>
          <w:ilvl w:val="0"/>
          <w:numId w:val="1"/>
        </w:numPr>
        <w:tabs>
          <w:tab w:val="clear" w:pos="720"/>
          <w:tab w:val="num" w:pos="0"/>
        </w:tabs>
        <w:spacing w:line="276" w:lineRule="auto"/>
        <w:ind w:left="0"/>
        <w:rPr>
          <w:sz w:val="25"/>
          <w:szCs w:val="25"/>
        </w:rPr>
      </w:pPr>
      <w:r w:rsidRPr="002532DF">
        <w:rPr>
          <w:sz w:val="25"/>
          <w:szCs w:val="25"/>
        </w:rPr>
        <w:t>PacifiCorp opposes The Energy Project’s proposal to increase LIWA program funding by 50 percent, or approximately $500,000.</w:t>
      </w:r>
      <w:r w:rsidRPr="002532DF">
        <w:rPr>
          <w:rStyle w:val="FootnoteReference"/>
          <w:sz w:val="25"/>
          <w:szCs w:val="25"/>
        </w:rPr>
        <w:footnoteReference w:id="558"/>
      </w:r>
      <w:r w:rsidRPr="002532DF">
        <w:rPr>
          <w:sz w:val="25"/>
          <w:szCs w:val="25"/>
        </w:rPr>
        <w:t xml:space="preserve">  The Company budgets $1 million annually for reimbursements to its partnering agencies, but the agencies do not bill PacifiCorp for the full budgeted amount.</w:t>
      </w:r>
      <w:r w:rsidRPr="002532DF">
        <w:rPr>
          <w:rStyle w:val="FootnoteReference"/>
          <w:sz w:val="25"/>
          <w:szCs w:val="25"/>
        </w:rPr>
        <w:footnoteReference w:id="559"/>
      </w:r>
      <w:r w:rsidRPr="002532DF">
        <w:rPr>
          <w:sz w:val="25"/>
          <w:szCs w:val="25"/>
        </w:rPr>
        <w:t xml:space="preserve">  In recent years, reimbursements include $617,263 in 2007</w:t>
      </w:r>
      <w:r w:rsidR="00BB236F" w:rsidRPr="002532DF">
        <w:rPr>
          <w:sz w:val="25"/>
          <w:szCs w:val="25"/>
        </w:rPr>
        <w:t>,</w:t>
      </w:r>
      <w:r w:rsidRPr="002532DF">
        <w:rPr>
          <w:sz w:val="25"/>
          <w:szCs w:val="25"/>
        </w:rPr>
        <w:t xml:space="preserve"> $532,700 in 2008, $491,986 in 2009, and $346,523 through September 2010.</w:t>
      </w:r>
      <w:r w:rsidRPr="002532DF">
        <w:rPr>
          <w:rStyle w:val="FootnoteReference"/>
          <w:sz w:val="25"/>
          <w:szCs w:val="25"/>
        </w:rPr>
        <w:footnoteReference w:id="560"/>
      </w:r>
    </w:p>
    <w:p w:rsidR="00EC45A4" w:rsidRPr="002532DF" w:rsidRDefault="00EC45A4" w:rsidP="00E81150">
      <w:pPr>
        <w:spacing w:line="276" w:lineRule="auto"/>
        <w:ind w:left="-720"/>
        <w:rPr>
          <w:sz w:val="25"/>
          <w:szCs w:val="25"/>
        </w:rPr>
      </w:pPr>
    </w:p>
    <w:p w:rsidR="00742A31" w:rsidRPr="002532DF" w:rsidRDefault="00742A31" w:rsidP="00027588">
      <w:pPr>
        <w:numPr>
          <w:ilvl w:val="0"/>
          <w:numId w:val="1"/>
        </w:numPr>
        <w:tabs>
          <w:tab w:val="clear" w:pos="720"/>
          <w:tab w:val="num" w:pos="0"/>
        </w:tabs>
        <w:spacing w:line="276" w:lineRule="auto"/>
        <w:ind w:left="0"/>
        <w:rPr>
          <w:sz w:val="25"/>
          <w:szCs w:val="25"/>
        </w:rPr>
      </w:pPr>
      <w:r w:rsidRPr="002532DF">
        <w:rPr>
          <w:sz w:val="25"/>
          <w:szCs w:val="25"/>
        </w:rPr>
        <w:t>In cross-answering</w:t>
      </w:r>
      <w:r w:rsidR="00582E35" w:rsidRPr="002532DF">
        <w:rPr>
          <w:sz w:val="25"/>
          <w:szCs w:val="25"/>
        </w:rPr>
        <w:t xml:space="preserve"> testimony</w:t>
      </w:r>
      <w:r w:rsidRPr="002532DF">
        <w:rPr>
          <w:sz w:val="25"/>
          <w:szCs w:val="25"/>
        </w:rPr>
        <w:t>, Staff recognizes The Energy Project’s concern with biannual certification by suggesting that agencies recertify one-half of the participants for two years and one-half for one year.</w:t>
      </w:r>
      <w:r w:rsidRPr="002532DF">
        <w:rPr>
          <w:rStyle w:val="FootnoteReference"/>
          <w:sz w:val="25"/>
          <w:szCs w:val="25"/>
        </w:rPr>
        <w:footnoteReference w:id="561"/>
      </w:r>
      <w:r w:rsidRPr="002532DF">
        <w:rPr>
          <w:sz w:val="25"/>
          <w:szCs w:val="25"/>
        </w:rPr>
        <w:t xml:space="preserve">  Staff contends that this compromise would spread workload over two years and avoid the administrative problems The Energy Project identifies.</w:t>
      </w:r>
      <w:r w:rsidRPr="002532DF">
        <w:rPr>
          <w:rStyle w:val="FootnoteReference"/>
          <w:sz w:val="25"/>
          <w:szCs w:val="25"/>
        </w:rPr>
        <w:footnoteReference w:id="562"/>
      </w:r>
    </w:p>
    <w:p w:rsidR="00EC45A4" w:rsidRPr="002532DF" w:rsidRDefault="00EC45A4" w:rsidP="00E81150">
      <w:pPr>
        <w:spacing w:line="276" w:lineRule="auto"/>
        <w:ind w:left="-720"/>
        <w:rPr>
          <w:sz w:val="25"/>
          <w:szCs w:val="25"/>
        </w:rPr>
      </w:pPr>
    </w:p>
    <w:p w:rsidR="00742A31" w:rsidRPr="002532DF" w:rsidRDefault="00742A31" w:rsidP="00027588">
      <w:pPr>
        <w:numPr>
          <w:ilvl w:val="0"/>
          <w:numId w:val="1"/>
        </w:numPr>
        <w:tabs>
          <w:tab w:val="clear" w:pos="720"/>
          <w:tab w:val="num" w:pos="0"/>
        </w:tabs>
        <w:spacing w:line="276" w:lineRule="auto"/>
        <w:ind w:left="0"/>
        <w:rPr>
          <w:sz w:val="25"/>
          <w:szCs w:val="25"/>
        </w:rPr>
      </w:pPr>
      <w:r w:rsidRPr="002532DF">
        <w:rPr>
          <w:sz w:val="25"/>
          <w:szCs w:val="25"/>
        </w:rPr>
        <w:t>Staff is not opposed to the principle that PacifiCorp fairly compensate agencies for administering the program but argues that The Energy Project’s support for increasing administrative reimbursement is insufficient.</w:t>
      </w:r>
      <w:r w:rsidRPr="002532DF">
        <w:rPr>
          <w:rStyle w:val="FootnoteReference"/>
          <w:sz w:val="25"/>
          <w:szCs w:val="25"/>
        </w:rPr>
        <w:footnoteReference w:id="563"/>
      </w:r>
      <w:r w:rsidRPr="002532DF">
        <w:rPr>
          <w:sz w:val="25"/>
          <w:szCs w:val="25"/>
        </w:rPr>
        <w:t xml:space="preserve">  Staff notes that The Energy Project only provided information for one agency for one month, so Staff supports retaining the reimbursement rate of $48 per certified customer.</w:t>
      </w:r>
    </w:p>
    <w:p w:rsidR="00E81150" w:rsidRPr="002532DF" w:rsidRDefault="00E81150" w:rsidP="00E81150">
      <w:pPr>
        <w:spacing w:line="276" w:lineRule="auto"/>
        <w:ind w:left="-720"/>
        <w:rPr>
          <w:sz w:val="25"/>
          <w:szCs w:val="25"/>
        </w:rPr>
      </w:pPr>
    </w:p>
    <w:p w:rsidR="00742A31" w:rsidRPr="002532DF" w:rsidRDefault="00742A31" w:rsidP="00027588">
      <w:pPr>
        <w:numPr>
          <w:ilvl w:val="0"/>
          <w:numId w:val="1"/>
        </w:numPr>
        <w:tabs>
          <w:tab w:val="clear" w:pos="720"/>
          <w:tab w:val="num" w:pos="0"/>
        </w:tabs>
        <w:spacing w:line="276" w:lineRule="auto"/>
        <w:ind w:left="0"/>
        <w:rPr>
          <w:sz w:val="25"/>
          <w:szCs w:val="25"/>
        </w:rPr>
      </w:pPr>
      <w:r w:rsidRPr="002532DF">
        <w:rPr>
          <w:sz w:val="25"/>
          <w:szCs w:val="25"/>
        </w:rPr>
        <w:t>Staff opposes The Energy Project’s proposal to increase LIWA funding by $500,000.</w:t>
      </w:r>
      <w:r w:rsidRPr="002532DF">
        <w:rPr>
          <w:rStyle w:val="FootnoteReference"/>
          <w:sz w:val="25"/>
          <w:szCs w:val="25"/>
        </w:rPr>
        <w:footnoteReference w:id="564"/>
      </w:r>
      <w:r w:rsidRPr="002532DF">
        <w:rPr>
          <w:sz w:val="25"/>
          <w:szCs w:val="25"/>
        </w:rPr>
        <w:t xml:space="preserve">  Staff argues that the applicable tariff sheet is not before the Commission, that the Commission should conduct a comprehensive review before modifying the benefit charge, and that it was understood that ARRA funding was temporary.</w:t>
      </w:r>
      <w:r w:rsidRPr="002532DF">
        <w:rPr>
          <w:rStyle w:val="FootnoteReference"/>
          <w:sz w:val="25"/>
          <w:szCs w:val="25"/>
        </w:rPr>
        <w:footnoteReference w:id="565"/>
      </w:r>
    </w:p>
    <w:p w:rsidR="00EC45A4" w:rsidRPr="002532DF" w:rsidRDefault="00EC45A4" w:rsidP="00E81150">
      <w:pPr>
        <w:spacing w:line="276" w:lineRule="auto"/>
        <w:ind w:left="-720"/>
        <w:rPr>
          <w:sz w:val="25"/>
          <w:szCs w:val="25"/>
        </w:rPr>
      </w:pPr>
    </w:p>
    <w:p w:rsidR="00742A31" w:rsidRPr="002532DF" w:rsidRDefault="00742A31" w:rsidP="00027588">
      <w:pPr>
        <w:numPr>
          <w:ilvl w:val="0"/>
          <w:numId w:val="1"/>
        </w:numPr>
        <w:tabs>
          <w:tab w:val="clear" w:pos="720"/>
          <w:tab w:val="num" w:pos="0"/>
        </w:tabs>
        <w:spacing w:line="276" w:lineRule="auto"/>
        <w:ind w:left="0"/>
        <w:rPr>
          <w:sz w:val="25"/>
          <w:szCs w:val="25"/>
        </w:rPr>
      </w:pPr>
      <w:r w:rsidRPr="002532DF">
        <w:rPr>
          <w:sz w:val="25"/>
          <w:szCs w:val="25"/>
        </w:rPr>
        <w:t>In cross-answering</w:t>
      </w:r>
      <w:r w:rsidR="00582E35" w:rsidRPr="002532DF">
        <w:rPr>
          <w:sz w:val="25"/>
          <w:szCs w:val="25"/>
        </w:rPr>
        <w:t xml:space="preserve"> testimony</w:t>
      </w:r>
      <w:r w:rsidRPr="002532DF">
        <w:rPr>
          <w:sz w:val="25"/>
          <w:szCs w:val="25"/>
        </w:rPr>
        <w:t>, The Energy Project objects to Staff’s characterization of LIBA as a “tax” because helping customers living at the economic margin of society provides system-wide benefits in the form of enhanced cash flow, reduction in bad debt expenses, and reduced collection costs.</w:t>
      </w:r>
      <w:r w:rsidRPr="002532DF">
        <w:rPr>
          <w:rStyle w:val="FootnoteReference"/>
          <w:sz w:val="25"/>
          <w:szCs w:val="25"/>
        </w:rPr>
        <w:footnoteReference w:id="566"/>
      </w:r>
      <w:r w:rsidRPr="002532DF">
        <w:rPr>
          <w:sz w:val="25"/>
          <w:szCs w:val="25"/>
        </w:rPr>
        <w:t xml:space="preserve"> </w:t>
      </w:r>
    </w:p>
    <w:p w:rsidR="00EC45A4" w:rsidRPr="002532DF" w:rsidRDefault="00EC45A4" w:rsidP="00E81150">
      <w:pPr>
        <w:spacing w:line="276" w:lineRule="auto"/>
        <w:ind w:left="-720"/>
        <w:rPr>
          <w:sz w:val="25"/>
          <w:szCs w:val="25"/>
        </w:rPr>
      </w:pPr>
    </w:p>
    <w:p w:rsidR="00742A31" w:rsidRPr="002532DF" w:rsidRDefault="00742A31" w:rsidP="00027588">
      <w:pPr>
        <w:numPr>
          <w:ilvl w:val="0"/>
          <w:numId w:val="1"/>
        </w:numPr>
        <w:tabs>
          <w:tab w:val="clear" w:pos="720"/>
          <w:tab w:val="num" w:pos="0"/>
        </w:tabs>
        <w:spacing w:line="276" w:lineRule="auto"/>
        <w:ind w:left="0"/>
        <w:rPr>
          <w:sz w:val="25"/>
          <w:szCs w:val="25"/>
        </w:rPr>
      </w:pPr>
      <w:r w:rsidRPr="002532DF">
        <w:rPr>
          <w:sz w:val="25"/>
          <w:szCs w:val="25"/>
        </w:rPr>
        <w:t>In cross-answering</w:t>
      </w:r>
      <w:r w:rsidR="00582E35" w:rsidRPr="002532DF">
        <w:rPr>
          <w:sz w:val="25"/>
          <w:szCs w:val="25"/>
        </w:rPr>
        <w:t xml:space="preserve"> testimony</w:t>
      </w:r>
      <w:r w:rsidRPr="002532DF">
        <w:rPr>
          <w:sz w:val="25"/>
          <w:szCs w:val="25"/>
        </w:rPr>
        <w:t>, Staff concurs with PacifiCorp’s proposals program eligibility and certification.  The Energy Project also reiterates its concerns with those modifications to the program.</w:t>
      </w:r>
      <w:r w:rsidRPr="002532DF">
        <w:rPr>
          <w:rStyle w:val="FootnoteReference"/>
          <w:sz w:val="25"/>
          <w:szCs w:val="25"/>
        </w:rPr>
        <w:footnoteReference w:id="567"/>
      </w:r>
    </w:p>
    <w:p w:rsidR="00EC45A4" w:rsidRPr="002532DF" w:rsidRDefault="00EC45A4" w:rsidP="00E81150">
      <w:pPr>
        <w:spacing w:line="276" w:lineRule="auto"/>
        <w:ind w:left="-720"/>
        <w:rPr>
          <w:sz w:val="25"/>
          <w:szCs w:val="25"/>
        </w:rPr>
      </w:pPr>
    </w:p>
    <w:p w:rsidR="00742A31" w:rsidRPr="002532DF" w:rsidRDefault="00480F16" w:rsidP="00027588">
      <w:pPr>
        <w:numPr>
          <w:ilvl w:val="0"/>
          <w:numId w:val="1"/>
        </w:numPr>
        <w:tabs>
          <w:tab w:val="clear" w:pos="720"/>
          <w:tab w:val="num" w:pos="0"/>
        </w:tabs>
        <w:spacing w:line="276" w:lineRule="auto"/>
        <w:ind w:left="0"/>
        <w:rPr>
          <w:sz w:val="25"/>
          <w:szCs w:val="25"/>
        </w:rPr>
      </w:pPr>
      <w:r w:rsidRPr="002532DF">
        <w:rPr>
          <w:i/>
          <w:sz w:val="25"/>
          <w:szCs w:val="25"/>
        </w:rPr>
        <w:t xml:space="preserve">Commission Decision.  </w:t>
      </w:r>
      <w:r w:rsidR="00AF3FB3" w:rsidRPr="002532DF">
        <w:rPr>
          <w:sz w:val="25"/>
          <w:szCs w:val="25"/>
        </w:rPr>
        <w:t xml:space="preserve">Overall, we accept the undisputed </w:t>
      </w:r>
      <w:r w:rsidR="00CB2776" w:rsidRPr="002532DF">
        <w:rPr>
          <w:sz w:val="25"/>
          <w:szCs w:val="25"/>
        </w:rPr>
        <w:t>recommendations regarding the LIBA program</w:t>
      </w:r>
      <w:r w:rsidR="00F56ADA">
        <w:rPr>
          <w:sz w:val="25"/>
          <w:szCs w:val="25"/>
        </w:rPr>
        <w:t>.  We</w:t>
      </w:r>
      <w:r w:rsidR="00CB2776" w:rsidRPr="002532DF">
        <w:rPr>
          <w:sz w:val="25"/>
          <w:szCs w:val="25"/>
        </w:rPr>
        <w:t xml:space="preserve"> agree that the Schedule 17 surcharge should be increased by 21 percent to serve more customers and to greater offset the revenue increase approved by this Order.  We </w:t>
      </w:r>
      <w:r w:rsidR="00582E35" w:rsidRPr="002532DF">
        <w:rPr>
          <w:sz w:val="25"/>
          <w:szCs w:val="25"/>
        </w:rPr>
        <w:t xml:space="preserve">also </w:t>
      </w:r>
      <w:r w:rsidR="00CB2776" w:rsidRPr="002532DF">
        <w:rPr>
          <w:sz w:val="25"/>
          <w:szCs w:val="25"/>
        </w:rPr>
        <w:t xml:space="preserve">retain income eligibility at 125 percent of the FPL because we are concerned that different eligibility levels for LIHEAP and LIBA could create confusion and increase administrative costs.  </w:t>
      </w:r>
    </w:p>
    <w:p w:rsidR="00CB2776" w:rsidRPr="002532DF" w:rsidRDefault="00CB2776" w:rsidP="00CB2776">
      <w:pPr>
        <w:spacing w:line="276" w:lineRule="auto"/>
        <w:ind w:left="-720"/>
        <w:rPr>
          <w:sz w:val="25"/>
          <w:szCs w:val="25"/>
        </w:rPr>
      </w:pPr>
    </w:p>
    <w:p w:rsidR="00582E35" w:rsidRPr="002532DF" w:rsidRDefault="00CB2776" w:rsidP="00027588">
      <w:pPr>
        <w:numPr>
          <w:ilvl w:val="0"/>
          <w:numId w:val="1"/>
        </w:numPr>
        <w:tabs>
          <w:tab w:val="clear" w:pos="720"/>
          <w:tab w:val="num" w:pos="0"/>
        </w:tabs>
        <w:spacing w:line="276" w:lineRule="auto"/>
        <w:ind w:left="0"/>
        <w:rPr>
          <w:sz w:val="25"/>
          <w:szCs w:val="25"/>
        </w:rPr>
      </w:pPr>
      <w:r w:rsidRPr="002532DF">
        <w:rPr>
          <w:sz w:val="25"/>
          <w:szCs w:val="25"/>
        </w:rPr>
        <w:t xml:space="preserve">With respect to the </w:t>
      </w:r>
      <w:r w:rsidR="00582E35" w:rsidRPr="002532DF">
        <w:rPr>
          <w:sz w:val="25"/>
          <w:szCs w:val="25"/>
        </w:rPr>
        <w:t>proposed modification to LIWA funding, we reject The Energy Project’s proposal to increase funding by 50 percent, or an additional $500,000.  The evidence clearly demonstrates that reimbursements under this program have not come close to reaching the current budgeted amount.  We encourage The Energy Project, PacifiCorp, or any other party to come forward with such a request if it can demonstrate that a funding increase is necessary to ensure immediate success of the program.  Until that time, we will not increase funding.</w:t>
      </w:r>
    </w:p>
    <w:p w:rsidR="00582E35" w:rsidRPr="002532DF" w:rsidRDefault="00582E35" w:rsidP="00DB558B">
      <w:pPr>
        <w:spacing w:line="276" w:lineRule="auto"/>
        <w:ind w:left="-720"/>
        <w:rPr>
          <w:sz w:val="25"/>
          <w:szCs w:val="25"/>
        </w:rPr>
      </w:pPr>
    </w:p>
    <w:p w:rsidR="00F56ADA" w:rsidRDefault="00582E35" w:rsidP="00027588">
      <w:pPr>
        <w:numPr>
          <w:ilvl w:val="0"/>
          <w:numId w:val="1"/>
        </w:numPr>
        <w:tabs>
          <w:tab w:val="clear" w:pos="720"/>
          <w:tab w:val="num" w:pos="0"/>
        </w:tabs>
        <w:spacing w:line="276" w:lineRule="auto"/>
        <w:ind w:left="0"/>
        <w:rPr>
          <w:sz w:val="25"/>
          <w:szCs w:val="25"/>
        </w:rPr>
      </w:pPr>
      <w:r w:rsidRPr="002532DF">
        <w:rPr>
          <w:sz w:val="25"/>
          <w:szCs w:val="25"/>
        </w:rPr>
        <w:t xml:space="preserve">With respect to the </w:t>
      </w:r>
      <w:r w:rsidR="00CB2776" w:rsidRPr="002532DF">
        <w:rPr>
          <w:sz w:val="25"/>
          <w:szCs w:val="25"/>
        </w:rPr>
        <w:t xml:space="preserve">disputed issues concerning the allocation of LIBA surcharge collections, the interval for eligibility certification, and the level of administrative fees, we </w:t>
      </w:r>
      <w:r w:rsidRPr="002532DF">
        <w:rPr>
          <w:sz w:val="25"/>
          <w:szCs w:val="25"/>
        </w:rPr>
        <w:t xml:space="preserve">are not </w:t>
      </w:r>
      <w:r w:rsidR="00F56ADA">
        <w:rPr>
          <w:sz w:val="25"/>
          <w:szCs w:val="25"/>
        </w:rPr>
        <w:t>convinced</w:t>
      </w:r>
      <w:r w:rsidRPr="002532DF">
        <w:rPr>
          <w:sz w:val="25"/>
          <w:szCs w:val="25"/>
        </w:rPr>
        <w:t xml:space="preserve"> that these are appropriate matters for </w:t>
      </w:r>
      <w:r w:rsidR="008B68B6" w:rsidRPr="002532DF">
        <w:rPr>
          <w:sz w:val="25"/>
          <w:szCs w:val="25"/>
        </w:rPr>
        <w:t xml:space="preserve">resolution by the Commission </w:t>
      </w:r>
      <w:r w:rsidR="00CB2776" w:rsidRPr="002532DF">
        <w:rPr>
          <w:sz w:val="25"/>
          <w:szCs w:val="25"/>
        </w:rPr>
        <w:t xml:space="preserve">through the adjudicative process.  </w:t>
      </w:r>
      <w:r w:rsidR="00F56ADA">
        <w:rPr>
          <w:sz w:val="25"/>
          <w:szCs w:val="25"/>
        </w:rPr>
        <w:t>These</w:t>
      </w:r>
      <w:r w:rsidR="008B68B6" w:rsidRPr="002532DF">
        <w:rPr>
          <w:sz w:val="25"/>
          <w:szCs w:val="25"/>
        </w:rPr>
        <w:t xml:space="preserve"> matters </w:t>
      </w:r>
      <w:r w:rsidR="00F56ADA">
        <w:rPr>
          <w:sz w:val="25"/>
          <w:szCs w:val="25"/>
        </w:rPr>
        <w:t>should be addressed through</w:t>
      </w:r>
      <w:r w:rsidR="008B68B6" w:rsidRPr="002532DF">
        <w:rPr>
          <w:sz w:val="25"/>
          <w:szCs w:val="25"/>
        </w:rPr>
        <w:t xml:space="preserve"> </w:t>
      </w:r>
      <w:r w:rsidR="00F56ADA">
        <w:rPr>
          <w:sz w:val="25"/>
          <w:szCs w:val="25"/>
        </w:rPr>
        <w:t>negotiations</w:t>
      </w:r>
      <w:r w:rsidR="008B68B6" w:rsidRPr="002532DF">
        <w:rPr>
          <w:sz w:val="25"/>
          <w:szCs w:val="25"/>
        </w:rPr>
        <w:t xml:space="preserve"> and contract</w:t>
      </w:r>
      <w:r w:rsidR="00F56ADA">
        <w:rPr>
          <w:sz w:val="25"/>
          <w:szCs w:val="25"/>
        </w:rPr>
        <w:t>s</w:t>
      </w:r>
      <w:r w:rsidR="008B68B6" w:rsidRPr="002532DF">
        <w:rPr>
          <w:sz w:val="25"/>
          <w:szCs w:val="25"/>
        </w:rPr>
        <w:t xml:space="preserve"> </w:t>
      </w:r>
      <w:r w:rsidR="00F56ADA">
        <w:rPr>
          <w:sz w:val="25"/>
          <w:szCs w:val="25"/>
        </w:rPr>
        <w:t>between</w:t>
      </w:r>
      <w:r w:rsidR="00CB2776" w:rsidRPr="002532DF">
        <w:rPr>
          <w:sz w:val="25"/>
          <w:szCs w:val="25"/>
        </w:rPr>
        <w:t xml:space="preserve"> PacifiCorp, The Energy Project, and the agencies that actually administer the program, Blue Mountain Action Council, Opportunities Industrialization Center of Washington, and Northwest Community Action Center</w:t>
      </w:r>
      <w:r w:rsidR="00A509B2" w:rsidRPr="002532DF">
        <w:rPr>
          <w:sz w:val="25"/>
          <w:szCs w:val="25"/>
        </w:rPr>
        <w:t xml:space="preserve"> (collectively referred to as the “agencies”)</w:t>
      </w:r>
      <w:r w:rsidR="008B68B6" w:rsidRPr="002532DF">
        <w:rPr>
          <w:sz w:val="25"/>
          <w:szCs w:val="25"/>
        </w:rPr>
        <w:t xml:space="preserve">.  These entities </w:t>
      </w:r>
      <w:r w:rsidR="00CB2776" w:rsidRPr="002532DF">
        <w:rPr>
          <w:sz w:val="25"/>
          <w:szCs w:val="25"/>
        </w:rPr>
        <w:t xml:space="preserve">share the same goals with respect to </w:t>
      </w:r>
      <w:r w:rsidR="00A509B2" w:rsidRPr="002532DF">
        <w:rPr>
          <w:sz w:val="25"/>
          <w:szCs w:val="25"/>
        </w:rPr>
        <w:t>LIBA</w:t>
      </w:r>
      <w:r w:rsidR="008B68B6" w:rsidRPr="002532DF">
        <w:rPr>
          <w:sz w:val="25"/>
          <w:szCs w:val="25"/>
        </w:rPr>
        <w:t xml:space="preserve"> and</w:t>
      </w:r>
      <w:r w:rsidR="00CB2776" w:rsidRPr="002532DF">
        <w:rPr>
          <w:sz w:val="25"/>
          <w:szCs w:val="25"/>
        </w:rPr>
        <w:t xml:space="preserve"> are interested in serving the customers eligible for the program in a manner that maximizes the benefit</w:t>
      </w:r>
      <w:r w:rsidR="00A509B2" w:rsidRPr="002532DF">
        <w:rPr>
          <w:sz w:val="25"/>
          <w:szCs w:val="25"/>
        </w:rPr>
        <w:t>s</w:t>
      </w:r>
      <w:r w:rsidR="00CB2776" w:rsidRPr="002532DF">
        <w:rPr>
          <w:sz w:val="25"/>
          <w:szCs w:val="25"/>
        </w:rPr>
        <w:t xml:space="preserve"> of the program and fairly compensat</w:t>
      </w:r>
      <w:r w:rsidR="00A509B2" w:rsidRPr="002532DF">
        <w:rPr>
          <w:sz w:val="25"/>
          <w:szCs w:val="25"/>
        </w:rPr>
        <w:t>es</w:t>
      </w:r>
      <w:r w:rsidR="00CB2776" w:rsidRPr="002532DF">
        <w:rPr>
          <w:sz w:val="25"/>
          <w:szCs w:val="25"/>
        </w:rPr>
        <w:t xml:space="preserve"> the agencies for administering the program.  </w:t>
      </w:r>
    </w:p>
    <w:p w:rsidR="00F56ADA" w:rsidRDefault="00F56ADA" w:rsidP="00E77D4E">
      <w:pPr>
        <w:pStyle w:val="ListParagraph"/>
        <w:rPr>
          <w:sz w:val="25"/>
          <w:szCs w:val="25"/>
        </w:rPr>
      </w:pPr>
    </w:p>
    <w:p w:rsidR="008212B4" w:rsidRPr="002532DF" w:rsidRDefault="00F56ADA" w:rsidP="00027588">
      <w:pPr>
        <w:numPr>
          <w:ilvl w:val="0"/>
          <w:numId w:val="1"/>
        </w:numPr>
        <w:tabs>
          <w:tab w:val="clear" w:pos="720"/>
          <w:tab w:val="num" w:pos="0"/>
        </w:tabs>
        <w:spacing w:line="276" w:lineRule="auto"/>
        <w:ind w:left="0"/>
        <w:rPr>
          <w:sz w:val="25"/>
          <w:szCs w:val="25"/>
        </w:rPr>
      </w:pPr>
      <w:r>
        <w:rPr>
          <w:sz w:val="25"/>
          <w:szCs w:val="25"/>
        </w:rPr>
        <w:t xml:space="preserve">We are also disinclined to address these matters in this proceeding because the </w:t>
      </w:r>
      <w:r w:rsidR="00A509B2" w:rsidRPr="002532DF">
        <w:rPr>
          <w:sz w:val="25"/>
          <w:szCs w:val="25"/>
        </w:rPr>
        <w:t xml:space="preserve">adjudicative process, by its very nature, promotes disagreement </w:t>
      </w:r>
      <w:r w:rsidR="008B68B6" w:rsidRPr="002532DF">
        <w:rPr>
          <w:sz w:val="25"/>
          <w:szCs w:val="25"/>
        </w:rPr>
        <w:t xml:space="preserve">and relies upon advocacy </w:t>
      </w:r>
      <w:r w:rsidR="00A509B2" w:rsidRPr="002532DF">
        <w:rPr>
          <w:sz w:val="25"/>
          <w:szCs w:val="25"/>
        </w:rPr>
        <w:t>to fully flesh out issues</w:t>
      </w:r>
      <w:r w:rsidR="008B68B6" w:rsidRPr="002532DF">
        <w:rPr>
          <w:sz w:val="25"/>
          <w:szCs w:val="25"/>
        </w:rPr>
        <w:t xml:space="preserve"> in dispute</w:t>
      </w:r>
      <w:r w:rsidR="00A509B2" w:rsidRPr="002532DF">
        <w:rPr>
          <w:sz w:val="25"/>
          <w:szCs w:val="25"/>
        </w:rPr>
        <w:t xml:space="preserve">.  </w:t>
      </w:r>
      <w:r w:rsidR="008B68B6" w:rsidRPr="002532DF">
        <w:rPr>
          <w:sz w:val="25"/>
          <w:szCs w:val="25"/>
        </w:rPr>
        <w:t xml:space="preserve">As a result, the hearing room does not advance the discussion necessary to resolve the policy questions raised by the parties.  </w:t>
      </w:r>
      <w:r w:rsidR="00A509B2" w:rsidRPr="002532DF">
        <w:rPr>
          <w:sz w:val="25"/>
          <w:szCs w:val="25"/>
        </w:rPr>
        <w:t xml:space="preserve">We believe these issues </w:t>
      </w:r>
      <w:r w:rsidR="008B68B6" w:rsidRPr="002532DF">
        <w:rPr>
          <w:sz w:val="25"/>
          <w:szCs w:val="25"/>
        </w:rPr>
        <w:t xml:space="preserve">would be more effectively addressed </w:t>
      </w:r>
      <w:r w:rsidR="00A509B2" w:rsidRPr="002532DF">
        <w:rPr>
          <w:sz w:val="25"/>
          <w:szCs w:val="25"/>
        </w:rPr>
        <w:t xml:space="preserve">through a collaborative process that includes PacifiCorp, The Energy Project, Staff, and the agencies.  </w:t>
      </w:r>
    </w:p>
    <w:p w:rsidR="008212B4" w:rsidRPr="002532DF" w:rsidRDefault="008212B4" w:rsidP="008212B4">
      <w:pPr>
        <w:spacing w:line="276" w:lineRule="auto"/>
        <w:ind w:left="-720"/>
        <w:rPr>
          <w:sz w:val="25"/>
          <w:szCs w:val="25"/>
        </w:rPr>
      </w:pPr>
    </w:p>
    <w:p w:rsidR="008212B4" w:rsidRPr="002532DF" w:rsidRDefault="00A509B2" w:rsidP="00027588">
      <w:pPr>
        <w:numPr>
          <w:ilvl w:val="0"/>
          <w:numId w:val="1"/>
        </w:numPr>
        <w:tabs>
          <w:tab w:val="clear" w:pos="720"/>
          <w:tab w:val="num" w:pos="0"/>
        </w:tabs>
        <w:spacing w:line="276" w:lineRule="auto"/>
        <w:ind w:left="0"/>
        <w:rPr>
          <w:sz w:val="25"/>
          <w:szCs w:val="25"/>
        </w:rPr>
      </w:pPr>
      <w:r w:rsidRPr="002532DF">
        <w:rPr>
          <w:sz w:val="25"/>
          <w:szCs w:val="25"/>
        </w:rPr>
        <w:t>Accordingly, we decline to modify the current allocation of the LIBA surcharge collections, the interval for eligibility certification, and the level of administrative fees</w:t>
      </w:r>
      <w:r w:rsidR="008212B4" w:rsidRPr="002532DF">
        <w:rPr>
          <w:sz w:val="25"/>
          <w:szCs w:val="25"/>
        </w:rPr>
        <w:t>.  Instead, we</w:t>
      </w:r>
      <w:r w:rsidRPr="002532DF">
        <w:rPr>
          <w:sz w:val="25"/>
          <w:szCs w:val="25"/>
        </w:rPr>
        <w:t xml:space="preserve"> require </w:t>
      </w:r>
      <w:r w:rsidR="008212B4" w:rsidRPr="002532DF">
        <w:rPr>
          <w:sz w:val="25"/>
          <w:szCs w:val="25"/>
        </w:rPr>
        <w:t>PacifiCorp</w:t>
      </w:r>
      <w:r w:rsidR="008B68B6" w:rsidRPr="002532DF">
        <w:rPr>
          <w:sz w:val="25"/>
          <w:szCs w:val="25"/>
        </w:rPr>
        <w:t xml:space="preserve"> to meet with</w:t>
      </w:r>
      <w:r w:rsidR="008212B4" w:rsidRPr="002532DF">
        <w:rPr>
          <w:sz w:val="25"/>
          <w:szCs w:val="25"/>
        </w:rPr>
        <w:t xml:space="preserve"> The Energy Project, Staff, and the agencies to discuss these issues.  We recognize the importance of these issues and do not want them to languish, so we require Staff to report to us the results of the collaborative process within six months of the date of this Order.  </w:t>
      </w:r>
    </w:p>
    <w:p w:rsidR="008212B4" w:rsidRPr="002532DF" w:rsidRDefault="008212B4" w:rsidP="008212B4">
      <w:pPr>
        <w:spacing w:line="276" w:lineRule="auto"/>
        <w:ind w:left="-720"/>
        <w:rPr>
          <w:sz w:val="25"/>
          <w:szCs w:val="25"/>
        </w:rPr>
      </w:pPr>
    </w:p>
    <w:p w:rsidR="008A32B4" w:rsidRPr="002532DF" w:rsidRDefault="008A32B4" w:rsidP="007E054F">
      <w:pPr>
        <w:pStyle w:val="Heading1"/>
        <w:jc w:val="center"/>
        <w:rPr>
          <w:rFonts w:ascii="Times New Roman" w:hAnsi="Times New Roman"/>
          <w:sz w:val="25"/>
          <w:szCs w:val="25"/>
          <w:u w:val="single"/>
        </w:rPr>
      </w:pPr>
      <w:bookmarkStart w:id="76" w:name="_Toc168986382"/>
      <w:bookmarkStart w:id="77" w:name="_Toc288813767"/>
      <w:r w:rsidRPr="002532DF">
        <w:rPr>
          <w:rFonts w:ascii="Times New Roman" w:hAnsi="Times New Roman"/>
          <w:sz w:val="25"/>
          <w:szCs w:val="25"/>
          <w:u w:val="single"/>
        </w:rPr>
        <w:t>FINDINGS OF FACT</w:t>
      </w:r>
      <w:bookmarkEnd w:id="76"/>
      <w:bookmarkEnd w:id="77"/>
    </w:p>
    <w:p w:rsidR="008A32B4" w:rsidRPr="002532DF" w:rsidRDefault="008A32B4" w:rsidP="00817E21">
      <w:pPr>
        <w:spacing w:line="276" w:lineRule="auto"/>
        <w:jc w:val="center"/>
        <w:rPr>
          <w:sz w:val="25"/>
          <w:szCs w:val="25"/>
        </w:rPr>
      </w:pPr>
    </w:p>
    <w:p w:rsidR="00F85CBB" w:rsidRPr="002532DF" w:rsidRDefault="00F85CBB" w:rsidP="00027588">
      <w:pPr>
        <w:numPr>
          <w:ilvl w:val="0"/>
          <w:numId w:val="1"/>
        </w:numPr>
        <w:tabs>
          <w:tab w:val="clear" w:pos="720"/>
          <w:tab w:val="num" w:pos="0"/>
        </w:tabs>
        <w:spacing w:line="276" w:lineRule="auto"/>
        <w:ind w:left="0"/>
        <w:rPr>
          <w:sz w:val="25"/>
          <w:szCs w:val="25"/>
        </w:rPr>
      </w:pPr>
      <w:r w:rsidRPr="002532DF">
        <w:rPr>
          <w:sz w:val="25"/>
          <w:szCs w:val="25"/>
        </w:rPr>
        <w:t>Having discussed above in detail the evidence received in this proceeding concerning all material matters, and having stated findings and conclusions upon issues in dispute among the parties and the reasons therefore, the Commission now makes and enters the following summary of those facts, incorporating by reference pertinent portions of the preceding detailed findings:</w:t>
      </w:r>
    </w:p>
    <w:p w:rsidR="00F85CBB" w:rsidRPr="002532DF" w:rsidRDefault="00F85CBB" w:rsidP="00817E21">
      <w:pPr>
        <w:spacing w:line="276" w:lineRule="auto"/>
        <w:ind w:left="-720"/>
        <w:rPr>
          <w:sz w:val="25"/>
          <w:szCs w:val="25"/>
        </w:rPr>
      </w:pPr>
    </w:p>
    <w:p w:rsidR="008A32B4" w:rsidRPr="002532DF" w:rsidRDefault="00F85CBB" w:rsidP="00027588">
      <w:pPr>
        <w:numPr>
          <w:ilvl w:val="0"/>
          <w:numId w:val="1"/>
        </w:numPr>
        <w:tabs>
          <w:tab w:val="clear" w:pos="720"/>
          <w:tab w:val="num" w:pos="0"/>
        </w:tabs>
        <w:spacing w:line="276" w:lineRule="auto"/>
        <w:ind w:hanging="1440"/>
        <w:rPr>
          <w:sz w:val="25"/>
          <w:szCs w:val="25"/>
        </w:rPr>
      </w:pPr>
      <w:r w:rsidRPr="002532DF">
        <w:rPr>
          <w:sz w:val="25"/>
          <w:szCs w:val="25"/>
        </w:rPr>
        <w:t>(1)</w:t>
      </w:r>
      <w:r w:rsidRPr="002532DF">
        <w:rPr>
          <w:sz w:val="25"/>
          <w:szCs w:val="25"/>
        </w:rPr>
        <w:tab/>
        <w:t xml:space="preserve">The Washington Utilities and Transportation Commission is an agency of the State of </w:t>
      </w:r>
      <w:smartTag w:uri="urn:schemas-microsoft-com:office:smarttags" w:element="State">
        <w:smartTag w:uri="urn:schemas-microsoft-com:office:smarttags" w:element="place">
          <w:r w:rsidRPr="002532DF">
            <w:rPr>
              <w:sz w:val="25"/>
              <w:szCs w:val="25"/>
            </w:rPr>
            <w:t>Washington</w:t>
          </w:r>
        </w:smartTag>
      </w:smartTag>
      <w:r w:rsidRPr="002532DF">
        <w:rPr>
          <w:sz w:val="25"/>
          <w:szCs w:val="25"/>
        </w:rPr>
        <w:t>, vested by statute with authority to regulate rates, rules, regulations, practices, and accounts of public service companies, including gas and electrical companies</w:t>
      </w:r>
      <w:r w:rsidRPr="002532DF">
        <w:rPr>
          <w:i/>
          <w:iCs/>
          <w:sz w:val="25"/>
          <w:szCs w:val="25"/>
        </w:rPr>
        <w:t>.</w:t>
      </w:r>
    </w:p>
    <w:p w:rsidR="00F85CBB" w:rsidRPr="002532DF" w:rsidRDefault="00F85CBB" w:rsidP="00817E21">
      <w:pPr>
        <w:spacing w:line="276" w:lineRule="auto"/>
        <w:rPr>
          <w:sz w:val="25"/>
          <w:szCs w:val="25"/>
        </w:rPr>
      </w:pPr>
    </w:p>
    <w:p w:rsidR="00CA5405" w:rsidRPr="002532DF" w:rsidRDefault="00F85CBB" w:rsidP="00027588">
      <w:pPr>
        <w:numPr>
          <w:ilvl w:val="0"/>
          <w:numId w:val="1"/>
        </w:numPr>
        <w:tabs>
          <w:tab w:val="clear" w:pos="720"/>
          <w:tab w:val="num" w:pos="0"/>
        </w:tabs>
        <w:spacing w:line="276" w:lineRule="auto"/>
        <w:ind w:hanging="1440"/>
        <w:rPr>
          <w:sz w:val="25"/>
          <w:szCs w:val="25"/>
        </w:rPr>
      </w:pPr>
      <w:r w:rsidRPr="002532DF">
        <w:rPr>
          <w:sz w:val="25"/>
          <w:szCs w:val="25"/>
        </w:rPr>
        <w:t>(2)</w:t>
      </w:r>
      <w:r w:rsidRPr="002532DF">
        <w:rPr>
          <w:sz w:val="25"/>
          <w:szCs w:val="25"/>
        </w:rPr>
        <w:tab/>
        <w:t xml:space="preserve">PacifiCorp </w:t>
      </w:r>
      <w:r w:rsidR="000E7AEB" w:rsidRPr="002532DF">
        <w:rPr>
          <w:sz w:val="25"/>
          <w:szCs w:val="25"/>
        </w:rPr>
        <w:t xml:space="preserve">provides electric utility service to customers in Washington. </w:t>
      </w:r>
    </w:p>
    <w:p w:rsidR="000E7AEB" w:rsidRPr="002532DF" w:rsidRDefault="000E7AEB" w:rsidP="00817E21">
      <w:pPr>
        <w:spacing w:line="276" w:lineRule="auto"/>
        <w:ind w:left="-720"/>
        <w:rPr>
          <w:sz w:val="25"/>
          <w:szCs w:val="25"/>
        </w:rPr>
      </w:pPr>
    </w:p>
    <w:p w:rsidR="00CA5405" w:rsidRPr="002532DF" w:rsidRDefault="00CA5405" w:rsidP="00027588">
      <w:pPr>
        <w:numPr>
          <w:ilvl w:val="0"/>
          <w:numId w:val="1"/>
        </w:numPr>
        <w:tabs>
          <w:tab w:val="clear" w:pos="720"/>
          <w:tab w:val="num" w:pos="0"/>
        </w:tabs>
        <w:spacing w:line="276" w:lineRule="auto"/>
        <w:ind w:hanging="1440"/>
        <w:rPr>
          <w:sz w:val="25"/>
          <w:szCs w:val="25"/>
        </w:rPr>
      </w:pPr>
      <w:r w:rsidRPr="002532DF">
        <w:rPr>
          <w:sz w:val="25"/>
          <w:szCs w:val="25"/>
        </w:rPr>
        <w:t>(</w:t>
      </w:r>
      <w:r w:rsidR="005320B8" w:rsidRPr="002532DF">
        <w:rPr>
          <w:sz w:val="25"/>
          <w:szCs w:val="25"/>
        </w:rPr>
        <w:t>3</w:t>
      </w:r>
      <w:r w:rsidRPr="002532DF">
        <w:rPr>
          <w:sz w:val="25"/>
          <w:szCs w:val="25"/>
        </w:rPr>
        <w:t>)</w:t>
      </w:r>
      <w:r w:rsidRPr="002532DF">
        <w:rPr>
          <w:sz w:val="25"/>
          <w:szCs w:val="25"/>
        </w:rPr>
        <w:tab/>
        <w:t xml:space="preserve">The rates proposed by tariff revisions filed by PacifiCorp on </w:t>
      </w:r>
      <w:r w:rsidR="00A92BA8" w:rsidRPr="002532DF">
        <w:rPr>
          <w:sz w:val="25"/>
          <w:szCs w:val="25"/>
        </w:rPr>
        <w:t>May</w:t>
      </w:r>
      <w:r w:rsidRPr="002532DF">
        <w:rPr>
          <w:sz w:val="25"/>
          <w:szCs w:val="25"/>
        </w:rPr>
        <w:t xml:space="preserve"> </w:t>
      </w:r>
      <w:r w:rsidR="00C41ED5" w:rsidRPr="002532DF">
        <w:rPr>
          <w:sz w:val="25"/>
          <w:szCs w:val="25"/>
        </w:rPr>
        <w:t>4</w:t>
      </w:r>
      <w:r w:rsidRPr="002532DF">
        <w:rPr>
          <w:sz w:val="25"/>
          <w:szCs w:val="25"/>
        </w:rPr>
        <w:t>, 20</w:t>
      </w:r>
      <w:r w:rsidR="00A92BA8" w:rsidRPr="002532DF">
        <w:rPr>
          <w:sz w:val="25"/>
          <w:szCs w:val="25"/>
        </w:rPr>
        <w:t>1</w:t>
      </w:r>
      <w:r w:rsidRPr="002532DF">
        <w:rPr>
          <w:sz w:val="25"/>
          <w:szCs w:val="25"/>
        </w:rPr>
        <w:t xml:space="preserve">0, and </w:t>
      </w:r>
      <w:r w:rsidRPr="002532DF">
        <w:rPr>
          <w:sz w:val="26"/>
          <w:szCs w:val="26"/>
        </w:rPr>
        <w:t>suspended</w:t>
      </w:r>
      <w:r w:rsidRPr="002532DF">
        <w:rPr>
          <w:sz w:val="25"/>
          <w:szCs w:val="25"/>
        </w:rPr>
        <w:t xml:space="preserve"> by prior Commission order, are not just, fair or reasonable.</w:t>
      </w:r>
      <w:r w:rsidRPr="002532DF">
        <w:t xml:space="preserve"> </w:t>
      </w:r>
    </w:p>
    <w:p w:rsidR="00CA5405" w:rsidRPr="002532DF" w:rsidRDefault="00CA5405" w:rsidP="00817E21">
      <w:pPr>
        <w:spacing w:line="276" w:lineRule="auto"/>
        <w:rPr>
          <w:sz w:val="25"/>
          <w:szCs w:val="25"/>
        </w:rPr>
      </w:pPr>
    </w:p>
    <w:p w:rsidR="00CA5405" w:rsidRPr="002532DF" w:rsidRDefault="00954CDA" w:rsidP="00027588">
      <w:pPr>
        <w:numPr>
          <w:ilvl w:val="0"/>
          <w:numId w:val="1"/>
        </w:numPr>
        <w:tabs>
          <w:tab w:val="clear" w:pos="720"/>
          <w:tab w:val="num" w:pos="0"/>
        </w:tabs>
        <w:spacing w:line="276" w:lineRule="auto"/>
        <w:ind w:hanging="1440"/>
        <w:rPr>
          <w:sz w:val="25"/>
          <w:szCs w:val="25"/>
        </w:rPr>
      </w:pPr>
      <w:r w:rsidRPr="002532DF">
        <w:rPr>
          <w:sz w:val="25"/>
          <w:szCs w:val="25"/>
        </w:rPr>
        <w:t>(</w:t>
      </w:r>
      <w:r w:rsidR="005320B8" w:rsidRPr="002532DF">
        <w:rPr>
          <w:sz w:val="25"/>
          <w:szCs w:val="25"/>
        </w:rPr>
        <w:t>4</w:t>
      </w:r>
      <w:r w:rsidRPr="002532DF">
        <w:rPr>
          <w:sz w:val="25"/>
          <w:szCs w:val="25"/>
        </w:rPr>
        <w:t>)</w:t>
      </w:r>
      <w:r w:rsidRPr="002532DF">
        <w:rPr>
          <w:sz w:val="25"/>
          <w:szCs w:val="25"/>
        </w:rPr>
        <w:tab/>
      </w:r>
      <w:r w:rsidR="00CA5405" w:rsidRPr="002532DF">
        <w:rPr>
          <w:sz w:val="25"/>
          <w:szCs w:val="25"/>
        </w:rPr>
        <w:t xml:space="preserve">PacifiCorp’s existing rates for electric service provided in </w:t>
      </w:r>
      <w:smartTag w:uri="urn:schemas-microsoft-com:office:smarttags" w:element="place">
        <w:smartTag w:uri="urn:schemas-microsoft-com:office:smarttags" w:element="PlaceName">
          <w:r w:rsidR="00CA5405" w:rsidRPr="002532DF">
            <w:rPr>
              <w:sz w:val="25"/>
              <w:szCs w:val="25"/>
            </w:rPr>
            <w:t>Washington</w:t>
          </w:r>
        </w:smartTag>
        <w:r w:rsidR="00CA5405" w:rsidRPr="002532DF">
          <w:rPr>
            <w:sz w:val="25"/>
            <w:szCs w:val="25"/>
          </w:rPr>
          <w:t xml:space="preserve"> </w:t>
        </w:r>
        <w:smartTag w:uri="urn:schemas-microsoft-com:office:smarttags" w:element="PlaceType">
          <w:r w:rsidR="00CA5405" w:rsidRPr="002532DF">
            <w:rPr>
              <w:sz w:val="25"/>
              <w:szCs w:val="25"/>
            </w:rPr>
            <w:t>State</w:t>
          </w:r>
        </w:smartTag>
      </w:smartTag>
      <w:r w:rsidR="00CA5405" w:rsidRPr="002532DF">
        <w:rPr>
          <w:sz w:val="25"/>
          <w:szCs w:val="25"/>
        </w:rPr>
        <w:t xml:space="preserve"> are </w:t>
      </w:r>
      <w:r w:rsidR="00CA5405" w:rsidRPr="002532DF">
        <w:rPr>
          <w:sz w:val="26"/>
          <w:szCs w:val="26"/>
        </w:rPr>
        <w:t>insufficient</w:t>
      </w:r>
      <w:r w:rsidR="00CA5405" w:rsidRPr="002532DF">
        <w:rPr>
          <w:sz w:val="25"/>
          <w:szCs w:val="25"/>
        </w:rPr>
        <w:t xml:space="preserve"> to yield reasonable compensation for the service rendered.  </w:t>
      </w:r>
    </w:p>
    <w:p w:rsidR="00CA5405" w:rsidRPr="002532DF" w:rsidRDefault="00CA5405" w:rsidP="00817E21">
      <w:pPr>
        <w:spacing w:line="276" w:lineRule="auto"/>
        <w:rPr>
          <w:sz w:val="25"/>
          <w:szCs w:val="25"/>
        </w:rPr>
      </w:pPr>
    </w:p>
    <w:p w:rsidR="00CA5405" w:rsidRPr="002532DF" w:rsidRDefault="00954CDA" w:rsidP="00027588">
      <w:pPr>
        <w:numPr>
          <w:ilvl w:val="0"/>
          <w:numId w:val="1"/>
        </w:numPr>
        <w:tabs>
          <w:tab w:val="clear" w:pos="720"/>
          <w:tab w:val="num" w:pos="0"/>
        </w:tabs>
        <w:spacing w:line="276" w:lineRule="auto"/>
        <w:ind w:hanging="1440"/>
        <w:rPr>
          <w:sz w:val="25"/>
          <w:szCs w:val="25"/>
        </w:rPr>
      </w:pPr>
      <w:r w:rsidRPr="002532DF">
        <w:rPr>
          <w:sz w:val="25"/>
          <w:szCs w:val="25"/>
        </w:rPr>
        <w:t>(</w:t>
      </w:r>
      <w:r w:rsidR="005320B8" w:rsidRPr="002532DF">
        <w:rPr>
          <w:sz w:val="25"/>
          <w:szCs w:val="25"/>
        </w:rPr>
        <w:t>5</w:t>
      </w:r>
      <w:r w:rsidRPr="002532DF">
        <w:rPr>
          <w:sz w:val="25"/>
          <w:szCs w:val="25"/>
        </w:rPr>
        <w:t>)</w:t>
      </w:r>
      <w:r w:rsidRPr="002532DF">
        <w:rPr>
          <w:sz w:val="25"/>
          <w:szCs w:val="25"/>
        </w:rPr>
        <w:tab/>
      </w:r>
      <w:r w:rsidR="00CA5405" w:rsidRPr="002532DF">
        <w:rPr>
          <w:sz w:val="25"/>
          <w:szCs w:val="25"/>
        </w:rPr>
        <w:t xml:space="preserve">PacifiCorp requires relief with respect to the rates it charges for electric service </w:t>
      </w:r>
      <w:r w:rsidR="00CA5405" w:rsidRPr="002532DF">
        <w:rPr>
          <w:sz w:val="26"/>
          <w:szCs w:val="26"/>
        </w:rPr>
        <w:t>provided</w:t>
      </w:r>
      <w:r w:rsidR="00CA5405" w:rsidRPr="002532DF">
        <w:rPr>
          <w:sz w:val="25"/>
          <w:szCs w:val="25"/>
        </w:rPr>
        <w:t xml:space="preserve"> in </w:t>
      </w:r>
      <w:smartTag w:uri="urn:schemas-microsoft-com:office:smarttags" w:element="place">
        <w:smartTag w:uri="urn:schemas-microsoft-com:office:smarttags" w:element="PlaceName">
          <w:r w:rsidR="00CA5405" w:rsidRPr="002532DF">
            <w:rPr>
              <w:sz w:val="25"/>
              <w:szCs w:val="25"/>
            </w:rPr>
            <w:t>Washington</w:t>
          </w:r>
        </w:smartTag>
        <w:r w:rsidR="00CA5405" w:rsidRPr="002532DF">
          <w:rPr>
            <w:sz w:val="25"/>
            <w:szCs w:val="25"/>
          </w:rPr>
          <w:t xml:space="preserve"> </w:t>
        </w:r>
        <w:smartTag w:uri="urn:schemas-microsoft-com:office:smarttags" w:element="PlaceType">
          <w:r w:rsidR="00CA5405" w:rsidRPr="002532DF">
            <w:rPr>
              <w:sz w:val="25"/>
              <w:szCs w:val="25"/>
            </w:rPr>
            <w:t>State</w:t>
          </w:r>
        </w:smartTag>
      </w:smartTag>
      <w:r w:rsidR="00CA5405" w:rsidRPr="002532DF">
        <w:rPr>
          <w:sz w:val="25"/>
          <w:szCs w:val="25"/>
        </w:rPr>
        <w:t xml:space="preserve">.  </w:t>
      </w:r>
    </w:p>
    <w:p w:rsidR="00F85CBB" w:rsidRPr="002532DF" w:rsidRDefault="00F85CBB" w:rsidP="00817E21">
      <w:pPr>
        <w:spacing w:line="276" w:lineRule="auto"/>
        <w:rPr>
          <w:sz w:val="25"/>
          <w:szCs w:val="25"/>
        </w:rPr>
      </w:pPr>
    </w:p>
    <w:p w:rsidR="00F85CBB" w:rsidRPr="002532DF" w:rsidRDefault="00F85CBB" w:rsidP="00027588">
      <w:pPr>
        <w:numPr>
          <w:ilvl w:val="0"/>
          <w:numId w:val="1"/>
        </w:numPr>
        <w:tabs>
          <w:tab w:val="clear" w:pos="720"/>
          <w:tab w:val="num" w:pos="0"/>
        </w:tabs>
        <w:spacing w:line="276" w:lineRule="auto"/>
        <w:ind w:hanging="1440"/>
        <w:rPr>
          <w:sz w:val="25"/>
          <w:szCs w:val="25"/>
        </w:rPr>
      </w:pPr>
      <w:r w:rsidRPr="002532DF">
        <w:rPr>
          <w:color w:val="000000"/>
          <w:sz w:val="25"/>
          <w:szCs w:val="25"/>
        </w:rPr>
        <w:t>(</w:t>
      </w:r>
      <w:r w:rsidR="005320B8" w:rsidRPr="002532DF">
        <w:rPr>
          <w:color w:val="000000"/>
          <w:sz w:val="25"/>
          <w:szCs w:val="25"/>
        </w:rPr>
        <w:t>6</w:t>
      </w:r>
      <w:r w:rsidRPr="002532DF">
        <w:rPr>
          <w:color w:val="000000"/>
          <w:sz w:val="25"/>
          <w:szCs w:val="25"/>
        </w:rPr>
        <w:t>)</w:t>
      </w:r>
      <w:r w:rsidRPr="002532DF">
        <w:rPr>
          <w:color w:val="000000"/>
          <w:sz w:val="25"/>
          <w:szCs w:val="25"/>
        </w:rPr>
        <w:tab/>
      </w:r>
      <w:r w:rsidR="00954CDA" w:rsidRPr="002532DF">
        <w:rPr>
          <w:sz w:val="25"/>
          <w:szCs w:val="25"/>
        </w:rPr>
        <w:t xml:space="preserve">The rates, terms, and conditions of service that result from this Order, based on a revenue </w:t>
      </w:r>
      <w:r w:rsidR="00954CDA" w:rsidRPr="002532DF">
        <w:rPr>
          <w:sz w:val="26"/>
          <w:szCs w:val="26"/>
        </w:rPr>
        <w:t>deficiency</w:t>
      </w:r>
      <w:r w:rsidR="00954CDA" w:rsidRPr="002532DF">
        <w:rPr>
          <w:sz w:val="25"/>
          <w:szCs w:val="25"/>
        </w:rPr>
        <w:t xml:space="preserve"> of </w:t>
      </w:r>
      <w:r w:rsidR="001D6AE8">
        <w:rPr>
          <w:sz w:val="25"/>
          <w:szCs w:val="25"/>
        </w:rPr>
        <w:t xml:space="preserve">approximately </w:t>
      </w:r>
      <w:r w:rsidR="008369BA" w:rsidRPr="002532DF">
        <w:rPr>
          <w:sz w:val="25"/>
          <w:szCs w:val="25"/>
        </w:rPr>
        <w:t>$</w:t>
      </w:r>
      <w:r w:rsidR="006A7777" w:rsidRPr="002532DF">
        <w:rPr>
          <w:sz w:val="25"/>
          <w:szCs w:val="25"/>
        </w:rPr>
        <w:t>3</w:t>
      </w:r>
      <w:r w:rsidR="001D6AE8">
        <w:rPr>
          <w:sz w:val="25"/>
          <w:szCs w:val="25"/>
        </w:rPr>
        <w:t>8</w:t>
      </w:r>
      <w:r w:rsidR="00152F9C">
        <w:rPr>
          <w:sz w:val="25"/>
          <w:szCs w:val="25"/>
        </w:rPr>
        <w:t xml:space="preserve"> </w:t>
      </w:r>
      <w:r w:rsidR="001D6AE8">
        <w:rPr>
          <w:sz w:val="25"/>
          <w:szCs w:val="25"/>
        </w:rPr>
        <w:t>million</w:t>
      </w:r>
      <w:r w:rsidR="00954CDA" w:rsidRPr="002532DF">
        <w:rPr>
          <w:sz w:val="25"/>
          <w:szCs w:val="25"/>
        </w:rPr>
        <w:t xml:space="preserve"> are fair, just, reasonable, and sufficient.</w:t>
      </w:r>
      <w:r w:rsidR="009D5C27" w:rsidRPr="002532DF">
        <w:rPr>
          <w:rStyle w:val="FootnoteReference"/>
          <w:sz w:val="25"/>
          <w:szCs w:val="25"/>
        </w:rPr>
        <w:footnoteReference w:id="568"/>
      </w:r>
      <w:r w:rsidR="00954CDA" w:rsidRPr="002532DF">
        <w:rPr>
          <w:i/>
          <w:iCs/>
          <w:sz w:val="25"/>
          <w:szCs w:val="25"/>
        </w:rPr>
        <w:t xml:space="preserve"> </w:t>
      </w:r>
    </w:p>
    <w:p w:rsidR="00954CDA" w:rsidRPr="002532DF" w:rsidRDefault="00954CDA" w:rsidP="00817E21">
      <w:pPr>
        <w:spacing w:line="276" w:lineRule="auto"/>
        <w:ind w:left="-720"/>
        <w:rPr>
          <w:sz w:val="25"/>
          <w:szCs w:val="25"/>
        </w:rPr>
      </w:pPr>
    </w:p>
    <w:p w:rsidR="00F85CBB" w:rsidRPr="002532DF" w:rsidRDefault="00F85CBB" w:rsidP="00027588">
      <w:pPr>
        <w:numPr>
          <w:ilvl w:val="0"/>
          <w:numId w:val="1"/>
        </w:numPr>
        <w:tabs>
          <w:tab w:val="clear" w:pos="720"/>
          <w:tab w:val="num" w:pos="0"/>
        </w:tabs>
        <w:spacing w:line="276" w:lineRule="auto"/>
        <w:ind w:hanging="1440"/>
        <w:rPr>
          <w:sz w:val="25"/>
          <w:szCs w:val="25"/>
        </w:rPr>
      </w:pPr>
      <w:r w:rsidRPr="002532DF">
        <w:rPr>
          <w:sz w:val="25"/>
          <w:szCs w:val="25"/>
        </w:rPr>
        <w:t>(</w:t>
      </w:r>
      <w:r w:rsidR="005320B8" w:rsidRPr="002532DF">
        <w:rPr>
          <w:sz w:val="25"/>
          <w:szCs w:val="25"/>
        </w:rPr>
        <w:t>7</w:t>
      </w:r>
      <w:r w:rsidRPr="002532DF">
        <w:rPr>
          <w:sz w:val="25"/>
          <w:szCs w:val="25"/>
        </w:rPr>
        <w:t>)</w:t>
      </w:r>
      <w:r w:rsidRPr="002532DF">
        <w:rPr>
          <w:sz w:val="25"/>
          <w:szCs w:val="25"/>
        </w:rPr>
        <w:tab/>
      </w:r>
      <w:r w:rsidRPr="002532DF">
        <w:rPr>
          <w:sz w:val="26"/>
          <w:szCs w:val="26"/>
        </w:rPr>
        <w:t>The</w:t>
      </w:r>
      <w:r w:rsidRPr="002532DF">
        <w:rPr>
          <w:sz w:val="25"/>
          <w:szCs w:val="25"/>
        </w:rPr>
        <w:t xml:space="preserve"> rates, terms, and conditions of service that result from this Order are neither unduly preferential nor discriminatory.</w:t>
      </w:r>
    </w:p>
    <w:p w:rsidR="00DF7CB0" w:rsidRPr="002532DF" w:rsidRDefault="00DF7CB0" w:rsidP="00817E21">
      <w:pPr>
        <w:spacing w:line="276" w:lineRule="auto"/>
        <w:rPr>
          <w:sz w:val="25"/>
          <w:szCs w:val="25"/>
        </w:rPr>
      </w:pPr>
    </w:p>
    <w:p w:rsidR="00DF7CB0" w:rsidRPr="002532DF" w:rsidRDefault="00DF7CB0" w:rsidP="00027588">
      <w:pPr>
        <w:numPr>
          <w:ilvl w:val="0"/>
          <w:numId w:val="1"/>
        </w:numPr>
        <w:tabs>
          <w:tab w:val="clear" w:pos="720"/>
          <w:tab w:val="num" w:pos="0"/>
        </w:tabs>
        <w:spacing w:line="276" w:lineRule="auto"/>
        <w:ind w:hanging="1440"/>
        <w:rPr>
          <w:sz w:val="25"/>
          <w:szCs w:val="25"/>
        </w:rPr>
      </w:pPr>
      <w:r w:rsidRPr="002532DF">
        <w:rPr>
          <w:sz w:val="25"/>
          <w:szCs w:val="25"/>
        </w:rPr>
        <w:t>(</w:t>
      </w:r>
      <w:r w:rsidR="005320B8" w:rsidRPr="002532DF">
        <w:rPr>
          <w:sz w:val="25"/>
          <w:szCs w:val="25"/>
        </w:rPr>
        <w:t>8</w:t>
      </w:r>
      <w:r w:rsidRPr="002532DF">
        <w:rPr>
          <w:sz w:val="25"/>
          <w:szCs w:val="25"/>
        </w:rPr>
        <w:t>)</w:t>
      </w:r>
      <w:r w:rsidRPr="002532DF">
        <w:rPr>
          <w:sz w:val="25"/>
          <w:szCs w:val="25"/>
        </w:rPr>
        <w:tab/>
      </w:r>
      <w:r w:rsidRPr="002532DF">
        <w:rPr>
          <w:sz w:val="26"/>
          <w:szCs w:val="26"/>
        </w:rPr>
        <w:t xml:space="preserve">PacifiCorp has met </w:t>
      </w:r>
      <w:r w:rsidRPr="002532DF">
        <w:rPr>
          <w:sz w:val="25"/>
          <w:szCs w:val="25"/>
        </w:rPr>
        <w:t>its obligations under the following commitment made at the time MEHC acquired the Company: Commitment 37 – Long-term Debt Yield Reduction.</w:t>
      </w:r>
      <w:r w:rsidR="00B65B4E" w:rsidRPr="002532DF">
        <w:rPr>
          <w:sz w:val="25"/>
          <w:szCs w:val="25"/>
        </w:rPr>
        <w:t xml:space="preserve">  Commitment 37 is complete.</w:t>
      </w:r>
    </w:p>
    <w:p w:rsidR="00DF7CB0" w:rsidRPr="002532DF" w:rsidRDefault="00DF7CB0" w:rsidP="00817E21">
      <w:pPr>
        <w:spacing w:line="276" w:lineRule="auto"/>
        <w:ind w:left="-720"/>
        <w:rPr>
          <w:sz w:val="25"/>
          <w:szCs w:val="25"/>
        </w:rPr>
      </w:pPr>
    </w:p>
    <w:p w:rsidR="008A32B4" w:rsidRPr="002532DF" w:rsidRDefault="008A32B4" w:rsidP="007E054F">
      <w:pPr>
        <w:pStyle w:val="Heading1"/>
        <w:jc w:val="center"/>
        <w:rPr>
          <w:rFonts w:ascii="Times New Roman" w:hAnsi="Times New Roman"/>
          <w:sz w:val="25"/>
          <w:szCs w:val="25"/>
        </w:rPr>
      </w:pPr>
      <w:bookmarkStart w:id="78" w:name="_Toc168986383"/>
      <w:bookmarkStart w:id="79" w:name="_Toc288813768"/>
      <w:r w:rsidRPr="002532DF">
        <w:rPr>
          <w:rFonts w:ascii="Times New Roman" w:hAnsi="Times New Roman"/>
          <w:sz w:val="25"/>
          <w:szCs w:val="25"/>
          <w:u w:val="single"/>
        </w:rPr>
        <w:t>CONCLUSIONS OF LAW</w:t>
      </w:r>
      <w:bookmarkEnd w:id="78"/>
      <w:bookmarkEnd w:id="79"/>
    </w:p>
    <w:p w:rsidR="008A32B4" w:rsidRPr="002532DF" w:rsidRDefault="008A32B4" w:rsidP="00817E21">
      <w:pPr>
        <w:spacing w:line="276" w:lineRule="auto"/>
        <w:jc w:val="center"/>
        <w:rPr>
          <w:sz w:val="25"/>
          <w:szCs w:val="25"/>
        </w:rPr>
      </w:pPr>
    </w:p>
    <w:p w:rsidR="00F85CBB" w:rsidRPr="002532DF" w:rsidRDefault="00F85CBB" w:rsidP="00027588">
      <w:pPr>
        <w:numPr>
          <w:ilvl w:val="0"/>
          <w:numId w:val="1"/>
        </w:numPr>
        <w:tabs>
          <w:tab w:val="clear" w:pos="720"/>
          <w:tab w:val="num" w:pos="0"/>
        </w:tabs>
        <w:spacing w:line="276" w:lineRule="auto"/>
        <w:ind w:left="0"/>
        <w:rPr>
          <w:b/>
          <w:sz w:val="25"/>
          <w:szCs w:val="25"/>
        </w:rPr>
      </w:pPr>
      <w:r w:rsidRPr="002532DF">
        <w:rPr>
          <w:color w:val="000000"/>
          <w:sz w:val="25"/>
          <w:szCs w:val="25"/>
        </w:rPr>
        <w:t>Having</w:t>
      </w:r>
      <w:r w:rsidRPr="002532DF">
        <w:rPr>
          <w:sz w:val="25"/>
          <w:szCs w:val="25"/>
        </w:rPr>
        <w:t xml:space="preserve"> discussed above all matters material to this decision, and having stated detailed findings, conclusions, and the reasons therefore, the Commission now makes the following summary conclusions of law, incorporating by reference pertinent portions of the preceding detailed conclusions:</w:t>
      </w:r>
    </w:p>
    <w:p w:rsidR="00AA32C3" w:rsidRPr="002532DF" w:rsidRDefault="00AA32C3" w:rsidP="00817E21">
      <w:pPr>
        <w:spacing w:line="276" w:lineRule="auto"/>
        <w:ind w:left="-720"/>
        <w:rPr>
          <w:b/>
          <w:sz w:val="25"/>
          <w:szCs w:val="25"/>
        </w:rPr>
      </w:pPr>
    </w:p>
    <w:p w:rsidR="00AA32C3" w:rsidRPr="002532DF" w:rsidRDefault="00F85CBB" w:rsidP="00027588">
      <w:pPr>
        <w:numPr>
          <w:ilvl w:val="0"/>
          <w:numId w:val="1"/>
        </w:numPr>
        <w:tabs>
          <w:tab w:val="clear" w:pos="720"/>
          <w:tab w:val="num" w:pos="0"/>
        </w:tabs>
        <w:spacing w:line="276" w:lineRule="auto"/>
        <w:ind w:hanging="1440"/>
        <w:rPr>
          <w:sz w:val="25"/>
          <w:szCs w:val="25"/>
        </w:rPr>
      </w:pPr>
      <w:r w:rsidRPr="002532DF">
        <w:rPr>
          <w:sz w:val="25"/>
          <w:szCs w:val="25"/>
        </w:rPr>
        <w:t>(1)</w:t>
      </w:r>
      <w:r w:rsidRPr="002532DF">
        <w:rPr>
          <w:sz w:val="25"/>
          <w:szCs w:val="25"/>
        </w:rPr>
        <w:tab/>
        <w:t xml:space="preserve">The Washington Utilities and Transportation Commission has jurisdiction over the </w:t>
      </w:r>
      <w:r w:rsidRPr="002532DF">
        <w:rPr>
          <w:color w:val="000000"/>
          <w:sz w:val="25"/>
          <w:szCs w:val="25"/>
        </w:rPr>
        <w:t>subject</w:t>
      </w:r>
      <w:r w:rsidRPr="002532DF">
        <w:rPr>
          <w:sz w:val="25"/>
          <w:szCs w:val="25"/>
        </w:rPr>
        <w:t xml:space="preserve"> matter of, and parties to, these proceedings.  </w:t>
      </w:r>
    </w:p>
    <w:p w:rsidR="00AA32C3" w:rsidRPr="002532DF" w:rsidRDefault="00AA32C3" w:rsidP="00817E21">
      <w:pPr>
        <w:spacing w:line="276" w:lineRule="auto"/>
        <w:rPr>
          <w:sz w:val="25"/>
          <w:szCs w:val="25"/>
        </w:rPr>
      </w:pPr>
    </w:p>
    <w:p w:rsidR="000E7AEB" w:rsidRPr="002532DF" w:rsidRDefault="00F85CBB" w:rsidP="00027588">
      <w:pPr>
        <w:numPr>
          <w:ilvl w:val="0"/>
          <w:numId w:val="1"/>
        </w:numPr>
        <w:tabs>
          <w:tab w:val="clear" w:pos="720"/>
          <w:tab w:val="num" w:pos="0"/>
        </w:tabs>
        <w:spacing w:line="276" w:lineRule="auto"/>
        <w:ind w:hanging="1440"/>
        <w:rPr>
          <w:sz w:val="25"/>
          <w:szCs w:val="25"/>
        </w:rPr>
      </w:pPr>
      <w:r w:rsidRPr="002532DF">
        <w:rPr>
          <w:sz w:val="25"/>
          <w:szCs w:val="25"/>
        </w:rPr>
        <w:t>(</w:t>
      </w:r>
      <w:r w:rsidRPr="002532DF">
        <w:rPr>
          <w:color w:val="000000"/>
          <w:sz w:val="25"/>
          <w:szCs w:val="25"/>
        </w:rPr>
        <w:t>2)</w:t>
      </w:r>
      <w:r w:rsidRPr="002532DF">
        <w:rPr>
          <w:color w:val="000000"/>
          <w:sz w:val="25"/>
          <w:szCs w:val="25"/>
        </w:rPr>
        <w:tab/>
      </w:r>
      <w:r w:rsidR="000E7AEB" w:rsidRPr="002532DF">
        <w:rPr>
          <w:color w:val="000000"/>
          <w:sz w:val="25"/>
          <w:szCs w:val="25"/>
        </w:rPr>
        <w:t xml:space="preserve">PacifiCorp </w:t>
      </w:r>
      <w:r w:rsidR="000E7AEB" w:rsidRPr="002532DF">
        <w:rPr>
          <w:sz w:val="25"/>
          <w:szCs w:val="25"/>
        </w:rPr>
        <w:t xml:space="preserve">is a “public service company” and an “electrical company” as those terms are defined in RCW 80.04.010 and as those terms are used in Title 80 RCW.  </w:t>
      </w:r>
      <w:r w:rsidR="000E7AEB" w:rsidRPr="002532DF">
        <w:rPr>
          <w:sz w:val="26"/>
          <w:szCs w:val="26"/>
        </w:rPr>
        <w:t>PacifiCorp</w:t>
      </w:r>
      <w:r w:rsidR="000E7AEB" w:rsidRPr="002532DF">
        <w:rPr>
          <w:sz w:val="25"/>
          <w:szCs w:val="25"/>
        </w:rPr>
        <w:t xml:space="preserve"> is engaged in </w:t>
      </w:r>
      <w:smartTag w:uri="urn:schemas-microsoft-com:office:smarttags" w:element="place">
        <w:smartTag w:uri="urn:schemas-microsoft-com:office:smarttags" w:element="PlaceName">
          <w:r w:rsidR="000E7AEB" w:rsidRPr="002532DF">
            <w:rPr>
              <w:sz w:val="25"/>
              <w:szCs w:val="25"/>
            </w:rPr>
            <w:t>Washington</w:t>
          </w:r>
        </w:smartTag>
        <w:r w:rsidR="000E7AEB" w:rsidRPr="002532DF">
          <w:rPr>
            <w:sz w:val="25"/>
            <w:szCs w:val="25"/>
          </w:rPr>
          <w:t xml:space="preserve"> </w:t>
        </w:r>
        <w:smartTag w:uri="urn:schemas-microsoft-com:office:smarttags" w:element="PlaceType">
          <w:r w:rsidR="000E7AEB" w:rsidRPr="002532DF">
            <w:rPr>
              <w:sz w:val="25"/>
              <w:szCs w:val="25"/>
            </w:rPr>
            <w:t>State</w:t>
          </w:r>
        </w:smartTag>
      </w:smartTag>
      <w:r w:rsidR="000E7AEB" w:rsidRPr="002532DF">
        <w:rPr>
          <w:sz w:val="25"/>
          <w:szCs w:val="25"/>
        </w:rPr>
        <w:t xml:space="preserve"> in the business of supplying utility services and commodities to the public for compensation.</w:t>
      </w:r>
    </w:p>
    <w:p w:rsidR="000E7AEB" w:rsidRPr="002532DF" w:rsidRDefault="000E7AEB" w:rsidP="00817E21">
      <w:pPr>
        <w:spacing w:line="276" w:lineRule="auto"/>
        <w:ind w:left="-720"/>
        <w:rPr>
          <w:sz w:val="25"/>
          <w:szCs w:val="25"/>
        </w:rPr>
      </w:pPr>
    </w:p>
    <w:p w:rsidR="00F85CBB" w:rsidRPr="002532DF" w:rsidRDefault="000E7AEB" w:rsidP="00027588">
      <w:pPr>
        <w:numPr>
          <w:ilvl w:val="0"/>
          <w:numId w:val="1"/>
        </w:numPr>
        <w:tabs>
          <w:tab w:val="clear" w:pos="720"/>
          <w:tab w:val="num" w:pos="0"/>
        </w:tabs>
        <w:spacing w:line="276" w:lineRule="auto"/>
        <w:ind w:hanging="1440"/>
        <w:rPr>
          <w:sz w:val="25"/>
          <w:szCs w:val="25"/>
        </w:rPr>
      </w:pPr>
      <w:r w:rsidRPr="002532DF">
        <w:rPr>
          <w:color w:val="000000"/>
          <w:sz w:val="25"/>
          <w:szCs w:val="25"/>
        </w:rPr>
        <w:t>(3)</w:t>
      </w:r>
      <w:r w:rsidRPr="002532DF">
        <w:rPr>
          <w:color w:val="000000"/>
          <w:sz w:val="25"/>
          <w:szCs w:val="25"/>
        </w:rPr>
        <w:tab/>
      </w:r>
      <w:r w:rsidR="00F85CBB" w:rsidRPr="002532DF">
        <w:rPr>
          <w:color w:val="000000"/>
          <w:sz w:val="25"/>
          <w:szCs w:val="25"/>
        </w:rPr>
        <w:t>T</w:t>
      </w:r>
      <w:r w:rsidR="00F85CBB" w:rsidRPr="002532DF">
        <w:rPr>
          <w:sz w:val="25"/>
          <w:szCs w:val="25"/>
        </w:rPr>
        <w:t xml:space="preserve">he rates proposed by tariff revisions filed by PacifiCorp on </w:t>
      </w:r>
      <w:r w:rsidR="00A92BA8" w:rsidRPr="002532DF">
        <w:rPr>
          <w:sz w:val="25"/>
          <w:szCs w:val="25"/>
        </w:rPr>
        <w:t xml:space="preserve">May </w:t>
      </w:r>
      <w:r w:rsidR="00C41ED5" w:rsidRPr="002532DF">
        <w:rPr>
          <w:sz w:val="25"/>
          <w:szCs w:val="25"/>
        </w:rPr>
        <w:t>4,</w:t>
      </w:r>
      <w:r w:rsidR="00F85CBB" w:rsidRPr="002532DF">
        <w:rPr>
          <w:sz w:val="25"/>
          <w:szCs w:val="25"/>
        </w:rPr>
        <w:t xml:space="preserve"> 20</w:t>
      </w:r>
      <w:r w:rsidR="00A92BA8" w:rsidRPr="002532DF">
        <w:rPr>
          <w:sz w:val="25"/>
          <w:szCs w:val="25"/>
        </w:rPr>
        <w:t>1</w:t>
      </w:r>
      <w:r w:rsidR="00F85CBB" w:rsidRPr="002532DF">
        <w:rPr>
          <w:sz w:val="25"/>
          <w:szCs w:val="25"/>
        </w:rPr>
        <w:t xml:space="preserve">0, and </w:t>
      </w:r>
      <w:r w:rsidR="00F85CBB" w:rsidRPr="002532DF">
        <w:rPr>
          <w:sz w:val="26"/>
          <w:szCs w:val="26"/>
        </w:rPr>
        <w:t>suspended</w:t>
      </w:r>
      <w:r w:rsidR="00F85CBB" w:rsidRPr="002532DF">
        <w:rPr>
          <w:sz w:val="25"/>
          <w:szCs w:val="25"/>
        </w:rPr>
        <w:t xml:space="preserve"> by prior Co</w:t>
      </w:r>
      <w:r w:rsidR="00F85CBB" w:rsidRPr="002532DF">
        <w:rPr>
          <w:color w:val="000000"/>
          <w:sz w:val="25"/>
          <w:szCs w:val="25"/>
        </w:rPr>
        <w:t>m</w:t>
      </w:r>
      <w:r w:rsidR="00F85CBB" w:rsidRPr="002532DF">
        <w:rPr>
          <w:sz w:val="25"/>
          <w:szCs w:val="25"/>
        </w:rPr>
        <w:t xml:space="preserve">mission order, were not shown to be fair, just or reasonable and should be rejected.  </w:t>
      </w:r>
    </w:p>
    <w:p w:rsidR="00AA32C3" w:rsidRPr="002532DF" w:rsidRDefault="00AA32C3" w:rsidP="00817E21">
      <w:pPr>
        <w:spacing w:line="276" w:lineRule="auto"/>
        <w:rPr>
          <w:sz w:val="25"/>
          <w:szCs w:val="25"/>
        </w:rPr>
      </w:pPr>
    </w:p>
    <w:p w:rsidR="00F85CBB" w:rsidRPr="002532DF" w:rsidRDefault="00F85CBB" w:rsidP="00027588">
      <w:pPr>
        <w:numPr>
          <w:ilvl w:val="0"/>
          <w:numId w:val="1"/>
        </w:numPr>
        <w:tabs>
          <w:tab w:val="clear" w:pos="720"/>
          <w:tab w:val="num" w:pos="0"/>
        </w:tabs>
        <w:spacing w:line="276" w:lineRule="auto"/>
        <w:ind w:hanging="1440"/>
        <w:rPr>
          <w:color w:val="000000"/>
          <w:sz w:val="25"/>
          <w:szCs w:val="25"/>
        </w:rPr>
      </w:pPr>
      <w:r w:rsidRPr="002532DF">
        <w:rPr>
          <w:sz w:val="25"/>
          <w:szCs w:val="25"/>
        </w:rPr>
        <w:t>(</w:t>
      </w:r>
      <w:r w:rsidR="007E054F" w:rsidRPr="002532DF">
        <w:rPr>
          <w:sz w:val="25"/>
          <w:szCs w:val="25"/>
        </w:rPr>
        <w:t>4</w:t>
      </w:r>
      <w:r w:rsidRPr="002532DF">
        <w:rPr>
          <w:sz w:val="25"/>
          <w:szCs w:val="25"/>
        </w:rPr>
        <w:t>)</w:t>
      </w:r>
      <w:r w:rsidRPr="002532DF">
        <w:rPr>
          <w:sz w:val="25"/>
          <w:szCs w:val="25"/>
        </w:rPr>
        <w:tab/>
      </w:r>
      <w:r w:rsidRPr="002532DF">
        <w:rPr>
          <w:color w:val="000000"/>
          <w:sz w:val="25"/>
          <w:szCs w:val="25"/>
        </w:rPr>
        <w:t>Pacifi</w:t>
      </w:r>
      <w:r w:rsidR="00FC12D1" w:rsidRPr="002532DF">
        <w:rPr>
          <w:color w:val="000000"/>
          <w:sz w:val="25"/>
          <w:szCs w:val="25"/>
        </w:rPr>
        <w:t>C</w:t>
      </w:r>
      <w:r w:rsidRPr="002532DF">
        <w:rPr>
          <w:color w:val="000000"/>
          <w:sz w:val="25"/>
          <w:szCs w:val="25"/>
        </w:rPr>
        <w:t>orp’s</w:t>
      </w:r>
      <w:r w:rsidRPr="002532DF">
        <w:rPr>
          <w:sz w:val="25"/>
          <w:szCs w:val="25"/>
        </w:rPr>
        <w:t xml:space="preserve"> existing rates for electric service provided in Washington are </w:t>
      </w:r>
      <w:r w:rsidRPr="002532DF">
        <w:rPr>
          <w:sz w:val="26"/>
          <w:szCs w:val="26"/>
        </w:rPr>
        <w:t>insufficient</w:t>
      </w:r>
      <w:r w:rsidRPr="002532DF">
        <w:rPr>
          <w:sz w:val="25"/>
          <w:szCs w:val="25"/>
        </w:rPr>
        <w:t xml:space="preserve"> to yield reasonable compensation for the service rendered</w:t>
      </w:r>
      <w:r w:rsidR="00FC12D1" w:rsidRPr="002532DF">
        <w:rPr>
          <w:sz w:val="25"/>
          <w:szCs w:val="25"/>
        </w:rPr>
        <w:t xml:space="preserve"> and should be adjusted to provide the Company a reasonable opportunity to recover its full revenue requirement</w:t>
      </w:r>
      <w:r w:rsidRPr="002532DF">
        <w:rPr>
          <w:sz w:val="25"/>
          <w:szCs w:val="25"/>
        </w:rPr>
        <w:t xml:space="preserve">.  </w:t>
      </w:r>
    </w:p>
    <w:p w:rsidR="00F85CBB" w:rsidRPr="002532DF" w:rsidRDefault="00F85CBB" w:rsidP="00817E21">
      <w:pPr>
        <w:spacing w:line="276" w:lineRule="auto"/>
        <w:ind w:left="-720"/>
        <w:rPr>
          <w:color w:val="000000"/>
          <w:sz w:val="25"/>
          <w:szCs w:val="25"/>
        </w:rPr>
      </w:pPr>
    </w:p>
    <w:p w:rsidR="00F85CBB" w:rsidRPr="002532DF" w:rsidRDefault="00F85CBB" w:rsidP="00027588">
      <w:pPr>
        <w:numPr>
          <w:ilvl w:val="0"/>
          <w:numId w:val="1"/>
        </w:numPr>
        <w:tabs>
          <w:tab w:val="clear" w:pos="720"/>
          <w:tab w:val="num" w:pos="0"/>
        </w:tabs>
        <w:spacing w:line="276" w:lineRule="auto"/>
        <w:ind w:hanging="1440"/>
        <w:rPr>
          <w:b/>
          <w:bCs/>
          <w:sz w:val="25"/>
          <w:szCs w:val="25"/>
          <w:u w:val="single"/>
        </w:rPr>
      </w:pPr>
      <w:r w:rsidRPr="002532DF">
        <w:rPr>
          <w:sz w:val="25"/>
          <w:szCs w:val="25"/>
        </w:rPr>
        <w:t>(</w:t>
      </w:r>
      <w:r w:rsidR="007E054F" w:rsidRPr="002532DF">
        <w:rPr>
          <w:sz w:val="25"/>
          <w:szCs w:val="25"/>
        </w:rPr>
        <w:t>5</w:t>
      </w:r>
      <w:r w:rsidRPr="002532DF">
        <w:rPr>
          <w:sz w:val="25"/>
          <w:szCs w:val="25"/>
        </w:rPr>
        <w:t>)</w:t>
      </w:r>
      <w:r w:rsidRPr="002532DF">
        <w:rPr>
          <w:sz w:val="25"/>
          <w:szCs w:val="25"/>
        </w:rPr>
        <w:tab/>
      </w:r>
      <w:r w:rsidR="00A92BA8" w:rsidRPr="002532DF">
        <w:rPr>
          <w:sz w:val="25"/>
          <w:szCs w:val="25"/>
        </w:rPr>
        <w:t>P</w:t>
      </w:r>
      <w:r w:rsidRPr="002532DF">
        <w:rPr>
          <w:color w:val="000000"/>
          <w:sz w:val="25"/>
          <w:szCs w:val="25"/>
        </w:rPr>
        <w:t>acifiCorp</w:t>
      </w:r>
      <w:r w:rsidRPr="002532DF">
        <w:rPr>
          <w:sz w:val="25"/>
          <w:szCs w:val="25"/>
        </w:rPr>
        <w:t xml:space="preserve"> should have the opportunity to earn an overall rate of return of </w:t>
      </w:r>
      <w:r w:rsidR="006A7777" w:rsidRPr="002532DF">
        <w:rPr>
          <w:sz w:val="25"/>
          <w:szCs w:val="25"/>
        </w:rPr>
        <w:t xml:space="preserve">7.81 percent </w:t>
      </w:r>
      <w:r w:rsidRPr="002532DF">
        <w:rPr>
          <w:sz w:val="25"/>
          <w:szCs w:val="25"/>
        </w:rPr>
        <w:t xml:space="preserve">based on the capital structure and costs of capital set forth in the body of this Order, </w:t>
      </w:r>
      <w:r w:rsidRPr="002532DF">
        <w:rPr>
          <w:sz w:val="26"/>
          <w:szCs w:val="26"/>
        </w:rPr>
        <w:t>including</w:t>
      </w:r>
      <w:r w:rsidRPr="002532DF">
        <w:rPr>
          <w:sz w:val="25"/>
          <w:szCs w:val="25"/>
        </w:rPr>
        <w:t xml:space="preserve"> a return on equity of </w:t>
      </w:r>
      <w:r w:rsidR="00A92BA8" w:rsidRPr="002532DF">
        <w:rPr>
          <w:sz w:val="25"/>
          <w:szCs w:val="25"/>
        </w:rPr>
        <w:t>9</w:t>
      </w:r>
      <w:r w:rsidR="00FC12D1" w:rsidRPr="002532DF">
        <w:rPr>
          <w:sz w:val="25"/>
          <w:szCs w:val="25"/>
        </w:rPr>
        <w:t>.</w:t>
      </w:r>
      <w:r w:rsidR="00E05EFA" w:rsidRPr="002532DF">
        <w:rPr>
          <w:sz w:val="25"/>
          <w:szCs w:val="25"/>
        </w:rPr>
        <w:t>8</w:t>
      </w:r>
      <w:r w:rsidR="00FC12D1" w:rsidRPr="002532DF">
        <w:rPr>
          <w:sz w:val="25"/>
          <w:szCs w:val="25"/>
        </w:rPr>
        <w:t xml:space="preserve"> percent on</w:t>
      </w:r>
      <w:r w:rsidRPr="002532DF">
        <w:rPr>
          <w:sz w:val="25"/>
          <w:szCs w:val="25"/>
        </w:rPr>
        <w:t xml:space="preserve"> an equity share of </w:t>
      </w:r>
      <w:r w:rsidR="00E05EFA" w:rsidRPr="002532DF">
        <w:rPr>
          <w:sz w:val="25"/>
          <w:szCs w:val="25"/>
        </w:rPr>
        <w:t>49.1</w:t>
      </w:r>
      <w:r w:rsidR="00FC12D1" w:rsidRPr="002532DF">
        <w:rPr>
          <w:sz w:val="25"/>
          <w:szCs w:val="25"/>
        </w:rPr>
        <w:t xml:space="preserve"> percent</w:t>
      </w:r>
      <w:r w:rsidRPr="002532DF">
        <w:rPr>
          <w:sz w:val="25"/>
          <w:szCs w:val="25"/>
        </w:rPr>
        <w:t xml:space="preserve">.  </w:t>
      </w:r>
    </w:p>
    <w:p w:rsidR="00F85CBB" w:rsidRPr="002532DF" w:rsidRDefault="00F85CBB" w:rsidP="00817E21">
      <w:pPr>
        <w:spacing w:line="276" w:lineRule="auto"/>
        <w:ind w:left="-720"/>
        <w:rPr>
          <w:b/>
          <w:bCs/>
          <w:sz w:val="25"/>
          <w:szCs w:val="25"/>
          <w:u w:val="single"/>
        </w:rPr>
      </w:pPr>
    </w:p>
    <w:p w:rsidR="00F85CBB" w:rsidRPr="002532DF" w:rsidRDefault="00F85CBB" w:rsidP="00027588">
      <w:pPr>
        <w:numPr>
          <w:ilvl w:val="0"/>
          <w:numId w:val="1"/>
        </w:numPr>
        <w:tabs>
          <w:tab w:val="clear" w:pos="720"/>
          <w:tab w:val="num" w:pos="0"/>
        </w:tabs>
        <w:spacing w:line="276" w:lineRule="auto"/>
        <w:ind w:hanging="1440"/>
        <w:rPr>
          <w:b/>
          <w:bCs/>
          <w:sz w:val="25"/>
          <w:szCs w:val="25"/>
          <w:u w:val="single"/>
        </w:rPr>
      </w:pPr>
      <w:r w:rsidRPr="002532DF">
        <w:rPr>
          <w:sz w:val="25"/>
          <w:szCs w:val="25"/>
        </w:rPr>
        <w:t>(</w:t>
      </w:r>
      <w:r w:rsidR="007E054F" w:rsidRPr="002532DF">
        <w:rPr>
          <w:sz w:val="25"/>
          <w:szCs w:val="25"/>
        </w:rPr>
        <w:t>6</w:t>
      </w:r>
      <w:r w:rsidRPr="002532DF">
        <w:rPr>
          <w:sz w:val="25"/>
          <w:szCs w:val="25"/>
        </w:rPr>
        <w:t>)</w:t>
      </w:r>
      <w:r w:rsidRPr="002532DF">
        <w:rPr>
          <w:sz w:val="25"/>
          <w:szCs w:val="25"/>
        </w:rPr>
        <w:tab/>
      </w:r>
      <w:r w:rsidRPr="002532DF">
        <w:rPr>
          <w:color w:val="000000"/>
          <w:sz w:val="25"/>
          <w:szCs w:val="25"/>
        </w:rPr>
        <w:t>PacifiCorp</w:t>
      </w:r>
      <w:r w:rsidRPr="002532DF">
        <w:rPr>
          <w:sz w:val="25"/>
          <w:szCs w:val="25"/>
        </w:rPr>
        <w:t xml:space="preserve"> should be authorized and required to make a compliance filing </w:t>
      </w:r>
      <w:r w:rsidR="0096768E" w:rsidRPr="002532DF">
        <w:rPr>
          <w:sz w:val="25"/>
          <w:szCs w:val="25"/>
        </w:rPr>
        <w:t>reflecting rates for electric service that will recover a</w:t>
      </w:r>
      <w:r w:rsidRPr="002532DF">
        <w:rPr>
          <w:sz w:val="25"/>
          <w:szCs w:val="25"/>
        </w:rPr>
        <w:t xml:space="preserve"> revenue deficiency of </w:t>
      </w:r>
      <w:r w:rsidR="0096768E" w:rsidRPr="002532DF">
        <w:rPr>
          <w:sz w:val="25"/>
          <w:szCs w:val="25"/>
        </w:rPr>
        <w:t xml:space="preserve">approximately </w:t>
      </w:r>
      <w:r w:rsidRPr="002532DF">
        <w:rPr>
          <w:sz w:val="25"/>
          <w:szCs w:val="25"/>
        </w:rPr>
        <w:t>$</w:t>
      </w:r>
      <w:r w:rsidR="006A7777" w:rsidRPr="002532DF">
        <w:rPr>
          <w:sz w:val="25"/>
          <w:szCs w:val="25"/>
        </w:rPr>
        <w:t>3</w:t>
      </w:r>
      <w:r w:rsidR="001D6AE8">
        <w:rPr>
          <w:sz w:val="25"/>
          <w:szCs w:val="25"/>
        </w:rPr>
        <w:t>8</w:t>
      </w:r>
      <w:r w:rsidR="001B69B3" w:rsidRPr="002532DF">
        <w:rPr>
          <w:sz w:val="25"/>
          <w:szCs w:val="25"/>
        </w:rPr>
        <w:t xml:space="preserve"> </w:t>
      </w:r>
      <w:r w:rsidR="006A7777" w:rsidRPr="002532DF">
        <w:rPr>
          <w:sz w:val="25"/>
          <w:szCs w:val="25"/>
        </w:rPr>
        <w:t>million a</w:t>
      </w:r>
      <w:r w:rsidR="00DF7CB0" w:rsidRPr="002532DF">
        <w:rPr>
          <w:sz w:val="25"/>
          <w:szCs w:val="25"/>
        </w:rPr>
        <w:t xml:space="preserve">nd that otherwise satisfies the requirements of this </w:t>
      </w:r>
      <w:r w:rsidR="00265A19" w:rsidRPr="002532DF">
        <w:rPr>
          <w:sz w:val="25"/>
          <w:szCs w:val="25"/>
        </w:rPr>
        <w:t>O</w:t>
      </w:r>
      <w:r w:rsidR="00DF7CB0" w:rsidRPr="002532DF">
        <w:rPr>
          <w:sz w:val="25"/>
          <w:szCs w:val="25"/>
        </w:rPr>
        <w:t>rder</w:t>
      </w:r>
      <w:r w:rsidRPr="002532DF">
        <w:rPr>
          <w:sz w:val="25"/>
          <w:szCs w:val="25"/>
        </w:rPr>
        <w:t xml:space="preserve">.  </w:t>
      </w:r>
      <w:r w:rsidR="0096768E" w:rsidRPr="002532DF">
        <w:rPr>
          <w:sz w:val="25"/>
          <w:szCs w:val="25"/>
        </w:rPr>
        <w:t>PacifiCorp and Staff are required to determine the precise amount of the Company’s revenue requirement, which may vary slightly from the stated amount due to computational refinements during review of the compliance filing.</w:t>
      </w:r>
    </w:p>
    <w:p w:rsidR="001B6CE7" w:rsidRPr="002532DF" w:rsidRDefault="001B6CE7" w:rsidP="00817E21">
      <w:pPr>
        <w:spacing w:line="276" w:lineRule="auto"/>
        <w:ind w:left="-720"/>
        <w:rPr>
          <w:b/>
          <w:bCs/>
          <w:sz w:val="25"/>
          <w:szCs w:val="25"/>
          <w:u w:val="single"/>
        </w:rPr>
      </w:pPr>
    </w:p>
    <w:p w:rsidR="001B6CE7" w:rsidRPr="002532DF" w:rsidRDefault="001B6CE7" w:rsidP="00027588">
      <w:pPr>
        <w:numPr>
          <w:ilvl w:val="0"/>
          <w:numId w:val="1"/>
        </w:numPr>
        <w:tabs>
          <w:tab w:val="clear" w:pos="720"/>
          <w:tab w:val="num" w:pos="0"/>
        </w:tabs>
        <w:spacing w:line="276" w:lineRule="auto"/>
        <w:ind w:hanging="1440"/>
        <w:rPr>
          <w:b/>
          <w:bCs/>
          <w:sz w:val="25"/>
          <w:szCs w:val="25"/>
          <w:u w:val="single"/>
        </w:rPr>
      </w:pPr>
      <w:r w:rsidRPr="002532DF">
        <w:rPr>
          <w:sz w:val="25"/>
          <w:szCs w:val="25"/>
        </w:rPr>
        <w:t>(</w:t>
      </w:r>
      <w:r w:rsidR="007E054F" w:rsidRPr="002532DF">
        <w:rPr>
          <w:sz w:val="25"/>
          <w:szCs w:val="25"/>
        </w:rPr>
        <w:t>7</w:t>
      </w:r>
      <w:r w:rsidRPr="002532DF">
        <w:rPr>
          <w:sz w:val="25"/>
          <w:szCs w:val="25"/>
        </w:rPr>
        <w:t>)</w:t>
      </w:r>
      <w:r w:rsidRPr="002532DF">
        <w:rPr>
          <w:sz w:val="25"/>
          <w:szCs w:val="25"/>
        </w:rPr>
        <w:tab/>
        <w:t>PacifiCorp should be authorized and required o make a compliance filing reflecting net power costs with the adjustments approved in this Order.  PacifiCorp and Staff are required to determine the precise amount of net power costs during review of the compliance filing.</w:t>
      </w:r>
    </w:p>
    <w:p w:rsidR="00DF7CB0" w:rsidRPr="002532DF" w:rsidRDefault="00DF7CB0" w:rsidP="00817E21">
      <w:pPr>
        <w:spacing w:line="276" w:lineRule="auto"/>
        <w:rPr>
          <w:b/>
          <w:bCs/>
          <w:sz w:val="25"/>
          <w:szCs w:val="25"/>
          <w:u w:val="single"/>
        </w:rPr>
      </w:pPr>
    </w:p>
    <w:p w:rsidR="00DF7CB0" w:rsidRPr="002532DF" w:rsidRDefault="00DF7CB0" w:rsidP="00027588">
      <w:pPr>
        <w:numPr>
          <w:ilvl w:val="0"/>
          <w:numId w:val="1"/>
        </w:numPr>
        <w:tabs>
          <w:tab w:val="clear" w:pos="720"/>
          <w:tab w:val="num" w:pos="0"/>
        </w:tabs>
        <w:spacing w:line="276" w:lineRule="auto"/>
        <w:ind w:hanging="1440"/>
        <w:rPr>
          <w:b/>
          <w:bCs/>
          <w:sz w:val="25"/>
          <w:szCs w:val="25"/>
          <w:u w:val="single"/>
        </w:rPr>
      </w:pPr>
      <w:r w:rsidRPr="002532DF">
        <w:rPr>
          <w:sz w:val="25"/>
          <w:szCs w:val="25"/>
        </w:rPr>
        <w:t>(</w:t>
      </w:r>
      <w:r w:rsidR="007E054F" w:rsidRPr="002532DF">
        <w:rPr>
          <w:sz w:val="25"/>
          <w:szCs w:val="25"/>
        </w:rPr>
        <w:t>8</w:t>
      </w:r>
      <w:r w:rsidRPr="002532DF">
        <w:rPr>
          <w:sz w:val="25"/>
          <w:szCs w:val="25"/>
        </w:rPr>
        <w:t>)</w:t>
      </w:r>
      <w:r w:rsidRPr="002532DF">
        <w:rPr>
          <w:sz w:val="25"/>
          <w:szCs w:val="25"/>
        </w:rPr>
        <w:tab/>
        <w:t>PacifiCorp’s compliance filing should include tariff sheets</w:t>
      </w:r>
      <w:r w:rsidR="008E1000" w:rsidRPr="002532DF">
        <w:rPr>
          <w:sz w:val="25"/>
          <w:szCs w:val="25"/>
        </w:rPr>
        <w:t xml:space="preserve"> that increase the Schedule 91 surcharge </w:t>
      </w:r>
      <w:r w:rsidR="00E05EFA" w:rsidRPr="002532DF">
        <w:rPr>
          <w:sz w:val="25"/>
          <w:szCs w:val="25"/>
        </w:rPr>
        <w:t>by 21 percent t</w:t>
      </w:r>
      <w:r w:rsidR="008E1000" w:rsidRPr="002532DF">
        <w:rPr>
          <w:sz w:val="25"/>
          <w:szCs w:val="25"/>
        </w:rPr>
        <w:t>o increase funding of the Company’s low income billing assistance program.</w:t>
      </w:r>
    </w:p>
    <w:p w:rsidR="006A7777" w:rsidRPr="002532DF" w:rsidRDefault="006A7777" w:rsidP="006A7777">
      <w:pPr>
        <w:pStyle w:val="ListParagraph"/>
        <w:rPr>
          <w:b/>
          <w:bCs/>
          <w:sz w:val="25"/>
          <w:szCs w:val="25"/>
          <w:u w:val="single"/>
        </w:rPr>
      </w:pPr>
    </w:p>
    <w:p w:rsidR="006A7777" w:rsidRPr="002532DF" w:rsidRDefault="006A7777" w:rsidP="00027588">
      <w:pPr>
        <w:numPr>
          <w:ilvl w:val="0"/>
          <w:numId w:val="1"/>
        </w:numPr>
        <w:tabs>
          <w:tab w:val="clear" w:pos="720"/>
          <w:tab w:val="num" w:pos="0"/>
        </w:tabs>
        <w:spacing w:line="276" w:lineRule="auto"/>
        <w:ind w:hanging="1440"/>
        <w:rPr>
          <w:b/>
          <w:bCs/>
          <w:sz w:val="25"/>
          <w:szCs w:val="25"/>
          <w:u w:val="single"/>
        </w:rPr>
      </w:pPr>
      <w:r w:rsidRPr="002532DF">
        <w:rPr>
          <w:bCs/>
          <w:sz w:val="25"/>
          <w:szCs w:val="25"/>
        </w:rPr>
        <w:t>(</w:t>
      </w:r>
      <w:r w:rsidR="007E054F" w:rsidRPr="002532DF">
        <w:rPr>
          <w:bCs/>
          <w:sz w:val="25"/>
          <w:szCs w:val="25"/>
        </w:rPr>
        <w:t>9</w:t>
      </w:r>
      <w:r w:rsidRPr="002532DF">
        <w:rPr>
          <w:bCs/>
          <w:sz w:val="25"/>
          <w:szCs w:val="25"/>
        </w:rPr>
        <w:t>)</w:t>
      </w:r>
      <w:r w:rsidRPr="002532DF">
        <w:rPr>
          <w:bCs/>
          <w:sz w:val="25"/>
          <w:szCs w:val="25"/>
        </w:rPr>
        <w:tab/>
        <w:t>PacifiCorp’s compliance filing should include a separate tariff item for R</w:t>
      </w:r>
      <w:r w:rsidR="001B69B3" w:rsidRPr="002532DF">
        <w:rPr>
          <w:bCs/>
          <w:sz w:val="25"/>
          <w:szCs w:val="25"/>
        </w:rPr>
        <w:t>enewable Energy Credits</w:t>
      </w:r>
      <w:r w:rsidRPr="002532DF">
        <w:rPr>
          <w:bCs/>
          <w:sz w:val="25"/>
          <w:szCs w:val="25"/>
        </w:rPr>
        <w:t xml:space="preserve"> to be reflected on residential customers’ monthly bills. </w:t>
      </w:r>
    </w:p>
    <w:p w:rsidR="00F85CBB" w:rsidRPr="002532DF" w:rsidRDefault="00F85CBB" w:rsidP="00817E21">
      <w:pPr>
        <w:spacing w:line="276" w:lineRule="auto"/>
        <w:rPr>
          <w:b/>
          <w:bCs/>
          <w:sz w:val="25"/>
          <w:szCs w:val="25"/>
          <w:u w:val="single"/>
        </w:rPr>
      </w:pPr>
    </w:p>
    <w:p w:rsidR="00F85CBB" w:rsidRPr="002532DF" w:rsidRDefault="00F85CBB" w:rsidP="00027588">
      <w:pPr>
        <w:numPr>
          <w:ilvl w:val="0"/>
          <w:numId w:val="1"/>
        </w:numPr>
        <w:tabs>
          <w:tab w:val="clear" w:pos="720"/>
          <w:tab w:val="num" w:pos="0"/>
        </w:tabs>
        <w:spacing w:line="276" w:lineRule="auto"/>
        <w:ind w:hanging="1440"/>
        <w:rPr>
          <w:b/>
          <w:bCs/>
          <w:sz w:val="25"/>
          <w:szCs w:val="25"/>
          <w:u w:val="single"/>
        </w:rPr>
      </w:pPr>
      <w:r w:rsidRPr="002532DF">
        <w:rPr>
          <w:iCs/>
          <w:sz w:val="25"/>
          <w:szCs w:val="25"/>
        </w:rPr>
        <w:t>(</w:t>
      </w:r>
      <w:r w:rsidR="007E054F" w:rsidRPr="002532DF">
        <w:rPr>
          <w:iCs/>
          <w:sz w:val="25"/>
          <w:szCs w:val="25"/>
        </w:rPr>
        <w:t>10</w:t>
      </w:r>
      <w:r w:rsidRPr="002532DF">
        <w:rPr>
          <w:iCs/>
          <w:sz w:val="25"/>
          <w:szCs w:val="25"/>
        </w:rPr>
        <w:t>)</w:t>
      </w:r>
      <w:r w:rsidRPr="002532DF">
        <w:rPr>
          <w:iCs/>
          <w:sz w:val="25"/>
          <w:szCs w:val="25"/>
        </w:rPr>
        <w:tab/>
      </w:r>
      <w:r w:rsidRPr="002532DF">
        <w:rPr>
          <w:color w:val="000000"/>
          <w:sz w:val="25"/>
          <w:szCs w:val="25"/>
        </w:rPr>
        <w:t>The</w:t>
      </w:r>
      <w:r w:rsidRPr="002532DF">
        <w:rPr>
          <w:sz w:val="25"/>
          <w:szCs w:val="25"/>
        </w:rPr>
        <w:t xml:space="preserve"> rates, terms, and conditions of service that will result from this Order are fair, just, reasonable, and sufficient.</w:t>
      </w:r>
      <w:r w:rsidRPr="002532DF">
        <w:rPr>
          <w:i/>
          <w:iCs/>
          <w:sz w:val="25"/>
          <w:szCs w:val="25"/>
        </w:rPr>
        <w:t xml:space="preserve">  </w:t>
      </w:r>
    </w:p>
    <w:p w:rsidR="00F85CBB" w:rsidRPr="002532DF" w:rsidRDefault="00F85CBB" w:rsidP="00817E21">
      <w:pPr>
        <w:spacing w:line="276" w:lineRule="auto"/>
        <w:ind w:left="-720"/>
        <w:rPr>
          <w:b/>
          <w:bCs/>
          <w:sz w:val="25"/>
          <w:szCs w:val="25"/>
          <w:u w:val="single"/>
        </w:rPr>
      </w:pPr>
    </w:p>
    <w:p w:rsidR="00F85CBB" w:rsidRPr="002532DF" w:rsidRDefault="00F85CBB" w:rsidP="00027588">
      <w:pPr>
        <w:numPr>
          <w:ilvl w:val="0"/>
          <w:numId w:val="1"/>
        </w:numPr>
        <w:tabs>
          <w:tab w:val="clear" w:pos="720"/>
          <w:tab w:val="num" w:pos="0"/>
        </w:tabs>
        <w:spacing w:line="276" w:lineRule="auto"/>
        <w:ind w:hanging="1440"/>
        <w:rPr>
          <w:b/>
          <w:bCs/>
          <w:sz w:val="25"/>
          <w:szCs w:val="25"/>
          <w:u w:val="single"/>
        </w:rPr>
      </w:pPr>
      <w:r w:rsidRPr="002532DF">
        <w:rPr>
          <w:sz w:val="25"/>
          <w:szCs w:val="25"/>
        </w:rPr>
        <w:t>(</w:t>
      </w:r>
      <w:r w:rsidR="00093EB1" w:rsidRPr="002532DF">
        <w:rPr>
          <w:sz w:val="25"/>
          <w:szCs w:val="25"/>
        </w:rPr>
        <w:t>1</w:t>
      </w:r>
      <w:r w:rsidR="007E054F" w:rsidRPr="002532DF">
        <w:rPr>
          <w:sz w:val="25"/>
          <w:szCs w:val="25"/>
        </w:rPr>
        <w:t>1</w:t>
      </w:r>
      <w:r w:rsidRPr="002532DF">
        <w:rPr>
          <w:sz w:val="25"/>
          <w:szCs w:val="25"/>
        </w:rPr>
        <w:t>)</w:t>
      </w:r>
      <w:r w:rsidRPr="002532DF">
        <w:rPr>
          <w:sz w:val="25"/>
          <w:szCs w:val="25"/>
        </w:rPr>
        <w:tab/>
      </w:r>
      <w:r w:rsidRPr="002532DF">
        <w:rPr>
          <w:color w:val="000000"/>
          <w:sz w:val="25"/>
          <w:szCs w:val="25"/>
        </w:rPr>
        <w:t>The</w:t>
      </w:r>
      <w:r w:rsidRPr="002532DF">
        <w:rPr>
          <w:sz w:val="25"/>
          <w:szCs w:val="25"/>
        </w:rPr>
        <w:t xml:space="preserve"> rates, terms, and conditions of service that will result from this Order are neither unduly preferential nor discriminatory.</w:t>
      </w:r>
      <w:r w:rsidRPr="002532DF">
        <w:rPr>
          <w:i/>
          <w:iCs/>
          <w:sz w:val="25"/>
          <w:szCs w:val="25"/>
        </w:rPr>
        <w:t xml:space="preserve">  </w:t>
      </w:r>
    </w:p>
    <w:p w:rsidR="00F85CBB" w:rsidRPr="002532DF" w:rsidRDefault="00F85CBB" w:rsidP="00817E21">
      <w:pPr>
        <w:spacing w:line="276" w:lineRule="auto"/>
        <w:ind w:left="-720"/>
        <w:rPr>
          <w:b/>
          <w:bCs/>
          <w:sz w:val="25"/>
          <w:szCs w:val="25"/>
          <w:u w:val="single"/>
        </w:rPr>
      </w:pPr>
    </w:p>
    <w:p w:rsidR="00F85CBB" w:rsidRPr="002532DF" w:rsidRDefault="00F85CBB" w:rsidP="00027588">
      <w:pPr>
        <w:numPr>
          <w:ilvl w:val="0"/>
          <w:numId w:val="1"/>
        </w:numPr>
        <w:tabs>
          <w:tab w:val="clear" w:pos="720"/>
          <w:tab w:val="num" w:pos="0"/>
        </w:tabs>
        <w:spacing w:line="276" w:lineRule="auto"/>
        <w:ind w:hanging="1440"/>
        <w:rPr>
          <w:b/>
          <w:bCs/>
          <w:sz w:val="25"/>
          <w:szCs w:val="25"/>
          <w:u w:val="single"/>
        </w:rPr>
      </w:pPr>
      <w:r w:rsidRPr="002532DF">
        <w:rPr>
          <w:sz w:val="25"/>
          <w:szCs w:val="25"/>
        </w:rPr>
        <w:t>(1</w:t>
      </w:r>
      <w:r w:rsidR="007E054F" w:rsidRPr="002532DF">
        <w:rPr>
          <w:sz w:val="25"/>
          <w:szCs w:val="25"/>
        </w:rPr>
        <w:t>2</w:t>
      </w:r>
      <w:r w:rsidRPr="002532DF">
        <w:rPr>
          <w:sz w:val="25"/>
          <w:szCs w:val="25"/>
        </w:rPr>
        <w:t>)</w:t>
      </w:r>
      <w:r w:rsidRPr="002532DF">
        <w:rPr>
          <w:sz w:val="25"/>
          <w:szCs w:val="25"/>
        </w:rPr>
        <w:tab/>
        <w:t xml:space="preserve">The Commission Secretary should be authorized to accept by letter, with </w:t>
      </w:r>
      <w:r w:rsidRPr="002532DF">
        <w:rPr>
          <w:sz w:val="26"/>
          <w:szCs w:val="26"/>
        </w:rPr>
        <w:t>copies</w:t>
      </w:r>
      <w:r w:rsidRPr="002532DF">
        <w:rPr>
          <w:sz w:val="25"/>
          <w:szCs w:val="25"/>
        </w:rPr>
        <w:t xml:space="preserve"> to all parties to this proceeding, a filing that complies with the requirements of this Order.  </w:t>
      </w:r>
    </w:p>
    <w:p w:rsidR="00F85CBB" w:rsidRPr="002532DF" w:rsidRDefault="00F85CBB" w:rsidP="00817E21">
      <w:pPr>
        <w:spacing w:line="276" w:lineRule="auto"/>
        <w:rPr>
          <w:rStyle w:val="RCWSLText"/>
          <w:rFonts w:ascii="Times New Roman" w:hAnsi="Times New Roman" w:cs="Times New Roman"/>
          <w:bCs/>
          <w:sz w:val="25"/>
          <w:szCs w:val="25"/>
          <w:u w:val="single"/>
        </w:rPr>
      </w:pPr>
    </w:p>
    <w:p w:rsidR="006668F5" w:rsidRPr="00F74807" w:rsidRDefault="00F85CBB" w:rsidP="00027588">
      <w:pPr>
        <w:numPr>
          <w:ilvl w:val="0"/>
          <w:numId w:val="1"/>
        </w:numPr>
        <w:tabs>
          <w:tab w:val="clear" w:pos="720"/>
          <w:tab w:val="num" w:pos="0"/>
        </w:tabs>
        <w:spacing w:line="276" w:lineRule="auto"/>
        <w:ind w:hanging="1440"/>
        <w:rPr>
          <w:b/>
          <w:sz w:val="25"/>
          <w:szCs w:val="25"/>
          <w:u w:val="single"/>
        </w:rPr>
      </w:pPr>
      <w:r w:rsidRPr="002532DF">
        <w:rPr>
          <w:sz w:val="25"/>
          <w:szCs w:val="25"/>
        </w:rPr>
        <w:t>(1</w:t>
      </w:r>
      <w:r w:rsidR="007E054F" w:rsidRPr="002532DF">
        <w:rPr>
          <w:sz w:val="25"/>
          <w:szCs w:val="25"/>
        </w:rPr>
        <w:t>3</w:t>
      </w:r>
      <w:r w:rsidRPr="002532DF">
        <w:rPr>
          <w:sz w:val="25"/>
          <w:szCs w:val="25"/>
        </w:rPr>
        <w:t>)</w:t>
      </w:r>
      <w:r w:rsidRPr="002532DF">
        <w:rPr>
          <w:sz w:val="25"/>
          <w:szCs w:val="25"/>
        </w:rPr>
        <w:tab/>
        <w:t xml:space="preserve">The Commission should retain jurisdiction over the subject matters and the parties to this proceeding to effectuate the terms of this Order.  </w:t>
      </w:r>
    </w:p>
    <w:p w:rsidR="00F74807" w:rsidRDefault="00F74807">
      <w:pPr>
        <w:rPr>
          <w:b/>
          <w:sz w:val="25"/>
          <w:szCs w:val="25"/>
          <w:u w:val="single"/>
        </w:rPr>
      </w:pPr>
    </w:p>
    <w:p w:rsidR="00A77F30" w:rsidRDefault="00A77F30">
      <w:pPr>
        <w:rPr>
          <w:b/>
          <w:sz w:val="25"/>
          <w:szCs w:val="25"/>
          <w:u w:val="single"/>
        </w:rPr>
      </w:pPr>
    </w:p>
    <w:p w:rsidR="00A77F30" w:rsidRDefault="00A77F30">
      <w:pPr>
        <w:rPr>
          <w:b/>
          <w:sz w:val="25"/>
          <w:szCs w:val="25"/>
          <w:u w:val="single"/>
        </w:rPr>
      </w:pPr>
    </w:p>
    <w:p w:rsidR="00A77F30" w:rsidRDefault="00A77F30">
      <w:pPr>
        <w:rPr>
          <w:b/>
          <w:sz w:val="25"/>
          <w:szCs w:val="25"/>
          <w:u w:val="single"/>
        </w:rPr>
      </w:pPr>
    </w:p>
    <w:p w:rsidR="00A77F30" w:rsidRDefault="00A77F30">
      <w:pPr>
        <w:rPr>
          <w:b/>
          <w:sz w:val="25"/>
          <w:szCs w:val="25"/>
          <w:u w:val="single"/>
        </w:rPr>
      </w:pPr>
    </w:p>
    <w:p w:rsidR="00F74807" w:rsidRPr="002532DF" w:rsidRDefault="00F74807" w:rsidP="00F74807">
      <w:pPr>
        <w:spacing w:line="276" w:lineRule="auto"/>
        <w:rPr>
          <w:b/>
          <w:sz w:val="25"/>
          <w:szCs w:val="25"/>
          <w:u w:val="single"/>
        </w:rPr>
      </w:pPr>
    </w:p>
    <w:p w:rsidR="00F27132" w:rsidRPr="002532DF" w:rsidRDefault="00F27132" w:rsidP="007E054F">
      <w:pPr>
        <w:pStyle w:val="Heading1"/>
        <w:jc w:val="center"/>
        <w:rPr>
          <w:rFonts w:ascii="Times New Roman" w:hAnsi="Times New Roman"/>
          <w:sz w:val="25"/>
          <w:szCs w:val="25"/>
          <w:u w:val="single"/>
        </w:rPr>
      </w:pPr>
      <w:bookmarkStart w:id="80" w:name="_Toc288813769"/>
      <w:r w:rsidRPr="002532DF">
        <w:rPr>
          <w:rFonts w:ascii="Times New Roman" w:hAnsi="Times New Roman"/>
          <w:sz w:val="25"/>
          <w:szCs w:val="25"/>
          <w:u w:val="single"/>
        </w:rPr>
        <w:t>O</w:t>
      </w:r>
      <w:r w:rsidR="001A0A3A" w:rsidRPr="002532DF">
        <w:rPr>
          <w:rFonts w:ascii="Times New Roman" w:hAnsi="Times New Roman"/>
          <w:sz w:val="25"/>
          <w:szCs w:val="25"/>
          <w:u w:val="single"/>
        </w:rPr>
        <w:t xml:space="preserve"> </w:t>
      </w:r>
      <w:r w:rsidRPr="002532DF">
        <w:rPr>
          <w:rFonts w:ascii="Times New Roman" w:hAnsi="Times New Roman"/>
          <w:sz w:val="25"/>
          <w:szCs w:val="25"/>
          <w:u w:val="single"/>
        </w:rPr>
        <w:t>R</w:t>
      </w:r>
      <w:r w:rsidR="001A0A3A" w:rsidRPr="002532DF">
        <w:rPr>
          <w:rFonts w:ascii="Times New Roman" w:hAnsi="Times New Roman"/>
          <w:sz w:val="25"/>
          <w:szCs w:val="25"/>
          <w:u w:val="single"/>
        </w:rPr>
        <w:t xml:space="preserve"> </w:t>
      </w:r>
      <w:r w:rsidRPr="002532DF">
        <w:rPr>
          <w:rFonts w:ascii="Times New Roman" w:hAnsi="Times New Roman"/>
          <w:sz w:val="25"/>
          <w:szCs w:val="25"/>
          <w:u w:val="single"/>
        </w:rPr>
        <w:t>D</w:t>
      </w:r>
      <w:r w:rsidR="001A0A3A" w:rsidRPr="002532DF">
        <w:rPr>
          <w:rFonts w:ascii="Times New Roman" w:hAnsi="Times New Roman"/>
          <w:sz w:val="25"/>
          <w:szCs w:val="25"/>
          <w:u w:val="single"/>
        </w:rPr>
        <w:t xml:space="preserve"> </w:t>
      </w:r>
      <w:r w:rsidRPr="002532DF">
        <w:rPr>
          <w:rFonts w:ascii="Times New Roman" w:hAnsi="Times New Roman"/>
          <w:sz w:val="25"/>
          <w:szCs w:val="25"/>
          <w:u w:val="single"/>
        </w:rPr>
        <w:t>E</w:t>
      </w:r>
      <w:r w:rsidR="001A0A3A" w:rsidRPr="002532DF">
        <w:rPr>
          <w:rFonts w:ascii="Times New Roman" w:hAnsi="Times New Roman"/>
          <w:sz w:val="25"/>
          <w:szCs w:val="25"/>
          <w:u w:val="single"/>
        </w:rPr>
        <w:t xml:space="preserve"> </w:t>
      </w:r>
      <w:r w:rsidRPr="002532DF">
        <w:rPr>
          <w:rFonts w:ascii="Times New Roman" w:hAnsi="Times New Roman"/>
          <w:sz w:val="25"/>
          <w:szCs w:val="25"/>
          <w:u w:val="single"/>
        </w:rPr>
        <w:t>R</w:t>
      </w:r>
      <w:bookmarkEnd w:id="80"/>
    </w:p>
    <w:p w:rsidR="00F27132" w:rsidRPr="002532DF" w:rsidRDefault="00F27132" w:rsidP="00817E21">
      <w:pPr>
        <w:spacing w:line="276" w:lineRule="auto"/>
        <w:jc w:val="center"/>
        <w:rPr>
          <w:sz w:val="25"/>
          <w:szCs w:val="25"/>
        </w:rPr>
      </w:pPr>
    </w:p>
    <w:p w:rsidR="00F27132" w:rsidRPr="002532DF" w:rsidRDefault="00F27132" w:rsidP="00817E21">
      <w:pPr>
        <w:spacing w:line="276" w:lineRule="auto"/>
        <w:rPr>
          <w:bCs/>
          <w:sz w:val="25"/>
          <w:szCs w:val="25"/>
        </w:rPr>
      </w:pPr>
      <w:r w:rsidRPr="002532DF">
        <w:rPr>
          <w:bCs/>
          <w:sz w:val="25"/>
          <w:szCs w:val="25"/>
        </w:rPr>
        <w:t>THE COMMISSION ORDERS:</w:t>
      </w:r>
    </w:p>
    <w:p w:rsidR="00F27132" w:rsidRPr="002532DF" w:rsidRDefault="00F27132" w:rsidP="00817E21">
      <w:pPr>
        <w:spacing w:line="276" w:lineRule="auto"/>
        <w:jc w:val="center"/>
        <w:rPr>
          <w:sz w:val="25"/>
          <w:szCs w:val="25"/>
        </w:rPr>
      </w:pPr>
    </w:p>
    <w:p w:rsidR="00F27132" w:rsidRPr="002532DF" w:rsidRDefault="00F27132" w:rsidP="00027588">
      <w:pPr>
        <w:numPr>
          <w:ilvl w:val="0"/>
          <w:numId w:val="1"/>
        </w:numPr>
        <w:tabs>
          <w:tab w:val="clear" w:pos="720"/>
          <w:tab w:val="num" w:pos="0"/>
        </w:tabs>
        <w:spacing w:line="276" w:lineRule="auto"/>
        <w:ind w:hanging="1440"/>
        <w:rPr>
          <w:sz w:val="25"/>
          <w:szCs w:val="25"/>
        </w:rPr>
      </w:pPr>
      <w:r w:rsidRPr="002532DF">
        <w:rPr>
          <w:sz w:val="25"/>
          <w:szCs w:val="25"/>
        </w:rPr>
        <w:t>(1)</w:t>
      </w:r>
      <w:r w:rsidRPr="002532DF">
        <w:rPr>
          <w:sz w:val="25"/>
          <w:szCs w:val="25"/>
        </w:rPr>
        <w:tab/>
      </w:r>
      <w:r w:rsidR="00AA32C3" w:rsidRPr="002532DF">
        <w:rPr>
          <w:rStyle w:val="RCWSLText"/>
          <w:rFonts w:ascii="Times New Roman" w:hAnsi="Times New Roman" w:cs="Times New Roman"/>
          <w:sz w:val="25"/>
          <w:szCs w:val="25"/>
        </w:rPr>
        <w:t>T</w:t>
      </w:r>
      <w:r w:rsidR="00AA32C3" w:rsidRPr="002532DF">
        <w:rPr>
          <w:sz w:val="25"/>
          <w:szCs w:val="25"/>
        </w:rPr>
        <w:t xml:space="preserve">he proposed tariff revisions PacifiCorp d/b/a Pacific Power &amp; Light Co. filed on </w:t>
      </w:r>
      <w:r w:rsidR="00A92BA8" w:rsidRPr="002532DF">
        <w:rPr>
          <w:sz w:val="25"/>
          <w:szCs w:val="25"/>
        </w:rPr>
        <w:t xml:space="preserve">May </w:t>
      </w:r>
      <w:r w:rsidR="00C41ED5" w:rsidRPr="002532DF">
        <w:rPr>
          <w:sz w:val="25"/>
          <w:szCs w:val="25"/>
        </w:rPr>
        <w:t>4</w:t>
      </w:r>
      <w:r w:rsidR="00AA32C3" w:rsidRPr="002532DF">
        <w:rPr>
          <w:sz w:val="25"/>
          <w:szCs w:val="25"/>
        </w:rPr>
        <w:t>, 20</w:t>
      </w:r>
      <w:r w:rsidR="00A92BA8" w:rsidRPr="002532DF">
        <w:rPr>
          <w:sz w:val="25"/>
          <w:szCs w:val="25"/>
        </w:rPr>
        <w:t>1</w:t>
      </w:r>
      <w:r w:rsidR="00AA32C3" w:rsidRPr="002532DF">
        <w:rPr>
          <w:sz w:val="25"/>
          <w:szCs w:val="25"/>
        </w:rPr>
        <w:t>0, and suspended by prior Commission order, are rejected.</w:t>
      </w:r>
    </w:p>
    <w:p w:rsidR="00F27132" w:rsidRPr="002532DF" w:rsidRDefault="00F27132" w:rsidP="00817E21">
      <w:pPr>
        <w:spacing w:line="276" w:lineRule="auto"/>
        <w:ind w:left="-360"/>
        <w:rPr>
          <w:sz w:val="25"/>
          <w:szCs w:val="25"/>
        </w:rPr>
      </w:pPr>
    </w:p>
    <w:p w:rsidR="00F27132" w:rsidRPr="002532DF" w:rsidRDefault="00F27132" w:rsidP="00027588">
      <w:pPr>
        <w:numPr>
          <w:ilvl w:val="0"/>
          <w:numId w:val="1"/>
        </w:numPr>
        <w:tabs>
          <w:tab w:val="clear" w:pos="720"/>
          <w:tab w:val="num" w:pos="0"/>
        </w:tabs>
        <w:spacing w:line="276" w:lineRule="auto"/>
        <w:ind w:hanging="1440"/>
        <w:rPr>
          <w:b/>
          <w:sz w:val="25"/>
          <w:szCs w:val="25"/>
        </w:rPr>
      </w:pPr>
      <w:r w:rsidRPr="002532DF">
        <w:rPr>
          <w:sz w:val="25"/>
          <w:szCs w:val="25"/>
        </w:rPr>
        <w:t>(2)</w:t>
      </w:r>
      <w:r w:rsidRPr="002532DF">
        <w:rPr>
          <w:sz w:val="25"/>
          <w:szCs w:val="25"/>
        </w:rPr>
        <w:tab/>
      </w:r>
      <w:r w:rsidR="00486C38" w:rsidRPr="002532DF">
        <w:rPr>
          <w:sz w:val="25"/>
          <w:szCs w:val="25"/>
        </w:rPr>
        <w:t xml:space="preserve">PacifiCorp is authorized and required to make a compliance filing including such new and revised tariff sheets as are necessary to implement the requirements of this </w:t>
      </w:r>
      <w:r w:rsidR="00265A19" w:rsidRPr="002532DF">
        <w:rPr>
          <w:sz w:val="25"/>
          <w:szCs w:val="25"/>
        </w:rPr>
        <w:t>O</w:t>
      </w:r>
      <w:r w:rsidR="00486C38" w:rsidRPr="002532DF">
        <w:rPr>
          <w:sz w:val="25"/>
          <w:szCs w:val="25"/>
        </w:rPr>
        <w:t xml:space="preserve">rder.  The stated effective date of the revised tariff sheets must allow Staff a reasonable opportunity to review the compliance filing and to inform the Commission whether Staff finds the revised tariff sheets fully conform to the requirements of this </w:t>
      </w:r>
      <w:r w:rsidR="00265A19" w:rsidRPr="002532DF">
        <w:rPr>
          <w:sz w:val="25"/>
          <w:szCs w:val="25"/>
        </w:rPr>
        <w:t>O</w:t>
      </w:r>
      <w:r w:rsidR="00486C38" w:rsidRPr="002532DF">
        <w:rPr>
          <w:sz w:val="25"/>
          <w:szCs w:val="25"/>
        </w:rPr>
        <w:t>rder.</w:t>
      </w:r>
    </w:p>
    <w:p w:rsidR="00C63C64" w:rsidRPr="002532DF" w:rsidRDefault="00C63C64" w:rsidP="00C63C64">
      <w:pPr>
        <w:pStyle w:val="ListParagraph"/>
        <w:rPr>
          <w:b/>
          <w:sz w:val="25"/>
          <w:szCs w:val="25"/>
        </w:rPr>
      </w:pPr>
    </w:p>
    <w:p w:rsidR="00C63C64" w:rsidRPr="002532DF" w:rsidRDefault="00C63C64" w:rsidP="00027588">
      <w:pPr>
        <w:numPr>
          <w:ilvl w:val="0"/>
          <w:numId w:val="1"/>
        </w:numPr>
        <w:tabs>
          <w:tab w:val="clear" w:pos="720"/>
          <w:tab w:val="num" w:pos="0"/>
        </w:tabs>
        <w:spacing w:line="276" w:lineRule="auto"/>
        <w:ind w:hanging="1440"/>
        <w:rPr>
          <w:sz w:val="25"/>
          <w:szCs w:val="25"/>
        </w:rPr>
      </w:pPr>
      <w:r w:rsidRPr="002532DF">
        <w:rPr>
          <w:sz w:val="25"/>
          <w:szCs w:val="25"/>
        </w:rPr>
        <w:t>(3)</w:t>
      </w:r>
      <w:r w:rsidRPr="002532DF">
        <w:rPr>
          <w:sz w:val="25"/>
          <w:szCs w:val="25"/>
        </w:rPr>
        <w:tab/>
        <w:t>PacifiCorp must file within sixty days of this Order a detailed accounting of Renewable Energy Credit (REC) revenues received since January 1, 2009, and a detailed proposal for the REC track</w:t>
      </w:r>
      <w:r w:rsidR="009B6BEA">
        <w:rPr>
          <w:sz w:val="25"/>
          <w:szCs w:val="25"/>
        </w:rPr>
        <w:t>ing</w:t>
      </w:r>
      <w:r w:rsidRPr="002532DF">
        <w:rPr>
          <w:sz w:val="25"/>
          <w:szCs w:val="25"/>
        </w:rPr>
        <w:t xml:space="preserve"> mechanism as required in </w:t>
      </w:r>
      <w:r w:rsidR="002A66BB">
        <w:rPr>
          <w:sz w:val="25"/>
          <w:szCs w:val="25"/>
        </w:rPr>
        <w:t xml:space="preserve">          S</w:t>
      </w:r>
      <w:r w:rsidRPr="002532DF">
        <w:rPr>
          <w:sz w:val="25"/>
          <w:szCs w:val="25"/>
        </w:rPr>
        <w:t xml:space="preserve">ection </w:t>
      </w:r>
      <w:r w:rsidR="002A66BB">
        <w:rPr>
          <w:sz w:val="25"/>
          <w:szCs w:val="25"/>
        </w:rPr>
        <w:t>II</w:t>
      </w:r>
      <w:r w:rsidR="0093761A">
        <w:rPr>
          <w:sz w:val="25"/>
          <w:szCs w:val="25"/>
        </w:rPr>
        <w:t>.</w:t>
      </w:r>
      <w:r w:rsidR="002A66BB">
        <w:rPr>
          <w:sz w:val="25"/>
          <w:szCs w:val="25"/>
        </w:rPr>
        <w:t>C</w:t>
      </w:r>
      <w:r w:rsidR="0093761A">
        <w:rPr>
          <w:sz w:val="25"/>
          <w:szCs w:val="25"/>
        </w:rPr>
        <w:t>.</w:t>
      </w:r>
      <w:r w:rsidR="002A66BB">
        <w:rPr>
          <w:sz w:val="25"/>
          <w:szCs w:val="25"/>
        </w:rPr>
        <w:t>2</w:t>
      </w:r>
      <w:r w:rsidRPr="002532DF">
        <w:rPr>
          <w:sz w:val="25"/>
          <w:szCs w:val="25"/>
        </w:rPr>
        <w:t xml:space="preserve"> of this Order.  These</w:t>
      </w:r>
      <w:r w:rsidR="00C82A76">
        <w:rPr>
          <w:sz w:val="25"/>
          <w:szCs w:val="25"/>
        </w:rPr>
        <w:t xml:space="preserve"> </w:t>
      </w:r>
      <w:r w:rsidRPr="002532DF">
        <w:rPr>
          <w:sz w:val="25"/>
          <w:szCs w:val="25"/>
        </w:rPr>
        <w:t>fili</w:t>
      </w:r>
      <w:r w:rsidR="00C82A76">
        <w:rPr>
          <w:sz w:val="25"/>
          <w:szCs w:val="25"/>
        </w:rPr>
        <w:t>ng</w:t>
      </w:r>
      <w:r w:rsidRPr="002532DF">
        <w:rPr>
          <w:sz w:val="25"/>
          <w:szCs w:val="25"/>
        </w:rPr>
        <w:t>s, as well as additional filings required to be made in connection with the REC tracker, as discussed in the body of this Order, must be made in this docket as compliance filings or reports, as required under WAC 480-07-880(1) and (3).</w:t>
      </w:r>
    </w:p>
    <w:p w:rsidR="00F5510F" w:rsidRPr="002532DF" w:rsidRDefault="00F5510F" w:rsidP="00817E21">
      <w:pPr>
        <w:spacing w:line="276" w:lineRule="auto"/>
        <w:rPr>
          <w:sz w:val="25"/>
          <w:szCs w:val="25"/>
        </w:rPr>
      </w:pPr>
    </w:p>
    <w:p w:rsidR="00F5510F" w:rsidRPr="002532DF" w:rsidRDefault="00F5510F" w:rsidP="00027588">
      <w:pPr>
        <w:numPr>
          <w:ilvl w:val="0"/>
          <w:numId w:val="1"/>
        </w:numPr>
        <w:tabs>
          <w:tab w:val="clear" w:pos="720"/>
          <w:tab w:val="num" w:pos="0"/>
        </w:tabs>
        <w:spacing w:line="276" w:lineRule="auto"/>
        <w:ind w:hanging="1440"/>
        <w:rPr>
          <w:b/>
          <w:sz w:val="25"/>
          <w:szCs w:val="25"/>
        </w:rPr>
      </w:pPr>
      <w:r w:rsidRPr="002532DF">
        <w:rPr>
          <w:sz w:val="25"/>
          <w:szCs w:val="25"/>
        </w:rPr>
        <w:t>(</w:t>
      </w:r>
      <w:r w:rsidR="00DF37A7">
        <w:rPr>
          <w:sz w:val="25"/>
          <w:szCs w:val="25"/>
        </w:rPr>
        <w:t>4</w:t>
      </w:r>
      <w:r w:rsidRPr="002532DF">
        <w:rPr>
          <w:sz w:val="25"/>
          <w:szCs w:val="25"/>
        </w:rPr>
        <w:t>)</w:t>
      </w:r>
      <w:r w:rsidRPr="002532DF">
        <w:rPr>
          <w:sz w:val="25"/>
          <w:szCs w:val="25"/>
        </w:rPr>
        <w:tab/>
        <w:t>The Commission Secretary is authorized to accept by letter, with copies to all parties to this proceeding, a filing that complies with the requirements of this Order.</w:t>
      </w:r>
    </w:p>
    <w:p w:rsidR="00F27132" w:rsidRPr="002532DF" w:rsidRDefault="00F27132" w:rsidP="00817E21">
      <w:pPr>
        <w:spacing w:line="276" w:lineRule="auto"/>
        <w:rPr>
          <w:b/>
          <w:sz w:val="25"/>
          <w:szCs w:val="25"/>
        </w:rPr>
      </w:pPr>
    </w:p>
    <w:p w:rsidR="00486C38" w:rsidRPr="002532DF" w:rsidRDefault="00F27132" w:rsidP="00027588">
      <w:pPr>
        <w:numPr>
          <w:ilvl w:val="0"/>
          <w:numId w:val="1"/>
        </w:numPr>
        <w:tabs>
          <w:tab w:val="clear" w:pos="720"/>
          <w:tab w:val="num" w:pos="0"/>
        </w:tabs>
        <w:spacing w:line="276" w:lineRule="auto"/>
        <w:ind w:hanging="1440"/>
        <w:rPr>
          <w:b/>
          <w:sz w:val="25"/>
          <w:szCs w:val="25"/>
        </w:rPr>
      </w:pPr>
      <w:r w:rsidRPr="002532DF">
        <w:rPr>
          <w:sz w:val="25"/>
          <w:szCs w:val="25"/>
        </w:rPr>
        <w:t>(</w:t>
      </w:r>
      <w:r w:rsidR="00DF37A7">
        <w:rPr>
          <w:sz w:val="25"/>
          <w:szCs w:val="25"/>
        </w:rPr>
        <w:t>5</w:t>
      </w:r>
      <w:r w:rsidRPr="002532DF">
        <w:rPr>
          <w:sz w:val="25"/>
          <w:szCs w:val="25"/>
        </w:rPr>
        <w:t>)</w:t>
      </w:r>
      <w:r w:rsidR="00486C38" w:rsidRPr="002532DF">
        <w:rPr>
          <w:sz w:val="25"/>
          <w:szCs w:val="25"/>
        </w:rPr>
        <w:tab/>
      </w:r>
      <w:r w:rsidR="00A92BA8" w:rsidRPr="002532DF">
        <w:rPr>
          <w:sz w:val="25"/>
          <w:szCs w:val="25"/>
        </w:rPr>
        <w:t>Commitment 37 – Long-term Debt Yield Reduction</w:t>
      </w:r>
      <w:r w:rsidR="00A92BA8" w:rsidRPr="002532DF">
        <w:rPr>
          <w:sz w:val="26"/>
          <w:szCs w:val="26"/>
        </w:rPr>
        <w:t>,</w:t>
      </w:r>
      <w:r w:rsidR="00EC45A4" w:rsidRPr="002532DF">
        <w:rPr>
          <w:sz w:val="26"/>
          <w:szCs w:val="26"/>
        </w:rPr>
        <w:t xml:space="preserve"> </w:t>
      </w:r>
      <w:r w:rsidR="00DF7CB0" w:rsidRPr="002532DF">
        <w:rPr>
          <w:sz w:val="25"/>
          <w:szCs w:val="25"/>
        </w:rPr>
        <w:t xml:space="preserve">made at the time MEHC acquired PacifiCorp </w:t>
      </w:r>
      <w:r w:rsidR="00A92BA8" w:rsidRPr="002532DF">
        <w:rPr>
          <w:sz w:val="25"/>
          <w:szCs w:val="25"/>
        </w:rPr>
        <w:t>is deemed to have been fulfilled and the Commitment is complete</w:t>
      </w:r>
      <w:r w:rsidR="00DF7CB0" w:rsidRPr="002532DF">
        <w:rPr>
          <w:sz w:val="25"/>
          <w:szCs w:val="25"/>
        </w:rPr>
        <w:t>.</w:t>
      </w:r>
    </w:p>
    <w:p w:rsidR="00DF7CB0" w:rsidRDefault="00DF7CB0" w:rsidP="00817E21">
      <w:pPr>
        <w:spacing w:line="276" w:lineRule="auto"/>
        <w:rPr>
          <w:b/>
          <w:sz w:val="25"/>
          <w:szCs w:val="25"/>
        </w:rPr>
      </w:pPr>
    </w:p>
    <w:p w:rsidR="009B6BEA" w:rsidRPr="002532DF" w:rsidRDefault="009B6BEA" w:rsidP="009B6BEA">
      <w:pPr>
        <w:numPr>
          <w:ilvl w:val="0"/>
          <w:numId w:val="1"/>
        </w:numPr>
        <w:tabs>
          <w:tab w:val="clear" w:pos="720"/>
          <w:tab w:val="num" w:pos="0"/>
        </w:tabs>
        <w:spacing w:line="276" w:lineRule="auto"/>
        <w:ind w:hanging="1440"/>
        <w:rPr>
          <w:b/>
          <w:sz w:val="25"/>
          <w:szCs w:val="25"/>
        </w:rPr>
      </w:pPr>
      <w:r>
        <w:rPr>
          <w:sz w:val="25"/>
          <w:szCs w:val="25"/>
        </w:rPr>
        <w:t>(6)</w:t>
      </w:r>
      <w:r>
        <w:rPr>
          <w:sz w:val="25"/>
          <w:szCs w:val="25"/>
        </w:rPr>
        <w:tab/>
      </w:r>
      <w:r w:rsidRPr="002532DF">
        <w:rPr>
          <w:sz w:val="25"/>
          <w:szCs w:val="25"/>
        </w:rPr>
        <w:t xml:space="preserve">PacifiCorp </w:t>
      </w:r>
      <w:r>
        <w:rPr>
          <w:sz w:val="25"/>
          <w:szCs w:val="25"/>
        </w:rPr>
        <w:t>must</w:t>
      </w:r>
      <w:r w:rsidRPr="002532DF">
        <w:rPr>
          <w:sz w:val="25"/>
          <w:szCs w:val="25"/>
        </w:rPr>
        <w:t xml:space="preserve"> meet with The Energy Project, Staff, and the </w:t>
      </w:r>
      <w:r>
        <w:rPr>
          <w:sz w:val="25"/>
          <w:szCs w:val="25"/>
        </w:rPr>
        <w:t xml:space="preserve">affected </w:t>
      </w:r>
      <w:r w:rsidRPr="002532DF">
        <w:rPr>
          <w:sz w:val="25"/>
          <w:szCs w:val="25"/>
        </w:rPr>
        <w:t xml:space="preserve">agencies </w:t>
      </w:r>
      <w:r>
        <w:rPr>
          <w:sz w:val="25"/>
          <w:szCs w:val="25"/>
        </w:rPr>
        <w:t xml:space="preserve">in a collaborative process </w:t>
      </w:r>
      <w:r w:rsidRPr="002532DF">
        <w:rPr>
          <w:sz w:val="25"/>
          <w:szCs w:val="25"/>
        </w:rPr>
        <w:t>to discuss</w:t>
      </w:r>
      <w:r>
        <w:rPr>
          <w:sz w:val="25"/>
          <w:szCs w:val="25"/>
        </w:rPr>
        <w:t xml:space="preserve"> </w:t>
      </w:r>
      <w:r w:rsidRPr="002532DF">
        <w:rPr>
          <w:sz w:val="25"/>
          <w:szCs w:val="25"/>
        </w:rPr>
        <w:t xml:space="preserve">the current allocation of the LIBA surcharge collections, the interval for eligibility certification, and the level of administrative fees.  Staff </w:t>
      </w:r>
      <w:r>
        <w:rPr>
          <w:sz w:val="25"/>
          <w:szCs w:val="25"/>
        </w:rPr>
        <w:t>must re</w:t>
      </w:r>
      <w:r w:rsidRPr="002532DF">
        <w:rPr>
          <w:sz w:val="25"/>
          <w:szCs w:val="25"/>
        </w:rPr>
        <w:t>port the results of th</w:t>
      </w:r>
      <w:r>
        <w:rPr>
          <w:sz w:val="25"/>
          <w:szCs w:val="25"/>
        </w:rPr>
        <w:t>is</w:t>
      </w:r>
      <w:r w:rsidRPr="002532DF">
        <w:rPr>
          <w:sz w:val="25"/>
          <w:szCs w:val="25"/>
        </w:rPr>
        <w:t xml:space="preserve"> process within six months of the date of this Order</w:t>
      </w:r>
      <w:r>
        <w:rPr>
          <w:sz w:val="25"/>
          <w:szCs w:val="25"/>
        </w:rPr>
        <w:t>.</w:t>
      </w:r>
    </w:p>
    <w:p w:rsidR="009B6BEA" w:rsidRPr="002532DF" w:rsidRDefault="009B6BEA" w:rsidP="00817E21">
      <w:pPr>
        <w:spacing w:line="276" w:lineRule="auto"/>
        <w:rPr>
          <w:b/>
          <w:sz w:val="25"/>
          <w:szCs w:val="25"/>
        </w:rPr>
      </w:pPr>
    </w:p>
    <w:p w:rsidR="00F27132" w:rsidRPr="002532DF" w:rsidRDefault="00DF7CB0" w:rsidP="00027588">
      <w:pPr>
        <w:numPr>
          <w:ilvl w:val="0"/>
          <w:numId w:val="1"/>
        </w:numPr>
        <w:tabs>
          <w:tab w:val="clear" w:pos="720"/>
          <w:tab w:val="num" w:pos="0"/>
        </w:tabs>
        <w:spacing w:line="276" w:lineRule="auto"/>
        <w:ind w:hanging="1440"/>
        <w:rPr>
          <w:b/>
          <w:sz w:val="25"/>
          <w:szCs w:val="25"/>
        </w:rPr>
      </w:pPr>
      <w:r w:rsidRPr="002532DF">
        <w:rPr>
          <w:sz w:val="25"/>
          <w:szCs w:val="25"/>
        </w:rPr>
        <w:t>(</w:t>
      </w:r>
      <w:r w:rsidR="009B6BEA">
        <w:rPr>
          <w:sz w:val="25"/>
          <w:szCs w:val="25"/>
        </w:rPr>
        <w:t>7</w:t>
      </w:r>
      <w:r w:rsidRPr="002532DF">
        <w:rPr>
          <w:sz w:val="25"/>
          <w:szCs w:val="25"/>
        </w:rPr>
        <w:t>)</w:t>
      </w:r>
      <w:r w:rsidRPr="002532DF">
        <w:rPr>
          <w:sz w:val="25"/>
          <w:szCs w:val="25"/>
        </w:rPr>
        <w:tab/>
      </w:r>
      <w:r w:rsidR="00265A19" w:rsidRPr="002532DF">
        <w:rPr>
          <w:sz w:val="26"/>
          <w:szCs w:val="26"/>
        </w:rPr>
        <w:t>The Commission</w:t>
      </w:r>
      <w:r w:rsidR="00FC12D1" w:rsidRPr="002532DF">
        <w:rPr>
          <w:sz w:val="26"/>
          <w:szCs w:val="26"/>
        </w:rPr>
        <w:t xml:space="preserve"> retains jurisdiction over the subject matters and parties to this proceeding to effectuate the terms of this </w:t>
      </w:r>
      <w:r w:rsidR="00265A19" w:rsidRPr="002532DF">
        <w:rPr>
          <w:sz w:val="26"/>
          <w:szCs w:val="26"/>
        </w:rPr>
        <w:t>O</w:t>
      </w:r>
      <w:r w:rsidR="00FC12D1" w:rsidRPr="002532DF">
        <w:rPr>
          <w:sz w:val="26"/>
          <w:szCs w:val="26"/>
        </w:rPr>
        <w:t>rder.</w:t>
      </w:r>
    </w:p>
    <w:p w:rsidR="00F27132" w:rsidRPr="00754FA3" w:rsidRDefault="00F27132" w:rsidP="00754FA3">
      <w:pPr>
        <w:rPr>
          <w:b/>
        </w:rPr>
      </w:pPr>
    </w:p>
    <w:p w:rsidR="00F27132" w:rsidRPr="002532DF" w:rsidRDefault="00F27132" w:rsidP="00817E21">
      <w:pPr>
        <w:spacing w:line="276" w:lineRule="auto"/>
        <w:rPr>
          <w:b/>
          <w:sz w:val="25"/>
          <w:szCs w:val="25"/>
        </w:rPr>
      </w:pPr>
      <w:r w:rsidRPr="002532DF">
        <w:rPr>
          <w:sz w:val="25"/>
          <w:szCs w:val="25"/>
        </w:rPr>
        <w:t>DATED at Olympia, Washington, and effective</w:t>
      </w:r>
      <w:r w:rsidR="00A77821" w:rsidRPr="002532DF">
        <w:rPr>
          <w:sz w:val="25"/>
          <w:szCs w:val="25"/>
        </w:rPr>
        <w:t xml:space="preserve"> </w:t>
      </w:r>
      <w:r w:rsidR="000808B3" w:rsidRPr="002532DF">
        <w:rPr>
          <w:sz w:val="25"/>
          <w:szCs w:val="25"/>
        </w:rPr>
        <w:t xml:space="preserve">March </w:t>
      </w:r>
      <w:r w:rsidR="00DF37A7">
        <w:rPr>
          <w:sz w:val="25"/>
          <w:szCs w:val="25"/>
        </w:rPr>
        <w:t>25</w:t>
      </w:r>
      <w:r w:rsidR="00D365CE" w:rsidRPr="002532DF">
        <w:rPr>
          <w:sz w:val="25"/>
          <w:szCs w:val="25"/>
        </w:rPr>
        <w:t xml:space="preserve">, </w:t>
      </w:r>
      <w:r w:rsidR="00DA36AC" w:rsidRPr="002532DF">
        <w:rPr>
          <w:sz w:val="25"/>
          <w:szCs w:val="25"/>
        </w:rPr>
        <w:t>20</w:t>
      </w:r>
      <w:r w:rsidR="000808B3" w:rsidRPr="002532DF">
        <w:rPr>
          <w:sz w:val="25"/>
          <w:szCs w:val="25"/>
        </w:rPr>
        <w:t>1</w:t>
      </w:r>
      <w:r w:rsidR="00E77D4E">
        <w:rPr>
          <w:sz w:val="25"/>
          <w:szCs w:val="25"/>
        </w:rPr>
        <w:t>1</w:t>
      </w:r>
      <w:r w:rsidRPr="002532DF">
        <w:rPr>
          <w:sz w:val="25"/>
          <w:szCs w:val="25"/>
        </w:rPr>
        <w:t>.</w:t>
      </w:r>
    </w:p>
    <w:p w:rsidR="00F27132" w:rsidRPr="00754FA3" w:rsidRDefault="00F27132" w:rsidP="00754FA3">
      <w:pPr>
        <w:rPr>
          <w:b/>
        </w:rPr>
      </w:pPr>
    </w:p>
    <w:p w:rsidR="00F27132" w:rsidRPr="002532DF" w:rsidRDefault="00F27132" w:rsidP="00990877">
      <w:pPr>
        <w:jc w:val="center"/>
        <w:rPr>
          <w:sz w:val="25"/>
          <w:szCs w:val="25"/>
        </w:rPr>
      </w:pPr>
      <w:smartTag w:uri="urn:schemas-microsoft-com:office:smarttags" w:element="State">
        <w:smartTag w:uri="urn:schemas-microsoft-com:office:smarttags" w:element="place">
          <w:r w:rsidRPr="002532DF">
            <w:rPr>
              <w:sz w:val="25"/>
              <w:szCs w:val="25"/>
            </w:rPr>
            <w:t>WASHINGTON</w:t>
          </w:r>
        </w:smartTag>
      </w:smartTag>
      <w:r w:rsidRPr="002532DF">
        <w:rPr>
          <w:sz w:val="25"/>
          <w:szCs w:val="25"/>
        </w:rPr>
        <w:t xml:space="preserve"> </w:t>
      </w:r>
      <w:r w:rsidR="0028219C" w:rsidRPr="002532DF">
        <w:rPr>
          <w:sz w:val="25"/>
          <w:szCs w:val="25"/>
        </w:rPr>
        <w:t xml:space="preserve">STATE </w:t>
      </w:r>
      <w:r w:rsidRPr="002532DF">
        <w:rPr>
          <w:sz w:val="25"/>
          <w:szCs w:val="25"/>
        </w:rPr>
        <w:t>UTILITIES AND TRANSPORTATION COMMISSION</w:t>
      </w:r>
    </w:p>
    <w:p w:rsidR="00F27132" w:rsidRPr="002532DF" w:rsidRDefault="00F27132" w:rsidP="00990877">
      <w:pPr>
        <w:rPr>
          <w:sz w:val="25"/>
          <w:szCs w:val="25"/>
        </w:rPr>
      </w:pPr>
    </w:p>
    <w:p w:rsidR="00F27132" w:rsidRPr="002532DF" w:rsidRDefault="00F27132" w:rsidP="00990877">
      <w:pPr>
        <w:rPr>
          <w:sz w:val="25"/>
          <w:szCs w:val="25"/>
        </w:rPr>
      </w:pPr>
    </w:p>
    <w:p w:rsidR="004C1FC3" w:rsidRPr="002532DF" w:rsidRDefault="004C1FC3" w:rsidP="00990877">
      <w:pPr>
        <w:rPr>
          <w:sz w:val="25"/>
          <w:szCs w:val="25"/>
        </w:rPr>
      </w:pPr>
    </w:p>
    <w:p w:rsidR="00F27132" w:rsidRPr="002532DF" w:rsidRDefault="00C420CA" w:rsidP="00990877">
      <w:pPr>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t>JEFFREY D. GOLTZ, Chairman</w:t>
      </w:r>
    </w:p>
    <w:p w:rsidR="00F27132" w:rsidRPr="002532DF" w:rsidRDefault="00F27132" w:rsidP="00990877">
      <w:pPr>
        <w:rPr>
          <w:sz w:val="25"/>
          <w:szCs w:val="25"/>
        </w:rPr>
      </w:pPr>
    </w:p>
    <w:p w:rsidR="004C1FC3" w:rsidRPr="002532DF" w:rsidRDefault="004C1FC3" w:rsidP="00990877">
      <w:pPr>
        <w:rPr>
          <w:sz w:val="25"/>
          <w:szCs w:val="25"/>
        </w:rPr>
      </w:pPr>
    </w:p>
    <w:p w:rsidR="00F27132" w:rsidRPr="002532DF" w:rsidRDefault="00C420CA" w:rsidP="00990877">
      <w:pPr>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t>PATRICK J. OSHIE, Commissioner</w:t>
      </w:r>
    </w:p>
    <w:p w:rsidR="00F27132" w:rsidRPr="002532DF" w:rsidRDefault="00F27132" w:rsidP="00990877">
      <w:pPr>
        <w:rPr>
          <w:sz w:val="25"/>
          <w:szCs w:val="25"/>
        </w:rPr>
      </w:pPr>
    </w:p>
    <w:p w:rsidR="00F27132" w:rsidRPr="002532DF" w:rsidRDefault="00F27132" w:rsidP="00990877">
      <w:pPr>
        <w:rPr>
          <w:sz w:val="25"/>
          <w:szCs w:val="25"/>
        </w:rPr>
      </w:pPr>
    </w:p>
    <w:p w:rsidR="00A77821" w:rsidRPr="002532DF" w:rsidRDefault="00C420CA" w:rsidP="00990877">
      <w:pPr>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t>PHILIP B. JONES, Commissioner</w:t>
      </w:r>
    </w:p>
    <w:p w:rsidR="00A77821" w:rsidRPr="002532DF" w:rsidRDefault="00A77821" w:rsidP="00990877">
      <w:pPr>
        <w:jc w:val="center"/>
        <w:rPr>
          <w:sz w:val="25"/>
          <w:szCs w:val="25"/>
        </w:rPr>
      </w:pPr>
    </w:p>
    <w:p w:rsidR="006668F5" w:rsidRPr="002532DF" w:rsidRDefault="006668F5" w:rsidP="00990877">
      <w:pPr>
        <w:pStyle w:val="BodyText"/>
        <w:jc w:val="left"/>
        <w:rPr>
          <w:rFonts w:ascii="Times New Roman" w:hAnsi="Times New Roman"/>
          <w:b/>
        </w:rPr>
      </w:pPr>
    </w:p>
    <w:p w:rsidR="00AA2A0B" w:rsidRPr="002532DF" w:rsidRDefault="00AA2A0B" w:rsidP="00990877">
      <w:pPr>
        <w:pStyle w:val="BodyText"/>
        <w:jc w:val="left"/>
        <w:rPr>
          <w:rFonts w:ascii="Times New Roman" w:hAnsi="Times New Roman"/>
          <w:b/>
        </w:rPr>
      </w:pPr>
    </w:p>
    <w:p w:rsidR="009D55C8" w:rsidRPr="002532DF" w:rsidRDefault="006668F5" w:rsidP="00990877">
      <w:pPr>
        <w:pStyle w:val="BodyText"/>
        <w:jc w:val="left"/>
        <w:rPr>
          <w:rFonts w:ascii="Times New Roman" w:hAnsi="Times New Roman"/>
          <w:b/>
          <w:sz w:val="25"/>
          <w:szCs w:val="25"/>
        </w:rPr>
      </w:pPr>
      <w:r w:rsidRPr="002532DF">
        <w:rPr>
          <w:rFonts w:ascii="Times New Roman" w:hAnsi="Times New Roman"/>
          <w:b/>
          <w:sz w:val="25"/>
          <w:szCs w:val="25"/>
        </w:rPr>
        <w:t>NOTICE TO PARTIES:  This is a Commission Final Order.  In addition to judicial review, administrative relief may be available through a petition for reconsideration, filed within 10 days of the service of this order pursuant to RCW 34.05.470 and WAC 480-07-850, or a petition for rehearing pursuant to RCW 80.04.200 and WAC 480-07-870.</w:t>
      </w:r>
    </w:p>
    <w:p w:rsidR="003109CE" w:rsidRPr="002532DF" w:rsidRDefault="009D55C8" w:rsidP="00AA2A0B">
      <w:pPr>
        <w:pStyle w:val="BodyText"/>
        <w:rPr>
          <w:rFonts w:ascii="Times New Roman" w:hAnsi="Times New Roman"/>
          <w:sz w:val="25"/>
          <w:szCs w:val="25"/>
        </w:rPr>
      </w:pPr>
      <w:r w:rsidRPr="002532DF">
        <w:rPr>
          <w:rFonts w:ascii="Times New Roman" w:hAnsi="Times New Roman"/>
          <w:b/>
          <w:sz w:val="25"/>
          <w:szCs w:val="25"/>
        </w:rPr>
        <w:br w:type="page"/>
      </w:r>
    </w:p>
    <w:tbl>
      <w:tblPr>
        <w:tblW w:w="10635" w:type="dxa"/>
        <w:tblInd w:w="-990" w:type="dxa"/>
        <w:tblLook w:val="0000" w:firstRow="0" w:lastRow="0" w:firstColumn="0" w:lastColumn="0" w:noHBand="0" w:noVBand="0"/>
      </w:tblPr>
      <w:tblGrid>
        <w:gridCol w:w="10635"/>
      </w:tblGrid>
      <w:tr w:rsidR="00F25D1A" w:rsidRPr="002532DF" w:rsidTr="00F25D1A">
        <w:trPr>
          <w:trHeight w:val="255"/>
        </w:trPr>
        <w:tc>
          <w:tcPr>
            <w:tcW w:w="10635" w:type="dxa"/>
            <w:tcBorders>
              <w:top w:val="nil"/>
              <w:left w:val="nil"/>
              <w:bottom w:val="nil"/>
              <w:right w:val="nil"/>
            </w:tcBorders>
            <w:shd w:val="clear" w:color="auto" w:fill="auto"/>
            <w:noWrap/>
            <w:vAlign w:val="bottom"/>
          </w:tcPr>
          <w:p w:rsidR="00AA2A0B" w:rsidRPr="002532DF" w:rsidRDefault="00AA2A0B" w:rsidP="00990877">
            <w:pPr>
              <w:jc w:val="center"/>
              <w:rPr>
                <w:b/>
              </w:rPr>
            </w:pPr>
          </w:p>
          <w:p w:rsidR="00AA2A0B" w:rsidRPr="002532DF" w:rsidRDefault="00AA2A0B" w:rsidP="00990877">
            <w:pPr>
              <w:jc w:val="center"/>
              <w:rPr>
                <w:b/>
              </w:rPr>
            </w:pPr>
          </w:p>
          <w:p w:rsidR="00AA2A0B" w:rsidRPr="002532DF" w:rsidRDefault="00AA2A0B" w:rsidP="00990877">
            <w:pPr>
              <w:jc w:val="center"/>
              <w:rPr>
                <w:b/>
              </w:rPr>
            </w:pPr>
          </w:p>
          <w:p w:rsidR="00AA2A0B" w:rsidRPr="002532DF" w:rsidRDefault="00AA2A0B" w:rsidP="00990877">
            <w:pPr>
              <w:jc w:val="center"/>
              <w:rPr>
                <w:b/>
              </w:rPr>
            </w:pPr>
          </w:p>
          <w:p w:rsidR="00AA2A0B" w:rsidRPr="002532DF" w:rsidRDefault="00AA2A0B" w:rsidP="00990877">
            <w:pPr>
              <w:jc w:val="center"/>
              <w:rPr>
                <w:b/>
              </w:rPr>
            </w:pPr>
          </w:p>
          <w:p w:rsidR="00AA2A0B" w:rsidRPr="002532DF" w:rsidRDefault="00AA2A0B" w:rsidP="00990877">
            <w:pPr>
              <w:jc w:val="center"/>
              <w:rPr>
                <w:b/>
              </w:rPr>
            </w:pPr>
          </w:p>
          <w:p w:rsidR="00AA2A0B" w:rsidRPr="002532DF" w:rsidRDefault="00AA2A0B" w:rsidP="00990877">
            <w:pPr>
              <w:jc w:val="center"/>
              <w:rPr>
                <w:b/>
              </w:rPr>
            </w:pPr>
          </w:p>
          <w:p w:rsidR="00AA2A0B" w:rsidRPr="002532DF" w:rsidRDefault="00AA2A0B" w:rsidP="00990877">
            <w:pPr>
              <w:jc w:val="center"/>
              <w:rPr>
                <w:b/>
              </w:rPr>
            </w:pPr>
          </w:p>
          <w:p w:rsidR="00AA2A0B" w:rsidRPr="002532DF" w:rsidRDefault="00AA2A0B" w:rsidP="00990877">
            <w:pPr>
              <w:jc w:val="center"/>
              <w:rPr>
                <w:b/>
              </w:rPr>
            </w:pPr>
          </w:p>
          <w:p w:rsidR="00AA2A0B" w:rsidRPr="002532DF" w:rsidRDefault="00AA2A0B" w:rsidP="00990877">
            <w:pPr>
              <w:jc w:val="center"/>
              <w:rPr>
                <w:b/>
              </w:rPr>
            </w:pPr>
          </w:p>
          <w:p w:rsidR="00AA2A0B" w:rsidRPr="002532DF" w:rsidRDefault="00AA2A0B" w:rsidP="00990877">
            <w:pPr>
              <w:jc w:val="center"/>
              <w:rPr>
                <w:b/>
              </w:rPr>
            </w:pPr>
          </w:p>
          <w:p w:rsidR="00AA2A0B" w:rsidRPr="002532DF" w:rsidRDefault="00AA2A0B" w:rsidP="00990877">
            <w:pPr>
              <w:jc w:val="center"/>
              <w:rPr>
                <w:b/>
              </w:rPr>
            </w:pPr>
          </w:p>
          <w:p w:rsidR="00AA2A0B" w:rsidRPr="002532DF" w:rsidRDefault="00AA2A0B" w:rsidP="00990877">
            <w:pPr>
              <w:jc w:val="center"/>
              <w:rPr>
                <w:b/>
              </w:rPr>
            </w:pPr>
          </w:p>
          <w:p w:rsidR="00AA2A0B" w:rsidRPr="002532DF" w:rsidRDefault="00AA2A0B" w:rsidP="00990877">
            <w:pPr>
              <w:jc w:val="center"/>
              <w:rPr>
                <w:b/>
              </w:rPr>
            </w:pPr>
          </w:p>
          <w:p w:rsidR="00F25D1A" w:rsidRPr="002532DF" w:rsidRDefault="00F25D1A" w:rsidP="00990877">
            <w:pPr>
              <w:jc w:val="center"/>
              <w:rPr>
                <w:b/>
              </w:rPr>
            </w:pPr>
            <w:r w:rsidRPr="002532DF">
              <w:rPr>
                <w:b/>
              </w:rPr>
              <w:t>APPENDIX A</w:t>
            </w:r>
          </w:p>
          <w:p w:rsidR="00F25D1A" w:rsidRPr="002532DF" w:rsidRDefault="00F25D1A" w:rsidP="00990877">
            <w:pPr>
              <w:jc w:val="center"/>
              <w:rPr>
                <w:b/>
              </w:rPr>
            </w:pPr>
          </w:p>
          <w:p w:rsidR="00F25D1A" w:rsidRPr="002532DF" w:rsidRDefault="00F25D1A" w:rsidP="00990877">
            <w:pPr>
              <w:jc w:val="center"/>
              <w:rPr>
                <w:b/>
                <w:sz w:val="20"/>
                <w:szCs w:val="20"/>
              </w:rPr>
            </w:pPr>
            <w:r w:rsidRPr="002532DF">
              <w:rPr>
                <w:b/>
              </w:rPr>
              <w:t>COMMISSION DETERMINATION OF REVENUE REQUIREMENT</w:t>
            </w:r>
          </w:p>
        </w:tc>
      </w:tr>
    </w:tbl>
    <w:p w:rsidR="009D55C8" w:rsidRPr="002532DF" w:rsidRDefault="009D55C8" w:rsidP="00990877">
      <w:pPr>
        <w:rPr>
          <w:sz w:val="25"/>
          <w:szCs w:val="25"/>
        </w:rPr>
      </w:pPr>
    </w:p>
    <w:p w:rsidR="009D55C8" w:rsidRPr="002532DF" w:rsidRDefault="009D55C8" w:rsidP="00990877">
      <w:pPr>
        <w:rPr>
          <w:sz w:val="25"/>
          <w:szCs w:val="25"/>
        </w:rPr>
      </w:pPr>
    </w:p>
    <w:p w:rsidR="009D55C8" w:rsidRPr="002532DF" w:rsidRDefault="009D55C8" w:rsidP="00990877">
      <w:pPr>
        <w:rPr>
          <w:sz w:val="25"/>
          <w:szCs w:val="25"/>
        </w:rPr>
      </w:pPr>
    </w:p>
    <w:p w:rsidR="009D55C8" w:rsidRPr="002532DF" w:rsidRDefault="009D55C8" w:rsidP="00990877">
      <w:pPr>
        <w:rPr>
          <w:sz w:val="25"/>
          <w:szCs w:val="25"/>
        </w:rPr>
      </w:pPr>
    </w:p>
    <w:p w:rsidR="009D55C8" w:rsidRPr="002532DF" w:rsidRDefault="009D55C8" w:rsidP="00990877">
      <w:pPr>
        <w:rPr>
          <w:sz w:val="25"/>
          <w:szCs w:val="25"/>
        </w:rPr>
      </w:pPr>
    </w:p>
    <w:p w:rsidR="009D55C8" w:rsidRPr="002532DF" w:rsidRDefault="009D55C8" w:rsidP="00990877">
      <w:pPr>
        <w:rPr>
          <w:sz w:val="25"/>
          <w:szCs w:val="25"/>
        </w:rPr>
      </w:pPr>
    </w:p>
    <w:p w:rsidR="009D55C8" w:rsidRPr="002532DF" w:rsidRDefault="009D55C8" w:rsidP="00990877">
      <w:pPr>
        <w:rPr>
          <w:sz w:val="25"/>
          <w:szCs w:val="25"/>
        </w:rPr>
      </w:pPr>
    </w:p>
    <w:p w:rsidR="009D55C8" w:rsidRPr="002532DF" w:rsidRDefault="009D55C8" w:rsidP="00990877">
      <w:pPr>
        <w:rPr>
          <w:sz w:val="25"/>
          <w:szCs w:val="25"/>
        </w:rPr>
      </w:pPr>
    </w:p>
    <w:p w:rsidR="009D55C8" w:rsidRPr="002532DF" w:rsidRDefault="009D55C8" w:rsidP="00990877">
      <w:pPr>
        <w:rPr>
          <w:sz w:val="25"/>
          <w:szCs w:val="25"/>
        </w:rPr>
      </w:pPr>
    </w:p>
    <w:p w:rsidR="009D55C8" w:rsidRPr="002532DF" w:rsidRDefault="009D55C8" w:rsidP="00990877">
      <w:pPr>
        <w:rPr>
          <w:sz w:val="25"/>
          <w:szCs w:val="25"/>
        </w:rPr>
      </w:pPr>
    </w:p>
    <w:p w:rsidR="009D55C8" w:rsidRPr="002532DF" w:rsidRDefault="009D55C8" w:rsidP="00990877">
      <w:pPr>
        <w:rPr>
          <w:sz w:val="25"/>
          <w:szCs w:val="25"/>
        </w:rPr>
      </w:pPr>
    </w:p>
    <w:p w:rsidR="009D55C8" w:rsidRPr="002532DF" w:rsidRDefault="009D55C8" w:rsidP="00990877">
      <w:pPr>
        <w:rPr>
          <w:sz w:val="25"/>
          <w:szCs w:val="25"/>
        </w:rPr>
      </w:pPr>
    </w:p>
    <w:p w:rsidR="009D55C8" w:rsidRPr="002532DF" w:rsidRDefault="009D55C8" w:rsidP="00990877">
      <w:pPr>
        <w:rPr>
          <w:sz w:val="25"/>
          <w:szCs w:val="25"/>
        </w:rPr>
      </w:pPr>
    </w:p>
    <w:p w:rsidR="009D55C8" w:rsidRPr="002532DF" w:rsidRDefault="009D55C8" w:rsidP="00990877">
      <w:pPr>
        <w:rPr>
          <w:sz w:val="25"/>
          <w:szCs w:val="25"/>
        </w:rPr>
      </w:pPr>
    </w:p>
    <w:p w:rsidR="00DD1140" w:rsidRDefault="00DD1140">
      <w:pPr>
        <w:rPr>
          <w:sz w:val="25"/>
          <w:szCs w:val="25"/>
        </w:rPr>
      </w:pPr>
      <w:r>
        <w:rPr>
          <w:sz w:val="25"/>
          <w:szCs w:val="25"/>
        </w:rPr>
        <w:br w:type="page"/>
      </w:r>
    </w:p>
    <w:p w:rsidR="00DD1140" w:rsidRDefault="00DD1140" w:rsidP="00990877">
      <w:pPr>
        <w:rPr>
          <w:sz w:val="25"/>
          <w:szCs w:val="25"/>
        </w:rPr>
      </w:pPr>
      <w:r>
        <w:rPr>
          <w:noProof/>
          <w:sz w:val="25"/>
          <w:szCs w:val="25"/>
        </w:rPr>
        <w:drawing>
          <wp:inline distT="0" distB="0" distL="0" distR="0">
            <wp:extent cx="5486400" cy="78312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7831241"/>
                    </a:xfrm>
                    <a:prstGeom prst="rect">
                      <a:avLst/>
                    </a:prstGeom>
                    <a:noFill/>
                    <a:ln>
                      <a:noFill/>
                    </a:ln>
                  </pic:spPr>
                </pic:pic>
              </a:graphicData>
            </a:graphic>
          </wp:inline>
        </w:drawing>
      </w:r>
    </w:p>
    <w:p w:rsidR="00DD1140" w:rsidRDefault="00DD1140">
      <w:pPr>
        <w:rPr>
          <w:sz w:val="25"/>
          <w:szCs w:val="25"/>
        </w:rPr>
      </w:pPr>
      <w:r>
        <w:rPr>
          <w:noProof/>
          <w:sz w:val="25"/>
          <w:szCs w:val="25"/>
        </w:rPr>
        <w:drawing>
          <wp:inline distT="0" distB="0" distL="0" distR="0">
            <wp:extent cx="5486400" cy="43913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4391386"/>
                    </a:xfrm>
                    <a:prstGeom prst="rect">
                      <a:avLst/>
                    </a:prstGeom>
                    <a:noFill/>
                    <a:ln>
                      <a:noFill/>
                    </a:ln>
                  </pic:spPr>
                </pic:pic>
              </a:graphicData>
            </a:graphic>
          </wp:inline>
        </w:drawing>
      </w:r>
    </w:p>
    <w:p w:rsidR="009D55C8" w:rsidRPr="002532DF" w:rsidRDefault="009D55C8" w:rsidP="00990877">
      <w:pPr>
        <w:rPr>
          <w:sz w:val="25"/>
          <w:szCs w:val="25"/>
        </w:rPr>
      </w:pPr>
    </w:p>
    <w:p w:rsidR="009D55C8" w:rsidRPr="002532DF" w:rsidRDefault="002C17B9" w:rsidP="00990877">
      <w:pPr>
        <w:rPr>
          <w:sz w:val="25"/>
          <w:szCs w:val="25"/>
        </w:rPr>
      </w:pPr>
      <w:r w:rsidRPr="002532DF">
        <w:rPr>
          <w:sz w:val="25"/>
          <w:szCs w:val="25"/>
        </w:rPr>
        <w:br w:type="page"/>
      </w:r>
    </w:p>
    <w:p w:rsidR="00817E21" w:rsidRPr="002532DF" w:rsidRDefault="00817E21" w:rsidP="00990877">
      <w:pPr>
        <w:rPr>
          <w:sz w:val="25"/>
          <w:szCs w:val="25"/>
        </w:rPr>
      </w:pPr>
    </w:p>
    <w:p w:rsidR="00817E21" w:rsidRPr="002532DF" w:rsidRDefault="00817E21" w:rsidP="00990877">
      <w:pPr>
        <w:rPr>
          <w:sz w:val="25"/>
          <w:szCs w:val="25"/>
        </w:rPr>
      </w:pPr>
    </w:p>
    <w:p w:rsidR="00817E21" w:rsidRPr="002532DF" w:rsidRDefault="00817E21" w:rsidP="00990877">
      <w:pPr>
        <w:rPr>
          <w:sz w:val="25"/>
          <w:szCs w:val="25"/>
        </w:rPr>
      </w:pPr>
    </w:p>
    <w:p w:rsidR="00817E21" w:rsidRPr="002532DF" w:rsidRDefault="00817E21" w:rsidP="00990877">
      <w:pPr>
        <w:rPr>
          <w:sz w:val="25"/>
          <w:szCs w:val="25"/>
        </w:rPr>
      </w:pPr>
    </w:p>
    <w:p w:rsidR="00817E21" w:rsidRPr="002532DF" w:rsidRDefault="00817E21" w:rsidP="00990877">
      <w:pPr>
        <w:rPr>
          <w:sz w:val="25"/>
          <w:szCs w:val="25"/>
        </w:rPr>
      </w:pPr>
    </w:p>
    <w:p w:rsidR="00817E21" w:rsidRPr="002532DF" w:rsidRDefault="00817E21" w:rsidP="00990877">
      <w:pPr>
        <w:rPr>
          <w:sz w:val="25"/>
          <w:szCs w:val="25"/>
        </w:rPr>
      </w:pPr>
    </w:p>
    <w:p w:rsidR="00817E21" w:rsidRPr="002532DF" w:rsidRDefault="00817E21" w:rsidP="00990877">
      <w:pPr>
        <w:rPr>
          <w:sz w:val="25"/>
          <w:szCs w:val="25"/>
        </w:rPr>
      </w:pPr>
    </w:p>
    <w:p w:rsidR="00817E21" w:rsidRPr="002532DF" w:rsidRDefault="00817E21" w:rsidP="00990877">
      <w:pPr>
        <w:rPr>
          <w:sz w:val="25"/>
          <w:szCs w:val="25"/>
        </w:rPr>
      </w:pPr>
    </w:p>
    <w:p w:rsidR="00817E21" w:rsidRPr="002532DF" w:rsidRDefault="00817E21" w:rsidP="00990877">
      <w:pPr>
        <w:rPr>
          <w:sz w:val="25"/>
          <w:szCs w:val="25"/>
        </w:rPr>
      </w:pPr>
    </w:p>
    <w:p w:rsidR="00817E21" w:rsidRPr="002532DF" w:rsidRDefault="00817E21" w:rsidP="00990877">
      <w:pPr>
        <w:rPr>
          <w:sz w:val="25"/>
          <w:szCs w:val="25"/>
        </w:rPr>
      </w:pPr>
    </w:p>
    <w:p w:rsidR="00817E21" w:rsidRPr="002532DF" w:rsidRDefault="00817E21" w:rsidP="00990877">
      <w:pPr>
        <w:rPr>
          <w:sz w:val="25"/>
          <w:szCs w:val="25"/>
        </w:rPr>
      </w:pPr>
    </w:p>
    <w:p w:rsidR="00817E21" w:rsidRPr="002532DF" w:rsidRDefault="00817E21" w:rsidP="00990877">
      <w:pPr>
        <w:rPr>
          <w:sz w:val="25"/>
          <w:szCs w:val="25"/>
        </w:rPr>
      </w:pPr>
    </w:p>
    <w:p w:rsidR="009D55C8" w:rsidRPr="002532DF" w:rsidRDefault="009D55C8" w:rsidP="00990877">
      <w:pPr>
        <w:rPr>
          <w:sz w:val="25"/>
          <w:szCs w:val="25"/>
        </w:rPr>
      </w:pPr>
    </w:p>
    <w:p w:rsidR="009D55C8" w:rsidRPr="002532DF" w:rsidRDefault="009D55C8" w:rsidP="00990877">
      <w:pPr>
        <w:jc w:val="center"/>
        <w:outlineLvl w:val="0"/>
        <w:rPr>
          <w:b/>
          <w:sz w:val="25"/>
          <w:szCs w:val="25"/>
        </w:rPr>
      </w:pPr>
      <w:bookmarkStart w:id="81" w:name="_Toc168986385"/>
      <w:bookmarkStart w:id="82" w:name="_Toc288813770"/>
      <w:r w:rsidRPr="002532DF">
        <w:rPr>
          <w:b/>
          <w:sz w:val="25"/>
          <w:szCs w:val="25"/>
        </w:rPr>
        <w:t>GLOSSARY</w:t>
      </w:r>
      <w:bookmarkEnd w:id="81"/>
      <w:bookmarkEnd w:id="82"/>
    </w:p>
    <w:p w:rsidR="006D528D" w:rsidRPr="002532DF" w:rsidRDefault="006D528D" w:rsidP="00990877">
      <w:pPr>
        <w:outlineLvl w:val="0"/>
        <w:rPr>
          <w:b/>
          <w:sz w:val="25"/>
          <w:szCs w:val="25"/>
        </w:rPr>
      </w:pPr>
      <w:r w:rsidRPr="002532DF">
        <w:rPr>
          <w:b/>
          <w:sz w:val="25"/>
          <w:szCs w:val="25"/>
        </w:rPr>
        <w:br w:type="page"/>
      </w:r>
    </w:p>
    <w:tbl>
      <w:tblPr>
        <w:tblW w:w="9450" w:type="dxa"/>
        <w:tblInd w:w="-60" w:type="dxa"/>
        <w:tblBorders>
          <w:top w:val="double" w:sz="12" w:space="0" w:color="000000"/>
          <w:left w:val="double" w:sz="12" w:space="0" w:color="000000"/>
          <w:bottom w:val="double" w:sz="12" w:space="0" w:color="000000"/>
          <w:right w:val="double" w:sz="12" w:space="0" w:color="000000"/>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2520"/>
        <w:gridCol w:w="6930"/>
      </w:tblGrid>
      <w:tr w:rsidR="006D528D" w:rsidRPr="002532DF">
        <w:tc>
          <w:tcPr>
            <w:tcW w:w="2520" w:type="dxa"/>
          </w:tcPr>
          <w:p w:rsidR="006D528D" w:rsidRPr="002532DF" w:rsidRDefault="006D528D" w:rsidP="00990877">
            <w:pPr>
              <w:spacing w:after="58"/>
              <w:jc w:val="center"/>
              <w:rPr>
                <w:sz w:val="25"/>
                <w:szCs w:val="25"/>
              </w:rPr>
            </w:pPr>
            <w:r w:rsidRPr="002532DF">
              <w:rPr>
                <w:b/>
                <w:bCs/>
                <w:sz w:val="25"/>
                <w:szCs w:val="25"/>
              </w:rPr>
              <w:t>TERM</w:t>
            </w:r>
          </w:p>
        </w:tc>
        <w:tc>
          <w:tcPr>
            <w:tcW w:w="6930" w:type="dxa"/>
          </w:tcPr>
          <w:p w:rsidR="006D528D" w:rsidRPr="002532DF" w:rsidRDefault="006D528D" w:rsidP="00990877">
            <w:pPr>
              <w:spacing w:after="120"/>
              <w:jc w:val="center"/>
              <w:rPr>
                <w:b/>
                <w:color w:val="000000"/>
                <w:sz w:val="25"/>
                <w:szCs w:val="25"/>
              </w:rPr>
            </w:pPr>
            <w:r w:rsidRPr="002532DF">
              <w:rPr>
                <w:b/>
                <w:sz w:val="25"/>
                <w:szCs w:val="25"/>
              </w:rPr>
              <w:t>DESCRIPTION</w:t>
            </w:r>
          </w:p>
        </w:tc>
      </w:tr>
      <w:tr w:rsidR="00B94E43" w:rsidRPr="002532DF">
        <w:tc>
          <w:tcPr>
            <w:tcW w:w="2520" w:type="dxa"/>
          </w:tcPr>
          <w:p w:rsidR="00B94E43" w:rsidRPr="002532DF" w:rsidRDefault="00B94E43" w:rsidP="00990877">
            <w:pPr>
              <w:spacing w:after="58"/>
              <w:rPr>
                <w:sz w:val="25"/>
                <w:szCs w:val="25"/>
              </w:rPr>
            </w:pPr>
            <w:r w:rsidRPr="002532DF">
              <w:rPr>
                <w:sz w:val="25"/>
                <w:szCs w:val="25"/>
              </w:rPr>
              <w:t>AIP</w:t>
            </w:r>
          </w:p>
        </w:tc>
        <w:tc>
          <w:tcPr>
            <w:tcW w:w="6930" w:type="dxa"/>
          </w:tcPr>
          <w:p w:rsidR="00B94E43" w:rsidRPr="002532DF" w:rsidRDefault="00B94E43" w:rsidP="00990877">
            <w:pPr>
              <w:spacing w:after="120"/>
              <w:rPr>
                <w:color w:val="000000"/>
                <w:sz w:val="25"/>
                <w:szCs w:val="25"/>
              </w:rPr>
            </w:pPr>
            <w:r w:rsidRPr="002532DF">
              <w:rPr>
                <w:color w:val="000000"/>
                <w:sz w:val="25"/>
                <w:szCs w:val="25"/>
              </w:rPr>
              <w:t>Annual Incentive Plan.</w:t>
            </w:r>
          </w:p>
        </w:tc>
      </w:tr>
      <w:tr w:rsidR="006D528D" w:rsidRPr="002532DF">
        <w:tc>
          <w:tcPr>
            <w:tcW w:w="2520" w:type="dxa"/>
          </w:tcPr>
          <w:p w:rsidR="006D528D" w:rsidRPr="002532DF" w:rsidRDefault="006D528D" w:rsidP="00990877">
            <w:pPr>
              <w:spacing w:after="58"/>
              <w:rPr>
                <w:sz w:val="25"/>
                <w:szCs w:val="25"/>
              </w:rPr>
            </w:pPr>
            <w:r w:rsidRPr="002532DF">
              <w:rPr>
                <w:sz w:val="25"/>
                <w:szCs w:val="25"/>
              </w:rPr>
              <w:t>CA</w:t>
            </w:r>
            <w:r w:rsidR="00F64EE7" w:rsidRPr="002532DF">
              <w:rPr>
                <w:sz w:val="25"/>
                <w:szCs w:val="25"/>
              </w:rPr>
              <w:t>EW</w:t>
            </w:r>
            <w:r w:rsidRPr="002532DF">
              <w:rPr>
                <w:sz w:val="25"/>
                <w:szCs w:val="25"/>
              </w:rPr>
              <w:t xml:space="preserve"> </w:t>
            </w:r>
          </w:p>
        </w:tc>
        <w:tc>
          <w:tcPr>
            <w:tcW w:w="6930" w:type="dxa"/>
          </w:tcPr>
          <w:p w:rsidR="006D528D" w:rsidRPr="002532DF" w:rsidRDefault="006D528D" w:rsidP="0036285F">
            <w:pPr>
              <w:spacing w:after="120"/>
              <w:rPr>
                <w:color w:val="000000"/>
                <w:sz w:val="25"/>
                <w:szCs w:val="25"/>
              </w:rPr>
            </w:pPr>
            <w:r w:rsidRPr="002532DF">
              <w:rPr>
                <w:color w:val="000000"/>
                <w:sz w:val="25"/>
                <w:szCs w:val="25"/>
              </w:rPr>
              <w:t xml:space="preserve">Control </w:t>
            </w:r>
            <w:r w:rsidR="00F64EE7" w:rsidRPr="002532DF">
              <w:rPr>
                <w:color w:val="000000"/>
                <w:sz w:val="25"/>
                <w:szCs w:val="25"/>
              </w:rPr>
              <w:t>A</w:t>
            </w:r>
            <w:r w:rsidRPr="002532DF">
              <w:rPr>
                <w:color w:val="000000"/>
                <w:sz w:val="25"/>
                <w:szCs w:val="25"/>
              </w:rPr>
              <w:t xml:space="preserve">rea </w:t>
            </w:r>
            <w:r w:rsidR="00F64EE7" w:rsidRPr="002532DF">
              <w:rPr>
                <w:color w:val="000000"/>
                <w:sz w:val="25"/>
                <w:szCs w:val="25"/>
              </w:rPr>
              <w:t>Energy – West</w:t>
            </w:r>
            <w:r w:rsidRPr="002532DF">
              <w:rPr>
                <w:color w:val="000000"/>
                <w:sz w:val="25"/>
                <w:szCs w:val="25"/>
              </w:rPr>
              <w:t xml:space="preserve">.  </w:t>
            </w:r>
            <w:r w:rsidR="00F64EE7" w:rsidRPr="002532DF">
              <w:rPr>
                <w:sz w:val="25"/>
                <w:szCs w:val="25"/>
              </w:rPr>
              <w:t xml:space="preserve">An allocation factor used in the WCA interjurisdictional cost allocation methodology.  The CAEW factor is a 100 percent energy weighting of </w:t>
            </w:r>
            <w:smartTag w:uri="urn:schemas-microsoft-com:office:smarttags" w:element="State">
              <w:r w:rsidR="00F64EE7" w:rsidRPr="002532DF">
                <w:rPr>
                  <w:sz w:val="25"/>
                  <w:szCs w:val="25"/>
                </w:rPr>
                <w:t>Oregon</w:t>
              </w:r>
            </w:smartTag>
            <w:r w:rsidR="00F64EE7" w:rsidRPr="002532DF">
              <w:rPr>
                <w:sz w:val="25"/>
                <w:szCs w:val="25"/>
              </w:rPr>
              <w:t xml:space="preserve">, </w:t>
            </w:r>
            <w:smartTag w:uri="urn:schemas-microsoft-com:office:smarttags" w:element="State">
              <w:r w:rsidR="00F64EE7" w:rsidRPr="002532DF">
                <w:rPr>
                  <w:sz w:val="25"/>
                  <w:szCs w:val="25"/>
                </w:rPr>
                <w:t>Washington</w:t>
              </w:r>
            </w:smartTag>
            <w:r w:rsidR="00F64EE7" w:rsidRPr="002532DF">
              <w:rPr>
                <w:sz w:val="25"/>
                <w:szCs w:val="25"/>
              </w:rPr>
              <w:t xml:space="preserve"> and </w:t>
            </w:r>
            <w:smartTag w:uri="urn:schemas-microsoft-com:office:smarttags" w:element="State">
              <w:smartTag w:uri="urn:schemas-microsoft-com:office:smarttags" w:element="place">
                <w:r w:rsidR="00F64EE7" w:rsidRPr="002532DF">
                  <w:rPr>
                    <w:sz w:val="25"/>
                    <w:szCs w:val="25"/>
                  </w:rPr>
                  <w:t>California</w:t>
                </w:r>
              </w:smartTag>
            </w:smartTag>
            <w:r w:rsidR="00F64EE7" w:rsidRPr="002532DF">
              <w:rPr>
                <w:sz w:val="25"/>
                <w:szCs w:val="25"/>
              </w:rPr>
              <w:t xml:space="preserve"> retail loads based on each states’ share of the west control area temperature normalized annual megawatt hours.</w:t>
            </w:r>
            <w:r w:rsidR="00F06B60" w:rsidRPr="002532DF">
              <w:rPr>
                <w:sz w:val="25"/>
                <w:szCs w:val="25"/>
              </w:rPr>
              <w:t xml:space="preserve">  .</w:t>
            </w:r>
          </w:p>
        </w:tc>
      </w:tr>
      <w:tr w:rsidR="00B94E43" w:rsidRPr="002532DF">
        <w:tc>
          <w:tcPr>
            <w:tcW w:w="2520" w:type="dxa"/>
          </w:tcPr>
          <w:p w:rsidR="00B94E43" w:rsidRPr="002532DF" w:rsidRDefault="00B94E43" w:rsidP="00990877">
            <w:pPr>
              <w:spacing w:after="58"/>
              <w:rPr>
                <w:sz w:val="25"/>
                <w:szCs w:val="25"/>
              </w:rPr>
            </w:pPr>
            <w:r w:rsidRPr="002532DF">
              <w:rPr>
                <w:sz w:val="25"/>
                <w:szCs w:val="25"/>
              </w:rPr>
              <w:t>DC Current Intertie</w:t>
            </w:r>
          </w:p>
        </w:tc>
        <w:tc>
          <w:tcPr>
            <w:tcW w:w="6930" w:type="dxa"/>
          </w:tcPr>
          <w:p w:rsidR="00B94E43" w:rsidRPr="002532DF" w:rsidRDefault="00B94E43" w:rsidP="00990877">
            <w:pPr>
              <w:spacing w:after="120"/>
              <w:rPr>
                <w:color w:val="000000"/>
                <w:sz w:val="25"/>
                <w:szCs w:val="25"/>
              </w:rPr>
            </w:pPr>
            <w:r w:rsidRPr="002532DF">
              <w:rPr>
                <w:color w:val="000000"/>
                <w:sz w:val="25"/>
                <w:szCs w:val="25"/>
              </w:rPr>
              <w:t>Direct Current Intertie</w:t>
            </w:r>
          </w:p>
        </w:tc>
      </w:tr>
      <w:tr w:rsidR="006D528D" w:rsidRPr="002532DF">
        <w:tc>
          <w:tcPr>
            <w:tcW w:w="2520" w:type="dxa"/>
          </w:tcPr>
          <w:p w:rsidR="006D528D" w:rsidRPr="002532DF" w:rsidRDefault="006D528D" w:rsidP="00990877">
            <w:pPr>
              <w:spacing w:after="58"/>
              <w:rPr>
                <w:sz w:val="25"/>
                <w:szCs w:val="25"/>
              </w:rPr>
            </w:pPr>
            <w:r w:rsidRPr="002532DF">
              <w:rPr>
                <w:sz w:val="25"/>
                <w:szCs w:val="25"/>
              </w:rPr>
              <w:t>Deferral Account</w:t>
            </w:r>
          </w:p>
        </w:tc>
        <w:tc>
          <w:tcPr>
            <w:tcW w:w="6930" w:type="dxa"/>
          </w:tcPr>
          <w:p w:rsidR="006D528D" w:rsidRPr="002532DF" w:rsidRDefault="006D528D" w:rsidP="00990877">
            <w:pPr>
              <w:spacing w:after="120"/>
              <w:rPr>
                <w:color w:val="000000"/>
                <w:sz w:val="25"/>
                <w:szCs w:val="25"/>
              </w:rPr>
            </w:pPr>
            <w:r w:rsidRPr="002532DF">
              <w:rPr>
                <w:color w:val="000000"/>
                <w:sz w:val="25"/>
                <w:szCs w:val="25"/>
              </w:rPr>
              <w:t>An accounting convention that allows a utility, with authorization from the Commission, to record costs during one period for possible recovery in rates during a subsequent period.  Permission to defer costs does not carry a guarantee that the costs will later be allowed in rates or that unamortized deferral balance will be allowed to earn a return as rate base.</w:t>
            </w:r>
          </w:p>
        </w:tc>
      </w:tr>
      <w:tr w:rsidR="006D528D" w:rsidRPr="002532DF">
        <w:tc>
          <w:tcPr>
            <w:tcW w:w="2520" w:type="dxa"/>
          </w:tcPr>
          <w:p w:rsidR="006D528D" w:rsidRPr="002532DF" w:rsidRDefault="006D528D" w:rsidP="00990877">
            <w:pPr>
              <w:spacing w:after="58"/>
              <w:rPr>
                <w:sz w:val="25"/>
                <w:szCs w:val="25"/>
              </w:rPr>
            </w:pPr>
            <w:r w:rsidRPr="002532DF">
              <w:rPr>
                <w:sz w:val="25"/>
                <w:szCs w:val="25"/>
              </w:rPr>
              <w:t>GRID</w:t>
            </w:r>
          </w:p>
        </w:tc>
        <w:tc>
          <w:tcPr>
            <w:tcW w:w="6930" w:type="dxa"/>
          </w:tcPr>
          <w:p w:rsidR="006D528D" w:rsidRPr="002532DF" w:rsidRDefault="00B94E43" w:rsidP="00B94E43">
            <w:pPr>
              <w:spacing w:after="120"/>
              <w:rPr>
                <w:sz w:val="25"/>
                <w:szCs w:val="25"/>
              </w:rPr>
            </w:pPr>
            <w:r w:rsidRPr="002532DF">
              <w:rPr>
                <w:sz w:val="25"/>
                <w:szCs w:val="25"/>
              </w:rPr>
              <w:t xml:space="preserve">Generation and Regulation Initiatives Decision model.  </w:t>
            </w:r>
            <w:r w:rsidR="006D528D" w:rsidRPr="002532DF">
              <w:rPr>
                <w:sz w:val="25"/>
                <w:szCs w:val="25"/>
              </w:rPr>
              <w:t>A computer model that PacifiCorp uses to estimate future power costs.</w:t>
            </w:r>
          </w:p>
        </w:tc>
      </w:tr>
      <w:tr w:rsidR="006D528D" w:rsidRPr="002532DF">
        <w:tc>
          <w:tcPr>
            <w:tcW w:w="2520" w:type="dxa"/>
          </w:tcPr>
          <w:p w:rsidR="006D528D" w:rsidRPr="002532DF" w:rsidRDefault="006D528D" w:rsidP="00990877">
            <w:pPr>
              <w:spacing w:after="58"/>
              <w:rPr>
                <w:sz w:val="25"/>
                <w:szCs w:val="25"/>
              </w:rPr>
            </w:pPr>
            <w:r w:rsidRPr="002532DF">
              <w:rPr>
                <w:sz w:val="25"/>
                <w:szCs w:val="25"/>
              </w:rPr>
              <w:t>ICNU (Industrial Customers of Northwest Utilities)</w:t>
            </w:r>
          </w:p>
        </w:tc>
        <w:tc>
          <w:tcPr>
            <w:tcW w:w="6930" w:type="dxa"/>
          </w:tcPr>
          <w:p w:rsidR="006D528D" w:rsidRPr="002532DF" w:rsidRDefault="006D528D" w:rsidP="00580B82">
            <w:pPr>
              <w:spacing w:after="120"/>
              <w:rPr>
                <w:color w:val="000000"/>
                <w:sz w:val="25"/>
                <w:szCs w:val="25"/>
              </w:rPr>
            </w:pPr>
            <w:r w:rsidRPr="002532DF">
              <w:rPr>
                <w:sz w:val="25"/>
                <w:szCs w:val="25"/>
              </w:rPr>
              <w:t>Industrial Customers of Northwest Utilities is a regional organization whose members are large industrial customers of various utilities, including P</w:t>
            </w:r>
            <w:r w:rsidR="00580B82" w:rsidRPr="002532DF">
              <w:rPr>
                <w:sz w:val="25"/>
                <w:szCs w:val="25"/>
              </w:rPr>
              <w:t>acifiCorp</w:t>
            </w:r>
            <w:r w:rsidRPr="002532DF">
              <w:rPr>
                <w:sz w:val="25"/>
                <w:szCs w:val="25"/>
              </w:rPr>
              <w:t>.</w:t>
            </w:r>
          </w:p>
        </w:tc>
      </w:tr>
      <w:tr w:rsidR="006D528D" w:rsidRPr="002532DF">
        <w:tc>
          <w:tcPr>
            <w:tcW w:w="2520" w:type="dxa"/>
          </w:tcPr>
          <w:p w:rsidR="006D528D" w:rsidRPr="002532DF" w:rsidRDefault="006D528D" w:rsidP="00990877">
            <w:pPr>
              <w:spacing w:after="58"/>
              <w:rPr>
                <w:sz w:val="25"/>
                <w:szCs w:val="25"/>
              </w:rPr>
            </w:pPr>
            <w:r w:rsidRPr="002532DF">
              <w:rPr>
                <w:sz w:val="25"/>
                <w:szCs w:val="25"/>
              </w:rPr>
              <w:t>ISCW</w:t>
            </w:r>
          </w:p>
        </w:tc>
        <w:tc>
          <w:tcPr>
            <w:tcW w:w="6930" w:type="dxa"/>
          </w:tcPr>
          <w:p w:rsidR="006D528D" w:rsidRPr="002532DF" w:rsidRDefault="006D528D" w:rsidP="007A1375">
            <w:pPr>
              <w:spacing w:after="120"/>
              <w:rPr>
                <w:sz w:val="25"/>
                <w:szCs w:val="25"/>
              </w:rPr>
            </w:pPr>
            <w:r w:rsidRPr="002532DF">
              <w:rPr>
                <w:sz w:val="25"/>
                <w:szCs w:val="25"/>
              </w:rPr>
              <w:t>Investor</w:t>
            </w:r>
            <w:r w:rsidR="00B94E43" w:rsidRPr="002532DF">
              <w:rPr>
                <w:sz w:val="25"/>
                <w:szCs w:val="25"/>
              </w:rPr>
              <w:t>-</w:t>
            </w:r>
            <w:r w:rsidRPr="002532DF">
              <w:rPr>
                <w:sz w:val="25"/>
                <w:szCs w:val="25"/>
              </w:rPr>
              <w:t>supplied working capital.  The average amount of capital provided by investors in the company, over and above the investments in plant and other specifically identified rate base items, to bridge the gap between the time expenditures are required to provide service and the time collections are received for that service.  The accounting definition of working capital is current assets less current liabilities.  According to Goodman, the accounting definition is s</w:t>
            </w:r>
            <w:r w:rsidR="00580B82" w:rsidRPr="002532DF">
              <w:rPr>
                <w:sz w:val="25"/>
                <w:szCs w:val="25"/>
              </w:rPr>
              <w:t>eldom used in rate regulation</w:t>
            </w:r>
            <w:r w:rsidRPr="002532DF">
              <w:rPr>
                <w:sz w:val="25"/>
                <w:szCs w:val="25"/>
              </w:rPr>
              <w:t>.</w:t>
            </w:r>
            <w:r w:rsidRPr="002532DF">
              <w:rPr>
                <w:rStyle w:val="FootnoteReference"/>
                <w:sz w:val="25"/>
                <w:szCs w:val="25"/>
              </w:rPr>
              <w:footnoteReference w:id="569"/>
            </w:r>
          </w:p>
        </w:tc>
      </w:tr>
      <w:tr w:rsidR="006D528D" w:rsidRPr="002532DF">
        <w:tc>
          <w:tcPr>
            <w:tcW w:w="2520" w:type="dxa"/>
          </w:tcPr>
          <w:p w:rsidR="006D528D" w:rsidRPr="002532DF" w:rsidRDefault="006D528D" w:rsidP="00990877">
            <w:pPr>
              <w:spacing w:after="58"/>
              <w:rPr>
                <w:bCs/>
                <w:color w:val="000000"/>
                <w:sz w:val="25"/>
                <w:szCs w:val="25"/>
              </w:rPr>
            </w:pPr>
            <w:bookmarkStart w:id="83" w:name="mmbtu"/>
            <w:bookmarkEnd w:id="83"/>
            <w:r w:rsidRPr="002532DF">
              <w:rPr>
                <w:bCs/>
                <w:color w:val="000000"/>
                <w:sz w:val="25"/>
                <w:szCs w:val="25"/>
              </w:rPr>
              <w:t>LIBA</w:t>
            </w:r>
          </w:p>
        </w:tc>
        <w:tc>
          <w:tcPr>
            <w:tcW w:w="6930" w:type="dxa"/>
          </w:tcPr>
          <w:p w:rsidR="00B94E43" w:rsidRPr="002532DF" w:rsidRDefault="006D528D" w:rsidP="00B94E43">
            <w:pPr>
              <w:spacing w:after="120"/>
              <w:rPr>
                <w:color w:val="000000"/>
                <w:sz w:val="25"/>
                <w:szCs w:val="25"/>
              </w:rPr>
            </w:pPr>
            <w:r w:rsidRPr="002532DF">
              <w:rPr>
                <w:color w:val="000000"/>
                <w:sz w:val="25"/>
                <w:szCs w:val="25"/>
              </w:rPr>
              <w:t>Low income bill assistance.  This is a ratepayer-funded program to provide financial assistance to qualified PacifiCorp customers who have difficulty paying their utility bills.</w:t>
            </w:r>
          </w:p>
          <w:p w:rsidR="00B94E43" w:rsidRPr="002532DF" w:rsidRDefault="00B94E43" w:rsidP="00B94E43">
            <w:pPr>
              <w:spacing w:after="120"/>
              <w:rPr>
                <w:color w:val="000000"/>
                <w:sz w:val="25"/>
                <w:szCs w:val="25"/>
              </w:rPr>
            </w:pPr>
          </w:p>
        </w:tc>
      </w:tr>
      <w:tr w:rsidR="00580B82" w:rsidRPr="002532DF">
        <w:tc>
          <w:tcPr>
            <w:tcW w:w="2520" w:type="dxa"/>
          </w:tcPr>
          <w:p w:rsidR="00580B82" w:rsidRPr="002532DF" w:rsidRDefault="00580B82" w:rsidP="00990877">
            <w:pPr>
              <w:spacing w:after="58"/>
              <w:rPr>
                <w:sz w:val="25"/>
                <w:szCs w:val="25"/>
              </w:rPr>
            </w:pPr>
            <w:r w:rsidRPr="002532DF">
              <w:rPr>
                <w:sz w:val="25"/>
                <w:szCs w:val="25"/>
              </w:rPr>
              <w:t>LIWA</w:t>
            </w:r>
          </w:p>
        </w:tc>
        <w:tc>
          <w:tcPr>
            <w:tcW w:w="6930" w:type="dxa"/>
          </w:tcPr>
          <w:p w:rsidR="00580B82" w:rsidRPr="002532DF" w:rsidRDefault="00580B82" w:rsidP="00990877">
            <w:pPr>
              <w:spacing w:after="120"/>
              <w:rPr>
                <w:sz w:val="25"/>
                <w:szCs w:val="25"/>
              </w:rPr>
            </w:pPr>
            <w:r w:rsidRPr="002532DF">
              <w:rPr>
                <w:sz w:val="25"/>
                <w:szCs w:val="25"/>
              </w:rPr>
              <w:t xml:space="preserve">Low Income Weatherization Assistance program.  </w:t>
            </w:r>
          </w:p>
        </w:tc>
      </w:tr>
      <w:tr w:rsidR="006D528D" w:rsidRPr="002532DF">
        <w:tc>
          <w:tcPr>
            <w:tcW w:w="2520" w:type="dxa"/>
          </w:tcPr>
          <w:p w:rsidR="006D528D" w:rsidRPr="002532DF" w:rsidRDefault="006D528D" w:rsidP="00990877">
            <w:pPr>
              <w:spacing w:after="58"/>
              <w:rPr>
                <w:sz w:val="25"/>
                <w:szCs w:val="25"/>
              </w:rPr>
            </w:pPr>
            <w:r w:rsidRPr="002532DF">
              <w:rPr>
                <w:sz w:val="25"/>
                <w:szCs w:val="25"/>
              </w:rPr>
              <w:t>MEHC</w:t>
            </w:r>
          </w:p>
        </w:tc>
        <w:tc>
          <w:tcPr>
            <w:tcW w:w="6930" w:type="dxa"/>
          </w:tcPr>
          <w:p w:rsidR="006D528D" w:rsidRPr="002532DF" w:rsidRDefault="006D528D" w:rsidP="00990877">
            <w:pPr>
              <w:spacing w:after="120"/>
              <w:rPr>
                <w:sz w:val="25"/>
                <w:szCs w:val="25"/>
              </w:rPr>
            </w:pPr>
            <w:r w:rsidRPr="002532DF">
              <w:rPr>
                <w:sz w:val="25"/>
                <w:szCs w:val="25"/>
              </w:rPr>
              <w:t>MidAmerican Energy Holding Company.  A part of the Berkshire Hathaway group of companies, MEHC purchased PacifiCorp in 2005 in a transaction the Commission examined and approved in Docket UE-051090</w:t>
            </w:r>
          </w:p>
        </w:tc>
      </w:tr>
      <w:tr w:rsidR="006D528D" w:rsidRPr="002532DF">
        <w:tc>
          <w:tcPr>
            <w:tcW w:w="2520" w:type="dxa"/>
          </w:tcPr>
          <w:p w:rsidR="006D528D" w:rsidRPr="002532DF" w:rsidRDefault="006D528D" w:rsidP="00990877">
            <w:pPr>
              <w:spacing w:after="58"/>
              <w:rPr>
                <w:sz w:val="25"/>
                <w:szCs w:val="25"/>
              </w:rPr>
            </w:pPr>
            <w:r w:rsidRPr="002532DF">
              <w:rPr>
                <w:sz w:val="25"/>
                <w:szCs w:val="25"/>
              </w:rPr>
              <w:t>NOI</w:t>
            </w:r>
          </w:p>
        </w:tc>
        <w:tc>
          <w:tcPr>
            <w:tcW w:w="6930" w:type="dxa"/>
          </w:tcPr>
          <w:p w:rsidR="006D528D" w:rsidRPr="002532DF" w:rsidRDefault="006D528D" w:rsidP="00990877">
            <w:pPr>
              <w:spacing w:after="120"/>
              <w:rPr>
                <w:sz w:val="25"/>
                <w:szCs w:val="25"/>
              </w:rPr>
            </w:pPr>
            <w:r w:rsidRPr="002532DF">
              <w:rPr>
                <w:sz w:val="25"/>
                <w:szCs w:val="25"/>
              </w:rPr>
              <w:t>Net operating income.</w:t>
            </w:r>
            <w:r w:rsidR="001F0365" w:rsidRPr="002532DF">
              <w:rPr>
                <w:sz w:val="25"/>
                <w:szCs w:val="25"/>
              </w:rPr>
              <w:t xml:space="preserve"> A company's operating income after operating expenses are deducted, but before income taxes and interest are deducted. </w:t>
            </w:r>
          </w:p>
        </w:tc>
      </w:tr>
      <w:tr w:rsidR="00B94E43" w:rsidRPr="002532DF">
        <w:tc>
          <w:tcPr>
            <w:tcW w:w="2520" w:type="dxa"/>
          </w:tcPr>
          <w:p w:rsidR="00B94E43" w:rsidRPr="002532DF" w:rsidRDefault="00B94E43" w:rsidP="00990877">
            <w:pPr>
              <w:spacing w:after="58"/>
              <w:rPr>
                <w:sz w:val="25"/>
                <w:szCs w:val="25"/>
              </w:rPr>
            </w:pPr>
            <w:r w:rsidRPr="002532DF">
              <w:rPr>
                <w:sz w:val="25"/>
                <w:szCs w:val="25"/>
              </w:rPr>
              <w:t>REC</w:t>
            </w:r>
          </w:p>
        </w:tc>
        <w:tc>
          <w:tcPr>
            <w:tcW w:w="6930" w:type="dxa"/>
          </w:tcPr>
          <w:p w:rsidR="00B94E43" w:rsidRPr="002532DF" w:rsidRDefault="00B94E43" w:rsidP="00990877">
            <w:pPr>
              <w:spacing w:after="120"/>
              <w:rPr>
                <w:sz w:val="25"/>
                <w:szCs w:val="25"/>
              </w:rPr>
            </w:pPr>
            <w:r w:rsidRPr="002532DF">
              <w:rPr>
                <w:sz w:val="25"/>
                <w:szCs w:val="25"/>
              </w:rPr>
              <w:t>Renewable Energy Credit.</w:t>
            </w:r>
          </w:p>
        </w:tc>
      </w:tr>
      <w:tr w:rsidR="006D528D" w:rsidRPr="002532DF">
        <w:tc>
          <w:tcPr>
            <w:tcW w:w="2520" w:type="dxa"/>
          </w:tcPr>
          <w:p w:rsidR="006D528D" w:rsidRPr="002532DF" w:rsidRDefault="006D528D" w:rsidP="00990877">
            <w:pPr>
              <w:spacing w:after="58"/>
              <w:rPr>
                <w:b/>
                <w:bCs/>
                <w:sz w:val="25"/>
                <w:szCs w:val="25"/>
              </w:rPr>
            </w:pPr>
            <w:r w:rsidRPr="002532DF">
              <w:rPr>
                <w:sz w:val="25"/>
                <w:szCs w:val="25"/>
              </w:rPr>
              <w:t>ROE (return on equity)</w:t>
            </w:r>
          </w:p>
        </w:tc>
        <w:tc>
          <w:tcPr>
            <w:tcW w:w="6930" w:type="dxa"/>
          </w:tcPr>
          <w:p w:rsidR="006D528D" w:rsidRPr="002532DF" w:rsidRDefault="006D528D" w:rsidP="00990877">
            <w:pPr>
              <w:spacing w:after="120"/>
              <w:rPr>
                <w:b/>
                <w:bCs/>
                <w:sz w:val="25"/>
                <w:szCs w:val="25"/>
              </w:rPr>
            </w:pPr>
            <w:r w:rsidRPr="002532DF">
              <w:rPr>
                <w:sz w:val="25"/>
                <w:szCs w:val="25"/>
              </w:rPr>
              <w:t>The rate of earnings realized by a utility on its shareholders' assets, calculated by dividing the earnings available for dividends by the equity portion of the rate base.  The Commission establishes an authorized rate of return for recovery in rates.</w:t>
            </w:r>
          </w:p>
        </w:tc>
      </w:tr>
      <w:tr w:rsidR="00B94E43" w:rsidRPr="002532DF">
        <w:tc>
          <w:tcPr>
            <w:tcW w:w="2520" w:type="dxa"/>
          </w:tcPr>
          <w:p w:rsidR="00B94E43" w:rsidRPr="002532DF" w:rsidRDefault="00B94E43" w:rsidP="00990877">
            <w:pPr>
              <w:spacing w:after="58"/>
              <w:rPr>
                <w:sz w:val="25"/>
                <w:szCs w:val="25"/>
              </w:rPr>
            </w:pPr>
            <w:r w:rsidRPr="002532DF">
              <w:rPr>
                <w:sz w:val="25"/>
                <w:szCs w:val="25"/>
              </w:rPr>
              <w:t>SCL</w:t>
            </w:r>
          </w:p>
        </w:tc>
        <w:tc>
          <w:tcPr>
            <w:tcW w:w="6930" w:type="dxa"/>
          </w:tcPr>
          <w:p w:rsidR="00B94E43" w:rsidRPr="002532DF" w:rsidRDefault="00B94E43" w:rsidP="00990877">
            <w:pPr>
              <w:spacing w:after="120"/>
              <w:rPr>
                <w:sz w:val="25"/>
                <w:szCs w:val="25"/>
              </w:rPr>
            </w:pPr>
            <w:r w:rsidRPr="002532DF">
              <w:rPr>
                <w:sz w:val="25"/>
                <w:szCs w:val="25"/>
              </w:rPr>
              <w:t>Seattle City Light</w:t>
            </w:r>
          </w:p>
        </w:tc>
      </w:tr>
      <w:tr w:rsidR="00B94E43" w:rsidRPr="002532DF">
        <w:tc>
          <w:tcPr>
            <w:tcW w:w="2520" w:type="dxa"/>
          </w:tcPr>
          <w:p w:rsidR="00B94E43" w:rsidRPr="002532DF" w:rsidRDefault="00B94E43" w:rsidP="00990877">
            <w:pPr>
              <w:spacing w:after="58"/>
              <w:rPr>
                <w:sz w:val="25"/>
                <w:szCs w:val="25"/>
              </w:rPr>
            </w:pPr>
            <w:r w:rsidRPr="002532DF">
              <w:rPr>
                <w:sz w:val="25"/>
                <w:szCs w:val="25"/>
              </w:rPr>
              <w:t>SERP</w:t>
            </w:r>
          </w:p>
        </w:tc>
        <w:tc>
          <w:tcPr>
            <w:tcW w:w="6930" w:type="dxa"/>
          </w:tcPr>
          <w:p w:rsidR="00B94E43" w:rsidRPr="002532DF" w:rsidRDefault="00B94E43" w:rsidP="00990877">
            <w:pPr>
              <w:spacing w:after="120"/>
              <w:rPr>
                <w:sz w:val="25"/>
                <w:szCs w:val="25"/>
              </w:rPr>
            </w:pPr>
            <w:r w:rsidRPr="002532DF">
              <w:rPr>
                <w:sz w:val="25"/>
                <w:szCs w:val="25"/>
              </w:rPr>
              <w:t>Supplemental Executive Retirement Plan.</w:t>
            </w:r>
          </w:p>
        </w:tc>
      </w:tr>
      <w:tr w:rsidR="006D528D" w:rsidRPr="002532DF">
        <w:tc>
          <w:tcPr>
            <w:tcW w:w="2520" w:type="dxa"/>
          </w:tcPr>
          <w:p w:rsidR="006D528D" w:rsidRPr="002532DF" w:rsidRDefault="006D528D" w:rsidP="00990877">
            <w:pPr>
              <w:rPr>
                <w:bCs/>
                <w:sz w:val="25"/>
                <w:szCs w:val="25"/>
              </w:rPr>
            </w:pPr>
            <w:r w:rsidRPr="002532DF">
              <w:rPr>
                <w:bCs/>
                <w:sz w:val="25"/>
                <w:szCs w:val="25"/>
              </w:rPr>
              <w:t>SMUD</w:t>
            </w:r>
          </w:p>
        </w:tc>
        <w:tc>
          <w:tcPr>
            <w:tcW w:w="6930" w:type="dxa"/>
          </w:tcPr>
          <w:p w:rsidR="006D528D" w:rsidRPr="002532DF" w:rsidRDefault="006D528D" w:rsidP="00990877">
            <w:pPr>
              <w:spacing w:after="120"/>
              <w:rPr>
                <w:sz w:val="25"/>
                <w:szCs w:val="25"/>
              </w:rPr>
            </w:pPr>
            <w:r w:rsidRPr="002532DF">
              <w:rPr>
                <w:sz w:val="25"/>
                <w:szCs w:val="25"/>
              </w:rPr>
              <w:t>Sacramento Municipal Utility District.</w:t>
            </w:r>
          </w:p>
        </w:tc>
      </w:tr>
      <w:tr w:rsidR="006D528D" w:rsidRPr="002532DF">
        <w:tc>
          <w:tcPr>
            <w:tcW w:w="2520" w:type="dxa"/>
          </w:tcPr>
          <w:p w:rsidR="006D528D" w:rsidRPr="002532DF" w:rsidRDefault="006D528D" w:rsidP="00990877">
            <w:pPr>
              <w:rPr>
                <w:bCs/>
                <w:sz w:val="25"/>
                <w:szCs w:val="25"/>
              </w:rPr>
            </w:pPr>
            <w:r w:rsidRPr="002532DF">
              <w:rPr>
                <w:bCs/>
                <w:sz w:val="25"/>
                <w:szCs w:val="25"/>
              </w:rPr>
              <w:t>WCA (West control area) allocation</w:t>
            </w:r>
          </w:p>
        </w:tc>
        <w:tc>
          <w:tcPr>
            <w:tcW w:w="6930" w:type="dxa"/>
          </w:tcPr>
          <w:p w:rsidR="006D528D" w:rsidRPr="002532DF" w:rsidRDefault="006D528D" w:rsidP="00990877">
            <w:pPr>
              <w:spacing w:after="120"/>
              <w:rPr>
                <w:sz w:val="25"/>
                <w:szCs w:val="25"/>
              </w:rPr>
            </w:pPr>
            <w:r w:rsidRPr="002532DF">
              <w:rPr>
                <w:sz w:val="25"/>
                <w:szCs w:val="25"/>
              </w:rPr>
              <w:t>An interjurisdictional cost allocation methodology that eliminates all resources and loads in PacifiCorp’s east control area, though it does include resources that serve but are not physically located in the WCA states (</w:t>
            </w:r>
            <w:smartTag w:uri="urn:schemas-microsoft-com:office:smarttags" w:element="City">
              <w:r w:rsidRPr="002532DF">
                <w:rPr>
                  <w:sz w:val="25"/>
                  <w:szCs w:val="25"/>
                </w:rPr>
                <w:t>Washington</w:t>
              </w:r>
            </w:smartTag>
            <w:r w:rsidRPr="002532DF">
              <w:rPr>
                <w:sz w:val="25"/>
                <w:szCs w:val="25"/>
              </w:rPr>
              <w:t xml:space="preserve">, </w:t>
            </w:r>
            <w:smartTag w:uri="urn:schemas-microsoft-com:office:smarttags" w:element="State">
              <w:r w:rsidRPr="002532DF">
                <w:rPr>
                  <w:sz w:val="25"/>
                  <w:szCs w:val="25"/>
                </w:rPr>
                <w:t>Oregon</w:t>
              </w:r>
            </w:smartTag>
            <w:r w:rsidRPr="002532DF">
              <w:rPr>
                <w:sz w:val="25"/>
                <w:szCs w:val="25"/>
              </w:rPr>
              <w:t xml:space="preserve">, </w:t>
            </w:r>
            <w:smartTag w:uri="urn:schemas-microsoft-com:office:smarttags" w:element="State">
              <w:smartTag w:uri="urn:schemas-microsoft-com:office:smarttags" w:element="place">
                <w:r w:rsidRPr="002532DF">
                  <w:rPr>
                    <w:sz w:val="25"/>
                    <w:szCs w:val="25"/>
                  </w:rPr>
                  <w:t>California</w:t>
                </w:r>
              </w:smartTag>
            </w:smartTag>
            <w:r w:rsidRPr="002532DF">
              <w:rPr>
                <w:sz w:val="25"/>
                <w:szCs w:val="25"/>
              </w:rPr>
              <w:t>).</w:t>
            </w:r>
          </w:p>
        </w:tc>
      </w:tr>
    </w:tbl>
    <w:p w:rsidR="00BA7EB5" w:rsidRPr="002532DF" w:rsidRDefault="00BA7EB5" w:rsidP="00071710">
      <w:pPr>
        <w:pStyle w:val="Heading1"/>
        <w:ind w:left="360"/>
        <w:jc w:val="center"/>
        <w:rPr>
          <w:rFonts w:ascii="Times New Roman" w:eastAsia="Calibri" w:hAnsi="Times New Roman"/>
          <w:sz w:val="25"/>
          <w:szCs w:val="25"/>
        </w:rPr>
      </w:pPr>
    </w:p>
    <w:sectPr w:rsidR="00BA7EB5" w:rsidRPr="002532DF" w:rsidSect="006507B7">
      <w:headerReference w:type="default" r:id="rId10"/>
      <w:headerReference w:type="first" r:id="rId11"/>
      <w:pgSz w:w="12240" w:h="15840" w:code="1"/>
      <w:pgMar w:top="1440" w:right="1440" w:bottom="1440" w:left="2160" w:header="144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FA3" w:rsidRDefault="00754FA3">
      <w:r>
        <w:separator/>
      </w:r>
    </w:p>
  </w:endnote>
  <w:endnote w:type="continuationSeparator" w:id="0">
    <w:p w:rsidR="00754FA3" w:rsidRDefault="0075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FA3" w:rsidRDefault="00754FA3">
      <w:r>
        <w:separator/>
      </w:r>
    </w:p>
  </w:footnote>
  <w:footnote w:type="continuationSeparator" w:id="0">
    <w:p w:rsidR="00754FA3" w:rsidRDefault="00754FA3">
      <w:r>
        <w:continuationSeparator/>
      </w:r>
    </w:p>
  </w:footnote>
  <w:footnote w:id="1">
    <w:p w:rsidR="00754FA3" w:rsidRDefault="00754FA3" w:rsidP="00C90E43">
      <w:pPr>
        <w:pStyle w:val="FootnoteText"/>
        <w:rPr>
          <w:szCs w:val="22"/>
        </w:rPr>
      </w:pPr>
      <w:r w:rsidRPr="00495314">
        <w:rPr>
          <w:rStyle w:val="FootnoteReference"/>
          <w:szCs w:val="22"/>
        </w:rPr>
        <w:footnoteRef/>
      </w:r>
      <w:r w:rsidRPr="00495314">
        <w:rPr>
          <w:szCs w:val="22"/>
        </w:rPr>
        <w:t xml:space="preserve"> The suspension date is the date on which the revised tariff sheets become effective as a matter of </w:t>
      </w:r>
      <w:r>
        <w:rPr>
          <w:szCs w:val="22"/>
        </w:rPr>
        <w:t>l</w:t>
      </w:r>
      <w:r w:rsidRPr="00495314">
        <w:rPr>
          <w:szCs w:val="22"/>
        </w:rPr>
        <w:t>aw absent affirmative waiver by the company or entry prior to the suspension date of a Commission final order accepting or rejecting the as-filed tariff pages.  If the Commission rejects the as-filed tariff pages, it may leave the company’s existing rates unchanged or may order a filing by the company to effect new rates that comply with the Commission’s determinations in its final order.</w:t>
      </w:r>
    </w:p>
    <w:p w:rsidR="00754FA3" w:rsidRPr="00495314" w:rsidRDefault="00754FA3" w:rsidP="00C90E43">
      <w:pPr>
        <w:pStyle w:val="FootnoteText"/>
        <w:rPr>
          <w:szCs w:val="22"/>
        </w:rPr>
      </w:pPr>
    </w:p>
  </w:footnote>
  <w:footnote w:id="2">
    <w:p w:rsidR="00754FA3" w:rsidRPr="005E666A" w:rsidRDefault="00754FA3" w:rsidP="00C90E43">
      <w:pPr>
        <w:rPr>
          <w:i/>
          <w:sz w:val="22"/>
          <w:szCs w:val="22"/>
        </w:rPr>
      </w:pPr>
      <w:r w:rsidRPr="00360835">
        <w:rPr>
          <w:rStyle w:val="FootnoteReference"/>
          <w:sz w:val="22"/>
          <w:szCs w:val="22"/>
        </w:rPr>
        <w:footnoteRef/>
      </w:r>
      <w:r w:rsidRPr="00360835">
        <w:rPr>
          <w:sz w:val="22"/>
          <w:szCs w:val="22"/>
        </w:rPr>
        <w:t xml:space="preserve"> </w:t>
      </w:r>
      <w:r w:rsidRPr="005E666A">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5E666A">
        <w:rPr>
          <w:i/>
          <w:sz w:val="22"/>
          <w:szCs w:val="22"/>
        </w:rPr>
        <w:t xml:space="preserve">See </w:t>
      </w:r>
      <w:r w:rsidRPr="00D337A8">
        <w:rPr>
          <w:sz w:val="22"/>
          <w:szCs w:val="22"/>
        </w:rPr>
        <w:t>RCW 34.05.455</w:t>
      </w:r>
      <w:r w:rsidRPr="005E666A">
        <w:rPr>
          <w:i/>
          <w:sz w:val="22"/>
          <w:szCs w:val="22"/>
        </w:rPr>
        <w:t>.</w:t>
      </w:r>
    </w:p>
    <w:p w:rsidR="00754FA3" w:rsidRPr="00360835" w:rsidRDefault="00754FA3" w:rsidP="00C90E43">
      <w:pPr>
        <w:pStyle w:val="FootnoteText"/>
        <w:rPr>
          <w:szCs w:val="22"/>
        </w:rPr>
      </w:pPr>
    </w:p>
  </w:footnote>
  <w:footnote w:id="3">
    <w:p w:rsidR="00754FA3" w:rsidRPr="00FD27BC" w:rsidRDefault="00754FA3">
      <w:pPr>
        <w:pStyle w:val="FootnoteText"/>
        <w:rPr>
          <w:szCs w:val="22"/>
        </w:rPr>
      </w:pPr>
      <w:r w:rsidRPr="00FD27BC">
        <w:rPr>
          <w:rStyle w:val="FootnoteReference"/>
          <w:szCs w:val="22"/>
        </w:rPr>
        <w:footnoteRef/>
      </w:r>
      <w:r w:rsidRPr="00FD27BC">
        <w:rPr>
          <w:szCs w:val="22"/>
        </w:rPr>
        <w:t xml:space="preserve"> </w:t>
      </w:r>
      <w:r>
        <w:rPr>
          <w:szCs w:val="22"/>
        </w:rPr>
        <w:t>Public Counsel and the Industrial Customers of Northwest Utilities are collectively referred to as the “Joint Parties.”</w:t>
      </w:r>
    </w:p>
  </w:footnote>
  <w:footnote w:id="4">
    <w:p w:rsidR="00754FA3" w:rsidRDefault="00754FA3">
      <w:pPr>
        <w:pStyle w:val="FootnoteText"/>
        <w:rPr>
          <w:szCs w:val="22"/>
        </w:rPr>
      </w:pPr>
      <w:r w:rsidRPr="00E744B0">
        <w:rPr>
          <w:rStyle w:val="FootnoteReference"/>
          <w:szCs w:val="22"/>
        </w:rPr>
        <w:footnoteRef/>
      </w:r>
      <w:r w:rsidRPr="00E744B0">
        <w:rPr>
          <w:szCs w:val="22"/>
        </w:rPr>
        <w:t xml:space="preserve"> </w:t>
      </w:r>
      <w:r>
        <w:rPr>
          <w:szCs w:val="22"/>
        </w:rPr>
        <w:t xml:space="preserve">The public comment exhibit, Exh. No. 8, was filed on February 3, 2011, after the evidentiary hearing in this matter had concluded.  Accordingly, the Commission admits Exh. No. 8 with this reference.  Any party opposing its admission should file an objection within three business days of the date of this Order. </w:t>
      </w:r>
    </w:p>
    <w:p w:rsidR="00754FA3" w:rsidRPr="00E744B0" w:rsidRDefault="00754FA3">
      <w:pPr>
        <w:pStyle w:val="FootnoteText"/>
        <w:rPr>
          <w:szCs w:val="22"/>
        </w:rPr>
      </w:pPr>
    </w:p>
  </w:footnote>
  <w:footnote w:id="5">
    <w:p w:rsidR="00754FA3" w:rsidRDefault="00754FA3">
      <w:pPr>
        <w:pStyle w:val="FootnoteText"/>
        <w:rPr>
          <w:szCs w:val="22"/>
        </w:rPr>
      </w:pPr>
      <w:r w:rsidRPr="00CC1CDB">
        <w:rPr>
          <w:rStyle w:val="FootnoteReference"/>
          <w:szCs w:val="22"/>
        </w:rPr>
        <w:footnoteRef/>
      </w:r>
      <w:r w:rsidRPr="00CC1CDB">
        <w:rPr>
          <w:szCs w:val="22"/>
        </w:rPr>
        <w:t xml:space="preserve"> </w:t>
      </w:r>
      <w:r>
        <w:rPr>
          <w:szCs w:val="22"/>
        </w:rPr>
        <w:t xml:space="preserve">The parties filed numerous corrections and revisions to their testimony which will not be independently referenced in this Order.  A complete listing of all revisions and corrections is available in the docket pages of this case.  </w:t>
      </w:r>
    </w:p>
    <w:p w:rsidR="00754FA3" w:rsidRPr="00CE75D9" w:rsidRDefault="00754FA3">
      <w:pPr>
        <w:pStyle w:val="FootnoteText"/>
        <w:rPr>
          <w:szCs w:val="22"/>
        </w:rPr>
      </w:pPr>
    </w:p>
  </w:footnote>
  <w:footnote w:id="6">
    <w:p w:rsidR="00754FA3" w:rsidRPr="00A1372C" w:rsidRDefault="00754FA3">
      <w:pPr>
        <w:pStyle w:val="FootnoteText"/>
        <w:rPr>
          <w:szCs w:val="22"/>
        </w:rPr>
      </w:pPr>
      <w:r w:rsidRPr="00A1372C">
        <w:rPr>
          <w:rStyle w:val="FootnoteReference"/>
          <w:szCs w:val="22"/>
        </w:rPr>
        <w:footnoteRef/>
      </w:r>
      <w:r w:rsidRPr="00A1372C">
        <w:rPr>
          <w:szCs w:val="22"/>
        </w:rPr>
        <w:t xml:space="preserve"> </w:t>
      </w:r>
      <w:r>
        <w:rPr>
          <w:szCs w:val="22"/>
        </w:rPr>
        <w:t xml:space="preserve">Bench Request No. 3 was issued, and its response filed, after the hearing concluded in this matter.  The Commission will admit the Response to Bench Request No. 3 as Exh. No. 15C absent objection received within three days of the date of this Order.  </w:t>
      </w:r>
    </w:p>
  </w:footnote>
  <w:footnote w:id="7">
    <w:p w:rsidR="00754FA3" w:rsidRPr="00A1372C" w:rsidRDefault="00754FA3">
      <w:pPr>
        <w:pStyle w:val="FootnoteText"/>
        <w:rPr>
          <w:szCs w:val="22"/>
        </w:rPr>
      </w:pPr>
      <w:r w:rsidRPr="00A1372C">
        <w:rPr>
          <w:rStyle w:val="FootnoteReference"/>
          <w:szCs w:val="22"/>
        </w:rPr>
        <w:footnoteRef/>
      </w:r>
      <w:r w:rsidRPr="00A1372C">
        <w:rPr>
          <w:szCs w:val="22"/>
        </w:rPr>
        <w:t xml:space="preserve"> </w:t>
      </w:r>
      <w:r>
        <w:rPr>
          <w:szCs w:val="22"/>
        </w:rPr>
        <w:t>The actual revenue requirement number cannot be stated with specificity until after the Company re-runs its power cost model with the adjustments approved in this Order.  However, in Appendix A attached to this Order, we estimate the revenue requirement to be $37,999,194.</w:t>
      </w:r>
    </w:p>
  </w:footnote>
  <w:footnote w:id="8">
    <w:p w:rsidR="00754FA3" w:rsidRDefault="00754FA3">
      <w:pPr>
        <w:pStyle w:val="FootnoteText"/>
      </w:pPr>
      <w:r>
        <w:rPr>
          <w:rStyle w:val="FootnoteReference"/>
        </w:rPr>
        <w:footnoteRef/>
      </w:r>
      <w:r>
        <w:t xml:space="preserve"> RCW 80.28.010(1); 80.28.020.</w:t>
      </w:r>
    </w:p>
    <w:p w:rsidR="00754FA3" w:rsidRDefault="00754FA3">
      <w:pPr>
        <w:pStyle w:val="FootnoteText"/>
      </w:pPr>
    </w:p>
  </w:footnote>
  <w:footnote w:id="9">
    <w:p w:rsidR="00754FA3" w:rsidRDefault="00754FA3">
      <w:pPr>
        <w:pStyle w:val="FootnoteText"/>
      </w:pPr>
      <w:r>
        <w:rPr>
          <w:rStyle w:val="FootnoteReference"/>
        </w:rPr>
        <w:footnoteRef/>
      </w:r>
      <w:r>
        <w:t xml:space="preserve"> </w:t>
      </w:r>
      <w:r>
        <w:rPr>
          <w:i/>
        </w:rPr>
        <w:t xml:space="preserve">Federal Power Commission v. Hope Natural Gas, </w:t>
      </w:r>
      <w:r>
        <w:t xml:space="preserve">320 U.S. 591 (1944) and </w:t>
      </w:r>
      <w:r>
        <w:rPr>
          <w:i/>
        </w:rPr>
        <w:t xml:space="preserve">Bluefield Water Works &amp; Improvement Company v. Public Service Commission of West Virginia, </w:t>
      </w:r>
      <w:r w:rsidRPr="00C17E16">
        <w:t xml:space="preserve">262 U.S. 679 (1923).  </w:t>
      </w:r>
    </w:p>
    <w:p w:rsidR="00754FA3" w:rsidRPr="00441C1C" w:rsidRDefault="00754FA3">
      <w:pPr>
        <w:pStyle w:val="FootnoteText"/>
      </w:pPr>
    </w:p>
  </w:footnote>
  <w:footnote w:id="10">
    <w:p w:rsidR="00754FA3" w:rsidRDefault="00754FA3">
      <w:pPr>
        <w:pStyle w:val="FootnoteText"/>
      </w:pPr>
      <w:r>
        <w:rPr>
          <w:rStyle w:val="FootnoteReference"/>
        </w:rPr>
        <w:footnoteRef/>
      </w:r>
      <w:r>
        <w:t xml:space="preserve"> The rate base includes both the Company’s investment in infrastructure plus “working capital” supplied by investors to fund the Company’s daily operations. </w:t>
      </w:r>
    </w:p>
    <w:p w:rsidR="00754FA3" w:rsidRDefault="00754FA3">
      <w:pPr>
        <w:pStyle w:val="FootnoteText"/>
      </w:pPr>
    </w:p>
  </w:footnote>
  <w:footnote w:id="11">
    <w:p w:rsidR="00754FA3" w:rsidRDefault="00754FA3">
      <w:pPr>
        <w:pStyle w:val="FootnoteText"/>
      </w:pPr>
      <w:r>
        <w:rPr>
          <w:rStyle w:val="FootnoteReference"/>
        </w:rPr>
        <w:footnoteRef/>
      </w:r>
      <w:r>
        <w:t xml:space="preserve"> </w:t>
      </w:r>
      <w:r>
        <w:rPr>
          <w:i/>
        </w:rPr>
        <w:t xml:space="preserve">Washington Utilities and Transportation Commission v. Puget Sound Energy, </w:t>
      </w:r>
      <w:r>
        <w:t>Docket Nos. UE-090704/UG-090705, Order 11 at ¶ 19 (April 2, 2010).</w:t>
      </w:r>
    </w:p>
    <w:p w:rsidR="00754FA3" w:rsidRPr="004B67DC" w:rsidRDefault="00754FA3">
      <w:pPr>
        <w:pStyle w:val="FootnoteText"/>
        <w:rPr>
          <w:i/>
        </w:rPr>
      </w:pPr>
    </w:p>
  </w:footnote>
  <w:footnote w:id="12">
    <w:p w:rsidR="00754FA3" w:rsidRDefault="00754FA3">
      <w:pPr>
        <w:pStyle w:val="FootnoteText"/>
      </w:pPr>
      <w:r>
        <w:rPr>
          <w:rStyle w:val="FootnoteReference"/>
        </w:rPr>
        <w:footnoteRef/>
      </w:r>
      <w:r>
        <w:t xml:space="preserve"> For a more complete discussion of general ratemaking theory in this jurisdiction, </w:t>
      </w:r>
      <w:r>
        <w:rPr>
          <w:i/>
        </w:rPr>
        <w:t xml:space="preserve">see Washington Utilities and Transportation Commission v. Puget Sound Energy, </w:t>
      </w:r>
      <w:r>
        <w:t>Docket Nos. UE090704/UG-090705, Order 11 (April 2, 2010).</w:t>
      </w:r>
    </w:p>
    <w:p w:rsidR="00754FA3" w:rsidRPr="00695EE3" w:rsidRDefault="00754FA3">
      <w:pPr>
        <w:pStyle w:val="FootnoteText"/>
      </w:pPr>
    </w:p>
  </w:footnote>
  <w:footnote w:id="13">
    <w:p w:rsidR="00754FA3" w:rsidRDefault="00754FA3">
      <w:pPr>
        <w:pStyle w:val="FootnoteText"/>
      </w:pPr>
      <w:r>
        <w:rPr>
          <w:rStyle w:val="FootnoteReference"/>
        </w:rPr>
        <w:footnoteRef/>
      </w:r>
      <w:r>
        <w:t xml:space="preserve"> WAC 480-07-510(3)(e)(ii) - (iii) provide definitions of restating actual adjustments and </w:t>
      </w:r>
      <w:r>
        <w:rPr>
          <w:i/>
        </w:rPr>
        <w:t xml:space="preserve">pro forma </w:t>
      </w:r>
      <w:r>
        <w:t xml:space="preserve">adjustments.  </w:t>
      </w:r>
    </w:p>
    <w:p w:rsidR="00754FA3" w:rsidRPr="006C6E74" w:rsidRDefault="00754FA3">
      <w:pPr>
        <w:pStyle w:val="FootnoteText"/>
      </w:pPr>
    </w:p>
  </w:footnote>
  <w:footnote w:id="14">
    <w:p w:rsidR="00754FA3" w:rsidRDefault="00754FA3">
      <w:pPr>
        <w:pStyle w:val="FootnoteText"/>
      </w:pPr>
      <w:r>
        <w:rPr>
          <w:rStyle w:val="FootnoteReference"/>
        </w:rPr>
        <w:footnoteRef/>
      </w:r>
      <w:r>
        <w:t xml:space="preserve"> Again, there are exceptions for certain projected costs like net power costs.</w:t>
      </w:r>
    </w:p>
    <w:p w:rsidR="00754FA3" w:rsidRDefault="00754FA3">
      <w:pPr>
        <w:pStyle w:val="FootnoteText"/>
      </w:pPr>
    </w:p>
  </w:footnote>
  <w:footnote w:id="15">
    <w:p w:rsidR="00754FA3" w:rsidRDefault="00754FA3">
      <w:pPr>
        <w:pStyle w:val="FootnoteText"/>
        <w:rPr>
          <w:szCs w:val="22"/>
        </w:rPr>
      </w:pPr>
      <w:r>
        <w:rPr>
          <w:rStyle w:val="FootnoteReference"/>
        </w:rPr>
        <w:footnoteRef/>
      </w:r>
      <w:r>
        <w:t xml:space="preserve"> </w:t>
      </w:r>
      <w:r w:rsidRPr="00670368">
        <w:rPr>
          <w:i/>
          <w:szCs w:val="22"/>
        </w:rPr>
        <w:t xml:space="preserve">All </w:t>
      </w:r>
      <w:r w:rsidRPr="00670368">
        <w:rPr>
          <w:szCs w:val="22"/>
        </w:rPr>
        <w:t xml:space="preserve">adjustments proposed by any party should be supported by a written description of each adjustment describing the reason, theory, and calculation of the adjustment.  In this proceeding, there were a number of instances of unsupported conclusions and mere arithmetic calculations that posed some difficulties in evaluating the record.  </w:t>
      </w:r>
      <w:r>
        <w:rPr>
          <w:szCs w:val="22"/>
        </w:rPr>
        <w:t>T</w:t>
      </w:r>
      <w:r w:rsidRPr="00670368">
        <w:rPr>
          <w:szCs w:val="22"/>
        </w:rPr>
        <w:t>his could be explained in part by the fact that since 2006, all requests for rate relief have been resolved by settlement.  Though we do not wish to discourage settlements, all parties should understand that the Commission needs to be able to understand fully, and modify where appropriate, the adjustments proposed by the parties.</w:t>
      </w:r>
    </w:p>
    <w:p w:rsidR="00754FA3" w:rsidRDefault="00754FA3">
      <w:pPr>
        <w:pStyle w:val="FootnoteText"/>
      </w:pPr>
    </w:p>
  </w:footnote>
  <w:footnote w:id="16">
    <w:p w:rsidR="00754FA3" w:rsidRDefault="00754FA3">
      <w:pPr>
        <w:pStyle w:val="FootnoteText"/>
      </w:pPr>
      <w:r>
        <w:rPr>
          <w:rStyle w:val="FootnoteReference"/>
        </w:rPr>
        <w:footnoteRef/>
      </w:r>
      <w:r>
        <w:t xml:space="preserve"> Transcript, Volume II, pp. 24 – 90.</w:t>
      </w:r>
    </w:p>
    <w:p w:rsidR="00754FA3" w:rsidRDefault="00754FA3">
      <w:pPr>
        <w:pStyle w:val="FootnoteText"/>
      </w:pPr>
    </w:p>
  </w:footnote>
  <w:footnote w:id="17">
    <w:p w:rsidR="00754FA3" w:rsidRDefault="00754FA3">
      <w:pPr>
        <w:pStyle w:val="FootnoteText"/>
      </w:pPr>
      <w:r>
        <w:rPr>
          <w:rStyle w:val="FootnoteReference"/>
        </w:rPr>
        <w:footnoteRef/>
      </w:r>
      <w:r>
        <w:t xml:space="preserve"> Exh. No. 8, Public Comments.</w:t>
      </w:r>
    </w:p>
  </w:footnote>
  <w:footnote w:id="18">
    <w:p w:rsidR="00754FA3" w:rsidRDefault="00754FA3">
      <w:pPr>
        <w:pStyle w:val="FootnoteText"/>
      </w:pPr>
      <w:r>
        <w:rPr>
          <w:rStyle w:val="FootnoteReference"/>
        </w:rPr>
        <w:footnoteRef/>
      </w:r>
      <w:r>
        <w:t xml:space="preserve"> Some of the public reaction was succinct and to the point: “21 percent, you must be joking” and “What in the WORLD is going on?”   Others testified to some dramatic personal hardships, reciting the realities of job loss, keeping the thermostat at 58 degrees, and no cost-of-living increases for Social Security recipients. </w:t>
      </w:r>
      <w:r w:rsidRPr="006577E8">
        <w:rPr>
          <w:i/>
        </w:rPr>
        <w:t xml:space="preserve"> See</w:t>
      </w:r>
      <w:r>
        <w:t xml:space="preserve"> Exh. No. 8.</w:t>
      </w:r>
    </w:p>
    <w:p w:rsidR="00754FA3" w:rsidRDefault="00754FA3">
      <w:pPr>
        <w:pStyle w:val="FootnoteText"/>
      </w:pPr>
    </w:p>
  </w:footnote>
  <w:footnote w:id="19">
    <w:p w:rsidR="00754FA3" w:rsidRDefault="00754FA3">
      <w:pPr>
        <w:pStyle w:val="FootnoteText"/>
      </w:pPr>
      <w:r>
        <w:rPr>
          <w:rStyle w:val="FootnoteReference"/>
        </w:rPr>
        <w:footnoteRef/>
      </w:r>
      <w:r>
        <w:t xml:space="preserve"> </w:t>
      </w:r>
      <w:r>
        <w:rPr>
          <w:i/>
        </w:rPr>
        <w:t xml:space="preserve">See </w:t>
      </w:r>
      <w:r>
        <w:t>Public Counsel’s Post-Hearing Brief at 1; Initial Post-Hearing Brief of Staff at 1.  The Commission approved rate increases of 5.3 percent in 2009, 8.5 percent in 2008, and 6.5 percent in 2007.  ICNU’s Post-Hearing Brief at 2 – 3.</w:t>
      </w:r>
    </w:p>
    <w:p w:rsidR="00754FA3" w:rsidRPr="006577E8" w:rsidRDefault="00754FA3">
      <w:pPr>
        <w:pStyle w:val="FootnoteText"/>
      </w:pPr>
    </w:p>
  </w:footnote>
  <w:footnote w:id="20">
    <w:p w:rsidR="00754FA3" w:rsidRDefault="00754FA3">
      <w:pPr>
        <w:pStyle w:val="FootnoteText"/>
      </w:pPr>
      <w:r>
        <w:rPr>
          <w:rStyle w:val="FootnoteReference"/>
        </w:rPr>
        <w:footnoteRef/>
      </w:r>
      <w:r>
        <w:t xml:space="preserve"> Reiten, Exh. No. RPR-1T at 3 – 4.</w:t>
      </w:r>
    </w:p>
    <w:p w:rsidR="00754FA3" w:rsidRDefault="00754FA3">
      <w:pPr>
        <w:pStyle w:val="FootnoteText"/>
      </w:pPr>
    </w:p>
  </w:footnote>
  <w:footnote w:id="21">
    <w:p w:rsidR="00754FA3" w:rsidRDefault="00754FA3">
      <w:pPr>
        <w:pStyle w:val="FootnoteText"/>
      </w:pPr>
      <w:r>
        <w:rPr>
          <w:rStyle w:val="FootnoteReference"/>
        </w:rPr>
        <w:footnoteRef/>
      </w:r>
      <w:r>
        <w:t xml:space="preserve"> Even ratepayers’ advocates, ICNU and Public Counsel, as well as our Commission Staff, recognize that many of these costs should be included in revised and increased rates. </w:t>
      </w:r>
    </w:p>
  </w:footnote>
  <w:footnote w:id="22">
    <w:p w:rsidR="00754FA3" w:rsidRDefault="00754FA3">
      <w:pPr>
        <w:pStyle w:val="FootnoteText"/>
      </w:pPr>
      <w:r>
        <w:rPr>
          <w:rStyle w:val="FootnoteReference"/>
        </w:rPr>
        <w:footnoteRef/>
      </w:r>
      <w:r>
        <w:t xml:space="preserve"> </w:t>
      </w:r>
      <w:r w:rsidRPr="004015DE">
        <w:rPr>
          <w:i/>
        </w:rPr>
        <w:t>People’s Organization for Washington Energy Resources v. The Utilities and Transportation Commission</w:t>
      </w:r>
      <w:r>
        <w:t>, 104 Wn. 2d 798, 810 (1986).</w:t>
      </w:r>
    </w:p>
    <w:p w:rsidR="00754FA3" w:rsidRDefault="00754FA3">
      <w:pPr>
        <w:pStyle w:val="FootnoteText"/>
      </w:pPr>
    </w:p>
  </w:footnote>
  <w:footnote w:id="23">
    <w:p w:rsidR="00754FA3" w:rsidRDefault="00754FA3" w:rsidP="002532DF">
      <w:pPr>
        <w:pStyle w:val="FootnoteText"/>
      </w:pPr>
      <w:r>
        <w:rPr>
          <w:rStyle w:val="FootnoteReference"/>
        </w:rPr>
        <w:footnoteRef/>
      </w:r>
      <w:r>
        <w:t xml:space="preserve"> </w:t>
      </w:r>
      <w:r>
        <w:rPr>
          <w:i/>
        </w:rPr>
        <w:t xml:space="preserve">See, e.g., Washington Utilities and Transportation Commission v. Puget Sound Energy, </w:t>
      </w:r>
      <w:r>
        <w:t>Docket Nos. UE-090704/UG-090705, Order 11 (April 2, 2010).</w:t>
      </w:r>
    </w:p>
    <w:p w:rsidR="00754FA3" w:rsidRPr="00B46CEC" w:rsidRDefault="00754FA3" w:rsidP="002532DF">
      <w:pPr>
        <w:pStyle w:val="FootnoteText"/>
      </w:pPr>
    </w:p>
  </w:footnote>
  <w:footnote w:id="24">
    <w:p w:rsidR="00754FA3" w:rsidRPr="00A1372C" w:rsidRDefault="00754FA3" w:rsidP="00F2211A">
      <w:pPr>
        <w:pStyle w:val="FootnoteText"/>
        <w:rPr>
          <w:szCs w:val="22"/>
        </w:rPr>
      </w:pPr>
      <w:r w:rsidRPr="00A1372C">
        <w:rPr>
          <w:rStyle w:val="FootnoteReference"/>
          <w:szCs w:val="22"/>
        </w:rPr>
        <w:footnoteRef/>
      </w:r>
      <w:r w:rsidRPr="00A1372C">
        <w:rPr>
          <w:szCs w:val="22"/>
        </w:rPr>
        <w:t xml:space="preserve"> Williams, Exh. No. BNW-1T at 3.</w:t>
      </w:r>
    </w:p>
    <w:p w:rsidR="00754FA3" w:rsidRPr="00A1372C" w:rsidRDefault="00754FA3" w:rsidP="00F2211A">
      <w:pPr>
        <w:pStyle w:val="FootnoteText"/>
        <w:rPr>
          <w:szCs w:val="22"/>
        </w:rPr>
      </w:pPr>
    </w:p>
  </w:footnote>
  <w:footnote w:id="25">
    <w:p w:rsidR="00754FA3" w:rsidRPr="00A1372C" w:rsidRDefault="00754FA3" w:rsidP="00F2211A">
      <w:pPr>
        <w:pStyle w:val="FootnoteText"/>
        <w:rPr>
          <w:szCs w:val="22"/>
        </w:rPr>
      </w:pPr>
      <w:r w:rsidRPr="00A1372C">
        <w:rPr>
          <w:rStyle w:val="FootnoteReference"/>
          <w:szCs w:val="22"/>
        </w:rPr>
        <w:footnoteRef/>
      </w:r>
      <w:r w:rsidRPr="00A1372C">
        <w:rPr>
          <w:szCs w:val="22"/>
        </w:rPr>
        <w:t xml:space="preserve"> </w:t>
      </w:r>
      <w:r>
        <w:rPr>
          <w:i/>
          <w:szCs w:val="22"/>
        </w:rPr>
        <w:t xml:space="preserve">Id. </w:t>
      </w:r>
      <w:r w:rsidRPr="00A1372C">
        <w:rPr>
          <w:szCs w:val="22"/>
        </w:rPr>
        <w:t>at 7.</w:t>
      </w:r>
    </w:p>
    <w:p w:rsidR="00754FA3" w:rsidRPr="00A1372C" w:rsidRDefault="00754FA3" w:rsidP="00F2211A">
      <w:pPr>
        <w:pStyle w:val="FootnoteText"/>
        <w:rPr>
          <w:szCs w:val="22"/>
        </w:rPr>
      </w:pPr>
    </w:p>
  </w:footnote>
  <w:footnote w:id="26">
    <w:p w:rsidR="00754FA3" w:rsidRPr="00A87DCD" w:rsidRDefault="00754FA3" w:rsidP="00B81B24">
      <w:pPr>
        <w:pStyle w:val="FootnoteText"/>
        <w:rPr>
          <w:szCs w:val="22"/>
        </w:rPr>
      </w:pPr>
      <w:r w:rsidRPr="00A1372C">
        <w:rPr>
          <w:rStyle w:val="FootnoteReference"/>
          <w:szCs w:val="22"/>
        </w:rPr>
        <w:footnoteRef/>
      </w:r>
      <w:r w:rsidRPr="00A1372C">
        <w:rPr>
          <w:szCs w:val="22"/>
        </w:rPr>
        <w:t xml:space="preserve"> </w:t>
      </w:r>
      <w:r>
        <w:rPr>
          <w:i/>
          <w:szCs w:val="22"/>
        </w:rPr>
        <w:t xml:space="preserve">Id. </w:t>
      </w:r>
      <w:r w:rsidRPr="00A87DCD">
        <w:rPr>
          <w:szCs w:val="22"/>
        </w:rPr>
        <w:t>at 8</w:t>
      </w:r>
      <w:r>
        <w:rPr>
          <w:szCs w:val="22"/>
        </w:rPr>
        <w:t xml:space="preserve">, </w:t>
      </w:r>
      <w:r>
        <w:rPr>
          <w:i/>
          <w:szCs w:val="22"/>
        </w:rPr>
        <w:t>quoting</w:t>
      </w:r>
      <w:r w:rsidRPr="00A87DCD">
        <w:rPr>
          <w:szCs w:val="22"/>
        </w:rPr>
        <w:t xml:space="preserve"> a 2006 Commission order, where we acknowledged the </w:t>
      </w:r>
      <w:r w:rsidRPr="007A6191">
        <w:rPr>
          <w:szCs w:val="22"/>
        </w:rPr>
        <w:t xml:space="preserve">“general trend of increasing equity capitalization in the industry”, as further support for </w:t>
      </w:r>
      <w:r>
        <w:rPr>
          <w:szCs w:val="22"/>
        </w:rPr>
        <w:t xml:space="preserve">the Company’s </w:t>
      </w:r>
      <w:r w:rsidRPr="007A6191">
        <w:rPr>
          <w:szCs w:val="22"/>
        </w:rPr>
        <w:t xml:space="preserve">position. </w:t>
      </w:r>
      <w:r w:rsidRPr="007A6191">
        <w:rPr>
          <w:i/>
          <w:szCs w:val="22"/>
        </w:rPr>
        <w:t xml:space="preserve">Washington Utilities and Transportation Commission v. PacifiCorp, </w:t>
      </w:r>
      <w:r w:rsidRPr="007A6191">
        <w:rPr>
          <w:szCs w:val="22"/>
        </w:rPr>
        <w:t xml:space="preserve">Docket UE-050684, Order 04 at 83 (April 17, 2006). </w:t>
      </w:r>
    </w:p>
    <w:p w:rsidR="00754FA3" w:rsidRPr="00A87DCD" w:rsidRDefault="00754FA3" w:rsidP="00B81B24">
      <w:pPr>
        <w:pStyle w:val="FootnoteText"/>
        <w:rPr>
          <w:szCs w:val="22"/>
        </w:rPr>
      </w:pPr>
    </w:p>
  </w:footnote>
  <w:footnote w:id="27">
    <w:p w:rsidR="00754FA3" w:rsidRDefault="00754FA3">
      <w:pPr>
        <w:pStyle w:val="FootnoteText"/>
        <w:rPr>
          <w:szCs w:val="22"/>
        </w:rPr>
      </w:pPr>
      <w:r>
        <w:rPr>
          <w:rStyle w:val="FootnoteReference"/>
        </w:rPr>
        <w:footnoteRef/>
      </w:r>
      <w:r>
        <w:t xml:space="preserve"> As additional support, the Company </w:t>
      </w:r>
      <w:r w:rsidRPr="00B951A0">
        <w:rPr>
          <w:szCs w:val="22"/>
        </w:rPr>
        <w:t>asserts that S&amp;P advised that its stand-alone financial metrics are more consistent</w:t>
      </w:r>
      <w:r>
        <w:rPr>
          <w:szCs w:val="22"/>
        </w:rPr>
        <w:t xml:space="preserve"> w</w:t>
      </w:r>
      <w:r w:rsidRPr="00B951A0">
        <w:rPr>
          <w:szCs w:val="22"/>
        </w:rPr>
        <w:t>ith a “BBB” rating.</w:t>
      </w:r>
      <w:r>
        <w:rPr>
          <w:szCs w:val="22"/>
        </w:rPr>
        <w:t xml:space="preserve">  </w:t>
      </w:r>
    </w:p>
    <w:p w:rsidR="00754FA3" w:rsidRPr="00827F0E" w:rsidRDefault="00754FA3">
      <w:pPr>
        <w:pStyle w:val="FootnoteText"/>
        <w:rPr>
          <w:szCs w:val="22"/>
        </w:rPr>
      </w:pPr>
    </w:p>
  </w:footnote>
  <w:footnote w:id="28">
    <w:p w:rsidR="00754FA3" w:rsidRPr="00A1372C" w:rsidRDefault="00754FA3" w:rsidP="005F2A9F">
      <w:pPr>
        <w:pStyle w:val="FootnoteText"/>
        <w:rPr>
          <w:szCs w:val="22"/>
        </w:rPr>
      </w:pPr>
      <w:r w:rsidRPr="00A1372C">
        <w:rPr>
          <w:rStyle w:val="FootnoteReference"/>
          <w:szCs w:val="22"/>
        </w:rPr>
        <w:footnoteRef/>
      </w:r>
      <w:r w:rsidRPr="00A1372C">
        <w:rPr>
          <w:szCs w:val="22"/>
        </w:rPr>
        <w:t xml:space="preserve"> Williams, Exh. No. BNW-7T at 10.</w:t>
      </w:r>
    </w:p>
    <w:p w:rsidR="00754FA3" w:rsidRPr="00A1372C" w:rsidRDefault="00754FA3" w:rsidP="005F2A9F">
      <w:pPr>
        <w:pStyle w:val="FootnoteText"/>
        <w:rPr>
          <w:szCs w:val="22"/>
        </w:rPr>
      </w:pPr>
    </w:p>
  </w:footnote>
  <w:footnote w:id="29">
    <w:p w:rsidR="00754FA3" w:rsidRPr="00416037" w:rsidRDefault="00754FA3" w:rsidP="00F824D2">
      <w:pPr>
        <w:pStyle w:val="FootnoteText"/>
        <w:rPr>
          <w:szCs w:val="22"/>
        </w:rPr>
      </w:pPr>
      <w:r w:rsidRPr="00416037">
        <w:rPr>
          <w:rStyle w:val="FootnoteReference"/>
          <w:szCs w:val="22"/>
        </w:rPr>
        <w:footnoteRef/>
      </w:r>
      <w:r w:rsidRPr="00416037">
        <w:rPr>
          <w:szCs w:val="22"/>
        </w:rPr>
        <w:t xml:space="preserve"> Williams, Exh. No. BNW-1T at 5.  The Company submits that MEHC injected a substantial amount of common equity, in excess of $990 million, on the balance sheet of PacifiCorp.  No party disputes this fact.</w:t>
      </w:r>
    </w:p>
    <w:p w:rsidR="00754FA3" w:rsidRPr="00A1372C" w:rsidRDefault="00754FA3" w:rsidP="00F824D2">
      <w:pPr>
        <w:pStyle w:val="FootnoteText"/>
        <w:rPr>
          <w:szCs w:val="22"/>
        </w:rPr>
      </w:pPr>
    </w:p>
  </w:footnote>
  <w:footnote w:id="30">
    <w:p w:rsidR="00754FA3" w:rsidRPr="00A1372C" w:rsidRDefault="00754FA3" w:rsidP="000C11E1">
      <w:pPr>
        <w:pStyle w:val="FootnoteText"/>
        <w:rPr>
          <w:szCs w:val="22"/>
        </w:rPr>
      </w:pPr>
      <w:r w:rsidRPr="00A1372C">
        <w:rPr>
          <w:rStyle w:val="FootnoteReference"/>
          <w:szCs w:val="22"/>
        </w:rPr>
        <w:footnoteRef/>
      </w:r>
      <w:r w:rsidRPr="00A1372C">
        <w:rPr>
          <w:szCs w:val="22"/>
        </w:rPr>
        <w:t xml:space="preserve"> </w:t>
      </w:r>
      <w:r>
        <w:rPr>
          <w:i/>
          <w:szCs w:val="22"/>
        </w:rPr>
        <w:t xml:space="preserve">Id. </w:t>
      </w:r>
      <w:r w:rsidRPr="00A1372C">
        <w:rPr>
          <w:szCs w:val="22"/>
        </w:rPr>
        <w:t>at 3.</w:t>
      </w:r>
    </w:p>
    <w:p w:rsidR="00754FA3" w:rsidRPr="00A1372C" w:rsidRDefault="00754FA3" w:rsidP="000C11E1">
      <w:pPr>
        <w:pStyle w:val="FootnoteText"/>
        <w:rPr>
          <w:szCs w:val="22"/>
        </w:rPr>
      </w:pPr>
    </w:p>
  </w:footnote>
  <w:footnote w:id="31">
    <w:p w:rsidR="00754FA3" w:rsidRPr="00A1372C" w:rsidRDefault="00754FA3" w:rsidP="000C11E1">
      <w:pPr>
        <w:pStyle w:val="FootnoteText"/>
        <w:rPr>
          <w:szCs w:val="22"/>
        </w:rPr>
      </w:pPr>
      <w:r w:rsidRPr="00A1372C">
        <w:rPr>
          <w:rStyle w:val="FootnoteReference"/>
          <w:szCs w:val="22"/>
        </w:rPr>
        <w:footnoteRef/>
      </w:r>
      <w:r w:rsidRPr="00A1372C">
        <w:rPr>
          <w:szCs w:val="22"/>
        </w:rPr>
        <w:t xml:space="preserve"> </w:t>
      </w:r>
      <w:r>
        <w:rPr>
          <w:i/>
          <w:szCs w:val="22"/>
        </w:rPr>
        <w:t>Id.</w:t>
      </w:r>
      <w:r>
        <w:rPr>
          <w:szCs w:val="22"/>
        </w:rPr>
        <w:t xml:space="preserve">  Construction Work in Progress or “CWIP” is essentially the amount shown on the utility’s balance sheet for capital projects under construction, but not yet complete.  Though PacifiCorp does not elaborate on its point, we gather that its argument essentially is that because such CWIP is financed by short-term debt, it is inappropriate also to include such debt in the capital structure.</w:t>
      </w:r>
    </w:p>
    <w:p w:rsidR="00754FA3" w:rsidRPr="00A1372C" w:rsidRDefault="00754FA3" w:rsidP="000C11E1">
      <w:pPr>
        <w:pStyle w:val="FootnoteText"/>
        <w:rPr>
          <w:szCs w:val="22"/>
        </w:rPr>
      </w:pPr>
    </w:p>
  </w:footnote>
  <w:footnote w:id="32">
    <w:p w:rsidR="00754FA3" w:rsidRDefault="00754FA3">
      <w:pPr>
        <w:pStyle w:val="FootnoteText"/>
      </w:pPr>
      <w:r>
        <w:rPr>
          <w:rStyle w:val="FootnoteReference"/>
        </w:rPr>
        <w:footnoteRef/>
      </w:r>
      <w:r>
        <w:t xml:space="preserve"> </w:t>
      </w:r>
      <w:r>
        <w:rPr>
          <w:i/>
        </w:rPr>
        <w:t>Id.</w:t>
      </w:r>
      <w:r>
        <w:t>at 8.</w:t>
      </w:r>
    </w:p>
    <w:p w:rsidR="00754FA3" w:rsidRDefault="00754FA3">
      <w:pPr>
        <w:pStyle w:val="FootnoteText"/>
      </w:pPr>
    </w:p>
  </w:footnote>
  <w:footnote w:id="33">
    <w:p w:rsidR="00754FA3" w:rsidRPr="00A1372C" w:rsidRDefault="00754FA3" w:rsidP="00F73694">
      <w:pPr>
        <w:pStyle w:val="FootnoteText"/>
        <w:rPr>
          <w:szCs w:val="22"/>
        </w:rPr>
      </w:pPr>
      <w:r w:rsidRPr="00A1372C">
        <w:rPr>
          <w:rStyle w:val="FootnoteReference"/>
          <w:szCs w:val="22"/>
        </w:rPr>
        <w:footnoteRef/>
      </w:r>
      <w:r w:rsidRPr="00A1372C">
        <w:rPr>
          <w:szCs w:val="22"/>
        </w:rPr>
        <w:t xml:space="preserve"> Elgin, Exh. No. KLE-1T at 2.</w:t>
      </w:r>
    </w:p>
    <w:p w:rsidR="00754FA3" w:rsidRPr="00A1372C" w:rsidRDefault="00754FA3" w:rsidP="00F73694">
      <w:pPr>
        <w:pStyle w:val="FootnoteText"/>
        <w:rPr>
          <w:szCs w:val="22"/>
        </w:rPr>
      </w:pPr>
    </w:p>
  </w:footnote>
  <w:footnote w:id="34">
    <w:p w:rsidR="00754FA3" w:rsidRPr="00A1372C" w:rsidRDefault="00754FA3" w:rsidP="00F73694">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11.</w:t>
      </w:r>
    </w:p>
    <w:p w:rsidR="00754FA3" w:rsidRPr="00A1372C" w:rsidRDefault="00754FA3" w:rsidP="00F73694">
      <w:pPr>
        <w:pStyle w:val="FootnoteText"/>
        <w:rPr>
          <w:szCs w:val="22"/>
        </w:rPr>
      </w:pPr>
    </w:p>
  </w:footnote>
  <w:footnote w:id="35">
    <w:p w:rsidR="00754FA3" w:rsidRPr="003F51AE" w:rsidRDefault="00754FA3" w:rsidP="00F73694">
      <w:pPr>
        <w:pStyle w:val="FootnoteText"/>
        <w:rPr>
          <w:szCs w:val="22"/>
        </w:rPr>
      </w:pPr>
      <w:r w:rsidRPr="00A1372C">
        <w:rPr>
          <w:rStyle w:val="FootnoteReference"/>
          <w:szCs w:val="22"/>
        </w:rPr>
        <w:footnoteRef/>
      </w:r>
      <w:r w:rsidRPr="00A1372C">
        <w:rPr>
          <w:szCs w:val="22"/>
        </w:rPr>
        <w:t xml:space="preserve"> </w:t>
      </w:r>
      <w:r>
        <w:rPr>
          <w:i/>
          <w:szCs w:val="22"/>
        </w:rPr>
        <w:t xml:space="preserve">Id. </w:t>
      </w:r>
      <w:r w:rsidRPr="00A1372C">
        <w:rPr>
          <w:szCs w:val="22"/>
        </w:rPr>
        <w:t>at 12 – 13</w:t>
      </w:r>
      <w:r>
        <w:rPr>
          <w:szCs w:val="22"/>
        </w:rPr>
        <w:t>,</w:t>
      </w:r>
      <w:r w:rsidRPr="00A1372C">
        <w:rPr>
          <w:szCs w:val="22"/>
        </w:rPr>
        <w:t xml:space="preserve"> </w:t>
      </w:r>
      <w:r w:rsidRPr="007A6191">
        <w:rPr>
          <w:i/>
          <w:szCs w:val="22"/>
        </w:rPr>
        <w:t>citing</w:t>
      </w:r>
      <w:r w:rsidRPr="00A1372C">
        <w:rPr>
          <w:szCs w:val="22"/>
        </w:rPr>
        <w:t xml:space="preserve"> </w:t>
      </w:r>
      <w:r>
        <w:rPr>
          <w:i/>
          <w:szCs w:val="22"/>
        </w:rPr>
        <w:t>Washington Utilities and Transportation Commission v. PacifiCorp,</w:t>
      </w:r>
      <w:r>
        <w:rPr>
          <w:szCs w:val="22"/>
        </w:rPr>
        <w:t xml:space="preserve"> Docket No. UE-050684, </w:t>
      </w:r>
      <w:r w:rsidRPr="00A1372C">
        <w:rPr>
          <w:szCs w:val="22"/>
        </w:rPr>
        <w:t xml:space="preserve">Order 04, </w:t>
      </w:r>
      <w:r>
        <w:rPr>
          <w:szCs w:val="22"/>
        </w:rPr>
        <w:t>(</w:t>
      </w:r>
      <w:r w:rsidRPr="00A1372C">
        <w:rPr>
          <w:szCs w:val="22"/>
        </w:rPr>
        <w:t>April 17, 2006</w:t>
      </w:r>
      <w:r>
        <w:rPr>
          <w:szCs w:val="22"/>
        </w:rPr>
        <w:t>).</w:t>
      </w:r>
    </w:p>
    <w:p w:rsidR="00754FA3" w:rsidRPr="00A1372C" w:rsidRDefault="00754FA3" w:rsidP="00F73694">
      <w:pPr>
        <w:pStyle w:val="FootnoteText"/>
        <w:rPr>
          <w:szCs w:val="22"/>
        </w:rPr>
      </w:pPr>
    </w:p>
  </w:footnote>
  <w:footnote w:id="36">
    <w:p w:rsidR="00754FA3" w:rsidRPr="00A1372C" w:rsidRDefault="00754FA3" w:rsidP="00C56569">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13.</w:t>
      </w:r>
    </w:p>
    <w:p w:rsidR="00754FA3" w:rsidRPr="00A1372C" w:rsidRDefault="00754FA3" w:rsidP="00C56569">
      <w:pPr>
        <w:pStyle w:val="FootnoteText"/>
        <w:rPr>
          <w:szCs w:val="22"/>
        </w:rPr>
      </w:pPr>
    </w:p>
  </w:footnote>
  <w:footnote w:id="37">
    <w:p w:rsidR="00754FA3" w:rsidRPr="00A1372C" w:rsidRDefault="00754FA3" w:rsidP="00963100">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15 – 16.</w:t>
      </w:r>
    </w:p>
    <w:p w:rsidR="00754FA3" w:rsidRPr="00A1372C" w:rsidRDefault="00754FA3" w:rsidP="00963100">
      <w:pPr>
        <w:pStyle w:val="FootnoteText"/>
        <w:rPr>
          <w:szCs w:val="22"/>
        </w:rPr>
      </w:pPr>
    </w:p>
  </w:footnote>
  <w:footnote w:id="38">
    <w:p w:rsidR="00754FA3" w:rsidRPr="00A1372C" w:rsidRDefault="00754FA3" w:rsidP="00F73694">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19.</w:t>
      </w:r>
    </w:p>
    <w:p w:rsidR="00754FA3" w:rsidRPr="00A1372C" w:rsidRDefault="00754FA3" w:rsidP="00F73694">
      <w:pPr>
        <w:pStyle w:val="FootnoteText"/>
        <w:rPr>
          <w:szCs w:val="22"/>
        </w:rPr>
      </w:pPr>
    </w:p>
  </w:footnote>
  <w:footnote w:id="39">
    <w:p w:rsidR="00754FA3" w:rsidRPr="00A1372C" w:rsidRDefault="00754FA3" w:rsidP="00DD2C57">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48.</w:t>
      </w:r>
    </w:p>
    <w:p w:rsidR="00754FA3" w:rsidRPr="00A1372C" w:rsidRDefault="00754FA3" w:rsidP="00DD2C57">
      <w:pPr>
        <w:pStyle w:val="FootnoteText"/>
        <w:rPr>
          <w:szCs w:val="22"/>
        </w:rPr>
      </w:pPr>
    </w:p>
  </w:footnote>
  <w:footnote w:id="40">
    <w:p w:rsidR="00754FA3" w:rsidRPr="00A1372C" w:rsidRDefault="00754FA3" w:rsidP="00F73694">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at 20.</w:t>
      </w:r>
    </w:p>
    <w:p w:rsidR="00754FA3" w:rsidRPr="00A1372C" w:rsidRDefault="00754FA3" w:rsidP="00F73694">
      <w:pPr>
        <w:pStyle w:val="FootnoteText"/>
        <w:rPr>
          <w:szCs w:val="22"/>
        </w:rPr>
      </w:pPr>
    </w:p>
  </w:footnote>
  <w:footnote w:id="41">
    <w:p w:rsidR="00754FA3" w:rsidRPr="00A1372C" w:rsidRDefault="00754FA3" w:rsidP="00F73694">
      <w:pPr>
        <w:pStyle w:val="FootnoteText"/>
        <w:rPr>
          <w:szCs w:val="22"/>
        </w:rPr>
      </w:pPr>
      <w:r w:rsidRPr="00A1372C">
        <w:rPr>
          <w:rStyle w:val="FootnoteReference"/>
          <w:szCs w:val="22"/>
        </w:rPr>
        <w:footnoteRef/>
      </w:r>
      <w:r w:rsidRPr="00A1372C">
        <w:rPr>
          <w:szCs w:val="22"/>
        </w:rPr>
        <w:t xml:space="preserve"> </w:t>
      </w:r>
      <w:r>
        <w:rPr>
          <w:i/>
          <w:szCs w:val="22"/>
        </w:rPr>
        <w:t>Id.</w:t>
      </w:r>
    </w:p>
    <w:p w:rsidR="00754FA3" w:rsidRPr="00A1372C" w:rsidRDefault="00754FA3" w:rsidP="00F73694">
      <w:pPr>
        <w:pStyle w:val="FootnoteText"/>
        <w:rPr>
          <w:szCs w:val="22"/>
        </w:rPr>
      </w:pPr>
    </w:p>
  </w:footnote>
  <w:footnote w:id="42">
    <w:p w:rsidR="00754FA3" w:rsidRDefault="00754FA3">
      <w:pPr>
        <w:pStyle w:val="FootnoteText"/>
      </w:pPr>
      <w:r>
        <w:rPr>
          <w:rStyle w:val="FootnoteReference"/>
        </w:rPr>
        <w:footnoteRef/>
      </w:r>
      <w:r>
        <w:t xml:space="preserve"> </w:t>
      </w:r>
      <w:r>
        <w:rPr>
          <w:i/>
        </w:rPr>
        <w:t xml:space="preserve">Id. </w:t>
      </w:r>
      <w:r>
        <w:t>at 19 -20.</w:t>
      </w:r>
    </w:p>
    <w:p w:rsidR="00754FA3" w:rsidRDefault="00754FA3">
      <w:pPr>
        <w:pStyle w:val="FootnoteText"/>
      </w:pPr>
    </w:p>
  </w:footnote>
  <w:footnote w:id="43">
    <w:p w:rsidR="00754FA3" w:rsidRDefault="00754FA3">
      <w:pPr>
        <w:pStyle w:val="FootnoteText"/>
      </w:pPr>
      <w:r>
        <w:rPr>
          <w:rStyle w:val="FootnoteReference"/>
        </w:rPr>
        <w:footnoteRef/>
      </w:r>
      <w:r>
        <w:t xml:space="preserve"> Gorman, Exh. No. MPG-1T at 13,15.  ICNU uses an average of PacifiCorp’s most recent five quarters ending June 30, 2010, to determine its proposed capital structure.  </w:t>
      </w:r>
    </w:p>
    <w:p w:rsidR="00754FA3" w:rsidRDefault="00754FA3">
      <w:pPr>
        <w:pStyle w:val="FootnoteText"/>
      </w:pPr>
    </w:p>
  </w:footnote>
  <w:footnote w:id="44">
    <w:p w:rsidR="00754FA3" w:rsidRPr="00A1372C" w:rsidRDefault="00754FA3" w:rsidP="005F2542">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13.</w:t>
      </w:r>
    </w:p>
    <w:p w:rsidR="00754FA3" w:rsidRPr="00A1372C" w:rsidRDefault="00754FA3" w:rsidP="005F2542">
      <w:pPr>
        <w:pStyle w:val="FootnoteText"/>
        <w:rPr>
          <w:szCs w:val="22"/>
        </w:rPr>
      </w:pPr>
    </w:p>
  </w:footnote>
  <w:footnote w:id="45">
    <w:p w:rsidR="00754FA3" w:rsidRDefault="00754FA3">
      <w:pPr>
        <w:pStyle w:val="FootnoteText"/>
      </w:pPr>
      <w:r>
        <w:rPr>
          <w:rStyle w:val="FootnoteReference"/>
        </w:rPr>
        <w:footnoteRef/>
      </w:r>
      <w:r>
        <w:t xml:space="preserve"> </w:t>
      </w:r>
      <w:r>
        <w:rPr>
          <w:i/>
        </w:rPr>
        <w:t>Id.</w:t>
      </w:r>
      <w:r>
        <w:t xml:space="preserve"> at 12.</w:t>
      </w:r>
    </w:p>
    <w:p w:rsidR="00754FA3" w:rsidRDefault="00754FA3">
      <w:pPr>
        <w:pStyle w:val="FootnoteText"/>
      </w:pPr>
    </w:p>
  </w:footnote>
  <w:footnote w:id="46">
    <w:p w:rsidR="00754FA3" w:rsidRDefault="00754FA3">
      <w:pPr>
        <w:pStyle w:val="FootnoteText"/>
      </w:pPr>
      <w:r>
        <w:rPr>
          <w:rStyle w:val="FootnoteReference"/>
        </w:rPr>
        <w:footnoteRef/>
      </w:r>
      <w:r>
        <w:t xml:space="preserve"> </w:t>
      </w:r>
      <w:r>
        <w:rPr>
          <w:i/>
        </w:rPr>
        <w:t>Id.</w:t>
      </w:r>
      <w:r>
        <w:t xml:space="preserve"> at 15.</w:t>
      </w:r>
    </w:p>
    <w:p w:rsidR="00754FA3" w:rsidRDefault="00754FA3">
      <w:pPr>
        <w:pStyle w:val="FootnoteText"/>
      </w:pPr>
    </w:p>
  </w:footnote>
  <w:footnote w:id="47">
    <w:p w:rsidR="00754FA3" w:rsidRPr="00A1372C" w:rsidRDefault="00754FA3" w:rsidP="005F2542">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38</w:t>
      </w:r>
      <w:r>
        <w:rPr>
          <w:szCs w:val="22"/>
        </w:rPr>
        <w:t xml:space="preserve"> - 41</w:t>
      </w:r>
      <w:r w:rsidRPr="00A1372C">
        <w:rPr>
          <w:szCs w:val="22"/>
        </w:rPr>
        <w:t>.</w:t>
      </w:r>
    </w:p>
    <w:p w:rsidR="00754FA3" w:rsidRPr="00A1372C" w:rsidRDefault="00754FA3" w:rsidP="005F2542">
      <w:pPr>
        <w:pStyle w:val="FootnoteText"/>
        <w:rPr>
          <w:szCs w:val="22"/>
        </w:rPr>
      </w:pPr>
    </w:p>
  </w:footnote>
  <w:footnote w:id="48">
    <w:p w:rsidR="00754FA3" w:rsidRPr="00A1372C" w:rsidRDefault="00754FA3" w:rsidP="00AC6820">
      <w:pPr>
        <w:pStyle w:val="FootnoteText"/>
        <w:rPr>
          <w:szCs w:val="22"/>
        </w:rPr>
      </w:pPr>
      <w:r w:rsidRPr="00A1372C">
        <w:rPr>
          <w:rStyle w:val="FootnoteReference"/>
          <w:szCs w:val="22"/>
        </w:rPr>
        <w:footnoteRef/>
      </w:r>
      <w:r w:rsidRPr="00A1372C">
        <w:rPr>
          <w:szCs w:val="22"/>
        </w:rPr>
        <w:t xml:space="preserve"> Williams, Exh. No. BNW-7T at 11.</w:t>
      </w:r>
    </w:p>
    <w:p w:rsidR="00754FA3" w:rsidRPr="00A1372C" w:rsidRDefault="00754FA3" w:rsidP="00AC6820">
      <w:pPr>
        <w:pStyle w:val="FootnoteText"/>
        <w:rPr>
          <w:szCs w:val="22"/>
        </w:rPr>
      </w:pPr>
    </w:p>
  </w:footnote>
  <w:footnote w:id="49">
    <w:p w:rsidR="00754FA3" w:rsidRPr="00A1372C" w:rsidRDefault="00754FA3" w:rsidP="00AC6820">
      <w:pPr>
        <w:pStyle w:val="FootnoteText"/>
        <w:rPr>
          <w:szCs w:val="22"/>
        </w:rPr>
      </w:pPr>
      <w:r w:rsidRPr="00A1372C">
        <w:rPr>
          <w:rStyle w:val="FootnoteReference"/>
          <w:szCs w:val="22"/>
        </w:rPr>
        <w:footnoteRef/>
      </w:r>
      <w:r w:rsidRPr="00A1372C">
        <w:rPr>
          <w:szCs w:val="22"/>
        </w:rPr>
        <w:t xml:space="preserve"> </w:t>
      </w:r>
      <w:r>
        <w:rPr>
          <w:i/>
          <w:szCs w:val="22"/>
        </w:rPr>
        <w:t xml:space="preserve">Id. </w:t>
      </w:r>
      <w:r w:rsidRPr="00A1372C">
        <w:rPr>
          <w:szCs w:val="22"/>
        </w:rPr>
        <w:t>at 1</w:t>
      </w:r>
      <w:r>
        <w:rPr>
          <w:szCs w:val="22"/>
        </w:rPr>
        <w:t>2</w:t>
      </w:r>
      <w:r w:rsidRPr="00A1372C">
        <w:rPr>
          <w:szCs w:val="22"/>
        </w:rPr>
        <w:t>.</w:t>
      </w:r>
    </w:p>
    <w:p w:rsidR="00754FA3" w:rsidRPr="00A1372C" w:rsidRDefault="00754FA3" w:rsidP="00AC6820">
      <w:pPr>
        <w:pStyle w:val="FootnoteText"/>
        <w:rPr>
          <w:szCs w:val="22"/>
        </w:rPr>
      </w:pPr>
    </w:p>
  </w:footnote>
  <w:footnote w:id="50">
    <w:p w:rsidR="00754FA3" w:rsidRPr="00A1372C" w:rsidRDefault="00754FA3" w:rsidP="00783293">
      <w:pPr>
        <w:pStyle w:val="FootnoteText"/>
        <w:rPr>
          <w:szCs w:val="22"/>
        </w:rPr>
      </w:pPr>
      <w:r w:rsidRPr="00A1372C">
        <w:rPr>
          <w:rStyle w:val="FootnoteReference"/>
          <w:szCs w:val="22"/>
        </w:rPr>
        <w:footnoteRef/>
      </w:r>
      <w:r w:rsidRPr="00A1372C">
        <w:rPr>
          <w:szCs w:val="22"/>
        </w:rPr>
        <w:t xml:space="preserve"> Williams, Exh. No. BNW-7T at 5</w:t>
      </w:r>
      <w:r>
        <w:rPr>
          <w:szCs w:val="22"/>
        </w:rPr>
        <w:t xml:space="preserve"> - 6</w:t>
      </w:r>
      <w:r w:rsidRPr="00A1372C">
        <w:rPr>
          <w:szCs w:val="22"/>
        </w:rPr>
        <w:t>.</w:t>
      </w:r>
    </w:p>
    <w:p w:rsidR="00754FA3" w:rsidRPr="00A1372C" w:rsidRDefault="00754FA3" w:rsidP="00783293">
      <w:pPr>
        <w:pStyle w:val="FootnoteText"/>
        <w:rPr>
          <w:szCs w:val="22"/>
        </w:rPr>
      </w:pPr>
    </w:p>
  </w:footnote>
  <w:footnote w:id="51">
    <w:p w:rsidR="00754FA3" w:rsidRPr="00A1372C" w:rsidRDefault="00754FA3" w:rsidP="00783293">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w:t>
      </w:r>
      <w:r>
        <w:rPr>
          <w:szCs w:val="22"/>
        </w:rPr>
        <w:t>7</w:t>
      </w:r>
      <w:r w:rsidRPr="00A1372C">
        <w:rPr>
          <w:szCs w:val="22"/>
        </w:rPr>
        <w:t>.</w:t>
      </w:r>
    </w:p>
    <w:p w:rsidR="00754FA3" w:rsidRPr="00A1372C" w:rsidRDefault="00754FA3" w:rsidP="00783293">
      <w:pPr>
        <w:pStyle w:val="FootnoteText"/>
        <w:rPr>
          <w:szCs w:val="22"/>
        </w:rPr>
      </w:pPr>
    </w:p>
  </w:footnote>
  <w:footnote w:id="52">
    <w:p w:rsidR="00754FA3" w:rsidRPr="00A1372C" w:rsidRDefault="00754FA3" w:rsidP="00A6743A">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4.</w:t>
      </w:r>
    </w:p>
    <w:p w:rsidR="00754FA3" w:rsidRPr="00A1372C" w:rsidRDefault="00754FA3" w:rsidP="00A6743A">
      <w:pPr>
        <w:pStyle w:val="FootnoteText"/>
        <w:rPr>
          <w:szCs w:val="22"/>
        </w:rPr>
      </w:pPr>
    </w:p>
  </w:footnote>
  <w:footnote w:id="53">
    <w:p w:rsidR="00754FA3" w:rsidRPr="00A1372C" w:rsidRDefault="00754FA3" w:rsidP="0018346B">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18 - 19.</w:t>
      </w:r>
    </w:p>
    <w:p w:rsidR="00754FA3" w:rsidRPr="00A1372C" w:rsidRDefault="00754FA3" w:rsidP="0018346B">
      <w:pPr>
        <w:pStyle w:val="FootnoteText"/>
        <w:rPr>
          <w:szCs w:val="22"/>
        </w:rPr>
      </w:pPr>
    </w:p>
  </w:footnote>
  <w:footnote w:id="54">
    <w:p w:rsidR="00754FA3" w:rsidRPr="00A1372C" w:rsidRDefault="00754FA3" w:rsidP="0018346B">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19.</w:t>
      </w:r>
    </w:p>
    <w:p w:rsidR="00754FA3" w:rsidRPr="00A1372C" w:rsidRDefault="00754FA3" w:rsidP="0018346B">
      <w:pPr>
        <w:pStyle w:val="FootnoteText"/>
        <w:rPr>
          <w:szCs w:val="22"/>
        </w:rPr>
      </w:pPr>
    </w:p>
  </w:footnote>
  <w:footnote w:id="55">
    <w:p w:rsidR="00754FA3" w:rsidRPr="00A1372C" w:rsidRDefault="00754FA3" w:rsidP="005F2542">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21.</w:t>
      </w:r>
    </w:p>
    <w:p w:rsidR="00754FA3" w:rsidRPr="00A1372C" w:rsidRDefault="00754FA3" w:rsidP="005F2542">
      <w:pPr>
        <w:pStyle w:val="FootnoteText"/>
        <w:rPr>
          <w:szCs w:val="22"/>
        </w:rPr>
      </w:pPr>
    </w:p>
  </w:footnote>
  <w:footnote w:id="56">
    <w:p w:rsidR="00754FA3" w:rsidRPr="00A1372C" w:rsidRDefault="00754FA3" w:rsidP="005F2542">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22.</w:t>
      </w:r>
    </w:p>
    <w:p w:rsidR="00754FA3" w:rsidRPr="00A1372C" w:rsidRDefault="00754FA3" w:rsidP="005F2542">
      <w:pPr>
        <w:pStyle w:val="FootnoteText"/>
        <w:rPr>
          <w:szCs w:val="22"/>
        </w:rPr>
      </w:pPr>
    </w:p>
  </w:footnote>
  <w:footnote w:id="57">
    <w:p w:rsidR="00754FA3" w:rsidRDefault="00754FA3" w:rsidP="006858A1">
      <w:pPr>
        <w:pStyle w:val="FootnoteText"/>
        <w:rPr>
          <w:szCs w:val="22"/>
        </w:rPr>
      </w:pPr>
      <w:r w:rsidRPr="000A4D0C">
        <w:rPr>
          <w:rStyle w:val="FootnoteReference"/>
          <w:szCs w:val="22"/>
        </w:rPr>
        <w:footnoteRef/>
      </w:r>
      <w:r w:rsidRPr="000A4D0C">
        <w:rPr>
          <w:szCs w:val="22"/>
        </w:rPr>
        <w:t xml:space="preserve"> </w:t>
      </w:r>
      <w:r>
        <w:rPr>
          <w:i/>
          <w:szCs w:val="22"/>
        </w:rPr>
        <w:t xml:space="preserve">Federal Power Commission v. Hope Natural Gas Co., </w:t>
      </w:r>
      <w:r>
        <w:rPr>
          <w:szCs w:val="22"/>
        </w:rPr>
        <w:t>320 U.S. 591, 603 (1942).</w:t>
      </w:r>
    </w:p>
    <w:p w:rsidR="00754FA3" w:rsidRPr="000A4D0C" w:rsidRDefault="00754FA3" w:rsidP="006858A1">
      <w:pPr>
        <w:pStyle w:val="FootnoteText"/>
        <w:rPr>
          <w:szCs w:val="22"/>
        </w:rPr>
      </w:pPr>
    </w:p>
  </w:footnote>
  <w:footnote w:id="58">
    <w:p w:rsidR="00754FA3" w:rsidRDefault="00754FA3">
      <w:pPr>
        <w:pStyle w:val="FootnoteText"/>
        <w:rPr>
          <w:szCs w:val="22"/>
        </w:rPr>
      </w:pPr>
      <w:r w:rsidRPr="004E57CB">
        <w:rPr>
          <w:rStyle w:val="FootnoteReference"/>
          <w:szCs w:val="22"/>
        </w:rPr>
        <w:footnoteRef/>
      </w:r>
      <w:r w:rsidRPr="004E57CB">
        <w:rPr>
          <w:szCs w:val="22"/>
        </w:rPr>
        <w:t xml:space="preserve"> </w:t>
      </w:r>
      <w:r>
        <w:rPr>
          <w:szCs w:val="22"/>
        </w:rPr>
        <w:t>Williams, TR 277.</w:t>
      </w:r>
    </w:p>
    <w:p w:rsidR="00754FA3" w:rsidRPr="004E57CB" w:rsidRDefault="00754FA3">
      <w:pPr>
        <w:pStyle w:val="FootnoteText"/>
        <w:rPr>
          <w:szCs w:val="22"/>
        </w:rPr>
      </w:pPr>
    </w:p>
  </w:footnote>
  <w:footnote w:id="59">
    <w:p w:rsidR="00754FA3" w:rsidRDefault="00754FA3">
      <w:pPr>
        <w:pStyle w:val="FootnoteText"/>
        <w:rPr>
          <w:szCs w:val="22"/>
        </w:rPr>
      </w:pPr>
      <w:r w:rsidRPr="00944670">
        <w:rPr>
          <w:rStyle w:val="FootnoteReference"/>
          <w:szCs w:val="22"/>
        </w:rPr>
        <w:footnoteRef/>
      </w:r>
      <w:r w:rsidRPr="00944670">
        <w:rPr>
          <w:szCs w:val="22"/>
        </w:rPr>
        <w:t xml:space="preserve"> </w:t>
      </w:r>
      <w:r>
        <w:rPr>
          <w:szCs w:val="22"/>
        </w:rPr>
        <w:t>Gorman, Exh. No. MPG-1T at 12, Williams, Exh. Nos. BNW-1T at 5.</w:t>
      </w:r>
    </w:p>
    <w:p w:rsidR="00754FA3" w:rsidRPr="00944670" w:rsidRDefault="00754FA3">
      <w:pPr>
        <w:pStyle w:val="FootnoteText"/>
        <w:rPr>
          <w:szCs w:val="22"/>
        </w:rPr>
      </w:pPr>
    </w:p>
  </w:footnote>
  <w:footnote w:id="60">
    <w:p w:rsidR="00754FA3" w:rsidRDefault="00754FA3">
      <w:pPr>
        <w:pStyle w:val="FootnoteText"/>
        <w:rPr>
          <w:szCs w:val="22"/>
        </w:rPr>
      </w:pPr>
      <w:r w:rsidRPr="009D5495">
        <w:rPr>
          <w:rStyle w:val="FootnoteReference"/>
          <w:szCs w:val="22"/>
        </w:rPr>
        <w:footnoteRef/>
      </w:r>
      <w:r w:rsidRPr="009D5495">
        <w:rPr>
          <w:szCs w:val="22"/>
        </w:rPr>
        <w:t xml:space="preserve"> </w:t>
      </w:r>
      <w:r>
        <w:rPr>
          <w:szCs w:val="22"/>
        </w:rPr>
        <w:t>Williams, Exh. No. BNW-1T at 5.</w:t>
      </w:r>
    </w:p>
    <w:p w:rsidR="00754FA3" w:rsidRPr="009D5495" w:rsidRDefault="00754FA3">
      <w:pPr>
        <w:pStyle w:val="FootnoteText"/>
        <w:rPr>
          <w:szCs w:val="22"/>
        </w:rPr>
      </w:pPr>
    </w:p>
  </w:footnote>
  <w:footnote w:id="61">
    <w:p w:rsidR="00754FA3" w:rsidRDefault="00754FA3">
      <w:pPr>
        <w:pStyle w:val="FootnoteText"/>
        <w:rPr>
          <w:szCs w:val="22"/>
        </w:rPr>
      </w:pPr>
      <w:r w:rsidRPr="00944670">
        <w:rPr>
          <w:rStyle w:val="FootnoteReference"/>
          <w:szCs w:val="22"/>
        </w:rPr>
        <w:footnoteRef/>
      </w:r>
      <w:r>
        <w:rPr>
          <w:szCs w:val="22"/>
        </w:rPr>
        <w:t xml:space="preserve"> </w:t>
      </w:r>
      <w:r>
        <w:rPr>
          <w:i/>
          <w:szCs w:val="22"/>
        </w:rPr>
        <w:t>Id.</w:t>
      </w:r>
      <w:r>
        <w:rPr>
          <w:szCs w:val="22"/>
        </w:rPr>
        <w:t xml:space="preserve"> </w:t>
      </w:r>
    </w:p>
    <w:p w:rsidR="00754FA3" w:rsidRPr="0049147E" w:rsidRDefault="00754FA3">
      <w:pPr>
        <w:pStyle w:val="FootnoteText"/>
        <w:rPr>
          <w:szCs w:val="22"/>
        </w:rPr>
      </w:pPr>
    </w:p>
  </w:footnote>
  <w:footnote w:id="62">
    <w:p w:rsidR="00754FA3" w:rsidRDefault="00754FA3" w:rsidP="004F5964">
      <w:pPr>
        <w:pStyle w:val="FootnoteText"/>
      </w:pPr>
      <w:r>
        <w:rPr>
          <w:rStyle w:val="FootnoteReference"/>
        </w:rPr>
        <w:footnoteRef/>
      </w:r>
      <w:r>
        <w:t xml:space="preserve"> </w:t>
      </w:r>
      <w:r>
        <w:rPr>
          <w:i/>
        </w:rPr>
        <w:t xml:space="preserve">See </w:t>
      </w:r>
      <w:r>
        <w:t>Elgin, Exh. No. KLE-1T at 13.</w:t>
      </w:r>
    </w:p>
    <w:p w:rsidR="00754FA3" w:rsidRDefault="00754FA3" w:rsidP="004F5964">
      <w:pPr>
        <w:pStyle w:val="FootnoteText"/>
      </w:pPr>
    </w:p>
  </w:footnote>
  <w:footnote w:id="63">
    <w:p w:rsidR="00754FA3" w:rsidRDefault="00754FA3">
      <w:pPr>
        <w:pStyle w:val="FootnoteText"/>
      </w:pPr>
      <w:r>
        <w:rPr>
          <w:rStyle w:val="FootnoteReference"/>
        </w:rPr>
        <w:footnoteRef/>
      </w:r>
      <w:r>
        <w:t xml:space="preserve"> </w:t>
      </w:r>
      <w:r>
        <w:rPr>
          <w:i/>
        </w:rPr>
        <w:t xml:space="preserve">Washington Utilities and Transportation Commission v. PacifiCorp, </w:t>
      </w:r>
      <w:r>
        <w:t>Docket UE-050684, Order 04 at 79 (April 17, 2006) (emphasis added).</w:t>
      </w:r>
    </w:p>
    <w:p w:rsidR="00754FA3" w:rsidRPr="002B0D09" w:rsidRDefault="00754FA3">
      <w:pPr>
        <w:pStyle w:val="FootnoteText"/>
      </w:pPr>
    </w:p>
  </w:footnote>
  <w:footnote w:id="64">
    <w:p w:rsidR="00754FA3" w:rsidRDefault="00754FA3">
      <w:pPr>
        <w:pStyle w:val="FootnoteText"/>
      </w:pPr>
      <w:r>
        <w:rPr>
          <w:rStyle w:val="FootnoteReference"/>
        </w:rPr>
        <w:footnoteRef/>
      </w:r>
      <w:r>
        <w:t xml:space="preserve"> Elgin, Exh. No. KLE-1T at 19.</w:t>
      </w:r>
    </w:p>
    <w:p w:rsidR="00754FA3" w:rsidRDefault="00754FA3">
      <w:pPr>
        <w:pStyle w:val="FootnoteText"/>
      </w:pPr>
    </w:p>
  </w:footnote>
  <w:footnote w:id="65">
    <w:p w:rsidR="00754FA3" w:rsidRDefault="00754FA3">
      <w:pPr>
        <w:pStyle w:val="FootnoteText"/>
      </w:pPr>
      <w:r>
        <w:rPr>
          <w:rStyle w:val="FootnoteReference"/>
        </w:rPr>
        <w:footnoteRef/>
      </w:r>
      <w:r>
        <w:t xml:space="preserve"> RCW 80.80.010(1); RCW 80.28.020.</w:t>
      </w:r>
    </w:p>
    <w:p w:rsidR="00754FA3" w:rsidRDefault="00754FA3">
      <w:pPr>
        <w:pStyle w:val="FootnoteText"/>
      </w:pPr>
    </w:p>
  </w:footnote>
  <w:footnote w:id="66">
    <w:p w:rsidR="00754FA3" w:rsidRDefault="00754FA3">
      <w:pPr>
        <w:pStyle w:val="FootnoteText"/>
      </w:pPr>
      <w:r>
        <w:rPr>
          <w:rStyle w:val="FootnoteReference"/>
        </w:rPr>
        <w:footnoteRef/>
      </w:r>
      <w:r>
        <w:t xml:space="preserve"> </w:t>
      </w:r>
      <w:r w:rsidRPr="00926732">
        <w:rPr>
          <w:i/>
        </w:rPr>
        <w:t>Bluefield Water Works &amp; Improvement Company vs. Public Service Commission of West Virginia</w:t>
      </w:r>
      <w:r>
        <w:t>, 262 U.S. 679 (1923).</w:t>
      </w:r>
    </w:p>
    <w:p w:rsidR="00754FA3" w:rsidRDefault="00754FA3">
      <w:pPr>
        <w:pStyle w:val="FootnoteText"/>
      </w:pPr>
    </w:p>
  </w:footnote>
  <w:footnote w:id="67">
    <w:p w:rsidR="00754FA3" w:rsidRDefault="00754FA3">
      <w:pPr>
        <w:pStyle w:val="FootnoteText"/>
      </w:pPr>
      <w:r>
        <w:rPr>
          <w:rStyle w:val="FootnoteReference"/>
        </w:rPr>
        <w:footnoteRef/>
      </w:r>
      <w:r>
        <w:t xml:space="preserve"> </w:t>
      </w:r>
      <w:r w:rsidRPr="00926732">
        <w:rPr>
          <w:i/>
        </w:rPr>
        <w:t>Federal Power Commission v. Hope Natural Gas</w:t>
      </w:r>
      <w:r>
        <w:t>, 320 U.S. 591 (1944).</w:t>
      </w:r>
    </w:p>
    <w:p w:rsidR="00754FA3" w:rsidRDefault="00754FA3">
      <w:pPr>
        <w:pStyle w:val="FootnoteText"/>
      </w:pPr>
    </w:p>
  </w:footnote>
  <w:footnote w:id="68">
    <w:p w:rsidR="00754FA3" w:rsidRDefault="00754FA3">
      <w:pPr>
        <w:pStyle w:val="FootnoteText"/>
      </w:pPr>
      <w:r>
        <w:rPr>
          <w:rStyle w:val="FootnoteReference"/>
        </w:rPr>
        <w:footnoteRef/>
      </w:r>
      <w:r>
        <w:t xml:space="preserve"> Charles F.Phillips, Jr., </w:t>
      </w:r>
      <w:r>
        <w:rPr>
          <w:i/>
        </w:rPr>
        <w:t xml:space="preserve">The Regulation of Public Utilities, </w:t>
      </w:r>
      <w:r>
        <w:t>p. 392- 99, (1995).</w:t>
      </w:r>
    </w:p>
    <w:p w:rsidR="00754FA3" w:rsidRPr="005B0C97" w:rsidRDefault="00754FA3">
      <w:pPr>
        <w:pStyle w:val="FootnoteText"/>
      </w:pPr>
    </w:p>
  </w:footnote>
  <w:footnote w:id="69">
    <w:p w:rsidR="00754FA3" w:rsidRDefault="00754FA3">
      <w:pPr>
        <w:pStyle w:val="FootnoteText"/>
      </w:pPr>
      <w:r w:rsidRPr="0029352A">
        <w:rPr>
          <w:rStyle w:val="FootnoteReference"/>
        </w:rPr>
        <w:footnoteRef/>
      </w:r>
      <w:r w:rsidRPr="0029352A">
        <w:t xml:space="preserve"> </w:t>
      </w:r>
      <w:r>
        <w:t xml:space="preserve">David C. Parcell, </w:t>
      </w:r>
      <w:r>
        <w:rPr>
          <w:i/>
        </w:rPr>
        <w:t xml:space="preserve">The Cost of Capital – A Practitioner’s Guide </w:t>
      </w:r>
      <w:r>
        <w:t>(1997).</w:t>
      </w:r>
    </w:p>
    <w:p w:rsidR="00754FA3" w:rsidRDefault="00754FA3">
      <w:pPr>
        <w:pStyle w:val="FootnoteText"/>
      </w:pPr>
    </w:p>
  </w:footnote>
  <w:footnote w:id="70">
    <w:p w:rsidR="00754FA3" w:rsidRDefault="00754FA3">
      <w:pPr>
        <w:pStyle w:val="FootnoteText"/>
      </w:pPr>
      <w:r>
        <w:rPr>
          <w:rStyle w:val="FootnoteReference"/>
        </w:rPr>
        <w:footnoteRef/>
      </w:r>
      <w:r>
        <w:t xml:space="preserve"> </w:t>
      </w:r>
      <w:r w:rsidRPr="006E0FC4">
        <w:rPr>
          <w:i/>
        </w:rPr>
        <w:t>Id</w:t>
      </w:r>
      <w:r>
        <w:t>.</w:t>
      </w:r>
    </w:p>
    <w:p w:rsidR="00754FA3" w:rsidRDefault="00754FA3">
      <w:pPr>
        <w:pStyle w:val="FootnoteText"/>
      </w:pPr>
    </w:p>
  </w:footnote>
  <w:footnote w:id="71">
    <w:p w:rsidR="00754FA3" w:rsidRDefault="00754FA3">
      <w:pPr>
        <w:pStyle w:val="FootnoteText"/>
      </w:pPr>
      <w:r>
        <w:rPr>
          <w:rStyle w:val="FootnoteReference"/>
        </w:rPr>
        <w:footnoteRef/>
      </w:r>
      <w:r>
        <w:t xml:space="preserve"> Charles E. Phillips, </w:t>
      </w:r>
      <w:r>
        <w:rPr>
          <w:i/>
        </w:rPr>
        <w:t xml:space="preserve">The Regulation of Public </w:t>
      </w:r>
      <w:r w:rsidRPr="005243D3">
        <w:rPr>
          <w:i/>
        </w:rPr>
        <w:t>Utilities</w:t>
      </w:r>
      <w:r>
        <w:t xml:space="preserve">, p. </w:t>
      </w:r>
      <w:r w:rsidRPr="006E79D1">
        <w:t>396</w:t>
      </w:r>
      <w:r>
        <w:t xml:space="preserve"> (1995).</w:t>
      </w:r>
    </w:p>
    <w:p w:rsidR="00754FA3" w:rsidRDefault="00754FA3">
      <w:pPr>
        <w:pStyle w:val="FootnoteText"/>
      </w:pPr>
    </w:p>
  </w:footnote>
  <w:footnote w:id="72">
    <w:p w:rsidR="00754FA3" w:rsidRPr="00A1372C" w:rsidRDefault="00754FA3" w:rsidP="008A1085">
      <w:pPr>
        <w:pStyle w:val="FootnoteText"/>
        <w:rPr>
          <w:szCs w:val="22"/>
        </w:rPr>
      </w:pPr>
      <w:r w:rsidRPr="00A1372C">
        <w:rPr>
          <w:rStyle w:val="FootnoteReference"/>
          <w:szCs w:val="22"/>
        </w:rPr>
        <w:footnoteRef/>
      </w:r>
      <w:r w:rsidRPr="00A1372C">
        <w:rPr>
          <w:szCs w:val="22"/>
        </w:rPr>
        <w:t xml:space="preserve"> Hadaway, Exh. No. SCH-1T at 11.</w:t>
      </w:r>
    </w:p>
    <w:p w:rsidR="00754FA3" w:rsidRPr="00A1372C" w:rsidRDefault="00754FA3" w:rsidP="008A1085">
      <w:pPr>
        <w:pStyle w:val="FootnoteText"/>
        <w:rPr>
          <w:szCs w:val="22"/>
        </w:rPr>
      </w:pPr>
    </w:p>
  </w:footnote>
  <w:footnote w:id="73">
    <w:p w:rsidR="00754FA3" w:rsidRDefault="00754FA3">
      <w:pPr>
        <w:pStyle w:val="FootnoteText"/>
        <w:rPr>
          <w:szCs w:val="22"/>
        </w:rPr>
      </w:pPr>
      <w:r>
        <w:rPr>
          <w:rStyle w:val="FootnoteReference"/>
        </w:rPr>
        <w:footnoteRef/>
      </w:r>
      <w:r>
        <w:t xml:space="preserve"> PacifiCorp’s Initial Post-Hearing Brief ¶ 31; </w:t>
      </w:r>
      <w:r>
        <w:rPr>
          <w:szCs w:val="22"/>
        </w:rPr>
        <w:t>Hadaway, TR 251.</w:t>
      </w:r>
    </w:p>
    <w:p w:rsidR="00754FA3" w:rsidRDefault="00754FA3">
      <w:pPr>
        <w:pStyle w:val="FootnoteText"/>
      </w:pPr>
    </w:p>
  </w:footnote>
  <w:footnote w:id="74">
    <w:p w:rsidR="00754FA3" w:rsidRPr="00A1372C" w:rsidRDefault="00754FA3" w:rsidP="008A1085">
      <w:pPr>
        <w:pStyle w:val="FootnoteText"/>
        <w:rPr>
          <w:szCs w:val="22"/>
        </w:rPr>
      </w:pPr>
      <w:r w:rsidRPr="00A1372C">
        <w:rPr>
          <w:rStyle w:val="FootnoteReference"/>
          <w:szCs w:val="22"/>
        </w:rPr>
        <w:footnoteRef/>
      </w:r>
      <w:r w:rsidRPr="00A1372C">
        <w:rPr>
          <w:szCs w:val="22"/>
        </w:rPr>
        <w:t xml:space="preserve"> Hadaway, Exh. No. SCH-1T at 17.</w:t>
      </w:r>
    </w:p>
    <w:p w:rsidR="00754FA3" w:rsidRPr="00A1372C" w:rsidRDefault="00754FA3" w:rsidP="008A1085">
      <w:pPr>
        <w:pStyle w:val="FootnoteText"/>
        <w:rPr>
          <w:szCs w:val="22"/>
        </w:rPr>
      </w:pPr>
    </w:p>
  </w:footnote>
  <w:footnote w:id="75">
    <w:p w:rsidR="00754FA3" w:rsidRPr="00A1372C" w:rsidRDefault="00754FA3" w:rsidP="008A1085">
      <w:pPr>
        <w:pStyle w:val="FootnoteText"/>
        <w:rPr>
          <w:szCs w:val="22"/>
        </w:rPr>
      </w:pPr>
      <w:r w:rsidRPr="00A1372C">
        <w:rPr>
          <w:rStyle w:val="FootnoteReference"/>
          <w:szCs w:val="22"/>
        </w:rPr>
        <w:footnoteRef/>
      </w:r>
      <w:r w:rsidRPr="00A1372C">
        <w:rPr>
          <w:szCs w:val="22"/>
        </w:rPr>
        <w:t xml:space="preserve"> </w:t>
      </w:r>
      <w:r>
        <w:rPr>
          <w:i/>
          <w:szCs w:val="22"/>
        </w:rPr>
        <w:t>Id.</w:t>
      </w:r>
    </w:p>
    <w:p w:rsidR="00754FA3" w:rsidRPr="00A1372C" w:rsidRDefault="00754FA3" w:rsidP="008A1085">
      <w:pPr>
        <w:pStyle w:val="FootnoteText"/>
        <w:rPr>
          <w:szCs w:val="22"/>
        </w:rPr>
      </w:pPr>
    </w:p>
  </w:footnote>
  <w:footnote w:id="76">
    <w:p w:rsidR="00754FA3" w:rsidRDefault="00754FA3" w:rsidP="00CD4727">
      <w:pPr>
        <w:pStyle w:val="FootnoteText"/>
      </w:pPr>
      <w:r>
        <w:rPr>
          <w:rStyle w:val="FootnoteReference"/>
        </w:rPr>
        <w:footnoteRef/>
      </w:r>
      <w:r>
        <w:t xml:space="preserve"> </w:t>
      </w:r>
      <w:r>
        <w:rPr>
          <w:i/>
        </w:rPr>
        <w:t xml:space="preserve">Value Line </w:t>
      </w:r>
      <w:r>
        <w:t>(valueline.com) is an independent research firm founded in 1931 that serves the professional investment community as a resource of information on estimates and analysis of earnings growth, dividends, and other financial indicators.  Likewise, Zacks investment research (zacks.com) is a full-service advisory firm that publishes earnings and dividends estimates, among others, on a regular basis.  Finally, Thomson (Thomson.com) is a long-standing investment firm that has provided financial analysis and estimates to financial professionals for decades; in 2008 it merged with Reuters PLC and is a publicly-listed company.</w:t>
      </w:r>
    </w:p>
    <w:p w:rsidR="00754FA3" w:rsidRPr="00CD4727" w:rsidRDefault="00754FA3" w:rsidP="00CD4727">
      <w:pPr>
        <w:pStyle w:val="FootnoteText"/>
      </w:pPr>
    </w:p>
  </w:footnote>
  <w:footnote w:id="77">
    <w:p w:rsidR="00754FA3" w:rsidRPr="00A1372C" w:rsidRDefault="00754FA3" w:rsidP="002717E5">
      <w:pPr>
        <w:pStyle w:val="FootnoteText"/>
        <w:rPr>
          <w:szCs w:val="22"/>
        </w:rPr>
      </w:pPr>
      <w:r w:rsidRPr="00A1372C">
        <w:rPr>
          <w:rStyle w:val="FootnoteReference"/>
          <w:szCs w:val="22"/>
        </w:rPr>
        <w:footnoteRef/>
      </w:r>
      <w:r w:rsidRPr="00A1372C">
        <w:rPr>
          <w:szCs w:val="22"/>
        </w:rPr>
        <w:t xml:space="preserve"> Hadaway, Exh. No. SCH-1T at 3</w:t>
      </w:r>
      <w:r>
        <w:rPr>
          <w:szCs w:val="22"/>
        </w:rPr>
        <w:t>4 - 35</w:t>
      </w:r>
      <w:r w:rsidRPr="00A1372C">
        <w:rPr>
          <w:szCs w:val="22"/>
        </w:rPr>
        <w:t>.</w:t>
      </w:r>
    </w:p>
    <w:p w:rsidR="00754FA3" w:rsidRPr="00A1372C" w:rsidRDefault="00754FA3" w:rsidP="002717E5">
      <w:pPr>
        <w:pStyle w:val="FootnoteText"/>
        <w:rPr>
          <w:szCs w:val="22"/>
        </w:rPr>
      </w:pPr>
    </w:p>
  </w:footnote>
  <w:footnote w:id="78">
    <w:p w:rsidR="00754FA3" w:rsidRPr="00A1372C" w:rsidRDefault="00754FA3" w:rsidP="0064070A">
      <w:pPr>
        <w:pStyle w:val="FootnoteText"/>
        <w:rPr>
          <w:szCs w:val="22"/>
        </w:rPr>
      </w:pPr>
      <w:r w:rsidRPr="00A1372C">
        <w:rPr>
          <w:rStyle w:val="FootnoteReference"/>
          <w:szCs w:val="22"/>
        </w:rPr>
        <w:footnoteRef/>
      </w:r>
      <w:r w:rsidRPr="00A1372C">
        <w:rPr>
          <w:szCs w:val="22"/>
        </w:rPr>
        <w:t xml:space="preserve"> Hadaway, Exh. No. SCH-1T at 35.</w:t>
      </w:r>
    </w:p>
    <w:p w:rsidR="00754FA3" w:rsidRPr="00A1372C" w:rsidRDefault="00754FA3" w:rsidP="0064070A">
      <w:pPr>
        <w:pStyle w:val="FootnoteText"/>
        <w:rPr>
          <w:szCs w:val="22"/>
        </w:rPr>
      </w:pPr>
    </w:p>
  </w:footnote>
  <w:footnote w:id="79">
    <w:p w:rsidR="00754FA3" w:rsidRPr="00A1372C" w:rsidRDefault="00754FA3" w:rsidP="00E2745D">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w:t>
      </w:r>
      <w:r>
        <w:rPr>
          <w:szCs w:val="22"/>
        </w:rPr>
        <w:t>39</w:t>
      </w:r>
      <w:r w:rsidRPr="00A1372C">
        <w:rPr>
          <w:szCs w:val="22"/>
        </w:rPr>
        <w:t>.</w:t>
      </w:r>
    </w:p>
    <w:p w:rsidR="00754FA3" w:rsidRPr="00A1372C" w:rsidRDefault="00754FA3" w:rsidP="00E2745D">
      <w:pPr>
        <w:pStyle w:val="FootnoteText"/>
        <w:rPr>
          <w:szCs w:val="22"/>
        </w:rPr>
      </w:pPr>
    </w:p>
  </w:footnote>
  <w:footnote w:id="80">
    <w:p w:rsidR="00754FA3" w:rsidRPr="00A1372C" w:rsidRDefault="00754FA3" w:rsidP="004D334C">
      <w:pPr>
        <w:pStyle w:val="FootnoteText"/>
        <w:rPr>
          <w:szCs w:val="22"/>
        </w:rPr>
      </w:pPr>
      <w:r w:rsidRPr="00A1372C">
        <w:rPr>
          <w:rStyle w:val="FootnoteReference"/>
          <w:szCs w:val="22"/>
        </w:rPr>
        <w:footnoteRef/>
      </w:r>
      <w:r w:rsidRPr="00A1372C">
        <w:rPr>
          <w:szCs w:val="22"/>
        </w:rPr>
        <w:t xml:space="preserve"> Elgin, Exh. No. KLE-1T at 22.</w:t>
      </w:r>
    </w:p>
    <w:p w:rsidR="00754FA3" w:rsidRPr="00A1372C" w:rsidRDefault="00754FA3" w:rsidP="004D334C">
      <w:pPr>
        <w:pStyle w:val="FootnoteText"/>
        <w:rPr>
          <w:szCs w:val="22"/>
        </w:rPr>
      </w:pPr>
    </w:p>
  </w:footnote>
  <w:footnote w:id="81">
    <w:p w:rsidR="00754FA3" w:rsidRPr="00A1372C" w:rsidRDefault="00754FA3" w:rsidP="004D334C">
      <w:pPr>
        <w:pStyle w:val="FootnoteText"/>
        <w:rPr>
          <w:szCs w:val="22"/>
        </w:rPr>
      </w:pPr>
      <w:r w:rsidRPr="00A1372C">
        <w:rPr>
          <w:rStyle w:val="FootnoteReference"/>
          <w:szCs w:val="22"/>
        </w:rPr>
        <w:footnoteRef/>
      </w:r>
      <w:r w:rsidRPr="00A1372C">
        <w:rPr>
          <w:szCs w:val="22"/>
        </w:rPr>
        <w:t xml:space="preserve"> </w:t>
      </w:r>
      <w:r>
        <w:rPr>
          <w:i/>
          <w:szCs w:val="22"/>
        </w:rPr>
        <w:t>Id.</w:t>
      </w:r>
    </w:p>
    <w:p w:rsidR="00754FA3" w:rsidRPr="00A1372C" w:rsidRDefault="00754FA3" w:rsidP="004D334C">
      <w:pPr>
        <w:pStyle w:val="FootnoteText"/>
        <w:rPr>
          <w:szCs w:val="22"/>
        </w:rPr>
      </w:pPr>
    </w:p>
  </w:footnote>
  <w:footnote w:id="82">
    <w:p w:rsidR="00754FA3" w:rsidRPr="003E4CD3" w:rsidRDefault="00754FA3" w:rsidP="004D334C">
      <w:pPr>
        <w:pStyle w:val="FootnoteText"/>
        <w:rPr>
          <w:szCs w:val="22"/>
        </w:rPr>
      </w:pPr>
      <w:r w:rsidRPr="00A1372C">
        <w:rPr>
          <w:rStyle w:val="FootnoteReference"/>
          <w:szCs w:val="22"/>
        </w:rPr>
        <w:footnoteRef/>
      </w:r>
      <w:r w:rsidRPr="00A1372C">
        <w:rPr>
          <w:szCs w:val="22"/>
        </w:rPr>
        <w:t xml:space="preserve"> </w:t>
      </w:r>
      <w:r>
        <w:rPr>
          <w:i/>
          <w:szCs w:val="22"/>
        </w:rPr>
        <w:t>Id.</w:t>
      </w:r>
      <w:r w:rsidRPr="003E4CD3">
        <w:rPr>
          <w:szCs w:val="22"/>
        </w:rPr>
        <w:t xml:space="preserve">  Staff also removed some others, including, for example, Black Hills Corporation, which is primarily a gas utility. </w:t>
      </w:r>
    </w:p>
    <w:p w:rsidR="00754FA3" w:rsidRPr="003E4CD3" w:rsidRDefault="00754FA3" w:rsidP="004D334C">
      <w:pPr>
        <w:pStyle w:val="FootnoteText"/>
        <w:rPr>
          <w:szCs w:val="22"/>
        </w:rPr>
      </w:pPr>
    </w:p>
  </w:footnote>
  <w:footnote w:id="83">
    <w:p w:rsidR="00754FA3" w:rsidRPr="00A1372C" w:rsidRDefault="00754FA3" w:rsidP="004D334C">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30 – 31.</w:t>
      </w:r>
    </w:p>
    <w:p w:rsidR="00754FA3" w:rsidRPr="00A1372C" w:rsidRDefault="00754FA3" w:rsidP="004D334C">
      <w:pPr>
        <w:pStyle w:val="FootnoteText"/>
        <w:rPr>
          <w:szCs w:val="22"/>
        </w:rPr>
      </w:pPr>
    </w:p>
  </w:footnote>
  <w:footnote w:id="84">
    <w:p w:rsidR="00754FA3" w:rsidRPr="00A1372C" w:rsidRDefault="00754FA3" w:rsidP="000B43E5">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40.</w:t>
      </w:r>
    </w:p>
    <w:p w:rsidR="00754FA3" w:rsidRPr="00A1372C" w:rsidRDefault="00754FA3" w:rsidP="000B43E5">
      <w:pPr>
        <w:pStyle w:val="FootnoteText"/>
        <w:rPr>
          <w:szCs w:val="22"/>
        </w:rPr>
      </w:pPr>
    </w:p>
  </w:footnote>
  <w:footnote w:id="85">
    <w:p w:rsidR="00754FA3" w:rsidRPr="00A1372C" w:rsidRDefault="00754FA3" w:rsidP="000B43E5">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43.</w:t>
      </w:r>
    </w:p>
    <w:p w:rsidR="00754FA3" w:rsidRPr="00A1372C" w:rsidRDefault="00754FA3" w:rsidP="000B43E5">
      <w:pPr>
        <w:pStyle w:val="FootnoteText"/>
        <w:rPr>
          <w:szCs w:val="22"/>
        </w:rPr>
      </w:pPr>
    </w:p>
  </w:footnote>
  <w:footnote w:id="86">
    <w:p w:rsidR="00754FA3" w:rsidRPr="00A1372C" w:rsidRDefault="00754FA3" w:rsidP="009E0E4F">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at 44.</w:t>
      </w:r>
    </w:p>
    <w:p w:rsidR="00754FA3" w:rsidRPr="00A1372C" w:rsidRDefault="00754FA3" w:rsidP="009E0E4F">
      <w:pPr>
        <w:pStyle w:val="FootnoteText"/>
        <w:rPr>
          <w:szCs w:val="22"/>
        </w:rPr>
      </w:pPr>
    </w:p>
  </w:footnote>
  <w:footnote w:id="87">
    <w:p w:rsidR="00754FA3" w:rsidRPr="00A1372C" w:rsidRDefault="00754FA3" w:rsidP="009E0E4F">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45.</w:t>
      </w:r>
    </w:p>
    <w:p w:rsidR="00754FA3" w:rsidRPr="00A1372C" w:rsidRDefault="00754FA3" w:rsidP="009E0E4F">
      <w:pPr>
        <w:pStyle w:val="FootnoteText"/>
        <w:rPr>
          <w:szCs w:val="22"/>
        </w:rPr>
      </w:pPr>
    </w:p>
  </w:footnote>
  <w:footnote w:id="88">
    <w:p w:rsidR="00754FA3" w:rsidRPr="00A1372C" w:rsidRDefault="00754FA3" w:rsidP="009E0E4F">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4</w:t>
      </w:r>
      <w:r>
        <w:rPr>
          <w:szCs w:val="22"/>
        </w:rPr>
        <w:t>6</w:t>
      </w:r>
      <w:r w:rsidRPr="00A1372C">
        <w:rPr>
          <w:szCs w:val="22"/>
        </w:rPr>
        <w:t>.</w:t>
      </w:r>
    </w:p>
    <w:p w:rsidR="00754FA3" w:rsidRPr="00A1372C" w:rsidRDefault="00754FA3" w:rsidP="009E0E4F">
      <w:pPr>
        <w:pStyle w:val="FootnoteText"/>
        <w:rPr>
          <w:szCs w:val="22"/>
        </w:rPr>
      </w:pPr>
    </w:p>
  </w:footnote>
  <w:footnote w:id="89">
    <w:p w:rsidR="00754FA3" w:rsidRPr="00A1372C" w:rsidRDefault="00754FA3" w:rsidP="009E0E4F">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4</w:t>
      </w:r>
      <w:r>
        <w:rPr>
          <w:szCs w:val="22"/>
        </w:rPr>
        <w:t>7</w:t>
      </w:r>
      <w:r w:rsidRPr="00A1372C">
        <w:rPr>
          <w:szCs w:val="22"/>
        </w:rPr>
        <w:t>.</w:t>
      </w:r>
    </w:p>
    <w:p w:rsidR="00754FA3" w:rsidRPr="00A1372C" w:rsidRDefault="00754FA3" w:rsidP="009E0E4F">
      <w:pPr>
        <w:pStyle w:val="FootnoteText"/>
        <w:rPr>
          <w:szCs w:val="22"/>
        </w:rPr>
      </w:pPr>
    </w:p>
  </w:footnote>
  <w:footnote w:id="90">
    <w:p w:rsidR="00754FA3" w:rsidRPr="00A1372C" w:rsidRDefault="00754FA3" w:rsidP="009E0E4F">
      <w:pPr>
        <w:pStyle w:val="FootnoteText"/>
        <w:rPr>
          <w:szCs w:val="22"/>
        </w:rPr>
      </w:pPr>
      <w:r w:rsidRPr="00A1372C">
        <w:rPr>
          <w:rStyle w:val="FootnoteReference"/>
          <w:szCs w:val="22"/>
        </w:rPr>
        <w:footnoteRef/>
      </w:r>
      <w:r w:rsidRPr="00A1372C">
        <w:rPr>
          <w:szCs w:val="22"/>
        </w:rPr>
        <w:t xml:space="preserve"> Gorman, Exh. No. MPG-1T at 16.</w:t>
      </w:r>
    </w:p>
    <w:p w:rsidR="00754FA3" w:rsidRPr="00A1372C" w:rsidRDefault="00754FA3" w:rsidP="009E0E4F">
      <w:pPr>
        <w:pStyle w:val="FootnoteText"/>
        <w:rPr>
          <w:szCs w:val="22"/>
        </w:rPr>
      </w:pPr>
    </w:p>
  </w:footnote>
  <w:footnote w:id="91">
    <w:p w:rsidR="00754FA3" w:rsidRPr="00A1372C" w:rsidRDefault="00754FA3" w:rsidP="009E0E4F">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17.</w:t>
      </w:r>
    </w:p>
    <w:p w:rsidR="00754FA3" w:rsidRPr="00A1372C" w:rsidRDefault="00754FA3" w:rsidP="009E0E4F">
      <w:pPr>
        <w:pStyle w:val="FootnoteText"/>
        <w:rPr>
          <w:szCs w:val="22"/>
        </w:rPr>
      </w:pPr>
    </w:p>
  </w:footnote>
  <w:footnote w:id="92">
    <w:p w:rsidR="00754FA3" w:rsidRPr="00A1372C" w:rsidRDefault="00754FA3" w:rsidP="009E0E4F">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21.</w:t>
      </w:r>
    </w:p>
    <w:p w:rsidR="00754FA3" w:rsidRPr="00A1372C" w:rsidRDefault="00754FA3" w:rsidP="009E0E4F">
      <w:pPr>
        <w:pStyle w:val="FootnoteText"/>
        <w:rPr>
          <w:szCs w:val="22"/>
        </w:rPr>
      </w:pPr>
    </w:p>
  </w:footnote>
  <w:footnote w:id="93">
    <w:p w:rsidR="00754FA3" w:rsidRDefault="00754FA3">
      <w:pPr>
        <w:pStyle w:val="FootnoteText"/>
      </w:pPr>
      <w:r>
        <w:rPr>
          <w:rStyle w:val="FootnoteReference"/>
        </w:rPr>
        <w:footnoteRef/>
      </w:r>
      <w:r>
        <w:t xml:space="preserve"> </w:t>
      </w:r>
      <w:r>
        <w:rPr>
          <w:i/>
        </w:rPr>
        <w:t>Id.</w:t>
      </w:r>
      <w:r>
        <w:t xml:space="preserve"> at 27.</w:t>
      </w:r>
    </w:p>
    <w:p w:rsidR="00754FA3" w:rsidRDefault="00754FA3">
      <w:pPr>
        <w:pStyle w:val="FootnoteText"/>
      </w:pPr>
    </w:p>
  </w:footnote>
  <w:footnote w:id="94">
    <w:p w:rsidR="00754FA3" w:rsidRPr="00A1372C" w:rsidRDefault="00754FA3" w:rsidP="009E0E4F">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24.</w:t>
      </w:r>
    </w:p>
    <w:p w:rsidR="00754FA3" w:rsidRPr="00A1372C" w:rsidRDefault="00754FA3" w:rsidP="009E0E4F">
      <w:pPr>
        <w:pStyle w:val="FootnoteText"/>
        <w:rPr>
          <w:szCs w:val="22"/>
        </w:rPr>
      </w:pPr>
    </w:p>
  </w:footnote>
  <w:footnote w:id="95">
    <w:p w:rsidR="00754FA3" w:rsidRPr="00A1372C" w:rsidRDefault="00754FA3" w:rsidP="009E0E4F">
      <w:pPr>
        <w:pStyle w:val="FootnoteText"/>
        <w:rPr>
          <w:szCs w:val="22"/>
        </w:rPr>
      </w:pPr>
      <w:r w:rsidRPr="00A1372C">
        <w:rPr>
          <w:rStyle w:val="FootnoteReference"/>
          <w:szCs w:val="22"/>
        </w:rPr>
        <w:footnoteRef/>
      </w:r>
      <w:r w:rsidRPr="00A1372C">
        <w:rPr>
          <w:szCs w:val="22"/>
        </w:rPr>
        <w:t xml:space="preserve"> </w:t>
      </w:r>
      <w:r>
        <w:rPr>
          <w:i/>
          <w:szCs w:val="22"/>
        </w:rPr>
        <w:t>Id.</w:t>
      </w:r>
    </w:p>
    <w:p w:rsidR="00754FA3" w:rsidRPr="00A1372C" w:rsidRDefault="00754FA3" w:rsidP="009E0E4F">
      <w:pPr>
        <w:pStyle w:val="FootnoteText"/>
        <w:rPr>
          <w:szCs w:val="22"/>
        </w:rPr>
      </w:pPr>
    </w:p>
  </w:footnote>
  <w:footnote w:id="96">
    <w:p w:rsidR="00754FA3" w:rsidRPr="00A1372C" w:rsidRDefault="00754FA3" w:rsidP="009E0E4F">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25.</w:t>
      </w:r>
    </w:p>
    <w:p w:rsidR="00754FA3" w:rsidRPr="00A1372C" w:rsidRDefault="00754FA3" w:rsidP="009E0E4F">
      <w:pPr>
        <w:pStyle w:val="FootnoteText"/>
        <w:rPr>
          <w:szCs w:val="22"/>
        </w:rPr>
      </w:pPr>
    </w:p>
  </w:footnote>
  <w:footnote w:id="97">
    <w:p w:rsidR="00754FA3" w:rsidRPr="00A1372C" w:rsidRDefault="00754FA3" w:rsidP="009E0E4F">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27.</w:t>
      </w:r>
    </w:p>
    <w:p w:rsidR="00754FA3" w:rsidRPr="00A1372C" w:rsidRDefault="00754FA3" w:rsidP="009E0E4F">
      <w:pPr>
        <w:pStyle w:val="FootnoteText"/>
        <w:rPr>
          <w:szCs w:val="22"/>
        </w:rPr>
      </w:pPr>
    </w:p>
  </w:footnote>
  <w:footnote w:id="98">
    <w:p w:rsidR="00754FA3" w:rsidRPr="00A1372C" w:rsidRDefault="00754FA3" w:rsidP="009E0E4F">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32.</w:t>
      </w:r>
    </w:p>
    <w:p w:rsidR="00754FA3" w:rsidRPr="00A1372C" w:rsidRDefault="00754FA3" w:rsidP="009E0E4F">
      <w:pPr>
        <w:pStyle w:val="FootnoteText"/>
        <w:rPr>
          <w:szCs w:val="22"/>
        </w:rPr>
      </w:pPr>
    </w:p>
  </w:footnote>
  <w:footnote w:id="99">
    <w:p w:rsidR="00754FA3" w:rsidRDefault="00754FA3">
      <w:pPr>
        <w:pStyle w:val="FootnoteText"/>
      </w:pPr>
      <w:r>
        <w:rPr>
          <w:rStyle w:val="FootnoteReference"/>
        </w:rPr>
        <w:footnoteRef/>
      </w:r>
      <w:r>
        <w:t xml:space="preserve"> </w:t>
      </w:r>
      <w:r>
        <w:rPr>
          <w:i/>
        </w:rPr>
        <w:t>Id.</w:t>
      </w:r>
      <w:r>
        <w:t xml:space="preserve"> at 36.  This data was taken from Morningstar, </w:t>
      </w:r>
      <w:r>
        <w:rPr>
          <w:i/>
        </w:rPr>
        <w:t xml:space="preserve">Stocks, Bonds, Bills, and Inflation, 2010 Yearbook.  </w:t>
      </w:r>
      <w:r>
        <w:t>Morningstar (Morningstar.com) is an independent source of investment advice and analysis that originally was established to provide advice to individuals on mutual funds.  It has expanded to provide a full range of independent analysis to institutions and individuals on the risks and returns in equity markets, including historical analysis and forward-looking estimates.</w:t>
      </w:r>
    </w:p>
    <w:p w:rsidR="00754FA3" w:rsidRPr="00653AB7" w:rsidRDefault="00754FA3">
      <w:pPr>
        <w:pStyle w:val="FootnoteText"/>
      </w:pPr>
    </w:p>
  </w:footnote>
  <w:footnote w:id="100">
    <w:p w:rsidR="00754FA3" w:rsidRPr="00A1372C" w:rsidRDefault="00754FA3" w:rsidP="009E0E4F">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37.</w:t>
      </w:r>
    </w:p>
    <w:p w:rsidR="00754FA3" w:rsidRPr="00A1372C" w:rsidRDefault="00754FA3" w:rsidP="009E0E4F">
      <w:pPr>
        <w:pStyle w:val="FootnoteText"/>
        <w:rPr>
          <w:szCs w:val="22"/>
        </w:rPr>
      </w:pPr>
    </w:p>
  </w:footnote>
  <w:footnote w:id="101">
    <w:p w:rsidR="00754FA3" w:rsidRDefault="00754FA3">
      <w:pPr>
        <w:pStyle w:val="FootnoteText"/>
      </w:pPr>
      <w:r>
        <w:rPr>
          <w:rStyle w:val="FootnoteReference"/>
        </w:rPr>
        <w:footnoteRef/>
      </w:r>
      <w:r>
        <w:t xml:space="preserve"> </w:t>
      </w:r>
      <w:r>
        <w:rPr>
          <w:i/>
        </w:rPr>
        <w:t>Id.</w:t>
      </w:r>
      <w:r>
        <w:t xml:space="preserve"> at 37 - 38.</w:t>
      </w:r>
    </w:p>
    <w:p w:rsidR="00754FA3" w:rsidRDefault="00754FA3">
      <w:pPr>
        <w:pStyle w:val="FootnoteText"/>
      </w:pPr>
    </w:p>
  </w:footnote>
  <w:footnote w:id="102">
    <w:p w:rsidR="00754FA3" w:rsidRDefault="00754FA3">
      <w:pPr>
        <w:pStyle w:val="FootnoteText"/>
      </w:pPr>
      <w:r>
        <w:rPr>
          <w:rStyle w:val="FootnoteReference"/>
        </w:rPr>
        <w:footnoteRef/>
      </w:r>
      <w:r>
        <w:t xml:space="preserve"> </w:t>
      </w:r>
      <w:r>
        <w:rPr>
          <w:i/>
        </w:rPr>
        <w:t>Id.</w:t>
      </w:r>
      <w:r>
        <w:t xml:space="preserve"> at 41.</w:t>
      </w:r>
    </w:p>
    <w:p w:rsidR="00754FA3" w:rsidRDefault="00754FA3">
      <w:pPr>
        <w:pStyle w:val="FootnoteText"/>
      </w:pPr>
    </w:p>
  </w:footnote>
  <w:footnote w:id="103">
    <w:p w:rsidR="00754FA3" w:rsidRPr="00A1372C" w:rsidRDefault="00754FA3" w:rsidP="009E0E4F">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44.</w:t>
      </w:r>
    </w:p>
    <w:p w:rsidR="00754FA3" w:rsidRPr="00A1372C" w:rsidRDefault="00754FA3" w:rsidP="009E0E4F">
      <w:pPr>
        <w:pStyle w:val="FootnoteText"/>
        <w:rPr>
          <w:szCs w:val="22"/>
        </w:rPr>
      </w:pPr>
    </w:p>
  </w:footnote>
  <w:footnote w:id="104">
    <w:p w:rsidR="00754FA3" w:rsidRPr="00A1372C" w:rsidRDefault="00754FA3" w:rsidP="009E0E4F">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42.</w:t>
      </w:r>
    </w:p>
    <w:p w:rsidR="00754FA3" w:rsidRPr="00A1372C" w:rsidRDefault="00754FA3" w:rsidP="009E0E4F">
      <w:pPr>
        <w:pStyle w:val="FootnoteText"/>
        <w:rPr>
          <w:szCs w:val="22"/>
        </w:rPr>
      </w:pPr>
    </w:p>
  </w:footnote>
  <w:footnote w:id="105">
    <w:p w:rsidR="00754FA3" w:rsidRPr="00A1372C" w:rsidRDefault="00754FA3" w:rsidP="00E12FBA">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44</w:t>
      </w:r>
      <w:r>
        <w:rPr>
          <w:szCs w:val="22"/>
        </w:rPr>
        <w:t xml:space="preserve"> and 46</w:t>
      </w:r>
      <w:r w:rsidRPr="00A1372C">
        <w:rPr>
          <w:szCs w:val="22"/>
        </w:rPr>
        <w:t>.</w:t>
      </w:r>
    </w:p>
    <w:p w:rsidR="00754FA3" w:rsidRPr="00A1372C" w:rsidRDefault="00754FA3" w:rsidP="00E12FBA">
      <w:pPr>
        <w:pStyle w:val="FootnoteText"/>
        <w:rPr>
          <w:szCs w:val="22"/>
        </w:rPr>
      </w:pPr>
    </w:p>
  </w:footnote>
  <w:footnote w:id="106">
    <w:p w:rsidR="00754FA3" w:rsidRPr="00A1372C" w:rsidRDefault="00754FA3" w:rsidP="009E0E4F">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48.</w:t>
      </w:r>
    </w:p>
    <w:p w:rsidR="00754FA3" w:rsidRPr="00A1372C" w:rsidRDefault="00754FA3" w:rsidP="009E0E4F">
      <w:pPr>
        <w:pStyle w:val="FootnoteText"/>
        <w:rPr>
          <w:szCs w:val="22"/>
        </w:rPr>
      </w:pPr>
    </w:p>
  </w:footnote>
  <w:footnote w:id="107">
    <w:p w:rsidR="00754FA3" w:rsidRPr="00A1372C" w:rsidRDefault="00754FA3" w:rsidP="009E0E4F">
      <w:pPr>
        <w:pStyle w:val="FootnoteText"/>
        <w:rPr>
          <w:szCs w:val="22"/>
        </w:rPr>
      </w:pPr>
      <w:r w:rsidRPr="00A1372C">
        <w:rPr>
          <w:rStyle w:val="FootnoteReference"/>
          <w:szCs w:val="22"/>
        </w:rPr>
        <w:footnoteRef/>
      </w:r>
      <w:r w:rsidRPr="00A1372C">
        <w:rPr>
          <w:szCs w:val="22"/>
        </w:rPr>
        <w:t xml:space="preserve"> </w:t>
      </w:r>
      <w:r>
        <w:rPr>
          <w:i/>
          <w:szCs w:val="22"/>
        </w:rPr>
        <w:t>Id.</w:t>
      </w:r>
    </w:p>
    <w:p w:rsidR="00754FA3" w:rsidRPr="00A1372C" w:rsidRDefault="00754FA3" w:rsidP="009E0E4F">
      <w:pPr>
        <w:pStyle w:val="FootnoteText"/>
        <w:rPr>
          <w:szCs w:val="22"/>
        </w:rPr>
      </w:pPr>
    </w:p>
  </w:footnote>
  <w:footnote w:id="108">
    <w:p w:rsidR="00754FA3" w:rsidRDefault="00754FA3">
      <w:pPr>
        <w:pStyle w:val="FootnoteText"/>
      </w:pPr>
      <w:r>
        <w:rPr>
          <w:rStyle w:val="FootnoteReference"/>
        </w:rPr>
        <w:footnoteRef/>
      </w:r>
      <w:r>
        <w:t xml:space="preserve"> </w:t>
      </w:r>
      <w:r>
        <w:rPr>
          <w:i/>
        </w:rPr>
        <w:t>Id.</w:t>
      </w:r>
      <w:r>
        <w:t xml:space="preserve"> at 48, 51.</w:t>
      </w:r>
    </w:p>
    <w:p w:rsidR="00754FA3" w:rsidRDefault="00754FA3">
      <w:pPr>
        <w:pStyle w:val="FootnoteText"/>
      </w:pPr>
    </w:p>
  </w:footnote>
  <w:footnote w:id="109">
    <w:p w:rsidR="00754FA3" w:rsidRPr="00A1372C" w:rsidRDefault="00754FA3" w:rsidP="009E0E4F">
      <w:pPr>
        <w:pStyle w:val="FootnoteText"/>
        <w:rPr>
          <w:szCs w:val="22"/>
        </w:rPr>
      </w:pPr>
      <w:r w:rsidRPr="00A1372C">
        <w:rPr>
          <w:rStyle w:val="FootnoteReference"/>
          <w:szCs w:val="22"/>
        </w:rPr>
        <w:footnoteRef/>
      </w:r>
      <w:r w:rsidRPr="00A1372C">
        <w:rPr>
          <w:szCs w:val="22"/>
        </w:rPr>
        <w:t xml:space="preserve"> Hadaway, Exh. No. SCH-8T at 2.</w:t>
      </w:r>
    </w:p>
    <w:p w:rsidR="00754FA3" w:rsidRPr="00A1372C" w:rsidRDefault="00754FA3" w:rsidP="009E0E4F">
      <w:pPr>
        <w:pStyle w:val="FootnoteText"/>
        <w:rPr>
          <w:szCs w:val="22"/>
        </w:rPr>
      </w:pPr>
    </w:p>
  </w:footnote>
  <w:footnote w:id="110">
    <w:p w:rsidR="00754FA3" w:rsidRPr="00A1372C" w:rsidRDefault="00754FA3" w:rsidP="009E0E4F">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7.</w:t>
      </w:r>
    </w:p>
    <w:p w:rsidR="00754FA3" w:rsidRPr="00A1372C" w:rsidRDefault="00754FA3" w:rsidP="009E0E4F">
      <w:pPr>
        <w:pStyle w:val="FootnoteText"/>
        <w:rPr>
          <w:szCs w:val="22"/>
        </w:rPr>
      </w:pPr>
    </w:p>
  </w:footnote>
  <w:footnote w:id="111">
    <w:p w:rsidR="00754FA3" w:rsidRPr="00A1372C" w:rsidRDefault="00754FA3" w:rsidP="009E0E4F">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11.</w:t>
      </w:r>
    </w:p>
    <w:p w:rsidR="00754FA3" w:rsidRPr="00A1372C" w:rsidRDefault="00754FA3" w:rsidP="009E0E4F">
      <w:pPr>
        <w:pStyle w:val="FootnoteText"/>
        <w:rPr>
          <w:szCs w:val="22"/>
        </w:rPr>
      </w:pPr>
    </w:p>
  </w:footnote>
  <w:footnote w:id="112">
    <w:p w:rsidR="00754FA3" w:rsidRPr="00A1372C" w:rsidRDefault="00754FA3" w:rsidP="009E0E4F">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at 11 – 12.</w:t>
      </w:r>
    </w:p>
    <w:p w:rsidR="00754FA3" w:rsidRPr="00A1372C" w:rsidRDefault="00754FA3" w:rsidP="009E0E4F">
      <w:pPr>
        <w:pStyle w:val="FootnoteText"/>
        <w:rPr>
          <w:szCs w:val="22"/>
        </w:rPr>
      </w:pPr>
    </w:p>
  </w:footnote>
  <w:footnote w:id="113">
    <w:p w:rsidR="00754FA3" w:rsidRPr="00A1372C" w:rsidRDefault="00754FA3" w:rsidP="009E0E4F">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13.</w:t>
      </w:r>
    </w:p>
    <w:p w:rsidR="00754FA3" w:rsidRPr="00A1372C" w:rsidRDefault="00754FA3" w:rsidP="009E0E4F">
      <w:pPr>
        <w:pStyle w:val="FootnoteText"/>
        <w:rPr>
          <w:szCs w:val="22"/>
        </w:rPr>
      </w:pPr>
    </w:p>
  </w:footnote>
  <w:footnote w:id="114">
    <w:p w:rsidR="00754FA3" w:rsidRPr="00A1372C" w:rsidRDefault="00754FA3" w:rsidP="009E0E4F">
      <w:pPr>
        <w:pStyle w:val="FootnoteText"/>
        <w:rPr>
          <w:szCs w:val="22"/>
        </w:rPr>
      </w:pPr>
      <w:r w:rsidRPr="00A1372C">
        <w:rPr>
          <w:rStyle w:val="FootnoteReference"/>
          <w:szCs w:val="22"/>
        </w:rPr>
        <w:footnoteRef/>
      </w:r>
      <w:r w:rsidRPr="00A1372C">
        <w:rPr>
          <w:szCs w:val="22"/>
        </w:rPr>
        <w:t xml:space="preserve"> </w:t>
      </w:r>
      <w:r>
        <w:rPr>
          <w:i/>
          <w:szCs w:val="22"/>
        </w:rPr>
        <w:t xml:space="preserve">Id. </w:t>
      </w:r>
      <w:r w:rsidRPr="00A1372C">
        <w:rPr>
          <w:szCs w:val="22"/>
        </w:rPr>
        <w:t>at 15.</w:t>
      </w:r>
    </w:p>
    <w:p w:rsidR="00754FA3" w:rsidRPr="00A1372C" w:rsidRDefault="00754FA3" w:rsidP="009E0E4F">
      <w:pPr>
        <w:pStyle w:val="FootnoteText"/>
        <w:rPr>
          <w:szCs w:val="22"/>
        </w:rPr>
      </w:pPr>
    </w:p>
  </w:footnote>
  <w:footnote w:id="115">
    <w:p w:rsidR="00754FA3" w:rsidRPr="00A1372C" w:rsidRDefault="00754FA3" w:rsidP="009E0E4F">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18.</w:t>
      </w:r>
    </w:p>
    <w:p w:rsidR="00754FA3" w:rsidRPr="00A1372C" w:rsidRDefault="00754FA3" w:rsidP="009E0E4F">
      <w:pPr>
        <w:pStyle w:val="FootnoteText"/>
        <w:rPr>
          <w:szCs w:val="22"/>
        </w:rPr>
      </w:pPr>
    </w:p>
  </w:footnote>
  <w:footnote w:id="116">
    <w:p w:rsidR="00754FA3" w:rsidRPr="00A1372C" w:rsidRDefault="00754FA3" w:rsidP="009E0E4F">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15.</w:t>
      </w:r>
    </w:p>
    <w:p w:rsidR="00754FA3" w:rsidRPr="00A1372C" w:rsidRDefault="00754FA3" w:rsidP="009E0E4F">
      <w:pPr>
        <w:pStyle w:val="FootnoteText"/>
        <w:rPr>
          <w:szCs w:val="22"/>
        </w:rPr>
      </w:pPr>
    </w:p>
  </w:footnote>
  <w:footnote w:id="117">
    <w:p w:rsidR="00754FA3" w:rsidRPr="00A1372C" w:rsidRDefault="00754FA3" w:rsidP="009E0E4F">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23.</w:t>
      </w:r>
    </w:p>
    <w:p w:rsidR="00754FA3" w:rsidRPr="00A1372C" w:rsidRDefault="00754FA3" w:rsidP="009E0E4F">
      <w:pPr>
        <w:pStyle w:val="FootnoteText"/>
        <w:rPr>
          <w:szCs w:val="22"/>
        </w:rPr>
      </w:pPr>
    </w:p>
  </w:footnote>
  <w:footnote w:id="118">
    <w:p w:rsidR="00754FA3" w:rsidRPr="00A1372C" w:rsidRDefault="00754FA3" w:rsidP="009E0E4F">
      <w:pPr>
        <w:pStyle w:val="FootnoteText"/>
        <w:rPr>
          <w:szCs w:val="22"/>
        </w:rPr>
      </w:pPr>
      <w:r w:rsidRPr="00A1372C">
        <w:rPr>
          <w:rStyle w:val="FootnoteReference"/>
          <w:szCs w:val="22"/>
        </w:rPr>
        <w:footnoteRef/>
      </w:r>
      <w:r w:rsidRPr="00A1372C">
        <w:rPr>
          <w:szCs w:val="22"/>
        </w:rPr>
        <w:t xml:space="preserve"> </w:t>
      </w:r>
      <w:r>
        <w:rPr>
          <w:i/>
          <w:szCs w:val="22"/>
        </w:rPr>
        <w:t>Id.</w:t>
      </w:r>
    </w:p>
    <w:p w:rsidR="00754FA3" w:rsidRPr="00A1372C" w:rsidRDefault="00754FA3" w:rsidP="009E0E4F">
      <w:pPr>
        <w:pStyle w:val="FootnoteText"/>
        <w:rPr>
          <w:szCs w:val="22"/>
        </w:rPr>
      </w:pPr>
    </w:p>
  </w:footnote>
  <w:footnote w:id="119">
    <w:p w:rsidR="00754FA3" w:rsidRPr="00A1372C" w:rsidRDefault="00754FA3" w:rsidP="009E0E4F">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2</w:t>
      </w:r>
      <w:r>
        <w:rPr>
          <w:szCs w:val="22"/>
        </w:rPr>
        <w:t>7</w:t>
      </w:r>
      <w:r w:rsidRPr="00A1372C">
        <w:rPr>
          <w:szCs w:val="22"/>
        </w:rPr>
        <w:t>.</w:t>
      </w:r>
      <w:r>
        <w:rPr>
          <w:szCs w:val="22"/>
        </w:rPr>
        <w:t xml:space="preserve">  </w:t>
      </w:r>
    </w:p>
  </w:footnote>
  <w:footnote w:id="120">
    <w:p w:rsidR="00754FA3" w:rsidRDefault="00754FA3">
      <w:pPr>
        <w:pStyle w:val="FootnoteText"/>
        <w:rPr>
          <w:szCs w:val="22"/>
        </w:rPr>
      </w:pPr>
      <w:r w:rsidRPr="00DB5472">
        <w:rPr>
          <w:rStyle w:val="FootnoteReference"/>
          <w:szCs w:val="22"/>
        </w:rPr>
        <w:footnoteRef/>
      </w:r>
      <w:r w:rsidRPr="00DB5472">
        <w:rPr>
          <w:szCs w:val="22"/>
        </w:rPr>
        <w:t xml:space="preserve"> </w:t>
      </w:r>
      <w:r>
        <w:rPr>
          <w:i/>
          <w:szCs w:val="22"/>
        </w:rPr>
        <w:t>Id.</w:t>
      </w:r>
      <w:r>
        <w:rPr>
          <w:szCs w:val="22"/>
        </w:rPr>
        <w:t xml:space="preserve"> at 13.</w:t>
      </w:r>
    </w:p>
    <w:p w:rsidR="00754FA3" w:rsidRPr="00DB5472" w:rsidRDefault="00754FA3">
      <w:pPr>
        <w:pStyle w:val="FootnoteText"/>
        <w:rPr>
          <w:szCs w:val="22"/>
        </w:rPr>
      </w:pPr>
    </w:p>
  </w:footnote>
  <w:footnote w:id="121">
    <w:p w:rsidR="00754FA3" w:rsidRDefault="00754FA3">
      <w:pPr>
        <w:pStyle w:val="FootnoteText"/>
      </w:pPr>
      <w:r>
        <w:rPr>
          <w:rStyle w:val="FootnoteReference"/>
        </w:rPr>
        <w:footnoteRef/>
      </w:r>
      <w:r>
        <w:t xml:space="preserve"> Black Hills Corporation is primarily a gas utility, and DPL, Inc., produces a return on equity of 19.14 percent. </w:t>
      </w:r>
    </w:p>
    <w:p w:rsidR="00754FA3" w:rsidRDefault="00754FA3">
      <w:pPr>
        <w:pStyle w:val="FootnoteText"/>
      </w:pPr>
    </w:p>
  </w:footnote>
  <w:footnote w:id="122">
    <w:p w:rsidR="00754FA3" w:rsidRDefault="00754FA3">
      <w:pPr>
        <w:pStyle w:val="FootnoteText"/>
        <w:rPr>
          <w:szCs w:val="22"/>
        </w:rPr>
      </w:pPr>
      <w:r w:rsidRPr="007425FA">
        <w:rPr>
          <w:rStyle w:val="FootnoteReference"/>
          <w:szCs w:val="22"/>
        </w:rPr>
        <w:footnoteRef/>
      </w:r>
      <w:r w:rsidRPr="007425FA">
        <w:rPr>
          <w:szCs w:val="22"/>
        </w:rPr>
        <w:t xml:space="preserve"> </w:t>
      </w:r>
      <w:r>
        <w:rPr>
          <w:i/>
          <w:szCs w:val="22"/>
        </w:rPr>
        <w:t xml:space="preserve">See </w:t>
      </w:r>
      <w:r w:rsidRPr="007425FA">
        <w:rPr>
          <w:i/>
          <w:szCs w:val="22"/>
        </w:rPr>
        <w:t xml:space="preserve">Bluefield Water Works and Improvement Co. v. Public Service Commission of West Virginia, </w:t>
      </w:r>
      <w:r w:rsidRPr="007425FA">
        <w:rPr>
          <w:szCs w:val="22"/>
        </w:rPr>
        <w:t>262 U.S, 679,692 (1923).</w:t>
      </w:r>
    </w:p>
    <w:p w:rsidR="00754FA3" w:rsidRPr="007425FA" w:rsidRDefault="00754FA3">
      <w:pPr>
        <w:pStyle w:val="FootnoteText"/>
        <w:rPr>
          <w:szCs w:val="22"/>
        </w:rPr>
      </w:pPr>
    </w:p>
  </w:footnote>
  <w:footnote w:id="123">
    <w:p w:rsidR="00754FA3" w:rsidRDefault="00754FA3">
      <w:pPr>
        <w:pStyle w:val="FootnoteText"/>
      </w:pPr>
      <w:r>
        <w:rPr>
          <w:rStyle w:val="FootnoteReference"/>
        </w:rPr>
        <w:footnoteRef/>
      </w:r>
      <w:r>
        <w:t xml:space="preserve"> Hadaway, Exh. No. SPG-1T at 39.</w:t>
      </w:r>
    </w:p>
    <w:p w:rsidR="00754FA3" w:rsidRPr="005F6FD1" w:rsidRDefault="00754FA3">
      <w:pPr>
        <w:pStyle w:val="FootnoteText"/>
      </w:pPr>
    </w:p>
  </w:footnote>
  <w:footnote w:id="124">
    <w:p w:rsidR="00754FA3" w:rsidRDefault="00754FA3">
      <w:pPr>
        <w:pStyle w:val="FootnoteText"/>
        <w:rPr>
          <w:szCs w:val="22"/>
        </w:rPr>
      </w:pPr>
      <w:r w:rsidRPr="00AE6089">
        <w:rPr>
          <w:rStyle w:val="FootnoteReference"/>
          <w:szCs w:val="22"/>
        </w:rPr>
        <w:footnoteRef/>
      </w:r>
      <w:r w:rsidRPr="00AE6089">
        <w:rPr>
          <w:szCs w:val="22"/>
        </w:rPr>
        <w:t xml:space="preserve"> </w:t>
      </w:r>
      <w:r>
        <w:rPr>
          <w:szCs w:val="22"/>
        </w:rPr>
        <w:t xml:space="preserve">Gorman, Exh. No. MPG-1T at 19 – 25. </w:t>
      </w:r>
    </w:p>
    <w:p w:rsidR="00754FA3" w:rsidRPr="00AE6089" w:rsidRDefault="00754FA3">
      <w:pPr>
        <w:pStyle w:val="FootnoteText"/>
        <w:rPr>
          <w:szCs w:val="22"/>
        </w:rPr>
      </w:pPr>
    </w:p>
  </w:footnote>
  <w:footnote w:id="125">
    <w:p w:rsidR="00754FA3" w:rsidRDefault="00754FA3">
      <w:pPr>
        <w:pStyle w:val="FootnoteText"/>
      </w:pPr>
      <w:r>
        <w:rPr>
          <w:rStyle w:val="FootnoteReference"/>
        </w:rPr>
        <w:footnoteRef/>
      </w:r>
      <w:r>
        <w:t xml:space="preserve"> Hadaway, Exh. No. SPG-8T at 6 – 7.</w:t>
      </w:r>
    </w:p>
    <w:p w:rsidR="00754FA3" w:rsidRDefault="00754FA3">
      <w:pPr>
        <w:pStyle w:val="FootnoteText"/>
      </w:pPr>
    </w:p>
  </w:footnote>
  <w:footnote w:id="126">
    <w:p w:rsidR="00754FA3" w:rsidRDefault="00754FA3">
      <w:pPr>
        <w:pStyle w:val="FootnoteText"/>
      </w:pPr>
      <w:r>
        <w:rPr>
          <w:rStyle w:val="FootnoteReference"/>
        </w:rPr>
        <w:footnoteRef/>
      </w:r>
      <w:r>
        <w:t xml:space="preserve"> Gorman, Exh. No. MPG-1T at 6 -8.  ICNU’s testimony cites the superior performance of the EEI index over the 2000 – 2009 period as 134 percent on a total return basis which substantially outperforms the DJIA return of 14 percent, the S &amp; P 500 index of 9 percent, and the NASDAQ index of negative 44 percent.  </w:t>
      </w:r>
    </w:p>
    <w:p w:rsidR="00754FA3" w:rsidRDefault="00754FA3">
      <w:pPr>
        <w:pStyle w:val="FootnoteText"/>
      </w:pPr>
    </w:p>
  </w:footnote>
  <w:footnote w:id="127">
    <w:p w:rsidR="00754FA3" w:rsidRDefault="00754FA3">
      <w:pPr>
        <w:pStyle w:val="FootnoteText"/>
      </w:pPr>
      <w:r>
        <w:rPr>
          <w:rStyle w:val="FootnoteReference"/>
        </w:rPr>
        <w:footnoteRef/>
      </w:r>
      <w:r>
        <w:t xml:space="preserve"> </w:t>
      </w:r>
      <w:r>
        <w:rPr>
          <w:i/>
        </w:rPr>
        <w:t>Id.</w:t>
      </w:r>
      <w:r>
        <w:t xml:space="preserve"> at 42 – 43.</w:t>
      </w:r>
    </w:p>
  </w:footnote>
  <w:footnote w:id="128">
    <w:p w:rsidR="00754FA3" w:rsidRDefault="00754FA3">
      <w:pPr>
        <w:pStyle w:val="FootnoteText"/>
      </w:pPr>
      <w:r>
        <w:rPr>
          <w:rStyle w:val="FootnoteReference"/>
        </w:rPr>
        <w:footnoteRef/>
      </w:r>
      <w:r>
        <w:t xml:space="preserve"> Elgin, Exh. No. KLE-1T at 44 - 46. </w:t>
      </w:r>
    </w:p>
  </w:footnote>
  <w:footnote w:id="129">
    <w:p w:rsidR="00754FA3" w:rsidRDefault="00754FA3">
      <w:pPr>
        <w:pStyle w:val="FootnoteText"/>
      </w:pPr>
      <w:r>
        <w:rPr>
          <w:rStyle w:val="FootnoteReference"/>
        </w:rPr>
        <w:footnoteRef/>
      </w:r>
      <w:r>
        <w:t xml:space="preserve"> </w:t>
      </w:r>
      <w:r>
        <w:rPr>
          <w:i/>
        </w:rPr>
        <w:t xml:space="preserve">Washington Utilities and Transportation Commission v. Puget Sound Energy, </w:t>
      </w:r>
      <w:r>
        <w:t>Docket UE-090704/UG-090705, Order 11 (April 2, 2010).</w:t>
      </w:r>
    </w:p>
    <w:p w:rsidR="00754FA3" w:rsidRPr="00940B49" w:rsidRDefault="00754FA3">
      <w:pPr>
        <w:pStyle w:val="FootnoteText"/>
      </w:pPr>
    </w:p>
  </w:footnote>
  <w:footnote w:id="130">
    <w:p w:rsidR="00754FA3" w:rsidRDefault="00754FA3">
      <w:pPr>
        <w:pStyle w:val="FootnoteText"/>
      </w:pPr>
      <w:r>
        <w:rPr>
          <w:rStyle w:val="FootnoteReference"/>
        </w:rPr>
        <w:footnoteRef/>
      </w:r>
      <w:r>
        <w:t xml:space="preserve"> In this case, the Company chose not to present a CAPM analysis because it stated that the results would be “artificially low” or it would not pass the “smell test.”  By not submitting an analysis, we were denied a tool by which to evaluate the CAPM analyses submitted by other parties.  Though those parties submitted their CAPM analyses as a “check” on the other methodologies, as discussed above, they were a useful check that merited more of a review than was provided by the Company.</w:t>
      </w:r>
    </w:p>
    <w:p w:rsidR="00754FA3" w:rsidRDefault="00754FA3">
      <w:pPr>
        <w:pStyle w:val="FootnoteText"/>
      </w:pPr>
    </w:p>
  </w:footnote>
  <w:footnote w:id="131">
    <w:p w:rsidR="00754FA3" w:rsidRDefault="00754FA3">
      <w:pPr>
        <w:pStyle w:val="FootnoteText"/>
      </w:pPr>
      <w:r>
        <w:rPr>
          <w:rStyle w:val="FootnoteReference"/>
        </w:rPr>
        <w:footnoteRef/>
      </w:r>
      <w:r>
        <w:t xml:space="preserve"> PacifiCorp Initial Post-Hearing Brief at 9 – 10; </w:t>
      </w:r>
      <w:r>
        <w:rPr>
          <w:i/>
        </w:rPr>
        <w:t xml:space="preserve">see </w:t>
      </w:r>
      <w:r>
        <w:t>Elgin, TR 697 - 701.</w:t>
      </w:r>
    </w:p>
    <w:p w:rsidR="00754FA3" w:rsidRPr="002174E6" w:rsidRDefault="00754FA3">
      <w:pPr>
        <w:pStyle w:val="FootnoteText"/>
      </w:pPr>
    </w:p>
  </w:footnote>
  <w:footnote w:id="132">
    <w:p w:rsidR="00754FA3" w:rsidRDefault="00754FA3">
      <w:pPr>
        <w:pStyle w:val="FootnoteText"/>
        <w:rPr>
          <w:szCs w:val="22"/>
        </w:rPr>
      </w:pPr>
      <w:r w:rsidRPr="00224EA4">
        <w:rPr>
          <w:rStyle w:val="FootnoteReference"/>
          <w:szCs w:val="22"/>
        </w:rPr>
        <w:footnoteRef/>
      </w:r>
      <w:r w:rsidRPr="00224EA4">
        <w:rPr>
          <w:szCs w:val="22"/>
        </w:rPr>
        <w:t xml:space="preserve"> </w:t>
      </w:r>
      <w:r>
        <w:rPr>
          <w:i/>
          <w:szCs w:val="22"/>
        </w:rPr>
        <w:t xml:space="preserve">Washington Utilities &amp; Transportation Commission v. Puget Sound Energy, </w:t>
      </w:r>
      <w:r>
        <w:rPr>
          <w:szCs w:val="22"/>
        </w:rPr>
        <w:t>Dockets UE 090704/UG-090705, Order 11 (April 2, 2010).</w:t>
      </w:r>
    </w:p>
    <w:p w:rsidR="00754FA3" w:rsidRPr="00224EA4" w:rsidRDefault="00754FA3">
      <w:pPr>
        <w:pStyle w:val="FootnoteText"/>
        <w:rPr>
          <w:szCs w:val="22"/>
        </w:rPr>
      </w:pPr>
    </w:p>
  </w:footnote>
  <w:footnote w:id="133">
    <w:p w:rsidR="00754FA3" w:rsidRDefault="00754FA3">
      <w:pPr>
        <w:pStyle w:val="FootnoteText"/>
        <w:rPr>
          <w:szCs w:val="22"/>
        </w:rPr>
      </w:pPr>
      <w:r w:rsidRPr="00224EA4">
        <w:rPr>
          <w:rStyle w:val="FootnoteReference"/>
          <w:szCs w:val="22"/>
        </w:rPr>
        <w:footnoteRef/>
      </w:r>
      <w:r w:rsidRPr="00224EA4">
        <w:rPr>
          <w:szCs w:val="22"/>
        </w:rPr>
        <w:t xml:space="preserve"> </w:t>
      </w:r>
      <w:r w:rsidRPr="00224EA4">
        <w:rPr>
          <w:i/>
          <w:szCs w:val="22"/>
        </w:rPr>
        <w:t>Washington Utilities &amp; Transportation Commission v. Avista Corp</w:t>
      </w:r>
      <w:r>
        <w:rPr>
          <w:szCs w:val="22"/>
        </w:rPr>
        <w:t xml:space="preserve">., Docket UE-100467, Order 07 (November 19, 2010).  This cost of equity was the result of a settlement, so we give this case the least weight in our consideration. </w:t>
      </w:r>
    </w:p>
    <w:p w:rsidR="00754FA3" w:rsidRDefault="00754FA3">
      <w:pPr>
        <w:pStyle w:val="FootnoteText"/>
      </w:pPr>
    </w:p>
  </w:footnote>
  <w:footnote w:id="134">
    <w:p w:rsidR="00754FA3" w:rsidRDefault="00754FA3">
      <w:pPr>
        <w:pStyle w:val="FootnoteText"/>
        <w:rPr>
          <w:szCs w:val="22"/>
        </w:rPr>
      </w:pPr>
      <w:r w:rsidRPr="002174E6">
        <w:rPr>
          <w:rStyle w:val="FootnoteReference"/>
          <w:szCs w:val="22"/>
        </w:rPr>
        <w:footnoteRef/>
      </w:r>
      <w:r w:rsidRPr="002174E6">
        <w:rPr>
          <w:szCs w:val="22"/>
        </w:rPr>
        <w:t xml:space="preserve"> Reiten, Exh. No. RPR-11</w:t>
      </w:r>
      <w:r>
        <w:rPr>
          <w:szCs w:val="22"/>
        </w:rPr>
        <w:t>;</w:t>
      </w:r>
      <w:r w:rsidRPr="002174E6">
        <w:rPr>
          <w:szCs w:val="22"/>
        </w:rPr>
        <w:t xml:space="preserve"> </w:t>
      </w:r>
      <w:r w:rsidRPr="002174E6">
        <w:rPr>
          <w:i/>
          <w:szCs w:val="22"/>
        </w:rPr>
        <w:t xml:space="preserve">In re PacifiCorp, </w:t>
      </w:r>
      <w:r w:rsidRPr="007A6191">
        <w:rPr>
          <w:szCs w:val="22"/>
        </w:rPr>
        <w:t>20</w:t>
      </w:r>
      <w:r>
        <w:rPr>
          <w:szCs w:val="22"/>
        </w:rPr>
        <w:t>11</w:t>
      </w:r>
      <w:r w:rsidRPr="007A6191">
        <w:rPr>
          <w:szCs w:val="22"/>
        </w:rPr>
        <w:t xml:space="preserve"> WL 770798 (Idaho P.U.C.) </w:t>
      </w:r>
      <w:r w:rsidRPr="00455A70">
        <w:rPr>
          <w:szCs w:val="22"/>
        </w:rPr>
        <w:t>(February 8, 2011).</w:t>
      </w:r>
      <w:r w:rsidRPr="007A6191">
        <w:rPr>
          <w:szCs w:val="22"/>
        </w:rPr>
        <w:t xml:space="preserve">  In that proceeding, the Company, as here, requested a 10.6 percent ROE.</w:t>
      </w:r>
      <w:r>
        <w:rPr>
          <w:i/>
          <w:szCs w:val="22"/>
        </w:rPr>
        <w:t xml:space="preserve">  </w:t>
      </w:r>
    </w:p>
    <w:p w:rsidR="00754FA3" w:rsidRPr="00F360BC" w:rsidRDefault="00754FA3">
      <w:pPr>
        <w:pStyle w:val="FootnoteText"/>
        <w:rPr>
          <w:szCs w:val="22"/>
        </w:rPr>
      </w:pPr>
    </w:p>
  </w:footnote>
  <w:footnote w:id="135">
    <w:p w:rsidR="00754FA3" w:rsidRDefault="00754FA3" w:rsidP="001F0E8B">
      <w:pPr>
        <w:pStyle w:val="FootnoteText"/>
      </w:pPr>
      <w:r>
        <w:rPr>
          <w:rStyle w:val="FootnoteReference"/>
        </w:rPr>
        <w:footnoteRef/>
      </w:r>
      <w:r>
        <w:t xml:space="preserve"> </w:t>
      </w:r>
      <w:r>
        <w:rPr>
          <w:i/>
        </w:rPr>
        <w:t xml:space="preserve">See, e.g., Re Niagra Mohawk Power Corporation, </w:t>
      </w:r>
      <w:r>
        <w:t>286 P.U.R. 4</w:t>
      </w:r>
      <w:r w:rsidRPr="002174E6">
        <w:rPr>
          <w:vertAlign w:val="superscript"/>
        </w:rPr>
        <w:t>th</w:t>
      </w:r>
      <w:r>
        <w:t xml:space="preserve"> 401, 2011 WL 286478 (N.Y.P.S.C., Jan. 24, 2011) (setting ROE at 9.3 percent if the company does not file an increase in rates for one year; otherwise, the ROE would be set at 9.1 percent).</w:t>
      </w:r>
    </w:p>
  </w:footnote>
  <w:footnote w:id="136">
    <w:p w:rsidR="00754FA3" w:rsidRPr="00A1372C" w:rsidRDefault="00754FA3" w:rsidP="000D7A32">
      <w:pPr>
        <w:pStyle w:val="FootnoteText"/>
        <w:rPr>
          <w:szCs w:val="22"/>
        </w:rPr>
      </w:pPr>
      <w:r w:rsidRPr="00A1372C">
        <w:rPr>
          <w:rStyle w:val="FootnoteReference"/>
          <w:szCs w:val="22"/>
        </w:rPr>
        <w:footnoteRef/>
      </w:r>
      <w:r w:rsidRPr="00A1372C">
        <w:rPr>
          <w:szCs w:val="22"/>
        </w:rPr>
        <w:t xml:space="preserve"> Williams, Exh. No. BNW-1T at 15.</w:t>
      </w:r>
    </w:p>
    <w:p w:rsidR="00754FA3" w:rsidRPr="00A1372C" w:rsidRDefault="00754FA3" w:rsidP="000D7A32">
      <w:pPr>
        <w:pStyle w:val="FootnoteText"/>
        <w:rPr>
          <w:szCs w:val="22"/>
        </w:rPr>
      </w:pPr>
    </w:p>
  </w:footnote>
  <w:footnote w:id="137">
    <w:p w:rsidR="00754FA3" w:rsidRPr="00A1372C" w:rsidRDefault="00754FA3" w:rsidP="000D7A32">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16.</w:t>
      </w:r>
    </w:p>
    <w:p w:rsidR="00754FA3" w:rsidRPr="00A1372C" w:rsidRDefault="00754FA3" w:rsidP="000D7A32">
      <w:pPr>
        <w:pStyle w:val="FootnoteText"/>
        <w:rPr>
          <w:szCs w:val="22"/>
        </w:rPr>
      </w:pPr>
    </w:p>
  </w:footnote>
  <w:footnote w:id="138">
    <w:p w:rsidR="00754FA3" w:rsidRPr="00A1372C" w:rsidRDefault="00754FA3" w:rsidP="000D7A32">
      <w:pPr>
        <w:pStyle w:val="FootnoteText"/>
        <w:rPr>
          <w:szCs w:val="22"/>
        </w:rPr>
      </w:pPr>
      <w:r w:rsidRPr="00A1372C">
        <w:rPr>
          <w:rStyle w:val="FootnoteReference"/>
          <w:szCs w:val="22"/>
        </w:rPr>
        <w:footnoteRef/>
      </w:r>
      <w:r w:rsidRPr="00A1372C">
        <w:rPr>
          <w:szCs w:val="22"/>
        </w:rPr>
        <w:t xml:space="preserve"> Elgin, Exh. No. KLE-1T at 3</w:t>
      </w:r>
      <w:r>
        <w:rPr>
          <w:szCs w:val="22"/>
        </w:rPr>
        <w:t>,</w:t>
      </w:r>
      <w:r w:rsidRPr="00A1372C">
        <w:rPr>
          <w:szCs w:val="22"/>
        </w:rPr>
        <w:t xml:space="preserve"> 7</w:t>
      </w:r>
      <w:r>
        <w:rPr>
          <w:szCs w:val="22"/>
        </w:rPr>
        <w:t>; Gorman, Exh. No. MPG-3 at 1.</w:t>
      </w:r>
    </w:p>
    <w:p w:rsidR="00754FA3" w:rsidRPr="00A1372C" w:rsidRDefault="00754FA3" w:rsidP="000D7A32">
      <w:pPr>
        <w:pStyle w:val="FootnoteText"/>
        <w:rPr>
          <w:szCs w:val="22"/>
        </w:rPr>
      </w:pPr>
    </w:p>
  </w:footnote>
  <w:footnote w:id="139">
    <w:p w:rsidR="00754FA3" w:rsidRPr="00A1372C" w:rsidRDefault="00754FA3" w:rsidP="000D7A32">
      <w:pPr>
        <w:pStyle w:val="FootnoteText"/>
        <w:rPr>
          <w:szCs w:val="22"/>
        </w:rPr>
      </w:pPr>
      <w:r w:rsidRPr="00A1372C">
        <w:rPr>
          <w:rStyle w:val="FootnoteReference"/>
          <w:szCs w:val="22"/>
        </w:rPr>
        <w:footnoteRef/>
      </w:r>
      <w:r w:rsidRPr="00A1372C">
        <w:rPr>
          <w:szCs w:val="22"/>
        </w:rPr>
        <w:t xml:space="preserve"> Williams, Exh. No. BNW-1T at 14.</w:t>
      </w:r>
    </w:p>
    <w:p w:rsidR="00754FA3" w:rsidRPr="00A1372C" w:rsidRDefault="00754FA3" w:rsidP="000D7A32">
      <w:pPr>
        <w:pStyle w:val="FootnoteText"/>
        <w:rPr>
          <w:szCs w:val="22"/>
        </w:rPr>
      </w:pPr>
    </w:p>
  </w:footnote>
  <w:footnote w:id="140">
    <w:p w:rsidR="00754FA3" w:rsidRPr="00A1372C" w:rsidRDefault="00754FA3" w:rsidP="000D7A32">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15.</w:t>
      </w:r>
    </w:p>
    <w:p w:rsidR="00754FA3" w:rsidRPr="00A1372C" w:rsidRDefault="00754FA3" w:rsidP="000D7A32">
      <w:pPr>
        <w:pStyle w:val="FootnoteText"/>
        <w:rPr>
          <w:szCs w:val="22"/>
        </w:rPr>
      </w:pPr>
    </w:p>
  </w:footnote>
  <w:footnote w:id="141">
    <w:p w:rsidR="00754FA3" w:rsidRPr="00A1372C" w:rsidRDefault="00754FA3" w:rsidP="000D7A32">
      <w:pPr>
        <w:pStyle w:val="FootnoteText"/>
        <w:rPr>
          <w:szCs w:val="22"/>
        </w:rPr>
      </w:pPr>
      <w:r w:rsidRPr="00A1372C">
        <w:rPr>
          <w:rStyle w:val="FootnoteReference"/>
          <w:szCs w:val="22"/>
        </w:rPr>
        <w:footnoteRef/>
      </w:r>
      <w:r w:rsidRPr="00A1372C">
        <w:rPr>
          <w:szCs w:val="22"/>
        </w:rPr>
        <w:t xml:space="preserve"> </w:t>
      </w:r>
      <w:r>
        <w:rPr>
          <w:i/>
          <w:szCs w:val="22"/>
        </w:rPr>
        <w:t>Id.</w:t>
      </w:r>
    </w:p>
    <w:p w:rsidR="00754FA3" w:rsidRPr="00A1372C" w:rsidRDefault="00754FA3" w:rsidP="000D7A32">
      <w:pPr>
        <w:pStyle w:val="FootnoteText"/>
        <w:rPr>
          <w:szCs w:val="22"/>
        </w:rPr>
      </w:pPr>
    </w:p>
  </w:footnote>
  <w:footnote w:id="142">
    <w:p w:rsidR="00754FA3" w:rsidRDefault="00754FA3" w:rsidP="000D7A32">
      <w:pPr>
        <w:pStyle w:val="FootnoteText"/>
      </w:pPr>
      <w:r>
        <w:rPr>
          <w:rStyle w:val="FootnoteReference"/>
        </w:rPr>
        <w:footnoteRef/>
      </w:r>
      <w:r>
        <w:t xml:space="preserve"> PacifiCorp’s Initial Post-Hearing Brief at 9 -10.</w:t>
      </w:r>
    </w:p>
    <w:p w:rsidR="00754FA3" w:rsidRDefault="00754FA3" w:rsidP="000D7A32">
      <w:pPr>
        <w:pStyle w:val="FootnoteText"/>
      </w:pPr>
    </w:p>
  </w:footnote>
  <w:footnote w:id="143">
    <w:p w:rsidR="00754FA3" w:rsidRPr="00A1372C" w:rsidRDefault="00754FA3" w:rsidP="000D7A32">
      <w:pPr>
        <w:pStyle w:val="FootnoteText"/>
        <w:rPr>
          <w:szCs w:val="22"/>
        </w:rPr>
      </w:pPr>
      <w:r w:rsidRPr="00A1372C">
        <w:rPr>
          <w:rStyle w:val="FootnoteReference"/>
          <w:szCs w:val="22"/>
        </w:rPr>
        <w:footnoteRef/>
      </w:r>
      <w:r w:rsidRPr="00A1372C">
        <w:rPr>
          <w:szCs w:val="22"/>
        </w:rPr>
        <w:t xml:space="preserve"> Elgin, Exh. No</w:t>
      </w:r>
      <w:r>
        <w:rPr>
          <w:szCs w:val="22"/>
        </w:rPr>
        <w:t>.</w:t>
      </w:r>
      <w:r w:rsidRPr="00A1372C">
        <w:rPr>
          <w:szCs w:val="22"/>
        </w:rPr>
        <w:t xml:space="preserve"> KLE-1T at 47</w:t>
      </w:r>
      <w:r>
        <w:rPr>
          <w:szCs w:val="22"/>
        </w:rPr>
        <w:t>;</w:t>
      </w:r>
      <w:r w:rsidRPr="00A1372C">
        <w:rPr>
          <w:szCs w:val="22"/>
        </w:rPr>
        <w:t xml:space="preserve"> Gorman, Exh. No. MPG-3 at 1.</w:t>
      </w:r>
    </w:p>
    <w:p w:rsidR="00754FA3" w:rsidRPr="00A1372C" w:rsidRDefault="00754FA3" w:rsidP="000D7A32">
      <w:pPr>
        <w:pStyle w:val="FootnoteText"/>
        <w:rPr>
          <w:szCs w:val="22"/>
        </w:rPr>
      </w:pPr>
    </w:p>
  </w:footnote>
  <w:footnote w:id="144">
    <w:p w:rsidR="00754FA3" w:rsidRDefault="00754FA3" w:rsidP="00C3335A">
      <w:pPr>
        <w:pStyle w:val="FootnoteText"/>
        <w:rPr>
          <w:i/>
          <w:szCs w:val="22"/>
        </w:rPr>
      </w:pPr>
      <w:r w:rsidRPr="00A1372C">
        <w:rPr>
          <w:rStyle w:val="FootnoteReference"/>
          <w:szCs w:val="22"/>
        </w:rPr>
        <w:footnoteRef/>
      </w:r>
      <w:r w:rsidRPr="00A1372C">
        <w:rPr>
          <w:szCs w:val="22"/>
        </w:rPr>
        <w:t xml:space="preserve"> </w:t>
      </w:r>
      <w:r w:rsidRPr="00A1372C">
        <w:rPr>
          <w:i/>
          <w:szCs w:val="22"/>
        </w:rPr>
        <w:t>In the Matter of the Joint Application of MidAmerican Energy Holdings Company and PacifiCorp d/b/a Pacific Power &amp; Light Company For an Order Authorizing Proposed Transaction</w:t>
      </w:r>
      <w:r>
        <w:rPr>
          <w:szCs w:val="22"/>
        </w:rPr>
        <w:t>.</w:t>
      </w:r>
    </w:p>
    <w:p w:rsidR="00754FA3" w:rsidRPr="00A1372C" w:rsidRDefault="00754FA3" w:rsidP="00C3335A">
      <w:pPr>
        <w:pStyle w:val="FootnoteText"/>
        <w:rPr>
          <w:i/>
          <w:szCs w:val="22"/>
        </w:rPr>
      </w:pPr>
    </w:p>
  </w:footnote>
  <w:footnote w:id="145">
    <w:p w:rsidR="00754FA3" w:rsidRDefault="00754FA3" w:rsidP="00C3335A">
      <w:pPr>
        <w:pStyle w:val="FootnoteText"/>
        <w:rPr>
          <w:szCs w:val="22"/>
        </w:rPr>
      </w:pPr>
      <w:r w:rsidRPr="00A1372C">
        <w:rPr>
          <w:rStyle w:val="FootnoteReference"/>
          <w:szCs w:val="22"/>
        </w:rPr>
        <w:footnoteRef/>
      </w:r>
      <w:r w:rsidRPr="00A1372C">
        <w:rPr>
          <w:szCs w:val="22"/>
        </w:rPr>
        <w:t xml:space="preserve"> Williams, Exh. No. BNW-1T at 16.  Order 08 was subsequently entered March 10, 2006, in Docket UE-051090, adding commitments based on the Commission’s adopt</w:t>
      </w:r>
      <w:r>
        <w:rPr>
          <w:szCs w:val="22"/>
        </w:rPr>
        <w:t>ion</w:t>
      </w:r>
      <w:r w:rsidRPr="00A1372C">
        <w:rPr>
          <w:szCs w:val="22"/>
        </w:rPr>
        <w:t xml:space="preserve"> of the “most favored state clause</w:t>
      </w:r>
      <w:r>
        <w:rPr>
          <w:szCs w:val="22"/>
        </w:rPr>
        <w:t>.</w:t>
      </w:r>
      <w:r w:rsidRPr="00A1372C">
        <w:rPr>
          <w:szCs w:val="22"/>
        </w:rPr>
        <w:t xml:space="preserve">” </w:t>
      </w:r>
      <w:r>
        <w:rPr>
          <w:szCs w:val="22"/>
        </w:rPr>
        <w:t>T</w:t>
      </w:r>
      <w:r w:rsidRPr="00A1372C">
        <w:rPr>
          <w:szCs w:val="22"/>
        </w:rPr>
        <w:t>hese additional commitments did not affect Commitment 37.</w:t>
      </w:r>
    </w:p>
    <w:p w:rsidR="00754FA3" w:rsidRPr="00A1372C" w:rsidRDefault="00754FA3" w:rsidP="00C3335A">
      <w:pPr>
        <w:pStyle w:val="FootnoteText"/>
        <w:rPr>
          <w:szCs w:val="22"/>
        </w:rPr>
      </w:pPr>
    </w:p>
  </w:footnote>
  <w:footnote w:id="146">
    <w:p w:rsidR="00754FA3" w:rsidRPr="00A1372C" w:rsidRDefault="00754FA3" w:rsidP="00C3335A">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The suspension period in this case ends April 3, 2011.</w:t>
      </w:r>
    </w:p>
    <w:p w:rsidR="00754FA3" w:rsidRPr="00A1372C" w:rsidRDefault="00754FA3" w:rsidP="00C3335A">
      <w:pPr>
        <w:pStyle w:val="FootnoteText"/>
        <w:rPr>
          <w:szCs w:val="22"/>
        </w:rPr>
      </w:pPr>
    </w:p>
  </w:footnote>
  <w:footnote w:id="147">
    <w:p w:rsidR="00754FA3" w:rsidRDefault="00754FA3" w:rsidP="00C3335A">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17. </w:t>
      </w:r>
    </w:p>
    <w:p w:rsidR="00754FA3" w:rsidRPr="001D0D08" w:rsidRDefault="00754FA3" w:rsidP="00C3335A">
      <w:pPr>
        <w:pStyle w:val="FootnoteText"/>
        <w:rPr>
          <w:szCs w:val="22"/>
        </w:rPr>
      </w:pPr>
    </w:p>
  </w:footnote>
  <w:footnote w:id="148">
    <w:p w:rsidR="00754FA3" w:rsidRDefault="00754FA3">
      <w:pPr>
        <w:pStyle w:val="FootnoteText"/>
      </w:pPr>
      <w:r>
        <w:rPr>
          <w:rStyle w:val="FootnoteReference"/>
        </w:rPr>
        <w:footnoteRef/>
      </w:r>
      <w:r>
        <w:t xml:space="preserve"> Duvall, Exh. No. GND-1T at 8.  The general operations of the GRID model are also described in Duvall, Exh. No. GND-2.</w:t>
      </w:r>
    </w:p>
    <w:p w:rsidR="00754FA3" w:rsidRDefault="00754FA3">
      <w:pPr>
        <w:pStyle w:val="FootnoteText"/>
      </w:pPr>
    </w:p>
  </w:footnote>
  <w:footnote w:id="149">
    <w:p w:rsidR="00754FA3" w:rsidRDefault="00754FA3">
      <w:pPr>
        <w:pStyle w:val="FootnoteText"/>
      </w:pPr>
      <w:r>
        <w:rPr>
          <w:rStyle w:val="FootnoteReference"/>
        </w:rPr>
        <w:footnoteRef/>
      </w:r>
      <w:r>
        <w:t xml:space="preserve"> Duvall, Exh. No. GND-2 at 1 - 16.</w:t>
      </w:r>
    </w:p>
    <w:p w:rsidR="00754FA3" w:rsidRDefault="00754FA3">
      <w:pPr>
        <w:pStyle w:val="FootnoteText"/>
      </w:pPr>
    </w:p>
  </w:footnote>
  <w:footnote w:id="150">
    <w:p w:rsidR="00754FA3" w:rsidRDefault="00754FA3">
      <w:pPr>
        <w:pStyle w:val="FootnoteText"/>
      </w:pPr>
      <w:r w:rsidRPr="00B951A0">
        <w:rPr>
          <w:rStyle w:val="FootnoteReference"/>
        </w:rPr>
        <w:footnoteRef/>
      </w:r>
      <w:r w:rsidRPr="00B951A0">
        <w:t xml:space="preserve"> </w:t>
      </w:r>
      <w:r w:rsidRPr="00B951A0">
        <w:rPr>
          <w:i/>
        </w:rPr>
        <w:t xml:space="preserve">See, </w:t>
      </w:r>
      <w:r>
        <w:rPr>
          <w:i/>
        </w:rPr>
        <w:t>e.g.</w:t>
      </w:r>
      <w:r w:rsidRPr="00B951A0">
        <w:t>, Buckley, APB-1CT at 5</w:t>
      </w:r>
      <w:r>
        <w:t xml:space="preserve"> - 9;</w:t>
      </w:r>
      <w:r w:rsidRPr="00B951A0">
        <w:t xml:space="preserve"> Falkenberg, RJF-1T at 56. </w:t>
      </w:r>
    </w:p>
    <w:p w:rsidR="00754FA3" w:rsidRDefault="00754FA3">
      <w:pPr>
        <w:pStyle w:val="FootnoteText"/>
      </w:pPr>
    </w:p>
  </w:footnote>
  <w:footnote w:id="151">
    <w:p w:rsidR="00754FA3" w:rsidRDefault="00754FA3">
      <w:pPr>
        <w:pStyle w:val="FootnoteText"/>
      </w:pPr>
      <w:r w:rsidRPr="00B951A0">
        <w:rPr>
          <w:rStyle w:val="FootnoteReference"/>
        </w:rPr>
        <w:footnoteRef/>
      </w:r>
      <w:r w:rsidRPr="00B951A0">
        <w:t xml:space="preserve"> </w:t>
      </w:r>
      <w:r w:rsidRPr="00B951A0">
        <w:rPr>
          <w:i/>
        </w:rPr>
        <w:t xml:space="preserve">See, </w:t>
      </w:r>
      <w:r>
        <w:rPr>
          <w:i/>
        </w:rPr>
        <w:t>e.g.,</w:t>
      </w:r>
      <w:r w:rsidRPr="00B951A0">
        <w:t xml:space="preserve"> Buckley APB-1CT at 6</w:t>
      </w:r>
      <w:r>
        <w:t xml:space="preserve">, </w:t>
      </w:r>
      <w:r w:rsidRPr="00B951A0">
        <w:t>12</w:t>
      </w:r>
      <w:r>
        <w:t>;</w:t>
      </w:r>
      <w:r w:rsidRPr="00B951A0">
        <w:t xml:space="preserve"> Falkenberg, RJF-1CT at 9</w:t>
      </w:r>
      <w:r>
        <w:t>,</w:t>
      </w:r>
      <w:r w:rsidRPr="00B951A0">
        <w:t xml:space="preserve"> 28.</w:t>
      </w:r>
    </w:p>
    <w:p w:rsidR="00754FA3" w:rsidRDefault="00754FA3">
      <w:pPr>
        <w:pStyle w:val="FootnoteText"/>
      </w:pPr>
    </w:p>
  </w:footnote>
  <w:footnote w:id="152">
    <w:p w:rsidR="00754FA3" w:rsidRDefault="00754FA3" w:rsidP="00AA083B">
      <w:pPr>
        <w:pStyle w:val="FootnoteText"/>
      </w:pPr>
      <w:r>
        <w:rPr>
          <w:rStyle w:val="FootnoteReference"/>
        </w:rPr>
        <w:footnoteRef/>
      </w:r>
      <w:r>
        <w:t xml:space="preserve"> Buckley, Exh. No. APB-1CT at 5 - 6.</w:t>
      </w:r>
    </w:p>
    <w:p w:rsidR="00754FA3" w:rsidRDefault="00754FA3" w:rsidP="00AA083B">
      <w:pPr>
        <w:pStyle w:val="FootnoteText"/>
      </w:pPr>
    </w:p>
  </w:footnote>
  <w:footnote w:id="153">
    <w:p w:rsidR="00754FA3" w:rsidRPr="00A1372C" w:rsidRDefault="00754FA3" w:rsidP="001A262B">
      <w:pPr>
        <w:pStyle w:val="FootnoteText"/>
        <w:rPr>
          <w:szCs w:val="22"/>
        </w:rPr>
      </w:pPr>
      <w:r w:rsidRPr="00A1372C">
        <w:rPr>
          <w:rStyle w:val="FootnoteReference"/>
          <w:szCs w:val="22"/>
        </w:rPr>
        <w:footnoteRef/>
      </w:r>
      <w:r w:rsidRPr="00A1372C">
        <w:rPr>
          <w:szCs w:val="22"/>
        </w:rPr>
        <w:t xml:space="preserve"> Duvall. Exh. No. GND-2 at 1 - 2.</w:t>
      </w:r>
    </w:p>
    <w:p w:rsidR="00754FA3" w:rsidRPr="00A1372C" w:rsidRDefault="00754FA3" w:rsidP="001A262B">
      <w:pPr>
        <w:pStyle w:val="FootnoteText"/>
        <w:rPr>
          <w:szCs w:val="22"/>
        </w:rPr>
      </w:pPr>
    </w:p>
  </w:footnote>
  <w:footnote w:id="154">
    <w:p w:rsidR="00754FA3" w:rsidRPr="00A1372C" w:rsidRDefault="00754FA3" w:rsidP="00780547">
      <w:pPr>
        <w:pStyle w:val="FootnoteText"/>
        <w:rPr>
          <w:szCs w:val="22"/>
        </w:rPr>
      </w:pPr>
      <w:r w:rsidRPr="00A1372C">
        <w:rPr>
          <w:rStyle w:val="FootnoteReference"/>
          <w:szCs w:val="22"/>
        </w:rPr>
        <w:footnoteRef/>
      </w:r>
      <w:r w:rsidRPr="00A1372C">
        <w:rPr>
          <w:szCs w:val="22"/>
        </w:rPr>
        <w:t xml:space="preserve"> Buckley, Exh. No. APB-1CT at </w:t>
      </w:r>
      <w:r>
        <w:rPr>
          <w:szCs w:val="22"/>
        </w:rPr>
        <w:t>9</w:t>
      </w:r>
      <w:r w:rsidRPr="00A1372C">
        <w:rPr>
          <w:szCs w:val="22"/>
        </w:rPr>
        <w:t>.</w:t>
      </w:r>
    </w:p>
    <w:p w:rsidR="00754FA3" w:rsidRPr="00A1372C" w:rsidRDefault="00754FA3" w:rsidP="00780547">
      <w:pPr>
        <w:pStyle w:val="FootnoteText"/>
        <w:rPr>
          <w:szCs w:val="22"/>
        </w:rPr>
      </w:pPr>
    </w:p>
  </w:footnote>
  <w:footnote w:id="155">
    <w:p w:rsidR="00754FA3" w:rsidRPr="00A1372C" w:rsidRDefault="00754FA3" w:rsidP="001A262B">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8.</w:t>
      </w:r>
    </w:p>
    <w:p w:rsidR="00754FA3" w:rsidRPr="00A1372C" w:rsidRDefault="00754FA3" w:rsidP="001A262B">
      <w:pPr>
        <w:pStyle w:val="FootnoteText"/>
        <w:rPr>
          <w:szCs w:val="22"/>
        </w:rPr>
      </w:pPr>
    </w:p>
  </w:footnote>
  <w:footnote w:id="156">
    <w:p w:rsidR="00754FA3" w:rsidRPr="00A1372C" w:rsidRDefault="00754FA3" w:rsidP="001A262B">
      <w:pPr>
        <w:pStyle w:val="FootnoteText"/>
        <w:rPr>
          <w:szCs w:val="22"/>
        </w:rPr>
      </w:pPr>
      <w:r w:rsidRPr="00A1372C">
        <w:rPr>
          <w:rStyle w:val="FootnoteReference"/>
          <w:szCs w:val="22"/>
        </w:rPr>
        <w:footnoteRef/>
      </w:r>
      <w:r w:rsidRPr="00A1372C">
        <w:rPr>
          <w:szCs w:val="22"/>
        </w:rPr>
        <w:t xml:space="preserve"> Falkenberg, Exh. No. RJF-1CT at 2.</w:t>
      </w:r>
    </w:p>
    <w:p w:rsidR="00754FA3" w:rsidRPr="00A1372C" w:rsidRDefault="00754FA3" w:rsidP="001A262B">
      <w:pPr>
        <w:pStyle w:val="FootnoteText"/>
        <w:rPr>
          <w:szCs w:val="22"/>
        </w:rPr>
      </w:pPr>
    </w:p>
  </w:footnote>
  <w:footnote w:id="157">
    <w:p w:rsidR="00754FA3" w:rsidRPr="00A1372C" w:rsidRDefault="00754FA3" w:rsidP="001A262B">
      <w:pPr>
        <w:pStyle w:val="FootnoteText"/>
        <w:rPr>
          <w:szCs w:val="22"/>
        </w:rPr>
      </w:pPr>
      <w:r w:rsidRPr="00A1372C">
        <w:rPr>
          <w:rStyle w:val="FootnoteReference"/>
          <w:szCs w:val="22"/>
        </w:rPr>
        <w:footnoteRef/>
      </w:r>
      <w:r w:rsidRPr="00A1372C">
        <w:rPr>
          <w:szCs w:val="22"/>
        </w:rPr>
        <w:t xml:space="preserve"> </w:t>
      </w:r>
      <w:r>
        <w:rPr>
          <w:i/>
          <w:szCs w:val="22"/>
        </w:rPr>
        <w:t>Id.</w:t>
      </w:r>
    </w:p>
    <w:p w:rsidR="00754FA3" w:rsidRPr="00A1372C" w:rsidRDefault="00754FA3" w:rsidP="001A262B">
      <w:pPr>
        <w:pStyle w:val="FootnoteText"/>
        <w:rPr>
          <w:szCs w:val="22"/>
        </w:rPr>
      </w:pPr>
    </w:p>
  </w:footnote>
  <w:footnote w:id="158">
    <w:p w:rsidR="00754FA3" w:rsidRPr="00A1372C" w:rsidRDefault="00754FA3" w:rsidP="001A262B">
      <w:pPr>
        <w:pStyle w:val="FootnoteText"/>
        <w:rPr>
          <w:szCs w:val="22"/>
        </w:rPr>
      </w:pPr>
      <w:r w:rsidRPr="00A1372C">
        <w:rPr>
          <w:rStyle w:val="FootnoteReference"/>
          <w:szCs w:val="22"/>
        </w:rPr>
        <w:footnoteRef/>
      </w:r>
      <w:r w:rsidRPr="00A1372C">
        <w:rPr>
          <w:szCs w:val="22"/>
        </w:rPr>
        <w:t xml:space="preserve"> Duvall, Exh. No. GND-5T at 31</w:t>
      </w:r>
      <w:r>
        <w:rPr>
          <w:szCs w:val="22"/>
        </w:rPr>
        <w:t xml:space="preserve"> - 32</w:t>
      </w:r>
      <w:r w:rsidRPr="00A1372C">
        <w:rPr>
          <w:szCs w:val="22"/>
        </w:rPr>
        <w:t>.</w:t>
      </w:r>
    </w:p>
    <w:p w:rsidR="00754FA3" w:rsidRPr="00A1372C" w:rsidRDefault="00754FA3" w:rsidP="001A262B">
      <w:pPr>
        <w:pStyle w:val="FootnoteText"/>
        <w:rPr>
          <w:szCs w:val="22"/>
        </w:rPr>
      </w:pPr>
    </w:p>
  </w:footnote>
  <w:footnote w:id="159">
    <w:p w:rsidR="00754FA3" w:rsidRPr="00A1372C" w:rsidRDefault="00754FA3" w:rsidP="0077426E">
      <w:pPr>
        <w:pStyle w:val="FootnoteText"/>
        <w:rPr>
          <w:szCs w:val="22"/>
        </w:rPr>
      </w:pPr>
      <w:r w:rsidRPr="00A1372C">
        <w:rPr>
          <w:rStyle w:val="FootnoteReference"/>
          <w:szCs w:val="22"/>
        </w:rPr>
        <w:footnoteRef/>
      </w:r>
      <w:r w:rsidRPr="00A1372C">
        <w:rPr>
          <w:szCs w:val="22"/>
        </w:rPr>
        <w:t xml:space="preserve"> Buckley, Exh. No. APB-1CT at 9.</w:t>
      </w:r>
    </w:p>
    <w:p w:rsidR="00754FA3" w:rsidRPr="00A1372C" w:rsidRDefault="00754FA3" w:rsidP="0077426E">
      <w:pPr>
        <w:pStyle w:val="FootnoteText"/>
        <w:rPr>
          <w:szCs w:val="22"/>
        </w:rPr>
      </w:pPr>
    </w:p>
  </w:footnote>
  <w:footnote w:id="160">
    <w:p w:rsidR="00754FA3" w:rsidRDefault="00754FA3">
      <w:pPr>
        <w:pStyle w:val="FootnoteText"/>
      </w:pPr>
      <w:r>
        <w:rPr>
          <w:rStyle w:val="FootnoteReference"/>
        </w:rPr>
        <w:footnoteRef/>
      </w:r>
      <w:r>
        <w:t xml:space="preserve"> Exh. No. 15C, Response to Bench Request No. 3.</w:t>
      </w:r>
    </w:p>
    <w:p w:rsidR="00754FA3" w:rsidRPr="001441FB" w:rsidRDefault="00754FA3">
      <w:pPr>
        <w:pStyle w:val="FootnoteText"/>
      </w:pPr>
    </w:p>
  </w:footnote>
  <w:footnote w:id="161">
    <w:p w:rsidR="00754FA3" w:rsidRPr="00A1372C" w:rsidRDefault="00754FA3">
      <w:pPr>
        <w:pStyle w:val="FootnoteText"/>
        <w:rPr>
          <w:szCs w:val="22"/>
        </w:rPr>
      </w:pPr>
      <w:r w:rsidRPr="00A1372C">
        <w:rPr>
          <w:rStyle w:val="FootnoteReference"/>
          <w:szCs w:val="22"/>
        </w:rPr>
        <w:footnoteRef/>
      </w:r>
      <w:r w:rsidRPr="00A1372C">
        <w:rPr>
          <w:szCs w:val="22"/>
        </w:rPr>
        <w:t xml:space="preserve"> Duvall, Exh. No. GND-1T at 15</w:t>
      </w:r>
      <w:r>
        <w:rPr>
          <w:szCs w:val="22"/>
        </w:rPr>
        <w:t xml:space="preserve"> - 16</w:t>
      </w:r>
      <w:r w:rsidRPr="00A1372C">
        <w:rPr>
          <w:szCs w:val="22"/>
        </w:rPr>
        <w:t>.</w:t>
      </w:r>
    </w:p>
    <w:p w:rsidR="00754FA3" w:rsidRPr="00A1372C" w:rsidRDefault="00754FA3">
      <w:pPr>
        <w:pStyle w:val="FootnoteText"/>
        <w:rPr>
          <w:szCs w:val="22"/>
        </w:rPr>
      </w:pPr>
    </w:p>
  </w:footnote>
  <w:footnote w:id="162">
    <w:p w:rsidR="00754FA3" w:rsidRDefault="00754FA3" w:rsidP="004E3D76">
      <w:pPr>
        <w:pStyle w:val="FootnoteText"/>
      </w:pPr>
      <w:r>
        <w:rPr>
          <w:rStyle w:val="FootnoteReference"/>
        </w:rPr>
        <w:footnoteRef/>
      </w:r>
      <w:r>
        <w:t xml:space="preserve"> Buckley, Exh. No. APB-1CT at 22 -23; Falkenberg, Exh. No. RJF-1CT at 35.  This opposition is discussed in detail in the subsequent subsection d entitled “Wind Intra-hour Integration Costs.”  As a result of the parties’ settlement on wind inter-hour integration costs, discussed below, these arguments are essentially moot and will not be repeated in the subsection. </w:t>
      </w:r>
    </w:p>
    <w:p w:rsidR="00754FA3" w:rsidRPr="005C7C6B" w:rsidRDefault="00754FA3" w:rsidP="004E3D76">
      <w:pPr>
        <w:pStyle w:val="FootnoteText"/>
      </w:pPr>
    </w:p>
  </w:footnote>
  <w:footnote w:id="163">
    <w:p w:rsidR="00754FA3" w:rsidRDefault="00754FA3">
      <w:pPr>
        <w:pStyle w:val="FootnoteText"/>
      </w:pPr>
      <w:r>
        <w:rPr>
          <w:rStyle w:val="FootnoteReference"/>
        </w:rPr>
        <w:footnoteRef/>
      </w:r>
      <w:r>
        <w:t xml:space="preserve"> Exh. No. 15C, Response to Bench Request No. 3.</w:t>
      </w:r>
    </w:p>
    <w:p w:rsidR="00754FA3" w:rsidRDefault="00754FA3">
      <w:pPr>
        <w:pStyle w:val="FootnoteText"/>
      </w:pPr>
    </w:p>
  </w:footnote>
  <w:footnote w:id="164">
    <w:p w:rsidR="00754FA3" w:rsidRDefault="00754FA3">
      <w:pPr>
        <w:pStyle w:val="FootnoteText"/>
      </w:pPr>
      <w:r>
        <w:rPr>
          <w:rStyle w:val="FootnoteReference"/>
        </w:rPr>
        <w:footnoteRef/>
      </w:r>
      <w:r>
        <w:t xml:space="preserve"> Duvall, Exh. No. GND-1T at 6.</w:t>
      </w:r>
    </w:p>
    <w:p w:rsidR="00754FA3" w:rsidRPr="009B485A" w:rsidRDefault="00754FA3">
      <w:pPr>
        <w:pStyle w:val="FootnoteText"/>
      </w:pPr>
    </w:p>
  </w:footnote>
  <w:footnote w:id="165">
    <w:p w:rsidR="00754FA3" w:rsidRDefault="00754FA3">
      <w:pPr>
        <w:pStyle w:val="FootnoteText"/>
      </w:pPr>
      <w:r>
        <w:rPr>
          <w:rStyle w:val="FootnoteReference"/>
        </w:rPr>
        <w:footnoteRef/>
      </w:r>
      <w:r>
        <w:t xml:space="preserve"> </w:t>
      </w:r>
      <w:r>
        <w:rPr>
          <w:i/>
        </w:rPr>
        <w:t>Id.</w:t>
      </w:r>
    </w:p>
    <w:p w:rsidR="00754FA3" w:rsidRPr="00FA031D" w:rsidRDefault="00754FA3">
      <w:pPr>
        <w:pStyle w:val="FootnoteText"/>
      </w:pPr>
    </w:p>
  </w:footnote>
  <w:footnote w:id="166">
    <w:p w:rsidR="00754FA3" w:rsidRPr="00A1372C" w:rsidRDefault="00754FA3" w:rsidP="00E518FA">
      <w:pPr>
        <w:pStyle w:val="FootnoteText"/>
        <w:rPr>
          <w:szCs w:val="22"/>
        </w:rPr>
      </w:pPr>
      <w:r w:rsidRPr="00A1372C">
        <w:rPr>
          <w:rStyle w:val="FootnoteReference"/>
          <w:szCs w:val="22"/>
        </w:rPr>
        <w:footnoteRef/>
      </w:r>
      <w:r w:rsidRPr="00A1372C">
        <w:rPr>
          <w:szCs w:val="22"/>
        </w:rPr>
        <w:t xml:space="preserve"> Buckley, Exh. No. APB-1CT at 22 – 23.</w:t>
      </w:r>
    </w:p>
    <w:p w:rsidR="00754FA3" w:rsidRPr="00A1372C" w:rsidRDefault="00754FA3" w:rsidP="00E518FA">
      <w:pPr>
        <w:pStyle w:val="FootnoteText"/>
        <w:rPr>
          <w:szCs w:val="22"/>
        </w:rPr>
      </w:pPr>
    </w:p>
  </w:footnote>
  <w:footnote w:id="167">
    <w:p w:rsidR="00754FA3" w:rsidRDefault="00754FA3">
      <w:pPr>
        <w:pStyle w:val="FootnoteText"/>
      </w:pPr>
      <w:r>
        <w:rPr>
          <w:rStyle w:val="FootnoteReference"/>
        </w:rPr>
        <w:footnoteRef/>
      </w:r>
      <w:r>
        <w:t xml:space="preserve"> These projects are the SCL Stateline Wind Farm, the non-SCL owned Stateline project, the Campbell Wind Farm, and the Oregon Qualifying Facilities. </w:t>
      </w:r>
      <w:r>
        <w:rPr>
          <w:i/>
        </w:rPr>
        <w:t xml:space="preserve">See </w:t>
      </w:r>
      <w:r>
        <w:t>Buckley, Exh. No. APB-6 at 1.</w:t>
      </w:r>
    </w:p>
    <w:p w:rsidR="00754FA3" w:rsidRPr="00B665E9" w:rsidRDefault="00754FA3">
      <w:pPr>
        <w:pStyle w:val="FootnoteText"/>
      </w:pPr>
    </w:p>
  </w:footnote>
  <w:footnote w:id="168">
    <w:p w:rsidR="00754FA3" w:rsidRDefault="00754FA3">
      <w:pPr>
        <w:pStyle w:val="FootnoteText"/>
      </w:pPr>
      <w:r>
        <w:rPr>
          <w:rStyle w:val="FootnoteReference"/>
        </w:rPr>
        <w:footnoteRef/>
      </w:r>
      <w:r>
        <w:t xml:space="preserve"> Buckley, Exh. No. APB-1CT at 22.</w:t>
      </w:r>
    </w:p>
    <w:p w:rsidR="00754FA3" w:rsidRDefault="00754FA3">
      <w:pPr>
        <w:pStyle w:val="FootnoteText"/>
      </w:pPr>
    </w:p>
  </w:footnote>
  <w:footnote w:id="169">
    <w:p w:rsidR="00754FA3" w:rsidRDefault="00754FA3">
      <w:pPr>
        <w:pStyle w:val="FootnoteText"/>
      </w:pPr>
      <w:r>
        <w:rPr>
          <w:rStyle w:val="FootnoteReference"/>
        </w:rPr>
        <w:footnoteRef/>
      </w:r>
      <w:r>
        <w:t xml:space="preserve"> </w:t>
      </w:r>
      <w:r>
        <w:rPr>
          <w:i/>
        </w:rPr>
        <w:t>Id.</w:t>
      </w:r>
    </w:p>
    <w:p w:rsidR="00754FA3" w:rsidRPr="00730EE7" w:rsidRDefault="00754FA3">
      <w:pPr>
        <w:pStyle w:val="FootnoteText"/>
      </w:pPr>
    </w:p>
  </w:footnote>
  <w:footnote w:id="170">
    <w:p w:rsidR="00754FA3" w:rsidRDefault="00754FA3">
      <w:pPr>
        <w:pStyle w:val="FootnoteText"/>
      </w:pPr>
      <w:r>
        <w:rPr>
          <w:rStyle w:val="FootnoteReference"/>
        </w:rPr>
        <w:footnoteRef/>
      </w:r>
      <w:r>
        <w:t xml:space="preserve"> Falkenberg, Exh. No. RJF-1CT at 45 – 46.</w:t>
      </w:r>
    </w:p>
    <w:p w:rsidR="00754FA3" w:rsidRDefault="00754FA3">
      <w:pPr>
        <w:pStyle w:val="FootnoteText"/>
      </w:pPr>
    </w:p>
  </w:footnote>
  <w:footnote w:id="171">
    <w:p w:rsidR="00754FA3" w:rsidRDefault="00754FA3">
      <w:pPr>
        <w:pStyle w:val="FootnoteText"/>
      </w:pPr>
      <w:r>
        <w:rPr>
          <w:rStyle w:val="FootnoteReference"/>
        </w:rPr>
        <w:footnoteRef/>
      </w:r>
      <w:r>
        <w:t xml:space="preserve"> </w:t>
      </w:r>
      <w:r>
        <w:rPr>
          <w:i/>
        </w:rPr>
        <w:t>Id.</w:t>
      </w:r>
      <w:r>
        <w:t xml:space="preserve"> at 42 - 44.</w:t>
      </w:r>
      <w:r w:rsidDel="008525F9">
        <w:t xml:space="preserve"> </w:t>
      </w:r>
    </w:p>
    <w:p w:rsidR="00754FA3" w:rsidRPr="00993FD0" w:rsidRDefault="00754FA3">
      <w:pPr>
        <w:pStyle w:val="FootnoteText"/>
      </w:pPr>
    </w:p>
  </w:footnote>
  <w:footnote w:id="172">
    <w:p w:rsidR="00754FA3" w:rsidRPr="00A1372C" w:rsidRDefault="00754FA3" w:rsidP="00FB5792">
      <w:pPr>
        <w:pStyle w:val="FootnoteText"/>
        <w:rPr>
          <w:szCs w:val="22"/>
        </w:rPr>
      </w:pPr>
      <w:r w:rsidRPr="00A1372C">
        <w:rPr>
          <w:rStyle w:val="FootnoteReference"/>
          <w:szCs w:val="22"/>
        </w:rPr>
        <w:footnoteRef/>
      </w:r>
      <w:r w:rsidRPr="00A1372C">
        <w:rPr>
          <w:szCs w:val="22"/>
        </w:rPr>
        <w:t xml:space="preserve"> </w:t>
      </w:r>
      <w:r>
        <w:rPr>
          <w:i/>
          <w:szCs w:val="22"/>
        </w:rPr>
        <w:t>Id.</w:t>
      </w:r>
      <w:r w:rsidRPr="00A1372C">
        <w:rPr>
          <w:szCs w:val="22"/>
        </w:rPr>
        <w:t xml:space="preserve"> at 35.</w:t>
      </w:r>
    </w:p>
    <w:p w:rsidR="00754FA3" w:rsidRPr="00A1372C" w:rsidRDefault="00754FA3" w:rsidP="00FB5792">
      <w:pPr>
        <w:pStyle w:val="FootnoteText"/>
        <w:rPr>
          <w:szCs w:val="22"/>
        </w:rPr>
      </w:pPr>
    </w:p>
  </w:footnote>
  <w:footnote w:id="173">
    <w:p w:rsidR="00754FA3" w:rsidRDefault="00754FA3" w:rsidP="003C20A2">
      <w:pPr>
        <w:pStyle w:val="FootnoteText"/>
      </w:pPr>
      <w:r>
        <w:rPr>
          <w:rStyle w:val="FootnoteReference"/>
        </w:rPr>
        <w:footnoteRef/>
      </w:r>
      <w:r>
        <w:t xml:space="preserve"> </w:t>
      </w:r>
      <w:r>
        <w:rPr>
          <w:i/>
        </w:rPr>
        <w:t>Id.</w:t>
      </w:r>
      <w:r>
        <w:t xml:space="preserve"> at 36 - 37 (listing eleven reasons).</w:t>
      </w:r>
    </w:p>
    <w:p w:rsidR="00754FA3" w:rsidRDefault="00754FA3" w:rsidP="003C20A2">
      <w:pPr>
        <w:pStyle w:val="FootnoteText"/>
      </w:pPr>
    </w:p>
  </w:footnote>
  <w:footnote w:id="174">
    <w:p w:rsidR="00754FA3" w:rsidRDefault="00754FA3" w:rsidP="00FB5792">
      <w:pPr>
        <w:pStyle w:val="FootnoteText"/>
        <w:rPr>
          <w:szCs w:val="22"/>
        </w:rPr>
      </w:pPr>
      <w:r w:rsidRPr="00A1372C">
        <w:rPr>
          <w:rStyle w:val="FootnoteReference"/>
          <w:szCs w:val="22"/>
        </w:rPr>
        <w:footnoteRef/>
      </w:r>
      <w:r w:rsidRPr="00A1372C">
        <w:rPr>
          <w:szCs w:val="22"/>
        </w:rPr>
        <w:t xml:space="preserve"> Falkenberg, Exh. No. RJF-1CT at 42</w:t>
      </w:r>
      <w:r>
        <w:rPr>
          <w:szCs w:val="22"/>
        </w:rPr>
        <w:t xml:space="preserve"> -</w:t>
      </w:r>
      <w:r w:rsidRPr="00A1372C">
        <w:rPr>
          <w:szCs w:val="22"/>
        </w:rPr>
        <w:t xml:space="preserve"> 44.</w:t>
      </w:r>
    </w:p>
    <w:p w:rsidR="00754FA3" w:rsidRPr="00D552F1" w:rsidRDefault="00754FA3" w:rsidP="00FB5792">
      <w:pPr>
        <w:pStyle w:val="FootnoteText"/>
        <w:rPr>
          <w:szCs w:val="22"/>
        </w:rPr>
      </w:pPr>
    </w:p>
  </w:footnote>
  <w:footnote w:id="175">
    <w:p w:rsidR="00754FA3" w:rsidRPr="00A1372C" w:rsidRDefault="00754FA3" w:rsidP="00FB5792">
      <w:pPr>
        <w:pStyle w:val="FootnoteText"/>
        <w:rPr>
          <w:szCs w:val="22"/>
        </w:rPr>
      </w:pPr>
      <w:r w:rsidRPr="00A1372C">
        <w:rPr>
          <w:rStyle w:val="FootnoteReference"/>
          <w:szCs w:val="22"/>
        </w:rPr>
        <w:footnoteRef/>
      </w:r>
      <w:r w:rsidRPr="00A1372C">
        <w:rPr>
          <w:szCs w:val="22"/>
        </w:rPr>
        <w:t xml:space="preserve"> Duvall, Exh. No. GND-5T at 28.</w:t>
      </w:r>
    </w:p>
    <w:p w:rsidR="00754FA3" w:rsidRPr="00A1372C" w:rsidRDefault="00754FA3" w:rsidP="00FB5792">
      <w:pPr>
        <w:pStyle w:val="FootnoteText"/>
        <w:rPr>
          <w:szCs w:val="22"/>
        </w:rPr>
      </w:pPr>
    </w:p>
  </w:footnote>
  <w:footnote w:id="176">
    <w:p w:rsidR="00754FA3" w:rsidRDefault="00754FA3">
      <w:pPr>
        <w:pStyle w:val="FootnoteText"/>
      </w:pPr>
      <w:r>
        <w:rPr>
          <w:rStyle w:val="FootnoteReference"/>
        </w:rPr>
        <w:footnoteRef/>
      </w:r>
      <w:r>
        <w:t xml:space="preserve"> Duvall, Exh. No. GND-5T at 44 – 47, PacifiCorp Initial Post-Hearing Brief ¶¶ 51 – 52.</w:t>
      </w:r>
    </w:p>
    <w:p w:rsidR="00754FA3" w:rsidRDefault="00754FA3">
      <w:pPr>
        <w:pStyle w:val="FootnoteText"/>
      </w:pPr>
    </w:p>
  </w:footnote>
  <w:footnote w:id="177">
    <w:p w:rsidR="00754FA3" w:rsidRDefault="00754FA3" w:rsidP="00020CDC">
      <w:pPr>
        <w:pStyle w:val="FootnoteText"/>
      </w:pPr>
      <w:r>
        <w:rPr>
          <w:rStyle w:val="FootnoteReference"/>
        </w:rPr>
        <w:footnoteRef/>
      </w:r>
      <w:r>
        <w:t xml:space="preserve"> PacifiCorp Initial Post-Hearing Brief ¶¶ 81 – 82.</w:t>
      </w:r>
    </w:p>
    <w:p w:rsidR="00754FA3" w:rsidRPr="00A21E02" w:rsidRDefault="00754FA3" w:rsidP="00020CDC">
      <w:pPr>
        <w:pStyle w:val="FootnoteText"/>
      </w:pPr>
    </w:p>
  </w:footnote>
  <w:footnote w:id="178">
    <w:p w:rsidR="00754FA3" w:rsidRDefault="00754FA3">
      <w:pPr>
        <w:pStyle w:val="FootnoteText"/>
      </w:pPr>
      <w:r>
        <w:rPr>
          <w:rStyle w:val="FootnoteReference"/>
        </w:rPr>
        <w:footnoteRef/>
      </w:r>
      <w:r>
        <w:t xml:space="preserve"> Staff Post-Hearing Reply Brief ¶¶ 68-72; ICNU Post-Hearing Reply Brief ¶¶13-19. </w:t>
      </w:r>
    </w:p>
    <w:p w:rsidR="00754FA3" w:rsidRDefault="00754FA3">
      <w:pPr>
        <w:pStyle w:val="FootnoteText"/>
      </w:pPr>
    </w:p>
  </w:footnote>
  <w:footnote w:id="179">
    <w:p w:rsidR="00754FA3" w:rsidRDefault="00754FA3">
      <w:pPr>
        <w:pStyle w:val="FootnoteText"/>
      </w:pPr>
      <w:r>
        <w:rPr>
          <w:rStyle w:val="FootnoteReference"/>
        </w:rPr>
        <w:footnoteRef/>
      </w:r>
      <w:r>
        <w:t xml:space="preserve"> Duvall, Exh. No. GND-5T at 46.</w:t>
      </w:r>
    </w:p>
    <w:p w:rsidR="00754FA3" w:rsidRDefault="00754FA3">
      <w:pPr>
        <w:pStyle w:val="FootnoteText"/>
      </w:pPr>
    </w:p>
  </w:footnote>
  <w:footnote w:id="180">
    <w:p w:rsidR="00754FA3" w:rsidRDefault="00754FA3" w:rsidP="00522162">
      <w:pPr>
        <w:pStyle w:val="FootnoteText"/>
      </w:pPr>
      <w:r w:rsidRPr="003821F4">
        <w:rPr>
          <w:rStyle w:val="FootnoteReference"/>
        </w:rPr>
        <w:footnoteRef/>
      </w:r>
      <w:r w:rsidRPr="003821F4">
        <w:t xml:space="preserve"> </w:t>
      </w:r>
      <w:r>
        <w:t>Staff Initial Post-Hearing Brief, Appendix A at 1.</w:t>
      </w:r>
    </w:p>
    <w:p w:rsidR="00754FA3" w:rsidRPr="0070220B" w:rsidRDefault="00754FA3" w:rsidP="00522162">
      <w:pPr>
        <w:pStyle w:val="FootnoteText"/>
      </w:pPr>
    </w:p>
  </w:footnote>
  <w:footnote w:id="181">
    <w:p w:rsidR="00754FA3" w:rsidRPr="00A1372C" w:rsidRDefault="00754FA3" w:rsidP="00FB5792">
      <w:pPr>
        <w:pStyle w:val="FootnoteText"/>
        <w:rPr>
          <w:szCs w:val="22"/>
        </w:rPr>
      </w:pPr>
      <w:r w:rsidRPr="00A1372C">
        <w:rPr>
          <w:rStyle w:val="FootnoteReference"/>
          <w:szCs w:val="22"/>
        </w:rPr>
        <w:footnoteRef/>
      </w:r>
      <w:r w:rsidRPr="00A1372C">
        <w:rPr>
          <w:szCs w:val="22"/>
        </w:rPr>
        <w:t xml:space="preserve"> Buckley, Exh. No. APB-1CT at </w:t>
      </w:r>
      <w:r>
        <w:rPr>
          <w:szCs w:val="22"/>
        </w:rPr>
        <w:t xml:space="preserve">11 - </w:t>
      </w:r>
      <w:r w:rsidRPr="00A1372C">
        <w:rPr>
          <w:szCs w:val="22"/>
        </w:rPr>
        <w:t>12.</w:t>
      </w:r>
    </w:p>
    <w:p w:rsidR="00754FA3" w:rsidRPr="00A1372C" w:rsidRDefault="00754FA3" w:rsidP="00FB5792">
      <w:pPr>
        <w:pStyle w:val="FootnoteText"/>
        <w:rPr>
          <w:szCs w:val="22"/>
        </w:rPr>
      </w:pPr>
    </w:p>
  </w:footnote>
  <w:footnote w:id="182">
    <w:p w:rsidR="00754FA3" w:rsidRDefault="00754FA3" w:rsidP="00FB5792">
      <w:pPr>
        <w:pStyle w:val="FootnoteText"/>
        <w:rPr>
          <w:szCs w:val="22"/>
        </w:rPr>
      </w:pPr>
      <w:r w:rsidRPr="00A1372C">
        <w:rPr>
          <w:rStyle w:val="FootnoteReference"/>
          <w:szCs w:val="22"/>
        </w:rPr>
        <w:footnoteRef/>
      </w:r>
      <w:r w:rsidRPr="00A1372C">
        <w:rPr>
          <w:szCs w:val="22"/>
        </w:rPr>
        <w:t xml:space="preserve"> </w:t>
      </w:r>
      <w:r w:rsidRPr="00CC39E4">
        <w:rPr>
          <w:i/>
          <w:szCs w:val="22"/>
        </w:rPr>
        <w:t>Id</w:t>
      </w:r>
      <w:r>
        <w:rPr>
          <w:szCs w:val="22"/>
        </w:rPr>
        <w:t xml:space="preserve">. </w:t>
      </w:r>
      <w:r w:rsidRPr="00A1372C">
        <w:rPr>
          <w:szCs w:val="22"/>
        </w:rPr>
        <w:t>at 13.</w:t>
      </w:r>
    </w:p>
    <w:p w:rsidR="00754FA3" w:rsidRPr="00993FD0" w:rsidRDefault="00754FA3" w:rsidP="00FB5792">
      <w:pPr>
        <w:pStyle w:val="FootnoteText"/>
        <w:rPr>
          <w:szCs w:val="22"/>
        </w:rPr>
      </w:pPr>
    </w:p>
  </w:footnote>
  <w:footnote w:id="183">
    <w:p w:rsidR="00754FA3" w:rsidRPr="00DB43A8" w:rsidRDefault="00754FA3">
      <w:pPr>
        <w:pStyle w:val="FootnoteText"/>
      </w:pPr>
      <w:r>
        <w:rPr>
          <w:rStyle w:val="FootnoteReference"/>
        </w:rPr>
        <w:footnoteRef/>
      </w:r>
      <w:r>
        <w:t xml:space="preserve"> </w:t>
      </w:r>
      <w:r w:rsidRPr="00CC39E4">
        <w:rPr>
          <w:i/>
        </w:rPr>
        <w:t>Id</w:t>
      </w:r>
      <w:r>
        <w:t>. at 14.</w:t>
      </w:r>
    </w:p>
    <w:p w:rsidR="00754FA3" w:rsidRPr="00993FD0" w:rsidRDefault="00754FA3">
      <w:pPr>
        <w:pStyle w:val="FootnoteText"/>
      </w:pPr>
    </w:p>
  </w:footnote>
  <w:footnote w:id="184">
    <w:p w:rsidR="00754FA3" w:rsidRDefault="00754FA3">
      <w:pPr>
        <w:pStyle w:val="FootnoteText"/>
      </w:pPr>
      <w:r>
        <w:rPr>
          <w:rStyle w:val="FootnoteReference"/>
        </w:rPr>
        <w:footnoteRef/>
      </w:r>
      <w:r>
        <w:t xml:space="preserve"> Falkenberg, Exh. No. RJF-1CT at 2.</w:t>
      </w:r>
    </w:p>
    <w:p w:rsidR="00754FA3" w:rsidRDefault="00754FA3">
      <w:pPr>
        <w:pStyle w:val="FootnoteText"/>
      </w:pPr>
    </w:p>
  </w:footnote>
  <w:footnote w:id="185">
    <w:p w:rsidR="00754FA3" w:rsidRPr="00DB43A8" w:rsidRDefault="00754FA3">
      <w:pPr>
        <w:pStyle w:val="FootnoteText"/>
      </w:pPr>
      <w:r>
        <w:rPr>
          <w:rStyle w:val="FootnoteReference"/>
        </w:rPr>
        <w:footnoteRef/>
      </w:r>
      <w:r>
        <w:t xml:space="preserve"> Falkenberg, Exh. No. RJF-1CT at 30 – 31; Exh. No. RJF-8CT at 3.</w:t>
      </w:r>
    </w:p>
    <w:p w:rsidR="00754FA3" w:rsidRPr="00993FD0" w:rsidRDefault="00754FA3">
      <w:pPr>
        <w:pStyle w:val="FootnoteText"/>
      </w:pPr>
    </w:p>
  </w:footnote>
  <w:footnote w:id="186">
    <w:p w:rsidR="00754FA3" w:rsidRPr="00A1372C" w:rsidRDefault="00754FA3" w:rsidP="003D6299">
      <w:pPr>
        <w:pStyle w:val="FootnoteText"/>
        <w:rPr>
          <w:szCs w:val="22"/>
        </w:rPr>
      </w:pPr>
      <w:r w:rsidRPr="00A1372C">
        <w:rPr>
          <w:rStyle w:val="FootnoteReference"/>
          <w:szCs w:val="22"/>
        </w:rPr>
        <w:footnoteRef/>
      </w:r>
      <w:r w:rsidRPr="00A1372C">
        <w:rPr>
          <w:szCs w:val="22"/>
        </w:rPr>
        <w:t xml:space="preserve"> </w:t>
      </w:r>
      <w:r w:rsidRPr="0013583E">
        <w:rPr>
          <w:i/>
          <w:szCs w:val="22"/>
        </w:rPr>
        <w:t>Id</w:t>
      </w:r>
      <w:r>
        <w:rPr>
          <w:szCs w:val="22"/>
        </w:rPr>
        <w:t>.</w:t>
      </w:r>
      <w:r w:rsidRPr="00A1372C">
        <w:rPr>
          <w:szCs w:val="22"/>
        </w:rPr>
        <w:t xml:space="preserve">at </w:t>
      </w:r>
      <w:r>
        <w:rPr>
          <w:szCs w:val="22"/>
        </w:rPr>
        <w:t xml:space="preserve">30 - </w:t>
      </w:r>
      <w:r w:rsidRPr="00A1372C">
        <w:rPr>
          <w:szCs w:val="22"/>
        </w:rPr>
        <w:t>31.</w:t>
      </w:r>
    </w:p>
    <w:p w:rsidR="00754FA3" w:rsidRPr="00A1372C" w:rsidRDefault="00754FA3" w:rsidP="003D6299">
      <w:pPr>
        <w:pStyle w:val="FootnoteText"/>
        <w:rPr>
          <w:szCs w:val="22"/>
        </w:rPr>
      </w:pPr>
    </w:p>
  </w:footnote>
  <w:footnote w:id="187">
    <w:p w:rsidR="00754FA3" w:rsidRDefault="00754FA3">
      <w:pPr>
        <w:pStyle w:val="FootnoteText"/>
      </w:pPr>
      <w:r>
        <w:rPr>
          <w:rStyle w:val="FootnoteReference"/>
        </w:rPr>
        <w:footnoteRef/>
      </w:r>
      <w:r>
        <w:t xml:space="preserve"> Falkenberg, Exh. No. RJF-8CT at 3.</w:t>
      </w:r>
    </w:p>
    <w:p w:rsidR="00754FA3" w:rsidRDefault="00754FA3">
      <w:pPr>
        <w:pStyle w:val="FootnoteText"/>
      </w:pPr>
    </w:p>
  </w:footnote>
  <w:footnote w:id="188">
    <w:p w:rsidR="00754FA3" w:rsidRDefault="00754FA3">
      <w:pPr>
        <w:pStyle w:val="FootnoteText"/>
      </w:pPr>
      <w:r w:rsidRPr="005224F1">
        <w:rPr>
          <w:rStyle w:val="FootnoteReference"/>
        </w:rPr>
        <w:footnoteRef/>
      </w:r>
      <w:r w:rsidRPr="00915B26">
        <w:t>Buckley, Exh. No. AP</w:t>
      </w:r>
      <w:r>
        <w:t>B</w:t>
      </w:r>
      <w:r w:rsidRPr="00915B26">
        <w:t>-1CT at 13</w:t>
      </w:r>
      <w:r>
        <w:t xml:space="preserve"> - 14.</w:t>
      </w:r>
    </w:p>
    <w:p w:rsidR="00754FA3" w:rsidRDefault="00754FA3">
      <w:pPr>
        <w:pStyle w:val="FootnoteText"/>
      </w:pPr>
    </w:p>
  </w:footnote>
  <w:footnote w:id="189">
    <w:p w:rsidR="00754FA3" w:rsidRPr="00A1372C" w:rsidRDefault="00754FA3" w:rsidP="00253F0F">
      <w:pPr>
        <w:pStyle w:val="FootnoteText"/>
        <w:rPr>
          <w:szCs w:val="22"/>
        </w:rPr>
      </w:pPr>
      <w:r w:rsidRPr="00A1372C">
        <w:rPr>
          <w:rStyle w:val="FootnoteReference"/>
          <w:szCs w:val="22"/>
        </w:rPr>
        <w:footnoteRef/>
      </w:r>
      <w:r w:rsidRPr="00A1372C">
        <w:rPr>
          <w:szCs w:val="22"/>
        </w:rPr>
        <w:t xml:space="preserve"> Buckley, Exh. No. APB-1CT at 13</w:t>
      </w:r>
      <w:r>
        <w:rPr>
          <w:szCs w:val="22"/>
        </w:rPr>
        <w:t xml:space="preserve"> - 14, Falkenberg, Exh. No. RJF-8CT at 3.</w:t>
      </w:r>
    </w:p>
    <w:p w:rsidR="00754FA3" w:rsidRPr="00A1372C" w:rsidRDefault="00754FA3" w:rsidP="00253F0F">
      <w:pPr>
        <w:pStyle w:val="FootnoteText"/>
        <w:rPr>
          <w:szCs w:val="22"/>
        </w:rPr>
      </w:pPr>
    </w:p>
  </w:footnote>
  <w:footnote w:id="190">
    <w:p w:rsidR="00754FA3" w:rsidRPr="00A1372C" w:rsidRDefault="00754FA3" w:rsidP="00FB5792">
      <w:pPr>
        <w:pStyle w:val="FootnoteText"/>
        <w:rPr>
          <w:szCs w:val="22"/>
        </w:rPr>
      </w:pPr>
      <w:r w:rsidRPr="00A1372C">
        <w:rPr>
          <w:rStyle w:val="FootnoteReference"/>
          <w:szCs w:val="22"/>
        </w:rPr>
        <w:footnoteRef/>
      </w:r>
      <w:r w:rsidRPr="00A1372C">
        <w:rPr>
          <w:szCs w:val="22"/>
        </w:rPr>
        <w:t>Dalley Exh. No. RBD-6 at 12.6.6.</w:t>
      </w:r>
    </w:p>
    <w:p w:rsidR="00754FA3" w:rsidRPr="00A1372C" w:rsidRDefault="00754FA3" w:rsidP="00FB5792">
      <w:pPr>
        <w:pStyle w:val="FootnoteText"/>
        <w:rPr>
          <w:szCs w:val="22"/>
        </w:rPr>
      </w:pPr>
    </w:p>
  </w:footnote>
  <w:footnote w:id="191">
    <w:p w:rsidR="00754FA3" w:rsidRPr="00A1372C" w:rsidRDefault="00754FA3" w:rsidP="00FB5792">
      <w:pPr>
        <w:pStyle w:val="FootnoteText"/>
        <w:rPr>
          <w:szCs w:val="22"/>
        </w:rPr>
      </w:pPr>
      <w:r w:rsidRPr="00A1372C">
        <w:rPr>
          <w:rStyle w:val="FootnoteReference"/>
          <w:szCs w:val="22"/>
        </w:rPr>
        <w:footnoteRef/>
      </w:r>
      <w:r w:rsidRPr="00A1372C">
        <w:rPr>
          <w:szCs w:val="22"/>
        </w:rPr>
        <w:t xml:space="preserve"> Duvall, Exh. No. GND-</w:t>
      </w:r>
      <w:r>
        <w:rPr>
          <w:szCs w:val="22"/>
        </w:rPr>
        <w:t>5</w:t>
      </w:r>
      <w:r w:rsidRPr="00A1372C">
        <w:rPr>
          <w:szCs w:val="22"/>
        </w:rPr>
        <w:t>CT at 36</w:t>
      </w:r>
      <w:r>
        <w:rPr>
          <w:szCs w:val="22"/>
        </w:rPr>
        <w:t xml:space="preserve"> - 40</w:t>
      </w:r>
      <w:r w:rsidRPr="00A1372C">
        <w:rPr>
          <w:szCs w:val="22"/>
        </w:rPr>
        <w:t xml:space="preserve">. </w:t>
      </w:r>
    </w:p>
    <w:p w:rsidR="00754FA3" w:rsidRPr="00A1372C" w:rsidRDefault="00754FA3" w:rsidP="00FB5792">
      <w:pPr>
        <w:pStyle w:val="FootnoteText"/>
        <w:rPr>
          <w:szCs w:val="22"/>
        </w:rPr>
      </w:pPr>
    </w:p>
  </w:footnote>
  <w:footnote w:id="192">
    <w:p w:rsidR="00754FA3" w:rsidRPr="00A1372C" w:rsidRDefault="00754FA3" w:rsidP="00FB5792">
      <w:pPr>
        <w:pStyle w:val="FootnoteText"/>
        <w:rPr>
          <w:szCs w:val="22"/>
        </w:rPr>
      </w:pPr>
      <w:r w:rsidRPr="00A1372C">
        <w:rPr>
          <w:rStyle w:val="FootnoteReference"/>
          <w:szCs w:val="22"/>
        </w:rPr>
        <w:footnoteRef/>
      </w:r>
      <w:r w:rsidRPr="00A1372C">
        <w:rPr>
          <w:szCs w:val="22"/>
        </w:rPr>
        <w:t xml:space="preserve"> Duvall, Exh. No. GND-5T at 3</w:t>
      </w:r>
      <w:r>
        <w:rPr>
          <w:szCs w:val="22"/>
        </w:rPr>
        <w:t>7</w:t>
      </w:r>
      <w:r w:rsidRPr="00A1372C">
        <w:rPr>
          <w:szCs w:val="22"/>
        </w:rPr>
        <w:t>.</w:t>
      </w:r>
    </w:p>
    <w:p w:rsidR="00754FA3" w:rsidRPr="00A1372C" w:rsidRDefault="00754FA3" w:rsidP="00FB5792">
      <w:pPr>
        <w:pStyle w:val="FootnoteText"/>
        <w:rPr>
          <w:szCs w:val="22"/>
        </w:rPr>
      </w:pPr>
    </w:p>
  </w:footnote>
  <w:footnote w:id="193">
    <w:p w:rsidR="00754FA3" w:rsidRPr="00A1372C" w:rsidRDefault="00754FA3" w:rsidP="00FB5792">
      <w:pPr>
        <w:pStyle w:val="FootnoteText"/>
        <w:rPr>
          <w:szCs w:val="22"/>
        </w:rPr>
      </w:pPr>
      <w:r w:rsidRPr="00A1372C">
        <w:rPr>
          <w:rStyle w:val="FootnoteReference"/>
          <w:szCs w:val="22"/>
        </w:rPr>
        <w:footnoteRef/>
      </w:r>
      <w:r w:rsidRPr="00A1372C">
        <w:rPr>
          <w:szCs w:val="22"/>
        </w:rPr>
        <w:t xml:space="preserve"> </w:t>
      </w:r>
      <w:r w:rsidRPr="0013583E">
        <w:rPr>
          <w:i/>
          <w:szCs w:val="22"/>
        </w:rPr>
        <w:t>Id</w:t>
      </w:r>
      <w:r>
        <w:rPr>
          <w:szCs w:val="22"/>
        </w:rPr>
        <w:t>. at</w:t>
      </w:r>
      <w:r w:rsidRPr="00A1372C">
        <w:rPr>
          <w:szCs w:val="22"/>
        </w:rPr>
        <w:t xml:space="preserve"> 3</w:t>
      </w:r>
      <w:r>
        <w:rPr>
          <w:szCs w:val="22"/>
        </w:rPr>
        <w:t>6</w:t>
      </w:r>
      <w:r w:rsidRPr="00A1372C">
        <w:rPr>
          <w:szCs w:val="22"/>
        </w:rPr>
        <w:t>.</w:t>
      </w:r>
    </w:p>
    <w:p w:rsidR="00754FA3" w:rsidRPr="00A1372C" w:rsidRDefault="00754FA3" w:rsidP="00FB5792">
      <w:pPr>
        <w:pStyle w:val="FootnoteText"/>
        <w:rPr>
          <w:szCs w:val="22"/>
        </w:rPr>
      </w:pPr>
    </w:p>
  </w:footnote>
  <w:footnote w:id="194">
    <w:p w:rsidR="00754FA3" w:rsidRPr="00A1372C" w:rsidRDefault="00754FA3" w:rsidP="00FB5792">
      <w:pPr>
        <w:pStyle w:val="FootnoteText"/>
        <w:rPr>
          <w:szCs w:val="22"/>
        </w:rPr>
      </w:pPr>
      <w:r w:rsidRPr="00A1372C">
        <w:rPr>
          <w:rStyle w:val="FootnoteReference"/>
          <w:szCs w:val="22"/>
        </w:rPr>
        <w:footnoteRef/>
      </w:r>
      <w:r w:rsidRPr="00A1372C">
        <w:rPr>
          <w:szCs w:val="22"/>
        </w:rPr>
        <w:t xml:space="preserve"> </w:t>
      </w:r>
      <w:r w:rsidRPr="0013583E">
        <w:rPr>
          <w:i/>
          <w:szCs w:val="22"/>
        </w:rPr>
        <w:t>Id</w:t>
      </w:r>
      <w:r>
        <w:rPr>
          <w:szCs w:val="22"/>
        </w:rPr>
        <w:t>.</w:t>
      </w:r>
    </w:p>
    <w:p w:rsidR="00754FA3" w:rsidRPr="00A1372C" w:rsidRDefault="00754FA3" w:rsidP="00FB5792">
      <w:pPr>
        <w:pStyle w:val="FootnoteText"/>
        <w:rPr>
          <w:szCs w:val="22"/>
        </w:rPr>
      </w:pPr>
    </w:p>
  </w:footnote>
  <w:footnote w:id="195">
    <w:p w:rsidR="00754FA3" w:rsidRPr="00A1372C" w:rsidRDefault="00754FA3" w:rsidP="00FB5792">
      <w:pPr>
        <w:pStyle w:val="FootnoteText"/>
        <w:rPr>
          <w:szCs w:val="22"/>
        </w:rPr>
      </w:pPr>
      <w:r w:rsidRPr="00A1372C">
        <w:rPr>
          <w:rStyle w:val="FootnoteReference"/>
          <w:szCs w:val="22"/>
        </w:rPr>
        <w:footnoteRef/>
      </w:r>
      <w:r w:rsidRPr="00A1372C">
        <w:rPr>
          <w:szCs w:val="22"/>
        </w:rPr>
        <w:t xml:space="preserve"> </w:t>
      </w:r>
      <w:r w:rsidRPr="0013583E">
        <w:rPr>
          <w:i/>
          <w:szCs w:val="22"/>
        </w:rPr>
        <w:t>Id</w:t>
      </w:r>
      <w:r>
        <w:rPr>
          <w:szCs w:val="22"/>
        </w:rPr>
        <w:t>.</w:t>
      </w:r>
      <w:r w:rsidRPr="00A1372C">
        <w:rPr>
          <w:szCs w:val="22"/>
        </w:rPr>
        <w:t xml:space="preserve"> at 37.</w:t>
      </w:r>
    </w:p>
    <w:p w:rsidR="00754FA3" w:rsidRPr="00A1372C" w:rsidRDefault="00754FA3" w:rsidP="00FB5792">
      <w:pPr>
        <w:pStyle w:val="FootnoteText"/>
        <w:rPr>
          <w:szCs w:val="22"/>
        </w:rPr>
      </w:pPr>
    </w:p>
  </w:footnote>
  <w:footnote w:id="196">
    <w:p w:rsidR="00754FA3" w:rsidRPr="00A1372C" w:rsidRDefault="00754FA3" w:rsidP="00FB5792">
      <w:pPr>
        <w:pStyle w:val="FootnoteText"/>
        <w:rPr>
          <w:szCs w:val="22"/>
        </w:rPr>
      </w:pPr>
      <w:r w:rsidRPr="00A1372C">
        <w:rPr>
          <w:rStyle w:val="FootnoteReference"/>
          <w:szCs w:val="22"/>
        </w:rPr>
        <w:footnoteRef/>
      </w:r>
      <w:r w:rsidRPr="00A1372C">
        <w:rPr>
          <w:szCs w:val="22"/>
        </w:rPr>
        <w:t xml:space="preserve"> </w:t>
      </w:r>
      <w:r w:rsidRPr="0013583E">
        <w:rPr>
          <w:i/>
          <w:szCs w:val="22"/>
        </w:rPr>
        <w:t>Id</w:t>
      </w:r>
      <w:r>
        <w:rPr>
          <w:szCs w:val="22"/>
        </w:rPr>
        <w:t>.</w:t>
      </w:r>
      <w:r w:rsidRPr="00A1372C">
        <w:rPr>
          <w:szCs w:val="22"/>
        </w:rPr>
        <w:t xml:space="preserve"> at 39.</w:t>
      </w:r>
    </w:p>
    <w:p w:rsidR="00754FA3" w:rsidRPr="00A1372C" w:rsidRDefault="00754FA3" w:rsidP="00FB5792">
      <w:pPr>
        <w:pStyle w:val="FootnoteText"/>
        <w:rPr>
          <w:szCs w:val="22"/>
        </w:rPr>
      </w:pPr>
    </w:p>
  </w:footnote>
  <w:footnote w:id="197">
    <w:p w:rsidR="00754FA3" w:rsidRPr="00A1372C" w:rsidRDefault="00754FA3" w:rsidP="00FB5792">
      <w:pPr>
        <w:pStyle w:val="FootnoteText"/>
        <w:rPr>
          <w:szCs w:val="22"/>
        </w:rPr>
      </w:pPr>
      <w:r w:rsidRPr="00A1372C">
        <w:rPr>
          <w:rStyle w:val="FootnoteReference"/>
          <w:szCs w:val="22"/>
        </w:rPr>
        <w:footnoteRef/>
      </w:r>
      <w:r w:rsidRPr="00A1372C">
        <w:rPr>
          <w:szCs w:val="22"/>
        </w:rPr>
        <w:t xml:space="preserve"> </w:t>
      </w:r>
      <w:r w:rsidRPr="0013583E">
        <w:rPr>
          <w:i/>
          <w:szCs w:val="22"/>
        </w:rPr>
        <w:t>Id</w:t>
      </w:r>
      <w:r>
        <w:rPr>
          <w:szCs w:val="22"/>
        </w:rPr>
        <w:t>.</w:t>
      </w:r>
    </w:p>
    <w:p w:rsidR="00754FA3" w:rsidRPr="00A1372C" w:rsidRDefault="00754FA3" w:rsidP="00FB5792">
      <w:pPr>
        <w:pStyle w:val="FootnoteText"/>
        <w:rPr>
          <w:szCs w:val="22"/>
        </w:rPr>
      </w:pPr>
    </w:p>
  </w:footnote>
  <w:footnote w:id="198">
    <w:p w:rsidR="00754FA3" w:rsidRPr="00A1372C" w:rsidRDefault="00754FA3" w:rsidP="00FB5792">
      <w:pPr>
        <w:pStyle w:val="FootnoteText"/>
        <w:rPr>
          <w:szCs w:val="22"/>
        </w:rPr>
      </w:pPr>
      <w:r w:rsidRPr="00A1372C">
        <w:rPr>
          <w:rStyle w:val="FootnoteReference"/>
          <w:szCs w:val="22"/>
        </w:rPr>
        <w:footnoteRef/>
      </w:r>
      <w:r w:rsidRPr="00A1372C">
        <w:rPr>
          <w:szCs w:val="22"/>
        </w:rPr>
        <w:t xml:space="preserve"> </w:t>
      </w:r>
      <w:r w:rsidRPr="0013583E">
        <w:rPr>
          <w:i/>
          <w:szCs w:val="22"/>
        </w:rPr>
        <w:t>Id</w:t>
      </w:r>
      <w:r>
        <w:rPr>
          <w:szCs w:val="22"/>
        </w:rPr>
        <w:t>.</w:t>
      </w:r>
    </w:p>
    <w:p w:rsidR="00754FA3" w:rsidRPr="00A1372C" w:rsidRDefault="00754FA3" w:rsidP="00FB5792">
      <w:pPr>
        <w:pStyle w:val="FootnoteText"/>
        <w:rPr>
          <w:szCs w:val="22"/>
        </w:rPr>
      </w:pPr>
    </w:p>
  </w:footnote>
  <w:footnote w:id="199">
    <w:p w:rsidR="00754FA3" w:rsidRDefault="00754FA3" w:rsidP="00B91B67">
      <w:pPr>
        <w:pStyle w:val="FootnoteText"/>
      </w:pPr>
      <w:r>
        <w:rPr>
          <w:rStyle w:val="FootnoteReference"/>
        </w:rPr>
        <w:footnoteRef/>
      </w:r>
      <w:r>
        <w:t xml:space="preserve"> The Utah Commission has concluded similarly.  </w:t>
      </w:r>
      <w:r>
        <w:rPr>
          <w:i/>
        </w:rPr>
        <w:t xml:space="preserve">See </w:t>
      </w:r>
      <w:r>
        <w:t>ICNU’s Post-Hearing Brief. ¶62.</w:t>
      </w:r>
    </w:p>
    <w:p w:rsidR="00754FA3" w:rsidRPr="0059416E" w:rsidRDefault="00754FA3" w:rsidP="00B91B67">
      <w:pPr>
        <w:pStyle w:val="FootnoteText"/>
      </w:pPr>
    </w:p>
  </w:footnote>
  <w:footnote w:id="200">
    <w:p w:rsidR="00754FA3" w:rsidRDefault="00754FA3">
      <w:pPr>
        <w:pStyle w:val="FootnoteText"/>
      </w:pPr>
      <w:r>
        <w:rPr>
          <w:rStyle w:val="FootnoteReference"/>
        </w:rPr>
        <w:footnoteRef/>
      </w:r>
      <w:r>
        <w:t xml:space="preserve"> Colstrip Unit 4 is a baseload facility that provides low cost power.</w:t>
      </w:r>
    </w:p>
    <w:p w:rsidR="00754FA3" w:rsidRDefault="00754FA3">
      <w:pPr>
        <w:pStyle w:val="FootnoteText"/>
      </w:pPr>
    </w:p>
  </w:footnote>
  <w:footnote w:id="201">
    <w:p w:rsidR="00754FA3" w:rsidRDefault="00754FA3">
      <w:pPr>
        <w:pStyle w:val="FootnoteText"/>
      </w:pPr>
      <w:r>
        <w:rPr>
          <w:rStyle w:val="FootnoteReference"/>
        </w:rPr>
        <w:footnoteRef/>
      </w:r>
      <w:r>
        <w:t xml:space="preserve"> Duvall, Exh. No. GND-5T at 50.</w:t>
      </w:r>
    </w:p>
    <w:p w:rsidR="00754FA3" w:rsidRDefault="00754FA3">
      <w:pPr>
        <w:pStyle w:val="FootnoteText"/>
      </w:pPr>
    </w:p>
  </w:footnote>
  <w:footnote w:id="202">
    <w:p w:rsidR="00754FA3" w:rsidRDefault="00754FA3">
      <w:pPr>
        <w:pStyle w:val="FootnoteText"/>
      </w:pPr>
      <w:r>
        <w:rPr>
          <w:rStyle w:val="FootnoteReference"/>
        </w:rPr>
        <w:footnoteRef/>
      </w:r>
      <w:r>
        <w:t xml:space="preserve"> Buckley, Exh. No. APB-1CT at 15.</w:t>
      </w:r>
    </w:p>
    <w:p w:rsidR="00754FA3" w:rsidRDefault="00754FA3">
      <w:pPr>
        <w:pStyle w:val="FootnoteText"/>
      </w:pPr>
    </w:p>
  </w:footnote>
  <w:footnote w:id="203">
    <w:p w:rsidR="00754FA3" w:rsidRDefault="00754FA3" w:rsidP="00FB5792">
      <w:pPr>
        <w:pStyle w:val="FootnoteText"/>
        <w:rPr>
          <w:szCs w:val="22"/>
        </w:rPr>
      </w:pPr>
      <w:r w:rsidRPr="00A1372C">
        <w:rPr>
          <w:rStyle w:val="FootnoteReference"/>
          <w:szCs w:val="22"/>
        </w:rPr>
        <w:footnoteRef/>
      </w:r>
      <w:r w:rsidRPr="00A1372C">
        <w:rPr>
          <w:szCs w:val="22"/>
        </w:rPr>
        <w:t xml:space="preserve"> </w:t>
      </w:r>
      <w:r w:rsidRPr="007E6E37">
        <w:rPr>
          <w:i/>
          <w:szCs w:val="22"/>
        </w:rPr>
        <w:t>Id.</w:t>
      </w:r>
      <w:r w:rsidRPr="000E7749">
        <w:rPr>
          <w:szCs w:val="22"/>
        </w:rPr>
        <w:t xml:space="preserve"> a</w:t>
      </w:r>
      <w:r w:rsidRPr="00A1372C">
        <w:rPr>
          <w:szCs w:val="22"/>
        </w:rPr>
        <w:t>t 1</w:t>
      </w:r>
      <w:r>
        <w:rPr>
          <w:szCs w:val="22"/>
        </w:rPr>
        <w:t>7.  Here Staff testifies that its eight percent outage rate is similar to that experienced by Avista.</w:t>
      </w:r>
    </w:p>
    <w:p w:rsidR="00754FA3" w:rsidRPr="00414929" w:rsidRDefault="00754FA3" w:rsidP="00FB5792">
      <w:pPr>
        <w:pStyle w:val="FootnoteText"/>
        <w:rPr>
          <w:szCs w:val="22"/>
        </w:rPr>
      </w:pPr>
    </w:p>
  </w:footnote>
  <w:footnote w:id="204">
    <w:p w:rsidR="00754FA3" w:rsidRDefault="00754FA3" w:rsidP="0059416E">
      <w:pPr>
        <w:pStyle w:val="FootnoteText"/>
        <w:rPr>
          <w:szCs w:val="22"/>
        </w:rPr>
      </w:pPr>
      <w:r w:rsidRPr="00A1372C">
        <w:rPr>
          <w:rStyle w:val="FootnoteReference"/>
          <w:szCs w:val="22"/>
        </w:rPr>
        <w:footnoteRef/>
      </w:r>
      <w:r w:rsidRPr="00A1372C">
        <w:rPr>
          <w:szCs w:val="22"/>
        </w:rPr>
        <w:t xml:space="preserve"> </w:t>
      </w:r>
      <w:r>
        <w:rPr>
          <w:szCs w:val="22"/>
        </w:rPr>
        <w:t>Id.</w:t>
      </w:r>
      <w:r w:rsidRPr="00A1372C">
        <w:rPr>
          <w:szCs w:val="22"/>
        </w:rPr>
        <w:t xml:space="preserve"> at 1</w:t>
      </w:r>
      <w:r>
        <w:rPr>
          <w:szCs w:val="22"/>
        </w:rPr>
        <w:t>8</w:t>
      </w:r>
      <w:r w:rsidRPr="00A1372C">
        <w:rPr>
          <w:szCs w:val="22"/>
        </w:rPr>
        <w:t>.</w:t>
      </w:r>
    </w:p>
    <w:p w:rsidR="00754FA3" w:rsidRPr="004A17D4" w:rsidRDefault="00754FA3" w:rsidP="0059416E">
      <w:pPr>
        <w:pStyle w:val="FootnoteText"/>
        <w:rPr>
          <w:szCs w:val="22"/>
        </w:rPr>
      </w:pPr>
    </w:p>
  </w:footnote>
  <w:footnote w:id="205">
    <w:p w:rsidR="00754FA3" w:rsidRDefault="00754FA3">
      <w:pPr>
        <w:pStyle w:val="FootnoteText"/>
      </w:pPr>
      <w:r>
        <w:rPr>
          <w:rStyle w:val="FootnoteReference"/>
        </w:rPr>
        <w:footnoteRef/>
      </w:r>
      <w:r>
        <w:t xml:space="preserve"> Falkenberg, Exh. No. RJF-1CT at 50.</w:t>
      </w:r>
    </w:p>
    <w:p w:rsidR="00754FA3" w:rsidRDefault="00754FA3">
      <w:pPr>
        <w:pStyle w:val="FootnoteText"/>
      </w:pPr>
    </w:p>
  </w:footnote>
  <w:footnote w:id="206">
    <w:p w:rsidR="00754FA3" w:rsidRPr="00A1372C" w:rsidRDefault="00754FA3" w:rsidP="00410281">
      <w:pPr>
        <w:pStyle w:val="FootnoteText"/>
        <w:rPr>
          <w:szCs w:val="22"/>
        </w:rPr>
      </w:pPr>
      <w:r w:rsidRPr="00A1372C">
        <w:rPr>
          <w:rStyle w:val="FootnoteReference"/>
          <w:szCs w:val="22"/>
        </w:rPr>
        <w:footnoteRef/>
      </w:r>
      <w:r w:rsidRPr="00A1372C">
        <w:rPr>
          <w:szCs w:val="22"/>
        </w:rPr>
        <w:t xml:space="preserve"> </w:t>
      </w:r>
      <w:r w:rsidRPr="007E6E37">
        <w:rPr>
          <w:i/>
          <w:szCs w:val="22"/>
        </w:rPr>
        <w:t>Id.</w:t>
      </w:r>
      <w:r>
        <w:rPr>
          <w:szCs w:val="22"/>
        </w:rPr>
        <w:t xml:space="preserve"> at 50. Mr. Falkenberg cites, without elaboration, a recommendation by the Company in an Oregon proceeding as the basis his recommendation here.</w:t>
      </w:r>
    </w:p>
    <w:p w:rsidR="00754FA3" w:rsidRPr="00A1372C" w:rsidRDefault="00754FA3" w:rsidP="00410281">
      <w:pPr>
        <w:pStyle w:val="FootnoteText"/>
        <w:rPr>
          <w:szCs w:val="22"/>
        </w:rPr>
      </w:pPr>
    </w:p>
  </w:footnote>
  <w:footnote w:id="207">
    <w:p w:rsidR="00754FA3" w:rsidRPr="000E7749" w:rsidRDefault="00754FA3">
      <w:pPr>
        <w:pStyle w:val="FootnoteText"/>
      </w:pPr>
      <w:r>
        <w:rPr>
          <w:rStyle w:val="FootnoteReference"/>
        </w:rPr>
        <w:footnoteRef/>
      </w:r>
      <w:r>
        <w:t xml:space="preserve"> </w:t>
      </w:r>
      <w:r w:rsidRPr="007E6E37">
        <w:rPr>
          <w:i/>
        </w:rPr>
        <w:t>Id</w:t>
      </w:r>
      <w:r>
        <w:t>. at 2.</w:t>
      </w:r>
    </w:p>
    <w:p w:rsidR="00754FA3" w:rsidRPr="00993FD0" w:rsidRDefault="00754FA3">
      <w:pPr>
        <w:pStyle w:val="FootnoteText"/>
      </w:pPr>
    </w:p>
  </w:footnote>
  <w:footnote w:id="208">
    <w:p w:rsidR="00754FA3" w:rsidRPr="00A1372C" w:rsidRDefault="00754FA3" w:rsidP="00FB5792">
      <w:pPr>
        <w:pStyle w:val="FootnoteText"/>
        <w:rPr>
          <w:szCs w:val="22"/>
        </w:rPr>
      </w:pPr>
      <w:r w:rsidRPr="00A1372C">
        <w:rPr>
          <w:rStyle w:val="FootnoteReference"/>
          <w:szCs w:val="22"/>
        </w:rPr>
        <w:footnoteRef/>
      </w:r>
      <w:r w:rsidRPr="00A1372C">
        <w:rPr>
          <w:szCs w:val="22"/>
        </w:rPr>
        <w:t xml:space="preserve"> Duvall, Exh. No. GND-5T at 49 - 50.</w:t>
      </w:r>
    </w:p>
    <w:p w:rsidR="00754FA3" w:rsidRPr="00A1372C" w:rsidRDefault="00754FA3" w:rsidP="00FB5792">
      <w:pPr>
        <w:pStyle w:val="FootnoteText"/>
        <w:rPr>
          <w:szCs w:val="22"/>
        </w:rPr>
      </w:pPr>
    </w:p>
  </w:footnote>
  <w:footnote w:id="209">
    <w:p w:rsidR="00754FA3" w:rsidRPr="00A1372C" w:rsidRDefault="00754FA3" w:rsidP="00934A46">
      <w:pPr>
        <w:pStyle w:val="FootnoteText"/>
        <w:rPr>
          <w:szCs w:val="22"/>
        </w:rPr>
      </w:pPr>
      <w:r>
        <w:rPr>
          <w:rStyle w:val="FootnoteReference"/>
        </w:rPr>
        <w:footnoteRef/>
      </w:r>
      <w:r>
        <w:t xml:space="preserve"> </w:t>
      </w:r>
      <w:r>
        <w:rPr>
          <w:szCs w:val="22"/>
        </w:rPr>
        <w:t>Buckley, Exh. No. APB-1CT at 18</w:t>
      </w:r>
      <w:r w:rsidRPr="00A1372C">
        <w:rPr>
          <w:szCs w:val="22"/>
        </w:rPr>
        <w:t>.</w:t>
      </w:r>
    </w:p>
    <w:p w:rsidR="00754FA3" w:rsidRDefault="00754FA3">
      <w:pPr>
        <w:pStyle w:val="FootnoteText"/>
      </w:pPr>
    </w:p>
  </w:footnote>
  <w:footnote w:id="210">
    <w:p w:rsidR="00754FA3" w:rsidRPr="00A1372C" w:rsidRDefault="00754FA3" w:rsidP="001B2040">
      <w:pPr>
        <w:pStyle w:val="FootnoteText"/>
        <w:rPr>
          <w:szCs w:val="22"/>
        </w:rPr>
      </w:pPr>
      <w:r w:rsidRPr="00A1372C">
        <w:rPr>
          <w:rStyle w:val="FootnoteReference"/>
          <w:szCs w:val="22"/>
        </w:rPr>
        <w:footnoteRef/>
      </w:r>
      <w:r w:rsidRPr="00A1372C">
        <w:rPr>
          <w:szCs w:val="22"/>
        </w:rPr>
        <w:t xml:space="preserve"> </w:t>
      </w:r>
      <w:r w:rsidRPr="007E6E37">
        <w:rPr>
          <w:i/>
          <w:szCs w:val="22"/>
        </w:rPr>
        <w:t>Id.</w:t>
      </w:r>
      <w:r w:rsidRPr="00A1372C">
        <w:rPr>
          <w:szCs w:val="22"/>
        </w:rPr>
        <w:t xml:space="preserve"> at 19.</w:t>
      </w:r>
    </w:p>
    <w:p w:rsidR="00754FA3" w:rsidRPr="00A1372C" w:rsidRDefault="00754FA3" w:rsidP="001B2040">
      <w:pPr>
        <w:pStyle w:val="FootnoteText"/>
        <w:rPr>
          <w:szCs w:val="22"/>
        </w:rPr>
      </w:pPr>
    </w:p>
  </w:footnote>
  <w:footnote w:id="211">
    <w:p w:rsidR="00754FA3" w:rsidRDefault="00754FA3" w:rsidP="001B2040">
      <w:pPr>
        <w:pStyle w:val="FootnoteText"/>
        <w:rPr>
          <w:szCs w:val="22"/>
        </w:rPr>
      </w:pPr>
      <w:r w:rsidRPr="00A1372C">
        <w:rPr>
          <w:rStyle w:val="FootnoteReference"/>
          <w:szCs w:val="22"/>
        </w:rPr>
        <w:footnoteRef/>
      </w:r>
      <w:r w:rsidRPr="00A1372C">
        <w:rPr>
          <w:szCs w:val="22"/>
        </w:rPr>
        <w:t xml:space="preserve"> </w:t>
      </w:r>
      <w:r w:rsidRPr="007E6E37">
        <w:rPr>
          <w:i/>
          <w:szCs w:val="22"/>
        </w:rPr>
        <w:t>Id</w:t>
      </w:r>
      <w:r>
        <w:rPr>
          <w:szCs w:val="22"/>
        </w:rPr>
        <w:t>.</w:t>
      </w:r>
    </w:p>
    <w:p w:rsidR="00754FA3" w:rsidRPr="00993FD0" w:rsidRDefault="00754FA3" w:rsidP="001B2040">
      <w:pPr>
        <w:pStyle w:val="FootnoteText"/>
        <w:rPr>
          <w:szCs w:val="22"/>
        </w:rPr>
      </w:pPr>
    </w:p>
  </w:footnote>
  <w:footnote w:id="212">
    <w:p w:rsidR="00754FA3" w:rsidRPr="005A0D18" w:rsidRDefault="00754FA3">
      <w:pPr>
        <w:pStyle w:val="FootnoteText"/>
      </w:pPr>
      <w:r>
        <w:rPr>
          <w:rStyle w:val="FootnoteReference"/>
        </w:rPr>
        <w:footnoteRef/>
      </w:r>
      <w:r>
        <w:t xml:space="preserve"> </w:t>
      </w:r>
      <w:r w:rsidRPr="007E6E37">
        <w:rPr>
          <w:i/>
        </w:rPr>
        <w:t>Id</w:t>
      </w:r>
      <w:r>
        <w:t>.</w:t>
      </w:r>
    </w:p>
    <w:p w:rsidR="00754FA3" w:rsidRPr="00993FD0" w:rsidRDefault="00754FA3">
      <w:pPr>
        <w:pStyle w:val="FootnoteText"/>
      </w:pPr>
    </w:p>
  </w:footnote>
  <w:footnote w:id="213">
    <w:p w:rsidR="00754FA3" w:rsidRPr="00A1372C" w:rsidRDefault="00754FA3" w:rsidP="001B2040">
      <w:pPr>
        <w:pStyle w:val="FootnoteText"/>
        <w:rPr>
          <w:szCs w:val="22"/>
        </w:rPr>
      </w:pPr>
      <w:r w:rsidRPr="00A1372C">
        <w:rPr>
          <w:rStyle w:val="FootnoteReference"/>
          <w:szCs w:val="22"/>
        </w:rPr>
        <w:footnoteRef/>
      </w:r>
      <w:r w:rsidRPr="00A1372C">
        <w:rPr>
          <w:szCs w:val="22"/>
        </w:rPr>
        <w:t xml:space="preserve"> Falkenberg, Exh. No. RJF-1CT at 33 – 34.</w:t>
      </w:r>
    </w:p>
    <w:p w:rsidR="00754FA3" w:rsidRPr="00A1372C" w:rsidRDefault="00754FA3" w:rsidP="001B2040">
      <w:pPr>
        <w:pStyle w:val="FootnoteText"/>
        <w:rPr>
          <w:szCs w:val="22"/>
        </w:rPr>
      </w:pPr>
    </w:p>
  </w:footnote>
  <w:footnote w:id="214">
    <w:p w:rsidR="00754FA3" w:rsidRDefault="00754FA3" w:rsidP="001B2040">
      <w:pPr>
        <w:pStyle w:val="FootnoteText"/>
        <w:rPr>
          <w:szCs w:val="22"/>
        </w:rPr>
      </w:pPr>
      <w:r w:rsidRPr="00A1372C">
        <w:rPr>
          <w:rStyle w:val="FootnoteReference"/>
          <w:szCs w:val="22"/>
        </w:rPr>
        <w:footnoteRef/>
      </w:r>
      <w:r w:rsidRPr="00A1372C">
        <w:rPr>
          <w:szCs w:val="22"/>
        </w:rPr>
        <w:t xml:space="preserve"> </w:t>
      </w:r>
      <w:r w:rsidRPr="007E6E37">
        <w:rPr>
          <w:i/>
          <w:szCs w:val="22"/>
        </w:rPr>
        <w:t>Id</w:t>
      </w:r>
      <w:r>
        <w:rPr>
          <w:szCs w:val="22"/>
        </w:rPr>
        <w:t>.</w:t>
      </w:r>
      <w:r w:rsidRPr="00A1372C">
        <w:rPr>
          <w:szCs w:val="22"/>
        </w:rPr>
        <w:t xml:space="preserve"> at 34.</w:t>
      </w:r>
    </w:p>
    <w:p w:rsidR="00754FA3" w:rsidRPr="00993FD0" w:rsidRDefault="00754FA3" w:rsidP="001B2040">
      <w:pPr>
        <w:pStyle w:val="FootnoteText"/>
        <w:rPr>
          <w:szCs w:val="22"/>
        </w:rPr>
      </w:pPr>
    </w:p>
  </w:footnote>
  <w:footnote w:id="215">
    <w:p w:rsidR="00754FA3" w:rsidRDefault="00754FA3">
      <w:pPr>
        <w:pStyle w:val="FootnoteText"/>
      </w:pPr>
      <w:r>
        <w:rPr>
          <w:rStyle w:val="FootnoteReference"/>
        </w:rPr>
        <w:footnoteRef/>
      </w:r>
      <w:r>
        <w:t xml:space="preserve"> Falkenberg, Exh. No. RJF-1CT at 2.</w:t>
      </w:r>
    </w:p>
    <w:p w:rsidR="00754FA3" w:rsidRPr="005A0D18" w:rsidRDefault="00754FA3">
      <w:pPr>
        <w:pStyle w:val="FootnoteText"/>
      </w:pPr>
    </w:p>
  </w:footnote>
  <w:footnote w:id="216">
    <w:p w:rsidR="00754FA3" w:rsidRPr="00A1372C" w:rsidRDefault="00754FA3" w:rsidP="001B2040">
      <w:pPr>
        <w:pStyle w:val="FootnoteText"/>
        <w:rPr>
          <w:szCs w:val="22"/>
        </w:rPr>
      </w:pPr>
      <w:r w:rsidRPr="00A1372C">
        <w:rPr>
          <w:rStyle w:val="FootnoteReference"/>
          <w:szCs w:val="22"/>
        </w:rPr>
        <w:footnoteRef/>
      </w:r>
      <w:r w:rsidRPr="00A1372C">
        <w:rPr>
          <w:szCs w:val="22"/>
        </w:rPr>
        <w:t xml:space="preserve"> Duvall, Exh. No. GND-5T at 42.</w:t>
      </w:r>
    </w:p>
    <w:p w:rsidR="00754FA3" w:rsidRPr="00A1372C" w:rsidRDefault="00754FA3" w:rsidP="001B2040">
      <w:pPr>
        <w:pStyle w:val="FootnoteText"/>
        <w:rPr>
          <w:szCs w:val="22"/>
        </w:rPr>
      </w:pPr>
    </w:p>
  </w:footnote>
  <w:footnote w:id="217">
    <w:p w:rsidR="00754FA3" w:rsidRDefault="00754FA3">
      <w:pPr>
        <w:pStyle w:val="FootnoteText"/>
      </w:pPr>
      <w:r>
        <w:rPr>
          <w:rStyle w:val="FootnoteReference"/>
        </w:rPr>
        <w:footnoteRef/>
      </w:r>
      <w:r>
        <w:t xml:space="preserve"> For example, peaking resources may only be used for short periods of time during a given period.  We allow these in rates because the need for peaking capacity is fundamental to the efficient and reliable operation of the system. </w:t>
      </w:r>
    </w:p>
    <w:p w:rsidR="00754FA3" w:rsidRDefault="00754FA3">
      <w:pPr>
        <w:pStyle w:val="FootnoteText"/>
      </w:pPr>
    </w:p>
  </w:footnote>
  <w:footnote w:id="218">
    <w:p w:rsidR="00754FA3" w:rsidRDefault="00754FA3">
      <w:pPr>
        <w:pStyle w:val="FootnoteText"/>
        <w:rPr>
          <w:szCs w:val="22"/>
        </w:rPr>
      </w:pPr>
      <w:r>
        <w:rPr>
          <w:rStyle w:val="FootnoteReference"/>
        </w:rPr>
        <w:footnoteRef/>
      </w:r>
      <w:r>
        <w:t xml:space="preserve"> </w:t>
      </w:r>
      <w:r w:rsidRPr="009D119D">
        <w:rPr>
          <w:szCs w:val="22"/>
        </w:rPr>
        <w:t>Th</w:t>
      </w:r>
      <w:r>
        <w:rPr>
          <w:szCs w:val="22"/>
        </w:rPr>
        <w:t>e</w:t>
      </w:r>
      <w:r w:rsidRPr="009D119D">
        <w:rPr>
          <w:szCs w:val="22"/>
        </w:rPr>
        <w:t xml:space="preserve"> contract </w:t>
      </w:r>
      <w:r>
        <w:rPr>
          <w:szCs w:val="22"/>
        </w:rPr>
        <w:t>refers to</w:t>
      </w:r>
      <w:r w:rsidRPr="009D119D">
        <w:rPr>
          <w:szCs w:val="22"/>
        </w:rPr>
        <w:t xml:space="preserve"> the </w:t>
      </w:r>
      <w:r>
        <w:rPr>
          <w:szCs w:val="22"/>
        </w:rPr>
        <w:t>western control area</w:t>
      </w:r>
      <w:r w:rsidRPr="009D119D">
        <w:rPr>
          <w:szCs w:val="22"/>
        </w:rPr>
        <w:t xml:space="preserve"> as “PACW” and the </w:t>
      </w:r>
      <w:r>
        <w:rPr>
          <w:szCs w:val="22"/>
        </w:rPr>
        <w:t xml:space="preserve">eastern control area </w:t>
      </w:r>
      <w:r w:rsidRPr="009D119D">
        <w:rPr>
          <w:szCs w:val="22"/>
        </w:rPr>
        <w:t>as “PACE.”</w:t>
      </w:r>
    </w:p>
    <w:p w:rsidR="00754FA3" w:rsidRDefault="00754FA3">
      <w:pPr>
        <w:pStyle w:val="FootnoteText"/>
      </w:pPr>
    </w:p>
  </w:footnote>
  <w:footnote w:id="219">
    <w:p w:rsidR="00754FA3" w:rsidRPr="00A1372C" w:rsidRDefault="00754FA3" w:rsidP="002711B8">
      <w:pPr>
        <w:pStyle w:val="FootnoteText"/>
        <w:rPr>
          <w:szCs w:val="22"/>
        </w:rPr>
      </w:pPr>
      <w:r w:rsidRPr="00A1372C">
        <w:rPr>
          <w:rStyle w:val="FootnoteReference"/>
          <w:szCs w:val="22"/>
        </w:rPr>
        <w:footnoteRef/>
      </w:r>
      <w:r w:rsidRPr="00A1372C">
        <w:rPr>
          <w:szCs w:val="22"/>
        </w:rPr>
        <w:t xml:space="preserve"> Buckley, Exh. No. APB-1CT at 20.</w:t>
      </w:r>
    </w:p>
    <w:p w:rsidR="00754FA3" w:rsidRPr="00A1372C" w:rsidRDefault="00754FA3" w:rsidP="002711B8">
      <w:pPr>
        <w:pStyle w:val="FootnoteText"/>
        <w:rPr>
          <w:szCs w:val="22"/>
        </w:rPr>
      </w:pPr>
    </w:p>
  </w:footnote>
  <w:footnote w:id="220">
    <w:p w:rsidR="00754FA3" w:rsidRPr="00C836A6" w:rsidRDefault="00754FA3">
      <w:pPr>
        <w:pStyle w:val="FootnoteText"/>
      </w:pPr>
      <w:r>
        <w:rPr>
          <w:rStyle w:val="FootnoteReference"/>
        </w:rPr>
        <w:footnoteRef/>
      </w:r>
      <w:r>
        <w:t xml:space="preserve"> </w:t>
      </w:r>
      <w:r w:rsidRPr="007E6E37">
        <w:rPr>
          <w:i/>
        </w:rPr>
        <w:t>Id</w:t>
      </w:r>
      <w:r>
        <w:t>. at 21.</w:t>
      </w:r>
    </w:p>
    <w:p w:rsidR="00754FA3" w:rsidRPr="00C36E15" w:rsidRDefault="00754FA3">
      <w:pPr>
        <w:pStyle w:val="FootnoteText"/>
      </w:pPr>
    </w:p>
  </w:footnote>
  <w:footnote w:id="221">
    <w:p w:rsidR="00754FA3" w:rsidRPr="00A1372C" w:rsidRDefault="00754FA3" w:rsidP="002711B8">
      <w:pPr>
        <w:pStyle w:val="FootnoteText"/>
        <w:rPr>
          <w:szCs w:val="22"/>
        </w:rPr>
      </w:pPr>
      <w:r w:rsidRPr="00A1372C">
        <w:rPr>
          <w:rStyle w:val="FootnoteReference"/>
          <w:szCs w:val="22"/>
        </w:rPr>
        <w:footnoteRef/>
      </w:r>
      <w:r w:rsidRPr="00A1372C">
        <w:rPr>
          <w:szCs w:val="22"/>
        </w:rPr>
        <w:t xml:space="preserve"> Falkenberg, Exh. No. RJF-1CT at 32.  </w:t>
      </w:r>
      <w:r w:rsidRPr="00A1372C">
        <w:rPr>
          <w:i/>
          <w:szCs w:val="22"/>
        </w:rPr>
        <w:t>W</w:t>
      </w:r>
      <w:r>
        <w:rPr>
          <w:i/>
          <w:szCs w:val="22"/>
        </w:rPr>
        <w:t xml:space="preserve">ashington Utilities and Transportation Commission </w:t>
      </w:r>
      <w:r w:rsidRPr="00A1372C">
        <w:rPr>
          <w:i/>
          <w:szCs w:val="22"/>
        </w:rPr>
        <w:t>v. PacifiCorp</w:t>
      </w:r>
      <w:r w:rsidRPr="00A1372C">
        <w:rPr>
          <w:szCs w:val="22"/>
        </w:rPr>
        <w:t>, Docket Nos. UE-061546</w:t>
      </w:r>
      <w:r>
        <w:rPr>
          <w:szCs w:val="22"/>
        </w:rPr>
        <w:t>/</w:t>
      </w:r>
      <w:r w:rsidRPr="00A1372C">
        <w:rPr>
          <w:szCs w:val="22"/>
        </w:rPr>
        <w:t xml:space="preserve">UE-060817, </w:t>
      </w:r>
      <w:r>
        <w:rPr>
          <w:szCs w:val="22"/>
        </w:rPr>
        <w:t>Order 08</w:t>
      </w:r>
      <w:r w:rsidRPr="00A1372C">
        <w:rPr>
          <w:szCs w:val="22"/>
        </w:rPr>
        <w:t>, ¶</w:t>
      </w:r>
      <w:r>
        <w:rPr>
          <w:szCs w:val="22"/>
        </w:rPr>
        <w:t>¶</w:t>
      </w:r>
      <w:r w:rsidRPr="00A1372C">
        <w:rPr>
          <w:szCs w:val="22"/>
        </w:rPr>
        <w:t xml:space="preserve"> 53-54 (June 21, 2007). </w:t>
      </w:r>
    </w:p>
    <w:p w:rsidR="00754FA3" w:rsidRPr="00A1372C" w:rsidRDefault="00754FA3" w:rsidP="002711B8">
      <w:pPr>
        <w:pStyle w:val="FootnoteText"/>
        <w:rPr>
          <w:szCs w:val="22"/>
        </w:rPr>
      </w:pPr>
    </w:p>
  </w:footnote>
  <w:footnote w:id="222">
    <w:p w:rsidR="00754FA3" w:rsidRDefault="00754FA3" w:rsidP="002711B8">
      <w:pPr>
        <w:pStyle w:val="FootnoteText"/>
        <w:rPr>
          <w:szCs w:val="22"/>
        </w:rPr>
      </w:pPr>
      <w:r w:rsidRPr="00A1372C">
        <w:rPr>
          <w:rStyle w:val="FootnoteReference"/>
          <w:szCs w:val="22"/>
        </w:rPr>
        <w:footnoteRef/>
      </w:r>
      <w:r w:rsidRPr="00A1372C">
        <w:rPr>
          <w:szCs w:val="22"/>
        </w:rPr>
        <w:t xml:space="preserve"> Falkenberg, Exh. No. RJF-1CT at 32.</w:t>
      </w:r>
    </w:p>
    <w:p w:rsidR="00754FA3" w:rsidRPr="003C53CF" w:rsidRDefault="00754FA3" w:rsidP="002711B8">
      <w:pPr>
        <w:pStyle w:val="FootnoteText"/>
        <w:rPr>
          <w:szCs w:val="22"/>
        </w:rPr>
      </w:pPr>
    </w:p>
  </w:footnote>
  <w:footnote w:id="223">
    <w:p w:rsidR="00754FA3" w:rsidRPr="001F02A8" w:rsidRDefault="00754FA3">
      <w:pPr>
        <w:pStyle w:val="FootnoteText"/>
      </w:pPr>
      <w:r>
        <w:rPr>
          <w:rStyle w:val="FootnoteReference"/>
        </w:rPr>
        <w:footnoteRef/>
      </w:r>
      <w:r>
        <w:t xml:space="preserve"> </w:t>
      </w:r>
      <w:r w:rsidRPr="007E6E37">
        <w:rPr>
          <w:i/>
        </w:rPr>
        <w:t>Id</w:t>
      </w:r>
      <w:r>
        <w:t>. at 2.</w:t>
      </w:r>
    </w:p>
    <w:p w:rsidR="00754FA3" w:rsidRPr="003C53CF" w:rsidRDefault="00754FA3">
      <w:pPr>
        <w:pStyle w:val="FootnoteText"/>
      </w:pPr>
    </w:p>
  </w:footnote>
  <w:footnote w:id="224">
    <w:p w:rsidR="00754FA3" w:rsidRPr="00A1372C" w:rsidRDefault="00754FA3" w:rsidP="002711B8">
      <w:pPr>
        <w:pStyle w:val="FootnoteText"/>
        <w:rPr>
          <w:szCs w:val="22"/>
        </w:rPr>
      </w:pPr>
      <w:r w:rsidRPr="00A1372C">
        <w:rPr>
          <w:rStyle w:val="FootnoteReference"/>
          <w:szCs w:val="22"/>
        </w:rPr>
        <w:footnoteRef/>
      </w:r>
      <w:r w:rsidRPr="00A1372C">
        <w:rPr>
          <w:szCs w:val="22"/>
        </w:rPr>
        <w:t xml:space="preserve"> Duvall, Exh. No. GND-5T at 32 – 33.  </w:t>
      </w:r>
      <w:r w:rsidRPr="00A1372C">
        <w:rPr>
          <w:i/>
          <w:szCs w:val="22"/>
        </w:rPr>
        <w:t>W</w:t>
      </w:r>
      <w:r>
        <w:rPr>
          <w:i/>
          <w:szCs w:val="22"/>
        </w:rPr>
        <w:t xml:space="preserve">ashington Utilities and Transportation Commission </w:t>
      </w:r>
      <w:r w:rsidRPr="00A1372C">
        <w:rPr>
          <w:i/>
          <w:szCs w:val="22"/>
        </w:rPr>
        <w:t>v. PacifiCorp</w:t>
      </w:r>
      <w:r w:rsidRPr="00A1372C">
        <w:rPr>
          <w:szCs w:val="22"/>
        </w:rPr>
        <w:t>, Docket Nos. UE-061546</w:t>
      </w:r>
      <w:r>
        <w:rPr>
          <w:szCs w:val="22"/>
        </w:rPr>
        <w:t>/</w:t>
      </w:r>
      <w:r w:rsidRPr="00A1372C">
        <w:rPr>
          <w:szCs w:val="22"/>
        </w:rPr>
        <w:t xml:space="preserve">UE-060817, </w:t>
      </w:r>
      <w:r>
        <w:rPr>
          <w:szCs w:val="22"/>
        </w:rPr>
        <w:t>Order 08</w:t>
      </w:r>
      <w:r w:rsidRPr="00A1372C">
        <w:rPr>
          <w:szCs w:val="22"/>
        </w:rPr>
        <w:t>, ¶</w:t>
      </w:r>
      <w:r>
        <w:rPr>
          <w:szCs w:val="22"/>
        </w:rPr>
        <w:t>¶</w:t>
      </w:r>
      <w:r w:rsidRPr="00A1372C">
        <w:rPr>
          <w:szCs w:val="22"/>
        </w:rPr>
        <w:t xml:space="preserve"> 53-54 (June 21, 2007).</w:t>
      </w:r>
    </w:p>
    <w:p w:rsidR="00754FA3" w:rsidRPr="00A1372C" w:rsidRDefault="00754FA3" w:rsidP="002711B8">
      <w:pPr>
        <w:pStyle w:val="FootnoteText"/>
        <w:rPr>
          <w:szCs w:val="22"/>
        </w:rPr>
      </w:pPr>
    </w:p>
  </w:footnote>
  <w:footnote w:id="225">
    <w:p w:rsidR="00754FA3" w:rsidRPr="00A1372C" w:rsidRDefault="00754FA3" w:rsidP="002711B8">
      <w:pPr>
        <w:pStyle w:val="FootnoteText"/>
        <w:rPr>
          <w:szCs w:val="22"/>
        </w:rPr>
      </w:pPr>
      <w:r w:rsidRPr="00A1372C">
        <w:rPr>
          <w:rStyle w:val="FootnoteReference"/>
          <w:szCs w:val="22"/>
        </w:rPr>
        <w:footnoteRef/>
      </w:r>
      <w:r w:rsidRPr="00A1372C">
        <w:rPr>
          <w:szCs w:val="22"/>
        </w:rPr>
        <w:t xml:space="preserve"> </w:t>
      </w:r>
      <w:r w:rsidRPr="007E6E37">
        <w:rPr>
          <w:i/>
          <w:szCs w:val="22"/>
        </w:rPr>
        <w:t>Id.</w:t>
      </w:r>
      <w:r w:rsidRPr="00A1372C">
        <w:rPr>
          <w:szCs w:val="22"/>
        </w:rPr>
        <w:t xml:space="preserve"> at 17.</w:t>
      </w:r>
    </w:p>
    <w:p w:rsidR="00754FA3" w:rsidRPr="00A1372C" w:rsidRDefault="00754FA3" w:rsidP="002711B8">
      <w:pPr>
        <w:pStyle w:val="FootnoteText"/>
        <w:rPr>
          <w:szCs w:val="22"/>
        </w:rPr>
      </w:pPr>
    </w:p>
  </w:footnote>
  <w:footnote w:id="226">
    <w:p w:rsidR="00754FA3" w:rsidRPr="00A1372C" w:rsidRDefault="00754FA3" w:rsidP="002711B8">
      <w:pPr>
        <w:pStyle w:val="FootnoteText"/>
        <w:rPr>
          <w:szCs w:val="22"/>
        </w:rPr>
      </w:pPr>
      <w:r w:rsidRPr="00A1372C">
        <w:rPr>
          <w:rStyle w:val="FootnoteReference"/>
          <w:szCs w:val="22"/>
        </w:rPr>
        <w:footnoteRef/>
      </w:r>
      <w:r w:rsidRPr="00A1372C">
        <w:rPr>
          <w:szCs w:val="22"/>
        </w:rPr>
        <w:t xml:space="preserve"> Dalley Exh. No. RBD-6 at 12.6.6.</w:t>
      </w:r>
    </w:p>
    <w:p w:rsidR="00754FA3" w:rsidRPr="00A1372C" w:rsidRDefault="00754FA3" w:rsidP="002711B8">
      <w:pPr>
        <w:pStyle w:val="FootnoteText"/>
        <w:rPr>
          <w:szCs w:val="22"/>
        </w:rPr>
      </w:pPr>
    </w:p>
  </w:footnote>
  <w:footnote w:id="227">
    <w:p w:rsidR="00754FA3" w:rsidRDefault="00754FA3">
      <w:pPr>
        <w:pStyle w:val="FootnoteText"/>
      </w:pPr>
      <w:r>
        <w:rPr>
          <w:rStyle w:val="FootnoteReference"/>
        </w:rPr>
        <w:footnoteRef/>
      </w:r>
      <w:r>
        <w:t xml:space="preserve"> PacifiCorp’s Initial Post-Hearing Brief ¶ 77.</w:t>
      </w:r>
    </w:p>
    <w:p w:rsidR="00754FA3" w:rsidRDefault="00754FA3">
      <w:pPr>
        <w:pStyle w:val="FootnoteText"/>
      </w:pPr>
    </w:p>
  </w:footnote>
  <w:footnote w:id="228">
    <w:p w:rsidR="00754FA3" w:rsidRDefault="00754FA3">
      <w:pPr>
        <w:pStyle w:val="FootnoteText"/>
      </w:pPr>
      <w:r>
        <w:rPr>
          <w:rStyle w:val="FootnoteReference"/>
        </w:rPr>
        <w:footnoteRef/>
      </w:r>
      <w:r>
        <w:t xml:space="preserve"> Falkenberg, TR 655.</w:t>
      </w:r>
    </w:p>
    <w:p w:rsidR="00754FA3" w:rsidRDefault="00754FA3">
      <w:pPr>
        <w:pStyle w:val="FootnoteText"/>
      </w:pPr>
    </w:p>
  </w:footnote>
  <w:footnote w:id="229">
    <w:p w:rsidR="00754FA3" w:rsidRPr="00A1372C" w:rsidRDefault="00754FA3" w:rsidP="002711B8">
      <w:pPr>
        <w:pStyle w:val="FootnoteText"/>
        <w:rPr>
          <w:szCs w:val="22"/>
        </w:rPr>
      </w:pPr>
      <w:r w:rsidRPr="00A1372C">
        <w:rPr>
          <w:rStyle w:val="FootnoteReference"/>
          <w:szCs w:val="22"/>
        </w:rPr>
        <w:footnoteRef/>
      </w:r>
      <w:r w:rsidRPr="00A1372C">
        <w:rPr>
          <w:szCs w:val="22"/>
        </w:rPr>
        <w:t xml:space="preserve"> Duvall, Exh. No. GND-5T at 26</w:t>
      </w:r>
      <w:r>
        <w:rPr>
          <w:szCs w:val="22"/>
        </w:rPr>
        <w:t xml:space="preserve">, </w:t>
      </w:r>
      <w:r w:rsidRPr="00A1372C">
        <w:rPr>
          <w:szCs w:val="22"/>
        </w:rPr>
        <w:t>Dalley Exh. No. RBD-6</w:t>
      </w:r>
      <w:r>
        <w:rPr>
          <w:szCs w:val="22"/>
        </w:rPr>
        <w:t xml:space="preserve"> </w:t>
      </w:r>
      <w:r w:rsidRPr="00A1372C">
        <w:rPr>
          <w:szCs w:val="22"/>
        </w:rPr>
        <w:t>at 12.6.6.</w:t>
      </w:r>
    </w:p>
    <w:p w:rsidR="00754FA3" w:rsidRPr="00A1372C" w:rsidRDefault="00754FA3" w:rsidP="002711B8">
      <w:pPr>
        <w:pStyle w:val="FootnoteText"/>
        <w:rPr>
          <w:szCs w:val="22"/>
        </w:rPr>
      </w:pPr>
    </w:p>
  </w:footnote>
  <w:footnote w:id="230">
    <w:p w:rsidR="00754FA3" w:rsidRDefault="00754FA3">
      <w:pPr>
        <w:pStyle w:val="FootnoteText"/>
      </w:pPr>
      <w:r>
        <w:rPr>
          <w:rStyle w:val="FootnoteReference"/>
        </w:rPr>
        <w:footnoteRef/>
      </w:r>
      <w:r>
        <w:t xml:space="preserve"> Exhibit 15C, Response to Bench Request No. 3.</w:t>
      </w:r>
    </w:p>
    <w:p w:rsidR="00754FA3" w:rsidRPr="00BA102A" w:rsidRDefault="00754FA3">
      <w:pPr>
        <w:pStyle w:val="FootnoteText"/>
      </w:pPr>
    </w:p>
  </w:footnote>
  <w:footnote w:id="231">
    <w:p w:rsidR="00754FA3" w:rsidRDefault="00754FA3">
      <w:pPr>
        <w:pStyle w:val="FootnoteText"/>
        <w:rPr>
          <w:szCs w:val="22"/>
        </w:rPr>
      </w:pPr>
      <w:r>
        <w:rPr>
          <w:rStyle w:val="FootnoteReference"/>
        </w:rPr>
        <w:footnoteRef/>
      </w:r>
      <w:r>
        <w:t xml:space="preserve"> </w:t>
      </w:r>
      <w:r w:rsidRPr="00A1372C">
        <w:rPr>
          <w:szCs w:val="22"/>
        </w:rPr>
        <w:t xml:space="preserve">Falkenberg, Exh. No. RJF-1CT at </w:t>
      </w:r>
      <w:r>
        <w:rPr>
          <w:szCs w:val="22"/>
        </w:rPr>
        <w:t xml:space="preserve">10 - </w:t>
      </w:r>
      <w:r w:rsidRPr="00A1372C">
        <w:rPr>
          <w:szCs w:val="22"/>
        </w:rPr>
        <w:t>1</w:t>
      </w:r>
      <w:r>
        <w:rPr>
          <w:szCs w:val="22"/>
        </w:rPr>
        <w:t>1.</w:t>
      </w:r>
    </w:p>
    <w:p w:rsidR="00754FA3" w:rsidRDefault="00754FA3">
      <w:pPr>
        <w:pStyle w:val="FootnoteText"/>
      </w:pPr>
    </w:p>
  </w:footnote>
  <w:footnote w:id="232">
    <w:p w:rsidR="00754FA3" w:rsidRDefault="00754FA3">
      <w:pPr>
        <w:pStyle w:val="FootnoteText"/>
        <w:rPr>
          <w:szCs w:val="22"/>
        </w:rPr>
      </w:pPr>
      <w:r w:rsidRPr="00A1372C">
        <w:rPr>
          <w:rStyle w:val="FootnoteReference"/>
          <w:szCs w:val="22"/>
        </w:rPr>
        <w:footnoteRef/>
      </w:r>
      <w:r w:rsidRPr="00A1372C">
        <w:rPr>
          <w:szCs w:val="22"/>
        </w:rPr>
        <w:t xml:space="preserve"> </w:t>
      </w:r>
      <w:r w:rsidRPr="00B1230A">
        <w:rPr>
          <w:i/>
          <w:szCs w:val="22"/>
        </w:rPr>
        <w:t>Id</w:t>
      </w:r>
      <w:r>
        <w:rPr>
          <w:szCs w:val="22"/>
        </w:rPr>
        <w:t>.</w:t>
      </w:r>
      <w:r w:rsidRPr="00A1372C">
        <w:rPr>
          <w:szCs w:val="22"/>
        </w:rPr>
        <w:t xml:space="preserve"> at 14.</w:t>
      </w:r>
    </w:p>
    <w:p w:rsidR="00754FA3" w:rsidRPr="003C53CF" w:rsidRDefault="00754FA3">
      <w:pPr>
        <w:pStyle w:val="FootnoteText"/>
        <w:rPr>
          <w:szCs w:val="22"/>
        </w:rPr>
      </w:pPr>
    </w:p>
  </w:footnote>
  <w:footnote w:id="233">
    <w:p w:rsidR="00754FA3" w:rsidRPr="001F02A8" w:rsidRDefault="00754FA3">
      <w:pPr>
        <w:pStyle w:val="FootnoteText"/>
      </w:pPr>
      <w:r>
        <w:rPr>
          <w:rStyle w:val="FootnoteReference"/>
        </w:rPr>
        <w:footnoteRef/>
      </w:r>
      <w:r>
        <w:t xml:space="preserve"> </w:t>
      </w:r>
      <w:r w:rsidRPr="00B1230A">
        <w:rPr>
          <w:i/>
        </w:rPr>
        <w:t>Id</w:t>
      </w:r>
      <w:r>
        <w:t>. at 2.</w:t>
      </w:r>
    </w:p>
    <w:p w:rsidR="00754FA3" w:rsidRPr="003C53CF" w:rsidRDefault="00754FA3">
      <w:pPr>
        <w:pStyle w:val="FootnoteText"/>
      </w:pPr>
    </w:p>
  </w:footnote>
  <w:footnote w:id="234">
    <w:p w:rsidR="00754FA3" w:rsidRPr="00A1372C" w:rsidRDefault="00754FA3" w:rsidP="002711B8">
      <w:pPr>
        <w:pStyle w:val="FootnoteText"/>
        <w:rPr>
          <w:szCs w:val="22"/>
        </w:rPr>
      </w:pPr>
      <w:r w:rsidRPr="00A1372C">
        <w:rPr>
          <w:rStyle w:val="FootnoteReference"/>
          <w:szCs w:val="22"/>
        </w:rPr>
        <w:footnoteRef/>
      </w:r>
      <w:r w:rsidRPr="00A1372C">
        <w:rPr>
          <w:szCs w:val="22"/>
        </w:rPr>
        <w:t xml:space="preserve"> Duvall, Exh. No. GND-5T at 2</w:t>
      </w:r>
      <w:r>
        <w:rPr>
          <w:szCs w:val="22"/>
        </w:rPr>
        <w:t>2, 55 - 56</w:t>
      </w:r>
      <w:r w:rsidRPr="00A1372C">
        <w:rPr>
          <w:szCs w:val="22"/>
        </w:rPr>
        <w:t>.</w:t>
      </w:r>
    </w:p>
    <w:p w:rsidR="00754FA3" w:rsidRPr="00A1372C" w:rsidRDefault="00754FA3" w:rsidP="002711B8">
      <w:pPr>
        <w:pStyle w:val="FootnoteText"/>
        <w:rPr>
          <w:szCs w:val="22"/>
        </w:rPr>
      </w:pPr>
    </w:p>
  </w:footnote>
  <w:footnote w:id="235">
    <w:p w:rsidR="00754FA3" w:rsidRDefault="00754FA3">
      <w:pPr>
        <w:pStyle w:val="FootnoteText"/>
        <w:rPr>
          <w:szCs w:val="22"/>
        </w:rPr>
      </w:pPr>
      <w:r>
        <w:rPr>
          <w:rStyle w:val="FootnoteReference"/>
        </w:rPr>
        <w:footnoteRef/>
      </w:r>
      <w:r>
        <w:t xml:space="preserve"> </w:t>
      </w:r>
      <w:r w:rsidRPr="00B1230A">
        <w:rPr>
          <w:i/>
        </w:rPr>
        <w:t>Id.</w:t>
      </w:r>
      <w:r>
        <w:rPr>
          <w:szCs w:val="22"/>
        </w:rPr>
        <w:t xml:space="preserve"> at 56</w:t>
      </w:r>
      <w:r w:rsidRPr="00A1372C">
        <w:rPr>
          <w:szCs w:val="22"/>
        </w:rPr>
        <w:t>.</w:t>
      </w:r>
    </w:p>
    <w:p w:rsidR="00754FA3" w:rsidRDefault="00754FA3">
      <w:pPr>
        <w:pStyle w:val="FootnoteText"/>
      </w:pPr>
    </w:p>
  </w:footnote>
  <w:footnote w:id="236">
    <w:p w:rsidR="00754FA3" w:rsidRPr="00A1372C" w:rsidRDefault="00754FA3" w:rsidP="002711B8">
      <w:pPr>
        <w:pStyle w:val="FootnoteText"/>
        <w:rPr>
          <w:szCs w:val="22"/>
        </w:rPr>
      </w:pPr>
      <w:r w:rsidRPr="00A1372C">
        <w:rPr>
          <w:rStyle w:val="FootnoteReference"/>
          <w:szCs w:val="22"/>
        </w:rPr>
        <w:footnoteRef/>
      </w:r>
      <w:r w:rsidRPr="00A1372C">
        <w:rPr>
          <w:szCs w:val="22"/>
        </w:rPr>
        <w:t xml:space="preserve"> Dalley, Exh. No. RBD-6 at 12.6.6.</w:t>
      </w:r>
    </w:p>
    <w:p w:rsidR="00754FA3" w:rsidRPr="00A1372C" w:rsidRDefault="00754FA3" w:rsidP="002711B8">
      <w:pPr>
        <w:pStyle w:val="FootnoteText"/>
        <w:rPr>
          <w:szCs w:val="22"/>
        </w:rPr>
      </w:pPr>
    </w:p>
  </w:footnote>
  <w:footnote w:id="237">
    <w:p w:rsidR="00754FA3" w:rsidRPr="00A1372C" w:rsidRDefault="00754FA3">
      <w:pPr>
        <w:pStyle w:val="FootnoteText"/>
        <w:rPr>
          <w:szCs w:val="22"/>
        </w:rPr>
      </w:pPr>
      <w:r w:rsidRPr="00A1372C">
        <w:rPr>
          <w:rStyle w:val="FootnoteReference"/>
          <w:szCs w:val="22"/>
        </w:rPr>
        <w:footnoteRef/>
      </w:r>
      <w:r w:rsidRPr="00A1372C">
        <w:rPr>
          <w:szCs w:val="22"/>
        </w:rPr>
        <w:t xml:space="preserve"> Falkenberg, Exh. No. RJF-1CT at 1</w:t>
      </w:r>
      <w:r>
        <w:rPr>
          <w:szCs w:val="22"/>
        </w:rPr>
        <w:t>8 - 19</w:t>
      </w:r>
      <w:r w:rsidRPr="00A1372C">
        <w:rPr>
          <w:szCs w:val="22"/>
        </w:rPr>
        <w:t>.</w:t>
      </w:r>
    </w:p>
    <w:p w:rsidR="00754FA3" w:rsidRPr="00A1372C" w:rsidRDefault="00754FA3">
      <w:pPr>
        <w:pStyle w:val="FootnoteText"/>
        <w:rPr>
          <w:szCs w:val="22"/>
        </w:rPr>
      </w:pPr>
    </w:p>
  </w:footnote>
  <w:footnote w:id="238">
    <w:p w:rsidR="00754FA3" w:rsidRDefault="00754FA3" w:rsidP="009706CF">
      <w:pPr>
        <w:pStyle w:val="FootnoteText"/>
        <w:rPr>
          <w:szCs w:val="22"/>
        </w:rPr>
      </w:pPr>
      <w:r w:rsidRPr="00A1372C">
        <w:rPr>
          <w:rStyle w:val="FootnoteReference"/>
          <w:szCs w:val="22"/>
        </w:rPr>
        <w:footnoteRef/>
      </w:r>
      <w:r w:rsidRPr="00A1372C">
        <w:rPr>
          <w:szCs w:val="22"/>
        </w:rPr>
        <w:t xml:space="preserve"> </w:t>
      </w:r>
      <w:r w:rsidRPr="00B1230A">
        <w:rPr>
          <w:i/>
          <w:szCs w:val="22"/>
        </w:rPr>
        <w:t>Id</w:t>
      </w:r>
      <w:r>
        <w:rPr>
          <w:szCs w:val="22"/>
        </w:rPr>
        <w:t>.</w:t>
      </w:r>
      <w:r w:rsidRPr="00A1372C">
        <w:rPr>
          <w:szCs w:val="22"/>
        </w:rPr>
        <w:t xml:space="preserve"> at 16.</w:t>
      </w:r>
    </w:p>
    <w:p w:rsidR="00754FA3" w:rsidRPr="003C53CF" w:rsidRDefault="00754FA3" w:rsidP="009706CF">
      <w:pPr>
        <w:pStyle w:val="FootnoteText"/>
        <w:rPr>
          <w:szCs w:val="22"/>
        </w:rPr>
      </w:pPr>
    </w:p>
  </w:footnote>
  <w:footnote w:id="239">
    <w:p w:rsidR="00754FA3" w:rsidRPr="00B368A8" w:rsidRDefault="00754FA3">
      <w:pPr>
        <w:pStyle w:val="FootnoteText"/>
      </w:pPr>
      <w:r>
        <w:rPr>
          <w:rStyle w:val="FootnoteReference"/>
        </w:rPr>
        <w:footnoteRef/>
      </w:r>
      <w:r>
        <w:t xml:space="preserve"> </w:t>
      </w:r>
      <w:r w:rsidRPr="00B1230A">
        <w:rPr>
          <w:i/>
        </w:rPr>
        <w:t>Id</w:t>
      </w:r>
      <w:r>
        <w:t>. at 2.</w:t>
      </w:r>
    </w:p>
    <w:p w:rsidR="00754FA3" w:rsidRPr="003C53CF" w:rsidRDefault="00754FA3">
      <w:pPr>
        <w:pStyle w:val="FootnoteText"/>
      </w:pPr>
    </w:p>
  </w:footnote>
  <w:footnote w:id="240">
    <w:p w:rsidR="00754FA3" w:rsidRPr="00A1372C" w:rsidRDefault="00754FA3" w:rsidP="009706CF">
      <w:pPr>
        <w:pStyle w:val="FootnoteText"/>
        <w:rPr>
          <w:szCs w:val="22"/>
        </w:rPr>
      </w:pPr>
      <w:r w:rsidRPr="00A1372C">
        <w:rPr>
          <w:rStyle w:val="FootnoteReference"/>
          <w:szCs w:val="22"/>
        </w:rPr>
        <w:footnoteRef/>
      </w:r>
      <w:r w:rsidRPr="00A1372C">
        <w:rPr>
          <w:szCs w:val="22"/>
        </w:rPr>
        <w:t xml:space="preserve"> </w:t>
      </w:r>
      <w:r>
        <w:rPr>
          <w:szCs w:val="22"/>
        </w:rPr>
        <w:t>Id. a</w:t>
      </w:r>
      <w:r w:rsidRPr="00A1372C">
        <w:rPr>
          <w:szCs w:val="22"/>
        </w:rPr>
        <w:t xml:space="preserve">t 16; </w:t>
      </w:r>
      <w:r w:rsidRPr="00A1372C">
        <w:rPr>
          <w:i/>
          <w:szCs w:val="22"/>
        </w:rPr>
        <w:t>W</w:t>
      </w:r>
      <w:r>
        <w:rPr>
          <w:i/>
          <w:szCs w:val="22"/>
        </w:rPr>
        <w:t>ashington Utilities and Transportation Commission v.</w:t>
      </w:r>
      <w:r w:rsidRPr="00A1372C">
        <w:rPr>
          <w:i/>
          <w:szCs w:val="22"/>
        </w:rPr>
        <w:t xml:space="preserve"> PacifiCorp</w:t>
      </w:r>
      <w:r w:rsidRPr="00A1372C">
        <w:rPr>
          <w:szCs w:val="22"/>
        </w:rPr>
        <w:t>, Docket No</w:t>
      </w:r>
      <w:r>
        <w:rPr>
          <w:szCs w:val="22"/>
        </w:rPr>
        <w:t>s</w:t>
      </w:r>
      <w:r w:rsidRPr="00A1372C">
        <w:rPr>
          <w:szCs w:val="22"/>
        </w:rPr>
        <w:t>. UE-061546</w:t>
      </w:r>
      <w:r>
        <w:rPr>
          <w:szCs w:val="22"/>
        </w:rPr>
        <w:t>/</w:t>
      </w:r>
      <w:r w:rsidRPr="00A1372C">
        <w:rPr>
          <w:szCs w:val="22"/>
        </w:rPr>
        <w:t xml:space="preserve"> UE-060817, Order No. 08. ¶ 47 (June 21, 2007).</w:t>
      </w:r>
    </w:p>
    <w:p w:rsidR="00754FA3" w:rsidRPr="00A1372C" w:rsidRDefault="00754FA3" w:rsidP="009706CF">
      <w:pPr>
        <w:pStyle w:val="FootnoteText"/>
        <w:rPr>
          <w:szCs w:val="22"/>
        </w:rPr>
      </w:pPr>
    </w:p>
  </w:footnote>
  <w:footnote w:id="241">
    <w:p w:rsidR="00754FA3" w:rsidRPr="00A1372C" w:rsidRDefault="00754FA3" w:rsidP="009706CF">
      <w:pPr>
        <w:pStyle w:val="FootnoteText"/>
        <w:rPr>
          <w:szCs w:val="22"/>
        </w:rPr>
      </w:pPr>
      <w:r w:rsidRPr="00A1372C">
        <w:rPr>
          <w:rStyle w:val="FootnoteReference"/>
          <w:szCs w:val="22"/>
        </w:rPr>
        <w:footnoteRef/>
      </w:r>
      <w:r w:rsidRPr="00A1372C">
        <w:rPr>
          <w:szCs w:val="22"/>
        </w:rPr>
        <w:t xml:space="preserve"> Duvall, Exh. No. GND-5T at 32– 33.</w:t>
      </w:r>
    </w:p>
    <w:p w:rsidR="00754FA3" w:rsidRPr="00A1372C" w:rsidRDefault="00754FA3" w:rsidP="009706CF">
      <w:pPr>
        <w:pStyle w:val="FootnoteText"/>
        <w:rPr>
          <w:szCs w:val="22"/>
        </w:rPr>
      </w:pPr>
    </w:p>
  </w:footnote>
  <w:footnote w:id="242">
    <w:p w:rsidR="00754FA3" w:rsidRPr="00A1372C" w:rsidRDefault="00754FA3" w:rsidP="009706CF">
      <w:pPr>
        <w:pStyle w:val="FootnoteText"/>
        <w:rPr>
          <w:szCs w:val="22"/>
        </w:rPr>
      </w:pPr>
      <w:r w:rsidRPr="00A1372C">
        <w:rPr>
          <w:rStyle w:val="FootnoteReference"/>
          <w:szCs w:val="22"/>
        </w:rPr>
        <w:footnoteRef/>
      </w:r>
      <w:r w:rsidRPr="00A1372C">
        <w:rPr>
          <w:szCs w:val="22"/>
        </w:rPr>
        <w:t xml:space="preserve"> </w:t>
      </w:r>
      <w:r w:rsidRPr="00B1230A">
        <w:rPr>
          <w:i/>
          <w:szCs w:val="22"/>
        </w:rPr>
        <w:t>Id</w:t>
      </w:r>
      <w:r>
        <w:rPr>
          <w:szCs w:val="22"/>
        </w:rPr>
        <w:t>.</w:t>
      </w:r>
      <w:r w:rsidRPr="00A1372C">
        <w:rPr>
          <w:szCs w:val="22"/>
        </w:rPr>
        <w:t xml:space="preserve"> at 35.</w:t>
      </w:r>
    </w:p>
    <w:p w:rsidR="00754FA3" w:rsidRPr="00A1372C" w:rsidRDefault="00754FA3" w:rsidP="009706CF">
      <w:pPr>
        <w:pStyle w:val="FootnoteText"/>
        <w:rPr>
          <w:szCs w:val="22"/>
        </w:rPr>
      </w:pPr>
    </w:p>
  </w:footnote>
  <w:footnote w:id="243">
    <w:p w:rsidR="00754FA3" w:rsidRPr="00A1372C" w:rsidRDefault="00754FA3" w:rsidP="009706CF">
      <w:pPr>
        <w:pStyle w:val="FootnoteText"/>
        <w:rPr>
          <w:szCs w:val="22"/>
        </w:rPr>
      </w:pPr>
      <w:r w:rsidRPr="00A1372C">
        <w:rPr>
          <w:rStyle w:val="FootnoteReference"/>
          <w:szCs w:val="22"/>
        </w:rPr>
        <w:footnoteRef/>
      </w:r>
      <w:r w:rsidRPr="00A1372C">
        <w:rPr>
          <w:szCs w:val="22"/>
        </w:rPr>
        <w:t xml:space="preserve"> </w:t>
      </w:r>
      <w:r w:rsidRPr="00B1230A">
        <w:rPr>
          <w:i/>
          <w:szCs w:val="22"/>
        </w:rPr>
        <w:t>Id.</w:t>
      </w:r>
    </w:p>
    <w:p w:rsidR="00754FA3" w:rsidRPr="00A1372C" w:rsidRDefault="00754FA3" w:rsidP="009706CF">
      <w:pPr>
        <w:pStyle w:val="FootnoteText"/>
        <w:rPr>
          <w:szCs w:val="22"/>
        </w:rPr>
      </w:pPr>
    </w:p>
  </w:footnote>
  <w:footnote w:id="244">
    <w:p w:rsidR="00754FA3" w:rsidRPr="00A1372C" w:rsidRDefault="00754FA3" w:rsidP="009706CF">
      <w:pPr>
        <w:pStyle w:val="FootnoteText"/>
        <w:rPr>
          <w:szCs w:val="22"/>
        </w:rPr>
      </w:pPr>
      <w:r w:rsidRPr="00A1372C">
        <w:rPr>
          <w:rStyle w:val="FootnoteReference"/>
          <w:szCs w:val="22"/>
        </w:rPr>
        <w:footnoteRef/>
      </w:r>
      <w:r w:rsidRPr="00A1372C">
        <w:rPr>
          <w:szCs w:val="22"/>
        </w:rPr>
        <w:t xml:space="preserve"> </w:t>
      </w:r>
      <w:r w:rsidRPr="00B1230A">
        <w:rPr>
          <w:i/>
          <w:szCs w:val="22"/>
        </w:rPr>
        <w:t>Id.</w:t>
      </w:r>
    </w:p>
    <w:p w:rsidR="00754FA3" w:rsidRPr="00A1372C" w:rsidRDefault="00754FA3" w:rsidP="009706CF">
      <w:pPr>
        <w:pStyle w:val="FootnoteText"/>
        <w:rPr>
          <w:szCs w:val="22"/>
        </w:rPr>
      </w:pPr>
    </w:p>
  </w:footnote>
  <w:footnote w:id="245">
    <w:p w:rsidR="00754FA3" w:rsidRDefault="00754FA3">
      <w:pPr>
        <w:pStyle w:val="FootnoteText"/>
      </w:pPr>
      <w:r>
        <w:rPr>
          <w:rStyle w:val="FootnoteReference"/>
        </w:rPr>
        <w:footnoteRef/>
      </w:r>
      <w:r>
        <w:t xml:space="preserve"> Falkenberg, Exh. No. RJF-1CT at 31.</w:t>
      </w:r>
    </w:p>
    <w:p w:rsidR="00754FA3" w:rsidRDefault="00754FA3">
      <w:pPr>
        <w:pStyle w:val="FootnoteText"/>
      </w:pPr>
    </w:p>
  </w:footnote>
  <w:footnote w:id="246">
    <w:p w:rsidR="00754FA3" w:rsidRDefault="00754FA3">
      <w:pPr>
        <w:pStyle w:val="FootnoteText"/>
      </w:pPr>
      <w:r>
        <w:rPr>
          <w:rStyle w:val="FootnoteReference"/>
        </w:rPr>
        <w:footnoteRef/>
      </w:r>
      <w:r>
        <w:t xml:space="preserve"> </w:t>
      </w:r>
      <w:r w:rsidRPr="00B1230A">
        <w:rPr>
          <w:i/>
        </w:rPr>
        <w:t>Id</w:t>
      </w:r>
      <w:r>
        <w:t>.</w:t>
      </w:r>
    </w:p>
    <w:p w:rsidR="00754FA3" w:rsidRDefault="00754FA3">
      <w:pPr>
        <w:pStyle w:val="FootnoteText"/>
      </w:pPr>
    </w:p>
  </w:footnote>
  <w:footnote w:id="247">
    <w:p w:rsidR="00754FA3" w:rsidRDefault="00754FA3" w:rsidP="00B452B3">
      <w:pPr>
        <w:pStyle w:val="FootnoteText"/>
        <w:rPr>
          <w:szCs w:val="22"/>
        </w:rPr>
      </w:pPr>
      <w:r w:rsidRPr="00A1372C">
        <w:rPr>
          <w:rStyle w:val="FootnoteReference"/>
          <w:szCs w:val="22"/>
        </w:rPr>
        <w:footnoteRef/>
      </w:r>
      <w:r w:rsidRPr="00A1372C">
        <w:rPr>
          <w:szCs w:val="22"/>
        </w:rPr>
        <w:t xml:space="preserve"> Falkenberg, Exh. No. RJF-1CT at 34.</w:t>
      </w:r>
    </w:p>
    <w:p w:rsidR="00754FA3" w:rsidRPr="00785C8E" w:rsidRDefault="00754FA3" w:rsidP="00B452B3">
      <w:pPr>
        <w:pStyle w:val="FootnoteText"/>
        <w:rPr>
          <w:szCs w:val="22"/>
        </w:rPr>
      </w:pPr>
    </w:p>
  </w:footnote>
  <w:footnote w:id="248">
    <w:p w:rsidR="00754FA3" w:rsidRPr="000A0CC5" w:rsidRDefault="00754FA3" w:rsidP="00B452B3">
      <w:pPr>
        <w:pStyle w:val="FootnoteText"/>
      </w:pPr>
      <w:r>
        <w:rPr>
          <w:rStyle w:val="FootnoteReference"/>
        </w:rPr>
        <w:footnoteRef/>
      </w:r>
      <w:r>
        <w:t xml:space="preserve"> </w:t>
      </w:r>
      <w:r w:rsidRPr="00B1230A">
        <w:rPr>
          <w:i/>
        </w:rPr>
        <w:t>Id</w:t>
      </w:r>
      <w:r>
        <w:t>. at 2.</w:t>
      </w:r>
    </w:p>
    <w:p w:rsidR="00754FA3" w:rsidRPr="00785C8E" w:rsidRDefault="00754FA3" w:rsidP="00B452B3">
      <w:pPr>
        <w:pStyle w:val="FootnoteText"/>
      </w:pPr>
    </w:p>
  </w:footnote>
  <w:footnote w:id="249">
    <w:p w:rsidR="00754FA3" w:rsidRPr="00A1372C" w:rsidRDefault="00754FA3" w:rsidP="00B452B3">
      <w:pPr>
        <w:pStyle w:val="FootnoteText"/>
        <w:rPr>
          <w:szCs w:val="22"/>
        </w:rPr>
      </w:pPr>
      <w:r w:rsidRPr="00A1372C">
        <w:rPr>
          <w:rStyle w:val="FootnoteReference"/>
          <w:szCs w:val="22"/>
        </w:rPr>
        <w:footnoteRef/>
      </w:r>
      <w:r w:rsidRPr="00A1372C">
        <w:rPr>
          <w:szCs w:val="22"/>
        </w:rPr>
        <w:t xml:space="preserve"> Duvall, Exh. No. GND-5T at </w:t>
      </w:r>
      <w:r>
        <w:rPr>
          <w:szCs w:val="22"/>
        </w:rPr>
        <w:t>16 - 27</w:t>
      </w:r>
      <w:r w:rsidRPr="00A1372C">
        <w:rPr>
          <w:szCs w:val="22"/>
        </w:rPr>
        <w:t xml:space="preserve">. </w:t>
      </w:r>
    </w:p>
    <w:p w:rsidR="00754FA3" w:rsidRPr="00A1372C" w:rsidRDefault="00754FA3" w:rsidP="00B452B3">
      <w:pPr>
        <w:pStyle w:val="FootnoteText"/>
        <w:rPr>
          <w:szCs w:val="22"/>
        </w:rPr>
      </w:pPr>
    </w:p>
  </w:footnote>
  <w:footnote w:id="250">
    <w:p w:rsidR="00754FA3" w:rsidRPr="00A1372C" w:rsidRDefault="00754FA3" w:rsidP="00B452B3">
      <w:pPr>
        <w:pStyle w:val="FootnoteText"/>
        <w:rPr>
          <w:szCs w:val="22"/>
        </w:rPr>
      </w:pPr>
      <w:r w:rsidRPr="00A1372C">
        <w:rPr>
          <w:rStyle w:val="FootnoteReference"/>
          <w:szCs w:val="22"/>
        </w:rPr>
        <w:footnoteRef/>
      </w:r>
      <w:r w:rsidRPr="00A1372C">
        <w:rPr>
          <w:szCs w:val="22"/>
        </w:rPr>
        <w:t xml:space="preserve"> Dalley Exh. No. RBD-6 at 12.6.</w:t>
      </w:r>
      <w:r>
        <w:rPr>
          <w:szCs w:val="22"/>
        </w:rPr>
        <w:t>4</w:t>
      </w:r>
      <w:r w:rsidRPr="00A1372C">
        <w:rPr>
          <w:szCs w:val="22"/>
        </w:rPr>
        <w:t>.</w:t>
      </w:r>
    </w:p>
    <w:p w:rsidR="00754FA3" w:rsidRPr="00B81C47" w:rsidRDefault="00754FA3" w:rsidP="00B452B3">
      <w:pPr>
        <w:pStyle w:val="FootnoteText"/>
        <w:rPr>
          <w:szCs w:val="22"/>
        </w:rPr>
      </w:pPr>
    </w:p>
  </w:footnote>
  <w:footnote w:id="251">
    <w:p w:rsidR="00754FA3" w:rsidRDefault="00754FA3">
      <w:pPr>
        <w:pStyle w:val="FootnoteText"/>
      </w:pPr>
      <w:r w:rsidRPr="00B1230A">
        <w:rPr>
          <w:rStyle w:val="FootnoteReference"/>
        </w:rPr>
        <w:footnoteRef/>
      </w:r>
      <w:r w:rsidRPr="00B1230A">
        <w:t xml:space="preserve"> Duvall, Exh. No. GND-5T at 29.</w:t>
      </w:r>
    </w:p>
    <w:p w:rsidR="00754FA3" w:rsidRDefault="00754FA3">
      <w:pPr>
        <w:pStyle w:val="FootnoteText"/>
      </w:pPr>
    </w:p>
  </w:footnote>
  <w:footnote w:id="252">
    <w:p w:rsidR="00754FA3" w:rsidRPr="00A1372C" w:rsidRDefault="00754FA3">
      <w:pPr>
        <w:pStyle w:val="FootnoteText"/>
        <w:rPr>
          <w:szCs w:val="22"/>
        </w:rPr>
      </w:pPr>
      <w:r w:rsidRPr="00A1372C">
        <w:rPr>
          <w:rStyle w:val="FootnoteReference"/>
          <w:szCs w:val="22"/>
        </w:rPr>
        <w:footnoteRef/>
      </w:r>
      <w:r w:rsidRPr="00A1372C">
        <w:rPr>
          <w:szCs w:val="22"/>
        </w:rPr>
        <w:t xml:space="preserve"> Falkenberg, Exh. No. RJF-1CT at 47</w:t>
      </w:r>
      <w:r>
        <w:rPr>
          <w:szCs w:val="22"/>
        </w:rPr>
        <w:t xml:space="preserve"> - 48</w:t>
      </w:r>
      <w:r w:rsidRPr="00A1372C">
        <w:rPr>
          <w:szCs w:val="22"/>
        </w:rPr>
        <w:t>.</w:t>
      </w:r>
    </w:p>
    <w:p w:rsidR="00754FA3" w:rsidRPr="00A1372C" w:rsidRDefault="00754FA3">
      <w:pPr>
        <w:pStyle w:val="FootnoteText"/>
        <w:rPr>
          <w:szCs w:val="22"/>
        </w:rPr>
      </w:pPr>
    </w:p>
  </w:footnote>
  <w:footnote w:id="253">
    <w:p w:rsidR="00754FA3" w:rsidRPr="00A1372C" w:rsidRDefault="00754FA3" w:rsidP="00EF5A55">
      <w:pPr>
        <w:pStyle w:val="FootnoteText"/>
        <w:rPr>
          <w:szCs w:val="22"/>
        </w:rPr>
      </w:pPr>
      <w:r w:rsidRPr="00A1372C">
        <w:rPr>
          <w:rStyle w:val="FootnoteReference"/>
          <w:szCs w:val="22"/>
        </w:rPr>
        <w:footnoteRef/>
      </w:r>
      <w:r w:rsidRPr="00A1372C">
        <w:rPr>
          <w:szCs w:val="22"/>
        </w:rPr>
        <w:t xml:space="preserve"> </w:t>
      </w:r>
      <w:r w:rsidRPr="00B1230A">
        <w:rPr>
          <w:i/>
          <w:szCs w:val="22"/>
        </w:rPr>
        <w:t>Id</w:t>
      </w:r>
      <w:r>
        <w:rPr>
          <w:szCs w:val="22"/>
        </w:rPr>
        <w:t>.</w:t>
      </w:r>
    </w:p>
    <w:p w:rsidR="00754FA3" w:rsidRPr="00A1372C" w:rsidRDefault="00754FA3" w:rsidP="00EF5A55">
      <w:pPr>
        <w:pStyle w:val="FootnoteText"/>
        <w:rPr>
          <w:szCs w:val="22"/>
        </w:rPr>
      </w:pPr>
    </w:p>
  </w:footnote>
  <w:footnote w:id="254">
    <w:p w:rsidR="00754FA3" w:rsidRDefault="00754FA3">
      <w:pPr>
        <w:pStyle w:val="FootnoteText"/>
      </w:pPr>
      <w:r>
        <w:rPr>
          <w:rStyle w:val="FootnoteReference"/>
        </w:rPr>
        <w:footnoteRef/>
      </w:r>
      <w:r>
        <w:t xml:space="preserve"> </w:t>
      </w:r>
      <w:r w:rsidRPr="00B1230A">
        <w:rPr>
          <w:i/>
        </w:rPr>
        <w:t>Id.</w:t>
      </w:r>
    </w:p>
    <w:p w:rsidR="00754FA3" w:rsidRDefault="00754FA3">
      <w:pPr>
        <w:pStyle w:val="FootnoteText"/>
      </w:pPr>
    </w:p>
  </w:footnote>
  <w:footnote w:id="255">
    <w:p w:rsidR="00754FA3" w:rsidRPr="00A1372C" w:rsidRDefault="00754FA3" w:rsidP="00EF5A55">
      <w:pPr>
        <w:pStyle w:val="FootnoteText"/>
        <w:rPr>
          <w:szCs w:val="22"/>
        </w:rPr>
      </w:pPr>
      <w:r w:rsidRPr="00A1372C">
        <w:rPr>
          <w:rStyle w:val="FootnoteReference"/>
          <w:szCs w:val="22"/>
        </w:rPr>
        <w:footnoteRef/>
      </w:r>
      <w:r w:rsidRPr="00A1372C">
        <w:rPr>
          <w:szCs w:val="22"/>
        </w:rPr>
        <w:t xml:space="preserve"> </w:t>
      </w:r>
      <w:r w:rsidRPr="00B1230A">
        <w:rPr>
          <w:i/>
          <w:szCs w:val="22"/>
        </w:rPr>
        <w:t>Id</w:t>
      </w:r>
      <w:r>
        <w:rPr>
          <w:szCs w:val="22"/>
        </w:rPr>
        <w:t>.</w:t>
      </w:r>
    </w:p>
    <w:p w:rsidR="00754FA3" w:rsidRPr="00A1372C" w:rsidRDefault="00754FA3" w:rsidP="00EF5A55">
      <w:pPr>
        <w:pStyle w:val="FootnoteText"/>
        <w:rPr>
          <w:szCs w:val="22"/>
        </w:rPr>
      </w:pPr>
    </w:p>
  </w:footnote>
  <w:footnote w:id="256">
    <w:p w:rsidR="00754FA3" w:rsidRDefault="00754FA3" w:rsidP="00EF5A55">
      <w:pPr>
        <w:pStyle w:val="FootnoteText"/>
        <w:rPr>
          <w:szCs w:val="22"/>
        </w:rPr>
      </w:pPr>
      <w:r w:rsidRPr="00A1372C">
        <w:rPr>
          <w:rStyle w:val="FootnoteReference"/>
          <w:szCs w:val="22"/>
        </w:rPr>
        <w:footnoteRef/>
      </w:r>
      <w:r w:rsidRPr="00A1372C">
        <w:rPr>
          <w:szCs w:val="22"/>
        </w:rPr>
        <w:t xml:space="preserve"> </w:t>
      </w:r>
      <w:r w:rsidRPr="00B1230A">
        <w:rPr>
          <w:i/>
          <w:szCs w:val="22"/>
        </w:rPr>
        <w:t>Id</w:t>
      </w:r>
      <w:r>
        <w:rPr>
          <w:szCs w:val="22"/>
        </w:rPr>
        <w:t>.</w:t>
      </w:r>
      <w:r w:rsidRPr="00A1372C">
        <w:rPr>
          <w:szCs w:val="22"/>
        </w:rPr>
        <w:t xml:space="preserve"> at 48</w:t>
      </w:r>
      <w:r>
        <w:rPr>
          <w:szCs w:val="22"/>
        </w:rPr>
        <w:t xml:space="preserve"> - 49</w:t>
      </w:r>
      <w:r w:rsidRPr="00A1372C">
        <w:rPr>
          <w:szCs w:val="22"/>
        </w:rPr>
        <w:t>.</w:t>
      </w:r>
    </w:p>
    <w:p w:rsidR="00754FA3" w:rsidRPr="00785C8E" w:rsidRDefault="00754FA3" w:rsidP="00EF5A55">
      <w:pPr>
        <w:pStyle w:val="FootnoteText"/>
        <w:rPr>
          <w:szCs w:val="22"/>
        </w:rPr>
      </w:pPr>
    </w:p>
  </w:footnote>
  <w:footnote w:id="257">
    <w:p w:rsidR="00754FA3" w:rsidRPr="000A0CC5" w:rsidRDefault="00754FA3">
      <w:pPr>
        <w:pStyle w:val="FootnoteText"/>
      </w:pPr>
      <w:r>
        <w:rPr>
          <w:rStyle w:val="FootnoteReference"/>
        </w:rPr>
        <w:footnoteRef/>
      </w:r>
      <w:r>
        <w:t xml:space="preserve"> </w:t>
      </w:r>
      <w:r w:rsidRPr="00B1230A">
        <w:rPr>
          <w:i/>
        </w:rPr>
        <w:t>Id</w:t>
      </w:r>
      <w:r>
        <w:t>. at 2.</w:t>
      </w:r>
    </w:p>
    <w:p w:rsidR="00754FA3" w:rsidRPr="00785C8E" w:rsidRDefault="00754FA3">
      <w:pPr>
        <w:pStyle w:val="FootnoteText"/>
      </w:pPr>
    </w:p>
  </w:footnote>
  <w:footnote w:id="258">
    <w:p w:rsidR="00754FA3" w:rsidRPr="00A1372C" w:rsidRDefault="00754FA3" w:rsidP="00EF5A55">
      <w:pPr>
        <w:pStyle w:val="FootnoteText"/>
        <w:rPr>
          <w:szCs w:val="22"/>
        </w:rPr>
      </w:pPr>
      <w:r w:rsidRPr="00A1372C">
        <w:rPr>
          <w:rStyle w:val="FootnoteReference"/>
          <w:szCs w:val="22"/>
        </w:rPr>
        <w:footnoteRef/>
      </w:r>
      <w:r w:rsidRPr="00A1372C">
        <w:rPr>
          <w:szCs w:val="22"/>
        </w:rPr>
        <w:t xml:space="preserve"> Duvall, Exh. No. GND-5T at 29</w:t>
      </w:r>
      <w:r>
        <w:rPr>
          <w:szCs w:val="22"/>
        </w:rPr>
        <w:t xml:space="preserve"> - 30</w:t>
      </w:r>
      <w:r w:rsidRPr="00A1372C">
        <w:rPr>
          <w:szCs w:val="22"/>
        </w:rPr>
        <w:t>.</w:t>
      </w:r>
    </w:p>
    <w:p w:rsidR="00754FA3" w:rsidRPr="00A1372C" w:rsidRDefault="00754FA3" w:rsidP="00EF5A55">
      <w:pPr>
        <w:pStyle w:val="FootnoteText"/>
        <w:rPr>
          <w:szCs w:val="22"/>
        </w:rPr>
      </w:pPr>
    </w:p>
  </w:footnote>
  <w:footnote w:id="259">
    <w:p w:rsidR="00754FA3" w:rsidRPr="00A1372C" w:rsidRDefault="00754FA3" w:rsidP="00EF5A55">
      <w:pPr>
        <w:pStyle w:val="FootnoteText"/>
        <w:rPr>
          <w:szCs w:val="22"/>
        </w:rPr>
      </w:pPr>
      <w:r w:rsidRPr="00A1372C">
        <w:rPr>
          <w:rStyle w:val="FootnoteReference"/>
          <w:szCs w:val="22"/>
        </w:rPr>
        <w:footnoteRef/>
      </w:r>
      <w:r w:rsidRPr="00A1372C">
        <w:rPr>
          <w:szCs w:val="22"/>
        </w:rPr>
        <w:t xml:space="preserve"> Dalley Exh. No. RBD-6 at 12.6.7.</w:t>
      </w:r>
    </w:p>
    <w:p w:rsidR="00754FA3" w:rsidRPr="00A1372C" w:rsidRDefault="00754FA3" w:rsidP="00EF5A55">
      <w:pPr>
        <w:pStyle w:val="FootnoteText"/>
        <w:rPr>
          <w:szCs w:val="22"/>
        </w:rPr>
      </w:pPr>
    </w:p>
  </w:footnote>
  <w:footnote w:id="260">
    <w:p w:rsidR="00754FA3" w:rsidRPr="00A1372C" w:rsidRDefault="00754FA3" w:rsidP="00EF5A55">
      <w:pPr>
        <w:pStyle w:val="FootnoteText"/>
        <w:rPr>
          <w:szCs w:val="22"/>
        </w:rPr>
      </w:pPr>
      <w:r w:rsidRPr="00A1372C">
        <w:rPr>
          <w:rStyle w:val="FootnoteReference"/>
          <w:szCs w:val="22"/>
        </w:rPr>
        <w:footnoteRef/>
      </w:r>
      <w:r w:rsidRPr="00A1372C">
        <w:rPr>
          <w:szCs w:val="22"/>
        </w:rPr>
        <w:t xml:space="preserve"> Duvall, Exh. No. GND-5T at 30; </w:t>
      </w:r>
      <w:r>
        <w:rPr>
          <w:i/>
          <w:szCs w:val="22"/>
        </w:rPr>
        <w:t xml:space="preserve">Washington Utilities and Transportation Commission, </w:t>
      </w:r>
      <w:r w:rsidRPr="00A1372C">
        <w:rPr>
          <w:szCs w:val="22"/>
        </w:rPr>
        <w:t>Docket No. UE-050482, Order No. 5 (Dec</w:t>
      </w:r>
      <w:r>
        <w:rPr>
          <w:szCs w:val="22"/>
        </w:rPr>
        <w:t>ember</w:t>
      </w:r>
      <w:r w:rsidRPr="00A1372C">
        <w:rPr>
          <w:szCs w:val="22"/>
        </w:rPr>
        <w:t xml:space="preserve"> 21, 2005).</w:t>
      </w:r>
    </w:p>
    <w:p w:rsidR="00754FA3" w:rsidRPr="00A1372C" w:rsidRDefault="00754FA3" w:rsidP="00EF5A55">
      <w:pPr>
        <w:pStyle w:val="FootnoteText"/>
        <w:rPr>
          <w:szCs w:val="22"/>
        </w:rPr>
      </w:pPr>
    </w:p>
  </w:footnote>
  <w:footnote w:id="261">
    <w:p w:rsidR="00754FA3" w:rsidRPr="00A1372C" w:rsidRDefault="00754FA3" w:rsidP="00EF5A55">
      <w:pPr>
        <w:pStyle w:val="FootnoteText"/>
        <w:rPr>
          <w:szCs w:val="22"/>
        </w:rPr>
      </w:pPr>
      <w:r w:rsidRPr="00A1372C">
        <w:rPr>
          <w:rStyle w:val="FootnoteReference"/>
          <w:szCs w:val="22"/>
        </w:rPr>
        <w:footnoteRef/>
      </w:r>
      <w:r w:rsidRPr="00A1372C">
        <w:rPr>
          <w:szCs w:val="22"/>
        </w:rPr>
        <w:t xml:space="preserve"> Duvall, Exh. No. GND-5T at 30.</w:t>
      </w:r>
    </w:p>
    <w:p w:rsidR="00754FA3" w:rsidRPr="00A1372C" w:rsidRDefault="00754FA3" w:rsidP="00EF5A55">
      <w:pPr>
        <w:pStyle w:val="FootnoteText"/>
        <w:rPr>
          <w:szCs w:val="22"/>
        </w:rPr>
      </w:pPr>
    </w:p>
  </w:footnote>
  <w:footnote w:id="262">
    <w:p w:rsidR="00754FA3" w:rsidRPr="00A1372C" w:rsidRDefault="00754FA3">
      <w:pPr>
        <w:pStyle w:val="FootnoteText"/>
        <w:rPr>
          <w:szCs w:val="22"/>
        </w:rPr>
      </w:pPr>
      <w:r w:rsidRPr="00A1372C">
        <w:rPr>
          <w:rStyle w:val="FootnoteReference"/>
          <w:szCs w:val="22"/>
        </w:rPr>
        <w:footnoteRef/>
      </w:r>
      <w:r w:rsidRPr="00A1372C">
        <w:rPr>
          <w:szCs w:val="22"/>
        </w:rPr>
        <w:t xml:space="preserve"> Duvall, Exh. No. GND-1CT at 7.</w:t>
      </w:r>
    </w:p>
    <w:p w:rsidR="00754FA3" w:rsidRPr="00A1372C" w:rsidRDefault="00754FA3">
      <w:pPr>
        <w:pStyle w:val="FootnoteText"/>
        <w:rPr>
          <w:szCs w:val="22"/>
        </w:rPr>
      </w:pPr>
    </w:p>
  </w:footnote>
  <w:footnote w:id="263">
    <w:p w:rsidR="00754FA3" w:rsidRPr="00A1372C" w:rsidRDefault="00754FA3" w:rsidP="00084031">
      <w:pPr>
        <w:pStyle w:val="FootnoteText"/>
        <w:rPr>
          <w:szCs w:val="22"/>
        </w:rPr>
      </w:pPr>
      <w:r w:rsidRPr="00A1372C">
        <w:rPr>
          <w:rStyle w:val="FootnoteReference"/>
          <w:szCs w:val="22"/>
        </w:rPr>
        <w:footnoteRef/>
      </w:r>
      <w:r w:rsidRPr="00A1372C">
        <w:rPr>
          <w:szCs w:val="22"/>
        </w:rPr>
        <w:t xml:space="preserve"> Falkenberg, Exh. No. RJF-1CT at 53 – 54.</w:t>
      </w:r>
    </w:p>
    <w:p w:rsidR="00754FA3" w:rsidRPr="00A1372C" w:rsidRDefault="00754FA3" w:rsidP="00084031">
      <w:pPr>
        <w:pStyle w:val="FootnoteText"/>
        <w:rPr>
          <w:szCs w:val="22"/>
        </w:rPr>
      </w:pPr>
    </w:p>
  </w:footnote>
  <w:footnote w:id="264">
    <w:p w:rsidR="00754FA3" w:rsidRDefault="00754FA3" w:rsidP="00084031">
      <w:pPr>
        <w:pStyle w:val="FootnoteText"/>
        <w:rPr>
          <w:szCs w:val="22"/>
        </w:rPr>
      </w:pPr>
      <w:r w:rsidRPr="00A1372C">
        <w:rPr>
          <w:rStyle w:val="FootnoteReference"/>
          <w:szCs w:val="22"/>
        </w:rPr>
        <w:footnoteRef/>
      </w:r>
      <w:r w:rsidRPr="00A1372C">
        <w:rPr>
          <w:szCs w:val="22"/>
        </w:rPr>
        <w:t xml:space="preserve"> </w:t>
      </w:r>
      <w:r w:rsidRPr="00B1230A">
        <w:rPr>
          <w:i/>
          <w:szCs w:val="22"/>
        </w:rPr>
        <w:t>Id</w:t>
      </w:r>
      <w:r>
        <w:rPr>
          <w:szCs w:val="22"/>
        </w:rPr>
        <w:t>.</w:t>
      </w:r>
    </w:p>
    <w:p w:rsidR="00754FA3" w:rsidRPr="00785C8E" w:rsidRDefault="00754FA3" w:rsidP="00084031">
      <w:pPr>
        <w:pStyle w:val="FootnoteText"/>
        <w:rPr>
          <w:szCs w:val="22"/>
        </w:rPr>
      </w:pPr>
    </w:p>
  </w:footnote>
  <w:footnote w:id="265">
    <w:p w:rsidR="00754FA3" w:rsidRPr="008E5E7D" w:rsidRDefault="00754FA3">
      <w:pPr>
        <w:pStyle w:val="FootnoteText"/>
      </w:pPr>
      <w:r>
        <w:rPr>
          <w:rStyle w:val="FootnoteReference"/>
        </w:rPr>
        <w:footnoteRef/>
      </w:r>
      <w:r>
        <w:t xml:space="preserve"> </w:t>
      </w:r>
      <w:r w:rsidRPr="00B1230A">
        <w:rPr>
          <w:i/>
        </w:rPr>
        <w:t>Id.</w:t>
      </w:r>
      <w:r>
        <w:t xml:space="preserve"> at 2.</w:t>
      </w:r>
    </w:p>
    <w:p w:rsidR="00754FA3" w:rsidRPr="00785C8E" w:rsidRDefault="00754FA3">
      <w:pPr>
        <w:pStyle w:val="FootnoteText"/>
      </w:pPr>
    </w:p>
  </w:footnote>
  <w:footnote w:id="266">
    <w:p w:rsidR="00754FA3" w:rsidRPr="00A1372C" w:rsidRDefault="00754FA3" w:rsidP="0041609B">
      <w:pPr>
        <w:pStyle w:val="FootnoteText"/>
        <w:rPr>
          <w:szCs w:val="22"/>
        </w:rPr>
      </w:pPr>
      <w:r w:rsidRPr="00A1372C">
        <w:rPr>
          <w:rStyle w:val="FootnoteReference"/>
          <w:szCs w:val="22"/>
        </w:rPr>
        <w:footnoteRef/>
      </w:r>
      <w:r w:rsidRPr="00A1372C">
        <w:rPr>
          <w:szCs w:val="22"/>
        </w:rPr>
        <w:t xml:space="preserve"> Duvall, Exh. No. GND-5T at 51.</w:t>
      </w:r>
    </w:p>
    <w:p w:rsidR="00754FA3" w:rsidRPr="00A1372C" w:rsidRDefault="00754FA3" w:rsidP="0041609B">
      <w:pPr>
        <w:pStyle w:val="FootnoteText"/>
        <w:rPr>
          <w:szCs w:val="22"/>
        </w:rPr>
      </w:pPr>
    </w:p>
  </w:footnote>
  <w:footnote w:id="267">
    <w:p w:rsidR="00754FA3" w:rsidRPr="00A1372C" w:rsidRDefault="00754FA3" w:rsidP="0041609B">
      <w:pPr>
        <w:pStyle w:val="FootnoteText"/>
        <w:rPr>
          <w:szCs w:val="22"/>
        </w:rPr>
      </w:pPr>
      <w:r w:rsidRPr="00A1372C">
        <w:rPr>
          <w:rStyle w:val="FootnoteReference"/>
          <w:szCs w:val="22"/>
        </w:rPr>
        <w:footnoteRef/>
      </w:r>
      <w:r w:rsidRPr="00A1372C">
        <w:rPr>
          <w:szCs w:val="22"/>
        </w:rPr>
        <w:t xml:space="preserve"> Duvall, Exh. No. GND-5T at 52.</w:t>
      </w:r>
    </w:p>
    <w:p w:rsidR="00754FA3" w:rsidRPr="00A1372C" w:rsidRDefault="00754FA3" w:rsidP="0041609B">
      <w:pPr>
        <w:pStyle w:val="FootnoteText"/>
        <w:rPr>
          <w:szCs w:val="22"/>
        </w:rPr>
      </w:pPr>
    </w:p>
  </w:footnote>
  <w:footnote w:id="268">
    <w:p w:rsidR="00754FA3" w:rsidRPr="00A1372C" w:rsidRDefault="00754FA3" w:rsidP="0041609B">
      <w:pPr>
        <w:pStyle w:val="FootnoteText"/>
        <w:rPr>
          <w:szCs w:val="22"/>
        </w:rPr>
      </w:pPr>
      <w:r w:rsidRPr="00A1372C">
        <w:rPr>
          <w:rStyle w:val="FootnoteReference"/>
          <w:szCs w:val="22"/>
        </w:rPr>
        <w:footnoteRef/>
      </w:r>
      <w:r w:rsidRPr="00A1372C">
        <w:rPr>
          <w:szCs w:val="22"/>
        </w:rPr>
        <w:t xml:space="preserve"> </w:t>
      </w:r>
      <w:r w:rsidRPr="00B1230A">
        <w:rPr>
          <w:i/>
          <w:szCs w:val="22"/>
        </w:rPr>
        <w:t>Id.</w:t>
      </w:r>
    </w:p>
    <w:p w:rsidR="00754FA3" w:rsidRPr="00A1372C" w:rsidRDefault="00754FA3" w:rsidP="0041609B">
      <w:pPr>
        <w:pStyle w:val="FootnoteText"/>
        <w:rPr>
          <w:szCs w:val="22"/>
        </w:rPr>
      </w:pPr>
    </w:p>
  </w:footnote>
  <w:footnote w:id="269">
    <w:p w:rsidR="00754FA3" w:rsidRPr="00A1372C" w:rsidRDefault="00754FA3" w:rsidP="00876C97">
      <w:pPr>
        <w:pStyle w:val="FootnoteText"/>
        <w:rPr>
          <w:szCs w:val="22"/>
        </w:rPr>
      </w:pPr>
      <w:r w:rsidRPr="00A1372C">
        <w:rPr>
          <w:rStyle w:val="FootnoteReference"/>
          <w:szCs w:val="22"/>
        </w:rPr>
        <w:footnoteRef/>
      </w:r>
      <w:r w:rsidRPr="00A1372C">
        <w:rPr>
          <w:szCs w:val="22"/>
        </w:rPr>
        <w:t xml:space="preserve"> Duvall, Exh. No. GND-</w:t>
      </w:r>
      <w:r>
        <w:rPr>
          <w:szCs w:val="22"/>
        </w:rPr>
        <w:t>2</w:t>
      </w:r>
      <w:r w:rsidRPr="00A1372C">
        <w:rPr>
          <w:szCs w:val="22"/>
        </w:rPr>
        <w:t xml:space="preserve"> at 1 -2.</w:t>
      </w:r>
    </w:p>
    <w:p w:rsidR="00754FA3" w:rsidRPr="00A1372C" w:rsidRDefault="00754FA3" w:rsidP="00876C97">
      <w:pPr>
        <w:pStyle w:val="FootnoteText"/>
        <w:rPr>
          <w:szCs w:val="22"/>
        </w:rPr>
      </w:pPr>
    </w:p>
  </w:footnote>
  <w:footnote w:id="270">
    <w:p w:rsidR="00754FA3" w:rsidRPr="00A1372C" w:rsidRDefault="00754FA3" w:rsidP="00876C97">
      <w:pPr>
        <w:pStyle w:val="FootnoteText"/>
        <w:rPr>
          <w:szCs w:val="22"/>
        </w:rPr>
      </w:pPr>
      <w:r w:rsidRPr="00A1372C">
        <w:rPr>
          <w:rStyle w:val="FootnoteReference"/>
          <w:szCs w:val="22"/>
        </w:rPr>
        <w:footnoteRef/>
      </w:r>
      <w:r w:rsidRPr="00A1372C">
        <w:rPr>
          <w:szCs w:val="22"/>
        </w:rPr>
        <w:t xml:space="preserve"> Falkenberg, Exh. No. RJF-1CT at 56.</w:t>
      </w:r>
    </w:p>
    <w:p w:rsidR="00754FA3" w:rsidRPr="00A1372C" w:rsidRDefault="00754FA3" w:rsidP="00876C97">
      <w:pPr>
        <w:pStyle w:val="FootnoteText"/>
        <w:rPr>
          <w:szCs w:val="22"/>
        </w:rPr>
      </w:pPr>
    </w:p>
  </w:footnote>
  <w:footnote w:id="271">
    <w:p w:rsidR="00754FA3" w:rsidRPr="00A1372C" w:rsidRDefault="00754FA3" w:rsidP="00E36EBF">
      <w:pPr>
        <w:pStyle w:val="FootnoteText"/>
        <w:rPr>
          <w:szCs w:val="22"/>
        </w:rPr>
      </w:pPr>
      <w:r w:rsidRPr="00A1372C">
        <w:rPr>
          <w:rStyle w:val="FootnoteReference"/>
          <w:szCs w:val="22"/>
        </w:rPr>
        <w:footnoteRef/>
      </w:r>
      <w:r w:rsidRPr="00A1372C">
        <w:rPr>
          <w:szCs w:val="22"/>
        </w:rPr>
        <w:t xml:space="preserve"> </w:t>
      </w:r>
      <w:r w:rsidRPr="00B1230A">
        <w:rPr>
          <w:i/>
          <w:szCs w:val="22"/>
        </w:rPr>
        <w:t>Id</w:t>
      </w:r>
      <w:r>
        <w:rPr>
          <w:szCs w:val="22"/>
        </w:rPr>
        <w:t>.</w:t>
      </w:r>
      <w:r w:rsidRPr="00A1372C">
        <w:rPr>
          <w:szCs w:val="22"/>
        </w:rPr>
        <w:t xml:space="preserve"> at 55</w:t>
      </w:r>
      <w:r>
        <w:rPr>
          <w:szCs w:val="22"/>
        </w:rPr>
        <w:t xml:space="preserve"> - 56</w:t>
      </w:r>
      <w:r w:rsidRPr="00A1372C">
        <w:rPr>
          <w:szCs w:val="22"/>
        </w:rPr>
        <w:t>.</w:t>
      </w:r>
    </w:p>
    <w:p w:rsidR="00754FA3" w:rsidRPr="00A1372C" w:rsidRDefault="00754FA3" w:rsidP="00E36EBF">
      <w:pPr>
        <w:pStyle w:val="FootnoteText"/>
        <w:rPr>
          <w:szCs w:val="22"/>
        </w:rPr>
      </w:pPr>
    </w:p>
  </w:footnote>
  <w:footnote w:id="272">
    <w:p w:rsidR="00754FA3" w:rsidRDefault="00754FA3">
      <w:pPr>
        <w:pStyle w:val="FootnoteText"/>
      </w:pPr>
      <w:r>
        <w:rPr>
          <w:rStyle w:val="FootnoteReference"/>
        </w:rPr>
        <w:footnoteRef/>
      </w:r>
      <w:r>
        <w:t xml:space="preserve"> </w:t>
      </w:r>
      <w:r w:rsidRPr="00B1230A">
        <w:rPr>
          <w:i/>
        </w:rPr>
        <w:t>Id</w:t>
      </w:r>
      <w:r>
        <w:t>. at 56 – 57.</w:t>
      </w:r>
    </w:p>
  </w:footnote>
  <w:footnote w:id="273">
    <w:p w:rsidR="00754FA3" w:rsidRDefault="00754FA3" w:rsidP="00AA3669">
      <w:pPr>
        <w:pStyle w:val="FootnoteText"/>
        <w:rPr>
          <w:szCs w:val="22"/>
        </w:rPr>
      </w:pPr>
      <w:r w:rsidRPr="00A1372C">
        <w:rPr>
          <w:rStyle w:val="FootnoteReference"/>
          <w:szCs w:val="22"/>
        </w:rPr>
        <w:footnoteRef/>
      </w:r>
      <w:r w:rsidRPr="00A1372C">
        <w:rPr>
          <w:szCs w:val="22"/>
        </w:rPr>
        <w:t xml:space="preserve"> </w:t>
      </w:r>
      <w:r w:rsidRPr="00B1230A">
        <w:rPr>
          <w:i/>
          <w:szCs w:val="22"/>
        </w:rPr>
        <w:t>Id</w:t>
      </w:r>
      <w:r>
        <w:rPr>
          <w:szCs w:val="22"/>
        </w:rPr>
        <w:t>.</w:t>
      </w:r>
      <w:r w:rsidRPr="00A1372C">
        <w:rPr>
          <w:szCs w:val="22"/>
        </w:rPr>
        <w:t xml:space="preserve"> </w:t>
      </w:r>
    </w:p>
    <w:p w:rsidR="00754FA3" w:rsidRPr="00785C8E" w:rsidRDefault="00754FA3" w:rsidP="00AA3669">
      <w:pPr>
        <w:pStyle w:val="FootnoteText"/>
        <w:rPr>
          <w:szCs w:val="22"/>
        </w:rPr>
      </w:pPr>
    </w:p>
  </w:footnote>
  <w:footnote w:id="274">
    <w:p w:rsidR="00754FA3" w:rsidRPr="00D752A0" w:rsidRDefault="00754FA3">
      <w:pPr>
        <w:pStyle w:val="FootnoteText"/>
      </w:pPr>
      <w:r>
        <w:rPr>
          <w:rStyle w:val="FootnoteReference"/>
        </w:rPr>
        <w:footnoteRef/>
      </w:r>
      <w:r>
        <w:t xml:space="preserve"> </w:t>
      </w:r>
      <w:r w:rsidRPr="00B1230A">
        <w:rPr>
          <w:i/>
        </w:rPr>
        <w:t>Id</w:t>
      </w:r>
      <w:r>
        <w:t>. at 2.</w:t>
      </w:r>
    </w:p>
    <w:p w:rsidR="00754FA3" w:rsidRPr="00785C8E" w:rsidRDefault="00754FA3">
      <w:pPr>
        <w:pStyle w:val="FootnoteText"/>
      </w:pPr>
    </w:p>
  </w:footnote>
  <w:footnote w:id="275">
    <w:p w:rsidR="00754FA3" w:rsidRPr="00A1372C" w:rsidRDefault="00754FA3" w:rsidP="00AA3669">
      <w:pPr>
        <w:pStyle w:val="FootnoteText"/>
        <w:rPr>
          <w:szCs w:val="22"/>
        </w:rPr>
      </w:pPr>
      <w:r w:rsidRPr="00A1372C">
        <w:rPr>
          <w:rStyle w:val="FootnoteReference"/>
          <w:szCs w:val="22"/>
        </w:rPr>
        <w:footnoteRef/>
      </w:r>
      <w:r w:rsidRPr="00A1372C">
        <w:rPr>
          <w:szCs w:val="22"/>
        </w:rPr>
        <w:t xml:space="preserve"> Duvall, Exh. No. GND-5T at 54.</w:t>
      </w:r>
    </w:p>
    <w:p w:rsidR="00754FA3" w:rsidRPr="00A1372C" w:rsidRDefault="00754FA3" w:rsidP="00AA3669">
      <w:pPr>
        <w:pStyle w:val="FootnoteText"/>
        <w:rPr>
          <w:szCs w:val="22"/>
        </w:rPr>
      </w:pPr>
    </w:p>
  </w:footnote>
  <w:footnote w:id="276">
    <w:p w:rsidR="00754FA3" w:rsidRPr="00A1372C" w:rsidRDefault="00754FA3" w:rsidP="00AA3669">
      <w:pPr>
        <w:pStyle w:val="FootnoteText"/>
        <w:rPr>
          <w:szCs w:val="22"/>
        </w:rPr>
      </w:pPr>
      <w:r w:rsidRPr="00A1372C">
        <w:rPr>
          <w:rStyle w:val="FootnoteReference"/>
          <w:szCs w:val="22"/>
        </w:rPr>
        <w:footnoteRef/>
      </w:r>
      <w:r w:rsidRPr="00A1372C">
        <w:rPr>
          <w:szCs w:val="22"/>
        </w:rPr>
        <w:t xml:space="preserve"> </w:t>
      </w:r>
      <w:r w:rsidRPr="00967C58">
        <w:rPr>
          <w:i/>
          <w:szCs w:val="22"/>
        </w:rPr>
        <w:t>Id</w:t>
      </w:r>
      <w:r>
        <w:rPr>
          <w:szCs w:val="22"/>
        </w:rPr>
        <w:t>.</w:t>
      </w:r>
      <w:r w:rsidRPr="00A1372C">
        <w:rPr>
          <w:szCs w:val="22"/>
        </w:rPr>
        <w:t xml:space="preserve"> at 53</w:t>
      </w:r>
      <w:r>
        <w:rPr>
          <w:szCs w:val="22"/>
        </w:rPr>
        <w:t xml:space="preserve"> - 54</w:t>
      </w:r>
      <w:r w:rsidRPr="00A1372C">
        <w:rPr>
          <w:szCs w:val="22"/>
        </w:rPr>
        <w:t>.</w:t>
      </w:r>
    </w:p>
    <w:p w:rsidR="00754FA3" w:rsidRPr="00A1372C" w:rsidRDefault="00754FA3" w:rsidP="00AA3669">
      <w:pPr>
        <w:pStyle w:val="FootnoteText"/>
        <w:rPr>
          <w:szCs w:val="22"/>
        </w:rPr>
      </w:pPr>
    </w:p>
  </w:footnote>
  <w:footnote w:id="277">
    <w:p w:rsidR="00754FA3" w:rsidRPr="00A1372C" w:rsidRDefault="00754FA3" w:rsidP="00AA3669">
      <w:pPr>
        <w:pStyle w:val="FootnoteText"/>
        <w:rPr>
          <w:szCs w:val="22"/>
        </w:rPr>
      </w:pPr>
      <w:r w:rsidRPr="00A1372C">
        <w:rPr>
          <w:rStyle w:val="FootnoteReference"/>
          <w:szCs w:val="22"/>
        </w:rPr>
        <w:footnoteRef/>
      </w:r>
      <w:r w:rsidRPr="00A1372C">
        <w:rPr>
          <w:szCs w:val="22"/>
        </w:rPr>
        <w:t xml:space="preserve"> </w:t>
      </w:r>
      <w:r w:rsidRPr="00967C58">
        <w:rPr>
          <w:i/>
          <w:szCs w:val="22"/>
        </w:rPr>
        <w:t>Id</w:t>
      </w:r>
      <w:r>
        <w:rPr>
          <w:szCs w:val="22"/>
        </w:rPr>
        <w:t>.</w:t>
      </w:r>
      <w:r w:rsidRPr="00A1372C">
        <w:rPr>
          <w:szCs w:val="22"/>
        </w:rPr>
        <w:t xml:space="preserve"> at 55.</w:t>
      </w:r>
    </w:p>
    <w:p w:rsidR="00754FA3" w:rsidRPr="00A1372C" w:rsidRDefault="00754FA3" w:rsidP="00AA3669">
      <w:pPr>
        <w:pStyle w:val="FootnoteText"/>
        <w:rPr>
          <w:szCs w:val="22"/>
        </w:rPr>
      </w:pPr>
    </w:p>
  </w:footnote>
  <w:footnote w:id="278">
    <w:p w:rsidR="00754FA3" w:rsidRDefault="00754FA3">
      <w:pPr>
        <w:pStyle w:val="FootnoteText"/>
      </w:pPr>
      <w:r>
        <w:rPr>
          <w:rStyle w:val="FootnoteReference"/>
        </w:rPr>
        <w:footnoteRef/>
      </w:r>
      <w:r>
        <w:t xml:space="preserve"> Duvall, Exh. No. GND-5T at 16, Falkenberg, Exh. No. RJF-1CT at 61, Buckley, Exh. No. APB-1CT at 4 – 5.</w:t>
      </w:r>
    </w:p>
    <w:p w:rsidR="00754FA3" w:rsidRDefault="00754FA3">
      <w:pPr>
        <w:pStyle w:val="FootnoteText"/>
      </w:pPr>
    </w:p>
  </w:footnote>
  <w:footnote w:id="279">
    <w:p w:rsidR="00754FA3" w:rsidRDefault="00754FA3">
      <w:pPr>
        <w:pStyle w:val="FootnoteText"/>
      </w:pPr>
      <w:r>
        <w:rPr>
          <w:rStyle w:val="FootnoteReference"/>
        </w:rPr>
        <w:footnoteRef/>
      </w:r>
      <w:r>
        <w:t xml:space="preserve"> Exh. No. 15C, Response to Bench Request No. 3.</w:t>
      </w:r>
    </w:p>
    <w:p w:rsidR="00754FA3" w:rsidRDefault="00754FA3">
      <w:pPr>
        <w:pStyle w:val="FootnoteText"/>
      </w:pPr>
    </w:p>
  </w:footnote>
  <w:footnote w:id="280">
    <w:p w:rsidR="00754FA3" w:rsidRDefault="00754FA3">
      <w:pPr>
        <w:pStyle w:val="FootnoteText"/>
      </w:pPr>
      <w:r>
        <w:rPr>
          <w:rStyle w:val="FootnoteReference"/>
        </w:rPr>
        <w:footnoteRef/>
      </w:r>
      <w:r>
        <w:t xml:space="preserve"> RCW 19.285.040.</w:t>
      </w:r>
    </w:p>
    <w:p w:rsidR="00754FA3" w:rsidRPr="00C80CB2" w:rsidRDefault="00754FA3">
      <w:pPr>
        <w:pStyle w:val="FootnoteText"/>
      </w:pPr>
    </w:p>
  </w:footnote>
  <w:footnote w:id="281">
    <w:p w:rsidR="00754FA3" w:rsidRDefault="00754FA3">
      <w:pPr>
        <w:pStyle w:val="FootnoteText"/>
      </w:pPr>
      <w:r>
        <w:rPr>
          <w:rStyle w:val="FootnoteReference"/>
        </w:rPr>
        <w:footnoteRef/>
      </w:r>
      <w:r>
        <w:t xml:space="preserve"> Another attribute of electricity generated by renewable facilities is the Production Tax Credit (PTC), which is a federal tax credit awarded to the facility owner for each kilowatt of electricity generated.  </w:t>
      </w:r>
    </w:p>
    <w:p w:rsidR="00754FA3" w:rsidRDefault="00754FA3">
      <w:pPr>
        <w:pStyle w:val="FootnoteText"/>
      </w:pPr>
      <w:r>
        <w:t xml:space="preserve"> </w:t>
      </w:r>
    </w:p>
  </w:footnote>
  <w:footnote w:id="282">
    <w:p w:rsidR="00754FA3" w:rsidRDefault="00754FA3">
      <w:pPr>
        <w:pStyle w:val="FootnoteText"/>
      </w:pPr>
      <w:r>
        <w:rPr>
          <w:rStyle w:val="FootnoteReference"/>
        </w:rPr>
        <w:footnoteRef/>
      </w:r>
      <w:r>
        <w:t xml:space="preserve"> There is no REC organized market in this region.  Therefore, sales are generally consummated through bi-lateral negotiations.</w:t>
      </w:r>
    </w:p>
    <w:p w:rsidR="00754FA3" w:rsidRDefault="00754FA3">
      <w:pPr>
        <w:pStyle w:val="FootnoteText"/>
      </w:pPr>
    </w:p>
  </w:footnote>
  <w:footnote w:id="283">
    <w:p w:rsidR="00754FA3" w:rsidRDefault="00754FA3">
      <w:pPr>
        <w:pStyle w:val="FootnoteText"/>
      </w:pPr>
      <w:r w:rsidRPr="007A6191">
        <w:rPr>
          <w:rStyle w:val="FootnoteReference"/>
        </w:rPr>
        <w:footnoteRef/>
      </w:r>
      <w:r w:rsidRPr="007A6191">
        <w:t xml:space="preserve"> </w:t>
      </w:r>
      <w:r>
        <w:t>Dalley, Exh. No. RBD-1T at 9 – 10.</w:t>
      </w:r>
    </w:p>
    <w:p w:rsidR="00754FA3" w:rsidRDefault="00754FA3">
      <w:pPr>
        <w:pStyle w:val="FootnoteText"/>
      </w:pPr>
    </w:p>
  </w:footnote>
  <w:footnote w:id="284">
    <w:p w:rsidR="00754FA3" w:rsidRPr="00A1372C" w:rsidRDefault="00754FA3">
      <w:pPr>
        <w:pStyle w:val="FootnoteText"/>
        <w:rPr>
          <w:szCs w:val="22"/>
        </w:rPr>
      </w:pPr>
      <w:r w:rsidRPr="00A1372C">
        <w:rPr>
          <w:rStyle w:val="FootnoteReference"/>
          <w:szCs w:val="22"/>
        </w:rPr>
        <w:footnoteRef/>
      </w:r>
      <w:r w:rsidRPr="00A1372C">
        <w:rPr>
          <w:szCs w:val="22"/>
        </w:rPr>
        <w:t xml:space="preserve"> Dalley, Exh. No, RBD-1T at 9 – 10</w:t>
      </w:r>
      <w:r>
        <w:rPr>
          <w:szCs w:val="22"/>
        </w:rPr>
        <w:t>,</w:t>
      </w:r>
      <w:r w:rsidRPr="00A1372C">
        <w:rPr>
          <w:szCs w:val="22"/>
        </w:rPr>
        <w:t xml:space="preserve"> Dalley, Exh. No. RBD-3 at 3.5.</w:t>
      </w:r>
    </w:p>
    <w:p w:rsidR="00754FA3" w:rsidRPr="00A1372C" w:rsidRDefault="00754FA3">
      <w:pPr>
        <w:pStyle w:val="FootnoteText"/>
        <w:rPr>
          <w:szCs w:val="22"/>
        </w:rPr>
      </w:pPr>
    </w:p>
  </w:footnote>
  <w:footnote w:id="285">
    <w:p w:rsidR="00754FA3" w:rsidRDefault="00754FA3">
      <w:pPr>
        <w:pStyle w:val="FootnoteText"/>
      </w:pPr>
      <w:r>
        <w:rPr>
          <w:rStyle w:val="FootnoteReference"/>
        </w:rPr>
        <w:footnoteRef/>
      </w:r>
      <w:r>
        <w:t xml:space="preserve"> Duvall, TR 298.</w:t>
      </w:r>
    </w:p>
    <w:p w:rsidR="00754FA3" w:rsidRDefault="00754FA3">
      <w:pPr>
        <w:pStyle w:val="FootnoteText"/>
      </w:pPr>
    </w:p>
  </w:footnote>
  <w:footnote w:id="286">
    <w:p w:rsidR="00754FA3" w:rsidRDefault="00754FA3">
      <w:pPr>
        <w:pStyle w:val="FootnoteText"/>
      </w:pPr>
      <w:r>
        <w:rPr>
          <w:rStyle w:val="FootnoteReference"/>
        </w:rPr>
        <w:footnoteRef/>
      </w:r>
      <w:r>
        <w:t xml:space="preserve"> Public Counsel Initial Post-Hearing Brief ¶ 62.</w:t>
      </w:r>
    </w:p>
    <w:p w:rsidR="00754FA3" w:rsidRDefault="00754FA3">
      <w:pPr>
        <w:pStyle w:val="FootnoteText"/>
      </w:pPr>
    </w:p>
  </w:footnote>
  <w:footnote w:id="287">
    <w:p w:rsidR="00754FA3" w:rsidRDefault="00754FA3">
      <w:pPr>
        <w:pStyle w:val="FootnoteText"/>
      </w:pPr>
      <w:r>
        <w:rPr>
          <w:rStyle w:val="FootnoteReference"/>
        </w:rPr>
        <w:footnoteRef/>
      </w:r>
      <w:r>
        <w:t xml:space="preserve"> Duvall, Exh. No. GND-5T at 3.</w:t>
      </w:r>
    </w:p>
    <w:p w:rsidR="00754FA3" w:rsidRDefault="00754FA3">
      <w:pPr>
        <w:pStyle w:val="FootnoteText"/>
      </w:pPr>
    </w:p>
  </w:footnote>
  <w:footnote w:id="288">
    <w:p w:rsidR="00754FA3" w:rsidRDefault="00754FA3">
      <w:pPr>
        <w:pStyle w:val="FootnoteText"/>
      </w:pPr>
      <w:r>
        <w:rPr>
          <w:rStyle w:val="FootnoteReference"/>
        </w:rPr>
        <w:footnoteRef/>
      </w:r>
      <w:r>
        <w:t xml:space="preserve"> Staff Initial Post-Hearing Brief ¶ 24.  Some parties refer to this adjustment as an adjustment to “Green Tag” revenues.  For the sake of consistency, we use the term renewable energy credit or REC because the parties are referring to the same revenues.</w:t>
      </w:r>
    </w:p>
    <w:p w:rsidR="00754FA3" w:rsidRDefault="00754FA3">
      <w:pPr>
        <w:pStyle w:val="FootnoteText"/>
      </w:pPr>
    </w:p>
  </w:footnote>
  <w:footnote w:id="289">
    <w:p w:rsidR="00754FA3" w:rsidRPr="00D752A0" w:rsidRDefault="00754FA3" w:rsidP="004809A3">
      <w:pPr>
        <w:pStyle w:val="FootnoteText"/>
      </w:pPr>
      <w:r>
        <w:rPr>
          <w:rStyle w:val="FootnoteReference"/>
        </w:rPr>
        <w:footnoteRef/>
      </w:r>
      <w:r>
        <w:t xml:space="preserve"> Falkenberg, Exh. No. RJF-1CT at 2.  ICNU argues in its Initial Post-Hearing Brief that test year revenues should be increased by $10 million, but this amount in not adequately supported, if supported at all, by the record in this proceeding. </w:t>
      </w:r>
    </w:p>
    <w:p w:rsidR="00754FA3" w:rsidRPr="003C53CF" w:rsidRDefault="00754FA3" w:rsidP="004809A3">
      <w:pPr>
        <w:pStyle w:val="FootnoteText"/>
      </w:pPr>
    </w:p>
  </w:footnote>
  <w:footnote w:id="290">
    <w:p w:rsidR="00754FA3" w:rsidRDefault="00754FA3">
      <w:pPr>
        <w:pStyle w:val="FootnoteText"/>
      </w:pPr>
      <w:r>
        <w:rPr>
          <w:rStyle w:val="FootnoteReference"/>
        </w:rPr>
        <w:footnoteRef/>
      </w:r>
      <w:r>
        <w:t xml:space="preserve"> Foisy, Exh. No. MDF-1T at 10 – 11.  Staff would also allow the Company to accumulate interest on the balance at its after-tax rate of return.</w:t>
      </w:r>
    </w:p>
    <w:p w:rsidR="00754FA3" w:rsidRDefault="00754FA3">
      <w:pPr>
        <w:pStyle w:val="FootnoteText"/>
      </w:pPr>
    </w:p>
  </w:footnote>
  <w:footnote w:id="291">
    <w:p w:rsidR="00754FA3" w:rsidRPr="00A1372C" w:rsidRDefault="00754FA3" w:rsidP="00B34FB2">
      <w:pPr>
        <w:pStyle w:val="FootnoteText"/>
        <w:rPr>
          <w:szCs w:val="22"/>
        </w:rPr>
      </w:pPr>
      <w:r w:rsidRPr="00A1372C">
        <w:rPr>
          <w:rStyle w:val="FootnoteReference"/>
          <w:szCs w:val="22"/>
        </w:rPr>
        <w:footnoteRef/>
      </w:r>
      <w:r w:rsidRPr="00A1372C">
        <w:rPr>
          <w:szCs w:val="22"/>
        </w:rPr>
        <w:t xml:space="preserve"> Foisy, Exh. No. MDF-1T at 11.</w:t>
      </w:r>
    </w:p>
    <w:p w:rsidR="00754FA3" w:rsidRPr="00A1372C" w:rsidRDefault="00754FA3" w:rsidP="00B34FB2">
      <w:pPr>
        <w:pStyle w:val="FootnoteText"/>
        <w:rPr>
          <w:szCs w:val="22"/>
        </w:rPr>
      </w:pPr>
    </w:p>
  </w:footnote>
  <w:footnote w:id="292">
    <w:p w:rsidR="00754FA3" w:rsidRPr="00A1372C" w:rsidRDefault="00754FA3" w:rsidP="00B34FB2">
      <w:pPr>
        <w:pStyle w:val="FootnoteText"/>
        <w:rPr>
          <w:szCs w:val="22"/>
        </w:rPr>
      </w:pPr>
      <w:r w:rsidRPr="00A1372C">
        <w:rPr>
          <w:rStyle w:val="FootnoteReference"/>
          <w:szCs w:val="22"/>
        </w:rPr>
        <w:footnoteRef/>
      </w:r>
      <w:r w:rsidRPr="00A1372C">
        <w:rPr>
          <w:szCs w:val="22"/>
        </w:rPr>
        <w:t xml:space="preserve"> Duvall, Exh. No. GND-5T at </w:t>
      </w:r>
      <w:r>
        <w:rPr>
          <w:szCs w:val="22"/>
        </w:rPr>
        <w:t>7</w:t>
      </w:r>
      <w:r w:rsidRPr="00A1372C">
        <w:rPr>
          <w:szCs w:val="22"/>
        </w:rPr>
        <w:t>.</w:t>
      </w:r>
    </w:p>
    <w:p w:rsidR="00754FA3" w:rsidRPr="00A1372C" w:rsidRDefault="00754FA3" w:rsidP="00B34FB2">
      <w:pPr>
        <w:pStyle w:val="FootnoteText"/>
        <w:rPr>
          <w:szCs w:val="22"/>
        </w:rPr>
      </w:pPr>
    </w:p>
  </w:footnote>
  <w:footnote w:id="293">
    <w:p w:rsidR="00754FA3" w:rsidRDefault="00754FA3" w:rsidP="00B34FB2">
      <w:pPr>
        <w:pStyle w:val="FootnoteText"/>
        <w:rPr>
          <w:szCs w:val="22"/>
        </w:rPr>
      </w:pPr>
      <w:r w:rsidRPr="00A1372C">
        <w:rPr>
          <w:rStyle w:val="FootnoteReference"/>
          <w:szCs w:val="22"/>
        </w:rPr>
        <w:footnoteRef/>
      </w:r>
      <w:r w:rsidRPr="00A1372C">
        <w:rPr>
          <w:szCs w:val="22"/>
        </w:rPr>
        <w:t xml:space="preserve"> Duvall, Exh. No. GND-5T at 6.</w:t>
      </w:r>
    </w:p>
    <w:p w:rsidR="00754FA3" w:rsidRPr="00920EF4" w:rsidRDefault="00754FA3" w:rsidP="00B34FB2">
      <w:pPr>
        <w:pStyle w:val="FootnoteText"/>
        <w:rPr>
          <w:szCs w:val="22"/>
        </w:rPr>
      </w:pPr>
    </w:p>
  </w:footnote>
  <w:footnote w:id="294">
    <w:p w:rsidR="00754FA3" w:rsidRDefault="00754FA3">
      <w:pPr>
        <w:pStyle w:val="FootnoteText"/>
      </w:pPr>
      <w:r>
        <w:rPr>
          <w:rStyle w:val="FootnoteReference"/>
        </w:rPr>
        <w:footnoteRef/>
      </w:r>
      <w:r>
        <w:t xml:space="preserve"> </w:t>
      </w:r>
      <w:r>
        <w:rPr>
          <w:i/>
        </w:rPr>
        <w:t xml:space="preserve">Washington Utilities and Transportation Commission v. Puget Sound Energy Co., </w:t>
      </w:r>
      <w:r>
        <w:t xml:space="preserve">Docket UE-070725, Order 03 (May 20, 2010).  </w:t>
      </w:r>
      <w:r>
        <w:rPr>
          <w:i/>
        </w:rPr>
        <w:t xml:space="preserve">See also id. </w:t>
      </w:r>
      <w:r>
        <w:t>Order 05 (August 31, 2010) and Order 06 (October 26, 2010).</w:t>
      </w:r>
    </w:p>
    <w:p w:rsidR="00754FA3" w:rsidRPr="00BA753B" w:rsidRDefault="00754FA3">
      <w:pPr>
        <w:pStyle w:val="FootnoteText"/>
      </w:pPr>
    </w:p>
  </w:footnote>
  <w:footnote w:id="295">
    <w:p w:rsidR="00754FA3" w:rsidRDefault="00754FA3">
      <w:pPr>
        <w:pStyle w:val="FootnoteText"/>
      </w:pPr>
      <w:r>
        <w:rPr>
          <w:rStyle w:val="FootnoteReference"/>
        </w:rPr>
        <w:footnoteRef/>
      </w:r>
      <w:r>
        <w:t xml:space="preserve"> Issues related to REC revenues were resolved on the basis of the Commission’s approval of a “black box” settlement in PacifiCorp’s most recent prior general rate proceeding.  </w:t>
      </w:r>
      <w:r>
        <w:rPr>
          <w:i/>
        </w:rPr>
        <w:t xml:space="preserve">Washington Utilities and Transportation Commission v. PacifiCorp., </w:t>
      </w:r>
      <w:r>
        <w:t>Docket UE-090205 (Order 09) (December 16, 2009).  Order 09 and the rates that resulted from the Commission approved settlement now are the subject of a formal complaint filed by Public Counsel and ICNU in Docket UE-110070.</w:t>
      </w:r>
    </w:p>
    <w:p w:rsidR="00754FA3" w:rsidRPr="00FC1651" w:rsidRDefault="00754FA3">
      <w:pPr>
        <w:pStyle w:val="FootnoteText"/>
      </w:pPr>
    </w:p>
  </w:footnote>
  <w:footnote w:id="296">
    <w:p w:rsidR="00754FA3" w:rsidRDefault="00754FA3">
      <w:pPr>
        <w:pStyle w:val="FootnoteText"/>
      </w:pPr>
      <w:r>
        <w:rPr>
          <w:rStyle w:val="FootnoteReference"/>
        </w:rPr>
        <w:footnoteRef/>
      </w:r>
      <w:r>
        <w:t xml:space="preserve"> </w:t>
      </w:r>
      <w:r>
        <w:rPr>
          <w:i/>
        </w:rPr>
        <w:t xml:space="preserve">Washington Utilities and Transportation Commission v. Puget Sound Energy Co., </w:t>
      </w:r>
      <w:r>
        <w:t>Docket UE-070725, Order 05 (August 31, 2010).</w:t>
      </w:r>
    </w:p>
    <w:p w:rsidR="00754FA3" w:rsidRPr="00FC1651" w:rsidRDefault="00754FA3">
      <w:pPr>
        <w:pStyle w:val="FootnoteText"/>
      </w:pPr>
    </w:p>
  </w:footnote>
  <w:footnote w:id="297">
    <w:p w:rsidR="00754FA3" w:rsidRPr="00FC1651" w:rsidRDefault="00754FA3">
      <w:pPr>
        <w:pStyle w:val="FootnoteText"/>
      </w:pPr>
      <w:r>
        <w:rPr>
          <w:rStyle w:val="FootnoteReference"/>
        </w:rPr>
        <w:footnoteRef/>
      </w:r>
      <w:r>
        <w:t xml:space="preserve"> </w:t>
      </w:r>
      <w:r>
        <w:rPr>
          <w:i/>
        </w:rPr>
        <w:t xml:space="preserve">Washington Utilities and Transportation Commission v. Puget Sound Energy Co., </w:t>
      </w:r>
      <w:r>
        <w:t>Docket UE-070725, Order 06 (October 26, 2010).</w:t>
      </w:r>
    </w:p>
  </w:footnote>
  <w:footnote w:id="298">
    <w:p w:rsidR="00754FA3" w:rsidRDefault="00754FA3">
      <w:pPr>
        <w:pStyle w:val="FootnoteText"/>
      </w:pPr>
      <w:r>
        <w:rPr>
          <w:rStyle w:val="FootnoteReference"/>
        </w:rPr>
        <w:footnoteRef/>
      </w:r>
      <w:r>
        <w:t xml:space="preserve"> It appears from Dalley, Exh. No. RBD-6 at 1.4, that the precise amount is $4,678,193, though that is not perfectly clear from the exhibit.  </w:t>
      </w:r>
    </w:p>
    <w:p w:rsidR="00754FA3" w:rsidRDefault="00754FA3">
      <w:pPr>
        <w:pStyle w:val="FootnoteText"/>
      </w:pPr>
    </w:p>
  </w:footnote>
  <w:footnote w:id="299">
    <w:p w:rsidR="00754FA3" w:rsidRPr="00A1372C" w:rsidRDefault="00754FA3" w:rsidP="00656FDA">
      <w:pPr>
        <w:pStyle w:val="FootnoteText"/>
        <w:rPr>
          <w:szCs w:val="22"/>
        </w:rPr>
      </w:pPr>
      <w:r w:rsidRPr="00A1372C">
        <w:rPr>
          <w:rStyle w:val="FootnoteReference"/>
          <w:szCs w:val="22"/>
        </w:rPr>
        <w:footnoteRef/>
      </w:r>
      <w:r w:rsidRPr="00A1372C">
        <w:rPr>
          <w:szCs w:val="22"/>
        </w:rPr>
        <w:t xml:space="preserve"> The Commission ordered the Company to use a 15-year amortization period for revenues associated with the sale of SO</w:t>
      </w:r>
      <w:r w:rsidRPr="00A1372C">
        <w:rPr>
          <w:szCs w:val="22"/>
          <w:vertAlign w:val="subscript"/>
        </w:rPr>
        <w:t>2</w:t>
      </w:r>
      <w:r w:rsidRPr="00A1372C">
        <w:rPr>
          <w:szCs w:val="22"/>
        </w:rPr>
        <w:t xml:space="preserve"> emission allowances by Order 01 entered September 14, 1994, in Docket UE-940947.</w:t>
      </w:r>
    </w:p>
    <w:p w:rsidR="00754FA3" w:rsidRPr="00A1372C" w:rsidRDefault="00754FA3" w:rsidP="00656FDA">
      <w:pPr>
        <w:pStyle w:val="FootnoteText"/>
        <w:rPr>
          <w:szCs w:val="22"/>
        </w:rPr>
      </w:pPr>
    </w:p>
  </w:footnote>
  <w:footnote w:id="300">
    <w:p w:rsidR="00754FA3" w:rsidRPr="00A1372C" w:rsidRDefault="00754FA3" w:rsidP="00656FDA">
      <w:pPr>
        <w:pStyle w:val="FootnoteText"/>
        <w:rPr>
          <w:szCs w:val="22"/>
        </w:rPr>
      </w:pPr>
      <w:r w:rsidRPr="00A1372C">
        <w:rPr>
          <w:rStyle w:val="FootnoteReference"/>
          <w:szCs w:val="22"/>
        </w:rPr>
        <w:footnoteRef/>
      </w:r>
      <w:r w:rsidRPr="00A1372C">
        <w:rPr>
          <w:szCs w:val="22"/>
        </w:rPr>
        <w:t xml:space="preserve"> Meyer, Exh. No. GRM-1T at 17.</w:t>
      </w:r>
    </w:p>
    <w:p w:rsidR="00754FA3" w:rsidRPr="00A1372C" w:rsidRDefault="00754FA3" w:rsidP="00656FDA">
      <w:pPr>
        <w:pStyle w:val="FootnoteText"/>
        <w:rPr>
          <w:szCs w:val="22"/>
        </w:rPr>
      </w:pPr>
    </w:p>
  </w:footnote>
  <w:footnote w:id="301">
    <w:p w:rsidR="00754FA3" w:rsidRPr="00A1372C" w:rsidRDefault="00754FA3" w:rsidP="00656FDA">
      <w:pPr>
        <w:pStyle w:val="FootnoteText"/>
        <w:rPr>
          <w:szCs w:val="22"/>
        </w:rPr>
      </w:pPr>
      <w:r w:rsidRPr="00A1372C">
        <w:rPr>
          <w:rStyle w:val="FootnoteReference"/>
          <w:szCs w:val="22"/>
        </w:rPr>
        <w:footnoteRef/>
      </w:r>
      <w:r w:rsidRPr="00A1372C">
        <w:rPr>
          <w:szCs w:val="22"/>
        </w:rPr>
        <w:t xml:space="preserve"> </w:t>
      </w:r>
      <w:r w:rsidRPr="00967C58">
        <w:rPr>
          <w:i/>
          <w:szCs w:val="22"/>
        </w:rPr>
        <w:t>Id</w:t>
      </w:r>
      <w:r>
        <w:rPr>
          <w:szCs w:val="22"/>
        </w:rPr>
        <w:t>.</w:t>
      </w:r>
      <w:r w:rsidRPr="00A1372C">
        <w:rPr>
          <w:szCs w:val="22"/>
        </w:rPr>
        <w:t xml:space="preserve"> at 18.</w:t>
      </w:r>
    </w:p>
    <w:p w:rsidR="00754FA3" w:rsidRPr="00A1372C" w:rsidRDefault="00754FA3" w:rsidP="00656FDA">
      <w:pPr>
        <w:pStyle w:val="FootnoteText"/>
        <w:rPr>
          <w:szCs w:val="22"/>
        </w:rPr>
      </w:pPr>
    </w:p>
  </w:footnote>
  <w:footnote w:id="302">
    <w:p w:rsidR="00754FA3" w:rsidRPr="00A1372C" w:rsidRDefault="00754FA3" w:rsidP="00656FDA">
      <w:pPr>
        <w:pStyle w:val="FootnoteText"/>
        <w:rPr>
          <w:szCs w:val="22"/>
        </w:rPr>
      </w:pPr>
      <w:r w:rsidRPr="00A1372C">
        <w:rPr>
          <w:rStyle w:val="FootnoteReference"/>
          <w:szCs w:val="22"/>
        </w:rPr>
        <w:footnoteRef/>
      </w:r>
      <w:r w:rsidRPr="00A1372C">
        <w:rPr>
          <w:szCs w:val="22"/>
        </w:rPr>
        <w:t xml:space="preserve"> </w:t>
      </w:r>
      <w:r w:rsidRPr="00967C58">
        <w:rPr>
          <w:i/>
          <w:szCs w:val="22"/>
        </w:rPr>
        <w:t>Id</w:t>
      </w:r>
      <w:r>
        <w:rPr>
          <w:szCs w:val="22"/>
        </w:rPr>
        <w:t>.</w:t>
      </w:r>
      <w:r w:rsidRPr="00A1372C">
        <w:rPr>
          <w:szCs w:val="22"/>
        </w:rPr>
        <w:t xml:space="preserve"> at 19.</w:t>
      </w:r>
    </w:p>
    <w:p w:rsidR="00754FA3" w:rsidRPr="00A1372C" w:rsidRDefault="00754FA3" w:rsidP="00656FDA">
      <w:pPr>
        <w:pStyle w:val="FootnoteText"/>
        <w:rPr>
          <w:szCs w:val="22"/>
        </w:rPr>
      </w:pPr>
    </w:p>
  </w:footnote>
  <w:footnote w:id="303">
    <w:p w:rsidR="00754FA3" w:rsidRPr="00A1372C" w:rsidRDefault="00754FA3" w:rsidP="00656FDA">
      <w:pPr>
        <w:pStyle w:val="FootnoteText"/>
        <w:rPr>
          <w:szCs w:val="22"/>
        </w:rPr>
      </w:pPr>
      <w:r w:rsidRPr="00A1372C">
        <w:rPr>
          <w:rStyle w:val="FootnoteReference"/>
          <w:szCs w:val="22"/>
        </w:rPr>
        <w:footnoteRef/>
      </w:r>
      <w:r w:rsidRPr="00A1372C">
        <w:rPr>
          <w:szCs w:val="22"/>
        </w:rPr>
        <w:t xml:space="preserve"> Dalley, Exh. No. RBD-6 at 12.0. </w:t>
      </w:r>
    </w:p>
    <w:p w:rsidR="00754FA3" w:rsidRPr="00A1372C" w:rsidRDefault="00754FA3" w:rsidP="00656FDA">
      <w:pPr>
        <w:pStyle w:val="FootnoteText"/>
        <w:rPr>
          <w:szCs w:val="22"/>
        </w:rPr>
      </w:pPr>
    </w:p>
  </w:footnote>
  <w:footnote w:id="304">
    <w:p w:rsidR="00754FA3" w:rsidRPr="00A1372C" w:rsidRDefault="00754FA3" w:rsidP="00656FDA">
      <w:pPr>
        <w:pStyle w:val="FootnoteText"/>
        <w:rPr>
          <w:szCs w:val="22"/>
        </w:rPr>
      </w:pPr>
      <w:r w:rsidRPr="00A1372C">
        <w:rPr>
          <w:rStyle w:val="FootnoteReference"/>
          <w:szCs w:val="22"/>
        </w:rPr>
        <w:footnoteRef/>
      </w:r>
      <w:r w:rsidRPr="00A1372C">
        <w:rPr>
          <w:szCs w:val="22"/>
        </w:rPr>
        <w:t xml:space="preserve"> Dalley, Exh. No. RBD-4T at 3.</w:t>
      </w:r>
    </w:p>
    <w:p w:rsidR="00754FA3" w:rsidRPr="00A1372C" w:rsidRDefault="00754FA3" w:rsidP="00656FDA">
      <w:pPr>
        <w:pStyle w:val="FootnoteText"/>
        <w:rPr>
          <w:szCs w:val="22"/>
        </w:rPr>
      </w:pPr>
    </w:p>
  </w:footnote>
  <w:footnote w:id="305">
    <w:p w:rsidR="00754FA3" w:rsidRPr="00A1372C" w:rsidRDefault="00754FA3">
      <w:pPr>
        <w:pStyle w:val="FootnoteText"/>
        <w:rPr>
          <w:szCs w:val="22"/>
        </w:rPr>
      </w:pPr>
      <w:r w:rsidRPr="00A1372C">
        <w:rPr>
          <w:rStyle w:val="FootnoteReference"/>
          <w:szCs w:val="22"/>
        </w:rPr>
        <w:footnoteRef/>
      </w:r>
      <w:r w:rsidRPr="00A1372C">
        <w:rPr>
          <w:szCs w:val="22"/>
        </w:rPr>
        <w:t xml:space="preserve"> Dalley, Exh. No. RBD-3 at 3.1.</w:t>
      </w:r>
    </w:p>
    <w:p w:rsidR="00754FA3" w:rsidRPr="00A1372C" w:rsidRDefault="00754FA3">
      <w:pPr>
        <w:pStyle w:val="FootnoteText"/>
        <w:rPr>
          <w:szCs w:val="22"/>
        </w:rPr>
      </w:pPr>
    </w:p>
  </w:footnote>
  <w:footnote w:id="306">
    <w:p w:rsidR="00754FA3" w:rsidRPr="002B4BD4" w:rsidRDefault="00754FA3">
      <w:pPr>
        <w:pStyle w:val="FootnoteText"/>
      </w:pPr>
      <w:r>
        <w:rPr>
          <w:rStyle w:val="FootnoteReference"/>
        </w:rPr>
        <w:footnoteRef/>
      </w:r>
      <w:r>
        <w:t xml:space="preserve"> </w:t>
      </w:r>
      <w:r w:rsidRPr="008A0BE7">
        <w:rPr>
          <w:i/>
        </w:rPr>
        <w:t xml:space="preserve">See Washington Utilities and Transportation Commission v. PacifiCorp, </w:t>
      </w:r>
      <w:r w:rsidRPr="008A0BE7">
        <w:t>Docket UE-050684, Order 04 (April 17, 2006).</w:t>
      </w:r>
    </w:p>
    <w:p w:rsidR="00754FA3" w:rsidRPr="002B4BD4" w:rsidRDefault="00754FA3">
      <w:pPr>
        <w:pStyle w:val="FootnoteText"/>
      </w:pPr>
    </w:p>
  </w:footnote>
  <w:footnote w:id="307">
    <w:p w:rsidR="00754FA3" w:rsidRPr="00A1372C" w:rsidRDefault="00754FA3" w:rsidP="00AC3419">
      <w:pPr>
        <w:pStyle w:val="FootnoteText"/>
        <w:rPr>
          <w:szCs w:val="22"/>
        </w:rPr>
      </w:pPr>
      <w:r w:rsidRPr="00A1372C">
        <w:rPr>
          <w:rStyle w:val="FootnoteReference"/>
          <w:szCs w:val="22"/>
        </w:rPr>
        <w:footnoteRef/>
      </w:r>
      <w:r>
        <w:rPr>
          <w:szCs w:val="22"/>
        </w:rPr>
        <w:t xml:space="preserve"> Meyer, Exh. No. GRM-1T </w:t>
      </w:r>
      <w:r w:rsidRPr="00A1372C">
        <w:rPr>
          <w:szCs w:val="22"/>
        </w:rPr>
        <w:t>at 16.</w:t>
      </w:r>
    </w:p>
    <w:p w:rsidR="00754FA3" w:rsidRPr="00A1372C" w:rsidRDefault="00754FA3" w:rsidP="00AC3419">
      <w:pPr>
        <w:pStyle w:val="FootnoteText"/>
        <w:rPr>
          <w:szCs w:val="22"/>
        </w:rPr>
      </w:pPr>
    </w:p>
  </w:footnote>
  <w:footnote w:id="308">
    <w:p w:rsidR="00754FA3" w:rsidRDefault="00754FA3" w:rsidP="00AC3419">
      <w:pPr>
        <w:pStyle w:val="FootnoteText"/>
        <w:rPr>
          <w:szCs w:val="22"/>
        </w:rPr>
      </w:pPr>
      <w:r w:rsidRPr="00A1372C">
        <w:rPr>
          <w:rStyle w:val="FootnoteReference"/>
          <w:szCs w:val="22"/>
        </w:rPr>
        <w:footnoteRef/>
      </w:r>
      <w:r w:rsidRPr="00A1372C">
        <w:rPr>
          <w:szCs w:val="22"/>
        </w:rPr>
        <w:t xml:space="preserve"> </w:t>
      </w:r>
      <w:r w:rsidRPr="00967C58">
        <w:rPr>
          <w:i/>
          <w:szCs w:val="22"/>
        </w:rPr>
        <w:t>Id.</w:t>
      </w:r>
      <w:r w:rsidRPr="00A1372C">
        <w:rPr>
          <w:szCs w:val="22"/>
        </w:rPr>
        <w:t xml:space="preserve"> at 16. </w:t>
      </w:r>
    </w:p>
    <w:p w:rsidR="00754FA3" w:rsidRPr="00A1372C" w:rsidRDefault="00754FA3" w:rsidP="00AC3419">
      <w:pPr>
        <w:pStyle w:val="FootnoteText"/>
        <w:rPr>
          <w:szCs w:val="22"/>
        </w:rPr>
      </w:pPr>
    </w:p>
  </w:footnote>
  <w:footnote w:id="309">
    <w:p w:rsidR="00754FA3" w:rsidRPr="00A1372C" w:rsidRDefault="00754FA3" w:rsidP="00AC3419">
      <w:pPr>
        <w:pStyle w:val="FootnoteText"/>
        <w:rPr>
          <w:szCs w:val="22"/>
        </w:rPr>
      </w:pPr>
      <w:r w:rsidRPr="00A1372C">
        <w:rPr>
          <w:rStyle w:val="FootnoteReference"/>
          <w:szCs w:val="22"/>
        </w:rPr>
        <w:footnoteRef/>
      </w:r>
      <w:r w:rsidRPr="00A1372C">
        <w:rPr>
          <w:szCs w:val="22"/>
        </w:rPr>
        <w:t xml:space="preserve"> </w:t>
      </w:r>
      <w:r w:rsidRPr="00967C58">
        <w:rPr>
          <w:i/>
          <w:szCs w:val="22"/>
        </w:rPr>
        <w:t>Id.</w:t>
      </w:r>
      <w:r>
        <w:rPr>
          <w:szCs w:val="22"/>
        </w:rPr>
        <w:t xml:space="preserve"> </w:t>
      </w:r>
      <w:r w:rsidRPr="00A1372C">
        <w:rPr>
          <w:szCs w:val="22"/>
        </w:rPr>
        <w:t>at 17.</w:t>
      </w:r>
    </w:p>
    <w:p w:rsidR="00754FA3" w:rsidRPr="00A1372C" w:rsidRDefault="00754FA3" w:rsidP="00AC3419">
      <w:pPr>
        <w:pStyle w:val="FootnoteText"/>
        <w:rPr>
          <w:szCs w:val="22"/>
        </w:rPr>
      </w:pPr>
    </w:p>
  </w:footnote>
  <w:footnote w:id="310">
    <w:p w:rsidR="00754FA3" w:rsidRPr="00A1372C" w:rsidRDefault="00754FA3" w:rsidP="00AC3419">
      <w:pPr>
        <w:pStyle w:val="FootnoteText"/>
        <w:rPr>
          <w:szCs w:val="22"/>
        </w:rPr>
      </w:pPr>
      <w:r w:rsidRPr="00A1372C">
        <w:rPr>
          <w:rStyle w:val="FootnoteReference"/>
          <w:szCs w:val="22"/>
        </w:rPr>
        <w:footnoteRef/>
      </w:r>
      <w:r w:rsidRPr="00A1372C">
        <w:rPr>
          <w:szCs w:val="22"/>
        </w:rPr>
        <w:t xml:space="preserve"> Duvall, Exh. No. GND-5T at 13.</w:t>
      </w:r>
    </w:p>
    <w:p w:rsidR="00754FA3" w:rsidRPr="00A1372C" w:rsidRDefault="00754FA3" w:rsidP="00AC3419">
      <w:pPr>
        <w:pStyle w:val="FootnoteText"/>
        <w:rPr>
          <w:szCs w:val="22"/>
        </w:rPr>
      </w:pPr>
    </w:p>
  </w:footnote>
  <w:footnote w:id="311">
    <w:p w:rsidR="00754FA3" w:rsidRPr="00A1372C" w:rsidRDefault="00754FA3" w:rsidP="00AC3419">
      <w:pPr>
        <w:pStyle w:val="FootnoteText"/>
        <w:rPr>
          <w:szCs w:val="22"/>
        </w:rPr>
      </w:pPr>
      <w:r w:rsidRPr="00A1372C">
        <w:rPr>
          <w:rStyle w:val="FootnoteReference"/>
          <w:szCs w:val="22"/>
        </w:rPr>
        <w:footnoteRef/>
      </w:r>
      <w:r w:rsidRPr="00A1372C">
        <w:rPr>
          <w:szCs w:val="22"/>
        </w:rPr>
        <w:t xml:space="preserve"> </w:t>
      </w:r>
      <w:r w:rsidRPr="00967C58">
        <w:rPr>
          <w:i/>
          <w:szCs w:val="22"/>
        </w:rPr>
        <w:t>Id</w:t>
      </w:r>
      <w:r>
        <w:rPr>
          <w:szCs w:val="22"/>
        </w:rPr>
        <w:t>.</w:t>
      </w:r>
      <w:r w:rsidRPr="00A1372C">
        <w:rPr>
          <w:szCs w:val="22"/>
        </w:rPr>
        <w:t xml:space="preserve"> at 13.</w:t>
      </w:r>
    </w:p>
    <w:p w:rsidR="00754FA3" w:rsidRPr="00A1372C" w:rsidRDefault="00754FA3" w:rsidP="00AC3419">
      <w:pPr>
        <w:pStyle w:val="FootnoteText"/>
        <w:rPr>
          <w:szCs w:val="22"/>
        </w:rPr>
      </w:pPr>
    </w:p>
  </w:footnote>
  <w:footnote w:id="312">
    <w:p w:rsidR="00754FA3" w:rsidRPr="00A1372C" w:rsidRDefault="00754FA3" w:rsidP="00AC3419">
      <w:pPr>
        <w:pStyle w:val="FootnoteText"/>
        <w:rPr>
          <w:szCs w:val="22"/>
        </w:rPr>
      </w:pPr>
      <w:r w:rsidRPr="00A1372C">
        <w:rPr>
          <w:rStyle w:val="FootnoteReference"/>
          <w:szCs w:val="22"/>
        </w:rPr>
        <w:footnoteRef/>
      </w:r>
      <w:r w:rsidRPr="00A1372C">
        <w:rPr>
          <w:szCs w:val="22"/>
        </w:rPr>
        <w:t xml:space="preserve"> Schooley, Exh. No. TES-4T at 4.</w:t>
      </w:r>
    </w:p>
    <w:p w:rsidR="00754FA3" w:rsidRPr="00A1372C" w:rsidRDefault="00754FA3" w:rsidP="00AC3419">
      <w:pPr>
        <w:pStyle w:val="FootnoteText"/>
        <w:rPr>
          <w:szCs w:val="22"/>
        </w:rPr>
      </w:pPr>
    </w:p>
  </w:footnote>
  <w:footnote w:id="313">
    <w:p w:rsidR="00754FA3" w:rsidRDefault="00754FA3">
      <w:pPr>
        <w:pStyle w:val="FootnoteText"/>
      </w:pPr>
      <w:r>
        <w:rPr>
          <w:rStyle w:val="FootnoteReference"/>
        </w:rPr>
        <w:footnoteRef/>
      </w:r>
      <w:r>
        <w:t xml:space="preserve"> </w:t>
      </w:r>
      <w:r w:rsidRPr="00967C58">
        <w:rPr>
          <w:i/>
        </w:rPr>
        <w:t>Id.</w:t>
      </w:r>
      <w:r>
        <w:t xml:space="preserve"> at 5.</w:t>
      </w:r>
    </w:p>
    <w:p w:rsidR="00754FA3" w:rsidRPr="008C1BE5" w:rsidRDefault="00754FA3">
      <w:pPr>
        <w:pStyle w:val="FootnoteText"/>
      </w:pPr>
    </w:p>
  </w:footnote>
  <w:footnote w:id="314">
    <w:p w:rsidR="00754FA3" w:rsidRDefault="00754FA3">
      <w:pPr>
        <w:pStyle w:val="FootnoteText"/>
      </w:pPr>
      <w:r>
        <w:rPr>
          <w:rStyle w:val="FootnoteReference"/>
        </w:rPr>
        <w:footnoteRef/>
      </w:r>
      <w:r>
        <w:t xml:space="preserve"> Novak, Exh. No. VN-1CT at 8; Staff’s Initial Post-Hearing Brief at 5.</w:t>
      </w:r>
    </w:p>
    <w:p w:rsidR="00754FA3" w:rsidRPr="0016233D" w:rsidRDefault="00754FA3">
      <w:pPr>
        <w:pStyle w:val="FootnoteText"/>
      </w:pPr>
    </w:p>
  </w:footnote>
  <w:footnote w:id="315">
    <w:p w:rsidR="00754FA3" w:rsidRPr="00A1372C" w:rsidRDefault="00754FA3">
      <w:pPr>
        <w:pStyle w:val="FootnoteText"/>
        <w:rPr>
          <w:szCs w:val="22"/>
        </w:rPr>
      </w:pPr>
      <w:r w:rsidRPr="00A1372C">
        <w:rPr>
          <w:rStyle w:val="FootnoteReference"/>
          <w:szCs w:val="22"/>
        </w:rPr>
        <w:footnoteRef/>
      </w:r>
      <w:r w:rsidRPr="00A1372C">
        <w:rPr>
          <w:szCs w:val="22"/>
        </w:rPr>
        <w:t xml:space="preserve"> Dalley, Exh. No. RBD-1T at 8.</w:t>
      </w:r>
    </w:p>
    <w:p w:rsidR="00754FA3" w:rsidRPr="00A1372C" w:rsidRDefault="00754FA3">
      <w:pPr>
        <w:pStyle w:val="FootnoteText"/>
        <w:rPr>
          <w:szCs w:val="22"/>
        </w:rPr>
      </w:pPr>
    </w:p>
  </w:footnote>
  <w:footnote w:id="316">
    <w:p w:rsidR="00754FA3" w:rsidRPr="00A1372C" w:rsidRDefault="00754FA3" w:rsidP="002A2241">
      <w:pPr>
        <w:pStyle w:val="FootnoteText"/>
        <w:rPr>
          <w:szCs w:val="22"/>
        </w:rPr>
      </w:pPr>
      <w:r w:rsidRPr="00A1372C">
        <w:rPr>
          <w:rStyle w:val="FootnoteReference"/>
          <w:szCs w:val="22"/>
        </w:rPr>
        <w:footnoteRef/>
      </w:r>
      <w:r w:rsidRPr="00A1372C">
        <w:rPr>
          <w:szCs w:val="22"/>
        </w:rPr>
        <w:t xml:space="preserve"> Dalley, Exh. No. RBD-3 at 3.0.</w:t>
      </w:r>
    </w:p>
    <w:p w:rsidR="00754FA3" w:rsidRPr="00A1372C" w:rsidRDefault="00754FA3" w:rsidP="002A2241">
      <w:pPr>
        <w:pStyle w:val="FootnoteText"/>
        <w:rPr>
          <w:szCs w:val="22"/>
        </w:rPr>
      </w:pPr>
    </w:p>
  </w:footnote>
  <w:footnote w:id="317">
    <w:p w:rsidR="00754FA3" w:rsidRPr="00A1372C" w:rsidRDefault="00754FA3" w:rsidP="002A2241">
      <w:pPr>
        <w:pStyle w:val="FootnoteText"/>
        <w:rPr>
          <w:szCs w:val="22"/>
        </w:rPr>
      </w:pPr>
      <w:r w:rsidRPr="00A1372C">
        <w:rPr>
          <w:rStyle w:val="FootnoteReference"/>
          <w:szCs w:val="22"/>
        </w:rPr>
        <w:footnoteRef/>
      </w:r>
      <w:r w:rsidRPr="00A1372C">
        <w:rPr>
          <w:szCs w:val="22"/>
        </w:rPr>
        <w:t xml:space="preserve"> Novak, Exh. No. VN-1CT at 9.</w:t>
      </w:r>
    </w:p>
    <w:p w:rsidR="00754FA3" w:rsidRPr="00A1372C" w:rsidRDefault="00754FA3" w:rsidP="002A2241">
      <w:pPr>
        <w:pStyle w:val="FootnoteText"/>
        <w:rPr>
          <w:szCs w:val="22"/>
        </w:rPr>
      </w:pPr>
    </w:p>
  </w:footnote>
  <w:footnote w:id="318">
    <w:p w:rsidR="00754FA3" w:rsidRPr="00A1372C" w:rsidRDefault="00754FA3" w:rsidP="002A2241">
      <w:pPr>
        <w:pStyle w:val="FootnoteText"/>
        <w:rPr>
          <w:szCs w:val="22"/>
        </w:rPr>
      </w:pPr>
      <w:r w:rsidRPr="00A1372C">
        <w:rPr>
          <w:rStyle w:val="FootnoteReference"/>
          <w:szCs w:val="22"/>
        </w:rPr>
        <w:footnoteRef/>
      </w:r>
      <w:r w:rsidRPr="00A1372C">
        <w:rPr>
          <w:szCs w:val="22"/>
        </w:rPr>
        <w:t xml:space="preserve"> </w:t>
      </w:r>
      <w:r w:rsidRPr="00967C58">
        <w:rPr>
          <w:i/>
          <w:szCs w:val="22"/>
        </w:rPr>
        <w:t>Id</w:t>
      </w:r>
      <w:r>
        <w:rPr>
          <w:szCs w:val="22"/>
        </w:rPr>
        <w:t>.</w:t>
      </w:r>
      <w:r w:rsidRPr="00A1372C">
        <w:rPr>
          <w:szCs w:val="22"/>
        </w:rPr>
        <w:t xml:space="preserve"> at 8.</w:t>
      </w:r>
    </w:p>
    <w:p w:rsidR="00754FA3" w:rsidRPr="00A1372C" w:rsidRDefault="00754FA3" w:rsidP="002A2241">
      <w:pPr>
        <w:pStyle w:val="FootnoteText"/>
        <w:rPr>
          <w:szCs w:val="22"/>
        </w:rPr>
      </w:pPr>
    </w:p>
  </w:footnote>
  <w:footnote w:id="319">
    <w:p w:rsidR="00754FA3" w:rsidRPr="00A1372C" w:rsidRDefault="00754FA3" w:rsidP="002A2241">
      <w:pPr>
        <w:pStyle w:val="FootnoteText"/>
        <w:rPr>
          <w:szCs w:val="22"/>
        </w:rPr>
      </w:pPr>
      <w:r w:rsidRPr="00A1372C">
        <w:rPr>
          <w:rStyle w:val="FootnoteReference"/>
          <w:szCs w:val="22"/>
        </w:rPr>
        <w:footnoteRef/>
      </w:r>
      <w:r w:rsidRPr="00A1372C">
        <w:rPr>
          <w:szCs w:val="22"/>
        </w:rPr>
        <w:t xml:space="preserve"> Duvall, Exh. No. GND-5T at 10.</w:t>
      </w:r>
    </w:p>
    <w:p w:rsidR="00754FA3" w:rsidRPr="00A1372C" w:rsidRDefault="00754FA3" w:rsidP="002A2241">
      <w:pPr>
        <w:pStyle w:val="FootnoteText"/>
        <w:rPr>
          <w:szCs w:val="22"/>
        </w:rPr>
      </w:pPr>
    </w:p>
  </w:footnote>
  <w:footnote w:id="320">
    <w:p w:rsidR="00754FA3" w:rsidRDefault="00754FA3">
      <w:pPr>
        <w:pStyle w:val="FootnoteText"/>
      </w:pPr>
      <w:r>
        <w:rPr>
          <w:rStyle w:val="FootnoteReference"/>
        </w:rPr>
        <w:footnoteRef/>
      </w:r>
      <w:r>
        <w:t xml:space="preserve"> The R square value is the statistical correlation between two variables; in this case, temperature and electricity consumption or load, that seeks to establish a coefficient over a period of ranges.  For example, an R-value of .70 means that in 70 percent of cases, over a range of scenarios, the correlation is predictable and in 30 percent of cases it is not predictable.</w:t>
      </w:r>
    </w:p>
    <w:p w:rsidR="00754FA3" w:rsidRDefault="00754FA3">
      <w:pPr>
        <w:pStyle w:val="FootnoteText"/>
      </w:pPr>
      <w:r>
        <w:t xml:space="preserve"> </w:t>
      </w:r>
    </w:p>
  </w:footnote>
  <w:footnote w:id="321">
    <w:p w:rsidR="00754FA3" w:rsidRPr="00A1372C" w:rsidRDefault="00754FA3" w:rsidP="002A2241">
      <w:pPr>
        <w:pStyle w:val="FootnoteText"/>
        <w:rPr>
          <w:szCs w:val="22"/>
        </w:rPr>
      </w:pPr>
      <w:r w:rsidRPr="00A1372C">
        <w:rPr>
          <w:rStyle w:val="FootnoteReference"/>
          <w:szCs w:val="22"/>
        </w:rPr>
        <w:footnoteRef/>
      </w:r>
      <w:r w:rsidRPr="00A1372C">
        <w:rPr>
          <w:szCs w:val="22"/>
        </w:rPr>
        <w:t xml:space="preserve"> Duvall, Exh. No. GND-5T at 9 – 10.</w:t>
      </w:r>
    </w:p>
    <w:p w:rsidR="00754FA3" w:rsidRPr="00A1372C" w:rsidRDefault="00754FA3" w:rsidP="002A2241">
      <w:pPr>
        <w:pStyle w:val="FootnoteText"/>
        <w:rPr>
          <w:szCs w:val="22"/>
        </w:rPr>
      </w:pPr>
    </w:p>
  </w:footnote>
  <w:footnote w:id="322">
    <w:p w:rsidR="00754FA3" w:rsidRDefault="00754FA3">
      <w:pPr>
        <w:pStyle w:val="FootnoteText"/>
      </w:pPr>
      <w:r>
        <w:rPr>
          <w:rStyle w:val="FootnoteReference"/>
        </w:rPr>
        <w:footnoteRef/>
      </w:r>
      <w:r>
        <w:t xml:space="preserve"> Novak, Exh. No. VN-1CT at 11.</w:t>
      </w:r>
    </w:p>
    <w:p w:rsidR="00754FA3" w:rsidRPr="005A2BF9" w:rsidRDefault="00754FA3">
      <w:pPr>
        <w:pStyle w:val="FootnoteText"/>
      </w:pPr>
    </w:p>
  </w:footnote>
  <w:footnote w:id="323">
    <w:p w:rsidR="00754FA3" w:rsidRDefault="00754FA3">
      <w:pPr>
        <w:pStyle w:val="FootnoteText"/>
      </w:pPr>
      <w:r>
        <w:rPr>
          <w:rStyle w:val="FootnoteReference"/>
        </w:rPr>
        <w:footnoteRef/>
      </w:r>
      <w:r>
        <w:t xml:space="preserve"> Dalley, Exh. No. RBD-1T at 10.</w:t>
      </w:r>
    </w:p>
    <w:p w:rsidR="00754FA3" w:rsidRPr="006C34B5" w:rsidRDefault="00754FA3">
      <w:pPr>
        <w:pStyle w:val="FootnoteText"/>
      </w:pPr>
    </w:p>
  </w:footnote>
  <w:footnote w:id="324">
    <w:p w:rsidR="00754FA3" w:rsidRPr="00A1372C" w:rsidRDefault="00754FA3" w:rsidP="00643DC5">
      <w:pPr>
        <w:pStyle w:val="FootnoteText"/>
        <w:rPr>
          <w:szCs w:val="22"/>
        </w:rPr>
      </w:pPr>
      <w:r w:rsidRPr="00A1372C">
        <w:rPr>
          <w:rStyle w:val="FootnoteReference"/>
          <w:szCs w:val="22"/>
        </w:rPr>
        <w:footnoteRef/>
      </w:r>
      <w:r w:rsidRPr="00A1372C">
        <w:rPr>
          <w:szCs w:val="22"/>
        </w:rPr>
        <w:t xml:space="preserve"> </w:t>
      </w:r>
      <w:r w:rsidRPr="00967C58">
        <w:rPr>
          <w:i/>
          <w:szCs w:val="22"/>
        </w:rPr>
        <w:t>Id</w:t>
      </w:r>
      <w:r>
        <w:rPr>
          <w:szCs w:val="22"/>
        </w:rPr>
        <w:t>.</w:t>
      </w:r>
      <w:r w:rsidRPr="00A1372C">
        <w:rPr>
          <w:szCs w:val="22"/>
        </w:rPr>
        <w:t xml:space="preserve"> at 10.</w:t>
      </w:r>
    </w:p>
    <w:p w:rsidR="00754FA3" w:rsidRPr="00A1372C" w:rsidRDefault="00754FA3" w:rsidP="00643DC5">
      <w:pPr>
        <w:pStyle w:val="FootnoteText"/>
        <w:rPr>
          <w:szCs w:val="22"/>
        </w:rPr>
      </w:pPr>
    </w:p>
  </w:footnote>
  <w:footnote w:id="325">
    <w:p w:rsidR="00754FA3" w:rsidRDefault="00754FA3" w:rsidP="00643DC5">
      <w:pPr>
        <w:pStyle w:val="FootnoteText"/>
        <w:rPr>
          <w:szCs w:val="22"/>
        </w:rPr>
      </w:pPr>
      <w:r w:rsidRPr="00A1372C">
        <w:rPr>
          <w:rStyle w:val="FootnoteReference"/>
          <w:szCs w:val="22"/>
        </w:rPr>
        <w:footnoteRef/>
      </w:r>
      <w:r w:rsidRPr="00A1372C">
        <w:rPr>
          <w:szCs w:val="22"/>
        </w:rPr>
        <w:t xml:space="preserve"> Dalley, Exh. No. RBD-1T at 11.</w:t>
      </w:r>
    </w:p>
    <w:p w:rsidR="00754FA3" w:rsidRPr="003C53CF" w:rsidRDefault="00754FA3" w:rsidP="00643DC5">
      <w:pPr>
        <w:pStyle w:val="FootnoteText"/>
        <w:rPr>
          <w:szCs w:val="22"/>
        </w:rPr>
      </w:pPr>
    </w:p>
  </w:footnote>
  <w:footnote w:id="326">
    <w:p w:rsidR="00754FA3" w:rsidRPr="00C15354" w:rsidRDefault="00754FA3">
      <w:pPr>
        <w:pStyle w:val="FootnoteText"/>
      </w:pPr>
      <w:r>
        <w:rPr>
          <w:rStyle w:val="FootnoteReference"/>
        </w:rPr>
        <w:footnoteRef/>
      </w:r>
      <w:r>
        <w:t xml:space="preserve"> Meyer, Exh. No. GRM-1CT at 21-25, 29.</w:t>
      </w:r>
    </w:p>
    <w:p w:rsidR="00754FA3" w:rsidRPr="003C53CF" w:rsidRDefault="00754FA3">
      <w:pPr>
        <w:pStyle w:val="FootnoteText"/>
      </w:pPr>
    </w:p>
  </w:footnote>
  <w:footnote w:id="327">
    <w:p w:rsidR="00754FA3" w:rsidRPr="00A1372C" w:rsidRDefault="00754FA3" w:rsidP="00643DC5">
      <w:pPr>
        <w:pStyle w:val="FootnoteText"/>
        <w:rPr>
          <w:szCs w:val="22"/>
        </w:rPr>
      </w:pPr>
      <w:r w:rsidRPr="00A1372C">
        <w:rPr>
          <w:rStyle w:val="FootnoteReference"/>
          <w:szCs w:val="22"/>
        </w:rPr>
        <w:footnoteRef/>
      </w:r>
      <w:r w:rsidRPr="00A1372C">
        <w:rPr>
          <w:szCs w:val="22"/>
        </w:rPr>
        <w:t xml:space="preserve"> </w:t>
      </w:r>
      <w:r w:rsidRPr="00967C58">
        <w:rPr>
          <w:i/>
          <w:szCs w:val="22"/>
        </w:rPr>
        <w:t>Id</w:t>
      </w:r>
      <w:r>
        <w:rPr>
          <w:szCs w:val="22"/>
        </w:rPr>
        <w:t xml:space="preserve">.  </w:t>
      </w:r>
      <w:r>
        <w:t>Meyer does not explain the Powerdale Hydro Removal adjustment, but we believe he is referring to the cost savings realized by the Company’s retirement of the Powerdale hydroelectric facility.  If so, the cost savings realized by the Powerdale adjustment are already reflected in the Company’s filing.</w:t>
      </w:r>
    </w:p>
    <w:p w:rsidR="00754FA3" w:rsidRPr="00A1372C" w:rsidRDefault="00754FA3" w:rsidP="00643DC5">
      <w:pPr>
        <w:pStyle w:val="FootnoteText"/>
        <w:rPr>
          <w:szCs w:val="22"/>
        </w:rPr>
      </w:pPr>
    </w:p>
  </w:footnote>
  <w:footnote w:id="328">
    <w:p w:rsidR="00754FA3" w:rsidRPr="00A1372C" w:rsidRDefault="00754FA3" w:rsidP="002B1E75">
      <w:pPr>
        <w:pStyle w:val="FootnoteText"/>
        <w:rPr>
          <w:szCs w:val="22"/>
        </w:rPr>
      </w:pPr>
      <w:r w:rsidRPr="00A1372C">
        <w:rPr>
          <w:rStyle w:val="FootnoteReference"/>
          <w:szCs w:val="22"/>
        </w:rPr>
        <w:footnoteRef/>
      </w:r>
      <w:r w:rsidRPr="00A1372C">
        <w:rPr>
          <w:szCs w:val="22"/>
        </w:rPr>
        <w:t xml:space="preserve"> Meyer, Exh. No. GRM-1CT at 29.</w:t>
      </w:r>
    </w:p>
    <w:p w:rsidR="00754FA3" w:rsidRPr="00A1372C" w:rsidRDefault="00754FA3" w:rsidP="002B1E75">
      <w:pPr>
        <w:pStyle w:val="FootnoteText"/>
        <w:rPr>
          <w:szCs w:val="22"/>
        </w:rPr>
      </w:pPr>
    </w:p>
  </w:footnote>
  <w:footnote w:id="329">
    <w:p w:rsidR="00754FA3" w:rsidRDefault="00754FA3">
      <w:pPr>
        <w:pStyle w:val="FootnoteText"/>
      </w:pPr>
      <w:r>
        <w:rPr>
          <w:rStyle w:val="FootnoteReference"/>
        </w:rPr>
        <w:footnoteRef/>
      </w:r>
      <w:r>
        <w:t xml:space="preserve"> Wilson, Exh. No. EDW-3T at 12 - 13.</w:t>
      </w:r>
    </w:p>
    <w:p w:rsidR="00754FA3" w:rsidRPr="00D535B8" w:rsidRDefault="00754FA3">
      <w:pPr>
        <w:pStyle w:val="FootnoteText"/>
      </w:pPr>
    </w:p>
  </w:footnote>
  <w:footnote w:id="330">
    <w:p w:rsidR="00754FA3" w:rsidRPr="00A1372C" w:rsidRDefault="00754FA3" w:rsidP="00643DC5">
      <w:pPr>
        <w:pStyle w:val="FootnoteText"/>
        <w:rPr>
          <w:szCs w:val="22"/>
        </w:rPr>
      </w:pPr>
      <w:r w:rsidRPr="00A1372C">
        <w:rPr>
          <w:rStyle w:val="FootnoteReference"/>
          <w:szCs w:val="22"/>
        </w:rPr>
        <w:footnoteRef/>
      </w:r>
      <w:r w:rsidRPr="00A1372C">
        <w:rPr>
          <w:szCs w:val="22"/>
        </w:rPr>
        <w:t xml:space="preserve"> Wilson, Exh. No. EDW-3T at 15.</w:t>
      </w:r>
    </w:p>
    <w:p w:rsidR="00754FA3" w:rsidRPr="00A1372C" w:rsidRDefault="00754FA3" w:rsidP="00643DC5">
      <w:pPr>
        <w:pStyle w:val="FootnoteText"/>
        <w:rPr>
          <w:szCs w:val="22"/>
        </w:rPr>
      </w:pPr>
    </w:p>
  </w:footnote>
  <w:footnote w:id="331">
    <w:p w:rsidR="00754FA3" w:rsidRDefault="00754FA3" w:rsidP="00643DC5">
      <w:pPr>
        <w:pStyle w:val="FootnoteText"/>
        <w:rPr>
          <w:szCs w:val="22"/>
        </w:rPr>
      </w:pPr>
      <w:r w:rsidRPr="00A1372C">
        <w:rPr>
          <w:rStyle w:val="FootnoteReference"/>
          <w:szCs w:val="22"/>
        </w:rPr>
        <w:footnoteRef/>
      </w:r>
      <w:r w:rsidRPr="00A1372C">
        <w:rPr>
          <w:szCs w:val="22"/>
        </w:rPr>
        <w:t xml:space="preserve"> Wilson, Exh. No. EDW-3T at 16.</w:t>
      </w:r>
    </w:p>
    <w:p w:rsidR="00754FA3" w:rsidRPr="00D65969" w:rsidRDefault="00754FA3" w:rsidP="00643DC5">
      <w:pPr>
        <w:pStyle w:val="FootnoteText"/>
        <w:rPr>
          <w:szCs w:val="22"/>
        </w:rPr>
      </w:pPr>
    </w:p>
  </w:footnote>
  <w:footnote w:id="332">
    <w:p w:rsidR="00754FA3" w:rsidRDefault="00754FA3">
      <w:pPr>
        <w:pStyle w:val="FootnoteText"/>
      </w:pPr>
      <w:r>
        <w:rPr>
          <w:rStyle w:val="FootnoteReference"/>
        </w:rPr>
        <w:footnoteRef/>
      </w:r>
      <w:r>
        <w:t xml:space="preserve"> Dalley, TR 365.</w:t>
      </w:r>
    </w:p>
    <w:p w:rsidR="00754FA3" w:rsidRDefault="00754FA3">
      <w:pPr>
        <w:pStyle w:val="FootnoteText"/>
      </w:pPr>
    </w:p>
  </w:footnote>
  <w:footnote w:id="333">
    <w:p w:rsidR="00754FA3" w:rsidRDefault="00754FA3">
      <w:pPr>
        <w:pStyle w:val="FootnoteText"/>
      </w:pPr>
      <w:r>
        <w:rPr>
          <w:rStyle w:val="FootnoteReference"/>
        </w:rPr>
        <w:footnoteRef/>
      </w:r>
      <w:r>
        <w:t xml:space="preserve"> Reiten, TR 231 – 233; Reiten, RPR-1T at 5.</w:t>
      </w:r>
    </w:p>
    <w:p w:rsidR="00754FA3" w:rsidRDefault="00754FA3">
      <w:pPr>
        <w:pStyle w:val="FootnoteText"/>
      </w:pPr>
    </w:p>
  </w:footnote>
  <w:footnote w:id="334">
    <w:p w:rsidR="00754FA3" w:rsidRDefault="00754FA3">
      <w:pPr>
        <w:pStyle w:val="FootnoteText"/>
      </w:pPr>
      <w:r>
        <w:rPr>
          <w:rStyle w:val="FootnoteReference"/>
        </w:rPr>
        <w:footnoteRef/>
      </w:r>
      <w:r>
        <w:t xml:space="preserve"> Dalley, TR. 364 - 367.  In any event, if we were to embark on our own adjustment based on reduced workforce numbers, the impact on Washington costs would be minimal.  </w:t>
      </w:r>
      <w:r w:rsidRPr="0053064B">
        <w:t xml:space="preserve">At most the record suggests a reduction </w:t>
      </w:r>
      <w:r>
        <w:t xml:space="preserve">of 65 employees </w:t>
      </w:r>
      <w:r w:rsidRPr="0053064B">
        <w:t xml:space="preserve">in </w:t>
      </w:r>
      <w:r>
        <w:t xml:space="preserve">the full-time equivalent employees of the Company’s system-wide </w:t>
      </w:r>
      <w:r w:rsidRPr="0053064B">
        <w:t>workforce  of 5,651.  That would translate into a</w:t>
      </w:r>
      <w:r w:rsidRPr="009454D5">
        <w:t>pproximately nine</w:t>
      </w:r>
      <w:r>
        <w:t xml:space="preserve"> </w:t>
      </w:r>
      <w:r w:rsidRPr="0053064B">
        <w:t>few</w:t>
      </w:r>
      <w:r w:rsidRPr="009454D5">
        <w:t>er</w:t>
      </w:r>
      <w:r w:rsidRPr="0053064B">
        <w:t xml:space="preserve"> employees allocated to Washington.</w:t>
      </w:r>
      <w:r>
        <w:t xml:space="preserve">  </w:t>
      </w:r>
    </w:p>
    <w:p w:rsidR="00754FA3" w:rsidRPr="00A22FE9" w:rsidRDefault="00754FA3">
      <w:pPr>
        <w:pStyle w:val="FootnoteText"/>
      </w:pPr>
    </w:p>
  </w:footnote>
  <w:footnote w:id="335">
    <w:p w:rsidR="00754FA3" w:rsidRDefault="00754FA3">
      <w:pPr>
        <w:pStyle w:val="FootnoteText"/>
      </w:pPr>
      <w:r>
        <w:rPr>
          <w:rStyle w:val="FootnoteReference"/>
        </w:rPr>
        <w:footnoteRef/>
      </w:r>
      <w:r>
        <w:t xml:space="preserve"> </w:t>
      </w:r>
      <w:r>
        <w:rPr>
          <w:i/>
        </w:rPr>
        <w:t xml:space="preserve">Washington Utilities &amp; Transportation Commission v. Puget Sound Energy, </w:t>
      </w:r>
      <w:r>
        <w:t>Docket Nos. UE-090704/UG-090705, Order 11 (April 2, 2010).</w:t>
      </w:r>
    </w:p>
    <w:p w:rsidR="00754FA3" w:rsidRPr="00746B91" w:rsidRDefault="00754FA3">
      <w:pPr>
        <w:pStyle w:val="FootnoteText"/>
      </w:pPr>
    </w:p>
  </w:footnote>
  <w:footnote w:id="336">
    <w:p w:rsidR="00754FA3" w:rsidRDefault="00754FA3">
      <w:pPr>
        <w:pStyle w:val="FootnoteText"/>
      </w:pPr>
      <w:r>
        <w:rPr>
          <w:rStyle w:val="FootnoteReference"/>
        </w:rPr>
        <w:footnoteRef/>
      </w:r>
      <w:r>
        <w:t xml:space="preserve"> Wilson, Exh. No. EDW-3T at 13.</w:t>
      </w:r>
    </w:p>
    <w:p w:rsidR="00754FA3" w:rsidRPr="00DD6A3A" w:rsidRDefault="00754FA3">
      <w:pPr>
        <w:pStyle w:val="FootnoteText"/>
      </w:pPr>
    </w:p>
  </w:footnote>
  <w:footnote w:id="337">
    <w:p w:rsidR="00754FA3" w:rsidRPr="00030DBA" w:rsidRDefault="00754FA3">
      <w:pPr>
        <w:pStyle w:val="FootnoteText"/>
        <w:rPr>
          <w:szCs w:val="22"/>
        </w:rPr>
      </w:pPr>
      <w:r w:rsidRPr="00A1372C">
        <w:rPr>
          <w:rStyle w:val="FootnoteReference"/>
          <w:szCs w:val="22"/>
        </w:rPr>
        <w:footnoteRef/>
      </w:r>
      <w:r w:rsidRPr="00A1372C">
        <w:rPr>
          <w:szCs w:val="22"/>
        </w:rPr>
        <w:t xml:space="preserve"> Dalley, Exh. No. RBD-3 at 4.5.</w:t>
      </w:r>
      <w:r>
        <w:rPr>
          <w:szCs w:val="22"/>
        </w:rPr>
        <w:t xml:space="preserve">  In its supplemental response to Bench Request No. 1, the Company states that it was actually billed $11.5 million in MEHC fees.  The Joint Parties acknowledged that $11.5 million is the actual billed amount. </w:t>
      </w:r>
    </w:p>
    <w:p w:rsidR="00754FA3" w:rsidRPr="00A1372C" w:rsidRDefault="00754FA3">
      <w:pPr>
        <w:pStyle w:val="FootnoteText"/>
        <w:rPr>
          <w:szCs w:val="22"/>
        </w:rPr>
      </w:pPr>
    </w:p>
  </w:footnote>
  <w:footnote w:id="338">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Dalley, Exh. No. RBD-1T at 12</w:t>
      </w:r>
      <w:r>
        <w:rPr>
          <w:szCs w:val="22"/>
        </w:rPr>
        <w:t>;</w:t>
      </w:r>
      <w:r w:rsidRPr="00A1372C">
        <w:rPr>
          <w:szCs w:val="22"/>
        </w:rPr>
        <w:t xml:space="preserve"> Exh. No. RBD-3, at 4.5.</w:t>
      </w:r>
    </w:p>
    <w:p w:rsidR="00754FA3" w:rsidRPr="00A1372C" w:rsidRDefault="00754FA3" w:rsidP="00A17BDE">
      <w:pPr>
        <w:pStyle w:val="FootnoteText"/>
        <w:rPr>
          <w:szCs w:val="22"/>
        </w:rPr>
      </w:pPr>
    </w:p>
  </w:footnote>
  <w:footnote w:id="339">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Dalley, Exh. No. RBD-1T at 12.</w:t>
      </w:r>
    </w:p>
    <w:p w:rsidR="00754FA3" w:rsidRPr="00A1372C" w:rsidRDefault="00754FA3" w:rsidP="00A17BDE">
      <w:pPr>
        <w:pStyle w:val="FootnoteText"/>
        <w:rPr>
          <w:szCs w:val="22"/>
        </w:rPr>
      </w:pPr>
    </w:p>
  </w:footnote>
  <w:footnote w:id="340">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Meyer, Exh. No. GRM-1CT at 33.</w:t>
      </w:r>
    </w:p>
    <w:p w:rsidR="00754FA3" w:rsidRPr="00A1372C" w:rsidRDefault="00754FA3" w:rsidP="00A17BDE">
      <w:pPr>
        <w:pStyle w:val="FootnoteText"/>
        <w:rPr>
          <w:szCs w:val="22"/>
        </w:rPr>
      </w:pPr>
    </w:p>
  </w:footnote>
  <w:footnote w:id="341">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t>
      </w:r>
      <w:r w:rsidRPr="00C321BE">
        <w:rPr>
          <w:i/>
          <w:szCs w:val="22"/>
        </w:rPr>
        <w:t>Id</w:t>
      </w:r>
      <w:r>
        <w:rPr>
          <w:szCs w:val="22"/>
        </w:rPr>
        <w:t>.</w:t>
      </w:r>
      <w:r w:rsidRPr="00A1372C">
        <w:rPr>
          <w:szCs w:val="22"/>
        </w:rPr>
        <w:t xml:space="preserve"> at 33.</w:t>
      </w:r>
    </w:p>
    <w:p w:rsidR="00754FA3" w:rsidRPr="00A1372C" w:rsidRDefault="00754FA3" w:rsidP="00A17BDE">
      <w:pPr>
        <w:pStyle w:val="FootnoteText"/>
        <w:rPr>
          <w:szCs w:val="22"/>
        </w:rPr>
      </w:pPr>
    </w:p>
  </w:footnote>
  <w:footnote w:id="342">
    <w:p w:rsidR="00754FA3" w:rsidRPr="00A1372C" w:rsidRDefault="00754FA3" w:rsidP="00E70E5B">
      <w:pPr>
        <w:pStyle w:val="FootnoteText"/>
        <w:rPr>
          <w:szCs w:val="22"/>
        </w:rPr>
      </w:pPr>
      <w:r w:rsidRPr="00A1372C">
        <w:rPr>
          <w:rStyle w:val="FootnoteReference"/>
          <w:szCs w:val="22"/>
        </w:rPr>
        <w:footnoteRef/>
      </w:r>
      <w:r w:rsidRPr="00A1372C">
        <w:rPr>
          <w:szCs w:val="22"/>
        </w:rPr>
        <w:t xml:space="preserve"> </w:t>
      </w:r>
      <w:r w:rsidRPr="00C321BE">
        <w:rPr>
          <w:i/>
          <w:szCs w:val="22"/>
        </w:rPr>
        <w:t>Id.</w:t>
      </w:r>
      <w:r w:rsidRPr="00A1372C">
        <w:rPr>
          <w:szCs w:val="22"/>
        </w:rPr>
        <w:t xml:space="preserve"> at 34.</w:t>
      </w:r>
    </w:p>
    <w:p w:rsidR="00754FA3" w:rsidRPr="00A1372C" w:rsidRDefault="00754FA3" w:rsidP="00E70E5B">
      <w:pPr>
        <w:pStyle w:val="FootnoteText"/>
        <w:rPr>
          <w:szCs w:val="22"/>
        </w:rPr>
      </w:pPr>
    </w:p>
  </w:footnote>
  <w:footnote w:id="343">
    <w:p w:rsidR="00754FA3" w:rsidRPr="00A1372C" w:rsidRDefault="00754FA3" w:rsidP="00E70E5B">
      <w:pPr>
        <w:pStyle w:val="FootnoteText"/>
        <w:rPr>
          <w:szCs w:val="22"/>
        </w:rPr>
      </w:pPr>
      <w:r w:rsidRPr="00A1372C">
        <w:rPr>
          <w:rStyle w:val="FootnoteReference"/>
          <w:szCs w:val="22"/>
        </w:rPr>
        <w:footnoteRef/>
      </w:r>
      <w:r w:rsidRPr="00A1372C">
        <w:rPr>
          <w:szCs w:val="22"/>
        </w:rPr>
        <w:t xml:space="preserve"> Dalley, Exh. No. RBD-4T at 5.</w:t>
      </w:r>
    </w:p>
    <w:p w:rsidR="00754FA3" w:rsidRPr="00A1372C" w:rsidRDefault="00754FA3" w:rsidP="00E70E5B">
      <w:pPr>
        <w:pStyle w:val="FootnoteText"/>
        <w:rPr>
          <w:szCs w:val="22"/>
        </w:rPr>
      </w:pPr>
    </w:p>
  </w:footnote>
  <w:footnote w:id="344">
    <w:p w:rsidR="00754FA3" w:rsidRPr="00A1372C" w:rsidRDefault="00754FA3" w:rsidP="00E70E5B">
      <w:pPr>
        <w:pStyle w:val="FootnoteText"/>
        <w:rPr>
          <w:szCs w:val="22"/>
        </w:rPr>
      </w:pPr>
      <w:r w:rsidRPr="00A1372C">
        <w:rPr>
          <w:rStyle w:val="FootnoteReference"/>
          <w:szCs w:val="22"/>
        </w:rPr>
        <w:footnoteRef/>
      </w:r>
      <w:r w:rsidRPr="00A1372C">
        <w:rPr>
          <w:szCs w:val="22"/>
        </w:rPr>
        <w:t xml:space="preserve"> </w:t>
      </w:r>
      <w:r w:rsidRPr="00C321BE">
        <w:rPr>
          <w:i/>
          <w:szCs w:val="22"/>
        </w:rPr>
        <w:t>Id</w:t>
      </w:r>
      <w:r>
        <w:rPr>
          <w:szCs w:val="22"/>
        </w:rPr>
        <w:t>.</w:t>
      </w:r>
      <w:r w:rsidRPr="00A1372C">
        <w:rPr>
          <w:szCs w:val="22"/>
        </w:rPr>
        <w:t xml:space="preserve"> at 6 – 7.</w:t>
      </w:r>
    </w:p>
    <w:p w:rsidR="00754FA3" w:rsidRPr="00A1372C" w:rsidRDefault="00754FA3" w:rsidP="00E70E5B">
      <w:pPr>
        <w:pStyle w:val="FootnoteText"/>
        <w:rPr>
          <w:szCs w:val="22"/>
        </w:rPr>
      </w:pPr>
    </w:p>
  </w:footnote>
  <w:footnote w:id="345">
    <w:p w:rsidR="00754FA3" w:rsidRPr="00A1372C" w:rsidRDefault="00754FA3" w:rsidP="00E70E5B">
      <w:pPr>
        <w:pStyle w:val="FootnoteText"/>
        <w:rPr>
          <w:szCs w:val="22"/>
        </w:rPr>
      </w:pPr>
      <w:r w:rsidRPr="00A1372C">
        <w:rPr>
          <w:rStyle w:val="FootnoteReference"/>
          <w:szCs w:val="22"/>
        </w:rPr>
        <w:footnoteRef/>
      </w:r>
      <w:r w:rsidRPr="00A1372C">
        <w:rPr>
          <w:szCs w:val="22"/>
        </w:rPr>
        <w:t xml:space="preserve"> </w:t>
      </w:r>
      <w:r w:rsidRPr="00C321BE">
        <w:rPr>
          <w:i/>
          <w:szCs w:val="22"/>
        </w:rPr>
        <w:t>Id.</w:t>
      </w:r>
      <w:r w:rsidRPr="00A1372C">
        <w:rPr>
          <w:szCs w:val="22"/>
        </w:rPr>
        <w:t xml:space="preserve"> at 7.</w:t>
      </w:r>
    </w:p>
    <w:p w:rsidR="00754FA3" w:rsidRPr="00A1372C" w:rsidRDefault="00754FA3" w:rsidP="00E70E5B">
      <w:pPr>
        <w:pStyle w:val="FootnoteText"/>
        <w:rPr>
          <w:szCs w:val="22"/>
        </w:rPr>
      </w:pPr>
    </w:p>
  </w:footnote>
  <w:footnote w:id="346">
    <w:p w:rsidR="00754FA3" w:rsidRDefault="00754FA3" w:rsidP="000965BA">
      <w:pPr>
        <w:pStyle w:val="FootnoteText"/>
      </w:pPr>
      <w:r>
        <w:rPr>
          <w:rStyle w:val="FootnoteReference"/>
        </w:rPr>
        <w:footnoteRef/>
      </w:r>
      <w:r>
        <w:t xml:space="preserve"> </w:t>
      </w:r>
      <w:r w:rsidRPr="000965BA">
        <w:rPr>
          <w:szCs w:val="22"/>
        </w:rPr>
        <w:t xml:space="preserve">That having been said, we are less than enthusiastic about some of the expenses included in the fee.  During the hearing, there was considerable discussion about the bonus paid to MEHC’s chief executive officer (CEO).  It is difficult for us to reconcile the general concept of “bonuses” with the Company’s assertion that it is undergoing “belt-tightening” measures to reduce costs.  </w:t>
      </w:r>
      <w:r>
        <w:rPr>
          <w:szCs w:val="22"/>
        </w:rPr>
        <w:t>However</w:t>
      </w:r>
      <w:r w:rsidRPr="000965BA">
        <w:rPr>
          <w:szCs w:val="22"/>
        </w:rPr>
        <w:t>, the amount of CEO bonus allocated to Washington ratepayers is $102,000. Stuver</w:t>
      </w:r>
      <w:r>
        <w:t>, TR. 435 – 36.</w:t>
      </w:r>
    </w:p>
    <w:p w:rsidR="00754FA3" w:rsidRPr="0069447E" w:rsidRDefault="00754FA3" w:rsidP="000965BA">
      <w:pPr>
        <w:pStyle w:val="FootnoteText"/>
      </w:pPr>
    </w:p>
  </w:footnote>
  <w:footnote w:id="347">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Wilson, Exh. No. EDW-1T at 3.</w:t>
      </w:r>
    </w:p>
    <w:p w:rsidR="00754FA3" w:rsidRPr="00A1372C" w:rsidRDefault="00754FA3" w:rsidP="00A17BDE">
      <w:pPr>
        <w:pStyle w:val="FootnoteText"/>
        <w:rPr>
          <w:szCs w:val="22"/>
        </w:rPr>
      </w:pPr>
    </w:p>
  </w:footnote>
  <w:footnote w:id="348">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t>
      </w:r>
      <w:r w:rsidRPr="00C321BE">
        <w:rPr>
          <w:i/>
          <w:szCs w:val="22"/>
        </w:rPr>
        <w:t>Id.</w:t>
      </w:r>
      <w:r w:rsidRPr="00A1372C">
        <w:rPr>
          <w:szCs w:val="22"/>
        </w:rPr>
        <w:t xml:space="preserve"> at 4.</w:t>
      </w:r>
    </w:p>
    <w:p w:rsidR="00754FA3" w:rsidRPr="00A1372C" w:rsidRDefault="00754FA3" w:rsidP="00A17BDE">
      <w:pPr>
        <w:pStyle w:val="FootnoteText"/>
        <w:rPr>
          <w:szCs w:val="22"/>
        </w:rPr>
      </w:pPr>
    </w:p>
  </w:footnote>
  <w:footnote w:id="349">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t>
      </w:r>
      <w:r w:rsidRPr="00C321BE">
        <w:rPr>
          <w:i/>
          <w:szCs w:val="22"/>
        </w:rPr>
        <w:t>Id.</w:t>
      </w:r>
      <w:r w:rsidRPr="00A1372C">
        <w:rPr>
          <w:szCs w:val="22"/>
        </w:rPr>
        <w:t xml:space="preserve"> at 5.</w:t>
      </w:r>
    </w:p>
    <w:p w:rsidR="00754FA3" w:rsidRPr="00A1372C" w:rsidRDefault="00754FA3" w:rsidP="00A17BDE">
      <w:pPr>
        <w:pStyle w:val="FootnoteText"/>
        <w:rPr>
          <w:szCs w:val="22"/>
        </w:rPr>
      </w:pPr>
    </w:p>
  </w:footnote>
  <w:footnote w:id="350">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t>
      </w:r>
      <w:r w:rsidRPr="00C321BE">
        <w:rPr>
          <w:i/>
          <w:szCs w:val="22"/>
        </w:rPr>
        <w:t>Id</w:t>
      </w:r>
      <w:r>
        <w:rPr>
          <w:szCs w:val="22"/>
        </w:rPr>
        <w:t>.</w:t>
      </w:r>
      <w:r w:rsidRPr="00A1372C">
        <w:rPr>
          <w:szCs w:val="22"/>
        </w:rPr>
        <w:t xml:space="preserve"> at 5.</w:t>
      </w:r>
    </w:p>
    <w:p w:rsidR="00754FA3" w:rsidRPr="00A1372C" w:rsidRDefault="00754FA3" w:rsidP="00A17BDE">
      <w:pPr>
        <w:pStyle w:val="FootnoteText"/>
        <w:rPr>
          <w:szCs w:val="22"/>
        </w:rPr>
      </w:pPr>
    </w:p>
  </w:footnote>
  <w:footnote w:id="351">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t>
      </w:r>
      <w:r w:rsidRPr="00C321BE">
        <w:rPr>
          <w:i/>
          <w:szCs w:val="22"/>
        </w:rPr>
        <w:t>Id</w:t>
      </w:r>
      <w:r>
        <w:rPr>
          <w:szCs w:val="22"/>
        </w:rPr>
        <w:t>.</w:t>
      </w:r>
      <w:r w:rsidRPr="00A1372C">
        <w:rPr>
          <w:szCs w:val="22"/>
        </w:rPr>
        <w:t xml:space="preserve"> at 6.</w:t>
      </w:r>
    </w:p>
    <w:p w:rsidR="00754FA3" w:rsidRPr="00A1372C" w:rsidRDefault="00754FA3" w:rsidP="00A17BDE">
      <w:pPr>
        <w:pStyle w:val="FootnoteText"/>
        <w:rPr>
          <w:szCs w:val="22"/>
        </w:rPr>
      </w:pPr>
    </w:p>
  </w:footnote>
  <w:footnote w:id="352">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t>
      </w:r>
      <w:r w:rsidRPr="00C321BE">
        <w:rPr>
          <w:i/>
          <w:szCs w:val="22"/>
        </w:rPr>
        <w:t>Id.</w:t>
      </w:r>
      <w:r w:rsidRPr="00A1372C">
        <w:rPr>
          <w:szCs w:val="22"/>
        </w:rPr>
        <w:t xml:space="preserve"> at 7.</w:t>
      </w:r>
    </w:p>
    <w:p w:rsidR="00754FA3" w:rsidRPr="00A1372C" w:rsidRDefault="00754FA3" w:rsidP="00A17BDE">
      <w:pPr>
        <w:pStyle w:val="FootnoteText"/>
        <w:rPr>
          <w:szCs w:val="22"/>
        </w:rPr>
      </w:pPr>
    </w:p>
  </w:footnote>
  <w:footnote w:id="353">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t>
      </w:r>
      <w:r w:rsidRPr="00C321BE">
        <w:rPr>
          <w:i/>
          <w:szCs w:val="22"/>
        </w:rPr>
        <w:t>Id.</w:t>
      </w:r>
      <w:r w:rsidRPr="00A1372C">
        <w:rPr>
          <w:szCs w:val="22"/>
        </w:rPr>
        <w:t xml:space="preserve"> at 8.</w:t>
      </w:r>
    </w:p>
    <w:p w:rsidR="00754FA3" w:rsidRPr="00A1372C" w:rsidRDefault="00754FA3" w:rsidP="00A17BDE">
      <w:pPr>
        <w:pStyle w:val="FootnoteText"/>
        <w:rPr>
          <w:szCs w:val="22"/>
        </w:rPr>
      </w:pPr>
    </w:p>
  </w:footnote>
  <w:footnote w:id="354">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t>
      </w:r>
      <w:r w:rsidRPr="00C321BE">
        <w:rPr>
          <w:i/>
          <w:szCs w:val="22"/>
        </w:rPr>
        <w:t>Id</w:t>
      </w:r>
      <w:r>
        <w:rPr>
          <w:szCs w:val="22"/>
        </w:rPr>
        <w:t>.</w:t>
      </w:r>
      <w:r w:rsidRPr="00A1372C">
        <w:rPr>
          <w:szCs w:val="22"/>
        </w:rPr>
        <w:t xml:space="preserve"> at 8. </w:t>
      </w:r>
    </w:p>
    <w:p w:rsidR="00754FA3" w:rsidRPr="00A1372C" w:rsidRDefault="00754FA3" w:rsidP="00A17BDE">
      <w:pPr>
        <w:pStyle w:val="FootnoteText"/>
        <w:rPr>
          <w:szCs w:val="22"/>
        </w:rPr>
      </w:pPr>
    </w:p>
  </w:footnote>
  <w:footnote w:id="355">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Meyer, Exh. No. GRM-1CT at 9. </w:t>
      </w:r>
    </w:p>
    <w:p w:rsidR="00754FA3" w:rsidRPr="00A1372C" w:rsidRDefault="00754FA3" w:rsidP="00A17BDE">
      <w:pPr>
        <w:pStyle w:val="FootnoteText"/>
        <w:rPr>
          <w:szCs w:val="22"/>
        </w:rPr>
      </w:pPr>
    </w:p>
  </w:footnote>
  <w:footnote w:id="356">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t>
      </w:r>
      <w:r w:rsidRPr="00C321BE">
        <w:rPr>
          <w:i/>
          <w:szCs w:val="22"/>
        </w:rPr>
        <w:t>Id</w:t>
      </w:r>
      <w:r>
        <w:rPr>
          <w:szCs w:val="22"/>
        </w:rPr>
        <w:t xml:space="preserve">. </w:t>
      </w:r>
      <w:r w:rsidRPr="00A1372C">
        <w:rPr>
          <w:szCs w:val="22"/>
        </w:rPr>
        <w:t>at 9.</w:t>
      </w:r>
    </w:p>
    <w:p w:rsidR="00754FA3" w:rsidRPr="00A1372C" w:rsidRDefault="00754FA3" w:rsidP="00A17BDE">
      <w:pPr>
        <w:pStyle w:val="FootnoteText"/>
        <w:rPr>
          <w:szCs w:val="22"/>
        </w:rPr>
      </w:pPr>
    </w:p>
  </w:footnote>
  <w:footnote w:id="357">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t>
      </w:r>
      <w:r w:rsidRPr="00C321BE">
        <w:rPr>
          <w:i/>
          <w:szCs w:val="22"/>
        </w:rPr>
        <w:t>Id</w:t>
      </w:r>
      <w:r>
        <w:rPr>
          <w:szCs w:val="22"/>
        </w:rPr>
        <w:t>.</w:t>
      </w:r>
      <w:r w:rsidRPr="00A1372C">
        <w:rPr>
          <w:szCs w:val="22"/>
        </w:rPr>
        <w:t xml:space="preserve"> at 10</w:t>
      </w:r>
      <w:r>
        <w:rPr>
          <w:szCs w:val="22"/>
        </w:rPr>
        <w:t>; Exh. No.</w:t>
      </w:r>
      <w:r w:rsidRPr="00A1372C">
        <w:rPr>
          <w:szCs w:val="22"/>
        </w:rPr>
        <w:t xml:space="preserve"> GRM-5 at 1 – 2.</w:t>
      </w:r>
    </w:p>
    <w:p w:rsidR="00754FA3" w:rsidRPr="00A1372C" w:rsidRDefault="00754FA3" w:rsidP="00A17BDE">
      <w:pPr>
        <w:pStyle w:val="FootnoteText"/>
        <w:rPr>
          <w:szCs w:val="22"/>
        </w:rPr>
      </w:pPr>
    </w:p>
  </w:footnote>
  <w:footnote w:id="358">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Meyer, Exh. No. GRM-1CT at 10 - 11.</w:t>
      </w:r>
    </w:p>
    <w:p w:rsidR="00754FA3" w:rsidRPr="00A1372C" w:rsidRDefault="00754FA3" w:rsidP="00A17BDE">
      <w:pPr>
        <w:pStyle w:val="FootnoteText"/>
        <w:rPr>
          <w:szCs w:val="22"/>
        </w:rPr>
      </w:pPr>
    </w:p>
  </w:footnote>
  <w:footnote w:id="359">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t>
      </w:r>
      <w:r>
        <w:rPr>
          <w:szCs w:val="22"/>
        </w:rPr>
        <w:t>Id.</w:t>
      </w:r>
      <w:r w:rsidRPr="00A1372C">
        <w:rPr>
          <w:szCs w:val="22"/>
        </w:rPr>
        <w:t xml:space="preserve"> at 14.</w:t>
      </w:r>
    </w:p>
    <w:p w:rsidR="00754FA3" w:rsidRPr="00A1372C" w:rsidRDefault="00754FA3" w:rsidP="00A17BDE">
      <w:pPr>
        <w:pStyle w:val="FootnoteText"/>
        <w:rPr>
          <w:szCs w:val="22"/>
        </w:rPr>
      </w:pPr>
    </w:p>
  </w:footnote>
  <w:footnote w:id="360">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Wilson, Exh. No. EDW-3T at 3.  PacifiCorp’s last litigated general rate case was </w:t>
      </w:r>
      <w:r>
        <w:rPr>
          <w:szCs w:val="22"/>
        </w:rPr>
        <w:t xml:space="preserve">Docket </w:t>
      </w:r>
      <w:r w:rsidRPr="00A1372C">
        <w:rPr>
          <w:szCs w:val="22"/>
        </w:rPr>
        <w:t>UE-061546.</w:t>
      </w:r>
    </w:p>
    <w:p w:rsidR="00754FA3" w:rsidRPr="00A1372C" w:rsidRDefault="00754FA3" w:rsidP="00A17BDE">
      <w:pPr>
        <w:pStyle w:val="FootnoteText"/>
        <w:rPr>
          <w:szCs w:val="22"/>
        </w:rPr>
      </w:pPr>
    </w:p>
  </w:footnote>
  <w:footnote w:id="361">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t>
      </w:r>
      <w:r w:rsidRPr="00C321BE">
        <w:rPr>
          <w:i/>
          <w:szCs w:val="22"/>
        </w:rPr>
        <w:t>Id.</w:t>
      </w:r>
      <w:r w:rsidRPr="00A1372C">
        <w:rPr>
          <w:szCs w:val="22"/>
        </w:rPr>
        <w:t xml:space="preserve"> at 3.</w:t>
      </w:r>
    </w:p>
    <w:p w:rsidR="00754FA3" w:rsidRPr="00A1372C" w:rsidRDefault="00754FA3" w:rsidP="00A17BDE">
      <w:pPr>
        <w:pStyle w:val="FootnoteText"/>
        <w:rPr>
          <w:szCs w:val="22"/>
        </w:rPr>
      </w:pPr>
    </w:p>
  </w:footnote>
  <w:footnote w:id="362">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t>
      </w:r>
      <w:r w:rsidRPr="00C321BE">
        <w:rPr>
          <w:i/>
          <w:szCs w:val="22"/>
        </w:rPr>
        <w:t>Id</w:t>
      </w:r>
      <w:r>
        <w:rPr>
          <w:szCs w:val="22"/>
        </w:rPr>
        <w:t>.</w:t>
      </w:r>
      <w:r w:rsidRPr="00A1372C">
        <w:rPr>
          <w:szCs w:val="22"/>
        </w:rPr>
        <w:t xml:space="preserve"> at 4.</w:t>
      </w:r>
    </w:p>
    <w:p w:rsidR="00754FA3" w:rsidRPr="00A1372C" w:rsidRDefault="00754FA3" w:rsidP="00A17BDE">
      <w:pPr>
        <w:pStyle w:val="FootnoteText"/>
        <w:rPr>
          <w:szCs w:val="22"/>
        </w:rPr>
      </w:pPr>
    </w:p>
  </w:footnote>
  <w:footnote w:id="363">
    <w:p w:rsidR="00754FA3" w:rsidRDefault="00754FA3">
      <w:pPr>
        <w:pStyle w:val="FootnoteText"/>
      </w:pPr>
      <w:r>
        <w:rPr>
          <w:rStyle w:val="FootnoteReference"/>
        </w:rPr>
        <w:footnoteRef/>
      </w:r>
      <w:r>
        <w:t xml:space="preserve"> </w:t>
      </w:r>
      <w:r w:rsidRPr="003821F4">
        <w:t>Meyer, TR 513 -514.</w:t>
      </w:r>
    </w:p>
    <w:p w:rsidR="00754FA3" w:rsidRPr="00B77CFC" w:rsidRDefault="00754FA3">
      <w:pPr>
        <w:pStyle w:val="FootnoteText"/>
      </w:pPr>
    </w:p>
  </w:footnote>
  <w:footnote w:id="364">
    <w:p w:rsidR="00754FA3" w:rsidRDefault="00754FA3">
      <w:pPr>
        <w:pStyle w:val="FootnoteText"/>
      </w:pPr>
      <w:r>
        <w:rPr>
          <w:rStyle w:val="FootnoteReference"/>
        </w:rPr>
        <w:footnoteRef/>
      </w:r>
      <w:r>
        <w:t xml:space="preserve"> Meyer, Exh. No. GRM-1CT at 24.</w:t>
      </w:r>
    </w:p>
    <w:p w:rsidR="00754FA3" w:rsidRPr="00B576C3" w:rsidRDefault="00754FA3">
      <w:pPr>
        <w:pStyle w:val="FootnoteText"/>
      </w:pPr>
    </w:p>
  </w:footnote>
  <w:footnote w:id="365">
    <w:p w:rsidR="00754FA3" w:rsidRDefault="00754FA3">
      <w:pPr>
        <w:pStyle w:val="FootnoteText"/>
      </w:pPr>
      <w:r>
        <w:rPr>
          <w:rStyle w:val="FootnoteReference"/>
        </w:rPr>
        <w:footnoteRef/>
      </w:r>
      <w:r>
        <w:t xml:space="preserve"> </w:t>
      </w:r>
      <w:r w:rsidRPr="00C321BE">
        <w:rPr>
          <w:i/>
        </w:rPr>
        <w:t>Id</w:t>
      </w:r>
      <w:r>
        <w:t>. at 24.</w:t>
      </w:r>
    </w:p>
    <w:p w:rsidR="00754FA3" w:rsidRPr="005F229D" w:rsidRDefault="00754FA3">
      <w:pPr>
        <w:pStyle w:val="FootnoteText"/>
      </w:pPr>
    </w:p>
  </w:footnote>
  <w:footnote w:id="366">
    <w:p w:rsidR="00754FA3" w:rsidRDefault="00754FA3">
      <w:pPr>
        <w:pStyle w:val="FootnoteText"/>
      </w:pPr>
      <w:r>
        <w:rPr>
          <w:rStyle w:val="FootnoteReference"/>
        </w:rPr>
        <w:footnoteRef/>
      </w:r>
      <w:r>
        <w:t xml:space="preserve"> Company Initial Post-Hearing Brief, ¶ ¶ 132 - 133, </w:t>
      </w:r>
      <w:r w:rsidRPr="00681846">
        <w:rPr>
          <w:i/>
        </w:rPr>
        <w:t>citing</w:t>
      </w:r>
      <w:r>
        <w:t xml:space="preserve"> Foisy, Exh. No. MDF-1CT at 16, Dalley, Exh. No. RBD-4T at 21.</w:t>
      </w:r>
    </w:p>
    <w:p w:rsidR="00754FA3" w:rsidRPr="005F229D" w:rsidRDefault="00754FA3">
      <w:pPr>
        <w:pStyle w:val="FootnoteText"/>
      </w:pPr>
    </w:p>
  </w:footnote>
  <w:footnote w:id="367">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Fuller, Exh. No. RF-1T at 2.</w:t>
      </w:r>
    </w:p>
    <w:p w:rsidR="00754FA3" w:rsidRPr="00A1372C" w:rsidRDefault="00754FA3" w:rsidP="00A17BDE">
      <w:pPr>
        <w:pStyle w:val="FootnoteText"/>
        <w:rPr>
          <w:szCs w:val="22"/>
        </w:rPr>
      </w:pPr>
    </w:p>
  </w:footnote>
  <w:footnote w:id="368">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t>
      </w:r>
      <w:r w:rsidRPr="00C321BE">
        <w:rPr>
          <w:i/>
          <w:szCs w:val="22"/>
        </w:rPr>
        <w:t>Id.</w:t>
      </w:r>
      <w:r>
        <w:rPr>
          <w:szCs w:val="22"/>
        </w:rPr>
        <w:t xml:space="preserve"> </w:t>
      </w:r>
      <w:r w:rsidRPr="00A1372C">
        <w:rPr>
          <w:szCs w:val="22"/>
        </w:rPr>
        <w:t>at 3.</w:t>
      </w:r>
    </w:p>
    <w:p w:rsidR="00754FA3" w:rsidRPr="00A1372C" w:rsidRDefault="00754FA3" w:rsidP="00A17BDE">
      <w:pPr>
        <w:pStyle w:val="FootnoteText"/>
        <w:rPr>
          <w:szCs w:val="22"/>
        </w:rPr>
      </w:pPr>
    </w:p>
  </w:footnote>
  <w:footnote w:id="369">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Fuller, Exh. No. RF-3C.</w:t>
      </w:r>
    </w:p>
    <w:p w:rsidR="00754FA3" w:rsidRPr="00A1372C" w:rsidRDefault="00754FA3" w:rsidP="00A17BDE">
      <w:pPr>
        <w:pStyle w:val="FootnoteText"/>
        <w:rPr>
          <w:szCs w:val="22"/>
        </w:rPr>
      </w:pPr>
    </w:p>
  </w:footnote>
  <w:footnote w:id="370">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Fuller, Exh. No. RF-1T at 5 – 6.</w:t>
      </w:r>
    </w:p>
    <w:p w:rsidR="00754FA3" w:rsidRPr="00A1372C" w:rsidRDefault="00754FA3" w:rsidP="00A17BDE">
      <w:pPr>
        <w:pStyle w:val="FootnoteText"/>
        <w:rPr>
          <w:szCs w:val="22"/>
        </w:rPr>
      </w:pPr>
    </w:p>
  </w:footnote>
  <w:footnote w:id="371">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t>
      </w:r>
      <w:r w:rsidRPr="00C321BE">
        <w:rPr>
          <w:i/>
          <w:szCs w:val="22"/>
        </w:rPr>
        <w:t>Id.</w:t>
      </w:r>
      <w:r w:rsidRPr="00A1372C">
        <w:rPr>
          <w:szCs w:val="22"/>
        </w:rPr>
        <w:t xml:space="preserve"> at 5.</w:t>
      </w:r>
    </w:p>
    <w:p w:rsidR="00754FA3" w:rsidRPr="00A1372C" w:rsidRDefault="00754FA3" w:rsidP="00A17BDE">
      <w:pPr>
        <w:pStyle w:val="FootnoteText"/>
        <w:rPr>
          <w:szCs w:val="22"/>
        </w:rPr>
      </w:pPr>
    </w:p>
  </w:footnote>
  <w:footnote w:id="372">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Breda, Exh. No. KHB-1T at 23.</w:t>
      </w:r>
    </w:p>
    <w:p w:rsidR="00754FA3" w:rsidRPr="00A1372C" w:rsidRDefault="00754FA3" w:rsidP="00A17BDE">
      <w:pPr>
        <w:pStyle w:val="FootnoteText"/>
        <w:rPr>
          <w:szCs w:val="22"/>
        </w:rPr>
      </w:pPr>
    </w:p>
  </w:footnote>
  <w:footnote w:id="373">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t>
      </w:r>
      <w:r w:rsidRPr="00C321BE">
        <w:rPr>
          <w:i/>
          <w:szCs w:val="22"/>
        </w:rPr>
        <w:t>Id.</w:t>
      </w:r>
      <w:r w:rsidRPr="00A1372C">
        <w:rPr>
          <w:szCs w:val="22"/>
        </w:rPr>
        <w:t xml:space="preserve"> at </w:t>
      </w:r>
      <w:r>
        <w:rPr>
          <w:szCs w:val="22"/>
        </w:rPr>
        <w:t>13 -14, 2</w:t>
      </w:r>
      <w:r w:rsidRPr="00A1372C">
        <w:rPr>
          <w:szCs w:val="22"/>
        </w:rPr>
        <w:t>3.</w:t>
      </w:r>
    </w:p>
    <w:p w:rsidR="00754FA3" w:rsidRPr="00A1372C" w:rsidRDefault="00754FA3" w:rsidP="00A17BDE">
      <w:pPr>
        <w:pStyle w:val="FootnoteText"/>
        <w:rPr>
          <w:szCs w:val="22"/>
        </w:rPr>
      </w:pPr>
    </w:p>
  </w:footnote>
  <w:footnote w:id="374">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Fuller, Exh. No. RF-8T at 12.</w:t>
      </w:r>
    </w:p>
    <w:p w:rsidR="00754FA3" w:rsidRPr="00A1372C" w:rsidRDefault="00754FA3" w:rsidP="00A17BDE">
      <w:pPr>
        <w:pStyle w:val="FootnoteText"/>
        <w:rPr>
          <w:szCs w:val="22"/>
        </w:rPr>
      </w:pPr>
    </w:p>
  </w:footnote>
  <w:footnote w:id="375">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t>
      </w:r>
      <w:r w:rsidRPr="00C321BE">
        <w:rPr>
          <w:i/>
          <w:szCs w:val="22"/>
        </w:rPr>
        <w:t>Id</w:t>
      </w:r>
      <w:r>
        <w:rPr>
          <w:szCs w:val="22"/>
        </w:rPr>
        <w:t>.</w:t>
      </w:r>
      <w:r w:rsidRPr="00A1372C">
        <w:rPr>
          <w:szCs w:val="22"/>
        </w:rPr>
        <w:t xml:space="preserve"> at 13.</w:t>
      </w:r>
    </w:p>
    <w:p w:rsidR="00754FA3" w:rsidRPr="00A1372C" w:rsidRDefault="00754FA3" w:rsidP="00A17BDE">
      <w:pPr>
        <w:pStyle w:val="FootnoteText"/>
        <w:rPr>
          <w:szCs w:val="22"/>
        </w:rPr>
      </w:pPr>
    </w:p>
  </w:footnote>
  <w:footnote w:id="376">
    <w:p w:rsidR="00754FA3" w:rsidRDefault="00754FA3" w:rsidP="00237680">
      <w:pPr>
        <w:pStyle w:val="FootnoteText"/>
      </w:pPr>
      <w:r>
        <w:rPr>
          <w:rStyle w:val="FootnoteReference"/>
        </w:rPr>
        <w:footnoteRef/>
      </w:r>
      <w:r>
        <w:t xml:space="preserve"> </w:t>
      </w:r>
      <w:r>
        <w:rPr>
          <w:i/>
        </w:rPr>
        <w:t xml:space="preserve">Washington Utilities &amp; Transportation Commission v. Puget Sound Energy, </w:t>
      </w:r>
      <w:r>
        <w:t>Dockets UE-090704/UG-090705, Order 11 at ¶¶ 193 – 197 (April 2, 2010).</w:t>
      </w:r>
    </w:p>
    <w:p w:rsidR="00754FA3" w:rsidRPr="00FF0387" w:rsidRDefault="00754FA3" w:rsidP="00237680">
      <w:pPr>
        <w:pStyle w:val="FootnoteText"/>
      </w:pPr>
    </w:p>
  </w:footnote>
  <w:footnote w:id="377">
    <w:p w:rsidR="00754FA3" w:rsidRDefault="00754FA3" w:rsidP="00237680">
      <w:pPr>
        <w:pStyle w:val="FootnoteText"/>
      </w:pPr>
      <w:r>
        <w:rPr>
          <w:rStyle w:val="FootnoteReference"/>
        </w:rPr>
        <w:footnoteRef/>
      </w:r>
      <w:r>
        <w:t xml:space="preserve"> Fuller, Exh. No. RF-5 at 1.</w:t>
      </w:r>
    </w:p>
    <w:p w:rsidR="00754FA3" w:rsidRPr="00FF0387" w:rsidRDefault="00754FA3" w:rsidP="00237680">
      <w:pPr>
        <w:pStyle w:val="FootnoteText"/>
      </w:pPr>
    </w:p>
  </w:footnote>
  <w:footnote w:id="378">
    <w:p w:rsidR="00754FA3" w:rsidRDefault="00754FA3" w:rsidP="00237680">
      <w:pPr>
        <w:pStyle w:val="FootnoteText"/>
      </w:pPr>
      <w:r>
        <w:rPr>
          <w:rStyle w:val="FootnoteReference"/>
        </w:rPr>
        <w:footnoteRef/>
      </w:r>
      <w:r>
        <w:t>In the PSE case, we rejected the proposed adjustment because “[T]he final disposition with the IRS is not known and the tax impact is in any event subsequent to the test year.”  Order 11 at ¶ 197.</w:t>
      </w:r>
    </w:p>
    <w:p w:rsidR="00754FA3" w:rsidRPr="00EB34C5" w:rsidRDefault="00754FA3" w:rsidP="00237680">
      <w:pPr>
        <w:pStyle w:val="FootnoteText"/>
      </w:pPr>
    </w:p>
  </w:footnote>
  <w:footnote w:id="379">
    <w:p w:rsidR="00754FA3" w:rsidRDefault="00754FA3" w:rsidP="00870A12">
      <w:pPr>
        <w:pStyle w:val="FootnoteText"/>
      </w:pPr>
      <w:r>
        <w:rPr>
          <w:rStyle w:val="FootnoteReference"/>
        </w:rPr>
        <w:footnoteRef/>
      </w:r>
      <w:r>
        <w:t xml:space="preserve"> Fuller, Exh. No. RF-1T at 5.</w:t>
      </w:r>
    </w:p>
    <w:p w:rsidR="00754FA3" w:rsidRDefault="00754FA3" w:rsidP="00870A12">
      <w:pPr>
        <w:pStyle w:val="FootnoteText"/>
      </w:pPr>
    </w:p>
  </w:footnote>
  <w:footnote w:id="380">
    <w:p w:rsidR="00754FA3" w:rsidRDefault="00754FA3" w:rsidP="00870A12">
      <w:pPr>
        <w:pStyle w:val="FootnoteText"/>
      </w:pPr>
      <w:r>
        <w:rPr>
          <w:rStyle w:val="FootnoteReference"/>
        </w:rPr>
        <w:footnoteRef/>
      </w:r>
      <w:r>
        <w:t xml:space="preserve"> Breda, Exh. No. KHB-1T at 21 - 22.</w:t>
      </w:r>
    </w:p>
    <w:p w:rsidR="00754FA3" w:rsidRDefault="00754FA3" w:rsidP="00870A12">
      <w:pPr>
        <w:pStyle w:val="FootnoteText"/>
      </w:pPr>
    </w:p>
  </w:footnote>
  <w:footnote w:id="381">
    <w:p w:rsidR="00754FA3" w:rsidRDefault="00754FA3" w:rsidP="00870A12">
      <w:pPr>
        <w:pStyle w:val="FootnoteText"/>
      </w:pPr>
      <w:r>
        <w:rPr>
          <w:rStyle w:val="FootnoteReference"/>
        </w:rPr>
        <w:footnoteRef/>
      </w:r>
      <w:r>
        <w:t xml:space="preserve"> </w:t>
      </w:r>
      <w:r w:rsidRPr="00C321BE">
        <w:rPr>
          <w:i/>
        </w:rPr>
        <w:t>Id.</w:t>
      </w:r>
      <w:r>
        <w:t xml:space="preserve"> at 21.</w:t>
      </w:r>
    </w:p>
    <w:p w:rsidR="00754FA3" w:rsidRPr="003B19B0" w:rsidRDefault="00754FA3" w:rsidP="00870A12">
      <w:pPr>
        <w:pStyle w:val="FootnoteText"/>
      </w:pPr>
    </w:p>
  </w:footnote>
  <w:footnote w:id="382">
    <w:p w:rsidR="00754FA3" w:rsidRDefault="00754FA3">
      <w:pPr>
        <w:pStyle w:val="FootnoteText"/>
      </w:pPr>
      <w:r>
        <w:rPr>
          <w:rStyle w:val="FootnoteReference"/>
        </w:rPr>
        <w:footnoteRef/>
      </w:r>
      <w:r>
        <w:t xml:space="preserve"> AFUDC is the cost of borrowed funds and equity used for construction purposes which is capitalized for later recovery.  The deferred equity component is considered a temporary difference for general accounting purposes under </w:t>
      </w:r>
      <w:r>
        <w:rPr>
          <w:i/>
        </w:rPr>
        <w:t xml:space="preserve">Accounting Standards Code </w:t>
      </w:r>
      <w:r>
        <w:t>980-740-25.  The Company, however, proposes continued flow-through treatment of the book-tax difference.</w:t>
      </w:r>
    </w:p>
    <w:p w:rsidR="00754FA3" w:rsidRPr="00244553" w:rsidRDefault="00754FA3">
      <w:pPr>
        <w:pStyle w:val="FootnoteText"/>
      </w:pPr>
    </w:p>
  </w:footnote>
  <w:footnote w:id="383">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Fuller, Exh. No. RF-1T at 6.</w:t>
      </w:r>
    </w:p>
    <w:p w:rsidR="00754FA3" w:rsidRPr="00A1372C" w:rsidRDefault="00754FA3" w:rsidP="00A17BDE">
      <w:pPr>
        <w:pStyle w:val="FootnoteText"/>
        <w:rPr>
          <w:szCs w:val="22"/>
        </w:rPr>
      </w:pPr>
    </w:p>
  </w:footnote>
  <w:footnote w:id="384">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t>
      </w:r>
      <w:r w:rsidRPr="00C321BE">
        <w:rPr>
          <w:i/>
          <w:szCs w:val="22"/>
        </w:rPr>
        <w:t>Id.</w:t>
      </w:r>
      <w:r w:rsidRPr="00A1372C">
        <w:rPr>
          <w:szCs w:val="22"/>
        </w:rPr>
        <w:t xml:space="preserve"> at 6.</w:t>
      </w:r>
    </w:p>
    <w:p w:rsidR="00754FA3" w:rsidRPr="00A1372C" w:rsidRDefault="00754FA3" w:rsidP="00A17BDE">
      <w:pPr>
        <w:pStyle w:val="FootnoteText"/>
        <w:rPr>
          <w:szCs w:val="22"/>
        </w:rPr>
      </w:pPr>
    </w:p>
  </w:footnote>
  <w:footnote w:id="385">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t>
      </w:r>
      <w:r w:rsidRPr="00C321BE">
        <w:rPr>
          <w:i/>
          <w:szCs w:val="22"/>
        </w:rPr>
        <w:t>Id</w:t>
      </w:r>
      <w:r>
        <w:rPr>
          <w:szCs w:val="22"/>
        </w:rPr>
        <w:t xml:space="preserve">. </w:t>
      </w:r>
      <w:r w:rsidRPr="00A1372C">
        <w:rPr>
          <w:szCs w:val="22"/>
        </w:rPr>
        <w:t>at 6 – 7.</w:t>
      </w:r>
    </w:p>
    <w:p w:rsidR="00754FA3" w:rsidRPr="00A1372C" w:rsidRDefault="00754FA3" w:rsidP="00A17BDE">
      <w:pPr>
        <w:pStyle w:val="FootnoteText"/>
        <w:rPr>
          <w:szCs w:val="22"/>
        </w:rPr>
      </w:pPr>
    </w:p>
  </w:footnote>
  <w:footnote w:id="386">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t>
      </w:r>
      <w:r w:rsidRPr="00C321BE">
        <w:rPr>
          <w:i/>
          <w:szCs w:val="22"/>
        </w:rPr>
        <w:t>Id.</w:t>
      </w:r>
      <w:r w:rsidRPr="00A1372C">
        <w:rPr>
          <w:szCs w:val="22"/>
        </w:rPr>
        <w:t xml:space="preserve"> at 7.</w:t>
      </w:r>
    </w:p>
    <w:p w:rsidR="00754FA3" w:rsidRPr="00A1372C" w:rsidRDefault="00754FA3" w:rsidP="00A17BDE">
      <w:pPr>
        <w:pStyle w:val="FootnoteText"/>
        <w:rPr>
          <w:szCs w:val="22"/>
        </w:rPr>
      </w:pPr>
    </w:p>
  </w:footnote>
  <w:footnote w:id="387">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t>
      </w:r>
      <w:r w:rsidRPr="00C321BE">
        <w:rPr>
          <w:i/>
          <w:szCs w:val="22"/>
        </w:rPr>
        <w:t>Id.</w:t>
      </w:r>
      <w:r w:rsidRPr="00A1372C">
        <w:rPr>
          <w:szCs w:val="22"/>
        </w:rPr>
        <w:t xml:space="preserve"> at 8.</w:t>
      </w:r>
    </w:p>
    <w:p w:rsidR="00754FA3" w:rsidRPr="00A1372C" w:rsidRDefault="00754FA3" w:rsidP="00A17BDE">
      <w:pPr>
        <w:pStyle w:val="FootnoteText"/>
        <w:rPr>
          <w:szCs w:val="22"/>
        </w:rPr>
      </w:pPr>
    </w:p>
  </w:footnote>
  <w:footnote w:id="388">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t>
      </w:r>
      <w:r w:rsidRPr="00C321BE">
        <w:rPr>
          <w:i/>
          <w:szCs w:val="22"/>
        </w:rPr>
        <w:t>Id.</w:t>
      </w:r>
      <w:r w:rsidRPr="00A1372C">
        <w:rPr>
          <w:szCs w:val="22"/>
        </w:rPr>
        <w:t xml:space="preserve"> at 10.</w:t>
      </w:r>
    </w:p>
    <w:p w:rsidR="00754FA3" w:rsidRPr="00A1372C" w:rsidRDefault="00754FA3" w:rsidP="00A17BDE">
      <w:pPr>
        <w:pStyle w:val="FootnoteText"/>
        <w:rPr>
          <w:szCs w:val="22"/>
        </w:rPr>
      </w:pPr>
    </w:p>
  </w:footnote>
  <w:footnote w:id="389">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t>
      </w:r>
      <w:r w:rsidRPr="00C321BE">
        <w:rPr>
          <w:i/>
          <w:szCs w:val="22"/>
        </w:rPr>
        <w:t>Id.</w:t>
      </w:r>
      <w:r w:rsidRPr="00A1372C">
        <w:rPr>
          <w:szCs w:val="22"/>
        </w:rPr>
        <w:t xml:space="preserve"> at 10.</w:t>
      </w:r>
    </w:p>
    <w:p w:rsidR="00754FA3" w:rsidRPr="00A1372C" w:rsidRDefault="00754FA3" w:rsidP="00A17BDE">
      <w:pPr>
        <w:pStyle w:val="FootnoteText"/>
        <w:rPr>
          <w:szCs w:val="22"/>
        </w:rPr>
      </w:pPr>
    </w:p>
  </w:footnote>
  <w:footnote w:id="390">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t>
      </w:r>
      <w:r w:rsidRPr="00C321BE">
        <w:rPr>
          <w:i/>
          <w:szCs w:val="22"/>
        </w:rPr>
        <w:t>Id.</w:t>
      </w:r>
      <w:r w:rsidRPr="00A1372C">
        <w:rPr>
          <w:szCs w:val="22"/>
        </w:rPr>
        <w:t xml:space="preserve"> at 10.</w:t>
      </w:r>
    </w:p>
    <w:p w:rsidR="00754FA3" w:rsidRPr="00A1372C" w:rsidRDefault="00754FA3" w:rsidP="00A17BDE">
      <w:pPr>
        <w:pStyle w:val="FootnoteText"/>
        <w:rPr>
          <w:szCs w:val="22"/>
        </w:rPr>
      </w:pPr>
    </w:p>
  </w:footnote>
  <w:footnote w:id="391">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Fuller, Exh. No. RF-</w:t>
      </w:r>
      <w:r>
        <w:rPr>
          <w:szCs w:val="22"/>
        </w:rPr>
        <w:t>8</w:t>
      </w:r>
      <w:r w:rsidRPr="00A1372C">
        <w:rPr>
          <w:szCs w:val="22"/>
        </w:rPr>
        <w:t>T at 6.</w:t>
      </w:r>
    </w:p>
    <w:p w:rsidR="00754FA3" w:rsidRPr="00A1372C" w:rsidRDefault="00754FA3" w:rsidP="00A17BDE">
      <w:pPr>
        <w:pStyle w:val="FootnoteText"/>
        <w:rPr>
          <w:szCs w:val="22"/>
        </w:rPr>
      </w:pPr>
    </w:p>
  </w:footnote>
  <w:footnote w:id="392">
    <w:p w:rsidR="00754FA3" w:rsidRDefault="00754FA3">
      <w:pPr>
        <w:pStyle w:val="FootnoteText"/>
      </w:pPr>
      <w:r w:rsidRPr="00DD1858">
        <w:rPr>
          <w:rStyle w:val="FootnoteReference"/>
        </w:rPr>
        <w:footnoteRef/>
      </w:r>
      <w:r w:rsidRPr="00DD1858">
        <w:t xml:space="preserve"> Breda, Exh. No. KHB-1T at 8.</w:t>
      </w:r>
    </w:p>
    <w:p w:rsidR="00754FA3" w:rsidRDefault="00754FA3">
      <w:pPr>
        <w:pStyle w:val="FootnoteText"/>
      </w:pPr>
    </w:p>
  </w:footnote>
  <w:footnote w:id="393">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t>
      </w:r>
      <w:r w:rsidRPr="00C321BE">
        <w:rPr>
          <w:i/>
          <w:szCs w:val="22"/>
        </w:rPr>
        <w:t>Id.</w:t>
      </w:r>
      <w:r w:rsidRPr="00A1372C">
        <w:rPr>
          <w:szCs w:val="22"/>
        </w:rPr>
        <w:t xml:space="preserve"> at 22 – 23.</w:t>
      </w:r>
    </w:p>
    <w:p w:rsidR="00754FA3" w:rsidRPr="00A1372C" w:rsidRDefault="00754FA3" w:rsidP="00A17BDE">
      <w:pPr>
        <w:pStyle w:val="FootnoteText"/>
        <w:rPr>
          <w:szCs w:val="22"/>
        </w:rPr>
      </w:pPr>
    </w:p>
  </w:footnote>
  <w:footnote w:id="394">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t>
      </w:r>
      <w:r w:rsidRPr="00C321BE">
        <w:rPr>
          <w:i/>
          <w:szCs w:val="22"/>
        </w:rPr>
        <w:t>Id.</w:t>
      </w:r>
      <w:r w:rsidRPr="00A1372C">
        <w:rPr>
          <w:szCs w:val="22"/>
        </w:rPr>
        <w:t xml:space="preserve"> at </w:t>
      </w:r>
      <w:r>
        <w:rPr>
          <w:szCs w:val="22"/>
        </w:rPr>
        <w:t>8.</w:t>
      </w:r>
    </w:p>
    <w:p w:rsidR="00754FA3" w:rsidRPr="00A1372C" w:rsidRDefault="00754FA3" w:rsidP="00A17BDE">
      <w:pPr>
        <w:pStyle w:val="FootnoteText"/>
        <w:rPr>
          <w:szCs w:val="22"/>
        </w:rPr>
      </w:pPr>
    </w:p>
  </w:footnote>
  <w:footnote w:id="395">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Fuller, Exh. No. RF-8T at 2.</w:t>
      </w:r>
    </w:p>
    <w:p w:rsidR="00754FA3" w:rsidRPr="00A1372C" w:rsidRDefault="00754FA3" w:rsidP="00A17BDE">
      <w:pPr>
        <w:pStyle w:val="FootnoteText"/>
        <w:rPr>
          <w:szCs w:val="22"/>
        </w:rPr>
      </w:pPr>
    </w:p>
  </w:footnote>
  <w:footnote w:id="396">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t>
      </w:r>
      <w:r w:rsidRPr="00E14E96">
        <w:rPr>
          <w:i/>
          <w:szCs w:val="22"/>
        </w:rPr>
        <w:t>Id</w:t>
      </w:r>
      <w:r>
        <w:rPr>
          <w:szCs w:val="22"/>
        </w:rPr>
        <w:t>.</w:t>
      </w:r>
      <w:r w:rsidRPr="00A1372C">
        <w:rPr>
          <w:szCs w:val="22"/>
        </w:rPr>
        <w:t xml:space="preserve"> at 4.</w:t>
      </w:r>
    </w:p>
    <w:p w:rsidR="00754FA3" w:rsidRPr="00A1372C" w:rsidRDefault="00754FA3" w:rsidP="00A17BDE">
      <w:pPr>
        <w:pStyle w:val="FootnoteText"/>
        <w:rPr>
          <w:szCs w:val="22"/>
        </w:rPr>
      </w:pPr>
    </w:p>
  </w:footnote>
  <w:footnote w:id="397">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t>
      </w:r>
      <w:r w:rsidRPr="00E14E96">
        <w:rPr>
          <w:i/>
          <w:szCs w:val="22"/>
        </w:rPr>
        <w:t>Id</w:t>
      </w:r>
      <w:r>
        <w:rPr>
          <w:szCs w:val="22"/>
        </w:rPr>
        <w:t xml:space="preserve">. </w:t>
      </w:r>
      <w:r w:rsidRPr="00A1372C">
        <w:rPr>
          <w:szCs w:val="22"/>
        </w:rPr>
        <w:t>at 4 -5.</w:t>
      </w:r>
    </w:p>
    <w:p w:rsidR="00754FA3" w:rsidRPr="00A1372C" w:rsidRDefault="00754FA3" w:rsidP="00A17BDE">
      <w:pPr>
        <w:pStyle w:val="FootnoteText"/>
        <w:rPr>
          <w:szCs w:val="22"/>
        </w:rPr>
      </w:pPr>
    </w:p>
  </w:footnote>
  <w:footnote w:id="398">
    <w:p w:rsidR="00754FA3" w:rsidRPr="00A1372C" w:rsidRDefault="00754FA3" w:rsidP="006E328D">
      <w:pPr>
        <w:pStyle w:val="FootnoteText"/>
        <w:rPr>
          <w:szCs w:val="22"/>
        </w:rPr>
      </w:pPr>
      <w:r w:rsidRPr="00A1372C">
        <w:rPr>
          <w:rStyle w:val="FootnoteReference"/>
          <w:szCs w:val="22"/>
        </w:rPr>
        <w:footnoteRef/>
      </w:r>
      <w:r w:rsidRPr="00A1372C">
        <w:rPr>
          <w:szCs w:val="22"/>
        </w:rPr>
        <w:t xml:space="preserve"> </w:t>
      </w:r>
      <w:r w:rsidRPr="00E14E96">
        <w:rPr>
          <w:i/>
          <w:szCs w:val="22"/>
        </w:rPr>
        <w:t>Id</w:t>
      </w:r>
      <w:r>
        <w:rPr>
          <w:szCs w:val="22"/>
        </w:rPr>
        <w:t xml:space="preserve">. </w:t>
      </w:r>
      <w:r w:rsidRPr="00A1372C">
        <w:rPr>
          <w:szCs w:val="22"/>
        </w:rPr>
        <w:t>at 2</w:t>
      </w:r>
      <w:r>
        <w:rPr>
          <w:szCs w:val="22"/>
        </w:rPr>
        <w:t xml:space="preserve">, </w:t>
      </w:r>
      <w:r w:rsidRPr="00CD107D">
        <w:rPr>
          <w:i/>
          <w:szCs w:val="22"/>
        </w:rPr>
        <w:t>citing</w:t>
      </w:r>
      <w:r>
        <w:rPr>
          <w:szCs w:val="22"/>
        </w:rPr>
        <w:t xml:space="preserve"> Robert L. Hane &amp; Gregory Aliff, </w:t>
      </w:r>
      <w:r>
        <w:rPr>
          <w:i/>
          <w:szCs w:val="22"/>
        </w:rPr>
        <w:t>Accounting for Public Utilities</w:t>
      </w:r>
      <w:r w:rsidRPr="00AD2819">
        <w:rPr>
          <w:szCs w:val="22"/>
        </w:rPr>
        <w:t>, § 1701[5]</w:t>
      </w:r>
      <w:r>
        <w:rPr>
          <w:szCs w:val="22"/>
        </w:rPr>
        <w:t xml:space="preserve"> (2008)</w:t>
      </w:r>
      <w:r w:rsidRPr="00AD2819">
        <w:rPr>
          <w:szCs w:val="22"/>
        </w:rPr>
        <w:t>.</w:t>
      </w:r>
    </w:p>
    <w:p w:rsidR="00754FA3" w:rsidRPr="00A1372C" w:rsidRDefault="00754FA3" w:rsidP="006E328D">
      <w:pPr>
        <w:pStyle w:val="FootnoteText"/>
        <w:rPr>
          <w:szCs w:val="22"/>
        </w:rPr>
      </w:pPr>
    </w:p>
  </w:footnote>
  <w:footnote w:id="399">
    <w:p w:rsidR="00754FA3" w:rsidRPr="00A1372C" w:rsidRDefault="00754FA3" w:rsidP="006E328D">
      <w:pPr>
        <w:pStyle w:val="FootnoteText"/>
        <w:rPr>
          <w:szCs w:val="22"/>
        </w:rPr>
      </w:pPr>
      <w:r w:rsidRPr="00A1372C">
        <w:rPr>
          <w:rStyle w:val="FootnoteReference"/>
          <w:szCs w:val="22"/>
        </w:rPr>
        <w:footnoteRef/>
      </w:r>
      <w:r w:rsidRPr="00A1372C">
        <w:rPr>
          <w:szCs w:val="22"/>
        </w:rPr>
        <w:t xml:space="preserve"> </w:t>
      </w:r>
      <w:r w:rsidRPr="00E14E96">
        <w:rPr>
          <w:i/>
          <w:szCs w:val="22"/>
        </w:rPr>
        <w:t>Id.</w:t>
      </w:r>
      <w:r>
        <w:rPr>
          <w:szCs w:val="22"/>
        </w:rPr>
        <w:t xml:space="preserve"> </w:t>
      </w:r>
      <w:r w:rsidRPr="00A1372C">
        <w:rPr>
          <w:szCs w:val="22"/>
        </w:rPr>
        <w:t>at 3.</w:t>
      </w:r>
    </w:p>
    <w:p w:rsidR="00754FA3" w:rsidRPr="00A1372C" w:rsidRDefault="00754FA3" w:rsidP="006E328D">
      <w:pPr>
        <w:pStyle w:val="FootnoteText"/>
        <w:rPr>
          <w:szCs w:val="22"/>
        </w:rPr>
      </w:pPr>
    </w:p>
  </w:footnote>
  <w:footnote w:id="400">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t>
      </w:r>
      <w:r w:rsidRPr="00E14E96">
        <w:rPr>
          <w:i/>
          <w:szCs w:val="22"/>
        </w:rPr>
        <w:t>Id.</w:t>
      </w:r>
      <w:r>
        <w:rPr>
          <w:szCs w:val="22"/>
        </w:rPr>
        <w:t xml:space="preserve"> </w:t>
      </w:r>
      <w:r w:rsidRPr="00257CD8">
        <w:rPr>
          <w:i/>
          <w:szCs w:val="22"/>
        </w:rPr>
        <w:t>citing</w:t>
      </w:r>
      <w:r w:rsidRPr="00A1372C">
        <w:rPr>
          <w:szCs w:val="22"/>
        </w:rPr>
        <w:t xml:space="preserve"> Federal Energy Regulatory Commission Order 530.</w:t>
      </w:r>
    </w:p>
    <w:p w:rsidR="00754FA3" w:rsidRPr="00A1372C" w:rsidRDefault="00754FA3" w:rsidP="00A17BDE">
      <w:pPr>
        <w:pStyle w:val="FootnoteText"/>
        <w:rPr>
          <w:szCs w:val="22"/>
        </w:rPr>
      </w:pPr>
    </w:p>
  </w:footnote>
  <w:footnote w:id="401">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Fuller, Exh. No. RF-8T at 4.</w:t>
      </w:r>
    </w:p>
    <w:p w:rsidR="00754FA3" w:rsidRPr="00A1372C" w:rsidRDefault="00754FA3" w:rsidP="00A17BDE">
      <w:pPr>
        <w:pStyle w:val="FootnoteText"/>
        <w:rPr>
          <w:szCs w:val="22"/>
        </w:rPr>
      </w:pPr>
    </w:p>
  </w:footnote>
  <w:footnote w:id="402">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t>
      </w:r>
      <w:r w:rsidRPr="00E14E96">
        <w:rPr>
          <w:i/>
          <w:szCs w:val="22"/>
        </w:rPr>
        <w:t>Id.</w:t>
      </w:r>
      <w:r w:rsidRPr="00A1372C">
        <w:rPr>
          <w:szCs w:val="22"/>
        </w:rPr>
        <w:t xml:space="preserve"> at 9.</w:t>
      </w:r>
    </w:p>
    <w:p w:rsidR="00754FA3" w:rsidRPr="00A1372C" w:rsidRDefault="00754FA3" w:rsidP="00A17BDE">
      <w:pPr>
        <w:pStyle w:val="FootnoteText"/>
        <w:rPr>
          <w:szCs w:val="22"/>
        </w:rPr>
      </w:pPr>
    </w:p>
  </w:footnote>
  <w:footnote w:id="403">
    <w:p w:rsidR="00754FA3" w:rsidRDefault="00754FA3">
      <w:pPr>
        <w:pStyle w:val="FootnoteText"/>
      </w:pPr>
      <w:r>
        <w:rPr>
          <w:rStyle w:val="FootnoteReference"/>
        </w:rPr>
        <w:footnoteRef/>
      </w:r>
      <w:r>
        <w:t xml:space="preserve"> Fuller, Exh. No. RF-14T at 2.</w:t>
      </w:r>
    </w:p>
    <w:p w:rsidR="00754FA3" w:rsidRDefault="00754FA3">
      <w:pPr>
        <w:pStyle w:val="FootnoteText"/>
      </w:pPr>
    </w:p>
  </w:footnote>
  <w:footnote w:id="404">
    <w:p w:rsidR="00754FA3" w:rsidRDefault="00754FA3">
      <w:pPr>
        <w:pStyle w:val="FootnoteText"/>
      </w:pPr>
      <w:r>
        <w:rPr>
          <w:rStyle w:val="FootnoteReference"/>
        </w:rPr>
        <w:footnoteRef/>
      </w:r>
      <w:r>
        <w:t xml:space="preserve"> Fuller, Exh. No. RF-15.</w:t>
      </w:r>
    </w:p>
    <w:p w:rsidR="00754FA3" w:rsidRDefault="00754FA3">
      <w:pPr>
        <w:pStyle w:val="FootnoteText"/>
      </w:pPr>
    </w:p>
  </w:footnote>
  <w:footnote w:id="405">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Fuller, Exh. No. RF-11T at 1 and 4.</w:t>
      </w:r>
    </w:p>
    <w:p w:rsidR="00754FA3" w:rsidRPr="00A1372C" w:rsidRDefault="00754FA3" w:rsidP="00A17BDE">
      <w:pPr>
        <w:pStyle w:val="FootnoteText"/>
        <w:rPr>
          <w:szCs w:val="22"/>
        </w:rPr>
      </w:pPr>
    </w:p>
  </w:footnote>
  <w:footnote w:id="406">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Breda, Exh. No. KHB-5T at 1.</w:t>
      </w:r>
    </w:p>
    <w:p w:rsidR="00754FA3" w:rsidRPr="00A1372C" w:rsidRDefault="00754FA3" w:rsidP="00A17BDE">
      <w:pPr>
        <w:pStyle w:val="FootnoteText"/>
        <w:rPr>
          <w:szCs w:val="22"/>
        </w:rPr>
      </w:pPr>
    </w:p>
  </w:footnote>
  <w:footnote w:id="407">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t>
      </w:r>
      <w:r w:rsidRPr="00E14E96">
        <w:rPr>
          <w:i/>
          <w:szCs w:val="22"/>
        </w:rPr>
        <w:t>Id.</w:t>
      </w:r>
      <w:r w:rsidRPr="00A1372C">
        <w:rPr>
          <w:szCs w:val="22"/>
        </w:rPr>
        <w:t xml:space="preserve"> at 1.</w:t>
      </w:r>
    </w:p>
    <w:p w:rsidR="00754FA3" w:rsidRPr="00A1372C" w:rsidRDefault="00754FA3" w:rsidP="00A17BDE">
      <w:pPr>
        <w:pStyle w:val="FootnoteText"/>
        <w:rPr>
          <w:szCs w:val="22"/>
        </w:rPr>
      </w:pPr>
    </w:p>
  </w:footnote>
  <w:footnote w:id="408">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w:t>
      </w:r>
      <w:r w:rsidRPr="00E14E96">
        <w:rPr>
          <w:i/>
          <w:szCs w:val="22"/>
        </w:rPr>
        <w:t>Id.</w:t>
      </w:r>
      <w:r w:rsidRPr="00A1372C">
        <w:rPr>
          <w:szCs w:val="22"/>
        </w:rPr>
        <w:t xml:space="preserve"> at 3.</w:t>
      </w:r>
    </w:p>
    <w:p w:rsidR="00754FA3" w:rsidRPr="00A1372C" w:rsidRDefault="00754FA3" w:rsidP="00A17BDE">
      <w:pPr>
        <w:pStyle w:val="FootnoteText"/>
        <w:rPr>
          <w:szCs w:val="22"/>
        </w:rPr>
      </w:pPr>
    </w:p>
  </w:footnote>
  <w:footnote w:id="409">
    <w:p w:rsidR="00754FA3" w:rsidRPr="00A1372C" w:rsidRDefault="00754FA3" w:rsidP="00A17BDE">
      <w:pPr>
        <w:pStyle w:val="FootnoteText"/>
        <w:rPr>
          <w:szCs w:val="22"/>
        </w:rPr>
      </w:pPr>
      <w:r w:rsidRPr="00A1372C">
        <w:rPr>
          <w:rStyle w:val="FootnoteReference"/>
          <w:szCs w:val="22"/>
        </w:rPr>
        <w:footnoteRef/>
      </w:r>
      <w:r w:rsidRPr="00A1372C">
        <w:rPr>
          <w:szCs w:val="22"/>
        </w:rPr>
        <w:t xml:space="preserve"> Fuller, Exh. No, RF-14T at 1.</w:t>
      </w:r>
    </w:p>
    <w:p w:rsidR="00754FA3" w:rsidRPr="00A1372C" w:rsidRDefault="00754FA3" w:rsidP="00A17BDE">
      <w:pPr>
        <w:pStyle w:val="FootnoteText"/>
        <w:rPr>
          <w:szCs w:val="22"/>
        </w:rPr>
      </w:pPr>
    </w:p>
  </w:footnote>
  <w:footnote w:id="410">
    <w:p w:rsidR="00754FA3" w:rsidRDefault="00754FA3">
      <w:pPr>
        <w:pStyle w:val="FootnoteText"/>
      </w:pPr>
      <w:r>
        <w:rPr>
          <w:rStyle w:val="FootnoteReference"/>
        </w:rPr>
        <w:footnoteRef/>
      </w:r>
      <w:r>
        <w:t xml:space="preserve"> For example, the Commission states the company should be put on notice that any future use of liberalized depreciation on a normalized basis will be subject to immediate flow through if permissible under the tax law.” </w:t>
      </w:r>
      <w:r>
        <w:rPr>
          <w:i/>
        </w:rPr>
        <w:t xml:space="preserve">Washington Utilities and Transportation Commission v. Pacific Northwest Bell Company, </w:t>
      </w:r>
      <w:r>
        <w:t>Cause No. U-9880, Second Supplemental Order at 15 (November 1969).</w:t>
      </w:r>
    </w:p>
    <w:p w:rsidR="00754FA3" w:rsidRPr="00036CD2" w:rsidRDefault="00754FA3">
      <w:pPr>
        <w:pStyle w:val="FootnoteText"/>
      </w:pPr>
    </w:p>
  </w:footnote>
  <w:footnote w:id="411">
    <w:p w:rsidR="00754FA3" w:rsidRDefault="00754FA3" w:rsidP="00FB4F1F">
      <w:pPr>
        <w:pStyle w:val="FootnoteText"/>
      </w:pPr>
      <w:r>
        <w:rPr>
          <w:rStyle w:val="FootnoteReference"/>
        </w:rPr>
        <w:footnoteRef/>
      </w:r>
      <w:r>
        <w:t xml:space="preserve"> Fuller, Exh. No. RF-8T at 3 - 4.</w:t>
      </w:r>
    </w:p>
    <w:p w:rsidR="00754FA3" w:rsidRPr="00FB4F1F" w:rsidRDefault="00754FA3" w:rsidP="00FB4F1F">
      <w:pPr>
        <w:pStyle w:val="FootnoteText"/>
      </w:pPr>
    </w:p>
  </w:footnote>
  <w:footnote w:id="412">
    <w:p w:rsidR="00754FA3" w:rsidRPr="0085698F" w:rsidRDefault="00754FA3" w:rsidP="00D242DB">
      <w:pPr>
        <w:pStyle w:val="FootnoteText"/>
        <w:spacing w:after="240"/>
        <w:rPr>
          <w:szCs w:val="22"/>
        </w:rPr>
      </w:pPr>
      <w:r>
        <w:rPr>
          <w:rStyle w:val="FootnoteReference"/>
        </w:rPr>
        <w:footnoteRef/>
      </w:r>
      <w:r>
        <w:t xml:space="preserve"> </w:t>
      </w:r>
      <w:r w:rsidRPr="00CE557B">
        <w:rPr>
          <w:szCs w:val="22"/>
        </w:rPr>
        <w:t xml:space="preserve">PacifiCorp asks in the alternative that we order the Company to file an accounting petition and establish a six-month review period.  The Company, however, </w:t>
      </w:r>
      <w:r>
        <w:rPr>
          <w:szCs w:val="22"/>
        </w:rPr>
        <w:t xml:space="preserve">may file an accounting petition on its own initiative and thus </w:t>
      </w:r>
      <w:r w:rsidRPr="00CE557B">
        <w:rPr>
          <w:szCs w:val="22"/>
        </w:rPr>
        <w:t xml:space="preserve">does not need a Commission order </w:t>
      </w:r>
      <w:r>
        <w:rPr>
          <w:szCs w:val="22"/>
        </w:rPr>
        <w:t xml:space="preserve">requiring such a </w:t>
      </w:r>
      <w:r w:rsidRPr="00CE557B">
        <w:rPr>
          <w:szCs w:val="22"/>
        </w:rPr>
        <w:t>fil</w:t>
      </w:r>
      <w:r>
        <w:rPr>
          <w:szCs w:val="22"/>
        </w:rPr>
        <w:t>ing</w:t>
      </w:r>
      <w:r w:rsidRPr="00CE557B">
        <w:rPr>
          <w:szCs w:val="22"/>
        </w:rPr>
        <w:t>.</w:t>
      </w:r>
    </w:p>
  </w:footnote>
  <w:footnote w:id="413">
    <w:p w:rsidR="00754FA3" w:rsidRDefault="00754FA3">
      <w:pPr>
        <w:pStyle w:val="FootnoteText"/>
      </w:pPr>
      <w:r>
        <w:rPr>
          <w:rStyle w:val="FootnoteReference"/>
        </w:rPr>
        <w:footnoteRef/>
      </w:r>
      <w:r>
        <w:t xml:space="preserve"> Breda, Exh. No. KHB-5T at 4.</w:t>
      </w:r>
    </w:p>
    <w:p w:rsidR="00754FA3" w:rsidRPr="006C1CDE" w:rsidRDefault="00754FA3">
      <w:pPr>
        <w:pStyle w:val="FootnoteText"/>
      </w:pPr>
    </w:p>
  </w:footnote>
  <w:footnote w:id="414">
    <w:p w:rsidR="00754FA3" w:rsidRDefault="00754FA3">
      <w:pPr>
        <w:pStyle w:val="FootnoteText"/>
      </w:pPr>
      <w:r>
        <w:rPr>
          <w:rStyle w:val="FootnoteReference"/>
        </w:rPr>
        <w:footnoteRef/>
      </w:r>
      <w:r>
        <w:t xml:space="preserve"> Fuller, Exh. No. RF-14T at 2.</w:t>
      </w:r>
    </w:p>
    <w:p w:rsidR="00754FA3" w:rsidRPr="00B54E1D" w:rsidRDefault="00754FA3">
      <w:pPr>
        <w:pStyle w:val="FootnoteText"/>
      </w:pPr>
    </w:p>
  </w:footnote>
  <w:footnote w:id="415">
    <w:p w:rsidR="00754FA3" w:rsidRDefault="00754FA3">
      <w:pPr>
        <w:pStyle w:val="FootnoteText"/>
      </w:pPr>
      <w:r>
        <w:rPr>
          <w:rStyle w:val="FootnoteReference"/>
        </w:rPr>
        <w:footnoteRef/>
      </w:r>
      <w:r>
        <w:t xml:space="preserve"> PacifiCorp Initial Post Hearing Brief at 43.</w:t>
      </w:r>
    </w:p>
    <w:p w:rsidR="00754FA3" w:rsidRPr="0095090C" w:rsidRDefault="00754FA3">
      <w:pPr>
        <w:pStyle w:val="FootnoteText"/>
      </w:pPr>
    </w:p>
  </w:footnote>
  <w:footnote w:id="416">
    <w:p w:rsidR="00754FA3" w:rsidRDefault="00754FA3">
      <w:pPr>
        <w:pStyle w:val="FootnoteText"/>
      </w:pPr>
      <w:r>
        <w:rPr>
          <w:rStyle w:val="FootnoteReference"/>
        </w:rPr>
        <w:footnoteRef/>
      </w:r>
      <w:r>
        <w:t xml:space="preserve"> </w:t>
      </w:r>
      <w:r>
        <w:rPr>
          <w:i/>
        </w:rPr>
        <w:t xml:space="preserve">Washington Utilities and Transportation Commission v. PacifiCorp, </w:t>
      </w:r>
      <w:r>
        <w:t>Docket UE-090205, Order 09 (December 16, 2009).</w:t>
      </w:r>
    </w:p>
    <w:p w:rsidR="00754FA3" w:rsidRPr="009C31C5" w:rsidRDefault="00754FA3">
      <w:pPr>
        <w:pStyle w:val="FootnoteText"/>
      </w:pPr>
    </w:p>
  </w:footnote>
  <w:footnote w:id="417">
    <w:p w:rsidR="00754FA3" w:rsidRDefault="00754FA3">
      <w:pPr>
        <w:pStyle w:val="FootnoteText"/>
      </w:pPr>
      <w:r>
        <w:rPr>
          <w:rStyle w:val="FootnoteReference"/>
        </w:rPr>
        <w:footnoteRef/>
      </w:r>
      <w:r>
        <w:t xml:space="preserve"> The remaining assets, the Grid West loan was deferred in Docket UE-060703 and included as an uncontested adjustment in Docket UE-061546, PacifiCorp’s last litigated general rate case.  The Powerdale hydro plant and decommissioning costs were deferred in Docket UE-070624.  </w:t>
      </w:r>
    </w:p>
    <w:p w:rsidR="00754FA3" w:rsidRPr="000E5877" w:rsidRDefault="00754FA3">
      <w:pPr>
        <w:pStyle w:val="FootnoteText"/>
      </w:pPr>
    </w:p>
  </w:footnote>
  <w:footnote w:id="418">
    <w:p w:rsidR="00754FA3" w:rsidRDefault="00754FA3">
      <w:pPr>
        <w:pStyle w:val="FootnoteText"/>
      </w:pPr>
      <w:r>
        <w:rPr>
          <w:rStyle w:val="FootnoteReference"/>
        </w:rPr>
        <w:footnoteRef/>
      </w:r>
      <w:r>
        <w:t xml:space="preserve"> Foisy, Exh. No. MDF-1CT at 15.</w:t>
      </w:r>
    </w:p>
    <w:p w:rsidR="00754FA3" w:rsidRDefault="00754FA3">
      <w:pPr>
        <w:pStyle w:val="FootnoteText"/>
      </w:pPr>
    </w:p>
  </w:footnote>
  <w:footnote w:id="419">
    <w:p w:rsidR="00754FA3" w:rsidRPr="00A1372C" w:rsidRDefault="00754FA3" w:rsidP="00BA1886">
      <w:pPr>
        <w:pStyle w:val="FootnoteText"/>
        <w:rPr>
          <w:szCs w:val="22"/>
        </w:rPr>
      </w:pPr>
      <w:r w:rsidRPr="00A1372C">
        <w:rPr>
          <w:rStyle w:val="FootnoteReference"/>
          <w:szCs w:val="22"/>
        </w:rPr>
        <w:footnoteRef/>
      </w:r>
      <w:r w:rsidRPr="00A1372C">
        <w:rPr>
          <w:szCs w:val="22"/>
        </w:rPr>
        <w:t xml:space="preserve"> Dalley, Exh. No. RBD-1T at 21.  </w:t>
      </w:r>
      <w:r>
        <w:rPr>
          <w:szCs w:val="22"/>
        </w:rPr>
        <w:t xml:space="preserve">According to the Company, it used this method </w:t>
      </w:r>
      <w:r w:rsidRPr="00A1372C">
        <w:rPr>
          <w:szCs w:val="22"/>
        </w:rPr>
        <w:t xml:space="preserve">in its last two rate proceedings. </w:t>
      </w:r>
    </w:p>
    <w:p w:rsidR="00754FA3" w:rsidRPr="00A1372C" w:rsidRDefault="00754FA3" w:rsidP="00BA1886">
      <w:pPr>
        <w:pStyle w:val="FootnoteText"/>
        <w:rPr>
          <w:szCs w:val="22"/>
        </w:rPr>
      </w:pPr>
    </w:p>
  </w:footnote>
  <w:footnote w:id="420">
    <w:p w:rsidR="00754FA3" w:rsidRPr="00A1372C" w:rsidRDefault="00754FA3" w:rsidP="00BA1886">
      <w:pPr>
        <w:pStyle w:val="FootnoteText"/>
        <w:rPr>
          <w:szCs w:val="22"/>
        </w:rPr>
      </w:pPr>
      <w:r w:rsidRPr="00A1372C">
        <w:rPr>
          <w:rStyle w:val="FootnoteReference"/>
          <w:szCs w:val="22"/>
        </w:rPr>
        <w:footnoteRef/>
      </w:r>
      <w:r w:rsidRPr="00A1372C">
        <w:rPr>
          <w:szCs w:val="22"/>
        </w:rPr>
        <w:t xml:space="preserve"> </w:t>
      </w:r>
      <w:r w:rsidRPr="00E14E96">
        <w:rPr>
          <w:i/>
          <w:szCs w:val="22"/>
        </w:rPr>
        <w:t>Id</w:t>
      </w:r>
      <w:r>
        <w:rPr>
          <w:szCs w:val="22"/>
        </w:rPr>
        <w:t>.</w:t>
      </w:r>
      <w:r w:rsidRPr="00A1372C">
        <w:rPr>
          <w:szCs w:val="22"/>
        </w:rPr>
        <w:t xml:space="preserve"> at 21.</w:t>
      </w:r>
    </w:p>
    <w:p w:rsidR="00754FA3" w:rsidRPr="00A1372C" w:rsidRDefault="00754FA3" w:rsidP="00BA1886">
      <w:pPr>
        <w:pStyle w:val="FootnoteText"/>
        <w:rPr>
          <w:szCs w:val="22"/>
        </w:rPr>
      </w:pPr>
    </w:p>
  </w:footnote>
  <w:footnote w:id="421">
    <w:p w:rsidR="00754FA3" w:rsidRPr="00A1372C" w:rsidRDefault="00754FA3" w:rsidP="00BA1886">
      <w:pPr>
        <w:pStyle w:val="FootnoteText"/>
        <w:rPr>
          <w:szCs w:val="22"/>
        </w:rPr>
      </w:pPr>
      <w:r w:rsidRPr="00A1372C">
        <w:rPr>
          <w:rStyle w:val="FootnoteReference"/>
          <w:szCs w:val="22"/>
        </w:rPr>
        <w:footnoteRef/>
      </w:r>
      <w:r w:rsidRPr="00A1372C">
        <w:rPr>
          <w:szCs w:val="22"/>
        </w:rPr>
        <w:t xml:space="preserve"> </w:t>
      </w:r>
      <w:r w:rsidRPr="00E14E96">
        <w:rPr>
          <w:i/>
          <w:szCs w:val="22"/>
        </w:rPr>
        <w:t>Id</w:t>
      </w:r>
      <w:r>
        <w:rPr>
          <w:szCs w:val="22"/>
        </w:rPr>
        <w:t>.</w:t>
      </w:r>
      <w:r w:rsidRPr="00A1372C">
        <w:rPr>
          <w:szCs w:val="22"/>
        </w:rPr>
        <w:t xml:space="preserve"> at 21.</w:t>
      </w:r>
    </w:p>
    <w:p w:rsidR="00754FA3" w:rsidRPr="00A1372C" w:rsidRDefault="00754FA3" w:rsidP="00BA1886">
      <w:pPr>
        <w:pStyle w:val="FootnoteText"/>
        <w:rPr>
          <w:szCs w:val="22"/>
        </w:rPr>
      </w:pPr>
    </w:p>
  </w:footnote>
  <w:footnote w:id="422">
    <w:p w:rsidR="00754FA3" w:rsidRDefault="00754FA3">
      <w:pPr>
        <w:pStyle w:val="FootnoteText"/>
        <w:rPr>
          <w:szCs w:val="22"/>
        </w:rPr>
      </w:pPr>
      <w:r w:rsidRPr="000F2C90">
        <w:rPr>
          <w:rStyle w:val="FootnoteReference"/>
          <w:szCs w:val="22"/>
        </w:rPr>
        <w:footnoteRef/>
      </w:r>
      <w:r w:rsidRPr="000F2C90">
        <w:rPr>
          <w:szCs w:val="22"/>
        </w:rPr>
        <w:t xml:space="preserve"> </w:t>
      </w:r>
      <w:r w:rsidRPr="00E14E96">
        <w:rPr>
          <w:i/>
          <w:szCs w:val="22"/>
        </w:rPr>
        <w:t>Id</w:t>
      </w:r>
      <w:r>
        <w:rPr>
          <w:szCs w:val="22"/>
        </w:rPr>
        <w:t>. at 21.</w:t>
      </w:r>
    </w:p>
    <w:p w:rsidR="00754FA3" w:rsidRPr="000F2C90" w:rsidRDefault="00754FA3">
      <w:pPr>
        <w:pStyle w:val="FootnoteText"/>
        <w:rPr>
          <w:szCs w:val="22"/>
        </w:rPr>
      </w:pPr>
    </w:p>
  </w:footnote>
  <w:footnote w:id="423">
    <w:p w:rsidR="00754FA3" w:rsidRPr="00A1372C" w:rsidRDefault="00754FA3" w:rsidP="00BA1886">
      <w:pPr>
        <w:pStyle w:val="FootnoteText"/>
        <w:rPr>
          <w:szCs w:val="22"/>
        </w:rPr>
      </w:pPr>
      <w:r w:rsidRPr="00A1372C">
        <w:rPr>
          <w:rStyle w:val="FootnoteReference"/>
          <w:szCs w:val="22"/>
        </w:rPr>
        <w:footnoteRef/>
      </w:r>
      <w:r w:rsidRPr="00A1372C">
        <w:rPr>
          <w:szCs w:val="22"/>
        </w:rPr>
        <w:t xml:space="preserve"> Schooley, Exh. No. TES-1T at 14.</w:t>
      </w:r>
    </w:p>
    <w:p w:rsidR="00754FA3" w:rsidRPr="00A1372C" w:rsidRDefault="00754FA3" w:rsidP="00BA1886">
      <w:pPr>
        <w:pStyle w:val="FootnoteText"/>
        <w:rPr>
          <w:szCs w:val="22"/>
        </w:rPr>
      </w:pPr>
    </w:p>
  </w:footnote>
  <w:footnote w:id="424">
    <w:p w:rsidR="00754FA3" w:rsidRPr="00A1372C" w:rsidRDefault="00754FA3" w:rsidP="00BA1886">
      <w:pPr>
        <w:pStyle w:val="FootnoteText"/>
        <w:rPr>
          <w:szCs w:val="22"/>
        </w:rPr>
      </w:pPr>
      <w:r w:rsidRPr="00A1372C">
        <w:rPr>
          <w:rStyle w:val="FootnoteReference"/>
          <w:szCs w:val="22"/>
        </w:rPr>
        <w:footnoteRef/>
      </w:r>
      <w:r w:rsidRPr="00A1372C">
        <w:rPr>
          <w:szCs w:val="22"/>
        </w:rPr>
        <w:t xml:space="preserve"> </w:t>
      </w:r>
      <w:r w:rsidRPr="00E14E96">
        <w:rPr>
          <w:i/>
          <w:szCs w:val="22"/>
        </w:rPr>
        <w:t>Id</w:t>
      </w:r>
      <w:r>
        <w:rPr>
          <w:szCs w:val="22"/>
        </w:rPr>
        <w:t>.</w:t>
      </w:r>
      <w:r w:rsidRPr="00A1372C">
        <w:rPr>
          <w:szCs w:val="22"/>
        </w:rPr>
        <w:t xml:space="preserve"> at 10.</w:t>
      </w:r>
    </w:p>
    <w:p w:rsidR="00754FA3" w:rsidRPr="00A1372C" w:rsidRDefault="00754FA3" w:rsidP="00BA1886">
      <w:pPr>
        <w:pStyle w:val="FootnoteText"/>
        <w:rPr>
          <w:szCs w:val="22"/>
        </w:rPr>
      </w:pPr>
    </w:p>
  </w:footnote>
  <w:footnote w:id="425">
    <w:p w:rsidR="00754FA3" w:rsidRPr="00A1372C" w:rsidRDefault="00754FA3" w:rsidP="00BA1886">
      <w:pPr>
        <w:pStyle w:val="FootnoteText"/>
        <w:rPr>
          <w:szCs w:val="22"/>
        </w:rPr>
      </w:pPr>
      <w:r w:rsidRPr="00A1372C">
        <w:rPr>
          <w:rStyle w:val="FootnoteReference"/>
          <w:szCs w:val="22"/>
        </w:rPr>
        <w:footnoteRef/>
      </w:r>
      <w:r w:rsidRPr="00A1372C">
        <w:rPr>
          <w:szCs w:val="22"/>
        </w:rPr>
        <w:t xml:space="preserve"> </w:t>
      </w:r>
      <w:r w:rsidRPr="00E14E96">
        <w:rPr>
          <w:i/>
          <w:szCs w:val="22"/>
        </w:rPr>
        <w:t>Id</w:t>
      </w:r>
      <w:r>
        <w:rPr>
          <w:szCs w:val="22"/>
        </w:rPr>
        <w:t>.</w:t>
      </w:r>
      <w:r w:rsidRPr="00A1372C">
        <w:rPr>
          <w:szCs w:val="22"/>
        </w:rPr>
        <w:t xml:space="preserve"> at 6.</w:t>
      </w:r>
    </w:p>
    <w:p w:rsidR="00754FA3" w:rsidRPr="00A1372C" w:rsidRDefault="00754FA3" w:rsidP="00BA1886">
      <w:pPr>
        <w:pStyle w:val="FootnoteText"/>
        <w:rPr>
          <w:szCs w:val="22"/>
        </w:rPr>
      </w:pPr>
    </w:p>
  </w:footnote>
  <w:footnote w:id="426">
    <w:p w:rsidR="00754FA3" w:rsidRPr="00A1372C" w:rsidRDefault="00754FA3" w:rsidP="00BA1886">
      <w:pPr>
        <w:pStyle w:val="FootnoteText"/>
        <w:rPr>
          <w:szCs w:val="22"/>
        </w:rPr>
      </w:pPr>
      <w:r w:rsidRPr="00A1372C">
        <w:rPr>
          <w:rStyle w:val="FootnoteReference"/>
          <w:szCs w:val="22"/>
        </w:rPr>
        <w:footnoteRef/>
      </w:r>
      <w:r w:rsidRPr="00A1372C">
        <w:rPr>
          <w:szCs w:val="22"/>
        </w:rPr>
        <w:t xml:space="preserve"> Schooley, Exh. No. TES-2 at 4.</w:t>
      </w:r>
    </w:p>
    <w:p w:rsidR="00754FA3" w:rsidRPr="00A1372C" w:rsidRDefault="00754FA3" w:rsidP="00BA1886">
      <w:pPr>
        <w:pStyle w:val="FootnoteText"/>
        <w:rPr>
          <w:szCs w:val="22"/>
        </w:rPr>
      </w:pPr>
    </w:p>
  </w:footnote>
  <w:footnote w:id="427">
    <w:p w:rsidR="00754FA3" w:rsidRPr="00A1372C" w:rsidRDefault="00754FA3" w:rsidP="003B19B0">
      <w:pPr>
        <w:pStyle w:val="FootnoteText"/>
        <w:rPr>
          <w:szCs w:val="22"/>
        </w:rPr>
      </w:pPr>
      <w:r w:rsidRPr="00A1372C">
        <w:rPr>
          <w:rStyle w:val="FootnoteReference"/>
          <w:szCs w:val="22"/>
        </w:rPr>
        <w:footnoteRef/>
      </w:r>
      <w:r w:rsidRPr="00A1372C">
        <w:rPr>
          <w:szCs w:val="22"/>
        </w:rPr>
        <w:t xml:space="preserve"> Schooley, Exh. No. TES-1T at 6.</w:t>
      </w:r>
    </w:p>
    <w:p w:rsidR="00754FA3" w:rsidRPr="00A1372C" w:rsidRDefault="00754FA3" w:rsidP="003B19B0">
      <w:pPr>
        <w:pStyle w:val="FootnoteText"/>
        <w:rPr>
          <w:szCs w:val="22"/>
        </w:rPr>
      </w:pPr>
    </w:p>
  </w:footnote>
  <w:footnote w:id="428">
    <w:p w:rsidR="00754FA3" w:rsidRDefault="00754FA3">
      <w:pPr>
        <w:pStyle w:val="FootnoteText"/>
      </w:pPr>
      <w:r>
        <w:rPr>
          <w:rStyle w:val="FootnoteReference"/>
        </w:rPr>
        <w:footnoteRef/>
      </w:r>
      <w:r>
        <w:t xml:space="preserve"> Meyer, Exh. No. GRM-1CT at 5.</w:t>
      </w:r>
    </w:p>
    <w:p w:rsidR="00754FA3" w:rsidRDefault="00754FA3">
      <w:pPr>
        <w:pStyle w:val="FootnoteText"/>
      </w:pPr>
    </w:p>
  </w:footnote>
  <w:footnote w:id="429">
    <w:p w:rsidR="00754FA3" w:rsidRPr="00A1372C" w:rsidRDefault="00754FA3" w:rsidP="004C389F">
      <w:pPr>
        <w:pStyle w:val="FootnoteText"/>
        <w:rPr>
          <w:szCs w:val="22"/>
        </w:rPr>
      </w:pPr>
      <w:r w:rsidRPr="00A1372C">
        <w:rPr>
          <w:rStyle w:val="FootnoteReference"/>
          <w:szCs w:val="22"/>
        </w:rPr>
        <w:footnoteRef/>
      </w:r>
      <w:r w:rsidRPr="00A1372C">
        <w:rPr>
          <w:szCs w:val="22"/>
        </w:rPr>
        <w:t xml:space="preserve"> </w:t>
      </w:r>
      <w:r w:rsidRPr="00E14E96">
        <w:rPr>
          <w:i/>
          <w:szCs w:val="22"/>
        </w:rPr>
        <w:t>Id</w:t>
      </w:r>
      <w:r>
        <w:rPr>
          <w:szCs w:val="22"/>
        </w:rPr>
        <w:t>.</w:t>
      </w:r>
      <w:r w:rsidRPr="00A1372C">
        <w:rPr>
          <w:szCs w:val="22"/>
        </w:rPr>
        <w:t xml:space="preserve"> at 5.</w:t>
      </w:r>
    </w:p>
    <w:p w:rsidR="00754FA3" w:rsidRPr="00A1372C" w:rsidRDefault="00754FA3" w:rsidP="004C389F">
      <w:pPr>
        <w:pStyle w:val="FootnoteText"/>
        <w:rPr>
          <w:szCs w:val="22"/>
        </w:rPr>
      </w:pPr>
    </w:p>
  </w:footnote>
  <w:footnote w:id="430">
    <w:p w:rsidR="00754FA3" w:rsidRPr="00A1372C" w:rsidRDefault="00754FA3" w:rsidP="00BA1886">
      <w:pPr>
        <w:pStyle w:val="FootnoteText"/>
        <w:rPr>
          <w:szCs w:val="22"/>
        </w:rPr>
      </w:pPr>
      <w:r w:rsidRPr="00A1372C">
        <w:rPr>
          <w:rStyle w:val="FootnoteReference"/>
          <w:szCs w:val="22"/>
        </w:rPr>
        <w:footnoteRef/>
      </w:r>
      <w:r w:rsidRPr="00A1372C">
        <w:rPr>
          <w:szCs w:val="22"/>
        </w:rPr>
        <w:t xml:space="preserve"> </w:t>
      </w:r>
      <w:r w:rsidRPr="00E14E96">
        <w:rPr>
          <w:i/>
          <w:szCs w:val="22"/>
        </w:rPr>
        <w:t>Id.</w:t>
      </w:r>
      <w:r w:rsidRPr="00A1372C">
        <w:rPr>
          <w:szCs w:val="22"/>
        </w:rPr>
        <w:t xml:space="preserve"> at 4.</w:t>
      </w:r>
    </w:p>
    <w:p w:rsidR="00754FA3" w:rsidRPr="00A1372C" w:rsidRDefault="00754FA3" w:rsidP="00BA1886">
      <w:pPr>
        <w:pStyle w:val="FootnoteText"/>
        <w:rPr>
          <w:szCs w:val="22"/>
        </w:rPr>
      </w:pPr>
    </w:p>
  </w:footnote>
  <w:footnote w:id="431">
    <w:p w:rsidR="00754FA3" w:rsidRPr="00A1372C" w:rsidRDefault="00754FA3" w:rsidP="004C389F">
      <w:pPr>
        <w:pStyle w:val="FootnoteText"/>
        <w:rPr>
          <w:szCs w:val="22"/>
        </w:rPr>
      </w:pPr>
      <w:r w:rsidRPr="00A1372C">
        <w:rPr>
          <w:rStyle w:val="FootnoteReference"/>
          <w:szCs w:val="22"/>
        </w:rPr>
        <w:footnoteRef/>
      </w:r>
      <w:r w:rsidRPr="00A1372C">
        <w:rPr>
          <w:szCs w:val="22"/>
        </w:rPr>
        <w:t xml:space="preserve"> </w:t>
      </w:r>
      <w:r w:rsidRPr="00E14E96">
        <w:rPr>
          <w:i/>
          <w:szCs w:val="22"/>
        </w:rPr>
        <w:t>Id</w:t>
      </w:r>
      <w:r>
        <w:rPr>
          <w:szCs w:val="22"/>
        </w:rPr>
        <w:t>.</w:t>
      </w:r>
      <w:r w:rsidRPr="00A1372C">
        <w:rPr>
          <w:szCs w:val="22"/>
        </w:rPr>
        <w:t xml:space="preserve"> at 5.</w:t>
      </w:r>
    </w:p>
    <w:p w:rsidR="00754FA3" w:rsidRPr="00A1372C" w:rsidRDefault="00754FA3" w:rsidP="004C389F">
      <w:pPr>
        <w:pStyle w:val="FootnoteText"/>
        <w:rPr>
          <w:szCs w:val="22"/>
        </w:rPr>
      </w:pPr>
    </w:p>
  </w:footnote>
  <w:footnote w:id="432">
    <w:p w:rsidR="00754FA3" w:rsidRPr="00A1372C" w:rsidRDefault="00754FA3" w:rsidP="004C389F">
      <w:pPr>
        <w:pStyle w:val="FootnoteText"/>
        <w:rPr>
          <w:szCs w:val="22"/>
        </w:rPr>
      </w:pPr>
      <w:r w:rsidRPr="00A1372C">
        <w:rPr>
          <w:rStyle w:val="FootnoteReference"/>
          <w:szCs w:val="22"/>
        </w:rPr>
        <w:footnoteRef/>
      </w:r>
      <w:r w:rsidRPr="00A1372C">
        <w:rPr>
          <w:szCs w:val="22"/>
        </w:rPr>
        <w:t xml:space="preserve"> </w:t>
      </w:r>
      <w:r w:rsidRPr="00E14E96">
        <w:rPr>
          <w:i/>
          <w:szCs w:val="22"/>
        </w:rPr>
        <w:t>Id</w:t>
      </w:r>
      <w:r>
        <w:rPr>
          <w:szCs w:val="22"/>
        </w:rPr>
        <w:t>.</w:t>
      </w:r>
      <w:r w:rsidRPr="00A1372C">
        <w:rPr>
          <w:szCs w:val="22"/>
        </w:rPr>
        <w:t xml:space="preserve"> at 4.</w:t>
      </w:r>
    </w:p>
    <w:p w:rsidR="00754FA3" w:rsidRPr="00A1372C" w:rsidRDefault="00754FA3" w:rsidP="004C389F">
      <w:pPr>
        <w:pStyle w:val="FootnoteText"/>
        <w:rPr>
          <w:szCs w:val="22"/>
        </w:rPr>
      </w:pPr>
    </w:p>
  </w:footnote>
  <w:footnote w:id="433">
    <w:p w:rsidR="00754FA3" w:rsidRPr="00A1372C" w:rsidRDefault="00754FA3" w:rsidP="00BA1886">
      <w:pPr>
        <w:pStyle w:val="FootnoteText"/>
        <w:rPr>
          <w:szCs w:val="22"/>
        </w:rPr>
      </w:pPr>
      <w:r w:rsidRPr="00A1372C">
        <w:rPr>
          <w:rStyle w:val="FootnoteReference"/>
          <w:szCs w:val="22"/>
        </w:rPr>
        <w:footnoteRef/>
      </w:r>
      <w:r w:rsidRPr="00A1372C">
        <w:rPr>
          <w:szCs w:val="22"/>
        </w:rPr>
        <w:t xml:space="preserve"> Dalley, Exh. No. RB</w:t>
      </w:r>
      <w:r>
        <w:rPr>
          <w:szCs w:val="22"/>
        </w:rPr>
        <w:t>D-4T at 18, referencing Docket UE-061456.</w:t>
      </w:r>
    </w:p>
    <w:p w:rsidR="00754FA3" w:rsidRPr="00A1372C" w:rsidRDefault="00754FA3" w:rsidP="00BA1886">
      <w:pPr>
        <w:pStyle w:val="FootnoteText"/>
        <w:rPr>
          <w:szCs w:val="22"/>
        </w:rPr>
      </w:pPr>
    </w:p>
  </w:footnote>
  <w:footnote w:id="434">
    <w:p w:rsidR="00754FA3" w:rsidRPr="00A1372C" w:rsidRDefault="00754FA3" w:rsidP="00BA1886">
      <w:pPr>
        <w:pStyle w:val="FootnoteText"/>
        <w:rPr>
          <w:szCs w:val="22"/>
        </w:rPr>
      </w:pPr>
      <w:r w:rsidRPr="00A1372C">
        <w:rPr>
          <w:rStyle w:val="FootnoteReference"/>
          <w:szCs w:val="22"/>
        </w:rPr>
        <w:footnoteRef/>
      </w:r>
      <w:r w:rsidRPr="00A1372C">
        <w:rPr>
          <w:szCs w:val="22"/>
        </w:rPr>
        <w:t xml:space="preserve"> </w:t>
      </w:r>
      <w:r w:rsidRPr="00E14E96">
        <w:rPr>
          <w:i/>
          <w:szCs w:val="22"/>
        </w:rPr>
        <w:t>Id</w:t>
      </w:r>
      <w:r>
        <w:rPr>
          <w:szCs w:val="22"/>
        </w:rPr>
        <w:t>.</w:t>
      </w:r>
      <w:r w:rsidRPr="00A1372C">
        <w:rPr>
          <w:szCs w:val="22"/>
        </w:rPr>
        <w:t xml:space="preserve"> at 17.</w:t>
      </w:r>
    </w:p>
    <w:p w:rsidR="00754FA3" w:rsidRPr="00A1372C" w:rsidRDefault="00754FA3" w:rsidP="00BA1886">
      <w:pPr>
        <w:pStyle w:val="FootnoteText"/>
        <w:rPr>
          <w:szCs w:val="22"/>
        </w:rPr>
      </w:pPr>
    </w:p>
  </w:footnote>
  <w:footnote w:id="435">
    <w:p w:rsidR="00754FA3" w:rsidRDefault="00754FA3">
      <w:pPr>
        <w:pStyle w:val="FootnoteText"/>
      </w:pPr>
      <w:r>
        <w:rPr>
          <w:rStyle w:val="FootnoteReference"/>
        </w:rPr>
        <w:footnoteRef/>
      </w:r>
      <w:r>
        <w:t xml:space="preserve"> </w:t>
      </w:r>
      <w:r w:rsidRPr="00E14E96">
        <w:rPr>
          <w:i/>
        </w:rPr>
        <w:t>Id</w:t>
      </w:r>
      <w:r>
        <w:t>. at 16.</w:t>
      </w:r>
    </w:p>
    <w:p w:rsidR="00754FA3" w:rsidRPr="00C173FB" w:rsidRDefault="00754FA3">
      <w:pPr>
        <w:pStyle w:val="FootnoteText"/>
      </w:pPr>
    </w:p>
  </w:footnote>
  <w:footnote w:id="436">
    <w:p w:rsidR="00754FA3" w:rsidRPr="00A1372C" w:rsidRDefault="00754FA3" w:rsidP="00BA1886">
      <w:pPr>
        <w:pStyle w:val="FootnoteText"/>
        <w:rPr>
          <w:szCs w:val="22"/>
        </w:rPr>
      </w:pPr>
      <w:r w:rsidRPr="00A1372C">
        <w:rPr>
          <w:rStyle w:val="FootnoteReference"/>
          <w:szCs w:val="22"/>
        </w:rPr>
        <w:footnoteRef/>
      </w:r>
      <w:r w:rsidRPr="00A1372C">
        <w:rPr>
          <w:szCs w:val="22"/>
        </w:rPr>
        <w:t xml:space="preserve"> Dalley, Exh. No. RBD-4T at 15.</w:t>
      </w:r>
    </w:p>
    <w:p w:rsidR="00754FA3" w:rsidRPr="00A1372C" w:rsidRDefault="00754FA3" w:rsidP="00BA1886">
      <w:pPr>
        <w:pStyle w:val="FootnoteText"/>
        <w:rPr>
          <w:szCs w:val="22"/>
        </w:rPr>
      </w:pPr>
    </w:p>
  </w:footnote>
  <w:footnote w:id="437">
    <w:p w:rsidR="00754FA3" w:rsidRDefault="00754FA3" w:rsidP="00BA1886">
      <w:pPr>
        <w:pStyle w:val="FootnoteText"/>
        <w:rPr>
          <w:szCs w:val="22"/>
        </w:rPr>
      </w:pPr>
      <w:r w:rsidRPr="00A1372C">
        <w:rPr>
          <w:rStyle w:val="FootnoteReference"/>
          <w:szCs w:val="22"/>
        </w:rPr>
        <w:footnoteRef/>
      </w:r>
      <w:r w:rsidRPr="00A1372C">
        <w:rPr>
          <w:szCs w:val="22"/>
        </w:rPr>
        <w:t xml:space="preserve"> </w:t>
      </w:r>
      <w:r w:rsidRPr="00E14E96">
        <w:rPr>
          <w:i/>
          <w:szCs w:val="22"/>
        </w:rPr>
        <w:t>Id</w:t>
      </w:r>
      <w:r>
        <w:rPr>
          <w:szCs w:val="22"/>
        </w:rPr>
        <w:t>.</w:t>
      </w:r>
      <w:r w:rsidRPr="00A1372C">
        <w:rPr>
          <w:szCs w:val="22"/>
        </w:rPr>
        <w:t xml:space="preserve"> at 13.</w:t>
      </w:r>
    </w:p>
    <w:p w:rsidR="00754FA3" w:rsidRPr="00A1372C" w:rsidRDefault="00754FA3" w:rsidP="00BA1886">
      <w:pPr>
        <w:pStyle w:val="FootnoteText"/>
        <w:rPr>
          <w:szCs w:val="22"/>
        </w:rPr>
      </w:pPr>
    </w:p>
  </w:footnote>
  <w:footnote w:id="438">
    <w:p w:rsidR="00754FA3" w:rsidRDefault="00754FA3">
      <w:pPr>
        <w:pStyle w:val="FootnoteText"/>
      </w:pPr>
      <w:r>
        <w:rPr>
          <w:rStyle w:val="FootnoteReference"/>
        </w:rPr>
        <w:footnoteRef/>
      </w:r>
      <w:r>
        <w:rPr>
          <w:i/>
        </w:rPr>
        <w:t xml:space="preserve">Washington Utilities and Transportation Commission v. PacifiCorp, </w:t>
      </w:r>
      <w:r>
        <w:t>Docket UE-050684, Order 04 at 66 (April 17, 2006).</w:t>
      </w:r>
    </w:p>
    <w:p w:rsidR="00754FA3" w:rsidRPr="004C1866" w:rsidRDefault="00754FA3">
      <w:pPr>
        <w:pStyle w:val="FootnoteText"/>
      </w:pPr>
    </w:p>
  </w:footnote>
  <w:footnote w:id="439">
    <w:p w:rsidR="00754FA3" w:rsidRDefault="00754FA3">
      <w:pPr>
        <w:pStyle w:val="FootnoteText"/>
        <w:rPr>
          <w:szCs w:val="22"/>
        </w:rPr>
      </w:pPr>
      <w:r w:rsidRPr="001A2DC5">
        <w:rPr>
          <w:rStyle w:val="FootnoteReference"/>
          <w:szCs w:val="22"/>
        </w:rPr>
        <w:footnoteRef/>
      </w:r>
      <w:r w:rsidRPr="001A2DC5">
        <w:rPr>
          <w:szCs w:val="22"/>
        </w:rPr>
        <w:t xml:space="preserve"> </w:t>
      </w:r>
      <w:r>
        <w:rPr>
          <w:i/>
          <w:szCs w:val="22"/>
        </w:rPr>
        <w:t xml:space="preserve">Washington Utilities and Transportation Commission v. </w:t>
      </w:r>
      <w:r w:rsidRPr="007F1AC8">
        <w:rPr>
          <w:szCs w:val="22"/>
        </w:rPr>
        <w:t>PacifiCorp</w:t>
      </w:r>
      <w:r>
        <w:rPr>
          <w:szCs w:val="22"/>
        </w:rPr>
        <w:t xml:space="preserve">, Docket UE-061546, </w:t>
      </w:r>
      <w:r w:rsidRPr="007F1AC8">
        <w:rPr>
          <w:szCs w:val="22"/>
        </w:rPr>
        <w:t>Order</w:t>
      </w:r>
      <w:r w:rsidRPr="001A2DC5">
        <w:rPr>
          <w:szCs w:val="22"/>
        </w:rPr>
        <w:t xml:space="preserve"> 08</w:t>
      </w:r>
      <w:r>
        <w:rPr>
          <w:szCs w:val="22"/>
        </w:rPr>
        <w:t xml:space="preserve"> (</w:t>
      </w:r>
      <w:r w:rsidRPr="001A2DC5">
        <w:rPr>
          <w:szCs w:val="22"/>
        </w:rPr>
        <w:t>June 21, 2007</w:t>
      </w:r>
      <w:r>
        <w:rPr>
          <w:szCs w:val="22"/>
        </w:rPr>
        <w:t>).</w:t>
      </w:r>
    </w:p>
    <w:p w:rsidR="00754FA3" w:rsidRPr="001A2DC5" w:rsidRDefault="00754FA3">
      <w:pPr>
        <w:pStyle w:val="FootnoteText"/>
        <w:rPr>
          <w:szCs w:val="22"/>
        </w:rPr>
      </w:pPr>
    </w:p>
  </w:footnote>
  <w:footnote w:id="440">
    <w:p w:rsidR="00754FA3" w:rsidRDefault="00754FA3">
      <w:pPr>
        <w:pStyle w:val="FootnoteText"/>
      </w:pPr>
      <w:r>
        <w:rPr>
          <w:rStyle w:val="FootnoteReference"/>
        </w:rPr>
        <w:footnoteRef/>
      </w:r>
      <w:r>
        <w:t xml:space="preserve"> Schooley, Exh. No. TES-1T at 22, Meyer, Exh. No. GRM-1CT at 8.</w:t>
      </w:r>
    </w:p>
    <w:p w:rsidR="00754FA3" w:rsidRPr="00734656" w:rsidRDefault="00754FA3">
      <w:pPr>
        <w:pStyle w:val="FootnoteText"/>
      </w:pPr>
    </w:p>
  </w:footnote>
  <w:footnote w:id="441">
    <w:p w:rsidR="00754FA3" w:rsidRDefault="00754FA3">
      <w:pPr>
        <w:pStyle w:val="FootnoteText"/>
      </w:pPr>
      <w:r>
        <w:rPr>
          <w:rStyle w:val="FootnoteReference"/>
        </w:rPr>
        <w:footnoteRef/>
      </w:r>
      <w:r>
        <w:t xml:space="preserve"> Schooley, Exh. No. TES-1T at 13.</w:t>
      </w:r>
    </w:p>
    <w:p w:rsidR="00754FA3" w:rsidRPr="0071488A" w:rsidRDefault="00754FA3">
      <w:pPr>
        <w:pStyle w:val="FootnoteText"/>
      </w:pPr>
    </w:p>
  </w:footnote>
  <w:footnote w:id="442">
    <w:p w:rsidR="00754FA3" w:rsidRDefault="00754FA3" w:rsidP="00D242DB">
      <w:pPr>
        <w:pStyle w:val="FootnoteText"/>
      </w:pPr>
      <w:r>
        <w:rPr>
          <w:rStyle w:val="FootnoteReference"/>
        </w:rPr>
        <w:footnoteRef/>
      </w:r>
      <w:r>
        <w:t xml:space="preserve"> The Company argues that Staff’s approach violates the Commission decision in UE-061546 and that working capital must be calculated on a WCA basis. </w:t>
      </w:r>
      <w:r>
        <w:rPr>
          <w:i/>
        </w:rPr>
        <w:t xml:space="preserve">See </w:t>
      </w:r>
      <w:r>
        <w:t>Dalley, Exh. No. RBD-4T at 14.</w:t>
      </w:r>
    </w:p>
    <w:p w:rsidR="00754FA3" w:rsidRDefault="00754FA3" w:rsidP="00D242DB">
      <w:pPr>
        <w:pStyle w:val="FootnoteText"/>
      </w:pPr>
      <w:r>
        <w:t xml:space="preserve"> </w:t>
      </w:r>
    </w:p>
  </w:footnote>
  <w:footnote w:id="443">
    <w:p w:rsidR="00754FA3" w:rsidRDefault="00754FA3" w:rsidP="00D242DB">
      <w:pPr>
        <w:pStyle w:val="FootnoteText"/>
      </w:pPr>
      <w:r>
        <w:rPr>
          <w:rStyle w:val="FootnoteReference"/>
        </w:rPr>
        <w:footnoteRef/>
      </w:r>
      <w:r>
        <w:t xml:space="preserve"> Schooley, Exh. No. TES-1T at 9.  We note that should we accept the Company’s recommendation to reject Staff’s ISWC methodology and, having rejected the methodologies proposed by the Company and the Joint Parties, the result would be the same – there would be no investor-supplied working capital adjustment to rate base. </w:t>
      </w:r>
    </w:p>
    <w:p w:rsidR="00754FA3" w:rsidRPr="000705D3" w:rsidRDefault="00754FA3" w:rsidP="00D242DB">
      <w:pPr>
        <w:pStyle w:val="FootnoteText"/>
      </w:pPr>
    </w:p>
  </w:footnote>
  <w:footnote w:id="444">
    <w:p w:rsidR="00754FA3" w:rsidRDefault="00754FA3">
      <w:pPr>
        <w:pStyle w:val="FootnoteText"/>
      </w:pPr>
      <w:r w:rsidRPr="00C154D2">
        <w:rPr>
          <w:rStyle w:val="FootnoteReference"/>
        </w:rPr>
        <w:footnoteRef/>
      </w:r>
      <w:r w:rsidRPr="00C154D2">
        <w:t xml:space="preserve"> When we approved the WCA interjurisdictional cost-allocation method for Washington in Docket UE-060817, we required a five year review of the method</w:t>
      </w:r>
      <w:r>
        <w:t>,</w:t>
      </w:r>
      <w:r w:rsidRPr="00C154D2">
        <w:t xml:space="preserve"> a review due in approximately June 2012.  We expect the review to greatly refine the WCA to produce results that more closely represent Washington-only actual costs and revenues.</w:t>
      </w:r>
      <w:r>
        <w:rPr>
          <w:highlight w:val="yellow"/>
        </w:rPr>
        <w:t xml:space="preserve">  </w:t>
      </w:r>
    </w:p>
    <w:p w:rsidR="00754FA3" w:rsidRDefault="00754FA3">
      <w:pPr>
        <w:pStyle w:val="FootnoteText"/>
      </w:pPr>
    </w:p>
  </w:footnote>
  <w:footnote w:id="445">
    <w:p w:rsidR="00754FA3" w:rsidRDefault="00754FA3">
      <w:pPr>
        <w:pStyle w:val="FootnoteText"/>
      </w:pPr>
      <w:r>
        <w:rPr>
          <w:rStyle w:val="FootnoteReference"/>
        </w:rPr>
        <w:footnoteRef/>
      </w:r>
      <w:r>
        <w:t xml:space="preserve"> We recognize that the application of any methodology in a multi-state region is challenging and that no method is perfect.  We note the Company expects to complete a lead-lag study sometime in 2012 and we look forward to reviewing it for possible use in Washington the next rate case.</w:t>
      </w:r>
    </w:p>
    <w:p w:rsidR="00754FA3" w:rsidRDefault="00754FA3">
      <w:pPr>
        <w:pStyle w:val="FootnoteText"/>
      </w:pPr>
    </w:p>
  </w:footnote>
  <w:footnote w:id="446">
    <w:p w:rsidR="00754FA3" w:rsidRDefault="00754FA3">
      <w:pPr>
        <w:pStyle w:val="FootnoteText"/>
      </w:pPr>
      <w:r>
        <w:rPr>
          <w:rStyle w:val="FootnoteReference"/>
        </w:rPr>
        <w:footnoteRef/>
      </w:r>
      <w:r>
        <w:t xml:space="preserve"> Dalley, TR 355.</w:t>
      </w:r>
    </w:p>
    <w:p w:rsidR="00754FA3" w:rsidRPr="00A867FE" w:rsidRDefault="00754FA3">
      <w:pPr>
        <w:pStyle w:val="FootnoteText"/>
      </w:pPr>
    </w:p>
  </w:footnote>
  <w:footnote w:id="447">
    <w:p w:rsidR="00754FA3" w:rsidRDefault="00754FA3">
      <w:pPr>
        <w:pStyle w:val="FootnoteText"/>
      </w:pPr>
      <w:r>
        <w:rPr>
          <w:rStyle w:val="FootnoteReference"/>
        </w:rPr>
        <w:footnoteRef/>
      </w:r>
      <w:r>
        <w:t xml:space="preserve"> Staff’s Initial Post-Hearing Brief ¶ 121.</w:t>
      </w:r>
    </w:p>
    <w:p w:rsidR="00754FA3" w:rsidRPr="00A867FE" w:rsidRDefault="00754FA3">
      <w:pPr>
        <w:pStyle w:val="FootnoteText"/>
      </w:pPr>
    </w:p>
  </w:footnote>
  <w:footnote w:id="448">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Paice, Exh. No. CCP-1T at 1 - 2.</w:t>
      </w:r>
    </w:p>
    <w:p w:rsidR="00754FA3" w:rsidRPr="00A1372C" w:rsidRDefault="00754FA3" w:rsidP="006D592D">
      <w:pPr>
        <w:pStyle w:val="FootnoteText"/>
        <w:rPr>
          <w:szCs w:val="22"/>
        </w:rPr>
      </w:pPr>
    </w:p>
  </w:footnote>
  <w:footnote w:id="449">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E14E96">
        <w:rPr>
          <w:i/>
          <w:szCs w:val="22"/>
        </w:rPr>
        <w:t>Id.</w:t>
      </w:r>
      <w:r w:rsidRPr="00A1372C">
        <w:rPr>
          <w:szCs w:val="22"/>
        </w:rPr>
        <w:t xml:space="preserve"> at 2.</w:t>
      </w:r>
    </w:p>
    <w:p w:rsidR="00754FA3" w:rsidRPr="00A1372C" w:rsidRDefault="00754FA3" w:rsidP="006D592D">
      <w:pPr>
        <w:pStyle w:val="FootnoteText"/>
        <w:rPr>
          <w:szCs w:val="22"/>
        </w:rPr>
      </w:pPr>
    </w:p>
  </w:footnote>
  <w:footnote w:id="450">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E14E96">
        <w:rPr>
          <w:i/>
          <w:szCs w:val="22"/>
        </w:rPr>
        <w:t>Id.</w:t>
      </w:r>
      <w:r w:rsidRPr="00A1372C">
        <w:rPr>
          <w:szCs w:val="22"/>
        </w:rPr>
        <w:t xml:space="preserve"> at 2- 3.</w:t>
      </w:r>
    </w:p>
    <w:p w:rsidR="00754FA3" w:rsidRPr="00A1372C" w:rsidRDefault="00754FA3" w:rsidP="006D592D">
      <w:pPr>
        <w:pStyle w:val="FootnoteText"/>
        <w:rPr>
          <w:szCs w:val="22"/>
        </w:rPr>
      </w:pPr>
    </w:p>
  </w:footnote>
  <w:footnote w:id="451">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E14E96">
        <w:rPr>
          <w:i/>
          <w:szCs w:val="22"/>
        </w:rPr>
        <w:t>Id</w:t>
      </w:r>
      <w:r>
        <w:rPr>
          <w:szCs w:val="22"/>
        </w:rPr>
        <w:t>.</w:t>
      </w:r>
      <w:r w:rsidRPr="00A1372C">
        <w:rPr>
          <w:szCs w:val="22"/>
        </w:rPr>
        <w:t xml:space="preserve"> at 3.</w:t>
      </w:r>
      <w:r>
        <w:rPr>
          <w:szCs w:val="22"/>
        </w:rPr>
        <w:t xml:space="preserve">  The cost of the BPA Agreement is $86.43/KW per year.</w:t>
      </w:r>
    </w:p>
    <w:p w:rsidR="00754FA3" w:rsidRPr="00A1372C" w:rsidRDefault="00754FA3" w:rsidP="006D592D">
      <w:pPr>
        <w:pStyle w:val="FootnoteText"/>
        <w:rPr>
          <w:szCs w:val="22"/>
        </w:rPr>
      </w:pPr>
      <w:r w:rsidRPr="00A1372C">
        <w:rPr>
          <w:szCs w:val="22"/>
        </w:rPr>
        <w:t xml:space="preserve"> </w:t>
      </w:r>
    </w:p>
  </w:footnote>
  <w:footnote w:id="452">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E14E96">
        <w:rPr>
          <w:i/>
          <w:szCs w:val="22"/>
        </w:rPr>
        <w:t>Id</w:t>
      </w:r>
      <w:r>
        <w:rPr>
          <w:szCs w:val="22"/>
        </w:rPr>
        <w:t>. at</w:t>
      </w:r>
      <w:r w:rsidRPr="00A1372C">
        <w:rPr>
          <w:szCs w:val="22"/>
        </w:rPr>
        <w:t xml:space="preserve"> 5.</w:t>
      </w:r>
    </w:p>
    <w:p w:rsidR="00754FA3" w:rsidRPr="00A1372C" w:rsidRDefault="00754FA3" w:rsidP="006D592D">
      <w:pPr>
        <w:pStyle w:val="FootnoteText"/>
        <w:rPr>
          <w:szCs w:val="22"/>
        </w:rPr>
      </w:pPr>
    </w:p>
  </w:footnote>
  <w:footnote w:id="453">
    <w:p w:rsidR="00754FA3" w:rsidRPr="00A1372C" w:rsidRDefault="00754FA3" w:rsidP="006D592D">
      <w:pPr>
        <w:pStyle w:val="FootnoteText"/>
        <w:rPr>
          <w:i/>
          <w:szCs w:val="22"/>
        </w:rPr>
      </w:pPr>
      <w:r w:rsidRPr="00A1372C">
        <w:rPr>
          <w:rStyle w:val="FootnoteReference"/>
          <w:szCs w:val="22"/>
        </w:rPr>
        <w:footnoteRef/>
      </w:r>
      <w:r w:rsidRPr="00A1372C">
        <w:rPr>
          <w:szCs w:val="22"/>
        </w:rPr>
        <w:t xml:space="preserve"> </w:t>
      </w:r>
      <w:r w:rsidRPr="00E14E96">
        <w:rPr>
          <w:i/>
          <w:szCs w:val="22"/>
        </w:rPr>
        <w:t>Id</w:t>
      </w:r>
      <w:r>
        <w:rPr>
          <w:szCs w:val="22"/>
        </w:rPr>
        <w:t>.</w:t>
      </w:r>
      <w:r w:rsidRPr="00A1372C">
        <w:rPr>
          <w:szCs w:val="22"/>
        </w:rPr>
        <w:t xml:space="preserve"> at 5.</w:t>
      </w:r>
    </w:p>
    <w:p w:rsidR="00754FA3" w:rsidRPr="00A1372C" w:rsidRDefault="00754FA3" w:rsidP="006D592D">
      <w:pPr>
        <w:pStyle w:val="FootnoteText"/>
        <w:rPr>
          <w:i/>
          <w:szCs w:val="22"/>
        </w:rPr>
      </w:pPr>
    </w:p>
  </w:footnote>
  <w:footnote w:id="454">
    <w:p w:rsidR="00754FA3" w:rsidRPr="00A1372C" w:rsidRDefault="00754FA3" w:rsidP="007A6251">
      <w:pPr>
        <w:pStyle w:val="FootnoteText"/>
        <w:rPr>
          <w:szCs w:val="22"/>
        </w:rPr>
      </w:pPr>
      <w:r w:rsidRPr="00A1372C">
        <w:rPr>
          <w:rStyle w:val="FootnoteReference"/>
          <w:szCs w:val="22"/>
        </w:rPr>
        <w:footnoteRef/>
      </w:r>
      <w:r w:rsidRPr="00A1372C">
        <w:rPr>
          <w:szCs w:val="22"/>
        </w:rPr>
        <w:t xml:space="preserve"> </w:t>
      </w:r>
      <w:r w:rsidRPr="00E14E96">
        <w:rPr>
          <w:i/>
          <w:szCs w:val="22"/>
        </w:rPr>
        <w:t>Id.</w:t>
      </w:r>
      <w:r w:rsidRPr="00A1372C">
        <w:rPr>
          <w:szCs w:val="22"/>
        </w:rPr>
        <w:t xml:space="preserve"> at 5-6.</w:t>
      </w:r>
    </w:p>
    <w:p w:rsidR="00754FA3" w:rsidRPr="00A1372C" w:rsidRDefault="00754FA3" w:rsidP="007A6251">
      <w:pPr>
        <w:pStyle w:val="FootnoteText"/>
        <w:rPr>
          <w:szCs w:val="22"/>
        </w:rPr>
      </w:pPr>
    </w:p>
  </w:footnote>
  <w:footnote w:id="455">
    <w:p w:rsidR="00754FA3" w:rsidRDefault="00754FA3" w:rsidP="007A6251">
      <w:pPr>
        <w:pStyle w:val="FootnoteText"/>
      </w:pPr>
      <w:r>
        <w:rPr>
          <w:rStyle w:val="FootnoteReference"/>
        </w:rPr>
        <w:footnoteRef/>
      </w:r>
      <w:r>
        <w:t xml:space="preserve"> Schooley, TES-1T at 30.</w:t>
      </w:r>
    </w:p>
    <w:p w:rsidR="00754FA3" w:rsidRDefault="00754FA3" w:rsidP="007A6251">
      <w:pPr>
        <w:pStyle w:val="FootnoteText"/>
      </w:pPr>
    </w:p>
  </w:footnote>
  <w:footnote w:id="456">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Schoenbeck, Exh. No. DWS-1T at 2.</w:t>
      </w:r>
    </w:p>
    <w:p w:rsidR="00754FA3" w:rsidRPr="00A1372C" w:rsidRDefault="00754FA3" w:rsidP="006D592D">
      <w:pPr>
        <w:pStyle w:val="FootnoteText"/>
        <w:rPr>
          <w:szCs w:val="22"/>
        </w:rPr>
      </w:pPr>
    </w:p>
  </w:footnote>
  <w:footnote w:id="457">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E14E96">
        <w:rPr>
          <w:i/>
          <w:szCs w:val="22"/>
        </w:rPr>
        <w:t>Id</w:t>
      </w:r>
      <w:r>
        <w:rPr>
          <w:szCs w:val="22"/>
        </w:rPr>
        <w:t>.</w:t>
      </w:r>
      <w:r w:rsidRPr="00A1372C">
        <w:rPr>
          <w:szCs w:val="22"/>
        </w:rPr>
        <w:t xml:space="preserve"> at 2 - 3.</w:t>
      </w:r>
    </w:p>
    <w:p w:rsidR="00754FA3" w:rsidRPr="00A1372C" w:rsidRDefault="00754FA3" w:rsidP="006D592D">
      <w:pPr>
        <w:pStyle w:val="FootnoteText"/>
        <w:rPr>
          <w:szCs w:val="22"/>
        </w:rPr>
      </w:pPr>
    </w:p>
  </w:footnote>
  <w:footnote w:id="458">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E14E96">
        <w:rPr>
          <w:i/>
          <w:szCs w:val="22"/>
        </w:rPr>
        <w:t>Id.</w:t>
      </w:r>
      <w:r w:rsidRPr="00A1372C">
        <w:rPr>
          <w:szCs w:val="22"/>
        </w:rPr>
        <w:t xml:space="preserve"> at 3.</w:t>
      </w:r>
    </w:p>
    <w:p w:rsidR="00754FA3" w:rsidRPr="00A1372C" w:rsidRDefault="00754FA3" w:rsidP="006D592D">
      <w:pPr>
        <w:pStyle w:val="FootnoteText"/>
        <w:rPr>
          <w:szCs w:val="22"/>
        </w:rPr>
      </w:pPr>
    </w:p>
  </w:footnote>
  <w:footnote w:id="459">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Paice, Exh. No. CCP-6T at 3.</w:t>
      </w:r>
    </w:p>
    <w:p w:rsidR="00754FA3" w:rsidRPr="00A1372C" w:rsidRDefault="00754FA3" w:rsidP="006D592D">
      <w:pPr>
        <w:pStyle w:val="FootnoteText"/>
        <w:rPr>
          <w:szCs w:val="22"/>
        </w:rPr>
      </w:pPr>
    </w:p>
  </w:footnote>
  <w:footnote w:id="460">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E14E96">
        <w:rPr>
          <w:i/>
          <w:szCs w:val="22"/>
        </w:rPr>
        <w:t>Id.</w:t>
      </w:r>
      <w:r w:rsidRPr="00A1372C">
        <w:rPr>
          <w:szCs w:val="22"/>
        </w:rPr>
        <w:t xml:space="preserve"> at 3 – 4.</w:t>
      </w:r>
    </w:p>
    <w:p w:rsidR="00754FA3" w:rsidRPr="00A1372C" w:rsidRDefault="00754FA3" w:rsidP="006D592D">
      <w:pPr>
        <w:pStyle w:val="FootnoteText"/>
        <w:rPr>
          <w:szCs w:val="22"/>
        </w:rPr>
      </w:pPr>
    </w:p>
  </w:footnote>
  <w:footnote w:id="461">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E14E96">
        <w:rPr>
          <w:i/>
          <w:szCs w:val="22"/>
        </w:rPr>
        <w:t>Id.</w:t>
      </w:r>
      <w:r w:rsidRPr="00A1372C">
        <w:rPr>
          <w:szCs w:val="22"/>
        </w:rPr>
        <w:t xml:space="preserve"> at 4.</w:t>
      </w:r>
    </w:p>
    <w:p w:rsidR="00754FA3" w:rsidRPr="00A1372C" w:rsidRDefault="00754FA3" w:rsidP="006D592D">
      <w:pPr>
        <w:pStyle w:val="FootnoteText"/>
        <w:rPr>
          <w:szCs w:val="22"/>
        </w:rPr>
      </w:pPr>
    </w:p>
  </w:footnote>
  <w:footnote w:id="462">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Schooley, Exh. No. TES-4T at 7.</w:t>
      </w:r>
    </w:p>
    <w:p w:rsidR="00754FA3" w:rsidRPr="00A1372C" w:rsidRDefault="00754FA3" w:rsidP="006D592D">
      <w:pPr>
        <w:pStyle w:val="FootnoteText"/>
        <w:rPr>
          <w:szCs w:val="22"/>
        </w:rPr>
      </w:pPr>
    </w:p>
  </w:footnote>
  <w:footnote w:id="463">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E14E96">
        <w:rPr>
          <w:i/>
          <w:szCs w:val="22"/>
        </w:rPr>
        <w:t>Id.</w:t>
      </w:r>
      <w:r>
        <w:rPr>
          <w:szCs w:val="22"/>
        </w:rPr>
        <w:t xml:space="preserve"> </w:t>
      </w:r>
      <w:r w:rsidRPr="00E208DC">
        <w:rPr>
          <w:i/>
          <w:szCs w:val="22"/>
        </w:rPr>
        <w:t>citing</w:t>
      </w:r>
      <w:r>
        <w:rPr>
          <w:i/>
          <w:szCs w:val="22"/>
        </w:rPr>
        <w:t>,</w:t>
      </w:r>
      <w:r w:rsidRPr="00A1372C">
        <w:rPr>
          <w:szCs w:val="22"/>
        </w:rPr>
        <w:t xml:space="preserve"> </w:t>
      </w:r>
      <w:r>
        <w:rPr>
          <w:i/>
          <w:szCs w:val="22"/>
        </w:rPr>
        <w:t>Washington Utilities and Transportation Commission</w:t>
      </w:r>
      <w:r w:rsidRPr="00A1372C">
        <w:rPr>
          <w:i/>
          <w:szCs w:val="22"/>
        </w:rPr>
        <w:t xml:space="preserve"> v. Puget Sound Energy, Inc</w:t>
      </w:r>
      <w:r w:rsidRPr="00A1372C">
        <w:rPr>
          <w:szCs w:val="22"/>
        </w:rPr>
        <w:t>, Docket Nos. UE-920433/UG-920499/UE-921262, 9</w:t>
      </w:r>
      <w:r w:rsidRPr="00A1372C">
        <w:rPr>
          <w:szCs w:val="22"/>
          <w:vertAlign w:val="superscript"/>
        </w:rPr>
        <w:t>th</w:t>
      </w:r>
      <w:r w:rsidRPr="00A1372C">
        <w:rPr>
          <w:szCs w:val="22"/>
        </w:rPr>
        <w:t xml:space="preserve"> Supplemental Order at 11 (August 17, 1993).</w:t>
      </w:r>
    </w:p>
    <w:p w:rsidR="00754FA3" w:rsidRPr="00A1372C" w:rsidRDefault="00754FA3" w:rsidP="006D592D">
      <w:pPr>
        <w:pStyle w:val="FootnoteText"/>
        <w:rPr>
          <w:szCs w:val="22"/>
        </w:rPr>
      </w:pPr>
    </w:p>
  </w:footnote>
  <w:footnote w:id="464">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Schooley, Exh. No. TES-4T at 8 - 9.</w:t>
      </w:r>
    </w:p>
    <w:p w:rsidR="00754FA3" w:rsidRPr="00A1372C" w:rsidRDefault="00754FA3" w:rsidP="006D592D">
      <w:pPr>
        <w:pStyle w:val="FootnoteText"/>
        <w:rPr>
          <w:szCs w:val="22"/>
        </w:rPr>
      </w:pPr>
    </w:p>
  </w:footnote>
  <w:footnote w:id="465">
    <w:p w:rsidR="00754FA3" w:rsidRDefault="00754FA3" w:rsidP="007F713C">
      <w:pPr>
        <w:pStyle w:val="FootnoteText"/>
      </w:pPr>
      <w:r>
        <w:rPr>
          <w:rStyle w:val="FootnoteReference"/>
        </w:rPr>
        <w:footnoteRef/>
      </w:r>
      <w:r>
        <w:t xml:space="preserve"> </w:t>
      </w:r>
      <w:r>
        <w:rPr>
          <w:i/>
        </w:rPr>
        <w:t xml:space="preserve">Washington Utilities &amp; Transportation Commission v. Puget Sound Energy, </w:t>
      </w:r>
      <w:r>
        <w:t>Docket Nos. UE-920433/UG-920499/UE-921262, 9</w:t>
      </w:r>
      <w:r w:rsidRPr="001B5A02">
        <w:rPr>
          <w:vertAlign w:val="superscript"/>
        </w:rPr>
        <w:t>th</w:t>
      </w:r>
      <w:r>
        <w:t xml:space="preserve"> Supplemental Order at 12 (August 17, 1993).  In that case, the Washington Industrial Committee for Fair Utility Rates (WICFUR) also proposed the use of only those hours within 95 percent of the system peak.</w:t>
      </w:r>
    </w:p>
    <w:p w:rsidR="00754FA3" w:rsidRPr="001B5A02" w:rsidRDefault="00754FA3" w:rsidP="007F713C">
      <w:pPr>
        <w:pStyle w:val="FootnoteText"/>
      </w:pPr>
    </w:p>
  </w:footnote>
  <w:footnote w:id="466">
    <w:p w:rsidR="00754FA3" w:rsidRDefault="00754FA3">
      <w:pPr>
        <w:pStyle w:val="FootnoteText"/>
      </w:pPr>
      <w:r>
        <w:rPr>
          <w:rStyle w:val="FootnoteReference"/>
        </w:rPr>
        <w:footnoteRef/>
      </w:r>
      <w:r>
        <w:t xml:space="preserve"> Paice, Exh. No. CCP-6T at 3.</w:t>
      </w:r>
    </w:p>
    <w:p w:rsidR="00754FA3" w:rsidRPr="007F713C" w:rsidRDefault="00754FA3">
      <w:pPr>
        <w:pStyle w:val="FootnoteText"/>
      </w:pPr>
    </w:p>
  </w:footnote>
  <w:footnote w:id="467">
    <w:p w:rsidR="00754FA3" w:rsidRDefault="00754FA3">
      <w:pPr>
        <w:pStyle w:val="FootnoteText"/>
      </w:pPr>
      <w:r>
        <w:rPr>
          <w:rStyle w:val="FootnoteReference"/>
        </w:rPr>
        <w:footnoteRef/>
      </w:r>
      <w:r>
        <w:t xml:space="preserve"> </w:t>
      </w:r>
      <w:r w:rsidRPr="00E14E96">
        <w:rPr>
          <w:i/>
        </w:rPr>
        <w:t>Id.</w:t>
      </w:r>
      <w:r>
        <w:t xml:space="preserve"> at 3 -4.</w:t>
      </w:r>
    </w:p>
    <w:p w:rsidR="00754FA3" w:rsidRPr="007F713C" w:rsidRDefault="00754FA3">
      <w:pPr>
        <w:pStyle w:val="FootnoteText"/>
      </w:pPr>
    </w:p>
  </w:footnote>
  <w:footnote w:id="468">
    <w:p w:rsidR="00754FA3" w:rsidRPr="00A1372C" w:rsidRDefault="00754FA3" w:rsidP="006D592D">
      <w:pPr>
        <w:pStyle w:val="FootnoteText"/>
        <w:rPr>
          <w:i/>
          <w:szCs w:val="22"/>
        </w:rPr>
      </w:pPr>
      <w:r w:rsidRPr="00A1372C">
        <w:rPr>
          <w:rStyle w:val="FootnoteReference"/>
          <w:szCs w:val="22"/>
        </w:rPr>
        <w:footnoteRef/>
      </w:r>
      <w:r w:rsidRPr="00A1372C">
        <w:rPr>
          <w:szCs w:val="22"/>
        </w:rPr>
        <w:t xml:space="preserve"> Griffith, Exh. No. WRG-1T at 2.</w:t>
      </w:r>
      <w:r w:rsidRPr="00A1372C">
        <w:rPr>
          <w:i/>
          <w:szCs w:val="22"/>
        </w:rPr>
        <w:t xml:space="preserve"> </w:t>
      </w:r>
    </w:p>
    <w:p w:rsidR="00754FA3" w:rsidRPr="00A1372C" w:rsidRDefault="00754FA3" w:rsidP="006D592D">
      <w:pPr>
        <w:pStyle w:val="FootnoteText"/>
        <w:rPr>
          <w:i/>
          <w:szCs w:val="22"/>
        </w:rPr>
      </w:pPr>
    </w:p>
  </w:footnote>
  <w:footnote w:id="469">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E14E96">
        <w:rPr>
          <w:i/>
          <w:szCs w:val="22"/>
        </w:rPr>
        <w:t>Id</w:t>
      </w:r>
      <w:r>
        <w:rPr>
          <w:szCs w:val="22"/>
        </w:rPr>
        <w:t>.</w:t>
      </w:r>
      <w:r w:rsidRPr="00A1372C">
        <w:rPr>
          <w:szCs w:val="22"/>
        </w:rPr>
        <w:t xml:space="preserve"> at 3.</w:t>
      </w:r>
    </w:p>
    <w:p w:rsidR="00754FA3" w:rsidRPr="00A1372C" w:rsidRDefault="00754FA3" w:rsidP="006D592D">
      <w:pPr>
        <w:pStyle w:val="FootnoteText"/>
        <w:rPr>
          <w:szCs w:val="22"/>
        </w:rPr>
      </w:pPr>
    </w:p>
  </w:footnote>
  <w:footnote w:id="470">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Schooley, Exh. No. TES-1T at 3.</w:t>
      </w:r>
    </w:p>
    <w:p w:rsidR="00754FA3" w:rsidRPr="00A1372C" w:rsidRDefault="00754FA3" w:rsidP="006D592D">
      <w:pPr>
        <w:pStyle w:val="FootnoteText"/>
        <w:rPr>
          <w:szCs w:val="22"/>
        </w:rPr>
      </w:pPr>
    </w:p>
  </w:footnote>
  <w:footnote w:id="471">
    <w:p w:rsidR="00754FA3" w:rsidRDefault="00754FA3" w:rsidP="006D592D">
      <w:pPr>
        <w:pStyle w:val="FootnoteText"/>
        <w:rPr>
          <w:szCs w:val="22"/>
        </w:rPr>
      </w:pPr>
      <w:r w:rsidRPr="00A1372C">
        <w:rPr>
          <w:rStyle w:val="FootnoteReference"/>
          <w:szCs w:val="22"/>
        </w:rPr>
        <w:footnoteRef/>
      </w:r>
      <w:r w:rsidRPr="00A1372C">
        <w:rPr>
          <w:szCs w:val="22"/>
        </w:rPr>
        <w:t xml:space="preserve"> </w:t>
      </w:r>
      <w:r w:rsidRPr="00A541B5">
        <w:rPr>
          <w:i/>
          <w:szCs w:val="22"/>
        </w:rPr>
        <w:t>Id.</w:t>
      </w:r>
      <w:r>
        <w:rPr>
          <w:szCs w:val="22"/>
        </w:rPr>
        <w:t xml:space="preserve"> </w:t>
      </w:r>
      <w:r w:rsidRPr="00A1372C">
        <w:rPr>
          <w:szCs w:val="22"/>
        </w:rPr>
        <w:t>at 3.</w:t>
      </w:r>
    </w:p>
    <w:p w:rsidR="00754FA3" w:rsidRPr="00320C1B" w:rsidRDefault="00754FA3" w:rsidP="006D592D">
      <w:pPr>
        <w:pStyle w:val="FootnoteText"/>
        <w:rPr>
          <w:szCs w:val="22"/>
        </w:rPr>
      </w:pPr>
    </w:p>
  </w:footnote>
  <w:footnote w:id="472">
    <w:p w:rsidR="00754FA3" w:rsidRPr="004E2F40" w:rsidRDefault="00754FA3">
      <w:pPr>
        <w:pStyle w:val="FootnoteText"/>
      </w:pPr>
      <w:r>
        <w:rPr>
          <w:rStyle w:val="FootnoteReference"/>
        </w:rPr>
        <w:footnoteRef/>
      </w:r>
      <w:r>
        <w:t xml:space="preserve"> </w:t>
      </w:r>
      <w:r w:rsidRPr="00A541B5">
        <w:rPr>
          <w:i/>
        </w:rPr>
        <w:t>Id.</w:t>
      </w:r>
      <w:r>
        <w:t xml:space="preserve"> at 31</w:t>
      </w:r>
    </w:p>
    <w:p w:rsidR="00754FA3" w:rsidRPr="00320C1B" w:rsidRDefault="00754FA3">
      <w:pPr>
        <w:pStyle w:val="FootnoteText"/>
      </w:pPr>
    </w:p>
  </w:footnote>
  <w:footnote w:id="473">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A541B5">
        <w:rPr>
          <w:i/>
          <w:szCs w:val="22"/>
        </w:rPr>
        <w:t>Id.</w:t>
      </w:r>
      <w:r w:rsidRPr="00A1372C">
        <w:rPr>
          <w:szCs w:val="22"/>
        </w:rPr>
        <w:t xml:space="preserve"> at 31.</w:t>
      </w:r>
    </w:p>
    <w:p w:rsidR="00754FA3" w:rsidRPr="00A1372C" w:rsidRDefault="00754FA3" w:rsidP="006D592D">
      <w:pPr>
        <w:pStyle w:val="FootnoteText"/>
        <w:rPr>
          <w:szCs w:val="22"/>
        </w:rPr>
      </w:pPr>
    </w:p>
  </w:footnote>
  <w:footnote w:id="474">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A541B5">
        <w:rPr>
          <w:i/>
          <w:szCs w:val="22"/>
        </w:rPr>
        <w:t>Id.</w:t>
      </w:r>
      <w:r w:rsidRPr="00A1372C">
        <w:rPr>
          <w:szCs w:val="22"/>
        </w:rPr>
        <w:t xml:space="preserve"> at 31.</w:t>
      </w:r>
    </w:p>
    <w:p w:rsidR="00754FA3" w:rsidRPr="00A1372C" w:rsidRDefault="00754FA3" w:rsidP="006D592D">
      <w:pPr>
        <w:pStyle w:val="FootnoteText"/>
        <w:rPr>
          <w:szCs w:val="22"/>
        </w:rPr>
      </w:pPr>
    </w:p>
  </w:footnote>
  <w:footnote w:id="475">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A541B5">
        <w:rPr>
          <w:i/>
          <w:szCs w:val="22"/>
        </w:rPr>
        <w:t>Id.</w:t>
      </w:r>
      <w:r w:rsidRPr="00A1372C">
        <w:rPr>
          <w:szCs w:val="22"/>
        </w:rPr>
        <w:t xml:space="preserve"> at 35.</w:t>
      </w:r>
    </w:p>
    <w:p w:rsidR="00754FA3" w:rsidRPr="00A1372C" w:rsidRDefault="00754FA3" w:rsidP="006D592D">
      <w:pPr>
        <w:pStyle w:val="FootnoteText"/>
        <w:rPr>
          <w:szCs w:val="22"/>
        </w:rPr>
      </w:pPr>
    </w:p>
  </w:footnote>
  <w:footnote w:id="476">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Schoenbeck, Exh. No. DWS-1T at 6.</w:t>
      </w:r>
    </w:p>
    <w:p w:rsidR="00754FA3" w:rsidRPr="00A1372C" w:rsidRDefault="00754FA3" w:rsidP="006D592D">
      <w:pPr>
        <w:pStyle w:val="FootnoteText"/>
        <w:rPr>
          <w:szCs w:val="22"/>
        </w:rPr>
      </w:pPr>
    </w:p>
  </w:footnote>
  <w:footnote w:id="477">
    <w:p w:rsidR="00754FA3" w:rsidRDefault="00754FA3">
      <w:pPr>
        <w:pStyle w:val="FootnoteText"/>
      </w:pPr>
      <w:r>
        <w:rPr>
          <w:rStyle w:val="FootnoteReference"/>
        </w:rPr>
        <w:footnoteRef/>
      </w:r>
      <w:r>
        <w:t xml:space="preserve"> </w:t>
      </w:r>
      <w:r w:rsidRPr="00A541B5">
        <w:rPr>
          <w:i/>
        </w:rPr>
        <w:t>Id.</w:t>
      </w:r>
      <w:r>
        <w:t xml:space="preserve"> at 2.</w:t>
      </w:r>
    </w:p>
    <w:p w:rsidR="00754FA3" w:rsidRDefault="00754FA3">
      <w:pPr>
        <w:pStyle w:val="FootnoteText"/>
      </w:pPr>
    </w:p>
  </w:footnote>
  <w:footnote w:id="478">
    <w:p w:rsidR="00754FA3" w:rsidRDefault="00754FA3">
      <w:pPr>
        <w:pStyle w:val="FootnoteText"/>
      </w:pPr>
      <w:r>
        <w:rPr>
          <w:rStyle w:val="FootnoteReference"/>
        </w:rPr>
        <w:footnoteRef/>
      </w:r>
      <w:r>
        <w:t xml:space="preserve"> </w:t>
      </w:r>
      <w:r w:rsidRPr="00A541B5">
        <w:rPr>
          <w:i/>
        </w:rPr>
        <w:t>Id.</w:t>
      </w:r>
      <w:r>
        <w:t xml:space="preserve"> at 6.</w:t>
      </w:r>
    </w:p>
    <w:p w:rsidR="00754FA3" w:rsidRDefault="00754FA3">
      <w:pPr>
        <w:pStyle w:val="FootnoteText"/>
      </w:pPr>
    </w:p>
  </w:footnote>
  <w:footnote w:id="479">
    <w:p w:rsidR="00754FA3" w:rsidRDefault="00754FA3">
      <w:pPr>
        <w:pStyle w:val="FootnoteText"/>
      </w:pPr>
      <w:r>
        <w:rPr>
          <w:rStyle w:val="FootnoteReference"/>
        </w:rPr>
        <w:footnoteRef/>
      </w:r>
      <w:r>
        <w:t xml:space="preserve"> </w:t>
      </w:r>
      <w:r w:rsidRPr="00A541B5">
        <w:rPr>
          <w:i/>
        </w:rPr>
        <w:t>Id</w:t>
      </w:r>
      <w:r>
        <w:t>. at 6.</w:t>
      </w:r>
    </w:p>
    <w:p w:rsidR="00754FA3" w:rsidRDefault="00754FA3">
      <w:pPr>
        <w:pStyle w:val="FootnoteText"/>
      </w:pPr>
    </w:p>
  </w:footnote>
  <w:footnote w:id="480">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Chriss, Exh. No. SWC-1T at 6.  </w:t>
      </w:r>
    </w:p>
    <w:p w:rsidR="00754FA3" w:rsidRPr="00A1372C" w:rsidRDefault="00754FA3" w:rsidP="006D592D">
      <w:pPr>
        <w:pStyle w:val="FootnoteText"/>
        <w:rPr>
          <w:szCs w:val="22"/>
        </w:rPr>
      </w:pPr>
    </w:p>
  </w:footnote>
  <w:footnote w:id="481">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A541B5">
        <w:rPr>
          <w:i/>
          <w:szCs w:val="22"/>
        </w:rPr>
        <w:t>Id</w:t>
      </w:r>
      <w:r>
        <w:rPr>
          <w:szCs w:val="22"/>
        </w:rPr>
        <w:t>.</w:t>
      </w:r>
      <w:r w:rsidRPr="00A1372C">
        <w:rPr>
          <w:szCs w:val="22"/>
        </w:rPr>
        <w:t xml:space="preserve"> at 6.</w:t>
      </w:r>
    </w:p>
    <w:p w:rsidR="00754FA3" w:rsidRPr="00A1372C" w:rsidRDefault="00754FA3" w:rsidP="006D592D">
      <w:pPr>
        <w:pStyle w:val="FootnoteText"/>
        <w:rPr>
          <w:szCs w:val="22"/>
        </w:rPr>
      </w:pPr>
    </w:p>
  </w:footnote>
  <w:footnote w:id="482">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A541B5">
        <w:rPr>
          <w:i/>
          <w:szCs w:val="22"/>
        </w:rPr>
        <w:t>Id</w:t>
      </w:r>
      <w:r>
        <w:rPr>
          <w:szCs w:val="22"/>
        </w:rPr>
        <w:t>.</w:t>
      </w:r>
      <w:r w:rsidRPr="00A1372C">
        <w:rPr>
          <w:szCs w:val="22"/>
        </w:rPr>
        <w:t xml:space="preserve"> at 6.</w:t>
      </w:r>
    </w:p>
    <w:p w:rsidR="00754FA3" w:rsidRPr="00A1372C" w:rsidRDefault="00754FA3" w:rsidP="006D592D">
      <w:pPr>
        <w:pStyle w:val="FootnoteText"/>
        <w:rPr>
          <w:szCs w:val="22"/>
        </w:rPr>
      </w:pPr>
    </w:p>
  </w:footnote>
  <w:footnote w:id="483">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Griffith, Exh. No. WRG-7T at 2.</w:t>
      </w:r>
    </w:p>
    <w:p w:rsidR="00754FA3" w:rsidRPr="00A1372C" w:rsidRDefault="00754FA3" w:rsidP="006D592D">
      <w:pPr>
        <w:pStyle w:val="FootnoteText"/>
        <w:rPr>
          <w:szCs w:val="22"/>
        </w:rPr>
      </w:pPr>
    </w:p>
  </w:footnote>
  <w:footnote w:id="484">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A541B5">
        <w:rPr>
          <w:i/>
          <w:szCs w:val="22"/>
        </w:rPr>
        <w:t>Id.</w:t>
      </w:r>
      <w:r w:rsidRPr="00A1372C">
        <w:rPr>
          <w:szCs w:val="22"/>
        </w:rPr>
        <w:t xml:space="preserve"> at 2.</w:t>
      </w:r>
    </w:p>
    <w:p w:rsidR="00754FA3" w:rsidRPr="00A1372C" w:rsidRDefault="00754FA3" w:rsidP="006D592D">
      <w:pPr>
        <w:pStyle w:val="FootnoteText"/>
        <w:rPr>
          <w:szCs w:val="22"/>
        </w:rPr>
      </w:pPr>
    </w:p>
  </w:footnote>
  <w:footnote w:id="485">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A541B5">
        <w:rPr>
          <w:i/>
          <w:szCs w:val="22"/>
        </w:rPr>
        <w:t>Id</w:t>
      </w:r>
      <w:r>
        <w:rPr>
          <w:szCs w:val="22"/>
        </w:rPr>
        <w:t>.</w:t>
      </w:r>
      <w:r w:rsidRPr="00A1372C">
        <w:rPr>
          <w:szCs w:val="22"/>
        </w:rPr>
        <w:t xml:space="preserve"> at 2.</w:t>
      </w:r>
    </w:p>
    <w:p w:rsidR="00754FA3" w:rsidRPr="00A1372C" w:rsidRDefault="00754FA3" w:rsidP="006D592D">
      <w:pPr>
        <w:pStyle w:val="FootnoteText"/>
        <w:rPr>
          <w:szCs w:val="22"/>
        </w:rPr>
      </w:pPr>
    </w:p>
  </w:footnote>
  <w:footnote w:id="486">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A541B5">
        <w:rPr>
          <w:i/>
          <w:szCs w:val="22"/>
        </w:rPr>
        <w:t>Id.</w:t>
      </w:r>
      <w:r w:rsidRPr="00A1372C">
        <w:rPr>
          <w:szCs w:val="22"/>
        </w:rPr>
        <w:t xml:space="preserve"> at 2.</w:t>
      </w:r>
    </w:p>
    <w:p w:rsidR="00754FA3" w:rsidRPr="00A1372C" w:rsidRDefault="00754FA3" w:rsidP="006D592D">
      <w:pPr>
        <w:pStyle w:val="FootnoteText"/>
        <w:rPr>
          <w:szCs w:val="22"/>
        </w:rPr>
      </w:pPr>
    </w:p>
  </w:footnote>
  <w:footnote w:id="487">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Schooley, Exh. No. TES-4T at 10.</w:t>
      </w:r>
    </w:p>
    <w:p w:rsidR="00754FA3" w:rsidRPr="00A1372C" w:rsidRDefault="00754FA3" w:rsidP="006D592D">
      <w:pPr>
        <w:pStyle w:val="FootnoteText"/>
        <w:rPr>
          <w:szCs w:val="22"/>
        </w:rPr>
      </w:pPr>
    </w:p>
  </w:footnote>
  <w:footnote w:id="488">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A541B5">
        <w:rPr>
          <w:i/>
          <w:szCs w:val="22"/>
        </w:rPr>
        <w:t>Id.</w:t>
      </w:r>
      <w:r w:rsidRPr="00A1372C">
        <w:rPr>
          <w:szCs w:val="22"/>
        </w:rPr>
        <w:t xml:space="preserve"> at 11.</w:t>
      </w:r>
    </w:p>
    <w:p w:rsidR="00754FA3" w:rsidRPr="00A1372C" w:rsidRDefault="00754FA3" w:rsidP="006D592D">
      <w:pPr>
        <w:pStyle w:val="FootnoteText"/>
        <w:rPr>
          <w:szCs w:val="22"/>
        </w:rPr>
      </w:pPr>
    </w:p>
  </w:footnote>
  <w:footnote w:id="489">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A541B5">
        <w:rPr>
          <w:i/>
          <w:szCs w:val="22"/>
        </w:rPr>
        <w:t>Id.</w:t>
      </w:r>
      <w:r>
        <w:rPr>
          <w:szCs w:val="22"/>
        </w:rPr>
        <w:t xml:space="preserve"> </w:t>
      </w:r>
      <w:r w:rsidRPr="00A1372C">
        <w:rPr>
          <w:szCs w:val="22"/>
        </w:rPr>
        <w:t>at 11.</w:t>
      </w:r>
    </w:p>
    <w:p w:rsidR="00754FA3" w:rsidRPr="00A1372C" w:rsidRDefault="00754FA3" w:rsidP="006D592D">
      <w:pPr>
        <w:pStyle w:val="FootnoteText"/>
        <w:rPr>
          <w:szCs w:val="22"/>
        </w:rPr>
      </w:pPr>
    </w:p>
  </w:footnote>
  <w:footnote w:id="490">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Schooley, Exh. No. TES-4T at 12 -13.</w:t>
      </w:r>
    </w:p>
    <w:p w:rsidR="00754FA3" w:rsidRPr="00A1372C" w:rsidRDefault="00754FA3" w:rsidP="006D592D">
      <w:pPr>
        <w:pStyle w:val="FootnoteText"/>
        <w:rPr>
          <w:szCs w:val="22"/>
        </w:rPr>
      </w:pPr>
    </w:p>
  </w:footnote>
  <w:footnote w:id="491">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Schoenbeck, Exh. No. DWS-3T at 1.</w:t>
      </w:r>
    </w:p>
    <w:p w:rsidR="00754FA3" w:rsidRPr="00A1372C" w:rsidRDefault="00754FA3" w:rsidP="006D592D">
      <w:pPr>
        <w:pStyle w:val="FootnoteText"/>
        <w:rPr>
          <w:szCs w:val="22"/>
        </w:rPr>
      </w:pPr>
    </w:p>
  </w:footnote>
  <w:footnote w:id="492">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A541B5">
        <w:rPr>
          <w:i/>
          <w:szCs w:val="22"/>
        </w:rPr>
        <w:t>Id.</w:t>
      </w:r>
      <w:r w:rsidRPr="00A1372C">
        <w:rPr>
          <w:szCs w:val="22"/>
        </w:rPr>
        <w:t xml:space="preserve"> at 3.</w:t>
      </w:r>
    </w:p>
    <w:p w:rsidR="00754FA3" w:rsidRPr="00A1372C" w:rsidRDefault="00754FA3" w:rsidP="006D592D">
      <w:pPr>
        <w:pStyle w:val="FootnoteText"/>
        <w:rPr>
          <w:szCs w:val="22"/>
        </w:rPr>
      </w:pPr>
    </w:p>
  </w:footnote>
  <w:footnote w:id="493">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A541B5">
        <w:rPr>
          <w:i/>
          <w:szCs w:val="22"/>
        </w:rPr>
        <w:t>Id.</w:t>
      </w:r>
      <w:r w:rsidRPr="00A1372C">
        <w:rPr>
          <w:szCs w:val="22"/>
        </w:rPr>
        <w:t xml:space="preserve"> at 3.</w:t>
      </w:r>
    </w:p>
    <w:p w:rsidR="00754FA3" w:rsidRPr="00A1372C" w:rsidRDefault="00754FA3" w:rsidP="006D592D">
      <w:pPr>
        <w:pStyle w:val="FootnoteText"/>
        <w:rPr>
          <w:szCs w:val="22"/>
        </w:rPr>
      </w:pPr>
    </w:p>
  </w:footnote>
  <w:footnote w:id="494">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A541B5">
        <w:rPr>
          <w:i/>
          <w:szCs w:val="22"/>
        </w:rPr>
        <w:t>Id</w:t>
      </w:r>
      <w:r>
        <w:rPr>
          <w:szCs w:val="22"/>
        </w:rPr>
        <w:t>.</w:t>
      </w:r>
      <w:r w:rsidRPr="00A1372C">
        <w:rPr>
          <w:szCs w:val="22"/>
        </w:rPr>
        <w:t xml:space="preserve"> at 4.</w:t>
      </w:r>
    </w:p>
    <w:p w:rsidR="00754FA3" w:rsidRPr="00A1372C" w:rsidRDefault="00754FA3" w:rsidP="006D592D">
      <w:pPr>
        <w:pStyle w:val="FootnoteText"/>
        <w:rPr>
          <w:szCs w:val="22"/>
        </w:rPr>
      </w:pPr>
    </w:p>
  </w:footnote>
  <w:footnote w:id="495">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Griffith, Exh. No. WRG-1T at 3.</w:t>
      </w:r>
    </w:p>
    <w:p w:rsidR="00754FA3" w:rsidRPr="00A1372C" w:rsidRDefault="00754FA3" w:rsidP="006D592D">
      <w:pPr>
        <w:pStyle w:val="FootnoteText"/>
        <w:rPr>
          <w:szCs w:val="22"/>
        </w:rPr>
      </w:pPr>
    </w:p>
  </w:footnote>
  <w:footnote w:id="496">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4B04E0">
        <w:rPr>
          <w:i/>
          <w:szCs w:val="22"/>
        </w:rPr>
        <w:t>Id</w:t>
      </w:r>
      <w:r>
        <w:rPr>
          <w:szCs w:val="22"/>
        </w:rPr>
        <w:t>.</w:t>
      </w:r>
      <w:r w:rsidRPr="00A1372C">
        <w:rPr>
          <w:szCs w:val="22"/>
        </w:rPr>
        <w:t xml:space="preserve"> at 3. </w:t>
      </w:r>
    </w:p>
    <w:p w:rsidR="00754FA3" w:rsidRPr="00A1372C" w:rsidRDefault="00754FA3" w:rsidP="006D592D">
      <w:pPr>
        <w:pStyle w:val="FootnoteText"/>
        <w:rPr>
          <w:szCs w:val="22"/>
        </w:rPr>
      </w:pPr>
    </w:p>
  </w:footnote>
  <w:footnote w:id="497">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4B04E0">
        <w:rPr>
          <w:i/>
          <w:szCs w:val="22"/>
        </w:rPr>
        <w:t>Id.</w:t>
      </w:r>
      <w:r w:rsidRPr="00A1372C">
        <w:rPr>
          <w:szCs w:val="22"/>
        </w:rPr>
        <w:t xml:space="preserve"> at 3.</w:t>
      </w:r>
    </w:p>
    <w:p w:rsidR="00754FA3" w:rsidRPr="00A1372C" w:rsidRDefault="00754FA3" w:rsidP="006D592D">
      <w:pPr>
        <w:pStyle w:val="FootnoteText"/>
        <w:rPr>
          <w:szCs w:val="22"/>
        </w:rPr>
      </w:pPr>
    </w:p>
  </w:footnote>
  <w:footnote w:id="498">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4B04E0">
        <w:rPr>
          <w:i/>
          <w:szCs w:val="22"/>
        </w:rPr>
        <w:t>Id</w:t>
      </w:r>
      <w:r>
        <w:rPr>
          <w:szCs w:val="22"/>
        </w:rPr>
        <w:t>.</w:t>
      </w:r>
      <w:r w:rsidRPr="00A1372C">
        <w:rPr>
          <w:szCs w:val="22"/>
        </w:rPr>
        <w:t xml:space="preserve"> at 5.</w:t>
      </w:r>
    </w:p>
    <w:p w:rsidR="00754FA3" w:rsidRPr="00A1372C" w:rsidRDefault="00754FA3" w:rsidP="006D592D">
      <w:pPr>
        <w:pStyle w:val="FootnoteText"/>
        <w:rPr>
          <w:szCs w:val="22"/>
        </w:rPr>
      </w:pPr>
    </w:p>
  </w:footnote>
  <w:footnote w:id="499">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4B04E0">
        <w:rPr>
          <w:i/>
          <w:szCs w:val="22"/>
        </w:rPr>
        <w:t>Id.</w:t>
      </w:r>
      <w:r w:rsidRPr="00A1372C">
        <w:rPr>
          <w:szCs w:val="22"/>
        </w:rPr>
        <w:t xml:space="preserve"> at 5.</w:t>
      </w:r>
    </w:p>
    <w:p w:rsidR="00754FA3" w:rsidRPr="00A1372C" w:rsidRDefault="00754FA3" w:rsidP="006D592D">
      <w:pPr>
        <w:pStyle w:val="FootnoteText"/>
        <w:rPr>
          <w:szCs w:val="22"/>
        </w:rPr>
      </w:pPr>
    </w:p>
  </w:footnote>
  <w:footnote w:id="500">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4B04E0">
        <w:rPr>
          <w:i/>
          <w:szCs w:val="22"/>
        </w:rPr>
        <w:t>Id</w:t>
      </w:r>
      <w:r>
        <w:rPr>
          <w:szCs w:val="22"/>
        </w:rPr>
        <w:t>.</w:t>
      </w:r>
      <w:r w:rsidRPr="00A1372C">
        <w:rPr>
          <w:szCs w:val="22"/>
        </w:rPr>
        <w:t xml:space="preserve"> at 5.</w:t>
      </w:r>
    </w:p>
    <w:p w:rsidR="00754FA3" w:rsidRPr="00A1372C" w:rsidRDefault="00754FA3" w:rsidP="006D592D">
      <w:pPr>
        <w:pStyle w:val="FootnoteText"/>
        <w:rPr>
          <w:szCs w:val="22"/>
        </w:rPr>
      </w:pPr>
    </w:p>
  </w:footnote>
  <w:footnote w:id="501">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4B04E0">
        <w:rPr>
          <w:i/>
          <w:szCs w:val="22"/>
        </w:rPr>
        <w:t>Id.</w:t>
      </w:r>
      <w:r w:rsidRPr="00A1372C">
        <w:rPr>
          <w:szCs w:val="22"/>
        </w:rPr>
        <w:t xml:space="preserve"> at 5.</w:t>
      </w:r>
    </w:p>
    <w:p w:rsidR="00754FA3" w:rsidRPr="00A1372C" w:rsidRDefault="00754FA3" w:rsidP="006D592D">
      <w:pPr>
        <w:pStyle w:val="FootnoteText"/>
        <w:rPr>
          <w:szCs w:val="22"/>
        </w:rPr>
      </w:pPr>
    </w:p>
  </w:footnote>
  <w:footnote w:id="502">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4B04E0">
        <w:rPr>
          <w:i/>
          <w:szCs w:val="22"/>
        </w:rPr>
        <w:t>Id.</w:t>
      </w:r>
      <w:r w:rsidRPr="00A1372C">
        <w:rPr>
          <w:szCs w:val="22"/>
        </w:rPr>
        <w:t xml:space="preserve"> at 5 - 6.</w:t>
      </w:r>
    </w:p>
    <w:p w:rsidR="00754FA3" w:rsidRPr="00A1372C" w:rsidRDefault="00754FA3" w:rsidP="006D592D">
      <w:pPr>
        <w:pStyle w:val="FootnoteText"/>
        <w:rPr>
          <w:szCs w:val="22"/>
        </w:rPr>
      </w:pPr>
    </w:p>
  </w:footnote>
  <w:footnote w:id="503">
    <w:p w:rsidR="00754FA3" w:rsidRDefault="00754FA3" w:rsidP="006D592D">
      <w:pPr>
        <w:pStyle w:val="FootnoteText"/>
        <w:rPr>
          <w:szCs w:val="22"/>
        </w:rPr>
      </w:pPr>
      <w:r w:rsidRPr="00A1372C">
        <w:rPr>
          <w:rStyle w:val="FootnoteReference"/>
          <w:szCs w:val="22"/>
        </w:rPr>
        <w:footnoteRef/>
      </w:r>
      <w:r w:rsidRPr="00A1372C">
        <w:rPr>
          <w:szCs w:val="22"/>
        </w:rPr>
        <w:t xml:space="preserve"> </w:t>
      </w:r>
      <w:r w:rsidRPr="004B04E0">
        <w:rPr>
          <w:i/>
          <w:szCs w:val="22"/>
        </w:rPr>
        <w:t>Id.</w:t>
      </w:r>
      <w:r>
        <w:rPr>
          <w:szCs w:val="22"/>
        </w:rPr>
        <w:t xml:space="preserve"> </w:t>
      </w:r>
      <w:r w:rsidRPr="00A1372C">
        <w:rPr>
          <w:szCs w:val="22"/>
        </w:rPr>
        <w:t>at 6.</w:t>
      </w:r>
    </w:p>
    <w:p w:rsidR="00754FA3" w:rsidRPr="00320C1B" w:rsidRDefault="00754FA3" w:rsidP="006D592D">
      <w:pPr>
        <w:pStyle w:val="FootnoteText"/>
        <w:rPr>
          <w:szCs w:val="22"/>
        </w:rPr>
      </w:pPr>
    </w:p>
  </w:footnote>
  <w:footnote w:id="504">
    <w:p w:rsidR="00754FA3" w:rsidRDefault="00754FA3">
      <w:pPr>
        <w:pStyle w:val="FootnoteText"/>
      </w:pPr>
      <w:r>
        <w:rPr>
          <w:rStyle w:val="FootnoteReference"/>
        </w:rPr>
        <w:footnoteRef/>
      </w:r>
      <w:r>
        <w:t xml:space="preserve"> Schooley, Exh. No. TES-1T at 36.</w:t>
      </w:r>
    </w:p>
    <w:p w:rsidR="00754FA3" w:rsidRDefault="00754FA3">
      <w:pPr>
        <w:pStyle w:val="FootnoteText"/>
      </w:pPr>
    </w:p>
  </w:footnote>
  <w:footnote w:id="505">
    <w:p w:rsidR="00754FA3" w:rsidRDefault="00754FA3">
      <w:pPr>
        <w:pStyle w:val="FootnoteText"/>
      </w:pPr>
      <w:r>
        <w:rPr>
          <w:rStyle w:val="FootnoteReference"/>
        </w:rPr>
        <w:footnoteRef/>
      </w:r>
      <w:r>
        <w:t xml:space="preserve"> </w:t>
      </w:r>
      <w:r w:rsidRPr="004B04E0">
        <w:rPr>
          <w:i/>
        </w:rPr>
        <w:t>Id</w:t>
      </w:r>
      <w:r>
        <w:t>. at 37.</w:t>
      </w:r>
    </w:p>
    <w:p w:rsidR="00754FA3" w:rsidRDefault="00754FA3">
      <w:pPr>
        <w:pStyle w:val="FootnoteText"/>
      </w:pPr>
    </w:p>
  </w:footnote>
  <w:footnote w:id="506">
    <w:p w:rsidR="00754FA3" w:rsidRDefault="00754FA3">
      <w:pPr>
        <w:pStyle w:val="FootnoteText"/>
      </w:pPr>
      <w:r>
        <w:rPr>
          <w:rStyle w:val="FootnoteReference"/>
        </w:rPr>
        <w:footnoteRef/>
      </w:r>
      <w:r>
        <w:t xml:space="preserve"> </w:t>
      </w:r>
      <w:r w:rsidRPr="004B04E0">
        <w:rPr>
          <w:i/>
        </w:rPr>
        <w:t>Id.</w:t>
      </w:r>
      <w:r>
        <w:t xml:space="preserve"> at 37.</w:t>
      </w:r>
    </w:p>
    <w:p w:rsidR="00754FA3" w:rsidRDefault="00754FA3">
      <w:pPr>
        <w:pStyle w:val="FootnoteText"/>
      </w:pPr>
    </w:p>
  </w:footnote>
  <w:footnote w:id="507">
    <w:p w:rsidR="00754FA3" w:rsidRDefault="00754FA3">
      <w:pPr>
        <w:pStyle w:val="FootnoteText"/>
      </w:pPr>
      <w:r>
        <w:rPr>
          <w:rStyle w:val="FootnoteReference"/>
        </w:rPr>
        <w:footnoteRef/>
      </w:r>
      <w:r>
        <w:t xml:space="preserve"> </w:t>
      </w:r>
      <w:r w:rsidRPr="004B04E0">
        <w:rPr>
          <w:i/>
        </w:rPr>
        <w:t>Id.</w:t>
      </w:r>
      <w:r>
        <w:t xml:space="preserve"> at 37.</w:t>
      </w:r>
    </w:p>
    <w:p w:rsidR="00754FA3" w:rsidRDefault="00754FA3">
      <w:pPr>
        <w:pStyle w:val="FootnoteText"/>
      </w:pPr>
    </w:p>
  </w:footnote>
  <w:footnote w:id="508">
    <w:p w:rsidR="00754FA3" w:rsidRPr="003A5FF3" w:rsidRDefault="00754FA3" w:rsidP="006D592D">
      <w:pPr>
        <w:pStyle w:val="FootnoteText"/>
        <w:rPr>
          <w:szCs w:val="22"/>
        </w:rPr>
      </w:pPr>
      <w:r w:rsidRPr="00A1372C">
        <w:rPr>
          <w:rStyle w:val="FootnoteReference"/>
          <w:szCs w:val="22"/>
        </w:rPr>
        <w:footnoteRef/>
      </w:r>
      <w:r w:rsidRPr="00A1372C">
        <w:rPr>
          <w:szCs w:val="22"/>
        </w:rPr>
        <w:t xml:space="preserve"> Schoenbeck, Exh. No. DWS-1T at 7.</w:t>
      </w:r>
      <w:r>
        <w:rPr>
          <w:szCs w:val="22"/>
        </w:rPr>
        <w:t xml:space="preserve">  In fact, ICNU posits </w:t>
      </w:r>
      <w:r w:rsidRPr="003A5FF3">
        <w:rPr>
          <w:szCs w:val="22"/>
        </w:rPr>
        <w:t>that the rate design should reflect the converse.</w:t>
      </w:r>
    </w:p>
    <w:p w:rsidR="00754FA3" w:rsidRPr="00A1372C" w:rsidRDefault="00754FA3" w:rsidP="006D592D">
      <w:pPr>
        <w:pStyle w:val="FootnoteText"/>
        <w:rPr>
          <w:szCs w:val="22"/>
        </w:rPr>
      </w:pPr>
    </w:p>
  </w:footnote>
  <w:footnote w:id="509">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4B04E0">
        <w:rPr>
          <w:i/>
          <w:szCs w:val="22"/>
        </w:rPr>
        <w:t>Id.</w:t>
      </w:r>
      <w:r w:rsidRPr="00A1372C">
        <w:rPr>
          <w:szCs w:val="22"/>
        </w:rPr>
        <w:t xml:space="preserve"> at 8.</w:t>
      </w:r>
    </w:p>
    <w:p w:rsidR="00754FA3" w:rsidRPr="00A1372C" w:rsidRDefault="00754FA3" w:rsidP="006D592D">
      <w:pPr>
        <w:pStyle w:val="FootnoteText"/>
        <w:rPr>
          <w:szCs w:val="22"/>
        </w:rPr>
      </w:pPr>
    </w:p>
  </w:footnote>
  <w:footnote w:id="510">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Chriss, Exh. No. SWC-1T at 7.</w:t>
      </w:r>
    </w:p>
    <w:p w:rsidR="00754FA3" w:rsidRPr="00A1372C" w:rsidRDefault="00754FA3" w:rsidP="006D592D">
      <w:pPr>
        <w:pStyle w:val="FootnoteText"/>
        <w:rPr>
          <w:szCs w:val="22"/>
        </w:rPr>
      </w:pPr>
    </w:p>
  </w:footnote>
  <w:footnote w:id="511">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4B04E0">
        <w:rPr>
          <w:i/>
          <w:szCs w:val="22"/>
        </w:rPr>
        <w:t>Id.</w:t>
      </w:r>
      <w:r w:rsidRPr="00A1372C">
        <w:rPr>
          <w:szCs w:val="22"/>
        </w:rPr>
        <w:t xml:space="preserve"> at 8 -9.</w:t>
      </w:r>
    </w:p>
    <w:p w:rsidR="00754FA3" w:rsidRPr="00A1372C" w:rsidRDefault="00754FA3" w:rsidP="006D592D">
      <w:pPr>
        <w:pStyle w:val="FootnoteText"/>
        <w:rPr>
          <w:szCs w:val="22"/>
        </w:rPr>
      </w:pPr>
    </w:p>
  </w:footnote>
  <w:footnote w:id="512">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4B04E0">
        <w:rPr>
          <w:i/>
          <w:szCs w:val="22"/>
        </w:rPr>
        <w:t>Id.</w:t>
      </w:r>
      <w:r w:rsidRPr="00A1372C">
        <w:rPr>
          <w:szCs w:val="22"/>
        </w:rPr>
        <w:t xml:space="preserve"> at 10.</w:t>
      </w:r>
    </w:p>
    <w:p w:rsidR="00754FA3" w:rsidRPr="00A1372C" w:rsidRDefault="00754FA3" w:rsidP="006D592D">
      <w:pPr>
        <w:pStyle w:val="FootnoteText"/>
        <w:rPr>
          <w:szCs w:val="22"/>
        </w:rPr>
      </w:pPr>
    </w:p>
  </w:footnote>
  <w:footnote w:id="513">
    <w:p w:rsidR="00754FA3" w:rsidRDefault="00754FA3" w:rsidP="006D592D">
      <w:pPr>
        <w:pStyle w:val="FootnoteText"/>
        <w:rPr>
          <w:szCs w:val="22"/>
        </w:rPr>
      </w:pPr>
      <w:r w:rsidRPr="00A1372C">
        <w:rPr>
          <w:rStyle w:val="FootnoteReference"/>
          <w:szCs w:val="22"/>
        </w:rPr>
        <w:footnoteRef/>
      </w:r>
      <w:r w:rsidRPr="00A1372C">
        <w:rPr>
          <w:szCs w:val="22"/>
        </w:rPr>
        <w:t xml:space="preserve"> </w:t>
      </w:r>
      <w:r w:rsidRPr="004B04E0">
        <w:rPr>
          <w:i/>
          <w:szCs w:val="22"/>
        </w:rPr>
        <w:t>Id.</w:t>
      </w:r>
      <w:r w:rsidRPr="00A1372C">
        <w:rPr>
          <w:szCs w:val="22"/>
        </w:rPr>
        <w:t xml:space="preserve"> at 10. </w:t>
      </w:r>
    </w:p>
    <w:p w:rsidR="00754FA3" w:rsidRPr="00A1372C" w:rsidRDefault="00754FA3" w:rsidP="006D592D">
      <w:pPr>
        <w:pStyle w:val="FootnoteText"/>
        <w:rPr>
          <w:szCs w:val="22"/>
        </w:rPr>
      </w:pPr>
    </w:p>
  </w:footnote>
  <w:footnote w:id="514">
    <w:p w:rsidR="00754FA3" w:rsidRDefault="00754FA3">
      <w:pPr>
        <w:pStyle w:val="FootnoteText"/>
      </w:pPr>
      <w:r>
        <w:rPr>
          <w:rStyle w:val="FootnoteReference"/>
        </w:rPr>
        <w:footnoteRef/>
      </w:r>
      <w:r>
        <w:t xml:space="preserve"> Griffith, Exh. No. WRG-7T at 5.</w:t>
      </w:r>
    </w:p>
    <w:p w:rsidR="00754FA3" w:rsidRDefault="00754FA3">
      <w:pPr>
        <w:pStyle w:val="FootnoteText"/>
      </w:pPr>
    </w:p>
  </w:footnote>
  <w:footnote w:id="515">
    <w:p w:rsidR="00754FA3" w:rsidRPr="00A1372C" w:rsidRDefault="00754FA3" w:rsidP="005D3597">
      <w:pPr>
        <w:pStyle w:val="FootnoteText"/>
        <w:rPr>
          <w:szCs w:val="22"/>
        </w:rPr>
      </w:pPr>
      <w:r w:rsidRPr="00A1372C">
        <w:rPr>
          <w:rStyle w:val="FootnoteReference"/>
          <w:szCs w:val="22"/>
        </w:rPr>
        <w:footnoteRef/>
      </w:r>
      <w:r w:rsidRPr="00A1372C">
        <w:rPr>
          <w:szCs w:val="22"/>
        </w:rPr>
        <w:t xml:space="preserve"> Griffith, Exh. No. WRG-1T at 4.</w:t>
      </w:r>
      <w:r>
        <w:rPr>
          <w:szCs w:val="22"/>
        </w:rPr>
        <w:t xml:space="preserve">  The $10.38 figure would cover the Company’s costs relating to meters, service drops, meter reading, and billing.  </w:t>
      </w:r>
      <w:r>
        <w:rPr>
          <w:i/>
          <w:szCs w:val="22"/>
        </w:rPr>
        <w:t xml:space="preserve">Id.  </w:t>
      </w:r>
      <w:r>
        <w:rPr>
          <w:szCs w:val="22"/>
        </w:rPr>
        <w:t xml:space="preserve">It is not designed to cover all fixed costs of the Company. </w:t>
      </w:r>
    </w:p>
    <w:p w:rsidR="00754FA3" w:rsidRPr="00A1372C" w:rsidRDefault="00754FA3" w:rsidP="005D3597">
      <w:pPr>
        <w:pStyle w:val="FootnoteText"/>
        <w:rPr>
          <w:szCs w:val="22"/>
        </w:rPr>
      </w:pPr>
    </w:p>
  </w:footnote>
  <w:footnote w:id="516">
    <w:p w:rsidR="00754FA3" w:rsidRPr="00A1372C" w:rsidRDefault="00754FA3" w:rsidP="005D3597">
      <w:pPr>
        <w:pStyle w:val="FootnoteText"/>
        <w:rPr>
          <w:szCs w:val="22"/>
        </w:rPr>
      </w:pPr>
      <w:r w:rsidRPr="00A1372C">
        <w:rPr>
          <w:rStyle w:val="FootnoteReference"/>
          <w:szCs w:val="22"/>
        </w:rPr>
        <w:footnoteRef/>
      </w:r>
      <w:r w:rsidRPr="00A1372C">
        <w:rPr>
          <w:szCs w:val="22"/>
        </w:rPr>
        <w:t xml:space="preserve"> </w:t>
      </w:r>
      <w:r w:rsidRPr="004A17CD">
        <w:rPr>
          <w:i/>
          <w:szCs w:val="22"/>
        </w:rPr>
        <w:t>Id.</w:t>
      </w:r>
      <w:r w:rsidRPr="00A1372C">
        <w:rPr>
          <w:szCs w:val="22"/>
        </w:rPr>
        <w:t xml:space="preserve"> at 4. </w:t>
      </w:r>
    </w:p>
    <w:p w:rsidR="00754FA3" w:rsidRPr="00A1372C" w:rsidRDefault="00754FA3" w:rsidP="005D3597">
      <w:pPr>
        <w:pStyle w:val="FootnoteText"/>
        <w:rPr>
          <w:szCs w:val="22"/>
        </w:rPr>
      </w:pPr>
    </w:p>
  </w:footnote>
  <w:footnote w:id="517">
    <w:p w:rsidR="00754FA3" w:rsidRPr="00A1372C" w:rsidRDefault="00754FA3" w:rsidP="005D3597">
      <w:pPr>
        <w:pStyle w:val="FootnoteText"/>
        <w:rPr>
          <w:szCs w:val="22"/>
        </w:rPr>
      </w:pPr>
      <w:r w:rsidRPr="00A1372C">
        <w:rPr>
          <w:rStyle w:val="FootnoteReference"/>
          <w:szCs w:val="22"/>
        </w:rPr>
        <w:footnoteRef/>
      </w:r>
      <w:r w:rsidRPr="00A1372C">
        <w:rPr>
          <w:szCs w:val="22"/>
        </w:rPr>
        <w:t xml:space="preserve"> </w:t>
      </w:r>
      <w:r w:rsidRPr="004A17CD">
        <w:rPr>
          <w:i/>
          <w:szCs w:val="22"/>
        </w:rPr>
        <w:t>Id.</w:t>
      </w:r>
      <w:r w:rsidRPr="00A1372C">
        <w:rPr>
          <w:szCs w:val="22"/>
        </w:rPr>
        <w:t xml:space="preserve"> at 4 – 5.</w:t>
      </w:r>
    </w:p>
    <w:p w:rsidR="00754FA3" w:rsidRPr="00A1372C" w:rsidRDefault="00754FA3" w:rsidP="005D3597">
      <w:pPr>
        <w:pStyle w:val="FootnoteText"/>
        <w:rPr>
          <w:szCs w:val="22"/>
        </w:rPr>
      </w:pPr>
    </w:p>
  </w:footnote>
  <w:footnote w:id="518">
    <w:p w:rsidR="00754FA3" w:rsidRPr="00A1372C" w:rsidRDefault="00754FA3" w:rsidP="005D3597">
      <w:pPr>
        <w:pStyle w:val="FootnoteText"/>
        <w:rPr>
          <w:szCs w:val="22"/>
        </w:rPr>
      </w:pPr>
      <w:r w:rsidRPr="00A1372C">
        <w:rPr>
          <w:rStyle w:val="FootnoteReference"/>
          <w:szCs w:val="22"/>
        </w:rPr>
        <w:footnoteRef/>
      </w:r>
      <w:r w:rsidRPr="00A1372C">
        <w:rPr>
          <w:szCs w:val="22"/>
        </w:rPr>
        <w:t xml:space="preserve"> </w:t>
      </w:r>
      <w:r w:rsidRPr="004A17CD">
        <w:rPr>
          <w:i/>
          <w:szCs w:val="22"/>
        </w:rPr>
        <w:t>Id.</w:t>
      </w:r>
      <w:r w:rsidRPr="00A1372C">
        <w:rPr>
          <w:szCs w:val="22"/>
        </w:rPr>
        <w:t xml:space="preserve"> at 4.</w:t>
      </w:r>
    </w:p>
    <w:p w:rsidR="00754FA3" w:rsidRPr="00A1372C" w:rsidRDefault="00754FA3" w:rsidP="005D3597">
      <w:pPr>
        <w:pStyle w:val="FootnoteText"/>
        <w:rPr>
          <w:szCs w:val="22"/>
        </w:rPr>
      </w:pPr>
    </w:p>
  </w:footnote>
  <w:footnote w:id="519">
    <w:p w:rsidR="00754FA3" w:rsidRPr="004B1BCA" w:rsidRDefault="00754FA3" w:rsidP="003A5FF3">
      <w:pPr>
        <w:pStyle w:val="FootnoteText"/>
      </w:pPr>
      <w:r>
        <w:rPr>
          <w:rStyle w:val="FootnoteReference"/>
        </w:rPr>
        <w:footnoteRef/>
      </w:r>
      <w:r>
        <w:t xml:space="preserve"> Schooley, Exh. No. TES-1T at 37.</w:t>
      </w:r>
    </w:p>
    <w:p w:rsidR="00754FA3" w:rsidRPr="00320C1B" w:rsidRDefault="00754FA3" w:rsidP="003A5FF3">
      <w:pPr>
        <w:pStyle w:val="FootnoteText"/>
      </w:pPr>
    </w:p>
  </w:footnote>
  <w:footnote w:id="520">
    <w:p w:rsidR="00754FA3" w:rsidRPr="00A1372C" w:rsidRDefault="00754FA3" w:rsidP="003A5FF3">
      <w:pPr>
        <w:pStyle w:val="FootnoteText"/>
        <w:rPr>
          <w:szCs w:val="22"/>
        </w:rPr>
      </w:pPr>
      <w:r w:rsidRPr="00A1372C">
        <w:rPr>
          <w:rStyle w:val="FootnoteReference"/>
          <w:szCs w:val="22"/>
        </w:rPr>
        <w:footnoteRef/>
      </w:r>
      <w:r w:rsidRPr="00A1372C">
        <w:rPr>
          <w:szCs w:val="22"/>
        </w:rPr>
        <w:t xml:space="preserve"> </w:t>
      </w:r>
      <w:r w:rsidRPr="004A17CD">
        <w:rPr>
          <w:i/>
          <w:szCs w:val="22"/>
        </w:rPr>
        <w:t>Id.</w:t>
      </w:r>
      <w:r w:rsidRPr="00A1372C">
        <w:rPr>
          <w:szCs w:val="22"/>
        </w:rPr>
        <w:t xml:space="preserve"> at 37.</w:t>
      </w:r>
    </w:p>
    <w:p w:rsidR="00754FA3" w:rsidRPr="00A1372C" w:rsidRDefault="00754FA3" w:rsidP="003A5FF3">
      <w:pPr>
        <w:pStyle w:val="FootnoteText"/>
        <w:rPr>
          <w:szCs w:val="22"/>
        </w:rPr>
      </w:pPr>
    </w:p>
  </w:footnote>
  <w:footnote w:id="521">
    <w:p w:rsidR="00754FA3" w:rsidRPr="00A1372C" w:rsidRDefault="00754FA3" w:rsidP="003A5FF3">
      <w:pPr>
        <w:pStyle w:val="FootnoteText"/>
        <w:rPr>
          <w:szCs w:val="22"/>
        </w:rPr>
      </w:pPr>
      <w:r w:rsidRPr="00A1372C">
        <w:rPr>
          <w:rStyle w:val="FootnoteReference"/>
          <w:szCs w:val="22"/>
        </w:rPr>
        <w:footnoteRef/>
      </w:r>
      <w:r w:rsidRPr="00A1372C">
        <w:rPr>
          <w:szCs w:val="22"/>
        </w:rPr>
        <w:t xml:space="preserve"> </w:t>
      </w:r>
      <w:r w:rsidRPr="004A17CD">
        <w:rPr>
          <w:i/>
          <w:szCs w:val="22"/>
        </w:rPr>
        <w:t>Id</w:t>
      </w:r>
      <w:r>
        <w:rPr>
          <w:szCs w:val="22"/>
        </w:rPr>
        <w:t>.</w:t>
      </w:r>
      <w:r w:rsidRPr="00A1372C">
        <w:rPr>
          <w:szCs w:val="22"/>
        </w:rPr>
        <w:t xml:space="preserve"> at 38.</w:t>
      </w:r>
    </w:p>
    <w:p w:rsidR="00754FA3" w:rsidRPr="00A1372C" w:rsidRDefault="00754FA3" w:rsidP="003A5FF3">
      <w:pPr>
        <w:pStyle w:val="FootnoteText"/>
        <w:rPr>
          <w:szCs w:val="22"/>
        </w:rPr>
      </w:pPr>
    </w:p>
  </w:footnote>
  <w:footnote w:id="522">
    <w:p w:rsidR="00754FA3" w:rsidRPr="00A1372C" w:rsidRDefault="00754FA3" w:rsidP="003A5FF3">
      <w:pPr>
        <w:pStyle w:val="FootnoteText"/>
        <w:rPr>
          <w:szCs w:val="22"/>
        </w:rPr>
      </w:pPr>
      <w:r w:rsidRPr="00A1372C">
        <w:rPr>
          <w:rStyle w:val="FootnoteReference"/>
          <w:szCs w:val="22"/>
        </w:rPr>
        <w:footnoteRef/>
      </w:r>
      <w:r w:rsidRPr="00A1372C">
        <w:rPr>
          <w:szCs w:val="22"/>
        </w:rPr>
        <w:t xml:space="preserve"> </w:t>
      </w:r>
      <w:r w:rsidRPr="004A17CD">
        <w:rPr>
          <w:i/>
          <w:szCs w:val="22"/>
        </w:rPr>
        <w:t>Id.</w:t>
      </w:r>
      <w:r w:rsidRPr="00A1372C">
        <w:rPr>
          <w:szCs w:val="22"/>
        </w:rPr>
        <w:t xml:space="preserve"> at 38.</w:t>
      </w:r>
    </w:p>
    <w:p w:rsidR="00754FA3" w:rsidRPr="00A1372C" w:rsidRDefault="00754FA3" w:rsidP="003A5FF3">
      <w:pPr>
        <w:pStyle w:val="FootnoteText"/>
        <w:rPr>
          <w:szCs w:val="22"/>
        </w:rPr>
      </w:pPr>
    </w:p>
  </w:footnote>
  <w:footnote w:id="523">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Eberdt, Exh. No. CME-1T at 13.</w:t>
      </w:r>
    </w:p>
    <w:p w:rsidR="00754FA3" w:rsidRPr="00A1372C" w:rsidRDefault="00754FA3" w:rsidP="006D592D">
      <w:pPr>
        <w:pStyle w:val="FootnoteText"/>
        <w:rPr>
          <w:szCs w:val="22"/>
        </w:rPr>
      </w:pPr>
    </w:p>
  </w:footnote>
  <w:footnote w:id="524">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4A17CD">
        <w:rPr>
          <w:i/>
          <w:szCs w:val="22"/>
        </w:rPr>
        <w:t>Id.</w:t>
      </w:r>
      <w:r w:rsidRPr="00A1372C">
        <w:rPr>
          <w:szCs w:val="22"/>
        </w:rPr>
        <w:t xml:space="preserve"> at 13.</w:t>
      </w:r>
    </w:p>
    <w:p w:rsidR="00754FA3" w:rsidRPr="00A1372C" w:rsidRDefault="00754FA3" w:rsidP="006D592D">
      <w:pPr>
        <w:pStyle w:val="FootnoteText"/>
        <w:rPr>
          <w:szCs w:val="22"/>
        </w:rPr>
      </w:pPr>
    </w:p>
  </w:footnote>
  <w:footnote w:id="525">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4A17CD">
        <w:rPr>
          <w:i/>
          <w:szCs w:val="22"/>
        </w:rPr>
        <w:t>Id.</w:t>
      </w:r>
      <w:r w:rsidRPr="00A1372C">
        <w:rPr>
          <w:szCs w:val="22"/>
        </w:rPr>
        <w:t xml:space="preserve"> at 14.</w:t>
      </w:r>
    </w:p>
    <w:p w:rsidR="00754FA3" w:rsidRPr="00A1372C" w:rsidRDefault="00754FA3" w:rsidP="006D592D">
      <w:pPr>
        <w:pStyle w:val="FootnoteText"/>
        <w:rPr>
          <w:szCs w:val="22"/>
        </w:rPr>
      </w:pPr>
    </w:p>
  </w:footnote>
  <w:footnote w:id="526">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4A17CD">
        <w:rPr>
          <w:i/>
          <w:szCs w:val="22"/>
        </w:rPr>
        <w:t>Id</w:t>
      </w:r>
      <w:r>
        <w:rPr>
          <w:szCs w:val="22"/>
        </w:rPr>
        <w:t>.</w:t>
      </w:r>
      <w:r w:rsidRPr="00A1372C">
        <w:rPr>
          <w:szCs w:val="22"/>
        </w:rPr>
        <w:t xml:space="preserve"> at 16 – 17.</w:t>
      </w:r>
    </w:p>
    <w:p w:rsidR="00754FA3" w:rsidRPr="00A1372C" w:rsidRDefault="00754FA3" w:rsidP="006D592D">
      <w:pPr>
        <w:pStyle w:val="FootnoteText"/>
        <w:rPr>
          <w:szCs w:val="22"/>
        </w:rPr>
      </w:pPr>
    </w:p>
  </w:footnote>
  <w:footnote w:id="527">
    <w:p w:rsidR="00754FA3" w:rsidRDefault="00754FA3">
      <w:pPr>
        <w:pStyle w:val="FootnoteText"/>
      </w:pPr>
      <w:r>
        <w:rPr>
          <w:rStyle w:val="FootnoteReference"/>
        </w:rPr>
        <w:footnoteRef/>
      </w:r>
      <w:r>
        <w:t xml:space="preserve"> Schooley, Exh. No. TES-4T at 15.</w:t>
      </w:r>
    </w:p>
    <w:p w:rsidR="00754FA3" w:rsidRDefault="00754FA3">
      <w:pPr>
        <w:pStyle w:val="FootnoteText"/>
      </w:pPr>
    </w:p>
  </w:footnote>
  <w:footnote w:id="528">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Griffith, Exh. No. WRG-7T at 3.</w:t>
      </w:r>
    </w:p>
    <w:p w:rsidR="00754FA3" w:rsidRPr="00A1372C" w:rsidRDefault="00754FA3" w:rsidP="006D592D">
      <w:pPr>
        <w:pStyle w:val="FootnoteText"/>
        <w:rPr>
          <w:szCs w:val="22"/>
        </w:rPr>
      </w:pPr>
    </w:p>
  </w:footnote>
  <w:footnote w:id="529">
    <w:p w:rsidR="00754FA3" w:rsidRPr="00A1372C" w:rsidRDefault="00754FA3" w:rsidP="006D592D">
      <w:pPr>
        <w:pStyle w:val="FootnoteText"/>
        <w:rPr>
          <w:szCs w:val="22"/>
        </w:rPr>
      </w:pPr>
      <w:r w:rsidRPr="00A1372C">
        <w:rPr>
          <w:rStyle w:val="FootnoteReference"/>
          <w:szCs w:val="22"/>
        </w:rPr>
        <w:footnoteRef/>
      </w:r>
      <w:r w:rsidRPr="00A1372C">
        <w:rPr>
          <w:szCs w:val="22"/>
        </w:rPr>
        <w:t xml:space="preserve"> </w:t>
      </w:r>
      <w:r w:rsidRPr="004A17CD">
        <w:rPr>
          <w:i/>
          <w:szCs w:val="22"/>
        </w:rPr>
        <w:t>Id.</w:t>
      </w:r>
      <w:r w:rsidRPr="00A1372C">
        <w:rPr>
          <w:szCs w:val="22"/>
        </w:rPr>
        <w:t>at 3.</w:t>
      </w:r>
    </w:p>
    <w:p w:rsidR="00754FA3" w:rsidRPr="00A1372C" w:rsidRDefault="00754FA3" w:rsidP="006D592D">
      <w:pPr>
        <w:pStyle w:val="FootnoteText"/>
        <w:rPr>
          <w:szCs w:val="22"/>
        </w:rPr>
      </w:pPr>
    </w:p>
  </w:footnote>
  <w:footnote w:id="530">
    <w:p w:rsidR="00754FA3" w:rsidRDefault="00754FA3">
      <w:pPr>
        <w:pStyle w:val="FootnoteText"/>
      </w:pPr>
      <w:r>
        <w:rPr>
          <w:rStyle w:val="FootnoteReference"/>
        </w:rPr>
        <w:footnoteRef/>
      </w:r>
      <w:r>
        <w:t xml:space="preserve"> A number of the comments submitted by ratepayers expressed concern about both the overall increase and the increase to the fixed charge.  Exh. No.  8.</w:t>
      </w:r>
    </w:p>
    <w:p w:rsidR="00754FA3" w:rsidRDefault="00754FA3">
      <w:pPr>
        <w:pStyle w:val="FootnoteText"/>
      </w:pPr>
    </w:p>
  </w:footnote>
  <w:footnote w:id="531">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Griffith, Exh. No. WRG-1T at 6.</w:t>
      </w:r>
    </w:p>
    <w:p w:rsidR="00754FA3" w:rsidRPr="00A1372C" w:rsidRDefault="00754FA3" w:rsidP="00742A31">
      <w:pPr>
        <w:pStyle w:val="FootnoteText"/>
        <w:rPr>
          <w:szCs w:val="22"/>
        </w:rPr>
      </w:pPr>
    </w:p>
  </w:footnote>
  <w:footnote w:id="532">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Reiten, Exh. No. RPR-1T at 6.</w:t>
      </w:r>
    </w:p>
    <w:p w:rsidR="00754FA3" w:rsidRPr="00A1372C" w:rsidRDefault="00754FA3" w:rsidP="00742A31">
      <w:pPr>
        <w:pStyle w:val="FootnoteText"/>
        <w:rPr>
          <w:szCs w:val="22"/>
        </w:rPr>
      </w:pPr>
    </w:p>
  </w:footnote>
  <w:footnote w:id="533">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Griffith, Exh. No. WRG-1T at 6</w:t>
      </w:r>
      <w:r>
        <w:rPr>
          <w:szCs w:val="22"/>
        </w:rPr>
        <w:t xml:space="preserve">, </w:t>
      </w:r>
      <w:r w:rsidRPr="00A1372C">
        <w:rPr>
          <w:szCs w:val="22"/>
        </w:rPr>
        <w:t>Exh. No. WRG 2 at 19.</w:t>
      </w:r>
    </w:p>
    <w:p w:rsidR="00754FA3" w:rsidRPr="00A1372C" w:rsidRDefault="00754FA3" w:rsidP="00742A31">
      <w:pPr>
        <w:pStyle w:val="FootnoteText"/>
        <w:rPr>
          <w:szCs w:val="22"/>
        </w:rPr>
      </w:pPr>
    </w:p>
  </w:footnote>
  <w:footnote w:id="534">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Griffith, Exh. No. WRG-1T at 7.</w:t>
      </w:r>
    </w:p>
    <w:p w:rsidR="00754FA3" w:rsidRPr="00A1372C" w:rsidRDefault="00754FA3" w:rsidP="00742A31">
      <w:pPr>
        <w:pStyle w:val="FootnoteText"/>
        <w:rPr>
          <w:szCs w:val="22"/>
        </w:rPr>
      </w:pPr>
    </w:p>
  </w:footnote>
  <w:footnote w:id="535">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w:t>
      </w:r>
      <w:r w:rsidRPr="004A17CD">
        <w:rPr>
          <w:i/>
          <w:szCs w:val="22"/>
        </w:rPr>
        <w:t>Id</w:t>
      </w:r>
      <w:r>
        <w:rPr>
          <w:szCs w:val="22"/>
        </w:rPr>
        <w:t>.</w:t>
      </w:r>
      <w:r w:rsidRPr="00A1372C">
        <w:rPr>
          <w:szCs w:val="22"/>
        </w:rPr>
        <w:t xml:space="preserve"> at 7.</w:t>
      </w:r>
    </w:p>
    <w:p w:rsidR="00754FA3" w:rsidRPr="00A1372C" w:rsidRDefault="00754FA3" w:rsidP="00742A31">
      <w:pPr>
        <w:pStyle w:val="FootnoteText"/>
        <w:rPr>
          <w:szCs w:val="22"/>
        </w:rPr>
      </w:pPr>
    </w:p>
  </w:footnote>
  <w:footnote w:id="536">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w:t>
      </w:r>
      <w:r w:rsidRPr="004A17CD">
        <w:rPr>
          <w:i/>
          <w:szCs w:val="22"/>
        </w:rPr>
        <w:t>Id.</w:t>
      </w:r>
      <w:r w:rsidRPr="00A1372C">
        <w:rPr>
          <w:szCs w:val="22"/>
        </w:rPr>
        <w:t xml:space="preserve"> at 7.</w:t>
      </w:r>
    </w:p>
    <w:p w:rsidR="00754FA3" w:rsidRPr="00A1372C" w:rsidRDefault="00754FA3" w:rsidP="00742A31">
      <w:pPr>
        <w:pStyle w:val="FootnoteText"/>
        <w:rPr>
          <w:szCs w:val="22"/>
        </w:rPr>
      </w:pPr>
    </w:p>
  </w:footnote>
  <w:footnote w:id="537">
    <w:p w:rsidR="00754FA3" w:rsidRPr="00A1372C" w:rsidRDefault="00754FA3" w:rsidP="00742A31">
      <w:pPr>
        <w:pStyle w:val="FootnoteText"/>
        <w:rPr>
          <w:b/>
          <w:szCs w:val="22"/>
        </w:rPr>
      </w:pPr>
      <w:r w:rsidRPr="00A1372C">
        <w:rPr>
          <w:rStyle w:val="FootnoteReference"/>
          <w:szCs w:val="22"/>
        </w:rPr>
        <w:footnoteRef/>
      </w:r>
      <w:r w:rsidRPr="00A1372C">
        <w:rPr>
          <w:szCs w:val="22"/>
        </w:rPr>
        <w:t xml:space="preserve"> Schooley, Exh. No. TES-1T at 40.</w:t>
      </w:r>
    </w:p>
    <w:p w:rsidR="00754FA3" w:rsidRPr="00A1372C" w:rsidRDefault="00754FA3" w:rsidP="00742A31">
      <w:pPr>
        <w:pStyle w:val="FootnoteText"/>
        <w:rPr>
          <w:b/>
          <w:szCs w:val="22"/>
        </w:rPr>
      </w:pPr>
    </w:p>
  </w:footnote>
  <w:footnote w:id="538">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Eberdt, Exh. No. CME-1T at 4.</w:t>
      </w:r>
    </w:p>
    <w:p w:rsidR="00754FA3" w:rsidRPr="00A1372C" w:rsidRDefault="00754FA3" w:rsidP="00742A31">
      <w:pPr>
        <w:pStyle w:val="FootnoteText"/>
        <w:rPr>
          <w:szCs w:val="22"/>
        </w:rPr>
      </w:pPr>
    </w:p>
  </w:footnote>
  <w:footnote w:id="539">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w:t>
      </w:r>
      <w:r w:rsidRPr="004A17CD">
        <w:rPr>
          <w:i/>
          <w:szCs w:val="22"/>
        </w:rPr>
        <w:t>Id</w:t>
      </w:r>
      <w:r>
        <w:rPr>
          <w:szCs w:val="22"/>
        </w:rPr>
        <w:t>.</w:t>
      </w:r>
      <w:r w:rsidRPr="00A1372C">
        <w:rPr>
          <w:szCs w:val="22"/>
        </w:rPr>
        <w:t xml:space="preserve"> at 4.</w:t>
      </w:r>
    </w:p>
    <w:p w:rsidR="00754FA3" w:rsidRPr="00A1372C" w:rsidRDefault="00754FA3" w:rsidP="00742A31">
      <w:pPr>
        <w:pStyle w:val="FootnoteText"/>
        <w:rPr>
          <w:szCs w:val="22"/>
        </w:rPr>
      </w:pPr>
    </w:p>
  </w:footnote>
  <w:footnote w:id="540">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w:t>
      </w:r>
      <w:r w:rsidRPr="004A17CD">
        <w:rPr>
          <w:i/>
          <w:szCs w:val="22"/>
        </w:rPr>
        <w:t>Id</w:t>
      </w:r>
      <w:r>
        <w:rPr>
          <w:szCs w:val="22"/>
        </w:rPr>
        <w:t>.</w:t>
      </w:r>
      <w:r w:rsidRPr="00A1372C">
        <w:rPr>
          <w:szCs w:val="22"/>
        </w:rPr>
        <w:t xml:space="preserve"> at 8.</w:t>
      </w:r>
    </w:p>
    <w:p w:rsidR="00754FA3" w:rsidRPr="00A1372C" w:rsidRDefault="00754FA3" w:rsidP="00742A31">
      <w:pPr>
        <w:pStyle w:val="FootnoteText"/>
        <w:rPr>
          <w:szCs w:val="22"/>
        </w:rPr>
      </w:pPr>
    </w:p>
  </w:footnote>
  <w:footnote w:id="541">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LIHEAP is the federal Low Income Home Energy Assistance Program.  </w:t>
      </w:r>
      <w:r w:rsidRPr="004A17CD">
        <w:rPr>
          <w:i/>
          <w:szCs w:val="22"/>
        </w:rPr>
        <w:t>Id.</w:t>
      </w:r>
      <w:r w:rsidRPr="00A1372C">
        <w:rPr>
          <w:szCs w:val="22"/>
        </w:rPr>
        <w:t xml:space="preserve"> at 5 and 8.</w:t>
      </w:r>
    </w:p>
    <w:p w:rsidR="00754FA3" w:rsidRPr="00A1372C" w:rsidRDefault="00754FA3" w:rsidP="00742A31">
      <w:pPr>
        <w:pStyle w:val="FootnoteText"/>
        <w:rPr>
          <w:szCs w:val="22"/>
        </w:rPr>
      </w:pPr>
    </w:p>
  </w:footnote>
  <w:footnote w:id="542">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w:t>
      </w:r>
      <w:r w:rsidRPr="004A17CD">
        <w:rPr>
          <w:i/>
          <w:szCs w:val="22"/>
        </w:rPr>
        <w:t>Id</w:t>
      </w:r>
      <w:r>
        <w:rPr>
          <w:szCs w:val="22"/>
        </w:rPr>
        <w:t>.</w:t>
      </w:r>
      <w:r w:rsidRPr="00A1372C">
        <w:rPr>
          <w:szCs w:val="22"/>
        </w:rPr>
        <w:t xml:space="preserve"> at 8.</w:t>
      </w:r>
    </w:p>
    <w:p w:rsidR="00754FA3" w:rsidRPr="00A1372C" w:rsidRDefault="00754FA3" w:rsidP="00742A31">
      <w:pPr>
        <w:pStyle w:val="FootnoteText"/>
        <w:rPr>
          <w:szCs w:val="22"/>
        </w:rPr>
      </w:pPr>
    </w:p>
  </w:footnote>
  <w:footnote w:id="543">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w:t>
      </w:r>
      <w:r w:rsidRPr="004A17CD">
        <w:rPr>
          <w:i/>
          <w:szCs w:val="22"/>
        </w:rPr>
        <w:t>Id</w:t>
      </w:r>
      <w:r>
        <w:rPr>
          <w:szCs w:val="22"/>
        </w:rPr>
        <w:t>.</w:t>
      </w:r>
      <w:r w:rsidRPr="00A1372C">
        <w:rPr>
          <w:szCs w:val="22"/>
        </w:rPr>
        <w:t>at 8.</w:t>
      </w:r>
    </w:p>
    <w:p w:rsidR="00754FA3" w:rsidRPr="00A1372C" w:rsidRDefault="00754FA3" w:rsidP="00742A31">
      <w:pPr>
        <w:pStyle w:val="FootnoteText"/>
        <w:rPr>
          <w:szCs w:val="22"/>
        </w:rPr>
      </w:pPr>
    </w:p>
  </w:footnote>
  <w:footnote w:id="544">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w:t>
      </w:r>
      <w:r w:rsidRPr="004A17CD">
        <w:rPr>
          <w:i/>
          <w:szCs w:val="22"/>
        </w:rPr>
        <w:t>Id.</w:t>
      </w:r>
      <w:r>
        <w:rPr>
          <w:szCs w:val="22"/>
        </w:rPr>
        <w:t xml:space="preserve"> at</w:t>
      </w:r>
      <w:r w:rsidRPr="00A1372C">
        <w:rPr>
          <w:szCs w:val="22"/>
        </w:rPr>
        <w:t xml:space="preserve"> 8 - 9.</w:t>
      </w:r>
    </w:p>
    <w:p w:rsidR="00754FA3" w:rsidRPr="00A1372C" w:rsidRDefault="00754FA3" w:rsidP="00742A31">
      <w:pPr>
        <w:pStyle w:val="FootnoteText"/>
        <w:rPr>
          <w:szCs w:val="22"/>
        </w:rPr>
      </w:pPr>
    </w:p>
  </w:footnote>
  <w:footnote w:id="545">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w:t>
      </w:r>
      <w:r w:rsidRPr="004A17CD">
        <w:rPr>
          <w:i/>
          <w:szCs w:val="22"/>
        </w:rPr>
        <w:t>Id.</w:t>
      </w:r>
      <w:r w:rsidRPr="00A1372C">
        <w:rPr>
          <w:szCs w:val="22"/>
        </w:rPr>
        <w:t xml:space="preserve"> at 9.</w:t>
      </w:r>
    </w:p>
    <w:p w:rsidR="00754FA3" w:rsidRPr="00A1372C" w:rsidRDefault="00754FA3" w:rsidP="00742A31">
      <w:pPr>
        <w:pStyle w:val="FootnoteText"/>
        <w:rPr>
          <w:szCs w:val="22"/>
        </w:rPr>
      </w:pPr>
    </w:p>
  </w:footnote>
  <w:footnote w:id="546">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w:t>
      </w:r>
      <w:r w:rsidRPr="001D6AE8">
        <w:rPr>
          <w:i/>
          <w:szCs w:val="22"/>
        </w:rPr>
        <w:t>Id.</w:t>
      </w:r>
      <w:r w:rsidRPr="00A1372C">
        <w:rPr>
          <w:szCs w:val="22"/>
        </w:rPr>
        <w:t xml:space="preserve"> </w:t>
      </w:r>
      <w:r>
        <w:rPr>
          <w:szCs w:val="22"/>
        </w:rPr>
        <w:t xml:space="preserve">at </w:t>
      </w:r>
      <w:r w:rsidRPr="00A1372C">
        <w:rPr>
          <w:szCs w:val="22"/>
        </w:rPr>
        <w:t>11.</w:t>
      </w:r>
    </w:p>
    <w:p w:rsidR="00754FA3" w:rsidRPr="00A1372C" w:rsidRDefault="00754FA3" w:rsidP="00742A31">
      <w:pPr>
        <w:pStyle w:val="FootnoteText"/>
        <w:rPr>
          <w:szCs w:val="22"/>
        </w:rPr>
      </w:pPr>
    </w:p>
  </w:footnote>
  <w:footnote w:id="547">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w:t>
      </w:r>
      <w:r w:rsidRPr="001D6AE8">
        <w:rPr>
          <w:i/>
          <w:szCs w:val="22"/>
        </w:rPr>
        <w:t>Id.</w:t>
      </w:r>
      <w:r w:rsidRPr="00A1372C">
        <w:rPr>
          <w:szCs w:val="22"/>
        </w:rPr>
        <w:t xml:space="preserve"> at 10.</w:t>
      </w:r>
    </w:p>
    <w:p w:rsidR="00754FA3" w:rsidRPr="00A1372C" w:rsidRDefault="00754FA3" w:rsidP="00742A31">
      <w:pPr>
        <w:pStyle w:val="FootnoteText"/>
        <w:rPr>
          <w:szCs w:val="22"/>
        </w:rPr>
      </w:pPr>
    </w:p>
  </w:footnote>
  <w:footnote w:id="548">
    <w:p w:rsidR="00754FA3" w:rsidRPr="00A1372C" w:rsidRDefault="00754FA3" w:rsidP="00DA6007">
      <w:pPr>
        <w:pStyle w:val="FootnoteText"/>
        <w:rPr>
          <w:szCs w:val="22"/>
        </w:rPr>
      </w:pPr>
      <w:r w:rsidRPr="00A1372C">
        <w:rPr>
          <w:rStyle w:val="FootnoteReference"/>
          <w:szCs w:val="22"/>
        </w:rPr>
        <w:footnoteRef/>
      </w:r>
      <w:r w:rsidRPr="00A1372C">
        <w:rPr>
          <w:szCs w:val="22"/>
        </w:rPr>
        <w:t xml:space="preserve"> </w:t>
      </w:r>
      <w:r w:rsidRPr="001D6AE8">
        <w:rPr>
          <w:i/>
          <w:szCs w:val="22"/>
        </w:rPr>
        <w:t>Id.</w:t>
      </w:r>
      <w:r w:rsidRPr="00A1372C">
        <w:rPr>
          <w:szCs w:val="22"/>
        </w:rPr>
        <w:t xml:space="preserve"> at 14.</w:t>
      </w:r>
    </w:p>
    <w:p w:rsidR="00754FA3" w:rsidRPr="00A1372C" w:rsidRDefault="00754FA3" w:rsidP="00DA6007">
      <w:pPr>
        <w:pStyle w:val="FootnoteText"/>
        <w:rPr>
          <w:szCs w:val="22"/>
        </w:rPr>
      </w:pPr>
    </w:p>
  </w:footnote>
  <w:footnote w:id="549">
    <w:p w:rsidR="00754FA3" w:rsidRPr="00A1372C" w:rsidRDefault="00754FA3" w:rsidP="00DA6007">
      <w:pPr>
        <w:pStyle w:val="FootnoteText"/>
        <w:rPr>
          <w:szCs w:val="22"/>
        </w:rPr>
      </w:pPr>
      <w:r w:rsidRPr="00A1372C">
        <w:rPr>
          <w:rStyle w:val="FootnoteReference"/>
          <w:szCs w:val="22"/>
        </w:rPr>
        <w:footnoteRef/>
      </w:r>
      <w:r w:rsidRPr="00A1372C">
        <w:rPr>
          <w:szCs w:val="22"/>
        </w:rPr>
        <w:t xml:space="preserve"> </w:t>
      </w:r>
      <w:r w:rsidRPr="001D6AE8">
        <w:rPr>
          <w:i/>
          <w:szCs w:val="22"/>
        </w:rPr>
        <w:t>Id.</w:t>
      </w:r>
      <w:r w:rsidRPr="00A1372C">
        <w:rPr>
          <w:szCs w:val="22"/>
        </w:rPr>
        <w:t xml:space="preserve"> at 1</w:t>
      </w:r>
      <w:r>
        <w:rPr>
          <w:szCs w:val="22"/>
        </w:rPr>
        <w:t>4</w:t>
      </w:r>
      <w:r w:rsidRPr="00A1372C">
        <w:rPr>
          <w:szCs w:val="22"/>
        </w:rPr>
        <w:t xml:space="preserve"> -16.</w:t>
      </w:r>
    </w:p>
    <w:p w:rsidR="00754FA3" w:rsidRPr="00A1372C" w:rsidRDefault="00754FA3" w:rsidP="00DA6007">
      <w:pPr>
        <w:pStyle w:val="FootnoteText"/>
        <w:rPr>
          <w:szCs w:val="22"/>
        </w:rPr>
      </w:pPr>
    </w:p>
  </w:footnote>
  <w:footnote w:id="550">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Eberle, Exh. No. RME-1T at 3.</w:t>
      </w:r>
    </w:p>
    <w:p w:rsidR="00754FA3" w:rsidRPr="00A1372C" w:rsidRDefault="00754FA3" w:rsidP="00742A31">
      <w:pPr>
        <w:pStyle w:val="FootnoteText"/>
        <w:rPr>
          <w:szCs w:val="22"/>
        </w:rPr>
      </w:pPr>
    </w:p>
  </w:footnote>
  <w:footnote w:id="551">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w:t>
      </w:r>
      <w:r w:rsidRPr="001D6AE8">
        <w:rPr>
          <w:i/>
          <w:szCs w:val="22"/>
        </w:rPr>
        <w:t>Id.</w:t>
      </w:r>
      <w:r w:rsidRPr="00A1372C">
        <w:rPr>
          <w:szCs w:val="22"/>
        </w:rPr>
        <w:t xml:space="preserve"> at 5.</w:t>
      </w:r>
    </w:p>
    <w:p w:rsidR="00754FA3" w:rsidRPr="00A1372C" w:rsidRDefault="00754FA3" w:rsidP="00742A31">
      <w:pPr>
        <w:pStyle w:val="FootnoteText"/>
        <w:rPr>
          <w:szCs w:val="22"/>
        </w:rPr>
      </w:pPr>
    </w:p>
  </w:footnote>
  <w:footnote w:id="552">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w:t>
      </w:r>
      <w:r w:rsidRPr="001D6AE8">
        <w:rPr>
          <w:i/>
          <w:szCs w:val="22"/>
        </w:rPr>
        <w:t>Id.</w:t>
      </w:r>
      <w:r w:rsidRPr="00A1372C">
        <w:rPr>
          <w:szCs w:val="22"/>
        </w:rPr>
        <w:t xml:space="preserve"> at 5.</w:t>
      </w:r>
    </w:p>
    <w:p w:rsidR="00754FA3" w:rsidRPr="00A1372C" w:rsidRDefault="00754FA3" w:rsidP="00742A31">
      <w:pPr>
        <w:pStyle w:val="FootnoteText"/>
        <w:rPr>
          <w:szCs w:val="22"/>
        </w:rPr>
      </w:pPr>
    </w:p>
  </w:footnote>
  <w:footnote w:id="553">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w:t>
      </w:r>
      <w:r w:rsidRPr="001D6AE8">
        <w:rPr>
          <w:i/>
          <w:szCs w:val="22"/>
        </w:rPr>
        <w:t>Id.</w:t>
      </w:r>
      <w:r w:rsidRPr="00A1372C">
        <w:rPr>
          <w:szCs w:val="22"/>
        </w:rPr>
        <w:t xml:space="preserve"> at 6.</w:t>
      </w:r>
    </w:p>
    <w:p w:rsidR="00754FA3" w:rsidRPr="00A1372C" w:rsidRDefault="00754FA3" w:rsidP="00742A31">
      <w:pPr>
        <w:pStyle w:val="FootnoteText"/>
        <w:rPr>
          <w:szCs w:val="22"/>
        </w:rPr>
      </w:pPr>
    </w:p>
  </w:footnote>
  <w:footnote w:id="554">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w:t>
      </w:r>
      <w:r w:rsidRPr="001D6AE8">
        <w:rPr>
          <w:i/>
          <w:szCs w:val="22"/>
        </w:rPr>
        <w:t>Id</w:t>
      </w:r>
      <w:r>
        <w:rPr>
          <w:szCs w:val="22"/>
        </w:rPr>
        <w:t>.</w:t>
      </w:r>
      <w:r w:rsidRPr="00A1372C">
        <w:rPr>
          <w:szCs w:val="22"/>
        </w:rPr>
        <w:t xml:space="preserve"> at 6.</w:t>
      </w:r>
    </w:p>
    <w:p w:rsidR="00754FA3" w:rsidRPr="00A1372C" w:rsidRDefault="00754FA3" w:rsidP="00742A31">
      <w:pPr>
        <w:pStyle w:val="FootnoteText"/>
        <w:rPr>
          <w:szCs w:val="22"/>
        </w:rPr>
      </w:pPr>
    </w:p>
  </w:footnote>
  <w:footnote w:id="555">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w:t>
      </w:r>
      <w:r w:rsidRPr="001D6AE8">
        <w:rPr>
          <w:i/>
          <w:szCs w:val="22"/>
        </w:rPr>
        <w:t>Id</w:t>
      </w:r>
      <w:r>
        <w:rPr>
          <w:szCs w:val="22"/>
        </w:rPr>
        <w:t>.</w:t>
      </w:r>
      <w:r w:rsidRPr="00A1372C">
        <w:rPr>
          <w:szCs w:val="22"/>
        </w:rPr>
        <w:t xml:space="preserve"> at 6.</w:t>
      </w:r>
    </w:p>
    <w:p w:rsidR="00754FA3" w:rsidRPr="00A1372C" w:rsidRDefault="00754FA3" w:rsidP="00742A31">
      <w:pPr>
        <w:pStyle w:val="FootnoteText"/>
        <w:rPr>
          <w:szCs w:val="22"/>
        </w:rPr>
      </w:pPr>
    </w:p>
  </w:footnote>
  <w:footnote w:id="556">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w:t>
      </w:r>
      <w:r w:rsidRPr="001D6AE8">
        <w:rPr>
          <w:i/>
          <w:szCs w:val="22"/>
        </w:rPr>
        <w:t>Id.</w:t>
      </w:r>
      <w:r w:rsidRPr="00A1372C">
        <w:rPr>
          <w:szCs w:val="22"/>
        </w:rPr>
        <w:t xml:space="preserve"> at 7.</w:t>
      </w:r>
    </w:p>
    <w:p w:rsidR="00754FA3" w:rsidRPr="00A1372C" w:rsidRDefault="00754FA3" w:rsidP="00742A31">
      <w:pPr>
        <w:pStyle w:val="FootnoteText"/>
        <w:rPr>
          <w:szCs w:val="22"/>
        </w:rPr>
      </w:pPr>
    </w:p>
  </w:footnote>
  <w:footnote w:id="557">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w:t>
      </w:r>
      <w:r w:rsidRPr="001D6AE8">
        <w:rPr>
          <w:i/>
          <w:szCs w:val="22"/>
        </w:rPr>
        <w:t>Id.</w:t>
      </w:r>
      <w:r w:rsidRPr="00A1372C">
        <w:rPr>
          <w:szCs w:val="22"/>
        </w:rPr>
        <w:t xml:space="preserve"> at 7.</w:t>
      </w:r>
    </w:p>
    <w:p w:rsidR="00754FA3" w:rsidRPr="00A1372C" w:rsidRDefault="00754FA3" w:rsidP="00742A31">
      <w:pPr>
        <w:pStyle w:val="FootnoteText"/>
        <w:rPr>
          <w:szCs w:val="22"/>
        </w:rPr>
      </w:pPr>
    </w:p>
  </w:footnote>
  <w:footnote w:id="558">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w:t>
      </w:r>
      <w:r w:rsidRPr="001D6AE8">
        <w:rPr>
          <w:i/>
          <w:szCs w:val="22"/>
        </w:rPr>
        <w:t>Id.</w:t>
      </w:r>
      <w:r w:rsidRPr="00A1372C">
        <w:rPr>
          <w:szCs w:val="22"/>
        </w:rPr>
        <w:t xml:space="preserve"> at 8.</w:t>
      </w:r>
    </w:p>
    <w:p w:rsidR="00754FA3" w:rsidRPr="00A1372C" w:rsidRDefault="00754FA3" w:rsidP="00742A31">
      <w:pPr>
        <w:pStyle w:val="FootnoteText"/>
        <w:rPr>
          <w:szCs w:val="22"/>
        </w:rPr>
      </w:pPr>
    </w:p>
  </w:footnote>
  <w:footnote w:id="559">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w:t>
      </w:r>
      <w:r w:rsidRPr="001D6AE8">
        <w:rPr>
          <w:i/>
          <w:szCs w:val="22"/>
        </w:rPr>
        <w:t>Id.</w:t>
      </w:r>
      <w:r>
        <w:rPr>
          <w:szCs w:val="22"/>
        </w:rPr>
        <w:t xml:space="preserve"> at</w:t>
      </w:r>
      <w:r w:rsidRPr="00A1372C">
        <w:rPr>
          <w:szCs w:val="22"/>
        </w:rPr>
        <w:t xml:space="preserve"> 8.</w:t>
      </w:r>
    </w:p>
    <w:p w:rsidR="00754FA3" w:rsidRPr="00A1372C" w:rsidRDefault="00754FA3" w:rsidP="00742A31">
      <w:pPr>
        <w:pStyle w:val="FootnoteText"/>
        <w:rPr>
          <w:szCs w:val="22"/>
        </w:rPr>
      </w:pPr>
    </w:p>
  </w:footnote>
  <w:footnote w:id="560">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w:t>
      </w:r>
      <w:r w:rsidRPr="001D6AE8">
        <w:rPr>
          <w:i/>
          <w:szCs w:val="22"/>
        </w:rPr>
        <w:t>Id.</w:t>
      </w:r>
      <w:r>
        <w:rPr>
          <w:szCs w:val="22"/>
        </w:rPr>
        <w:t xml:space="preserve"> </w:t>
      </w:r>
      <w:r w:rsidRPr="00A1372C">
        <w:rPr>
          <w:szCs w:val="22"/>
        </w:rPr>
        <w:t>at 8.</w:t>
      </w:r>
    </w:p>
    <w:p w:rsidR="00754FA3" w:rsidRPr="00A1372C" w:rsidRDefault="00754FA3" w:rsidP="00742A31">
      <w:pPr>
        <w:pStyle w:val="FootnoteText"/>
        <w:rPr>
          <w:szCs w:val="22"/>
        </w:rPr>
      </w:pPr>
    </w:p>
  </w:footnote>
  <w:footnote w:id="561">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Schooley, Exh. No. TES-4T at 17.</w:t>
      </w:r>
    </w:p>
    <w:p w:rsidR="00754FA3" w:rsidRPr="00A1372C" w:rsidRDefault="00754FA3" w:rsidP="00742A31">
      <w:pPr>
        <w:pStyle w:val="FootnoteText"/>
        <w:rPr>
          <w:szCs w:val="22"/>
        </w:rPr>
      </w:pPr>
    </w:p>
  </w:footnote>
  <w:footnote w:id="562">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w:t>
      </w:r>
      <w:r w:rsidRPr="001D6AE8">
        <w:rPr>
          <w:i/>
          <w:szCs w:val="22"/>
        </w:rPr>
        <w:t>Id.</w:t>
      </w:r>
      <w:r w:rsidRPr="00A1372C">
        <w:rPr>
          <w:szCs w:val="22"/>
        </w:rPr>
        <w:t xml:space="preserve"> at 17.</w:t>
      </w:r>
    </w:p>
    <w:p w:rsidR="00754FA3" w:rsidRPr="00A1372C" w:rsidRDefault="00754FA3" w:rsidP="00742A31">
      <w:pPr>
        <w:pStyle w:val="FootnoteText"/>
        <w:rPr>
          <w:szCs w:val="22"/>
        </w:rPr>
      </w:pPr>
    </w:p>
  </w:footnote>
  <w:footnote w:id="563">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w:t>
      </w:r>
      <w:r w:rsidRPr="001D6AE8">
        <w:rPr>
          <w:i/>
          <w:szCs w:val="22"/>
        </w:rPr>
        <w:t>Id.</w:t>
      </w:r>
      <w:r w:rsidRPr="00A1372C">
        <w:rPr>
          <w:szCs w:val="22"/>
        </w:rPr>
        <w:t xml:space="preserve"> at 17.</w:t>
      </w:r>
    </w:p>
    <w:p w:rsidR="00754FA3" w:rsidRPr="00A1372C" w:rsidRDefault="00754FA3" w:rsidP="00742A31">
      <w:pPr>
        <w:pStyle w:val="FootnoteText"/>
        <w:rPr>
          <w:szCs w:val="22"/>
        </w:rPr>
      </w:pPr>
    </w:p>
  </w:footnote>
  <w:footnote w:id="564">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w:t>
      </w:r>
      <w:r w:rsidRPr="001D6AE8">
        <w:rPr>
          <w:i/>
          <w:szCs w:val="22"/>
        </w:rPr>
        <w:t>Id.</w:t>
      </w:r>
      <w:r>
        <w:rPr>
          <w:szCs w:val="22"/>
        </w:rPr>
        <w:t xml:space="preserve"> </w:t>
      </w:r>
      <w:r w:rsidRPr="00A1372C">
        <w:rPr>
          <w:szCs w:val="22"/>
        </w:rPr>
        <w:t>at 19.</w:t>
      </w:r>
    </w:p>
    <w:p w:rsidR="00754FA3" w:rsidRPr="00A1372C" w:rsidRDefault="00754FA3" w:rsidP="00742A31">
      <w:pPr>
        <w:pStyle w:val="FootnoteText"/>
        <w:rPr>
          <w:szCs w:val="22"/>
        </w:rPr>
      </w:pPr>
    </w:p>
  </w:footnote>
  <w:footnote w:id="565">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w:t>
      </w:r>
      <w:r w:rsidRPr="001D6AE8">
        <w:rPr>
          <w:i/>
          <w:szCs w:val="22"/>
        </w:rPr>
        <w:t>Id.</w:t>
      </w:r>
      <w:r w:rsidRPr="00A1372C">
        <w:rPr>
          <w:szCs w:val="22"/>
        </w:rPr>
        <w:t xml:space="preserve"> at 19.</w:t>
      </w:r>
    </w:p>
    <w:p w:rsidR="00754FA3" w:rsidRPr="00A1372C" w:rsidRDefault="00754FA3" w:rsidP="00742A31">
      <w:pPr>
        <w:pStyle w:val="FootnoteText"/>
        <w:rPr>
          <w:szCs w:val="22"/>
        </w:rPr>
      </w:pPr>
    </w:p>
  </w:footnote>
  <w:footnote w:id="566">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Eberdt, Exh. No. CME-5T at 4. </w:t>
      </w:r>
    </w:p>
    <w:p w:rsidR="00754FA3" w:rsidRPr="00A1372C" w:rsidRDefault="00754FA3" w:rsidP="00742A31">
      <w:pPr>
        <w:pStyle w:val="FootnoteText"/>
        <w:rPr>
          <w:szCs w:val="22"/>
        </w:rPr>
      </w:pPr>
    </w:p>
  </w:footnote>
  <w:footnote w:id="567">
    <w:p w:rsidR="00754FA3" w:rsidRPr="00A1372C" w:rsidRDefault="00754FA3" w:rsidP="00742A31">
      <w:pPr>
        <w:pStyle w:val="FootnoteText"/>
        <w:rPr>
          <w:szCs w:val="22"/>
        </w:rPr>
      </w:pPr>
      <w:r w:rsidRPr="00A1372C">
        <w:rPr>
          <w:rStyle w:val="FootnoteReference"/>
          <w:szCs w:val="22"/>
        </w:rPr>
        <w:footnoteRef/>
      </w:r>
      <w:r w:rsidRPr="00A1372C">
        <w:rPr>
          <w:szCs w:val="22"/>
        </w:rPr>
        <w:t xml:space="preserve"> </w:t>
      </w:r>
      <w:r w:rsidRPr="001D6AE8">
        <w:rPr>
          <w:i/>
          <w:szCs w:val="22"/>
        </w:rPr>
        <w:t>Id.</w:t>
      </w:r>
      <w:r>
        <w:rPr>
          <w:szCs w:val="22"/>
        </w:rPr>
        <w:t xml:space="preserve"> </w:t>
      </w:r>
      <w:r w:rsidRPr="00A1372C">
        <w:rPr>
          <w:szCs w:val="22"/>
        </w:rPr>
        <w:t>at 7 – 9.</w:t>
      </w:r>
    </w:p>
    <w:p w:rsidR="00754FA3" w:rsidRPr="00A1372C" w:rsidRDefault="00754FA3" w:rsidP="00742A31">
      <w:pPr>
        <w:pStyle w:val="FootnoteText"/>
        <w:rPr>
          <w:szCs w:val="22"/>
        </w:rPr>
      </w:pPr>
    </w:p>
  </w:footnote>
  <w:footnote w:id="568">
    <w:p w:rsidR="00754FA3" w:rsidRPr="005640A8" w:rsidRDefault="00754FA3">
      <w:pPr>
        <w:pStyle w:val="FootnoteText"/>
      </w:pPr>
      <w:r>
        <w:rPr>
          <w:rStyle w:val="FootnoteReference"/>
        </w:rPr>
        <w:footnoteRef/>
      </w:r>
      <w:r>
        <w:t xml:space="preserve"> </w:t>
      </w:r>
      <w:r w:rsidRPr="005640A8">
        <w:rPr>
          <w:i/>
        </w:rPr>
        <w:t>See</w:t>
      </w:r>
      <w:r>
        <w:t xml:space="preserve"> Appendix A.</w:t>
      </w:r>
    </w:p>
  </w:footnote>
  <w:footnote w:id="569">
    <w:p w:rsidR="00754FA3" w:rsidRPr="001807A9" w:rsidRDefault="00754FA3">
      <w:pPr>
        <w:pStyle w:val="FootnoteText"/>
      </w:pPr>
      <w:r w:rsidRPr="001807A9">
        <w:rPr>
          <w:rStyle w:val="FootnoteReference"/>
        </w:rPr>
        <w:footnoteRef/>
      </w:r>
      <w:r w:rsidRPr="001807A9">
        <w:t xml:space="preserve"> Goodman, Leonard Saul, </w:t>
      </w:r>
      <w:r w:rsidRPr="001807A9">
        <w:rPr>
          <w:u w:val="single"/>
        </w:rPr>
        <w:t>The Process of Ratemaking</w:t>
      </w:r>
      <w:r w:rsidRPr="001807A9">
        <w:t>, Vol. 2, pp. 828-838 (Public Utilities Reports, Inc.,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687" w:rsidRPr="003F2878" w:rsidRDefault="00356687" w:rsidP="00DF5368">
    <w:pPr>
      <w:pStyle w:val="Header"/>
      <w:tabs>
        <w:tab w:val="clear" w:pos="8640"/>
        <w:tab w:val="right" w:pos="8460"/>
      </w:tabs>
      <w:rPr>
        <w:rStyle w:val="PageNumber"/>
        <w:b/>
        <w:sz w:val="20"/>
        <w:szCs w:val="20"/>
      </w:rPr>
    </w:pPr>
    <w:r>
      <w:rPr>
        <w:b/>
        <w:sz w:val="20"/>
        <w:szCs w:val="20"/>
      </w:rPr>
      <w:t>DOCKET</w:t>
    </w:r>
    <w:r w:rsidRPr="003F2878">
      <w:rPr>
        <w:b/>
        <w:sz w:val="20"/>
        <w:szCs w:val="20"/>
      </w:rPr>
      <w:t xml:space="preserve"> </w:t>
    </w:r>
    <w:r>
      <w:rPr>
        <w:b/>
        <w:sz w:val="20"/>
        <w:szCs w:val="20"/>
      </w:rPr>
      <w:t>UE-100749</w:t>
    </w:r>
    <w:r>
      <w:rPr>
        <w:b/>
        <w:sz w:val="20"/>
        <w:szCs w:val="20"/>
      </w:rPr>
      <w:tab/>
    </w:r>
    <w:r>
      <w:rPr>
        <w:b/>
        <w:sz w:val="20"/>
        <w:szCs w:val="20"/>
      </w:rPr>
      <w:tab/>
    </w:r>
    <w:r w:rsidRPr="003F2878">
      <w:rPr>
        <w:b/>
        <w:sz w:val="20"/>
        <w:szCs w:val="20"/>
      </w:rPr>
      <w:t xml:space="preserve">PAGE </w:t>
    </w:r>
    <w:r w:rsidRPr="003F2878">
      <w:rPr>
        <w:rStyle w:val="PageNumber"/>
        <w:b/>
        <w:sz w:val="20"/>
        <w:szCs w:val="20"/>
      </w:rPr>
      <w:fldChar w:fldCharType="begin"/>
    </w:r>
    <w:r w:rsidRPr="003F2878">
      <w:rPr>
        <w:rStyle w:val="PageNumber"/>
        <w:b/>
        <w:sz w:val="20"/>
        <w:szCs w:val="20"/>
      </w:rPr>
      <w:instrText xml:space="preserve"> PAGE </w:instrText>
    </w:r>
    <w:r w:rsidRPr="003F2878">
      <w:rPr>
        <w:rStyle w:val="PageNumber"/>
        <w:b/>
        <w:sz w:val="20"/>
        <w:szCs w:val="20"/>
      </w:rPr>
      <w:fldChar w:fldCharType="separate"/>
    </w:r>
    <w:r w:rsidR="00EF486D">
      <w:rPr>
        <w:rStyle w:val="PageNumber"/>
        <w:b/>
        <w:noProof/>
        <w:sz w:val="20"/>
        <w:szCs w:val="20"/>
      </w:rPr>
      <w:t>4</w:t>
    </w:r>
    <w:r w:rsidRPr="003F2878">
      <w:rPr>
        <w:rStyle w:val="PageNumber"/>
        <w:b/>
        <w:sz w:val="20"/>
        <w:szCs w:val="20"/>
      </w:rPr>
      <w:fldChar w:fldCharType="end"/>
    </w:r>
  </w:p>
  <w:p w:rsidR="00356687" w:rsidRPr="003F2878" w:rsidRDefault="00356687">
    <w:pPr>
      <w:pStyle w:val="Header"/>
      <w:rPr>
        <w:rStyle w:val="PageNumber"/>
        <w:b/>
        <w:bCs/>
        <w:sz w:val="20"/>
        <w:szCs w:val="20"/>
      </w:rPr>
    </w:pPr>
    <w:r>
      <w:rPr>
        <w:rStyle w:val="PageNumber"/>
        <w:b/>
        <w:sz w:val="20"/>
        <w:szCs w:val="20"/>
      </w:rPr>
      <w:t>ORDER</w:t>
    </w:r>
    <w:r w:rsidRPr="003F2878">
      <w:rPr>
        <w:rStyle w:val="PageNumber"/>
        <w:b/>
        <w:sz w:val="20"/>
        <w:szCs w:val="20"/>
      </w:rPr>
      <w:t xml:space="preserve"> </w:t>
    </w:r>
    <w:r>
      <w:rPr>
        <w:rStyle w:val="PageNumber"/>
        <w:b/>
        <w:sz w:val="20"/>
        <w:szCs w:val="20"/>
      </w:rPr>
      <w:t>06</w:t>
    </w:r>
  </w:p>
  <w:p w:rsidR="00356687" w:rsidRPr="00F94149" w:rsidRDefault="00356687">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687" w:rsidRPr="00845D54" w:rsidRDefault="00356687" w:rsidP="00E1124B">
    <w:pPr>
      <w:pStyle w:val="Header"/>
      <w:tabs>
        <w:tab w:val="clear" w:pos="4320"/>
        <w:tab w:val="clear" w:pos="8640"/>
        <w:tab w:val="right" w:pos="8460"/>
      </w:tabs>
      <w:rPr>
        <w:b/>
        <w:sz w:val="20"/>
        <w:szCs w:val="20"/>
      </w:rPr>
    </w:pPr>
    <w:r>
      <w:rPr>
        <w:b/>
        <w:sz w:val="20"/>
        <w:szCs w:val="20"/>
      </w:rPr>
      <w:tab/>
    </w:r>
    <w:r w:rsidR="00E1124B">
      <w:rPr>
        <w:b/>
        <w:sz w:val="20"/>
        <w:szCs w:val="20"/>
      </w:rPr>
      <w:t>[Service Date March 25,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F83CBA"/>
    <w:lvl w:ilvl="0">
      <w:start w:val="1"/>
      <w:numFmt w:val="decimal"/>
      <w:lvlText w:val="%1."/>
      <w:lvlJc w:val="left"/>
      <w:pPr>
        <w:tabs>
          <w:tab w:val="num" w:pos="1800"/>
        </w:tabs>
        <w:ind w:left="1800" w:hanging="360"/>
      </w:pPr>
    </w:lvl>
  </w:abstractNum>
  <w:abstractNum w:abstractNumId="1">
    <w:nsid w:val="FFFFFF7D"/>
    <w:multiLevelType w:val="singleLevel"/>
    <w:tmpl w:val="0420C17E"/>
    <w:lvl w:ilvl="0">
      <w:start w:val="1"/>
      <w:numFmt w:val="decimal"/>
      <w:lvlText w:val="%1."/>
      <w:lvlJc w:val="left"/>
      <w:pPr>
        <w:tabs>
          <w:tab w:val="num" w:pos="1440"/>
        </w:tabs>
        <w:ind w:left="1440" w:hanging="360"/>
      </w:pPr>
    </w:lvl>
  </w:abstractNum>
  <w:abstractNum w:abstractNumId="2">
    <w:nsid w:val="FFFFFF7E"/>
    <w:multiLevelType w:val="singleLevel"/>
    <w:tmpl w:val="53D20F88"/>
    <w:lvl w:ilvl="0">
      <w:start w:val="1"/>
      <w:numFmt w:val="decimal"/>
      <w:lvlText w:val="%1."/>
      <w:lvlJc w:val="left"/>
      <w:pPr>
        <w:tabs>
          <w:tab w:val="num" w:pos="1080"/>
        </w:tabs>
        <w:ind w:left="1080" w:hanging="360"/>
      </w:pPr>
    </w:lvl>
  </w:abstractNum>
  <w:abstractNum w:abstractNumId="3">
    <w:nsid w:val="FFFFFF7F"/>
    <w:multiLevelType w:val="singleLevel"/>
    <w:tmpl w:val="E7A2F80E"/>
    <w:lvl w:ilvl="0">
      <w:start w:val="1"/>
      <w:numFmt w:val="decimal"/>
      <w:lvlText w:val="%1."/>
      <w:lvlJc w:val="left"/>
      <w:pPr>
        <w:tabs>
          <w:tab w:val="num" w:pos="720"/>
        </w:tabs>
        <w:ind w:left="720" w:hanging="360"/>
      </w:pPr>
    </w:lvl>
  </w:abstractNum>
  <w:abstractNum w:abstractNumId="4">
    <w:nsid w:val="FFFFFF80"/>
    <w:multiLevelType w:val="singleLevel"/>
    <w:tmpl w:val="28B02F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902A26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14CB1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86A5B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5CE3E58"/>
    <w:lvl w:ilvl="0">
      <w:start w:val="1"/>
      <w:numFmt w:val="decimal"/>
      <w:lvlText w:val="%1."/>
      <w:lvlJc w:val="left"/>
      <w:pPr>
        <w:tabs>
          <w:tab w:val="num" w:pos="360"/>
        </w:tabs>
        <w:ind w:left="360" w:hanging="360"/>
      </w:pPr>
    </w:lvl>
  </w:abstractNum>
  <w:abstractNum w:abstractNumId="9">
    <w:nsid w:val="FFFFFF89"/>
    <w:multiLevelType w:val="singleLevel"/>
    <w:tmpl w:val="14206A6C"/>
    <w:lvl w:ilvl="0">
      <w:start w:val="1"/>
      <w:numFmt w:val="bullet"/>
      <w:lvlText w:val=""/>
      <w:lvlJc w:val="left"/>
      <w:pPr>
        <w:tabs>
          <w:tab w:val="num" w:pos="360"/>
        </w:tabs>
        <w:ind w:left="360" w:hanging="360"/>
      </w:pPr>
      <w:rPr>
        <w:rFonts w:ascii="Symbol" w:hAnsi="Symbol" w:hint="default"/>
      </w:rPr>
    </w:lvl>
  </w:abstractNum>
  <w:abstractNum w:abstractNumId="10">
    <w:nsid w:val="01775D4B"/>
    <w:multiLevelType w:val="hybridMultilevel"/>
    <w:tmpl w:val="9750592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0A006064"/>
    <w:multiLevelType w:val="hybridMultilevel"/>
    <w:tmpl w:val="9B56B082"/>
    <w:lvl w:ilvl="0" w:tplc="04090001">
      <w:start w:val="1"/>
      <w:numFmt w:val="bullet"/>
      <w:lvlText w:val=""/>
      <w:lvlJc w:val="left"/>
      <w:pPr>
        <w:tabs>
          <w:tab w:val="num" w:pos="720"/>
        </w:tabs>
        <w:ind w:left="720" w:hanging="360"/>
      </w:pPr>
      <w:rPr>
        <w:rFonts w:ascii="Symbol" w:hAnsi="Symbol" w:hint="default"/>
      </w:rPr>
    </w:lvl>
    <w:lvl w:ilvl="1" w:tplc="F3F20CA0">
      <w:numFmt w:val="bullet"/>
      <w:lvlText w:val=""/>
      <w:lvlJc w:val="left"/>
      <w:pPr>
        <w:tabs>
          <w:tab w:val="num" w:pos="1620"/>
        </w:tabs>
        <w:ind w:left="162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F59789B"/>
    <w:multiLevelType w:val="hybridMultilevel"/>
    <w:tmpl w:val="8F94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F77849"/>
    <w:multiLevelType w:val="hybridMultilevel"/>
    <w:tmpl w:val="B0623206"/>
    <w:lvl w:ilvl="0" w:tplc="F990CF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012033"/>
    <w:multiLevelType w:val="hybridMultilevel"/>
    <w:tmpl w:val="825470BE"/>
    <w:lvl w:ilvl="0" w:tplc="6BBCAC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8A0DBB"/>
    <w:multiLevelType w:val="hybridMultilevel"/>
    <w:tmpl w:val="5A2C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2B0A37"/>
    <w:multiLevelType w:val="hybridMultilevel"/>
    <w:tmpl w:val="51047C82"/>
    <w:lvl w:ilvl="0" w:tplc="D14CEC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94A6762"/>
    <w:multiLevelType w:val="hybridMultilevel"/>
    <w:tmpl w:val="C1D6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16694F"/>
    <w:multiLevelType w:val="hybridMultilevel"/>
    <w:tmpl w:val="5D447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457133"/>
    <w:multiLevelType w:val="hybridMultilevel"/>
    <w:tmpl w:val="06A090C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230646AF"/>
    <w:multiLevelType w:val="hybridMultilevel"/>
    <w:tmpl w:val="C0446820"/>
    <w:lvl w:ilvl="0" w:tplc="229AD9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0A84FE4"/>
    <w:multiLevelType w:val="hybridMultilevel"/>
    <w:tmpl w:val="A6468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E90CC8"/>
    <w:multiLevelType w:val="hybridMultilevel"/>
    <w:tmpl w:val="01C68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2027F1B"/>
    <w:multiLevelType w:val="hybridMultilevel"/>
    <w:tmpl w:val="CE7C0334"/>
    <w:lvl w:ilvl="0" w:tplc="E320FC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C92E5F"/>
    <w:multiLevelType w:val="hybridMultilevel"/>
    <w:tmpl w:val="515CC8BA"/>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25">
    <w:nsid w:val="463E74E9"/>
    <w:multiLevelType w:val="hybridMultilevel"/>
    <w:tmpl w:val="899C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8B0E23"/>
    <w:multiLevelType w:val="hybridMultilevel"/>
    <w:tmpl w:val="0270FE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BB77F4A"/>
    <w:multiLevelType w:val="hybridMultilevel"/>
    <w:tmpl w:val="336C3D6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nsid w:val="4FE139B4"/>
    <w:multiLevelType w:val="hybridMultilevel"/>
    <w:tmpl w:val="F0F8F1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DA551D0"/>
    <w:multiLevelType w:val="hybridMultilevel"/>
    <w:tmpl w:val="6E786A7E"/>
    <w:lvl w:ilvl="0" w:tplc="BECC2C2C">
      <w:start w:val="1"/>
      <w:numFmt w:val="decimal"/>
      <w:lvlText w:val="%1"/>
      <w:lvlJc w:val="left"/>
      <w:pPr>
        <w:tabs>
          <w:tab w:val="num" w:pos="720"/>
        </w:tabs>
        <w:ind w:left="720" w:hanging="720"/>
      </w:pPr>
      <w:rPr>
        <w:rFonts w:ascii="Palatino Linotype" w:hAnsi="Palatino Linotype" w:hint="default"/>
        <w:b w:val="0"/>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E2A2CFF"/>
    <w:multiLevelType w:val="hybridMultilevel"/>
    <w:tmpl w:val="EC8C7A36"/>
    <w:lvl w:ilvl="0" w:tplc="59D81B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5EC5A08"/>
    <w:multiLevelType w:val="hybridMultilevel"/>
    <w:tmpl w:val="A02EB3C2"/>
    <w:lvl w:ilvl="0" w:tplc="6C82132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6F644B2"/>
    <w:multiLevelType w:val="hybridMultilevel"/>
    <w:tmpl w:val="9F72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053F9E"/>
    <w:multiLevelType w:val="hybridMultilevel"/>
    <w:tmpl w:val="BFBE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850F75"/>
    <w:multiLevelType w:val="hybridMultilevel"/>
    <w:tmpl w:val="C0446820"/>
    <w:lvl w:ilvl="0" w:tplc="229AD9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731653A"/>
    <w:multiLevelType w:val="hybridMultilevel"/>
    <w:tmpl w:val="4E30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001003"/>
    <w:multiLevelType w:val="singleLevel"/>
    <w:tmpl w:val="26D8A346"/>
    <w:lvl w:ilvl="0">
      <w:start w:val="1"/>
      <w:numFmt w:val="decimal"/>
      <w:pStyle w:val="ParNumber"/>
      <w:lvlText w:val="%1."/>
      <w:lvlJc w:val="left"/>
      <w:pPr>
        <w:tabs>
          <w:tab w:val="num" w:pos="360"/>
        </w:tabs>
        <w:ind w:left="360" w:hanging="360"/>
      </w:pPr>
      <w:rPr>
        <w:b w:val="0"/>
        <w:i/>
      </w:rPr>
    </w:lvl>
  </w:abstractNum>
  <w:abstractNum w:abstractNumId="37">
    <w:nsid w:val="7B7C094A"/>
    <w:multiLevelType w:val="hybridMultilevel"/>
    <w:tmpl w:val="BDCE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22"/>
  </w:num>
  <w:num w:numId="4">
    <w:abstractNumId w:val="26"/>
  </w:num>
  <w:num w:numId="5">
    <w:abstractNumId w:val="11"/>
  </w:num>
  <w:num w:numId="6">
    <w:abstractNumId w:val="36"/>
  </w:num>
  <w:num w:numId="7">
    <w:abstractNumId w:val="10"/>
  </w:num>
  <w:num w:numId="8">
    <w:abstractNumId w:val="18"/>
  </w:num>
  <w:num w:numId="9">
    <w:abstractNumId w:val="24"/>
  </w:num>
  <w:num w:numId="10">
    <w:abstractNumId w:val="17"/>
  </w:num>
  <w:num w:numId="11">
    <w:abstractNumId w:val="9"/>
  </w:num>
  <w:num w:numId="12">
    <w:abstractNumId w:val="33"/>
  </w:num>
  <w:num w:numId="13">
    <w:abstractNumId w:val="35"/>
  </w:num>
  <w:num w:numId="14">
    <w:abstractNumId w:val="21"/>
  </w:num>
  <w:num w:numId="15">
    <w:abstractNumId w:val="25"/>
  </w:num>
  <w:num w:numId="16">
    <w:abstractNumId w:val="37"/>
  </w:num>
  <w:num w:numId="17">
    <w:abstractNumId w:val="12"/>
  </w:num>
  <w:num w:numId="18">
    <w:abstractNumId w:val="15"/>
  </w:num>
  <w:num w:numId="19">
    <w:abstractNumId w:val="32"/>
  </w:num>
  <w:num w:numId="20">
    <w:abstractNumId w:val="23"/>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4"/>
  </w:num>
  <w:num w:numId="31">
    <w:abstractNumId w:val="16"/>
  </w:num>
  <w:num w:numId="32">
    <w:abstractNumId w:val="28"/>
  </w:num>
  <w:num w:numId="33">
    <w:abstractNumId w:val="30"/>
  </w:num>
  <w:num w:numId="34">
    <w:abstractNumId w:val="27"/>
  </w:num>
  <w:num w:numId="35">
    <w:abstractNumId w:val="19"/>
  </w:num>
  <w:num w:numId="36">
    <w:abstractNumId w:val="20"/>
  </w:num>
  <w:num w:numId="37">
    <w:abstractNumId w:val="13"/>
  </w:num>
  <w:num w:numId="3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20"/>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32"/>
    <w:rsid w:val="00001D22"/>
    <w:rsid w:val="000024FA"/>
    <w:rsid w:val="00002C4D"/>
    <w:rsid w:val="000047CE"/>
    <w:rsid w:val="000051AC"/>
    <w:rsid w:val="00007ADB"/>
    <w:rsid w:val="00010C5C"/>
    <w:rsid w:val="00015B85"/>
    <w:rsid w:val="0001676E"/>
    <w:rsid w:val="000171A8"/>
    <w:rsid w:val="00020CA7"/>
    <w:rsid w:val="00020CDC"/>
    <w:rsid w:val="00021C24"/>
    <w:rsid w:val="00021D73"/>
    <w:rsid w:val="0002222E"/>
    <w:rsid w:val="00022311"/>
    <w:rsid w:val="00022A22"/>
    <w:rsid w:val="00022FE3"/>
    <w:rsid w:val="0002311B"/>
    <w:rsid w:val="0002437F"/>
    <w:rsid w:val="0002697F"/>
    <w:rsid w:val="00026FFF"/>
    <w:rsid w:val="000270AD"/>
    <w:rsid w:val="000273BF"/>
    <w:rsid w:val="00027588"/>
    <w:rsid w:val="00027E6F"/>
    <w:rsid w:val="00030D04"/>
    <w:rsid w:val="00030DBA"/>
    <w:rsid w:val="000318CE"/>
    <w:rsid w:val="0003192E"/>
    <w:rsid w:val="0003204E"/>
    <w:rsid w:val="00032307"/>
    <w:rsid w:val="00033545"/>
    <w:rsid w:val="00033662"/>
    <w:rsid w:val="00033CDA"/>
    <w:rsid w:val="00035851"/>
    <w:rsid w:val="00036CD2"/>
    <w:rsid w:val="00037C14"/>
    <w:rsid w:val="00037DEA"/>
    <w:rsid w:val="00040828"/>
    <w:rsid w:val="000415DA"/>
    <w:rsid w:val="000419E0"/>
    <w:rsid w:val="00043045"/>
    <w:rsid w:val="0004359F"/>
    <w:rsid w:val="0004471E"/>
    <w:rsid w:val="00045ADF"/>
    <w:rsid w:val="000460EF"/>
    <w:rsid w:val="00050009"/>
    <w:rsid w:val="00052414"/>
    <w:rsid w:val="00053980"/>
    <w:rsid w:val="00053AB9"/>
    <w:rsid w:val="00054C1F"/>
    <w:rsid w:val="00055C4A"/>
    <w:rsid w:val="000606DB"/>
    <w:rsid w:val="0006075F"/>
    <w:rsid w:val="00061A9E"/>
    <w:rsid w:val="0006260A"/>
    <w:rsid w:val="00063764"/>
    <w:rsid w:val="000653BE"/>
    <w:rsid w:val="0006644A"/>
    <w:rsid w:val="000672A0"/>
    <w:rsid w:val="0006767F"/>
    <w:rsid w:val="00070352"/>
    <w:rsid w:val="000705D3"/>
    <w:rsid w:val="000709DD"/>
    <w:rsid w:val="00071710"/>
    <w:rsid w:val="000729EC"/>
    <w:rsid w:val="0007477B"/>
    <w:rsid w:val="00074840"/>
    <w:rsid w:val="00075E91"/>
    <w:rsid w:val="00076ACD"/>
    <w:rsid w:val="00077001"/>
    <w:rsid w:val="000776ED"/>
    <w:rsid w:val="000808B3"/>
    <w:rsid w:val="000808F2"/>
    <w:rsid w:val="00084031"/>
    <w:rsid w:val="000843C5"/>
    <w:rsid w:val="00084D8F"/>
    <w:rsid w:val="00084DF6"/>
    <w:rsid w:val="00085450"/>
    <w:rsid w:val="00086640"/>
    <w:rsid w:val="00091DA9"/>
    <w:rsid w:val="000922A5"/>
    <w:rsid w:val="00093EA0"/>
    <w:rsid w:val="00093EB1"/>
    <w:rsid w:val="0009489C"/>
    <w:rsid w:val="00095912"/>
    <w:rsid w:val="000960C0"/>
    <w:rsid w:val="000965BA"/>
    <w:rsid w:val="00096ACB"/>
    <w:rsid w:val="000A0CC5"/>
    <w:rsid w:val="000A3B71"/>
    <w:rsid w:val="000A3C5D"/>
    <w:rsid w:val="000A3C6C"/>
    <w:rsid w:val="000A4701"/>
    <w:rsid w:val="000A4D0C"/>
    <w:rsid w:val="000A5135"/>
    <w:rsid w:val="000A5521"/>
    <w:rsid w:val="000A5B6F"/>
    <w:rsid w:val="000B0377"/>
    <w:rsid w:val="000B0B9C"/>
    <w:rsid w:val="000B15CF"/>
    <w:rsid w:val="000B1CE0"/>
    <w:rsid w:val="000B43E5"/>
    <w:rsid w:val="000B4BF8"/>
    <w:rsid w:val="000B63AD"/>
    <w:rsid w:val="000C0065"/>
    <w:rsid w:val="000C0B3A"/>
    <w:rsid w:val="000C11E1"/>
    <w:rsid w:val="000C3B67"/>
    <w:rsid w:val="000C4A79"/>
    <w:rsid w:val="000C4BB0"/>
    <w:rsid w:val="000C4EFD"/>
    <w:rsid w:val="000C732C"/>
    <w:rsid w:val="000D1161"/>
    <w:rsid w:val="000D28AC"/>
    <w:rsid w:val="000D3DD0"/>
    <w:rsid w:val="000D48A8"/>
    <w:rsid w:val="000D572A"/>
    <w:rsid w:val="000D6186"/>
    <w:rsid w:val="000D7A32"/>
    <w:rsid w:val="000D7E31"/>
    <w:rsid w:val="000E090F"/>
    <w:rsid w:val="000E101D"/>
    <w:rsid w:val="000E10F8"/>
    <w:rsid w:val="000E1DF9"/>
    <w:rsid w:val="000E50EC"/>
    <w:rsid w:val="000E5877"/>
    <w:rsid w:val="000E6B2C"/>
    <w:rsid w:val="000E7749"/>
    <w:rsid w:val="000E7AEB"/>
    <w:rsid w:val="000F0923"/>
    <w:rsid w:val="000F12D3"/>
    <w:rsid w:val="000F18D0"/>
    <w:rsid w:val="000F2C90"/>
    <w:rsid w:val="000F2D6A"/>
    <w:rsid w:val="000F5557"/>
    <w:rsid w:val="000F7071"/>
    <w:rsid w:val="00101D68"/>
    <w:rsid w:val="00102339"/>
    <w:rsid w:val="00102DDC"/>
    <w:rsid w:val="00102E33"/>
    <w:rsid w:val="00103C1E"/>
    <w:rsid w:val="00105A13"/>
    <w:rsid w:val="0011169A"/>
    <w:rsid w:val="00112DBE"/>
    <w:rsid w:val="001130F4"/>
    <w:rsid w:val="00113836"/>
    <w:rsid w:val="00113B21"/>
    <w:rsid w:val="00114E85"/>
    <w:rsid w:val="00116600"/>
    <w:rsid w:val="0011728E"/>
    <w:rsid w:val="001227E0"/>
    <w:rsid w:val="00122E52"/>
    <w:rsid w:val="00123212"/>
    <w:rsid w:val="00126B4D"/>
    <w:rsid w:val="001303D3"/>
    <w:rsid w:val="00133CE6"/>
    <w:rsid w:val="00133DF6"/>
    <w:rsid w:val="00134B72"/>
    <w:rsid w:val="0013583E"/>
    <w:rsid w:val="0013762A"/>
    <w:rsid w:val="001377FC"/>
    <w:rsid w:val="00137A69"/>
    <w:rsid w:val="00140814"/>
    <w:rsid w:val="001441FB"/>
    <w:rsid w:val="001442AD"/>
    <w:rsid w:val="00146B27"/>
    <w:rsid w:val="00152A87"/>
    <w:rsid w:val="00152F9C"/>
    <w:rsid w:val="0015651E"/>
    <w:rsid w:val="001608FB"/>
    <w:rsid w:val="00160B41"/>
    <w:rsid w:val="0016233D"/>
    <w:rsid w:val="00162876"/>
    <w:rsid w:val="00163369"/>
    <w:rsid w:val="00164A35"/>
    <w:rsid w:val="00166FD3"/>
    <w:rsid w:val="0016717A"/>
    <w:rsid w:val="001713E9"/>
    <w:rsid w:val="00171900"/>
    <w:rsid w:val="0017530A"/>
    <w:rsid w:val="00175357"/>
    <w:rsid w:val="00176582"/>
    <w:rsid w:val="00180081"/>
    <w:rsid w:val="00180AD2"/>
    <w:rsid w:val="001812DB"/>
    <w:rsid w:val="0018346B"/>
    <w:rsid w:val="00183984"/>
    <w:rsid w:val="00183AD4"/>
    <w:rsid w:val="00186351"/>
    <w:rsid w:val="00187EF9"/>
    <w:rsid w:val="00190696"/>
    <w:rsid w:val="0019105D"/>
    <w:rsid w:val="001910A3"/>
    <w:rsid w:val="00191B2C"/>
    <w:rsid w:val="00191F2E"/>
    <w:rsid w:val="001923D0"/>
    <w:rsid w:val="0019261B"/>
    <w:rsid w:val="001935BB"/>
    <w:rsid w:val="00193DD4"/>
    <w:rsid w:val="00195892"/>
    <w:rsid w:val="00195DD0"/>
    <w:rsid w:val="001A0A3A"/>
    <w:rsid w:val="001A20C0"/>
    <w:rsid w:val="001A262B"/>
    <w:rsid w:val="001A2DC5"/>
    <w:rsid w:val="001A2E1D"/>
    <w:rsid w:val="001A2FFC"/>
    <w:rsid w:val="001A60D2"/>
    <w:rsid w:val="001A6992"/>
    <w:rsid w:val="001B0EF4"/>
    <w:rsid w:val="001B2040"/>
    <w:rsid w:val="001B411C"/>
    <w:rsid w:val="001B4814"/>
    <w:rsid w:val="001B4B79"/>
    <w:rsid w:val="001B5A02"/>
    <w:rsid w:val="001B69B3"/>
    <w:rsid w:val="001B6CE7"/>
    <w:rsid w:val="001B74E0"/>
    <w:rsid w:val="001C0545"/>
    <w:rsid w:val="001C2323"/>
    <w:rsid w:val="001C2F2D"/>
    <w:rsid w:val="001C4A1D"/>
    <w:rsid w:val="001C4EFA"/>
    <w:rsid w:val="001C777D"/>
    <w:rsid w:val="001C782F"/>
    <w:rsid w:val="001D05B9"/>
    <w:rsid w:val="001D0D08"/>
    <w:rsid w:val="001D1655"/>
    <w:rsid w:val="001D19E5"/>
    <w:rsid w:val="001D1DEC"/>
    <w:rsid w:val="001D204E"/>
    <w:rsid w:val="001D3A17"/>
    <w:rsid w:val="001D6AE8"/>
    <w:rsid w:val="001D7CF6"/>
    <w:rsid w:val="001E0B05"/>
    <w:rsid w:val="001E2F09"/>
    <w:rsid w:val="001E3774"/>
    <w:rsid w:val="001E3FDB"/>
    <w:rsid w:val="001E5B5C"/>
    <w:rsid w:val="001E7D21"/>
    <w:rsid w:val="001F02A8"/>
    <w:rsid w:val="001F0365"/>
    <w:rsid w:val="001F0E8B"/>
    <w:rsid w:val="001F1114"/>
    <w:rsid w:val="001F2E7D"/>
    <w:rsid w:val="001F48AA"/>
    <w:rsid w:val="001F7204"/>
    <w:rsid w:val="001F7836"/>
    <w:rsid w:val="002010AF"/>
    <w:rsid w:val="00202CAD"/>
    <w:rsid w:val="002043A1"/>
    <w:rsid w:val="0021483D"/>
    <w:rsid w:val="00215A32"/>
    <w:rsid w:val="00216190"/>
    <w:rsid w:val="002174E6"/>
    <w:rsid w:val="0021768F"/>
    <w:rsid w:val="00223905"/>
    <w:rsid w:val="00223963"/>
    <w:rsid w:val="00224D52"/>
    <w:rsid w:val="00224EA4"/>
    <w:rsid w:val="00227BC6"/>
    <w:rsid w:val="00227DCB"/>
    <w:rsid w:val="00232955"/>
    <w:rsid w:val="002333B4"/>
    <w:rsid w:val="00234E2D"/>
    <w:rsid w:val="00235236"/>
    <w:rsid w:val="00235728"/>
    <w:rsid w:val="0023703F"/>
    <w:rsid w:val="00237680"/>
    <w:rsid w:val="00237764"/>
    <w:rsid w:val="00237A1D"/>
    <w:rsid w:val="00237E68"/>
    <w:rsid w:val="00242071"/>
    <w:rsid w:val="002421E5"/>
    <w:rsid w:val="00243564"/>
    <w:rsid w:val="00243B72"/>
    <w:rsid w:val="0024450C"/>
    <w:rsid w:val="00244553"/>
    <w:rsid w:val="00245010"/>
    <w:rsid w:val="00245329"/>
    <w:rsid w:val="00245B52"/>
    <w:rsid w:val="002507F5"/>
    <w:rsid w:val="00251A74"/>
    <w:rsid w:val="00251B8D"/>
    <w:rsid w:val="002524B9"/>
    <w:rsid w:val="00253228"/>
    <w:rsid w:val="002532DF"/>
    <w:rsid w:val="00253349"/>
    <w:rsid w:val="00253F0F"/>
    <w:rsid w:val="002540E0"/>
    <w:rsid w:val="00254288"/>
    <w:rsid w:val="00257CD8"/>
    <w:rsid w:val="0026076D"/>
    <w:rsid w:val="002609FF"/>
    <w:rsid w:val="00262ACC"/>
    <w:rsid w:val="00263DA3"/>
    <w:rsid w:val="00265A19"/>
    <w:rsid w:val="0026638B"/>
    <w:rsid w:val="00266717"/>
    <w:rsid w:val="00266A95"/>
    <w:rsid w:val="00266C55"/>
    <w:rsid w:val="00267EB0"/>
    <w:rsid w:val="002711B8"/>
    <w:rsid w:val="002717E5"/>
    <w:rsid w:val="002723D0"/>
    <w:rsid w:val="00273B65"/>
    <w:rsid w:val="0027487A"/>
    <w:rsid w:val="00275AC5"/>
    <w:rsid w:val="0027671D"/>
    <w:rsid w:val="002777C7"/>
    <w:rsid w:val="00277D6A"/>
    <w:rsid w:val="0028021F"/>
    <w:rsid w:val="0028077B"/>
    <w:rsid w:val="0028130D"/>
    <w:rsid w:val="00281AA7"/>
    <w:rsid w:val="00282080"/>
    <w:rsid w:val="0028219C"/>
    <w:rsid w:val="00282614"/>
    <w:rsid w:val="00282A81"/>
    <w:rsid w:val="00283C30"/>
    <w:rsid w:val="00284AEA"/>
    <w:rsid w:val="00285423"/>
    <w:rsid w:val="0028623B"/>
    <w:rsid w:val="0029066B"/>
    <w:rsid w:val="0029198F"/>
    <w:rsid w:val="0029352A"/>
    <w:rsid w:val="002A2241"/>
    <w:rsid w:val="002A3098"/>
    <w:rsid w:val="002A468B"/>
    <w:rsid w:val="002A5221"/>
    <w:rsid w:val="002A61CC"/>
    <w:rsid w:val="002A63AC"/>
    <w:rsid w:val="002A66BB"/>
    <w:rsid w:val="002A67D6"/>
    <w:rsid w:val="002A6B75"/>
    <w:rsid w:val="002A79D8"/>
    <w:rsid w:val="002B0D09"/>
    <w:rsid w:val="002B1E75"/>
    <w:rsid w:val="002B3116"/>
    <w:rsid w:val="002B36A7"/>
    <w:rsid w:val="002B4BC7"/>
    <w:rsid w:val="002B4BD4"/>
    <w:rsid w:val="002B4F34"/>
    <w:rsid w:val="002B512B"/>
    <w:rsid w:val="002B548D"/>
    <w:rsid w:val="002B666B"/>
    <w:rsid w:val="002B70FC"/>
    <w:rsid w:val="002C04A9"/>
    <w:rsid w:val="002C17B9"/>
    <w:rsid w:val="002C357B"/>
    <w:rsid w:val="002C5025"/>
    <w:rsid w:val="002C5C6E"/>
    <w:rsid w:val="002C6061"/>
    <w:rsid w:val="002D0F1F"/>
    <w:rsid w:val="002D1F87"/>
    <w:rsid w:val="002D260B"/>
    <w:rsid w:val="002D31FC"/>
    <w:rsid w:val="002D463B"/>
    <w:rsid w:val="002D4B3B"/>
    <w:rsid w:val="002D689A"/>
    <w:rsid w:val="002D6FF0"/>
    <w:rsid w:val="002D7DDF"/>
    <w:rsid w:val="002E206A"/>
    <w:rsid w:val="002E2A14"/>
    <w:rsid w:val="002E6C0C"/>
    <w:rsid w:val="002E7496"/>
    <w:rsid w:val="002E7914"/>
    <w:rsid w:val="002E7A49"/>
    <w:rsid w:val="002E7DD1"/>
    <w:rsid w:val="002F1B71"/>
    <w:rsid w:val="002F4635"/>
    <w:rsid w:val="002F4FFA"/>
    <w:rsid w:val="002F65FA"/>
    <w:rsid w:val="00301558"/>
    <w:rsid w:val="00301BEC"/>
    <w:rsid w:val="0030553E"/>
    <w:rsid w:val="00305AEB"/>
    <w:rsid w:val="00307B99"/>
    <w:rsid w:val="003109CE"/>
    <w:rsid w:val="003112B8"/>
    <w:rsid w:val="00311D29"/>
    <w:rsid w:val="003142F1"/>
    <w:rsid w:val="003151B4"/>
    <w:rsid w:val="00316B76"/>
    <w:rsid w:val="00317C18"/>
    <w:rsid w:val="00317C4B"/>
    <w:rsid w:val="003207E2"/>
    <w:rsid w:val="003209B7"/>
    <w:rsid w:val="00320BF1"/>
    <w:rsid w:val="00320C1B"/>
    <w:rsid w:val="003211D4"/>
    <w:rsid w:val="003219DB"/>
    <w:rsid w:val="00322705"/>
    <w:rsid w:val="00322732"/>
    <w:rsid w:val="0032284E"/>
    <w:rsid w:val="0032694D"/>
    <w:rsid w:val="003320C0"/>
    <w:rsid w:val="0033350F"/>
    <w:rsid w:val="00333A90"/>
    <w:rsid w:val="00334828"/>
    <w:rsid w:val="00334DFF"/>
    <w:rsid w:val="00334E4F"/>
    <w:rsid w:val="00335370"/>
    <w:rsid w:val="00335599"/>
    <w:rsid w:val="00336DC3"/>
    <w:rsid w:val="003370E9"/>
    <w:rsid w:val="00337C14"/>
    <w:rsid w:val="003405A8"/>
    <w:rsid w:val="00340E98"/>
    <w:rsid w:val="00341E22"/>
    <w:rsid w:val="00343378"/>
    <w:rsid w:val="003434F2"/>
    <w:rsid w:val="00343EF4"/>
    <w:rsid w:val="00345592"/>
    <w:rsid w:val="003470D6"/>
    <w:rsid w:val="003474AE"/>
    <w:rsid w:val="003475A1"/>
    <w:rsid w:val="00347DF0"/>
    <w:rsid w:val="003503F0"/>
    <w:rsid w:val="003536EB"/>
    <w:rsid w:val="0035571C"/>
    <w:rsid w:val="00356687"/>
    <w:rsid w:val="0035732E"/>
    <w:rsid w:val="003575B0"/>
    <w:rsid w:val="0036024E"/>
    <w:rsid w:val="00360835"/>
    <w:rsid w:val="00360D44"/>
    <w:rsid w:val="003618F5"/>
    <w:rsid w:val="003627A8"/>
    <w:rsid w:val="0036285F"/>
    <w:rsid w:val="00363C50"/>
    <w:rsid w:val="00365C58"/>
    <w:rsid w:val="003666D5"/>
    <w:rsid w:val="003674B4"/>
    <w:rsid w:val="00367FCD"/>
    <w:rsid w:val="00370428"/>
    <w:rsid w:val="0037095C"/>
    <w:rsid w:val="0037157C"/>
    <w:rsid w:val="00373EF4"/>
    <w:rsid w:val="0037644C"/>
    <w:rsid w:val="003810EA"/>
    <w:rsid w:val="003821F4"/>
    <w:rsid w:val="00382A70"/>
    <w:rsid w:val="00382E89"/>
    <w:rsid w:val="0038320E"/>
    <w:rsid w:val="00384675"/>
    <w:rsid w:val="00386399"/>
    <w:rsid w:val="003869D5"/>
    <w:rsid w:val="003871EF"/>
    <w:rsid w:val="0038765B"/>
    <w:rsid w:val="00392275"/>
    <w:rsid w:val="00392EB9"/>
    <w:rsid w:val="00394375"/>
    <w:rsid w:val="003945C4"/>
    <w:rsid w:val="00394837"/>
    <w:rsid w:val="003955E5"/>
    <w:rsid w:val="00395D52"/>
    <w:rsid w:val="00397B4E"/>
    <w:rsid w:val="003A0581"/>
    <w:rsid w:val="003A344C"/>
    <w:rsid w:val="003A3698"/>
    <w:rsid w:val="003A3C21"/>
    <w:rsid w:val="003A41D1"/>
    <w:rsid w:val="003A481C"/>
    <w:rsid w:val="003A5FF3"/>
    <w:rsid w:val="003B0D7F"/>
    <w:rsid w:val="003B19B0"/>
    <w:rsid w:val="003B1C63"/>
    <w:rsid w:val="003B47D4"/>
    <w:rsid w:val="003C20A2"/>
    <w:rsid w:val="003C21A0"/>
    <w:rsid w:val="003C53CF"/>
    <w:rsid w:val="003C614F"/>
    <w:rsid w:val="003C6557"/>
    <w:rsid w:val="003C797B"/>
    <w:rsid w:val="003D0F95"/>
    <w:rsid w:val="003D0FF2"/>
    <w:rsid w:val="003D1CFD"/>
    <w:rsid w:val="003D27A2"/>
    <w:rsid w:val="003D28FF"/>
    <w:rsid w:val="003D3FF2"/>
    <w:rsid w:val="003D6299"/>
    <w:rsid w:val="003D7BF3"/>
    <w:rsid w:val="003E0042"/>
    <w:rsid w:val="003E01E2"/>
    <w:rsid w:val="003E4CD3"/>
    <w:rsid w:val="003E783E"/>
    <w:rsid w:val="003E7B57"/>
    <w:rsid w:val="003E7ED9"/>
    <w:rsid w:val="003F09D8"/>
    <w:rsid w:val="003F0CB2"/>
    <w:rsid w:val="003F143E"/>
    <w:rsid w:val="003F2878"/>
    <w:rsid w:val="003F2972"/>
    <w:rsid w:val="003F2C81"/>
    <w:rsid w:val="003F3970"/>
    <w:rsid w:val="003F4A5E"/>
    <w:rsid w:val="003F51AE"/>
    <w:rsid w:val="00400EF5"/>
    <w:rsid w:val="004015DE"/>
    <w:rsid w:val="004019D2"/>
    <w:rsid w:val="00402013"/>
    <w:rsid w:val="00403DA6"/>
    <w:rsid w:val="004042E2"/>
    <w:rsid w:val="00404612"/>
    <w:rsid w:val="00404D1A"/>
    <w:rsid w:val="00410281"/>
    <w:rsid w:val="004102C6"/>
    <w:rsid w:val="004114AB"/>
    <w:rsid w:val="00411ADA"/>
    <w:rsid w:val="0041402D"/>
    <w:rsid w:val="00414929"/>
    <w:rsid w:val="00416037"/>
    <w:rsid w:val="0041609B"/>
    <w:rsid w:val="00417D1C"/>
    <w:rsid w:val="00421AEE"/>
    <w:rsid w:val="00421F92"/>
    <w:rsid w:val="004234FA"/>
    <w:rsid w:val="00423F05"/>
    <w:rsid w:val="00424C6B"/>
    <w:rsid w:val="0042527A"/>
    <w:rsid w:val="00425DF3"/>
    <w:rsid w:val="00427759"/>
    <w:rsid w:val="004305BD"/>
    <w:rsid w:val="00431334"/>
    <w:rsid w:val="00431BCE"/>
    <w:rsid w:val="00431D5F"/>
    <w:rsid w:val="00435472"/>
    <w:rsid w:val="00435E25"/>
    <w:rsid w:val="00436833"/>
    <w:rsid w:val="00437268"/>
    <w:rsid w:val="00437FEA"/>
    <w:rsid w:val="004404DF"/>
    <w:rsid w:val="00440812"/>
    <w:rsid w:val="00441C1C"/>
    <w:rsid w:val="00442080"/>
    <w:rsid w:val="00442A6C"/>
    <w:rsid w:val="0044311E"/>
    <w:rsid w:val="00443686"/>
    <w:rsid w:val="00444F29"/>
    <w:rsid w:val="00445222"/>
    <w:rsid w:val="004467EA"/>
    <w:rsid w:val="00446942"/>
    <w:rsid w:val="00446B88"/>
    <w:rsid w:val="00447580"/>
    <w:rsid w:val="0045041A"/>
    <w:rsid w:val="0045117B"/>
    <w:rsid w:val="0045136C"/>
    <w:rsid w:val="00451834"/>
    <w:rsid w:val="00451FC5"/>
    <w:rsid w:val="004532BC"/>
    <w:rsid w:val="00454EBF"/>
    <w:rsid w:val="00455A70"/>
    <w:rsid w:val="00455B84"/>
    <w:rsid w:val="00455E7F"/>
    <w:rsid w:val="004570C1"/>
    <w:rsid w:val="0045717F"/>
    <w:rsid w:val="00462A00"/>
    <w:rsid w:val="004632A6"/>
    <w:rsid w:val="004634EC"/>
    <w:rsid w:val="004644D3"/>
    <w:rsid w:val="00465EFD"/>
    <w:rsid w:val="00470167"/>
    <w:rsid w:val="004703C7"/>
    <w:rsid w:val="004704BD"/>
    <w:rsid w:val="00470D0C"/>
    <w:rsid w:val="004711CA"/>
    <w:rsid w:val="004716BB"/>
    <w:rsid w:val="004718E7"/>
    <w:rsid w:val="004725B0"/>
    <w:rsid w:val="004725B7"/>
    <w:rsid w:val="00474A6C"/>
    <w:rsid w:val="004751FC"/>
    <w:rsid w:val="00475810"/>
    <w:rsid w:val="00475C15"/>
    <w:rsid w:val="0047653A"/>
    <w:rsid w:val="0047705B"/>
    <w:rsid w:val="00477FD3"/>
    <w:rsid w:val="004801D4"/>
    <w:rsid w:val="00480327"/>
    <w:rsid w:val="004809A3"/>
    <w:rsid w:val="00480F16"/>
    <w:rsid w:val="00481777"/>
    <w:rsid w:val="0048261C"/>
    <w:rsid w:val="00483FEF"/>
    <w:rsid w:val="0048464D"/>
    <w:rsid w:val="004846BC"/>
    <w:rsid w:val="00484B0A"/>
    <w:rsid w:val="0048503B"/>
    <w:rsid w:val="00485473"/>
    <w:rsid w:val="00486C38"/>
    <w:rsid w:val="004876D6"/>
    <w:rsid w:val="004900A9"/>
    <w:rsid w:val="0049073C"/>
    <w:rsid w:val="0049147E"/>
    <w:rsid w:val="00492F38"/>
    <w:rsid w:val="00494642"/>
    <w:rsid w:val="00495314"/>
    <w:rsid w:val="00497E17"/>
    <w:rsid w:val="004A05D1"/>
    <w:rsid w:val="004A17CD"/>
    <w:rsid w:val="004A17D4"/>
    <w:rsid w:val="004A2ED5"/>
    <w:rsid w:val="004A5368"/>
    <w:rsid w:val="004A583F"/>
    <w:rsid w:val="004B04E0"/>
    <w:rsid w:val="004B1567"/>
    <w:rsid w:val="004B1ADD"/>
    <w:rsid w:val="004B1BCA"/>
    <w:rsid w:val="004B4812"/>
    <w:rsid w:val="004B52A0"/>
    <w:rsid w:val="004B5937"/>
    <w:rsid w:val="004B5AB4"/>
    <w:rsid w:val="004B5CFE"/>
    <w:rsid w:val="004B67D7"/>
    <w:rsid w:val="004B67DC"/>
    <w:rsid w:val="004C0E45"/>
    <w:rsid w:val="004C1866"/>
    <w:rsid w:val="004C1FC3"/>
    <w:rsid w:val="004C389F"/>
    <w:rsid w:val="004C4661"/>
    <w:rsid w:val="004C4942"/>
    <w:rsid w:val="004D1D2F"/>
    <w:rsid w:val="004D2006"/>
    <w:rsid w:val="004D334C"/>
    <w:rsid w:val="004D3609"/>
    <w:rsid w:val="004D3E84"/>
    <w:rsid w:val="004D3FA7"/>
    <w:rsid w:val="004D439D"/>
    <w:rsid w:val="004D5428"/>
    <w:rsid w:val="004D794A"/>
    <w:rsid w:val="004E2C85"/>
    <w:rsid w:val="004E2F40"/>
    <w:rsid w:val="004E3689"/>
    <w:rsid w:val="004E3D76"/>
    <w:rsid w:val="004E44F7"/>
    <w:rsid w:val="004E4E4A"/>
    <w:rsid w:val="004E57CB"/>
    <w:rsid w:val="004E5F67"/>
    <w:rsid w:val="004E7D10"/>
    <w:rsid w:val="004F0722"/>
    <w:rsid w:val="004F0939"/>
    <w:rsid w:val="004F0F06"/>
    <w:rsid w:val="004F115A"/>
    <w:rsid w:val="004F572B"/>
    <w:rsid w:val="004F5964"/>
    <w:rsid w:val="00501F12"/>
    <w:rsid w:val="00502010"/>
    <w:rsid w:val="005020F5"/>
    <w:rsid w:val="00503C0A"/>
    <w:rsid w:val="0050407C"/>
    <w:rsid w:val="00504F84"/>
    <w:rsid w:val="005102B9"/>
    <w:rsid w:val="00510743"/>
    <w:rsid w:val="005122E2"/>
    <w:rsid w:val="005169DD"/>
    <w:rsid w:val="00522162"/>
    <w:rsid w:val="005224F1"/>
    <w:rsid w:val="0052342D"/>
    <w:rsid w:val="005239E6"/>
    <w:rsid w:val="005243D3"/>
    <w:rsid w:val="005261DF"/>
    <w:rsid w:val="005262C0"/>
    <w:rsid w:val="0052681E"/>
    <w:rsid w:val="0053064B"/>
    <w:rsid w:val="005319D5"/>
    <w:rsid w:val="00532056"/>
    <w:rsid w:val="005320B8"/>
    <w:rsid w:val="00534B57"/>
    <w:rsid w:val="00535DBD"/>
    <w:rsid w:val="00536518"/>
    <w:rsid w:val="0053672C"/>
    <w:rsid w:val="00537880"/>
    <w:rsid w:val="00537974"/>
    <w:rsid w:val="005406D7"/>
    <w:rsid w:val="005411D3"/>
    <w:rsid w:val="005413FC"/>
    <w:rsid w:val="00542187"/>
    <w:rsid w:val="005425CB"/>
    <w:rsid w:val="0054430B"/>
    <w:rsid w:val="0054453B"/>
    <w:rsid w:val="00544CB5"/>
    <w:rsid w:val="0054714D"/>
    <w:rsid w:val="00551578"/>
    <w:rsid w:val="00552DB8"/>
    <w:rsid w:val="005532B2"/>
    <w:rsid w:val="00553A73"/>
    <w:rsid w:val="00555392"/>
    <w:rsid w:val="00556409"/>
    <w:rsid w:val="005576EF"/>
    <w:rsid w:val="00557838"/>
    <w:rsid w:val="00557BC8"/>
    <w:rsid w:val="005617DC"/>
    <w:rsid w:val="00563019"/>
    <w:rsid w:val="00563AFA"/>
    <w:rsid w:val="005640A8"/>
    <w:rsid w:val="00565010"/>
    <w:rsid w:val="0056535F"/>
    <w:rsid w:val="005653FC"/>
    <w:rsid w:val="0056600F"/>
    <w:rsid w:val="00567166"/>
    <w:rsid w:val="00567A0C"/>
    <w:rsid w:val="00572B9C"/>
    <w:rsid w:val="00573861"/>
    <w:rsid w:val="00575FCF"/>
    <w:rsid w:val="0057652A"/>
    <w:rsid w:val="00576AD0"/>
    <w:rsid w:val="00576C09"/>
    <w:rsid w:val="00577768"/>
    <w:rsid w:val="00580B82"/>
    <w:rsid w:val="0058236B"/>
    <w:rsid w:val="00582E35"/>
    <w:rsid w:val="00583046"/>
    <w:rsid w:val="00583C8C"/>
    <w:rsid w:val="00586BD4"/>
    <w:rsid w:val="005925F6"/>
    <w:rsid w:val="00592E5B"/>
    <w:rsid w:val="0059416E"/>
    <w:rsid w:val="00597A85"/>
    <w:rsid w:val="005A0474"/>
    <w:rsid w:val="005A0D18"/>
    <w:rsid w:val="005A15E9"/>
    <w:rsid w:val="005A1619"/>
    <w:rsid w:val="005A2115"/>
    <w:rsid w:val="005A290A"/>
    <w:rsid w:val="005A2BF9"/>
    <w:rsid w:val="005A3738"/>
    <w:rsid w:val="005A3F9A"/>
    <w:rsid w:val="005A44FD"/>
    <w:rsid w:val="005A49CE"/>
    <w:rsid w:val="005A4AF1"/>
    <w:rsid w:val="005A4C24"/>
    <w:rsid w:val="005A5855"/>
    <w:rsid w:val="005A7752"/>
    <w:rsid w:val="005B0783"/>
    <w:rsid w:val="005B0968"/>
    <w:rsid w:val="005B0C97"/>
    <w:rsid w:val="005B0F51"/>
    <w:rsid w:val="005B1944"/>
    <w:rsid w:val="005B437E"/>
    <w:rsid w:val="005B641D"/>
    <w:rsid w:val="005B74E6"/>
    <w:rsid w:val="005B79C2"/>
    <w:rsid w:val="005B7D2B"/>
    <w:rsid w:val="005C0274"/>
    <w:rsid w:val="005C0B7C"/>
    <w:rsid w:val="005C1971"/>
    <w:rsid w:val="005C355D"/>
    <w:rsid w:val="005C46DF"/>
    <w:rsid w:val="005C4C9E"/>
    <w:rsid w:val="005C5E96"/>
    <w:rsid w:val="005C7C6B"/>
    <w:rsid w:val="005D00CC"/>
    <w:rsid w:val="005D3597"/>
    <w:rsid w:val="005D539D"/>
    <w:rsid w:val="005D5920"/>
    <w:rsid w:val="005D5D38"/>
    <w:rsid w:val="005D74DC"/>
    <w:rsid w:val="005D7640"/>
    <w:rsid w:val="005E1993"/>
    <w:rsid w:val="005E20AA"/>
    <w:rsid w:val="005E3DE0"/>
    <w:rsid w:val="005E50ED"/>
    <w:rsid w:val="005E5BF9"/>
    <w:rsid w:val="005E669F"/>
    <w:rsid w:val="005E784A"/>
    <w:rsid w:val="005F057F"/>
    <w:rsid w:val="005F07DE"/>
    <w:rsid w:val="005F2005"/>
    <w:rsid w:val="005F229D"/>
    <w:rsid w:val="005F2542"/>
    <w:rsid w:val="005F2A9F"/>
    <w:rsid w:val="005F49D9"/>
    <w:rsid w:val="005F5E9E"/>
    <w:rsid w:val="005F6FD1"/>
    <w:rsid w:val="005F7503"/>
    <w:rsid w:val="005F7A1C"/>
    <w:rsid w:val="006010C0"/>
    <w:rsid w:val="00601686"/>
    <w:rsid w:val="006021D8"/>
    <w:rsid w:val="00604937"/>
    <w:rsid w:val="00605914"/>
    <w:rsid w:val="00605BC3"/>
    <w:rsid w:val="0060676F"/>
    <w:rsid w:val="006068E3"/>
    <w:rsid w:val="00606C7B"/>
    <w:rsid w:val="00607A7F"/>
    <w:rsid w:val="00607CD6"/>
    <w:rsid w:val="00616136"/>
    <w:rsid w:val="006175CE"/>
    <w:rsid w:val="0061768F"/>
    <w:rsid w:val="00620432"/>
    <w:rsid w:val="0062150A"/>
    <w:rsid w:val="0062256F"/>
    <w:rsid w:val="00622FEA"/>
    <w:rsid w:val="00623524"/>
    <w:rsid w:val="00624167"/>
    <w:rsid w:val="006242D4"/>
    <w:rsid w:val="0062493A"/>
    <w:rsid w:val="00625CF7"/>
    <w:rsid w:val="006275B2"/>
    <w:rsid w:val="00627FC1"/>
    <w:rsid w:val="00630A02"/>
    <w:rsid w:val="00633306"/>
    <w:rsid w:val="00635132"/>
    <w:rsid w:val="00635E90"/>
    <w:rsid w:val="0064070A"/>
    <w:rsid w:val="00640836"/>
    <w:rsid w:val="0064193A"/>
    <w:rsid w:val="0064302F"/>
    <w:rsid w:val="00643835"/>
    <w:rsid w:val="00643B5B"/>
    <w:rsid w:val="00643DC5"/>
    <w:rsid w:val="0064412B"/>
    <w:rsid w:val="00645A19"/>
    <w:rsid w:val="00646B5D"/>
    <w:rsid w:val="00646B9C"/>
    <w:rsid w:val="0064733A"/>
    <w:rsid w:val="006476F1"/>
    <w:rsid w:val="006507B7"/>
    <w:rsid w:val="006517E3"/>
    <w:rsid w:val="00652171"/>
    <w:rsid w:val="00652600"/>
    <w:rsid w:val="00652735"/>
    <w:rsid w:val="006528DB"/>
    <w:rsid w:val="0065345A"/>
    <w:rsid w:val="00653AB7"/>
    <w:rsid w:val="00656FDA"/>
    <w:rsid w:val="006577E8"/>
    <w:rsid w:val="00661084"/>
    <w:rsid w:val="00661789"/>
    <w:rsid w:val="00662747"/>
    <w:rsid w:val="006637EC"/>
    <w:rsid w:val="00664F4D"/>
    <w:rsid w:val="00664F6B"/>
    <w:rsid w:val="006668F5"/>
    <w:rsid w:val="00666B4C"/>
    <w:rsid w:val="00666C83"/>
    <w:rsid w:val="00667898"/>
    <w:rsid w:val="00667BFD"/>
    <w:rsid w:val="00670368"/>
    <w:rsid w:val="00670A7E"/>
    <w:rsid w:val="00672083"/>
    <w:rsid w:val="006723A4"/>
    <w:rsid w:val="00673710"/>
    <w:rsid w:val="0067439E"/>
    <w:rsid w:val="00674737"/>
    <w:rsid w:val="00677D66"/>
    <w:rsid w:val="00681846"/>
    <w:rsid w:val="00684C02"/>
    <w:rsid w:val="00684E38"/>
    <w:rsid w:val="006858A1"/>
    <w:rsid w:val="00687272"/>
    <w:rsid w:val="00687858"/>
    <w:rsid w:val="006906A4"/>
    <w:rsid w:val="00691F37"/>
    <w:rsid w:val="00692654"/>
    <w:rsid w:val="00692C1A"/>
    <w:rsid w:val="0069447E"/>
    <w:rsid w:val="00695EE3"/>
    <w:rsid w:val="00696A4A"/>
    <w:rsid w:val="00696D66"/>
    <w:rsid w:val="006A15BA"/>
    <w:rsid w:val="006A299A"/>
    <w:rsid w:val="006A312D"/>
    <w:rsid w:val="006A46F2"/>
    <w:rsid w:val="006A4BE6"/>
    <w:rsid w:val="006A5021"/>
    <w:rsid w:val="006A5E09"/>
    <w:rsid w:val="006A6227"/>
    <w:rsid w:val="006A6C81"/>
    <w:rsid w:val="006A7777"/>
    <w:rsid w:val="006B1D1F"/>
    <w:rsid w:val="006B1E72"/>
    <w:rsid w:val="006B1ED7"/>
    <w:rsid w:val="006B3457"/>
    <w:rsid w:val="006B3FE5"/>
    <w:rsid w:val="006B4684"/>
    <w:rsid w:val="006B6E6C"/>
    <w:rsid w:val="006B7F1D"/>
    <w:rsid w:val="006C06F3"/>
    <w:rsid w:val="006C0BD4"/>
    <w:rsid w:val="006C0E0E"/>
    <w:rsid w:val="006C190E"/>
    <w:rsid w:val="006C1CDE"/>
    <w:rsid w:val="006C34B5"/>
    <w:rsid w:val="006C4C97"/>
    <w:rsid w:val="006C60AB"/>
    <w:rsid w:val="006C6D81"/>
    <w:rsid w:val="006C6E74"/>
    <w:rsid w:val="006C7B19"/>
    <w:rsid w:val="006D0F92"/>
    <w:rsid w:val="006D289A"/>
    <w:rsid w:val="006D2D67"/>
    <w:rsid w:val="006D37E4"/>
    <w:rsid w:val="006D3FB1"/>
    <w:rsid w:val="006D50C3"/>
    <w:rsid w:val="006D528D"/>
    <w:rsid w:val="006D52C8"/>
    <w:rsid w:val="006D5401"/>
    <w:rsid w:val="006D57D2"/>
    <w:rsid w:val="006D592D"/>
    <w:rsid w:val="006D7C60"/>
    <w:rsid w:val="006E04A5"/>
    <w:rsid w:val="006E0EDA"/>
    <w:rsid w:val="006E0FC4"/>
    <w:rsid w:val="006E1A20"/>
    <w:rsid w:val="006E236D"/>
    <w:rsid w:val="006E328D"/>
    <w:rsid w:val="006E3311"/>
    <w:rsid w:val="006E79D1"/>
    <w:rsid w:val="006F1B90"/>
    <w:rsid w:val="006F206A"/>
    <w:rsid w:val="006F42B3"/>
    <w:rsid w:val="006F5C05"/>
    <w:rsid w:val="006F641E"/>
    <w:rsid w:val="00702121"/>
    <w:rsid w:val="0070220B"/>
    <w:rsid w:val="00703E47"/>
    <w:rsid w:val="007045B9"/>
    <w:rsid w:val="00704668"/>
    <w:rsid w:val="0070496A"/>
    <w:rsid w:val="00704DF2"/>
    <w:rsid w:val="00706A31"/>
    <w:rsid w:val="00706BF2"/>
    <w:rsid w:val="00706EB2"/>
    <w:rsid w:val="007070E2"/>
    <w:rsid w:val="00711B4E"/>
    <w:rsid w:val="00712347"/>
    <w:rsid w:val="00712378"/>
    <w:rsid w:val="00714508"/>
    <w:rsid w:val="0071488A"/>
    <w:rsid w:val="00714E28"/>
    <w:rsid w:val="00716018"/>
    <w:rsid w:val="00716917"/>
    <w:rsid w:val="00717032"/>
    <w:rsid w:val="0072066A"/>
    <w:rsid w:val="00720867"/>
    <w:rsid w:val="00721167"/>
    <w:rsid w:val="00723E37"/>
    <w:rsid w:val="00724A02"/>
    <w:rsid w:val="00725588"/>
    <w:rsid w:val="00726AD8"/>
    <w:rsid w:val="00726FC1"/>
    <w:rsid w:val="00727064"/>
    <w:rsid w:val="00727713"/>
    <w:rsid w:val="00727923"/>
    <w:rsid w:val="00730EE7"/>
    <w:rsid w:val="007327D3"/>
    <w:rsid w:val="007329EF"/>
    <w:rsid w:val="00733E6A"/>
    <w:rsid w:val="00734656"/>
    <w:rsid w:val="00734A0D"/>
    <w:rsid w:val="00734F73"/>
    <w:rsid w:val="007354BD"/>
    <w:rsid w:val="00736899"/>
    <w:rsid w:val="0073771C"/>
    <w:rsid w:val="00737CEF"/>
    <w:rsid w:val="00740B95"/>
    <w:rsid w:val="00741D85"/>
    <w:rsid w:val="00741F38"/>
    <w:rsid w:val="007425FA"/>
    <w:rsid w:val="00742758"/>
    <w:rsid w:val="00742A31"/>
    <w:rsid w:val="00743D3C"/>
    <w:rsid w:val="00743F35"/>
    <w:rsid w:val="007444E9"/>
    <w:rsid w:val="007447F4"/>
    <w:rsid w:val="007449FA"/>
    <w:rsid w:val="00745730"/>
    <w:rsid w:val="00746B91"/>
    <w:rsid w:val="007474EF"/>
    <w:rsid w:val="007537FF"/>
    <w:rsid w:val="00754E4D"/>
    <w:rsid w:val="00754FA3"/>
    <w:rsid w:val="00756CC8"/>
    <w:rsid w:val="00762036"/>
    <w:rsid w:val="00763CE7"/>
    <w:rsid w:val="00764EFF"/>
    <w:rsid w:val="00765F3D"/>
    <w:rsid w:val="00766CCD"/>
    <w:rsid w:val="00766DA1"/>
    <w:rsid w:val="007676FF"/>
    <w:rsid w:val="00771254"/>
    <w:rsid w:val="00772258"/>
    <w:rsid w:val="00773C37"/>
    <w:rsid w:val="0077426E"/>
    <w:rsid w:val="00774710"/>
    <w:rsid w:val="007747C9"/>
    <w:rsid w:val="00780547"/>
    <w:rsid w:val="00783293"/>
    <w:rsid w:val="00783DD3"/>
    <w:rsid w:val="007841AF"/>
    <w:rsid w:val="0078423E"/>
    <w:rsid w:val="00785C8E"/>
    <w:rsid w:val="00787D41"/>
    <w:rsid w:val="00790696"/>
    <w:rsid w:val="00791A30"/>
    <w:rsid w:val="00792260"/>
    <w:rsid w:val="007929B3"/>
    <w:rsid w:val="007944F0"/>
    <w:rsid w:val="00794A7F"/>
    <w:rsid w:val="0079500C"/>
    <w:rsid w:val="007A01F6"/>
    <w:rsid w:val="007A087F"/>
    <w:rsid w:val="007A1375"/>
    <w:rsid w:val="007A1EE2"/>
    <w:rsid w:val="007A2459"/>
    <w:rsid w:val="007A2D4E"/>
    <w:rsid w:val="007A32E6"/>
    <w:rsid w:val="007A6191"/>
    <w:rsid w:val="007A6251"/>
    <w:rsid w:val="007A71D2"/>
    <w:rsid w:val="007A7AED"/>
    <w:rsid w:val="007B5248"/>
    <w:rsid w:val="007B6C48"/>
    <w:rsid w:val="007C1ABC"/>
    <w:rsid w:val="007C21B1"/>
    <w:rsid w:val="007C2F2A"/>
    <w:rsid w:val="007C3534"/>
    <w:rsid w:val="007C75D9"/>
    <w:rsid w:val="007D0083"/>
    <w:rsid w:val="007D05E9"/>
    <w:rsid w:val="007D2AA2"/>
    <w:rsid w:val="007D354A"/>
    <w:rsid w:val="007D4124"/>
    <w:rsid w:val="007D5BEA"/>
    <w:rsid w:val="007D7A64"/>
    <w:rsid w:val="007E054F"/>
    <w:rsid w:val="007E05AC"/>
    <w:rsid w:val="007E0A3E"/>
    <w:rsid w:val="007E421F"/>
    <w:rsid w:val="007E4948"/>
    <w:rsid w:val="007E6E37"/>
    <w:rsid w:val="007E7C19"/>
    <w:rsid w:val="007F0DAF"/>
    <w:rsid w:val="007F1AC8"/>
    <w:rsid w:val="007F22D0"/>
    <w:rsid w:val="007F25B3"/>
    <w:rsid w:val="007F302A"/>
    <w:rsid w:val="007F57FA"/>
    <w:rsid w:val="007F713C"/>
    <w:rsid w:val="00801613"/>
    <w:rsid w:val="008028DF"/>
    <w:rsid w:val="008032CF"/>
    <w:rsid w:val="00805D80"/>
    <w:rsid w:val="00806ECE"/>
    <w:rsid w:val="00814ADB"/>
    <w:rsid w:val="008160EE"/>
    <w:rsid w:val="00816167"/>
    <w:rsid w:val="00816D88"/>
    <w:rsid w:val="00817E21"/>
    <w:rsid w:val="00817EA0"/>
    <w:rsid w:val="008205A3"/>
    <w:rsid w:val="00820E9C"/>
    <w:rsid w:val="008212B4"/>
    <w:rsid w:val="008215A1"/>
    <w:rsid w:val="00822EBC"/>
    <w:rsid w:val="00824109"/>
    <w:rsid w:val="008252F2"/>
    <w:rsid w:val="00826B6E"/>
    <w:rsid w:val="00827ABC"/>
    <w:rsid w:val="00827ABE"/>
    <w:rsid w:val="00827F0E"/>
    <w:rsid w:val="008309F0"/>
    <w:rsid w:val="0083257F"/>
    <w:rsid w:val="008369BA"/>
    <w:rsid w:val="00840306"/>
    <w:rsid w:val="008410F9"/>
    <w:rsid w:val="00841BF2"/>
    <w:rsid w:val="00845D54"/>
    <w:rsid w:val="00845DEF"/>
    <w:rsid w:val="00850A5C"/>
    <w:rsid w:val="008525F9"/>
    <w:rsid w:val="00852956"/>
    <w:rsid w:val="00852A66"/>
    <w:rsid w:val="00852CCB"/>
    <w:rsid w:val="00852F2C"/>
    <w:rsid w:val="008532EF"/>
    <w:rsid w:val="008568EA"/>
    <w:rsid w:val="00857E65"/>
    <w:rsid w:val="00860533"/>
    <w:rsid w:val="00861A3A"/>
    <w:rsid w:val="00862ABD"/>
    <w:rsid w:val="00863C9E"/>
    <w:rsid w:val="00863ED7"/>
    <w:rsid w:val="00865DD4"/>
    <w:rsid w:val="00866707"/>
    <w:rsid w:val="0086728B"/>
    <w:rsid w:val="00867B25"/>
    <w:rsid w:val="00870A12"/>
    <w:rsid w:val="00870A2B"/>
    <w:rsid w:val="008735BF"/>
    <w:rsid w:val="008751D0"/>
    <w:rsid w:val="008754E2"/>
    <w:rsid w:val="00875868"/>
    <w:rsid w:val="00876C97"/>
    <w:rsid w:val="00876CB0"/>
    <w:rsid w:val="00877533"/>
    <w:rsid w:val="00877EDC"/>
    <w:rsid w:val="008800DF"/>
    <w:rsid w:val="00881D03"/>
    <w:rsid w:val="00881D0C"/>
    <w:rsid w:val="00882769"/>
    <w:rsid w:val="00883D91"/>
    <w:rsid w:val="00884FC8"/>
    <w:rsid w:val="00885EF4"/>
    <w:rsid w:val="00885F06"/>
    <w:rsid w:val="00886AA9"/>
    <w:rsid w:val="00887F48"/>
    <w:rsid w:val="00890E5C"/>
    <w:rsid w:val="00892BA4"/>
    <w:rsid w:val="00892E94"/>
    <w:rsid w:val="00894F08"/>
    <w:rsid w:val="00896A98"/>
    <w:rsid w:val="00896E4A"/>
    <w:rsid w:val="00897BE8"/>
    <w:rsid w:val="008A0BE7"/>
    <w:rsid w:val="008A0E98"/>
    <w:rsid w:val="008A1085"/>
    <w:rsid w:val="008A32B4"/>
    <w:rsid w:val="008A3781"/>
    <w:rsid w:val="008A441B"/>
    <w:rsid w:val="008A5D0C"/>
    <w:rsid w:val="008A6CE2"/>
    <w:rsid w:val="008A7279"/>
    <w:rsid w:val="008A7392"/>
    <w:rsid w:val="008B4290"/>
    <w:rsid w:val="008B5390"/>
    <w:rsid w:val="008B68B6"/>
    <w:rsid w:val="008B6A3D"/>
    <w:rsid w:val="008B76BE"/>
    <w:rsid w:val="008B7B42"/>
    <w:rsid w:val="008C00C9"/>
    <w:rsid w:val="008C19C8"/>
    <w:rsid w:val="008C1BE5"/>
    <w:rsid w:val="008C1E25"/>
    <w:rsid w:val="008C35B9"/>
    <w:rsid w:val="008C57F4"/>
    <w:rsid w:val="008D05E1"/>
    <w:rsid w:val="008D0A1B"/>
    <w:rsid w:val="008D746F"/>
    <w:rsid w:val="008D7C61"/>
    <w:rsid w:val="008E1000"/>
    <w:rsid w:val="008E2DCB"/>
    <w:rsid w:val="008E372C"/>
    <w:rsid w:val="008E44D0"/>
    <w:rsid w:val="008E4EEB"/>
    <w:rsid w:val="008E4F5A"/>
    <w:rsid w:val="008E5E7D"/>
    <w:rsid w:val="008E6B28"/>
    <w:rsid w:val="008E6BD0"/>
    <w:rsid w:val="008E7274"/>
    <w:rsid w:val="008E74B6"/>
    <w:rsid w:val="008E7680"/>
    <w:rsid w:val="008E7CA5"/>
    <w:rsid w:val="008F05C8"/>
    <w:rsid w:val="008F1434"/>
    <w:rsid w:val="008F3584"/>
    <w:rsid w:val="008F6452"/>
    <w:rsid w:val="00900849"/>
    <w:rsid w:val="0090112A"/>
    <w:rsid w:val="00902224"/>
    <w:rsid w:val="00903AF9"/>
    <w:rsid w:val="009048E8"/>
    <w:rsid w:val="009067EF"/>
    <w:rsid w:val="00906AE1"/>
    <w:rsid w:val="009106E3"/>
    <w:rsid w:val="009113C7"/>
    <w:rsid w:val="00911B7F"/>
    <w:rsid w:val="009133C0"/>
    <w:rsid w:val="00913727"/>
    <w:rsid w:val="00915B26"/>
    <w:rsid w:val="00916C16"/>
    <w:rsid w:val="009208E5"/>
    <w:rsid w:val="00920EF4"/>
    <w:rsid w:val="00920FC8"/>
    <w:rsid w:val="00924D18"/>
    <w:rsid w:val="00925D5C"/>
    <w:rsid w:val="00926732"/>
    <w:rsid w:val="00926E57"/>
    <w:rsid w:val="00927DD4"/>
    <w:rsid w:val="009301B4"/>
    <w:rsid w:val="009311C2"/>
    <w:rsid w:val="00934A46"/>
    <w:rsid w:val="0093761A"/>
    <w:rsid w:val="00940B49"/>
    <w:rsid w:val="00940DE9"/>
    <w:rsid w:val="0094136E"/>
    <w:rsid w:val="009422A5"/>
    <w:rsid w:val="00942507"/>
    <w:rsid w:val="00944120"/>
    <w:rsid w:val="00944670"/>
    <w:rsid w:val="00945012"/>
    <w:rsid w:val="009454D5"/>
    <w:rsid w:val="00945C6F"/>
    <w:rsid w:val="009462DC"/>
    <w:rsid w:val="00947595"/>
    <w:rsid w:val="00950667"/>
    <w:rsid w:val="0095090C"/>
    <w:rsid w:val="00954CDA"/>
    <w:rsid w:val="009552A6"/>
    <w:rsid w:val="00955BBC"/>
    <w:rsid w:val="00956E1D"/>
    <w:rsid w:val="009571EC"/>
    <w:rsid w:val="00960B6F"/>
    <w:rsid w:val="00961790"/>
    <w:rsid w:val="00963100"/>
    <w:rsid w:val="00964B96"/>
    <w:rsid w:val="00965EAA"/>
    <w:rsid w:val="00966516"/>
    <w:rsid w:val="00966690"/>
    <w:rsid w:val="0096768E"/>
    <w:rsid w:val="00967C58"/>
    <w:rsid w:val="0097014B"/>
    <w:rsid w:val="009706CF"/>
    <w:rsid w:val="00970BAF"/>
    <w:rsid w:val="00971EFF"/>
    <w:rsid w:val="0097233E"/>
    <w:rsid w:val="0097251A"/>
    <w:rsid w:val="00972A54"/>
    <w:rsid w:val="009739FF"/>
    <w:rsid w:val="00973B0D"/>
    <w:rsid w:val="00973F65"/>
    <w:rsid w:val="009800D1"/>
    <w:rsid w:val="00981084"/>
    <w:rsid w:val="00981AC2"/>
    <w:rsid w:val="00982BC5"/>
    <w:rsid w:val="00982D8D"/>
    <w:rsid w:val="00983A29"/>
    <w:rsid w:val="00985A6C"/>
    <w:rsid w:val="00986298"/>
    <w:rsid w:val="00986C0D"/>
    <w:rsid w:val="00987E61"/>
    <w:rsid w:val="00990877"/>
    <w:rsid w:val="009913CB"/>
    <w:rsid w:val="009921F4"/>
    <w:rsid w:val="00993FD0"/>
    <w:rsid w:val="009940F0"/>
    <w:rsid w:val="00995B37"/>
    <w:rsid w:val="00996957"/>
    <w:rsid w:val="009A0B14"/>
    <w:rsid w:val="009A13D3"/>
    <w:rsid w:val="009A2A9C"/>
    <w:rsid w:val="009A36CF"/>
    <w:rsid w:val="009A3C3A"/>
    <w:rsid w:val="009A498D"/>
    <w:rsid w:val="009A5E6F"/>
    <w:rsid w:val="009A633B"/>
    <w:rsid w:val="009A65B8"/>
    <w:rsid w:val="009B01B6"/>
    <w:rsid w:val="009B22B7"/>
    <w:rsid w:val="009B485A"/>
    <w:rsid w:val="009B48D3"/>
    <w:rsid w:val="009B4F62"/>
    <w:rsid w:val="009B64B4"/>
    <w:rsid w:val="009B655D"/>
    <w:rsid w:val="009B6BEA"/>
    <w:rsid w:val="009C1543"/>
    <w:rsid w:val="009C1CA2"/>
    <w:rsid w:val="009C31C5"/>
    <w:rsid w:val="009C39DF"/>
    <w:rsid w:val="009C4F90"/>
    <w:rsid w:val="009C6293"/>
    <w:rsid w:val="009C7C4F"/>
    <w:rsid w:val="009D0A5E"/>
    <w:rsid w:val="009D119D"/>
    <w:rsid w:val="009D1334"/>
    <w:rsid w:val="009D18FE"/>
    <w:rsid w:val="009D251E"/>
    <w:rsid w:val="009D2B06"/>
    <w:rsid w:val="009D3B15"/>
    <w:rsid w:val="009D3D37"/>
    <w:rsid w:val="009D41FA"/>
    <w:rsid w:val="009D5495"/>
    <w:rsid w:val="009D55C8"/>
    <w:rsid w:val="009D56E7"/>
    <w:rsid w:val="009D5C27"/>
    <w:rsid w:val="009D6E5E"/>
    <w:rsid w:val="009E0E4F"/>
    <w:rsid w:val="009E1B68"/>
    <w:rsid w:val="009E2255"/>
    <w:rsid w:val="009E240C"/>
    <w:rsid w:val="009E2971"/>
    <w:rsid w:val="009E2B59"/>
    <w:rsid w:val="009E3F34"/>
    <w:rsid w:val="009E4D59"/>
    <w:rsid w:val="009E59FC"/>
    <w:rsid w:val="009F3137"/>
    <w:rsid w:val="009F350B"/>
    <w:rsid w:val="009F483D"/>
    <w:rsid w:val="009F4E11"/>
    <w:rsid w:val="009F4FAC"/>
    <w:rsid w:val="009F57CA"/>
    <w:rsid w:val="00A0023E"/>
    <w:rsid w:val="00A010D1"/>
    <w:rsid w:val="00A011E5"/>
    <w:rsid w:val="00A02F37"/>
    <w:rsid w:val="00A04580"/>
    <w:rsid w:val="00A072F1"/>
    <w:rsid w:val="00A1095D"/>
    <w:rsid w:val="00A11001"/>
    <w:rsid w:val="00A11545"/>
    <w:rsid w:val="00A12FC6"/>
    <w:rsid w:val="00A13008"/>
    <w:rsid w:val="00A1372C"/>
    <w:rsid w:val="00A1481E"/>
    <w:rsid w:val="00A150F0"/>
    <w:rsid w:val="00A15753"/>
    <w:rsid w:val="00A164E8"/>
    <w:rsid w:val="00A16601"/>
    <w:rsid w:val="00A17BDE"/>
    <w:rsid w:val="00A21E02"/>
    <w:rsid w:val="00A21FDE"/>
    <w:rsid w:val="00A22FE9"/>
    <w:rsid w:val="00A25B5F"/>
    <w:rsid w:val="00A26527"/>
    <w:rsid w:val="00A265FF"/>
    <w:rsid w:val="00A26ACC"/>
    <w:rsid w:val="00A271E5"/>
    <w:rsid w:val="00A27459"/>
    <w:rsid w:val="00A303B0"/>
    <w:rsid w:val="00A340F3"/>
    <w:rsid w:val="00A3414F"/>
    <w:rsid w:val="00A35EBE"/>
    <w:rsid w:val="00A36A03"/>
    <w:rsid w:val="00A373D1"/>
    <w:rsid w:val="00A37761"/>
    <w:rsid w:val="00A40CA9"/>
    <w:rsid w:val="00A4132C"/>
    <w:rsid w:val="00A447F4"/>
    <w:rsid w:val="00A453A4"/>
    <w:rsid w:val="00A46530"/>
    <w:rsid w:val="00A5070F"/>
    <w:rsid w:val="00A509B2"/>
    <w:rsid w:val="00A541B5"/>
    <w:rsid w:val="00A54377"/>
    <w:rsid w:val="00A54A44"/>
    <w:rsid w:val="00A55722"/>
    <w:rsid w:val="00A57745"/>
    <w:rsid w:val="00A60771"/>
    <w:rsid w:val="00A60804"/>
    <w:rsid w:val="00A641E3"/>
    <w:rsid w:val="00A65161"/>
    <w:rsid w:val="00A673F4"/>
    <w:rsid w:val="00A6743A"/>
    <w:rsid w:val="00A700DC"/>
    <w:rsid w:val="00A703CB"/>
    <w:rsid w:val="00A70C87"/>
    <w:rsid w:val="00A71197"/>
    <w:rsid w:val="00A71DDE"/>
    <w:rsid w:val="00A71E0F"/>
    <w:rsid w:val="00A73467"/>
    <w:rsid w:val="00A739EE"/>
    <w:rsid w:val="00A75A72"/>
    <w:rsid w:val="00A7606C"/>
    <w:rsid w:val="00A76A90"/>
    <w:rsid w:val="00A77821"/>
    <w:rsid w:val="00A77F30"/>
    <w:rsid w:val="00A805C6"/>
    <w:rsid w:val="00A8141E"/>
    <w:rsid w:val="00A83C99"/>
    <w:rsid w:val="00A867FE"/>
    <w:rsid w:val="00A875C3"/>
    <w:rsid w:val="00A87DCD"/>
    <w:rsid w:val="00A91900"/>
    <w:rsid w:val="00A91C11"/>
    <w:rsid w:val="00A91C69"/>
    <w:rsid w:val="00A91FEC"/>
    <w:rsid w:val="00A92029"/>
    <w:rsid w:val="00A92BA8"/>
    <w:rsid w:val="00A9318F"/>
    <w:rsid w:val="00A9336B"/>
    <w:rsid w:val="00A936B1"/>
    <w:rsid w:val="00A93CE3"/>
    <w:rsid w:val="00A94954"/>
    <w:rsid w:val="00A95CC3"/>
    <w:rsid w:val="00A961B6"/>
    <w:rsid w:val="00A97060"/>
    <w:rsid w:val="00AA0565"/>
    <w:rsid w:val="00AA083B"/>
    <w:rsid w:val="00AA1E36"/>
    <w:rsid w:val="00AA2A0B"/>
    <w:rsid w:val="00AA2A7B"/>
    <w:rsid w:val="00AA32C3"/>
    <w:rsid w:val="00AA358F"/>
    <w:rsid w:val="00AA3669"/>
    <w:rsid w:val="00AA6684"/>
    <w:rsid w:val="00AA73AA"/>
    <w:rsid w:val="00AA78FD"/>
    <w:rsid w:val="00AB3573"/>
    <w:rsid w:val="00AB638A"/>
    <w:rsid w:val="00AB78C8"/>
    <w:rsid w:val="00AC05F0"/>
    <w:rsid w:val="00AC14FA"/>
    <w:rsid w:val="00AC3401"/>
    <w:rsid w:val="00AC3419"/>
    <w:rsid w:val="00AC4233"/>
    <w:rsid w:val="00AC575B"/>
    <w:rsid w:val="00AC6466"/>
    <w:rsid w:val="00AC6820"/>
    <w:rsid w:val="00AC70BF"/>
    <w:rsid w:val="00AC7888"/>
    <w:rsid w:val="00AD0537"/>
    <w:rsid w:val="00AD0B90"/>
    <w:rsid w:val="00AD0D35"/>
    <w:rsid w:val="00AD2819"/>
    <w:rsid w:val="00AD2BA5"/>
    <w:rsid w:val="00AD45E6"/>
    <w:rsid w:val="00AD528D"/>
    <w:rsid w:val="00AD6764"/>
    <w:rsid w:val="00AD7B11"/>
    <w:rsid w:val="00AE0012"/>
    <w:rsid w:val="00AE1052"/>
    <w:rsid w:val="00AE2639"/>
    <w:rsid w:val="00AE2C31"/>
    <w:rsid w:val="00AE2C79"/>
    <w:rsid w:val="00AE379F"/>
    <w:rsid w:val="00AE38B0"/>
    <w:rsid w:val="00AE38EE"/>
    <w:rsid w:val="00AE50B2"/>
    <w:rsid w:val="00AE53E9"/>
    <w:rsid w:val="00AE5848"/>
    <w:rsid w:val="00AE6089"/>
    <w:rsid w:val="00AF29CC"/>
    <w:rsid w:val="00AF3FB3"/>
    <w:rsid w:val="00AF585C"/>
    <w:rsid w:val="00AF6C8E"/>
    <w:rsid w:val="00AF6ED9"/>
    <w:rsid w:val="00AF74BD"/>
    <w:rsid w:val="00B0104A"/>
    <w:rsid w:val="00B017A0"/>
    <w:rsid w:val="00B0215C"/>
    <w:rsid w:val="00B0411B"/>
    <w:rsid w:val="00B04956"/>
    <w:rsid w:val="00B05AE3"/>
    <w:rsid w:val="00B05CC5"/>
    <w:rsid w:val="00B07EA9"/>
    <w:rsid w:val="00B100DF"/>
    <w:rsid w:val="00B10B41"/>
    <w:rsid w:val="00B113DF"/>
    <w:rsid w:val="00B11759"/>
    <w:rsid w:val="00B117E6"/>
    <w:rsid w:val="00B11985"/>
    <w:rsid w:val="00B120DC"/>
    <w:rsid w:val="00B1230A"/>
    <w:rsid w:val="00B16560"/>
    <w:rsid w:val="00B16B21"/>
    <w:rsid w:val="00B172CD"/>
    <w:rsid w:val="00B20C27"/>
    <w:rsid w:val="00B2304A"/>
    <w:rsid w:val="00B232F0"/>
    <w:rsid w:val="00B237D7"/>
    <w:rsid w:val="00B23995"/>
    <w:rsid w:val="00B252EC"/>
    <w:rsid w:val="00B25DB7"/>
    <w:rsid w:val="00B26B04"/>
    <w:rsid w:val="00B27FA2"/>
    <w:rsid w:val="00B32C47"/>
    <w:rsid w:val="00B33546"/>
    <w:rsid w:val="00B34FB2"/>
    <w:rsid w:val="00B368A8"/>
    <w:rsid w:val="00B368C9"/>
    <w:rsid w:val="00B40BEA"/>
    <w:rsid w:val="00B40F0C"/>
    <w:rsid w:val="00B41127"/>
    <w:rsid w:val="00B42CF6"/>
    <w:rsid w:val="00B450E4"/>
    <w:rsid w:val="00B452B3"/>
    <w:rsid w:val="00B45808"/>
    <w:rsid w:val="00B459E7"/>
    <w:rsid w:val="00B4618E"/>
    <w:rsid w:val="00B468CC"/>
    <w:rsid w:val="00B46AF4"/>
    <w:rsid w:val="00B46CEC"/>
    <w:rsid w:val="00B478AF"/>
    <w:rsid w:val="00B47E14"/>
    <w:rsid w:val="00B501C1"/>
    <w:rsid w:val="00B50319"/>
    <w:rsid w:val="00B50510"/>
    <w:rsid w:val="00B51075"/>
    <w:rsid w:val="00B51DDE"/>
    <w:rsid w:val="00B524E2"/>
    <w:rsid w:val="00B542A6"/>
    <w:rsid w:val="00B54E1D"/>
    <w:rsid w:val="00B54FA0"/>
    <w:rsid w:val="00B5632F"/>
    <w:rsid w:val="00B56B85"/>
    <w:rsid w:val="00B576C3"/>
    <w:rsid w:val="00B612A6"/>
    <w:rsid w:val="00B61E8D"/>
    <w:rsid w:val="00B625E3"/>
    <w:rsid w:val="00B62B07"/>
    <w:rsid w:val="00B63538"/>
    <w:rsid w:val="00B63D48"/>
    <w:rsid w:val="00B65B4E"/>
    <w:rsid w:val="00B665E9"/>
    <w:rsid w:val="00B676B4"/>
    <w:rsid w:val="00B67775"/>
    <w:rsid w:val="00B67822"/>
    <w:rsid w:val="00B70995"/>
    <w:rsid w:val="00B71039"/>
    <w:rsid w:val="00B71C5E"/>
    <w:rsid w:val="00B7234E"/>
    <w:rsid w:val="00B73393"/>
    <w:rsid w:val="00B77CFC"/>
    <w:rsid w:val="00B81B24"/>
    <w:rsid w:val="00B81C47"/>
    <w:rsid w:val="00B83D21"/>
    <w:rsid w:val="00B85BB7"/>
    <w:rsid w:val="00B878D9"/>
    <w:rsid w:val="00B87A63"/>
    <w:rsid w:val="00B915F8"/>
    <w:rsid w:val="00B91B67"/>
    <w:rsid w:val="00B94A37"/>
    <w:rsid w:val="00B94B96"/>
    <w:rsid w:val="00B94E43"/>
    <w:rsid w:val="00B951A0"/>
    <w:rsid w:val="00B9532B"/>
    <w:rsid w:val="00B958A2"/>
    <w:rsid w:val="00B96290"/>
    <w:rsid w:val="00B96327"/>
    <w:rsid w:val="00B97C29"/>
    <w:rsid w:val="00BA102A"/>
    <w:rsid w:val="00BA1886"/>
    <w:rsid w:val="00BA1BE8"/>
    <w:rsid w:val="00BA1D76"/>
    <w:rsid w:val="00BA45EC"/>
    <w:rsid w:val="00BA5906"/>
    <w:rsid w:val="00BA753B"/>
    <w:rsid w:val="00BA7EB5"/>
    <w:rsid w:val="00BB236F"/>
    <w:rsid w:val="00BB2438"/>
    <w:rsid w:val="00BB27B0"/>
    <w:rsid w:val="00BB27C3"/>
    <w:rsid w:val="00BB2E46"/>
    <w:rsid w:val="00BB3848"/>
    <w:rsid w:val="00BB450C"/>
    <w:rsid w:val="00BB4B36"/>
    <w:rsid w:val="00BB5034"/>
    <w:rsid w:val="00BB622D"/>
    <w:rsid w:val="00BB654A"/>
    <w:rsid w:val="00BB6E18"/>
    <w:rsid w:val="00BC0075"/>
    <w:rsid w:val="00BC2BC2"/>
    <w:rsid w:val="00BC2E3A"/>
    <w:rsid w:val="00BC30E6"/>
    <w:rsid w:val="00BC3542"/>
    <w:rsid w:val="00BC3EC6"/>
    <w:rsid w:val="00BC54D7"/>
    <w:rsid w:val="00BC5DDF"/>
    <w:rsid w:val="00BC6850"/>
    <w:rsid w:val="00BC6AFB"/>
    <w:rsid w:val="00BC75F7"/>
    <w:rsid w:val="00BC780E"/>
    <w:rsid w:val="00BC7A11"/>
    <w:rsid w:val="00BD11FE"/>
    <w:rsid w:val="00BD185F"/>
    <w:rsid w:val="00BD2EB0"/>
    <w:rsid w:val="00BD2EE3"/>
    <w:rsid w:val="00BD5766"/>
    <w:rsid w:val="00BD587C"/>
    <w:rsid w:val="00BD6E09"/>
    <w:rsid w:val="00BD7816"/>
    <w:rsid w:val="00BE05C6"/>
    <w:rsid w:val="00BE12B2"/>
    <w:rsid w:val="00BE2784"/>
    <w:rsid w:val="00BE2BE2"/>
    <w:rsid w:val="00BE31E8"/>
    <w:rsid w:val="00BE4660"/>
    <w:rsid w:val="00BE5846"/>
    <w:rsid w:val="00BF046D"/>
    <w:rsid w:val="00BF27AF"/>
    <w:rsid w:val="00BF56D3"/>
    <w:rsid w:val="00BF637A"/>
    <w:rsid w:val="00C01460"/>
    <w:rsid w:val="00C0156B"/>
    <w:rsid w:val="00C02C10"/>
    <w:rsid w:val="00C04B4F"/>
    <w:rsid w:val="00C106D7"/>
    <w:rsid w:val="00C10C2F"/>
    <w:rsid w:val="00C12883"/>
    <w:rsid w:val="00C128D8"/>
    <w:rsid w:val="00C130AA"/>
    <w:rsid w:val="00C13217"/>
    <w:rsid w:val="00C13AE7"/>
    <w:rsid w:val="00C146B0"/>
    <w:rsid w:val="00C14F44"/>
    <w:rsid w:val="00C15354"/>
    <w:rsid w:val="00C154D2"/>
    <w:rsid w:val="00C15C05"/>
    <w:rsid w:val="00C169D3"/>
    <w:rsid w:val="00C173FB"/>
    <w:rsid w:val="00C17D42"/>
    <w:rsid w:val="00C17E16"/>
    <w:rsid w:val="00C2040E"/>
    <w:rsid w:val="00C21F69"/>
    <w:rsid w:val="00C22220"/>
    <w:rsid w:val="00C24AF2"/>
    <w:rsid w:val="00C252BC"/>
    <w:rsid w:val="00C261CE"/>
    <w:rsid w:val="00C27864"/>
    <w:rsid w:val="00C321BE"/>
    <w:rsid w:val="00C3335A"/>
    <w:rsid w:val="00C34E2F"/>
    <w:rsid w:val="00C35571"/>
    <w:rsid w:val="00C36E15"/>
    <w:rsid w:val="00C373D0"/>
    <w:rsid w:val="00C3760B"/>
    <w:rsid w:val="00C41AD0"/>
    <w:rsid w:val="00C41ED5"/>
    <w:rsid w:val="00C420CA"/>
    <w:rsid w:val="00C4374F"/>
    <w:rsid w:val="00C45273"/>
    <w:rsid w:val="00C46208"/>
    <w:rsid w:val="00C47C11"/>
    <w:rsid w:val="00C517E0"/>
    <w:rsid w:val="00C517F4"/>
    <w:rsid w:val="00C558D6"/>
    <w:rsid w:val="00C56569"/>
    <w:rsid w:val="00C60273"/>
    <w:rsid w:val="00C60943"/>
    <w:rsid w:val="00C61013"/>
    <w:rsid w:val="00C62392"/>
    <w:rsid w:val="00C62D1B"/>
    <w:rsid w:val="00C62D1E"/>
    <w:rsid w:val="00C63C64"/>
    <w:rsid w:val="00C65065"/>
    <w:rsid w:val="00C70108"/>
    <w:rsid w:val="00C707DE"/>
    <w:rsid w:val="00C74CDE"/>
    <w:rsid w:val="00C766B6"/>
    <w:rsid w:val="00C80CB2"/>
    <w:rsid w:val="00C80D0B"/>
    <w:rsid w:val="00C82A76"/>
    <w:rsid w:val="00C82B94"/>
    <w:rsid w:val="00C83533"/>
    <w:rsid w:val="00C836A6"/>
    <w:rsid w:val="00C83BCE"/>
    <w:rsid w:val="00C84904"/>
    <w:rsid w:val="00C87B47"/>
    <w:rsid w:val="00C90E43"/>
    <w:rsid w:val="00C9253C"/>
    <w:rsid w:val="00C92E8D"/>
    <w:rsid w:val="00C92F1E"/>
    <w:rsid w:val="00C93C2C"/>
    <w:rsid w:val="00C95153"/>
    <w:rsid w:val="00C95942"/>
    <w:rsid w:val="00C96494"/>
    <w:rsid w:val="00C975CF"/>
    <w:rsid w:val="00C97907"/>
    <w:rsid w:val="00CA0172"/>
    <w:rsid w:val="00CA34A2"/>
    <w:rsid w:val="00CA3600"/>
    <w:rsid w:val="00CA5405"/>
    <w:rsid w:val="00CA62F6"/>
    <w:rsid w:val="00CA6B4B"/>
    <w:rsid w:val="00CB1411"/>
    <w:rsid w:val="00CB20F5"/>
    <w:rsid w:val="00CB2776"/>
    <w:rsid w:val="00CB34D5"/>
    <w:rsid w:val="00CB51BC"/>
    <w:rsid w:val="00CB6A5A"/>
    <w:rsid w:val="00CC05CC"/>
    <w:rsid w:val="00CC1CDB"/>
    <w:rsid w:val="00CC25EA"/>
    <w:rsid w:val="00CC3262"/>
    <w:rsid w:val="00CC39E4"/>
    <w:rsid w:val="00CC4011"/>
    <w:rsid w:val="00CC468C"/>
    <w:rsid w:val="00CC5239"/>
    <w:rsid w:val="00CC76F9"/>
    <w:rsid w:val="00CD04AA"/>
    <w:rsid w:val="00CD068A"/>
    <w:rsid w:val="00CD107D"/>
    <w:rsid w:val="00CD109E"/>
    <w:rsid w:val="00CD37A3"/>
    <w:rsid w:val="00CD3844"/>
    <w:rsid w:val="00CD43D6"/>
    <w:rsid w:val="00CD4727"/>
    <w:rsid w:val="00CD472E"/>
    <w:rsid w:val="00CD6C98"/>
    <w:rsid w:val="00CD70B9"/>
    <w:rsid w:val="00CD74AB"/>
    <w:rsid w:val="00CE0B4D"/>
    <w:rsid w:val="00CE0C8D"/>
    <w:rsid w:val="00CE0DD0"/>
    <w:rsid w:val="00CE1FCA"/>
    <w:rsid w:val="00CE3C02"/>
    <w:rsid w:val="00CE40B0"/>
    <w:rsid w:val="00CE5D25"/>
    <w:rsid w:val="00CE608E"/>
    <w:rsid w:val="00CE65F0"/>
    <w:rsid w:val="00CE72D3"/>
    <w:rsid w:val="00CE75D9"/>
    <w:rsid w:val="00CE7CF3"/>
    <w:rsid w:val="00CF08B8"/>
    <w:rsid w:val="00CF189F"/>
    <w:rsid w:val="00CF1E4A"/>
    <w:rsid w:val="00CF3C67"/>
    <w:rsid w:val="00CF4C57"/>
    <w:rsid w:val="00CF5DFB"/>
    <w:rsid w:val="00D01AD2"/>
    <w:rsid w:val="00D02803"/>
    <w:rsid w:val="00D0450C"/>
    <w:rsid w:val="00D0484E"/>
    <w:rsid w:val="00D05100"/>
    <w:rsid w:val="00D052CE"/>
    <w:rsid w:val="00D05CB9"/>
    <w:rsid w:val="00D06480"/>
    <w:rsid w:val="00D1183A"/>
    <w:rsid w:val="00D12804"/>
    <w:rsid w:val="00D16ED2"/>
    <w:rsid w:val="00D17347"/>
    <w:rsid w:val="00D2288C"/>
    <w:rsid w:val="00D236FC"/>
    <w:rsid w:val="00D239B5"/>
    <w:rsid w:val="00D23E2D"/>
    <w:rsid w:val="00D242DB"/>
    <w:rsid w:val="00D24E5E"/>
    <w:rsid w:val="00D26033"/>
    <w:rsid w:val="00D26E53"/>
    <w:rsid w:val="00D26FE1"/>
    <w:rsid w:val="00D2739A"/>
    <w:rsid w:val="00D32144"/>
    <w:rsid w:val="00D32425"/>
    <w:rsid w:val="00D32D59"/>
    <w:rsid w:val="00D337A8"/>
    <w:rsid w:val="00D340C2"/>
    <w:rsid w:val="00D34C88"/>
    <w:rsid w:val="00D365CE"/>
    <w:rsid w:val="00D36C40"/>
    <w:rsid w:val="00D37AAD"/>
    <w:rsid w:val="00D40563"/>
    <w:rsid w:val="00D40B51"/>
    <w:rsid w:val="00D41BEA"/>
    <w:rsid w:val="00D42DA8"/>
    <w:rsid w:val="00D4598B"/>
    <w:rsid w:val="00D51429"/>
    <w:rsid w:val="00D53362"/>
    <w:rsid w:val="00D53468"/>
    <w:rsid w:val="00D535B8"/>
    <w:rsid w:val="00D55073"/>
    <w:rsid w:val="00D552F1"/>
    <w:rsid w:val="00D57521"/>
    <w:rsid w:val="00D62604"/>
    <w:rsid w:val="00D63C51"/>
    <w:rsid w:val="00D63FD5"/>
    <w:rsid w:val="00D64833"/>
    <w:rsid w:val="00D65969"/>
    <w:rsid w:val="00D66DD2"/>
    <w:rsid w:val="00D67252"/>
    <w:rsid w:val="00D70DE0"/>
    <w:rsid w:val="00D71154"/>
    <w:rsid w:val="00D71C57"/>
    <w:rsid w:val="00D71D09"/>
    <w:rsid w:val="00D7255E"/>
    <w:rsid w:val="00D73D59"/>
    <w:rsid w:val="00D74726"/>
    <w:rsid w:val="00D747C3"/>
    <w:rsid w:val="00D74E5E"/>
    <w:rsid w:val="00D752A0"/>
    <w:rsid w:val="00D778C4"/>
    <w:rsid w:val="00D80908"/>
    <w:rsid w:val="00D81659"/>
    <w:rsid w:val="00D84BE4"/>
    <w:rsid w:val="00D86351"/>
    <w:rsid w:val="00D86407"/>
    <w:rsid w:val="00D879BC"/>
    <w:rsid w:val="00D87A3A"/>
    <w:rsid w:val="00D9027F"/>
    <w:rsid w:val="00D90F51"/>
    <w:rsid w:val="00D91D5C"/>
    <w:rsid w:val="00D9217D"/>
    <w:rsid w:val="00D930CB"/>
    <w:rsid w:val="00D95562"/>
    <w:rsid w:val="00D972E8"/>
    <w:rsid w:val="00DA040F"/>
    <w:rsid w:val="00DA0C7B"/>
    <w:rsid w:val="00DA1929"/>
    <w:rsid w:val="00DA27C5"/>
    <w:rsid w:val="00DA36AC"/>
    <w:rsid w:val="00DA394D"/>
    <w:rsid w:val="00DA41B4"/>
    <w:rsid w:val="00DA41CF"/>
    <w:rsid w:val="00DA49BA"/>
    <w:rsid w:val="00DA6007"/>
    <w:rsid w:val="00DA61D8"/>
    <w:rsid w:val="00DA701A"/>
    <w:rsid w:val="00DA751D"/>
    <w:rsid w:val="00DB0B29"/>
    <w:rsid w:val="00DB1FA7"/>
    <w:rsid w:val="00DB3CF3"/>
    <w:rsid w:val="00DB3D14"/>
    <w:rsid w:val="00DB3F5A"/>
    <w:rsid w:val="00DB43A8"/>
    <w:rsid w:val="00DB4467"/>
    <w:rsid w:val="00DB5472"/>
    <w:rsid w:val="00DB558B"/>
    <w:rsid w:val="00DB6123"/>
    <w:rsid w:val="00DB75D4"/>
    <w:rsid w:val="00DB7E55"/>
    <w:rsid w:val="00DC154A"/>
    <w:rsid w:val="00DC3140"/>
    <w:rsid w:val="00DC3ACA"/>
    <w:rsid w:val="00DC757A"/>
    <w:rsid w:val="00DD1140"/>
    <w:rsid w:val="00DD1858"/>
    <w:rsid w:val="00DD20EE"/>
    <w:rsid w:val="00DD2C57"/>
    <w:rsid w:val="00DD428E"/>
    <w:rsid w:val="00DD46BD"/>
    <w:rsid w:val="00DD6127"/>
    <w:rsid w:val="00DD6644"/>
    <w:rsid w:val="00DD6A3A"/>
    <w:rsid w:val="00DD744E"/>
    <w:rsid w:val="00DD7989"/>
    <w:rsid w:val="00DE0D92"/>
    <w:rsid w:val="00DE1176"/>
    <w:rsid w:val="00DE2944"/>
    <w:rsid w:val="00DF0647"/>
    <w:rsid w:val="00DF3377"/>
    <w:rsid w:val="00DF350F"/>
    <w:rsid w:val="00DF37A7"/>
    <w:rsid w:val="00DF5368"/>
    <w:rsid w:val="00DF59D4"/>
    <w:rsid w:val="00DF78B9"/>
    <w:rsid w:val="00DF7CB0"/>
    <w:rsid w:val="00DF7CD2"/>
    <w:rsid w:val="00E02C4D"/>
    <w:rsid w:val="00E05E27"/>
    <w:rsid w:val="00E05EFA"/>
    <w:rsid w:val="00E06095"/>
    <w:rsid w:val="00E10BDB"/>
    <w:rsid w:val="00E1124B"/>
    <w:rsid w:val="00E12FBA"/>
    <w:rsid w:val="00E13B85"/>
    <w:rsid w:val="00E14E96"/>
    <w:rsid w:val="00E15344"/>
    <w:rsid w:val="00E153E7"/>
    <w:rsid w:val="00E1753E"/>
    <w:rsid w:val="00E1776C"/>
    <w:rsid w:val="00E203C0"/>
    <w:rsid w:val="00E20765"/>
    <w:rsid w:val="00E208DC"/>
    <w:rsid w:val="00E21F4B"/>
    <w:rsid w:val="00E223B1"/>
    <w:rsid w:val="00E22464"/>
    <w:rsid w:val="00E22F45"/>
    <w:rsid w:val="00E23FBE"/>
    <w:rsid w:val="00E2431B"/>
    <w:rsid w:val="00E24C41"/>
    <w:rsid w:val="00E26244"/>
    <w:rsid w:val="00E2745D"/>
    <w:rsid w:val="00E2786A"/>
    <w:rsid w:val="00E27FC1"/>
    <w:rsid w:val="00E31091"/>
    <w:rsid w:val="00E32C46"/>
    <w:rsid w:val="00E33841"/>
    <w:rsid w:val="00E34D80"/>
    <w:rsid w:val="00E353A6"/>
    <w:rsid w:val="00E36EBF"/>
    <w:rsid w:val="00E3767F"/>
    <w:rsid w:val="00E37FBD"/>
    <w:rsid w:val="00E42CCD"/>
    <w:rsid w:val="00E43F96"/>
    <w:rsid w:val="00E44276"/>
    <w:rsid w:val="00E449FB"/>
    <w:rsid w:val="00E47307"/>
    <w:rsid w:val="00E4780F"/>
    <w:rsid w:val="00E518FA"/>
    <w:rsid w:val="00E52159"/>
    <w:rsid w:val="00E5234B"/>
    <w:rsid w:val="00E53520"/>
    <w:rsid w:val="00E54F62"/>
    <w:rsid w:val="00E552AF"/>
    <w:rsid w:val="00E55A99"/>
    <w:rsid w:val="00E56A2F"/>
    <w:rsid w:val="00E56A3B"/>
    <w:rsid w:val="00E57D83"/>
    <w:rsid w:val="00E63C73"/>
    <w:rsid w:val="00E63D93"/>
    <w:rsid w:val="00E64932"/>
    <w:rsid w:val="00E66661"/>
    <w:rsid w:val="00E67D1F"/>
    <w:rsid w:val="00E7041C"/>
    <w:rsid w:val="00E70B76"/>
    <w:rsid w:val="00E70D5D"/>
    <w:rsid w:val="00E70E5B"/>
    <w:rsid w:val="00E727E5"/>
    <w:rsid w:val="00E72E26"/>
    <w:rsid w:val="00E7322D"/>
    <w:rsid w:val="00E744B0"/>
    <w:rsid w:val="00E7453B"/>
    <w:rsid w:val="00E7540C"/>
    <w:rsid w:val="00E772B4"/>
    <w:rsid w:val="00E77D4E"/>
    <w:rsid w:val="00E80286"/>
    <w:rsid w:val="00E804C5"/>
    <w:rsid w:val="00E81150"/>
    <w:rsid w:val="00E84F17"/>
    <w:rsid w:val="00E85938"/>
    <w:rsid w:val="00E85C26"/>
    <w:rsid w:val="00E85EC4"/>
    <w:rsid w:val="00E87939"/>
    <w:rsid w:val="00E87A44"/>
    <w:rsid w:val="00E90DE1"/>
    <w:rsid w:val="00E93EE2"/>
    <w:rsid w:val="00E95261"/>
    <w:rsid w:val="00EA1225"/>
    <w:rsid w:val="00EA190B"/>
    <w:rsid w:val="00EA34B0"/>
    <w:rsid w:val="00EA466F"/>
    <w:rsid w:val="00EA6B1E"/>
    <w:rsid w:val="00EA78A9"/>
    <w:rsid w:val="00EB06B7"/>
    <w:rsid w:val="00EB243C"/>
    <w:rsid w:val="00EB34C5"/>
    <w:rsid w:val="00EB3CC4"/>
    <w:rsid w:val="00EB4909"/>
    <w:rsid w:val="00EB73C9"/>
    <w:rsid w:val="00EB79AA"/>
    <w:rsid w:val="00EC08CB"/>
    <w:rsid w:val="00EC1198"/>
    <w:rsid w:val="00EC1E0E"/>
    <w:rsid w:val="00EC2D18"/>
    <w:rsid w:val="00EC2DA9"/>
    <w:rsid w:val="00EC2F4B"/>
    <w:rsid w:val="00EC3ECA"/>
    <w:rsid w:val="00EC43A9"/>
    <w:rsid w:val="00EC45A4"/>
    <w:rsid w:val="00EC6A90"/>
    <w:rsid w:val="00EC78AA"/>
    <w:rsid w:val="00ED3ABF"/>
    <w:rsid w:val="00ED599D"/>
    <w:rsid w:val="00ED5ECA"/>
    <w:rsid w:val="00ED69D9"/>
    <w:rsid w:val="00ED757F"/>
    <w:rsid w:val="00EE06DB"/>
    <w:rsid w:val="00EE0C9B"/>
    <w:rsid w:val="00EE1342"/>
    <w:rsid w:val="00EE2DC4"/>
    <w:rsid w:val="00EE3C91"/>
    <w:rsid w:val="00EE4793"/>
    <w:rsid w:val="00EE4D0C"/>
    <w:rsid w:val="00EE75F7"/>
    <w:rsid w:val="00EF0946"/>
    <w:rsid w:val="00EF2C1C"/>
    <w:rsid w:val="00EF3364"/>
    <w:rsid w:val="00EF3EBA"/>
    <w:rsid w:val="00EF486D"/>
    <w:rsid w:val="00EF4D6E"/>
    <w:rsid w:val="00EF5A55"/>
    <w:rsid w:val="00EF5C1E"/>
    <w:rsid w:val="00EF7F0F"/>
    <w:rsid w:val="00F00CDE"/>
    <w:rsid w:val="00F019D4"/>
    <w:rsid w:val="00F045AA"/>
    <w:rsid w:val="00F067FF"/>
    <w:rsid w:val="00F06B60"/>
    <w:rsid w:val="00F113B6"/>
    <w:rsid w:val="00F13FC7"/>
    <w:rsid w:val="00F157E8"/>
    <w:rsid w:val="00F178E5"/>
    <w:rsid w:val="00F17AF9"/>
    <w:rsid w:val="00F17F54"/>
    <w:rsid w:val="00F209DD"/>
    <w:rsid w:val="00F21F83"/>
    <w:rsid w:val="00F2211A"/>
    <w:rsid w:val="00F22A0A"/>
    <w:rsid w:val="00F24224"/>
    <w:rsid w:val="00F25364"/>
    <w:rsid w:val="00F25D1A"/>
    <w:rsid w:val="00F27132"/>
    <w:rsid w:val="00F27BC8"/>
    <w:rsid w:val="00F27BDF"/>
    <w:rsid w:val="00F30321"/>
    <w:rsid w:val="00F336C8"/>
    <w:rsid w:val="00F360BC"/>
    <w:rsid w:val="00F41A5A"/>
    <w:rsid w:val="00F42AC9"/>
    <w:rsid w:val="00F42C95"/>
    <w:rsid w:val="00F42EFD"/>
    <w:rsid w:val="00F43AA5"/>
    <w:rsid w:val="00F4478D"/>
    <w:rsid w:val="00F4560F"/>
    <w:rsid w:val="00F46AC8"/>
    <w:rsid w:val="00F46D68"/>
    <w:rsid w:val="00F50A67"/>
    <w:rsid w:val="00F516BC"/>
    <w:rsid w:val="00F51C13"/>
    <w:rsid w:val="00F52F5D"/>
    <w:rsid w:val="00F54568"/>
    <w:rsid w:val="00F54BE2"/>
    <w:rsid w:val="00F5510F"/>
    <w:rsid w:val="00F56ADA"/>
    <w:rsid w:val="00F60E6A"/>
    <w:rsid w:val="00F62A00"/>
    <w:rsid w:val="00F634A2"/>
    <w:rsid w:val="00F64A59"/>
    <w:rsid w:val="00F64EE7"/>
    <w:rsid w:val="00F654F5"/>
    <w:rsid w:val="00F65F19"/>
    <w:rsid w:val="00F6769D"/>
    <w:rsid w:val="00F67833"/>
    <w:rsid w:val="00F67B46"/>
    <w:rsid w:val="00F701A0"/>
    <w:rsid w:val="00F71A30"/>
    <w:rsid w:val="00F7249B"/>
    <w:rsid w:val="00F73694"/>
    <w:rsid w:val="00F73BA4"/>
    <w:rsid w:val="00F74807"/>
    <w:rsid w:val="00F75812"/>
    <w:rsid w:val="00F77545"/>
    <w:rsid w:val="00F777B2"/>
    <w:rsid w:val="00F8003E"/>
    <w:rsid w:val="00F810A5"/>
    <w:rsid w:val="00F817F2"/>
    <w:rsid w:val="00F824D1"/>
    <w:rsid w:val="00F824D2"/>
    <w:rsid w:val="00F83687"/>
    <w:rsid w:val="00F85CBB"/>
    <w:rsid w:val="00F86278"/>
    <w:rsid w:val="00F87745"/>
    <w:rsid w:val="00F87F8A"/>
    <w:rsid w:val="00F9037C"/>
    <w:rsid w:val="00F93A45"/>
    <w:rsid w:val="00F93E2F"/>
    <w:rsid w:val="00F94149"/>
    <w:rsid w:val="00FA031D"/>
    <w:rsid w:val="00FA2EB5"/>
    <w:rsid w:val="00FA5654"/>
    <w:rsid w:val="00FA700F"/>
    <w:rsid w:val="00FB191E"/>
    <w:rsid w:val="00FB1AC6"/>
    <w:rsid w:val="00FB2C15"/>
    <w:rsid w:val="00FB4F1F"/>
    <w:rsid w:val="00FB4F4C"/>
    <w:rsid w:val="00FB55CC"/>
    <w:rsid w:val="00FB5792"/>
    <w:rsid w:val="00FC0521"/>
    <w:rsid w:val="00FC1047"/>
    <w:rsid w:val="00FC12D1"/>
    <w:rsid w:val="00FC1651"/>
    <w:rsid w:val="00FC1749"/>
    <w:rsid w:val="00FC1B57"/>
    <w:rsid w:val="00FC2003"/>
    <w:rsid w:val="00FC43A3"/>
    <w:rsid w:val="00FC5AC6"/>
    <w:rsid w:val="00FC5ED3"/>
    <w:rsid w:val="00FD11A6"/>
    <w:rsid w:val="00FD203D"/>
    <w:rsid w:val="00FD2247"/>
    <w:rsid w:val="00FD27BC"/>
    <w:rsid w:val="00FD475E"/>
    <w:rsid w:val="00FD48D2"/>
    <w:rsid w:val="00FD5090"/>
    <w:rsid w:val="00FD57F2"/>
    <w:rsid w:val="00FD5857"/>
    <w:rsid w:val="00FD65A0"/>
    <w:rsid w:val="00FD6B27"/>
    <w:rsid w:val="00FD72F9"/>
    <w:rsid w:val="00FE0A3B"/>
    <w:rsid w:val="00FE1722"/>
    <w:rsid w:val="00FE3754"/>
    <w:rsid w:val="00FE37F4"/>
    <w:rsid w:val="00FE3B38"/>
    <w:rsid w:val="00FE5A7F"/>
    <w:rsid w:val="00FE6943"/>
    <w:rsid w:val="00FF0387"/>
    <w:rsid w:val="00FF0DBA"/>
    <w:rsid w:val="00FF1207"/>
    <w:rsid w:val="00FF1695"/>
    <w:rsid w:val="00FF45D4"/>
    <w:rsid w:val="00FF4902"/>
    <w:rsid w:val="00FF5C03"/>
    <w:rsid w:val="00FF7229"/>
    <w:rsid w:val="00FF75AB"/>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8FF"/>
    <w:rPr>
      <w:sz w:val="24"/>
      <w:szCs w:val="24"/>
    </w:rPr>
  </w:style>
  <w:style w:type="paragraph" w:styleId="Heading1">
    <w:name w:val="heading 1"/>
    <w:basedOn w:val="Normal"/>
    <w:next w:val="Normal"/>
    <w:link w:val="Heading1Char"/>
    <w:uiPriority w:val="9"/>
    <w:qFormat/>
    <w:rsid w:val="009E297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9048E8"/>
    <w:pPr>
      <w:keepNext/>
      <w:jc w:val="center"/>
      <w:outlineLvl w:val="1"/>
    </w:pPr>
    <w:rPr>
      <w:u w:val="single"/>
    </w:rPr>
  </w:style>
  <w:style w:type="paragraph" w:styleId="Heading3">
    <w:name w:val="heading 3"/>
    <w:basedOn w:val="Normal"/>
    <w:next w:val="Normal"/>
    <w:link w:val="Heading3Char"/>
    <w:unhideWhenUsed/>
    <w:qFormat/>
    <w:rsid w:val="00D337A8"/>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D337A8"/>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D0648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0C7B"/>
    <w:rPr>
      <w:rFonts w:ascii="Arial" w:hAnsi="Arial" w:cs="Arial"/>
      <w:b/>
      <w:bCs/>
      <w:kern w:val="32"/>
      <w:sz w:val="32"/>
      <w:szCs w:val="32"/>
    </w:rPr>
  </w:style>
  <w:style w:type="character" w:customStyle="1" w:styleId="Heading2Char">
    <w:name w:val="Heading 2 Char"/>
    <w:link w:val="Heading2"/>
    <w:uiPriority w:val="9"/>
    <w:rsid w:val="00DA0C7B"/>
    <w:rPr>
      <w:sz w:val="24"/>
      <w:szCs w:val="24"/>
      <w:u w:val="single"/>
    </w:rPr>
  </w:style>
  <w:style w:type="paragraph" w:styleId="Header">
    <w:name w:val="header"/>
    <w:basedOn w:val="Normal"/>
    <w:link w:val="HeaderChar"/>
    <w:uiPriority w:val="99"/>
    <w:rsid w:val="00E53520"/>
    <w:pPr>
      <w:tabs>
        <w:tab w:val="center" w:pos="4320"/>
        <w:tab w:val="right" w:pos="8640"/>
      </w:tabs>
    </w:pPr>
  </w:style>
  <w:style w:type="character" w:customStyle="1" w:styleId="HeaderChar">
    <w:name w:val="Header Char"/>
    <w:link w:val="Header"/>
    <w:uiPriority w:val="99"/>
    <w:rsid w:val="00B117E6"/>
    <w:rPr>
      <w:sz w:val="24"/>
      <w:szCs w:val="24"/>
    </w:rPr>
  </w:style>
  <w:style w:type="paragraph" w:styleId="Footer">
    <w:name w:val="footer"/>
    <w:basedOn w:val="Normal"/>
    <w:link w:val="FooterChar"/>
    <w:uiPriority w:val="99"/>
    <w:rsid w:val="00E53520"/>
    <w:pPr>
      <w:tabs>
        <w:tab w:val="center" w:pos="4320"/>
        <w:tab w:val="right" w:pos="8640"/>
      </w:tabs>
    </w:pPr>
  </w:style>
  <w:style w:type="character" w:customStyle="1" w:styleId="FooterChar">
    <w:name w:val="Footer Char"/>
    <w:link w:val="Footer"/>
    <w:uiPriority w:val="99"/>
    <w:rsid w:val="00DA0C7B"/>
    <w:rPr>
      <w:sz w:val="24"/>
      <w:szCs w:val="24"/>
    </w:rPr>
  </w:style>
  <w:style w:type="paragraph" w:styleId="BodyText">
    <w:name w:val="Body Text"/>
    <w:basedOn w:val="Normal"/>
    <w:link w:val="BodyTextChar"/>
    <w:rsid w:val="00E53520"/>
    <w:pPr>
      <w:jc w:val="center"/>
    </w:pPr>
    <w:rPr>
      <w:rFonts w:ascii="Palatino Linotype" w:hAnsi="Palatino Linotype"/>
    </w:rPr>
  </w:style>
  <w:style w:type="character" w:styleId="PageNumber">
    <w:name w:val="page number"/>
    <w:basedOn w:val="DefaultParagraphFont"/>
    <w:rsid w:val="00E53520"/>
  </w:style>
  <w:style w:type="paragraph" w:styleId="Title">
    <w:name w:val="Title"/>
    <w:basedOn w:val="Normal"/>
    <w:qFormat/>
    <w:rsid w:val="00E53520"/>
    <w:pPr>
      <w:jc w:val="center"/>
    </w:pPr>
    <w:rPr>
      <w:rFonts w:ascii="Palatino Linotype" w:hAnsi="Palatino Linotype"/>
      <w:b/>
    </w:rPr>
  </w:style>
  <w:style w:type="paragraph" w:styleId="BalloonText">
    <w:name w:val="Balloon Text"/>
    <w:basedOn w:val="Normal"/>
    <w:link w:val="BalloonTextChar"/>
    <w:uiPriority w:val="99"/>
    <w:semiHidden/>
    <w:rsid w:val="00D365CE"/>
    <w:rPr>
      <w:rFonts w:ascii="Tahoma" w:hAnsi="Tahoma"/>
      <w:sz w:val="16"/>
      <w:szCs w:val="16"/>
    </w:rPr>
  </w:style>
  <w:style w:type="character" w:customStyle="1" w:styleId="BalloonTextChar">
    <w:name w:val="Balloon Text Char"/>
    <w:link w:val="BalloonText"/>
    <w:uiPriority w:val="99"/>
    <w:semiHidden/>
    <w:rsid w:val="00DA0C7B"/>
    <w:rPr>
      <w:rFonts w:ascii="Tahoma" w:hAnsi="Tahoma" w:cs="Tahoma"/>
      <w:sz w:val="16"/>
      <w:szCs w:val="16"/>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rsid w:val="003D28FF"/>
    <w:rPr>
      <w:sz w:val="22"/>
      <w:szCs w:val="2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rsid w:val="003D28FF"/>
    <w:rPr>
      <w:sz w:val="22"/>
    </w:rPr>
  </w:style>
  <w:style w:type="character" w:styleId="FootnoteReference">
    <w:name w:val="footnote reference"/>
    <w:uiPriority w:val="99"/>
    <w:rsid w:val="00022311"/>
    <w:rPr>
      <w:vertAlign w:val="superscript"/>
    </w:rPr>
  </w:style>
  <w:style w:type="paragraph" w:customStyle="1" w:styleId="plain">
    <w:name w:val="plain"/>
    <w:basedOn w:val="Normal"/>
    <w:rsid w:val="009048E8"/>
    <w:pPr>
      <w:spacing w:line="240" w:lineRule="atLeast"/>
    </w:pPr>
    <w:rPr>
      <w:sz w:val="26"/>
      <w:szCs w:val="20"/>
    </w:rPr>
  </w:style>
  <w:style w:type="paragraph" w:styleId="TOC1">
    <w:name w:val="toc 1"/>
    <w:basedOn w:val="Normal"/>
    <w:next w:val="Normal"/>
    <w:autoRedefine/>
    <w:uiPriority w:val="39"/>
    <w:qFormat/>
    <w:rsid w:val="000E101D"/>
    <w:pPr>
      <w:spacing w:before="360"/>
    </w:pPr>
    <w:rPr>
      <w:rFonts w:ascii="Cambria" w:hAnsi="Cambria"/>
      <w:b/>
      <w:bCs/>
      <w:caps/>
    </w:rPr>
  </w:style>
  <w:style w:type="paragraph" w:styleId="TOC2">
    <w:name w:val="toc 2"/>
    <w:basedOn w:val="Normal"/>
    <w:next w:val="Normal"/>
    <w:autoRedefine/>
    <w:uiPriority w:val="39"/>
    <w:qFormat/>
    <w:rsid w:val="002C5025"/>
    <w:pPr>
      <w:spacing w:before="240"/>
    </w:pPr>
    <w:rPr>
      <w:rFonts w:ascii="Calibri" w:hAnsi="Calibri" w:cs="Calibri"/>
      <w:b/>
      <w:bCs/>
      <w:sz w:val="20"/>
      <w:szCs w:val="20"/>
    </w:rPr>
  </w:style>
  <w:style w:type="paragraph" w:styleId="TOC3">
    <w:name w:val="toc 3"/>
    <w:basedOn w:val="Normal"/>
    <w:next w:val="Normal"/>
    <w:autoRedefine/>
    <w:uiPriority w:val="39"/>
    <w:qFormat/>
    <w:rsid w:val="002C5025"/>
    <w:pPr>
      <w:ind w:left="240"/>
    </w:pPr>
    <w:rPr>
      <w:rFonts w:ascii="Calibri" w:hAnsi="Calibri" w:cs="Calibri"/>
      <w:sz w:val="20"/>
      <w:szCs w:val="20"/>
    </w:rPr>
  </w:style>
  <w:style w:type="paragraph" w:styleId="TOC4">
    <w:name w:val="toc 4"/>
    <w:basedOn w:val="Normal"/>
    <w:next w:val="Normal"/>
    <w:autoRedefine/>
    <w:uiPriority w:val="39"/>
    <w:rsid w:val="00266C55"/>
    <w:pPr>
      <w:tabs>
        <w:tab w:val="left" w:pos="960"/>
        <w:tab w:val="right" w:leader="dot" w:pos="8630"/>
      </w:tabs>
      <w:spacing w:line="264" w:lineRule="auto"/>
      <w:ind w:left="475"/>
    </w:pPr>
    <w:rPr>
      <w:rFonts w:ascii="Calibri" w:hAnsi="Calibri" w:cs="Calibri"/>
      <w:sz w:val="20"/>
      <w:szCs w:val="20"/>
    </w:rPr>
  </w:style>
  <w:style w:type="paragraph" w:styleId="TOC5">
    <w:name w:val="toc 5"/>
    <w:basedOn w:val="Normal"/>
    <w:next w:val="Normal"/>
    <w:autoRedefine/>
    <w:uiPriority w:val="39"/>
    <w:rsid w:val="002C5025"/>
    <w:pPr>
      <w:ind w:left="720"/>
    </w:pPr>
    <w:rPr>
      <w:rFonts w:ascii="Calibri" w:hAnsi="Calibri" w:cs="Calibri"/>
      <w:sz w:val="20"/>
      <w:szCs w:val="20"/>
    </w:rPr>
  </w:style>
  <w:style w:type="paragraph" w:styleId="TOC6">
    <w:name w:val="toc 6"/>
    <w:basedOn w:val="Normal"/>
    <w:next w:val="Normal"/>
    <w:autoRedefine/>
    <w:semiHidden/>
    <w:rsid w:val="002C5025"/>
    <w:pPr>
      <w:ind w:left="960"/>
    </w:pPr>
    <w:rPr>
      <w:rFonts w:ascii="Calibri" w:hAnsi="Calibri" w:cs="Calibri"/>
      <w:sz w:val="20"/>
      <w:szCs w:val="20"/>
    </w:rPr>
  </w:style>
  <w:style w:type="paragraph" w:styleId="TOC7">
    <w:name w:val="toc 7"/>
    <w:basedOn w:val="Normal"/>
    <w:next w:val="Normal"/>
    <w:autoRedefine/>
    <w:semiHidden/>
    <w:rsid w:val="002C5025"/>
    <w:pPr>
      <w:ind w:left="1200"/>
    </w:pPr>
    <w:rPr>
      <w:rFonts w:ascii="Calibri" w:hAnsi="Calibri" w:cs="Calibri"/>
      <w:sz w:val="20"/>
      <w:szCs w:val="20"/>
    </w:rPr>
  </w:style>
  <w:style w:type="paragraph" w:styleId="TOC8">
    <w:name w:val="toc 8"/>
    <w:basedOn w:val="Normal"/>
    <w:next w:val="Normal"/>
    <w:autoRedefine/>
    <w:semiHidden/>
    <w:rsid w:val="002C5025"/>
    <w:pPr>
      <w:ind w:left="1440"/>
    </w:pPr>
    <w:rPr>
      <w:rFonts w:ascii="Calibri" w:hAnsi="Calibri" w:cs="Calibri"/>
      <w:sz w:val="20"/>
      <w:szCs w:val="20"/>
    </w:rPr>
  </w:style>
  <w:style w:type="paragraph" w:styleId="TOC9">
    <w:name w:val="toc 9"/>
    <w:basedOn w:val="Normal"/>
    <w:next w:val="Normal"/>
    <w:autoRedefine/>
    <w:semiHidden/>
    <w:rsid w:val="002C5025"/>
    <w:pPr>
      <w:ind w:left="1680"/>
    </w:pPr>
    <w:rPr>
      <w:rFonts w:ascii="Calibri" w:hAnsi="Calibri" w:cs="Calibri"/>
      <w:sz w:val="20"/>
      <w:szCs w:val="20"/>
    </w:rPr>
  </w:style>
  <w:style w:type="character" w:styleId="Hyperlink">
    <w:name w:val="Hyperlink"/>
    <w:uiPriority w:val="99"/>
    <w:rsid w:val="002C5025"/>
    <w:rPr>
      <w:color w:val="0000FF"/>
      <w:u w:val="single"/>
    </w:rPr>
  </w:style>
  <w:style w:type="table" w:styleId="TableGrid">
    <w:name w:val="Table Grid"/>
    <w:basedOn w:val="TableNormal"/>
    <w:uiPriority w:val="59"/>
    <w:rsid w:val="002A6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367FCD"/>
    <w:pPr>
      <w:spacing w:after="120" w:line="480" w:lineRule="auto"/>
    </w:pPr>
    <w:rPr>
      <w:rFonts w:ascii="Palatino Linotype" w:hAnsi="Palatino Linotype"/>
      <w:szCs w:val="12"/>
    </w:rPr>
  </w:style>
  <w:style w:type="character" w:customStyle="1" w:styleId="RCWSLText">
    <w:name w:val="RCWSLText"/>
    <w:rsid w:val="00F85CBB"/>
    <w:rPr>
      <w:rFonts w:ascii="Courier New" w:hAnsi="Courier New" w:cs="Courier New"/>
      <w:sz w:val="24"/>
      <w:szCs w:val="24"/>
      <w:lang w:val="en-US"/>
    </w:rPr>
  </w:style>
  <w:style w:type="paragraph" w:styleId="Quote">
    <w:name w:val="Quote"/>
    <w:basedOn w:val="Normal"/>
    <w:next w:val="Normal"/>
    <w:qFormat/>
    <w:rsid w:val="0029066B"/>
    <w:pPr>
      <w:spacing w:before="240"/>
      <w:ind w:left="1440" w:right="360"/>
    </w:pPr>
    <w:rPr>
      <w:spacing w:val="-2"/>
      <w:szCs w:val="20"/>
    </w:rPr>
  </w:style>
  <w:style w:type="paragraph" w:customStyle="1" w:styleId="ParNumber">
    <w:name w:val="ParNumber"/>
    <w:basedOn w:val="Normal"/>
    <w:rsid w:val="00882769"/>
    <w:pPr>
      <w:numPr>
        <w:numId w:val="6"/>
      </w:numPr>
      <w:tabs>
        <w:tab w:val="clear" w:pos="360"/>
        <w:tab w:val="left" w:pos="720"/>
      </w:tabs>
      <w:ind w:left="0" w:hanging="720"/>
    </w:pPr>
  </w:style>
  <w:style w:type="character" w:customStyle="1" w:styleId="iii-std1">
    <w:name w:val="iii-std1"/>
    <w:rsid w:val="006D528D"/>
    <w:rPr>
      <w:rFonts w:ascii="Arial" w:hAnsi="Arial" w:cs="Arial" w:hint="default"/>
      <w:sz w:val="18"/>
      <w:szCs w:val="18"/>
    </w:rPr>
  </w:style>
  <w:style w:type="paragraph" w:styleId="ListParagraph">
    <w:name w:val="List Paragraph"/>
    <w:basedOn w:val="Normal"/>
    <w:uiPriority w:val="34"/>
    <w:qFormat/>
    <w:rsid w:val="00BC3EC6"/>
    <w:pPr>
      <w:ind w:left="720"/>
    </w:pPr>
  </w:style>
  <w:style w:type="paragraph" w:customStyle="1" w:styleId="answer">
    <w:name w:val="answer"/>
    <w:basedOn w:val="Normal"/>
    <w:link w:val="answerChar"/>
    <w:rsid w:val="00DA0C7B"/>
    <w:pPr>
      <w:spacing w:before="120" w:after="120" w:line="480" w:lineRule="auto"/>
      <w:ind w:left="720" w:hanging="720"/>
    </w:pPr>
    <w:rPr>
      <w:rFonts w:eastAsia="SimSun"/>
      <w:sz w:val="20"/>
      <w:lang w:eastAsia="zh-CN"/>
    </w:rPr>
  </w:style>
  <w:style w:type="character" w:customStyle="1" w:styleId="answerChar">
    <w:name w:val="answer Char"/>
    <w:link w:val="answer"/>
    <w:rsid w:val="00DA0C7B"/>
    <w:rPr>
      <w:rFonts w:eastAsia="SimSun"/>
      <w:szCs w:val="24"/>
      <w:lang w:eastAsia="zh-CN"/>
    </w:rPr>
  </w:style>
  <w:style w:type="character" w:styleId="CommentReference">
    <w:name w:val="annotation reference"/>
    <w:uiPriority w:val="99"/>
    <w:unhideWhenUsed/>
    <w:rsid w:val="00DA0C7B"/>
    <w:rPr>
      <w:sz w:val="16"/>
      <w:szCs w:val="16"/>
    </w:rPr>
  </w:style>
  <w:style w:type="paragraph" w:styleId="CommentText">
    <w:name w:val="annotation text"/>
    <w:basedOn w:val="Normal"/>
    <w:link w:val="CommentTextChar"/>
    <w:uiPriority w:val="99"/>
    <w:unhideWhenUsed/>
    <w:rsid w:val="00DA0C7B"/>
    <w:pPr>
      <w:spacing w:after="200"/>
    </w:pPr>
    <w:rPr>
      <w:rFonts w:eastAsia="Calibri"/>
      <w:sz w:val="20"/>
      <w:szCs w:val="20"/>
    </w:rPr>
  </w:style>
  <w:style w:type="character" w:customStyle="1" w:styleId="CommentTextChar">
    <w:name w:val="Comment Text Char"/>
    <w:link w:val="CommentText"/>
    <w:uiPriority w:val="99"/>
    <w:rsid w:val="00DA0C7B"/>
    <w:rPr>
      <w:rFonts w:eastAsia="Calibri"/>
    </w:rPr>
  </w:style>
  <w:style w:type="character" w:customStyle="1" w:styleId="CommentSubjectChar">
    <w:name w:val="Comment Subject Char"/>
    <w:link w:val="CommentSubject"/>
    <w:uiPriority w:val="99"/>
    <w:rsid w:val="00DA0C7B"/>
    <w:rPr>
      <w:b/>
      <w:bCs/>
    </w:rPr>
  </w:style>
  <w:style w:type="paragraph" w:styleId="CommentSubject">
    <w:name w:val="annotation subject"/>
    <w:basedOn w:val="CommentText"/>
    <w:next w:val="CommentText"/>
    <w:link w:val="CommentSubjectChar"/>
    <w:uiPriority w:val="99"/>
    <w:unhideWhenUsed/>
    <w:rsid w:val="00DA0C7B"/>
    <w:rPr>
      <w:rFonts w:eastAsia="Times New Roman"/>
      <w:b/>
      <w:bCs/>
    </w:rPr>
  </w:style>
  <w:style w:type="character" w:customStyle="1" w:styleId="CommentSubjectChar1">
    <w:name w:val="Comment Subject Char1"/>
    <w:rsid w:val="00DA0C7B"/>
    <w:rPr>
      <w:rFonts w:eastAsia="Calibri"/>
      <w:b/>
      <w:bCs/>
    </w:rPr>
  </w:style>
  <w:style w:type="paragraph" w:styleId="Revision">
    <w:name w:val="Revision"/>
    <w:hidden/>
    <w:uiPriority w:val="99"/>
    <w:semiHidden/>
    <w:rsid w:val="00DA0C7B"/>
    <w:rPr>
      <w:rFonts w:eastAsia="Calibri"/>
      <w:sz w:val="26"/>
      <w:szCs w:val="26"/>
    </w:rPr>
  </w:style>
  <w:style w:type="paragraph" w:styleId="NoSpacing">
    <w:name w:val="No Spacing"/>
    <w:uiPriority w:val="1"/>
    <w:qFormat/>
    <w:rsid w:val="00DA0C7B"/>
    <w:rPr>
      <w:rFonts w:eastAsia="Calibri"/>
      <w:sz w:val="26"/>
      <w:szCs w:val="26"/>
    </w:rPr>
  </w:style>
  <w:style w:type="character" w:customStyle="1" w:styleId="Heading3Char">
    <w:name w:val="Heading 3 Char"/>
    <w:link w:val="Heading3"/>
    <w:rsid w:val="00D337A8"/>
    <w:rPr>
      <w:rFonts w:ascii="Cambria" w:eastAsia="Times New Roman" w:hAnsi="Cambria" w:cs="Times New Roman"/>
      <w:b/>
      <w:bCs/>
      <w:sz w:val="26"/>
      <w:szCs w:val="26"/>
    </w:rPr>
  </w:style>
  <w:style w:type="character" w:customStyle="1" w:styleId="BodyTextChar">
    <w:name w:val="Body Text Char"/>
    <w:link w:val="BodyText"/>
    <w:rsid w:val="00D337A8"/>
    <w:rPr>
      <w:rFonts w:ascii="Palatino Linotype" w:hAnsi="Palatino Linotype"/>
      <w:sz w:val="24"/>
      <w:szCs w:val="24"/>
    </w:rPr>
  </w:style>
  <w:style w:type="character" w:customStyle="1" w:styleId="Heading4Char">
    <w:name w:val="Heading 4 Char"/>
    <w:link w:val="Heading4"/>
    <w:rsid w:val="00D337A8"/>
    <w:rPr>
      <w:rFonts w:ascii="Calibri" w:eastAsia="Times New Roman" w:hAnsi="Calibri" w:cs="Times New Roman"/>
      <w:b/>
      <w:bCs/>
      <w:sz w:val="28"/>
      <w:szCs w:val="28"/>
    </w:rPr>
  </w:style>
  <w:style w:type="character" w:customStyle="1" w:styleId="Heading5Char">
    <w:name w:val="Heading 5 Char"/>
    <w:link w:val="Heading5"/>
    <w:rsid w:val="00D06480"/>
    <w:rPr>
      <w:rFonts w:ascii="Calibri" w:eastAsia="Times New Roman" w:hAnsi="Calibri" w:cs="Times New Roman"/>
      <w:b/>
      <w:bCs/>
      <w:i/>
      <w:iCs/>
      <w:sz w:val="26"/>
      <w:szCs w:val="26"/>
    </w:rPr>
  </w:style>
  <w:style w:type="paragraph" w:styleId="TOCHeading">
    <w:name w:val="TOC Heading"/>
    <w:basedOn w:val="Heading1"/>
    <w:next w:val="Normal"/>
    <w:uiPriority w:val="39"/>
    <w:semiHidden/>
    <w:unhideWhenUsed/>
    <w:qFormat/>
    <w:rsid w:val="00563AFA"/>
    <w:pPr>
      <w:keepLines/>
      <w:spacing w:before="480" w:after="0" w:line="276" w:lineRule="auto"/>
      <w:outlineLvl w:val="9"/>
    </w:pPr>
    <w:rPr>
      <w:rFonts w:ascii="Cambria" w:eastAsia="MS Gothic" w:hAnsi="Cambria"/>
      <w:color w:val="365F91"/>
      <w:kern w:val="0"/>
      <w:sz w:val="28"/>
      <w:szCs w:val="28"/>
      <w:lang w:eastAsia="ja-JP"/>
    </w:rPr>
  </w:style>
  <w:style w:type="character" w:styleId="PlaceholderText">
    <w:name w:val="Placeholder Text"/>
    <w:basedOn w:val="DefaultParagraphFont"/>
    <w:uiPriority w:val="99"/>
    <w:semiHidden/>
    <w:rsid w:val="0097233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8FF"/>
    <w:rPr>
      <w:sz w:val="24"/>
      <w:szCs w:val="24"/>
    </w:rPr>
  </w:style>
  <w:style w:type="paragraph" w:styleId="Heading1">
    <w:name w:val="heading 1"/>
    <w:basedOn w:val="Normal"/>
    <w:next w:val="Normal"/>
    <w:link w:val="Heading1Char"/>
    <w:uiPriority w:val="9"/>
    <w:qFormat/>
    <w:rsid w:val="009E297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9048E8"/>
    <w:pPr>
      <w:keepNext/>
      <w:jc w:val="center"/>
      <w:outlineLvl w:val="1"/>
    </w:pPr>
    <w:rPr>
      <w:u w:val="single"/>
    </w:rPr>
  </w:style>
  <w:style w:type="paragraph" w:styleId="Heading3">
    <w:name w:val="heading 3"/>
    <w:basedOn w:val="Normal"/>
    <w:next w:val="Normal"/>
    <w:link w:val="Heading3Char"/>
    <w:unhideWhenUsed/>
    <w:qFormat/>
    <w:rsid w:val="00D337A8"/>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D337A8"/>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D0648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0C7B"/>
    <w:rPr>
      <w:rFonts w:ascii="Arial" w:hAnsi="Arial" w:cs="Arial"/>
      <w:b/>
      <w:bCs/>
      <w:kern w:val="32"/>
      <w:sz w:val="32"/>
      <w:szCs w:val="32"/>
    </w:rPr>
  </w:style>
  <w:style w:type="character" w:customStyle="1" w:styleId="Heading2Char">
    <w:name w:val="Heading 2 Char"/>
    <w:link w:val="Heading2"/>
    <w:uiPriority w:val="9"/>
    <w:rsid w:val="00DA0C7B"/>
    <w:rPr>
      <w:sz w:val="24"/>
      <w:szCs w:val="24"/>
      <w:u w:val="single"/>
    </w:rPr>
  </w:style>
  <w:style w:type="paragraph" w:styleId="Header">
    <w:name w:val="header"/>
    <w:basedOn w:val="Normal"/>
    <w:link w:val="HeaderChar"/>
    <w:uiPriority w:val="99"/>
    <w:rsid w:val="00E53520"/>
    <w:pPr>
      <w:tabs>
        <w:tab w:val="center" w:pos="4320"/>
        <w:tab w:val="right" w:pos="8640"/>
      </w:tabs>
    </w:pPr>
  </w:style>
  <w:style w:type="character" w:customStyle="1" w:styleId="HeaderChar">
    <w:name w:val="Header Char"/>
    <w:link w:val="Header"/>
    <w:uiPriority w:val="99"/>
    <w:rsid w:val="00B117E6"/>
    <w:rPr>
      <w:sz w:val="24"/>
      <w:szCs w:val="24"/>
    </w:rPr>
  </w:style>
  <w:style w:type="paragraph" w:styleId="Footer">
    <w:name w:val="footer"/>
    <w:basedOn w:val="Normal"/>
    <w:link w:val="FooterChar"/>
    <w:uiPriority w:val="99"/>
    <w:rsid w:val="00E53520"/>
    <w:pPr>
      <w:tabs>
        <w:tab w:val="center" w:pos="4320"/>
        <w:tab w:val="right" w:pos="8640"/>
      </w:tabs>
    </w:pPr>
  </w:style>
  <w:style w:type="character" w:customStyle="1" w:styleId="FooterChar">
    <w:name w:val="Footer Char"/>
    <w:link w:val="Footer"/>
    <w:uiPriority w:val="99"/>
    <w:rsid w:val="00DA0C7B"/>
    <w:rPr>
      <w:sz w:val="24"/>
      <w:szCs w:val="24"/>
    </w:rPr>
  </w:style>
  <w:style w:type="paragraph" w:styleId="BodyText">
    <w:name w:val="Body Text"/>
    <w:basedOn w:val="Normal"/>
    <w:link w:val="BodyTextChar"/>
    <w:rsid w:val="00E53520"/>
    <w:pPr>
      <w:jc w:val="center"/>
    </w:pPr>
    <w:rPr>
      <w:rFonts w:ascii="Palatino Linotype" w:hAnsi="Palatino Linotype"/>
    </w:rPr>
  </w:style>
  <w:style w:type="character" w:styleId="PageNumber">
    <w:name w:val="page number"/>
    <w:basedOn w:val="DefaultParagraphFont"/>
    <w:rsid w:val="00E53520"/>
  </w:style>
  <w:style w:type="paragraph" w:styleId="Title">
    <w:name w:val="Title"/>
    <w:basedOn w:val="Normal"/>
    <w:qFormat/>
    <w:rsid w:val="00E53520"/>
    <w:pPr>
      <w:jc w:val="center"/>
    </w:pPr>
    <w:rPr>
      <w:rFonts w:ascii="Palatino Linotype" w:hAnsi="Palatino Linotype"/>
      <w:b/>
    </w:rPr>
  </w:style>
  <w:style w:type="paragraph" w:styleId="BalloonText">
    <w:name w:val="Balloon Text"/>
    <w:basedOn w:val="Normal"/>
    <w:link w:val="BalloonTextChar"/>
    <w:uiPriority w:val="99"/>
    <w:semiHidden/>
    <w:rsid w:val="00D365CE"/>
    <w:rPr>
      <w:rFonts w:ascii="Tahoma" w:hAnsi="Tahoma"/>
      <w:sz w:val="16"/>
      <w:szCs w:val="16"/>
    </w:rPr>
  </w:style>
  <w:style w:type="character" w:customStyle="1" w:styleId="BalloonTextChar">
    <w:name w:val="Balloon Text Char"/>
    <w:link w:val="BalloonText"/>
    <w:uiPriority w:val="99"/>
    <w:semiHidden/>
    <w:rsid w:val="00DA0C7B"/>
    <w:rPr>
      <w:rFonts w:ascii="Tahoma" w:hAnsi="Tahoma" w:cs="Tahoma"/>
      <w:sz w:val="16"/>
      <w:szCs w:val="16"/>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rsid w:val="003D28FF"/>
    <w:rPr>
      <w:sz w:val="22"/>
      <w:szCs w:val="2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rsid w:val="003D28FF"/>
    <w:rPr>
      <w:sz w:val="22"/>
    </w:rPr>
  </w:style>
  <w:style w:type="character" w:styleId="FootnoteReference">
    <w:name w:val="footnote reference"/>
    <w:uiPriority w:val="99"/>
    <w:rsid w:val="00022311"/>
    <w:rPr>
      <w:vertAlign w:val="superscript"/>
    </w:rPr>
  </w:style>
  <w:style w:type="paragraph" w:customStyle="1" w:styleId="plain">
    <w:name w:val="plain"/>
    <w:basedOn w:val="Normal"/>
    <w:rsid w:val="009048E8"/>
    <w:pPr>
      <w:spacing w:line="240" w:lineRule="atLeast"/>
    </w:pPr>
    <w:rPr>
      <w:sz w:val="26"/>
      <w:szCs w:val="20"/>
    </w:rPr>
  </w:style>
  <w:style w:type="paragraph" w:styleId="TOC1">
    <w:name w:val="toc 1"/>
    <w:basedOn w:val="Normal"/>
    <w:next w:val="Normal"/>
    <w:autoRedefine/>
    <w:uiPriority w:val="39"/>
    <w:qFormat/>
    <w:rsid w:val="000E101D"/>
    <w:pPr>
      <w:spacing w:before="360"/>
    </w:pPr>
    <w:rPr>
      <w:rFonts w:ascii="Cambria" w:hAnsi="Cambria"/>
      <w:b/>
      <w:bCs/>
      <w:caps/>
    </w:rPr>
  </w:style>
  <w:style w:type="paragraph" w:styleId="TOC2">
    <w:name w:val="toc 2"/>
    <w:basedOn w:val="Normal"/>
    <w:next w:val="Normal"/>
    <w:autoRedefine/>
    <w:uiPriority w:val="39"/>
    <w:qFormat/>
    <w:rsid w:val="002C5025"/>
    <w:pPr>
      <w:spacing w:before="240"/>
    </w:pPr>
    <w:rPr>
      <w:rFonts w:ascii="Calibri" w:hAnsi="Calibri" w:cs="Calibri"/>
      <w:b/>
      <w:bCs/>
      <w:sz w:val="20"/>
      <w:szCs w:val="20"/>
    </w:rPr>
  </w:style>
  <w:style w:type="paragraph" w:styleId="TOC3">
    <w:name w:val="toc 3"/>
    <w:basedOn w:val="Normal"/>
    <w:next w:val="Normal"/>
    <w:autoRedefine/>
    <w:uiPriority w:val="39"/>
    <w:qFormat/>
    <w:rsid w:val="002C5025"/>
    <w:pPr>
      <w:ind w:left="240"/>
    </w:pPr>
    <w:rPr>
      <w:rFonts w:ascii="Calibri" w:hAnsi="Calibri" w:cs="Calibri"/>
      <w:sz w:val="20"/>
      <w:szCs w:val="20"/>
    </w:rPr>
  </w:style>
  <w:style w:type="paragraph" w:styleId="TOC4">
    <w:name w:val="toc 4"/>
    <w:basedOn w:val="Normal"/>
    <w:next w:val="Normal"/>
    <w:autoRedefine/>
    <w:uiPriority w:val="39"/>
    <w:rsid w:val="00266C55"/>
    <w:pPr>
      <w:tabs>
        <w:tab w:val="left" w:pos="960"/>
        <w:tab w:val="right" w:leader="dot" w:pos="8630"/>
      </w:tabs>
      <w:spacing w:line="264" w:lineRule="auto"/>
      <w:ind w:left="475"/>
    </w:pPr>
    <w:rPr>
      <w:rFonts w:ascii="Calibri" w:hAnsi="Calibri" w:cs="Calibri"/>
      <w:sz w:val="20"/>
      <w:szCs w:val="20"/>
    </w:rPr>
  </w:style>
  <w:style w:type="paragraph" w:styleId="TOC5">
    <w:name w:val="toc 5"/>
    <w:basedOn w:val="Normal"/>
    <w:next w:val="Normal"/>
    <w:autoRedefine/>
    <w:uiPriority w:val="39"/>
    <w:rsid w:val="002C5025"/>
    <w:pPr>
      <w:ind w:left="720"/>
    </w:pPr>
    <w:rPr>
      <w:rFonts w:ascii="Calibri" w:hAnsi="Calibri" w:cs="Calibri"/>
      <w:sz w:val="20"/>
      <w:szCs w:val="20"/>
    </w:rPr>
  </w:style>
  <w:style w:type="paragraph" w:styleId="TOC6">
    <w:name w:val="toc 6"/>
    <w:basedOn w:val="Normal"/>
    <w:next w:val="Normal"/>
    <w:autoRedefine/>
    <w:semiHidden/>
    <w:rsid w:val="002C5025"/>
    <w:pPr>
      <w:ind w:left="960"/>
    </w:pPr>
    <w:rPr>
      <w:rFonts w:ascii="Calibri" w:hAnsi="Calibri" w:cs="Calibri"/>
      <w:sz w:val="20"/>
      <w:szCs w:val="20"/>
    </w:rPr>
  </w:style>
  <w:style w:type="paragraph" w:styleId="TOC7">
    <w:name w:val="toc 7"/>
    <w:basedOn w:val="Normal"/>
    <w:next w:val="Normal"/>
    <w:autoRedefine/>
    <w:semiHidden/>
    <w:rsid w:val="002C5025"/>
    <w:pPr>
      <w:ind w:left="1200"/>
    </w:pPr>
    <w:rPr>
      <w:rFonts w:ascii="Calibri" w:hAnsi="Calibri" w:cs="Calibri"/>
      <w:sz w:val="20"/>
      <w:szCs w:val="20"/>
    </w:rPr>
  </w:style>
  <w:style w:type="paragraph" w:styleId="TOC8">
    <w:name w:val="toc 8"/>
    <w:basedOn w:val="Normal"/>
    <w:next w:val="Normal"/>
    <w:autoRedefine/>
    <w:semiHidden/>
    <w:rsid w:val="002C5025"/>
    <w:pPr>
      <w:ind w:left="1440"/>
    </w:pPr>
    <w:rPr>
      <w:rFonts w:ascii="Calibri" w:hAnsi="Calibri" w:cs="Calibri"/>
      <w:sz w:val="20"/>
      <w:szCs w:val="20"/>
    </w:rPr>
  </w:style>
  <w:style w:type="paragraph" w:styleId="TOC9">
    <w:name w:val="toc 9"/>
    <w:basedOn w:val="Normal"/>
    <w:next w:val="Normal"/>
    <w:autoRedefine/>
    <w:semiHidden/>
    <w:rsid w:val="002C5025"/>
    <w:pPr>
      <w:ind w:left="1680"/>
    </w:pPr>
    <w:rPr>
      <w:rFonts w:ascii="Calibri" w:hAnsi="Calibri" w:cs="Calibri"/>
      <w:sz w:val="20"/>
      <w:szCs w:val="20"/>
    </w:rPr>
  </w:style>
  <w:style w:type="character" w:styleId="Hyperlink">
    <w:name w:val="Hyperlink"/>
    <w:uiPriority w:val="99"/>
    <w:rsid w:val="002C5025"/>
    <w:rPr>
      <w:color w:val="0000FF"/>
      <w:u w:val="single"/>
    </w:rPr>
  </w:style>
  <w:style w:type="table" w:styleId="TableGrid">
    <w:name w:val="Table Grid"/>
    <w:basedOn w:val="TableNormal"/>
    <w:uiPriority w:val="59"/>
    <w:rsid w:val="002A6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367FCD"/>
    <w:pPr>
      <w:spacing w:after="120" w:line="480" w:lineRule="auto"/>
    </w:pPr>
    <w:rPr>
      <w:rFonts w:ascii="Palatino Linotype" w:hAnsi="Palatino Linotype"/>
      <w:szCs w:val="12"/>
    </w:rPr>
  </w:style>
  <w:style w:type="character" w:customStyle="1" w:styleId="RCWSLText">
    <w:name w:val="RCWSLText"/>
    <w:rsid w:val="00F85CBB"/>
    <w:rPr>
      <w:rFonts w:ascii="Courier New" w:hAnsi="Courier New" w:cs="Courier New"/>
      <w:sz w:val="24"/>
      <w:szCs w:val="24"/>
      <w:lang w:val="en-US"/>
    </w:rPr>
  </w:style>
  <w:style w:type="paragraph" w:styleId="Quote">
    <w:name w:val="Quote"/>
    <w:basedOn w:val="Normal"/>
    <w:next w:val="Normal"/>
    <w:qFormat/>
    <w:rsid w:val="0029066B"/>
    <w:pPr>
      <w:spacing w:before="240"/>
      <w:ind w:left="1440" w:right="360"/>
    </w:pPr>
    <w:rPr>
      <w:spacing w:val="-2"/>
      <w:szCs w:val="20"/>
    </w:rPr>
  </w:style>
  <w:style w:type="paragraph" w:customStyle="1" w:styleId="ParNumber">
    <w:name w:val="ParNumber"/>
    <w:basedOn w:val="Normal"/>
    <w:rsid w:val="00882769"/>
    <w:pPr>
      <w:numPr>
        <w:numId w:val="6"/>
      </w:numPr>
      <w:tabs>
        <w:tab w:val="clear" w:pos="360"/>
        <w:tab w:val="left" w:pos="720"/>
      </w:tabs>
      <w:ind w:left="0" w:hanging="720"/>
    </w:pPr>
  </w:style>
  <w:style w:type="character" w:customStyle="1" w:styleId="iii-std1">
    <w:name w:val="iii-std1"/>
    <w:rsid w:val="006D528D"/>
    <w:rPr>
      <w:rFonts w:ascii="Arial" w:hAnsi="Arial" w:cs="Arial" w:hint="default"/>
      <w:sz w:val="18"/>
      <w:szCs w:val="18"/>
    </w:rPr>
  </w:style>
  <w:style w:type="paragraph" w:styleId="ListParagraph">
    <w:name w:val="List Paragraph"/>
    <w:basedOn w:val="Normal"/>
    <w:uiPriority w:val="34"/>
    <w:qFormat/>
    <w:rsid w:val="00BC3EC6"/>
    <w:pPr>
      <w:ind w:left="720"/>
    </w:pPr>
  </w:style>
  <w:style w:type="paragraph" w:customStyle="1" w:styleId="answer">
    <w:name w:val="answer"/>
    <w:basedOn w:val="Normal"/>
    <w:link w:val="answerChar"/>
    <w:rsid w:val="00DA0C7B"/>
    <w:pPr>
      <w:spacing w:before="120" w:after="120" w:line="480" w:lineRule="auto"/>
      <w:ind w:left="720" w:hanging="720"/>
    </w:pPr>
    <w:rPr>
      <w:rFonts w:eastAsia="SimSun"/>
      <w:sz w:val="20"/>
      <w:lang w:eastAsia="zh-CN"/>
    </w:rPr>
  </w:style>
  <w:style w:type="character" w:customStyle="1" w:styleId="answerChar">
    <w:name w:val="answer Char"/>
    <w:link w:val="answer"/>
    <w:rsid w:val="00DA0C7B"/>
    <w:rPr>
      <w:rFonts w:eastAsia="SimSun"/>
      <w:szCs w:val="24"/>
      <w:lang w:eastAsia="zh-CN"/>
    </w:rPr>
  </w:style>
  <w:style w:type="character" w:styleId="CommentReference">
    <w:name w:val="annotation reference"/>
    <w:uiPriority w:val="99"/>
    <w:unhideWhenUsed/>
    <w:rsid w:val="00DA0C7B"/>
    <w:rPr>
      <w:sz w:val="16"/>
      <w:szCs w:val="16"/>
    </w:rPr>
  </w:style>
  <w:style w:type="paragraph" w:styleId="CommentText">
    <w:name w:val="annotation text"/>
    <w:basedOn w:val="Normal"/>
    <w:link w:val="CommentTextChar"/>
    <w:uiPriority w:val="99"/>
    <w:unhideWhenUsed/>
    <w:rsid w:val="00DA0C7B"/>
    <w:pPr>
      <w:spacing w:after="200"/>
    </w:pPr>
    <w:rPr>
      <w:rFonts w:eastAsia="Calibri"/>
      <w:sz w:val="20"/>
      <w:szCs w:val="20"/>
    </w:rPr>
  </w:style>
  <w:style w:type="character" w:customStyle="1" w:styleId="CommentTextChar">
    <w:name w:val="Comment Text Char"/>
    <w:link w:val="CommentText"/>
    <w:uiPriority w:val="99"/>
    <w:rsid w:val="00DA0C7B"/>
    <w:rPr>
      <w:rFonts w:eastAsia="Calibri"/>
    </w:rPr>
  </w:style>
  <w:style w:type="character" w:customStyle="1" w:styleId="CommentSubjectChar">
    <w:name w:val="Comment Subject Char"/>
    <w:link w:val="CommentSubject"/>
    <w:uiPriority w:val="99"/>
    <w:rsid w:val="00DA0C7B"/>
    <w:rPr>
      <w:b/>
      <w:bCs/>
    </w:rPr>
  </w:style>
  <w:style w:type="paragraph" w:styleId="CommentSubject">
    <w:name w:val="annotation subject"/>
    <w:basedOn w:val="CommentText"/>
    <w:next w:val="CommentText"/>
    <w:link w:val="CommentSubjectChar"/>
    <w:uiPriority w:val="99"/>
    <w:unhideWhenUsed/>
    <w:rsid w:val="00DA0C7B"/>
    <w:rPr>
      <w:rFonts w:eastAsia="Times New Roman"/>
      <w:b/>
      <w:bCs/>
    </w:rPr>
  </w:style>
  <w:style w:type="character" w:customStyle="1" w:styleId="CommentSubjectChar1">
    <w:name w:val="Comment Subject Char1"/>
    <w:rsid w:val="00DA0C7B"/>
    <w:rPr>
      <w:rFonts w:eastAsia="Calibri"/>
      <w:b/>
      <w:bCs/>
    </w:rPr>
  </w:style>
  <w:style w:type="paragraph" w:styleId="Revision">
    <w:name w:val="Revision"/>
    <w:hidden/>
    <w:uiPriority w:val="99"/>
    <w:semiHidden/>
    <w:rsid w:val="00DA0C7B"/>
    <w:rPr>
      <w:rFonts w:eastAsia="Calibri"/>
      <w:sz w:val="26"/>
      <w:szCs w:val="26"/>
    </w:rPr>
  </w:style>
  <w:style w:type="paragraph" w:styleId="NoSpacing">
    <w:name w:val="No Spacing"/>
    <w:uiPriority w:val="1"/>
    <w:qFormat/>
    <w:rsid w:val="00DA0C7B"/>
    <w:rPr>
      <w:rFonts w:eastAsia="Calibri"/>
      <w:sz w:val="26"/>
      <w:szCs w:val="26"/>
    </w:rPr>
  </w:style>
  <w:style w:type="character" w:customStyle="1" w:styleId="Heading3Char">
    <w:name w:val="Heading 3 Char"/>
    <w:link w:val="Heading3"/>
    <w:rsid w:val="00D337A8"/>
    <w:rPr>
      <w:rFonts w:ascii="Cambria" w:eastAsia="Times New Roman" w:hAnsi="Cambria" w:cs="Times New Roman"/>
      <w:b/>
      <w:bCs/>
      <w:sz w:val="26"/>
      <w:szCs w:val="26"/>
    </w:rPr>
  </w:style>
  <w:style w:type="character" w:customStyle="1" w:styleId="BodyTextChar">
    <w:name w:val="Body Text Char"/>
    <w:link w:val="BodyText"/>
    <w:rsid w:val="00D337A8"/>
    <w:rPr>
      <w:rFonts w:ascii="Palatino Linotype" w:hAnsi="Palatino Linotype"/>
      <w:sz w:val="24"/>
      <w:szCs w:val="24"/>
    </w:rPr>
  </w:style>
  <w:style w:type="character" w:customStyle="1" w:styleId="Heading4Char">
    <w:name w:val="Heading 4 Char"/>
    <w:link w:val="Heading4"/>
    <w:rsid w:val="00D337A8"/>
    <w:rPr>
      <w:rFonts w:ascii="Calibri" w:eastAsia="Times New Roman" w:hAnsi="Calibri" w:cs="Times New Roman"/>
      <w:b/>
      <w:bCs/>
      <w:sz w:val="28"/>
      <w:szCs w:val="28"/>
    </w:rPr>
  </w:style>
  <w:style w:type="character" w:customStyle="1" w:styleId="Heading5Char">
    <w:name w:val="Heading 5 Char"/>
    <w:link w:val="Heading5"/>
    <w:rsid w:val="00D06480"/>
    <w:rPr>
      <w:rFonts w:ascii="Calibri" w:eastAsia="Times New Roman" w:hAnsi="Calibri" w:cs="Times New Roman"/>
      <w:b/>
      <w:bCs/>
      <w:i/>
      <w:iCs/>
      <w:sz w:val="26"/>
      <w:szCs w:val="26"/>
    </w:rPr>
  </w:style>
  <w:style w:type="paragraph" w:styleId="TOCHeading">
    <w:name w:val="TOC Heading"/>
    <w:basedOn w:val="Heading1"/>
    <w:next w:val="Normal"/>
    <w:uiPriority w:val="39"/>
    <w:semiHidden/>
    <w:unhideWhenUsed/>
    <w:qFormat/>
    <w:rsid w:val="00563AFA"/>
    <w:pPr>
      <w:keepLines/>
      <w:spacing w:before="480" w:after="0" w:line="276" w:lineRule="auto"/>
      <w:outlineLvl w:val="9"/>
    </w:pPr>
    <w:rPr>
      <w:rFonts w:ascii="Cambria" w:eastAsia="MS Gothic" w:hAnsi="Cambria"/>
      <w:color w:val="365F91"/>
      <w:kern w:val="0"/>
      <w:sz w:val="28"/>
      <w:szCs w:val="28"/>
      <w:lang w:eastAsia="ja-JP"/>
    </w:rPr>
  </w:style>
  <w:style w:type="character" w:styleId="PlaceholderText">
    <w:name w:val="Placeholder Text"/>
    <w:basedOn w:val="DefaultParagraphFont"/>
    <w:uiPriority w:val="99"/>
    <w:semiHidden/>
    <w:rsid w:val="009723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2011-03-25T07:00:00+00:00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EA1BF27-E604-44F9-8A38-3A17E8149B7D}"/>
</file>

<file path=customXml/itemProps2.xml><?xml version="1.0" encoding="utf-8"?>
<ds:datastoreItem xmlns:ds="http://schemas.openxmlformats.org/officeDocument/2006/customXml" ds:itemID="{F0460670-BCC7-48EB-89BD-DC71E65C0913}"/>
</file>

<file path=customXml/itemProps3.xml><?xml version="1.0" encoding="utf-8"?>
<ds:datastoreItem xmlns:ds="http://schemas.openxmlformats.org/officeDocument/2006/customXml" ds:itemID="{9542F27B-E152-42EE-B4B0-8992E15AAC29}"/>
</file>

<file path=customXml/itemProps4.xml><?xml version="1.0" encoding="utf-8"?>
<ds:datastoreItem xmlns:ds="http://schemas.openxmlformats.org/officeDocument/2006/customXml" ds:itemID="{3966CDBF-8DE5-4BCB-BDB8-894CB06B8E69}"/>
</file>

<file path=docProps/app.xml><?xml version="1.0" encoding="utf-8"?>
<Properties xmlns="http://schemas.openxmlformats.org/officeDocument/2006/extended-properties" xmlns:vt="http://schemas.openxmlformats.org/officeDocument/2006/docPropsVTypes">
  <Template>Normal.dotm</Template>
  <TotalTime>0</TotalTime>
  <Pages>131</Pages>
  <Words>32941</Words>
  <Characters>187769</Characters>
  <Application>Microsoft Office Word</Application>
  <DocSecurity>0</DocSecurity>
  <Lines>1564</Lines>
  <Paragraphs>440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220270</CharactersWithSpaces>
  <SharedDoc>false</SharedDoc>
  <HLinks>
    <vt:vector size="330" baseType="variant">
      <vt:variant>
        <vt:i4>1572914</vt:i4>
      </vt:variant>
      <vt:variant>
        <vt:i4>326</vt:i4>
      </vt:variant>
      <vt:variant>
        <vt:i4>0</vt:i4>
      </vt:variant>
      <vt:variant>
        <vt:i4>5</vt:i4>
      </vt:variant>
      <vt:variant>
        <vt:lpwstr/>
      </vt:variant>
      <vt:variant>
        <vt:lpwstr>_Toc286750308</vt:lpwstr>
      </vt:variant>
      <vt:variant>
        <vt:i4>1572914</vt:i4>
      </vt:variant>
      <vt:variant>
        <vt:i4>320</vt:i4>
      </vt:variant>
      <vt:variant>
        <vt:i4>0</vt:i4>
      </vt:variant>
      <vt:variant>
        <vt:i4>5</vt:i4>
      </vt:variant>
      <vt:variant>
        <vt:lpwstr/>
      </vt:variant>
      <vt:variant>
        <vt:lpwstr>_Toc286750307</vt:lpwstr>
      </vt:variant>
      <vt:variant>
        <vt:i4>1572914</vt:i4>
      </vt:variant>
      <vt:variant>
        <vt:i4>314</vt:i4>
      </vt:variant>
      <vt:variant>
        <vt:i4>0</vt:i4>
      </vt:variant>
      <vt:variant>
        <vt:i4>5</vt:i4>
      </vt:variant>
      <vt:variant>
        <vt:lpwstr/>
      </vt:variant>
      <vt:variant>
        <vt:lpwstr>_Toc286750306</vt:lpwstr>
      </vt:variant>
      <vt:variant>
        <vt:i4>1572914</vt:i4>
      </vt:variant>
      <vt:variant>
        <vt:i4>308</vt:i4>
      </vt:variant>
      <vt:variant>
        <vt:i4>0</vt:i4>
      </vt:variant>
      <vt:variant>
        <vt:i4>5</vt:i4>
      </vt:variant>
      <vt:variant>
        <vt:lpwstr/>
      </vt:variant>
      <vt:variant>
        <vt:lpwstr>_Toc286750305</vt:lpwstr>
      </vt:variant>
      <vt:variant>
        <vt:i4>1572914</vt:i4>
      </vt:variant>
      <vt:variant>
        <vt:i4>302</vt:i4>
      </vt:variant>
      <vt:variant>
        <vt:i4>0</vt:i4>
      </vt:variant>
      <vt:variant>
        <vt:i4>5</vt:i4>
      </vt:variant>
      <vt:variant>
        <vt:lpwstr/>
      </vt:variant>
      <vt:variant>
        <vt:lpwstr>_Toc286750304</vt:lpwstr>
      </vt:variant>
      <vt:variant>
        <vt:i4>1572914</vt:i4>
      </vt:variant>
      <vt:variant>
        <vt:i4>296</vt:i4>
      </vt:variant>
      <vt:variant>
        <vt:i4>0</vt:i4>
      </vt:variant>
      <vt:variant>
        <vt:i4>5</vt:i4>
      </vt:variant>
      <vt:variant>
        <vt:lpwstr/>
      </vt:variant>
      <vt:variant>
        <vt:lpwstr>_Toc286750303</vt:lpwstr>
      </vt:variant>
      <vt:variant>
        <vt:i4>1572914</vt:i4>
      </vt:variant>
      <vt:variant>
        <vt:i4>290</vt:i4>
      </vt:variant>
      <vt:variant>
        <vt:i4>0</vt:i4>
      </vt:variant>
      <vt:variant>
        <vt:i4>5</vt:i4>
      </vt:variant>
      <vt:variant>
        <vt:lpwstr/>
      </vt:variant>
      <vt:variant>
        <vt:lpwstr>_Toc286750302</vt:lpwstr>
      </vt:variant>
      <vt:variant>
        <vt:i4>1572914</vt:i4>
      </vt:variant>
      <vt:variant>
        <vt:i4>284</vt:i4>
      </vt:variant>
      <vt:variant>
        <vt:i4>0</vt:i4>
      </vt:variant>
      <vt:variant>
        <vt:i4>5</vt:i4>
      </vt:variant>
      <vt:variant>
        <vt:lpwstr/>
      </vt:variant>
      <vt:variant>
        <vt:lpwstr>_Toc286750301</vt:lpwstr>
      </vt:variant>
      <vt:variant>
        <vt:i4>1572914</vt:i4>
      </vt:variant>
      <vt:variant>
        <vt:i4>278</vt:i4>
      </vt:variant>
      <vt:variant>
        <vt:i4>0</vt:i4>
      </vt:variant>
      <vt:variant>
        <vt:i4>5</vt:i4>
      </vt:variant>
      <vt:variant>
        <vt:lpwstr/>
      </vt:variant>
      <vt:variant>
        <vt:lpwstr>_Toc286750300</vt:lpwstr>
      </vt:variant>
      <vt:variant>
        <vt:i4>1114163</vt:i4>
      </vt:variant>
      <vt:variant>
        <vt:i4>272</vt:i4>
      </vt:variant>
      <vt:variant>
        <vt:i4>0</vt:i4>
      </vt:variant>
      <vt:variant>
        <vt:i4>5</vt:i4>
      </vt:variant>
      <vt:variant>
        <vt:lpwstr/>
      </vt:variant>
      <vt:variant>
        <vt:lpwstr>_Toc286750299</vt:lpwstr>
      </vt:variant>
      <vt:variant>
        <vt:i4>1114163</vt:i4>
      </vt:variant>
      <vt:variant>
        <vt:i4>266</vt:i4>
      </vt:variant>
      <vt:variant>
        <vt:i4>0</vt:i4>
      </vt:variant>
      <vt:variant>
        <vt:i4>5</vt:i4>
      </vt:variant>
      <vt:variant>
        <vt:lpwstr/>
      </vt:variant>
      <vt:variant>
        <vt:lpwstr>_Toc286750298</vt:lpwstr>
      </vt:variant>
      <vt:variant>
        <vt:i4>1114163</vt:i4>
      </vt:variant>
      <vt:variant>
        <vt:i4>260</vt:i4>
      </vt:variant>
      <vt:variant>
        <vt:i4>0</vt:i4>
      </vt:variant>
      <vt:variant>
        <vt:i4>5</vt:i4>
      </vt:variant>
      <vt:variant>
        <vt:lpwstr/>
      </vt:variant>
      <vt:variant>
        <vt:lpwstr>_Toc286750297</vt:lpwstr>
      </vt:variant>
      <vt:variant>
        <vt:i4>1114163</vt:i4>
      </vt:variant>
      <vt:variant>
        <vt:i4>254</vt:i4>
      </vt:variant>
      <vt:variant>
        <vt:i4>0</vt:i4>
      </vt:variant>
      <vt:variant>
        <vt:i4>5</vt:i4>
      </vt:variant>
      <vt:variant>
        <vt:lpwstr/>
      </vt:variant>
      <vt:variant>
        <vt:lpwstr>_Toc286750296</vt:lpwstr>
      </vt:variant>
      <vt:variant>
        <vt:i4>1114163</vt:i4>
      </vt:variant>
      <vt:variant>
        <vt:i4>248</vt:i4>
      </vt:variant>
      <vt:variant>
        <vt:i4>0</vt:i4>
      </vt:variant>
      <vt:variant>
        <vt:i4>5</vt:i4>
      </vt:variant>
      <vt:variant>
        <vt:lpwstr/>
      </vt:variant>
      <vt:variant>
        <vt:lpwstr>_Toc286750295</vt:lpwstr>
      </vt:variant>
      <vt:variant>
        <vt:i4>1114163</vt:i4>
      </vt:variant>
      <vt:variant>
        <vt:i4>242</vt:i4>
      </vt:variant>
      <vt:variant>
        <vt:i4>0</vt:i4>
      </vt:variant>
      <vt:variant>
        <vt:i4>5</vt:i4>
      </vt:variant>
      <vt:variant>
        <vt:lpwstr/>
      </vt:variant>
      <vt:variant>
        <vt:lpwstr>_Toc286750294</vt:lpwstr>
      </vt:variant>
      <vt:variant>
        <vt:i4>1114163</vt:i4>
      </vt:variant>
      <vt:variant>
        <vt:i4>236</vt:i4>
      </vt:variant>
      <vt:variant>
        <vt:i4>0</vt:i4>
      </vt:variant>
      <vt:variant>
        <vt:i4>5</vt:i4>
      </vt:variant>
      <vt:variant>
        <vt:lpwstr/>
      </vt:variant>
      <vt:variant>
        <vt:lpwstr>_Toc286750293</vt:lpwstr>
      </vt:variant>
      <vt:variant>
        <vt:i4>1114163</vt:i4>
      </vt:variant>
      <vt:variant>
        <vt:i4>230</vt:i4>
      </vt:variant>
      <vt:variant>
        <vt:i4>0</vt:i4>
      </vt:variant>
      <vt:variant>
        <vt:i4>5</vt:i4>
      </vt:variant>
      <vt:variant>
        <vt:lpwstr/>
      </vt:variant>
      <vt:variant>
        <vt:lpwstr>_Toc286750292</vt:lpwstr>
      </vt:variant>
      <vt:variant>
        <vt:i4>1114163</vt:i4>
      </vt:variant>
      <vt:variant>
        <vt:i4>224</vt:i4>
      </vt:variant>
      <vt:variant>
        <vt:i4>0</vt:i4>
      </vt:variant>
      <vt:variant>
        <vt:i4>5</vt:i4>
      </vt:variant>
      <vt:variant>
        <vt:lpwstr/>
      </vt:variant>
      <vt:variant>
        <vt:lpwstr>_Toc286750291</vt:lpwstr>
      </vt:variant>
      <vt:variant>
        <vt:i4>1114163</vt:i4>
      </vt:variant>
      <vt:variant>
        <vt:i4>218</vt:i4>
      </vt:variant>
      <vt:variant>
        <vt:i4>0</vt:i4>
      </vt:variant>
      <vt:variant>
        <vt:i4>5</vt:i4>
      </vt:variant>
      <vt:variant>
        <vt:lpwstr/>
      </vt:variant>
      <vt:variant>
        <vt:lpwstr>_Toc286750290</vt:lpwstr>
      </vt:variant>
      <vt:variant>
        <vt:i4>1048627</vt:i4>
      </vt:variant>
      <vt:variant>
        <vt:i4>212</vt:i4>
      </vt:variant>
      <vt:variant>
        <vt:i4>0</vt:i4>
      </vt:variant>
      <vt:variant>
        <vt:i4>5</vt:i4>
      </vt:variant>
      <vt:variant>
        <vt:lpwstr/>
      </vt:variant>
      <vt:variant>
        <vt:lpwstr>_Toc286750289</vt:lpwstr>
      </vt:variant>
      <vt:variant>
        <vt:i4>1048627</vt:i4>
      </vt:variant>
      <vt:variant>
        <vt:i4>206</vt:i4>
      </vt:variant>
      <vt:variant>
        <vt:i4>0</vt:i4>
      </vt:variant>
      <vt:variant>
        <vt:i4>5</vt:i4>
      </vt:variant>
      <vt:variant>
        <vt:lpwstr/>
      </vt:variant>
      <vt:variant>
        <vt:lpwstr>_Toc286750288</vt:lpwstr>
      </vt:variant>
      <vt:variant>
        <vt:i4>1048627</vt:i4>
      </vt:variant>
      <vt:variant>
        <vt:i4>200</vt:i4>
      </vt:variant>
      <vt:variant>
        <vt:i4>0</vt:i4>
      </vt:variant>
      <vt:variant>
        <vt:i4>5</vt:i4>
      </vt:variant>
      <vt:variant>
        <vt:lpwstr/>
      </vt:variant>
      <vt:variant>
        <vt:lpwstr>_Toc286750287</vt:lpwstr>
      </vt:variant>
      <vt:variant>
        <vt:i4>1048627</vt:i4>
      </vt:variant>
      <vt:variant>
        <vt:i4>194</vt:i4>
      </vt:variant>
      <vt:variant>
        <vt:i4>0</vt:i4>
      </vt:variant>
      <vt:variant>
        <vt:i4>5</vt:i4>
      </vt:variant>
      <vt:variant>
        <vt:lpwstr/>
      </vt:variant>
      <vt:variant>
        <vt:lpwstr>_Toc286750286</vt:lpwstr>
      </vt:variant>
      <vt:variant>
        <vt:i4>1048627</vt:i4>
      </vt:variant>
      <vt:variant>
        <vt:i4>188</vt:i4>
      </vt:variant>
      <vt:variant>
        <vt:i4>0</vt:i4>
      </vt:variant>
      <vt:variant>
        <vt:i4>5</vt:i4>
      </vt:variant>
      <vt:variant>
        <vt:lpwstr/>
      </vt:variant>
      <vt:variant>
        <vt:lpwstr>_Toc286750285</vt:lpwstr>
      </vt:variant>
      <vt:variant>
        <vt:i4>1048627</vt:i4>
      </vt:variant>
      <vt:variant>
        <vt:i4>182</vt:i4>
      </vt:variant>
      <vt:variant>
        <vt:i4>0</vt:i4>
      </vt:variant>
      <vt:variant>
        <vt:i4>5</vt:i4>
      </vt:variant>
      <vt:variant>
        <vt:lpwstr/>
      </vt:variant>
      <vt:variant>
        <vt:lpwstr>_Toc286750284</vt:lpwstr>
      </vt:variant>
      <vt:variant>
        <vt:i4>1048627</vt:i4>
      </vt:variant>
      <vt:variant>
        <vt:i4>176</vt:i4>
      </vt:variant>
      <vt:variant>
        <vt:i4>0</vt:i4>
      </vt:variant>
      <vt:variant>
        <vt:i4>5</vt:i4>
      </vt:variant>
      <vt:variant>
        <vt:lpwstr/>
      </vt:variant>
      <vt:variant>
        <vt:lpwstr>_Toc286750283</vt:lpwstr>
      </vt:variant>
      <vt:variant>
        <vt:i4>1048627</vt:i4>
      </vt:variant>
      <vt:variant>
        <vt:i4>170</vt:i4>
      </vt:variant>
      <vt:variant>
        <vt:i4>0</vt:i4>
      </vt:variant>
      <vt:variant>
        <vt:i4>5</vt:i4>
      </vt:variant>
      <vt:variant>
        <vt:lpwstr/>
      </vt:variant>
      <vt:variant>
        <vt:lpwstr>_Toc286750282</vt:lpwstr>
      </vt:variant>
      <vt:variant>
        <vt:i4>1048627</vt:i4>
      </vt:variant>
      <vt:variant>
        <vt:i4>164</vt:i4>
      </vt:variant>
      <vt:variant>
        <vt:i4>0</vt:i4>
      </vt:variant>
      <vt:variant>
        <vt:i4>5</vt:i4>
      </vt:variant>
      <vt:variant>
        <vt:lpwstr/>
      </vt:variant>
      <vt:variant>
        <vt:lpwstr>_Toc286750281</vt:lpwstr>
      </vt:variant>
      <vt:variant>
        <vt:i4>1048627</vt:i4>
      </vt:variant>
      <vt:variant>
        <vt:i4>158</vt:i4>
      </vt:variant>
      <vt:variant>
        <vt:i4>0</vt:i4>
      </vt:variant>
      <vt:variant>
        <vt:i4>5</vt:i4>
      </vt:variant>
      <vt:variant>
        <vt:lpwstr/>
      </vt:variant>
      <vt:variant>
        <vt:lpwstr>_Toc286750280</vt:lpwstr>
      </vt:variant>
      <vt:variant>
        <vt:i4>2031667</vt:i4>
      </vt:variant>
      <vt:variant>
        <vt:i4>152</vt:i4>
      </vt:variant>
      <vt:variant>
        <vt:i4>0</vt:i4>
      </vt:variant>
      <vt:variant>
        <vt:i4>5</vt:i4>
      </vt:variant>
      <vt:variant>
        <vt:lpwstr/>
      </vt:variant>
      <vt:variant>
        <vt:lpwstr>_Toc286750279</vt:lpwstr>
      </vt:variant>
      <vt:variant>
        <vt:i4>2031667</vt:i4>
      </vt:variant>
      <vt:variant>
        <vt:i4>146</vt:i4>
      </vt:variant>
      <vt:variant>
        <vt:i4>0</vt:i4>
      </vt:variant>
      <vt:variant>
        <vt:i4>5</vt:i4>
      </vt:variant>
      <vt:variant>
        <vt:lpwstr/>
      </vt:variant>
      <vt:variant>
        <vt:lpwstr>_Toc286750278</vt:lpwstr>
      </vt:variant>
      <vt:variant>
        <vt:i4>2031667</vt:i4>
      </vt:variant>
      <vt:variant>
        <vt:i4>140</vt:i4>
      </vt:variant>
      <vt:variant>
        <vt:i4>0</vt:i4>
      </vt:variant>
      <vt:variant>
        <vt:i4>5</vt:i4>
      </vt:variant>
      <vt:variant>
        <vt:lpwstr/>
      </vt:variant>
      <vt:variant>
        <vt:lpwstr>_Toc286750277</vt:lpwstr>
      </vt:variant>
      <vt:variant>
        <vt:i4>2031667</vt:i4>
      </vt:variant>
      <vt:variant>
        <vt:i4>134</vt:i4>
      </vt:variant>
      <vt:variant>
        <vt:i4>0</vt:i4>
      </vt:variant>
      <vt:variant>
        <vt:i4>5</vt:i4>
      </vt:variant>
      <vt:variant>
        <vt:lpwstr/>
      </vt:variant>
      <vt:variant>
        <vt:lpwstr>_Toc286750276</vt:lpwstr>
      </vt:variant>
      <vt:variant>
        <vt:i4>2031667</vt:i4>
      </vt:variant>
      <vt:variant>
        <vt:i4>128</vt:i4>
      </vt:variant>
      <vt:variant>
        <vt:i4>0</vt:i4>
      </vt:variant>
      <vt:variant>
        <vt:i4>5</vt:i4>
      </vt:variant>
      <vt:variant>
        <vt:lpwstr/>
      </vt:variant>
      <vt:variant>
        <vt:lpwstr>_Toc286750275</vt:lpwstr>
      </vt:variant>
      <vt:variant>
        <vt:i4>2031667</vt:i4>
      </vt:variant>
      <vt:variant>
        <vt:i4>122</vt:i4>
      </vt:variant>
      <vt:variant>
        <vt:i4>0</vt:i4>
      </vt:variant>
      <vt:variant>
        <vt:i4>5</vt:i4>
      </vt:variant>
      <vt:variant>
        <vt:lpwstr/>
      </vt:variant>
      <vt:variant>
        <vt:lpwstr>_Toc286750274</vt:lpwstr>
      </vt:variant>
      <vt:variant>
        <vt:i4>2031667</vt:i4>
      </vt:variant>
      <vt:variant>
        <vt:i4>116</vt:i4>
      </vt:variant>
      <vt:variant>
        <vt:i4>0</vt:i4>
      </vt:variant>
      <vt:variant>
        <vt:i4>5</vt:i4>
      </vt:variant>
      <vt:variant>
        <vt:lpwstr/>
      </vt:variant>
      <vt:variant>
        <vt:lpwstr>_Toc286750273</vt:lpwstr>
      </vt:variant>
      <vt:variant>
        <vt:i4>2031667</vt:i4>
      </vt:variant>
      <vt:variant>
        <vt:i4>110</vt:i4>
      </vt:variant>
      <vt:variant>
        <vt:i4>0</vt:i4>
      </vt:variant>
      <vt:variant>
        <vt:i4>5</vt:i4>
      </vt:variant>
      <vt:variant>
        <vt:lpwstr/>
      </vt:variant>
      <vt:variant>
        <vt:lpwstr>_Toc286750272</vt:lpwstr>
      </vt:variant>
      <vt:variant>
        <vt:i4>2031667</vt:i4>
      </vt:variant>
      <vt:variant>
        <vt:i4>104</vt:i4>
      </vt:variant>
      <vt:variant>
        <vt:i4>0</vt:i4>
      </vt:variant>
      <vt:variant>
        <vt:i4>5</vt:i4>
      </vt:variant>
      <vt:variant>
        <vt:lpwstr/>
      </vt:variant>
      <vt:variant>
        <vt:lpwstr>_Toc286750271</vt:lpwstr>
      </vt:variant>
      <vt:variant>
        <vt:i4>2031667</vt:i4>
      </vt:variant>
      <vt:variant>
        <vt:i4>98</vt:i4>
      </vt:variant>
      <vt:variant>
        <vt:i4>0</vt:i4>
      </vt:variant>
      <vt:variant>
        <vt:i4>5</vt:i4>
      </vt:variant>
      <vt:variant>
        <vt:lpwstr/>
      </vt:variant>
      <vt:variant>
        <vt:lpwstr>_Toc286750270</vt:lpwstr>
      </vt:variant>
      <vt:variant>
        <vt:i4>1966131</vt:i4>
      </vt:variant>
      <vt:variant>
        <vt:i4>92</vt:i4>
      </vt:variant>
      <vt:variant>
        <vt:i4>0</vt:i4>
      </vt:variant>
      <vt:variant>
        <vt:i4>5</vt:i4>
      </vt:variant>
      <vt:variant>
        <vt:lpwstr/>
      </vt:variant>
      <vt:variant>
        <vt:lpwstr>_Toc286750269</vt:lpwstr>
      </vt:variant>
      <vt:variant>
        <vt:i4>1966131</vt:i4>
      </vt:variant>
      <vt:variant>
        <vt:i4>86</vt:i4>
      </vt:variant>
      <vt:variant>
        <vt:i4>0</vt:i4>
      </vt:variant>
      <vt:variant>
        <vt:i4>5</vt:i4>
      </vt:variant>
      <vt:variant>
        <vt:lpwstr/>
      </vt:variant>
      <vt:variant>
        <vt:lpwstr>_Toc286750268</vt:lpwstr>
      </vt:variant>
      <vt:variant>
        <vt:i4>1966131</vt:i4>
      </vt:variant>
      <vt:variant>
        <vt:i4>80</vt:i4>
      </vt:variant>
      <vt:variant>
        <vt:i4>0</vt:i4>
      </vt:variant>
      <vt:variant>
        <vt:i4>5</vt:i4>
      </vt:variant>
      <vt:variant>
        <vt:lpwstr/>
      </vt:variant>
      <vt:variant>
        <vt:lpwstr>_Toc286750267</vt:lpwstr>
      </vt:variant>
      <vt:variant>
        <vt:i4>1966131</vt:i4>
      </vt:variant>
      <vt:variant>
        <vt:i4>74</vt:i4>
      </vt:variant>
      <vt:variant>
        <vt:i4>0</vt:i4>
      </vt:variant>
      <vt:variant>
        <vt:i4>5</vt:i4>
      </vt:variant>
      <vt:variant>
        <vt:lpwstr/>
      </vt:variant>
      <vt:variant>
        <vt:lpwstr>_Toc286750266</vt:lpwstr>
      </vt:variant>
      <vt:variant>
        <vt:i4>1966131</vt:i4>
      </vt:variant>
      <vt:variant>
        <vt:i4>68</vt:i4>
      </vt:variant>
      <vt:variant>
        <vt:i4>0</vt:i4>
      </vt:variant>
      <vt:variant>
        <vt:i4>5</vt:i4>
      </vt:variant>
      <vt:variant>
        <vt:lpwstr/>
      </vt:variant>
      <vt:variant>
        <vt:lpwstr>_Toc286750265</vt:lpwstr>
      </vt:variant>
      <vt:variant>
        <vt:i4>1966131</vt:i4>
      </vt:variant>
      <vt:variant>
        <vt:i4>62</vt:i4>
      </vt:variant>
      <vt:variant>
        <vt:i4>0</vt:i4>
      </vt:variant>
      <vt:variant>
        <vt:i4>5</vt:i4>
      </vt:variant>
      <vt:variant>
        <vt:lpwstr/>
      </vt:variant>
      <vt:variant>
        <vt:lpwstr>_Toc286750264</vt:lpwstr>
      </vt:variant>
      <vt:variant>
        <vt:i4>1966131</vt:i4>
      </vt:variant>
      <vt:variant>
        <vt:i4>56</vt:i4>
      </vt:variant>
      <vt:variant>
        <vt:i4>0</vt:i4>
      </vt:variant>
      <vt:variant>
        <vt:i4>5</vt:i4>
      </vt:variant>
      <vt:variant>
        <vt:lpwstr/>
      </vt:variant>
      <vt:variant>
        <vt:lpwstr>_Toc286750263</vt:lpwstr>
      </vt:variant>
      <vt:variant>
        <vt:i4>1966131</vt:i4>
      </vt:variant>
      <vt:variant>
        <vt:i4>50</vt:i4>
      </vt:variant>
      <vt:variant>
        <vt:i4>0</vt:i4>
      </vt:variant>
      <vt:variant>
        <vt:i4>5</vt:i4>
      </vt:variant>
      <vt:variant>
        <vt:lpwstr/>
      </vt:variant>
      <vt:variant>
        <vt:lpwstr>_Toc286750262</vt:lpwstr>
      </vt:variant>
      <vt:variant>
        <vt:i4>1966131</vt:i4>
      </vt:variant>
      <vt:variant>
        <vt:i4>44</vt:i4>
      </vt:variant>
      <vt:variant>
        <vt:i4>0</vt:i4>
      </vt:variant>
      <vt:variant>
        <vt:i4>5</vt:i4>
      </vt:variant>
      <vt:variant>
        <vt:lpwstr/>
      </vt:variant>
      <vt:variant>
        <vt:lpwstr>_Toc286750261</vt:lpwstr>
      </vt:variant>
      <vt:variant>
        <vt:i4>1966131</vt:i4>
      </vt:variant>
      <vt:variant>
        <vt:i4>38</vt:i4>
      </vt:variant>
      <vt:variant>
        <vt:i4>0</vt:i4>
      </vt:variant>
      <vt:variant>
        <vt:i4>5</vt:i4>
      </vt:variant>
      <vt:variant>
        <vt:lpwstr/>
      </vt:variant>
      <vt:variant>
        <vt:lpwstr>_Toc286750260</vt:lpwstr>
      </vt:variant>
      <vt:variant>
        <vt:i4>1900595</vt:i4>
      </vt:variant>
      <vt:variant>
        <vt:i4>32</vt:i4>
      </vt:variant>
      <vt:variant>
        <vt:i4>0</vt:i4>
      </vt:variant>
      <vt:variant>
        <vt:i4>5</vt:i4>
      </vt:variant>
      <vt:variant>
        <vt:lpwstr/>
      </vt:variant>
      <vt:variant>
        <vt:lpwstr>_Toc286750258</vt:lpwstr>
      </vt:variant>
      <vt:variant>
        <vt:i4>1900595</vt:i4>
      </vt:variant>
      <vt:variant>
        <vt:i4>26</vt:i4>
      </vt:variant>
      <vt:variant>
        <vt:i4>0</vt:i4>
      </vt:variant>
      <vt:variant>
        <vt:i4>5</vt:i4>
      </vt:variant>
      <vt:variant>
        <vt:lpwstr/>
      </vt:variant>
      <vt:variant>
        <vt:lpwstr>_Toc286750257</vt:lpwstr>
      </vt:variant>
      <vt:variant>
        <vt:i4>1900595</vt:i4>
      </vt:variant>
      <vt:variant>
        <vt:i4>20</vt:i4>
      </vt:variant>
      <vt:variant>
        <vt:i4>0</vt:i4>
      </vt:variant>
      <vt:variant>
        <vt:i4>5</vt:i4>
      </vt:variant>
      <vt:variant>
        <vt:lpwstr/>
      </vt:variant>
      <vt:variant>
        <vt:lpwstr>_Toc286750256</vt:lpwstr>
      </vt:variant>
      <vt:variant>
        <vt:i4>1900595</vt:i4>
      </vt:variant>
      <vt:variant>
        <vt:i4>14</vt:i4>
      </vt:variant>
      <vt:variant>
        <vt:i4>0</vt:i4>
      </vt:variant>
      <vt:variant>
        <vt:i4>5</vt:i4>
      </vt:variant>
      <vt:variant>
        <vt:lpwstr/>
      </vt:variant>
      <vt:variant>
        <vt:lpwstr>_Toc286750255</vt:lpwstr>
      </vt:variant>
      <vt:variant>
        <vt:i4>1900595</vt:i4>
      </vt:variant>
      <vt:variant>
        <vt:i4>8</vt:i4>
      </vt:variant>
      <vt:variant>
        <vt:i4>0</vt:i4>
      </vt:variant>
      <vt:variant>
        <vt:i4>5</vt:i4>
      </vt:variant>
      <vt:variant>
        <vt:lpwstr/>
      </vt:variant>
      <vt:variant>
        <vt:lpwstr>_Toc286750254</vt:lpwstr>
      </vt:variant>
      <vt:variant>
        <vt:i4>1900595</vt:i4>
      </vt:variant>
      <vt:variant>
        <vt:i4>2</vt:i4>
      </vt:variant>
      <vt:variant>
        <vt:i4>0</vt:i4>
      </vt:variant>
      <vt:variant>
        <vt:i4>5</vt:i4>
      </vt:variant>
      <vt:variant>
        <vt:lpwstr/>
      </vt:variant>
      <vt:variant>
        <vt:lpwstr>_Toc286750253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2011-03-25T18:15:00Z</dcterms:created>
  <dcterms:modified xsi:type="dcterms:W3CDTF">2011-03-25T20:28:00Z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