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9F7E1" w14:textId="77777777" w:rsidR="00AE64C6" w:rsidRPr="004A2910" w:rsidRDefault="00AE64C6" w:rsidP="00F03002">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6DE77DCD" w14:textId="77777777" w:rsidR="00AE64C6" w:rsidRPr="004A2910" w:rsidRDefault="00AE64C6" w:rsidP="00F03002">
      <w:pPr>
        <w:jc w:val="both"/>
        <w:rPr>
          <w:sz w:val="24"/>
        </w:rPr>
      </w:pPr>
    </w:p>
    <w:p w14:paraId="64D22678" w14:textId="77777777" w:rsidR="00AE64C6" w:rsidRPr="004A2910" w:rsidRDefault="00AE64C6" w:rsidP="00F03002">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E64C6" w:rsidRPr="004A2910" w14:paraId="08D3BCEB" w14:textId="77777777" w:rsidTr="008A140A">
        <w:tc>
          <w:tcPr>
            <w:tcW w:w="4590" w:type="dxa"/>
            <w:tcBorders>
              <w:top w:val="single" w:sz="6" w:space="0" w:color="FFFFFF"/>
              <w:left w:val="single" w:sz="6" w:space="0" w:color="FFFFFF"/>
              <w:bottom w:val="single" w:sz="7" w:space="0" w:color="000000"/>
              <w:right w:val="single" w:sz="6" w:space="0" w:color="FFFFFF"/>
            </w:tcBorders>
          </w:tcPr>
          <w:p w14:paraId="62DC7A76" w14:textId="7B66CB98" w:rsidR="00AE64C6" w:rsidRPr="00154800" w:rsidRDefault="00AE64C6" w:rsidP="00F03002">
            <w:pPr>
              <w:rPr>
                <w:sz w:val="24"/>
              </w:rPr>
            </w:pPr>
            <w:r w:rsidRPr="00154800">
              <w:rPr>
                <w:sz w:val="24"/>
              </w:rPr>
              <w:t>In re the Application of</w:t>
            </w:r>
          </w:p>
          <w:p w14:paraId="3F52FE99" w14:textId="77777777" w:rsidR="00AE64C6" w:rsidRPr="00154800" w:rsidRDefault="00AE64C6" w:rsidP="00F03002">
            <w:pPr>
              <w:rPr>
                <w:sz w:val="24"/>
              </w:rPr>
            </w:pPr>
          </w:p>
          <w:p w14:paraId="6DFE057A" w14:textId="77777777" w:rsidR="00AE64C6" w:rsidRPr="00154800" w:rsidRDefault="00AE64C6" w:rsidP="00F03002">
            <w:pPr>
              <w:rPr>
                <w:sz w:val="24"/>
              </w:rPr>
            </w:pPr>
            <w:r w:rsidRPr="00154800">
              <w:rPr>
                <w:sz w:val="24"/>
              </w:rPr>
              <w:t>SANI MAHAMA MAUROU d/b/a SEATAC AIRPORT 24</w:t>
            </w:r>
          </w:p>
          <w:p w14:paraId="4525079D" w14:textId="77777777" w:rsidR="00AE64C6" w:rsidRPr="00154800" w:rsidRDefault="00AE64C6" w:rsidP="00F03002">
            <w:pPr>
              <w:rPr>
                <w:sz w:val="24"/>
              </w:rPr>
            </w:pPr>
          </w:p>
          <w:p w14:paraId="38A1FA43" w14:textId="77777777" w:rsidR="00AE64C6" w:rsidRPr="00154800" w:rsidRDefault="00AE64C6" w:rsidP="00F03002">
            <w:pPr>
              <w:pStyle w:val="BodyText"/>
              <w:spacing w:after="0"/>
              <w:rPr>
                <w:sz w:val="24"/>
              </w:rPr>
            </w:pPr>
            <w:r w:rsidRPr="00154800">
              <w:rPr>
                <w:sz w:val="24"/>
              </w:rPr>
              <w:t>For reinstatement of authority to operate as an auto transportation company and charter and excursion carrier</w:t>
            </w:r>
          </w:p>
          <w:p w14:paraId="17888300" w14:textId="690A8AC1" w:rsidR="00AE64C6" w:rsidRDefault="00AE64C6" w:rsidP="00F03002">
            <w:pPr>
              <w:rPr>
                <w:sz w:val="24"/>
              </w:rPr>
            </w:pPr>
            <w:r>
              <w:rPr>
                <w:sz w:val="24"/>
              </w:rPr>
              <w:t>____________________________________</w:t>
            </w:r>
          </w:p>
          <w:p w14:paraId="5479FDE8" w14:textId="77777777" w:rsidR="00AE64C6" w:rsidRPr="00595D41" w:rsidRDefault="00AE64C6" w:rsidP="00F03002">
            <w:pPr>
              <w:rPr>
                <w:sz w:val="24"/>
              </w:rPr>
            </w:pPr>
          </w:p>
          <w:p w14:paraId="1BF84A60" w14:textId="77777777" w:rsidR="00AE64C6" w:rsidRPr="00154800" w:rsidRDefault="00AE64C6" w:rsidP="00F03002">
            <w:pPr>
              <w:pStyle w:val="BodyText"/>
              <w:spacing w:after="0" w:line="264" w:lineRule="auto"/>
              <w:rPr>
                <w:sz w:val="24"/>
              </w:rPr>
            </w:pPr>
            <w:r w:rsidRPr="00154800">
              <w:rPr>
                <w:sz w:val="24"/>
              </w:rPr>
              <w:t>In the Matter of the Investigation of</w:t>
            </w:r>
          </w:p>
          <w:p w14:paraId="1F4A0BFC" w14:textId="77777777" w:rsidR="00AE64C6" w:rsidRPr="00154800" w:rsidRDefault="00AE64C6" w:rsidP="00F03002">
            <w:pPr>
              <w:pStyle w:val="BodyText"/>
              <w:spacing w:after="0" w:line="264" w:lineRule="auto"/>
              <w:rPr>
                <w:sz w:val="24"/>
              </w:rPr>
            </w:pPr>
          </w:p>
          <w:p w14:paraId="76BA847B" w14:textId="77777777" w:rsidR="00AE64C6" w:rsidRPr="00154800" w:rsidRDefault="00AE64C6" w:rsidP="00F03002">
            <w:pPr>
              <w:pStyle w:val="BodyText"/>
              <w:tabs>
                <w:tab w:val="left" w:pos="2174"/>
              </w:tabs>
              <w:spacing w:after="0" w:line="264" w:lineRule="auto"/>
              <w:rPr>
                <w:sz w:val="24"/>
              </w:rPr>
            </w:pPr>
            <w:r w:rsidRPr="00154800">
              <w:rPr>
                <w:sz w:val="24"/>
              </w:rPr>
              <w:t>SANI MAHAMA MAUROU d/b/a SEATAC AIRPORT 24</w:t>
            </w:r>
          </w:p>
          <w:p w14:paraId="6C795CE4" w14:textId="77777777" w:rsidR="00AE64C6" w:rsidRPr="00154800" w:rsidRDefault="00AE64C6" w:rsidP="00F03002">
            <w:pPr>
              <w:pStyle w:val="BodyText"/>
              <w:tabs>
                <w:tab w:val="left" w:pos="2174"/>
              </w:tabs>
              <w:spacing w:after="0" w:line="264" w:lineRule="auto"/>
              <w:rPr>
                <w:sz w:val="24"/>
              </w:rPr>
            </w:pPr>
          </w:p>
          <w:p w14:paraId="1E61520B" w14:textId="6A3644C7" w:rsidR="00F03002" w:rsidRDefault="00AE64C6" w:rsidP="00F03002">
            <w:pPr>
              <w:rPr>
                <w:sz w:val="24"/>
              </w:rPr>
            </w:pPr>
            <w:r w:rsidRPr="00154800">
              <w:rPr>
                <w:sz w:val="24"/>
              </w:rPr>
              <w:t>For Compliance with WAC 480-30-221</w:t>
            </w:r>
          </w:p>
          <w:p w14:paraId="5F8390CC" w14:textId="77777777" w:rsidR="00AE64C6" w:rsidRDefault="00AE64C6" w:rsidP="00F03002">
            <w:pPr>
              <w:rPr>
                <w:sz w:val="24"/>
              </w:rPr>
            </w:pPr>
            <w:r>
              <w:rPr>
                <w:sz w:val="24"/>
              </w:rPr>
              <w:t>____________________________________</w:t>
            </w:r>
          </w:p>
          <w:p w14:paraId="5556BB93" w14:textId="77777777" w:rsidR="00AE64C6" w:rsidRDefault="00AE64C6" w:rsidP="00F03002">
            <w:pPr>
              <w:rPr>
                <w:sz w:val="24"/>
              </w:rPr>
            </w:pPr>
          </w:p>
          <w:p w14:paraId="772E200D" w14:textId="77777777" w:rsidR="00AE64C6" w:rsidRPr="00154800" w:rsidRDefault="00AE64C6" w:rsidP="00F03002">
            <w:pPr>
              <w:spacing w:line="264" w:lineRule="auto"/>
              <w:rPr>
                <w:bCs/>
                <w:sz w:val="24"/>
              </w:rPr>
            </w:pPr>
            <w:r w:rsidRPr="00154800">
              <w:rPr>
                <w:bCs/>
                <w:sz w:val="24"/>
              </w:rPr>
              <w:t xml:space="preserve">In the Matter of a Penalty Assessment Against </w:t>
            </w:r>
          </w:p>
          <w:p w14:paraId="3F908E81" w14:textId="77777777" w:rsidR="00AE64C6" w:rsidRPr="00154800" w:rsidRDefault="00AE64C6" w:rsidP="00F03002">
            <w:pPr>
              <w:spacing w:line="264" w:lineRule="auto"/>
              <w:rPr>
                <w:bCs/>
                <w:sz w:val="24"/>
              </w:rPr>
            </w:pPr>
          </w:p>
          <w:p w14:paraId="27B7C767" w14:textId="77777777" w:rsidR="00AE64C6" w:rsidRPr="00154800" w:rsidRDefault="00AE64C6" w:rsidP="00F03002">
            <w:pPr>
              <w:pStyle w:val="BodyText"/>
              <w:tabs>
                <w:tab w:val="left" w:pos="2174"/>
              </w:tabs>
              <w:spacing w:after="0" w:line="264" w:lineRule="auto"/>
              <w:rPr>
                <w:sz w:val="24"/>
              </w:rPr>
            </w:pPr>
            <w:r w:rsidRPr="00154800">
              <w:rPr>
                <w:sz w:val="24"/>
              </w:rPr>
              <w:t>SANI MAHAMA MAUROU d/b/a SEATAC AIRPORT 24</w:t>
            </w:r>
          </w:p>
          <w:p w14:paraId="50697A68" w14:textId="77777777" w:rsidR="00AE64C6" w:rsidRPr="00154800" w:rsidRDefault="00AE64C6" w:rsidP="00F03002">
            <w:pPr>
              <w:pStyle w:val="BodyText"/>
              <w:tabs>
                <w:tab w:val="left" w:pos="2174"/>
              </w:tabs>
              <w:spacing w:after="0" w:line="264" w:lineRule="auto"/>
              <w:rPr>
                <w:bCs/>
                <w:sz w:val="24"/>
              </w:rPr>
            </w:pPr>
          </w:p>
          <w:p w14:paraId="4EFDBC50" w14:textId="7989C643" w:rsidR="00AE64C6" w:rsidRDefault="00AE64C6" w:rsidP="00F03002">
            <w:pPr>
              <w:rPr>
                <w:sz w:val="24"/>
              </w:rPr>
            </w:pPr>
            <w:r w:rsidRPr="00154800">
              <w:rPr>
                <w:bCs/>
                <w:sz w:val="24"/>
              </w:rPr>
              <w:t>in the amount of $29,200</w:t>
            </w:r>
          </w:p>
          <w:p w14:paraId="6EAC52E2" w14:textId="77777777" w:rsidR="00AE64C6" w:rsidRPr="004A2910" w:rsidRDefault="00AE64C6" w:rsidP="00F03002">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754DB0E0" w14:textId="77777777" w:rsidR="00AE64C6" w:rsidRPr="00AE64C6" w:rsidRDefault="00AE64C6" w:rsidP="00F03002">
            <w:pPr>
              <w:ind w:firstLine="720"/>
              <w:rPr>
                <w:sz w:val="24"/>
              </w:rPr>
            </w:pPr>
            <w:r w:rsidRPr="00AE64C6">
              <w:rPr>
                <w:sz w:val="24"/>
              </w:rPr>
              <w:t>DOCKET TC-160324</w:t>
            </w:r>
          </w:p>
          <w:p w14:paraId="40876D7F" w14:textId="77777777" w:rsidR="00AE64C6" w:rsidRPr="00F03002" w:rsidRDefault="00AE64C6" w:rsidP="00F03002">
            <w:pPr>
              <w:ind w:firstLine="720"/>
              <w:rPr>
                <w:i/>
                <w:sz w:val="24"/>
              </w:rPr>
            </w:pPr>
            <w:r w:rsidRPr="00F03002">
              <w:rPr>
                <w:sz w:val="24"/>
              </w:rPr>
              <w:t>(</w:t>
            </w:r>
            <w:r w:rsidRPr="00F03002">
              <w:rPr>
                <w:i/>
                <w:sz w:val="24"/>
              </w:rPr>
              <w:t>Consolidated</w:t>
            </w:r>
            <w:r w:rsidRPr="00F03002">
              <w:rPr>
                <w:sz w:val="24"/>
              </w:rPr>
              <w:t xml:space="preserve">) </w:t>
            </w:r>
          </w:p>
          <w:p w14:paraId="2A9B9340" w14:textId="77777777" w:rsidR="00AE64C6" w:rsidRPr="00F03002" w:rsidRDefault="00AE64C6" w:rsidP="00F03002">
            <w:pPr>
              <w:ind w:firstLine="720"/>
              <w:rPr>
                <w:i/>
                <w:sz w:val="24"/>
              </w:rPr>
            </w:pPr>
          </w:p>
          <w:p w14:paraId="2D6CD70B" w14:textId="77777777" w:rsidR="00AE64C6" w:rsidRPr="00F03002" w:rsidRDefault="00AE64C6" w:rsidP="00F03002">
            <w:pPr>
              <w:ind w:firstLine="720"/>
              <w:rPr>
                <w:i/>
                <w:sz w:val="24"/>
              </w:rPr>
            </w:pPr>
          </w:p>
          <w:p w14:paraId="43827DD7" w14:textId="77777777" w:rsidR="00AE64C6" w:rsidRPr="00F03002" w:rsidRDefault="00AE64C6" w:rsidP="00F03002">
            <w:pPr>
              <w:ind w:firstLine="720"/>
              <w:rPr>
                <w:i/>
                <w:sz w:val="24"/>
              </w:rPr>
            </w:pPr>
          </w:p>
          <w:p w14:paraId="00226778" w14:textId="77777777" w:rsidR="00AE64C6" w:rsidRPr="00F03002" w:rsidRDefault="00AE64C6" w:rsidP="00F03002">
            <w:pPr>
              <w:ind w:firstLine="720"/>
              <w:rPr>
                <w:i/>
                <w:sz w:val="24"/>
              </w:rPr>
            </w:pPr>
          </w:p>
          <w:p w14:paraId="3E5BB3C1" w14:textId="77777777" w:rsidR="00AE64C6" w:rsidRPr="00F03002" w:rsidRDefault="00AE64C6" w:rsidP="00F03002">
            <w:pPr>
              <w:ind w:firstLine="720"/>
              <w:rPr>
                <w:i/>
                <w:sz w:val="24"/>
              </w:rPr>
            </w:pPr>
          </w:p>
          <w:p w14:paraId="5F0BBB45" w14:textId="77777777" w:rsidR="00AE64C6" w:rsidRPr="00F03002" w:rsidRDefault="00AE64C6" w:rsidP="00F03002">
            <w:pPr>
              <w:ind w:firstLine="720"/>
              <w:rPr>
                <w:i/>
                <w:sz w:val="24"/>
              </w:rPr>
            </w:pPr>
          </w:p>
          <w:p w14:paraId="601C1CD5" w14:textId="77777777" w:rsidR="00AE64C6" w:rsidRPr="00F03002" w:rsidRDefault="00AE64C6" w:rsidP="00F03002">
            <w:pPr>
              <w:ind w:firstLine="720"/>
              <w:rPr>
                <w:i/>
                <w:sz w:val="24"/>
              </w:rPr>
            </w:pPr>
          </w:p>
          <w:p w14:paraId="318AFE42" w14:textId="77777777" w:rsidR="00AE64C6" w:rsidRPr="00F03002" w:rsidRDefault="00AE64C6" w:rsidP="00F03002">
            <w:pPr>
              <w:ind w:firstLine="720"/>
              <w:rPr>
                <w:i/>
                <w:sz w:val="24"/>
              </w:rPr>
            </w:pPr>
          </w:p>
          <w:p w14:paraId="42E80936" w14:textId="77777777" w:rsidR="00AE64C6" w:rsidRPr="00F03002" w:rsidRDefault="00AE64C6" w:rsidP="00F03002">
            <w:pPr>
              <w:ind w:firstLine="720"/>
              <w:rPr>
                <w:sz w:val="24"/>
              </w:rPr>
            </w:pPr>
            <w:r w:rsidRPr="00F03002">
              <w:rPr>
                <w:sz w:val="24"/>
              </w:rPr>
              <w:t>DOCKET TC-152296</w:t>
            </w:r>
          </w:p>
          <w:p w14:paraId="5AB6334F" w14:textId="77777777" w:rsidR="00AE64C6" w:rsidRPr="00F03002" w:rsidRDefault="00AE64C6" w:rsidP="00F03002">
            <w:pPr>
              <w:ind w:firstLine="720"/>
              <w:rPr>
                <w:i/>
                <w:sz w:val="24"/>
              </w:rPr>
            </w:pPr>
            <w:r w:rsidRPr="00F03002">
              <w:rPr>
                <w:sz w:val="24"/>
              </w:rPr>
              <w:t>(</w:t>
            </w:r>
            <w:r w:rsidRPr="00F03002">
              <w:rPr>
                <w:i/>
                <w:sz w:val="24"/>
              </w:rPr>
              <w:t>Consolidated</w:t>
            </w:r>
            <w:r w:rsidRPr="00F03002">
              <w:rPr>
                <w:sz w:val="24"/>
              </w:rPr>
              <w:t xml:space="preserve">) </w:t>
            </w:r>
          </w:p>
          <w:p w14:paraId="1ADB4BFF" w14:textId="77777777" w:rsidR="00AE64C6" w:rsidRPr="00F03002" w:rsidRDefault="00AE64C6" w:rsidP="00F03002">
            <w:pPr>
              <w:ind w:firstLine="720"/>
              <w:rPr>
                <w:i/>
                <w:sz w:val="24"/>
              </w:rPr>
            </w:pPr>
          </w:p>
          <w:p w14:paraId="7F00F65F" w14:textId="77777777" w:rsidR="00AE64C6" w:rsidRPr="00F03002" w:rsidRDefault="00AE64C6" w:rsidP="00F03002">
            <w:pPr>
              <w:ind w:firstLine="720"/>
              <w:rPr>
                <w:i/>
                <w:sz w:val="24"/>
              </w:rPr>
            </w:pPr>
          </w:p>
          <w:p w14:paraId="62F8A8A6" w14:textId="77777777" w:rsidR="00AE64C6" w:rsidRPr="00F03002" w:rsidRDefault="00AE64C6" w:rsidP="00F03002">
            <w:pPr>
              <w:ind w:firstLine="720"/>
              <w:rPr>
                <w:i/>
                <w:sz w:val="24"/>
              </w:rPr>
            </w:pPr>
          </w:p>
          <w:p w14:paraId="786AD82B" w14:textId="77777777" w:rsidR="00AE64C6" w:rsidRPr="00F03002" w:rsidRDefault="00AE64C6" w:rsidP="00F03002">
            <w:pPr>
              <w:ind w:firstLine="720"/>
              <w:rPr>
                <w:i/>
                <w:sz w:val="24"/>
              </w:rPr>
            </w:pPr>
          </w:p>
          <w:p w14:paraId="3C48EC83" w14:textId="77777777" w:rsidR="00AE64C6" w:rsidRPr="00F03002" w:rsidRDefault="00AE64C6" w:rsidP="00F03002">
            <w:pPr>
              <w:ind w:firstLine="720"/>
              <w:rPr>
                <w:i/>
                <w:sz w:val="24"/>
              </w:rPr>
            </w:pPr>
          </w:p>
          <w:p w14:paraId="54A642D1" w14:textId="77777777" w:rsidR="00AE64C6" w:rsidRPr="00F03002" w:rsidRDefault="00AE64C6" w:rsidP="00F03002">
            <w:pPr>
              <w:ind w:firstLine="720"/>
              <w:rPr>
                <w:i/>
                <w:sz w:val="24"/>
              </w:rPr>
            </w:pPr>
          </w:p>
          <w:p w14:paraId="095E34FB" w14:textId="77777777" w:rsidR="00AE64C6" w:rsidRPr="00F03002" w:rsidRDefault="00AE64C6" w:rsidP="00F03002">
            <w:pPr>
              <w:ind w:firstLine="720"/>
              <w:rPr>
                <w:i/>
                <w:sz w:val="24"/>
              </w:rPr>
            </w:pPr>
          </w:p>
          <w:p w14:paraId="35F3F118" w14:textId="77777777" w:rsidR="00AE64C6" w:rsidRPr="00F03002" w:rsidRDefault="00AE64C6" w:rsidP="00F03002">
            <w:pPr>
              <w:ind w:firstLine="720"/>
              <w:rPr>
                <w:sz w:val="24"/>
              </w:rPr>
            </w:pPr>
            <w:r w:rsidRPr="00F03002">
              <w:rPr>
                <w:sz w:val="24"/>
              </w:rPr>
              <w:t>DOCKET TC-160187</w:t>
            </w:r>
          </w:p>
          <w:p w14:paraId="6A74E8C7" w14:textId="77777777" w:rsidR="00AE64C6" w:rsidRPr="00F03002" w:rsidRDefault="00AE64C6" w:rsidP="00F03002">
            <w:pPr>
              <w:ind w:firstLine="720"/>
              <w:rPr>
                <w:i/>
                <w:sz w:val="24"/>
              </w:rPr>
            </w:pPr>
            <w:r w:rsidRPr="00F03002">
              <w:rPr>
                <w:sz w:val="24"/>
              </w:rPr>
              <w:t>(</w:t>
            </w:r>
            <w:r w:rsidRPr="00F03002">
              <w:rPr>
                <w:i/>
                <w:sz w:val="24"/>
              </w:rPr>
              <w:t>Consolidated</w:t>
            </w:r>
            <w:r w:rsidRPr="00F03002">
              <w:rPr>
                <w:sz w:val="24"/>
              </w:rPr>
              <w:t>)</w:t>
            </w:r>
          </w:p>
          <w:p w14:paraId="221309F0" w14:textId="77777777" w:rsidR="00AE64C6" w:rsidRPr="00F03002" w:rsidRDefault="00AE64C6" w:rsidP="00F03002">
            <w:pPr>
              <w:ind w:firstLine="720"/>
              <w:rPr>
                <w:i/>
                <w:sz w:val="24"/>
              </w:rPr>
            </w:pPr>
          </w:p>
          <w:p w14:paraId="1BB84FA2" w14:textId="4F710864" w:rsidR="00AE64C6" w:rsidRPr="00F03002" w:rsidRDefault="00AE64C6" w:rsidP="00F03002">
            <w:pPr>
              <w:ind w:left="720"/>
              <w:rPr>
                <w:sz w:val="24"/>
              </w:rPr>
            </w:pPr>
            <w:r w:rsidRPr="00F03002">
              <w:rPr>
                <w:sz w:val="24"/>
              </w:rPr>
              <w:t xml:space="preserve">COMMISSION STAFF’S PETITITON FOR ADMINISTRATIVE REVIEW </w:t>
            </w:r>
          </w:p>
        </w:tc>
      </w:tr>
    </w:tbl>
    <w:p w14:paraId="3E03264A" w14:textId="77777777" w:rsidR="00AE64C6" w:rsidRDefault="00AE64C6" w:rsidP="00F03002">
      <w:pPr>
        <w:jc w:val="both"/>
        <w:rPr>
          <w:sz w:val="24"/>
        </w:rPr>
      </w:pPr>
    </w:p>
    <w:p w14:paraId="31FBDE4E" w14:textId="77777777" w:rsidR="005E51C2" w:rsidRDefault="005E51C2" w:rsidP="00F03002">
      <w:pPr>
        <w:pStyle w:val="Heading1"/>
        <w:spacing w:after="0"/>
      </w:pPr>
      <w:r w:rsidRPr="008F2014">
        <w:t>BACKGROUND</w:t>
      </w:r>
    </w:p>
    <w:p w14:paraId="3CF938D3" w14:textId="77777777" w:rsidR="00F03002" w:rsidRPr="00F03002" w:rsidRDefault="00F03002" w:rsidP="00F03002"/>
    <w:p w14:paraId="31FBDE4F" w14:textId="3CA178AE" w:rsidR="00B34AEA" w:rsidRPr="00154800" w:rsidRDefault="00E06E21"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B34AEA" w:rsidRPr="00154800">
        <w:rPr>
          <w:sz w:val="24"/>
        </w:rPr>
        <w:t xml:space="preserve">On March 7, 2016, the Washington </w:t>
      </w:r>
      <w:r w:rsidR="00B34AEA" w:rsidRPr="00E06E21">
        <w:rPr>
          <w:rStyle w:val="Strong"/>
        </w:rPr>
        <w:t>Utilities</w:t>
      </w:r>
      <w:r w:rsidR="00B34AEA" w:rsidRPr="00154800">
        <w:rPr>
          <w:sz w:val="24"/>
        </w:rPr>
        <w:t xml:space="preserve"> and Transportation Commission (</w:t>
      </w:r>
      <w:r>
        <w:rPr>
          <w:sz w:val="24"/>
        </w:rPr>
        <w:t>“</w:t>
      </w:r>
      <w:r w:rsidR="00B34AEA" w:rsidRPr="00154800">
        <w:rPr>
          <w:sz w:val="24"/>
        </w:rPr>
        <w:t>Commission</w:t>
      </w:r>
      <w:r>
        <w:rPr>
          <w:sz w:val="24"/>
        </w:rPr>
        <w:t>”</w:t>
      </w:r>
      <w:r w:rsidR="00B34AEA" w:rsidRPr="00154800">
        <w:rPr>
          <w:sz w:val="24"/>
        </w:rPr>
        <w:t>) conducted a brief adjudicative proceeding</w:t>
      </w:r>
      <w:r w:rsidR="00B34AEA">
        <w:rPr>
          <w:sz w:val="24"/>
        </w:rPr>
        <w:t xml:space="preserve"> (</w:t>
      </w:r>
      <w:r>
        <w:rPr>
          <w:sz w:val="24"/>
        </w:rPr>
        <w:t>“</w:t>
      </w:r>
      <w:r w:rsidR="00B34AEA">
        <w:rPr>
          <w:sz w:val="24"/>
        </w:rPr>
        <w:t>BAP</w:t>
      </w:r>
      <w:r>
        <w:rPr>
          <w:sz w:val="24"/>
        </w:rPr>
        <w:t>”</w:t>
      </w:r>
      <w:r w:rsidR="00B34AEA">
        <w:rPr>
          <w:sz w:val="24"/>
        </w:rPr>
        <w:t>)</w:t>
      </w:r>
      <w:r w:rsidR="00B34AEA" w:rsidRPr="00154800">
        <w:rPr>
          <w:sz w:val="24"/>
        </w:rPr>
        <w:t xml:space="preserve"> in Docket TC</w:t>
      </w:r>
      <w:r>
        <w:rPr>
          <w:sz w:val="24"/>
        </w:rPr>
        <w:noBreakHyphen/>
      </w:r>
      <w:r w:rsidR="00B34AEA" w:rsidRPr="00154800">
        <w:rPr>
          <w:sz w:val="24"/>
        </w:rPr>
        <w:t xml:space="preserve">152296 to address </w:t>
      </w:r>
      <w:r w:rsidR="00B34AEA">
        <w:rPr>
          <w:sz w:val="24"/>
        </w:rPr>
        <w:t xml:space="preserve">Commission </w:t>
      </w:r>
      <w:r w:rsidR="00361B47">
        <w:rPr>
          <w:sz w:val="24"/>
        </w:rPr>
        <w:t>S</w:t>
      </w:r>
      <w:r w:rsidR="00B34AEA">
        <w:rPr>
          <w:sz w:val="24"/>
        </w:rPr>
        <w:t>taff’s (</w:t>
      </w:r>
      <w:r>
        <w:rPr>
          <w:sz w:val="24"/>
        </w:rPr>
        <w:t>“</w:t>
      </w:r>
      <w:r w:rsidR="00B34AEA">
        <w:rPr>
          <w:sz w:val="24"/>
        </w:rPr>
        <w:t>Staff</w:t>
      </w:r>
      <w:r>
        <w:rPr>
          <w:sz w:val="24"/>
        </w:rPr>
        <w:t>”</w:t>
      </w:r>
      <w:r w:rsidR="00B34AEA">
        <w:rPr>
          <w:sz w:val="24"/>
        </w:rPr>
        <w:t xml:space="preserve">) unsatisfactory safety rating of </w:t>
      </w:r>
      <w:r w:rsidR="00B34AEA" w:rsidRPr="00154800">
        <w:rPr>
          <w:sz w:val="24"/>
        </w:rPr>
        <w:t>Sani Mahama Maurou d/b/a SeaTac Airport 24</w:t>
      </w:r>
      <w:r w:rsidR="00B34AEA">
        <w:rPr>
          <w:sz w:val="24"/>
        </w:rPr>
        <w:t xml:space="preserve"> </w:t>
      </w:r>
      <w:r w:rsidR="00B34AEA" w:rsidRPr="00154800">
        <w:rPr>
          <w:sz w:val="24"/>
        </w:rPr>
        <w:t>(</w:t>
      </w:r>
      <w:r>
        <w:rPr>
          <w:sz w:val="24"/>
        </w:rPr>
        <w:t>“</w:t>
      </w:r>
      <w:r w:rsidR="00B34AEA" w:rsidRPr="00154800">
        <w:rPr>
          <w:sz w:val="24"/>
        </w:rPr>
        <w:t>SeaTac Airport 24</w:t>
      </w:r>
      <w:r>
        <w:rPr>
          <w:sz w:val="24"/>
        </w:rPr>
        <w:t>”</w:t>
      </w:r>
      <w:r w:rsidR="00B34AEA" w:rsidRPr="00154800">
        <w:rPr>
          <w:sz w:val="24"/>
        </w:rPr>
        <w:t xml:space="preserve"> or </w:t>
      </w:r>
      <w:r>
        <w:rPr>
          <w:sz w:val="24"/>
        </w:rPr>
        <w:t>the “</w:t>
      </w:r>
      <w:r w:rsidR="00B34AEA" w:rsidRPr="00154800">
        <w:rPr>
          <w:sz w:val="24"/>
        </w:rPr>
        <w:t>Company</w:t>
      </w:r>
      <w:r>
        <w:rPr>
          <w:sz w:val="24"/>
        </w:rPr>
        <w:t>”</w:t>
      </w:r>
      <w:r w:rsidR="00B34AEA" w:rsidRPr="00154800">
        <w:rPr>
          <w:sz w:val="24"/>
        </w:rPr>
        <w:t>)</w:t>
      </w:r>
      <w:r w:rsidR="00B34AEA">
        <w:rPr>
          <w:sz w:val="24"/>
        </w:rPr>
        <w:t xml:space="preserve"> </w:t>
      </w:r>
      <w:r w:rsidR="00B34AEA" w:rsidRPr="00154800">
        <w:rPr>
          <w:sz w:val="24"/>
        </w:rPr>
        <w:t xml:space="preserve">and to </w:t>
      </w:r>
      <w:r w:rsidR="00B34AEA">
        <w:rPr>
          <w:sz w:val="24"/>
        </w:rPr>
        <w:t xml:space="preserve">consider </w:t>
      </w:r>
      <w:r w:rsidR="00B34AEA" w:rsidRPr="00154800">
        <w:rPr>
          <w:sz w:val="24"/>
        </w:rPr>
        <w:t>SeaTac Airport 24</w:t>
      </w:r>
      <w:r w:rsidR="00B34AEA">
        <w:rPr>
          <w:sz w:val="24"/>
        </w:rPr>
        <w:t>’s request for mitigation of</w:t>
      </w:r>
      <w:r w:rsidR="00B34AEA" w:rsidRPr="00154800">
        <w:rPr>
          <w:sz w:val="24"/>
        </w:rPr>
        <w:t xml:space="preserve"> the penalty assessed against the Company in Docket TC</w:t>
      </w:r>
      <w:r>
        <w:rPr>
          <w:sz w:val="24"/>
        </w:rPr>
        <w:noBreakHyphen/>
      </w:r>
      <w:r w:rsidR="00B34AEA" w:rsidRPr="00154800">
        <w:rPr>
          <w:sz w:val="24"/>
        </w:rPr>
        <w:t>160187 for 292 violations of WAC 480</w:t>
      </w:r>
      <w:r w:rsidR="00B34AEA" w:rsidRPr="00154800">
        <w:rPr>
          <w:sz w:val="24"/>
        </w:rPr>
        <w:noBreakHyphen/>
        <w:t>30</w:t>
      </w:r>
      <w:r w:rsidR="00B34AEA" w:rsidRPr="00154800">
        <w:rPr>
          <w:sz w:val="24"/>
        </w:rPr>
        <w:noBreakHyphen/>
        <w:t xml:space="preserve">221. Following the parties’ </w:t>
      </w:r>
      <w:r w:rsidR="00B34AEA" w:rsidRPr="00154800">
        <w:rPr>
          <w:sz w:val="24"/>
        </w:rPr>
        <w:lastRenderedPageBreak/>
        <w:t xml:space="preserve">presentations, </w:t>
      </w:r>
      <w:r w:rsidR="00215843">
        <w:rPr>
          <w:sz w:val="24"/>
        </w:rPr>
        <w:t xml:space="preserve">the </w:t>
      </w:r>
      <w:r w:rsidR="00B34AEA" w:rsidRPr="00154800">
        <w:rPr>
          <w:sz w:val="24"/>
        </w:rPr>
        <w:t xml:space="preserve">Administrative Law Judge issued a ruling from the bench cancelling the Company’s charter, excursion, and auto transportation certificate effective March 8, 2016. </w:t>
      </w:r>
    </w:p>
    <w:p w14:paraId="31FBDE50" w14:textId="1A24013B" w:rsidR="00B34AEA" w:rsidRPr="00BD51C0" w:rsidRDefault="00E06E21"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B34AEA" w:rsidRPr="00154800">
        <w:rPr>
          <w:sz w:val="24"/>
        </w:rPr>
        <w:t xml:space="preserve">On March 15, 2016, </w:t>
      </w:r>
      <w:r>
        <w:rPr>
          <w:sz w:val="24"/>
        </w:rPr>
        <w:t>the Commission entered Order 01 in Dockets TC</w:t>
      </w:r>
      <w:r>
        <w:rPr>
          <w:sz w:val="24"/>
        </w:rPr>
        <w:noBreakHyphen/>
        <w:t>152296 and TC</w:t>
      </w:r>
      <w:r>
        <w:rPr>
          <w:sz w:val="24"/>
        </w:rPr>
        <w:noBreakHyphen/>
        <w:t>160187,</w:t>
      </w:r>
      <w:r w:rsidR="00B34AEA" w:rsidRPr="00154800">
        <w:rPr>
          <w:sz w:val="24"/>
        </w:rPr>
        <w:t xml:space="preserve"> Order of Consolidation; Initial Order Cancelling Certificate; Order Imposing and Suspending Penalties (</w:t>
      </w:r>
      <w:r>
        <w:rPr>
          <w:sz w:val="24"/>
        </w:rPr>
        <w:t>“</w:t>
      </w:r>
      <w:r w:rsidR="00B34AEA" w:rsidRPr="00154800">
        <w:rPr>
          <w:sz w:val="24"/>
        </w:rPr>
        <w:t>Order 01</w:t>
      </w:r>
      <w:r>
        <w:rPr>
          <w:sz w:val="24"/>
        </w:rPr>
        <w:t>”</w:t>
      </w:r>
      <w:r w:rsidR="00B34AEA" w:rsidRPr="00154800">
        <w:rPr>
          <w:sz w:val="24"/>
        </w:rPr>
        <w:t>).</w:t>
      </w:r>
      <w:r w:rsidR="00361B47">
        <w:rPr>
          <w:rStyle w:val="FootnoteReference"/>
          <w:sz w:val="24"/>
        </w:rPr>
        <w:footnoteReference w:id="1"/>
      </w:r>
      <w:r w:rsidR="00B34AEA" w:rsidRPr="00154800">
        <w:rPr>
          <w:sz w:val="24"/>
        </w:rPr>
        <w:t xml:space="preserve"> </w:t>
      </w:r>
      <w:r w:rsidR="00B34AEA" w:rsidRPr="00154800">
        <w:rPr>
          <w:bCs/>
          <w:sz w:val="24"/>
        </w:rPr>
        <w:t xml:space="preserve">Order 01 reiterated the cancellation of the Company’s certificate </w:t>
      </w:r>
      <w:r w:rsidR="00B34AEA">
        <w:rPr>
          <w:bCs/>
          <w:sz w:val="24"/>
        </w:rPr>
        <w:t>and</w:t>
      </w:r>
      <w:r w:rsidR="00B34AEA" w:rsidRPr="00154800">
        <w:rPr>
          <w:bCs/>
          <w:sz w:val="24"/>
        </w:rPr>
        <w:t xml:space="preserve"> required the Company to cease and desist all operations until the Commission reinstates its certificate or grants it a new certificate.</w:t>
      </w:r>
      <w:r w:rsidR="004D26A6">
        <w:rPr>
          <w:rStyle w:val="FootnoteReference"/>
          <w:sz w:val="24"/>
        </w:rPr>
        <w:footnoteReference w:id="2"/>
      </w:r>
      <w:r w:rsidR="00B34AEA" w:rsidRPr="00154800">
        <w:rPr>
          <w:bCs/>
          <w:sz w:val="24"/>
        </w:rPr>
        <w:t xml:space="preserve"> Order 01 assessed penalties of $25,200, a $20,000 portion of which was suspended for two years</w:t>
      </w:r>
      <w:r w:rsidR="005259FF">
        <w:rPr>
          <w:bCs/>
          <w:sz w:val="24"/>
        </w:rPr>
        <w:t xml:space="preserve"> subject to certain conditions.</w:t>
      </w:r>
      <w:r w:rsidR="005259FF">
        <w:rPr>
          <w:rStyle w:val="FootnoteReference"/>
          <w:bCs/>
          <w:sz w:val="24"/>
        </w:rPr>
        <w:footnoteReference w:id="3"/>
      </w:r>
    </w:p>
    <w:p w14:paraId="31FBDE51" w14:textId="77777777" w:rsidR="00B34AEA" w:rsidRPr="00BD51C0" w:rsidRDefault="00E06E21"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B34AEA" w:rsidRPr="00BD51C0">
        <w:rPr>
          <w:sz w:val="24"/>
        </w:rPr>
        <w:t xml:space="preserve">On March 22, 2016, SeaTac Airport 24 submitted its Application for Reinstatement, which was assigned Docket TC-160324. </w:t>
      </w:r>
    </w:p>
    <w:p w14:paraId="31FBDE52" w14:textId="4031F10E" w:rsidR="00B34AEA" w:rsidRDefault="00E06E21"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B34AEA" w:rsidRPr="00154800">
        <w:rPr>
          <w:sz w:val="24"/>
        </w:rPr>
        <w:t xml:space="preserve">On March 23, 2016, SeaTac Airport 24 filed </w:t>
      </w:r>
      <w:r w:rsidR="00B34AEA">
        <w:rPr>
          <w:sz w:val="24"/>
        </w:rPr>
        <w:t>a</w:t>
      </w:r>
      <w:r w:rsidR="00B34AEA" w:rsidRPr="00154800">
        <w:rPr>
          <w:sz w:val="24"/>
        </w:rPr>
        <w:t xml:space="preserve"> </w:t>
      </w:r>
      <w:r w:rsidR="00B34AEA">
        <w:rPr>
          <w:sz w:val="24"/>
        </w:rPr>
        <w:t>P</w:t>
      </w:r>
      <w:r w:rsidR="00B34AEA" w:rsidRPr="00154800">
        <w:rPr>
          <w:sz w:val="24"/>
        </w:rPr>
        <w:t xml:space="preserve">etition for </w:t>
      </w:r>
      <w:r w:rsidR="00B34AEA">
        <w:rPr>
          <w:sz w:val="24"/>
        </w:rPr>
        <w:t>Review of Order</w:t>
      </w:r>
      <w:r w:rsidR="005259FF">
        <w:rPr>
          <w:sz w:val="24"/>
        </w:rPr>
        <w:t> </w:t>
      </w:r>
      <w:r w:rsidR="00B34AEA">
        <w:rPr>
          <w:sz w:val="24"/>
        </w:rPr>
        <w:t>01</w:t>
      </w:r>
      <w:r w:rsidR="00B34AEA" w:rsidRPr="00154800">
        <w:rPr>
          <w:sz w:val="24"/>
        </w:rPr>
        <w:t xml:space="preserve">. </w:t>
      </w:r>
    </w:p>
    <w:p w14:paraId="31FBDE53" w14:textId="6DD53E7F" w:rsidR="00B34AEA" w:rsidRPr="009A6ECF" w:rsidRDefault="00E06E21"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B34AEA" w:rsidRPr="009A6ECF">
        <w:rPr>
          <w:sz w:val="24"/>
        </w:rPr>
        <w:t>On May 12, 2016, the Commission entered Order 02, Final Order, in Consolidated Dockets TC</w:t>
      </w:r>
      <w:r w:rsidR="00B34AEA" w:rsidRPr="009A6ECF">
        <w:rPr>
          <w:sz w:val="24"/>
        </w:rPr>
        <w:noBreakHyphen/>
        <w:t>152296 and TC</w:t>
      </w:r>
      <w:r w:rsidR="00B34AEA" w:rsidRPr="009A6ECF">
        <w:rPr>
          <w:sz w:val="24"/>
        </w:rPr>
        <w:noBreakHyphen/>
        <w:t>160187 (</w:t>
      </w:r>
      <w:r w:rsidR="005259FF">
        <w:rPr>
          <w:sz w:val="24"/>
        </w:rPr>
        <w:t>“</w:t>
      </w:r>
      <w:r w:rsidR="00B34AEA" w:rsidRPr="009A6ECF">
        <w:rPr>
          <w:sz w:val="24"/>
        </w:rPr>
        <w:t>Order 02</w:t>
      </w:r>
      <w:r w:rsidR="005259FF">
        <w:rPr>
          <w:sz w:val="24"/>
        </w:rPr>
        <w:t>”</w:t>
      </w:r>
      <w:r w:rsidR="00B34AEA" w:rsidRPr="009A6ECF">
        <w:rPr>
          <w:sz w:val="24"/>
        </w:rPr>
        <w:t>). Order 02 upheld the findings and conclusions of Order</w:t>
      </w:r>
      <w:r w:rsidR="005259FF">
        <w:rPr>
          <w:sz w:val="24"/>
        </w:rPr>
        <w:t> </w:t>
      </w:r>
      <w:r w:rsidR="00B34AEA" w:rsidRPr="009A6ECF">
        <w:rPr>
          <w:sz w:val="24"/>
        </w:rPr>
        <w:t xml:space="preserve">01, but modified it to include a payment plan for the $5,200 portion of the penalty </w:t>
      </w:r>
      <w:r w:rsidR="00B34AEA">
        <w:rPr>
          <w:sz w:val="24"/>
        </w:rPr>
        <w:t>that was not suspended</w:t>
      </w:r>
      <w:r w:rsidR="00B34AEA" w:rsidRPr="009A6ECF">
        <w:rPr>
          <w:sz w:val="24"/>
        </w:rPr>
        <w:t>.</w:t>
      </w:r>
      <w:r w:rsidR="004D26A6">
        <w:rPr>
          <w:rStyle w:val="FootnoteReference"/>
          <w:sz w:val="24"/>
        </w:rPr>
        <w:footnoteReference w:id="4"/>
      </w:r>
      <w:r w:rsidR="00B34AEA" w:rsidRPr="009A6ECF">
        <w:rPr>
          <w:sz w:val="24"/>
        </w:rPr>
        <w:t xml:space="preserve"> </w:t>
      </w:r>
      <w:r w:rsidR="00B34AEA">
        <w:rPr>
          <w:sz w:val="24"/>
        </w:rPr>
        <w:t xml:space="preserve">Prior to reinstating the Company’s certificate, Order 02 required the Company to </w:t>
      </w:r>
      <w:r w:rsidR="00B34AEA" w:rsidRPr="009A6ECF">
        <w:rPr>
          <w:sz w:val="24"/>
        </w:rPr>
        <w:t xml:space="preserve">file its 2015 annual report, pay any required regulatory fee for </w:t>
      </w:r>
      <w:r w:rsidR="00B34AEA" w:rsidRPr="009A6ECF">
        <w:rPr>
          <w:sz w:val="24"/>
        </w:rPr>
        <w:lastRenderedPageBreak/>
        <w:t>2016, and f</w:t>
      </w:r>
      <w:r w:rsidR="00B34AEA">
        <w:rPr>
          <w:sz w:val="24"/>
        </w:rPr>
        <w:t>ile documentation of its</w:t>
      </w:r>
      <w:r w:rsidR="00B34AEA" w:rsidRPr="009A6ECF">
        <w:rPr>
          <w:sz w:val="24"/>
        </w:rPr>
        <w:t xml:space="preserve"> agreement with AllianceOne Receivables Management, Inc. to pay </w:t>
      </w:r>
      <w:r w:rsidR="00B34AEA">
        <w:rPr>
          <w:sz w:val="24"/>
        </w:rPr>
        <w:t xml:space="preserve">its </w:t>
      </w:r>
      <w:r w:rsidR="00B34AEA" w:rsidRPr="009A6ECF">
        <w:rPr>
          <w:sz w:val="24"/>
        </w:rPr>
        <w:t>$1,000 penalty for failing to timely file its 2014 annual report</w:t>
      </w:r>
      <w:r w:rsidR="00B34AEA">
        <w:rPr>
          <w:sz w:val="24"/>
        </w:rPr>
        <w:t>.</w:t>
      </w:r>
      <w:r w:rsidR="005259FF">
        <w:rPr>
          <w:rStyle w:val="FootnoteReference"/>
          <w:sz w:val="24"/>
        </w:rPr>
        <w:footnoteReference w:id="5"/>
      </w:r>
      <w:r w:rsidR="00B34AEA">
        <w:rPr>
          <w:sz w:val="24"/>
        </w:rPr>
        <w:t xml:space="preserve"> </w:t>
      </w:r>
    </w:p>
    <w:p w14:paraId="31FBDE54" w14:textId="10EF24EF" w:rsidR="00B34AEA" w:rsidRPr="00154800" w:rsidRDefault="00E06E21"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B34AEA" w:rsidRPr="00154800">
        <w:rPr>
          <w:sz w:val="24"/>
        </w:rPr>
        <w:t>On June 20, 2016, the Commission issued a Notice of Intent to Deny Application for Reinstatement; Notice of Brief Adjudicative Proceeding; Setting Time for Oral Statements on July</w:t>
      </w:r>
      <w:r w:rsidR="009A36BC">
        <w:rPr>
          <w:sz w:val="24"/>
        </w:rPr>
        <w:t> </w:t>
      </w:r>
      <w:r w:rsidR="00B34AEA" w:rsidRPr="00154800">
        <w:rPr>
          <w:sz w:val="24"/>
        </w:rPr>
        <w:t>11, 2016, at 1:30 p.m.</w:t>
      </w:r>
      <w:r w:rsidR="00B34AEA">
        <w:rPr>
          <w:sz w:val="24"/>
        </w:rPr>
        <w:t xml:space="preserve"> (</w:t>
      </w:r>
      <w:r w:rsidR="005259FF">
        <w:rPr>
          <w:sz w:val="24"/>
        </w:rPr>
        <w:t>“</w:t>
      </w:r>
      <w:r w:rsidR="00B34AEA">
        <w:rPr>
          <w:sz w:val="24"/>
        </w:rPr>
        <w:t>Notice</w:t>
      </w:r>
      <w:r w:rsidR="005259FF">
        <w:rPr>
          <w:sz w:val="24"/>
        </w:rPr>
        <w:t>”</w:t>
      </w:r>
      <w:r w:rsidR="009A36BC">
        <w:rPr>
          <w:sz w:val="24"/>
        </w:rPr>
        <w:t>). The Notice alleged</w:t>
      </w:r>
      <w:r w:rsidR="00B34AEA">
        <w:rPr>
          <w:sz w:val="24"/>
        </w:rPr>
        <w:t xml:space="preserve"> that in April, May, and June 2016, SeaTac Airport </w:t>
      </w:r>
      <w:r w:rsidR="009A36BC">
        <w:rPr>
          <w:sz w:val="24"/>
        </w:rPr>
        <w:t xml:space="preserve">24 </w:t>
      </w:r>
      <w:r w:rsidR="00B34AEA">
        <w:rPr>
          <w:sz w:val="24"/>
        </w:rPr>
        <w:t>operated, offered, and advertised its transportation services in violation of Order</w:t>
      </w:r>
      <w:r w:rsidR="009A36BC">
        <w:rPr>
          <w:sz w:val="24"/>
        </w:rPr>
        <w:t> </w:t>
      </w:r>
      <w:r w:rsidR="00B34AEA">
        <w:rPr>
          <w:sz w:val="24"/>
        </w:rPr>
        <w:t>02, and that the Company’s application for reinstatement should be denied.</w:t>
      </w:r>
    </w:p>
    <w:p w14:paraId="31FBDE56" w14:textId="3867DEC1" w:rsidR="00B34AEA" w:rsidRPr="009A36BC" w:rsidRDefault="00E06E21" w:rsidP="00F03002">
      <w:pPr>
        <w:widowControl/>
        <w:numPr>
          <w:ilvl w:val="0"/>
          <w:numId w:val="4"/>
        </w:numPr>
        <w:tabs>
          <w:tab w:val="clear" w:pos="1080"/>
          <w:tab w:val="left" w:pos="0"/>
        </w:tabs>
        <w:autoSpaceDE/>
        <w:autoSpaceDN/>
        <w:adjustRightInd/>
        <w:spacing w:line="480" w:lineRule="auto"/>
        <w:ind w:left="0" w:hanging="720"/>
        <w:rPr>
          <w:sz w:val="24"/>
        </w:rPr>
      </w:pPr>
      <w:r w:rsidRPr="009A36BC">
        <w:rPr>
          <w:sz w:val="24"/>
        </w:rPr>
        <w:t xml:space="preserve"> </w:t>
      </w:r>
      <w:r w:rsidRPr="009A36BC">
        <w:rPr>
          <w:sz w:val="24"/>
        </w:rPr>
        <w:tab/>
      </w:r>
      <w:r w:rsidR="00215843">
        <w:rPr>
          <w:sz w:val="24"/>
        </w:rPr>
        <w:t>O</w:t>
      </w:r>
      <w:r w:rsidR="00B34AEA" w:rsidRPr="009A36BC">
        <w:rPr>
          <w:sz w:val="24"/>
        </w:rPr>
        <w:t>n June</w:t>
      </w:r>
      <w:r w:rsidR="009A36BC" w:rsidRPr="009A36BC">
        <w:rPr>
          <w:sz w:val="24"/>
        </w:rPr>
        <w:t> </w:t>
      </w:r>
      <w:r w:rsidR="00B34AEA" w:rsidRPr="009A36BC">
        <w:rPr>
          <w:sz w:val="24"/>
        </w:rPr>
        <w:t>20, 2016, Staff filed a Motion to Impose Suspended Penalty and Motion to Consolidate Proceedings in Consolidated Dockets TC</w:t>
      </w:r>
      <w:r w:rsidR="009A36BC" w:rsidRPr="009A36BC">
        <w:rPr>
          <w:sz w:val="24"/>
        </w:rPr>
        <w:noBreakHyphen/>
      </w:r>
      <w:r w:rsidR="00B34AEA" w:rsidRPr="009A36BC">
        <w:rPr>
          <w:sz w:val="24"/>
        </w:rPr>
        <w:t>152296 and TC</w:t>
      </w:r>
      <w:r w:rsidR="009A36BC" w:rsidRPr="009A36BC">
        <w:rPr>
          <w:sz w:val="24"/>
        </w:rPr>
        <w:noBreakHyphen/>
      </w:r>
      <w:r w:rsidR="00B34AEA" w:rsidRPr="009A36BC">
        <w:rPr>
          <w:sz w:val="24"/>
        </w:rPr>
        <w:t xml:space="preserve">160187. Staff requested </w:t>
      </w:r>
      <w:r w:rsidR="00215843">
        <w:rPr>
          <w:sz w:val="24"/>
        </w:rPr>
        <w:t xml:space="preserve">that </w:t>
      </w:r>
      <w:r w:rsidR="00B34AEA" w:rsidRPr="009A36BC">
        <w:rPr>
          <w:sz w:val="24"/>
        </w:rPr>
        <w:t>the Commission</w:t>
      </w:r>
      <w:r w:rsidR="006B7484">
        <w:rPr>
          <w:sz w:val="24"/>
        </w:rPr>
        <w:t xml:space="preserve"> </w:t>
      </w:r>
      <w:r w:rsidR="00B34AEA" w:rsidRPr="009A36BC">
        <w:rPr>
          <w:sz w:val="24"/>
        </w:rPr>
        <w:t xml:space="preserve">schedule a BAP </w:t>
      </w:r>
      <w:r w:rsidR="006B7484">
        <w:rPr>
          <w:sz w:val="24"/>
        </w:rPr>
        <w:t>for presenting</w:t>
      </w:r>
      <w:r w:rsidR="00B34AEA" w:rsidRPr="009A36BC">
        <w:rPr>
          <w:sz w:val="24"/>
        </w:rPr>
        <w:t xml:space="preserve"> evidence </w:t>
      </w:r>
      <w:r w:rsidR="006B7484">
        <w:rPr>
          <w:sz w:val="24"/>
        </w:rPr>
        <w:t xml:space="preserve">of the Company’s </w:t>
      </w:r>
      <w:r w:rsidR="006B7484" w:rsidRPr="009A36BC">
        <w:rPr>
          <w:sz w:val="24"/>
        </w:rPr>
        <w:t>violations of Order 01 and Order </w:t>
      </w:r>
      <w:r w:rsidR="006B7484">
        <w:rPr>
          <w:sz w:val="24"/>
        </w:rPr>
        <w:t>02</w:t>
      </w:r>
      <w:r w:rsidR="00B34AEA" w:rsidRPr="009A36BC">
        <w:rPr>
          <w:sz w:val="24"/>
        </w:rPr>
        <w:t xml:space="preserve"> and</w:t>
      </w:r>
      <w:r w:rsidR="006B7484">
        <w:rPr>
          <w:sz w:val="24"/>
        </w:rPr>
        <w:t xml:space="preserve"> also </w:t>
      </w:r>
      <w:r w:rsidR="00B34AEA" w:rsidRPr="009A36BC">
        <w:rPr>
          <w:sz w:val="24"/>
        </w:rPr>
        <w:t xml:space="preserve">consolidate </w:t>
      </w:r>
      <w:r w:rsidR="00B34AEA" w:rsidRPr="009A36BC">
        <w:rPr>
          <w:sz w:val="24"/>
          <w:szCs w:val="20"/>
        </w:rPr>
        <w:t>Dockets TC-152296 and TC-160187</w:t>
      </w:r>
      <w:r w:rsidR="00B34AEA" w:rsidRPr="009A36BC">
        <w:rPr>
          <w:sz w:val="32"/>
        </w:rPr>
        <w:t xml:space="preserve"> </w:t>
      </w:r>
      <w:r w:rsidR="00B34AEA" w:rsidRPr="009A36BC">
        <w:rPr>
          <w:sz w:val="24"/>
        </w:rPr>
        <w:t>with Docket TC</w:t>
      </w:r>
      <w:r w:rsidR="009A36BC" w:rsidRPr="009A36BC">
        <w:rPr>
          <w:sz w:val="24"/>
        </w:rPr>
        <w:noBreakHyphen/>
      </w:r>
      <w:r w:rsidR="00B34AEA" w:rsidRPr="009A36BC">
        <w:rPr>
          <w:sz w:val="24"/>
        </w:rPr>
        <w:t>160324.</w:t>
      </w:r>
      <w:r w:rsidR="009A36BC">
        <w:rPr>
          <w:sz w:val="24"/>
        </w:rPr>
        <w:t xml:space="preserve"> </w:t>
      </w:r>
      <w:r w:rsidR="00B34AEA" w:rsidRPr="009A36BC">
        <w:rPr>
          <w:sz w:val="24"/>
        </w:rPr>
        <w:t>That same day, the Commission issued a Notice of Br</w:t>
      </w:r>
      <w:r w:rsidR="009A36BC">
        <w:rPr>
          <w:sz w:val="24"/>
        </w:rPr>
        <w:t>ief Adjudicative Proceeding in C</w:t>
      </w:r>
      <w:r w:rsidR="00B34AEA" w:rsidRPr="009A36BC">
        <w:rPr>
          <w:sz w:val="24"/>
        </w:rPr>
        <w:t xml:space="preserve">onsolidated </w:t>
      </w:r>
      <w:r w:rsidR="009A36BC">
        <w:rPr>
          <w:sz w:val="24"/>
        </w:rPr>
        <w:t>Dockets</w:t>
      </w:r>
      <w:r w:rsidR="009A36BC" w:rsidRPr="00154800">
        <w:rPr>
          <w:sz w:val="24"/>
        </w:rPr>
        <w:t xml:space="preserve"> TC</w:t>
      </w:r>
      <w:r w:rsidR="009A36BC">
        <w:rPr>
          <w:sz w:val="24"/>
        </w:rPr>
        <w:noBreakHyphen/>
      </w:r>
      <w:r w:rsidR="009A36BC" w:rsidRPr="00154800">
        <w:rPr>
          <w:sz w:val="24"/>
        </w:rPr>
        <w:t>152296 and TC</w:t>
      </w:r>
      <w:r w:rsidR="009A36BC">
        <w:rPr>
          <w:sz w:val="24"/>
        </w:rPr>
        <w:noBreakHyphen/>
      </w:r>
      <w:r w:rsidR="009A36BC" w:rsidRPr="00154800">
        <w:rPr>
          <w:sz w:val="24"/>
        </w:rPr>
        <w:t>160187</w:t>
      </w:r>
      <w:r w:rsidR="00B34AEA" w:rsidRPr="009A36BC">
        <w:rPr>
          <w:sz w:val="24"/>
        </w:rPr>
        <w:t>, set for July</w:t>
      </w:r>
      <w:r w:rsidR="006B7484">
        <w:rPr>
          <w:sz w:val="24"/>
        </w:rPr>
        <w:t> </w:t>
      </w:r>
      <w:r w:rsidR="00B34AEA" w:rsidRPr="009A36BC">
        <w:rPr>
          <w:sz w:val="24"/>
        </w:rPr>
        <w:t>11, 2016, at 1:30 p.m.</w:t>
      </w:r>
    </w:p>
    <w:p w14:paraId="31FBDE57" w14:textId="3E740076" w:rsidR="00B34AEA" w:rsidRPr="00154800" w:rsidRDefault="00E06E21"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B34AEA" w:rsidRPr="00154800">
        <w:rPr>
          <w:sz w:val="24"/>
        </w:rPr>
        <w:t xml:space="preserve">The Commission conducted a </w:t>
      </w:r>
      <w:r w:rsidR="00B34AEA">
        <w:rPr>
          <w:sz w:val="24"/>
        </w:rPr>
        <w:t>BAP</w:t>
      </w:r>
      <w:r w:rsidR="00B34AEA" w:rsidRPr="00154800">
        <w:rPr>
          <w:sz w:val="24"/>
        </w:rPr>
        <w:t xml:space="preserve"> on July</w:t>
      </w:r>
      <w:r w:rsidR="009A36BC">
        <w:rPr>
          <w:sz w:val="24"/>
        </w:rPr>
        <w:t> </w:t>
      </w:r>
      <w:r w:rsidR="00B34AEA" w:rsidRPr="00154800">
        <w:rPr>
          <w:sz w:val="24"/>
        </w:rPr>
        <w:t>11, 2016. Docket TC</w:t>
      </w:r>
      <w:r w:rsidR="009A36BC">
        <w:rPr>
          <w:sz w:val="24"/>
        </w:rPr>
        <w:noBreakHyphen/>
      </w:r>
      <w:r w:rsidR="00B34AEA" w:rsidRPr="00154800">
        <w:rPr>
          <w:sz w:val="24"/>
        </w:rPr>
        <w:t xml:space="preserve">160324 </w:t>
      </w:r>
      <w:r w:rsidR="009A36BC">
        <w:rPr>
          <w:sz w:val="24"/>
        </w:rPr>
        <w:t>was</w:t>
      </w:r>
      <w:r w:rsidR="00B34AEA" w:rsidRPr="00154800">
        <w:rPr>
          <w:sz w:val="24"/>
        </w:rPr>
        <w:t xml:space="preserve"> consolidated </w:t>
      </w:r>
      <w:r w:rsidR="009A36BC">
        <w:rPr>
          <w:sz w:val="24"/>
        </w:rPr>
        <w:t xml:space="preserve">with </w:t>
      </w:r>
      <w:r w:rsidR="00B34AEA" w:rsidRPr="00154800">
        <w:rPr>
          <w:sz w:val="24"/>
        </w:rPr>
        <w:t>Dockets TC</w:t>
      </w:r>
      <w:r w:rsidR="009A36BC">
        <w:rPr>
          <w:sz w:val="24"/>
        </w:rPr>
        <w:noBreakHyphen/>
      </w:r>
      <w:r w:rsidR="00B34AEA" w:rsidRPr="00154800">
        <w:rPr>
          <w:sz w:val="24"/>
        </w:rPr>
        <w:t>15</w:t>
      </w:r>
      <w:r w:rsidR="00B34AEA">
        <w:rPr>
          <w:sz w:val="24"/>
        </w:rPr>
        <w:t>2296 and TC</w:t>
      </w:r>
      <w:r w:rsidR="009A36BC">
        <w:rPr>
          <w:sz w:val="24"/>
        </w:rPr>
        <w:noBreakHyphen/>
      </w:r>
      <w:r w:rsidR="00B34AEA">
        <w:rPr>
          <w:sz w:val="24"/>
        </w:rPr>
        <w:t>160187 to conserve Commission time and resources</w:t>
      </w:r>
      <w:r w:rsidR="00B34AEA" w:rsidRPr="00154800">
        <w:rPr>
          <w:sz w:val="24"/>
        </w:rPr>
        <w:t>.</w:t>
      </w:r>
      <w:r w:rsidR="009A36BC">
        <w:rPr>
          <w:sz w:val="24"/>
        </w:rPr>
        <w:t xml:space="preserve"> </w:t>
      </w:r>
    </w:p>
    <w:p w14:paraId="31FBDE58" w14:textId="09FAC7FA" w:rsidR="005E51C2" w:rsidRPr="005E51C2" w:rsidRDefault="00E06E21"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9A36BC" w:rsidRPr="009A36BC">
        <w:rPr>
          <w:sz w:val="24"/>
        </w:rPr>
        <w:t xml:space="preserve">On </w:t>
      </w:r>
      <w:r w:rsidR="009A36BC">
        <w:rPr>
          <w:sz w:val="24"/>
        </w:rPr>
        <w:t>July 14</w:t>
      </w:r>
      <w:r w:rsidR="009A36BC" w:rsidRPr="009A36BC">
        <w:rPr>
          <w:sz w:val="24"/>
        </w:rPr>
        <w:t>, 201</w:t>
      </w:r>
      <w:r w:rsidR="009A36BC">
        <w:rPr>
          <w:sz w:val="24"/>
        </w:rPr>
        <w:t>6, the Commission entered Order </w:t>
      </w:r>
      <w:r w:rsidR="009A36BC" w:rsidRPr="009A36BC">
        <w:rPr>
          <w:sz w:val="24"/>
        </w:rPr>
        <w:t xml:space="preserve">01 in Docket </w:t>
      </w:r>
      <w:r w:rsidR="003054C9">
        <w:rPr>
          <w:sz w:val="24"/>
        </w:rPr>
        <w:t>TC</w:t>
      </w:r>
      <w:r w:rsidR="003054C9">
        <w:rPr>
          <w:sz w:val="24"/>
        </w:rPr>
        <w:noBreakHyphen/>
        <w:t>160324 / Order 03 in Consolidated Dockets</w:t>
      </w:r>
      <w:r w:rsidR="009A36BC">
        <w:rPr>
          <w:sz w:val="24"/>
        </w:rPr>
        <w:t xml:space="preserve"> </w:t>
      </w:r>
      <w:r w:rsidR="009A36BC" w:rsidRPr="009A36BC">
        <w:rPr>
          <w:sz w:val="24"/>
        </w:rPr>
        <w:t>TC</w:t>
      </w:r>
      <w:r w:rsidR="009A36BC">
        <w:rPr>
          <w:sz w:val="24"/>
        </w:rPr>
        <w:noBreakHyphen/>
        <w:t xml:space="preserve">152296 and </w:t>
      </w:r>
      <w:r w:rsidR="009A36BC" w:rsidRPr="009A36BC">
        <w:rPr>
          <w:sz w:val="24"/>
        </w:rPr>
        <w:t>TC</w:t>
      </w:r>
      <w:r w:rsidR="009A36BC">
        <w:rPr>
          <w:sz w:val="24"/>
        </w:rPr>
        <w:noBreakHyphen/>
      </w:r>
      <w:r w:rsidR="009A36BC" w:rsidRPr="009A36BC">
        <w:rPr>
          <w:sz w:val="24"/>
        </w:rPr>
        <w:t xml:space="preserve">160187, Order of Consolidation; Initial Order </w:t>
      </w:r>
      <w:r w:rsidR="009A36BC">
        <w:rPr>
          <w:sz w:val="24"/>
        </w:rPr>
        <w:t>Denying Application for Reinstatement; Susp</w:t>
      </w:r>
      <w:r w:rsidR="009A36BC" w:rsidRPr="009A36BC">
        <w:rPr>
          <w:sz w:val="24"/>
        </w:rPr>
        <w:t>ending Penalties (“Order</w:t>
      </w:r>
      <w:r w:rsidR="003054C9">
        <w:rPr>
          <w:sz w:val="24"/>
        </w:rPr>
        <w:t> </w:t>
      </w:r>
      <w:r w:rsidR="009A36BC" w:rsidRPr="009A36BC">
        <w:rPr>
          <w:sz w:val="24"/>
        </w:rPr>
        <w:t>01</w:t>
      </w:r>
      <w:r w:rsidR="009A36BC">
        <w:rPr>
          <w:sz w:val="24"/>
        </w:rPr>
        <w:t>/03</w:t>
      </w:r>
      <w:r w:rsidR="009A36BC" w:rsidRPr="009A36BC">
        <w:rPr>
          <w:sz w:val="24"/>
        </w:rPr>
        <w:t>”).</w:t>
      </w:r>
      <w:r w:rsidR="00361B47">
        <w:rPr>
          <w:rStyle w:val="FootnoteReference"/>
          <w:sz w:val="24"/>
        </w:rPr>
        <w:footnoteReference w:id="6"/>
      </w:r>
      <w:r w:rsidR="00864C87">
        <w:rPr>
          <w:sz w:val="24"/>
        </w:rPr>
        <w:t xml:space="preserve"> Order</w:t>
      </w:r>
      <w:r w:rsidR="00283462">
        <w:rPr>
          <w:sz w:val="24"/>
        </w:rPr>
        <w:t> </w:t>
      </w:r>
      <w:r w:rsidR="00864C87">
        <w:rPr>
          <w:sz w:val="24"/>
        </w:rPr>
        <w:t>01/03 denied the Company’s application for reinstatement.</w:t>
      </w:r>
      <w:r w:rsidR="006B7484">
        <w:rPr>
          <w:rStyle w:val="FootnoteReference"/>
          <w:sz w:val="24"/>
        </w:rPr>
        <w:footnoteReference w:id="7"/>
      </w:r>
      <w:r w:rsidR="00864C87">
        <w:rPr>
          <w:sz w:val="24"/>
        </w:rPr>
        <w:t xml:space="preserve"> But it also relieved the Company of its obligation to pay </w:t>
      </w:r>
      <w:r w:rsidR="00F070AB">
        <w:rPr>
          <w:sz w:val="24"/>
        </w:rPr>
        <w:t>the</w:t>
      </w:r>
      <w:r w:rsidR="00864C87">
        <w:rPr>
          <w:sz w:val="24"/>
        </w:rPr>
        <w:t xml:space="preserve"> remaining </w:t>
      </w:r>
      <w:r w:rsidR="00F070AB">
        <w:rPr>
          <w:sz w:val="24"/>
        </w:rPr>
        <w:t xml:space="preserve">portion of its </w:t>
      </w:r>
      <w:r w:rsidR="00864C87">
        <w:rPr>
          <w:sz w:val="24"/>
        </w:rPr>
        <w:t>unsuspended $5,</w:t>
      </w:r>
      <w:r w:rsidR="00F070AB">
        <w:rPr>
          <w:sz w:val="24"/>
        </w:rPr>
        <w:t>2</w:t>
      </w:r>
      <w:r w:rsidR="00864C87">
        <w:rPr>
          <w:sz w:val="24"/>
        </w:rPr>
        <w:t>00 penalty arising from its prior safety violations</w:t>
      </w:r>
      <w:r w:rsidR="00864C87">
        <w:rPr>
          <w:rStyle w:val="FootnoteReference"/>
          <w:sz w:val="24"/>
        </w:rPr>
        <w:footnoteReference w:id="8"/>
      </w:r>
      <w:r w:rsidR="00F03002">
        <w:rPr>
          <w:sz w:val="24"/>
        </w:rPr>
        <w:t>,</w:t>
      </w:r>
      <w:r w:rsidR="00864C87">
        <w:rPr>
          <w:sz w:val="24"/>
        </w:rPr>
        <w:t xml:space="preserve"> and failed to </w:t>
      </w:r>
      <w:r w:rsidR="006B7484">
        <w:rPr>
          <w:sz w:val="24"/>
        </w:rPr>
        <w:t>impose</w:t>
      </w:r>
      <w:r w:rsidR="00864C87">
        <w:rPr>
          <w:sz w:val="24"/>
        </w:rPr>
        <w:t xml:space="preserve"> any of the suspended $20,000 penalty due to the Company’s violation of the Commission’s cease and desist order.</w:t>
      </w:r>
      <w:r w:rsidR="00864C87">
        <w:rPr>
          <w:rStyle w:val="FootnoteReference"/>
          <w:sz w:val="24"/>
        </w:rPr>
        <w:footnoteReference w:id="9"/>
      </w:r>
    </w:p>
    <w:p w14:paraId="31FBDE59" w14:textId="77777777" w:rsidR="00883DDB" w:rsidRDefault="00883DDB" w:rsidP="00F03002">
      <w:pPr>
        <w:pStyle w:val="Heading1"/>
        <w:spacing w:after="0"/>
      </w:pPr>
      <w:r w:rsidRPr="00FD221E">
        <w:t>APPLICABLE RULES</w:t>
      </w:r>
    </w:p>
    <w:p w14:paraId="74D67538" w14:textId="77777777" w:rsidR="00F03002" w:rsidRPr="00F03002" w:rsidRDefault="00F03002" w:rsidP="00F03002"/>
    <w:p w14:paraId="31FBDE5A" w14:textId="26F29B4F" w:rsidR="00883DDB" w:rsidRPr="001E322A" w:rsidRDefault="00E06E21"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864C87">
        <w:rPr>
          <w:sz w:val="24"/>
        </w:rPr>
        <w:t>A</w:t>
      </w:r>
      <w:r w:rsidR="00883DDB" w:rsidRPr="001E322A">
        <w:rPr>
          <w:sz w:val="24"/>
        </w:rPr>
        <w:t xml:space="preserve"> party who wishes to challenge an </w:t>
      </w:r>
      <w:r w:rsidR="0038705F">
        <w:rPr>
          <w:sz w:val="24"/>
        </w:rPr>
        <w:t xml:space="preserve">initial order in a BAP </w:t>
      </w:r>
      <w:r w:rsidR="00864C87">
        <w:rPr>
          <w:sz w:val="24"/>
        </w:rPr>
        <w:t>must</w:t>
      </w:r>
      <w:r w:rsidR="00883DDB" w:rsidRPr="001E322A">
        <w:rPr>
          <w:sz w:val="24"/>
        </w:rPr>
        <w:t xml:space="preserve"> file a petition for administrative review.</w:t>
      </w:r>
      <w:r w:rsidR="00864C87" w:rsidRPr="00864C87">
        <w:rPr>
          <w:sz w:val="24"/>
        </w:rPr>
        <w:t xml:space="preserve"> </w:t>
      </w:r>
      <w:r w:rsidR="00864C87" w:rsidRPr="001E322A">
        <w:rPr>
          <w:sz w:val="24"/>
        </w:rPr>
        <w:t>Under WAC</w:t>
      </w:r>
      <w:r w:rsidR="00864C87">
        <w:rPr>
          <w:sz w:val="24"/>
        </w:rPr>
        <w:t> </w:t>
      </w:r>
      <w:r w:rsidR="00864C87" w:rsidRPr="001E322A">
        <w:rPr>
          <w:sz w:val="24"/>
        </w:rPr>
        <w:t>480</w:t>
      </w:r>
      <w:r w:rsidR="00864C87">
        <w:rPr>
          <w:sz w:val="24"/>
        </w:rPr>
        <w:noBreakHyphen/>
      </w:r>
      <w:r w:rsidR="00864C87" w:rsidRPr="001E322A">
        <w:rPr>
          <w:sz w:val="24"/>
        </w:rPr>
        <w:t>07</w:t>
      </w:r>
      <w:r w:rsidR="00864C87">
        <w:rPr>
          <w:sz w:val="24"/>
        </w:rPr>
        <w:noBreakHyphen/>
        <w:t>610</w:t>
      </w:r>
      <w:r w:rsidR="0038705F">
        <w:rPr>
          <w:sz w:val="24"/>
        </w:rPr>
        <w:t>(7)</w:t>
      </w:r>
      <w:r w:rsidR="00864C87" w:rsidRPr="001E322A">
        <w:rPr>
          <w:sz w:val="24"/>
        </w:rPr>
        <w:t xml:space="preserve">, </w:t>
      </w:r>
      <w:r w:rsidR="00864C87">
        <w:rPr>
          <w:sz w:val="24"/>
        </w:rPr>
        <w:t>a petition must</w:t>
      </w:r>
      <w:r w:rsidR="00864C87" w:rsidRPr="00864C87">
        <w:t xml:space="preserve"> </w:t>
      </w:r>
      <w:r w:rsidR="00864C87" w:rsidRPr="00864C87">
        <w:rPr>
          <w:sz w:val="24"/>
        </w:rPr>
        <w:t xml:space="preserve">contain an explanation of </w:t>
      </w:r>
      <w:r w:rsidR="0038705F">
        <w:rPr>
          <w:sz w:val="24"/>
        </w:rPr>
        <w:t>the party</w:t>
      </w:r>
      <w:r w:rsidR="00F03002">
        <w:rPr>
          <w:sz w:val="24"/>
        </w:rPr>
        <w:t>’</w:t>
      </w:r>
      <w:r w:rsidR="0038705F">
        <w:rPr>
          <w:sz w:val="24"/>
        </w:rPr>
        <w:t>s view of the matter and</w:t>
      </w:r>
      <w:r w:rsidR="00864C87" w:rsidRPr="00864C87">
        <w:rPr>
          <w:sz w:val="24"/>
        </w:rPr>
        <w:t xml:space="preserve"> a statement of reasons why the initial order is incorrect</w:t>
      </w:r>
      <w:r w:rsidR="0038705F">
        <w:rPr>
          <w:sz w:val="24"/>
        </w:rPr>
        <w:t xml:space="preserve"> (along with a certificate of service of the petition).</w:t>
      </w:r>
    </w:p>
    <w:p w14:paraId="31FBDE5B" w14:textId="77777777" w:rsidR="005E51C2" w:rsidRDefault="005E51C2" w:rsidP="00F03002">
      <w:pPr>
        <w:pStyle w:val="Heading1"/>
        <w:spacing w:after="0"/>
      </w:pPr>
      <w:r w:rsidRPr="005E51C2">
        <w:t>PETITION</w:t>
      </w:r>
      <w:r w:rsidR="00883DDB">
        <w:t xml:space="preserve"> FOR ADMINISTRATIVE REVIEW</w:t>
      </w:r>
    </w:p>
    <w:p w14:paraId="645B75C0" w14:textId="77777777" w:rsidR="00F03002" w:rsidRPr="00F03002" w:rsidRDefault="00F03002" w:rsidP="00F03002"/>
    <w:p w14:paraId="56757AC1" w14:textId="1176A3B5" w:rsidR="00027CC4" w:rsidRDefault="00E06E21"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883DDB" w:rsidRPr="001E322A">
        <w:rPr>
          <w:sz w:val="24"/>
        </w:rPr>
        <w:t xml:space="preserve">Staff requests </w:t>
      </w:r>
      <w:r w:rsidR="003054C9">
        <w:rPr>
          <w:sz w:val="24"/>
        </w:rPr>
        <w:t xml:space="preserve">that </w:t>
      </w:r>
      <w:r w:rsidR="00883DDB" w:rsidRPr="001E322A">
        <w:rPr>
          <w:sz w:val="24"/>
        </w:rPr>
        <w:t>the Commission conduct administrative review of Order</w:t>
      </w:r>
      <w:r w:rsidR="003054C9">
        <w:rPr>
          <w:sz w:val="24"/>
        </w:rPr>
        <w:t xml:space="preserve"> 01/03 </w:t>
      </w:r>
      <w:r w:rsidR="00883DDB" w:rsidRPr="001E322A">
        <w:rPr>
          <w:sz w:val="24"/>
        </w:rPr>
        <w:t xml:space="preserve">in </w:t>
      </w:r>
      <w:r w:rsidR="003054C9">
        <w:rPr>
          <w:sz w:val="24"/>
        </w:rPr>
        <w:t xml:space="preserve">Consolidated </w:t>
      </w:r>
      <w:r w:rsidR="00883DDB" w:rsidRPr="001E322A">
        <w:rPr>
          <w:sz w:val="24"/>
        </w:rPr>
        <w:t xml:space="preserve">Dockets </w:t>
      </w:r>
      <w:r w:rsidR="003054C9">
        <w:rPr>
          <w:sz w:val="24"/>
        </w:rPr>
        <w:t>TC</w:t>
      </w:r>
      <w:r w:rsidR="003054C9">
        <w:rPr>
          <w:sz w:val="24"/>
        </w:rPr>
        <w:noBreakHyphen/>
        <w:t>160324, TC</w:t>
      </w:r>
      <w:r w:rsidR="003054C9">
        <w:rPr>
          <w:sz w:val="24"/>
        </w:rPr>
        <w:noBreakHyphen/>
        <w:t>152296 and TC</w:t>
      </w:r>
      <w:r w:rsidR="003054C9">
        <w:rPr>
          <w:sz w:val="24"/>
        </w:rPr>
        <w:noBreakHyphen/>
        <w:t>160187.</w:t>
      </w:r>
      <w:r w:rsidR="00883DDB" w:rsidRPr="001E322A">
        <w:rPr>
          <w:sz w:val="24"/>
        </w:rPr>
        <w:t xml:space="preserve"> Staff respectfully disagrees with the Administrative Law Judge’s </w:t>
      </w:r>
      <w:r w:rsidR="003054C9">
        <w:rPr>
          <w:sz w:val="24"/>
        </w:rPr>
        <w:t>decisions to</w:t>
      </w:r>
      <w:r w:rsidR="00F4289B">
        <w:rPr>
          <w:sz w:val="24"/>
        </w:rPr>
        <w:t xml:space="preserve"> </w:t>
      </w:r>
      <w:r w:rsidR="003054C9">
        <w:rPr>
          <w:sz w:val="24"/>
        </w:rPr>
        <w:t xml:space="preserve">not </w:t>
      </w:r>
      <w:r w:rsidR="0038705F">
        <w:rPr>
          <w:sz w:val="24"/>
        </w:rPr>
        <w:t>impose</w:t>
      </w:r>
      <w:r w:rsidR="003054C9">
        <w:rPr>
          <w:sz w:val="24"/>
        </w:rPr>
        <w:t xml:space="preserve"> any portion of the $20,000 </w:t>
      </w:r>
      <w:r w:rsidR="006B7484">
        <w:rPr>
          <w:sz w:val="24"/>
        </w:rPr>
        <w:t>that</w:t>
      </w:r>
      <w:r w:rsidR="003054C9">
        <w:rPr>
          <w:sz w:val="24"/>
        </w:rPr>
        <w:t xml:space="preserve"> was suspended on condition that the Company cease and desist </w:t>
      </w:r>
      <w:r w:rsidR="006B7484">
        <w:rPr>
          <w:sz w:val="24"/>
        </w:rPr>
        <w:t xml:space="preserve">its </w:t>
      </w:r>
      <w:r w:rsidR="003054C9">
        <w:rPr>
          <w:sz w:val="24"/>
        </w:rPr>
        <w:t>operation</w:t>
      </w:r>
      <w:r w:rsidR="006B7484">
        <w:rPr>
          <w:sz w:val="24"/>
        </w:rPr>
        <w:t>s</w:t>
      </w:r>
      <w:r w:rsidR="00F4289B">
        <w:rPr>
          <w:sz w:val="24"/>
        </w:rPr>
        <w:t>,</w:t>
      </w:r>
      <w:r w:rsidR="003054C9">
        <w:rPr>
          <w:sz w:val="24"/>
        </w:rPr>
        <w:t xml:space="preserve"> and</w:t>
      </w:r>
      <w:r w:rsidR="00F4289B">
        <w:rPr>
          <w:sz w:val="24"/>
        </w:rPr>
        <w:t xml:space="preserve"> to </w:t>
      </w:r>
      <w:r w:rsidR="003054C9">
        <w:rPr>
          <w:sz w:val="24"/>
        </w:rPr>
        <w:t>relieve the Company of its obligation to pay the remaining</w:t>
      </w:r>
      <w:r w:rsidR="00F070AB">
        <w:rPr>
          <w:sz w:val="24"/>
        </w:rPr>
        <w:t xml:space="preserve"> portion of its $5,2</w:t>
      </w:r>
      <w:r w:rsidR="003054C9">
        <w:rPr>
          <w:sz w:val="24"/>
        </w:rPr>
        <w:t xml:space="preserve">00 that the Company had been assessed for </w:t>
      </w:r>
      <w:r w:rsidR="00036009">
        <w:rPr>
          <w:sz w:val="24"/>
        </w:rPr>
        <w:t xml:space="preserve">its </w:t>
      </w:r>
      <w:r w:rsidR="00F070AB">
        <w:rPr>
          <w:sz w:val="24"/>
        </w:rPr>
        <w:t>292</w:t>
      </w:r>
      <w:r w:rsidR="00036009">
        <w:rPr>
          <w:sz w:val="24"/>
        </w:rPr>
        <w:t xml:space="preserve"> </w:t>
      </w:r>
      <w:r w:rsidR="003054C9">
        <w:rPr>
          <w:sz w:val="24"/>
        </w:rPr>
        <w:t xml:space="preserve">safety violations. </w:t>
      </w:r>
      <w:r w:rsidR="00F17E88">
        <w:rPr>
          <w:sz w:val="24"/>
        </w:rPr>
        <w:t xml:space="preserve">Staff requests that the Commission exercise its discretion to </w:t>
      </w:r>
      <w:r w:rsidR="0038705F">
        <w:rPr>
          <w:sz w:val="24"/>
        </w:rPr>
        <w:t>modify</w:t>
      </w:r>
      <w:r w:rsidR="00F17E88">
        <w:rPr>
          <w:sz w:val="24"/>
        </w:rPr>
        <w:t xml:space="preserve"> Order 01/03</w:t>
      </w:r>
      <w:r w:rsidR="006B7484">
        <w:rPr>
          <w:sz w:val="24"/>
        </w:rPr>
        <w:t xml:space="preserve"> and </w:t>
      </w:r>
      <w:r w:rsidR="00D6358A">
        <w:rPr>
          <w:sz w:val="24"/>
        </w:rPr>
        <w:t>reimpose</w:t>
      </w:r>
      <w:r w:rsidR="00F17E88">
        <w:rPr>
          <w:sz w:val="24"/>
        </w:rPr>
        <w:t xml:space="preserve"> the remaining balance of the Company’s $5,200 penalty associated with its 292 safety violations</w:t>
      </w:r>
      <w:r w:rsidR="0038705F">
        <w:rPr>
          <w:sz w:val="24"/>
        </w:rPr>
        <w:t>, with or without a payment plan</w:t>
      </w:r>
      <w:r w:rsidR="00F17E88">
        <w:rPr>
          <w:sz w:val="24"/>
        </w:rPr>
        <w:t>.</w:t>
      </w:r>
    </w:p>
    <w:p w14:paraId="36E31DBA" w14:textId="4116675F" w:rsidR="00410027" w:rsidRDefault="00410027"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ab/>
        <w:t xml:space="preserve">Prior to the hearing on July 11, 2016, the Company was obligated to pay its $5,200 penalty for its 292 safety violations via a payment plan, with a $20,000 suspended penalty as an incentive to ensure that the Company complied with Order 02. Instead of complying with Order 02, the </w:t>
      </w:r>
      <w:r w:rsidR="00215843">
        <w:rPr>
          <w:sz w:val="24"/>
        </w:rPr>
        <w:t>A</w:t>
      </w:r>
      <w:r>
        <w:rPr>
          <w:sz w:val="24"/>
        </w:rPr>
        <w:t xml:space="preserve">dministrative </w:t>
      </w:r>
      <w:r w:rsidR="00215843">
        <w:rPr>
          <w:sz w:val="24"/>
        </w:rPr>
        <w:t>L</w:t>
      </w:r>
      <w:r>
        <w:rPr>
          <w:sz w:val="24"/>
        </w:rPr>
        <w:t xml:space="preserve">aw </w:t>
      </w:r>
      <w:r w:rsidR="00215843">
        <w:rPr>
          <w:sz w:val="24"/>
        </w:rPr>
        <w:t>J</w:t>
      </w:r>
      <w:r>
        <w:rPr>
          <w:sz w:val="24"/>
        </w:rPr>
        <w:t>udge found that the Company knowingly violated Order 02</w:t>
      </w:r>
      <w:r w:rsidR="0038705F">
        <w:rPr>
          <w:sz w:val="24"/>
        </w:rPr>
        <w:t>,</w:t>
      </w:r>
      <w:r>
        <w:rPr>
          <w:rStyle w:val="FootnoteReference"/>
          <w:sz w:val="24"/>
        </w:rPr>
        <w:footnoteReference w:id="10"/>
      </w:r>
      <w:r w:rsidR="006B7484">
        <w:rPr>
          <w:sz w:val="24"/>
        </w:rPr>
        <w:t xml:space="preserve"> and that these violation</w:t>
      </w:r>
      <w:r w:rsidR="0038705F">
        <w:rPr>
          <w:sz w:val="24"/>
        </w:rPr>
        <w:t>s justified subjecting the Company to the full $20,000 suspended penalty.</w:t>
      </w:r>
      <w:r w:rsidR="0038705F">
        <w:rPr>
          <w:rStyle w:val="FootnoteReference"/>
          <w:sz w:val="24"/>
        </w:rPr>
        <w:footnoteReference w:id="11"/>
      </w:r>
      <w:r>
        <w:rPr>
          <w:sz w:val="24"/>
        </w:rPr>
        <w:t xml:space="preserve"> </w:t>
      </w:r>
      <w:r w:rsidR="0038705F">
        <w:rPr>
          <w:sz w:val="24"/>
        </w:rPr>
        <w:t xml:space="preserve">The Company was relieved, however, of its obligation to pay </w:t>
      </w:r>
      <w:r w:rsidR="0038705F" w:rsidRPr="009F29FD">
        <w:rPr>
          <w:i/>
          <w:sz w:val="24"/>
        </w:rPr>
        <w:t>any</w:t>
      </w:r>
      <w:r w:rsidR="0038705F">
        <w:rPr>
          <w:sz w:val="24"/>
        </w:rPr>
        <w:t xml:space="preserve"> portion of this suspended penalty</w:t>
      </w:r>
      <w:r w:rsidR="001E1020">
        <w:rPr>
          <w:sz w:val="24"/>
        </w:rPr>
        <w:t xml:space="preserve"> and </w:t>
      </w:r>
      <w:r w:rsidR="001E1020" w:rsidRPr="009F29FD">
        <w:rPr>
          <w:i/>
          <w:sz w:val="24"/>
        </w:rPr>
        <w:t>any</w:t>
      </w:r>
      <w:r w:rsidR="001E1020">
        <w:rPr>
          <w:sz w:val="24"/>
        </w:rPr>
        <w:t xml:space="preserve"> part of the remaining balance of its $5,200 penalty.</w:t>
      </w:r>
      <w:r w:rsidR="001E1020">
        <w:rPr>
          <w:rStyle w:val="FootnoteReference"/>
          <w:sz w:val="24"/>
        </w:rPr>
        <w:footnoteReference w:id="12"/>
      </w:r>
    </w:p>
    <w:p w14:paraId="0A256080" w14:textId="6C900EE9" w:rsidR="003054C9" w:rsidRDefault="00027CC4"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F4289B">
        <w:rPr>
          <w:sz w:val="24"/>
        </w:rPr>
        <w:t>In Staff’s view,</w:t>
      </w:r>
      <w:r w:rsidR="00D15A24">
        <w:rPr>
          <w:sz w:val="24"/>
        </w:rPr>
        <w:t xml:space="preserve"> it is unacceptable that </w:t>
      </w:r>
      <w:r w:rsidR="001E1020">
        <w:rPr>
          <w:sz w:val="24"/>
        </w:rPr>
        <w:t xml:space="preserve">Order 01/03 relieves the Company of </w:t>
      </w:r>
      <w:r w:rsidR="00D6358A">
        <w:rPr>
          <w:sz w:val="24"/>
        </w:rPr>
        <w:t xml:space="preserve">any </w:t>
      </w:r>
      <w:r w:rsidR="001E1020">
        <w:rPr>
          <w:sz w:val="24"/>
        </w:rPr>
        <w:t>punishment for</w:t>
      </w:r>
      <w:r w:rsidR="00D6358A">
        <w:rPr>
          <w:sz w:val="24"/>
        </w:rPr>
        <w:t xml:space="preserve"> both</w:t>
      </w:r>
      <w:r w:rsidR="001E1020">
        <w:rPr>
          <w:sz w:val="24"/>
        </w:rPr>
        <w:t xml:space="preserve"> its 292 safety violations </w:t>
      </w:r>
      <w:r w:rsidR="00D6358A">
        <w:rPr>
          <w:sz w:val="24"/>
        </w:rPr>
        <w:t>and its continued operation</w:t>
      </w:r>
      <w:r w:rsidR="00F4289B">
        <w:rPr>
          <w:sz w:val="24"/>
        </w:rPr>
        <w:t xml:space="preserve"> after</w:t>
      </w:r>
      <w:r w:rsidR="001E1020">
        <w:rPr>
          <w:sz w:val="24"/>
        </w:rPr>
        <w:t xml:space="preserve"> </w:t>
      </w:r>
      <w:r w:rsidR="00F4289B">
        <w:rPr>
          <w:sz w:val="24"/>
        </w:rPr>
        <w:t>cancell</w:t>
      </w:r>
      <w:r w:rsidR="00D6358A">
        <w:rPr>
          <w:sz w:val="24"/>
        </w:rPr>
        <w:t>ation of its certificate</w:t>
      </w:r>
      <w:r w:rsidR="001E1020">
        <w:rPr>
          <w:sz w:val="24"/>
        </w:rPr>
        <w:t xml:space="preserve">, in blatant disregard </w:t>
      </w:r>
      <w:r w:rsidR="004D26A6">
        <w:rPr>
          <w:sz w:val="24"/>
        </w:rPr>
        <w:t>of</w:t>
      </w:r>
      <w:r w:rsidR="001E1020">
        <w:rPr>
          <w:sz w:val="24"/>
        </w:rPr>
        <w:t xml:space="preserve"> the Commission’s authority.</w:t>
      </w:r>
      <w:r w:rsidR="001E1020">
        <w:rPr>
          <w:rStyle w:val="FootnoteReference"/>
          <w:sz w:val="24"/>
        </w:rPr>
        <w:footnoteReference w:id="13"/>
      </w:r>
      <w:r w:rsidR="00D15A24">
        <w:rPr>
          <w:sz w:val="24"/>
        </w:rPr>
        <w:t xml:space="preserve"> </w:t>
      </w:r>
      <w:r>
        <w:rPr>
          <w:sz w:val="24"/>
        </w:rPr>
        <w:t xml:space="preserve">This Company’s initial transgressions were </w:t>
      </w:r>
      <w:r w:rsidR="00D6358A">
        <w:rPr>
          <w:sz w:val="24"/>
        </w:rPr>
        <w:t>critical</w:t>
      </w:r>
      <w:r>
        <w:rPr>
          <w:sz w:val="24"/>
        </w:rPr>
        <w:t xml:space="preserve">, and the Commission penalized the Company appropriately. </w:t>
      </w:r>
      <w:r w:rsidR="00D15A24">
        <w:rPr>
          <w:sz w:val="24"/>
        </w:rPr>
        <w:t>W</w:t>
      </w:r>
      <w:r w:rsidR="00873BC1">
        <w:rPr>
          <w:sz w:val="24"/>
        </w:rPr>
        <w:t xml:space="preserve">hen a company </w:t>
      </w:r>
      <w:r w:rsidR="00D15A24">
        <w:rPr>
          <w:sz w:val="24"/>
        </w:rPr>
        <w:t xml:space="preserve">then </w:t>
      </w:r>
      <w:r w:rsidR="00873BC1">
        <w:rPr>
          <w:sz w:val="24"/>
        </w:rPr>
        <w:t xml:space="preserve">ignores </w:t>
      </w:r>
      <w:r w:rsidR="00D15A24">
        <w:rPr>
          <w:sz w:val="24"/>
        </w:rPr>
        <w:t xml:space="preserve">and </w:t>
      </w:r>
      <w:r w:rsidR="00873BC1">
        <w:rPr>
          <w:sz w:val="24"/>
        </w:rPr>
        <w:t>completely disregards</w:t>
      </w:r>
      <w:r>
        <w:rPr>
          <w:sz w:val="24"/>
        </w:rPr>
        <w:t xml:space="preserve"> the Commission’s authority, </w:t>
      </w:r>
      <w:r w:rsidR="00873BC1">
        <w:rPr>
          <w:sz w:val="24"/>
        </w:rPr>
        <w:t>it</w:t>
      </w:r>
      <w:r>
        <w:rPr>
          <w:sz w:val="24"/>
        </w:rPr>
        <w:t xml:space="preserve"> should be assessed more penalties, not </w:t>
      </w:r>
      <w:r w:rsidR="009F29FD">
        <w:rPr>
          <w:sz w:val="24"/>
        </w:rPr>
        <w:t>fewer</w:t>
      </w:r>
      <w:r>
        <w:rPr>
          <w:sz w:val="24"/>
        </w:rPr>
        <w:t>.</w:t>
      </w:r>
      <w:r w:rsidR="00873BC1">
        <w:rPr>
          <w:sz w:val="24"/>
        </w:rPr>
        <w:t xml:space="preserve"> </w:t>
      </w:r>
    </w:p>
    <w:p w14:paraId="285C7F5F" w14:textId="7E6E1603" w:rsidR="006D3136" w:rsidRDefault="006D3136"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t xml:space="preserve">Staff notes that </w:t>
      </w:r>
      <w:r w:rsidR="00EC7789">
        <w:rPr>
          <w:sz w:val="24"/>
        </w:rPr>
        <w:t xml:space="preserve">a suspended penalty amount of $20,000 was not enough of an incentive to deter </w:t>
      </w:r>
      <w:r>
        <w:rPr>
          <w:sz w:val="24"/>
        </w:rPr>
        <w:t xml:space="preserve">the Company </w:t>
      </w:r>
      <w:r w:rsidR="00EC7789">
        <w:rPr>
          <w:sz w:val="24"/>
        </w:rPr>
        <w:t>from violating the Commission’s orders. Staff does not believe that relieving the Company of all financial obligations in favor of instilling a suspended penalty amount of $25,000 is sufficient to deter the Company from future violations.</w:t>
      </w:r>
      <w:r w:rsidR="00EC7789">
        <w:rPr>
          <w:rStyle w:val="FootnoteReference"/>
          <w:sz w:val="24"/>
        </w:rPr>
        <w:footnoteReference w:id="14"/>
      </w:r>
    </w:p>
    <w:p w14:paraId="4594427A" w14:textId="48E8A82A" w:rsidR="00CB7A1B" w:rsidRDefault="00410027"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F4289B">
        <w:rPr>
          <w:sz w:val="24"/>
        </w:rPr>
        <w:t xml:space="preserve">There </w:t>
      </w:r>
      <w:r w:rsidR="00EC7789">
        <w:rPr>
          <w:sz w:val="24"/>
        </w:rPr>
        <w:t>are</w:t>
      </w:r>
      <w:r w:rsidR="00F4289B">
        <w:rPr>
          <w:sz w:val="24"/>
        </w:rPr>
        <w:t xml:space="preserve"> good reason</w:t>
      </w:r>
      <w:r w:rsidR="00EC7789">
        <w:rPr>
          <w:sz w:val="24"/>
        </w:rPr>
        <w:t>s</w:t>
      </w:r>
      <w:r w:rsidR="00F4289B">
        <w:rPr>
          <w:sz w:val="24"/>
        </w:rPr>
        <w:t xml:space="preserve"> to impose</w:t>
      </w:r>
      <w:r w:rsidR="00D15A24">
        <w:rPr>
          <w:sz w:val="24"/>
        </w:rPr>
        <w:t xml:space="preserve"> penalties on the Company</w:t>
      </w:r>
      <w:r w:rsidR="00F4289B">
        <w:rPr>
          <w:sz w:val="24"/>
        </w:rPr>
        <w:t xml:space="preserve"> and </w:t>
      </w:r>
      <w:r w:rsidR="00EC7789">
        <w:rPr>
          <w:sz w:val="24"/>
        </w:rPr>
        <w:t>doing so</w:t>
      </w:r>
      <w:r w:rsidR="00F4289B">
        <w:rPr>
          <w:sz w:val="24"/>
        </w:rPr>
        <w:t xml:space="preserve"> would</w:t>
      </w:r>
      <w:r w:rsidR="00D15A24">
        <w:rPr>
          <w:sz w:val="24"/>
        </w:rPr>
        <w:t>, absolutely, serve a useful purpose.</w:t>
      </w:r>
      <w:r w:rsidR="004D26A6">
        <w:rPr>
          <w:rStyle w:val="FootnoteReference"/>
          <w:sz w:val="24"/>
        </w:rPr>
        <w:footnoteReference w:id="15"/>
      </w:r>
      <w:r w:rsidR="00D15A24">
        <w:rPr>
          <w:sz w:val="24"/>
        </w:rPr>
        <w:t xml:space="preserve"> </w:t>
      </w:r>
      <w:r w:rsidR="00D6358A">
        <w:rPr>
          <w:sz w:val="24"/>
        </w:rPr>
        <w:t>Staff believes t</w:t>
      </w:r>
      <w:r w:rsidR="00D15A24">
        <w:rPr>
          <w:sz w:val="24"/>
        </w:rPr>
        <w:t>he Company should be held accountable at some level for i</w:t>
      </w:r>
      <w:r w:rsidR="00CB7A1B">
        <w:rPr>
          <w:sz w:val="24"/>
        </w:rPr>
        <w:t xml:space="preserve">ts </w:t>
      </w:r>
      <w:r w:rsidR="000525AD">
        <w:rPr>
          <w:sz w:val="24"/>
        </w:rPr>
        <w:t>intentional</w:t>
      </w:r>
      <w:r w:rsidR="00D6358A">
        <w:rPr>
          <w:sz w:val="24"/>
        </w:rPr>
        <w:t xml:space="preserve">, noncompliant </w:t>
      </w:r>
      <w:r w:rsidR="00CB7A1B">
        <w:rPr>
          <w:sz w:val="24"/>
        </w:rPr>
        <w:t>actions. Denying the Company’s application for reinstatement should, in theory, stop its future unregulated operations, but this deni</w:t>
      </w:r>
      <w:r w:rsidR="00F4289B">
        <w:rPr>
          <w:sz w:val="24"/>
        </w:rPr>
        <w:t>al alone fails to penalize the C</w:t>
      </w:r>
      <w:r w:rsidR="00CB7A1B">
        <w:rPr>
          <w:sz w:val="24"/>
        </w:rPr>
        <w:t>ompany for its prior unsafe and illegal operations.</w:t>
      </w:r>
    </w:p>
    <w:p w14:paraId="3332D9CC" w14:textId="571F763C" w:rsidR="00027CC4" w:rsidRDefault="00CB7A1B"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t>T</w:t>
      </w:r>
      <w:r w:rsidR="00410027">
        <w:rPr>
          <w:sz w:val="24"/>
        </w:rPr>
        <w:t xml:space="preserve">his is not </w:t>
      </w:r>
      <w:r w:rsidR="00D15A24">
        <w:rPr>
          <w:sz w:val="24"/>
        </w:rPr>
        <w:t xml:space="preserve">only </w:t>
      </w:r>
      <w:r w:rsidR="00410027">
        <w:rPr>
          <w:sz w:val="24"/>
        </w:rPr>
        <w:t xml:space="preserve">about one company. </w:t>
      </w:r>
      <w:r w:rsidR="00027CC4">
        <w:rPr>
          <w:sz w:val="24"/>
        </w:rPr>
        <w:t>Failing to follow-through on suspended penaltie</w:t>
      </w:r>
      <w:r w:rsidR="00410027">
        <w:rPr>
          <w:sz w:val="24"/>
        </w:rPr>
        <w:t>s sets a bad precedent for every c</w:t>
      </w:r>
      <w:r w:rsidR="00027CC4">
        <w:rPr>
          <w:sz w:val="24"/>
        </w:rPr>
        <w:t xml:space="preserve">ompany </w:t>
      </w:r>
      <w:r w:rsidR="00410027">
        <w:rPr>
          <w:sz w:val="24"/>
        </w:rPr>
        <w:t xml:space="preserve">the Commission </w:t>
      </w:r>
      <w:r w:rsidR="00027CC4">
        <w:rPr>
          <w:sz w:val="24"/>
        </w:rPr>
        <w:t>regu</w:t>
      </w:r>
      <w:r w:rsidR="00410027">
        <w:rPr>
          <w:sz w:val="24"/>
        </w:rPr>
        <w:t>lates.</w:t>
      </w:r>
      <w:r w:rsidR="00027CC4">
        <w:rPr>
          <w:sz w:val="24"/>
        </w:rPr>
        <w:t xml:space="preserve"> </w:t>
      </w:r>
      <w:r w:rsidR="00410027">
        <w:rPr>
          <w:sz w:val="24"/>
        </w:rPr>
        <w:t xml:space="preserve">Commission policy to use suspended penalties as an </w:t>
      </w:r>
      <w:r w:rsidR="00027CC4">
        <w:rPr>
          <w:sz w:val="24"/>
        </w:rPr>
        <w:t xml:space="preserve">incentive to ensure future compliance </w:t>
      </w:r>
      <w:r w:rsidR="00410027">
        <w:rPr>
          <w:sz w:val="24"/>
        </w:rPr>
        <w:t>can be successful only</w:t>
      </w:r>
      <w:r w:rsidR="00027CC4">
        <w:rPr>
          <w:sz w:val="24"/>
        </w:rPr>
        <w:t xml:space="preserve"> if the incentive </w:t>
      </w:r>
      <w:r w:rsidR="00410027">
        <w:rPr>
          <w:sz w:val="24"/>
        </w:rPr>
        <w:t xml:space="preserve">is taken </w:t>
      </w:r>
      <w:r w:rsidR="00027CC4">
        <w:rPr>
          <w:sz w:val="24"/>
        </w:rPr>
        <w:t>seriously</w:t>
      </w:r>
      <w:r w:rsidR="00F434F2">
        <w:rPr>
          <w:sz w:val="24"/>
        </w:rPr>
        <w:t xml:space="preserve"> by</w:t>
      </w:r>
      <w:r w:rsidR="00027CC4">
        <w:rPr>
          <w:sz w:val="24"/>
        </w:rPr>
        <w:t xml:space="preserve"> </w:t>
      </w:r>
      <w:r w:rsidR="00F4289B">
        <w:rPr>
          <w:sz w:val="24"/>
        </w:rPr>
        <w:t xml:space="preserve">regulated companies </w:t>
      </w:r>
      <w:r w:rsidR="00027CC4">
        <w:rPr>
          <w:sz w:val="24"/>
        </w:rPr>
        <w:t xml:space="preserve">and </w:t>
      </w:r>
      <w:r w:rsidR="00F4289B">
        <w:rPr>
          <w:sz w:val="24"/>
        </w:rPr>
        <w:t>is a real penalty for any</w:t>
      </w:r>
      <w:r w:rsidR="00410027">
        <w:rPr>
          <w:sz w:val="24"/>
        </w:rPr>
        <w:t xml:space="preserve"> failure to abide by </w:t>
      </w:r>
      <w:r w:rsidR="00027CC4">
        <w:rPr>
          <w:sz w:val="24"/>
        </w:rPr>
        <w:t>Commission orders.</w:t>
      </w:r>
      <w:r w:rsidR="00410027">
        <w:rPr>
          <w:sz w:val="24"/>
        </w:rPr>
        <w:t xml:space="preserve"> Without the Commission’s follow-through</w:t>
      </w:r>
      <w:r>
        <w:rPr>
          <w:sz w:val="24"/>
        </w:rPr>
        <w:t xml:space="preserve"> in cases like this one</w:t>
      </w:r>
      <w:r w:rsidR="00410027">
        <w:rPr>
          <w:sz w:val="24"/>
        </w:rPr>
        <w:t xml:space="preserve">, </w:t>
      </w:r>
      <w:r w:rsidR="00873BC1">
        <w:rPr>
          <w:sz w:val="24"/>
        </w:rPr>
        <w:t xml:space="preserve">regulated companies are only emboldened to </w:t>
      </w:r>
      <w:r w:rsidR="00F17E88">
        <w:rPr>
          <w:sz w:val="24"/>
        </w:rPr>
        <w:t>disobey</w:t>
      </w:r>
      <w:r w:rsidR="00873BC1">
        <w:rPr>
          <w:sz w:val="24"/>
        </w:rPr>
        <w:t xml:space="preserve"> Commission rules and orders</w:t>
      </w:r>
      <w:r w:rsidR="00410027">
        <w:rPr>
          <w:sz w:val="24"/>
        </w:rPr>
        <w:t>.</w:t>
      </w:r>
      <w:r w:rsidR="00027CC4">
        <w:rPr>
          <w:sz w:val="24"/>
        </w:rPr>
        <w:t xml:space="preserve"> </w:t>
      </w:r>
    </w:p>
    <w:p w14:paraId="31FBDE69" w14:textId="77777777" w:rsidR="005E51C2" w:rsidRDefault="005E51C2" w:rsidP="00F03002">
      <w:pPr>
        <w:pStyle w:val="Heading1"/>
        <w:spacing w:after="0"/>
      </w:pPr>
      <w:r w:rsidRPr="005E51C2">
        <w:t>CONCLUSION</w:t>
      </w:r>
    </w:p>
    <w:p w14:paraId="7581F119" w14:textId="77777777" w:rsidR="00F52913" w:rsidRPr="00F52913" w:rsidRDefault="00F52913" w:rsidP="00F52913"/>
    <w:p w14:paraId="31FBDE6B" w14:textId="3D42FDCC" w:rsidR="005E51C2" w:rsidRPr="00F4289B" w:rsidRDefault="00E06E21" w:rsidP="00F03002">
      <w:pPr>
        <w:widowControl/>
        <w:numPr>
          <w:ilvl w:val="0"/>
          <w:numId w:val="4"/>
        </w:numPr>
        <w:tabs>
          <w:tab w:val="clear" w:pos="1080"/>
          <w:tab w:val="left" w:pos="0"/>
        </w:tabs>
        <w:autoSpaceDE/>
        <w:autoSpaceDN/>
        <w:adjustRightInd/>
        <w:spacing w:line="480" w:lineRule="auto"/>
        <w:ind w:left="0" w:hanging="720"/>
        <w:rPr>
          <w:sz w:val="24"/>
        </w:rPr>
      </w:pPr>
      <w:r w:rsidRPr="00F4289B">
        <w:rPr>
          <w:sz w:val="24"/>
        </w:rPr>
        <w:t xml:space="preserve"> </w:t>
      </w:r>
      <w:r w:rsidRPr="00F4289B">
        <w:rPr>
          <w:sz w:val="24"/>
        </w:rPr>
        <w:tab/>
      </w:r>
      <w:r w:rsidR="00F4289B" w:rsidRPr="00F4289B">
        <w:rPr>
          <w:sz w:val="24"/>
        </w:rPr>
        <w:t xml:space="preserve">Staff understands that the Commission will often times show compassion </w:t>
      </w:r>
      <w:r w:rsidR="004D26A6">
        <w:rPr>
          <w:sz w:val="24"/>
        </w:rPr>
        <w:t>to the companies that it regulates</w:t>
      </w:r>
      <w:r w:rsidR="00F4289B" w:rsidRPr="00F4289B">
        <w:rPr>
          <w:sz w:val="24"/>
        </w:rPr>
        <w:t>. Staff believes that a balance can be struck in this case between a desire to be compassionate, and ensuring that the Compan</w:t>
      </w:r>
      <w:bookmarkStart w:id="0" w:name="_GoBack"/>
      <w:bookmarkEnd w:id="0"/>
      <w:r w:rsidR="00F4289B" w:rsidRPr="00F4289B">
        <w:rPr>
          <w:sz w:val="24"/>
        </w:rPr>
        <w:t xml:space="preserve">y is held accountable. </w:t>
      </w:r>
      <w:r w:rsidR="00883DDB" w:rsidRPr="00F4289B">
        <w:rPr>
          <w:sz w:val="24"/>
        </w:rPr>
        <w:t xml:space="preserve">Staff respectfully requests </w:t>
      </w:r>
      <w:r w:rsidR="00CB7A1B" w:rsidRPr="00F4289B">
        <w:rPr>
          <w:sz w:val="24"/>
        </w:rPr>
        <w:t>that the</w:t>
      </w:r>
      <w:r w:rsidR="00883DDB" w:rsidRPr="00F4289B">
        <w:rPr>
          <w:sz w:val="24"/>
        </w:rPr>
        <w:t xml:space="preserve"> Commission accept administrative review of Order</w:t>
      </w:r>
      <w:r w:rsidR="00864C87" w:rsidRPr="00F4289B">
        <w:rPr>
          <w:sz w:val="24"/>
        </w:rPr>
        <w:t> 01/03</w:t>
      </w:r>
      <w:r w:rsidR="0038705F" w:rsidRPr="00F4289B">
        <w:rPr>
          <w:sz w:val="24"/>
        </w:rPr>
        <w:t>, under WAC 480-07-610(7),</w:t>
      </w:r>
      <w:r w:rsidR="00CB7A1B" w:rsidRPr="00F4289B">
        <w:rPr>
          <w:sz w:val="24"/>
        </w:rPr>
        <w:t xml:space="preserve"> and </w:t>
      </w:r>
      <w:r w:rsidR="00BB2387">
        <w:rPr>
          <w:sz w:val="24"/>
        </w:rPr>
        <w:t xml:space="preserve">modify that order by </w:t>
      </w:r>
      <w:r w:rsidR="00CB7A1B" w:rsidRPr="00F4289B">
        <w:rPr>
          <w:sz w:val="24"/>
        </w:rPr>
        <w:t>reimpos</w:t>
      </w:r>
      <w:r w:rsidR="00BB2387">
        <w:rPr>
          <w:sz w:val="24"/>
        </w:rPr>
        <w:t>ing</w:t>
      </w:r>
      <w:r w:rsidR="00CB7A1B" w:rsidRPr="00F4289B">
        <w:rPr>
          <w:sz w:val="24"/>
        </w:rPr>
        <w:t xml:space="preserve"> the remaining balance of the Company’s $5,200 penalty for its 292 safety vi</w:t>
      </w:r>
      <w:r w:rsidR="00F4289B" w:rsidRPr="00F4289B">
        <w:rPr>
          <w:sz w:val="24"/>
        </w:rPr>
        <w:t>olations, with or without a payment plan.</w:t>
      </w:r>
    </w:p>
    <w:p w14:paraId="31FBDE6C" w14:textId="77777777" w:rsidR="005E51C2" w:rsidRPr="005E51C2" w:rsidRDefault="00CF3EBA" w:rsidP="00F03002">
      <w:pPr>
        <w:keepNext/>
        <w:tabs>
          <w:tab w:val="left" w:pos="0"/>
        </w:tabs>
        <w:rPr>
          <w:sz w:val="24"/>
        </w:rPr>
      </w:pPr>
      <w:r>
        <w:rPr>
          <w:sz w:val="24"/>
        </w:rPr>
        <w:tab/>
        <w:t xml:space="preserve">DATED </w:t>
      </w:r>
      <w:r w:rsidR="00883DDB">
        <w:rPr>
          <w:sz w:val="24"/>
        </w:rPr>
        <w:t>July</w:t>
      </w:r>
      <w:r>
        <w:rPr>
          <w:sz w:val="24"/>
        </w:rPr>
        <w:t xml:space="preserve"> _____, 2016</w:t>
      </w:r>
      <w:r w:rsidR="005E51C2" w:rsidRPr="005E51C2">
        <w:rPr>
          <w:sz w:val="24"/>
        </w:rPr>
        <w:t>.</w:t>
      </w:r>
    </w:p>
    <w:p w14:paraId="31FBDE6D" w14:textId="77777777" w:rsidR="00F748D8" w:rsidRPr="005E51C2" w:rsidRDefault="00F748D8" w:rsidP="00F03002">
      <w:pPr>
        <w:keepNext/>
        <w:ind w:left="4860"/>
        <w:rPr>
          <w:sz w:val="24"/>
        </w:rPr>
      </w:pPr>
    </w:p>
    <w:p w14:paraId="31FBDE6F" w14:textId="77777777" w:rsidR="00F748D8" w:rsidRPr="005E51C2" w:rsidRDefault="00F748D8" w:rsidP="00F03002">
      <w:pPr>
        <w:keepNext/>
        <w:ind w:left="4860"/>
        <w:rPr>
          <w:sz w:val="24"/>
        </w:rPr>
      </w:pPr>
      <w:r w:rsidRPr="005E51C2">
        <w:rPr>
          <w:sz w:val="24"/>
        </w:rPr>
        <w:t>ROB</w:t>
      </w:r>
      <w:r w:rsidR="00BF3CD1" w:rsidRPr="005E51C2">
        <w:rPr>
          <w:sz w:val="24"/>
        </w:rPr>
        <w:t xml:space="preserve">ERT </w:t>
      </w:r>
      <w:r w:rsidR="005E51C2" w:rsidRPr="005E51C2">
        <w:rPr>
          <w:sz w:val="24"/>
        </w:rPr>
        <w:t>W. FERGUSON</w:t>
      </w:r>
      <w:r w:rsidRPr="005E51C2">
        <w:rPr>
          <w:sz w:val="24"/>
        </w:rPr>
        <w:t xml:space="preserve"> </w:t>
      </w:r>
    </w:p>
    <w:p w14:paraId="31FBDE70" w14:textId="77777777" w:rsidR="00F748D8" w:rsidRPr="005E51C2" w:rsidRDefault="00F748D8" w:rsidP="00F03002">
      <w:pPr>
        <w:keepNext/>
        <w:ind w:left="4860"/>
        <w:rPr>
          <w:sz w:val="24"/>
        </w:rPr>
      </w:pPr>
      <w:r w:rsidRPr="005E51C2">
        <w:rPr>
          <w:sz w:val="24"/>
        </w:rPr>
        <w:t>Attorney General</w:t>
      </w:r>
    </w:p>
    <w:p w14:paraId="31FBDE71" w14:textId="77777777" w:rsidR="00F748D8" w:rsidRPr="005E51C2" w:rsidRDefault="00F748D8" w:rsidP="00F03002">
      <w:pPr>
        <w:keepNext/>
        <w:ind w:left="4860"/>
        <w:rPr>
          <w:sz w:val="24"/>
        </w:rPr>
      </w:pPr>
    </w:p>
    <w:p w14:paraId="31FBDE73" w14:textId="77777777" w:rsidR="005E07C2" w:rsidRPr="005E51C2" w:rsidRDefault="005E07C2" w:rsidP="00F03002">
      <w:pPr>
        <w:keepNext/>
        <w:ind w:left="4860"/>
        <w:rPr>
          <w:sz w:val="24"/>
        </w:rPr>
      </w:pPr>
    </w:p>
    <w:p w14:paraId="31FBDE74" w14:textId="77777777" w:rsidR="00F748D8" w:rsidRPr="005E51C2" w:rsidRDefault="00F748D8" w:rsidP="00F03002">
      <w:pPr>
        <w:keepNext/>
        <w:ind w:left="4867"/>
        <w:rPr>
          <w:sz w:val="24"/>
        </w:rPr>
      </w:pPr>
      <w:r w:rsidRPr="005E51C2">
        <w:rPr>
          <w:sz w:val="24"/>
        </w:rPr>
        <w:t>___________________________</w:t>
      </w:r>
      <w:r w:rsidR="00FD3FCE" w:rsidRPr="005E51C2">
        <w:rPr>
          <w:sz w:val="24"/>
        </w:rPr>
        <w:t>___</w:t>
      </w:r>
      <w:r w:rsidRPr="005E51C2">
        <w:rPr>
          <w:sz w:val="24"/>
        </w:rPr>
        <w:t>___</w:t>
      </w:r>
    </w:p>
    <w:p w14:paraId="31FBDE75" w14:textId="77777777" w:rsidR="00F748D8" w:rsidRPr="005E51C2" w:rsidRDefault="00CF3EBA" w:rsidP="00F03002">
      <w:pPr>
        <w:keepNext/>
        <w:ind w:left="4860"/>
        <w:rPr>
          <w:sz w:val="24"/>
        </w:rPr>
      </w:pPr>
      <w:r>
        <w:rPr>
          <w:sz w:val="24"/>
        </w:rPr>
        <w:t>ANDREW J. O’CONNELL</w:t>
      </w:r>
    </w:p>
    <w:p w14:paraId="31FBDE76" w14:textId="77777777" w:rsidR="00F748D8" w:rsidRPr="005E51C2" w:rsidRDefault="00F748D8" w:rsidP="00F03002">
      <w:pPr>
        <w:keepNext/>
        <w:ind w:left="4860"/>
        <w:rPr>
          <w:sz w:val="24"/>
        </w:rPr>
      </w:pPr>
      <w:r w:rsidRPr="005E51C2">
        <w:rPr>
          <w:sz w:val="24"/>
        </w:rPr>
        <w:t>Assistant Attorney General</w:t>
      </w:r>
    </w:p>
    <w:p w14:paraId="31FBDE77" w14:textId="77777777" w:rsidR="00F748D8" w:rsidRPr="005E51C2" w:rsidRDefault="00F748D8" w:rsidP="00F03002">
      <w:pPr>
        <w:keepNext/>
        <w:ind w:left="4860"/>
        <w:rPr>
          <w:sz w:val="24"/>
        </w:rPr>
      </w:pPr>
      <w:r w:rsidRPr="005E51C2">
        <w:rPr>
          <w:sz w:val="24"/>
        </w:rPr>
        <w:t>Counsel for Washington Utilities and</w:t>
      </w:r>
    </w:p>
    <w:p w14:paraId="31FBDE78" w14:textId="77777777" w:rsidR="00F748D8" w:rsidRPr="005E51C2" w:rsidRDefault="004F69A5" w:rsidP="00F03002">
      <w:pPr>
        <w:ind w:left="4860"/>
        <w:rPr>
          <w:sz w:val="24"/>
        </w:rPr>
      </w:pPr>
      <w:r w:rsidRPr="005E51C2">
        <w:rPr>
          <w:sz w:val="24"/>
        </w:rPr>
        <w:t>Transportation Commission</w:t>
      </w:r>
      <w:r w:rsidR="005E07C2" w:rsidRPr="005E51C2">
        <w:rPr>
          <w:sz w:val="24"/>
        </w:rPr>
        <w:t xml:space="preserve"> Staff</w:t>
      </w:r>
    </w:p>
    <w:sectPr w:rsidR="00F748D8" w:rsidRPr="005E51C2"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BDE7D" w14:textId="77777777" w:rsidR="00EF1D62" w:rsidRDefault="00EF1D62">
      <w:r>
        <w:separator/>
      </w:r>
    </w:p>
    <w:p w14:paraId="31FBDE7E" w14:textId="77777777" w:rsidR="00F3194C" w:rsidRDefault="00F3194C"/>
  </w:endnote>
  <w:endnote w:type="continuationSeparator" w:id="0">
    <w:p w14:paraId="31FBDE7F" w14:textId="77777777" w:rsidR="00EF1D62" w:rsidRDefault="00EF1D62">
      <w:r>
        <w:continuationSeparator/>
      </w:r>
    </w:p>
    <w:p w14:paraId="31FBDE80" w14:textId="77777777" w:rsidR="00F3194C" w:rsidRDefault="00F31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81C7F" w14:textId="77777777" w:rsidR="00AE64C6" w:rsidRDefault="00AE64C6" w:rsidP="002F2722">
    <w:pPr>
      <w:pStyle w:val="Footer"/>
      <w:rPr>
        <w:sz w:val="22"/>
        <w:szCs w:val="22"/>
      </w:rPr>
    </w:pPr>
  </w:p>
  <w:p w14:paraId="31FBDE81" w14:textId="77777777" w:rsidR="002F2722" w:rsidRPr="00AE64C6" w:rsidRDefault="002F2722" w:rsidP="002F2722">
    <w:pPr>
      <w:pStyle w:val="Footer"/>
      <w:rPr>
        <w:sz w:val="22"/>
        <w:szCs w:val="22"/>
      </w:rPr>
    </w:pPr>
    <w:r w:rsidRPr="00AE64C6">
      <w:rPr>
        <w:sz w:val="22"/>
        <w:szCs w:val="22"/>
      </w:rPr>
      <w:t xml:space="preserve">COMMISSION STAFF’S </w:t>
    </w:r>
    <w:r w:rsidR="00B34AEA" w:rsidRPr="00AE64C6">
      <w:rPr>
        <w:sz w:val="22"/>
        <w:szCs w:val="22"/>
      </w:rPr>
      <w:t>PETITION</w:t>
    </w:r>
  </w:p>
  <w:p w14:paraId="31FBDE82" w14:textId="2BC513BA" w:rsidR="002F2722" w:rsidRPr="00AE64C6" w:rsidRDefault="002F2722" w:rsidP="002F2722">
    <w:pPr>
      <w:pStyle w:val="Footer"/>
      <w:rPr>
        <w:sz w:val="22"/>
        <w:szCs w:val="22"/>
      </w:rPr>
    </w:pPr>
    <w:r w:rsidRPr="00AE64C6">
      <w:rPr>
        <w:sz w:val="22"/>
        <w:szCs w:val="22"/>
      </w:rPr>
      <w:t>FOR ADMINISTRATIVE REVIEW</w:t>
    </w:r>
    <w:r w:rsidR="00AE64C6" w:rsidRPr="00AE64C6">
      <w:rPr>
        <w:sz w:val="22"/>
        <w:szCs w:val="22"/>
      </w:rPr>
      <w:t xml:space="preserve"> - </w:t>
    </w:r>
    <w:r w:rsidR="00AE64C6" w:rsidRPr="00AE64C6">
      <w:rPr>
        <w:sz w:val="22"/>
        <w:szCs w:val="22"/>
      </w:rPr>
      <w:fldChar w:fldCharType="begin"/>
    </w:r>
    <w:r w:rsidR="00AE64C6" w:rsidRPr="00AE64C6">
      <w:rPr>
        <w:sz w:val="22"/>
        <w:szCs w:val="22"/>
      </w:rPr>
      <w:instrText xml:space="preserve"> PAGE   \* MERGEFORMAT </w:instrText>
    </w:r>
    <w:r w:rsidR="00AE64C6" w:rsidRPr="00AE64C6">
      <w:rPr>
        <w:sz w:val="22"/>
        <w:szCs w:val="22"/>
      </w:rPr>
      <w:fldChar w:fldCharType="separate"/>
    </w:r>
    <w:r w:rsidR="00F52913">
      <w:rPr>
        <w:noProof/>
        <w:sz w:val="22"/>
        <w:szCs w:val="22"/>
      </w:rPr>
      <w:t>7</w:t>
    </w:r>
    <w:r w:rsidR="00AE64C6" w:rsidRPr="00AE64C6">
      <w:rPr>
        <w:noProof/>
        <w:sz w:val="22"/>
        <w:szCs w:val="22"/>
      </w:rPr>
      <w:fldChar w:fldCharType="end"/>
    </w:r>
  </w:p>
  <w:p w14:paraId="31FBDE83" w14:textId="77777777" w:rsidR="00F3194C" w:rsidRPr="00AE64C6" w:rsidRDefault="00F3194C">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BDE79" w14:textId="77777777" w:rsidR="00EF1D62" w:rsidRDefault="00EF1D62">
      <w:r>
        <w:separator/>
      </w:r>
    </w:p>
    <w:p w14:paraId="31FBDE7A" w14:textId="77777777" w:rsidR="00F3194C" w:rsidRDefault="00F3194C"/>
  </w:footnote>
  <w:footnote w:type="continuationSeparator" w:id="0">
    <w:p w14:paraId="31FBDE7B" w14:textId="77777777" w:rsidR="00EF1D62" w:rsidRDefault="00EF1D62">
      <w:r>
        <w:continuationSeparator/>
      </w:r>
    </w:p>
    <w:p w14:paraId="31FBDE7C" w14:textId="77777777" w:rsidR="00F3194C" w:rsidRDefault="00F3194C"/>
  </w:footnote>
  <w:footnote w:id="1">
    <w:p w14:paraId="724FE13D" w14:textId="0DEEE5FA" w:rsidR="00361B47" w:rsidRDefault="00361B47">
      <w:pPr>
        <w:pStyle w:val="FootnoteText"/>
      </w:pPr>
      <w:r>
        <w:rPr>
          <w:rStyle w:val="FootnoteReference"/>
        </w:rPr>
        <w:footnoteRef/>
      </w:r>
      <w:r>
        <w:t xml:space="preserve"> Order 01, Consolidated </w:t>
      </w:r>
      <w:r w:rsidRPr="00E06E21">
        <w:t>Dockets TC</w:t>
      </w:r>
      <w:r w:rsidRPr="00E06E21">
        <w:noBreakHyphen/>
        <w:t>152296 and TC</w:t>
      </w:r>
      <w:r w:rsidRPr="00E06E21">
        <w:noBreakHyphen/>
        <w:t>160187, Order of Consolidation; Initial Order Cancelling Certificate; Order Im</w:t>
      </w:r>
      <w:r>
        <w:t>posing and Suspending Penalties (March 15, 2016) [hereinafter “</w:t>
      </w:r>
      <w:r w:rsidRPr="00E06E21">
        <w:t>Order 01</w:t>
      </w:r>
      <w:r>
        <w:t>”]</w:t>
      </w:r>
      <w:r w:rsidRPr="00E06E21">
        <w:t>.</w:t>
      </w:r>
    </w:p>
  </w:footnote>
  <w:footnote w:id="2">
    <w:p w14:paraId="61605859" w14:textId="1F40B868" w:rsidR="004D26A6" w:rsidRDefault="004D26A6" w:rsidP="004D26A6">
      <w:pPr>
        <w:pStyle w:val="FootnoteText"/>
      </w:pPr>
      <w:r>
        <w:rPr>
          <w:rStyle w:val="FootnoteReference"/>
        </w:rPr>
        <w:footnoteRef/>
      </w:r>
      <w:r>
        <w:t xml:space="preserve"> Order 01, </w:t>
      </w:r>
      <w:r w:rsidR="00361B47">
        <w:t>at</w:t>
      </w:r>
      <w:r>
        <w:t xml:space="preserve"> ¶ 43</w:t>
      </w:r>
      <w:r w:rsidR="00361B47">
        <w:t>.</w:t>
      </w:r>
    </w:p>
  </w:footnote>
  <w:footnote w:id="3">
    <w:p w14:paraId="4815BC3A" w14:textId="7C985D32" w:rsidR="005259FF" w:rsidRDefault="005259FF" w:rsidP="005259FF">
      <w:pPr>
        <w:pStyle w:val="FootnoteText"/>
      </w:pPr>
      <w:r>
        <w:rPr>
          <w:rStyle w:val="FootnoteReference"/>
        </w:rPr>
        <w:footnoteRef/>
      </w:r>
      <w:r>
        <w:t xml:space="preserve"> Order 01</w:t>
      </w:r>
      <w:r w:rsidR="004D26A6">
        <w:t>,</w:t>
      </w:r>
      <w:r>
        <w:t xml:space="preserve"> </w:t>
      </w:r>
      <w:r w:rsidR="006B7484">
        <w:t xml:space="preserve">at </w:t>
      </w:r>
      <w:r>
        <w:t>¶ 44.</w:t>
      </w:r>
    </w:p>
  </w:footnote>
  <w:footnote w:id="4">
    <w:p w14:paraId="5CACD209" w14:textId="0727F2A0" w:rsidR="004D26A6" w:rsidRDefault="004D26A6" w:rsidP="004D26A6">
      <w:pPr>
        <w:pStyle w:val="FootnoteText"/>
      </w:pPr>
      <w:r>
        <w:rPr>
          <w:rStyle w:val="FootnoteReference"/>
        </w:rPr>
        <w:footnoteRef/>
      </w:r>
      <w:r>
        <w:t xml:space="preserve"> </w:t>
      </w:r>
      <w:r w:rsidRPr="005259FF">
        <w:t>Order 02, Consolidated Dockets TC 152296 and TC 160187, Final Order</w:t>
      </w:r>
      <w:r>
        <w:t>, ¶¶ 13, 27</w:t>
      </w:r>
      <w:r w:rsidRPr="005259FF">
        <w:t xml:space="preserve"> </w:t>
      </w:r>
      <w:r>
        <w:t>(</w:t>
      </w:r>
      <w:r w:rsidRPr="005259FF">
        <w:t>May 12, 2016) [hereinafter “Order</w:t>
      </w:r>
      <w:r>
        <w:t> </w:t>
      </w:r>
      <w:r w:rsidRPr="005259FF">
        <w:t>02”].</w:t>
      </w:r>
      <w:r w:rsidRPr="004D26A6">
        <w:t xml:space="preserve"> </w:t>
      </w:r>
      <w:r w:rsidRPr="005259FF">
        <w:t>The Company made a $200 payment to the Commission on May 28, 2016, consistent with the payment plan, which requires a $200 payment by the 28th of every month until June 28, 2018.</w:t>
      </w:r>
    </w:p>
  </w:footnote>
  <w:footnote w:id="5">
    <w:p w14:paraId="16DD8DFC" w14:textId="6FB48D29" w:rsidR="005259FF" w:rsidRDefault="005259FF" w:rsidP="00A61A5C">
      <w:pPr>
        <w:pStyle w:val="FootnoteText"/>
      </w:pPr>
      <w:r>
        <w:rPr>
          <w:rStyle w:val="FootnoteReference"/>
        </w:rPr>
        <w:footnoteRef/>
      </w:r>
      <w:r>
        <w:t xml:space="preserve"> </w:t>
      </w:r>
      <w:r w:rsidRPr="005259FF">
        <w:t>Order</w:t>
      </w:r>
      <w:r>
        <w:t> </w:t>
      </w:r>
      <w:r w:rsidRPr="005259FF">
        <w:t>02</w:t>
      </w:r>
      <w:r w:rsidR="004D26A6">
        <w:t>,</w:t>
      </w:r>
      <w:r>
        <w:t xml:space="preserve"> </w:t>
      </w:r>
      <w:r w:rsidR="006B7484">
        <w:t xml:space="preserve">at </w:t>
      </w:r>
      <w:r>
        <w:t>¶ 29.</w:t>
      </w:r>
    </w:p>
  </w:footnote>
  <w:footnote w:id="6">
    <w:p w14:paraId="67F93CA9" w14:textId="22514B15" w:rsidR="00361B47" w:rsidRDefault="00361B47">
      <w:pPr>
        <w:pStyle w:val="FootnoteText"/>
      </w:pPr>
      <w:r>
        <w:rPr>
          <w:rStyle w:val="FootnoteReference"/>
        </w:rPr>
        <w:footnoteRef/>
      </w:r>
      <w:r>
        <w:t xml:space="preserve"> </w:t>
      </w:r>
      <w:r w:rsidRPr="009A36BC">
        <w:t>Order 01</w:t>
      </w:r>
      <w:r>
        <w:t xml:space="preserve"> </w:t>
      </w:r>
      <w:r w:rsidRPr="009A36BC">
        <w:t>in Docket TC</w:t>
      </w:r>
      <w:r w:rsidRPr="009A36BC">
        <w:noBreakHyphen/>
        <w:t>160324</w:t>
      </w:r>
      <w:r>
        <w:t xml:space="preserve"> / Order 03 in Consolidated Dockets</w:t>
      </w:r>
      <w:r w:rsidRPr="009A36BC">
        <w:t xml:space="preserve"> TC</w:t>
      </w:r>
      <w:r w:rsidRPr="009A36BC">
        <w:noBreakHyphen/>
        <w:t>152296, and TC</w:t>
      </w:r>
      <w:r w:rsidRPr="009A36BC">
        <w:noBreakHyphen/>
        <w:t>160187, Order of Consolidation; Initial Order Denying Application for Reinstatement; Suspending Penalties (July</w:t>
      </w:r>
      <w:r>
        <w:t> </w:t>
      </w:r>
      <w:r w:rsidRPr="009A36BC">
        <w:t>14, 2016) [hereinafter “Order 01/03”].</w:t>
      </w:r>
    </w:p>
  </w:footnote>
  <w:footnote w:id="7">
    <w:p w14:paraId="24244EF4" w14:textId="4D2BA50E" w:rsidR="006B7484" w:rsidRPr="009A36BC" w:rsidRDefault="006B7484" w:rsidP="006B7484">
      <w:pPr>
        <w:pStyle w:val="FootnoteText"/>
      </w:pPr>
      <w:r w:rsidRPr="009A36BC">
        <w:rPr>
          <w:rStyle w:val="FootnoteReference"/>
        </w:rPr>
        <w:footnoteRef/>
      </w:r>
      <w:r w:rsidRPr="009A36BC">
        <w:t xml:space="preserve"> Order 01</w:t>
      </w:r>
      <w:r w:rsidR="00361B47">
        <w:t>/03</w:t>
      </w:r>
      <w:r>
        <w:t xml:space="preserve">, </w:t>
      </w:r>
      <w:r w:rsidR="00361B47">
        <w:t xml:space="preserve">at </w:t>
      </w:r>
      <w:r>
        <w:t>¶ 32</w:t>
      </w:r>
      <w:r w:rsidR="00361B47">
        <w:t>.</w:t>
      </w:r>
    </w:p>
  </w:footnote>
  <w:footnote w:id="8">
    <w:p w14:paraId="46C95C41" w14:textId="67CC95B1" w:rsidR="00864C87" w:rsidRDefault="00864C87">
      <w:pPr>
        <w:pStyle w:val="FootnoteText"/>
      </w:pPr>
      <w:r>
        <w:rPr>
          <w:rStyle w:val="FootnoteReference"/>
        </w:rPr>
        <w:footnoteRef/>
      </w:r>
      <w:r>
        <w:t xml:space="preserve"> </w:t>
      </w:r>
      <w:r w:rsidR="00215843">
        <w:t>Order 01/03</w:t>
      </w:r>
      <w:r w:rsidR="006B7484">
        <w:t>,</w:t>
      </w:r>
      <w:r w:rsidR="00215843">
        <w:t xml:space="preserve"> </w:t>
      </w:r>
      <w:r w:rsidR="006B7484">
        <w:t xml:space="preserve">at </w:t>
      </w:r>
      <w:r w:rsidR="00283462">
        <w:t>¶¶ 25,</w:t>
      </w:r>
      <w:r w:rsidR="00215843">
        <w:t xml:space="preserve"> 33.</w:t>
      </w:r>
    </w:p>
  </w:footnote>
  <w:footnote w:id="9">
    <w:p w14:paraId="1F303EC9" w14:textId="40DD562F" w:rsidR="00864C87" w:rsidRDefault="00864C87">
      <w:pPr>
        <w:pStyle w:val="FootnoteText"/>
      </w:pPr>
      <w:r>
        <w:rPr>
          <w:rStyle w:val="FootnoteReference"/>
        </w:rPr>
        <w:footnoteRef/>
      </w:r>
      <w:r>
        <w:t xml:space="preserve"> </w:t>
      </w:r>
      <w:r w:rsidR="00215843">
        <w:t>Order 01/03</w:t>
      </w:r>
      <w:r w:rsidR="006B7484">
        <w:t>,</w:t>
      </w:r>
      <w:r w:rsidR="00215843">
        <w:t xml:space="preserve"> </w:t>
      </w:r>
      <w:r w:rsidR="006B7484">
        <w:t xml:space="preserve">at </w:t>
      </w:r>
      <w:r w:rsidR="00215843">
        <w:t>¶</w:t>
      </w:r>
      <w:r w:rsidR="00283462">
        <w:t>¶ 25,</w:t>
      </w:r>
      <w:r w:rsidR="00215843">
        <w:t xml:space="preserve"> 33.</w:t>
      </w:r>
      <w:r w:rsidR="00283462">
        <w:t xml:space="preserve"> Order 01/03 leaves the suspended $20,000 penalty and the remaining portion of the Company’s $5,200 penalty suspended “for a period of three years from the date of this Order” on condition that the Company and its owner cease and desist all auto transportation operations.</w:t>
      </w:r>
      <w:r w:rsidR="00283462" w:rsidRPr="00283462">
        <w:t xml:space="preserve"> </w:t>
      </w:r>
      <w:r w:rsidR="00283462">
        <w:t>Order 01/03, at ¶ 33. Staff does not object to the three year period as the suspension period for any penalty amount that the Commission may deem appropriate through its administrative review.</w:t>
      </w:r>
    </w:p>
  </w:footnote>
  <w:footnote w:id="10">
    <w:p w14:paraId="41F84ABA" w14:textId="684DDAB3" w:rsidR="00410027" w:rsidRDefault="00410027" w:rsidP="00410027">
      <w:pPr>
        <w:pStyle w:val="FootnoteText"/>
      </w:pPr>
      <w:r>
        <w:rPr>
          <w:rStyle w:val="FootnoteReference"/>
        </w:rPr>
        <w:footnoteRef/>
      </w:r>
      <w:r>
        <w:t xml:space="preserve"> Order 01/03</w:t>
      </w:r>
      <w:r w:rsidR="006B7484">
        <w:t>,</w:t>
      </w:r>
      <w:r>
        <w:t xml:space="preserve"> </w:t>
      </w:r>
      <w:r w:rsidR="006B7484">
        <w:t xml:space="preserve">at </w:t>
      </w:r>
      <w:r>
        <w:t>¶ 20.</w:t>
      </w:r>
    </w:p>
  </w:footnote>
  <w:footnote w:id="11">
    <w:p w14:paraId="061B61BC" w14:textId="0DCBF7AC" w:rsidR="0038705F" w:rsidRDefault="0038705F">
      <w:pPr>
        <w:pStyle w:val="FootnoteText"/>
      </w:pPr>
      <w:r>
        <w:rPr>
          <w:rStyle w:val="FootnoteReference"/>
        </w:rPr>
        <w:footnoteRef/>
      </w:r>
      <w:r>
        <w:t xml:space="preserve"> Order 01/03</w:t>
      </w:r>
      <w:r w:rsidR="006B7484">
        <w:t>,</w:t>
      </w:r>
      <w:r>
        <w:t xml:space="preserve"> </w:t>
      </w:r>
      <w:r w:rsidR="006B7484">
        <w:t xml:space="preserve">at </w:t>
      </w:r>
      <w:r>
        <w:t>¶ 24.</w:t>
      </w:r>
    </w:p>
  </w:footnote>
  <w:footnote w:id="12">
    <w:p w14:paraId="044BDEF2" w14:textId="64E93183" w:rsidR="001E1020" w:rsidRDefault="001E1020">
      <w:pPr>
        <w:pStyle w:val="FootnoteText"/>
      </w:pPr>
      <w:r>
        <w:rPr>
          <w:rStyle w:val="FootnoteReference"/>
        </w:rPr>
        <w:footnoteRef/>
      </w:r>
      <w:r>
        <w:t xml:space="preserve"> Order 01/03</w:t>
      </w:r>
      <w:r w:rsidR="006B7484">
        <w:t>,</w:t>
      </w:r>
      <w:r>
        <w:t xml:space="preserve"> </w:t>
      </w:r>
      <w:r w:rsidR="006B7484">
        <w:t xml:space="preserve">at </w:t>
      </w:r>
      <w:r>
        <w:t>¶¶ 24, 25.</w:t>
      </w:r>
    </w:p>
  </w:footnote>
  <w:footnote w:id="13">
    <w:p w14:paraId="0D4CB4EB" w14:textId="1B7E535F" w:rsidR="001E1020" w:rsidRPr="00F070AB" w:rsidRDefault="001E1020" w:rsidP="001E1020">
      <w:pPr>
        <w:pStyle w:val="FootnoteText"/>
      </w:pPr>
      <w:r>
        <w:rPr>
          <w:rStyle w:val="FootnoteReference"/>
        </w:rPr>
        <w:footnoteRef/>
      </w:r>
      <w:r>
        <w:t xml:space="preserve"> </w:t>
      </w:r>
      <w:r>
        <w:rPr>
          <w:i/>
        </w:rPr>
        <w:t>See</w:t>
      </w:r>
      <w:r>
        <w:t xml:space="preserve"> Order 01/03</w:t>
      </w:r>
      <w:r w:rsidR="006B7484">
        <w:t>,</w:t>
      </w:r>
      <w:r>
        <w:t xml:space="preserve"> </w:t>
      </w:r>
      <w:r w:rsidR="006B7484">
        <w:t xml:space="preserve">at </w:t>
      </w:r>
      <w:r>
        <w:t>¶ 21, finding that “[t]he Company’s continued operations without a certificate demonstrate a blatant disregard for Commission rules and . . . Order 02.”</w:t>
      </w:r>
      <w:r w:rsidR="00F4289B" w:rsidRPr="00F4289B">
        <w:t xml:space="preserve"> </w:t>
      </w:r>
      <w:r w:rsidR="00F4289B">
        <w:t>Staff believes the $1,000 penalty</w:t>
      </w:r>
      <w:r w:rsidR="00D000DF">
        <w:t xml:space="preserve"> incurred by the Company</w:t>
      </w:r>
      <w:r w:rsidR="00D000DF" w:rsidRPr="00D000DF">
        <w:t xml:space="preserve"> </w:t>
      </w:r>
      <w:r w:rsidR="00D000DF">
        <w:t>in Docket TC</w:t>
      </w:r>
      <w:r w:rsidR="00D000DF">
        <w:noBreakHyphen/>
        <w:t>151029 for failing to timely file its 2014 Annual Report</w:t>
      </w:r>
      <w:r w:rsidR="00F4289B">
        <w:t>, currently in collections with AllianceOne</w:t>
      </w:r>
      <w:r w:rsidR="009F29FD">
        <w:t xml:space="preserve"> Receivables Management, Inc., </w:t>
      </w:r>
      <w:r w:rsidR="00F4289B">
        <w:t>is unrelated to this matter.</w:t>
      </w:r>
    </w:p>
  </w:footnote>
  <w:footnote w:id="14">
    <w:p w14:paraId="604F6860" w14:textId="21291E84" w:rsidR="00EC7789" w:rsidRPr="00EC7789" w:rsidRDefault="00EC7789">
      <w:pPr>
        <w:pStyle w:val="FootnoteText"/>
      </w:pPr>
      <w:r>
        <w:rPr>
          <w:rStyle w:val="FootnoteReference"/>
        </w:rPr>
        <w:footnoteRef/>
      </w:r>
      <w:r>
        <w:t xml:space="preserve"> </w:t>
      </w:r>
      <w:r>
        <w:rPr>
          <w:i/>
        </w:rPr>
        <w:t xml:space="preserve">See contra </w:t>
      </w:r>
      <w:r>
        <w:t>Order 01/03, at ¶ 26, stating that “the Commission’s goal in any enforcement proceeding is compliance. That goal would be best served in this instance by preserving the suspension of $25,000 in penalties to provide the Company with sufficient incentive to permanently shut down its auto transportation operations.”</w:t>
      </w:r>
    </w:p>
  </w:footnote>
  <w:footnote w:id="15">
    <w:p w14:paraId="49024AC9" w14:textId="3DEBB90D" w:rsidR="004D26A6" w:rsidRPr="004D26A6" w:rsidRDefault="004D26A6">
      <w:pPr>
        <w:pStyle w:val="FootnoteText"/>
      </w:pPr>
      <w:r>
        <w:rPr>
          <w:rStyle w:val="FootnoteReference"/>
        </w:rPr>
        <w:footnoteRef/>
      </w:r>
      <w:r>
        <w:t xml:space="preserve"> </w:t>
      </w:r>
      <w:r>
        <w:rPr>
          <w:i/>
        </w:rPr>
        <w:t>Contra</w:t>
      </w:r>
      <w:r>
        <w:t xml:space="preserve"> Order 01/03</w:t>
      </w:r>
      <w:r w:rsidR="006B7484">
        <w:t>,</w:t>
      </w:r>
      <w:r>
        <w:t xml:space="preserve"> </w:t>
      </w:r>
      <w:r w:rsidR="006B7484">
        <w:t xml:space="preserve">at </w:t>
      </w:r>
      <w:r>
        <w:t>¶ 21, concluding that “imposing the suspended penalty would serve no useful purpose in light of our decision not to reinstate the Company’s certificate and to prohibit SeaTac Airport 24 from providing auto transportation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E3FE051E"/>
    <w:lvl w:ilvl="0" w:tplc="B308D296">
      <w:start w:val="1"/>
      <w:numFmt w:val="decimal"/>
      <w:lvlText w:val="%1"/>
      <w:lvlJc w:val="left"/>
      <w:pPr>
        <w:tabs>
          <w:tab w:val="num" w:pos="1080"/>
        </w:tabs>
        <w:ind w:left="1080" w:hanging="1080"/>
      </w:pPr>
      <w:rPr>
        <w:rFonts w:hint="default"/>
        <w:b w:val="0"/>
        <w:i/>
        <w:sz w:val="24"/>
        <w:szCs w:val="24"/>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5AA36FF0"/>
    <w:multiLevelType w:val="hybridMultilevel"/>
    <w:tmpl w:val="C540E20C"/>
    <w:lvl w:ilvl="0" w:tplc="70641BB8">
      <w:start w:val="1"/>
      <w:numFmt w:val="upperRoman"/>
      <w:pStyle w:val="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4F71"/>
    <w:rsid w:val="000150D3"/>
    <w:rsid w:val="000151F5"/>
    <w:rsid w:val="00020E4B"/>
    <w:rsid w:val="00020F15"/>
    <w:rsid w:val="0002279A"/>
    <w:rsid w:val="00025DB8"/>
    <w:rsid w:val="00026636"/>
    <w:rsid w:val="00026829"/>
    <w:rsid w:val="00027CC4"/>
    <w:rsid w:val="00033E73"/>
    <w:rsid w:val="00036009"/>
    <w:rsid w:val="00036CCC"/>
    <w:rsid w:val="000440C8"/>
    <w:rsid w:val="0004790F"/>
    <w:rsid w:val="000525AD"/>
    <w:rsid w:val="000531BD"/>
    <w:rsid w:val="0005473E"/>
    <w:rsid w:val="0005478B"/>
    <w:rsid w:val="0005674A"/>
    <w:rsid w:val="00062161"/>
    <w:rsid w:val="00065672"/>
    <w:rsid w:val="000705C6"/>
    <w:rsid w:val="00071733"/>
    <w:rsid w:val="0007184C"/>
    <w:rsid w:val="00073457"/>
    <w:rsid w:val="00074A1C"/>
    <w:rsid w:val="00082FAB"/>
    <w:rsid w:val="0008303B"/>
    <w:rsid w:val="0008387A"/>
    <w:rsid w:val="0008390F"/>
    <w:rsid w:val="000A4A2C"/>
    <w:rsid w:val="000A755E"/>
    <w:rsid w:val="000B49A6"/>
    <w:rsid w:val="000B6E57"/>
    <w:rsid w:val="000C3CA8"/>
    <w:rsid w:val="000C70C7"/>
    <w:rsid w:val="000D48F4"/>
    <w:rsid w:val="000D63F3"/>
    <w:rsid w:val="000E18E3"/>
    <w:rsid w:val="000E1C39"/>
    <w:rsid w:val="000E3559"/>
    <w:rsid w:val="000E4569"/>
    <w:rsid w:val="000E48F6"/>
    <w:rsid w:val="000F445F"/>
    <w:rsid w:val="000F7BB5"/>
    <w:rsid w:val="001076AF"/>
    <w:rsid w:val="00113240"/>
    <w:rsid w:val="00116211"/>
    <w:rsid w:val="00116E20"/>
    <w:rsid w:val="00120C9F"/>
    <w:rsid w:val="00122638"/>
    <w:rsid w:val="00125AEB"/>
    <w:rsid w:val="001265CF"/>
    <w:rsid w:val="001371F2"/>
    <w:rsid w:val="00152AEF"/>
    <w:rsid w:val="00165959"/>
    <w:rsid w:val="0017024A"/>
    <w:rsid w:val="00173668"/>
    <w:rsid w:val="00181515"/>
    <w:rsid w:val="00183C7F"/>
    <w:rsid w:val="0019604C"/>
    <w:rsid w:val="001A017E"/>
    <w:rsid w:val="001A05E8"/>
    <w:rsid w:val="001A1957"/>
    <w:rsid w:val="001A33A7"/>
    <w:rsid w:val="001A3B82"/>
    <w:rsid w:val="001A3E51"/>
    <w:rsid w:val="001A495D"/>
    <w:rsid w:val="001A6CF3"/>
    <w:rsid w:val="001C3F85"/>
    <w:rsid w:val="001D5D07"/>
    <w:rsid w:val="001E1020"/>
    <w:rsid w:val="001E5E9E"/>
    <w:rsid w:val="001F332D"/>
    <w:rsid w:val="001F4EF9"/>
    <w:rsid w:val="001F5010"/>
    <w:rsid w:val="001F6716"/>
    <w:rsid w:val="00200EAC"/>
    <w:rsid w:val="002037CC"/>
    <w:rsid w:val="002038CD"/>
    <w:rsid w:val="002040AC"/>
    <w:rsid w:val="002057C8"/>
    <w:rsid w:val="002061F2"/>
    <w:rsid w:val="002069EB"/>
    <w:rsid w:val="0021431A"/>
    <w:rsid w:val="00215843"/>
    <w:rsid w:val="00216E13"/>
    <w:rsid w:val="00216EAE"/>
    <w:rsid w:val="00220D16"/>
    <w:rsid w:val="0022331C"/>
    <w:rsid w:val="0023198D"/>
    <w:rsid w:val="00232E44"/>
    <w:rsid w:val="00237E76"/>
    <w:rsid w:val="00246BF5"/>
    <w:rsid w:val="00251934"/>
    <w:rsid w:val="00251F75"/>
    <w:rsid w:val="002527EE"/>
    <w:rsid w:val="00255923"/>
    <w:rsid w:val="00256EE6"/>
    <w:rsid w:val="00257C2B"/>
    <w:rsid w:val="0026098F"/>
    <w:rsid w:val="002717B2"/>
    <w:rsid w:val="002724E8"/>
    <w:rsid w:val="002807E9"/>
    <w:rsid w:val="00283462"/>
    <w:rsid w:val="00285DAF"/>
    <w:rsid w:val="00287AEE"/>
    <w:rsid w:val="00290C55"/>
    <w:rsid w:val="002913FF"/>
    <w:rsid w:val="002A35D9"/>
    <w:rsid w:val="002A56E9"/>
    <w:rsid w:val="002A621E"/>
    <w:rsid w:val="002B2722"/>
    <w:rsid w:val="002B285A"/>
    <w:rsid w:val="002C1F67"/>
    <w:rsid w:val="002C74C4"/>
    <w:rsid w:val="002D1A20"/>
    <w:rsid w:val="002E39B9"/>
    <w:rsid w:val="002E67CB"/>
    <w:rsid w:val="002E745E"/>
    <w:rsid w:val="002F2722"/>
    <w:rsid w:val="002F42E8"/>
    <w:rsid w:val="002F7225"/>
    <w:rsid w:val="002F7B8F"/>
    <w:rsid w:val="00300D69"/>
    <w:rsid w:val="00301085"/>
    <w:rsid w:val="00301413"/>
    <w:rsid w:val="00301503"/>
    <w:rsid w:val="003054C9"/>
    <w:rsid w:val="00307F3E"/>
    <w:rsid w:val="003200B6"/>
    <w:rsid w:val="00320B15"/>
    <w:rsid w:val="00327DE5"/>
    <w:rsid w:val="00330D57"/>
    <w:rsid w:val="00332357"/>
    <w:rsid w:val="00341D66"/>
    <w:rsid w:val="00341F52"/>
    <w:rsid w:val="00352A71"/>
    <w:rsid w:val="0036095B"/>
    <w:rsid w:val="00361B47"/>
    <w:rsid w:val="00363451"/>
    <w:rsid w:val="003702CC"/>
    <w:rsid w:val="00371ED6"/>
    <w:rsid w:val="00373CD2"/>
    <w:rsid w:val="00374FEB"/>
    <w:rsid w:val="003819A3"/>
    <w:rsid w:val="0038263B"/>
    <w:rsid w:val="0038705F"/>
    <w:rsid w:val="0039300F"/>
    <w:rsid w:val="00395038"/>
    <w:rsid w:val="0039690C"/>
    <w:rsid w:val="00397BB7"/>
    <w:rsid w:val="003A1ECB"/>
    <w:rsid w:val="003B5A24"/>
    <w:rsid w:val="003B6AEC"/>
    <w:rsid w:val="003B7983"/>
    <w:rsid w:val="003C1A71"/>
    <w:rsid w:val="003C5390"/>
    <w:rsid w:val="003C6CF3"/>
    <w:rsid w:val="003C70FE"/>
    <w:rsid w:val="003D2394"/>
    <w:rsid w:val="003D4350"/>
    <w:rsid w:val="003D5324"/>
    <w:rsid w:val="003D76B6"/>
    <w:rsid w:val="003E14DB"/>
    <w:rsid w:val="003E1E1A"/>
    <w:rsid w:val="003E3B7E"/>
    <w:rsid w:val="003F1945"/>
    <w:rsid w:val="004013EB"/>
    <w:rsid w:val="00402763"/>
    <w:rsid w:val="00403A63"/>
    <w:rsid w:val="00403C6E"/>
    <w:rsid w:val="004040DF"/>
    <w:rsid w:val="00410027"/>
    <w:rsid w:val="00420F5F"/>
    <w:rsid w:val="00422E32"/>
    <w:rsid w:val="00424EA6"/>
    <w:rsid w:val="004301D3"/>
    <w:rsid w:val="00431CF3"/>
    <w:rsid w:val="00435A10"/>
    <w:rsid w:val="00436753"/>
    <w:rsid w:val="00437B3E"/>
    <w:rsid w:val="00445F85"/>
    <w:rsid w:val="004513E6"/>
    <w:rsid w:val="00453C61"/>
    <w:rsid w:val="00462C2D"/>
    <w:rsid w:val="00466894"/>
    <w:rsid w:val="00472B83"/>
    <w:rsid w:val="00473D82"/>
    <w:rsid w:val="004753AE"/>
    <w:rsid w:val="00475D47"/>
    <w:rsid w:val="00475DE9"/>
    <w:rsid w:val="004846DC"/>
    <w:rsid w:val="00492B7A"/>
    <w:rsid w:val="0049536E"/>
    <w:rsid w:val="004A01F7"/>
    <w:rsid w:val="004A428B"/>
    <w:rsid w:val="004A42C2"/>
    <w:rsid w:val="004A4F64"/>
    <w:rsid w:val="004A792E"/>
    <w:rsid w:val="004B0236"/>
    <w:rsid w:val="004B25E8"/>
    <w:rsid w:val="004B6A97"/>
    <w:rsid w:val="004B7092"/>
    <w:rsid w:val="004C14D5"/>
    <w:rsid w:val="004C2991"/>
    <w:rsid w:val="004C2E9F"/>
    <w:rsid w:val="004C39DA"/>
    <w:rsid w:val="004C3D65"/>
    <w:rsid w:val="004C46A5"/>
    <w:rsid w:val="004C4B5E"/>
    <w:rsid w:val="004C6FE4"/>
    <w:rsid w:val="004D19DD"/>
    <w:rsid w:val="004D26A6"/>
    <w:rsid w:val="004D437D"/>
    <w:rsid w:val="004D7CC1"/>
    <w:rsid w:val="004E1311"/>
    <w:rsid w:val="004E1EB8"/>
    <w:rsid w:val="004F5AF1"/>
    <w:rsid w:val="004F6899"/>
    <w:rsid w:val="004F69A5"/>
    <w:rsid w:val="00500322"/>
    <w:rsid w:val="005007CC"/>
    <w:rsid w:val="00501099"/>
    <w:rsid w:val="00501FFC"/>
    <w:rsid w:val="0050268E"/>
    <w:rsid w:val="005063EC"/>
    <w:rsid w:val="00510658"/>
    <w:rsid w:val="005144A4"/>
    <w:rsid w:val="005259FF"/>
    <w:rsid w:val="0053735C"/>
    <w:rsid w:val="0054238B"/>
    <w:rsid w:val="005452F0"/>
    <w:rsid w:val="005455EE"/>
    <w:rsid w:val="005465C8"/>
    <w:rsid w:val="00547C1A"/>
    <w:rsid w:val="0055076A"/>
    <w:rsid w:val="00553E6D"/>
    <w:rsid w:val="00565878"/>
    <w:rsid w:val="00565C62"/>
    <w:rsid w:val="00570C9A"/>
    <w:rsid w:val="00572E8D"/>
    <w:rsid w:val="0057472B"/>
    <w:rsid w:val="00581299"/>
    <w:rsid w:val="00582B08"/>
    <w:rsid w:val="005875A8"/>
    <w:rsid w:val="00595D41"/>
    <w:rsid w:val="005A24D1"/>
    <w:rsid w:val="005B1106"/>
    <w:rsid w:val="005B4C0B"/>
    <w:rsid w:val="005C27FE"/>
    <w:rsid w:val="005C65E0"/>
    <w:rsid w:val="005C68A2"/>
    <w:rsid w:val="005E07C2"/>
    <w:rsid w:val="005E3556"/>
    <w:rsid w:val="005E51C2"/>
    <w:rsid w:val="005E5FB0"/>
    <w:rsid w:val="005E67AC"/>
    <w:rsid w:val="005E79D1"/>
    <w:rsid w:val="005F573F"/>
    <w:rsid w:val="005F5B22"/>
    <w:rsid w:val="006003B1"/>
    <w:rsid w:val="00600B66"/>
    <w:rsid w:val="006056DE"/>
    <w:rsid w:val="006241BD"/>
    <w:rsid w:val="00624908"/>
    <w:rsid w:val="0063272B"/>
    <w:rsid w:val="00641F98"/>
    <w:rsid w:val="00651048"/>
    <w:rsid w:val="006510D8"/>
    <w:rsid w:val="00651AB5"/>
    <w:rsid w:val="00653E53"/>
    <w:rsid w:val="0065561B"/>
    <w:rsid w:val="006558A6"/>
    <w:rsid w:val="00656E01"/>
    <w:rsid w:val="0067645C"/>
    <w:rsid w:val="0068016D"/>
    <w:rsid w:val="00690224"/>
    <w:rsid w:val="00690C73"/>
    <w:rsid w:val="006923D9"/>
    <w:rsid w:val="00694140"/>
    <w:rsid w:val="006951F3"/>
    <w:rsid w:val="006A7B1C"/>
    <w:rsid w:val="006B227F"/>
    <w:rsid w:val="006B6168"/>
    <w:rsid w:val="006B7484"/>
    <w:rsid w:val="006C0FDA"/>
    <w:rsid w:val="006C4809"/>
    <w:rsid w:val="006C5B6D"/>
    <w:rsid w:val="006C681E"/>
    <w:rsid w:val="006D3136"/>
    <w:rsid w:val="006D75B8"/>
    <w:rsid w:val="006F0101"/>
    <w:rsid w:val="007011FE"/>
    <w:rsid w:val="0070572A"/>
    <w:rsid w:val="00712D97"/>
    <w:rsid w:val="00713531"/>
    <w:rsid w:val="00716A03"/>
    <w:rsid w:val="007241E1"/>
    <w:rsid w:val="00737B08"/>
    <w:rsid w:val="00737B83"/>
    <w:rsid w:val="0074026C"/>
    <w:rsid w:val="00745F1D"/>
    <w:rsid w:val="007464F1"/>
    <w:rsid w:val="00755A0D"/>
    <w:rsid w:val="00756B26"/>
    <w:rsid w:val="00761736"/>
    <w:rsid w:val="007661FD"/>
    <w:rsid w:val="0076699B"/>
    <w:rsid w:val="00766B21"/>
    <w:rsid w:val="0076703C"/>
    <w:rsid w:val="007701D7"/>
    <w:rsid w:val="007804C9"/>
    <w:rsid w:val="00781D1E"/>
    <w:rsid w:val="00782FA9"/>
    <w:rsid w:val="00790D98"/>
    <w:rsid w:val="007934DB"/>
    <w:rsid w:val="00797650"/>
    <w:rsid w:val="007A17BF"/>
    <w:rsid w:val="007A6428"/>
    <w:rsid w:val="007B6F44"/>
    <w:rsid w:val="007C09D8"/>
    <w:rsid w:val="007C1BA6"/>
    <w:rsid w:val="007C331B"/>
    <w:rsid w:val="007D4062"/>
    <w:rsid w:val="007D4400"/>
    <w:rsid w:val="007E0E3D"/>
    <w:rsid w:val="007E21E0"/>
    <w:rsid w:val="007E54E9"/>
    <w:rsid w:val="007F2CF8"/>
    <w:rsid w:val="008002CA"/>
    <w:rsid w:val="00811AE1"/>
    <w:rsid w:val="008130C1"/>
    <w:rsid w:val="0081788F"/>
    <w:rsid w:val="00817F92"/>
    <w:rsid w:val="008278BF"/>
    <w:rsid w:val="008313F2"/>
    <w:rsid w:val="00831CFC"/>
    <w:rsid w:val="00835BD3"/>
    <w:rsid w:val="008430FC"/>
    <w:rsid w:val="00843845"/>
    <w:rsid w:val="0084711F"/>
    <w:rsid w:val="0085277C"/>
    <w:rsid w:val="008567EE"/>
    <w:rsid w:val="00864C87"/>
    <w:rsid w:val="00864F3C"/>
    <w:rsid w:val="00873BC1"/>
    <w:rsid w:val="0088278B"/>
    <w:rsid w:val="00883DDB"/>
    <w:rsid w:val="0089062F"/>
    <w:rsid w:val="00894945"/>
    <w:rsid w:val="00895062"/>
    <w:rsid w:val="008A0347"/>
    <w:rsid w:val="008A5182"/>
    <w:rsid w:val="008A5853"/>
    <w:rsid w:val="008A6401"/>
    <w:rsid w:val="008B4C53"/>
    <w:rsid w:val="008B5266"/>
    <w:rsid w:val="008B60A3"/>
    <w:rsid w:val="008B65C2"/>
    <w:rsid w:val="008C4DB3"/>
    <w:rsid w:val="008C7B03"/>
    <w:rsid w:val="008D06BE"/>
    <w:rsid w:val="008D1A59"/>
    <w:rsid w:val="008D21C9"/>
    <w:rsid w:val="008D25BA"/>
    <w:rsid w:val="008E1111"/>
    <w:rsid w:val="008E214D"/>
    <w:rsid w:val="008E22C8"/>
    <w:rsid w:val="008E56C3"/>
    <w:rsid w:val="008F18CD"/>
    <w:rsid w:val="008F2014"/>
    <w:rsid w:val="008F2FDE"/>
    <w:rsid w:val="008F7A49"/>
    <w:rsid w:val="0091035F"/>
    <w:rsid w:val="009125B3"/>
    <w:rsid w:val="00913AF8"/>
    <w:rsid w:val="00920A96"/>
    <w:rsid w:val="00925837"/>
    <w:rsid w:val="00931FB1"/>
    <w:rsid w:val="009404A3"/>
    <w:rsid w:val="00942442"/>
    <w:rsid w:val="009446D6"/>
    <w:rsid w:val="00955650"/>
    <w:rsid w:val="00961ACE"/>
    <w:rsid w:val="00962F24"/>
    <w:rsid w:val="0096684F"/>
    <w:rsid w:val="00970C9E"/>
    <w:rsid w:val="00973D0C"/>
    <w:rsid w:val="00973F8D"/>
    <w:rsid w:val="00976D4F"/>
    <w:rsid w:val="009902D6"/>
    <w:rsid w:val="00992D8A"/>
    <w:rsid w:val="00994727"/>
    <w:rsid w:val="009A2238"/>
    <w:rsid w:val="009A2C70"/>
    <w:rsid w:val="009A36BC"/>
    <w:rsid w:val="009B10F1"/>
    <w:rsid w:val="009B4DA2"/>
    <w:rsid w:val="009B719D"/>
    <w:rsid w:val="009C2DB0"/>
    <w:rsid w:val="009C4950"/>
    <w:rsid w:val="009D6057"/>
    <w:rsid w:val="009E2B70"/>
    <w:rsid w:val="009E2E50"/>
    <w:rsid w:val="009E3DC4"/>
    <w:rsid w:val="009E408B"/>
    <w:rsid w:val="009F29FD"/>
    <w:rsid w:val="00A03EF4"/>
    <w:rsid w:val="00A078C1"/>
    <w:rsid w:val="00A15518"/>
    <w:rsid w:val="00A2032E"/>
    <w:rsid w:val="00A22136"/>
    <w:rsid w:val="00A22B44"/>
    <w:rsid w:val="00A2565F"/>
    <w:rsid w:val="00A264A5"/>
    <w:rsid w:val="00A43990"/>
    <w:rsid w:val="00A51B9E"/>
    <w:rsid w:val="00A57F3F"/>
    <w:rsid w:val="00A61A5C"/>
    <w:rsid w:val="00A62D51"/>
    <w:rsid w:val="00A652FF"/>
    <w:rsid w:val="00A74623"/>
    <w:rsid w:val="00A771A1"/>
    <w:rsid w:val="00A80028"/>
    <w:rsid w:val="00A832C4"/>
    <w:rsid w:val="00A918DE"/>
    <w:rsid w:val="00AA6C68"/>
    <w:rsid w:val="00AA75C5"/>
    <w:rsid w:val="00AB057A"/>
    <w:rsid w:val="00AB3768"/>
    <w:rsid w:val="00AC05CE"/>
    <w:rsid w:val="00AC12A1"/>
    <w:rsid w:val="00AC1781"/>
    <w:rsid w:val="00AC5144"/>
    <w:rsid w:val="00AD196B"/>
    <w:rsid w:val="00AD1A9B"/>
    <w:rsid w:val="00AE5760"/>
    <w:rsid w:val="00AE64C6"/>
    <w:rsid w:val="00AE6F1C"/>
    <w:rsid w:val="00AF1BE3"/>
    <w:rsid w:val="00AF48E0"/>
    <w:rsid w:val="00B066EA"/>
    <w:rsid w:val="00B210E2"/>
    <w:rsid w:val="00B232E6"/>
    <w:rsid w:val="00B34AEA"/>
    <w:rsid w:val="00B34BBD"/>
    <w:rsid w:val="00B35A7C"/>
    <w:rsid w:val="00B42871"/>
    <w:rsid w:val="00B512D5"/>
    <w:rsid w:val="00B53D41"/>
    <w:rsid w:val="00B568DB"/>
    <w:rsid w:val="00B7076C"/>
    <w:rsid w:val="00B72573"/>
    <w:rsid w:val="00B737DF"/>
    <w:rsid w:val="00B73973"/>
    <w:rsid w:val="00B73E83"/>
    <w:rsid w:val="00B75F6B"/>
    <w:rsid w:val="00B854A9"/>
    <w:rsid w:val="00B91684"/>
    <w:rsid w:val="00BA7598"/>
    <w:rsid w:val="00BB2387"/>
    <w:rsid w:val="00BB2AB6"/>
    <w:rsid w:val="00BB378B"/>
    <w:rsid w:val="00BB7AFB"/>
    <w:rsid w:val="00BC0C30"/>
    <w:rsid w:val="00BC23FD"/>
    <w:rsid w:val="00BE051D"/>
    <w:rsid w:val="00BE391C"/>
    <w:rsid w:val="00BF1252"/>
    <w:rsid w:val="00BF3CD1"/>
    <w:rsid w:val="00BF45B5"/>
    <w:rsid w:val="00BF5A13"/>
    <w:rsid w:val="00C02C2F"/>
    <w:rsid w:val="00C14B13"/>
    <w:rsid w:val="00C1596F"/>
    <w:rsid w:val="00C273D4"/>
    <w:rsid w:val="00C3360A"/>
    <w:rsid w:val="00C34BC7"/>
    <w:rsid w:val="00C360A4"/>
    <w:rsid w:val="00C36EA6"/>
    <w:rsid w:val="00C37964"/>
    <w:rsid w:val="00C4379C"/>
    <w:rsid w:val="00C46CB9"/>
    <w:rsid w:val="00C5478B"/>
    <w:rsid w:val="00C62F6F"/>
    <w:rsid w:val="00C70471"/>
    <w:rsid w:val="00C82318"/>
    <w:rsid w:val="00C8671D"/>
    <w:rsid w:val="00C91C3F"/>
    <w:rsid w:val="00C91EA3"/>
    <w:rsid w:val="00C9217A"/>
    <w:rsid w:val="00C935E7"/>
    <w:rsid w:val="00C96001"/>
    <w:rsid w:val="00CA357E"/>
    <w:rsid w:val="00CB3C27"/>
    <w:rsid w:val="00CB7A1B"/>
    <w:rsid w:val="00CC0B34"/>
    <w:rsid w:val="00CC1912"/>
    <w:rsid w:val="00CD0A16"/>
    <w:rsid w:val="00CD1BEE"/>
    <w:rsid w:val="00CD5153"/>
    <w:rsid w:val="00CE26AE"/>
    <w:rsid w:val="00CE401C"/>
    <w:rsid w:val="00CE4C27"/>
    <w:rsid w:val="00CE5688"/>
    <w:rsid w:val="00CF3EBA"/>
    <w:rsid w:val="00D000DF"/>
    <w:rsid w:val="00D01AB9"/>
    <w:rsid w:val="00D04866"/>
    <w:rsid w:val="00D111B6"/>
    <w:rsid w:val="00D113C1"/>
    <w:rsid w:val="00D13B6F"/>
    <w:rsid w:val="00D15A24"/>
    <w:rsid w:val="00D16D6D"/>
    <w:rsid w:val="00D17FE9"/>
    <w:rsid w:val="00D22173"/>
    <w:rsid w:val="00D22816"/>
    <w:rsid w:val="00D3439C"/>
    <w:rsid w:val="00D40341"/>
    <w:rsid w:val="00D440A6"/>
    <w:rsid w:val="00D547F0"/>
    <w:rsid w:val="00D5645F"/>
    <w:rsid w:val="00D6358A"/>
    <w:rsid w:val="00D65730"/>
    <w:rsid w:val="00D70F04"/>
    <w:rsid w:val="00D759C6"/>
    <w:rsid w:val="00D75D95"/>
    <w:rsid w:val="00D81BFB"/>
    <w:rsid w:val="00D835BE"/>
    <w:rsid w:val="00DA41A3"/>
    <w:rsid w:val="00DA492F"/>
    <w:rsid w:val="00DA6DC5"/>
    <w:rsid w:val="00DB6555"/>
    <w:rsid w:val="00DC1B26"/>
    <w:rsid w:val="00DD0A3B"/>
    <w:rsid w:val="00DD100F"/>
    <w:rsid w:val="00DD4ABF"/>
    <w:rsid w:val="00DE3351"/>
    <w:rsid w:val="00DF1E7D"/>
    <w:rsid w:val="00E03677"/>
    <w:rsid w:val="00E06421"/>
    <w:rsid w:val="00E06E21"/>
    <w:rsid w:val="00E141DC"/>
    <w:rsid w:val="00E17C9F"/>
    <w:rsid w:val="00E2090E"/>
    <w:rsid w:val="00E22CC0"/>
    <w:rsid w:val="00E247CF"/>
    <w:rsid w:val="00E505BE"/>
    <w:rsid w:val="00E57FAF"/>
    <w:rsid w:val="00E621D0"/>
    <w:rsid w:val="00E6475C"/>
    <w:rsid w:val="00E65091"/>
    <w:rsid w:val="00E67A1A"/>
    <w:rsid w:val="00E72B5B"/>
    <w:rsid w:val="00E76984"/>
    <w:rsid w:val="00E84CCF"/>
    <w:rsid w:val="00E87C49"/>
    <w:rsid w:val="00E90059"/>
    <w:rsid w:val="00E9492A"/>
    <w:rsid w:val="00EA350E"/>
    <w:rsid w:val="00EA76D8"/>
    <w:rsid w:val="00EB1151"/>
    <w:rsid w:val="00EB3263"/>
    <w:rsid w:val="00EB6E4E"/>
    <w:rsid w:val="00EC3875"/>
    <w:rsid w:val="00EC4665"/>
    <w:rsid w:val="00EC7789"/>
    <w:rsid w:val="00ED0A73"/>
    <w:rsid w:val="00ED57B0"/>
    <w:rsid w:val="00EE2C87"/>
    <w:rsid w:val="00EF1D62"/>
    <w:rsid w:val="00F00ABA"/>
    <w:rsid w:val="00F03002"/>
    <w:rsid w:val="00F070AB"/>
    <w:rsid w:val="00F11986"/>
    <w:rsid w:val="00F1524F"/>
    <w:rsid w:val="00F1545F"/>
    <w:rsid w:val="00F17E88"/>
    <w:rsid w:val="00F223BA"/>
    <w:rsid w:val="00F22E5B"/>
    <w:rsid w:val="00F22E97"/>
    <w:rsid w:val="00F23BB1"/>
    <w:rsid w:val="00F30943"/>
    <w:rsid w:val="00F3194C"/>
    <w:rsid w:val="00F3392A"/>
    <w:rsid w:val="00F352E1"/>
    <w:rsid w:val="00F364BF"/>
    <w:rsid w:val="00F36C11"/>
    <w:rsid w:val="00F37B26"/>
    <w:rsid w:val="00F410EE"/>
    <w:rsid w:val="00F41400"/>
    <w:rsid w:val="00F42778"/>
    <w:rsid w:val="00F4289B"/>
    <w:rsid w:val="00F42F52"/>
    <w:rsid w:val="00F4336E"/>
    <w:rsid w:val="00F434F2"/>
    <w:rsid w:val="00F45BE8"/>
    <w:rsid w:val="00F46A39"/>
    <w:rsid w:val="00F50856"/>
    <w:rsid w:val="00F52913"/>
    <w:rsid w:val="00F5449B"/>
    <w:rsid w:val="00F6496D"/>
    <w:rsid w:val="00F709A6"/>
    <w:rsid w:val="00F73BBB"/>
    <w:rsid w:val="00F748D8"/>
    <w:rsid w:val="00F75AA1"/>
    <w:rsid w:val="00F7633A"/>
    <w:rsid w:val="00F77C60"/>
    <w:rsid w:val="00F816B6"/>
    <w:rsid w:val="00F8318B"/>
    <w:rsid w:val="00F864FC"/>
    <w:rsid w:val="00F963B7"/>
    <w:rsid w:val="00F9775D"/>
    <w:rsid w:val="00FA02A5"/>
    <w:rsid w:val="00FA4897"/>
    <w:rsid w:val="00FA7BF1"/>
    <w:rsid w:val="00FB00FD"/>
    <w:rsid w:val="00FB2340"/>
    <w:rsid w:val="00FB351D"/>
    <w:rsid w:val="00FC50C9"/>
    <w:rsid w:val="00FC5371"/>
    <w:rsid w:val="00FC7C2D"/>
    <w:rsid w:val="00FD3FCE"/>
    <w:rsid w:val="00FD6DE5"/>
    <w:rsid w:val="00FE097F"/>
    <w:rsid w:val="00FE4D47"/>
    <w:rsid w:val="00FE5E9E"/>
    <w:rsid w:val="00FF2E42"/>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2529"/>
    <o:shapelayout v:ext="edit">
      <o:idmap v:ext="edit" data="1"/>
    </o:shapelayout>
  </w:shapeDefaults>
  <w:decimalSymbol w:val="."/>
  <w:listSeparator w:val=","/>
  <w14:docId w14:val="31FBDE2C"/>
  <w15:chartTrackingRefBased/>
  <w15:docId w15:val="{3E82D901-8690-4E3E-A805-B1AC62D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ListParagraph"/>
    <w:next w:val="Normal"/>
    <w:link w:val="Heading1Char"/>
    <w:qFormat/>
    <w:rsid w:val="00E06E21"/>
    <w:pPr>
      <w:keepNext/>
      <w:numPr>
        <w:numId w:val="5"/>
      </w:numPr>
      <w:tabs>
        <w:tab w:val="left" w:pos="540"/>
      </w:tabs>
      <w:spacing w:after="240"/>
      <w:ind w:left="0" w:firstLine="0"/>
      <w:jc w:val="center"/>
      <w:outlineLvl w:val="0"/>
    </w:pPr>
    <w:rPr>
      <w:b/>
      <w:sz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paragraph" w:styleId="BodyText">
    <w:name w:val="Body Text"/>
    <w:basedOn w:val="Normal"/>
    <w:link w:val="BodyTextChar"/>
    <w:rsid w:val="00B34AEA"/>
    <w:pPr>
      <w:spacing w:after="120"/>
    </w:pPr>
  </w:style>
  <w:style w:type="character" w:customStyle="1" w:styleId="BodyTextChar">
    <w:name w:val="Body Text Char"/>
    <w:basedOn w:val="DefaultParagraphFont"/>
    <w:link w:val="BodyText"/>
    <w:rsid w:val="00B34AEA"/>
    <w:rPr>
      <w:szCs w:val="24"/>
    </w:rPr>
  </w:style>
  <w:style w:type="character" w:customStyle="1" w:styleId="Heading1Char">
    <w:name w:val="Heading 1 Char"/>
    <w:basedOn w:val="DefaultParagraphFont"/>
    <w:link w:val="Heading1"/>
    <w:rsid w:val="00E06E21"/>
    <w:rPr>
      <w:b/>
      <w:sz w:val="24"/>
      <w:szCs w:val="24"/>
    </w:rPr>
  </w:style>
  <w:style w:type="character" w:styleId="Strong">
    <w:name w:val="Strong"/>
    <w:qFormat/>
    <w:rsid w:val="00E06E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2015-12-04T08:00:00+00:00</OpenedDate>
    <Date1 xmlns="dc463f71-b30c-4ab2-9473-d307f9d35888">2016-07-25T23:14:00+00:00</Date1>
    <IsDocumentOrder xmlns="dc463f71-b30c-4ab2-9473-d307f9d35888" xsi:nil="true"/>
    <IsHighlyConfidential xmlns="dc463f71-b30c-4ab2-9473-d307f9d35888">false</IsHighlyConfidential>
    <CaseCompanyNames xmlns="dc463f71-b30c-4ab2-9473-d307f9d35888">Maurou, Sani Mahama</CaseCompanyNames>
    <DocketNumber xmlns="dc463f71-b30c-4ab2-9473-d307f9d35888">152296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78D68F92B4A468269E40D4D0CF0A5" ma:contentTypeVersion="119" ma:contentTypeDescription="" ma:contentTypeScope="" ma:versionID="448d80e67ddbfb17f8be929f2bce0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F472F-D105-47D2-AF76-BCE9419784F4}"/>
</file>

<file path=customXml/itemProps2.xml><?xml version="1.0" encoding="utf-8"?>
<ds:datastoreItem xmlns:ds="http://schemas.openxmlformats.org/officeDocument/2006/customXml" ds:itemID="{3A678F14-64E2-45BB-ABF0-DCFEC8E3C303}"/>
</file>

<file path=customXml/itemProps3.xml><?xml version="1.0" encoding="utf-8"?>
<ds:datastoreItem xmlns:ds="http://schemas.openxmlformats.org/officeDocument/2006/customXml" ds:itemID="{4F97A112-5E01-4F22-80D1-B60ADE96BFBD}"/>
</file>

<file path=customXml/itemProps4.xml><?xml version="1.0" encoding="utf-8"?>
<ds:datastoreItem xmlns:ds="http://schemas.openxmlformats.org/officeDocument/2006/customXml" ds:itemID="{55D74FB2-4EDD-4809-976B-9EF493AC2FC9}"/>
</file>

<file path=customXml/itemProps5.xml><?xml version="1.0" encoding="utf-8"?>
<ds:datastoreItem xmlns:ds="http://schemas.openxmlformats.org/officeDocument/2006/customXml" ds:itemID="{5029B77D-1215-477F-83D2-1E36EF688400}"/>
</file>

<file path=customXml/itemProps6.xml><?xml version="1.0" encoding="utf-8"?>
<ds:datastoreItem xmlns:ds="http://schemas.openxmlformats.org/officeDocument/2006/customXml" ds:itemID="{2CDCF209-198E-453E-A9FD-F185435AB1C8}"/>
</file>

<file path=docProps/app.xml><?xml version="1.0" encoding="utf-8"?>
<Properties xmlns="http://schemas.openxmlformats.org/officeDocument/2006/extended-properties" xmlns:vt="http://schemas.openxmlformats.org/officeDocument/2006/docPropsVTypes">
  <Template>Normal.dotm</Template>
  <TotalTime>433</TotalTime>
  <Pages>7</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O'Connell</dc:creator>
  <cp:keywords/>
  <dc:description/>
  <cp:lastModifiedBy>DeMarco, Betsy (UTC)</cp:lastModifiedBy>
  <cp:revision>23</cp:revision>
  <cp:lastPrinted>2014-12-05T16:47:00Z</cp:lastPrinted>
  <dcterms:created xsi:type="dcterms:W3CDTF">2016-07-15T21:32:00Z</dcterms:created>
  <dcterms:modified xsi:type="dcterms:W3CDTF">2016-07-22T16:45:00Z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0x0101006E56B4D1795A2E4DB2F0B01679ED314A00EC178D68F92B4A468269E40D4D0CF0A5</vt:lpwstr>
  </property>
  <property fmtid="{D5CDD505-2E9C-101B-9397-08002B2CF9AE}" pid="5" name="_docset_NoMedatataSyncRequired">
    <vt:lpwstr>False</vt:lpwstr>
  </property>
</Properties>
</file>