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C4E87" w14:textId="77777777" w:rsidR="00924CD0" w:rsidRDefault="00924CD0" w:rsidP="00924CD0">
      <w:pPr>
        <w:pStyle w:val="Header"/>
        <w:spacing w:line="240" w:lineRule="exact"/>
        <w:jc w:val="center"/>
        <w:rPr>
          <w:rFonts w:ascii="Times New Roman" w:hAnsi="Times New Roman"/>
          <w:b/>
        </w:rPr>
      </w:pPr>
      <w:r>
        <w:rPr>
          <w:rFonts w:ascii="Times New Roman" w:hAnsi="Times New Roman"/>
          <w:b/>
        </w:rPr>
        <w:t>BEFORE THE WASHINGTON</w:t>
      </w:r>
    </w:p>
    <w:p w14:paraId="406D5A06" w14:textId="77777777" w:rsidR="003F6EB5" w:rsidRPr="00924CD0" w:rsidRDefault="003F6EB5" w:rsidP="00924CD0">
      <w:pPr>
        <w:pStyle w:val="Header"/>
        <w:spacing w:line="240" w:lineRule="exact"/>
        <w:jc w:val="center"/>
        <w:rPr>
          <w:rFonts w:ascii="Times New Roman" w:hAnsi="Times New Roman"/>
          <w:b/>
        </w:rPr>
      </w:pPr>
      <w:r w:rsidRPr="00924CD0">
        <w:rPr>
          <w:rFonts w:ascii="Times New Roman" w:hAnsi="Times New Roman"/>
          <w:b/>
        </w:rPr>
        <w:t>UTILITIES AND TRANSPORTATION COMMISSION</w:t>
      </w:r>
    </w:p>
    <w:p w14:paraId="3E236EDF" w14:textId="77777777" w:rsidR="00924CD0" w:rsidRPr="003215A3" w:rsidRDefault="00924CD0" w:rsidP="003F6EB5">
      <w:pPr>
        <w:pStyle w:val="Header"/>
        <w:spacing w:line="240" w:lineRule="exact"/>
        <w:rPr>
          <w:rFonts w:ascii="Times New Roman" w:hAnsi="Times New Roman"/>
        </w:rPr>
      </w:pPr>
    </w:p>
    <w:p w14:paraId="706140EB" w14:textId="77777777" w:rsidR="003F6EB5" w:rsidRPr="003215A3" w:rsidRDefault="003F6EB5" w:rsidP="003F6EB5">
      <w:pPr>
        <w:pStyle w:val="Header"/>
        <w:spacing w:line="240" w:lineRule="exact"/>
        <w:rPr>
          <w:rFonts w:ascii="Times New Roman" w:hAnsi="Times New Roman"/>
        </w:rPr>
      </w:pPr>
    </w:p>
    <w:tbl>
      <w:tblPr>
        <w:tblW w:w="0" w:type="auto"/>
        <w:tblLook w:val="0000" w:firstRow="0" w:lastRow="0" w:firstColumn="0" w:lastColumn="0" w:noHBand="0" w:noVBand="0"/>
      </w:tblPr>
      <w:tblGrid>
        <w:gridCol w:w="4248"/>
        <w:gridCol w:w="360"/>
        <w:gridCol w:w="3888"/>
      </w:tblGrid>
      <w:tr w:rsidR="00924CD0" w:rsidRPr="00924CD0" w14:paraId="69E7D17B" w14:textId="77777777" w:rsidTr="007F6E45">
        <w:trPr>
          <w:trHeight w:val="3186"/>
        </w:trPr>
        <w:tc>
          <w:tcPr>
            <w:tcW w:w="4248" w:type="dxa"/>
            <w:tcBorders>
              <w:bottom w:val="single" w:sz="4" w:space="0" w:color="auto"/>
              <w:right w:val="single" w:sz="4" w:space="0" w:color="auto"/>
            </w:tcBorders>
          </w:tcPr>
          <w:p w14:paraId="5E046464" w14:textId="77777777" w:rsidR="007F6E45" w:rsidRPr="000D1664" w:rsidRDefault="007F6E45" w:rsidP="007F6E45">
            <w:pPr>
              <w:pStyle w:val="Header"/>
              <w:tabs>
                <w:tab w:val="left" w:pos="681"/>
                <w:tab w:val="left" w:pos="1401"/>
              </w:tabs>
              <w:rPr>
                <w:rFonts w:ascii="Times New Roman" w:hAnsi="Times New Roman"/>
              </w:rPr>
            </w:pPr>
            <w:r>
              <w:rPr>
                <w:rFonts w:ascii="Times New Roman" w:hAnsi="Times New Roman"/>
              </w:rPr>
              <w:t>I</w:t>
            </w:r>
            <w:r w:rsidRPr="000D1664">
              <w:rPr>
                <w:rFonts w:ascii="Times New Roman" w:hAnsi="Times New Roman"/>
              </w:rPr>
              <w:t>n the Matter of</w:t>
            </w:r>
          </w:p>
          <w:p w14:paraId="698C3541" w14:textId="77777777" w:rsidR="007F6E45" w:rsidRPr="000D1664" w:rsidRDefault="007F6E45" w:rsidP="007F6E45">
            <w:pPr>
              <w:pStyle w:val="Header"/>
              <w:tabs>
                <w:tab w:val="left" w:pos="681"/>
                <w:tab w:val="left" w:pos="1401"/>
              </w:tabs>
              <w:rPr>
                <w:rFonts w:ascii="Times New Roman" w:hAnsi="Times New Roman"/>
              </w:rPr>
            </w:pPr>
          </w:p>
          <w:p w14:paraId="42E3F227" w14:textId="77777777" w:rsidR="007F6E45" w:rsidRPr="000D1664" w:rsidRDefault="007F6E45" w:rsidP="007F6E45">
            <w:pPr>
              <w:pStyle w:val="Header"/>
              <w:tabs>
                <w:tab w:val="left" w:pos="681"/>
                <w:tab w:val="left" w:pos="1401"/>
              </w:tabs>
              <w:rPr>
                <w:rFonts w:ascii="Times New Roman" w:hAnsi="Times New Roman"/>
              </w:rPr>
            </w:pPr>
            <w:r w:rsidRPr="000D1664">
              <w:rPr>
                <w:rFonts w:ascii="Times New Roman" w:hAnsi="Times New Roman"/>
              </w:rPr>
              <w:t xml:space="preserve">PACIFIC POWER &amp; LIGHT COMPANY, </w:t>
            </w:r>
          </w:p>
          <w:p w14:paraId="3DCD9F74" w14:textId="77777777" w:rsidR="007F6E45" w:rsidRPr="000D1664" w:rsidRDefault="007F6E45" w:rsidP="007F6E45">
            <w:pPr>
              <w:pStyle w:val="Header"/>
              <w:tabs>
                <w:tab w:val="left" w:pos="681"/>
                <w:tab w:val="left" w:pos="1401"/>
              </w:tabs>
              <w:rPr>
                <w:rFonts w:ascii="Times New Roman" w:hAnsi="Times New Roman"/>
              </w:rPr>
            </w:pPr>
          </w:p>
          <w:p w14:paraId="146B0474" w14:textId="77777777" w:rsidR="007F6E45" w:rsidRDefault="007F6E45" w:rsidP="007F6E45">
            <w:pPr>
              <w:pStyle w:val="Header"/>
              <w:tabs>
                <w:tab w:val="left" w:pos="681"/>
                <w:tab w:val="left" w:pos="1401"/>
              </w:tabs>
              <w:rPr>
                <w:rFonts w:ascii="Times New Roman" w:hAnsi="Times New Roman"/>
              </w:rPr>
            </w:pPr>
            <w:r w:rsidRPr="000D1664">
              <w:rPr>
                <w:rFonts w:ascii="Times New Roman" w:hAnsi="Times New Roman"/>
              </w:rPr>
              <w:t>Petition For a Rate Increase Based on a Modified Commission Basis Report, Two-Year Rate Plan, and Decoupling Mechanism</w:t>
            </w:r>
          </w:p>
          <w:p w14:paraId="68968B6A" w14:textId="77777777" w:rsidR="00924CD0" w:rsidRPr="00924CD0" w:rsidRDefault="00924CD0" w:rsidP="00B409D6">
            <w:pPr>
              <w:tabs>
                <w:tab w:val="left" w:pos="1800"/>
              </w:tabs>
              <w:spacing w:line="264" w:lineRule="auto"/>
              <w:rPr>
                <w:rFonts w:ascii="Times New Roman" w:hAnsi="Times New Roman"/>
              </w:rPr>
            </w:pPr>
          </w:p>
          <w:p w14:paraId="726F40F7" w14:textId="77777777" w:rsidR="00924CD0" w:rsidRPr="00924CD0" w:rsidRDefault="00924CD0" w:rsidP="00B409D6">
            <w:pPr>
              <w:rPr>
                <w:rFonts w:ascii="Times New Roman" w:hAnsi="Times New Roman"/>
              </w:rPr>
            </w:pPr>
          </w:p>
        </w:tc>
        <w:tc>
          <w:tcPr>
            <w:tcW w:w="360" w:type="dxa"/>
            <w:tcBorders>
              <w:left w:val="single" w:sz="4" w:space="0" w:color="auto"/>
            </w:tcBorders>
          </w:tcPr>
          <w:p w14:paraId="311C2D4E" w14:textId="77777777" w:rsidR="00924CD0" w:rsidRPr="00924CD0" w:rsidRDefault="00924CD0" w:rsidP="00B409D6">
            <w:pPr>
              <w:rPr>
                <w:rFonts w:ascii="Times New Roman" w:hAnsi="Times New Roman"/>
              </w:rPr>
            </w:pPr>
          </w:p>
        </w:tc>
        <w:tc>
          <w:tcPr>
            <w:tcW w:w="3888" w:type="dxa"/>
          </w:tcPr>
          <w:p w14:paraId="2102E0A1" w14:textId="06017C71" w:rsidR="00924CD0" w:rsidRPr="00924CD0" w:rsidRDefault="00924CD0" w:rsidP="00665E4C">
            <w:pPr>
              <w:spacing w:line="264" w:lineRule="auto"/>
              <w:rPr>
                <w:rFonts w:ascii="Times New Roman" w:hAnsi="Times New Roman"/>
              </w:rPr>
            </w:pPr>
            <w:r w:rsidRPr="00924CD0">
              <w:rPr>
                <w:rFonts w:ascii="Times New Roman" w:hAnsi="Times New Roman"/>
              </w:rPr>
              <w:t xml:space="preserve">DOCKET </w:t>
            </w:r>
            <w:r w:rsidRPr="00924CD0">
              <w:rPr>
                <w:rFonts w:ascii="Times New Roman" w:hAnsi="Times New Roman"/>
                <w:bCs/>
              </w:rPr>
              <w:t>UE-</w:t>
            </w:r>
            <w:r w:rsidR="00665E4C">
              <w:rPr>
                <w:rFonts w:ascii="Times New Roman" w:hAnsi="Times New Roman"/>
                <w:bCs/>
              </w:rPr>
              <w:t>152253</w:t>
            </w:r>
          </w:p>
          <w:p w14:paraId="06704B6C" w14:textId="77777777" w:rsidR="00924CD0" w:rsidRDefault="00924CD0" w:rsidP="00B409D6">
            <w:pPr>
              <w:spacing w:line="264" w:lineRule="auto"/>
              <w:rPr>
                <w:rFonts w:ascii="Times New Roman" w:hAnsi="Times New Roman"/>
              </w:rPr>
            </w:pPr>
          </w:p>
          <w:p w14:paraId="0FDA46E5" w14:textId="77777777" w:rsidR="00924CD0" w:rsidRDefault="00924CD0" w:rsidP="00B409D6">
            <w:pPr>
              <w:spacing w:line="264" w:lineRule="auto"/>
              <w:rPr>
                <w:rFonts w:ascii="Times New Roman" w:hAnsi="Times New Roman"/>
              </w:rPr>
            </w:pPr>
            <w:r>
              <w:rPr>
                <w:rFonts w:ascii="Times New Roman" w:hAnsi="Times New Roman"/>
              </w:rPr>
              <w:t>COMMISSION STAFF’S</w:t>
            </w:r>
          </w:p>
          <w:p w14:paraId="43DE6ED9" w14:textId="77777777" w:rsidR="00924CD0" w:rsidRDefault="00665E4C" w:rsidP="00B409D6">
            <w:pPr>
              <w:spacing w:line="264" w:lineRule="auto"/>
              <w:rPr>
                <w:rFonts w:ascii="Times New Roman" w:hAnsi="Times New Roman"/>
              </w:rPr>
            </w:pPr>
            <w:r>
              <w:rPr>
                <w:rFonts w:ascii="Times New Roman" w:hAnsi="Times New Roman"/>
              </w:rPr>
              <w:t xml:space="preserve">MOTION FOR LEAVE TO </w:t>
            </w:r>
          </w:p>
          <w:p w14:paraId="474F4263" w14:textId="185F745E" w:rsidR="00665E4C" w:rsidRPr="00924CD0" w:rsidRDefault="00665E4C" w:rsidP="00B409D6">
            <w:pPr>
              <w:spacing w:line="264" w:lineRule="auto"/>
              <w:rPr>
                <w:rFonts w:ascii="Times New Roman" w:hAnsi="Times New Roman"/>
                <w:b/>
              </w:rPr>
            </w:pPr>
            <w:r>
              <w:rPr>
                <w:rFonts w:ascii="Times New Roman" w:hAnsi="Times New Roman"/>
              </w:rPr>
              <w:t>FILE SUPPLEMENTAL TESTIMONY</w:t>
            </w:r>
            <w:r w:rsidR="005650BA">
              <w:rPr>
                <w:rFonts w:ascii="Times New Roman" w:hAnsi="Times New Roman"/>
              </w:rPr>
              <w:t xml:space="preserve"> AND EXHIBITS</w:t>
            </w:r>
          </w:p>
          <w:p w14:paraId="46B2BBB6" w14:textId="77777777" w:rsidR="00924CD0" w:rsidRPr="00924CD0" w:rsidRDefault="00924CD0" w:rsidP="00B409D6">
            <w:pPr>
              <w:rPr>
                <w:rFonts w:ascii="Times New Roman" w:hAnsi="Times New Roman"/>
              </w:rPr>
            </w:pPr>
          </w:p>
          <w:p w14:paraId="51D81699" w14:textId="77777777" w:rsidR="00924CD0" w:rsidRPr="00924CD0" w:rsidRDefault="00924CD0" w:rsidP="00B409D6">
            <w:pPr>
              <w:pStyle w:val="Header"/>
              <w:tabs>
                <w:tab w:val="clear" w:pos="4320"/>
                <w:tab w:val="clear" w:pos="8640"/>
              </w:tabs>
              <w:rPr>
                <w:rFonts w:ascii="Times New Roman" w:hAnsi="Times New Roman"/>
              </w:rPr>
            </w:pPr>
          </w:p>
        </w:tc>
      </w:tr>
    </w:tbl>
    <w:p w14:paraId="7D5C5D15" w14:textId="77777777" w:rsidR="00924CD0" w:rsidRDefault="00924CD0" w:rsidP="00422068">
      <w:pPr>
        <w:spacing w:line="480" w:lineRule="auto"/>
        <w:jc w:val="center"/>
        <w:rPr>
          <w:b/>
        </w:rPr>
      </w:pPr>
    </w:p>
    <w:p w14:paraId="5B6BE311" w14:textId="77777777" w:rsidR="007B4430" w:rsidRPr="00EB0C74" w:rsidRDefault="00422068" w:rsidP="00661D34">
      <w:pPr>
        <w:spacing w:line="480" w:lineRule="auto"/>
        <w:jc w:val="center"/>
        <w:rPr>
          <w:rFonts w:ascii="Times New Roman" w:hAnsi="Times New Roman"/>
          <w:b/>
        </w:rPr>
      </w:pPr>
      <w:r w:rsidRPr="00422068">
        <w:rPr>
          <w:b/>
        </w:rPr>
        <w:t xml:space="preserve">I.  </w:t>
      </w:r>
      <w:r w:rsidR="007B4430" w:rsidRPr="00422068">
        <w:rPr>
          <w:rFonts w:ascii="Times New Roman" w:hAnsi="Times New Roman"/>
          <w:b/>
        </w:rPr>
        <w:t>I</w:t>
      </w:r>
      <w:r w:rsidR="007B4430" w:rsidRPr="00EB0C74">
        <w:rPr>
          <w:rFonts w:ascii="Times New Roman" w:hAnsi="Times New Roman"/>
          <w:b/>
        </w:rPr>
        <w:t>NTRODUCTION</w:t>
      </w:r>
    </w:p>
    <w:p w14:paraId="54F2E781" w14:textId="532D5C2B" w:rsidR="007B4430" w:rsidRPr="007B4430" w:rsidRDefault="007B4430" w:rsidP="00661D34">
      <w:pPr>
        <w:numPr>
          <w:ilvl w:val="0"/>
          <w:numId w:val="6"/>
        </w:numPr>
        <w:spacing w:line="480" w:lineRule="auto"/>
        <w:ind w:left="0" w:hanging="720"/>
        <w:rPr>
          <w:rFonts w:ascii="Times New Roman" w:hAnsi="Times New Roman"/>
        </w:rPr>
      </w:pPr>
      <w:r w:rsidRPr="007B4430">
        <w:rPr>
          <w:rFonts w:ascii="Times New Roman" w:hAnsi="Times New Roman"/>
        </w:rPr>
        <w:tab/>
      </w:r>
      <w:r w:rsidR="009A038A">
        <w:rPr>
          <w:rFonts w:ascii="Times New Roman" w:hAnsi="Times New Roman"/>
        </w:rPr>
        <w:t xml:space="preserve">Commission </w:t>
      </w:r>
      <w:r w:rsidRPr="007B4430">
        <w:rPr>
          <w:rFonts w:ascii="Times New Roman" w:hAnsi="Times New Roman"/>
        </w:rPr>
        <w:t>Staff of the Washington Utilities and Transportation Commission (Com</w:t>
      </w:r>
      <w:r w:rsidR="00007FAE">
        <w:rPr>
          <w:rFonts w:ascii="Times New Roman" w:hAnsi="Times New Roman"/>
        </w:rPr>
        <w:t>mission) submits this Motion for Leave to File Supplemental Testimony</w:t>
      </w:r>
      <w:r w:rsidRPr="007B4430">
        <w:rPr>
          <w:rFonts w:ascii="Times New Roman" w:hAnsi="Times New Roman"/>
        </w:rPr>
        <w:t xml:space="preserve"> </w:t>
      </w:r>
      <w:r w:rsidR="006B2594">
        <w:rPr>
          <w:rFonts w:ascii="Times New Roman" w:hAnsi="Times New Roman"/>
        </w:rPr>
        <w:t xml:space="preserve">and Exhibits </w:t>
      </w:r>
      <w:r w:rsidRPr="007B4430">
        <w:rPr>
          <w:rFonts w:ascii="Times New Roman" w:hAnsi="Times New Roman"/>
        </w:rPr>
        <w:t>pursuant to W</w:t>
      </w:r>
      <w:r w:rsidR="00007FAE">
        <w:rPr>
          <w:rFonts w:ascii="Times New Roman" w:hAnsi="Times New Roman"/>
        </w:rPr>
        <w:t>AC 480-07-375(d)</w:t>
      </w:r>
      <w:r w:rsidR="008F0B02">
        <w:rPr>
          <w:rFonts w:ascii="Times New Roman" w:hAnsi="Times New Roman"/>
        </w:rPr>
        <w:t>.</w:t>
      </w:r>
    </w:p>
    <w:p w14:paraId="05A82206" w14:textId="77777777" w:rsidR="007B4430" w:rsidRPr="007B4430" w:rsidRDefault="00422068" w:rsidP="00661D34">
      <w:pPr>
        <w:spacing w:line="480" w:lineRule="auto"/>
        <w:jc w:val="center"/>
        <w:rPr>
          <w:rFonts w:ascii="Times New Roman" w:hAnsi="Times New Roman"/>
          <w:b/>
        </w:rPr>
      </w:pPr>
      <w:r>
        <w:rPr>
          <w:rFonts w:ascii="Times New Roman" w:hAnsi="Times New Roman"/>
          <w:b/>
        </w:rPr>
        <w:t xml:space="preserve">II.  </w:t>
      </w:r>
      <w:r w:rsidR="007B4430" w:rsidRPr="007B4430">
        <w:rPr>
          <w:rFonts w:ascii="Times New Roman" w:hAnsi="Times New Roman"/>
          <w:b/>
        </w:rPr>
        <w:t>RELIEF REQUESTED</w:t>
      </w:r>
    </w:p>
    <w:p w14:paraId="1E2DF1B6" w14:textId="15D41A7F" w:rsidR="007B4430" w:rsidRPr="007B4430" w:rsidRDefault="007B4430" w:rsidP="00661D34">
      <w:pPr>
        <w:numPr>
          <w:ilvl w:val="0"/>
          <w:numId w:val="6"/>
        </w:numPr>
        <w:spacing w:line="480" w:lineRule="auto"/>
        <w:ind w:left="0" w:hanging="720"/>
        <w:rPr>
          <w:rFonts w:ascii="Times New Roman" w:hAnsi="Times New Roman"/>
        </w:rPr>
      </w:pPr>
      <w:r w:rsidRPr="007B4430">
        <w:rPr>
          <w:rFonts w:ascii="Times New Roman" w:hAnsi="Times New Roman"/>
        </w:rPr>
        <w:tab/>
      </w:r>
      <w:r w:rsidR="001C70C6">
        <w:rPr>
          <w:rFonts w:ascii="Times New Roman" w:hAnsi="Times New Roman"/>
        </w:rPr>
        <w:t>Commission S</w:t>
      </w:r>
      <w:r w:rsidRPr="007B4430">
        <w:rPr>
          <w:rFonts w:ascii="Times New Roman" w:hAnsi="Times New Roman"/>
        </w:rPr>
        <w:t xml:space="preserve">taff </w:t>
      </w:r>
      <w:r w:rsidR="001C70C6">
        <w:rPr>
          <w:rFonts w:ascii="Times New Roman" w:hAnsi="Times New Roman"/>
        </w:rPr>
        <w:t xml:space="preserve">(Staff) </w:t>
      </w:r>
      <w:r w:rsidRPr="007B4430">
        <w:rPr>
          <w:rFonts w:ascii="Times New Roman" w:hAnsi="Times New Roman"/>
        </w:rPr>
        <w:t xml:space="preserve">requests that the Commission </w:t>
      </w:r>
      <w:r w:rsidR="002C487F">
        <w:rPr>
          <w:rFonts w:ascii="Times New Roman" w:hAnsi="Times New Roman"/>
        </w:rPr>
        <w:t xml:space="preserve">grant Staff leave to </w:t>
      </w:r>
      <w:r w:rsidR="00E947FD">
        <w:rPr>
          <w:rFonts w:ascii="Times New Roman" w:hAnsi="Times New Roman"/>
        </w:rPr>
        <w:t>pre-</w:t>
      </w:r>
      <w:r w:rsidR="002C487F">
        <w:rPr>
          <w:rFonts w:ascii="Times New Roman" w:hAnsi="Times New Roman"/>
        </w:rPr>
        <w:t xml:space="preserve">file supplemental testimony </w:t>
      </w:r>
      <w:r w:rsidR="00801B0F">
        <w:rPr>
          <w:rFonts w:ascii="Times New Roman" w:hAnsi="Times New Roman"/>
        </w:rPr>
        <w:t xml:space="preserve">and exhibits </w:t>
      </w:r>
      <w:r w:rsidR="001C70C6">
        <w:rPr>
          <w:rFonts w:ascii="Times New Roman" w:hAnsi="Times New Roman"/>
        </w:rPr>
        <w:t>based on Staff’s analysis of</w:t>
      </w:r>
      <w:r w:rsidR="002C487F">
        <w:rPr>
          <w:rFonts w:ascii="Times New Roman" w:hAnsi="Times New Roman"/>
        </w:rPr>
        <w:t xml:space="preserve"> </w:t>
      </w:r>
      <w:r w:rsidR="00C951C9">
        <w:rPr>
          <w:rFonts w:ascii="Times New Roman" w:hAnsi="Times New Roman"/>
        </w:rPr>
        <w:t>the Bridger Coal Company</w:t>
      </w:r>
      <w:r w:rsidR="002C487F">
        <w:rPr>
          <w:rFonts w:ascii="Times New Roman" w:hAnsi="Times New Roman"/>
        </w:rPr>
        <w:t xml:space="preserve"> </w:t>
      </w:r>
      <w:r w:rsidR="00E947FD">
        <w:rPr>
          <w:rFonts w:ascii="Times New Roman" w:hAnsi="Times New Roman"/>
        </w:rPr>
        <w:t xml:space="preserve">(BCC) </w:t>
      </w:r>
      <w:r w:rsidR="002C487F">
        <w:rPr>
          <w:rFonts w:ascii="Times New Roman" w:hAnsi="Times New Roman"/>
        </w:rPr>
        <w:t>October 2013 mine plan, which</w:t>
      </w:r>
      <w:r w:rsidR="001C70C6">
        <w:rPr>
          <w:rFonts w:ascii="Times New Roman" w:hAnsi="Times New Roman"/>
        </w:rPr>
        <w:t xml:space="preserve"> Staff was able to</w:t>
      </w:r>
      <w:r w:rsidR="008F0B02">
        <w:rPr>
          <w:rFonts w:ascii="Times New Roman" w:hAnsi="Times New Roman"/>
        </w:rPr>
        <w:t xml:space="preserve"> </w:t>
      </w:r>
      <w:r w:rsidR="001C70C6">
        <w:rPr>
          <w:rFonts w:ascii="Times New Roman" w:hAnsi="Times New Roman"/>
        </w:rPr>
        <w:t xml:space="preserve">review only after </w:t>
      </w:r>
      <w:r w:rsidR="00D12221">
        <w:rPr>
          <w:rFonts w:ascii="Times New Roman" w:hAnsi="Times New Roman"/>
        </w:rPr>
        <w:t>Pacific Power &amp; Light Company (“</w:t>
      </w:r>
      <w:r w:rsidR="001C70C6">
        <w:rPr>
          <w:rFonts w:ascii="Times New Roman" w:hAnsi="Times New Roman"/>
        </w:rPr>
        <w:t>Pacific Power</w:t>
      </w:r>
      <w:r w:rsidR="00D12221">
        <w:rPr>
          <w:rFonts w:ascii="Times New Roman" w:hAnsi="Times New Roman"/>
        </w:rPr>
        <w:t>” or “Company”)</w:t>
      </w:r>
      <w:r w:rsidR="001C70C6">
        <w:rPr>
          <w:rFonts w:ascii="Times New Roman" w:hAnsi="Times New Roman"/>
        </w:rPr>
        <w:t xml:space="preserve"> filed rebuttal testimony</w:t>
      </w:r>
      <w:r w:rsidR="005769D7">
        <w:rPr>
          <w:rFonts w:ascii="Times New Roman" w:hAnsi="Times New Roman"/>
        </w:rPr>
        <w:t xml:space="preserve"> despite </w:t>
      </w:r>
      <w:r w:rsidR="00661D34">
        <w:rPr>
          <w:rFonts w:ascii="Times New Roman" w:hAnsi="Times New Roman"/>
        </w:rPr>
        <w:t xml:space="preserve">Staff </w:t>
      </w:r>
      <w:r w:rsidR="005769D7">
        <w:rPr>
          <w:rFonts w:ascii="Times New Roman" w:hAnsi="Times New Roman"/>
        </w:rPr>
        <w:t>having requested it through discovery</w:t>
      </w:r>
      <w:r w:rsidRPr="007B4430">
        <w:rPr>
          <w:rFonts w:ascii="Times New Roman" w:hAnsi="Times New Roman"/>
        </w:rPr>
        <w:t>.</w:t>
      </w:r>
    </w:p>
    <w:p w14:paraId="639E8910" w14:textId="77777777" w:rsidR="007B4430" w:rsidRPr="007B4430" w:rsidRDefault="00422068" w:rsidP="00661D34">
      <w:pPr>
        <w:keepNext/>
        <w:spacing w:line="480" w:lineRule="auto"/>
        <w:jc w:val="center"/>
        <w:rPr>
          <w:rFonts w:ascii="Times New Roman" w:hAnsi="Times New Roman"/>
          <w:b/>
        </w:rPr>
      </w:pPr>
      <w:r>
        <w:rPr>
          <w:rFonts w:ascii="Times New Roman" w:hAnsi="Times New Roman"/>
          <w:b/>
        </w:rPr>
        <w:t>III.  ST</w:t>
      </w:r>
      <w:r w:rsidR="007B4430" w:rsidRPr="007B4430">
        <w:rPr>
          <w:rFonts w:ascii="Times New Roman" w:hAnsi="Times New Roman"/>
          <w:b/>
        </w:rPr>
        <w:t>ATEMENT OF FACTS</w:t>
      </w:r>
    </w:p>
    <w:p w14:paraId="6D5A5AA6" w14:textId="0665DE2A" w:rsidR="004729F6" w:rsidRDefault="008F0B02" w:rsidP="00661D34">
      <w:pPr>
        <w:keepNext/>
        <w:numPr>
          <w:ilvl w:val="0"/>
          <w:numId w:val="6"/>
        </w:numPr>
        <w:spacing w:line="480" w:lineRule="auto"/>
        <w:ind w:left="0" w:hanging="720"/>
        <w:rPr>
          <w:rFonts w:ascii="Times New Roman" w:hAnsi="Times New Roman"/>
        </w:rPr>
      </w:pPr>
      <w:r>
        <w:rPr>
          <w:rFonts w:ascii="Times New Roman" w:hAnsi="Times New Roman"/>
        </w:rPr>
        <w:tab/>
      </w:r>
      <w:r w:rsidR="003A16A5">
        <w:rPr>
          <w:rFonts w:ascii="Times New Roman" w:hAnsi="Times New Roman"/>
        </w:rPr>
        <w:t xml:space="preserve">Mr. Jeremy Twitchell </w:t>
      </w:r>
      <w:r w:rsidR="00290ECA">
        <w:rPr>
          <w:rFonts w:ascii="Times New Roman" w:hAnsi="Times New Roman"/>
        </w:rPr>
        <w:t>filed testimony on March 17, 2016, addressing</w:t>
      </w:r>
      <w:r w:rsidR="00D12221">
        <w:rPr>
          <w:rFonts w:ascii="Times New Roman" w:hAnsi="Times New Roman"/>
        </w:rPr>
        <w:t xml:space="preserve"> the prudence of Pacific Power’s decision to </w:t>
      </w:r>
      <w:r w:rsidR="00C951C9">
        <w:rPr>
          <w:rFonts w:ascii="Times New Roman" w:hAnsi="Times New Roman"/>
        </w:rPr>
        <w:t>install selective catalytic r</w:t>
      </w:r>
      <w:r w:rsidR="00290ECA">
        <w:rPr>
          <w:rFonts w:ascii="Times New Roman" w:hAnsi="Times New Roman"/>
        </w:rPr>
        <w:t xml:space="preserve">eduction (SCR) at the coal-fired Jim Bridger plant. </w:t>
      </w:r>
      <w:r w:rsidR="00B22AB7">
        <w:rPr>
          <w:rFonts w:ascii="Times New Roman" w:hAnsi="Times New Roman"/>
        </w:rPr>
        <w:t>To comply with Regional Haze obligations, Pacific Power chose to install SCR, which was one of several compliance methods that the Company considered</w:t>
      </w:r>
      <w:r w:rsidR="00CD7BF5">
        <w:rPr>
          <w:rFonts w:ascii="Times New Roman" w:hAnsi="Times New Roman"/>
        </w:rPr>
        <w:t xml:space="preserve"> </w:t>
      </w:r>
      <w:r w:rsidR="00CD7BF5">
        <w:rPr>
          <w:rFonts w:ascii="Times New Roman" w:hAnsi="Times New Roman"/>
        </w:rPr>
        <w:lastRenderedPageBreak/>
        <w:t>implementing</w:t>
      </w:r>
      <w:r w:rsidR="00B22AB7">
        <w:rPr>
          <w:rFonts w:ascii="Times New Roman" w:hAnsi="Times New Roman"/>
        </w:rPr>
        <w:t>.</w:t>
      </w:r>
      <w:r w:rsidR="00C85498">
        <w:rPr>
          <w:rStyle w:val="FootnoteReference"/>
          <w:rFonts w:ascii="Times New Roman" w:hAnsi="Times New Roman"/>
        </w:rPr>
        <w:footnoteReference w:id="1"/>
      </w:r>
      <w:r w:rsidR="00B22AB7">
        <w:rPr>
          <w:rFonts w:ascii="Times New Roman" w:hAnsi="Times New Roman"/>
        </w:rPr>
        <w:t xml:space="preserve"> In his testimony, Mr. Twitchell</w:t>
      </w:r>
      <w:r w:rsidR="00290ECA">
        <w:rPr>
          <w:rFonts w:ascii="Times New Roman" w:hAnsi="Times New Roman"/>
        </w:rPr>
        <w:t xml:space="preserve"> analyzed a mine plan provided to Staff by the Company via the discovery process. Based on his analysis, he concluded that the Company knew, as of October 2013, </w:t>
      </w:r>
      <w:r w:rsidR="00CD7BF5">
        <w:rPr>
          <w:rFonts w:ascii="Times New Roman" w:hAnsi="Times New Roman"/>
        </w:rPr>
        <w:t xml:space="preserve">that coal costs were increasing </w:t>
      </w:r>
      <w:r w:rsidR="00290ECA">
        <w:rPr>
          <w:rFonts w:ascii="Times New Roman" w:hAnsi="Times New Roman"/>
        </w:rPr>
        <w:t xml:space="preserve">yet </w:t>
      </w:r>
      <w:r w:rsidR="00CD7BF5">
        <w:rPr>
          <w:rFonts w:ascii="Times New Roman" w:hAnsi="Times New Roman"/>
        </w:rPr>
        <w:t>did not</w:t>
      </w:r>
      <w:r w:rsidR="00290ECA">
        <w:rPr>
          <w:rFonts w:ascii="Times New Roman" w:hAnsi="Times New Roman"/>
        </w:rPr>
        <w:t xml:space="preserve"> </w:t>
      </w:r>
      <w:r w:rsidR="00CD7BF5">
        <w:rPr>
          <w:rFonts w:ascii="Times New Roman" w:hAnsi="Times New Roman"/>
        </w:rPr>
        <w:t xml:space="preserve">incorporate this information into its </w:t>
      </w:r>
      <w:r w:rsidR="00290ECA">
        <w:rPr>
          <w:rFonts w:ascii="Times New Roman" w:hAnsi="Times New Roman"/>
        </w:rPr>
        <w:t xml:space="preserve">analysis of </w:t>
      </w:r>
      <w:r w:rsidR="00236AC2">
        <w:rPr>
          <w:rFonts w:ascii="Times New Roman" w:hAnsi="Times New Roman"/>
        </w:rPr>
        <w:t xml:space="preserve">the cost-effectiveness of </w:t>
      </w:r>
      <w:r w:rsidR="00290ECA">
        <w:rPr>
          <w:rFonts w:ascii="Times New Roman" w:hAnsi="Times New Roman"/>
        </w:rPr>
        <w:t>SCR</w:t>
      </w:r>
      <w:r w:rsidR="00236AC2">
        <w:rPr>
          <w:rFonts w:ascii="Times New Roman" w:hAnsi="Times New Roman"/>
        </w:rPr>
        <w:t xml:space="preserve"> installation.</w:t>
      </w:r>
      <w:r w:rsidR="00290ECA">
        <w:rPr>
          <w:rStyle w:val="FootnoteReference"/>
          <w:rFonts w:ascii="Times New Roman" w:hAnsi="Times New Roman"/>
        </w:rPr>
        <w:footnoteReference w:id="2"/>
      </w:r>
    </w:p>
    <w:p w14:paraId="3D7BB454" w14:textId="22ABF6B4" w:rsidR="00BD63EE" w:rsidRDefault="004729F6" w:rsidP="00661D34">
      <w:pPr>
        <w:keepNext/>
        <w:numPr>
          <w:ilvl w:val="0"/>
          <w:numId w:val="6"/>
        </w:numPr>
        <w:spacing w:line="480" w:lineRule="auto"/>
        <w:ind w:left="0" w:hanging="720"/>
        <w:rPr>
          <w:rFonts w:ascii="Times New Roman" w:hAnsi="Times New Roman"/>
        </w:rPr>
      </w:pPr>
      <w:r>
        <w:rPr>
          <w:rFonts w:ascii="Times New Roman" w:hAnsi="Times New Roman"/>
        </w:rPr>
        <w:tab/>
      </w:r>
      <w:r w:rsidR="00BD63EE">
        <w:rPr>
          <w:rFonts w:ascii="Times New Roman" w:hAnsi="Times New Roman"/>
        </w:rPr>
        <w:t xml:space="preserve">During Pacific Power’s last general rate case, in Docket UE-140762, Mr. Twitchell learned that there was an October 2013 mine plan </w:t>
      </w:r>
      <w:r w:rsidR="00361862">
        <w:rPr>
          <w:rFonts w:ascii="Times New Roman" w:hAnsi="Times New Roman"/>
        </w:rPr>
        <w:t xml:space="preserve">for the BCC mine </w:t>
      </w:r>
      <w:r w:rsidR="00BD63EE">
        <w:rPr>
          <w:rFonts w:ascii="Times New Roman" w:hAnsi="Times New Roman"/>
        </w:rPr>
        <w:t>that addressed coal costs.</w:t>
      </w:r>
      <w:r w:rsidR="00883714">
        <w:rPr>
          <w:rStyle w:val="FootnoteReference"/>
          <w:rFonts w:ascii="Times New Roman" w:hAnsi="Times New Roman"/>
        </w:rPr>
        <w:footnoteReference w:id="3"/>
      </w:r>
      <w:r w:rsidR="00361862">
        <w:rPr>
          <w:rFonts w:ascii="Times New Roman" w:hAnsi="Times New Roman"/>
        </w:rPr>
        <w:t xml:space="preserve"> In the </w:t>
      </w:r>
      <w:r w:rsidR="005769D7">
        <w:rPr>
          <w:rFonts w:ascii="Times New Roman" w:hAnsi="Times New Roman"/>
        </w:rPr>
        <w:t>present</w:t>
      </w:r>
      <w:r w:rsidR="00361862">
        <w:rPr>
          <w:rFonts w:ascii="Times New Roman" w:hAnsi="Times New Roman"/>
        </w:rPr>
        <w:t xml:space="preserve"> case, Mr. Twitchell </w:t>
      </w:r>
      <w:r w:rsidR="00E947FD">
        <w:rPr>
          <w:rFonts w:ascii="Times New Roman" w:hAnsi="Times New Roman"/>
        </w:rPr>
        <w:t>reviewed</w:t>
      </w:r>
      <w:r w:rsidR="00361862">
        <w:rPr>
          <w:rFonts w:ascii="Times New Roman" w:hAnsi="Times New Roman"/>
        </w:rPr>
        <w:t xml:space="preserve"> the Company’s projected coal costs and concluded that a copy of the October 2013 mine plan was necessary for his analysis. </w:t>
      </w:r>
      <w:r w:rsidR="00067CA2">
        <w:rPr>
          <w:rFonts w:ascii="Times New Roman" w:hAnsi="Times New Roman"/>
        </w:rPr>
        <w:t xml:space="preserve">While he was on a site visit to review materials that the Company identified as highly confidential, Mr. Twitchell discussed mine plans with Pacific Power staff. During this discussion, Mr. Twitchell learned that the Company </w:t>
      </w:r>
      <w:r w:rsidR="00584380">
        <w:rPr>
          <w:rFonts w:ascii="Times New Roman" w:hAnsi="Times New Roman"/>
        </w:rPr>
        <w:t xml:space="preserve">only updates its mine plan every few years, </w:t>
      </w:r>
      <w:r w:rsidR="00E947FD">
        <w:rPr>
          <w:rFonts w:ascii="Times New Roman" w:hAnsi="Times New Roman"/>
        </w:rPr>
        <w:t>and</w:t>
      </w:r>
      <w:r w:rsidR="00584380">
        <w:rPr>
          <w:rFonts w:ascii="Times New Roman" w:hAnsi="Times New Roman"/>
        </w:rPr>
        <w:t xml:space="preserve"> </w:t>
      </w:r>
      <w:r w:rsidR="00E947FD">
        <w:rPr>
          <w:rFonts w:ascii="Times New Roman" w:hAnsi="Times New Roman"/>
        </w:rPr>
        <w:t xml:space="preserve">that it </w:t>
      </w:r>
      <w:r w:rsidR="00584380">
        <w:rPr>
          <w:rFonts w:ascii="Times New Roman" w:hAnsi="Times New Roman"/>
        </w:rPr>
        <w:t>updates its coal price projections every two years as part of the IRP cycle.</w:t>
      </w:r>
      <w:r w:rsidR="006A0DF4">
        <w:rPr>
          <w:rStyle w:val="FootnoteReference"/>
          <w:rFonts w:ascii="Times New Roman" w:hAnsi="Times New Roman"/>
        </w:rPr>
        <w:footnoteReference w:id="4"/>
      </w:r>
      <w:r w:rsidR="00584380">
        <w:rPr>
          <w:rFonts w:ascii="Times New Roman" w:hAnsi="Times New Roman"/>
        </w:rPr>
        <w:t xml:space="preserve"> </w:t>
      </w:r>
    </w:p>
    <w:p w14:paraId="53FD229F" w14:textId="20193770" w:rsidR="007B4430" w:rsidRDefault="00BD63EE" w:rsidP="00661D34">
      <w:pPr>
        <w:keepNext/>
        <w:numPr>
          <w:ilvl w:val="0"/>
          <w:numId w:val="6"/>
        </w:numPr>
        <w:spacing w:line="480" w:lineRule="auto"/>
        <w:ind w:left="0" w:hanging="720"/>
        <w:rPr>
          <w:rFonts w:ascii="Times New Roman" w:hAnsi="Times New Roman"/>
        </w:rPr>
      </w:pPr>
      <w:r>
        <w:rPr>
          <w:rFonts w:ascii="Times New Roman" w:hAnsi="Times New Roman"/>
        </w:rPr>
        <w:tab/>
      </w:r>
      <w:r w:rsidR="007B4430" w:rsidRPr="001C70C6">
        <w:rPr>
          <w:rFonts w:ascii="Times New Roman" w:hAnsi="Times New Roman"/>
        </w:rPr>
        <w:t xml:space="preserve">On </w:t>
      </w:r>
      <w:r w:rsidR="00C951C9">
        <w:rPr>
          <w:rFonts w:ascii="Times New Roman" w:hAnsi="Times New Roman"/>
        </w:rPr>
        <w:t>January 27, 2016</w:t>
      </w:r>
      <w:r w:rsidR="001C70C6">
        <w:rPr>
          <w:rFonts w:ascii="Times New Roman" w:hAnsi="Times New Roman"/>
        </w:rPr>
        <w:t>, Staff propounded UTC Staff Data Request No. 99 to Pacific Power</w:t>
      </w:r>
      <w:r w:rsidR="00DC6162">
        <w:rPr>
          <w:rFonts w:ascii="Times New Roman" w:hAnsi="Times New Roman"/>
        </w:rPr>
        <w:t>, which stated as follows:</w:t>
      </w:r>
    </w:p>
    <w:p w14:paraId="4B5810B0" w14:textId="77777777" w:rsidR="007B5F34" w:rsidRPr="007B5F34" w:rsidRDefault="007B5F34" w:rsidP="00661D34">
      <w:pPr>
        <w:tabs>
          <w:tab w:val="left" w:pos="-1080"/>
          <w:tab w:val="left" w:pos="-720"/>
          <w:tab w:val="left" w:pos="0"/>
          <w:tab w:val="left" w:pos="720"/>
          <w:tab w:val="left" w:pos="1440"/>
          <w:tab w:val="left" w:pos="1800"/>
          <w:tab w:val="left" w:pos="2880"/>
        </w:tabs>
        <w:ind w:left="720"/>
        <w:rPr>
          <w:rFonts w:ascii="Times New Roman" w:hAnsi="Times New Roman"/>
          <w:bCs/>
        </w:rPr>
      </w:pPr>
      <w:r w:rsidRPr="007B5F34">
        <w:rPr>
          <w:rFonts w:ascii="Times New Roman" w:hAnsi="Times New Roman"/>
          <w:bCs/>
        </w:rPr>
        <w:t xml:space="preserve">Re:  Bridger Selective Catalytic Reduction  </w:t>
      </w:r>
    </w:p>
    <w:p w14:paraId="0C851877" w14:textId="77777777" w:rsidR="007B5F34" w:rsidRPr="007B5F34" w:rsidRDefault="007B5F34" w:rsidP="00661D34">
      <w:pPr>
        <w:tabs>
          <w:tab w:val="left" w:pos="-1080"/>
          <w:tab w:val="left" w:pos="-720"/>
          <w:tab w:val="left" w:pos="0"/>
          <w:tab w:val="left" w:pos="720"/>
          <w:tab w:val="left" w:pos="1440"/>
          <w:tab w:val="left" w:pos="1800"/>
          <w:tab w:val="left" w:pos="2880"/>
        </w:tabs>
        <w:ind w:left="1080"/>
        <w:rPr>
          <w:rFonts w:ascii="Times New Roman" w:hAnsi="Times New Roman"/>
          <w:b/>
          <w:bCs/>
        </w:rPr>
      </w:pPr>
    </w:p>
    <w:p w14:paraId="3126189C" w14:textId="06AC11F1" w:rsidR="00DC6162" w:rsidRDefault="007B5F34" w:rsidP="00661D34">
      <w:pPr>
        <w:keepNext/>
        <w:ind w:left="720"/>
        <w:rPr>
          <w:rFonts w:ascii="Times New Roman" w:hAnsi="Times New Roman"/>
          <w:bCs/>
        </w:rPr>
      </w:pPr>
      <w:r w:rsidRPr="007B5F34">
        <w:rPr>
          <w:rFonts w:ascii="Times New Roman" w:hAnsi="Times New Roman"/>
          <w:bCs/>
        </w:rPr>
        <w:t>Please provide the Jim Bridger Mine’s 2013 Mine Plan, as well as forward-looking costs for the mine’s output that were identified in that plan.</w:t>
      </w:r>
      <w:r w:rsidR="006A0DF4">
        <w:rPr>
          <w:rStyle w:val="FootnoteReference"/>
          <w:rFonts w:ascii="Times New Roman" w:hAnsi="Times New Roman"/>
          <w:bCs/>
        </w:rPr>
        <w:footnoteReference w:id="5"/>
      </w:r>
    </w:p>
    <w:p w14:paraId="7803ED2E" w14:textId="77777777" w:rsidR="007B5F34" w:rsidRPr="007B5F34" w:rsidRDefault="007B5F34" w:rsidP="00661D34">
      <w:pPr>
        <w:keepNext/>
        <w:ind w:left="1080"/>
        <w:rPr>
          <w:rFonts w:ascii="Times New Roman" w:hAnsi="Times New Roman"/>
        </w:rPr>
      </w:pPr>
    </w:p>
    <w:p w14:paraId="1D8AF343" w14:textId="77777777" w:rsidR="007B4430" w:rsidRDefault="00DC6162" w:rsidP="00661D34">
      <w:pPr>
        <w:keepNext/>
        <w:spacing w:line="480" w:lineRule="auto"/>
        <w:rPr>
          <w:rFonts w:ascii="Times New Roman" w:hAnsi="Times New Roman"/>
        </w:rPr>
      </w:pPr>
      <w:r>
        <w:rPr>
          <w:rFonts w:ascii="Times New Roman" w:hAnsi="Times New Roman"/>
        </w:rPr>
        <w:t>Staff received the following response:</w:t>
      </w:r>
    </w:p>
    <w:p w14:paraId="334F3C60" w14:textId="738EFE16" w:rsidR="00661D34" w:rsidRDefault="007B5F34" w:rsidP="00661D34">
      <w:pPr>
        <w:keepNext/>
        <w:ind w:left="720"/>
        <w:rPr>
          <w:rFonts w:ascii="Times New Roman" w:hAnsi="Times New Roman"/>
        </w:rPr>
      </w:pPr>
      <w:r w:rsidRPr="007B5F34">
        <w:rPr>
          <w:rFonts w:ascii="Times New Roman" w:hAnsi="Times New Roman"/>
        </w:rPr>
        <w:t>Please refer to the Company’s response to Sierra Club Data Request 1.8 subpart (a), and the associated Confidential Attachment Sierra Club 1.8 -1 (BCC Production–Operating Cost Schedules (2 unit) and (4 unit) files) for the 2013 Mine Plan.  Amounts shown are the 100 percent share; multiply by two-thirds for the PacifiCorp Share.</w:t>
      </w:r>
      <w:r w:rsidR="006A0DF4" w:rsidRPr="006A0DF4">
        <w:rPr>
          <w:rStyle w:val="FootnoteReference"/>
          <w:rFonts w:ascii="Times New Roman" w:hAnsi="Times New Roman"/>
        </w:rPr>
        <w:t xml:space="preserve"> </w:t>
      </w:r>
      <w:r w:rsidR="006A0DF4">
        <w:rPr>
          <w:rStyle w:val="FootnoteReference"/>
          <w:rFonts w:ascii="Times New Roman" w:hAnsi="Times New Roman"/>
        </w:rPr>
        <w:footnoteReference w:id="6"/>
      </w:r>
    </w:p>
    <w:p w14:paraId="3DFB7A48" w14:textId="77777777" w:rsidR="00661D34" w:rsidRDefault="00661D34" w:rsidP="00661D34">
      <w:pPr>
        <w:keepNext/>
        <w:ind w:left="720"/>
        <w:rPr>
          <w:rFonts w:ascii="Times New Roman" w:hAnsi="Times New Roman"/>
        </w:rPr>
      </w:pPr>
    </w:p>
    <w:p w14:paraId="6440AC1E" w14:textId="4BADD2F0" w:rsidR="00A237FE" w:rsidRDefault="00C951C9" w:rsidP="00661D34">
      <w:pPr>
        <w:keepNext/>
        <w:spacing w:line="480" w:lineRule="auto"/>
        <w:rPr>
          <w:rFonts w:ascii="Times New Roman" w:hAnsi="Times New Roman"/>
        </w:rPr>
      </w:pPr>
      <w:r>
        <w:rPr>
          <w:rFonts w:ascii="Times New Roman" w:hAnsi="Times New Roman"/>
        </w:rPr>
        <w:t xml:space="preserve">The </w:t>
      </w:r>
      <w:r w:rsidR="005769D7">
        <w:rPr>
          <w:rFonts w:ascii="Times New Roman" w:hAnsi="Times New Roman"/>
        </w:rPr>
        <w:t xml:space="preserve">undated </w:t>
      </w:r>
      <w:r w:rsidR="00CD7BF5">
        <w:rPr>
          <w:rFonts w:ascii="Times New Roman" w:hAnsi="Times New Roman"/>
        </w:rPr>
        <w:t xml:space="preserve">confidential </w:t>
      </w:r>
      <w:r>
        <w:rPr>
          <w:rFonts w:ascii="Times New Roman" w:hAnsi="Times New Roman"/>
        </w:rPr>
        <w:t xml:space="preserve">attachment contained </w:t>
      </w:r>
      <w:r w:rsidR="00A237FE">
        <w:rPr>
          <w:rFonts w:ascii="Times New Roman" w:hAnsi="Times New Roman"/>
        </w:rPr>
        <w:t>a</w:t>
      </w:r>
      <w:r w:rsidR="006A0DF4">
        <w:rPr>
          <w:rFonts w:ascii="Times New Roman" w:hAnsi="Times New Roman"/>
        </w:rPr>
        <w:t xml:space="preserve">n Excel spreadsheet that Mr. Twitchell understood to be the </w:t>
      </w:r>
      <w:r>
        <w:rPr>
          <w:rFonts w:ascii="Times New Roman" w:hAnsi="Times New Roman"/>
        </w:rPr>
        <w:t xml:space="preserve">2013 mine plan. </w:t>
      </w:r>
      <w:r w:rsidR="00A237FE">
        <w:rPr>
          <w:rFonts w:ascii="Times New Roman" w:hAnsi="Times New Roman"/>
        </w:rPr>
        <w:t xml:space="preserve">Mr. Twitchell relied on this mine plan to </w:t>
      </w:r>
      <w:r w:rsidR="005769D7">
        <w:rPr>
          <w:rFonts w:ascii="Times New Roman" w:hAnsi="Times New Roman"/>
        </w:rPr>
        <w:t>prepare</w:t>
      </w:r>
      <w:r w:rsidR="00A237FE">
        <w:rPr>
          <w:rFonts w:ascii="Times New Roman" w:hAnsi="Times New Roman"/>
        </w:rPr>
        <w:t xml:space="preserve"> his recommendation to the Commission regarding the prudence of the SCR installation.</w:t>
      </w:r>
      <w:r w:rsidR="006A0DF4">
        <w:rPr>
          <w:rStyle w:val="FootnoteReference"/>
          <w:rFonts w:ascii="Times New Roman" w:hAnsi="Times New Roman"/>
        </w:rPr>
        <w:footnoteReference w:id="7"/>
      </w:r>
      <w:r w:rsidR="005769D7">
        <w:rPr>
          <w:rFonts w:ascii="Times New Roman" w:hAnsi="Times New Roman"/>
        </w:rPr>
        <w:t xml:space="preserve"> At no time did Pacific Power voluntarily supplement its prior data request response as it is obligated to do under the Commission’s rules.</w:t>
      </w:r>
    </w:p>
    <w:p w14:paraId="575AD7D9" w14:textId="5DF8AA31" w:rsidR="00C0360F" w:rsidRDefault="00CA3AC3" w:rsidP="00661D34">
      <w:pPr>
        <w:keepNext/>
        <w:numPr>
          <w:ilvl w:val="0"/>
          <w:numId w:val="6"/>
        </w:numPr>
        <w:spacing w:line="480" w:lineRule="auto"/>
        <w:ind w:left="0" w:hanging="720"/>
        <w:rPr>
          <w:rFonts w:ascii="Times New Roman" w:hAnsi="Times New Roman"/>
        </w:rPr>
      </w:pPr>
      <w:r>
        <w:rPr>
          <w:rFonts w:ascii="Times New Roman" w:hAnsi="Times New Roman"/>
        </w:rPr>
        <w:tab/>
        <w:t xml:space="preserve">On April 7, 2016, Pacific Power filed rebuttal testimony that revealed that the mine plan Mr. Twitchell relied on was dated January 2013 and not, as he had assumed, October 2013. </w:t>
      </w:r>
      <w:r w:rsidR="00C0360F">
        <w:rPr>
          <w:rFonts w:ascii="Times New Roman" w:hAnsi="Times New Roman"/>
        </w:rPr>
        <w:t>Mr. Dana Ralston testified on behalf of the Company:</w:t>
      </w:r>
    </w:p>
    <w:p w14:paraId="4AE48891" w14:textId="7294A46B" w:rsidR="00C16953" w:rsidRDefault="00C16953" w:rsidP="00661D34">
      <w:pPr>
        <w:keepNext/>
        <w:ind w:left="720"/>
        <w:rPr>
          <w:rFonts w:ascii="Times New Roman" w:hAnsi="Times New Roman"/>
        </w:rPr>
      </w:pPr>
      <w:r>
        <w:rPr>
          <w:rFonts w:ascii="Times New Roman" w:hAnsi="Times New Roman"/>
        </w:rPr>
        <w:t>[I]</w:t>
      </w:r>
      <w:r w:rsidRPr="00C16953">
        <w:rPr>
          <w:rFonts w:ascii="Times New Roman" w:hAnsi="Times New Roman"/>
        </w:rPr>
        <w:t>t is important to be clear that BCC developed two mine plans in 2013, one in January 2013, which the Company used in the SCR analysis and generally referred to as the “2013 mine plan,” and a s</w:t>
      </w:r>
      <w:r>
        <w:rPr>
          <w:rFonts w:ascii="Times New Roman" w:hAnsi="Times New Roman"/>
        </w:rPr>
        <w:t>econd mine plan in October 2013</w:t>
      </w:r>
      <w:r w:rsidRPr="00C16953">
        <w:rPr>
          <w:rFonts w:ascii="Times New Roman" w:hAnsi="Times New Roman"/>
        </w:rPr>
        <w:t>.</w:t>
      </w:r>
      <w:r>
        <w:rPr>
          <w:rStyle w:val="FootnoteReference"/>
          <w:rFonts w:ascii="Times New Roman" w:hAnsi="Times New Roman"/>
        </w:rPr>
        <w:footnoteReference w:id="8"/>
      </w:r>
    </w:p>
    <w:p w14:paraId="114BE648" w14:textId="5E55C255" w:rsidR="00C16953" w:rsidRDefault="00A820C5" w:rsidP="00661D34">
      <w:pPr>
        <w:keepNext/>
        <w:ind w:left="720"/>
        <w:rPr>
          <w:rFonts w:ascii="Times New Roman" w:hAnsi="Times New Roman"/>
        </w:rPr>
      </w:pPr>
      <w:r>
        <w:rPr>
          <w:rFonts w:ascii="Times New Roman" w:hAnsi="Times New Roman"/>
        </w:rPr>
        <w:t>[. . .]</w:t>
      </w:r>
    </w:p>
    <w:p w14:paraId="465E9043" w14:textId="1D9CBF8B" w:rsidR="00C0360F" w:rsidRDefault="00C16953" w:rsidP="00661D34">
      <w:pPr>
        <w:keepNext/>
        <w:ind w:left="720"/>
        <w:rPr>
          <w:rFonts w:ascii="Times New Roman" w:hAnsi="Times New Roman"/>
        </w:rPr>
      </w:pPr>
      <w:r>
        <w:rPr>
          <w:rFonts w:ascii="Times New Roman" w:hAnsi="Times New Roman"/>
        </w:rPr>
        <w:t>[</w:t>
      </w:r>
      <w:r w:rsidR="00C0360F" w:rsidRPr="00C0360F">
        <w:rPr>
          <w:rFonts w:ascii="Times New Roman" w:hAnsi="Times New Roman"/>
        </w:rPr>
        <w:t xml:space="preserve">T]he Company’s SCR analysis relied on the January 2013 mine plan and long-term fueling forecast.  Staff’s allegation appears to be based on a misunderstanding that </w:t>
      </w:r>
      <w:r w:rsidR="00C0360F" w:rsidRPr="000C084B">
        <w:rPr>
          <w:rFonts w:ascii="Times New Roman" w:hAnsi="Times New Roman"/>
          <w:i/>
        </w:rPr>
        <w:t>two</w:t>
      </w:r>
      <w:r w:rsidR="00C0360F" w:rsidRPr="00C0360F">
        <w:rPr>
          <w:rFonts w:ascii="Times New Roman" w:hAnsi="Times New Roman"/>
        </w:rPr>
        <w:t xml:space="preserve"> mine plans were </w:t>
      </w:r>
      <w:r w:rsidR="00DF24F6">
        <w:rPr>
          <w:rFonts w:ascii="Times New Roman" w:hAnsi="Times New Roman"/>
        </w:rPr>
        <w:t xml:space="preserve">[in fact] </w:t>
      </w:r>
      <w:r w:rsidR="00C0360F" w:rsidRPr="00C0360F">
        <w:rPr>
          <w:rFonts w:ascii="Times New Roman" w:hAnsi="Times New Roman"/>
        </w:rPr>
        <w:t>prepared in 2013—the January 2013 mine plan that was included in the comprehensive fueling forecast for the Jim Bridger plant and the October 2013 mine plan.</w:t>
      </w:r>
      <w:r w:rsidR="00F43A2D">
        <w:rPr>
          <w:rStyle w:val="FootnoteReference"/>
          <w:rFonts w:ascii="Times New Roman" w:hAnsi="Times New Roman"/>
        </w:rPr>
        <w:footnoteReference w:id="9"/>
      </w:r>
    </w:p>
    <w:p w14:paraId="76248051" w14:textId="77777777" w:rsidR="00C0360F" w:rsidRDefault="00C0360F" w:rsidP="00661D34">
      <w:pPr>
        <w:keepNext/>
        <w:ind w:left="720"/>
        <w:rPr>
          <w:rFonts w:ascii="Times New Roman" w:hAnsi="Times New Roman"/>
        </w:rPr>
      </w:pPr>
    </w:p>
    <w:p w14:paraId="0C3659E3" w14:textId="3D284B47" w:rsidR="00037972" w:rsidRDefault="00C0360F" w:rsidP="00661D34">
      <w:pPr>
        <w:keepNext/>
        <w:spacing w:line="480" w:lineRule="auto"/>
        <w:rPr>
          <w:rFonts w:ascii="Times New Roman" w:hAnsi="Times New Roman"/>
        </w:rPr>
      </w:pPr>
      <w:r>
        <w:rPr>
          <w:rFonts w:ascii="Times New Roman" w:hAnsi="Times New Roman"/>
        </w:rPr>
        <w:t>After reading Pacific Power’s rebuttal testimony, Mr. Twitchell</w:t>
      </w:r>
      <w:r w:rsidR="00CA3AC3">
        <w:rPr>
          <w:rFonts w:ascii="Times New Roman" w:hAnsi="Times New Roman"/>
        </w:rPr>
        <w:t xml:space="preserve"> </w:t>
      </w:r>
      <w:r w:rsidR="00A820C5">
        <w:rPr>
          <w:rFonts w:ascii="Times New Roman" w:hAnsi="Times New Roman"/>
        </w:rPr>
        <w:t>realized</w:t>
      </w:r>
      <w:r w:rsidR="00CA3AC3">
        <w:rPr>
          <w:rFonts w:ascii="Times New Roman" w:hAnsi="Times New Roman"/>
        </w:rPr>
        <w:t xml:space="preserve"> that all of the numbers and projections that he had </w:t>
      </w:r>
      <w:r w:rsidR="00EA317C">
        <w:rPr>
          <w:rFonts w:ascii="Times New Roman" w:hAnsi="Times New Roman"/>
        </w:rPr>
        <w:t>believed</w:t>
      </w:r>
      <w:r w:rsidR="00CA3AC3">
        <w:rPr>
          <w:rFonts w:ascii="Times New Roman" w:hAnsi="Times New Roman"/>
        </w:rPr>
        <w:t xml:space="preserve"> were as of October 2013 were actually from January 2013.</w:t>
      </w:r>
    </w:p>
    <w:p w14:paraId="1880F065" w14:textId="77E92C73" w:rsidR="0058278A" w:rsidRDefault="0058278A" w:rsidP="00661D34">
      <w:pPr>
        <w:keepNext/>
        <w:numPr>
          <w:ilvl w:val="0"/>
          <w:numId w:val="6"/>
        </w:numPr>
        <w:spacing w:line="480" w:lineRule="auto"/>
        <w:ind w:left="0" w:hanging="720"/>
        <w:rPr>
          <w:rFonts w:ascii="Times New Roman" w:hAnsi="Times New Roman"/>
        </w:rPr>
      </w:pPr>
      <w:r>
        <w:rPr>
          <w:rFonts w:ascii="Times New Roman" w:hAnsi="Times New Roman"/>
        </w:rPr>
        <w:tab/>
        <w:t>Upon Staff’s request, the Company supplied the October 2013 mine plan</w:t>
      </w:r>
      <w:r w:rsidR="00DF0F57">
        <w:rPr>
          <w:rFonts w:ascii="Times New Roman" w:hAnsi="Times New Roman"/>
        </w:rPr>
        <w:t>, and supplied it</w:t>
      </w:r>
      <w:r>
        <w:rPr>
          <w:rFonts w:ascii="Times New Roman" w:hAnsi="Times New Roman"/>
        </w:rPr>
        <w:t xml:space="preserve"> </w:t>
      </w:r>
      <w:r w:rsidR="00DF0F57">
        <w:rPr>
          <w:rFonts w:ascii="Times New Roman" w:hAnsi="Times New Roman"/>
        </w:rPr>
        <w:t>the day following the request</w:t>
      </w:r>
      <w:r>
        <w:rPr>
          <w:rFonts w:ascii="Times New Roman" w:hAnsi="Times New Roman"/>
        </w:rPr>
        <w:t>.</w:t>
      </w:r>
      <w:r w:rsidR="005B6B38">
        <w:rPr>
          <w:rStyle w:val="FootnoteReference"/>
          <w:rFonts w:ascii="Times New Roman" w:hAnsi="Times New Roman"/>
        </w:rPr>
        <w:footnoteReference w:id="10"/>
      </w:r>
      <w:r>
        <w:rPr>
          <w:rFonts w:ascii="Times New Roman" w:hAnsi="Times New Roman"/>
        </w:rPr>
        <w:t xml:space="preserve"> </w:t>
      </w:r>
      <w:r w:rsidR="005B5541">
        <w:rPr>
          <w:rFonts w:ascii="Times New Roman" w:hAnsi="Times New Roman"/>
        </w:rPr>
        <w:t xml:space="preserve">Staff learned </w:t>
      </w:r>
      <w:r w:rsidR="00387EA7">
        <w:rPr>
          <w:rFonts w:ascii="Times New Roman" w:hAnsi="Times New Roman"/>
        </w:rPr>
        <w:t xml:space="preserve">then from the Company </w:t>
      </w:r>
      <w:r w:rsidR="005B5541">
        <w:rPr>
          <w:rFonts w:ascii="Times New Roman" w:hAnsi="Times New Roman"/>
        </w:rPr>
        <w:t>that the October 2013 mine plan had been provided earlier during discovery in response to a</w:t>
      </w:r>
      <w:r w:rsidR="00470F80">
        <w:rPr>
          <w:rFonts w:ascii="Times New Roman" w:hAnsi="Times New Roman"/>
        </w:rPr>
        <w:t xml:space="preserve"> data request from Sierra Club, which </w:t>
      </w:r>
      <w:r w:rsidR="00E947FD">
        <w:rPr>
          <w:rFonts w:ascii="Times New Roman" w:hAnsi="Times New Roman"/>
        </w:rPr>
        <w:t xml:space="preserve">had </w:t>
      </w:r>
      <w:r w:rsidR="00470F80">
        <w:rPr>
          <w:rFonts w:ascii="Times New Roman" w:hAnsi="Times New Roman"/>
        </w:rPr>
        <w:t xml:space="preserve">requested </w:t>
      </w:r>
      <w:r w:rsidR="00470F80" w:rsidRPr="00C66270">
        <w:rPr>
          <w:rFonts w:ascii="Times New Roman" w:hAnsi="Times New Roman"/>
        </w:rPr>
        <w:t xml:space="preserve">copies of </w:t>
      </w:r>
      <w:r w:rsidR="00470F80">
        <w:rPr>
          <w:rFonts w:ascii="Times New Roman" w:hAnsi="Times New Roman"/>
        </w:rPr>
        <w:t xml:space="preserve">Company witness </w:t>
      </w:r>
      <w:r w:rsidR="00470F80" w:rsidRPr="00C66270">
        <w:rPr>
          <w:rFonts w:ascii="Times New Roman" w:hAnsi="Times New Roman"/>
        </w:rPr>
        <w:t xml:space="preserve">Cindy Crane’s testimony and work papers </w:t>
      </w:r>
      <w:r w:rsidR="00470F80">
        <w:rPr>
          <w:rFonts w:ascii="Times New Roman" w:hAnsi="Times New Roman"/>
        </w:rPr>
        <w:t xml:space="preserve">from a rate case docket </w:t>
      </w:r>
      <w:r w:rsidR="00470F80" w:rsidRPr="00C66270">
        <w:rPr>
          <w:rFonts w:ascii="Times New Roman" w:hAnsi="Times New Roman"/>
        </w:rPr>
        <w:t>in Utah</w:t>
      </w:r>
      <w:r w:rsidR="00470F80">
        <w:rPr>
          <w:rFonts w:ascii="Times New Roman" w:hAnsi="Times New Roman"/>
        </w:rPr>
        <w:t>.</w:t>
      </w:r>
      <w:r w:rsidR="003867F2">
        <w:rPr>
          <w:rStyle w:val="FootnoteReference"/>
          <w:rFonts w:ascii="Times New Roman" w:hAnsi="Times New Roman"/>
        </w:rPr>
        <w:footnoteReference w:id="11"/>
      </w:r>
      <w:r w:rsidR="00251F5D">
        <w:rPr>
          <w:rFonts w:ascii="Times New Roman" w:hAnsi="Times New Roman"/>
        </w:rPr>
        <w:t xml:space="preserve"> Pacific Power’s response to the Sierra Club data request included </w:t>
      </w:r>
      <w:r w:rsidR="00A25D3F">
        <w:rPr>
          <w:rFonts w:ascii="Times New Roman" w:hAnsi="Times New Roman"/>
        </w:rPr>
        <w:t>56 electronic</w:t>
      </w:r>
      <w:r w:rsidR="001914CD">
        <w:rPr>
          <w:rFonts w:ascii="Times New Roman" w:hAnsi="Times New Roman"/>
        </w:rPr>
        <w:t xml:space="preserve"> documents, none of which bore a label of “mine plan”</w:t>
      </w:r>
      <w:r w:rsidR="009E06F4">
        <w:rPr>
          <w:rFonts w:ascii="Times New Roman" w:hAnsi="Times New Roman"/>
        </w:rPr>
        <w:t xml:space="preserve"> and most of which were Excel spreadsheets.</w:t>
      </w:r>
      <w:r w:rsidR="00F96684">
        <w:rPr>
          <w:rStyle w:val="FootnoteReference"/>
          <w:rFonts w:ascii="Times New Roman" w:hAnsi="Times New Roman"/>
        </w:rPr>
        <w:footnoteReference w:id="12"/>
      </w:r>
    </w:p>
    <w:p w14:paraId="11A68BE8" w14:textId="395DE746" w:rsidR="006C71FC" w:rsidRDefault="00387EA7" w:rsidP="00661D34">
      <w:pPr>
        <w:keepNext/>
        <w:numPr>
          <w:ilvl w:val="0"/>
          <w:numId w:val="6"/>
        </w:numPr>
        <w:spacing w:line="480" w:lineRule="auto"/>
        <w:ind w:left="0" w:hanging="720"/>
        <w:rPr>
          <w:rFonts w:ascii="Times New Roman" w:hAnsi="Times New Roman"/>
        </w:rPr>
      </w:pPr>
      <w:r>
        <w:rPr>
          <w:rFonts w:ascii="Times New Roman" w:hAnsi="Times New Roman"/>
        </w:rPr>
        <w:tab/>
        <w:t>Mr. Twitchell has now analyzed the October 2013 mine plan and has determined that its projections of coal costs differ significantly from the assumptions in his testimony.</w:t>
      </w:r>
      <w:r w:rsidR="00173E6D">
        <w:rPr>
          <w:rStyle w:val="FootnoteReference"/>
          <w:rFonts w:ascii="Times New Roman" w:hAnsi="Times New Roman"/>
        </w:rPr>
        <w:footnoteReference w:id="13"/>
      </w:r>
      <w:r w:rsidR="00A45542">
        <w:rPr>
          <w:rFonts w:ascii="Times New Roman" w:hAnsi="Times New Roman"/>
        </w:rPr>
        <w:t xml:space="preserve"> Because of the complexity of the analysis,</w:t>
      </w:r>
      <w:r w:rsidR="00E947FD">
        <w:rPr>
          <w:rFonts w:ascii="Times New Roman" w:hAnsi="Times New Roman"/>
        </w:rPr>
        <w:t xml:space="preserve"> and its basis on Excel </w:t>
      </w:r>
      <w:r w:rsidR="00310410">
        <w:rPr>
          <w:rFonts w:ascii="Times New Roman" w:hAnsi="Times New Roman"/>
        </w:rPr>
        <w:t>spreadsheets</w:t>
      </w:r>
      <w:r w:rsidR="00E947FD">
        <w:rPr>
          <w:rFonts w:ascii="Times New Roman" w:hAnsi="Times New Roman"/>
        </w:rPr>
        <w:t>,</w:t>
      </w:r>
      <w:r w:rsidR="00A45542">
        <w:rPr>
          <w:rFonts w:ascii="Times New Roman" w:hAnsi="Times New Roman"/>
        </w:rPr>
        <w:t xml:space="preserve"> it would not lend itself well to being addressed in live examination at hearing.</w:t>
      </w:r>
      <w:r w:rsidR="00173E6D">
        <w:rPr>
          <w:rStyle w:val="FootnoteReference"/>
          <w:rFonts w:ascii="Times New Roman" w:hAnsi="Times New Roman"/>
        </w:rPr>
        <w:footnoteReference w:id="14"/>
      </w:r>
    </w:p>
    <w:p w14:paraId="1E4E7244" w14:textId="77777777" w:rsidR="007B4430" w:rsidRPr="007B4430" w:rsidRDefault="00EB0C74" w:rsidP="00661D34">
      <w:pPr>
        <w:keepNext/>
        <w:spacing w:line="480" w:lineRule="auto"/>
        <w:jc w:val="center"/>
        <w:rPr>
          <w:rFonts w:ascii="Times New Roman" w:hAnsi="Times New Roman"/>
          <w:b/>
        </w:rPr>
      </w:pPr>
      <w:r>
        <w:rPr>
          <w:rFonts w:ascii="Times New Roman" w:hAnsi="Times New Roman"/>
          <w:b/>
        </w:rPr>
        <w:t xml:space="preserve">IV.  </w:t>
      </w:r>
      <w:r w:rsidR="007B4430" w:rsidRPr="007B4430">
        <w:rPr>
          <w:rFonts w:ascii="Times New Roman" w:hAnsi="Times New Roman"/>
          <w:b/>
        </w:rPr>
        <w:t>STATEMENT OF ISSUES</w:t>
      </w:r>
    </w:p>
    <w:p w14:paraId="42824A35" w14:textId="400EA4E5" w:rsidR="007B4430" w:rsidRPr="007B4430" w:rsidRDefault="007B4430" w:rsidP="00661D34">
      <w:pPr>
        <w:keepNext/>
        <w:numPr>
          <w:ilvl w:val="0"/>
          <w:numId w:val="6"/>
        </w:numPr>
        <w:spacing w:line="480" w:lineRule="auto"/>
        <w:ind w:left="0" w:hanging="720"/>
        <w:rPr>
          <w:rFonts w:ascii="Times New Roman" w:hAnsi="Times New Roman"/>
        </w:rPr>
      </w:pPr>
      <w:r>
        <w:rPr>
          <w:rFonts w:ascii="Times New Roman" w:hAnsi="Times New Roman"/>
        </w:rPr>
        <w:tab/>
      </w:r>
      <w:r w:rsidR="001C70C6">
        <w:rPr>
          <w:rFonts w:ascii="Times New Roman" w:hAnsi="Times New Roman"/>
        </w:rPr>
        <w:t>Whether Staff should be granted leave to file supplemental testimony on evidence that materially affects Staff’s a</w:t>
      </w:r>
      <w:r w:rsidR="00044BD6">
        <w:rPr>
          <w:rFonts w:ascii="Times New Roman" w:hAnsi="Times New Roman"/>
        </w:rPr>
        <w:t>nalysis of the prudence of the selective catalytic r</w:t>
      </w:r>
      <w:r w:rsidR="001C70C6">
        <w:rPr>
          <w:rFonts w:ascii="Times New Roman" w:hAnsi="Times New Roman"/>
        </w:rPr>
        <w:t>eduction installation</w:t>
      </w:r>
      <w:r w:rsidR="009E2FAE">
        <w:rPr>
          <w:rFonts w:ascii="Times New Roman" w:hAnsi="Times New Roman"/>
        </w:rPr>
        <w:t xml:space="preserve"> and which Pacific Power </w:t>
      </w:r>
      <w:r w:rsidR="001C70C6">
        <w:rPr>
          <w:rFonts w:ascii="Times New Roman" w:hAnsi="Times New Roman"/>
        </w:rPr>
        <w:t>did not provide in response to Staff discovery</w:t>
      </w:r>
      <w:r w:rsidR="00A467AD" w:rsidRPr="00A467AD">
        <w:rPr>
          <w:rFonts w:ascii="Times New Roman" w:hAnsi="Times New Roman"/>
        </w:rPr>
        <w:t xml:space="preserve"> </w:t>
      </w:r>
      <w:r w:rsidR="00A467AD">
        <w:rPr>
          <w:rFonts w:ascii="Times New Roman" w:hAnsi="Times New Roman"/>
        </w:rPr>
        <w:t>until after rebuttal</w:t>
      </w:r>
      <w:r w:rsidR="001C70C6">
        <w:rPr>
          <w:rFonts w:ascii="Times New Roman" w:hAnsi="Times New Roman"/>
        </w:rPr>
        <w:t>.</w:t>
      </w:r>
      <w:r w:rsidR="009E2FAE">
        <w:rPr>
          <w:rFonts w:ascii="Times New Roman" w:hAnsi="Times New Roman"/>
        </w:rPr>
        <w:t xml:space="preserve"> While Pacific Power did provide the document in response to discovery from another party, it was not labeled such that Staff could ascertain </w:t>
      </w:r>
      <w:r w:rsidR="009B0227">
        <w:rPr>
          <w:rFonts w:ascii="Times New Roman" w:hAnsi="Times New Roman"/>
        </w:rPr>
        <w:t xml:space="preserve">that this document was actually the October 2013 mine plan. </w:t>
      </w:r>
      <w:r w:rsidR="00B8075D">
        <w:rPr>
          <w:rFonts w:ascii="Times New Roman" w:hAnsi="Times New Roman"/>
        </w:rPr>
        <w:t xml:space="preserve">Staff’s analysis of the October 2013 mine plan is critical to the prudence review of SCR installation because it contains significantly different coal costs than the projections Staff relied on to formulate </w:t>
      </w:r>
      <w:r w:rsidR="005769D7">
        <w:rPr>
          <w:rFonts w:ascii="Times New Roman" w:hAnsi="Times New Roman"/>
        </w:rPr>
        <w:t xml:space="preserve">its </w:t>
      </w:r>
      <w:r w:rsidR="00B8075D">
        <w:rPr>
          <w:rFonts w:ascii="Times New Roman" w:hAnsi="Times New Roman"/>
        </w:rPr>
        <w:t>response testimony.</w:t>
      </w:r>
    </w:p>
    <w:p w14:paraId="753BE388" w14:textId="77777777" w:rsidR="0023029F" w:rsidRDefault="0023029F" w:rsidP="00661D34">
      <w:pPr>
        <w:rPr>
          <w:rFonts w:ascii="Times New Roman" w:hAnsi="Times New Roman"/>
          <w:b/>
        </w:rPr>
      </w:pPr>
      <w:r>
        <w:rPr>
          <w:rFonts w:ascii="Times New Roman" w:hAnsi="Times New Roman"/>
          <w:b/>
        </w:rPr>
        <w:br w:type="page"/>
      </w:r>
    </w:p>
    <w:p w14:paraId="1B65B33D" w14:textId="3B423018" w:rsidR="007B4430" w:rsidRPr="007B4430" w:rsidRDefault="00EB0C74" w:rsidP="00661D34">
      <w:pPr>
        <w:spacing w:line="480" w:lineRule="auto"/>
        <w:jc w:val="center"/>
        <w:rPr>
          <w:rFonts w:ascii="Times New Roman" w:hAnsi="Times New Roman"/>
          <w:b/>
        </w:rPr>
      </w:pPr>
      <w:r>
        <w:rPr>
          <w:rFonts w:ascii="Times New Roman" w:hAnsi="Times New Roman"/>
          <w:b/>
        </w:rPr>
        <w:t xml:space="preserve">V.  </w:t>
      </w:r>
      <w:r w:rsidR="007B4430" w:rsidRPr="007B4430">
        <w:rPr>
          <w:rFonts w:ascii="Times New Roman" w:hAnsi="Times New Roman"/>
          <w:b/>
        </w:rPr>
        <w:t>EVIDENCE RELIED UPON</w:t>
      </w:r>
      <w:r w:rsidR="007B4430" w:rsidRPr="007B4430">
        <w:rPr>
          <w:rFonts w:ascii="Times New Roman" w:hAnsi="Times New Roman"/>
        </w:rPr>
        <w:t xml:space="preserve"> </w:t>
      </w:r>
    </w:p>
    <w:p w14:paraId="2799F8CA" w14:textId="65B2467D" w:rsidR="007B4430" w:rsidRDefault="001C70C6" w:rsidP="00661D34">
      <w:pPr>
        <w:keepNext/>
        <w:numPr>
          <w:ilvl w:val="0"/>
          <w:numId w:val="6"/>
        </w:numPr>
        <w:spacing w:line="480" w:lineRule="auto"/>
        <w:ind w:left="0" w:hanging="720"/>
        <w:rPr>
          <w:rFonts w:ascii="Times New Roman" w:hAnsi="Times New Roman"/>
        </w:rPr>
      </w:pPr>
      <w:r>
        <w:rPr>
          <w:rFonts w:ascii="Times New Roman" w:hAnsi="Times New Roman"/>
        </w:rPr>
        <w:tab/>
        <w:t xml:space="preserve">Staff relies on the Declaration of Jeremy Twitchell, with </w:t>
      </w:r>
      <w:r w:rsidRPr="00F431BC">
        <w:rPr>
          <w:rFonts w:ascii="Times New Roman" w:hAnsi="Times New Roman"/>
        </w:rPr>
        <w:t>attachment</w:t>
      </w:r>
      <w:r>
        <w:rPr>
          <w:rFonts w:ascii="Times New Roman" w:hAnsi="Times New Roman"/>
        </w:rPr>
        <w:t>, which is appended to this motion.</w:t>
      </w:r>
    </w:p>
    <w:p w14:paraId="58EA17C0" w14:textId="656649CF" w:rsidR="00EC1A7F" w:rsidRDefault="00EC1A7F" w:rsidP="00661D34">
      <w:pPr>
        <w:keepNext/>
        <w:numPr>
          <w:ilvl w:val="0"/>
          <w:numId w:val="6"/>
        </w:numPr>
        <w:spacing w:line="480" w:lineRule="auto"/>
        <w:ind w:left="0" w:hanging="720"/>
        <w:rPr>
          <w:rFonts w:ascii="Times New Roman" w:hAnsi="Times New Roman"/>
        </w:rPr>
      </w:pPr>
      <w:r>
        <w:rPr>
          <w:rFonts w:ascii="Times New Roman" w:hAnsi="Times New Roman"/>
        </w:rPr>
        <w:tab/>
        <w:t>Staff further relies on the prefiled response testimony of Mr. Twitchell, Exhibit No. JBT-</w:t>
      </w:r>
      <w:r w:rsidR="000350C9">
        <w:rPr>
          <w:rFonts w:ascii="Times New Roman" w:hAnsi="Times New Roman"/>
        </w:rPr>
        <w:t xml:space="preserve">1T, </w:t>
      </w:r>
      <w:r w:rsidR="009B0227">
        <w:rPr>
          <w:rFonts w:ascii="Times New Roman" w:hAnsi="Times New Roman"/>
        </w:rPr>
        <w:t>primarily at page 8</w:t>
      </w:r>
      <w:r w:rsidR="00445C3A">
        <w:rPr>
          <w:rFonts w:ascii="Times New Roman" w:hAnsi="Times New Roman"/>
        </w:rPr>
        <w:t>,</w:t>
      </w:r>
      <w:r w:rsidR="009B0227">
        <w:rPr>
          <w:rFonts w:ascii="Times New Roman" w:hAnsi="Times New Roman"/>
        </w:rPr>
        <w:t xml:space="preserve"> and </w:t>
      </w:r>
      <w:r w:rsidR="000350C9">
        <w:rPr>
          <w:rFonts w:ascii="Times New Roman" w:hAnsi="Times New Roman"/>
        </w:rPr>
        <w:t>at pages 33 through 35.</w:t>
      </w:r>
    </w:p>
    <w:p w14:paraId="407B1710" w14:textId="72AD6940" w:rsidR="00CB3CB4" w:rsidRPr="001C70C6" w:rsidRDefault="00CB3CB4" w:rsidP="00661D34">
      <w:pPr>
        <w:keepNext/>
        <w:numPr>
          <w:ilvl w:val="0"/>
          <w:numId w:val="6"/>
        </w:numPr>
        <w:spacing w:line="480" w:lineRule="auto"/>
        <w:ind w:left="0" w:hanging="720"/>
        <w:rPr>
          <w:rFonts w:ascii="Times New Roman" w:hAnsi="Times New Roman"/>
        </w:rPr>
      </w:pPr>
      <w:r>
        <w:rPr>
          <w:rFonts w:ascii="Times New Roman" w:hAnsi="Times New Roman"/>
        </w:rPr>
        <w:tab/>
        <w:t xml:space="preserve">In addition, Staff relies on the rebuttal testimony of Pacific Power witness, Dana Ralston, </w:t>
      </w:r>
      <w:r w:rsidRPr="00CB3CB4">
        <w:rPr>
          <w:rFonts w:ascii="Times New Roman" w:hAnsi="Times New Roman"/>
        </w:rPr>
        <w:t>Exh</w:t>
      </w:r>
      <w:r>
        <w:rPr>
          <w:rFonts w:ascii="Times New Roman" w:hAnsi="Times New Roman"/>
        </w:rPr>
        <w:t>ibit</w:t>
      </w:r>
      <w:r w:rsidRPr="00CB3CB4">
        <w:rPr>
          <w:rFonts w:ascii="Times New Roman" w:hAnsi="Times New Roman"/>
        </w:rPr>
        <w:t xml:space="preserve"> No. DR-1CT.</w:t>
      </w:r>
    </w:p>
    <w:p w14:paraId="279E0DB3" w14:textId="77777777" w:rsidR="007B4430" w:rsidRPr="007B4430" w:rsidRDefault="00EB0C74" w:rsidP="00661D34">
      <w:pPr>
        <w:widowControl w:val="0"/>
        <w:spacing w:line="480" w:lineRule="auto"/>
        <w:jc w:val="center"/>
        <w:rPr>
          <w:rFonts w:ascii="Times New Roman" w:hAnsi="Times New Roman"/>
          <w:b/>
        </w:rPr>
      </w:pPr>
      <w:r>
        <w:rPr>
          <w:rFonts w:ascii="Times New Roman" w:hAnsi="Times New Roman"/>
          <w:b/>
        </w:rPr>
        <w:t xml:space="preserve">VI.  </w:t>
      </w:r>
      <w:r w:rsidR="007B4430" w:rsidRPr="007B4430">
        <w:rPr>
          <w:rFonts w:ascii="Times New Roman" w:hAnsi="Times New Roman"/>
          <w:b/>
        </w:rPr>
        <w:t>ARGUMENT</w:t>
      </w:r>
    </w:p>
    <w:p w14:paraId="639E4CFD" w14:textId="474E12DE" w:rsidR="00A661F2" w:rsidRDefault="007B4430" w:rsidP="00661D34">
      <w:pPr>
        <w:widowControl w:val="0"/>
        <w:numPr>
          <w:ilvl w:val="0"/>
          <w:numId w:val="6"/>
        </w:numPr>
        <w:spacing w:line="480" w:lineRule="auto"/>
        <w:ind w:left="0" w:hanging="720"/>
        <w:rPr>
          <w:rFonts w:ascii="Times New Roman" w:hAnsi="Times New Roman"/>
        </w:rPr>
      </w:pPr>
      <w:r w:rsidRPr="007B4430">
        <w:rPr>
          <w:rFonts w:ascii="Times New Roman" w:hAnsi="Times New Roman"/>
        </w:rPr>
        <w:tab/>
      </w:r>
      <w:r w:rsidR="0097402C">
        <w:rPr>
          <w:rFonts w:ascii="Times New Roman" w:hAnsi="Times New Roman"/>
        </w:rPr>
        <w:t>The Commission’s administrative rules specifically provide for motions</w:t>
      </w:r>
      <w:r w:rsidR="0097402C" w:rsidRPr="0097402C">
        <w:rPr>
          <w:rFonts w:ascii="Times New Roman" w:hAnsi="Times New Roman"/>
        </w:rPr>
        <w:t xml:space="preserve"> related to evidence such as </w:t>
      </w:r>
      <w:r w:rsidR="0097402C">
        <w:rPr>
          <w:rFonts w:ascii="Times New Roman" w:hAnsi="Times New Roman"/>
        </w:rPr>
        <w:t>“</w:t>
      </w:r>
      <w:r w:rsidR="0097402C" w:rsidRPr="0097402C">
        <w:rPr>
          <w:rFonts w:ascii="Times New Roman" w:hAnsi="Times New Roman"/>
        </w:rPr>
        <w:t>motions requesting authority to file supplemental or additional testimony.</w:t>
      </w:r>
      <w:r w:rsidR="0097402C">
        <w:rPr>
          <w:rFonts w:ascii="Times New Roman" w:hAnsi="Times New Roman"/>
        </w:rPr>
        <w:t xml:space="preserve">” </w:t>
      </w:r>
      <w:r w:rsidR="00A661F2">
        <w:rPr>
          <w:rFonts w:ascii="Times New Roman" w:hAnsi="Times New Roman"/>
        </w:rPr>
        <w:t>WAC 480-07-375(d). In this case s</w:t>
      </w:r>
      <w:r w:rsidR="0097402C">
        <w:rPr>
          <w:rFonts w:ascii="Times New Roman" w:hAnsi="Times New Roman"/>
        </w:rPr>
        <w:t xml:space="preserve">upplemental testimony is appropriate </w:t>
      </w:r>
      <w:r w:rsidR="00A661F2">
        <w:rPr>
          <w:rFonts w:ascii="Times New Roman" w:hAnsi="Times New Roman"/>
        </w:rPr>
        <w:t xml:space="preserve">because Staff did not have the opportunity to incorporate an analysis of the actual October 2013 mine plan into Staff’s responsive testimony and this analysis materially affects </w:t>
      </w:r>
      <w:r w:rsidR="00955E58">
        <w:rPr>
          <w:rFonts w:ascii="Times New Roman" w:hAnsi="Times New Roman"/>
        </w:rPr>
        <w:t>that</w:t>
      </w:r>
      <w:r w:rsidR="00A661F2">
        <w:rPr>
          <w:rFonts w:ascii="Times New Roman" w:hAnsi="Times New Roman"/>
        </w:rPr>
        <w:t xml:space="preserve"> testimony. Staff asked for the 2013 mine plan in discovery, and Pacific Power provided Staff with one of the mine plans but not both.</w:t>
      </w:r>
      <w:r w:rsidR="00955E58">
        <w:rPr>
          <w:rFonts w:ascii="Times New Roman" w:hAnsi="Times New Roman"/>
        </w:rPr>
        <w:t xml:space="preserve">  Nor did it</w:t>
      </w:r>
      <w:r w:rsidR="002E08A6">
        <w:rPr>
          <w:rFonts w:ascii="Times New Roman" w:hAnsi="Times New Roman"/>
        </w:rPr>
        <w:t xml:space="preserve"> voluntarily</w:t>
      </w:r>
      <w:r w:rsidR="00955E58">
        <w:rPr>
          <w:rFonts w:ascii="Times New Roman" w:hAnsi="Times New Roman"/>
        </w:rPr>
        <w:t xml:space="preserve"> supplement its data request response as required by law.</w:t>
      </w:r>
    </w:p>
    <w:p w14:paraId="7580438C" w14:textId="78A6309C" w:rsidR="007B4430" w:rsidRDefault="00A661F2" w:rsidP="00661D34">
      <w:pPr>
        <w:widowControl w:val="0"/>
        <w:numPr>
          <w:ilvl w:val="0"/>
          <w:numId w:val="6"/>
        </w:numPr>
        <w:spacing w:line="480" w:lineRule="auto"/>
        <w:ind w:left="0" w:hanging="720"/>
        <w:rPr>
          <w:rFonts w:ascii="Times New Roman" w:hAnsi="Times New Roman"/>
        </w:rPr>
      </w:pPr>
      <w:r>
        <w:rPr>
          <w:rFonts w:ascii="Times New Roman" w:hAnsi="Times New Roman"/>
        </w:rPr>
        <w:tab/>
        <w:t>Instead of seeking clarification as to which mine plan Staff was requesting or simply providing both, Pacific Power provided only one</w:t>
      </w:r>
      <w:r w:rsidR="00955E58">
        <w:rPr>
          <w:rFonts w:ascii="Times New Roman" w:hAnsi="Times New Roman"/>
        </w:rPr>
        <w:t>, an undated plan</w:t>
      </w:r>
      <w:r>
        <w:rPr>
          <w:rFonts w:ascii="Times New Roman" w:hAnsi="Times New Roman"/>
        </w:rPr>
        <w:t xml:space="preserve">. After Staff filed response testimony, </w:t>
      </w:r>
      <w:r w:rsidR="00BD5DA6">
        <w:rPr>
          <w:rFonts w:ascii="Times New Roman" w:hAnsi="Times New Roman"/>
        </w:rPr>
        <w:t xml:space="preserve">and the Company made clear in its testimony that it knew Staff had relied on the wrong mine plan, </w:t>
      </w:r>
      <w:r>
        <w:rPr>
          <w:rFonts w:ascii="Times New Roman" w:hAnsi="Times New Roman"/>
        </w:rPr>
        <w:t xml:space="preserve">the Company </w:t>
      </w:r>
      <w:r w:rsidR="00BD5DA6">
        <w:rPr>
          <w:rFonts w:ascii="Times New Roman" w:hAnsi="Times New Roman"/>
        </w:rPr>
        <w:t>did not seek to supplement its response and provide the missing mine plan</w:t>
      </w:r>
      <w:r w:rsidR="0073054F">
        <w:rPr>
          <w:rFonts w:ascii="Times New Roman" w:hAnsi="Times New Roman"/>
        </w:rPr>
        <w:t>.</w:t>
      </w:r>
      <w:r w:rsidR="00D346D4">
        <w:rPr>
          <w:rFonts w:ascii="Times New Roman" w:hAnsi="Times New Roman"/>
        </w:rPr>
        <w:t xml:space="preserve"> Because </w:t>
      </w:r>
      <w:r w:rsidR="00955E58">
        <w:rPr>
          <w:rFonts w:ascii="Times New Roman" w:hAnsi="Times New Roman"/>
        </w:rPr>
        <w:t>of the delay</w:t>
      </w:r>
      <w:r w:rsidR="008B2684">
        <w:rPr>
          <w:rFonts w:ascii="Times New Roman" w:hAnsi="Times New Roman"/>
        </w:rPr>
        <w:t xml:space="preserve"> </w:t>
      </w:r>
      <w:r w:rsidR="00D346D4">
        <w:rPr>
          <w:rFonts w:ascii="Times New Roman" w:hAnsi="Times New Roman"/>
        </w:rPr>
        <w:t>in providing Staff with the October 2013 mine plan</w:t>
      </w:r>
      <w:r w:rsidR="008B2684">
        <w:rPr>
          <w:rFonts w:ascii="Times New Roman" w:hAnsi="Times New Roman"/>
        </w:rPr>
        <w:t xml:space="preserve"> in response to Staff’s January data request</w:t>
      </w:r>
      <w:r w:rsidR="00D346D4">
        <w:rPr>
          <w:rFonts w:ascii="Times New Roman" w:hAnsi="Times New Roman"/>
        </w:rPr>
        <w:t xml:space="preserve">, it is appropriate to allow </w:t>
      </w:r>
      <w:r w:rsidR="008B2684">
        <w:rPr>
          <w:rFonts w:ascii="Times New Roman" w:hAnsi="Times New Roman"/>
        </w:rPr>
        <w:t>Staff to now supplement the record with additional prefiled testimony.</w:t>
      </w:r>
    </w:p>
    <w:p w14:paraId="04DC44C3" w14:textId="355ADD56" w:rsidR="00A237FE" w:rsidRDefault="00A237FE" w:rsidP="00661D34">
      <w:pPr>
        <w:widowControl w:val="0"/>
        <w:numPr>
          <w:ilvl w:val="0"/>
          <w:numId w:val="6"/>
        </w:numPr>
        <w:spacing w:line="480" w:lineRule="auto"/>
        <w:ind w:left="0" w:hanging="720"/>
        <w:rPr>
          <w:rFonts w:ascii="Times New Roman" w:hAnsi="Times New Roman"/>
        </w:rPr>
      </w:pPr>
      <w:r>
        <w:rPr>
          <w:rFonts w:ascii="Times New Roman" w:hAnsi="Times New Roman"/>
        </w:rPr>
        <w:tab/>
      </w:r>
      <w:r w:rsidR="007C308F">
        <w:rPr>
          <w:rFonts w:ascii="Times New Roman" w:hAnsi="Times New Roman"/>
        </w:rPr>
        <w:t xml:space="preserve">Mr. Twitchell reasonably assumed that the mine plan that the Company provided in February was the October 2013 mine plan. He had reviewed testimony from the Company in the prior rate case referencing the October 2013 mine plan, and he had learned from his conversation with Pacific Power representatives during his site visit that the mine plans were generally updated only every few years and that projected coal prices were updated every two years. As a result of </w:t>
      </w:r>
      <w:r>
        <w:rPr>
          <w:rFonts w:ascii="Times New Roman" w:hAnsi="Times New Roman"/>
        </w:rPr>
        <w:t xml:space="preserve">his conversation, Mr. Twitchell had no reason to even suspect that there might be </w:t>
      </w:r>
      <w:r>
        <w:rPr>
          <w:rFonts w:ascii="Times New Roman" w:hAnsi="Times New Roman"/>
          <w:i/>
        </w:rPr>
        <w:t xml:space="preserve">two </w:t>
      </w:r>
      <w:r>
        <w:rPr>
          <w:rFonts w:ascii="Times New Roman" w:hAnsi="Times New Roman"/>
        </w:rPr>
        <w:t>2013 mine plans and every reason to believe that there was only one.</w:t>
      </w:r>
    </w:p>
    <w:p w14:paraId="17CC333A" w14:textId="0E647C4F" w:rsidR="00283F32" w:rsidRDefault="00283F32" w:rsidP="00661D34">
      <w:pPr>
        <w:widowControl w:val="0"/>
        <w:numPr>
          <w:ilvl w:val="0"/>
          <w:numId w:val="6"/>
        </w:numPr>
        <w:spacing w:line="480" w:lineRule="auto"/>
        <w:ind w:left="0" w:hanging="720"/>
        <w:rPr>
          <w:rFonts w:ascii="Times New Roman" w:hAnsi="Times New Roman"/>
        </w:rPr>
      </w:pPr>
      <w:r>
        <w:rPr>
          <w:rFonts w:ascii="Times New Roman" w:hAnsi="Times New Roman"/>
        </w:rPr>
        <w:tab/>
        <w:t xml:space="preserve">Even though the October 2013 mine plan had been provided to all of the parties in response to discovery from Sierra Club, it </w:t>
      </w:r>
      <w:r w:rsidR="00550CC2">
        <w:rPr>
          <w:rFonts w:ascii="Times New Roman" w:hAnsi="Times New Roman"/>
        </w:rPr>
        <w:t xml:space="preserve">would have been very difficult for Mr. Twitchell to know this. The Sierra Club data request, which asked for a Company witness’s testimony and exhibits from a rate proceeding in another state, did not indicate anything about a mine plan. Moreover the response, which contained multiple Excel documents, none of which </w:t>
      </w:r>
      <w:r w:rsidR="00955E58">
        <w:rPr>
          <w:rFonts w:ascii="Times New Roman" w:hAnsi="Times New Roman"/>
        </w:rPr>
        <w:t>was</w:t>
      </w:r>
      <w:r w:rsidR="00550CC2">
        <w:rPr>
          <w:rFonts w:ascii="Times New Roman" w:hAnsi="Times New Roman"/>
        </w:rPr>
        <w:t xml:space="preserve"> titled “mine plan” in the electronic file names or in the spreadsheet headers, did not make the inclusion of </w:t>
      </w:r>
      <w:r w:rsidR="00955E58">
        <w:rPr>
          <w:rFonts w:ascii="Times New Roman" w:hAnsi="Times New Roman"/>
        </w:rPr>
        <w:t xml:space="preserve">the </w:t>
      </w:r>
      <w:r w:rsidR="00550CC2">
        <w:rPr>
          <w:rFonts w:ascii="Times New Roman" w:hAnsi="Times New Roman"/>
        </w:rPr>
        <w:t>October 2013 mine plan evident.</w:t>
      </w:r>
      <w:r w:rsidR="005D54B9">
        <w:rPr>
          <w:rFonts w:ascii="Times New Roman" w:hAnsi="Times New Roman"/>
        </w:rPr>
        <w:t xml:space="preserve"> Mr. Twitchell cannot be expected to know that one of these Excel documents constituted the October 2013 mine plan, especially when he assumed that he had obtained it through the Company’s response to UTC Staff Data Request No. 99.</w:t>
      </w:r>
    </w:p>
    <w:p w14:paraId="68D91285" w14:textId="3FA3EC87" w:rsidR="00554352" w:rsidRDefault="005D54B9" w:rsidP="00661D34">
      <w:pPr>
        <w:widowControl w:val="0"/>
        <w:numPr>
          <w:ilvl w:val="0"/>
          <w:numId w:val="6"/>
        </w:numPr>
        <w:spacing w:line="480" w:lineRule="auto"/>
        <w:ind w:left="0" w:hanging="720"/>
        <w:rPr>
          <w:rFonts w:ascii="Times New Roman" w:hAnsi="Times New Roman"/>
        </w:rPr>
      </w:pPr>
      <w:r>
        <w:rPr>
          <w:rFonts w:ascii="Times New Roman" w:hAnsi="Times New Roman"/>
        </w:rPr>
        <w:tab/>
      </w:r>
      <w:r w:rsidR="00554352">
        <w:rPr>
          <w:rFonts w:ascii="Times New Roman" w:hAnsi="Times New Roman"/>
        </w:rPr>
        <w:t xml:space="preserve">The October 2013 mine plan contains </w:t>
      </w:r>
      <w:r w:rsidR="00955E58">
        <w:rPr>
          <w:rFonts w:ascii="Times New Roman" w:hAnsi="Times New Roman"/>
        </w:rPr>
        <w:t>information that is critical to the Commission’s</w:t>
      </w:r>
      <w:r w:rsidR="00554352">
        <w:rPr>
          <w:rFonts w:ascii="Times New Roman" w:hAnsi="Times New Roman"/>
        </w:rPr>
        <w:t xml:space="preserve"> prudence review of the SCR installation. Because the projections of coal</w:t>
      </w:r>
      <w:r w:rsidR="001713F9">
        <w:rPr>
          <w:rFonts w:ascii="Times New Roman" w:hAnsi="Times New Roman"/>
        </w:rPr>
        <w:t xml:space="preserve"> costs from the BCC mine play an integral </w:t>
      </w:r>
      <w:r w:rsidR="00554352">
        <w:rPr>
          <w:rFonts w:ascii="Times New Roman" w:hAnsi="Times New Roman"/>
        </w:rPr>
        <w:t>role in the analysis of the cost effectiveness of continuing to operate the Bridger plant as a coal-fired resource with SCR, it is important that the record reflect an accurate analysis of what these projections were at the time the Company made its decision to continue with the installation of SCR. Staff’s proposed prefiled supplemental testimony will correct the record regarding the projections of coal costs that were available to the Company.</w:t>
      </w:r>
    </w:p>
    <w:p w14:paraId="54AC428D" w14:textId="2A24C8BD" w:rsidR="007B4430" w:rsidRPr="003F0AB4" w:rsidRDefault="00EB0C74" w:rsidP="00661D34">
      <w:pPr>
        <w:keepNext/>
        <w:widowControl w:val="0"/>
        <w:spacing w:line="480" w:lineRule="auto"/>
        <w:jc w:val="center"/>
        <w:rPr>
          <w:rFonts w:ascii="Times New Roman" w:hAnsi="Times New Roman"/>
        </w:rPr>
      </w:pPr>
      <w:r w:rsidRPr="003F0AB4">
        <w:rPr>
          <w:rFonts w:ascii="Times New Roman" w:hAnsi="Times New Roman"/>
          <w:b/>
        </w:rPr>
        <w:t xml:space="preserve">VII.  </w:t>
      </w:r>
      <w:r w:rsidR="007B4430" w:rsidRPr="003F0AB4">
        <w:rPr>
          <w:rFonts w:ascii="Times New Roman" w:hAnsi="Times New Roman"/>
          <w:b/>
        </w:rPr>
        <w:t>CONCLUSION</w:t>
      </w:r>
    </w:p>
    <w:p w14:paraId="68B72C11" w14:textId="1CE94544" w:rsidR="006911A3" w:rsidRPr="00661D34" w:rsidRDefault="007B4430" w:rsidP="00661D34">
      <w:pPr>
        <w:keepNext/>
        <w:numPr>
          <w:ilvl w:val="0"/>
          <w:numId w:val="6"/>
        </w:numPr>
        <w:spacing w:line="480" w:lineRule="auto"/>
        <w:ind w:left="0" w:hanging="720"/>
        <w:rPr>
          <w:rFonts w:ascii="Times New Roman" w:hAnsi="Times New Roman"/>
        </w:rPr>
      </w:pPr>
      <w:r w:rsidRPr="00661D34">
        <w:rPr>
          <w:rFonts w:ascii="Times New Roman" w:hAnsi="Times New Roman"/>
        </w:rPr>
        <w:tab/>
      </w:r>
      <w:r w:rsidR="00864ECE" w:rsidRPr="00661D34">
        <w:rPr>
          <w:rFonts w:ascii="Times New Roman" w:hAnsi="Times New Roman"/>
        </w:rPr>
        <w:t xml:space="preserve">Commission </w:t>
      </w:r>
      <w:r w:rsidRPr="00661D34">
        <w:rPr>
          <w:rFonts w:ascii="Times New Roman" w:hAnsi="Times New Roman"/>
        </w:rPr>
        <w:t xml:space="preserve">Staff requests that </w:t>
      </w:r>
      <w:r w:rsidR="009A038A" w:rsidRPr="00661D34">
        <w:rPr>
          <w:rFonts w:ascii="Times New Roman" w:hAnsi="Times New Roman"/>
        </w:rPr>
        <w:t>the Commission grant its motion</w:t>
      </w:r>
      <w:r w:rsidR="00300223" w:rsidRPr="00661D34">
        <w:rPr>
          <w:rFonts w:ascii="Times New Roman" w:hAnsi="Times New Roman"/>
        </w:rPr>
        <w:t xml:space="preserve"> </w:t>
      </w:r>
      <w:r w:rsidR="00F22EA4" w:rsidRPr="00661D34">
        <w:rPr>
          <w:rFonts w:ascii="Times New Roman" w:hAnsi="Times New Roman"/>
        </w:rPr>
        <w:t>for leave to file supple</w:t>
      </w:r>
      <w:r w:rsidR="004030D1" w:rsidRPr="00661D34">
        <w:rPr>
          <w:rFonts w:ascii="Times New Roman" w:hAnsi="Times New Roman"/>
        </w:rPr>
        <w:t>mental testimony and exhibits that</w:t>
      </w:r>
      <w:r w:rsidR="00F22EA4" w:rsidRPr="00661D34">
        <w:rPr>
          <w:rFonts w:ascii="Times New Roman" w:hAnsi="Times New Roman"/>
        </w:rPr>
        <w:t xml:space="preserve"> incorporate the October 2013 mine plan into Staff’s analysis. The October 2013 mine plan was </w:t>
      </w:r>
      <w:r w:rsidR="003F0AB4" w:rsidRPr="00661D34">
        <w:rPr>
          <w:rFonts w:ascii="Times New Roman" w:hAnsi="Times New Roman"/>
        </w:rPr>
        <w:t xml:space="preserve">available—but </w:t>
      </w:r>
      <w:r w:rsidR="00F22EA4" w:rsidRPr="00661D34">
        <w:rPr>
          <w:rFonts w:ascii="Times New Roman" w:hAnsi="Times New Roman"/>
        </w:rPr>
        <w:t xml:space="preserve">not </w:t>
      </w:r>
      <w:r w:rsidR="003F0AB4" w:rsidRPr="00661D34">
        <w:rPr>
          <w:rFonts w:ascii="Times New Roman" w:hAnsi="Times New Roman"/>
        </w:rPr>
        <w:t>to Staff—</w:t>
      </w:r>
      <w:r w:rsidR="00F22EA4" w:rsidRPr="00661D34">
        <w:rPr>
          <w:rFonts w:ascii="Times New Roman" w:hAnsi="Times New Roman"/>
        </w:rPr>
        <w:t xml:space="preserve">at the time Staff filed </w:t>
      </w:r>
      <w:r w:rsidR="003F0AB4" w:rsidRPr="00661D34">
        <w:rPr>
          <w:rFonts w:ascii="Times New Roman" w:hAnsi="Times New Roman"/>
        </w:rPr>
        <w:t xml:space="preserve">its </w:t>
      </w:r>
      <w:r w:rsidR="00F22EA4" w:rsidRPr="00661D34">
        <w:rPr>
          <w:rFonts w:ascii="Times New Roman" w:hAnsi="Times New Roman"/>
        </w:rPr>
        <w:t>respons</w:t>
      </w:r>
      <w:r w:rsidR="003F0AB4" w:rsidRPr="00661D34">
        <w:rPr>
          <w:rFonts w:ascii="Times New Roman" w:hAnsi="Times New Roman"/>
        </w:rPr>
        <w:t>iv</w:t>
      </w:r>
      <w:r w:rsidR="00F22EA4" w:rsidRPr="00661D34">
        <w:rPr>
          <w:rFonts w:ascii="Times New Roman" w:hAnsi="Times New Roman"/>
        </w:rPr>
        <w:t xml:space="preserve">e testimony, and it is therefore appropriate to allow Staff to supplement the record and provide the Commission with testimony that </w:t>
      </w:r>
      <w:r w:rsidR="00554352" w:rsidRPr="00661D34">
        <w:rPr>
          <w:rFonts w:ascii="Times New Roman" w:hAnsi="Times New Roman"/>
        </w:rPr>
        <w:t xml:space="preserve">is </w:t>
      </w:r>
      <w:r w:rsidR="00062E5A" w:rsidRPr="00661D34">
        <w:rPr>
          <w:rFonts w:ascii="Times New Roman" w:hAnsi="Times New Roman"/>
        </w:rPr>
        <w:t>vital for</w:t>
      </w:r>
      <w:r w:rsidR="00554352" w:rsidRPr="00661D34">
        <w:rPr>
          <w:rFonts w:ascii="Times New Roman" w:hAnsi="Times New Roman"/>
        </w:rPr>
        <w:t xml:space="preserve"> the review of the prudence of the Bridger SCR</w:t>
      </w:r>
      <w:r w:rsidR="005350F0" w:rsidRPr="00661D34">
        <w:rPr>
          <w:rFonts w:ascii="Times New Roman" w:hAnsi="Times New Roman"/>
        </w:rPr>
        <w:t>.</w:t>
      </w:r>
    </w:p>
    <w:p w14:paraId="56227C17" w14:textId="6EF4A923" w:rsidR="006911A3" w:rsidRPr="003215A3" w:rsidRDefault="006911A3" w:rsidP="00EC44C8">
      <w:pPr>
        <w:pStyle w:val="BodyTextIndent2"/>
        <w:ind w:left="720"/>
        <w:rPr>
          <w:rFonts w:ascii="Times New Roman" w:hAnsi="Times New Roman"/>
        </w:rPr>
      </w:pPr>
      <w:r w:rsidRPr="003215A3">
        <w:rPr>
          <w:rFonts w:ascii="Times New Roman" w:hAnsi="Times New Roman"/>
        </w:rPr>
        <w:t>Dated</w:t>
      </w:r>
      <w:r w:rsidR="00F821BD" w:rsidRPr="003215A3">
        <w:rPr>
          <w:rFonts w:ascii="Times New Roman" w:hAnsi="Times New Roman"/>
        </w:rPr>
        <w:t xml:space="preserve"> this </w:t>
      </w:r>
      <w:r w:rsidR="005B5541">
        <w:rPr>
          <w:rFonts w:ascii="Times New Roman" w:hAnsi="Times New Roman"/>
        </w:rPr>
        <w:t>25</w:t>
      </w:r>
      <w:r w:rsidR="00AB2756">
        <w:rPr>
          <w:rFonts w:ascii="Times New Roman" w:hAnsi="Times New Roman"/>
        </w:rPr>
        <w:t>th</w:t>
      </w:r>
      <w:r w:rsidR="00695741">
        <w:rPr>
          <w:rFonts w:ascii="Times New Roman" w:hAnsi="Times New Roman"/>
        </w:rPr>
        <w:t xml:space="preserve"> </w:t>
      </w:r>
      <w:r w:rsidR="00F821BD" w:rsidRPr="003215A3">
        <w:rPr>
          <w:rFonts w:ascii="Times New Roman" w:hAnsi="Times New Roman"/>
        </w:rPr>
        <w:t xml:space="preserve">day of </w:t>
      </w:r>
      <w:r w:rsidR="00056144">
        <w:rPr>
          <w:rFonts w:ascii="Times New Roman" w:hAnsi="Times New Roman"/>
        </w:rPr>
        <w:t>April</w:t>
      </w:r>
      <w:r w:rsidR="00EC44C8">
        <w:rPr>
          <w:rFonts w:ascii="Times New Roman" w:hAnsi="Times New Roman"/>
        </w:rPr>
        <w:t xml:space="preserve"> </w:t>
      </w:r>
      <w:r w:rsidR="00F821BD" w:rsidRPr="003215A3">
        <w:rPr>
          <w:rFonts w:ascii="Times New Roman" w:hAnsi="Times New Roman"/>
        </w:rPr>
        <w:t>20</w:t>
      </w:r>
      <w:r w:rsidR="00DE5C2A" w:rsidRPr="003215A3">
        <w:rPr>
          <w:rFonts w:ascii="Times New Roman" w:hAnsi="Times New Roman"/>
        </w:rPr>
        <w:t>1</w:t>
      </w:r>
      <w:r w:rsidR="001823E0">
        <w:rPr>
          <w:rFonts w:ascii="Times New Roman" w:hAnsi="Times New Roman"/>
        </w:rPr>
        <w:t>6</w:t>
      </w:r>
      <w:r w:rsidR="00F821BD" w:rsidRPr="003215A3">
        <w:rPr>
          <w:rFonts w:ascii="Times New Roman" w:hAnsi="Times New Roman"/>
        </w:rPr>
        <w:t>.</w:t>
      </w:r>
      <w:r w:rsidRPr="003215A3">
        <w:rPr>
          <w:rFonts w:ascii="Times New Roman" w:hAnsi="Times New Roman"/>
        </w:rPr>
        <w:t xml:space="preserve">  </w:t>
      </w:r>
    </w:p>
    <w:p w14:paraId="03FF5820" w14:textId="77777777" w:rsidR="006911A3" w:rsidRPr="003215A3" w:rsidRDefault="006911A3" w:rsidP="00EC44C8">
      <w:pPr>
        <w:pStyle w:val="BodyTextIndent2"/>
        <w:rPr>
          <w:rFonts w:ascii="Times New Roman" w:hAnsi="Times New Roman"/>
        </w:rPr>
      </w:pPr>
    </w:p>
    <w:p w14:paraId="75E467F6" w14:textId="77777777" w:rsidR="003215A3" w:rsidRPr="003215A3" w:rsidRDefault="003215A3" w:rsidP="00EC44C8">
      <w:pPr>
        <w:ind w:left="720"/>
        <w:rPr>
          <w:rFonts w:ascii="Times New Roman" w:hAnsi="Times New Roman"/>
        </w:rPr>
      </w:pP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r>
      <w:r w:rsidRPr="003215A3">
        <w:rPr>
          <w:rFonts w:ascii="Times New Roman" w:hAnsi="Times New Roman"/>
        </w:rPr>
        <w:tab/>
        <w:t xml:space="preserve">Respectfully submitted, </w:t>
      </w:r>
    </w:p>
    <w:p w14:paraId="56754C3D" w14:textId="77777777" w:rsidR="003215A3" w:rsidRPr="003215A3" w:rsidRDefault="003215A3" w:rsidP="00EC44C8">
      <w:pPr>
        <w:pStyle w:val="BodyTextIndent2"/>
        <w:rPr>
          <w:rFonts w:ascii="Times New Roman" w:hAnsi="Times New Roman"/>
        </w:rPr>
      </w:pPr>
    </w:p>
    <w:p w14:paraId="6CFAB45F" w14:textId="77777777" w:rsidR="003215A3" w:rsidRPr="003215A3" w:rsidRDefault="003215A3" w:rsidP="00EC44C8">
      <w:pPr>
        <w:ind w:left="5040"/>
        <w:jc w:val="both"/>
        <w:rPr>
          <w:rFonts w:ascii="Times New Roman" w:hAnsi="Times New Roman"/>
        </w:rPr>
      </w:pPr>
      <w:r w:rsidRPr="003215A3">
        <w:rPr>
          <w:rFonts w:ascii="Times New Roman" w:hAnsi="Times New Roman"/>
        </w:rPr>
        <w:t xml:space="preserve">ROBERT </w:t>
      </w:r>
      <w:r w:rsidR="00236FE4">
        <w:rPr>
          <w:rFonts w:ascii="Times New Roman" w:hAnsi="Times New Roman"/>
        </w:rPr>
        <w:t>W. FERGUSON</w:t>
      </w:r>
      <w:r w:rsidRPr="003215A3">
        <w:rPr>
          <w:rFonts w:ascii="Times New Roman" w:hAnsi="Times New Roman"/>
        </w:rPr>
        <w:t xml:space="preserve"> </w:t>
      </w:r>
    </w:p>
    <w:p w14:paraId="68E69626" w14:textId="77777777" w:rsidR="003215A3" w:rsidRPr="003215A3" w:rsidRDefault="003215A3" w:rsidP="00EC44C8">
      <w:pPr>
        <w:ind w:firstLine="5040"/>
        <w:jc w:val="both"/>
        <w:rPr>
          <w:rFonts w:ascii="Times New Roman" w:hAnsi="Times New Roman"/>
        </w:rPr>
      </w:pPr>
      <w:r w:rsidRPr="003215A3">
        <w:rPr>
          <w:rFonts w:ascii="Times New Roman" w:hAnsi="Times New Roman"/>
        </w:rPr>
        <w:t>Attorney General</w:t>
      </w:r>
    </w:p>
    <w:p w14:paraId="711B1089" w14:textId="77777777" w:rsidR="003215A3" w:rsidRDefault="003215A3" w:rsidP="00EC44C8">
      <w:pPr>
        <w:jc w:val="both"/>
        <w:rPr>
          <w:rFonts w:ascii="Times New Roman" w:hAnsi="Times New Roman"/>
        </w:rPr>
      </w:pPr>
    </w:p>
    <w:p w14:paraId="0FD45694" w14:textId="77777777" w:rsidR="00661D34" w:rsidRDefault="00661D34" w:rsidP="00EC44C8">
      <w:pPr>
        <w:jc w:val="both"/>
        <w:rPr>
          <w:rFonts w:ascii="Times New Roman" w:hAnsi="Times New Roman"/>
        </w:rPr>
      </w:pPr>
    </w:p>
    <w:p w14:paraId="365644B7" w14:textId="5D44C1BD" w:rsidR="003215A3" w:rsidRPr="003215A3" w:rsidRDefault="003215A3" w:rsidP="00EC44C8">
      <w:pPr>
        <w:ind w:left="1440" w:firstLine="3600"/>
        <w:jc w:val="both"/>
        <w:rPr>
          <w:rFonts w:ascii="Times New Roman" w:hAnsi="Times New Roman"/>
        </w:rPr>
      </w:pPr>
      <w:r w:rsidRPr="003215A3">
        <w:rPr>
          <w:rFonts w:ascii="Times New Roman" w:hAnsi="Times New Roman"/>
        </w:rPr>
        <w:t>______________________________</w:t>
      </w:r>
      <w:r w:rsidR="00661D34">
        <w:rPr>
          <w:rFonts w:ascii="Times New Roman" w:hAnsi="Times New Roman"/>
        </w:rPr>
        <w:t>__</w:t>
      </w:r>
    </w:p>
    <w:p w14:paraId="2696FE84" w14:textId="2323F0C5" w:rsidR="003215A3" w:rsidRPr="003215A3" w:rsidRDefault="005B5541" w:rsidP="00EC44C8">
      <w:pPr>
        <w:ind w:firstLine="5040"/>
        <w:jc w:val="both"/>
        <w:rPr>
          <w:rFonts w:ascii="Times New Roman" w:hAnsi="Times New Roman"/>
        </w:rPr>
      </w:pPr>
      <w:r>
        <w:rPr>
          <w:rFonts w:ascii="Times New Roman" w:hAnsi="Times New Roman"/>
        </w:rPr>
        <w:t>JENNIFER CAMERON-RULKOWSKI</w:t>
      </w:r>
    </w:p>
    <w:p w14:paraId="09AEE639" w14:textId="77777777" w:rsidR="003215A3" w:rsidRPr="003215A3" w:rsidRDefault="003215A3" w:rsidP="00EC44C8">
      <w:pPr>
        <w:ind w:left="1440" w:firstLine="3600"/>
        <w:jc w:val="both"/>
        <w:rPr>
          <w:rFonts w:ascii="Times New Roman" w:hAnsi="Times New Roman"/>
        </w:rPr>
      </w:pPr>
      <w:r w:rsidRPr="003215A3">
        <w:rPr>
          <w:rFonts w:ascii="Times New Roman" w:hAnsi="Times New Roman"/>
        </w:rPr>
        <w:t>Assistant Attorney General</w:t>
      </w:r>
    </w:p>
    <w:p w14:paraId="15C2CB23" w14:textId="77777777" w:rsidR="003215A3" w:rsidRPr="003215A3" w:rsidRDefault="003215A3" w:rsidP="00EC44C8">
      <w:pPr>
        <w:ind w:left="2160" w:firstLine="2880"/>
        <w:jc w:val="both"/>
        <w:rPr>
          <w:rFonts w:ascii="Times New Roman" w:hAnsi="Times New Roman"/>
        </w:rPr>
      </w:pPr>
      <w:r w:rsidRPr="003215A3">
        <w:rPr>
          <w:rFonts w:ascii="Times New Roman" w:hAnsi="Times New Roman"/>
        </w:rPr>
        <w:t xml:space="preserve">Counsel for </w:t>
      </w:r>
      <w:smartTag w:uri="urn:schemas-microsoft-com:office:smarttags" w:element="place">
        <w:smartTag w:uri="urn:schemas-microsoft-com:office:smarttags" w:element="PostalCode">
          <w:r w:rsidRPr="003215A3">
            <w:rPr>
              <w:rFonts w:ascii="Times New Roman" w:hAnsi="Times New Roman"/>
            </w:rPr>
            <w:t>Washington</w:t>
          </w:r>
        </w:smartTag>
      </w:smartTag>
      <w:r w:rsidRPr="003215A3">
        <w:rPr>
          <w:rFonts w:ascii="Times New Roman" w:hAnsi="Times New Roman"/>
        </w:rPr>
        <w:t xml:space="preserve"> Utilities and</w:t>
      </w:r>
    </w:p>
    <w:p w14:paraId="6CF7BA8E" w14:textId="77777777" w:rsidR="006911A3" w:rsidRPr="00EC44C8" w:rsidRDefault="00EC44C8" w:rsidP="00EC44C8">
      <w:pPr>
        <w:ind w:left="2880" w:firstLine="2160"/>
        <w:jc w:val="both"/>
        <w:rPr>
          <w:rFonts w:ascii="Times New Roman" w:hAnsi="Times New Roman"/>
        </w:rPr>
      </w:pPr>
      <w:r>
        <w:rPr>
          <w:rFonts w:ascii="Times New Roman" w:hAnsi="Times New Roman"/>
        </w:rPr>
        <w:t>Transportation Commission Staff</w:t>
      </w:r>
    </w:p>
    <w:sectPr w:rsidR="006911A3" w:rsidRPr="00EC44C8" w:rsidSect="00F821BD">
      <w:footerReference w:type="default" r:id="rId11"/>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A3BB" w14:textId="77777777" w:rsidR="006B0836" w:rsidRDefault="006B0836">
      <w:r>
        <w:separator/>
      </w:r>
    </w:p>
  </w:endnote>
  <w:endnote w:type="continuationSeparator" w:id="0">
    <w:p w14:paraId="2CF8F7ED" w14:textId="77777777" w:rsidR="006B0836" w:rsidRDefault="006B0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435E" w14:textId="77777777" w:rsidR="00BB7C89" w:rsidRDefault="00EC44C8">
    <w:pPr>
      <w:pStyle w:val="Footer"/>
      <w:rPr>
        <w:rFonts w:ascii="Times New Roman" w:hAnsi="Times New Roman"/>
        <w:sz w:val="20"/>
        <w:szCs w:val="20"/>
      </w:rPr>
    </w:pPr>
    <w:r>
      <w:rPr>
        <w:rFonts w:ascii="Times New Roman" w:hAnsi="Times New Roman"/>
        <w:sz w:val="20"/>
        <w:szCs w:val="20"/>
      </w:rPr>
      <w:t xml:space="preserve">MOTION </w:t>
    </w:r>
    <w:r w:rsidR="00BB7C89">
      <w:rPr>
        <w:rFonts w:ascii="Times New Roman" w:hAnsi="Times New Roman"/>
        <w:sz w:val="20"/>
        <w:szCs w:val="20"/>
      </w:rPr>
      <w:t>FOR LEAVE TO FILE</w:t>
    </w:r>
  </w:p>
  <w:p w14:paraId="33431986" w14:textId="6A420360" w:rsidR="00072583" w:rsidRPr="00F821BD" w:rsidRDefault="00BB7C89">
    <w:pPr>
      <w:pStyle w:val="Footer"/>
      <w:rPr>
        <w:rFonts w:ascii="Times New Roman" w:hAnsi="Times New Roman"/>
        <w:sz w:val="20"/>
        <w:szCs w:val="20"/>
      </w:rPr>
    </w:pPr>
    <w:r>
      <w:rPr>
        <w:rFonts w:ascii="Times New Roman" w:hAnsi="Times New Roman"/>
        <w:sz w:val="20"/>
        <w:szCs w:val="20"/>
      </w:rPr>
      <w:t xml:space="preserve">SUPPLEMENTAL TESTIMONY </w:t>
    </w:r>
    <w:r w:rsidR="00072583">
      <w:rPr>
        <w:rFonts w:ascii="Times New Roman" w:hAnsi="Times New Roman"/>
        <w:sz w:val="20"/>
        <w:szCs w:val="20"/>
      </w:rPr>
      <w:t xml:space="preserve">- </w:t>
    </w:r>
    <w:r w:rsidR="00072583" w:rsidRPr="007844A5">
      <w:rPr>
        <w:rStyle w:val="PageNumber"/>
        <w:rFonts w:ascii="Times New Roman" w:hAnsi="Times New Roman"/>
        <w:sz w:val="20"/>
        <w:szCs w:val="20"/>
      </w:rPr>
      <w:fldChar w:fldCharType="begin"/>
    </w:r>
    <w:r w:rsidR="00072583" w:rsidRPr="007844A5">
      <w:rPr>
        <w:rStyle w:val="PageNumber"/>
        <w:rFonts w:ascii="Times New Roman" w:hAnsi="Times New Roman"/>
        <w:sz w:val="20"/>
        <w:szCs w:val="20"/>
      </w:rPr>
      <w:instrText xml:space="preserve"> PAGE </w:instrText>
    </w:r>
    <w:r w:rsidR="00072583" w:rsidRPr="007844A5">
      <w:rPr>
        <w:rStyle w:val="PageNumber"/>
        <w:rFonts w:ascii="Times New Roman" w:hAnsi="Times New Roman"/>
        <w:sz w:val="20"/>
        <w:szCs w:val="20"/>
      </w:rPr>
      <w:fldChar w:fldCharType="separate"/>
    </w:r>
    <w:r w:rsidR="00812FB8">
      <w:rPr>
        <w:rStyle w:val="PageNumber"/>
        <w:rFonts w:ascii="Times New Roman" w:hAnsi="Times New Roman"/>
        <w:noProof/>
        <w:sz w:val="20"/>
        <w:szCs w:val="20"/>
      </w:rPr>
      <w:t>7</w:t>
    </w:r>
    <w:r w:rsidR="00072583" w:rsidRPr="007844A5">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9624" w14:textId="77777777" w:rsidR="006B0836" w:rsidRDefault="006B0836">
      <w:r>
        <w:separator/>
      </w:r>
    </w:p>
  </w:footnote>
  <w:footnote w:type="continuationSeparator" w:id="0">
    <w:p w14:paraId="1A9D53F4" w14:textId="77777777" w:rsidR="006B0836" w:rsidRDefault="006B0836">
      <w:r>
        <w:continuationSeparator/>
      </w:r>
    </w:p>
  </w:footnote>
  <w:footnote w:id="1">
    <w:p w14:paraId="0D08A8A2" w14:textId="5D66E6A3" w:rsidR="00C85498" w:rsidRDefault="00C85498">
      <w:pPr>
        <w:pStyle w:val="FootnoteText"/>
      </w:pPr>
      <w:r>
        <w:rPr>
          <w:rStyle w:val="FootnoteReference"/>
        </w:rPr>
        <w:footnoteRef/>
      </w:r>
      <w:r>
        <w:t xml:space="preserve"> Twitchell, Exh. No. JBT-1T 13:9-16.</w:t>
      </w:r>
    </w:p>
  </w:footnote>
  <w:footnote w:id="2">
    <w:p w14:paraId="19CC0C4C" w14:textId="03E14FC2" w:rsidR="00290ECA" w:rsidRDefault="00290ECA">
      <w:pPr>
        <w:pStyle w:val="FootnoteText"/>
      </w:pPr>
      <w:r>
        <w:rPr>
          <w:rStyle w:val="FootnoteReference"/>
        </w:rPr>
        <w:footnoteRef/>
      </w:r>
      <w:r>
        <w:t xml:space="preserve"> </w:t>
      </w:r>
      <w:r w:rsidR="005E668D">
        <w:t xml:space="preserve">Twitchell, </w:t>
      </w:r>
      <w:r>
        <w:t>Exh. No. JBT-1T 8:9-12.</w:t>
      </w:r>
    </w:p>
  </w:footnote>
  <w:footnote w:id="3">
    <w:p w14:paraId="5A216EAF" w14:textId="21133902" w:rsidR="00883714" w:rsidRDefault="00883714">
      <w:pPr>
        <w:pStyle w:val="FootnoteText"/>
      </w:pPr>
      <w:r>
        <w:rPr>
          <w:rStyle w:val="FootnoteReference"/>
        </w:rPr>
        <w:footnoteRef/>
      </w:r>
      <w:r>
        <w:t xml:space="preserve"> Declaration of Jeremy Twitchell</w:t>
      </w:r>
      <w:r w:rsidR="006F4161">
        <w:t xml:space="preserve"> (Twitchell Declaration)</w:t>
      </w:r>
      <w:r>
        <w:t>, ¶ 6.</w:t>
      </w:r>
    </w:p>
  </w:footnote>
  <w:footnote w:id="4">
    <w:p w14:paraId="4E7C664D" w14:textId="0B819E8C" w:rsidR="006A0DF4" w:rsidRDefault="006A0DF4">
      <w:pPr>
        <w:pStyle w:val="FootnoteText"/>
      </w:pPr>
      <w:r>
        <w:rPr>
          <w:rStyle w:val="FootnoteReference"/>
        </w:rPr>
        <w:footnoteRef/>
      </w:r>
      <w:r>
        <w:t xml:space="preserve"> Twitchell Declaration at ¶¶ 14-15.</w:t>
      </w:r>
    </w:p>
  </w:footnote>
  <w:footnote w:id="5">
    <w:p w14:paraId="1238FD0E" w14:textId="593CDFB3" w:rsidR="006A0DF4" w:rsidRDefault="006A0DF4">
      <w:pPr>
        <w:pStyle w:val="FootnoteText"/>
      </w:pPr>
      <w:r>
        <w:rPr>
          <w:rStyle w:val="FootnoteReference"/>
        </w:rPr>
        <w:footnoteRef/>
      </w:r>
      <w:r>
        <w:t xml:space="preserve"> Twitchell Declaration at ¶ 13.</w:t>
      </w:r>
    </w:p>
  </w:footnote>
  <w:footnote w:id="6">
    <w:p w14:paraId="082E6AD9" w14:textId="77777777" w:rsidR="006A0DF4" w:rsidRDefault="006A0DF4" w:rsidP="006A0DF4">
      <w:pPr>
        <w:pStyle w:val="FootnoteText"/>
      </w:pPr>
      <w:r>
        <w:rPr>
          <w:rStyle w:val="FootnoteReference"/>
        </w:rPr>
        <w:footnoteRef/>
      </w:r>
      <w:r>
        <w:t xml:space="preserve"> Twitchell Declaration at ¶ 16.</w:t>
      </w:r>
    </w:p>
  </w:footnote>
  <w:footnote w:id="7">
    <w:p w14:paraId="724C5C00" w14:textId="444BCBF5" w:rsidR="006A0DF4" w:rsidRDefault="006A0DF4">
      <w:pPr>
        <w:pStyle w:val="FootnoteText"/>
      </w:pPr>
      <w:r>
        <w:rPr>
          <w:rStyle w:val="FootnoteReference"/>
        </w:rPr>
        <w:footnoteRef/>
      </w:r>
      <w:r>
        <w:t xml:space="preserve"> Twitchell Declaration at ¶ 17-18.</w:t>
      </w:r>
    </w:p>
  </w:footnote>
  <w:footnote w:id="8">
    <w:p w14:paraId="2CEE238A" w14:textId="77777777" w:rsidR="00C16953" w:rsidRPr="00246472" w:rsidRDefault="00C16953" w:rsidP="00C16953">
      <w:pPr>
        <w:pStyle w:val="FootnoteText"/>
        <w:rPr>
          <w:i/>
        </w:rPr>
      </w:pPr>
      <w:r>
        <w:rPr>
          <w:rStyle w:val="FootnoteReference"/>
        </w:rPr>
        <w:footnoteRef/>
      </w:r>
      <w:r>
        <w:t xml:space="preserve"> </w:t>
      </w:r>
      <w:r>
        <w:rPr>
          <w:i/>
        </w:rPr>
        <w:t xml:space="preserve">See </w:t>
      </w:r>
      <w:r>
        <w:t xml:space="preserve">Ralston, </w:t>
      </w:r>
      <w:r w:rsidRPr="00CB3CB4">
        <w:t>Exh</w:t>
      </w:r>
      <w:r>
        <w:t>.</w:t>
      </w:r>
      <w:r w:rsidRPr="00CB3CB4">
        <w:t xml:space="preserve"> No. DR-1CT</w:t>
      </w:r>
      <w:r>
        <w:t xml:space="preserve"> </w:t>
      </w:r>
      <w:r w:rsidRPr="00CB3CB4">
        <w:t>4:5-8.</w:t>
      </w:r>
    </w:p>
  </w:footnote>
  <w:footnote w:id="9">
    <w:p w14:paraId="280764EF" w14:textId="3E0D2B4A" w:rsidR="00F43A2D" w:rsidRDefault="00F43A2D">
      <w:pPr>
        <w:pStyle w:val="FootnoteText"/>
      </w:pPr>
      <w:r>
        <w:rPr>
          <w:rStyle w:val="FootnoteReference"/>
        </w:rPr>
        <w:footnoteRef/>
      </w:r>
      <w:r>
        <w:t xml:space="preserve"> Ralston, Exh. No. DR-1CT 5:21 – 6:3.</w:t>
      </w:r>
    </w:p>
  </w:footnote>
  <w:footnote w:id="10">
    <w:p w14:paraId="4F22BCCA" w14:textId="3AA462D8" w:rsidR="005B6B38" w:rsidRDefault="005B6B38">
      <w:pPr>
        <w:pStyle w:val="FootnoteText"/>
      </w:pPr>
      <w:r>
        <w:rPr>
          <w:rStyle w:val="FootnoteReference"/>
        </w:rPr>
        <w:footnoteRef/>
      </w:r>
      <w:r>
        <w:t xml:space="preserve"> Twitchell Declaration at ¶ 24.</w:t>
      </w:r>
    </w:p>
  </w:footnote>
  <w:footnote w:id="11">
    <w:p w14:paraId="56EB281A" w14:textId="38140948" w:rsidR="003867F2" w:rsidRDefault="003867F2">
      <w:pPr>
        <w:pStyle w:val="FootnoteText"/>
      </w:pPr>
      <w:r>
        <w:rPr>
          <w:rStyle w:val="FootnoteReference"/>
        </w:rPr>
        <w:footnoteRef/>
      </w:r>
      <w:r>
        <w:t xml:space="preserve"> Twitchell Declaration at ¶ 25.</w:t>
      </w:r>
      <w:bookmarkStart w:id="0" w:name="_GoBack"/>
      <w:bookmarkEnd w:id="0"/>
    </w:p>
  </w:footnote>
  <w:footnote w:id="12">
    <w:p w14:paraId="1DEB458A" w14:textId="1FEEEA91" w:rsidR="00F96684" w:rsidRDefault="00F96684">
      <w:pPr>
        <w:pStyle w:val="FootnoteText"/>
      </w:pPr>
      <w:r>
        <w:rPr>
          <w:rStyle w:val="FootnoteReference"/>
        </w:rPr>
        <w:footnoteRef/>
      </w:r>
      <w:r>
        <w:t xml:space="preserve"> </w:t>
      </w:r>
      <w:r w:rsidRPr="0023029F">
        <w:t>Twitchell Declaration at ¶ 26.</w:t>
      </w:r>
    </w:p>
  </w:footnote>
  <w:footnote w:id="13">
    <w:p w14:paraId="6927651B" w14:textId="09BA4DFF" w:rsidR="00173E6D" w:rsidRDefault="00173E6D">
      <w:pPr>
        <w:pStyle w:val="FootnoteText"/>
      </w:pPr>
      <w:r>
        <w:rPr>
          <w:rStyle w:val="FootnoteReference"/>
        </w:rPr>
        <w:footnoteRef/>
      </w:r>
      <w:r w:rsidR="00812FB8">
        <w:t xml:space="preserve"> Twitchell Declaration at ¶ 29</w:t>
      </w:r>
      <w:r>
        <w:t>.</w:t>
      </w:r>
    </w:p>
  </w:footnote>
  <w:footnote w:id="14">
    <w:p w14:paraId="46C9CFAA" w14:textId="2F963CBD" w:rsidR="00173E6D" w:rsidRDefault="00173E6D">
      <w:pPr>
        <w:pStyle w:val="FootnoteText"/>
      </w:pPr>
      <w:r>
        <w:rPr>
          <w:rStyle w:val="FootnoteReference"/>
        </w:rPr>
        <w:footnoteRef/>
      </w:r>
      <w:r w:rsidR="00812FB8">
        <w:t xml:space="preserve"> Twitchell Declaration at ¶ 30</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81F"/>
    <w:multiLevelType w:val="hybridMultilevel"/>
    <w:tmpl w:val="023862A4"/>
    <w:lvl w:ilvl="0" w:tplc="772067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BA4CBD"/>
    <w:multiLevelType w:val="hybridMultilevel"/>
    <w:tmpl w:val="CC5CA188"/>
    <w:lvl w:ilvl="0" w:tplc="C56655F4">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2">
    <w:nsid w:val="1FD725A1"/>
    <w:multiLevelType w:val="hybridMultilevel"/>
    <w:tmpl w:val="BA1AE80E"/>
    <w:lvl w:ilvl="0" w:tplc="20301EB6">
      <w:start w:val="1"/>
      <w:numFmt w:val="decimal"/>
      <w:lvlText w:val="%1"/>
      <w:lvlJc w:val="left"/>
      <w:pPr>
        <w:tabs>
          <w:tab w:val="num" w:pos="720"/>
        </w:tabs>
        <w:ind w:left="720" w:hanging="144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8F0CCC"/>
    <w:multiLevelType w:val="hybridMultilevel"/>
    <w:tmpl w:val="02467078"/>
    <w:lvl w:ilvl="0" w:tplc="3BFA66FC">
      <w:start w:val="1"/>
      <w:numFmt w:val="decimal"/>
      <w:pStyle w:val="Style2"/>
      <w:lvlText w:val="%1"/>
      <w:lvlJc w:val="left"/>
      <w:pPr>
        <w:tabs>
          <w:tab w:val="num" w:pos="0"/>
        </w:tabs>
        <w:ind w:left="0" w:hanging="720"/>
      </w:pPr>
      <w:rPr>
        <w:rFonts w:ascii="Times New Roman" w:hAnsi="Times New Roman" w:hint="default"/>
        <w:b w:val="0"/>
        <w:i/>
        <w:sz w:val="20"/>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40F07C60"/>
    <w:multiLevelType w:val="hybridMultilevel"/>
    <w:tmpl w:val="68EED976"/>
    <w:lvl w:ilvl="0" w:tplc="1D9C3BE8">
      <w:start w:val="1"/>
      <w:numFmt w:val="decimal"/>
      <w:lvlText w:val="%1"/>
      <w:lvlJc w:val="left"/>
      <w:pPr>
        <w:tabs>
          <w:tab w:val="num" w:pos="0"/>
        </w:tabs>
        <w:ind w:left="0" w:hanging="720"/>
      </w:pPr>
      <w:rPr>
        <w:rFonts w:ascii="Palatino Linotype" w:hAnsi="Palatino Linotype"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F0673"/>
    <w:multiLevelType w:val="hybridMultilevel"/>
    <w:tmpl w:val="136A502A"/>
    <w:lvl w:ilvl="0" w:tplc="E84A0B7A">
      <w:start w:val="1"/>
      <w:numFmt w:val="decimal"/>
      <w:lvlText w:val="%1"/>
      <w:lvlJc w:val="left"/>
      <w:pPr>
        <w:ind w:left="1440" w:hanging="360"/>
      </w:pPr>
      <w:rPr>
        <w:rFonts w:ascii="Times New Roman" w:hAnsi="Times New Roman" w:hint="default"/>
        <w:b w:val="0"/>
        <w:i/>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4F70C5"/>
    <w:multiLevelType w:val="hybridMultilevel"/>
    <w:tmpl w:val="3FE0C2CE"/>
    <w:lvl w:ilvl="0" w:tplc="A876221E">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nsid w:val="582C5096"/>
    <w:multiLevelType w:val="hybridMultilevel"/>
    <w:tmpl w:val="F70ACF62"/>
    <w:lvl w:ilvl="0" w:tplc="8CA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70AD3"/>
    <w:multiLevelType w:val="hybridMultilevel"/>
    <w:tmpl w:val="E98E70DC"/>
    <w:lvl w:ilvl="0" w:tplc="6CC43AD2">
      <w:start w:val="1"/>
      <w:numFmt w:val="upperRoman"/>
      <w:lvlText w:val="%1."/>
      <w:lvlJc w:val="left"/>
      <w:pPr>
        <w:ind w:left="1080" w:hanging="720"/>
      </w:pPr>
      <w:rPr>
        <w:rFonts w:ascii="Palatino Linotype" w:hAnsi="Palatino Linotyp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07C13"/>
    <w:multiLevelType w:val="hybridMultilevel"/>
    <w:tmpl w:val="84565FCE"/>
    <w:lvl w:ilvl="0" w:tplc="2902A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942CF1"/>
    <w:multiLevelType w:val="hybridMultilevel"/>
    <w:tmpl w:val="5D1C58FA"/>
    <w:lvl w:ilvl="0" w:tplc="C7A6C962">
      <w:start w:val="1"/>
      <w:numFmt w:val="upperRoman"/>
      <w:lvlText w:val="%1."/>
      <w:lvlJc w:val="left"/>
      <w:pPr>
        <w:ind w:left="1142" w:hanging="720"/>
      </w:pPr>
      <w:rPr>
        <w:rFonts w:ascii="Palatino Linotype" w:hAnsi="Palatino Linotype" w:hint="default"/>
        <w:b w:val="0"/>
      </w:r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3"/>
  </w:num>
  <w:num w:numId="2">
    <w:abstractNumId w:val="0"/>
  </w:num>
  <w:num w:numId="3">
    <w:abstractNumId w:val="2"/>
  </w:num>
  <w:num w:numId="4">
    <w:abstractNumId w:val="4"/>
  </w:num>
  <w:num w:numId="5">
    <w:abstractNumId w:val="7"/>
  </w:num>
  <w:num w:numId="6">
    <w:abstractNumId w:val="5"/>
  </w:num>
  <w:num w:numId="7">
    <w:abstractNumId w:val="9"/>
  </w:num>
  <w:num w:numId="8">
    <w:abstractNumId w:val="8"/>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drawingGridHorizontalSpacing w:val="87"/>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2B"/>
    <w:rsid w:val="00007FAE"/>
    <w:rsid w:val="000350C9"/>
    <w:rsid w:val="00037972"/>
    <w:rsid w:val="00044BD6"/>
    <w:rsid w:val="00056144"/>
    <w:rsid w:val="00062BEC"/>
    <w:rsid w:val="00062E5A"/>
    <w:rsid w:val="00063637"/>
    <w:rsid w:val="00066706"/>
    <w:rsid w:val="00067CA2"/>
    <w:rsid w:val="00072583"/>
    <w:rsid w:val="00074ED5"/>
    <w:rsid w:val="00080CB3"/>
    <w:rsid w:val="00092718"/>
    <w:rsid w:val="000C084B"/>
    <w:rsid w:val="000E4BB5"/>
    <w:rsid w:val="000F7FE2"/>
    <w:rsid w:val="001242E1"/>
    <w:rsid w:val="001401C8"/>
    <w:rsid w:val="001528A8"/>
    <w:rsid w:val="001713F9"/>
    <w:rsid w:val="00173E6D"/>
    <w:rsid w:val="001823E0"/>
    <w:rsid w:val="00183DCA"/>
    <w:rsid w:val="001914CD"/>
    <w:rsid w:val="001C70C6"/>
    <w:rsid w:val="001D50C1"/>
    <w:rsid w:val="00205754"/>
    <w:rsid w:val="0023029F"/>
    <w:rsid w:val="00236AC2"/>
    <w:rsid w:val="00236FE4"/>
    <w:rsid w:val="00246472"/>
    <w:rsid w:val="00251F5D"/>
    <w:rsid w:val="00263FE9"/>
    <w:rsid w:val="00265954"/>
    <w:rsid w:val="00270586"/>
    <w:rsid w:val="00283F32"/>
    <w:rsid w:val="00290ECA"/>
    <w:rsid w:val="00291BA1"/>
    <w:rsid w:val="002B29F9"/>
    <w:rsid w:val="002B655B"/>
    <w:rsid w:val="002C487F"/>
    <w:rsid w:val="002E08A6"/>
    <w:rsid w:val="002E4769"/>
    <w:rsid w:val="00300223"/>
    <w:rsid w:val="00310410"/>
    <w:rsid w:val="00310BCD"/>
    <w:rsid w:val="003215A3"/>
    <w:rsid w:val="00335B66"/>
    <w:rsid w:val="003472B5"/>
    <w:rsid w:val="003542B4"/>
    <w:rsid w:val="00356B22"/>
    <w:rsid w:val="00361862"/>
    <w:rsid w:val="00361F3E"/>
    <w:rsid w:val="00363EE8"/>
    <w:rsid w:val="003752B7"/>
    <w:rsid w:val="003867F2"/>
    <w:rsid w:val="00387EA7"/>
    <w:rsid w:val="0039112C"/>
    <w:rsid w:val="003A16A5"/>
    <w:rsid w:val="003A77E3"/>
    <w:rsid w:val="003B3AD0"/>
    <w:rsid w:val="003C608D"/>
    <w:rsid w:val="003D0CF1"/>
    <w:rsid w:val="003E3D4D"/>
    <w:rsid w:val="003E4D7C"/>
    <w:rsid w:val="003F0AB4"/>
    <w:rsid w:val="003F6EB5"/>
    <w:rsid w:val="004030D1"/>
    <w:rsid w:val="00422068"/>
    <w:rsid w:val="00445C3A"/>
    <w:rsid w:val="00470F80"/>
    <w:rsid w:val="004729F6"/>
    <w:rsid w:val="00495E3B"/>
    <w:rsid w:val="00496AED"/>
    <w:rsid w:val="004A3D93"/>
    <w:rsid w:val="004C5943"/>
    <w:rsid w:val="004E674B"/>
    <w:rsid w:val="005350F0"/>
    <w:rsid w:val="00550CC2"/>
    <w:rsid w:val="00551E0A"/>
    <w:rsid w:val="00554352"/>
    <w:rsid w:val="005635AB"/>
    <w:rsid w:val="005650BA"/>
    <w:rsid w:val="005766E6"/>
    <w:rsid w:val="005769D7"/>
    <w:rsid w:val="0058278A"/>
    <w:rsid w:val="00584380"/>
    <w:rsid w:val="00596EB5"/>
    <w:rsid w:val="005A640B"/>
    <w:rsid w:val="005B3F0D"/>
    <w:rsid w:val="005B5541"/>
    <w:rsid w:val="005B6B38"/>
    <w:rsid w:val="005B76E1"/>
    <w:rsid w:val="005D54B9"/>
    <w:rsid w:val="005E668D"/>
    <w:rsid w:val="00610252"/>
    <w:rsid w:val="00614D53"/>
    <w:rsid w:val="00631572"/>
    <w:rsid w:val="0063761F"/>
    <w:rsid w:val="00661D34"/>
    <w:rsid w:val="00665E4C"/>
    <w:rsid w:val="00673940"/>
    <w:rsid w:val="006911A3"/>
    <w:rsid w:val="00695741"/>
    <w:rsid w:val="006A0DF4"/>
    <w:rsid w:val="006B0836"/>
    <w:rsid w:val="006B2594"/>
    <w:rsid w:val="006C71FC"/>
    <w:rsid w:val="006F4161"/>
    <w:rsid w:val="00714EAD"/>
    <w:rsid w:val="0073054F"/>
    <w:rsid w:val="0075161A"/>
    <w:rsid w:val="00756D78"/>
    <w:rsid w:val="007844A5"/>
    <w:rsid w:val="007A3957"/>
    <w:rsid w:val="007B3B20"/>
    <w:rsid w:val="007B4430"/>
    <w:rsid w:val="007B5F34"/>
    <w:rsid w:val="007C308F"/>
    <w:rsid w:val="007D1C27"/>
    <w:rsid w:val="007F6E45"/>
    <w:rsid w:val="007F72CF"/>
    <w:rsid w:val="00801B0F"/>
    <w:rsid w:val="0080481A"/>
    <w:rsid w:val="00812FB8"/>
    <w:rsid w:val="008621F4"/>
    <w:rsid w:val="00864726"/>
    <w:rsid w:val="00864ECE"/>
    <w:rsid w:val="00883714"/>
    <w:rsid w:val="008904C5"/>
    <w:rsid w:val="008A4CAA"/>
    <w:rsid w:val="008B2684"/>
    <w:rsid w:val="008C137A"/>
    <w:rsid w:val="008F0B02"/>
    <w:rsid w:val="00901F94"/>
    <w:rsid w:val="009116EA"/>
    <w:rsid w:val="00913767"/>
    <w:rsid w:val="00924CD0"/>
    <w:rsid w:val="0093328C"/>
    <w:rsid w:val="00955E58"/>
    <w:rsid w:val="0097063C"/>
    <w:rsid w:val="00973DFC"/>
    <w:rsid w:val="0097402C"/>
    <w:rsid w:val="009773EF"/>
    <w:rsid w:val="009A038A"/>
    <w:rsid w:val="009B0227"/>
    <w:rsid w:val="009E06F4"/>
    <w:rsid w:val="009E2FAE"/>
    <w:rsid w:val="009E7363"/>
    <w:rsid w:val="00A03D23"/>
    <w:rsid w:val="00A11F1E"/>
    <w:rsid w:val="00A237FE"/>
    <w:rsid w:val="00A25D3F"/>
    <w:rsid w:val="00A45542"/>
    <w:rsid w:val="00A467AD"/>
    <w:rsid w:val="00A61CD5"/>
    <w:rsid w:val="00A661F2"/>
    <w:rsid w:val="00A67601"/>
    <w:rsid w:val="00A8045C"/>
    <w:rsid w:val="00A820C5"/>
    <w:rsid w:val="00A87DDD"/>
    <w:rsid w:val="00AB1FBC"/>
    <w:rsid w:val="00AB2756"/>
    <w:rsid w:val="00AB616A"/>
    <w:rsid w:val="00AC0106"/>
    <w:rsid w:val="00B15F39"/>
    <w:rsid w:val="00B22AB7"/>
    <w:rsid w:val="00B4126B"/>
    <w:rsid w:val="00B57EAA"/>
    <w:rsid w:val="00B8075D"/>
    <w:rsid w:val="00B80C7E"/>
    <w:rsid w:val="00BA7470"/>
    <w:rsid w:val="00BB7C89"/>
    <w:rsid w:val="00BD5DA6"/>
    <w:rsid w:val="00BD63EE"/>
    <w:rsid w:val="00C0360F"/>
    <w:rsid w:val="00C16953"/>
    <w:rsid w:val="00C20D9D"/>
    <w:rsid w:val="00C5017F"/>
    <w:rsid w:val="00C7251D"/>
    <w:rsid w:val="00C8352E"/>
    <w:rsid w:val="00C85498"/>
    <w:rsid w:val="00C951C9"/>
    <w:rsid w:val="00CA3AC3"/>
    <w:rsid w:val="00CB3CB4"/>
    <w:rsid w:val="00CD7BF5"/>
    <w:rsid w:val="00CE6C92"/>
    <w:rsid w:val="00CF7DC0"/>
    <w:rsid w:val="00D12221"/>
    <w:rsid w:val="00D346D4"/>
    <w:rsid w:val="00D46698"/>
    <w:rsid w:val="00D8378C"/>
    <w:rsid w:val="00D87D32"/>
    <w:rsid w:val="00DC6162"/>
    <w:rsid w:val="00DD6A51"/>
    <w:rsid w:val="00DE5C2A"/>
    <w:rsid w:val="00DF0F57"/>
    <w:rsid w:val="00DF24F6"/>
    <w:rsid w:val="00E1240F"/>
    <w:rsid w:val="00E16B30"/>
    <w:rsid w:val="00E22586"/>
    <w:rsid w:val="00E3232B"/>
    <w:rsid w:val="00E5419F"/>
    <w:rsid w:val="00E64130"/>
    <w:rsid w:val="00E9132A"/>
    <w:rsid w:val="00E947FD"/>
    <w:rsid w:val="00EA317C"/>
    <w:rsid w:val="00EB0C74"/>
    <w:rsid w:val="00EC1A7F"/>
    <w:rsid w:val="00EC44C8"/>
    <w:rsid w:val="00ED240D"/>
    <w:rsid w:val="00F22EA4"/>
    <w:rsid w:val="00F3330E"/>
    <w:rsid w:val="00F431BC"/>
    <w:rsid w:val="00F43A2D"/>
    <w:rsid w:val="00F80B0E"/>
    <w:rsid w:val="00F821BD"/>
    <w:rsid w:val="00F91287"/>
    <w:rsid w:val="00F926FF"/>
    <w:rsid w:val="00F96684"/>
    <w:rsid w:val="00FB6AB0"/>
    <w:rsid w:val="00FD6B99"/>
    <w:rsid w:val="00FE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7E0B66EE"/>
  <w15:docId w15:val="{0EA42B49-62C9-4F46-8CC6-36A43DDA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C74"/>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686"/>
    </w:pPr>
  </w:style>
  <w:style w:type="paragraph" w:styleId="Header">
    <w:name w:val="header"/>
    <w:basedOn w:val="Normal"/>
    <w:link w:val="HeaderChar"/>
    <w:pPr>
      <w:tabs>
        <w:tab w:val="center" w:pos="4320"/>
        <w:tab w:val="right" w:pos="8640"/>
      </w:tabs>
    </w:pPr>
  </w:style>
  <w:style w:type="paragraph" w:customStyle="1" w:styleId="Style1">
    <w:name w:val="Style1"/>
    <w:basedOn w:val="Normal"/>
    <w:next w:val="Normal"/>
    <w:autoRedefine/>
    <w:pPr>
      <w:ind w:left="720" w:right="720"/>
    </w:pPr>
    <w:rPr>
      <w:bCs/>
    </w:rPr>
  </w:style>
  <w:style w:type="paragraph" w:customStyle="1" w:styleId="Style2">
    <w:name w:val="Style2"/>
    <w:basedOn w:val="List"/>
    <w:pPr>
      <w:numPr>
        <w:numId w:val="1"/>
      </w:numPr>
    </w:pPr>
  </w:style>
  <w:style w:type="paragraph" w:styleId="List">
    <w:name w:val="List"/>
    <w:basedOn w:val="Normal"/>
    <w:pPr>
      <w:ind w:left="360" w:hanging="360"/>
    </w:pPr>
  </w:style>
  <w:style w:type="paragraph" w:customStyle="1" w:styleId="Testimonyquote">
    <w:name w:val="Testimony quote"/>
    <w:basedOn w:val="Style1"/>
    <w:pPr>
      <w:ind w:left="1440" w:hanging="720"/>
    </w:pPr>
    <w:rPr>
      <w:bCs w:val="0"/>
      <w:sz w:val="26"/>
      <w:szCs w:val="20"/>
    </w:rPr>
  </w:style>
  <w:style w:type="paragraph" w:customStyle="1" w:styleId="Testimontquote2">
    <w:name w:val="Testimont quote 2"/>
    <w:basedOn w:val="Testimonyquote"/>
    <w:pPr>
      <w:ind w:firstLine="0"/>
    </w:pPr>
  </w:style>
  <w:style w:type="paragraph" w:customStyle="1" w:styleId="DoubleIndent">
    <w:name w:val="Double Indent"/>
    <w:basedOn w:val="Normal"/>
    <w:pPr>
      <w:ind w:left="720" w:right="720"/>
    </w:pPr>
    <w:rPr>
      <w:color w:val="000000"/>
      <w:szCs w:val="20"/>
    </w:r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1440"/>
      </w:tabs>
      <w:autoSpaceDE w:val="0"/>
      <w:autoSpaceDN w:val="0"/>
      <w:adjustRightInd w:val="0"/>
      <w:ind w:left="1440" w:hanging="1440"/>
      <w:jc w:val="both"/>
    </w:pPr>
    <w:rPr>
      <w:rFonts w:ascii="CG Times" w:hAnsi="CG Times"/>
    </w:rPr>
  </w:style>
  <w:style w:type="character" w:styleId="PageNumber">
    <w:name w:val="page number"/>
    <w:basedOn w:val="DefaultParagraphFont"/>
    <w:rsid w:val="007844A5"/>
  </w:style>
  <w:style w:type="character" w:styleId="Hyperlink">
    <w:name w:val="Hyperlink"/>
    <w:rsid w:val="003215A3"/>
    <w:rPr>
      <w:color w:val="0000FF"/>
      <w:u w:val="single"/>
    </w:rPr>
  </w:style>
  <w:style w:type="character" w:customStyle="1" w:styleId="BodyTextIndent2Char">
    <w:name w:val="Body Text Indent 2 Char"/>
    <w:link w:val="BodyTextIndent2"/>
    <w:rsid w:val="003215A3"/>
    <w:rPr>
      <w:rFonts w:ascii="Palatino Linotype" w:hAnsi="Palatino Linotype"/>
      <w:sz w:val="24"/>
      <w:szCs w:val="24"/>
    </w:rPr>
  </w:style>
  <w:style w:type="paragraph" w:styleId="BalloonText">
    <w:name w:val="Balloon Text"/>
    <w:basedOn w:val="Normal"/>
    <w:link w:val="BalloonTextChar"/>
    <w:semiHidden/>
    <w:unhideWhenUsed/>
    <w:rsid w:val="00551E0A"/>
    <w:rPr>
      <w:rFonts w:ascii="Segoe UI" w:hAnsi="Segoe UI" w:cs="Segoe UI"/>
      <w:sz w:val="18"/>
      <w:szCs w:val="18"/>
    </w:rPr>
  </w:style>
  <w:style w:type="character" w:customStyle="1" w:styleId="BalloonTextChar">
    <w:name w:val="Balloon Text Char"/>
    <w:basedOn w:val="DefaultParagraphFont"/>
    <w:link w:val="BalloonText"/>
    <w:semiHidden/>
    <w:rsid w:val="00551E0A"/>
    <w:rPr>
      <w:rFonts w:ascii="Segoe UI" w:hAnsi="Segoe UI" w:cs="Segoe UI"/>
      <w:sz w:val="18"/>
      <w:szCs w:val="18"/>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ft Char"/>
    <w:basedOn w:val="Normal"/>
    <w:link w:val="FootnoteTextChar"/>
    <w:uiPriority w:val="99"/>
    <w:qFormat/>
    <w:rsid w:val="007B4430"/>
    <w:rPr>
      <w:rFonts w:ascii="Times New Roman" w:hAnsi="Times New Roman"/>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fn Char1"/>
    <w:basedOn w:val="DefaultParagraphFont"/>
    <w:link w:val="FootnoteText"/>
    <w:uiPriority w:val="99"/>
    <w:rsid w:val="007B4430"/>
  </w:style>
  <w:style w:type="character" w:styleId="FootnoteReference">
    <w:name w:val="footnote reference"/>
    <w:aliases w:val="Style 3,o,fr,Style 13,Style 12,Style 15,Style 17,Style 9,o1,fr1,o2,fr2,o3,fr3,Style 18,(NECG) Footnote Reference,Style 20,Style 7,Style 8,Style 19,Style 28,Style 11,Style 16,Styl,Style 6,Style 24,Style 30,Style 39"/>
    <w:uiPriority w:val="99"/>
    <w:qFormat/>
    <w:rsid w:val="007B4430"/>
    <w:rPr>
      <w:vertAlign w:val="superscript"/>
    </w:rPr>
  </w:style>
  <w:style w:type="paragraph" w:customStyle="1" w:styleId="Answer">
    <w:name w:val="Answer"/>
    <w:basedOn w:val="Normal"/>
    <w:link w:val="AnswerChar1"/>
    <w:qFormat/>
    <w:rsid w:val="003F6EB5"/>
    <w:pPr>
      <w:spacing w:line="480" w:lineRule="auto"/>
      <w:ind w:left="720" w:hanging="720"/>
      <w:jc w:val="both"/>
    </w:pPr>
    <w:rPr>
      <w:rFonts w:ascii="Times New Roman" w:hAnsi="Times New Roman"/>
    </w:rPr>
  </w:style>
  <w:style w:type="character" w:customStyle="1" w:styleId="AnswerChar1">
    <w:name w:val="Answer Char1"/>
    <w:basedOn w:val="DefaultParagraphFont"/>
    <w:link w:val="Answer"/>
    <w:rsid w:val="003F6EB5"/>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uiPriority w:val="99"/>
    <w:rsid w:val="003F6EB5"/>
    <w:rPr>
      <w:sz w:val="20"/>
      <w:szCs w:val="20"/>
    </w:rPr>
  </w:style>
  <w:style w:type="paragraph" w:customStyle="1" w:styleId="Default">
    <w:name w:val="Default"/>
    <w:rsid w:val="003F6EB5"/>
    <w:pPr>
      <w:autoSpaceDE w:val="0"/>
      <w:autoSpaceDN w:val="0"/>
      <w:adjustRightInd w:val="0"/>
    </w:pPr>
    <w:rPr>
      <w:color w:val="000000"/>
      <w:sz w:val="24"/>
      <w:szCs w:val="24"/>
    </w:rPr>
  </w:style>
  <w:style w:type="character" w:customStyle="1" w:styleId="HeaderChar">
    <w:name w:val="Header Char"/>
    <w:basedOn w:val="DefaultParagraphFont"/>
    <w:link w:val="Header"/>
    <w:rsid w:val="003F6EB5"/>
    <w:rPr>
      <w:rFonts w:ascii="Palatino Linotype" w:hAnsi="Palatino Linotype"/>
      <w:sz w:val="24"/>
      <w:szCs w:val="24"/>
    </w:rPr>
  </w:style>
  <w:style w:type="paragraph" w:customStyle="1" w:styleId="Question">
    <w:name w:val="Question"/>
    <w:basedOn w:val="Normal"/>
    <w:link w:val="QuestionChar"/>
    <w:rsid w:val="004A3D93"/>
    <w:pPr>
      <w:spacing w:line="480" w:lineRule="auto"/>
      <w:ind w:left="720" w:hanging="720"/>
      <w:jc w:val="both"/>
    </w:pPr>
    <w:rPr>
      <w:rFonts w:ascii="Times New Roman" w:hAnsi="Times New Roman"/>
      <w:b/>
      <w:bCs/>
      <w:szCs w:val="20"/>
    </w:rPr>
  </w:style>
  <w:style w:type="character" w:customStyle="1" w:styleId="QuestionChar">
    <w:name w:val="Question Char"/>
    <w:basedOn w:val="DefaultParagraphFont"/>
    <w:link w:val="Question"/>
    <w:rsid w:val="004A3D93"/>
    <w:rPr>
      <w:b/>
      <w:bCs/>
      <w:sz w:val="24"/>
    </w:rPr>
  </w:style>
  <w:style w:type="paragraph" w:styleId="ListParagraph">
    <w:name w:val="List Paragraph"/>
    <w:basedOn w:val="Normal"/>
    <w:uiPriority w:val="34"/>
    <w:qFormat/>
    <w:rsid w:val="00EB0C74"/>
    <w:pPr>
      <w:ind w:left="720"/>
      <w:contextualSpacing/>
    </w:pPr>
  </w:style>
  <w:style w:type="paragraph" w:styleId="BodyText">
    <w:name w:val="Body Text"/>
    <w:basedOn w:val="Normal"/>
    <w:link w:val="BodyTextChar"/>
    <w:semiHidden/>
    <w:unhideWhenUsed/>
    <w:rsid w:val="00924CD0"/>
    <w:pPr>
      <w:spacing w:after="120"/>
    </w:pPr>
  </w:style>
  <w:style w:type="character" w:customStyle="1" w:styleId="BodyTextChar">
    <w:name w:val="Body Text Char"/>
    <w:basedOn w:val="DefaultParagraphFont"/>
    <w:link w:val="BodyText"/>
    <w:semiHidden/>
    <w:rsid w:val="00924CD0"/>
    <w:rPr>
      <w:rFonts w:ascii="Palatino Linotype" w:hAnsi="Palatino Linotype"/>
      <w:sz w:val="24"/>
      <w:szCs w:val="24"/>
    </w:rPr>
  </w:style>
  <w:style w:type="character" w:styleId="CommentReference">
    <w:name w:val="annotation reference"/>
    <w:basedOn w:val="DefaultParagraphFont"/>
    <w:semiHidden/>
    <w:unhideWhenUsed/>
    <w:rsid w:val="008F0B02"/>
    <w:rPr>
      <w:sz w:val="16"/>
      <w:szCs w:val="16"/>
    </w:rPr>
  </w:style>
  <w:style w:type="paragraph" w:styleId="CommentText">
    <w:name w:val="annotation text"/>
    <w:basedOn w:val="Normal"/>
    <w:link w:val="CommentTextChar"/>
    <w:semiHidden/>
    <w:unhideWhenUsed/>
    <w:rsid w:val="008F0B02"/>
    <w:rPr>
      <w:sz w:val="20"/>
      <w:szCs w:val="20"/>
    </w:rPr>
  </w:style>
  <w:style w:type="character" w:customStyle="1" w:styleId="CommentTextChar">
    <w:name w:val="Comment Text Char"/>
    <w:basedOn w:val="DefaultParagraphFont"/>
    <w:link w:val="CommentText"/>
    <w:semiHidden/>
    <w:rsid w:val="008F0B02"/>
    <w:rPr>
      <w:rFonts w:ascii="Palatino Linotype" w:hAnsi="Palatino Linotype"/>
    </w:rPr>
  </w:style>
  <w:style w:type="paragraph" w:styleId="CommentSubject">
    <w:name w:val="annotation subject"/>
    <w:basedOn w:val="CommentText"/>
    <w:next w:val="CommentText"/>
    <w:link w:val="CommentSubjectChar"/>
    <w:semiHidden/>
    <w:unhideWhenUsed/>
    <w:rsid w:val="008F0B02"/>
    <w:rPr>
      <w:b/>
      <w:bCs/>
    </w:rPr>
  </w:style>
  <w:style w:type="character" w:customStyle="1" w:styleId="CommentSubjectChar">
    <w:name w:val="Comment Subject Char"/>
    <w:basedOn w:val="CommentTextChar"/>
    <w:link w:val="CommentSubject"/>
    <w:semiHidden/>
    <w:rsid w:val="008F0B02"/>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2016-04-25T07:00:00+00:00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E1723D99-60C1-460A-A3FB-71787FEDA01B}"/>
</file>

<file path=customXml/itemProps2.xml><?xml version="1.0" encoding="utf-8"?>
<ds:datastoreItem xmlns:ds="http://schemas.openxmlformats.org/officeDocument/2006/customXml" ds:itemID="{9C8063DF-2344-4FDC-8D32-869BFD4F3503}"/>
</file>

<file path=customXml/itemProps3.xml><?xml version="1.0" encoding="utf-8"?>
<ds:datastoreItem xmlns:ds="http://schemas.openxmlformats.org/officeDocument/2006/customXml" ds:itemID="{C9933D03-BECF-4D1F-A720-C48B7A48BB42}"/>
</file>

<file path=customXml/itemProps4.xml><?xml version="1.0" encoding="utf-8"?>
<ds:datastoreItem xmlns:ds="http://schemas.openxmlformats.org/officeDocument/2006/customXml" ds:itemID="{3B470434-6DF7-4F5B-BC55-CA2C3A567FCD}"/>
</file>

<file path=customXml/itemProps5.xml><?xml version="1.0" encoding="utf-8"?>
<ds:datastoreItem xmlns:ds="http://schemas.openxmlformats.org/officeDocument/2006/customXml" ds:itemID="{019104D2-7936-4439-9E21-9B79CAC2DCC8}"/>
</file>

<file path=docProps/app.xml><?xml version="1.0" encoding="utf-8"?>
<Properties xmlns="http://schemas.openxmlformats.org/officeDocument/2006/extended-properties" xmlns:vt="http://schemas.openxmlformats.org/officeDocument/2006/docPropsVTypes">
  <Template>Normal</Template>
  <TotalTime>418</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UE-152253 - Staff Motion for Leave to File Supplemental Testimony 4-25-16</vt:lpstr>
    </vt:vector>
  </TitlesOfParts>
  <Company>WUTC</Company>
  <LinksUpToDate>false</LinksUpToDate>
  <CharactersWithSpaces>10587</CharactersWithSpaces>
  <SharedDoc>false</SharedDoc>
  <HLinks>
    <vt:vector size="6" baseType="variant">
      <vt:variant>
        <vt:i4>6815830</vt:i4>
      </vt:variant>
      <vt:variant>
        <vt:i4>0</vt:i4>
      </vt:variant>
      <vt:variant>
        <vt:i4>0</vt:i4>
      </vt:variant>
      <vt:variant>
        <vt:i4>5</vt:i4>
      </vt:variant>
      <vt:variant>
        <vt:lpwstr>mailto:*****@utc.wa.gov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UE-152253 - Staff Motion for Leave to File Supplemental Testimony 4-25-16</dc:title>
  <dc:subject/>
  <dc:creator>SSmith</dc:creator>
  <cp:keywords/>
  <dc:description/>
  <cp:lastModifiedBy>Casey, Chris (UTC)</cp:lastModifiedBy>
  <cp:revision>99</cp:revision>
  <cp:lastPrinted>2016-04-25T23:18:00Z</cp:lastPrinted>
  <dcterms:created xsi:type="dcterms:W3CDTF">2016-04-24T17:29:00Z</dcterms:created>
  <dcterms:modified xsi:type="dcterms:W3CDTF">2016-04-25T23:23:00Z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