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4674D" w14:textId="590A03A8" w:rsidR="006C48F0" w:rsidRPr="008F782C" w:rsidRDefault="006C48F0" w:rsidP="00784262">
      <w:pPr>
        <w:spacing w:after="0" w:line="264" w:lineRule="auto"/>
        <w:jc w:val="center"/>
        <w:rPr>
          <w:b/>
        </w:rPr>
      </w:pPr>
      <w:r w:rsidRPr="008F782C">
        <w:rPr>
          <w:b/>
        </w:rPr>
        <w:t>BEFORE THE WASHINGTON</w:t>
      </w:r>
      <w:bookmarkStart w:id="0" w:name="_GoBack"/>
      <w:bookmarkEnd w:id="0"/>
    </w:p>
    <w:p w14:paraId="1C9BD868" w14:textId="77777777" w:rsidR="006C48F0" w:rsidRPr="008F782C" w:rsidRDefault="006C48F0" w:rsidP="00784262">
      <w:pPr>
        <w:pStyle w:val="BodyText"/>
        <w:spacing w:after="0" w:line="264" w:lineRule="auto"/>
        <w:rPr>
          <w:b/>
          <w:bCs/>
        </w:rPr>
      </w:pPr>
      <w:r w:rsidRPr="008F782C">
        <w:rPr>
          <w:b/>
          <w:bCs/>
        </w:rPr>
        <w:t>UTILITIES AND TRANSPORTATION COMMISSION</w:t>
      </w:r>
    </w:p>
    <w:p w14:paraId="54415010" w14:textId="77777777" w:rsidR="00D32478" w:rsidRDefault="00D32478" w:rsidP="00784262">
      <w:pPr>
        <w:spacing w:after="0" w:line="264" w:lineRule="auto"/>
      </w:pPr>
    </w:p>
    <w:p w14:paraId="5BC7815A" w14:textId="77777777" w:rsidR="00784262" w:rsidRPr="008F782C" w:rsidRDefault="00784262" w:rsidP="00784262">
      <w:pPr>
        <w:spacing w:after="0" w:line="264" w:lineRule="auto"/>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784262" w:rsidRPr="008F782C" w14:paraId="25FF6146" w14:textId="77777777" w:rsidTr="00784262">
        <w:trPr>
          <w:trHeight w:val="3312"/>
        </w:trPr>
        <w:tc>
          <w:tcPr>
            <w:tcW w:w="4308" w:type="dxa"/>
            <w:tcBorders>
              <w:bottom w:val="single" w:sz="4" w:space="0" w:color="auto"/>
              <w:right w:val="single" w:sz="4" w:space="0" w:color="auto"/>
            </w:tcBorders>
          </w:tcPr>
          <w:p w14:paraId="68A94981" w14:textId="77777777" w:rsidR="00784262" w:rsidRPr="008F782C" w:rsidRDefault="00784262" w:rsidP="00784262">
            <w:pPr>
              <w:keepLines/>
              <w:spacing w:after="0" w:line="264" w:lineRule="auto"/>
            </w:pPr>
            <w:r w:rsidRPr="008F782C">
              <w:rPr>
                <w:caps/>
              </w:rPr>
              <w:t>Washington Utilities and Transportation Commission</w:t>
            </w:r>
            <w:r w:rsidRPr="008F782C">
              <w:t>,</w:t>
            </w:r>
          </w:p>
          <w:p w14:paraId="4175D5F2" w14:textId="77777777" w:rsidR="00784262" w:rsidRPr="008F782C" w:rsidRDefault="00784262" w:rsidP="00784262">
            <w:pPr>
              <w:keepLines/>
              <w:spacing w:after="0" w:line="264" w:lineRule="auto"/>
            </w:pPr>
          </w:p>
          <w:p w14:paraId="609D76F5" w14:textId="77777777" w:rsidR="00784262" w:rsidRPr="008F782C" w:rsidRDefault="00784262" w:rsidP="00784262">
            <w:pPr>
              <w:keepLines/>
              <w:tabs>
                <w:tab w:val="left" w:pos="2100"/>
              </w:tabs>
              <w:spacing w:after="0" w:line="264" w:lineRule="auto"/>
            </w:pPr>
            <w:r w:rsidRPr="008F782C">
              <w:tab/>
              <w:t>Complainant,</w:t>
            </w:r>
          </w:p>
          <w:p w14:paraId="13E9913D" w14:textId="77777777" w:rsidR="00784262" w:rsidRPr="008F782C" w:rsidRDefault="00784262" w:rsidP="00784262">
            <w:pPr>
              <w:keepLines/>
              <w:spacing w:after="0" w:line="264" w:lineRule="auto"/>
            </w:pPr>
          </w:p>
          <w:p w14:paraId="02758AC9" w14:textId="77777777" w:rsidR="00784262" w:rsidRPr="008F782C" w:rsidRDefault="00784262" w:rsidP="00784262">
            <w:pPr>
              <w:keepLines/>
              <w:spacing w:after="0" w:line="264" w:lineRule="auto"/>
            </w:pPr>
            <w:r w:rsidRPr="008F782C">
              <w:t>v.</w:t>
            </w:r>
          </w:p>
          <w:p w14:paraId="7259E847" w14:textId="77777777" w:rsidR="00784262" w:rsidRPr="008F782C" w:rsidRDefault="00784262" w:rsidP="00784262">
            <w:pPr>
              <w:keepLines/>
              <w:spacing w:after="0" w:line="264" w:lineRule="auto"/>
            </w:pPr>
          </w:p>
          <w:p w14:paraId="7E30F2E3" w14:textId="3D576182" w:rsidR="00784262" w:rsidRPr="008F782C" w:rsidRDefault="00784262" w:rsidP="00784262">
            <w:pPr>
              <w:keepLines/>
              <w:spacing w:after="0" w:line="264" w:lineRule="auto"/>
              <w:rPr>
                <w:caps/>
                <w:color w:val="000000"/>
              </w:rPr>
            </w:pPr>
            <w:r w:rsidRPr="008F782C">
              <w:rPr>
                <w:caps/>
              </w:rPr>
              <w:t>BNSF RAILWAY COMPANY,</w:t>
            </w:r>
            <w:r w:rsidRPr="008F782C">
              <w:rPr>
                <w:caps/>
                <w:color w:val="000000"/>
              </w:rPr>
              <w:t xml:space="preserve"> </w:t>
            </w:r>
          </w:p>
          <w:p w14:paraId="36E2F26A" w14:textId="77777777" w:rsidR="00784262" w:rsidRPr="008F782C" w:rsidRDefault="00784262" w:rsidP="00784262">
            <w:pPr>
              <w:pStyle w:val="Header"/>
              <w:keepLines/>
              <w:tabs>
                <w:tab w:val="clear" w:pos="4320"/>
                <w:tab w:val="clear" w:pos="8640"/>
              </w:tabs>
              <w:spacing w:after="0" w:line="264" w:lineRule="auto"/>
            </w:pPr>
          </w:p>
          <w:p w14:paraId="6A8EBE89" w14:textId="74A784DA" w:rsidR="00784262" w:rsidRPr="008F782C" w:rsidRDefault="00784262" w:rsidP="00784262">
            <w:pPr>
              <w:keepLines/>
              <w:spacing w:after="0" w:line="264" w:lineRule="auto"/>
            </w:pPr>
            <w:r w:rsidRPr="008F782C">
              <w:tab/>
            </w:r>
            <w:r w:rsidRPr="008F782C">
              <w:tab/>
            </w:r>
            <w:r w:rsidRPr="008F782C">
              <w:tab/>
              <w:t>Respondent.</w:t>
            </w:r>
          </w:p>
        </w:tc>
        <w:tc>
          <w:tcPr>
            <w:tcW w:w="300" w:type="dxa"/>
            <w:tcBorders>
              <w:left w:val="single" w:sz="4" w:space="0" w:color="auto"/>
            </w:tcBorders>
          </w:tcPr>
          <w:p w14:paraId="378D2272" w14:textId="501ECA62" w:rsidR="00784262" w:rsidRPr="008F782C" w:rsidRDefault="00784262" w:rsidP="00784262">
            <w:pPr>
              <w:spacing w:after="0" w:line="264" w:lineRule="auto"/>
            </w:pPr>
          </w:p>
        </w:tc>
        <w:tc>
          <w:tcPr>
            <w:tcW w:w="4288" w:type="dxa"/>
          </w:tcPr>
          <w:p w14:paraId="3C6F4F19" w14:textId="590ED4AC" w:rsidR="00784262" w:rsidRPr="008F782C" w:rsidRDefault="00784262" w:rsidP="00784262">
            <w:pPr>
              <w:spacing w:after="0" w:line="264" w:lineRule="auto"/>
            </w:pPr>
            <w:r w:rsidRPr="008F782C">
              <w:t>DOCKET TR-150284</w:t>
            </w:r>
          </w:p>
          <w:p w14:paraId="153A4A33" w14:textId="77777777" w:rsidR="00784262" w:rsidRDefault="00784262" w:rsidP="00784262">
            <w:pPr>
              <w:spacing w:after="0" w:line="264" w:lineRule="auto"/>
            </w:pPr>
          </w:p>
          <w:p w14:paraId="63B62802" w14:textId="77777777" w:rsidR="00784262" w:rsidRPr="008F782C" w:rsidRDefault="00784262" w:rsidP="00784262">
            <w:pPr>
              <w:spacing w:after="0" w:line="264" w:lineRule="auto"/>
            </w:pPr>
          </w:p>
          <w:p w14:paraId="6367E1AF" w14:textId="5C1E5135" w:rsidR="00784262" w:rsidRPr="008F782C" w:rsidRDefault="00784262" w:rsidP="00784262">
            <w:pPr>
              <w:spacing w:after="0" w:line="264" w:lineRule="auto"/>
            </w:pPr>
            <w:r w:rsidRPr="008F782C">
              <w:t>ORDER 0</w:t>
            </w:r>
            <w:r>
              <w:t>4</w:t>
            </w:r>
          </w:p>
          <w:p w14:paraId="2349E2B3" w14:textId="77777777" w:rsidR="00784262" w:rsidRDefault="00784262" w:rsidP="00784262">
            <w:pPr>
              <w:spacing w:after="0" w:line="264" w:lineRule="auto"/>
            </w:pPr>
          </w:p>
          <w:p w14:paraId="5E29BE39" w14:textId="77777777" w:rsidR="00784262" w:rsidRPr="008F782C" w:rsidRDefault="00784262" w:rsidP="00784262">
            <w:pPr>
              <w:spacing w:after="0" w:line="264" w:lineRule="auto"/>
            </w:pPr>
          </w:p>
          <w:p w14:paraId="35DA5F6C" w14:textId="5E2DD1DB" w:rsidR="00784262" w:rsidRPr="008F782C" w:rsidRDefault="00784262" w:rsidP="00784262">
            <w:pPr>
              <w:spacing w:after="0" w:line="264" w:lineRule="auto"/>
            </w:pPr>
            <w:r w:rsidRPr="008F782C">
              <w:t xml:space="preserve">ORDER </w:t>
            </w:r>
            <w:r>
              <w:t>ACCEPTING STIPULATION AS COMPLIANT WITH ORDER 02</w:t>
            </w:r>
          </w:p>
          <w:p w14:paraId="158B8F26" w14:textId="77777777" w:rsidR="00784262" w:rsidRPr="008F782C" w:rsidRDefault="00784262" w:rsidP="00784262">
            <w:pPr>
              <w:spacing w:after="0" w:line="264" w:lineRule="auto"/>
              <w:rPr>
                <w:b/>
              </w:rPr>
            </w:pPr>
          </w:p>
        </w:tc>
      </w:tr>
    </w:tbl>
    <w:p w14:paraId="5143844F" w14:textId="77777777" w:rsidR="00C41DF9" w:rsidRDefault="00C41DF9" w:rsidP="004F6E68">
      <w:pPr>
        <w:spacing w:after="0" w:line="264" w:lineRule="auto"/>
      </w:pPr>
    </w:p>
    <w:p w14:paraId="598FB0BA" w14:textId="77777777" w:rsidR="004F6E68" w:rsidRPr="008F782C" w:rsidRDefault="004F6E68" w:rsidP="004F6E68">
      <w:pPr>
        <w:spacing w:after="0" w:line="264" w:lineRule="auto"/>
      </w:pPr>
    </w:p>
    <w:p w14:paraId="2637A849" w14:textId="77777777" w:rsidR="002851A4" w:rsidRPr="008F782C" w:rsidRDefault="002851A4" w:rsidP="00DB7782">
      <w:pPr>
        <w:spacing w:after="240" w:line="264" w:lineRule="auto"/>
        <w:jc w:val="center"/>
        <w:rPr>
          <w:b/>
        </w:rPr>
      </w:pPr>
      <w:r w:rsidRPr="008F782C">
        <w:rPr>
          <w:b/>
        </w:rPr>
        <w:t>BACKGROUND</w:t>
      </w:r>
    </w:p>
    <w:p w14:paraId="6AB54DC2" w14:textId="5D1B4C65" w:rsidR="00D96159" w:rsidRPr="008F782C" w:rsidRDefault="00715964" w:rsidP="004F6E68">
      <w:pPr>
        <w:numPr>
          <w:ilvl w:val="0"/>
          <w:numId w:val="10"/>
        </w:numPr>
        <w:spacing w:after="240" w:line="288" w:lineRule="auto"/>
        <w:ind w:hanging="720"/>
      </w:pPr>
      <w:r w:rsidRPr="008F782C">
        <w:t xml:space="preserve">On </w:t>
      </w:r>
      <w:r w:rsidR="007C79C4" w:rsidRPr="008F782C">
        <w:t>March 19, 2015</w:t>
      </w:r>
      <w:r w:rsidRPr="008F782C">
        <w:t>, the Washington Utilities and Transportation Commission (Commission) through its regulatory Staff (Staff) filed a complaint against</w:t>
      </w:r>
      <w:r w:rsidR="007C79C4" w:rsidRPr="008F782C">
        <w:t xml:space="preserve"> BNSF Railway Company (BNSF or Company)</w:t>
      </w:r>
      <w:r w:rsidR="008F782C" w:rsidRPr="008F782C">
        <w:t>. The complaint alleges</w:t>
      </w:r>
      <w:r w:rsidR="007C79C4" w:rsidRPr="008F782C">
        <w:t xml:space="preserve"> that BNSF failed to report 14 hazardous material releases in </w:t>
      </w:r>
      <w:r w:rsidR="00307C5A">
        <w:t>the manner required by WAC 480-6</w:t>
      </w:r>
      <w:r w:rsidR="007C79C4" w:rsidRPr="008F782C">
        <w:t>2-310, resulting in 700 violations of that rule</w:t>
      </w:r>
      <w:r w:rsidR="008F782C">
        <w:t>.</w:t>
      </w:r>
    </w:p>
    <w:p w14:paraId="35AFBFF2" w14:textId="0F92683C" w:rsidR="00026A7E" w:rsidRDefault="00E814B6" w:rsidP="004F6E68">
      <w:pPr>
        <w:numPr>
          <w:ilvl w:val="0"/>
          <w:numId w:val="10"/>
        </w:numPr>
        <w:tabs>
          <w:tab w:val="clear" w:pos="0"/>
          <w:tab w:val="num" w:pos="720"/>
        </w:tabs>
        <w:spacing w:after="240" w:line="288" w:lineRule="auto"/>
        <w:ind w:hanging="720"/>
      </w:pPr>
      <w:r w:rsidRPr="008F782C">
        <w:t>On</w:t>
      </w:r>
      <w:r w:rsidR="008F782C">
        <w:t xml:space="preserve"> August 27</w:t>
      </w:r>
      <w:r w:rsidR="00503CF0" w:rsidRPr="008F782C">
        <w:t>, 2015</w:t>
      </w:r>
      <w:r w:rsidR="00602D0D" w:rsidRPr="008F782C">
        <w:t xml:space="preserve">, </w:t>
      </w:r>
      <w:r w:rsidR="008F782C">
        <w:t xml:space="preserve">BNSF and </w:t>
      </w:r>
      <w:r w:rsidR="009348B8">
        <w:t>Commission staff (</w:t>
      </w:r>
      <w:r w:rsidR="00602D0D" w:rsidRPr="008F782C">
        <w:t>Staff</w:t>
      </w:r>
      <w:r w:rsidR="009348B8">
        <w:t>)</w:t>
      </w:r>
      <w:r w:rsidR="00602D0D" w:rsidRPr="008F782C">
        <w:t xml:space="preserve"> </w:t>
      </w:r>
      <w:r w:rsidR="00FA0A8F" w:rsidRPr="008F782C">
        <w:t xml:space="preserve">filed a </w:t>
      </w:r>
      <w:r w:rsidR="00507042" w:rsidRPr="008F782C">
        <w:t>S</w:t>
      </w:r>
      <w:r w:rsidR="00D10D07" w:rsidRPr="008F782C">
        <w:t>e</w:t>
      </w:r>
      <w:r w:rsidRPr="008F782C">
        <w:t xml:space="preserve">ttlement </w:t>
      </w:r>
      <w:r w:rsidR="00507042" w:rsidRPr="008F782C">
        <w:t>A</w:t>
      </w:r>
      <w:r w:rsidR="00FA0A8F" w:rsidRPr="008F782C">
        <w:t>greement</w:t>
      </w:r>
      <w:r w:rsidR="00507042" w:rsidRPr="008F782C">
        <w:t xml:space="preserve"> (Settlement) </w:t>
      </w:r>
      <w:r w:rsidR="00A06FB1">
        <w:t xml:space="preserve">that </w:t>
      </w:r>
      <w:r w:rsidR="008B1BB5">
        <w:t xml:space="preserve">the parties represented </w:t>
      </w:r>
      <w:r w:rsidR="00A06FB1">
        <w:t>would resolve</w:t>
      </w:r>
      <w:r w:rsidR="001F77D4" w:rsidRPr="008F782C">
        <w:t xml:space="preserve"> all issues in this docket</w:t>
      </w:r>
      <w:r w:rsidR="00A367E2">
        <w:t xml:space="preserve">. The Commission conducted a hearing on the Settlement, and on December 7, 2015, entered Order 02, Final Order Approving Settlement Agreement with Conditions (Order 02). </w:t>
      </w:r>
      <w:r w:rsidR="00CA1B31">
        <w:t xml:space="preserve">Among the conditions in </w:t>
      </w:r>
      <w:r w:rsidR="00A367E2">
        <w:t xml:space="preserve">Order 02 </w:t>
      </w:r>
      <w:r w:rsidR="00CA1B31">
        <w:t xml:space="preserve">is the requirement that </w:t>
      </w:r>
      <w:r w:rsidR="00A367E2">
        <w:t>the parties</w:t>
      </w:r>
      <w:r w:rsidR="00CA1B31">
        <w:t xml:space="preserve"> file a stipulation with the Commission </w:t>
      </w:r>
      <w:r w:rsidR="009348B8">
        <w:t xml:space="preserve">by February 1, 2016, </w:t>
      </w:r>
      <w:r w:rsidR="00CA1B31">
        <w:t>that de</w:t>
      </w:r>
      <w:r w:rsidR="00F65942">
        <w:t xml:space="preserve">tails how BNSF will comply with WAC 480-62-310 in the future, which must address, at a minimum, </w:t>
      </w:r>
      <w:r w:rsidR="009348B8">
        <w:t>the following</w:t>
      </w:r>
      <w:r w:rsidR="00F65942">
        <w:t xml:space="preserve"> topics</w:t>
      </w:r>
      <w:r w:rsidR="00CA1B31">
        <w:t>:</w:t>
      </w:r>
    </w:p>
    <w:p w14:paraId="4219D263" w14:textId="5871F07B" w:rsidR="00CA1B31" w:rsidRDefault="00CA1B31" w:rsidP="004F6E68">
      <w:pPr>
        <w:pStyle w:val="FindingsConclusions"/>
        <w:numPr>
          <w:ilvl w:val="0"/>
          <w:numId w:val="26"/>
        </w:numPr>
        <w:spacing w:line="288" w:lineRule="auto"/>
        <w:ind w:right="720"/>
        <w:rPr>
          <w:rFonts w:eastAsia="Calibri"/>
        </w:rPr>
      </w:pPr>
      <w:r>
        <w:rPr>
          <w:rFonts w:eastAsia="Calibri"/>
        </w:rPr>
        <w:t>What constitutes an “event</w:t>
      </w:r>
      <w:r w:rsidRPr="00E42DBE">
        <w:t xml:space="preserve"> </w:t>
      </w:r>
      <w:r>
        <w:t>connected to the operation of the railroad company that results in the . . . [r]elease of any hazardous material</w:t>
      </w:r>
      <w:r>
        <w:rPr>
          <w:rFonts w:eastAsia="Calibri"/>
        </w:rPr>
        <w:t xml:space="preserve">” that BNSF Railway Company will report pursuant to WAC 480-62-310, including but not necessarily limited to the extent to which BNSF Railway Company will report leaks or spills on the property of a shipper or a third party and the other types of events involved in the violations alleged in the complaint; </w:t>
      </w:r>
    </w:p>
    <w:p w14:paraId="7BF3F103" w14:textId="77777777" w:rsidR="004F6E68" w:rsidRDefault="004F6E68" w:rsidP="004F6E68">
      <w:pPr>
        <w:pStyle w:val="FindingsConclusions"/>
        <w:numPr>
          <w:ilvl w:val="0"/>
          <w:numId w:val="0"/>
        </w:numPr>
        <w:spacing w:line="288" w:lineRule="auto"/>
        <w:ind w:right="720"/>
        <w:rPr>
          <w:rFonts w:eastAsia="Calibri"/>
        </w:rPr>
      </w:pPr>
    </w:p>
    <w:p w14:paraId="73A8E951" w14:textId="77777777" w:rsidR="00CA1B31" w:rsidRDefault="00CA1B31" w:rsidP="004F6E68">
      <w:pPr>
        <w:pStyle w:val="FindingsConclusions"/>
        <w:numPr>
          <w:ilvl w:val="0"/>
          <w:numId w:val="0"/>
        </w:numPr>
        <w:spacing w:line="288" w:lineRule="auto"/>
        <w:ind w:left="1440" w:right="720" w:hanging="720"/>
        <w:rPr>
          <w:rFonts w:eastAsia="Calibri"/>
        </w:rPr>
      </w:pPr>
      <w:r>
        <w:rPr>
          <w:rFonts w:eastAsia="Calibri"/>
        </w:rPr>
        <w:t>(b)</w:t>
      </w:r>
      <w:r>
        <w:rPr>
          <w:rFonts w:eastAsia="Calibri"/>
        </w:rPr>
        <w:tab/>
        <w:t>What constitutes a “hazardous material” the release of which BNSF Railway Company will report pursuant to WAC 480-62-310, with examples of materials that the Commission should (or should not) consider to be “hazardous” within the meaning of the rule, including but not necessarily limited to the materials involved in the violations alleged in the complaint; and</w:t>
      </w:r>
    </w:p>
    <w:p w14:paraId="320BC1F6" w14:textId="7F260B0B" w:rsidR="00CA1B31" w:rsidRPr="008F782C" w:rsidRDefault="00CA1B31" w:rsidP="004F6E68">
      <w:pPr>
        <w:pStyle w:val="FindingsConclusions"/>
        <w:numPr>
          <w:ilvl w:val="0"/>
          <w:numId w:val="0"/>
        </w:numPr>
        <w:spacing w:after="240" w:line="288" w:lineRule="auto"/>
        <w:ind w:left="1440" w:right="720" w:hanging="720"/>
        <w:rPr>
          <w:rFonts w:eastAsia="Calibri"/>
        </w:rPr>
      </w:pPr>
      <w:r>
        <w:rPr>
          <w:rFonts w:eastAsia="Calibri"/>
        </w:rPr>
        <w:t>(c)</w:t>
      </w:r>
      <w:r>
        <w:rPr>
          <w:rFonts w:eastAsia="Calibri"/>
        </w:rPr>
        <w:tab/>
        <w:t>The best practices for compliance with WAC 480-62-310 that BNSF Railway Company will implement and the strategies for more effective communication BNSF Railway Company and Commission Staff will use on a going-forward basis, including but not limited to the desirability and feasibility of BNSF Railway Company reporting the events identified in WAC 480-62-310 to both the Washington state emergency operations center and Commission Staff</w:t>
      </w:r>
      <w:r w:rsidRPr="008F782C">
        <w:t>.</w:t>
      </w:r>
      <w:r w:rsidR="009348B8">
        <w:rPr>
          <w:rStyle w:val="FootnoteReference"/>
        </w:rPr>
        <w:footnoteReference w:id="1"/>
      </w:r>
    </w:p>
    <w:p w14:paraId="489F39D0" w14:textId="52EB5794" w:rsidR="00CC5973" w:rsidRDefault="009348B8" w:rsidP="004F6E68">
      <w:pPr>
        <w:numPr>
          <w:ilvl w:val="0"/>
          <w:numId w:val="10"/>
        </w:numPr>
        <w:spacing w:after="240" w:line="288" w:lineRule="auto"/>
        <w:ind w:hanging="720"/>
      </w:pPr>
      <w:r>
        <w:t>On February 1, 2016, BNSF and Staff filed a Stipulation pursuant to this condition</w:t>
      </w:r>
      <w:r w:rsidR="00CA1B31">
        <w:t>.</w:t>
      </w:r>
      <w:r w:rsidR="00E436B0">
        <w:t xml:space="preserve"> </w:t>
      </w:r>
      <w:r>
        <w:t xml:space="preserve">With respect to the first </w:t>
      </w:r>
      <w:r w:rsidR="007A6E47">
        <w:t>t</w:t>
      </w:r>
      <w:r>
        <w:t xml:space="preserve">opic, the parties agree that </w:t>
      </w:r>
      <w:r w:rsidR="007A6E47">
        <w:t xml:space="preserve">a rulemaking, interpretive and policy statement, or declaratory order would be required to clarify what </w:t>
      </w:r>
      <w:r w:rsidR="007A6E47">
        <w:rPr>
          <w:rFonts w:eastAsia="Calibri"/>
        </w:rPr>
        <w:t>constitutes an “event</w:t>
      </w:r>
      <w:r w:rsidR="007A6E47" w:rsidRPr="00E42DBE">
        <w:t xml:space="preserve"> </w:t>
      </w:r>
      <w:r w:rsidR="007A6E47">
        <w:t>connected to the operation of the railroad company that results in the . . . [r]elease of any hazardous material</w:t>
      </w:r>
      <w:r w:rsidR="007A6E47">
        <w:rPr>
          <w:rFonts w:eastAsia="Calibri"/>
        </w:rPr>
        <w:t>” that BNSF Railway Company will report pursuant to WAC 480-62-310.</w:t>
      </w:r>
      <w:r w:rsidR="007A6E47">
        <w:rPr>
          <w:rStyle w:val="FootnoteReference"/>
        </w:rPr>
        <w:footnoteReference w:id="2"/>
      </w:r>
      <w:r w:rsidR="007A6E47">
        <w:rPr>
          <w:rFonts w:eastAsia="Calibri"/>
        </w:rPr>
        <w:t xml:space="preserve"> The </w:t>
      </w:r>
      <w:r w:rsidR="00EE45F4">
        <w:rPr>
          <w:rFonts w:eastAsia="Calibri"/>
        </w:rPr>
        <w:t>Stipulation</w:t>
      </w:r>
      <w:r w:rsidR="007A6E47">
        <w:rPr>
          <w:rFonts w:eastAsia="Calibri"/>
        </w:rPr>
        <w:t>, however, provide</w:t>
      </w:r>
      <w:r w:rsidR="00EE45F4">
        <w:rPr>
          <w:rFonts w:eastAsia="Calibri"/>
        </w:rPr>
        <w:t>s</w:t>
      </w:r>
      <w:r w:rsidR="007A6E47">
        <w:rPr>
          <w:rFonts w:eastAsia="Calibri"/>
        </w:rPr>
        <w:t xml:space="preserve"> additional information on the extent to which a hazardous material release on the property of a shipper or third party is a reportable event under the rule.</w:t>
      </w:r>
      <w:r w:rsidR="007A6E47">
        <w:rPr>
          <w:rStyle w:val="FootnoteReference"/>
        </w:rPr>
        <w:footnoteReference w:id="3"/>
      </w:r>
      <w:r w:rsidR="007A6E47">
        <w:t xml:space="preserve"> </w:t>
      </w:r>
    </w:p>
    <w:p w14:paraId="298BAF0B" w14:textId="72D4D3B6" w:rsidR="00EE45F4" w:rsidRDefault="00EE45F4" w:rsidP="004F6E68">
      <w:pPr>
        <w:numPr>
          <w:ilvl w:val="0"/>
          <w:numId w:val="10"/>
        </w:numPr>
        <w:spacing w:after="240" w:line="288" w:lineRule="auto"/>
        <w:ind w:hanging="720"/>
      </w:pPr>
      <w:r>
        <w:t>The parties also stipulate that a more detailed definition of “hazardous material” similarly is beyond the scope of this proceeding. The Stipulation nevertheless explains that WAC 480-62-310 incorporates the definition of that term under federal law, which is more expansive.</w:t>
      </w:r>
      <w:r>
        <w:rPr>
          <w:rStyle w:val="FootnoteReference"/>
        </w:rPr>
        <w:footnoteReference w:id="4"/>
      </w:r>
    </w:p>
    <w:p w14:paraId="2607E655" w14:textId="3F1BCB68" w:rsidR="00EE45F4" w:rsidRPr="008F782C" w:rsidRDefault="00EE45F4" w:rsidP="004F6E68">
      <w:pPr>
        <w:numPr>
          <w:ilvl w:val="0"/>
          <w:numId w:val="10"/>
        </w:numPr>
        <w:spacing w:after="240" w:line="288" w:lineRule="auto"/>
        <w:ind w:hanging="720"/>
      </w:pPr>
      <w:r>
        <w:lastRenderedPageBreak/>
        <w:t>Finally, the Stipulation describes adjustments BNSF has made to its environmental compliance program to maximize the Company’s compliance with WAC 480-62-310</w:t>
      </w:r>
      <w:r w:rsidR="000F63D9">
        <w:t xml:space="preserve"> and to facilitate constructive communications with Staff</w:t>
      </w:r>
      <w:r>
        <w:t xml:space="preserve">. </w:t>
      </w:r>
      <w:r w:rsidR="004F6F29">
        <w:t xml:space="preserve">As a result, </w:t>
      </w:r>
      <w:r w:rsidR="00A60D10">
        <w:t>BNSF</w:t>
      </w:r>
      <w:r>
        <w:t xml:space="preserve"> </w:t>
      </w:r>
      <w:r w:rsidR="004F6F29">
        <w:t xml:space="preserve">understands that it </w:t>
      </w:r>
      <w:r>
        <w:t>currently is in compliance with its reporting obligations.</w:t>
      </w:r>
      <w:r w:rsidR="004F6F29">
        <w:rPr>
          <w:rStyle w:val="FootnoteReference"/>
        </w:rPr>
        <w:footnoteReference w:id="5"/>
      </w:r>
      <w:r>
        <w:t xml:space="preserve"> </w:t>
      </w:r>
      <w:r w:rsidR="004F6F29">
        <w:t xml:space="preserve">Staff finds </w:t>
      </w:r>
      <w:r w:rsidR="00A60D10">
        <w:t>the Company</w:t>
      </w:r>
      <w:r w:rsidR="004F6F29">
        <w:t xml:space="preserve">’s policies and procedures in this area satisfactory, “pledges to use effective, thorough techniques when investigating potential violations,” and </w:t>
      </w:r>
      <w:r w:rsidR="00A60D10">
        <w:t>“</w:t>
      </w:r>
      <w:r w:rsidR="004F6F29">
        <w:t xml:space="preserve">seeks to maintain a collaborative relationship with </w:t>
      </w:r>
      <w:r w:rsidR="00A60D10">
        <w:t>BNSF</w:t>
      </w:r>
      <w:r w:rsidR="004F6F29">
        <w:t>.</w:t>
      </w:r>
      <w:r w:rsidR="00A60D10">
        <w:t>”</w:t>
      </w:r>
      <w:r w:rsidR="004F6F29">
        <w:rPr>
          <w:rStyle w:val="FootnoteReference"/>
        </w:rPr>
        <w:footnoteReference w:id="6"/>
      </w:r>
      <w:r w:rsidR="004F6F29">
        <w:t xml:space="preserve"> The parties agree that BNSF should not submit reports to Staff simultaneously with the reports the Company submits to the emergency operations center</w:t>
      </w:r>
      <w:r w:rsidR="000F63D9">
        <w:t xml:space="preserve"> in compliance with the rule</w:t>
      </w:r>
      <w:r w:rsidR="004F6F29">
        <w:t>.</w:t>
      </w:r>
      <w:r w:rsidR="004F6F29">
        <w:rPr>
          <w:rStyle w:val="FootnoteReference"/>
        </w:rPr>
        <w:footnoteReference w:id="7"/>
      </w:r>
      <w:r w:rsidR="004F6F29">
        <w:t xml:space="preserve"> </w:t>
      </w:r>
      <w:r>
        <w:t xml:space="preserve"> </w:t>
      </w:r>
    </w:p>
    <w:p w14:paraId="1F79B216" w14:textId="5162F9F0" w:rsidR="002851A4" w:rsidRPr="008F782C" w:rsidRDefault="002851A4" w:rsidP="004F6E68">
      <w:pPr>
        <w:spacing w:after="240" w:line="288" w:lineRule="auto"/>
        <w:jc w:val="center"/>
        <w:rPr>
          <w:rFonts w:eastAsia="Calibri"/>
          <w:b/>
        </w:rPr>
      </w:pPr>
      <w:r w:rsidRPr="008F782C">
        <w:rPr>
          <w:rFonts w:eastAsia="Calibri"/>
          <w:b/>
        </w:rPr>
        <w:t>DISCUSSION</w:t>
      </w:r>
    </w:p>
    <w:p w14:paraId="256743A5" w14:textId="558E669F" w:rsidR="007069FF" w:rsidRPr="005F7A74" w:rsidRDefault="000F63D9" w:rsidP="004F6E68">
      <w:pPr>
        <w:numPr>
          <w:ilvl w:val="0"/>
          <w:numId w:val="10"/>
        </w:numPr>
        <w:spacing w:after="240" w:line="288" w:lineRule="auto"/>
        <w:ind w:hanging="720"/>
      </w:pPr>
      <w:r>
        <w:rPr>
          <w:color w:val="000000"/>
        </w:rPr>
        <w:t xml:space="preserve">The Commission’s ultimate objective in any enforcement action is to ensure compliance with </w:t>
      </w:r>
      <w:r w:rsidR="00EB2767">
        <w:rPr>
          <w:color w:val="000000"/>
        </w:rPr>
        <w:t xml:space="preserve">statutes and </w:t>
      </w:r>
      <w:r>
        <w:rPr>
          <w:color w:val="000000"/>
        </w:rPr>
        <w:t>rules within the Commission’s jurisdiction</w:t>
      </w:r>
      <w:r w:rsidR="001248C1">
        <w:rPr>
          <w:color w:val="000000"/>
        </w:rPr>
        <w:t>.</w:t>
      </w:r>
      <w:r>
        <w:rPr>
          <w:color w:val="000000"/>
        </w:rPr>
        <w:t xml:space="preserve"> </w:t>
      </w:r>
      <w:r w:rsidR="005F7A74">
        <w:rPr>
          <w:color w:val="000000"/>
        </w:rPr>
        <w:t xml:space="preserve">The Settlement lacked specificity with respect to the parties’ agreement to meet and discuss best practices for </w:t>
      </w:r>
      <w:r w:rsidR="004B35FB">
        <w:rPr>
          <w:color w:val="000000"/>
        </w:rPr>
        <w:t xml:space="preserve">BNSF’s </w:t>
      </w:r>
      <w:r w:rsidR="005F7A74">
        <w:rPr>
          <w:color w:val="000000"/>
        </w:rPr>
        <w:t>compliance with WAC 480-62-310. Accordingly, w</w:t>
      </w:r>
      <w:r>
        <w:rPr>
          <w:color w:val="000000"/>
        </w:rPr>
        <w:t>e conditioned approval of the Settlement on a stipulation</w:t>
      </w:r>
      <w:r w:rsidR="005F7A74">
        <w:rPr>
          <w:color w:val="000000"/>
        </w:rPr>
        <w:t xml:space="preserve"> that provides more details and a tangible outcome to the parties’ discussions. </w:t>
      </w:r>
    </w:p>
    <w:p w14:paraId="5177F720" w14:textId="43ACFB34" w:rsidR="005F7A74" w:rsidRPr="004F6E68" w:rsidRDefault="005F7A74" w:rsidP="004F6E68">
      <w:pPr>
        <w:numPr>
          <w:ilvl w:val="0"/>
          <w:numId w:val="10"/>
        </w:numPr>
        <w:spacing w:after="240" w:line="288" w:lineRule="auto"/>
        <w:ind w:hanging="720"/>
      </w:pPr>
      <w:r>
        <w:rPr>
          <w:color w:val="000000"/>
        </w:rPr>
        <w:t xml:space="preserve">The </w:t>
      </w:r>
      <w:r w:rsidR="004B35FB">
        <w:rPr>
          <w:color w:val="000000"/>
        </w:rPr>
        <w:t xml:space="preserve">parties’ </w:t>
      </w:r>
      <w:r>
        <w:rPr>
          <w:color w:val="000000"/>
        </w:rPr>
        <w:t xml:space="preserve">Stipulation continues to leave significant terms in </w:t>
      </w:r>
      <w:r w:rsidR="004B35FB">
        <w:rPr>
          <w:color w:val="000000"/>
        </w:rPr>
        <w:t>WAC 480-62-310</w:t>
      </w:r>
      <w:r>
        <w:rPr>
          <w:color w:val="000000"/>
        </w:rPr>
        <w:t xml:space="preserve"> subject to differing interpretations and potential dispute. We </w:t>
      </w:r>
      <w:r w:rsidR="004B35FB">
        <w:rPr>
          <w:color w:val="000000"/>
        </w:rPr>
        <w:t>nevertheless are encouraged that BNSF has improved its environmental compliance program to enhance the Company’s compliance with the rule and communication with Staff and that the Company has been, and continues to be, complying with its reporting obligations under the rule. On balance, we find that the Stipulation furthers the Commission’s enforcement goal and complies with the condition in paragraph 48 of Order 02.</w:t>
      </w:r>
    </w:p>
    <w:p w14:paraId="0A9BC109" w14:textId="44DB6270" w:rsidR="004F6E68" w:rsidRDefault="004F6E68">
      <w:pPr>
        <w:rPr>
          <w:color w:val="000000"/>
        </w:rPr>
      </w:pPr>
    </w:p>
    <w:p w14:paraId="2F5C42BF" w14:textId="77777777" w:rsidR="004F6E68" w:rsidRDefault="004F6E68">
      <w:pPr>
        <w:rPr>
          <w:color w:val="000000"/>
        </w:rPr>
      </w:pPr>
    </w:p>
    <w:p w14:paraId="578282A9" w14:textId="77777777" w:rsidR="004F6E68" w:rsidRPr="008F782C" w:rsidRDefault="004F6E68" w:rsidP="004F6E68">
      <w:pPr>
        <w:spacing w:after="240" w:line="288" w:lineRule="auto"/>
      </w:pPr>
    </w:p>
    <w:p w14:paraId="5DD3A26E" w14:textId="77777777" w:rsidR="00A43DC9" w:rsidRPr="008F782C" w:rsidRDefault="00A43DC9" w:rsidP="004F6E68">
      <w:pPr>
        <w:pStyle w:val="ListParagraph"/>
        <w:tabs>
          <w:tab w:val="left" w:pos="0"/>
        </w:tabs>
        <w:spacing w:after="240" w:line="288" w:lineRule="auto"/>
        <w:ind w:left="0"/>
        <w:jc w:val="center"/>
        <w:rPr>
          <w:b/>
        </w:rPr>
      </w:pPr>
      <w:r w:rsidRPr="008F782C">
        <w:rPr>
          <w:b/>
        </w:rPr>
        <w:lastRenderedPageBreak/>
        <w:t>ORDER</w:t>
      </w:r>
    </w:p>
    <w:p w14:paraId="0385BBE4" w14:textId="6243142C" w:rsidR="00B52DFA" w:rsidRPr="009E2947" w:rsidRDefault="00827C4C" w:rsidP="004F6E68">
      <w:pPr>
        <w:numPr>
          <w:ilvl w:val="0"/>
          <w:numId w:val="10"/>
        </w:numPr>
        <w:spacing w:after="240" w:line="288" w:lineRule="auto"/>
        <w:ind w:hanging="720"/>
        <w:rPr>
          <w:rFonts w:eastAsia="Calibri"/>
        </w:rPr>
      </w:pPr>
      <w:r w:rsidRPr="008F782C">
        <w:t>THE COMMISSION ORDERS</w:t>
      </w:r>
      <w:r w:rsidR="00CA1B31">
        <w:t xml:space="preserve"> that the Commission accepts the </w:t>
      </w:r>
      <w:r w:rsidR="009348B8">
        <w:t>Stipulation as compliant with the condition in Order 02</w:t>
      </w:r>
      <w:r w:rsidR="00F65942">
        <w:t>, paragraph 48,</w:t>
      </w:r>
      <w:r w:rsidR="009348B8">
        <w:t xml:space="preserve"> that BNSF Railway Company and Commission Staff file a stipulation detailing </w:t>
      </w:r>
      <w:r w:rsidR="00F65942">
        <w:t>how BNSF Railway Company will comply with WAC 480-62-310 in the future</w:t>
      </w:r>
      <w:r w:rsidR="009348B8">
        <w:t>.</w:t>
      </w:r>
      <w:r>
        <w:t xml:space="preserve"> </w:t>
      </w:r>
    </w:p>
    <w:p w14:paraId="0104E279" w14:textId="372DD51E" w:rsidR="00AA58C4" w:rsidRPr="00EA5CF1" w:rsidRDefault="00AA58C4" w:rsidP="004F6E68">
      <w:pPr>
        <w:spacing w:after="240" w:line="288" w:lineRule="auto"/>
      </w:pPr>
      <w:r w:rsidRPr="00EA5CF1">
        <w:t xml:space="preserve">DATED at Olympia, Washington and effective </w:t>
      </w:r>
      <w:r w:rsidR="00CA1B31">
        <w:t xml:space="preserve">February </w:t>
      </w:r>
      <w:r w:rsidR="00784262">
        <w:t>25</w:t>
      </w:r>
      <w:r w:rsidRPr="00EA5CF1">
        <w:t>, 201</w:t>
      </w:r>
      <w:r w:rsidR="00CA1B31">
        <w:t>6</w:t>
      </w:r>
      <w:r w:rsidRPr="00EA5CF1">
        <w:t>.</w:t>
      </w:r>
    </w:p>
    <w:p w14:paraId="0BA76925" w14:textId="77777777" w:rsidR="00AA58C4" w:rsidRPr="00EA5CF1" w:rsidRDefault="00AA58C4" w:rsidP="004F6E68">
      <w:pPr>
        <w:spacing w:line="288" w:lineRule="auto"/>
        <w:jc w:val="center"/>
      </w:pPr>
      <w:r w:rsidRPr="00EA5CF1">
        <w:t>WASHINGTON UTILITIES AND TRANSPORTATION COMMISSION</w:t>
      </w:r>
    </w:p>
    <w:p w14:paraId="30795665" w14:textId="77777777" w:rsidR="00AA58C4" w:rsidRPr="00EA5CF1" w:rsidRDefault="00AA58C4" w:rsidP="00AA58C4">
      <w:pPr>
        <w:jc w:val="right"/>
      </w:pPr>
    </w:p>
    <w:p w14:paraId="39F42763" w14:textId="77777777" w:rsidR="00AA58C4" w:rsidRDefault="00AA58C4" w:rsidP="00AA58C4">
      <w:pPr>
        <w:jc w:val="right"/>
      </w:pPr>
    </w:p>
    <w:p w14:paraId="69FE3AA0" w14:textId="77777777" w:rsidR="00AA58C4" w:rsidRPr="00EA5CF1" w:rsidRDefault="00AA58C4" w:rsidP="00AA58C4">
      <w:pPr>
        <w:jc w:val="right"/>
      </w:pPr>
    </w:p>
    <w:p w14:paraId="591C0462" w14:textId="77777777" w:rsidR="00AA58C4" w:rsidRPr="00EA5CF1" w:rsidRDefault="00AA58C4" w:rsidP="00AA58C4">
      <w:pPr>
        <w:ind w:left="3600" w:firstLine="720"/>
      </w:pPr>
      <w:r w:rsidRPr="00EA5CF1">
        <w:t>DAVID W. DANNER, Chairman</w:t>
      </w:r>
    </w:p>
    <w:p w14:paraId="22E111E6" w14:textId="77777777" w:rsidR="00AA58C4" w:rsidRPr="00EA5CF1" w:rsidRDefault="00AA58C4" w:rsidP="00AA58C4">
      <w:pPr>
        <w:jc w:val="right"/>
      </w:pPr>
    </w:p>
    <w:p w14:paraId="38FDE3C0" w14:textId="77777777" w:rsidR="00AA58C4" w:rsidRPr="00EA5CF1" w:rsidRDefault="00AA58C4" w:rsidP="00AA58C4">
      <w:pPr>
        <w:jc w:val="right"/>
      </w:pPr>
    </w:p>
    <w:p w14:paraId="7F16FE29" w14:textId="77777777" w:rsidR="00AA58C4" w:rsidRPr="00EA5CF1" w:rsidRDefault="00AA58C4" w:rsidP="00AA58C4">
      <w:pPr>
        <w:jc w:val="right"/>
      </w:pPr>
    </w:p>
    <w:p w14:paraId="30215AB0" w14:textId="77777777" w:rsidR="00AA58C4" w:rsidRPr="00EA5CF1" w:rsidRDefault="00AA58C4" w:rsidP="00AA58C4">
      <w:pPr>
        <w:ind w:left="3600" w:firstLine="720"/>
      </w:pPr>
      <w:r>
        <w:t>PHILIP B. JONES</w:t>
      </w:r>
      <w:r w:rsidRPr="00EA5CF1">
        <w:t>, Commissioner</w:t>
      </w:r>
    </w:p>
    <w:p w14:paraId="5A8D8272" w14:textId="77777777" w:rsidR="00AA58C4" w:rsidRDefault="00AA58C4" w:rsidP="00AA58C4">
      <w:pPr>
        <w:jc w:val="right"/>
      </w:pPr>
    </w:p>
    <w:p w14:paraId="01D23EB0" w14:textId="77777777" w:rsidR="00AA58C4" w:rsidRPr="00EA5CF1" w:rsidRDefault="00AA58C4" w:rsidP="00AA58C4">
      <w:pPr>
        <w:jc w:val="right"/>
      </w:pPr>
    </w:p>
    <w:p w14:paraId="79BB8F4B" w14:textId="77777777" w:rsidR="00AA58C4" w:rsidRPr="00EA5CF1" w:rsidRDefault="00AA58C4" w:rsidP="00AA58C4">
      <w:pPr>
        <w:jc w:val="right"/>
      </w:pPr>
    </w:p>
    <w:p w14:paraId="2B753AA4" w14:textId="77777777" w:rsidR="00AA58C4" w:rsidRPr="00EA5CF1" w:rsidRDefault="00AA58C4" w:rsidP="00AA58C4">
      <w:pPr>
        <w:ind w:left="3600" w:firstLine="720"/>
      </w:pPr>
      <w:r w:rsidRPr="00EA5CF1">
        <w:t>ANN E. RENDAHL, Commissioner</w:t>
      </w:r>
    </w:p>
    <w:sectPr w:rsidR="00AA58C4" w:rsidRPr="00EA5CF1" w:rsidSect="005055F3">
      <w:headerReference w:type="default" r:id="rId8"/>
      <w:headerReference w:type="first" r:id="rId9"/>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CDA87" w14:textId="77777777" w:rsidR="006607BE" w:rsidRDefault="006607BE">
      <w:r>
        <w:separator/>
      </w:r>
    </w:p>
  </w:endnote>
  <w:endnote w:type="continuationSeparator" w:id="0">
    <w:p w14:paraId="17A8389F" w14:textId="77777777" w:rsidR="006607BE" w:rsidRDefault="0066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417C3" w14:textId="77777777" w:rsidR="006607BE" w:rsidRDefault="006607BE">
      <w:r>
        <w:separator/>
      </w:r>
    </w:p>
  </w:footnote>
  <w:footnote w:type="continuationSeparator" w:id="0">
    <w:p w14:paraId="370EE160" w14:textId="77777777" w:rsidR="006607BE" w:rsidRDefault="006607BE">
      <w:r>
        <w:continuationSeparator/>
      </w:r>
    </w:p>
  </w:footnote>
  <w:footnote w:id="1">
    <w:p w14:paraId="7182AD4A" w14:textId="0FCBA2EC" w:rsidR="009348B8" w:rsidRPr="00784262" w:rsidRDefault="009348B8">
      <w:pPr>
        <w:pStyle w:val="FootnoteText"/>
        <w:rPr>
          <w:rFonts w:ascii="Times New Roman" w:hAnsi="Times New Roman"/>
          <w:sz w:val="22"/>
          <w:szCs w:val="22"/>
        </w:rPr>
      </w:pPr>
      <w:r w:rsidRPr="00784262">
        <w:rPr>
          <w:rStyle w:val="FootnoteReference"/>
          <w:sz w:val="22"/>
          <w:szCs w:val="22"/>
        </w:rPr>
        <w:footnoteRef/>
      </w:r>
      <w:r w:rsidRPr="00784262">
        <w:rPr>
          <w:sz w:val="22"/>
          <w:szCs w:val="22"/>
        </w:rPr>
        <w:t xml:space="preserve"> </w:t>
      </w:r>
      <w:r w:rsidRPr="00784262">
        <w:rPr>
          <w:rFonts w:ascii="Times New Roman" w:hAnsi="Times New Roman"/>
          <w:sz w:val="22"/>
          <w:szCs w:val="22"/>
        </w:rPr>
        <w:t>Order 02 ¶ 48.</w:t>
      </w:r>
    </w:p>
  </w:footnote>
  <w:footnote w:id="2">
    <w:p w14:paraId="57D42FB6" w14:textId="217E5EA2" w:rsidR="007A6E47" w:rsidRPr="00784262" w:rsidRDefault="007A6E47" w:rsidP="007A6E47">
      <w:pPr>
        <w:pStyle w:val="FootnoteText"/>
        <w:rPr>
          <w:rFonts w:ascii="Times New Roman" w:hAnsi="Times New Roman"/>
          <w:sz w:val="22"/>
          <w:szCs w:val="22"/>
        </w:rPr>
      </w:pPr>
      <w:r w:rsidRPr="00784262">
        <w:rPr>
          <w:rStyle w:val="FootnoteReference"/>
          <w:sz w:val="22"/>
          <w:szCs w:val="22"/>
        </w:rPr>
        <w:footnoteRef/>
      </w:r>
      <w:r w:rsidRPr="00784262">
        <w:rPr>
          <w:sz w:val="22"/>
          <w:szCs w:val="22"/>
        </w:rPr>
        <w:t xml:space="preserve"> </w:t>
      </w:r>
      <w:r w:rsidRPr="00784262">
        <w:rPr>
          <w:rFonts w:ascii="Times New Roman" w:hAnsi="Times New Roman"/>
          <w:sz w:val="22"/>
          <w:szCs w:val="22"/>
        </w:rPr>
        <w:t>Stipulation ¶ 3.</w:t>
      </w:r>
    </w:p>
  </w:footnote>
  <w:footnote w:id="3">
    <w:p w14:paraId="29F00956" w14:textId="0CFF9CBD" w:rsidR="007A6E47" w:rsidRPr="00784262" w:rsidRDefault="007A6E47" w:rsidP="007A6E47">
      <w:pPr>
        <w:pStyle w:val="FootnoteText"/>
        <w:rPr>
          <w:rFonts w:ascii="Times New Roman" w:hAnsi="Times New Roman"/>
          <w:sz w:val="22"/>
          <w:szCs w:val="22"/>
        </w:rPr>
      </w:pPr>
      <w:r w:rsidRPr="00784262">
        <w:rPr>
          <w:rStyle w:val="FootnoteReference"/>
          <w:sz w:val="22"/>
          <w:szCs w:val="22"/>
        </w:rPr>
        <w:footnoteRef/>
      </w:r>
      <w:r w:rsidRPr="00784262">
        <w:rPr>
          <w:sz w:val="22"/>
          <w:szCs w:val="22"/>
        </w:rPr>
        <w:t xml:space="preserve"> </w:t>
      </w:r>
      <w:r w:rsidRPr="00784262">
        <w:rPr>
          <w:rFonts w:ascii="Times New Roman" w:hAnsi="Times New Roman"/>
          <w:i/>
          <w:sz w:val="22"/>
          <w:szCs w:val="22"/>
        </w:rPr>
        <w:t>Id</w:t>
      </w:r>
      <w:r w:rsidRPr="00784262">
        <w:rPr>
          <w:rFonts w:ascii="Times New Roman" w:hAnsi="Times New Roman"/>
          <w:sz w:val="22"/>
          <w:szCs w:val="22"/>
        </w:rPr>
        <w:t>. ¶ 4.</w:t>
      </w:r>
    </w:p>
  </w:footnote>
  <w:footnote w:id="4">
    <w:p w14:paraId="49F01A6B" w14:textId="51205172" w:rsidR="00EE45F4" w:rsidRPr="00784262" w:rsidRDefault="00EE45F4" w:rsidP="00EE45F4">
      <w:pPr>
        <w:pStyle w:val="FootnoteText"/>
        <w:rPr>
          <w:rFonts w:ascii="Times New Roman" w:hAnsi="Times New Roman"/>
          <w:sz w:val="22"/>
          <w:szCs w:val="22"/>
        </w:rPr>
      </w:pPr>
      <w:r w:rsidRPr="00784262">
        <w:rPr>
          <w:rStyle w:val="FootnoteReference"/>
          <w:sz w:val="22"/>
          <w:szCs w:val="22"/>
        </w:rPr>
        <w:footnoteRef/>
      </w:r>
      <w:r w:rsidRPr="00784262">
        <w:rPr>
          <w:sz w:val="22"/>
          <w:szCs w:val="22"/>
        </w:rPr>
        <w:t xml:space="preserve"> </w:t>
      </w:r>
      <w:r w:rsidRPr="00784262">
        <w:rPr>
          <w:rFonts w:ascii="Times New Roman" w:hAnsi="Times New Roman"/>
          <w:i/>
          <w:sz w:val="22"/>
          <w:szCs w:val="22"/>
        </w:rPr>
        <w:t>Id</w:t>
      </w:r>
      <w:r w:rsidRPr="00784262">
        <w:rPr>
          <w:rFonts w:ascii="Times New Roman" w:hAnsi="Times New Roman"/>
          <w:sz w:val="22"/>
          <w:szCs w:val="22"/>
        </w:rPr>
        <w:t>. ¶ 7.</w:t>
      </w:r>
    </w:p>
  </w:footnote>
  <w:footnote w:id="5">
    <w:p w14:paraId="35AA871F" w14:textId="7BCFDF7F" w:rsidR="004F6F29" w:rsidRPr="009348B8" w:rsidRDefault="004F6F29" w:rsidP="004F6F29">
      <w:pPr>
        <w:pStyle w:val="FootnoteText"/>
        <w:rPr>
          <w:rFonts w:ascii="Times New Roman" w:hAnsi="Times New Roman"/>
        </w:rPr>
      </w:pPr>
      <w:r w:rsidRPr="00784262">
        <w:rPr>
          <w:rStyle w:val="FootnoteReference"/>
          <w:sz w:val="22"/>
          <w:szCs w:val="22"/>
        </w:rPr>
        <w:footnoteRef/>
      </w:r>
      <w:r w:rsidRPr="00784262">
        <w:rPr>
          <w:sz w:val="22"/>
          <w:szCs w:val="22"/>
        </w:rPr>
        <w:t xml:space="preserve"> </w:t>
      </w:r>
      <w:r w:rsidRPr="00784262">
        <w:rPr>
          <w:rFonts w:ascii="Times New Roman" w:hAnsi="Times New Roman"/>
          <w:i/>
          <w:sz w:val="22"/>
          <w:szCs w:val="22"/>
        </w:rPr>
        <w:t>Id</w:t>
      </w:r>
      <w:r w:rsidRPr="00784262">
        <w:rPr>
          <w:rFonts w:ascii="Times New Roman" w:hAnsi="Times New Roman"/>
          <w:sz w:val="22"/>
          <w:szCs w:val="22"/>
        </w:rPr>
        <w:t>. ¶ 9.</w:t>
      </w:r>
    </w:p>
  </w:footnote>
  <w:footnote w:id="6">
    <w:p w14:paraId="06C6B84F" w14:textId="045BB2FB" w:rsidR="004F6F29" w:rsidRPr="00784262" w:rsidRDefault="004F6F29" w:rsidP="004F6F29">
      <w:pPr>
        <w:pStyle w:val="FootnoteText"/>
        <w:rPr>
          <w:rFonts w:ascii="Times New Roman" w:hAnsi="Times New Roman"/>
          <w:sz w:val="22"/>
          <w:szCs w:val="22"/>
        </w:rPr>
      </w:pPr>
      <w:r w:rsidRPr="00784262">
        <w:rPr>
          <w:rStyle w:val="FootnoteReference"/>
          <w:sz w:val="22"/>
          <w:szCs w:val="22"/>
        </w:rPr>
        <w:footnoteRef/>
      </w:r>
      <w:r w:rsidRPr="00784262">
        <w:rPr>
          <w:sz w:val="22"/>
          <w:szCs w:val="22"/>
        </w:rPr>
        <w:t xml:space="preserve"> </w:t>
      </w:r>
      <w:r w:rsidRPr="00784262">
        <w:rPr>
          <w:rFonts w:ascii="Times New Roman" w:hAnsi="Times New Roman"/>
          <w:i/>
          <w:sz w:val="22"/>
          <w:szCs w:val="22"/>
        </w:rPr>
        <w:t>Id</w:t>
      </w:r>
      <w:r w:rsidRPr="00784262">
        <w:rPr>
          <w:rFonts w:ascii="Times New Roman" w:hAnsi="Times New Roman"/>
          <w:sz w:val="22"/>
          <w:szCs w:val="22"/>
        </w:rPr>
        <w:t>. ¶ 10.</w:t>
      </w:r>
    </w:p>
  </w:footnote>
  <w:footnote w:id="7">
    <w:p w14:paraId="07AA3F89" w14:textId="2481E6FE" w:rsidR="004F6F29" w:rsidRPr="009348B8" w:rsidRDefault="004F6F29" w:rsidP="004F6F29">
      <w:pPr>
        <w:pStyle w:val="FootnoteText"/>
        <w:rPr>
          <w:rFonts w:ascii="Times New Roman" w:hAnsi="Times New Roman"/>
        </w:rPr>
      </w:pPr>
      <w:r w:rsidRPr="00784262">
        <w:rPr>
          <w:rStyle w:val="FootnoteReference"/>
          <w:sz w:val="22"/>
          <w:szCs w:val="22"/>
        </w:rPr>
        <w:footnoteRef/>
      </w:r>
      <w:r w:rsidRPr="00784262">
        <w:rPr>
          <w:sz w:val="22"/>
          <w:szCs w:val="22"/>
        </w:rPr>
        <w:t xml:space="preserve"> </w:t>
      </w:r>
      <w:r w:rsidRPr="00784262">
        <w:rPr>
          <w:rFonts w:ascii="Times New Roman" w:hAnsi="Times New Roman"/>
          <w:i/>
          <w:sz w:val="22"/>
          <w:szCs w:val="22"/>
        </w:rPr>
        <w:t>Id</w:t>
      </w:r>
      <w:r w:rsidRPr="00784262">
        <w:rPr>
          <w:rFonts w:ascii="Times New Roman" w:hAnsi="Times New Roman"/>
          <w:sz w:val="22"/>
          <w:szCs w:val="22"/>
        </w:rPr>
        <w:t>. ¶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8B35D" w14:textId="0ECCFF2C" w:rsidR="00F660C7" w:rsidRPr="009926F4" w:rsidRDefault="00F660C7" w:rsidP="00641A69">
    <w:pPr>
      <w:pStyle w:val="Header"/>
      <w:tabs>
        <w:tab w:val="left" w:pos="7500"/>
      </w:tabs>
      <w:spacing w:after="0"/>
      <w:rPr>
        <w:b/>
        <w:i/>
        <w:sz w:val="20"/>
        <w:szCs w:val="20"/>
      </w:rPr>
    </w:pPr>
    <w:r w:rsidRPr="00A3058F">
      <w:rPr>
        <w:b/>
        <w:sz w:val="20"/>
        <w:szCs w:val="20"/>
      </w:rPr>
      <w:t xml:space="preserve">DOCKET </w:t>
    </w:r>
    <w:r w:rsidR="00503CF0">
      <w:rPr>
        <w:b/>
        <w:sz w:val="20"/>
        <w:szCs w:val="20"/>
      </w:rPr>
      <w:t>T</w:t>
    </w:r>
    <w:r w:rsidR="00641A69">
      <w:rPr>
        <w:b/>
        <w:sz w:val="20"/>
        <w:szCs w:val="20"/>
      </w:rPr>
      <w:t>R</w:t>
    </w:r>
    <w:r w:rsidR="00503CF0">
      <w:rPr>
        <w:b/>
        <w:sz w:val="20"/>
        <w:szCs w:val="20"/>
      </w:rPr>
      <w:t>-1</w:t>
    </w:r>
    <w:r w:rsidR="00641A69">
      <w:rPr>
        <w:b/>
        <w:sz w:val="20"/>
        <w:szCs w:val="20"/>
      </w:rPr>
      <w:t>5028</w:t>
    </w:r>
    <w:r w:rsidR="005611B5">
      <w:rPr>
        <w:b/>
        <w:sz w:val="20"/>
        <w:szCs w:val="20"/>
      </w:rPr>
      <w:t>4</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FE2777">
      <w:rPr>
        <w:rStyle w:val="PageNumber"/>
        <w:b/>
        <w:noProof/>
        <w:sz w:val="20"/>
        <w:szCs w:val="20"/>
      </w:rPr>
      <w:t>4</w:t>
    </w:r>
    <w:r w:rsidRPr="00A3058F">
      <w:rPr>
        <w:rStyle w:val="PageNumber"/>
        <w:b/>
        <w:sz w:val="20"/>
        <w:szCs w:val="20"/>
      </w:rPr>
      <w:fldChar w:fldCharType="end"/>
    </w:r>
  </w:p>
  <w:p w14:paraId="5185AB29" w14:textId="707AB609" w:rsidR="00F660C7" w:rsidRPr="00A3058F" w:rsidRDefault="00F660C7">
    <w:pPr>
      <w:pStyle w:val="Header"/>
      <w:tabs>
        <w:tab w:val="left" w:pos="7500"/>
      </w:tabs>
      <w:rPr>
        <w:b/>
        <w:sz w:val="20"/>
        <w:szCs w:val="20"/>
      </w:rPr>
    </w:pPr>
    <w:r w:rsidRPr="00A3058F">
      <w:rPr>
        <w:b/>
        <w:sz w:val="20"/>
        <w:szCs w:val="20"/>
      </w:rPr>
      <w:t xml:space="preserve">ORDER </w:t>
    </w:r>
    <w:r w:rsidR="00A43DC9">
      <w:rPr>
        <w:b/>
        <w:sz w:val="20"/>
        <w:szCs w:val="20"/>
      </w:rPr>
      <w:t>0</w:t>
    </w:r>
    <w:r w:rsidR="00CA1B31">
      <w:rPr>
        <w:b/>
        <w:sz w:val="20"/>
        <w:szCs w:val="20"/>
      </w:rPr>
      <w:t>4</w:t>
    </w:r>
  </w:p>
  <w:p w14:paraId="10041C77" w14:textId="77777777" w:rsidR="00F660C7" w:rsidRDefault="00F660C7">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A957" w14:textId="02D3386E" w:rsidR="00F660C7" w:rsidRDefault="00F660C7" w:rsidP="004303C5">
    <w:pPr>
      <w:pStyle w:val="Header"/>
      <w:tabs>
        <w:tab w:val="clear" w:pos="4320"/>
        <w:tab w:val="clear" w:pos="8640"/>
        <w:tab w:val="right" w:pos="8500"/>
      </w:tabs>
      <w:jc w:val="right"/>
    </w:pPr>
    <w:r>
      <w:rPr>
        <w:b/>
        <w:sz w:val="20"/>
        <w:szCs w:val="20"/>
      </w:rPr>
      <w:tab/>
    </w:r>
    <w:r w:rsidR="005E0807">
      <w:rPr>
        <w:b/>
        <w:sz w:val="20"/>
        <w:szCs w:val="20"/>
      </w:rPr>
      <w:t>[Service Date February 25,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2241000"/>
    <w:multiLevelType w:val="hybridMultilevel"/>
    <w:tmpl w:val="E398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233C79"/>
    <w:multiLevelType w:val="hybridMultilevel"/>
    <w:tmpl w:val="27F08D86"/>
    <w:lvl w:ilvl="0" w:tplc="119CD01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192CD3"/>
    <w:multiLevelType w:val="hybridMultilevel"/>
    <w:tmpl w:val="C4D2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4A10F53"/>
    <w:multiLevelType w:val="hybridMultilevel"/>
    <w:tmpl w:val="CC76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043FCF"/>
    <w:multiLevelType w:val="hybridMultilevel"/>
    <w:tmpl w:val="D24C3AD6"/>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2"/>
  </w:num>
  <w:num w:numId="2">
    <w:abstractNumId w:val="18"/>
  </w:num>
  <w:num w:numId="3">
    <w:abstractNumId w:val="1"/>
  </w:num>
  <w:num w:numId="4">
    <w:abstractNumId w:val="24"/>
  </w:num>
  <w:num w:numId="5">
    <w:abstractNumId w:val="4"/>
  </w:num>
  <w:num w:numId="6">
    <w:abstractNumId w:val="19"/>
  </w:num>
  <w:num w:numId="7">
    <w:abstractNumId w:val="11"/>
  </w:num>
  <w:num w:numId="8">
    <w:abstractNumId w:val="23"/>
  </w:num>
  <w:num w:numId="9">
    <w:abstractNumId w:val="17"/>
  </w:num>
  <w:num w:numId="10">
    <w:abstractNumId w:val="5"/>
  </w:num>
  <w:num w:numId="11">
    <w:abstractNumId w:val="10"/>
  </w:num>
  <w:num w:numId="12">
    <w:abstractNumId w:val="22"/>
  </w:num>
  <w:num w:numId="13">
    <w:abstractNumId w:val="0"/>
  </w:num>
  <w:num w:numId="14">
    <w:abstractNumId w:val="3"/>
  </w:num>
  <w:num w:numId="15">
    <w:abstractNumId w:val="6"/>
  </w:num>
  <w:num w:numId="16">
    <w:abstractNumId w:val="5"/>
  </w:num>
  <w:num w:numId="17">
    <w:abstractNumId w:val="14"/>
  </w:num>
  <w:num w:numId="18">
    <w:abstractNumId w:val="9"/>
  </w:num>
  <w:num w:numId="19">
    <w:abstractNumId w:val="7"/>
  </w:num>
  <w:num w:numId="20">
    <w:abstractNumId w:val="20"/>
  </w:num>
  <w:num w:numId="21">
    <w:abstractNumId w:val="21"/>
  </w:num>
  <w:num w:numId="22">
    <w:abstractNumId w:val="13"/>
  </w:num>
  <w:num w:numId="23">
    <w:abstractNumId w:val="15"/>
  </w:num>
  <w:num w:numId="24">
    <w:abstractNumId w:val="2"/>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4829"/>
    <w:rsid w:val="00006AA6"/>
    <w:rsid w:val="00010F74"/>
    <w:rsid w:val="00012302"/>
    <w:rsid w:val="00024F34"/>
    <w:rsid w:val="00025520"/>
    <w:rsid w:val="00026A7E"/>
    <w:rsid w:val="00033960"/>
    <w:rsid w:val="00034C9D"/>
    <w:rsid w:val="00037FC8"/>
    <w:rsid w:val="00040E03"/>
    <w:rsid w:val="0004583F"/>
    <w:rsid w:val="00050223"/>
    <w:rsid w:val="000539B5"/>
    <w:rsid w:val="00056896"/>
    <w:rsid w:val="00060E92"/>
    <w:rsid w:val="00066BD7"/>
    <w:rsid w:val="00067116"/>
    <w:rsid w:val="00067828"/>
    <w:rsid w:val="00070CC5"/>
    <w:rsid w:val="000743E1"/>
    <w:rsid w:val="000749EC"/>
    <w:rsid w:val="00080526"/>
    <w:rsid w:val="00087CFD"/>
    <w:rsid w:val="00087F33"/>
    <w:rsid w:val="00091417"/>
    <w:rsid w:val="00091470"/>
    <w:rsid w:val="00093519"/>
    <w:rsid w:val="00093E12"/>
    <w:rsid w:val="000A18DA"/>
    <w:rsid w:val="000A18F8"/>
    <w:rsid w:val="000A65AE"/>
    <w:rsid w:val="000B1755"/>
    <w:rsid w:val="000C1BF5"/>
    <w:rsid w:val="000C45ED"/>
    <w:rsid w:val="000C48F0"/>
    <w:rsid w:val="000D09CD"/>
    <w:rsid w:val="000D0CEC"/>
    <w:rsid w:val="000D27AA"/>
    <w:rsid w:val="000D416C"/>
    <w:rsid w:val="000D7085"/>
    <w:rsid w:val="000E16D7"/>
    <w:rsid w:val="000E2641"/>
    <w:rsid w:val="000F2CED"/>
    <w:rsid w:val="000F5858"/>
    <w:rsid w:val="000F63D9"/>
    <w:rsid w:val="00104F5E"/>
    <w:rsid w:val="001066EB"/>
    <w:rsid w:val="00110852"/>
    <w:rsid w:val="0011087F"/>
    <w:rsid w:val="0011708E"/>
    <w:rsid w:val="00122A12"/>
    <w:rsid w:val="001248C1"/>
    <w:rsid w:val="00124E4D"/>
    <w:rsid w:val="001305AB"/>
    <w:rsid w:val="0013106B"/>
    <w:rsid w:val="00135F80"/>
    <w:rsid w:val="001413A3"/>
    <w:rsid w:val="00143ECB"/>
    <w:rsid w:val="00156E38"/>
    <w:rsid w:val="00161D01"/>
    <w:rsid w:val="00161E52"/>
    <w:rsid w:val="00162AD7"/>
    <w:rsid w:val="00163943"/>
    <w:rsid w:val="001657C6"/>
    <w:rsid w:val="00165D2E"/>
    <w:rsid w:val="001668DF"/>
    <w:rsid w:val="001743C6"/>
    <w:rsid w:val="0018207C"/>
    <w:rsid w:val="001843ED"/>
    <w:rsid w:val="00190527"/>
    <w:rsid w:val="00193EA4"/>
    <w:rsid w:val="001A10BC"/>
    <w:rsid w:val="001A6C13"/>
    <w:rsid w:val="001B1DE9"/>
    <w:rsid w:val="001B20FC"/>
    <w:rsid w:val="001B21C9"/>
    <w:rsid w:val="001B37E2"/>
    <w:rsid w:val="001B588A"/>
    <w:rsid w:val="001B5A4D"/>
    <w:rsid w:val="001B76E5"/>
    <w:rsid w:val="001D36D6"/>
    <w:rsid w:val="001D38C1"/>
    <w:rsid w:val="001D38CD"/>
    <w:rsid w:val="001D7945"/>
    <w:rsid w:val="001E224F"/>
    <w:rsid w:val="001E2D07"/>
    <w:rsid w:val="001E4C32"/>
    <w:rsid w:val="001E7255"/>
    <w:rsid w:val="001E7E97"/>
    <w:rsid w:val="001F093B"/>
    <w:rsid w:val="001F1621"/>
    <w:rsid w:val="001F538C"/>
    <w:rsid w:val="001F77D4"/>
    <w:rsid w:val="00201AD3"/>
    <w:rsid w:val="0020361D"/>
    <w:rsid w:val="00203AED"/>
    <w:rsid w:val="0020555B"/>
    <w:rsid w:val="0020787F"/>
    <w:rsid w:val="00210B72"/>
    <w:rsid w:val="00212638"/>
    <w:rsid w:val="002130A7"/>
    <w:rsid w:val="0021399F"/>
    <w:rsid w:val="00216A6C"/>
    <w:rsid w:val="00222C70"/>
    <w:rsid w:val="00223D09"/>
    <w:rsid w:val="00224ED6"/>
    <w:rsid w:val="0022591C"/>
    <w:rsid w:val="00226213"/>
    <w:rsid w:val="002267F5"/>
    <w:rsid w:val="00230229"/>
    <w:rsid w:val="0023263D"/>
    <w:rsid w:val="002327A0"/>
    <w:rsid w:val="00237564"/>
    <w:rsid w:val="0024536A"/>
    <w:rsid w:val="00246271"/>
    <w:rsid w:val="0025149F"/>
    <w:rsid w:val="00253B84"/>
    <w:rsid w:val="00253DC6"/>
    <w:rsid w:val="00257E99"/>
    <w:rsid w:val="00267BBF"/>
    <w:rsid w:val="0027078C"/>
    <w:rsid w:val="002744AE"/>
    <w:rsid w:val="002773EE"/>
    <w:rsid w:val="002851A4"/>
    <w:rsid w:val="00290475"/>
    <w:rsid w:val="002905AB"/>
    <w:rsid w:val="00294903"/>
    <w:rsid w:val="002959DD"/>
    <w:rsid w:val="002A1059"/>
    <w:rsid w:val="002A202A"/>
    <w:rsid w:val="002A2EFD"/>
    <w:rsid w:val="002A7DF6"/>
    <w:rsid w:val="002B0969"/>
    <w:rsid w:val="002B411C"/>
    <w:rsid w:val="002B4CAE"/>
    <w:rsid w:val="002B638C"/>
    <w:rsid w:val="002B65F7"/>
    <w:rsid w:val="002B66DF"/>
    <w:rsid w:val="002B6715"/>
    <w:rsid w:val="002C1240"/>
    <w:rsid w:val="002C2FC9"/>
    <w:rsid w:val="002C3999"/>
    <w:rsid w:val="002C39E5"/>
    <w:rsid w:val="002C4B2D"/>
    <w:rsid w:val="002D32B8"/>
    <w:rsid w:val="002D64F4"/>
    <w:rsid w:val="002D72C4"/>
    <w:rsid w:val="002E561A"/>
    <w:rsid w:val="002F00F9"/>
    <w:rsid w:val="002F113F"/>
    <w:rsid w:val="002F288C"/>
    <w:rsid w:val="002F4A1C"/>
    <w:rsid w:val="002F4B2B"/>
    <w:rsid w:val="002F602D"/>
    <w:rsid w:val="003032DB"/>
    <w:rsid w:val="003048B5"/>
    <w:rsid w:val="0030533C"/>
    <w:rsid w:val="003057EE"/>
    <w:rsid w:val="00307C5A"/>
    <w:rsid w:val="003123EC"/>
    <w:rsid w:val="00314DE5"/>
    <w:rsid w:val="0031555F"/>
    <w:rsid w:val="00315AF5"/>
    <w:rsid w:val="00317165"/>
    <w:rsid w:val="00323F91"/>
    <w:rsid w:val="00333288"/>
    <w:rsid w:val="00333309"/>
    <w:rsid w:val="00336D27"/>
    <w:rsid w:val="003370BA"/>
    <w:rsid w:val="003376CA"/>
    <w:rsid w:val="00341F6A"/>
    <w:rsid w:val="00347C31"/>
    <w:rsid w:val="00347D7E"/>
    <w:rsid w:val="00350D95"/>
    <w:rsid w:val="003518AF"/>
    <w:rsid w:val="00360219"/>
    <w:rsid w:val="003613CA"/>
    <w:rsid w:val="003614B1"/>
    <w:rsid w:val="00361833"/>
    <w:rsid w:val="003633BB"/>
    <w:rsid w:val="00377724"/>
    <w:rsid w:val="003814A6"/>
    <w:rsid w:val="003816EA"/>
    <w:rsid w:val="00382D56"/>
    <w:rsid w:val="00394F38"/>
    <w:rsid w:val="00395BBC"/>
    <w:rsid w:val="00395E32"/>
    <w:rsid w:val="003A315B"/>
    <w:rsid w:val="003A3E3D"/>
    <w:rsid w:val="003A65D0"/>
    <w:rsid w:val="003A6AEF"/>
    <w:rsid w:val="003B015D"/>
    <w:rsid w:val="003B48E5"/>
    <w:rsid w:val="003B7E78"/>
    <w:rsid w:val="003C3C3E"/>
    <w:rsid w:val="003C416A"/>
    <w:rsid w:val="003C556C"/>
    <w:rsid w:val="003C5820"/>
    <w:rsid w:val="003C5E10"/>
    <w:rsid w:val="003C7BD7"/>
    <w:rsid w:val="003D179D"/>
    <w:rsid w:val="003D2157"/>
    <w:rsid w:val="003D2C5B"/>
    <w:rsid w:val="003D35F1"/>
    <w:rsid w:val="003D56AC"/>
    <w:rsid w:val="003D6235"/>
    <w:rsid w:val="003D6D99"/>
    <w:rsid w:val="003D7256"/>
    <w:rsid w:val="003E02BF"/>
    <w:rsid w:val="003F0395"/>
    <w:rsid w:val="003F1521"/>
    <w:rsid w:val="003F26CE"/>
    <w:rsid w:val="003F3547"/>
    <w:rsid w:val="00401346"/>
    <w:rsid w:val="00401BBF"/>
    <w:rsid w:val="00402A2F"/>
    <w:rsid w:val="00402C78"/>
    <w:rsid w:val="00407DE0"/>
    <w:rsid w:val="0041067D"/>
    <w:rsid w:val="00412AB8"/>
    <w:rsid w:val="0041407F"/>
    <w:rsid w:val="00415CCC"/>
    <w:rsid w:val="00415CF5"/>
    <w:rsid w:val="00417E14"/>
    <w:rsid w:val="00426D95"/>
    <w:rsid w:val="00427761"/>
    <w:rsid w:val="0043009C"/>
    <w:rsid w:val="004303C5"/>
    <w:rsid w:val="0043262B"/>
    <w:rsid w:val="004363C5"/>
    <w:rsid w:val="00436809"/>
    <w:rsid w:val="00440C11"/>
    <w:rsid w:val="00441A6D"/>
    <w:rsid w:val="00444E8D"/>
    <w:rsid w:val="004450F8"/>
    <w:rsid w:val="00445BEE"/>
    <w:rsid w:val="00446D7F"/>
    <w:rsid w:val="00450BD1"/>
    <w:rsid w:val="00457065"/>
    <w:rsid w:val="00465DE8"/>
    <w:rsid w:val="004671E9"/>
    <w:rsid w:val="0047091D"/>
    <w:rsid w:val="00471CF2"/>
    <w:rsid w:val="00472937"/>
    <w:rsid w:val="00477074"/>
    <w:rsid w:val="0048227E"/>
    <w:rsid w:val="004841B4"/>
    <w:rsid w:val="00491163"/>
    <w:rsid w:val="0049195E"/>
    <w:rsid w:val="004963E4"/>
    <w:rsid w:val="004A50F1"/>
    <w:rsid w:val="004A5B95"/>
    <w:rsid w:val="004A755E"/>
    <w:rsid w:val="004A7B29"/>
    <w:rsid w:val="004B35FB"/>
    <w:rsid w:val="004B3C0B"/>
    <w:rsid w:val="004B3DC3"/>
    <w:rsid w:val="004B4440"/>
    <w:rsid w:val="004B5CFA"/>
    <w:rsid w:val="004C037E"/>
    <w:rsid w:val="004C18B6"/>
    <w:rsid w:val="004C24B6"/>
    <w:rsid w:val="004C7DB2"/>
    <w:rsid w:val="004D1122"/>
    <w:rsid w:val="004D41BB"/>
    <w:rsid w:val="004D52C8"/>
    <w:rsid w:val="004D5C4D"/>
    <w:rsid w:val="004D6327"/>
    <w:rsid w:val="004D7500"/>
    <w:rsid w:val="004E144F"/>
    <w:rsid w:val="004E4C1F"/>
    <w:rsid w:val="004E521E"/>
    <w:rsid w:val="004E54A4"/>
    <w:rsid w:val="004E752F"/>
    <w:rsid w:val="004F0424"/>
    <w:rsid w:val="004F3E1C"/>
    <w:rsid w:val="004F4C07"/>
    <w:rsid w:val="004F5D4C"/>
    <w:rsid w:val="004F6E68"/>
    <w:rsid w:val="004F6F29"/>
    <w:rsid w:val="00501BDD"/>
    <w:rsid w:val="00503866"/>
    <w:rsid w:val="00503CF0"/>
    <w:rsid w:val="00504862"/>
    <w:rsid w:val="005055F3"/>
    <w:rsid w:val="0050560B"/>
    <w:rsid w:val="00506493"/>
    <w:rsid w:val="0050663B"/>
    <w:rsid w:val="00506765"/>
    <w:rsid w:val="00507042"/>
    <w:rsid w:val="00511797"/>
    <w:rsid w:val="00516891"/>
    <w:rsid w:val="00522B65"/>
    <w:rsid w:val="005266CF"/>
    <w:rsid w:val="00526C60"/>
    <w:rsid w:val="00532CAF"/>
    <w:rsid w:val="00533172"/>
    <w:rsid w:val="005332E5"/>
    <w:rsid w:val="00537FA8"/>
    <w:rsid w:val="00540525"/>
    <w:rsid w:val="00540FC5"/>
    <w:rsid w:val="0054254D"/>
    <w:rsid w:val="00544C32"/>
    <w:rsid w:val="00547DFD"/>
    <w:rsid w:val="00550283"/>
    <w:rsid w:val="005578B1"/>
    <w:rsid w:val="005611B5"/>
    <w:rsid w:val="00566525"/>
    <w:rsid w:val="00566ABC"/>
    <w:rsid w:val="00566F0F"/>
    <w:rsid w:val="00570C58"/>
    <w:rsid w:val="00572D6F"/>
    <w:rsid w:val="00572F50"/>
    <w:rsid w:val="00574824"/>
    <w:rsid w:val="005759DF"/>
    <w:rsid w:val="00592F9C"/>
    <w:rsid w:val="00593955"/>
    <w:rsid w:val="005971DF"/>
    <w:rsid w:val="005A1B0F"/>
    <w:rsid w:val="005A22D0"/>
    <w:rsid w:val="005A272D"/>
    <w:rsid w:val="005A2B62"/>
    <w:rsid w:val="005A37BC"/>
    <w:rsid w:val="005A608F"/>
    <w:rsid w:val="005B3E0A"/>
    <w:rsid w:val="005B3E8B"/>
    <w:rsid w:val="005C14C5"/>
    <w:rsid w:val="005C152F"/>
    <w:rsid w:val="005C50F9"/>
    <w:rsid w:val="005C7718"/>
    <w:rsid w:val="005D3919"/>
    <w:rsid w:val="005E0807"/>
    <w:rsid w:val="005E28EE"/>
    <w:rsid w:val="005E2EFB"/>
    <w:rsid w:val="005F0FAE"/>
    <w:rsid w:val="005F7A74"/>
    <w:rsid w:val="00602D0D"/>
    <w:rsid w:val="00603378"/>
    <w:rsid w:val="00604FA8"/>
    <w:rsid w:val="00606933"/>
    <w:rsid w:val="0062391D"/>
    <w:rsid w:val="00625260"/>
    <w:rsid w:val="00632FFB"/>
    <w:rsid w:val="00634276"/>
    <w:rsid w:val="00635B01"/>
    <w:rsid w:val="006418A3"/>
    <w:rsid w:val="00641A69"/>
    <w:rsid w:val="0064523D"/>
    <w:rsid w:val="00645388"/>
    <w:rsid w:val="006463BF"/>
    <w:rsid w:val="00647302"/>
    <w:rsid w:val="00652713"/>
    <w:rsid w:val="00653F70"/>
    <w:rsid w:val="00655AC9"/>
    <w:rsid w:val="00655F16"/>
    <w:rsid w:val="006574F1"/>
    <w:rsid w:val="00657C3C"/>
    <w:rsid w:val="006607BE"/>
    <w:rsid w:val="00661B90"/>
    <w:rsid w:val="0066216E"/>
    <w:rsid w:val="006640FE"/>
    <w:rsid w:val="0066529F"/>
    <w:rsid w:val="00665E12"/>
    <w:rsid w:val="006673D8"/>
    <w:rsid w:val="00671609"/>
    <w:rsid w:val="00671D25"/>
    <w:rsid w:val="006749DE"/>
    <w:rsid w:val="0068756E"/>
    <w:rsid w:val="00693159"/>
    <w:rsid w:val="006A4CAF"/>
    <w:rsid w:val="006B2415"/>
    <w:rsid w:val="006B4B79"/>
    <w:rsid w:val="006B7DFD"/>
    <w:rsid w:val="006C0E03"/>
    <w:rsid w:val="006C48F0"/>
    <w:rsid w:val="006D1AC9"/>
    <w:rsid w:val="006D28B7"/>
    <w:rsid w:val="006E0530"/>
    <w:rsid w:val="006E0846"/>
    <w:rsid w:val="006E1E9F"/>
    <w:rsid w:val="006E29D9"/>
    <w:rsid w:val="006E33BA"/>
    <w:rsid w:val="006E4A01"/>
    <w:rsid w:val="006E5595"/>
    <w:rsid w:val="006E59F8"/>
    <w:rsid w:val="006F1F39"/>
    <w:rsid w:val="006F6299"/>
    <w:rsid w:val="00701A3A"/>
    <w:rsid w:val="00704413"/>
    <w:rsid w:val="00705F32"/>
    <w:rsid w:val="007069FF"/>
    <w:rsid w:val="0071069F"/>
    <w:rsid w:val="007137D9"/>
    <w:rsid w:val="00715964"/>
    <w:rsid w:val="00721611"/>
    <w:rsid w:val="007243BB"/>
    <w:rsid w:val="00735050"/>
    <w:rsid w:val="00737BB8"/>
    <w:rsid w:val="00740ED6"/>
    <w:rsid w:val="0074419B"/>
    <w:rsid w:val="0075002E"/>
    <w:rsid w:val="00751AD5"/>
    <w:rsid w:val="0075236E"/>
    <w:rsid w:val="00753E7A"/>
    <w:rsid w:val="007544DE"/>
    <w:rsid w:val="007548FD"/>
    <w:rsid w:val="00756186"/>
    <w:rsid w:val="00761FBB"/>
    <w:rsid w:val="007634C9"/>
    <w:rsid w:val="00765FAD"/>
    <w:rsid w:val="00773B07"/>
    <w:rsid w:val="007742DA"/>
    <w:rsid w:val="0077488A"/>
    <w:rsid w:val="00776562"/>
    <w:rsid w:val="00776F97"/>
    <w:rsid w:val="0077744C"/>
    <w:rsid w:val="00777A91"/>
    <w:rsid w:val="007825EA"/>
    <w:rsid w:val="00782D3C"/>
    <w:rsid w:val="00783100"/>
    <w:rsid w:val="00784262"/>
    <w:rsid w:val="00787DAE"/>
    <w:rsid w:val="007938FE"/>
    <w:rsid w:val="007A0E80"/>
    <w:rsid w:val="007A130D"/>
    <w:rsid w:val="007A2956"/>
    <w:rsid w:val="007A6909"/>
    <w:rsid w:val="007A6E47"/>
    <w:rsid w:val="007A7526"/>
    <w:rsid w:val="007A77F4"/>
    <w:rsid w:val="007B37AC"/>
    <w:rsid w:val="007B4E87"/>
    <w:rsid w:val="007C080A"/>
    <w:rsid w:val="007C091F"/>
    <w:rsid w:val="007C2A48"/>
    <w:rsid w:val="007C2B76"/>
    <w:rsid w:val="007C2BFB"/>
    <w:rsid w:val="007C79C4"/>
    <w:rsid w:val="007D31C1"/>
    <w:rsid w:val="007E09AC"/>
    <w:rsid w:val="007E4BBE"/>
    <w:rsid w:val="007E6EA3"/>
    <w:rsid w:val="007F5092"/>
    <w:rsid w:val="00802153"/>
    <w:rsid w:val="00804F1F"/>
    <w:rsid w:val="00807CF5"/>
    <w:rsid w:val="00807D23"/>
    <w:rsid w:val="00807D4E"/>
    <w:rsid w:val="008202E2"/>
    <w:rsid w:val="00821860"/>
    <w:rsid w:val="0082457D"/>
    <w:rsid w:val="008245A4"/>
    <w:rsid w:val="0082598E"/>
    <w:rsid w:val="0082609C"/>
    <w:rsid w:val="00827C4C"/>
    <w:rsid w:val="0083198C"/>
    <w:rsid w:val="0083376A"/>
    <w:rsid w:val="008341A6"/>
    <w:rsid w:val="00834F91"/>
    <w:rsid w:val="00836182"/>
    <w:rsid w:val="0084326B"/>
    <w:rsid w:val="008434E6"/>
    <w:rsid w:val="008452EF"/>
    <w:rsid w:val="00846585"/>
    <w:rsid w:val="00847C90"/>
    <w:rsid w:val="00855941"/>
    <w:rsid w:val="008560D7"/>
    <w:rsid w:val="00856D2B"/>
    <w:rsid w:val="00857BE9"/>
    <w:rsid w:val="00860100"/>
    <w:rsid w:val="00861C6B"/>
    <w:rsid w:val="0086319F"/>
    <w:rsid w:val="0086445E"/>
    <w:rsid w:val="00871A60"/>
    <w:rsid w:val="008738B8"/>
    <w:rsid w:val="00875A80"/>
    <w:rsid w:val="00875DD8"/>
    <w:rsid w:val="008859A7"/>
    <w:rsid w:val="00885A30"/>
    <w:rsid w:val="00891A8A"/>
    <w:rsid w:val="008A1A57"/>
    <w:rsid w:val="008A1F84"/>
    <w:rsid w:val="008A3826"/>
    <w:rsid w:val="008A4D72"/>
    <w:rsid w:val="008A5A4F"/>
    <w:rsid w:val="008A7705"/>
    <w:rsid w:val="008B1AB6"/>
    <w:rsid w:val="008B1BB5"/>
    <w:rsid w:val="008B23AC"/>
    <w:rsid w:val="008C3790"/>
    <w:rsid w:val="008C3A8A"/>
    <w:rsid w:val="008C4D15"/>
    <w:rsid w:val="008D0447"/>
    <w:rsid w:val="008D06E8"/>
    <w:rsid w:val="008D17A6"/>
    <w:rsid w:val="008D1A3D"/>
    <w:rsid w:val="008D3550"/>
    <w:rsid w:val="008D5433"/>
    <w:rsid w:val="008E05AC"/>
    <w:rsid w:val="008E1A4D"/>
    <w:rsid w:val="008E29F3"/>
    <w:rsid w:val="008E5161"/>
    <w:rsid w:val="008F01FD"/>
    <w:rsid w:val="008F782C"/>
    <w:rsid w:val="008F7B23"/>
    <w:rsid w:val="00901005"/>
    <w:rsid w:val="009023BB"/>
    <w:rsid w:val="00903432"/>
    <w:rsid w:val="009053D1"/>
    <w:rsid w:val="0090632B"/>
    <w:rsid w:val="00921118"/>
    <w:rsid w:val="00921CA5"/>
    <w:rsid w:val="009348B8"/>
    <w:rsid w:val="00935719"/>
    <w:rsid w:val="00936308"/>
    <w:rsid w:val="0093784D"/>
    <w:rsid w:val="0094070D"/>
    <w:rsid w:val="009418E1"/>
    <w:rsid w:val="00943D8C"/>
    <w:rsid w:val="0094428E"/>
    <w:rsid w:val="00944455"/>
    <w:rsid w:val="0094590A"/>
    <w:rsid w:val="00955D5D"/>
    <w:rsid w:val="009573C9"/>
    <w:rsid w:val="009624C7"/>
    <w:rsid w:val="0096446E"/>
    <w:rsid w:val="009653A1"/>
    <w:rsid w:val="00965E80"/>
    <w:rsid w:val="00980A90"/>
    <w:rsid w:val="00982357"/>
    <w:rsid w:val="00991A0D"/>
    <w:rsid w:val="009926F4"/>
    <w:rsid w:val="009A04F7"/>
    <w:rsid w:val="009A0534"/>
    <w:rsid w:val="009A14DC"/>
    <w:rsid w:val="009A1AAC"/>
    <w:rsid w:val="009A47E7"/>
    <w:rsid w:val="009A576B"/>
    <w:rsid w:val="009A6407"/>
    <w:rsid w:val="009B0BED"/>
    <w:rsid w:val="009B16FE"/>
    <w:rsid w:val="009B4586"/>
    <w:rsid w:val="009B50FC"/>
    <w:rsid w:val="009B5AAE"/>
    <w:rsid w:val="009B75CE"/>
    <w:rsid w:val="009C1CBE"/>
    <w:rsid w:val="009C7489"/>
    <w:rsid w:val="009D593C"/>
    <w:rsid w:val="009D603B"/>
    <w:rsid w:val="009D6DA9"/>
    <w:rsid w:val="009E0A5F"/>
    <w:rsid w:val="009E2756"/>
    <w:rsid w:val="009E2947"/>
    <w:rsid w:val="009E771B"/>
    <w:rsid w:val="009F03CC"/>
    <w:rsid w:val="009F0ACA"/>
    <w:rsid w:val="009F1E33"/>
    <w:rsid w:val="009F3071"/>
    <w:rsid w:val="009F4781"/>
    <w:rsid w:val="009F5811"/>
    <w:rsid w:val="009F6C2C"/>
    <w:rsid w:val="009F7EA7"/>
    <w:rsid w:val="00A04171"/>
    <w:rsid w:val="00A06FB1"/>
    <w:rsid w:val="00A1302C"/>
    <w:rsid w:val="00A15598"/>
    <w:rsid w:val="00A1599D"/>
    <w:rsid w:val="00A213B7"/>
    <w:rsid w:val="00A22808"/>
    <w:rsid w:val="00A24A68"/>
    <w:rsid w:val="00A3058F"/>
    <w:rsid w:val="00A32857"/>
    <w:rsid w:val="00A348A1"/>
    <w:rsid w:val="00A367E2"/>
    <w:rsid w:val="00A37402"/>
    <w:rsid w:val="00A42996"/>
    <w:rsid w:val="00A43DC9"/>
    <w:rsid w:val="00A44D90"/>
    <w:rsid w:val="00A47C2B"/>
    <w:rsid w:val="00A55AFF"/>
    <w:rsid w:val="00A55FC7"/>
    <w:rsid w:val="00A56A49"/>
    <w:rsid w:val="00A572F7"/>
    <w:rsid w:val="00A57DAC"/>
    <w:rsid w:val="00A608EA"/>
    <w:rsid w:val="00A60CFB"/>
    <w:rsid w:val="00A60D10"/>
    <w:rsid w:val="00A61EA6"/>
    <w:rsid w:val="00A62720"/>
    <w:rsid w:val="00A62FCE"/>
    <w:rsid w:val="00A63EC4"/>
    <w:rsid w:val="00A67096"/>
    <w:rsid w:val="00A70D52"/>
    <w:rsid w:val="00A75EBD"/>
    <w:rsid w:val="00A77A81"/>
    <w:rsid w:val="00A80B43"/>
    <w:rsid w:val="00A812B5"/>
    <w:rsid w:val="00AA13A1"/>
    <w:rsid w:val="00AA1962"/>
    <w:rsid w:val="00AA57CC"/>
    <w:rsid w:val="00AA58C4"/>
    <w:rsid w:val="00AA5C0C"/>
    <w:rsid w:val="00AB1E17"/>
    <w:rsid w:val="00AB3F5E"/>
    <w:rsid w:val="00AB6BEC"/>
    <w:rsid w:val="00AD373C"/>
    <w:rsid w:val="00AD4C84"/>
    <w:rsid w:val="00AD70E0"/>
    <w:rsid w:val="00AE03DD"/>
    <w:rsid w:val="00AE1A00"/>
    <w:rsid w:val="00AE2F02"/>
    <w:rsid w:val="00AE3239"/>
    <w:rsid w:val="00AE4895"/>
    <w:rsid w:val="00AE75C2"/>
    <w:rsid w:val="00AF3E15"/>
    <w:rsid w:val="00AF4B5D"/>
    <w:rsid w:val="00AF4DD1"/>
    <w:rsid w:val="00AF6EA4"/>
    <w:rsid w:val="00B0319E"/>
    <w:rsid w:val="00B03C88"/>
    <w:rsid w:val="00B10005"/>
    <w:rsid w:val="00B13A14"/>
    <w:rsid w:val="00B1618E"/>
    <w:rsid w:val="00B2030A"/>
    <w:rsid w:val="00B2284E"/>
    <w:rsid w:val="00B235D5"/>
    <w:rsid w:val="00B2477A"/>
    <w:rsid w:val="00B2781E"/>
    <w:rsid w:val="00B337DF"/>
    <w:rsid w:val="00B431E3"/>
    <w:rsid w:val="00B47765"/>
    <w:rsid w:val="00B51389"/>
    <w:rsid w:val="00B517F6"/>
    <w:rsid w:val="00B520DA"/>
    <w:rsid w:val="00B52DFA"/>
    <w:rsid w:val="00B545B2"/>
    <w:rsid w:val="00B64E29"/>
    <w:rsid w:val="00B65376"/>
    <w:rsid w:val="00B664D3"/>
    <w:rsid w:val="00B72462"/>
    <w:rsid w:val="00B773CD"/>
    <w:rsid w:val="00B861DE"/>
    <w:rsid w:val="00B86658"/>
    <w:rsid w:val="00B90CB9"/>
    <w:rsid w:val="00B91677"/>
    <w:rsid w:val="00BA5BA7"/>
    <w:rsid w:val="00BB0EDB"/>
    <w:rsid w:val="00BB5222"/>
    <w:rsid w:val="00BB61BA"/>
    <w:rsid w:val="00BC17A4"/>
    <w:rsid w:val="00BC1F6D"/>
    <w:rsid w:val="00BC2995"/>
    <w:rsid w:val="00BC2B36"/>
    <w:rsid w:val="00BC3FDA"/>
    <w:rsid w:val="00BC4ADB"/>
    <w:rsid w:val="00BC54C9"/>
    <w:rsid w:val="00BC688C"/>
    <w:rsid w:val="00BD161A"/>
    <w:rsid w:val="00BD6BDF"/>
    <w:rsid w:val="00BD7482"/>
    <w:rsid w:val="00BE1454"/>
    <w:rsid w:val="00BE287B"/>
    <w:rsid w:val="00BE5F3B"/>
    <w:rsid w:val="00BF0D7E"/>
    <w:rsid w:val="00BF585A"/>
    <w:rsid w:val="00BF5C27"/>
    <w:rsid w:val="00C0361A"/>
    <w:rsid w:val="00C05FF3"/>
    <w:rsid w:val="00C0605F"/>
    <w:rsid w:val="00C10531"/>
    <w:rsid w:val="00C12D92"/>
    <w:rsid w:val="00C12E31"/>
    <w:rsid w:val="00C13EF9"/>
    <w:rsid w:val="00C20204"/>
    <w:rsid w:val="00C233C5"/>
    <w:rsid w:val="00C23C7E"/>
    <w:rsid w:val="00C26469"/>
    <w:rsid w:val="00C30AAA"/>
    <w:rsid w:val="00C3302B"/>
    <w:rsid w:val="00C34B05"/>
    <w:rsid w:val="00C41DF9"/>
    <w:rsid w:val="00C4605D"/>
    <w:rsid w:val="00C46A9E"/>
    <w:rsid w:val="00C529DB"/>
    <w:rsid w:val="00C5360E"/>
    <w:rsid w:val="00C54BAE"/>
    <w:rsid w:val="00C550DC"/>
    <w:rsid w:val="00C56310"/>
    <w:rsid w:val="00C56A85"/>
    <w:rsid w:val="00C61727"/>
    <w:rsid w:val="00C67FF4"/>
    <w:rsid w:val="00C72E68"/>
    <w:rsid w:val="00C747F9"/>
    <w:rsid w:val="00C7603A"/>
    <w:rsid w:val="00C84EFC"/>
    <w:rsid w:val="00C87793"/>
    <w:rsid w:val="00C91754"/>
    <w:rsid w:val="00C942B7"/>
    <w:rsid w:val="00CA0E25"/>
    <w:rsid w:val="00CA1B31"/>
    <w:rsid w:val="00CA56F2"/>
    <w:rsid w:val="00CA73CC"/>
    <w:rsid w:val="00CB3A38"/>
    <w:rsid w:val="00CB5BA3"/>
    <w:rsid w:val="00CC032B"/>
    <w:rsid w:val="00CC5973"/>
    <w:rsid w:val="00CC764F"/>
    <w:rsid w:val="00CC7A16"/>
    <w:rsid w:val="00CE00E1"/>
    <w:rsid w:val="00CE57E3"/>
    <w:rsid w:val="00CE7D37"/>
    <w:rsid w:val="00CF193D"/>
    <w:rsid w:val="00CF1FE2"/>
    <w:rsid w:val="00CF3AD9"/>
    <w:rsid w:val="00CF4A80"/>
    <w:rsid w:val="00CF73E8"/>
    <w:rsid w:val="00CF784B"/>
    <w:rsid w:val="00D01377"/>
    <w:rsid w:val="00D0255A"/>
    <w:rsid w:val="00D0339B"/>
    <w:rsid w:val="00D03BDE"/>
    <w:rsid w:val="00D1007C"/>
    <w:rsid w:val="00D10D07"/>
    <w:rsid w:val="00D123B7"/>
    <w:rsid w:val="00D130A4"/>
    <w:rsid w:val="00D16C1C"/>
    <w:rsid w:val="00D23426"/>
    <w:rsid w:val="00D24472"/>
    <w:rsid w:val="00D2524D"/>
    <w:rsid w:val="00D26E33"/>
    <w:rsid w:val="00D27AAC"/>
    <w:rsid w:val="00D30650"/>
    <w:rsid w:val="00D32478"/>
    <w:rsid w:val="00D3293E"/>
    <w:rsid w:val="00D335C5"/>
    <w:rsid w:val="00D37044"/>
    <w:rsid w:val="00D37088"/>
    <w:rsid w:val="00D370BB"/>
    <w:rsid w:val="00D413FF"/>
    <w:rsid w:val="00D42611"/>
    <w:rsid w:val="00D42AC8"/>
    <w:rsid w:val="00D46D68"/>
    <w:rsid w:val="00D46E3F"/>
    <w:rsid w:val="00D4799C"/>
    <w:rsid w:val="00D5231F"/>
    <w:rsid w:val="00D52D0C"/>
    <w:rsid w:val="00D532ED"/>
    <w:rsid w:val="00D55F69"/>
    <w:rsid w:val="00D57049"/>
    <w:rsid w:val="00D60475"/>
    <w:rsid w:val="00D65108"/>
    <w:rsid w:val="00D77D63"/>
    <w:rsid w:val="00D8365F"/>
    <w:rsid w:val="00D84C1C"/>
    <w:rsid w:val="00D84CB1"/>
    <w:rsid w:val="00D859AE"/>
    <w:rsid w:val="00D87220"/>
    <w:rsid w:val="00D90FCE"/>
    <w:rsid w:val="00D92D5F"/>
    <w:rsid w:val="00D9538D"/>
    <w:rsid w:val="00D95410"/>
    <w:rsid w:val="00D96159"/>
    <w:rsid w:val="00DA5DBB"/>
    <w:rsid w:val="00DB2066"/>
    <w:rsid w:val="00DB55BB"/>
    <w:rsid w:val="00DB7782"/>
    <w:rsid w:val="00DC1377"/>
    <w:rsid w:val="00DC2871"/>
    <w:rsid w:val="00DC419F"/>
    <w:rsid w:val="00DC4867"/>
    <w:rsid w:val="00DD0DCE"/>
    <w:rsid w:val="00DD1B44"/>
    <w:rsid w:val="00DD65FD"/>
    <w:rsid w:val="00DE1A51"/>
    <w:rsid w:val="00DE1B7E"/>
    <w:rsid w:val="00DE62A6"/>
    <w:rsid w:val="00DF0C01"/>
    <w:rsid w:val="00DF60A2"/>
    <w:rsid w:val="00E00106"/>
    <w:rsid w:val="00E06387"/>
    <w:rsid w:val="00E064C0"/>
    <w:rsid w:val="00E105D7"/>
    <w:rsid w:val="00E12B40"/>
    <w:rsid w:val="00E16993"/>
    <w:rsid w:val="00E17F82"/>
    <w:rsid w:val="00E27AAB"/>
    <w:rsid w:val="00E27B1E"/>
    <w:rsid w:val="00E30412"/>
    <w:rsid w:val="00E30EFE"/>
    <w:rsid w:val="00E31BE9"/>
    <w:rsid w:val="00E37F39"/>
    <w:rsid w:val="00E4229A"/>
    <w:rsid w:val="00E42483"/>
    <w:rsid w:val="00E42DBE"/>
    <w:rsid w:val="00E42F47"/>
    <w:rsid w:val="00E436B0"/>
    <w:rsid w:val="00E45EB0"/>
    <w:rsid w:val="00E468F3"/>
    <w:rsid w:val="00E512B4"/>
    <w:rsid w:val="00E52504"/>
    <w:rsid w:val="00E5282B"/>
    <w:rsid w:val="00E63CC1"/>
    <w:rsid w:val="00E65763"/>
    <w:rsid w:val="00E65AB7"/>
    <w:rsid w:val="00E67A29"/>
    <w:rsid w:val="00E71B2D"/>
    <w:rsid w:val="00E72785"/>
    <w:rsid w:val="00E77DD3"/>
    <w:rsid w:val="00E814B6"/>
    <w:rsid w:val="00E85339"/>
    <w:rsid w:val="00E9026F"/>
    <w:rsid w:val="00E924CE"/>
    <w:rsid w:val="00E9335A"/>
    <w:rsid w:val="00E9557D"/>
    <w:rsid w:val="00E95B1E"/>
    <w:rsid w:val="00E9644B"/>
    <w:rsid w:val="00EA2122"/>
    <w:rsid w:val="00EA388B"/>
    <w:rsid w:val="00EB2091"/>
    <w:rsid w:val="00EB2767"/>
    <w:rsid w:val="00EB3543"/>
    <w:rsid w:val="00EB55B2"/>
    <w:rsid w:val="00EC1272"/>
    <w:rsid w:val="00EC7486"/>
    <w:rsid w:val="00EC78D7"/>
    <w:rsid w:val="00EC7B8E"/>
    <w:rsid w:val="00ED1AE4"/>
    <w:rsid w:val="00ED39BC"/>
    <w:rsid w:val="00ED5D28"/>
    <w:rsid w:val="00ED763D"/>
    <w:rsid w:val="00EE103B"/>
    <w:rsid w:val="00EE2AB9"/>
    <w:rsid w:val="00EE45F4"/>
    <w:rsid w:val="00EF1C56"/>
    <w:rsid w:val="00EF21C4"/>
    <w:rsid w:val="00EF3031"/>
    <w:rsid w:val="00EF6067"/>
    <w:rsid w:val="00EF6CD2"/>
    <w:rsid w:val="00EF7771"/>
    <w:rsid w:val="00F02A47"/>
    <w:rsid w:val="00F03D4E"/>
    <w:rsid w:val="00F1231E"/>
    <w:rsid w:val="00F143C5"/>
    <w:rsid w:val="00F151B6"/>
    <w:rsid w:val="00F174BF"/>
    <w:rsid w:val="00F227AF"/>
    <w:rsid w:val="00F23A02"/>
    <w:rsid w:val="00F268BC"/>
    <w:rsid w:val="00F26D2F"/>
    <w:rsid w:val="00F26FCC"/>
    <w:rsid w:val="00F31319"/>
    <w:rsid w:val="00F374A2"/>
    <w:rsid w:val="00F37723"/>
    <w:rsid w:val="00F37BD1"/>
    <w:rsid w:val="00F40811"/>
    <w:rsid w:val="00F41FBA"/>
    <w:rsid w:val="00F43C59"/>
    <w:rsid w:val="00F47269"/>
    <w:rsid w:val="00F4757A"/>
    <w:rsid w:val="00F5205C"/>
    <w:rsid w:val="00F5751D"/>
    <w:rsid w:val="00F57C7A"/>
    <w:rsid w:val="00F61764"/>
    <w:rsid w:val="00F61E9A"/>
    <w:rsid w:val="00F638CF"/>
    <w:rsid w:val="00F65942"/>
    <w:rsid w:val="00F660C7"/>
    <w:rsid w:val="00F6611F"/>
    <w:rsid w:val="00F71E18"/>
    <w:rsid w:val="00F733F6"/>
    <w:rsid w:val="00F74668"/>
    <w:rsid w:val="00F7491D"/>
    <w:rsid w:val="00F77831"/>
    <w:rsid w:val="00F81229"/>
    <w:rsid w:val="00F90585"/>
    <w:rsid w:val="00F93FB7"/>
    <w:rsid w:val="00FA0564"/>
    <w:rsid w:val="00FA0A8F"/>
    <w:rsid w:val="00FA1E5A"/>
    <w:rsid w:val="00FA2E4B"/>
    <w:rsid w:val="00FA731A"/>
    <w:rsid w:val="00FA7B48"/>
    <w:rsid w:val="00FB1864"/>
    <w:rsid w:val="00FC2AA6"/>
    <w:rsid w:val="00FC65B8"/>
    <w:rsid w:val="00FD09BF"/>
    <w:rsid w:val="00FD354C"/>
    <w:rsid w:val="00FD4B72"/>
    <w:rsid w:val="00FD6CDB"/>
    <w:rsid w:val="00FD7165"/>
    <w:rsid w:val="00FE0CB7"/>
    <w:rsid w:val="00FE20B1"/>
    <w:rsid w:val="00FE2777"/>
    <w:rsid w:val="00FE3981"/>
    <w:rsid w:val="00FE6CC0"/>
    <w:rsid w:val="00FF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4AF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Heading2Char">
    <w:name w:val="Heading 2 Char"/>
    <w:link w:val="Heading2"/>
    <w:rsid w:val="001B1DE9"/>
    <w:rPr>
      <w:sz w:val="24"/>
      <w:szCs w:val="24"/>
      <w:u w:val="single"/>
    </w:rPr>
  </w:style>
  <w:style w:type="paragraph" w:styleId="NoSpacing">
    <w:name w:val="No Spacing"/>
    <w:uiPriority w:val="1"/>
    <w:qFormat/>
    <w:rsid w:val="00A43DC9"/>
    <w:rPr>
      <w:rFonts w:eastAsia="Calibri"/>
      <w:sz w:val="25"/>
      <w:szCs w:val="22"/>
    </w:rPr>
  </w:style>
  <w:style w:type="paragraph" w:styleId="BodyText2">
    <w:name w:val="Body Text 2"/>
    <w:basedOn w:val="Normal"/>
    <w:link w:val="BodyText2Char"/>
    <w:rsid w:val="00A43DC9"/>
    <w:pPr>
      <w:spacing w:line="480" w:lineRule="auto"/>
    </w:pPr>
  </w:style>
  <w:style w:type="character" w:customStyle="1" w:styleId="BodyText2Char">
    <w:name w:val="Body Text 2 Char"/>
    <w:link w:val="BodyText2"/>
    <w:rsid w:val="00A43DC9"/>
    <w:rPr>
      <w:sz w:val="24"/>
      <w:szCs w:val="24"/>
    </w:rPr>
  </w:style>
  <w:style w:type="paragraph" w:customStyle="1" w:styleId="Numberedparagraph">
    <w:name w:val="Numbered paragraph"/>
    <w:basedOn w:val="Normal"/>
    <w:qFormat/>
    <w:rsid w:val="00FD7165"/>
    <w:pPr>
      <w:numPr>
        <w:numId w:val="21"/>
      </w:numPr>
      <w:spacing w:after="240"/>
    </w:pPr>
  </w:style>
  <w:style w:type="character" w:styleId="CommentReference">
    <w:name w:val="annotation reference"/>
    <w:basedOn w:val="DefaultParagraphFont"/>
    <w:rsid w:val="00CE57E3"/>
    <w:rPr>
      <w:sz w:val="16"/>
      <w:szCs w:val="16"/>
    </w:rPr>
  </w:style>
  <w:style w:type="paragraph" w:styleId="CommentText">
    <w:name w:val="annotation text"/>
    <w:basedOn w:val="Normal"/>
    <w:link w:val="CommentTextChar"/>
    <w:rsid w:val="00CE57E3"/>
    <w:rPr>
      <w:sz w:val="20"/>
      <w:szCs w:val="20"/>
    </w:rPr>
  </w:style>
  <w:style w:type="character" w:customStyle="1" w:styleId="CommentTextChar">
    <w:name w:val="Comment Text Char"/>
    <w:basedOn w:val="DefaultParagraphFont"/>
    <w:link w:val="CommentText"/>
    <w:rsid w:val="00CE57E3"/>
  </w:style>
  <w:style w:type="paragraph" w:styleId="CommentSubject">
    <w:name w:val="annotation subject"/>
    <w:basedOn w:val="CommentText"/>
    <w:next w:val="CommentText"/>
    <w:link w:val="CommentSubjectChar"/>
    <w:rsid w:val="00CE57E3"/>
    <w:rPr>
      <w:b/>
      <w:bCs/>
    </w:rPr>
  </w:style>
  <w:style w:type="character" w:customStyle="1" w:styleId="CommentSubjectChar">
    <w:name w:val="Comment Subject Char"/>
    <w:basedOn w:val="CommentTextChar"/>
    <w:link w:val="CommentSubject"/>
    <w:rsid w:val="00CE5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36466">
      <w:bodyDiv w:val="1"/>
      <w:marLeft w:val="0"/>
      <w:marRight w:val="0"/>
      <w:marTop w:val="0"/>
      <w:marBottom w:val="0"/>
      <w:divBdr>
        <w:top w:val="none" w:sz="0" w:space="0" w:color="auto"/>
        <w:left w:val="none" w:sz="0" w:space="0" w:color="auto"/>
        <w:bottom w:val="none" w:sz="0" w:space="0" w:color="auto"/>
        <w:right w:val="none" w:sz="0" w:space="0" w:color="auto"/>
      </w:divBdr>
      <w:divsChild>
        <w:div w:id="10495610">
          <w:marLeft w:val="0"/>
          <w:marRight w:val="0"/>
          <w:marTop w:val="0"/>
          <w:marBottom w:val="0"/>
          <w:divBdr>
            <w:top w:val="none" w:sz="0" w:space="0" w:color="auto"/>
            <w:left w:val="none" w:sz="0" w:space="0" w:color="auto"/>
            <w:bottom w:val="none" w:sz="0" w:space="0" w:color="auto"/>
            <w:right w:val="none" w:sz="0" w:space="0" w:color="auto"/>
          </w:divBdr>
          <w:divsChild>
            <w:div w:id="1373382395">
              <w:marLeft w:val="0"/>
              <w:marRight w:val="0"/>
              <w:marTop w:val="0"/>
              <w:marBottom w:val="0"/>
              <w:divBdr>
                <w:top w:val="none" w:sz="0" w:space="0" w:color="auto"/>
                <w:left w:val="none" w:sz="0" w:space="0" w:color="auto"/>
                <w:bottom w:val="none" w:sz="0" w:space="0" w:color="auto"/>
                <w:right w:val="none" w:sz="0" w:space="0" w:color="auto"/>
              </w:divBdr>
              <w:divsChild>
                <w:div w:id="22366065">
                  <w:marLeft w:val="0"/>
                  <w:marRight w:val="0"/>
                  <w:marTop w:val="0"/>
                  <w:marBottom w:val="0"/>
                  <w:divBdr>
                    <w:top w:val="none" w:sz="0" w:space="12" w:color="auto"/>
                    <w:left w:val="none" w:sz="0" w:space="12" w:color="auto"/>
                    <w:bottom w:val="none" w:sz="0" w:space="12" w:color="auto"/>
                    <w:right w:val="none" w:sz="0" w:space="12" w:color="auto"/>
                  </w:divBdr>
                  <w:divsChild>
                    <w:div w:id="907105753">
                      <w:marLeft w:val="0"/>
                      <w:marRight w:val="0"/>
                      <w:marTop w:val="0"/>
                      <w:marBottom w:val="0"/>
                      <w:divBdr>
                        <w:top w:val="none" w:sz="0" w:space="12" w:color="auto"/>
                        <w:left w:val="none" w:sz="0" w:space="12" w:color="auto"/>
                        <w:bottom w:val="none" w:sz="0" w:space="12" w:color="auto"/>
                        <w:right w:val="none" w:sz="0" w:space="12" w:color="auto"/>
                      </w:divBdr>
                      <w:divsChild>
                        <w:div w:id="231086680">
                          <w:marLeft w:val="0"/>
                          <w:marRight w:val="0"/>
                          <w:marTop w:val="0"/>
                          <w:marBottom w:val="0"/>
                          <w:divBdr>
                            <w:top w:val="none" w:sz="0" w:space="0" w:color="auto"/>
                            <w:left w:val="none" w:sz="0" w:space="0" w:color="auto"/>
                            <w:bottom w:val="none" w:sz="0" w:space="0" w:color="auto"/>
                            <w:right w:val="none" w:sz="0" w:space="0" w:color="auto"/>
                          </w:divBdr>
                          <w:divsChild>
                            <w:div w:id="1171067745">
                              <w:marLeft w:val="-225"/>
                              <w:marRight w:val="-225"/>
                              <w:marTop w:val="0"/>
                              <w:marBottom w:val="0"/>
                              <w:divBdr>
                                <w:top w:val="none" w:sz="0" w:space="0" w:color="auto"/>
                                <w:left w:val="none" w:sz="0" w:space="0" w:color="auto"/>
                                <w:bottom w:val="none" w:sz="0" w:space="0" w:color="auto"/>
                                <w:right w:val="none" w:sz="0" w:space="0" w:color="auto"/>
                              </w:divBdr>
                              <w:divsChild>
                                <w:div w:id="261649855">
                                  <w:marLeft w:val="0"/>
                                  <w:marRight w:val="0"/>
                                  <w:marTop w:val="0"/>
                                  <w:marBottom w:val="0"/>
                                  <w:divBdr>
                                    <w:top w:val="none" w:sz="0" w:space="0" w:color="auto"/>
                                    <w:left w:val="none" w:sz="0" w:space="0" w:color="auto"/>
                                    <w:bottom w:val="none" w:sz="0" w:space="0" w:color="auto"/>
                                    <w:right w:val="none" w:sz="0" w:space="0" w:color="auto"/>
                                  </w:divBdr>
                                  <w:divsChild>
                                    <w:div w:id="671185232">
                                      <w:marLeft w:val="0"/>
                                      <w:marRight w:val="0"/>
                                      <w:marTop w:val="0"/>
                                      <w:marBottom w:val="0"/>
                                      <w:divBdr>
                                        <w:top w:val="none" w:sz="0" w:space="0" w:color="auto"/>
                                        <w:left w:val="none" w:sz="0" w:space="0" w:color="auto"/>
                                        <w:bottom w:val="none" w:sz="0" w:space="0" w:color="auto"/>
                                        <w:right w:val="none" w:sz="0" w:space="0" w:color="auto"/>
                                      </w:divBdr>
                                      <w:divsChild>
                                        <w:div w:id="61219595">
                                          <w:marLeft w:val="0"/>
                                          <w:marRight w:val="0"/>
                                          <w:marTop w:val="0"/>
                                          <w:marBottom w:val="0"/>
                                          <w:divBdr>
                                            <w:top w:val="none" w:sz="0" w:space="0" w:color="auto"/>
                                            <w:left w:val="none" w:sz="0" w:space="0" w:color="auto"/>
                                            <w:bottom w:val="none" w:sz="0" w:space="0" w:color="auto"/>
                                            <w:right w:val="none" w:sz="0" w:space="0" w:color="auto"/>
                                          </w:divBdr>
                                        </w:div>
                                        <w:div w:id="1758935954">
                                          <w:marLeft w:val="0"/>
                                          <w:marRight w:val="0"/>
                                          <w:marTop w:val="0"/>
                                          <w:marBottom w:val="0"/>
                                          <w:divBdr>
                                            <w:top w:val="none" w:sz="0" w:space="0" w:color="auto"/>
                                            <w:left w:val="none" w:sz="0" w:space="0" w:color="auto"/>
                                            <w:bottom w:val="none" w:sz="0" w:space="0" w:color="auto"/>
                                            <w:right w:val="none" w:sz="0" w:space="0" w:color="auto"/>
                                          </w:divBdr>
                                        </w:div>
                                        <w:div w:id="1847666231">
                                          <w:marLeft w:val="0"/>
                                          <w:marRight w:val="0"/>
                                          <w:marTop w:val="0"/>
                                          <w:marBottom w:val="0"/>
                                          <w:divBdr>
                                            <w:top w:val="none" w:sz="0" w:space="0" w:color="auto"/>
                                            <w:left w:val="none" w:sz="0" w:space="0" w:color="auto"/>
                                            <w:bottom w:val="none" w:sz="0" w:space="0" w:color="auto"/>
                                            <w:right w:val="none" w:sz="0" w:space="0" w:color="auto"/>
                                          </w:divBdr>
                                        </w:div>
                                        <w:div w:id="385178006">
                                          <w:marLeft w:val="0"/>
                                          <w:marRight w:val="0"/>
                                          <w:marTop w:val="0"/>
                                          <w:marBottom w:val="0"/>
                                          <w:divBdr>
                                            <w:top w:val="none" w:sz="0" w:space="0" w:color="auto"/>
                                            <w:left w:val="none" w:sz="0" w:space="0" w:color="auto"/>
                                            <w:bottom w:val="none" w:sz="0" w:space="0" w:color="auto"/>
                                            <w:right w:val="none" w:sz="0" w:space="0" w:color="auto"/>
                                          </w:divBdr>
                                        </w:div>
                                        <w:div w:id="61372708">
                                          <w:marLeft w:val="0"/>
                                          <w:marRight w:val="0"/>
                                          <w:marTop w:val="0"/>
                                          <w:marBottom w:val="0"/>
                                          <w:divBdr>
                                            <w:top w:val="none" w:sz="0" w:space="0" w:color="auto"/>
                                            <w:left w:val="none" w:sz="0" w:space="0" w:color="auto"/>
                                            <w:bottom w:val="none" w:sz="0" w:space="0" w:color="auto"/>
                                            <w:right w:val="none" w:sz="0" w:space="0" w:color="auto"/>
                                          </w:divBdr>
                                        </w:div>
                                        <w:div w:id="310909841">
                                          <w:marLeft w:val="0"/>
                                          <w:marRight w:val="0"/>
                                          <w:marTop w:val="0"/>
                                          <w:marBottom w:val="0"/>
                                          <w:divBdr>
                                            <w:top w:val="none" w:sz="0" w:space="0" w:color="auto"/>
                                            <w:left w:val="none" w:sz="0" w:space="0" w:color="auto"/>
                                            <w:bottom w:val="none" w:sz="0" w:space="0" w:color="auto"/>
                                            <w:right w:val="none" w:sz="0" w:space="0" w:color="auto"/>
                                          </w:divBdr>
                                        </w:div>
                                        <w:div w:id="3565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Formal Complaint</CaseType>
    <IndustryCode xmlns="dc463f71-b30c-4ab2-9473-d307f9d35888">210</IndustryCode>
    <CaseStatus xmlns="dc463f71-b30c-4ab2-9473-d307f9d35888">Closed</CaseStatus>
    <OpenedDate xmlns="dc463f71-b30c-4ab2-9473-d307f9d35888">2015-02-20T08:00:00+00:00</OpenedDate>
    <Date1 xmlns="dc463f71-b30c-4ab2-9473-d307f9d35888">2016-02-25T08:00:00+00:00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150284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B89E8EEB53004DBC1874E12FAB27FA" ma:contentTypeVersion="119" ma:contentTypeDescription="" ma:contentTypeScope="" ma:versionID="e1d19379ed91eb6e010b4f8b36aacb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FD59A-7A9D-4867-99BB-09C02C972EED}"/>
</file>

<file path=customXml/itemProps2.xml><?xml version="1.0" encoding="utf-8"?>
<ds:datastoreItem xmlns:ds="http://schemas.openxmlformats.org/officeDocument/2006/customXml" ds:itemID="{1797507A-1821-4C59-8E03-A48FCF202C69}"/>
</file>

<file path=customXml/itemProps3.xml><?xml version="1.0" encoding="utf-8"?>
<ds:datastoreItem xmlns:ds="http://schemas.openxmlformats.org/officeDocument/2006/customXml" ds:itemID="{BE008837-C361-4EFF-A595-7555D094A4EE}"/>
</file>

<file path=customXml/itemProps4.xml><?xml version="1.0" encoding="utf-8"?>
<ds:datastoreItem xmlns:ds="http://schemas.openxmlformats.org/officeDocument/2006/customXml" ds:itemID="{4F2BDC1C-970D-463F-8BC4-1F6566AD8436}"/>
</file>

<file path=customXml/itemProps5.xml><?xml version="1.0" encoding="utf-8"?>
<ds:datastoreItem xmlns:ds="http://schemas.openxmlformats.org/officeDocument/2006/customXml" ds:itemID="{DEE2DE29-DED9-4A61-B9D4-9E1ED3FED2F8}"/>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4794</Characters>
  <Application>Microsoft Office Word</Application>
  <DocSecurity>0</DocSecurity>
  <Lines>39</Lines>
  <Paragraphs>11</Paragraphs>
  <ScaleCrop>false</ScaleCrop>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2016-02-25T17:22:00Z</dcterms:created>
  <dcterms:modified xsi:type="dcterms:W3CDTF">2016-02-25T17:22:00Z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0x0101006E56B4D1795A2E4DB2F0B01679ED314A00FAB89E8EEB53004DBC1874E12FAB27FA</vt:lpwstr>
  </property>
  <property fmtid="{D5CDD505-2E9C-101B-9397-08002B2CF9AE}" pid="3" name="_docset_NoMedatataSyncRequired">
    <vt:lpwstr>False</vt:lpwstr>
  </property>
</Properties>
</file>