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Pr="00B814E2" w:rsidRDefault="00B814E2" w:rsidP="00B814E2">
      <w:pPr>
        <w:ind w:left="5760"/>
        <w:rPr>
          <w:b/>
        </w:rPr>
      </w:pPr>
      <w:r w:rsidRPr="00B814E2">
        <w:rPr>
          <w:b/>
        </w:rPr>
        <w:t xml:space="preserve">Exhibit No. </w:t>
      </w:r>
      <w:r w:rsidRPr="00013D91">
        <w:rPr>
          <w:b/>
        </w:rPr>
        <w:t>___</w:t>
      </w:r>
      <w:r w:rsidR="00F3708D">
        <w:rPr>
          <w:b/>
        </w:rPr>
        <w:t xml:space="preserve"> </w:t>
      </w:r>
      <w:r w:rsidRPr="00013D91">
        <w:rPr>
          <w:b/>
        </w:rPr>
        <w:t>T (</w:t>
      </w:r>
      <w:r w:rsidR="00013D91">
        <w:rPr>
          <w:b/>
        </w:rPr>
        <w:t>RP</w:t>
      </w:r>
      <w:r w:rsidRPr="00013D91">
        <w:rPr>
          <w:b/>
        </w:rPr>
        <w:t>-</w:t>
      </w:r>
      <w:r w:rsidR="004B3BCD">
        <w:rPr>
          <w:b/>
        </w:rPr>
        <w:t>10</w:t>
      </w:r>
      <w:r w:rsidRPr="00013D91">
        <w:rPr>
          <w:b/>
        </w:rPr>
        <w:t>T)</w:t>
      </w:r>
    </w:p>
    <w:p w:rsidR="00B814E2" w:rsidRPr="00B814E2" w:rsidRDefault="00B814E2" w:rsidP="00B814E2">
      <w:pPr>
        <w:ind w:left="5760"/>
        <w:rPr>
          <w:b/>
        </w:rPr>
      </w:pPr>
      <w:r w:rsidRPr="00B814E2">
        <w:rPr>
          <w:b/>
        </w:rPr>
        <w:t xml:space="preserve">Docket </w:t>
      </w:r>
      <w:r w:rsidR="00BE6E2C">
        <w:rPr>
          <w:b/>
        </w:rPr>
        <w:t>U</w:t>
      </w:r>
      <w:r w:rsidRPr="00B814E2">
        <w:rPr>
          <w:b/>
        </w:rPr>
        <w:t>-</w:t>
      </w:r>
      <w:r w:rsidR="00BE6E2C">
        <w:rPr>
          <w:b/>
        </w:rPr>
        <w:t>11</w:t>
      </w:r>
      <w:r w:rsidR="00586015">
        <w:rPr>
          <w:b/>
        </w:rPr>
        <w:t>1465</w:t>
      </w:r>
    </w:p>
    <w:p w:rsidR="00B814E2" w:rsidRPr="00B814E2" w:rsidRDefault="0046251D" w:rsidP="00B814E2">
      <w:pPr>
        <w:ind w:left="5760"/>
        <w:rPr>
          <w:b/>
        </w:rPr>
      </w:pPr>
      <w:r>
        <w:rPr>
          <w:b/>
        </w:rPr>
        <w:t xml:space="preserve">Witness:  </w:t>
      </w:r>
      <w:r w:rsidR="00BE6E2C">
        <w:rPr>
          <w:b/>
        </w:rPr>
        <w:t>Rayne Pearson</w:t>
      </w:r>
      <w:r w:rsidR="00B814E2" w:rsidRPr="00B814E2">
        <w:rPr>
          <w:b/>
        </w:rPr>
        <w:t xml:space="preserve"> </w:t>
      </w:r>
    </w:p>
    <w:p w:rsidR="00B814E2" w:rsidRPr="00B814E2" w:rsidRDefault="00B814E2" w:rsidP="00B814E2">
      <w:pPr>
        <w:rPr>
          <w:b/>
        </w:rPr>
      </w:pPr>
    </w:p>
    <w:p w:rsidR="00B814E2" w:rsidRPr="00B814E2" w:rsidRDefault="00B814E2" w:rsidP="00B814E2">
      <w:pPr>
        <w:rPr>
          <w:b/>
        </w:rPr>
      </w:pPr>
    </w:p>
    <w:p w:rsidR="00B814E2" w:rsidRPr="00B814E2" w:rsidRDefault="00B814E2" w:rsidP="00B814E2">
      <w:pPr>
        <w:ind w:left="-360" w:right="-252"/>
        <w:jc w:val="center"/>
        <w:rPr>
          <w:b/>
        </w:rPr>
      </w:pPr>
      <w:r w:rsidRPr="00B814E2">
        <w:rPr>
          <w:b/>
        </w:rPr>
        <w:t>BEFORE THE WASHINGTON UTILITIES AND TRANSPORTATION COMMISSION</w:t>
      </w:r>
    </w:p>
    <w:p w:rsidR="00B814E2" w:rsidRPr="00B814E2" w:rsidRDefault="00B814E2" w:rsidP="00B814E2">
      <w:pPr>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B814E2" w:rsidRPr="00013D91" w:rsidTr="008407B2">
        <w:tc>
          <w:tcPr>
            <w:tcW w:w="4590" w:type="dxa"/>
            <w:tcBorders>
              <w:top w:val="single" w:sz="6" w:space="0" w:color="FFFFFF"/>
              <w:left w:val="single" w:sz="6" w:space="0" w:color="FFFFFF"/>
              <w:bottom w:val="single" w:sz="7" w:space="0" w:color="000000"/>
              <w:right w:val="single" w:sz="6" w:space="0" w:color="FFFFFF"/>
            </w:tcBorders>
          </w:tcPr>
          <w:p w:rsidR="00B814E2" w:rsidRPr="00013D91" w:rsidRDefault="00013D91" w:rsidP="001C33DD">
            <w:pPr>
              <w:rPr>
                <w:b/>
                <w:bCs/>
              </w:rPr>
            </w:pPr>
            <w:r w:rsidRPr="00013D91">
              <w:rPr>
                <w:b/>
                <w:bCs/>
              </w:rPr>
              <w:t>WASHINGTON UTILITIES AND TRANSPORTATION COMMISSION</w:t>
            </w:r>
            <w:r w:rsidR="00B814E2" w:rsidRPr="00013D91">
              <w:rPr>
                <w:b/>
                <w:bCs/>
              </w:rPr>
              <w:t>,</w:t>
            </w:r>
          </w:p>
          <w:p w:rsidR="00B814E2" w:rsidRPr="00013D91" w:rsidRDefault="00B814E2" w:rsidP="001C33DD">
            <w:pPr>
              <w:rPr>
                <w:b/>
                <w:bCs/>
              </w:rPr>
            </w:pPr>
          </w:p>
          <w:p w:rsidR="00B814E2" w:rsidRPr="00013D91" w:rsidRDefault="00B814E2" w:rsidP="001C33DD">
            <w:pPr>
              <w:rPr>
                <w:b/>
                <w:bCs/>
              </w:rPr>
            </w:pPr>
            <w:r w:rsidRPr="00013D91">
              <w:rPr>
                <w:b/>
                <w:bCs/>
              </w:rPr>
              <w:tab/>
              <w:t xml:space="preserve">Complainant, </w:t>
            </w:r>
          </w:p>
          <w:p w:rsidR="00B814E2" w:rsidRPr="00013D91" w:rsidRDefault="00B814E2" w:rsidP="001C33DD">
            <w:pPr>
              <w:rPr>
                <w:b/>
                <w:bCs/>
              </w:rPr>
            </w:pPr>
          </w:p>
          <w:p w:rsidR="00B814E2" w:rsidRPr="00013D91" w:rsidRDefault="00B814E2" w:rsidP="001C33DD">
            <w:pPr>
              <w:rPr>
                <w:b/>
                <w:bCs/>
              </w:rPr>
            </w:pPr>
            <w:r w:rsidRPr="00013D91">
              <w:rPr>
                <w:b/>
                <w:bCs/>
              </w:rPr>
              <w:t>v.</w:t>
            </w:r>
          </w:p>
          <w:p w:rsidR="00B814E2" w:rsidRPr="00013D91" w:rsidRDefault="00B814E2" w:rsidP="001C33DD">
            <w:pPr>
              <w:rPr>
                <w:b/>
                <w:bCs/>
              </w:rPr>
            </w:pPr>
          </w:p>
          <w:p w:rsidR="00B814E2" w:rsidRPr="00013D91" w:rsidRDefault="00013D91" w:rsidP="001C33DD">
            <w:pPr>
              <w:rPr>
                <w:b/>
                <w:bCs/>
              </w:rPr>
            </w:pPr>
            <w:r w:rsidRPr="00013D91">
              <w:rPr>
                <w:b/>
                <w:bCs/>
              </w:rPr>
              <w:t>PUGET SOUND ENERGY, INC.,</w:t>
            </w:r>
          </w:p>
          <w:p w:rsidR="00B814E2" w:rsidRPr="00013D91" w:rsidRDefault="00B814E2" w:rsidP="001C33DD">
            <w:pPr>
              <w:rPr>
                <w:b/>
                <w:bCs/>
              </w:rPr>
            </w:pPr>
          </w:p>
          <w:p w:rsidR="00B814E2" w:rsidRDefault="00B814E2" w:rsidP="001C33DD">
            <w:pPr>
              <w:spacing w:after="19"/>
              <w:rPr>
                <w:b/>
                <w:bCs/>
              </w:rPr>
            </w:pPr>
            <w:r w:rsidRPr="00013D91">
              <w:rPr>
                <w:b/>
                <w:bCs/>
              </w:rPr>
              <w:tab/>
              <w:t>Respondent.</w:t>
            </w:r>
          </w:p>
          <w:p w:rsidR="00013D91" w:rsidRPr="00013D91" w:rsidRDefault="00013D91" w:rsidP="001C33DD">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rsidR="00B814E2" w:rsidRPr="00013D91" w:rsidRDefault="00B814E2" w:rsidP="001C33DD">
            <w:pPr>
              <w:ind w:firstLine="720"/>
              <w:rPr>
                <w:b/>
                <w:bCs/>
              </w:rPr>
            </w:pPr>
            <w:r w:rsidRPr="00013D91">
              <w:rPr>
                <w:b/>
                <w:bCs/>
              </w:rPr>
              <w:t xml:space="preserve">DOCKET </w:t>
            </w:r>
            <w:r w:rsidR="008407B2" w:rsidRPr="00013D91">
              <w:rPr>
                <w:b/>
                <w:bCs/>
              </w:rPr>
              <w:t>U-11</w:t>
            </w:r>
            <w:r w:rsidR="00586015" w:rsidRPr="00013D91">
              <w:rPr>
                <w:b/>
                <w:bCs/>
              </w:rPr>
              <w:t>1465</w:t>
            </w:r>
          </w:p>
          <w:p w:rsidR="00B814E2" w:rsidRPr="00013D91" w:rsidRDefault="00B814E2" w:rsidP="001C33DD">
            <w:pPr>
              <w:rPr>
                <w:b/>
                <w:bCs/>
              </w:rPr>
            </w:pPr>
          </w:p>
          <w:p w:rsidR="00B814E2" w:rsidRPr="00013D91" w:rsidRDefault="00B814E2" w:rsidP="001C33DD">
            <w:pPr>
              <w:spacing w:after="19"/>
              <w:ind w:left="720"/>
              <w:rPr>
                <w:b/>
                <w:bCs/>
              </w:rPr>
            </w:pPr>
          </w:p>
        </w:tc>
      </w:tr>
    </w:tbl>
    <w:p w:rsidR="00B814E2" w:rsidRPr="00013D91" w:rsidRDefault="00B814E2" w:rsidP="00B814E2">
      <w:pPr>
        <w:jc w:val="both"/>
        <w:rPr>
          <w:b/>
        </w:rPr>
      </w:pPr>
    </w:p>
    <w:p w:rsidR="00B814E2" w:rsidRDefault="00B814E2" w:rsidP="00B814E2">
      <w:pPr>
        <w:rPr>
          <w:b/>
          <w:bCs/>
        </w:rPr>
      </w:pPr>
    </w:p>
    <w:p w:rsidR="00B814E2" w:rsidRDefault="00B814E2" w:rsidP="00B814E2">
      <w:pPr>
        <w:rPr>
          <w:b/>
          <w:bCs/>
        </w:rPr>
      </w:pPr>
    </w:p>
    <w:p w:rsidR="00B814E2" w:rsidRDefault="005C4FD5" w:rsidP="00B814E2">
      <w:pPr>
        <w:tabs>
          <w:tab w:val="center" w:pos="4680"/>
        </w:tabs>
        <w:jc w:val="center"/>
        <w:rPr>
          <w:b/>
          <w:bCs/>
        </w:rPr>
      </w:pPr>
      <w:r>
        <w:rPr>
          <w:b/>
          <w:bCs/>
        </w:rPr>
        <w:t xml:space="preserve">REBUTTAL </w:t>
      </w:r>
      <w:r w:rsidR="00B814E2">
        <w:rPr>
          <w:b/>
          <w:bCs/>
        </w:rPr>
        <w:t>TESTIMONY OF</w:t>
      </w:r>
    </w:p>
    <w:p w:rsidR="00B814E2" w:rsidRDefault="00B814E2" w:rsidP="00B814E2">
      <w:pPr>
        <w:jc w:val="center"/>
        <w:rPr>
          <w:b/>
          <w:bCs/>
        </w:rPr>
      </w:pPr>
    </w:p>
    <w:p w:rsidR="00B814E2" w:rsidRDefault="008407B2" w:rsidP="00B814E2">
      <w:pPr>
        <w:tabs>
          <w:tab w:val="center" w:pos="4680"/>
        </w:tabs>
        <w:jc w:val="center"/>
        <w:rPr>
          <w:b/>
          <w:bCs/>
        </w:rPr>
      </w:pPr>
      <w:r>
        <w:rPr>
          <w:b/>
          <w:bCs/>
        </w:rPr>
        <w:t>Rayne Pearson</w:t>
      </w:r>
    </w:p>
    <w:p w:rsidR="00B814E2" w:rsidRDefault="00B814E2" w:rsidP="00B814E2">
      <w:pPr>
        <w:tabs>
          <w:tab w:val="center" w:pos="4680"/>
        </w:tabs>
        <w:jc w:val="center"/>
        <w:rPr>
          <w:b/>
          <w:bCs/>
        </w:rPr>
      </w:pPr>
    </w:p>
    <w:p w:rsidR="00B814E2" w:rsidRDefault="00B814E2" w:rsidP="00B814E2">
      <w:pPr>
        <w:tabs>
          <w:tab w:val="center" w:pos="4680"/>
        </w:tabs>
        <w:jc w:val="center"/>
        <w:rPr>
          <w:b/>
          <w:bCs/>
        </w:rPr>
      </w:pPr>
      <w:r>
        <w:rPr>
          <w:b/>
          <w:bCs/>
        </w:rPr>
        <w:t>STAFF OF</w:t>
      </w:r>
    </w:p>
    <w:p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B814E2" w:rsidRDefault="00B814E2" w:rsidP="00B814E2">
      <w:pPr>
        <w:tabs>
          <w:tab w:val="center" w:pos="4680"/>
        </w:tabs>
        <w:jc w:val="center"/>
        <w:rPr>
          <w:b/>
          <w:bCs/>
        </w:rPr>
      </w:pPr>
      <w:r>
        <w:rPr>
          <w:b/>
          <w:bCs/>
        </w:rPr>
        <w:t>TRANSPORTATION COMMISSION</w:t>
      </w:r>
    </w:p>
    <w:p w:rsidR="00B814E2" w:rsidRDefault="00B814E2" w:rsidP="00B814E2">
      <w:pPr>
        <w:jc w:val="center"/>
        <w:rPr>
          <w:b/>
          <w:bCs/>
        </w:rPr>
      </w:pPr>
    </w:p>
    <w:p w:rsidR="00B814E2" w:rsidRDefault="00B814E2" w:rsidP="00B814E2">
      <w:pPr>
        <w:rPr>
          <w:b/>
          <w:bCs/>
        </w:rPr>
      </w:pPr>
    </w:p>
    <w:p w:rsidR="00B814E2" w:rsidRDefault="00B814E2" w:rsidP="00B814E2">
      <w:pPr>
        <w:rPr>
          <w:b/>
          <w:bCs/>
        </w:rPr>
      </w:pPr>
    </w:p>
    <w:p w:rsidR="00B814E2" w:rsidRPr="00B814E2" w:rsidRDefault="00B814E2" w:rsidP="00B814E2">
      <w:pPr>
        <w:jc w:val="center"/>
        <w:rPr>
          <w:b/>
          <w:bCs/>
          <w:i/>
        </w:rPr>
      </w:pPr>
    </w:p>
    <w:p w:rsidR="00B814E2" w:rsidRDefault="00B814E2" w:rsidP="00B814E2">
      <w:pPr>
        <w:rPr>
          <w:b/>
          <w:bCs/>
        </w:rPr>
      </w:pPr>
    </w:p>
    <w:p w:rsidR="00B814E2" w:rsidRDefault="00B814E2" w:rsidP="00B814E2">
      <w:pPr>
        <w:rPr>
          <w:b/>
          <w:bCs/>
        </w:rPr>
      </w:pPr>
    </w:p>
    <w:p w:rsidR="00B814E2" w:rsidRDefault="005C4FD5" w:rsidP="00B814E2">
      <w:pPr>
        <w:jc w:val="center"/>
        <w:rPr>
          <w:b/>
          <w:bCs/>
        </w:rPr>
      </w:pPr>
      <w:r>
        <w:rPr>
          <w:b/>
          <w:bCs/>
        </w:rPr>
        <w:t xml:space="preserve">September </w:t>
      </w:r>
      <w:r w:rsidR="003130BF">
        <w:rPr>
          <w:b/>
          <w:bCs/>
        </w:rPr>
        <w:t>7</w:t>
      </w:r>
      <w:r w:rsidR="00586015">
        <w:rPr>
          <w:b/>
          <w:bCs/>
        </w:rPr>
        <w:t>, 2012</w:t>
      </w:r>
    </w:p>
    <w:p w:rsidR="00B814E2" w:rsidRDefault="00B814E2" w:rsidP="00B814E2"/>
    <w:p w:rsidR="00B814E2" w:rsidRDefault="00B814E2" w:rsidP="00B814E2"/>
    <w:p w:rsidR="00B814E2" w:rsidRDefault="00B814E2" w:rsidP="00B814E2">
      <w:pPr>
        <w:sectPr w:rsidR="00B814E2" w:rsidSect="00B814E2">
          <w:pgSz w:w="12240" w:h="15840"/>
          <w:pgMar w:top="1440" w:right="1440" w:bottom="1440" w:left="1872" w:header="720" w:footer="720" w:gutter="0"/>
          <w:cols w:space="720"/>
          <w:docGrid w:linePitch="360"/>
        </w:sectPr>
      </w:pPr>
    </w:p>
    <w:p w:rsidR="00B814E2" w:rsidRDefault="00B814E2" w:rsidP="00B814E2">
      <w:pPr>
        <w:jc w:val="center"/>
      </w:pPr>
      <w:r>
        <w:rPr>
          <w:b/>
        </w:rPr>
        <w:lastRenderedPageBreak/>
        <w:t>TABLE OF CONTENTS</w:t>
      </w:r>
    </w:p>
    <w:p w:rsidR="00B814E2" w:rsidRDefault="00B814E2" w:rsidP="00B814E2"/>
    <w:p w:rsidR="00B814E2" w:rsidRDefault="00B814E2" w:rsidP="00B814E2"/>
    <w:p w:rsidR="00B814E2" w:rsidRDefault="00B814E2" w:rsidP="00B814E2">
      <w:pPr>
        <w:tabs>
          <w:tab w:val="left" w:pos="720"/>
          <w:tab w:val="left" w:pos="1440"/>
          <w:tab w:val="left" w:pos="2160"/>
          <w:tab w:val="right" w:leader="dot" w:pos="8820"/>
        </w:tabs>
      </w:pPr>
      <w:r>
        <w:t>I.</w:t>
      </w:r>
      <w:r>
        <w:tab/>
        <w:t>INTRODUCTION</w:t>
      </w:r>
      <w:r>
        <w:tab/>
        <w:t>1</w:t>
      </w:r>
    </w:p>
    <w:p w:rsidR="00B814E2" w:rsidRDefault="00B814E2" w:rsidP="00B814E2">
      <w:pPr>
        <w:tabs>
          <w:tab w:val="left" w:pos="720"/>
          <w:tab w:val="left" w:pos="1440"/>
          <w:tab w:val="left" w:pos="2160"/>
          <w:tab w:val="right" w:leader="dot" w:pos="8820"/>
        </w:tabs>
      </w:pPr>
    </w:p>
    <w:p w:rsidR="00B814E2" w:rsidRDefault="00B814E2" w:rsidP="00B814E2">
      <w:pPr>
        <w:tabs>
          <w:tab w:val="left" w:pos="720"/>
          <w:tab w:val="left" w:pos="1440"/>
          <w:tab w:val="left" w:pos="2160"/>
          <w:tab w:val="right" w:leader="dot" w:pos="8820"/>
        </w:tabs>
      </w:pPr>
      <w:r>
        <w:t>II.</w:t>
      </w:r>
      <w:r>
        <w:tab/>
      </w:r>
      <w:r w:rsidR="005C4FD5">
        <w:t>DISCUSSION</w:t>
      </w:r>
      <w:r>
        <w:t xml:space="preserve"> </w:t>
      </w:r>
      <w:r>
        <w:tab/>
      </w:r>
      <w:r w:rsidR="00640574">
        <w:t>1</w:t>
      </w:r>
    </w:p>
    <w:p w:rsidR="00B814E2" w:rsidRDefault="00B814E2" w:rsidP="00B814E2">
      <w:pPr>
        <w:tabs>
          <w:tab w:val="left" w:pos="720"/>
          <w:tab w:val="left" w:pos="1440"/>
          <w:tab w:val="left" w:pos="2160"/>
          <w:tab w:val="right" w:leader="dot" w:pos="8820"/>
        </w:tabs>
      </w:pPr>
    </w:p>
    <w:p w:rsidR="00B814E2" w:rsidRDefault="00B814E2" w:rsidP="00B814E2">
      <w:pPr>
        <w:tabs>
          <w:tab w:val="left" w:pos="720"/>
          <w:tab w:val="left" w:pos="1440"/>
          <w:tab w:val="left" w:pos="2160"/>
          <w:tab w:val="right" w:leader="dot" w:pos="8820"/>
        </w:tabs>
      </w:pPr>
    </w:p>
    <w:p w:rsidR="00B814E2" w:rsidRDefault="00B814E2" w:rsidP="00B814E2"/>
    <w:p w:rsidR="00B814E2" w:rsidRDefault="00013D91" w:rsidP="00B814E2">
      <w:pPr>
        <w:jc w:val="center"/>
      </w:pPr>
      <w:r>
        <w:rPr>
          <w:b/>
        </w:rPr>
        <w:t>EXHIBITS</w:t>
      </w:r>
    </w:p>
    <w:p w:rsidR="00B814E2" w:rsidRDefault="00B814E2" w:rsidP="00B814E2"/>
    <w:p w:rsidR="00B814E2" w:rsidRDefault="00B814E2" w:rsidP="00B814E2">
      <w:r>
        <w:t xml:space="preserve">Exhibit No. </w:t>
      </w:r>
      <w:r w:rsidR="00A71843">
        <w:t>(</w:t>
      </w:r>
      <w:r w:rsidR="00013D91">
        <w:t>RP</w:t>
      </w:r>
      <w:r>
        <w:t>-</w:t>
      </w:r>
      <w:r w:rsidR="005C4FD5">
        <w:t>1</w:t>
      </w:r>
      <w:r w:rsidR="00447BA4">
        <w:t>1</w:t>
      </w:r>
      <w:r w:rsidR="00A71843">
        <w:t>)</w:t>
      </w:r>
      <w:r w:rsidR="00A71843">
        <w:tab/>
        <w:t xml:space="preserve"> PSE’s Supplemental Response to Staff Data Request 7</w:t>
      </w:r>
      <w:r>
        <w:t xml:space="preserve"> </w:t>
      </w:r>
    </w:p>
    <w:p w:rsidR="00A71843" w:rsidRDefault="00A71843" w:rsidP="00B814E2"/>
    <w:p w:rsidR="00A71843" w:rsidRDefault="00A71843" w:rsidP="00B814E2">
      <w:r>
        <w:t>Exhibit No. (RP-1</w:t>
      </w:r>
      <w:r w:rsidR="00447BA4">
        <w:t>2</w:t>
      </w:r>
      <w:r>
        <w:t>)</w:t>
      </w:r>
      <w:r>
        <w:tab/>
        <w:t xml:space="preserve"> PSE’s Response to Staff Data Request 12</w:t>
      </w:r>
    </w:p>
    <w:p w:rsidR="00B814E2" w:rsidRDefault="00B814E2" w:rsidP="00B814E2"/>
    <w:p w:rsidR="00B814E2" w:rsidRDefault="00B814E2" w:rsidP="00B814E2"/>
    <w:p w:rsidR="00B814E2" w:rsidRDefault="00B814E2" w:rsidP="00B814E2">
      <w:pPr>
        <w:sectPr w:rsidR="00B814E2" w:rsidSect="008C1258">
          <w:footerReference w:type="default" r:id="rId9"/>
          <w:pgSz w:w="12240" w:h="15840" w:code="1"/>
          <w:pgMar w:top="1440" w:right="1440" w:bottom="1440" w:left="1872" w:header="720" w:footer="720" w:gutter="0"/>
          <w:paperSrc w:first="15" w:other="15"/>
          <w:pgNumType w:fmt="lowerRoman" w:start="1"/>
          <w:cols w:space="720"/>
          <w:docGrid w:linePitch="360"/>
        </w:sectPr>
      </w:pPr>
    </w:p>
    <w:p w:rsidR="00B814E2" w:rsidRPr="0042014A" w:rsidRDefault="00B814E2" w:rsidP="0042014A">
      <w:pPr>
        <w:pStyle w:val="ListParagraph"/>
        <w:numPr>
          <w:ilvl w:val="0"/>
          <w:numId w:val="2"/>
        </w:numPr>
        <w:spacing w:line="480" w:lineRule="auto"/>
        <w:jc w:val="center"/>
        <w:rPr>
          <w:b/>
        </w:rPr>
      </w:pPr>
      <w:r w:rsidRPr="0042014A">
        <w:rPr>
          <w:b/>
        </w:rPr>
        <w:lastRenderedPageBreak/>
        <w:t>INTRODUCTION</w:t>
      </w:r>
      <w:r w:rsidR="007D6434">
        <w:rPr>
          <w:b/>
        </w:rPr>
        <w:t xml:space="preserve"> </w:t>
      </w:r>
    </w:p>
    <w:p w:rsidR="0042014A" w:rsidRPr="0042014A" w:rsidRDefault="0042014A" w:rsidP="0042014A">
      <w:pPr>
        <w:pStyle w:val="ListParagraph"/>
        <w:spacing w:line="480" w:lineRule="auto"/>
        <w:ind w:left="1080"/>
        <w:rPr>
          <w:b/>
        </w:rPr>
      </w:pPr>
    </w:p>
    <w:p w:rsidR="005C4FD5" w:rsidRDefault="005C4FD5" w:rsidP="005C4FD5">
      <w:pPr>
        <w:autoSpaceDE w:val="0"/>
        <w:autoSpaceDN w:val="0"/>
        <w:spacing w:line="480" w:lineRule="auto"/>
        <w:rPr>
          <w:b/>
          <w:bCs/>
        </w:rPr>
      </w:pPr>
      <w:r>
        <w:rPr>
          <w:b/>
          <w:bCs/>
        </w:rPr>
        <w:t xml:space="preserve">Q. </w:t>
      </w:r>
      <w:r>
        <w:rPr>
          <w:b/>
          <w:bCs/>
        </w:rPr>
        <w:tab/>
        <w:t>Are you the same Rayne Pearson who submitted prefiled direct</w:t>
      </w:r>
    </w:p>
    <w:p w:rsidR="005C4FD5" w:rsidRDefault="005C4FD5" w:rsidP="005C4FD5">
      <w:pPr>
        <w:autoSpaceDE w:val="0"/>
        <w:autoSpaceDN w:val="0"/>
        <w:spacing w:line="480" w:lineRule="auto"/>
        <w:ind w:left="720"/>
        <w:rPr>
          <w:b/>
          <w:bCs/>
        </w:rPr>
      </w:pPr>
      <w:r>
        <w:rPr>
          <w:b/>
          <w:bCs/>
        </w:rPr>
        <w:t xml:space="preserve">testimony in this proceeding on </w:t>
      </w:r>
      <w:r w:rsidR="00CF00CA">
        <w:rPr>
          <w:b/>
          <w:bCs/>
        </w:rPr>
        <w:t>June 22</w:t>
      </w:r>
      <w:r>
        <w:rPr>
          <w:b/>
          <w:bCs/>
        </w:rPr>
        <w:t xml:space="preserve">, 2012, on behalf of the Washington Utilities and Transportation Commission Staff (“Staff”)? </w:t>
      </w:r>
    </w:p>
    <w:p w:rsidR="005C4FD5" w:rsidRDefault="005C4FD5" w:rsidP="005C4FD5">
      <w:pPr>
        <w:autoSpaceDE w:val="0"/>
        <w:autoSpaceDN w:val="0"/>
        <w:spacing w:line="480" w:lineRule="auto"/>
        <w:ind w:left="720" w:hanging="720"/>
      </w:pPr>
      <w:r>
        <w:t>A.</w:t>
      </w:r>
      <w:r>
        <w:tab/>
        <w:t xml:space="preserve">Yes.  On </w:t>
      </w:r>
      <w:r w:rsidR="00CF00CA">
        <w:t>June 22</w:t>
      </w:r>
      <w:r>
        <w:t xml:space="preserve">, 2012, I filed direct testimony, Exhibit No. ___(RP-1T), and </w:t>
      </w:r>
      <w:r w:rsidR="00CF00CA">
        <w:t>eight</w:t>
      </w:r>
      <w:r>
        <w:t xml:space="preserve"> supporting exhibits, Exhibit No. ___(RP-2), Exhibit No. ___(RP-3) Exhibit No. ___</w:t>
      </w:r>
      <w:r w:rsidR="00CF00CA">
        <w:t>(</w:t>
      </w:r>
      <w:r>
        <w:t>RP- 4C), Exhibit No. ___(RP-5), Exhibit No. ___(RP-6C)</w:t>
      </w:r>
      <w:r w:rsidR="00CF00CA">
        <w:t>, Exhibit No. ___(RP-7), Exhibit No. ___(RP-8), and Exhibit No. ___(RP-9)</w:t>
      </w:r>
      <w:r>
        <w:t>.</w:t>
      </w:r>
    </w:p>
    <w:p w:rsidR="005C4FD5" w:rsidRDefault="005C4FD5" w:rsidP="005C4FD5">
      <w:pPr>
        <w:autoSpaceDE w:val="0"/>
        <w:autoSpaceDN w:val="0"/>
        <w:spacing w:line="480" w:lineRule="auto"/>
        <w:ind w:left="720" w:hanging="720"/>
      </w:pPr>
    </w:p>
    <w:p w:rsidR="005C4FD5" w:rsidRDefault="005C4FD5" w:rsidP="005C4FD5">
      <w:pPr>
        <w:autoSpaceDE w:val="0"/>
        <w:autoSpaceDN w:val="0"/>
        <w:spacing w:line="480" w:lineRule="auto"/>
        <w:ind w:left="720" w:hanging="720"/>
        <w:rPr>
          <w:b/>
        </w:rPr>
      </w:pPr>
      <w:r>
        <w:rPr>
          <w:b/>
        </w:rPr>
        <w:t>Q.</w:t>
      </w:r>
      <w:r>
        <w:rPr>
          <w:b/>
        </w:rPr>
        <w:tab/>
        <w:t>Please state the purpose of your rebuttal testimony.</w:t>
      </w:r>
    </w:p>
    <w:p w:rsidR="005C4FD5" w:rsidRPr="005C4FD5" w:rsidRDefault="005C4FD5" w:rsidP="005C4FD5">
      <w:pPr>
        <w:autoSpaceDE w:val="0"/>
        <w:autoSpaceDN w:val="0"/>
        <w:spacing w:line="480" w:lineRule="auto"/>
        <w:ind w:left="720" w:hanging="720"/>
      </w:pPr>
      <w:r>
        <w:t>A.</w:t>
      </w:r>
      <w:r>
        <w:tab/>
      </w:r>
      <w:r w:rsidR="003130BF">
        <w:t>The purpose of my testimony is to address statements made in the prefiled responsive testimony of Gilbert Archuleta, Exhibit No.____(GA-1T)</w:t>
      </w:r>
      <w:r w:rsidR="0001558F">
        <w:t>, filed with the Commission on July 27, 2012</w:t>
      </w:r>
      <w:r w:rsidR="003130BF">
        <w:t>.</w:t>
      </w:r>
    </w:p>
    <w:p w:rsidR="008357CD" w:rsidRDefault="008357CD" w:rsidP="00B814E2">
      <w:pPr>
        <w:spacing w:line="480" w:lineRule="auto"/>
        <w:ind w:left="720" w:hanging="720"/>
        <w:jc w:val="center"/>
        <w:rPr>
          <w:b/>
        </w:rPr>
      </w:pPr>
    </w:p>
    <w:p w:rsidR="00B814E2" w:rsidRDefault="00B814E2" w:rsidP="00B814E2">
      <w:pPr>
        <w:spacing w:line="480" w:lineRule="auto"/>
        <w:ind w:left="720" w:hanging="720"/>
        <w:jc w:val="center"/>
      </w:pPr>
      <w:r>
        <w:rPr>
          <w:b/>
        </w:rPr>
        <w:t>II.</w:t>
      </w:r>
      <w:r>
        <w:rPr>
          <w:b/>
        </w:rPr>
        <w:tab/>
      </w:r>
      <w:r w:rsidR="005C4FD5">
        <w:rPr>
          <w:b/>
        </w:rPr>
        <w:t>DISCUSSION</w:t>
      </w:r>
      <w:r w:rsidR="0042014A">
        <w:rPr>
          <w:b/>
        </w:rPr>
        <w:br/>
      </w:r>
    </w:p>
    <w:p w:rsidR="00B814E2" w:rsidRDefault="00B814E2" w:rsidP="00B814E2">
      <w:pPr>
        <w:spacing w:line="480" w:lineRule="auto"/>
        <w:ind w:left="720" w:hanging="720"/>
        <w:rPr>
          <w:b/>
        </w:rPr>
      </w:pPr>
      <w:r>
        <w:rPr>
          <w:b/>
        </w:rPr>
        <w:t>Q.</w:t>
      </w:r>
      <w:r>
        <w:rPr>
          <w:b/>
        </w:rPr>
        <w:tab/>
      </w:r>
      <w:r w:rsidR="006A603C">
        <w:rPr>
          <w:b/>
        </w:rPr>
        <w:t>On page 3, lines 14-17 of Gilbert Archuleta’s testimony,</w:t>
      </w:r>
      <w:r w:rsidR="004F57F6">
        <w:rPr>
          <w:b/>
        </w:rPr>
        <w:t xml:space="preserve"> Exhibit No. ___(GA-1T),</w:t>
      </w:r>
      <w:r w:rsidR="006A603C">
        <w:rPr>
          <w:b/>
        </w:rPr>
        <w:t xml:space="preserve"> he states that “PSE has found that many customers make payments at the door when PSE is there to disconnect their service; therefore, PSE opts to continue the collection cycle even if there is no intention of disconnecting services.”</w:t>
      </w:r>
      <w:r w:rsidR="00395513">
        <w:rPr>
          <w:b/>
        </w:rPr>
        <w:t xml:space="preserve"> </w:t>
      </w:r>
      <w:r w:rsidR="006A603C">
        <w:rPr>
          <w:b/>
        </w:rPr>
        <w:t xml:space="preserve"> Does this description of PSE’s collection practices </w:t>
      </w:r>
      <w:r w:rsidR="00693DB8">
        <w:rPr>
          <w:b/>
        </w:rPr>
        <w:t>concern Staff</w:t>
      </w:r>
      <w:r w:rsidR="00E53120">
        <w:rPr>
          <w:b/>
        </w:rPr>
        <w:t>?</w:t>
      </w:r>
    </w:p>
    <w:p w:rsidR="00D86281" w:rsidRPr="006A603C" w:rsidRDefault="00B814E2" w:rsidP="00D86281">
      <w:pPr>
        <w:spacing w:line="480" w:lineRule="auto"/>
        <w:ind w:left="720" w:hanging="720"/>
      </w:pPr>
      <w:r>
        <w:lastRenderedPageBreak/>
        <w:t>A.</w:t>
      </w:r>
      <w:r>
        <w:tab/>
      </w:r>
      <w:r w:rsidR="006A603C">
        <w:t xml:space="preserve">Yes, it does. </w:t>
      </w:r>
      <w:r w:rsidR="00E5716C">
        <w:t xml:space="preserve"> </w:t>
      </w:r>
      <w:r w:rsidR="006A603C">
        <w:t xml:space="preserve">The first part of the statement, that “PSE has found that many customers make payments at the door </w:t>
      </w:r>
      <w:r w:rsidR="006A603C">
        <w:rPr>
          <w:i/>
        </w:rPr>
        <w:t>when PSE is there to disconnect their service</w:t>
      </w:r>
      <w:r w:rsidR="006A603C">
        <w:t xml:space="preserve">” </w:t>
      </w:r>
      <w:r w:rsidR="0001558F">
        <w:t xml:space="preserve">(emphasis added) </w:t>
      </w:r>
      <w:r w:rsidR="006A603C">
        <w:t xml:space="preserve">creates an inference that </w:t>
      </w:r>
      <w:r w:rsidR="00EC266E">
        <w:t xml:space="preserve">even </w:t>
      </w:r>
      <w:r w:rsidR="006A603C">
        <w:t xml:space="preserve">on “non-disconnect days,” PSE employees </w:t>
      </w:r>
      <w:r w:rsidR="0001558F">
        <w:t>represent</w:t>
      </w:r>
      <w:r w:rsidR="0025484D">
        <w:t xml:space="preserve"> </w:t>
      </w:r>
      <w:r w:rsidR="006A603C">
        <w:t>to customers that they are</w:t>
      </w:r>
      <w:r w:rsidR="00EC266E">
        <w:t xml:space="preserve"> </w:t>
      </w:r>
      <w:r w:rsidR="006A603C">
        <w:t xml:space="preserve">at their door </w:t>
      </w:r>
      <w:r w:rsidR="00EC266E">
        <w:t xml:space="preserve">with the intent </w:t>
      </w:r>
      <w:r w:rsidR="006A603C">
        <w:t>to disconnect service</w:t>
      </w:r>
      <w:r w:rsidR="00EC266E">
        <w:t xml:space="preserve"> if payment is not received</w:t>
      </w:r>
      <w:r w:rsidR="006A603C">
        <w:t xml:space="preserve">. </w:t>
      </w:r>
      <w:r w:rsidR="00E5716C">
        <w:t xml:space="preserve"> </w:t>
      </w:r>
      <w:r w:rsidR="006A603C">
        <w:t xml:space="preserve">The second part of Mr. Archuleta’s statement, that “PSE opts to continue the collection cycle </w:t>
      </w:r>
      <w:r w:rsidR="006A603C">
        <w:rPr>
          <w:i/>
        </w:rPr>
        <w:t>even if there is no intention</w:t>
      </w:r>
      <w:r w:rsidR="006A603C">
        <w:t xml:space="preserve"> of disconnecting services</w:t>
      </w:r>
      <w:r w:rsidR="00E5716C">
        <w:t>”</w:t>
      </w:r>
      <w:r w:rsidR="006A603C">
        <w:t xml:space="preserve"> </w:t>
      </w:r>
      <w:r w:rsidR="003E1318">
        <w:t xml:space="preserve">(emphasis added) </w:t>
      </w:r>
      <w:r w:rsidR="006A603C">
        <w:t>further supports that inference</w:t>
      </w:r>
      <w:r w:rsidR="00E5716C">
        <w:t>.  Mr. Archuleta’s testimony is ambiguous, at b</w:t>
      </w:r>
      <w:r w:rsidR="009F33EB">
        <w:t xml:space="preserve">est, with respect to </w:t>
      </w:r>
      <w:r w:rsidR="00E5716C">
        <w:t>whether customers are informed by the field collector that they have no intention of disconnecting service</w:t>
      </w:r>
      <w:r w:rsidR="00693DB8">
        <w:t>, regardless of</w:t>
      </w:r>
      <w:r w:rsidR="00E5716C">
        <w:t xml:space="preserve"> whether payment is received.  Staff is concerned that PSE is not disclosing to customers </w:t>
      </w:r>
      <w:r w:rsidR="009F33EB">
        <w:t>during these visits that PSE has declared a</w:t>
      </w:r>
      <w:r w:rsidR="00E5716C">
        <w:t xml:space="preserve"> “non-disconnect day.”</w:t>
      </w:r>
    </w:p>
    <w:p w:rsidR="00D86281" w:rsidRDefault="00D86281" w:rsidP="00D86281">
      <w:pPr>
        <w:spacing w:line="480" w:lineRule="auto"/>
        <w:ind w:left="720" w:hanging="720"/>
      </w:pPr>
    </w:p>
    <w:p w:rsidR="00D86281" w:rsidRPr="00383F9B" w:rsidRDefault="00D86281" w:rsidP="00D86281">
      <w:pPr>
        <w:spacing w:line="480" w:lineRule="auto"/>
        <w:ind w:left="720" w:hanging="720"/>
        <w:rPr>
          <w:b/>
        </w:rPr>
      </w:pPr>
      <w:r w:rsidRPr="00383F9B">
        <w:rPr>
          <w:b/>
        </w:rPr>
        <w:t xml:space="preserve">Q. </w:t>
      </w:r>
      <w:r w:rsidRPr="00383F9B">
        <w:rPr>
          <w:b/>
        </w:rPr>
        <w:tab/>
      </w:r>
      <w:r w:rsidR="00E5716C">
        <w:rPr>
          <w:b/>
        </w:rPr>
        <w:t xml:space="preserve">Why does Staff </w:t>
      </w:r>
      <w:r w:rsidR="007B12B3">
        <w:rPr>
          <w:b/>
        </w:rPr>
        <w:t xml:space="preserve">believe </w:t>
      </w:r>
      <w:r w:rsidR="00E5716C">
        <w:rPr>
          <w:b/>
        </w:rPr>
        <w:t xml:space="preserve">it is important that PSE disclose to customers the true purpose </w:t>
      </w:r>
      <w:r w:rsidR="007B12B3">
        <w:rPr>
          <w:b/>
        </w:rPr>
        <w:t xml:space="preserve">for </w:t>
      </w:r>
      <w:r w:rsidR="00395513">
        <w:rPr>
          <w:b/>
        </w:rPr>
        <w:t xml:space="preserve">its </w:t>
      </w:r>
      <w:r w:rsidR="007B12B3">
        <w:rPr>
          <w:b/>
        </w:rPr>
        <w:t>visit on “non-disconnect days”?</w:t>
      </w:r>
      <w:r w:rsidRPr="00383F9B">
        <w:rPr>
          <w:b/>
        </w:rPr>
        <w:t xml:space="preserve"> </w:t>
      </w:r>
    </w:p>
    <w:p w:rsidR="005F504D" w:rsidRDefault="00E5716C" w:rsidP="00383F9B">
      <w:pPr>
        <w:spacing w:line="480" w:lineRule="auto"/>
        <w:ind w:left="720" w:hanging="720"/>
      </w:pPr>
      <w:r>
        <w:t>A.</w:t>
      </w:r>
      <w:r>
        <w:tab/>
      </w:r>
      <w:r w:rsidR="007B12B3">
        <w:t xml:space="preserve">Staff believes that any practice that </w:t>
      </w:r>
      <w:r w:rsidR="00EC266E">
        <w:t xml:space="preserve">could potentially </w:t>
      </w:r>
      <w:r w:rsidR="007B12B3">
        <w:t>mislead consumers is harmful.  Mr. Archuleta’s testimony</w:t>
      </w:r>
      <w:r w:rsidR="0001558F">
        <w:t xml:space="preserve"> attempts</w:t>
      </w:r>
      <w:r w:rsidR="007B12B3">
        <w:t xml:space="preserve"> to put a positive spin on </w:t>
      </w:r>
      <w:r w:rsidR="0001558F">
        <w:t xml:space="preserve">the Company’s </w:t>
      </w:r>
      <w:r w:rsidR="008C7C97">
        <w:t xml:space="preserve">practice </w:t>
      </w:r>
      <w:r w:rsidR="007B12B3">
        <w:t xml:space="preserve">of declaring “non-disconnect days” by painting a picture where customers who </w:t>
      </w:r>
      <w:r w:rsidR="00EC266E">
        <w:t>are eligible for disconnection</w:t>
      </w:r>
      <w:r w:rsidR="007B12B3">
        <w:t xml:space="preserve"> are spared.  Staff sees it differently. </w:t>
      </w:r>
      <w:r>
        <w:t xml:space="preserve"> </w:t>
      </w:r>
      <w:r w:rsidR="007B12B3">
        <w:t xml:space="preserve">If PSE’s practice were to simply take </w:t>
      </w:r>
      <w:r w:rsidR="007B12B3" w:rsidRPr="009F33EB">
        <w:rPr>
          <w:u w:val="single"/>
        </w:rPr>
        <w:t>no</w:t>
      </w:r>
      <w:r w:rsidR="007B12B3">
        <w:t xml:space="preserve"> action on “non-disconnect days,” a more convincing argument could be made that the practice benefited consumers.  Instead, Staff’s view is that because PSE </w:t>
      </w:r>
      <w:r w:rsidR="009F33EB">
        <w:t>employees</w:t>
      </w:r>
      <w:r w:rsidR="007B12B3">
        <w:t xml:space="preserve"> are making house calls for the sole purpose of collecting a debt, the behavior is fundamentally </w:t>
      </w:r>
      <w:r w:rsidR="0087626B">
        <w:t>intimidating</w:t>
      </w:r>
      <w:r w:rsidR="007B12B3">
        <w:t xml:space="preserve">. </w:t>
      </w:r>
      <w:r w:rsidR="00395513">
        <w:t xml:space="preserve"> </w:t>
      </w:r>
      <w:r w:rsidR="008C7C97">
        <w:t xml:space="preserve">Regardless of the outcome of the </w:t>
      </w:r>
      <w:r w:rsidR="008C7C97">
        <w:lastRenderedPageBreak/>
        <w:t xml:space="preserve">interaction, </w:t>
      </w:r>
      <w:r w:rsidR="007B3EF7">
        <w:t>if customers are not informed</w:t>
      </w:r>
      <w:r w:rsidR="008C7C97">
        <w:t xml:space="preserve"> </w:t>
      </w:r>
      <w:r w:rsidR="0025484D">
        <w:t>at the time of th</w:t>
      </w:r>
      <w:r w:rsidR="007B3EF7">
        <w:t>e visit</w:t>
      </w:r>
      <w:r w:rsidR="007B12B3">
        <w:t xml:space="preserve"> that the field collector will not, under any circumstances, actually disconnect their service that </w:t>
      </w:r>
      <w:r w:rsidR="007B3EF7">
        <w:t>day, th</w:t>
      </w:r>
      <w:r w:rsidR="003E1318">
        <w:t>e</w:t>
      </w:r>
      <w:r w:rsidR="007B3EF7">
        <w:t xml:space="preserve"> </w:t>
      </w:r>
      <w:r w:rsidR="00556845">
        <w:t xml:space="preserve">behavior may </w:t>
      </w:r>
      <w:r w:rsidR="009E13D3">
        <w:t xml:space="preserve">be misleading. </w:t>
      </w:r>
    </w:p>
    <w:p w:rsidR="008F773F" w:rsidRDefault="008F773F" w:rsidP="00383F9B">
      <w:pPr>
        <w:spacing w:line="480" w:lineRule="auto"/>
        <w:ind w:left="720" w:hanging="720"/>
      </w:pPr>
    </w:p>
    <w:p w:rsidR="00326A34" w:rsidRDefault="00ED1051" w:rsidP="00326A34">
      <w:pPr>
        <w:spacing w:line="480" w:lineRule="auto"/>
        <w:ind w:left="720" w:hanging="720"/>
        <w:rPr>
          <w:b/>
        </w:rPr>
      </w:pPr>
      <w:r>
        <w:rPr>
          <w:b/>
        </w:rPr>
        <w:t>Q.</w:t>
      </w:r>
      <w:r w:rsidR="007B3EF7">
        <w:rPr>
          <w:b/>
        </w:rPr>
        <w:tab/>
      </w:r>
      <w:r w:rsidR="00682C74">
        <w:rPr>
          <w:b/>
        </w:rPr>
        <w:t xml:space="preserve">In </w:t>
      </w:r>
      <w:r w:rsidR="0087626B">
        <w:rPr>
          <w:b/>
        </w:rPr>
        <w:t>Mr. Archuleta’s testimony</w:t>
      </w:r>
      <w:r w:rsidR="004F57F6">
        <w:rPr>
          <w:b/>
        </w:rPr>
        <w:t>, Exhibit No. ___ (GA-1T)</w:t>
      </w:r>
      <w:r w:rsidR="0087626B">
        <w:rPr>
          <w:b/>
        </w:rPr>
        <w:t xml:space="preserve">, </w:t>
      </w:r>
      <w:r w:rsidR="00682C74">
        <w:rPr>
          <w:b/>
        </w:rPr>
        <w:t xml:space="preserve">page 6, line 17, </w:t>
      </w:r>
      <w:r w:rsidR="0087626B">
        <w:rPr>
          <w:b/>
        </w:rPr>
        <w:t xml:space="preserve">he admits that charging customers a $13 disconnect visit fee on “non-disconnect days” was </w:t>
      </w:r>
      <w:r w:rsidR="00A047DF">
        <w:rPr>
          <w:b/>
        </w:rPr>
        <w:t>“</w:t>
      </w:r>
      <w:r w:rsidR="0087626B">
        <w:rPr>
          <w:b/>
        </w:rPr>
        <w:t>inappropriate</w:t>
      </w:r>
      <w:r w:rsidR="008F773F">
        <w:rPr>
          <w:b/>
        </w:rPr>
        <w:t>.</w:t>
      </w:r>
      <w:r w:rsidR="00A047DF">
        <w:rPr>
          <w:b/>
        </w:rPr>
        <w:t>”</w:t>
      </w:r>
      <w:r w:rsidR="00326A34">
        <w:rPr>
          <w:b/>
        </w:rPr>
        <w:t xml:space="preserve">  Do you agree? </w:t>
      </w:r>
    </w:p>
    <w:p w:rsidR="007B3EF7" w:rsidRDefault="00326A34" w:rsidP="00326A34">
      <w:pPr>
        <w:spacing w:line="480" w:lineRule="auto"/>
        <w:ind w:left="720" w:hanging="720"/>
      </w:pPr>
      <w:r w:rsidRPr="00A047DF">
        <w:t>A.</w:t>
      </w:r>
      <w:r w:rsidRPr="00A047DF">
        <w:tab/>
        <w:t xml:space="preserve">Yes, absolutely.  </w:t>
      </w:r>
      <w:r w:rsidR="008C7C97">
        <w:t xml:space="preserve">It is not only </w:t>
      </w:r>
      <w:r w:rsidR="00500791">
        <w:t xml:space="preserve">inappropriate </w:t>
      </w:r>
      <w:r w:rsidR="003E1318">
        <w:t>that PSE</w:t>
      </w:r>
      <w:r w:rsidR="008C7C97">
        <w:t xml:space="preserve"> </w:t>
      </w:r>
      <w:r>
        <w:t>charge</w:t>
      </w:r>
      <w:r w:rsidR="008C7C97">
        <w:t>d</w:t>
      </w:r>
      <w:r>
        <w:t xml:space="preserve"> customers $13 disconnect </w:t>
      </w:r>
      <w:r w:rsidR="008C7C97">
        <w:t xml:space="preserve">visit </w:t>
      </w:r>
      <w:r>
        <w:t>fee</w:t>
      </w:r>
      <w:r w:rsidR="003E1318">
        <w:t>s</w:t>
      </w:r>
      <w:r>
        <w:t xml:space="preserve"> on </w:t>
      </w:r>
      <w:r w:rsidR="008F773F">
        <w:t>“non-</w:t>
      </w:r>
      <w:r>
        <w:t>disconnect days</w:t>
      </w:r>
      <w:r w:rsidR="008F773F">
        <w:t>”</w:t>
      </w:r>
      <w:r>
        <w:t xml:space="preserve"> when it had no intention of disconnecting </w:t>
      </w:r>
      <w:r w:rsidR="003E1318">
        <w:t>service</w:t>
      </w:r>
      <w:r w:rsidR="008C7C97">
        <w:t xml:space="preserve">, </w:t>
      </w:r>
      <w:r w:rsidR="003E1318">
        <w:t>each time it did so, the Company violated Commission rules and</w:t>
      </w:r>
      <w:r w:rsidR="008C7C97">
        <w:t xml:space="preserve"> </w:t>
      </w:r>
      <w:r w:rsidR="003E1318">
        <w:t>its own</w:t>
      </w:r>
      <w:r w:rsidR="008C7C97">
        <w:t xml:space="preserve"> tariff.  </w:t>
      </w:r>
    </w:p>
    <w:p w:rsidR="007B3EF7" w:rsidRDefault="007B3EF7" w:rsidP="00326A34">
      <w:pPr>
        <w:spacing w:line="480" w:lineRule="auto"/>
        <w:ind w:left="720" w:hanging="720"/>
      </w:pPr>
    </w:p>
    <w:p w:rsidR="00ED1051" w:rsidRDefault="007B3EF7" w:rsidP="00326A34">
      <w:pPr>
        <w:spacing w:line="480" w:lineRule="auto"/>
        <w:ind w:left="720" w:hanging="720"/>
        <w:rPr>
          <w:b/>
        </w:rPr>
      </w:pPr>
      <w:r>
        <w:rPr>
          <w:b/>
        </w:rPr>
        <w:t xml:space="preserve">Q. </w:t>
      </w:r>
      <w:r>
        <w:rPr>
          <w:b/>
        </w:rPr>
        <w:tab/>
        <w:t>Mr. Archu</w:t>
      </w:r>
      <w:r w:rsidR="008F6CCA">
        <w:rPr>
          <w:b/>
        </w:rPr>
        <w:t xml:space="preserve">leta </w:t>
      </w:r>
      <w:r w:rsidR="0087626B">
        <w:rPr>
          <w:b/>
        </w:rPr>
        <w:t>goes on to say</w:t>
      </w:r>
      <w:r w:rsidR="004F57F6">
        <w:rPr>
          <w:b/>
        </w:rPr>
        <w:t>, on</w:t>
      </w:r>
      <w:r>
        <w:rPr>
          <w:b/>
        </w:rPr>
        <w:t xml:space="preserve"> </w:t>
      </w:r>
      <w:r w:rsidR="006C13F6">
        <w:rPr>
          <w:b/>
        </w:rPr>
        <w:t>p</w:t>
      </w:r>
      <w:r w:rsidR="004F57F6">
        <w:rPr>
          <w:b/>
        </w:rPr>
        <w:t xml:space="preserve">age 6, lines 18-19 of his testimony, </w:t>
      </w:r>
      <w:r w:rsidR="00682C74">
        <w:rPr>
          <w:b/>
        </w:rPr>
        <w:t>Exhibit No. ___(</w:t>
      </w:r>
      <w:r w:rsidR="004F57F6">
        <w:rPr>
          <w:b/>
        </w:rPr>
        <w:t>GA-1T</w:t>
      </w:r>
      <w:r w:rsidR="00682C74">
        <w:rPr>
          <w:b/>
        </w:rPr>
        <w:t>)</w:t>
      </w:r>
      <w:r w:rsidR="004F57F6">
        <w:rPr>
          <w:b/>
        </w:rPr>
        <w:t xml:space="preserve">, </w:t>
      </w:r>
      <w:r w:rsidR="0087626B">
        <w:rPr>
          <w:b/>
        </w:rPr>
        <w:t xml:space="preserve">that </w:t>
      </w:r>
      <w:r w:rsidR="002A1497">
        <w:rPr>
          <w:b/>
        </w:rPr>
        <w:t>in spite of the inappropriately charged fee,</w:t>
      </w:r>
      <w:r w:rsidR="006C13F6">
        <w:rPr>
          <w:b/>
        </w:rPr>
        <w:t xml:space="preserve"> under the circumstances</w:t>
      </w:r>
      <w:r w:rsidR="002A1497">
        <w:rPr>
          <w:b/>
        </w:rPr>
        <w:t xml:space="preserve"> </w:t>
      </w:r>
      <w:r w:rsidR="0087626B">
        <w:rPr>
          <w:b/>
        </w:rPr>
        <w:t>“it is reasonable to believe that most customers would prefer not to be disconnected</w:t>
      </w:r>
      <w:r w:rsidR="00D71802">
        <w:rPr>
          <w:b/>
        </w:rPr>
        <w:t>..</w:t>
      </w:r>
      <w:r w:rsidR="0087626B">
        <w:rPr>
          <w:b/>
        </w:rPr>
        <w:t>.”</w:t>
      </w:r>
      <w:r>
        <w:rPr>
          <w:b/>
        </w:rPr>
        <w:t xml:space="preserve">. </w:t>
      </w:r>
      <w:r w:rsidR="0087626B">
        <w:rPr>
          <w:b/>
        </w:rPr>
        <w:t>Do you agree</w:t>
      </w:r>
      <w:r w:rsidR="008F6CCA">
        <w:rPr>
          <w:b/>
        </w:rPr>
        <w:t>?</w:t>
      </w:r>
      <w:r w:rsidR="0087626B">
        <w:rPr>
          <w:b/>
        </w:rPr>
        <w:t xml:space="preserve"> </w:t>
      </w:r>
    </w:p>
    <w:p w:rsidR="00ED1051" w:rsidRPr="00647840" w:rsidRDefault="00ED1051" w:rsidP="00E9727A">
      <w:pPr>
        <w:spacing w:line="480" w:lineRule="auto"/>
        <w:ind w:left="720" w:hanging="720"/>
      </w:pPr>
      <w:r>
        <w:t>A.</w:t>
      </w:r>
      <w:r>
        <w:tab/>
      </w:r>
      <w:r w:rsidR="0087626B">
        <w:t xml:space="preserve">No, I do not. </w:t>
      </w:r>
      <w:r w:rsidRPr="007A2D88">
        <w:t xml:space="preserve"> </w:t>
      </w:r>
      <w:r w:rsidR="00C37BCC">
        <w:t xml:space="preserve">First of all, Mr. Archuleta’s logic is circular: he attempts to </w:t>
      </w:r>
      <w:r w:rsidR="00647840">
        <w:t xml:space="preserve">frame </w:t>
      </w:r>
      <w:r w:rsidR="00C37BCC">
        <w:t xml:space="preserve">the conduct that resulted in the violations as a mitigating factor for </w:t>
      </w:r>
      <w:r w:rsidR="009F33EB">
        <w:t>the</w:t>
      </w:r>
      <w:r w:rsidR="00C37BCC">
        <w:t xml:space="preserve"> violations</w:t>
      </w:r>
      <w:r w:rsidR="009F33EB">
        <w:t xml:space="preserve"> themselves</w:t>
      </w:r>
      <w:r w:rsidR="00C37BCC">
        <w:t xml:space="preserve">. </w:t>
      </w:r>
      <w:r w:rsidR="008F6CCA">
        <w:t xml:space="preserve"> </w:t>
      </w:r>
      <w:r w:rsidR="00C37BCC">
        <w:t xml:space="preserve">Second, I think it is more reasonable to believe that most customers would prefer not to have a PSE field collector show up on their doorstep unannounced </w:t>
      </w:r>
      <w:r w:rsidR="009F33EB">
        <w:t xml:space="preserve">for the sole purpose of </w:t>
      </w:r>
      <w:r w:rsidR="00C37BCC">
        <w:t>requesting payment.</w:t>
      </w:r>
      <w:r w:rsidR="008F6CCA">
        <w:t xml:space="preserve"> </w:t>
      </w:r>
      <w:r w:rsidR="00C37BCC">
        <w:t xml:space="preserve"> The real issue here is </w:t>
      </w:r>
      <w:r w:rsidR="00C37BCC" w:rsidRPr="00C37BCC">
        <w:rPr>
          <w:u w:val="single"/>
        </w:rPr>
        <w:t>not</w:t>
      </w:r>
      <w:r w:rsidR="00C37BCC">
        <w:t xml:space="preserve"> </w:t>
      </w:r>
      <w:r w:rsidR="00C37BCC" w:rsidRPr="00C37BCC">
        <w:t>that</w:t>
      </w:r>
      <w:r w:rsidR="00C37BCC">
        <w:t xml:space="preserve"> these customers would have been disconnected but for PSE’s decision to declare a “non-disconnect day”; the issue is that</w:t>
      </w:r>
      <w:r w:rsidR="008F6CCA">
        <w:t xml:space="preserve"> </w:t>
      </w:r>
      <w:r w:rsidR="00C37BCC" w:rsidRPr="00C37BCC">
        <w:rPr>
          <w:i/>
        </w:rPr>
        <w:t>but for</w:t>
      </w:r>
      <w:r w:rsidR="00C37BCC">
        <w:t xml:space="preserve"> PSE’s collection practice of making </w:t>
      </w:r>
      <w:r w:rsidR="00C37BCC">
        <w:lastRenderedPageBreak/>
        <w:t xml:space="preserve">house calls on “non-disconnect days,” these </w:t>
      </w:r>
      <w:r w:rsidR="00D71802">
        <w:t xml:space="preserve">inappropriate </w:t>
      </w:r>
      <w:r w:rsidR="00C37BCC">
        <w:t xml:space="preserve">fees would </w:t>
      </w:r>
      <w:r w:rsidR="00EC266E">
        <w:t>not</w:t>
      </w:r>
      <w:r w:rsidR="00D71802">
        <w:t xml:space="preserve"> </w:t>
      </w:r>
      <w:r w:rsidR="00C37BCC">
        <w:t xml:space="preserve">have been </w:t>
      </w:r>
      <w:r w:rsidR="008C7C97">
        <w:t xml:space="preserve">charged </w:t>
      </w:r>
      <w:r w:rsidR="00C37BCC">
        <w:t xml:space="preserve">in the first place. </w:t>
      </w:r>
    </w:p>
    <w:p w:rsidR="005D6A51" w:rsidRDefault="005D6A51" w:rsidP="008F773F">
      <w:pPr>
        <w:spacing w:line="480" w:lineRule="auto"/>
        <w:rPr>
          <w:b/>
        </w:rPr>
      </w:pPr>
    </w:p>
    <w:p w:rsidR="000132B2" w:rsidRDefault="000132B2" w:rsidP="00D6359C">
      <w:pPr>
        <w:spacing w:line="480" w:lineRule="auto"/>
        <w:ind w:left="720" w:hanging="720"/>
        <w:rPr>
          <w:b/>
        </w:rPr>
      </w:pPr>
      <w:r>
        <w:rPr>
          <w:b/>
        </w:rPr>
        <w:t>Q.</w:t>
      </w:r>
      <w:r>
        <w:rPr>
          <w:b/>
        </w:rPr>
        <w:tab/>
      </w:r>
      <w:r w:rsidR="0025484D">
        <w:rPr>
          <w:b/>
        </w:rPr>
        <w:t xml:space="preserve">Has the Company provided Staff </w:t>
      </w:r>
      <w:r w:rsidR="007B3EF7">
        <w:rPr>
          <w:b/>
        </w:rPr>
        <w:t xml:space="preserve">with </w:t>
      </w:r>
      <w:r w:rsidR="0025484D">
        <w:rPr>
          <w:b/>
        </w:rPr>
        <w:t>information</w:t>
      </w:r>
      <w:r w:rsidR="00FB3D1C">
        <w:rPr>
          <w:b/>
        </w:rPr>
        <w:t xml:space="preserve"> since</w:t>
      </w:r>
      <w:r w:rsidR="00D90DDC">
        <w:rPr>
          <w:b/>
        </w:rPr>
        <w:t xml:space="preserve"> </w:t>
      </w:r>
      <w:r w:rsidR="0025484D">
        <w:rPr>
          <w:b/>
        </w:rPr>
        <w:t xml:space="preserve">the filing of </w:t>
      </w:r>
      <w:r w:rsidR="00D90DDC">
        <w:rPr>
          <w:b/>
        </w:rPr>
        <w:t>your direct testimony and</w:t>
      </w:r>
      <w:r w:rsidR="00FB3D1C">
        <w:rPr>
          <w:b/>
        </w:rPr>
        <w:t xml:space="preserve"> Mr. Archuleta’s </w:t>
      </w:r>
      <w:r w:rsidR="00D90DDC">
        <w:rPr>
          <w:b/>
        </w:rPr>
        <w:t xml:space="preserve">responsive </w:t>
      </w:r>
      <w:r w:rsidR="00FB3D1C">
        <w:rPr>
          <w:b/>
        </w:rPr>
        <w:t>testimony</w:t>
      </w:r>
      <w:r w:rsidR="0025484D">
        <w:rPr>
          <w:b/>
        </w:rPr>
        <w:t xml:space="preserve"> </w:t>
      </w:r>
      <w:r>
        <w:rPr>
          <w:b/>
        </w:rPr>
        <w:t>regarding the n</w:t>
      </w:r>
      <w:r w:rsidR="00054769">
        <w:rPr>
          <w:b/>
        </w:rPr>
        <w:t xml:space="preserve">umber of </w:t>
      </w:r>
      <w:r w:rsidR="00D90DDC">
        <w:rPr>
          <w:b/>
        </w:rPr>
        <w:t xml:space="preserve">improper </w:t>
      </w:r>
      <w:r w:rsidR="00054769">
        <w:rPr>
          <w:b/>
        </w:rPr>
        <w:t>disconnect</w:t>
      </w:r>
      <w:r w:rsidR="000E46EC">
        <w:rPr>
          <w:b/>
        </w:rPr>
        <w:t xml:space="preserve"> visit</w:t>
      </w:r>
      <w:r w:rsidR="00054769">
        <w:rPr>
          <w:b/>
        </w:rPr>
        <w:t xml:space="preserve"> fees </w:t>
      </w:r>
      <w:r w:rsidR="00D90DDC">
        <w:rPr>
          <w:b/>
        </w:rPr>
        <w:t xml:space="preserve">PSE charged </w:t>
      </w:r>
      <w:r w:rsidR="00FB3D1C">
        <w:rPr>
          <w:b/>
        </w:rPr>
        <w:t>during</w:t>
      </w:r>
      <w:r w:rsidR="00054769">
        <w:rPr>
          <w:b/>
        </w:rPr>
        <w:t xml:space="preserve"> the </w:t>
      </w:r>
      <w:r w:rsidR="000E46EC">
        <w:rPr>
          <w:b/>
        </w:rPr>
        <w:t>2</w:t>
      </w:r>
      <w:r w:rsidR="0025484D">
        <w:rPr>
          <w:b/>
        </w:rPr>
        <w:t>011</w:t>
      </w:r>
      <w:r w:rsidR="000E46EC">
        <w:rPr>
          <w:b/>
        </w:rPr>
        <w:t xml:space="preserve"> </w:t>
      </w:r>
      <w:r>
        <w:rPr>
          <w:b/>
        </w:rPr>
        <w:t xml:space="preserve">period that </w:t>
      </w:r>
      <w:r w:rsidR="00D90DDC">
        <w:rPr>
          <w:b/>
        </w:rPr>
        <w:t xml:space="preserve">merit </w:t>
      </w:r>
      <w:r>
        <w:rPr>
          <w:b/>
        </w:rPr>
        <w:t xml:space="preserve">an update to your direct testimony? </w:t>
      </w:r>
    </w:p>
    <w:p w:rsidR="00054769" w:rsidRDefault="000132B2">
      <w:pPr>
        <w:spacing w:line="480" w:lineRule="auto"/>
        <w:ind w:left="720" w:hanging="720"/>
      </w:pPr>
      <w:r>
        <w:rPr>
          <w:b/>
        </w:rPr>
        <w:t>A.</w:t>
      </w:r>
      <w:r>
        <w:rPr>
          <w:b/>
        </w:rPr>
        <w:tab/>
      </w:r>
      <w:r w:rsidRPr="00FB3D1C">
        <w:t>Yes.</w:t>
      </w:r>
      <w:r>
        <w:rPr>
          <w:b/>
        </w:rPr>
        <w:t xml:space="preserve">  </w:t>
      </w:r>
      <w:r>
        <w:t xml:space="preserve">In a supplemental response to </w:t>
      </w:r>
      <w:r w:rsidR="0025484D">
        <w:t>a data request,</w:t>
      </w:r>
      <w:r>
        <w:t xml:space="preserve"> PSE </w:t>
      </w:r>
      <w:r w:rsidR="0025484D">
        <w:t xml:space="preserve">corrected </w:t>
      </w:r>
      <w:r>
        <w:t>its initial response</w:t>
      </w:r>
      <w:r w:rsidR="0025484D">
        <w:t>,</w:t>
      </w:r>
      <w:r>
        <w:t xml:space="preserve"> </w:t>
      </w:r>
      <w:r w:rsidR="0025484D">
        <w:t>admitting that</w:t>
      </w:r>
      <w:r w:rsidR="00326393">
        <w:t xml:space="preserve"> </w:t>
      </w:r>
      <w:r w:rsidR="003E1318">
        <w:t xml:space="preserve">the </w:t>
      </w:r>
      <w:r w:rsidR="00326393">
        <w:t>Company</w:t>
      </w:r>
      <w:r w:rsidR="003E1318">
        <w:t xml:space="preserve"> actually billed customers</w:t>
      </w:r>
      <w:r>
        <w:t xml:space="preserve"> </w:t>
      </w:r>
      <w:r w:rsidR="00647840">
        <w:t>improper disconnect visit fees</w:t>
      </w:r>
      <w:r w:rsidR="0025484D">
        <w:t xml:space="preserve"> a total of</w:t>
      </w:r>
      <w:r w:rsidR="00647840">
        <w:t xml:space="preserve"> </w:t>
      </w:r>
      <w:r w:rsidR="00326393">
        <w:t>3,611 times in 201</w:t>
      </w:r>
      <w:r w:rsidR="00200512">
        <w:t>1</w:t>
      </w:r>
      <w:r w:rsidR="00326393">
        <w:t xml:space="preserve">, not </w:t>
      </w:r>
      <w:r w:rsidR="000E46EC">
        <w:t>3,631</w:t>
      </w:r>
      <w:r w:rsidR="00326393">
        <w:t xml:space="preserve"> as previously </w:t>
      </w:r>
      <w:r w:rsidR="0025484D">
        <w:t>admitted</w:t>
      </w:r>
      <w:r>
        <w:t>.  See Exhibit No.___</w:t>
      </w:r>
      <w:r w:rsidR="00D90DDC">
        <w:t xml:space="preserve"> </w:t>
      </w:r>
      <w:r>
        <w:t>(RP-1</w:t>
      </w:r>
      <w:r w:rsidR="00447BA4">
        <w:t>1</w:t>
      </w:r>
      <w:r>
        <w:t>).</w:t>
      </w:r>
      <w:r w:rsidR="00647840">
        <w:t xml:space="preserve">  </w:t>
      </w:r>
      <w:r w:rsidR="0025484D">
        <w:t xml:space="preserve">I referred to the Company’s original response in my direct testimony, Exhibit No.___ (RP-1T), page 6, lines 21 to page 7, line 6, and the original response is my Exhibit No. ___ (RP-7).  </w:t>
      </w:r>
      <w:r w:rsidR="00326393">
        <w:t>Because the Company has corrected itself,</w:t>
      </w:r>
      <w:r w:rsidR="00447BA4">
        <w:t xml:space="preserve"> Exhibit No.___(RP-11</w:t>
      </w:r>
      <w:r w:rsidR="00326393">
        <w:t xml:space="preserve">) </w:t>
      </w:r>
      <w:r w:rsidR="00FA616A">
        <w:t>is an update to my</w:t>
      </w:r>
      <w:r w:rsidR="00326393">
        <w:t xml:space="preserve"> Exhibit No. ___(RP-7).  </w:t>
      </w:r>
      <w:r w:rsidR="0043793A">
        <w:t xml:space="preserve">My </w:t>
      </w:r>
      <w:r w:rsidR="00FA616A">
        <w:t xml:space="preserve">conclusion that the violations are </w:t>
      </w:r>
      <w:r w:rsidR="0043793A">
        <w:t xml:space="preserve">more widespread than the number I found in my initial investigation does not change.  </w:t>
      </w:r>
      <w:r w:rsidR="007B3EF7">
        <w:t>The</w:t>
      </w:r>
      <w:r w:rsidR="0043793A">
        <w:t xml:space="preserve"> Company’s documentation shows a total of 3,611 improper disconnect visit fees in 2011, each of which are violations.  </w:t>
      </w:r>
    </w:p>
    <w:p w:rsidR="0061631D" w:rsidRDefault="0061631D" w:rsidP="0061631D">
      <w:pPr>
        <w:spacing w:line="480" w:lineRule="auto"/>
        <w:ind w:left="720" w:hanging="720"/>
      </w:pPr>
    </w:p>
    <w:p w:rsidR="007807BA" w:rsidRDefault="00FB3D1C" w:rsidP="00054769">
      <w:pPr>
        <w:spacing w:line="480" w:lineRule="auto"/>
        <w:ind w:left="720" w:hanging="720"/>
        <w:rPr>
          <w:b/>
        </w:rPr>
      </w:pPr>
      <w:r>
        <w:rPr>
          <w:b/>
        </w:rPr>
        <w:t>Q.</w:t>
      </w:r>
      <w:r>
        <w:rPr>
          <w:b/>
        </w:rPr>
        <w:tab/>
      </w:r>
      <w:r w:rsidR="0061631D">
        <w:rPr>
          <w:b/>
        </w:rPr>
        <w:t>Has Staff received, and did you review, additional materials from the Company regarding the actual number of violat</w:t>
      </w:r>
      <w:r w:rsidR="00101415">
        <w:rPr>
          <w:b/>
        </w:rPr>
        <w:t xml:space="preserve">ions </w:t>
      </w:r>
      <w:r w:rsidR="00B213CC">
        <w:rPr>
          <w:b/>
        </w:rPr>
        <w:t xml:space="preserve">dating back two years </w:t>
      </w:r>
      <w:r w:rsidR="0043793A">
        <w:rPr>
          <w:b/>
        </w:rPr>
        <w:t>prior to</w:t>
      </w:r>
      <w:r w:rsidR="00B213CC">
        <w:rPr>
          <w:b/>
        </w:rPr>
        <w:t xml:space="preserve"> the date the Commission issued its complaint in this proceeding, or </w:t>
      </w:r>
      <w:r w:rsidR="003E1318">
        <w:rPr>
          <w:b/>
        </w:rPr>
        <w:t>since</w:t>
      </w:r>
      <w:r w:rsidR="00E53120">
        <w:rPr>
          <w:b/>
        </w:rPr>
        <w:t xml:space="preserve"> December </w:t>
      </w:r>
      <w:r w:rsidR="0061631D">
        <w:rPr>
          <w:b/>
        </w:rPr>
        <w:t xml:space="preserve">14, 2009? </w:t>
      </w:r>
      <w:r>
        <w:rPr>
          <w:b/>
        </w:rPr>
        <w:t xml:space="preserve"> </w:t>
      </w:r>
    </w:p>
    <w:p w:rsidR="00D07F68" w:rsidRDefault="003E1318" w:rsidP="003E1318">
      <w:pPr>
        <w:spacing w:line="480" w:lineRule="auto"/>
        <w:ind w:left="720" w:hanging="720"/>
      </w:pPr>
      <w:r>
        <w:lastRenderedPageBreak/>
        <w:t>A.</w:t>
      </w:r>
      <w:r>
        <w:tab/>
      </w:r>
      <w:r w:rsidR="0061631D">
        <w:t xml:space="preserve">Yes.  </w:t>
      </w:r>
      <w:r w:rsidR="002612EE">
        <w:t xml:space="preserve">In </w:t>
      </w:r>
      <w:r w:rsidR="0043793A">
        <w:t xml:space="preserve">response to a formal data request, </w:t>
      </w:r>
      <w:r w:rsidR="002612EE">
        <w:t xml:space="preserve">PSE admitted that 2,835 </w:t>
      </w:r>
      <w:r w:rsidR="008F6CCA">
        <w:t xml:space="preserve">disconnect visit fees were inappropriately charged </w:t>
      </w:r>
      <w:r w:rsidR="002612EE">
        <w:t xml:space="preserve">between December 14 and </w:t>
      </w:r>
      <w:r w:rsidR="0043793A">
        <w:t xml:space="preserve">December </w:t>
      </w:r>
      <w:r w:rsidR="002612EE">
        <w:t xml:space="preserve">31, 2009.  </w:t>
      </w:r>
      <w:r w:rsidR="00D92462">
        <w:t>See Exhibit No.____(RP-1</w:t>
      </w:r>
      <w:r w:rsidR="00447BA4">
        <w:t>2</w:t>
      </w:r>
      <w:r w:rsidR="00D92462">
        <w:t xml:space="preserve">). </w:t>
      </w:r>
      <w:r w:rsidR="009E0F4D">
        <w:t xml:space="preserve"> </w:t>
      </w:r>
    </w:p>
    <w:p w:rsidR="005D6A51" w:rsidRDefault="0061631D" w:rsidP="00EA4D7A">
      <w:pPr>
        <w:spacing w:line="480" w:lineRule="auto"/>
        <w:ind w:left="720" w:firstLine="720"/>
      </w:pPr>
      <w:r>
        <w:t xml:space="preserve">When </w:t>
      </w:r>
      <w:r w:rsidR="00C831CC">
        <w:t>the 2,835 inappropriate disconnect visit fees are added to the</w:t>
      </w:r>
      <w:r>
        <w:t xml:space="preserve"> 2,664 improper disconnect visit </w:t>
      </w:r>
      <w:r w:rsidR="00C831CC">
        <w:t xml:space="preserve">fees PSE </w:t>
      </w:r>
      <w:r>
        <w:t>char</w:t>
      </w:r>
      <w:r w:rsidR="00556845">
        <w:t>ged in 2010</w:t>
      </w:r>
      <w:r>
        <w:t xml:space="preserve"> </w:t>
      </w:r>
      <w:r w:rsidR="006C13F6">
        <w:t>(see Exhibit No.___(RP-</w:t>
      </w:r>
      <w:r w:rsidR="003E1318">
        <w:t>8)</w:t>
      </w:r>
      <w:r w:rsidR="006C13F6">
        <w:t xml:space="preserve">) </w:t>
      </w:r>
      <w:r>
        <w:t>and the 3,6</w:t>
      </w:r>
      <w:r w:rsidR="00FB3D1C">
        <w:t>1</w:t>
      </w:r>
      <w:r>
        <w:t xml:space="preserve">1 improper disconnect visit fees </w:t>
      </w:r>
      <w:r w:rsidR="00C831CC">
        <w:t xml:space="preserve">PSE </w:t>
      </w:r>
      <w:r>
        <w:t>charged in 2011</w:t>
      </w:r>
      <w:r w:rsidR="006C13F6">
        <w:t xml:space="preserve"> (see Exhibit No. __</w:t>
      </w:r>
      <w:proofErr w:type="gramStart"/>
      <w:r w:rsidR="006C13F6">
        <w:t>_(</w:t>
      </w:r>
      <w:proofErr w:type="gramEnd"/>
      <w:r w:rsidR="006C13F6">
        <w:t>RP-</w:t>
      </w:r>
      <w:r w:rsidR="00447BA4">
        <w:t>11</w:t>
      </w:r>
      <w:r w:rsidR="006C13F6">
        <w:t>)</w:t>
      </w:r>
      <w:r w:rsidR="00D14D47">
        <w:t>)</w:t>
      </w:r>
      <w:r>
        <w:t xml:space="preserve">, </w:t>
      </w:r>
      <w:r w:rsidR="003E1318">
        <w:t>there were a</w:t>
      </w:r>
      <w:r>
        <w:t xml:space="preserve"> total of 9,110 improperly charged disconnect visit </w:t>
      </w:r>
      <w:r w:rsidR="00EA4D7A">
        <w:t>fees within</w:t>
      </w:r>
      <w:r w:rsidR="00414B04">
        <w:t xml:space="preserve"> </w:t>
      </w:r>
      <w:r w:rsidR="003E1318">
        <w:t xml:space="preserve">the </w:t>
      </w:r>
      <w:r w:rsidR="00414B04">
        <w:t xml:space="preserve">two years </w:t>
      </w:r>
      <w:r w:rsidR="003E1318">
        <w:t>prior to</w:t>
      </w:r>
      <w:r>
        <w:t xml:space="preserve"> the date the Commission issued the Complaint</w:t>
      </w:r>
      <w:r w:rsidR="00C831CC">
        <w:t xml:space="preserve"> (December 14, 2009 to December 14, 2011)</w:t>
      </w:r>
      <w:r>
        <w:t xml:space="preserve">.  </w:t>
      </w:r>
      <w:r w:rsidR="00414B04">
        <w:t>As I have previously testified, I found each</w:t>
      </w:r>
      <w:r w:rsidR="00EA4D7A">
        <w:t xml:space="preserve"> </w:t>
      </w:r>
      <w:r w:rsidR="00C831CC">
        <w:t xml:space="preserve">of these </w:t>
      </w:r>
      <w:r w:rsidR="00414B04">
        <w:t xml:space="preserve">improper </w:t>
      </w:r>
      <w:r w:rsidR="00C831CC">
        <w:t xml:space="preserve">charges is a violation of </w:t>
      </w:r>
      <w:r>
        <w:t xml:space="preserve">Commission rules </w:t>
      </w:r>
      <w:r w:rsidR="00C831CC">
        <w:t xml:space="preserve">WAC </w:t>
      </w:r>
      <w:r w:rsidR="00342670">
        <w:t>480-90-128(6</w:t>
      </w:r>
      <w:proofErr w:type="gramStart"/>
      <w:r w:rsidR="00342670">
        <w:t>)(</w:t>
      </w:r>
      <w:proofErr w:type="gramEnd"/>
      <w:r w:rsidR="00342670">
        <w:t xml:space="preserve">k) and/or WAC 480-100-128(6)(k) </w:t>
      </w:r>
      <w:r>
        <w:t>and the Company’s tariff</w:t>
      </w:r>
      <w:r w:rsidR="00EA4D7A">
        <w:t>.</w:t>
      </w:r>
    </w:p>
    <w:p w:rsidR="008F1098" w:rsidRDefault="008F1098" w:rsidP="002612EE">
      <w:pPr>
        <w:spacing w:line="480" w:lineRule="auto"/>
        <w:ind w:left="720" w:hanging="720"/>
      </w:pPr>
    </w:p>
    <w:p w:rsidR="008F1098" w:rsidRPr="008F1098" w:rsidRDefault="008F1098" w:rsidP="002612EE">
      <w:pPr>
        <w:spacing w:line="480" w:lineRule="auto"/>
        <w:ind w:left="720" w:hanging="720"/>
        <w:rPr>
          <w:b/>
        </w:rPr>
      </w:pPr>
      <w:r>
        <w:rPr>
          <w:b/>
        </w:rPr>
        <w:t>Q.</w:t>
      </w:r>
      <w:r>
        <w:rPr>
          <w:b/>
        </w:rPr>
        <w:tab/>
      </w:r>
      <w:r w:rsidR="00CB3EBE">
        <w:rPr>
          <w:b/>
        </w:rPr>
        <w:t xml:space="preserve">In your direct testimony, you stated your opinion that </w:t>
      </w:r>
      <w:r w:rsidR="00152450">
        <w:rPr>
          <w:b/>
        </w:rPr>
        <w:t>the violations at issue</w:t>
      </w:r>
      <w:r w:rsidR="00CB3EBE">
        <w:rPr>
          <w:b/>
        </w:rPr>
        <w:t xml:space="preserve"> were representative of a pattern or practice.  Do</w:t>
      </w:r>
      <w:r w:rsidR="00C831CC">
        <w:rPr>
          <w:b/>
        </w:rPr>
        <w:t xml:space="preserve"> </w:t>
      </w:r>
      <w:r w:rsidR="00CB3EBE">
        <w:rPr>
          <w:b/>
        </w:rPr>
        <w:t xml:space="preserve">PSE’s </w:t>
      </w:r>
      <w:r w:rsidR="00C831CC">
        <w:rPr>
          <w:b/>
        </w:rPr>
        <w:t>recent admissions</w:t>
      </w:r>
      <w:r w:rsidR="00CB3EBE">
        <w:rPr>
          <w:b/>
        </w:rPr>
        <w:t xml:space="preserve"> provide additional support for </w:t>
      </w:r>
      <w:r w:rsidR="00C831CC">
        <w:rPr>
          <w:b/>
        </w:rPr>
        <w:t xml:space="preserve">that </w:t>
      </w:r>
      <w:r w:rsidR="00CB3EBE">
        <w:rPr>
          <w:b/>
        </w:rPr>
        <w:t xml:space="preserve">opinion? </w:t>
      </w:r>
    </w:p>
    <w:p w:rsidR="006A4A1A" w:rsidRDefault="008F1098" w:rsidP="00EA4D7A">
      <w:pPr>
        <w:spacing w:line="480" w:lineRule="auto"/>
        <w:ind w:left="720" w:hanging="720"/>
      </w:pPr>
      <w:r>
        <w:t>A.</w:t>
      </w:r>
      <w:r>
        <w:tab/>
        <w:t xml:space="preserve">Yes. </w:t>
      </w:r>
      <w:r w:rsidR="00BD749E">
        <w:t xml:space="preserve"> </w:t>
      </w:r>
      <w:r w:rsidR="0010383A">
        <w:t xml:space="preserve">I was </w:t>
      </w:r>
      <w:r w:rsidR="00C66F3A">
        <w:t xml:space="preserve">very </w:t>
      </w:r>
      <w:r w:rsidR="0010383A">
        <w:t xml:space="preserve">surprised </w:t>
      </w:r>
      <w:r w:rsidR="00C66F3A">
        <w:t xml:space="preserve">that the number </w:t>
      </w:r>
      <w:r w:rsidR="00F47007">
        <w:t xml:space="preserve">of inappropriate charges (2,835) </w:t>
      </w:r>
      <w:r w:rsidR="00C66F3A">
        <w:t>was so</w:t>
      </w:r>
      <w:r w:rsidR="0010383A">
        <w:t xml:space="preserve"> high for just a two-week period</w:t>
      </w:r>
      <w:r w:rsidR="004B2C4B">
        <w:t xml:space="preserve"> during the </w:t>
      </w:r>
      <w:r w:rsidR="00C831CC">
        <w:t xml:space="preserve">2009 </w:t>
      </w:r>
      <w:r w:rsidR="004B2C4B">
        <w:t>holiday season</w:t>
      </w:r>
      <w:r w:rsidR="00F47007">
        <w:t>.  This pattern of repeated</w:t>
      </w:r>
      <w:r w:rsidR="00342670">
        <w:t>, systematic</w:t>
      </w:r>
      <w:r w:rsidR="00F47007">
        <w:t xml:space="preserve"> conduct</w:t>
      </w:r>
      <w:r w:rsidR="00F27267">
        <w:t xml:space="preserve"> is significant</w:t>
      </w:r>
      <w:r w:rsidR="00C831CC">
        <w:t xml:space="preserve">.  </w:t>
      </w:r>
      <w:r w:rsidR="006A4A1A">
        <w:t>Mr. Arch</w:t>
      </w:r>
      <w:r w:rsidR="00EA4D7A">
        <w:t>u</w:t>
      </w:r>
      <w:r w:rsidR="006A4A1A">
        <w:t>leta’s</w:t>
      </w:r>
      <w:r w:rsidR="00C831CC">
        <w:t xml:space="preserve"> responsive testimony </w:t>
      </w:r>
      <w:r w:rsidR="00EA4D7A">
        <w:t>does not indicate</w:t>
      </w:r>
      <w:r w:rsidR="00152450">
        <w:t>, and one can infer that the Company does not know,</w:t>
      </w:r>
      <w:r w:rsidR="00C831CC">
        <w:t xml:space="preserve"> </w:t>
      </w:r>
      <w:r w:rsidR="006A4A1A">
        <w:t xml:space="preserve">how long </w:t>
      </w:r>
      <w:r w:rsidR="00EA4D7A">
        <w:t>it engaged in th</w:t>
      </w:r>
      <w:r w:rsidR="00152450">
        <w:t>is</w:t>
      </w:r>
      <w:r w:rsidR="00EA4D7A">
        <w:t xml:space="preserve"> practice</w:t>
      </w:r>
      <w:r w:rsidR="00152450">
        <w:t>.</w:t>
      </w:r>
      <w:r w:rsidR="006A4A1A">
        <w:t xml:space="preserve"> </w:t>
      </w:r>
      <w:r w:rsidR="00152450">
        <w:t>This conduct</w:t>
      </w:r>
      <w:r w:rsidR="006A4A1A">
        <w:t xml:space="preserve"> may have been going on for years</w:t>
      </w:r>
      <w:r w:rsidR="00EA4D7A">
        <w:t xml:space="preserve"> prior to</w:t>
      </w:r>
      <w:r w:rsidR="006A4A1A">
        <w:t xml:space="preserve"> Staff’s investigation </w:t>
      </w:r>
      <w:r w:rsidR="00EA4D7A">
        <w:t>and the subsequent Complaint.</w:t>
      </w:r>
      <w:r w:rsidR="00F27267">
        <w:t xml:space="preserve"> </w:t>
      </w:r>
    </w:p>
    <w:p w:rsidR="00152450" w:rsidRDefault="00152450" w:rsidP="00EA4D7A">
      <w:pPr>
        <w:spacing w:line="480" w:lineRule="auto"/>
        <w:ind w:left="720" w:hanging="720"/>
      </w:pPr>
    </w:p>
    <w:p w:rsidR="00F27267" w:rsidRPr="00EA4D7A" w:rsidRDefault="00F27267" w:rsidP="006A603C">
      <w:pPr>
        <w:spacing w:line="480" w:lineRule="auto"/>
        <w:ind w:left="720" w:hanging="720"/>
        <w:rPr>
          <w:b/>
        </w:rPr>
      </w:pPr>
      <w:r w:rsidRPr="00EA4D7A">
        <w:rPr>
          <w:b/>
        </w:rPr>
        <w:lastRenderedPageBreak/>
        <w:t>Q.</w:t>
      </w:r>
      <w:r w:rsidRPr="00EA4D7A">
        <w:rPr>
          <w:b/>
        </w:rPr>
        <w:tab/>
      </w:r>
      <w:r w:rsidR="00200512">
        <w:rPr>
          <w:b/>
        </w:rPr>
        <w:t xml:space="preserve">In </w:t>
      </w:r>
      <w:r w:rsidR="004B2C4B" w:rsidRPr="00EA4D7A">
        <w:rPr>
          <w:b/>
        </w:rPr>
        <w:t>Mr. Archuleta</w:t>
      </w:r>
      <w:r w:rsidR="00200512">
        <w:rPr>
          <w:b/>
        </w:rPr>
        <w:t xml:space="preserve">’s testimony, Exhibit No. ___(GA-1T), he stated, on page 3, lines 4-5, and lines 7-10, that </w:t>
      </w:r>
      <w:r w:rsidR="004B2C4B" w:rsidRPr="00EA4D7A">
        <w:rPr>
          <w:b/>
        </w:rPr>
        <w:t>PSE declares “non-disconnect days” primarily during “very cold weather days, storms and holiday periods</w:t>
      </w:r>
      <w:r w:rsidR="00200512">
        <w:rPr>
          <w:b/>
        </w:rPr>
        <w:t>,</w:t>
      </w:r>
      <w:r w:rsidR="004B2C4B" w:rsidRPr="00EA4D7A">
        <w:rPr>
          <w:b/>
        </w:rPr>
        <w:t xml:space="preserve">” as well as for operational reasons, including “an inability to reconnect customers within 24 hours due to location, or an inability to address customer calls and provide the appropriate level of customer service once the customer had been disconnected.”  </w:t>
      </w:r>
      <w:r w:rsidRPr="00EA4D7A">
        <w:rPr>
          <w:b/>
        </w:rPr>
        <w:t>Are you concerned tha</w:t>
      </w:r>
      <w:r w:rsidR="00152450">
        <w:rPr>
          <w:b/>
        </w:rPr>
        <w:t>t this practice is harmful to consumers</w:t>
      </w:r>
      <w:r w:rsidRPr="00EA4D7A">
        <w:rPr>
          <w:b/>
        </w:rPr>
        <w:t xml:space="preserve">?  </w:t>
      </w:r>
    </w:p>
    <w:p w:rsidR="00F27267" w:rsidRDefault="004B2C4B" w:rsidP="006A603C">
      <w:pPr>
        <w:spacing w:line="480" w:lineRule="auto"/>
        <w:ind w:left="720" w:hanging="720"/>
      </w:pPr>
      <w:r>
        <w:t>A.</w:t>
      </w:r>
      <w:r>
        <w:tab/>
        <w:t xml:space="preserve">Yes. </w:t>
      </w:r>
      <w:r w:rsidR="007E2421">
        <w:t xml:space="preserve"> </w:t>
      </w:r>
      <w:r>
        <w:t xml:space="preserve">Given the </w:t>
      </w:r>
      <w:r w:rsidR="00EA4D7A">
        <w:t xml:space="preserve">Company’s </w:t>
      </w:r>
      <w:r>
        <w:t>admission concerning its inappropriate charges in 2011, 201</w:t>
      </w:r>
      <w:r w:rsidR="00EA4D7A">
        <w:t>0,</w:t>
      </w:r>
      <w:r>
        <w:t xml:space="preserve"> and in the last two weeks of 2009, it raises serious concerns.  </w:t>
      </w:r>
    </w:p>
    <w:p w:rsidR="00726E8E" w:rsidRDefault="0010383A" w:rsidP="00726E8E">
      <w:pPr>
        <w:spacing w:line="480" w:lineRule="auto"/>
        <w:ind w:left="720" w:firstLine="720"/>
      </w:pPr>
      <w:r>
        <w:t xml:space="preserve">As I discussed earlier in my </w:t>
      </w:r>
      <w:r w:rsidR="007807BA">
        <w:t xml:space="preserve">rebuttal </w:t>
      </w:r>
      <w:r>
        <w:t>testimony, PSE admittedly chooses to send collectors out on “non-disconnect days” because</w:t>
      </w:r>
      <w:r w:rsidR="00556845">
        <w:t xml:space="preserve"> </w:t>
      </w:r>
      <w:r w:rsidR="00EA4D7A">
        <w:t>the Company claims</w:t>
      </w:r>
      <w:r w:rsidR="00421511">
        <w:t xml:space="preserve"> it is an</w:t>
      </w:r>
      <w:r>
        <w:t xml:space="preserve"> effective </w:t>
      </w:r>
      <w:r w:rsidR="00A71843">
        <w:t>method of collection</w:t>
      </w:r>
      <w:r>
        <w:t xml:space="preserve">. </w:t>
      </w:r>
      <w:r w:rsidR="007807BA">
        <w:t xml:space="preserve"> </w:t>
      </w:r>
      <w:r w:rsidR="00C66F3A">
        <w:t>On one hand, the Company may have declared “n</w:t>
      </w:r>
      <w:bookmarkStart w:id="0" w:name="_GoBack"/>
      <w:bookmarkEnd w:id="0"/>
      <w:r w:rsidR="00C66F3A">
        <w:t xml:space="preserve">on-disconnect days” during the </w:t>
      </w:r>
      <w:r w:rsidR="003E7C1B">
        <w:t>last two weeks of</w:t>
      </w:r>
      <w:r w:rsidR="00C66F3A">
        <w:t xml:space="preserve"> December 2009 to spare customers from service interruptions during the holiday season; on the other hand, it </w:t>
      </w:r>
      <w:r w:rsidR="003E7C1B">
        <w:t>c</w:t>
      </w:r>
      <w:r w:rsidR="00C66F3A">
        <w:t xml:space="preserve">hose to make an extraordinary number of house calls in an attempt to collect a debt </w:t>
      </w:r>
      <w:r w:rsidR="00C66F3A" w:rsidRPr="00C66F3A">
        <w:rPr>
          <w:i/>
        </w:rPr>
        <w:t xml:space="preserve">despite </w:t>
      </w:r>
      <w:r w:rsidR="00BD749E">
        <w:t xml:space="preserve">it being </w:t>
      </w:r>
      <w:r w:rsidR="00C66F3A">
        <w:t>the holiday season.</w:t>
      </w:r>
      <w:r w:rsidR="007807BA">
        <w:t xml:space="preserve"> </w:t>
      </w:r>
      <w:r w:rsidR="00C66F3A">
        <w:t xml:space="preserve"> Again, Staff would be more convinced that the Company was doing customers a favor had it declared “non-disconnect days” du</w:t>
      </w:r>
      <w:r w:rsidR="00BD749E">
        <w:t>ring</w:t>
      </w:r>
      <w:r w:rsidR="00C66F3A">
        <w:t xml:space="preserve"> the holiday season and simply </w:t>
      </w:r>
      <w:r w:rsidR="0032459E">
        <w:t>taken no action</w:t>
      </w:r>
      <w:r w:rsidR="00EC266E">
        <w:t xml:space="preserve"> at all</w:t>
      </w:r>
      <w:r w:rsidR="00C66F3A">
        <w:t xml:space="preserve">. </w:t>
      </w:r>
      <w:r w:rsidR="003E7C1B">
        <w:t xml:space="preserve"> Once</w:t>
      </w:r>
      <w:r w:rsidR="00C66F3A">
        <w:t xml:space="preserve"> the intent to disconnect was removed, </w:t>
      </w:r>
      <w:r w:rsidR="0032459E">
        <w:t xml:space="preserve">the Company undertook </w:t>
      </w:r>
      <w:r w:rsidR="00C66F3A">
        <w:t>what can only be described as an aggressive collections p</w:t>
      </w:r>
      <w:r w:rsidR="0032459E">
        <w:t>ractice</w:t>
      </w:r>
      <w:r w:rsidR="003E7C1B">
        <w:t xml:space="preserve">, which </w:t>
      </w:r>
      <w:r w:rsidR="00C66F3A">
        <w:t xml:space="preserve">makes </w:t>
      </w:r>
      <w:r w:rsidR="003E7C1B">
        <w:t xml:space="preserve">its attempt to cast its </w:t>
      </w:r>
      <w:r w:rsidR="00EC266E">
        <w:t>behavior</w:t>
      </w:r>
      <w:r w:rsidR="003E7C1B">
        <w:t xml:space="preserve"> in an altruistic light wholly unconvincing to Staff.</w:t>
      </w:r>
      <w:r w:rsidR="00C66F3A">
        <w:t xml:space="preserve"> </w:t>
      </w:r>
    </w:p>
    <w:p w:rsidR="0032459E" w:rsidRPr="008F1098" w:rsidRDefault="0032459E" w:rsidP="00C66F3A">
      <w:pPr>
        <w:spacing w:line="480" w:lineRule="auto"/>
        <w:ind w:left="720" w:firstLine="720"/>
      </w:pPr>
      <w:r>
        <w:t xml:space="preserve">Moreover, Staff is very concerned </w:t>
      </w:r>
      <w:r w:rsidR="003E7C1B">
        <w:t xml:space="preserve">not only </w:t>
      </w:r>
      <w:r>
        <w:t xml:space="preserve">that this practice has been going on for years, but that it continues. </w:t>
      </w:r>
      <w:r w:rsidR="00726E8E">
        <w:t xml:space="preserve"> </w:t>
      </w:r>
      <w:r>
        <w:t xml:space="preserve">Even </w:t>
      </w:r>
      <w:r w:rsidR="00726E8E">
        <w:t xml:space="preserve">if, as the </w:t>
      </w:r>
      <w:r>
        <w:t>Company</w:t>
      </w:r>
      <w:r w:rsidR="00726E8E">
        <w:t xml:space="preserve"> contends, it no longer </w:t>
      </w:r>
      <w:r>
        <w:lastRenderedPageBreak/>
        <w:t>inappropriately charg</w:t>
      </w:r>
      <w:r w:rsidR="00726E8E">
        <w:t>es</w:t>
      </w:r>
      <w:r>
        <w:t xml:space="preserve"> $13 each time it engages in this behavior, the behavior itself is arguably harmful to consumers. </w:t>
      </w:r>
    </w:p>
    <w:p w:rsidR="00E00F24" w:rsidRDefault="00E00F24" w:rsidP="00E53120">
      <w:pPr>
        <w:spacing w:line="480" w:lineRule="auto"/>
      </w:pPr>
    </w:p>
    <w:p w:rsidR="00556845" w:rsidRDefault="00556845" w:rsidP="00EC266E">
      <w:pPr>
        <w:spacing w:line="480" w:lineRule="auto"/>
        <w:ind w:left="720" w:hanging="720"/>
      </w:pPr>
      <w:r>
        <w:rPr>
          <w:b/>
        </w:rPr>
        <w:t>Q.</w:t>
      </w:r>
      <w:r>
        <w:rPr>
          <w:b/>
        </w:rPr>
        <w:tab/>
        <w:t>Mr. Archu</w:t>
      </w:r>
      <w:r w:rsidR="00377805">
        <w:rPr>
          <w:b/>
        </w:rPr>
        <w:t>leta testifies</w:t>
      </w:r>
      <w:r w:rsidR="0042520D">
        <w:rPr>
          <w:b/>
        </w:rPr>
        <w:t>, in Exhibit No. ___(GA-1T), page 6 lines 2-3,</w:t>
      </w:r>
      <w:r w:rsidR="00377805">
        <w:rPr>
          <w:b/>
        </w:rPr>
        <w:t xml:space="preserve"> that the Company </w:t>
      </w:r>
      <w:r w:rsidR="0042520D">
        <w:rPr>
          <w:b/>
        </w:rPr>
        <w:t>“</w:t>
      </w:r>
      <w:r w:rsidR="00377805">
        <w:rPr>
          <w:b/>
        </w:rPr>
        <w:t>has now</w:t>
      </w:r>
      <w:r w:rsidR="00EA4D7A">
        <w:rPr>
          <w:b/>
        </w:rPr>
        <w:t xml:space="preserve"> </w:t>
      </w:r>
      <w:r w:rsidR="00377805">
        <w:rPr>
          <w:b/>
        </w:rPr>
        <w:t xml:space="preserve">refunded every customer in this proceeding </w:t>
      </w:r>
      <w:r w:rsidR="00377805" w:rsidRPr="00556845">
        <w:rPr>
          <w:b/>
        </w:rPr>
        <w:t>that was charged a $13 disconnect fee on a non-disconnect day</w:t>
      </w:r>
      <w:r>
        <w:rPr>
          <w:b/>
        </w:rPr>
        <w:t>.</w:t>
      </w:r>
      <w:r w:rsidR="00377805">
        <w:rPr>
          <w:b/>
        </w:rPr>
        <w:t>”</w:t>
      </w:r>
      <w:r>
        <w:rPr>
          <w:b/>
        </w:rPr>
        <w:t xml:space="preserve"> </w:t>
      </w:r>
      <w:r w:rsidR="00377805">
        <w:rPr>
          <w:b/>
        </w:rPr>
        <w:t xml:space="preserve">What is your response?  </w:t>
      </w:r>
    </w:p>
    <w:p w:rsidR="00556845" w:rsidRDefault="00556845" w:rsidP="00EC266E">
      <w:pPr>
        <w:spacing w:line="480" w:lineRule="auto"/>
        <w:ind w:left="720" w:hanging="720"/>
      </w:pPr>
      <w:r w:rsidRPr="003832FC">
        <w:t>A.</w:t>
      </w:r>
      <w:r>
        <w:rPr>
          <w:b/>
        </w:rPr>
        <w:tab/>
      </w:r>
      <w:r w:rsidR="00C02CE4">
        <w:t>There are a total of 9,110 improper charges identified in this proceeding, from December 14, 2009 to</w:t>
      </w:r>
      <w:r w:rsidR="00BE050E">
        <w:t xml:space="preserve"> the date the Commission issued the complaint</w:t>
      </w:r>
      <w:r w:rsidR="00C02CE4">
        <w:t xml:space="preserve">.  </w:t>
      </w:r>
      <w:r w:rsidR="00421511">
        <w:t>I have reviewed materials</w:t>
      </w:r>
      <w:r w:rsidR="00EE6C18">
        <w:t xml:space="preserve"> PSE provided to Staff</w:t>
      </w:r>
      <w:r w:rsidR="00421511">
        <w:t xml:space="preserve">, which appear to show that PSE has refunded the charges it has identified, </w:t>
      </w:r>
      <w:r w:rsidR="0042520D">
        <w:t>as Mr. Arch</w:t>
      </w:r>
      <w:r w:rsidR="00E53120">
        <w:t>u</w:t>
      </w:r>
      <w:r w:rsidR="0042520D">
        <w:t>leta claims.  Although Mr. Arch</w:t>
      </w:r>
      <w:r w:rsidR="00E53120">
        <w:t>u</w:t>
      </w:r>
      <w:r w:rsidR="0042520D">
        <w:t xml:space="preserve">leta’s testimony does not specify when PSE refunded customers, the materials I reviewed </w:t>
      </w:r>
      <w:r w:rsidR="00C02CE4">
        <w:t xml:space="preserve">indicate </w:t>
      </w:r>
      <w:r w:rsidR="00EE6C18">
        <w:t>that</w:t>
      </w:r>
      <w:r w:rsidR="00C02CE4">
        <w:t>, while PSE may have begun refunding the 1,639 customers identified in my investigation in 2011,</w:t>
      </w:r>
      <w:r w:rsidR="00EE6C18">
        <w:t xml:space="preserve"> most </w:t>
      </w:r>
      <w:r w:rsidR="00101415">
        <w:t xml:space="preserve">of the </w:t>
      </w:r>
      <w:r w:rsidR="00EE6C18">
        <w:t xml:space="preserve">refunds </w:t>
      </w:r>
      <w:r>
        <w:t>within the two-</w:t>
      </w:r>
      <w:r w:rsidR="00101415">
        <w:t xml:space="preserve">year period </w:t>
      </w:r>
      <w:r w:rsidR="00421511">
        <w:t>from December 14, 2009</w:t>
      </w:r>
      <w:r w:rsidR="00E53120">
        <w:t>,</w:t>
      </w:r>
      <w:r w:rsidR="00421511">
        <w:t xml:space="preserve"> to December 14, 2011 </w:t>
      </w:r>
      <w:r w:rsidR="00EE6C18">
        <w:t>(and all</w:t>
      </w:r>
      <w:r w:rsidR="00152450">
        <w:t xml:space="preserve"> December</w:t>
      </w:r>
      <w:r w:rsidR="00EE6C18">
        <w:t xml:space="preserve"> 2009 and 2010 refunds)</w:t>
      </w:r>
      <w:r>
        <w:t>,</w:t>
      </w:r>
      <w:r w:rsidR="00EE6C18">
        <w:t xml:space="preserve"> </w:t>
      </w:r>
      <w:r w:rsidR="00C02CE4">
        <w:t>were</w:t>
      </w:r>
      <w:r w:rsidR="0042520D">
        <w:t xml:space="preserve"> apparently</w:t>
      </w:r>
      <w:r w:rsidR="00EE6C18">
        <w:t xml:space="preserve"> </w:t>
      </w:r>
      <w:r w:rsidR="008465BC">
        <w:t>made</w:t>
      </w:r>
      <w:r w:rsidR="00EE6C18">
        <w:t xml:space="preserve"> </w:t>
      </w:r>
      <w:r w:rsidR="00C02CE4">
        <w:t>after the</w:t>
      </w:r>
      <w:r w:rsidR="00101415">
        <w:t xml:space="preserve"> Commission issued its C</w:t>
      </w:r>
      <w:r w:rsidR="00EE6C18">
        <w:t xml:space="preserve">omplaint. </w:t>
      </w:r>
    </w:p>
    <w:p w:rsidR="00556845" w:rsidRDefault="00556845" w:rsidP="00EC266E">
      <w:pPr>
        <w:spacing w:line="480" w:lineRule="auto"/>
        <w:ind w:left="720" w:hanging="720"/>
        <w:rPr>
          <w:b/>
        </w:rPr>
      </w:pPr>
    </w:p>
    <w:p w:rsidR="00EC266E" w:rsidRPr="00383F9B" w:rsidRDefault="00EC266E" w:rsidP="00EC266E">
      <w:pPr>
        <w:spacing w:line="480" w:lineRule="auto"/>
        <w:ind w:left="720" w:hanging="720"/>
        <w:rPr>
          <w:b/>
        </w:rPr>
      </w:pPr>
      <w:r>
        <w:rPr>
          <w:b/>
        </w:rPr>
        <w:t>Q.</w:t>
      </w:r>
      <w:r>
        <w:rPr>
          <w:b/>
        </w:rPr>
        <w:tab/>
        <w:t>Does this conclude your testimony?</w:t>
      </w:r>
    </w:p>
    <w:p w:rsidR="00EC266E" w:rsidRDefault="00EC266E" w:rsidP="009F33EB">
      <w:pPr>
        <w:spacing w:line="480" w:lineRule="auto"/>
        <w:ind w:left="720" w:hanging="720"/>
      </w:pPr>
      <w:r>
        <w:t>A.</w:t>
      </w:r>
      <w:r>
        <w:tab/>
        <w:t xml:space="preserve">Yes. </w:t>
      </w:r>
    </w:p>
    <w:sectPr w:rsidR="00EC266E" w:rsidSect="007B3EF7">
      <w:footerReference w:type="default" r:id="rId10"/>
      <w:pgSz w:w="12240" w:h="15840" w:code="1"/>
      <w:pgMar w:top="1440" w:right="1440" w:bottom="1440" w:left="1872" w:header="720" w:footer="720" w:gutter="0"/>
      <w:paperSrc w:first="262" w:other="262"/>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0D" w:rsidRDefault="0042520D" w:rsidP="0015026F">
      <w:r>
        <w:separator/>
      </w:r>
    </w:p>
  </w:endnote>
  <w:endnote w:type="continuationSeparator" w:id="0">
    <w:p w:rsidR="0042520D" w:rsidRDefault="0042520D"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0D" w:rsidRPr="0015026F" w:rsidRDefault="0042520D" w:rsidP="0015026F">
    <w:pPr>
      <w:pStyle w:val="Footer"/>
      <w:tabs>
        <w:tab w:val="clear" w:pos="9360"/>
        <w:tab w:val="right" w:pos="8910"/>
      </w:tabs>
      <w:rPr>
        <w:sz w:val="20"/>
        <w:szCs w:val="20"/>
      </w:rPr>
    </w:pPr>
  </w:p>
  <w:p w:rsidR="0042520D" w:rsidRPr="0015026F" w:rsidRDefault="0042520D" w:rsidP="0015026F">
    <w:pPr>
      <w:pStyle w:val="Footer"/>
      <w:tabs>
        <w:tab w:val="clear" w:pos="9360"/>
        <w:tab w:val="right" w:pos="8910"/>
      </w:tabs>
      <w:rPr>
        <w:sz w:val="20"/>
        <w:szCs w:val="20"/>
      </w:rPr>
    </w:pPr>
    <w:r w:rsidRPr="0015026F">
      <w:rPr>
        <w:sz w:val="20"/>
        <w:szCs w:val="20"/>
      </w:rPr>
      <w:t xml:space="preserve">TESTIMONY OF </w:t>
    </w:r>
    <w:r>
      <w:rPr>
        <w:sz w:val="20"/>
        <w:szCs w:val="20"/>
      </w:rPr>
      <w:t>RAYNE PEARSON</w:t>
    </w:r>
    <w:r w:rsidRPr="0015026F">
      <w:rPr>
        <w:sz w:val="20"/>
        <w:szCs w:val="20"/>
      </w:rPr>
      <w:t xml:space="preserve"> </w:t>
    </w:r>
    <w:r w:rsidRPr="0015026F">
      <w:rPr>
        <w:sz w:val="20"/>
        <w:szCs w:val="20"/>
      </w:rPr>
      <w:tab/>
    </w:r>
    <w:r w:rsidRPr="0015026F">
      <w:rPr>
        <w:sz w:val="20"/>
        <w:szCs w:val="20"/>
      </w:rPr>
      <w:tab/>
    </w:r>
    <w:r w:rsidRPr="00F3708D">
      <w:rPr>
        <w:sz w:val="20"/>
        <w:szCs w:val="20"/>
      </w:rPr>
      <w:t xml:space="preserve">Exhibit No. </w:t>
    </w:r>
    <w:r>
      <w:rPr>
        <w:sz w:val="20"/>
        <w:szCs w:val="20"/>
      </w:rPr>
      <w:t>___ T (RP</w:t>
    </w:r>
    <w:r w:rsidRPr="00F3708D">
      <w:rPr>
        <w:sz w:val="20"/>
        <w:szCs w:val="20"/>
      </w:rPr>
      <w:t>-</w:t>
    </w:r>
    <w:r>
      <w:rPr>
        <w:sz w:val="20"/>
        <w:szCs w:val="20"/>
      </w:rPr>
      <w:t>1</w:t>
    </w:r>
    <w:r w:rsidRPr="00F3708D">
      <w:rPr>
        <w:sz w:val="20"/>
        <w:szCs w:val="20"/>
      </w:rPr>
      <w:t>T</w:t>
    </w:r>
    <w:r>
      <w:rPr>
        <w:sz w:val="20"/>
        <w:szCs w:val="20"/>
      </w:rPr>
      <w:t>)</w:t>
    </w:r>
  </w:p>
  <w:p w:rsidR="0042520D" w:rsidRPr="0015026F" w:rsidRDefault="0042520D" w:rsidP="0015026F">
    <w:pPr>
      <w:pStyle w:val="Footer"/>
      <w:tabs>
        <w:tab w:val="clear" w:pos="9360"/>
        <w:tab w:val="right" w:pos="8910"/>
      </w:tabs>
      <w:rPr>
        <w:sz w:val="20"/>
        <w:szCs w:val="20"/>
      </w:rPr>
    </w:pPr>
    <w:r w:rsidRPr="0015026F">
      <w:rPr>
        <w:sz w:val="20"/>
        <w:szCs w:val="20"/>
      </w:rPr>
      <w:t xml:space="preserve">Docket </w:t>
    </w:r>
    <w:r>
      <w:rPr>
        <w:sz w:val="20"/>
        <w:szCs w:val="20"/>
      </w:rPr>
      <w:t>U</w:t>
    </w:r>
    <w:r w:rsidRPr="0015026F">
      <w:rPr>
        <w:sz w:val="20"/>
        <w:szCs w:val="20"/>
      </w:rPr>
      <w:t>-</w:t>
    </w:r>
    <w:r>
      <w:rPr>
        <w:sz w:val="20"/>
        <w:szCs w:val="20"/>
      </w:rPr>
      <w:t>111465</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D14D47">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0D" w:rsidRPr="0015026F" w:rsidRDefault="0042520D" w:rsidP="0015026F">
    <w:pPr>
      <w:pStyle w:val="Footer"/>
      <w:tabs>
        <w:tab w:val="clear" w:pos="9360"/>
        <w:tab w:val="right" w:pos="8910"/>
      </w:tabs>
      <w:rPr>
        <w:sz w:val="20"/>
        <w:szCs w:val="20"/>
      </w:rPr>
    </w:pPr>
  </w:p>
  <w:p w:rsidR="0042520D" w:rsidRPr="0015026F" w:rsidRDefault="0042520D" w:rsidP="0015026F">
    <w:pPr>
      <w:pStyle w:val="Footer"/>
      <w:tabs>
        <w:tab w:val="clear" w:pos="9360"/>
        <w:tab w:val="right" w:pos="8910"/>
      </w:tabs>
      <w:rPr>
        <w:sz w:val="20"/>
        <w:szCs w:val="20"/>
      </w:rPr>
    </w:pPr>
    <w:r w:rsidRPr="0015026F">
      <w:rPr>
        <w:sz w:val="20"/>
        <w:szCs w:val="20"/>
      </w:rPr>
      <w:t xml:space="preserve">TESTIMONY OF </w:t>
    </w:r>
    <w:r>
      <w:rPr>
        <w:sz w:val="20"/>
        <w:szCs w:val="20"/>
      </w:rPr>
      <w:t>RAYNE PEARSON</w:t>
    </w:r>
    <w:r w:rsidRPr="0015026F">
      <w:rPr>
        <w:sz w:val="20"/>
        <w:szCs w:val="20"/>
      </w:rPr>
      <w:t xml:space="preserve"> </w:t>
    </w:r>
    <w:r w:rsidRPr="0015026F">
      <w:rPr>
        <w:sz w:val="20"/>
        <w:szCs w:val="20"/>
      </w:rPr>
      <w:tab/>
    </w:r>
    <w:r w:rsidRPr="0015026F">
      <w:rPr>
        <w:sz w:val="20"/>
        <w:szCs w:val="20"/>
      </w:rPr>
      <w:tab/>
      <w:t xml:space="preserve">Exhibit No. </w:t>
    </w:r>
    <w:r>
      <w:rPr>
        <w:sz w:val="20"/>
        <w:szCs w:val="20"/>
      </w:rPr>
      <w:t xml:space="preserve"> ___ T (RP</w:t>
    </w:r>
    <w:r w:rsidRPr="0015026F">
      <w:rPr>
        <w:sz w:val="20"/>
        <w:szCs w:val="20"/>
      </w:rPr>
      <w:t>-</w:t>
    </w:r>
    <w:r>
      <w:rPr>
        <w:sz w:val="20"/>
        <w:szCs w:val="20"/>
      </w:rPr>
      <w:t>10</w:t>
    </w:r>
    <w:r w:rsidRPr="0015026F">
      <w:rPr>
        <w:sz w:val="20"/>
        <w:szCs w:val="20"/>
      </w:rPr>
      <w:t>T</w:t>
    </w:r>
    <w:r>
      <w:rPr>
        <w:sz w:val="20"/>
        <w:szCs w:val="20"/>
      </w:rPr>
      <w:t>)</w:t>
    </w:r>
  </w:p>
  <w:p w:rsidR="0042520D" w:rsidRPr="0015026F" w:rsidRDefault="0042520D" w:rsidP="0015026F">
    <w:pPr>
      <w:pStyle w:val="Footer"/>
      <w:tabs>
        <w:tab w:val="clear" w:pos="9360"/>
        <w:tab w:val="right" w:pos="8910"/>
      </w:tabs>
      <w:rPr>
        <w:sz w:val="20"/>
        <w:szCs w:val="20"/>
      </w:rPr>
    </w:pPr>
    <w:r w:rsidRPr="0015026F">
      <w:rPr>
        <w:sz w:val="20"/>
        <w:szCs w:val="20"/>
      </w:rPr>
      <w:t xml:space="preserve">Docket </w:t>
    </w:r>
    <w:r>
      <w:rPr>
        <w:sz w:val="20"/>
        <w:szCs w:val="20"/>
      </w:rPr>
      <w:t>U</w:t>
    </w:r>
    <w:r w:rsidRPr="0015026F">
      <w:rPr>
        <w:sz w:val="20"/>
        <w:szCs w:val="20"/>
      </w:rPr>
      <w:t>-</w:t>
    </w:r>
    <w:r>
      <w:rPr>
        <w:sz w:val="20"/>
        <w:szCs w:val="20"/>
      </w:rPr>
      <w:t>111465</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7E2421">
      <w:rPr>
        <w:noProof/>
        <w:sz w:val="20"/>
        <w:szCs w:val="20"/>
      </w:rPr>
      <w:t>6</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0D" w:rsidRDefault="0042520D" w:rsidP="0015026F">
      <w:r>
        <w:separator/>
      </w:r>
    </w:p>
  </w:footnote>
  <w:footnote w:type="continuationSeparator" w:id="0">
    <w:p w:rsidR="0042520D" w:rsidRDefault="0042520D" w:rsidP="00150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1464"/>
    <w:multiLevelType w:val="hybridMultilevel"/>
    <w:tmpl w:val="D4F440A4"/>
    <w:lvl w:ilvl="0" w:tplc="EB1EA3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132B2"/>
    <w:rsid w:val="00013D91"/>
    <w:rsid w:val="00014FB7"/>
    <w:rsid w:val="0001558F"/>
    <w:rsid w:val="00043799"/>
    <w:rsid w:val="00054769"/>
    <w:rsid w:val="00067BFA"/>
    <w:rsid w:val="0008523F"/>
    <w:rsid w:val="000A40AA"/>
    <w:rsid w:val="000C1129"/>
    <w:rsid w:val="000E46EC"/>
    <w:rsid w:val="000F4C8F"/>
    <w:rsid w:val="001013A2"/>
    <w:rsid w:val="00101415"/>
    <w:rsid w:val="0010383A"/>
    <w:rsid w:val="0013777F"/>
    <w:rsid w:val="00140BE8"/>
    <w:rsid w:val="0015026F"/>
    <w:rsid w:val="00151635"/>
    <w:rsid w:val="00152450"/>
    <w:rsid w:val="00154E52"/>
    <w:rsid w:val="0016072A"/>
    <w:rsid w:val="00164FE8"/>
    <w:rsid w:val="001A17CB"/>
    <w:rsid w:val="001B2409"/>
    <w:rsid w:val="001C1C58"/>
    <w:rsid w:val="001C2552"/>
    <w:rsid w:val="001C33DD"/>
    <w:rsid w:val="001D09A3"/>
    <w:rsid w:val="00200512"/>
    <w:rsid w:val="002064C5"/>
    <w:rsid w:val="00224A39"/>
    <w:rsid w:val="00227478"/>
    <w:rsid w:val="0023140D"/>
    <w:rsid w:val="002360E2"/>
    <w:rsid w:val="00245919"/>
    <w:rsid w:val="0025484D"/>
    <w:rsid w:val="0025614E"/>
    <w:rsid w:val="002612EE"/>
    <w:rsid w:val="002A1497"/>
    <w:rsid w:val="002B161B"/>
    <w:rsid w:val="002D7012"/>
    <w:rsid w:val="002F70E5"/>
    <w:rsid w:val="003130BF"/>
    <w:rsid w:val="00317FA0"/>
    <w:rsid w:val="0032459E"/>
    <w:rsid w:val="00326393"/>
    <w:rsid w:val="00326A34"/>
    <w:rsid w:val="00336537"/>
    <w:rsid w:val="00341E09"/>
    <w:rsid w:val="00342670"/>
    <w:rsid w:val="00351670"/>
    <w:rsid w:val="00366392"/>
    <w:rsid w:val="00377805"/>
    <w:rsid w:val="003832FC"/>
    <w:rsid w:val="00383F9B"/>
    <w:rsid w:val="00391048"/>
    <w:rsid w:val="00395513"/>
    <w:rsid w:val="00395868"/>
    <w:rsid w:val="003A7AD6"/>
    <w:rsid w:val="003B208F"/>
    <w:rsid w:val="003D7269"/>
    <w:rsid w:val="003E1318"/>
    <w:rsid w:val="003E7C1B"/>
    <w:rsid w:val="003F5579"/>
    <w:rsid w:val="00414B04"/>
    <w:rsid w:val="0042014A"/>
    <w:rsid w:val="00421511"/>
    <w:rsid w:val="0042520D"/>
    <w:rsid w:val="0043793A"/>
    <w:rsid w:val="00447BA4"/>
    <w:rsid w:val="004565F7"/>
    <w:rsid w:val="0046251D"/>
    <w:rsid w:val="00493365"/>
    <w:rsid w:val="004949A9"/>
    <w:rsid w:val="004A3999"/>
    <w:rsid w:val="004B2C4B"/>
    <w:rsid w:val="004B3BCD"/>
    <w:rsid w:val="004D140F"/>
    <w:rsid w:val="004D740A"/>
    <w:rsid w:val="004E5044"/>
    <w:rsid w:val="004F57F6"/>
    <w:rsid w:val="00500791"/>
    <w:rsid w:val="005207BB"/>
    <w:rsid w:val="00522F94"/>
    <w:rsid w:val="00524E74"/>
    <w:rsid w:val="00524E9F"/>
    <w:rsid w:val="00526610"/>
    <w:rsid w:val="005301AD"/>
    <w:rsid w:val="00535B30"/>
    <w:rsid w:val="00542AB2"/>
    <w:rsid w:val="00556845"/>
    <w:rsid w:val="005712C8"/>
    <w:rsid w:val="00580C89"/>
    <w:rsid w:val="00586015"/>
    <w:rsid w:val="005940BB"/>
    <w:rsid w:val="005A75BE"/>
    <w:rsid w:val="005B2DE2"/>
    <w:rsid w:val="005C4FD5"/>
    <w:rsid w:val="005C73CD"/>
    <w:rsid w:val="005D6A51"/>
    <w:rsid w:val="005E7F1E"/>
    <w:rsid w:val="005F504D"/>
    <w:rsid w:val="0061631D"/>
    <w:rsid w:val="00620E2B"/>
    <w:rsid w:val="006263B9"/>
    <w:rsid w:val="00633F82"/>
    <w:rsid w:val="00640574"/>
    <w:rsid w:val="00647840"/>
    <w:rsid w:val="0065407E"/>
    <w:rsid w:val="0066395B"/>
    <w:rsid w:val="00682022"/>
    <w:rsid w:val="00682C74"/>
    <w:rsid w:val="00690645"/>
    <w:rsid w:val="00693DB8"/>
    <w:rsid w:val="00695EAF"/>
    <w:rsid w:val="006A4A1A"/>
    <w:rsid w:val="006A603C"/>
    <w:rsid w:val="006B16E5"/>
    <w:rsid w:val="006C13F6"/>
    <w:rsid w:val="006C1FF9"/>
    <w:rsid w:val="006C4D92"/>
    <w:rsid w:val="006C6F4A"/>
    <w:rsid w:val="006F4D06"/>
    <w:rsid w:val="00707E92"/>
    <w:rsid w:val="00710CAC"/>
    <w:rsid w:val="00715B9D"/>
    <w:rsid w:val="007204AF"/>
    <w:rsid w:val="00726E8E"/>
    <w:rsid w:val="00732AFD"/>
    <w:rsid w:val="00761E94"/>
    <w:rsid w:val="007807BA"/>
    <w:rsid w:val="007A0529"/>
    <w:rsid w:val="007A2D88"/>
    <w:rsid w:val="007B12B3"/>
    <w:rsid w:val="007B3EF7"/>
    <w:rsid w:val="007D6434"/>
    <w:rsid w:val="007D75FB"/>
    <w:rsid w:val="007E2421"/>
    <w:rsid w:val="007F0E37"/>
    <w:rsid w:val="0081276F"/>
    <w:rsid w:val="00816234"/>
    <w:rsid w:val="00824917"/>
    <w:rsid w:val="008337B1"/>
    <w:rsid w:val="008357CD"/>
    <w:rsid w:val="008407B2"/>
    <w:rsid w:val="008465BC"/>
    <w:rsid w:val="00870B41"/>
    <w:rsid w:val="0087626B"/>
    <w:rsid w:val="008835FD"/>
    <w:rsid w:val="00892058"/>
    <w:rsid w:val="00897A21"/>
    <w:rsid w:val="008B3917"/>
    <w:rsid w:val="008B472C"/>
    <w:rsid w:val="008B6931"/>
    <w:rsid w:val="008C1258"/>
    <w:rsid w:val="008C7C97"/>
    <w:rsid w:val="008D29E5"/>
    <w:rsid w:val="008D3B1C"/>
    <w:rsid w:val="008E460D"/>
    <w:rsid w:val="008E47DC"/>
    <w:rsid w:val="008E698E"/>
    <w:rsid w:val="008F08C7"/>
    <w:rsid w:val="008F1098"/>
    <w:rsid w:val="008F6CCA"/>
    <w:rsid w:val="008F773F"/>
    <w:rsid w:val="009209BF"/>
    <w:rsid w:val="00931369"/>
    <w:rsid w:val="009314A8"/>
    <w:rsid w:val="00947C1F"/>
    <w:rsid w:val="00956A77"/>
    <w:rsid w:val="009701FE"/>
    <w:rsid w:val="0097495B"/>
    <w:rsid w:val="00982715"/>
    <w:rsid w:val="009A03A7"/>
    <w:rsid w:val="009A03C7"/>
    <w:rsid w:val="009C0794"/>
    <w:rsid w:val="009C697E"/>
    <w:rsid w:val="009E0F4D"/>
    <w:rsid w:val="009E13D3"/>
    <w:rsid w:val="009F33EB"/>
    <w:rsid w:val="00A047DF"/>
    <w:rsid w:val="00A14DDA"/>
    <w:rsid w:val="00A37155"/>
    <w:rsid w:val="00A50030"/>
    <w:rsid w:val="00A53B01"/>
    <w:rsid w:val="00A633E9"/>
    <w:rsid w:val="00A63893"/>
    <w:rsid w:val="00A71843"/>
    <w:rsid w:val="00AA5371"/>
    <w:rsid w:val="00AB106C"/>
    <w:rsid w:val="00AB5EE8"/>
    <w:rsid w:val="00AD3300"/>
    <w:rsid w:val="00AD68D8"/>
    <w:rsid w:val="00AE1C14"/>
    <w:rsid w:val="00AF31A7"/>
    <w:rsid w:val="00AF74AF"/>
    <w:rsid w:val="00B02BEA"/>
    <w:rsid w:val="00B0709B"/>
    <w:rsid w:val="00B10115"/>
    <w:rsid w:val="00B20DD8"/>
    <w:rsid w:val="00B212C5"/>
    <w:rsid w:val="00B213CC"/>
    <w:rsid w:val="00B258B1"/>
    <w:rsid w:val="00B53EE3"/>
    <w:rsid w:val="00B814E2"/>
    <w:rsid w:val="00B86D9E"/>
    <w:rsid w:val="00B92BE9"/>
    <w:rsid w:val="00BA666A"/>
    <w:rsid w:val="00BC30CA"/>
    <w:rsid w:val="00BC3B08"/>
    <w:rsid w:val="00BC3C3F"/>
    <w:rsid w:val="00BD749E"/>
    <w:rsid w:val="00BE050E"/>
    <w:rsid w:val="00BE6E2C"/>
    <w:rsid w:val="00BF4621"/>
    <w:rsid w:val="00BF4FD3"/>
    <w:rsid w:val="00C02CE4"/>
    <w:rsid w:val="00C0665B"/>
    <w:rsid w:val="00C141CB"/>
    <w:rsid w:val="00C26237"/>
    <w:rsid w:val="00C30AB8"/>
    <w:rsid w:val="00C31D94"/>
    <w:rsid w:val="00C31F41"/>
    <w:rsid w:val="00C37BCC"/>
    <w:rsid w:val="00C4136B"/>
    <w:rsid w:val="00C52DE6"/>
    <w:rsid w:val="00C565F9"/>
    <w:rsid w:val="00C60AD2"/>
    <w:rsid w:val="00C66F3A"/>
    <w:rsid w:val="00C7148B"/>
    <w:rsid w:val="00C831CC"/>
    <w:rsid w:val="00CA1491"/>
    <w:rsid w:val="00CA3E83"/>
    <w:rsid w:val="00CB3EBE"/>
    <w:rsid w:val="00CB4330"/>
    <w:rsid w:val="00CB5082"/>
    <w:rsid w:val="00CB763F"/>
    <w:rsid w:val="00CC643F"/>
    <w:rsid w:val="00CD3825"/>
    <w:rsid w:val="00CF00CA"/>
    <w:rsid w:val="00CF75ED"/>
    <w:rsid w:val="00D07F68"/>
    <w:rsid w:val="00D10ACB"/>
    <w:rsid w:val="00D14D47"/>
    <w:rsid w:val="00D157F1"/>
    <w:rsid w:val="00D15D16"/>
    <w:rsid w:val="00D22B26"/>
    <w:rsid w:val="00D244FD"/>
    <w:rsid w:val="00D2600A"/>
    <w:rsid w:val="00D27642"/>
    <w:rsid w:val="00D6359C"/>
    <w:rsid w:val="00D71802"/>
    <w:rsid w:val="00D71B5F"/>
    <w:rsid w:val="00D86281"/>
    <w:rsid w:val="00D90DDC"/>
    <w:rsid w:val="00D92462"/>
    <w:rsid w:val="00DA0E60"/>
    <w:rsid w:val="00DA55C2"/>
    <w:rsid w:val="00DC094D"/>
    <w:rsid w:val="00DE4A53"/>
    <w:rsid w:val="00DE669E"/>
    <w:rsid w:val="00DF5584"/>
    <w:rsid w:val="00E00F24"/>
    <w:rsid w:val="00E05092"/>
    <w:rsid w:val="00E50BE2"/>
    <w:rsid w:val="00E53120"/>
    <w:rsid w:val="00E5716C"/>
    <w:rsid w:val="00E937BE"/>
    <w:rsid w:val="00E9727A"/>
    <w:rsid w:val="00E97469"/>
    <w:rsid w:val="00EA4D7A"/>
    <w:rsid w:val="00EB2A42"/>
    <w:rsid w:val="00EC266E"/>
    <w:rsid w:val="00ED1051"/>
    <w:rsid w:val="00EE2EEF"/>
    <w:rsid w:val="00EE4743"/>
    <w:rsid w:val="00EE6C18"/>
    <w:rsid w:val="00EF69BC"/>
    <w:rsid w:val="00F0640A"/>
    <w:rsid w:val="00F23280"/>
    <w:rsid w:val="00F27267"/>
    <w:rsid w:val="00F33167"/>
    <w:rsid w:val="00F34CE3"/>
    <w:rsid w:val="00F353C9"/>
    <w:rsid w:val="00F3708D"/>
    <w:rsid w:val="00F47007"/>
    <w:rsid w:val="00F512A4"/>
    <w:rsid w:val="00F519A9"/>
    <w:rsid w:val="00F776C2"/>
    <w:rsid w:val="00F829A1"/>
    <w:rsid w:val="00F833F7"/>
    <w:rsid w:val="00F875F5"/>
    <w:rsid w:val="00FA554B"/>
    <w:rsid w:val="00FA616A"/>
    <w:rsid w:val="00FA6FC3"/>
    <w:rsid w:val="00FB3D1C"/>
    <w:rsid w:val="00FC15D6"/>
    <w:rsid w:val="00FC38FE"/>
    <w:rsid w:val="00FC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character" w:styleId="CommentReference">
    <w:name w:val="annotation reference"/>
    <w:basedOn w:val="DefaultParagraphFont"/>
    <w:uiPriority w:val="99"/>
    <w:semiHidden/>
    <w:unhideWhenUsed/>
    <w:rsid w:val="001C33DD"/>
    <w:rPr>
      <w:sz w:val="16"/>
      <w:szCs w:val="16"/>
    </w:rPr>
  </w:style>
  <w:style w:type="paragraph" w:styleId="CommentText">
    <w:name w:val="annotation text"/>
    <w:basedOn w:val="Normal"/>
    <w:link w:val="CommentTextChar"/>
    <w:uiPriority w:val="99"/>
    <w:semiHidden/>
    <w:unhideWhenUsed/>
    <w:rsid w:val="001C33DD"/>
    <w:rPr>
      <w:sz w:val="20"/>
      <w:szCs w:val="20"/>
    </w:rPr>
  </w:style>
  <w:style w:type="character" w:customStyle="1" w:styleId="CommentTextChar">
    <w:name w:val="Comment Text Char"/>
    <w:basedOn w:val="DefaultParagraphFont"/>
    <w:link w:val="CommentText"/>
    <w:uiPriority w:val="99"/>
    <w:semiHidden/>
    <w:rsid w:val="001C33DD"/>
    <w:rPr>
      <w:sz w:val="20"/>
      <w:szCs w:val="20"/>
    </w:rPr>
  </w:style>
  <w:style w:type="paragraph" w:styleId="CommentSubject">
    <w:name w:val="annotation subject"/>
    <w:basedOn w:val="CommentText"/>
    <w:next w:val="CommentText"/>
    <w:link w:val="CommentSubjectChar"/>
    <w:uiPriority w:val="99"/>
    <w:semiHidden/>
    <w:unhideWhenUsed/>
    <w:rsid w:val="001C33DD"/>
    <w:rPr>
      <w:b/>
      <w:bCs/>
    </w:rPr>
  </w:style>
  <w:style w:type="character" w:customStyle="1" w:styleId="CommentSubjectChar">
    <w:name w:val="Comment Subject Char"/>
    <w:basedOn w:val="CommentTextChar"/>
    <w:link w:val="CommentSubject"/>
    <w:uiPriority w:val="99"/>
    <w:semiHidden/>
    <w:rsid w:val="001C33DD"/>
    <w:rPr>
      <w:b/>
      <w:bCs/>
      <w:sz w:val="20"/>
      <w:szCs w:val="20"/>
    </w:rPr>
  </w:style>
  <w:style w:type="paragraph" w:styleId="BalloonText">
    <w:name w:val="Balloon Text"/>
    <w:basedOn w:val="Normal"/>
    <w:link w:val="BalloonTextChar"/>
    <w:uiPriority w:val="99"/>
    <w:semiHidden/>
    <w:unhideWhenUsed/>
    <w:rsid w:val="001C33DD"/>
    <w:rPr>
      <w:rFonts w:ascii="Tahoma" w:hAnsi="Tahoma" w:cs="Tahoma"/>
      <w:sz w:val="16"/>
      <w:szCs w:val="16"/>
    </w:rPr>
  </w:style>
  <w:style w:type="character" w:customStyle="1" w:styleId="BalloonTextChar">
    <w:name w:val="Balloon Text Char"/>
    <w:basedOn w:val="DefaultParagraphFont"/>
    <w:link w:val="BalloonText"/>
    <w:uiPriority w:val="99"/>
    <w:semiHidden/>
    <w:rsid w:val="001C3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character" w:styleId="CommentReference">
    <w:name w:val="annotation reference"/>
    <w:basedOn w:val="DefaultParagraphFont"/>
    <w:uiPriority w:val="99"/>
    <w:semiHidden/>
    <w:unhideWhenUsed/>
    <w:rsid w:val="001C33DD"/>
    <w:rPr>
      <w:sz w:val="16"/>
      <w:szCs w:val="16"/>
    </w:rPr>
  </w:style>
  <w:style w:type="paragraph" w:styleId="CommentText">
    <w:name w:val="annotation text"/>
    <w:basedOn w:val="Normal"/>
    <w:link w:val="CommentTextChar"/>
    <w:uiPriority w:val="99"/>
    <w:semiHidden/>
    <w:unhideWhenUsed/>
    <w:rsid w:val="001C33DD"/>
    <w:rPr>
      <w:sz w:val="20"/>
      <w:szCs w:val="20"/>
    </w:rPr>
  </w:style>
  <w:style w:type="character" w:customStyle="1" w:styleId="CommentTextChar">
    <w:name w:val="Comment Text Char"/>
    <w:basedOn w:val="DefaultParagraphFont"/>
    <w:link w:val="CommentText"/>
    <w:uiPriority w:val="99"/>
    <w:semiHidden/>
    <w:rsid w:val="001C33DD"/>
    <w:rPr>
      <w:sz w:val="20"/>
      <w:szCs w:val="20"/>
    </w:rPr>
  </w:style>
  <w:style w:type="paragraph" w:styleId="CommentSubject">
    <w:name w:val="annotation subject"/>
    <w:basedOn w:val="CommentText"/>
    <w:next w:val="CommentText"/>
    <w:link w:val="CommentSubjectChar"/>
    <w:uiPriority w:val="99"/>
    <w:semiHidden/>
    <w:unhideWhenUsed/>
    <w:rsid w:val="001C33DD"/>
    <w:rPr>
      <w:b/>
      <w:bCs/>
    </w:rPr>
  </w:style>
  <w:style w:type="character" w:customStyle="1" w:styleId="CommentSubjectChar">
    <w:name w:val="Comment Subject Char"/>
    <w:basedOn w:val="CommentTextChar"/>
    <w:link w:val="CommentSubject"/>
    <w:uiPriority w:val="99"/>
    <w:semiHidden/>
    <w:rsid w:val="001C33DD"/>
    <w:rPr>
      <w:b/>
      <w:bCs/>
      <w:sz w:val="20"/>
      <w:szCs w:val="20"/>
    </w:rPr>
  </w:style>
  <w:style w:type="paragraph" w:styleId="BalloonText">
    <w:name w:val="Balloon Text"/>
    <w:basedOn w:val="Normal"/>
    <w:link w:val="BalloonTextChar"/>
    <w:uiPriority w:val="99"/>
    <w:semiHidden/>
    <w:unhideWhenUsed/>
    <w:rsid w:val="001C33DD"/>
    <w:rPr>
      <w:rFonts w:ascii="Tahoma" w:hAnsi="Tahoma" w:cs="Tahoma"/>
      <w:sz w:val="16"/>
      <w:szCs w:val="16"/>
    </w:rPr>
  </w:style>
  <w:style w:type="character" w:customStyle="1" w:styleId="BalloonTextChar">
    <w:name w:val="Balloon Text Char"/>
    <w:basedOn w:val="DefaultParagraphFont"/>
    <w:link w:val="BalloonText"/>
    <w:uiPriority w:val="99"/>
    <w:semiHidden/>
    <w:rsid w:val="001C3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47802">
      <w:bodyDiv w:val="1"/>
      <w:marLeft w:val="0"/>
      <w:marRight w:val="0"/>
      <w:marTop w:val="0"/>
      <w:marBottom w:val="0"/>
      <w:divBdr>
        <w:top w:val="none" w:sz="0" w:space="0" w:color="auto"/>
        <w:left w:val="none" w:sz="0" w:space="0" w:color="auto"/>
        <w:bottom w:val="none" w:sz="0" w:space="0" w:color="auto"/>
        <w:right w:val="none" w:sz="0" w:space="0" w:color="auto"/>
      </w:divBdr>
    </w:div>
    <w:div w:id="707604313">
      <w:bodyDiv w:val="1"/>
      <w:marLeft w:val="0"/>
      <w:marRight w:val="0"/>
      <w:marTop w:val="0"/>
      <w:marBottom w:val="0"/>
      <w:divBdr>
        <w:top w:val="none" w:sz="0" w:space="0" w:color="auto"/>
        <w:left w:val="none" w:sz="0" w:space="0" w:color="auto"/>
        <w:bottom w:val="none" w:sz="0" w:space="0" w:color="auto"/>
        <w:right w:val="none" w:sz="0" w:space="0" w:color="auto"/>
      </w:divBdr>
    </w:div>
    <w:div w:id="1061751336">
      <w:bodyDiv w:val="1"/>
      <w:marLeft w:val="0"/>
      <w:marRight w:val="0"/>
      <w:marTop w:val="0"/>
      <w:marBottom w:val="0"/>
      <w:divBdr>
        <w:top w:val="none" w:sz="0" w:space="0" w:color="auto"/>
        <w:left w:val="none" w:sz="0" w:space="0" w:color="auto"/>
        <w:bottom w:val="none" w:sz="0" w:space="0" w:color="auto"/>
        <w:right w:val="none" w:sz="0" w:space="0" w:color="auto"/>
      </w:divBdr>
    </w:div>
    <w:div w:id="1886062023">
      <w:bodyDiv w:val="1"/>
      <w:marLeft w:val="0"/>
      <w:marRight w:val="0"/>
      <w:marTop w:val="0"/>
      <w:marBottom w:val="0"/>
      <w:divBdr>
        <w:top w:val="none" w:sz="0" w:space="0" w:color="auto"/>
        <w:left w:val="none" w:sz="0" w:space="0" w:color="auto"/>
        <w:bottom w:val="none" w:sz="0" w:space="0" w:color="auto"/>
        <w:right w:val="none" w:sz="0" w:space="0" w:color="auto"/>
      </w:divBdr>
    </w:div>
    <w:div w:id="20594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A5FF99C1EB194CBC883D912A666A33" ma:contentTypeVersion="143" ma:contentTypeDescription="" ma:contentTypeScope="" ma:versionID="f17f1b6db5c96dfb3ba9b027650fcd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501</IndustryCode>
    <CaseStatus xmlns="dc463f71-b30c-4ab2-9473-d307f9d35888">Closed</CaseStatus>
    <OpenedDate xmlns="dc463f71-b30c-4ab2-9473-d307f9d35888">2011-08-12T07:00:00+00:00</OpenedDate>
    <Date1 xmlns="dc463f71-b30c-4ab2-9473-d307f9d35888">2012-09-07T07:00:00+00:00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111465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095B3B-13D8-492D-A528-ADDFCF84709F}"/>
</file>

<file path=customXml/itemProps2.xml><?xml version="1.0" encoding="utf-8"?>
<ds:datastoreItem xmlns:ds="http://schemas.openxmlformats.org/officeDocument/2006/customXml" ds:itemID="{557789B6-09CD-41DF-95A8-E5A92484D8B3}"/>
</file>

<file path=customXml/itemProps3.xml><?xml version="1.0" encoding="utf-8"?>
<ds:datastoreItem xmlns:ds="http://schemas.openxmlformats.org/officeDocument/2006/customXml" ds:itemID="{A65389F9-F103-4AE8-9144-BBD27C358B3F}"/>
</file>

<file path=customXml/itemProps4.xml><?xml version="1.0" encoding="utf-8"?>
<ds:datastoreItem xmlns:ds="http://schemas.openxmlformats.org/officeDocument/2006/customXml" ds:itemID="{3A95EB50-5E74-4DEC-B06E-B855DA2FF607}"/>
</file>

<file path=customXml/itemProps5.xml><?xml version="1.0" encoding="utf-8"?>
<ds:datastoreItem xmlns:ds="http://schemas.openxmlformats.org/officeDocument/2006/customXml" ds:itemID="{FAC6E711-AAE4-437F-8A4E-3AEEDD61A814}"/>
</file>

<file path=docProps/app.xml><?xml version="1.0" encoding="utf-8"?>
<Properties xmlns="http://schemas.openxmlformats.org/officeDocument/2006/extended-properties" xmlns:vt="http://schemas.openxmlformats.org/officeDocument/2006/docPropsVTypes">
  <Template>Normal</Template>
  <TotalTime>21</TotalTime>
  <Pages>9</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Fassio, Michael (UTC)</cp:lastModifiedBy>
  <cp:revision>9</cp:revision>
  <cp:lastPrinted>2012-09-06T16:24:00Z</cp:lastPrinted>
  <dcterms:created xsi:type="dcterms:W3CDTF">2012-09-07T16:55:00Z</dcterms:created>
  <dcterms:modified xsi:type="dcterms:W3CDTF">2012-09-07T18:41:00Z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0x0101006E56B4D1795A2E4DB2F0B01679ED314A0096A5FF99C1EB194CBC883D912A666A33</vt:lpwstr>
  </property>
  <property fmtid="{D5CDD505-2E9C-101B-9397-08002B2CF9AE}" pid="3" name="_docset_NoMedatataSyncRequired">
    <vt:lpwstr>False</vt:lpwstr>
  </property>
</Properties>
</file>