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6ED72" w14:textId="77777777" w:rsidR="00061921" w:rsidRPr="00B814E2" w:rsidRDefault="00061921" w:rsidP="00BB5741">
      <w:pPr>
        <w:rPr>
          <w:b/>
        </w:rPr>
      </w:pPr>
      <w:bookmarkStart w:id="0" w:name="_GoBack"/>
      <w:bookmarkEnd w:id="0"/>
    </w:p>
    <w:p w14:paraId="3256ED73" w14:textId="77777777" w:rsidR="00061921" w:rsidRPr="00B814E2" w:rsidRDefault="00061921" w:rsidP="00BB5741">
      <w:pPr>
        <w:rPr>
          <w:b/>
        </w:rPr>
      </w:pPr>
    </w:p>
    <w:p w14:paraId="3256ED74" w14:textId="77777777" w:rsidR="00061921" w:rsidRPr="00B814E2" w:rsidRDefault="00061921" w:rsidP="00BB5741">
      <w:pPr>
        <w:ind w:left="-360" w:right="-252"/>
        <w:jc w:val="center"/>
        <w:rPr>
          <w:b/>
        </w:rPr>
      </w:pPr>
      <w:r w:rsidRPr="00B814E2">
        <w:rPr>
          <w:b/>
        </w:rPr>
        <w:t>BEFORE THE WASHINGTON UTILITIES AND TRANSPORTATION COMMISSION</w:t>
      </w:r>
    </w:p>
    <w:p w14:paraId="3256ED75" w14:textId="77777777" w:rsidR="00061921" w:rsidRPr="00B814E2" w:rsidRDefault="00281098" w:rsidP="00BB5741">
      <w:pPr>
        <w:rPr>
          <w:b/>
        </w:rPr>
      </w:pPr>
      <w:r>
        <w:rPr>
          <w:b/>
        </w:rPr>
        <w:t xml:space="preserve">  </w:t>
      </w:r>
    </w:p>
    <w:tbl>
      <w:tblPr>
        <w:tblW w:w="9180" w:type="dxa"/>
        <w:tblLayout w:type="fixed"/>
        <w:tblCellMar>
          <w:left w:w="124" w:type="dxa"/>
          <w:right w:w="124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061921" w14:paraId="3256ED86" w14:textId="77777777" w:rsidTr="00061921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8" w:space="0" w:color="000000"/>
              <w:right w:val="single" w:sz="6" w:space="0" w:color="FFFFFF"/>
            </w:tcBorders>
          </w:tcPr>
          <w:p w14:paraId="3256ED76" w14:textId="77777777" w:rsidR="00061921" w:rsidRDefault="00061921" w:rsidP="00277BC3">
            <w:pPr>
              <w:pStyle w:val="Subtitle"/>
              <w:keepNext/>
              <w:keepLines/>
              <w:spacing w:before="200"/>
              <w:outlineLvl w:val="3"/>
              <w:rPr>
                <w:rFonts w:ascii="Times" w:hAnsi="Times"/>
                <w:b/>
                <w:bCs/>
                <w:i/>
                <w:iCs/>
                <w:color w:val="4F81BD" w:themeColor="accent1"/>
              </w:rPr>
            </w:pPr>
            <w:r>
              <w:rPr>
                <w:rFonts w:ascii="Times" w:hAnsi="Times"/>
                <w:b/>
              </w:rPr>
              <w:t>WASHINGTON UTILITIES AND</w:t>
            </w:r>
          </w:p>
          <w:p w14:paraId="3256ED77" w14:textId="77777777" w:rsidR="00061921" w:rsidRDefault="00061921" w:rsidP="00277BC3">
            <w:pPr>
              <w:keepNext/>
              <w:keepLines/>
              <w:spacing w:before="200"/>
              <w:outlineLvl w:val="8"/>
              <w:rPr>
                <w:b/>
                <w:i/>
                <w:iCs/>
                <w:color w:val="404040" w:themeColor="text1" w:themeTint="BF"/>
              </w:rPr>
            </w:pPr>
            <w:r>
              <w:rPr>
                <w:rFonts w:ascii="Times" w:hAnsi="Times"/>
                <w:b/>
              </w:rPr>
              <w:t>TRANSPORTATION COMMISSION</w:t>
            </w:r>
            <w:r>
              <w:rPr>
                <w:b/>
              </w:rPr>
              <w:t>,</w:t>
            </w:r>
          </w:p>
          <w:p w14:paraId="3256ED78" w14:textId="77777777" w:rsidR="00061921" w:rsidRDefault="00061921" w:rsidP="00277BC3">
            <w:pPr>
              <w:rPr>
                <w:b/>
              </w:rPr>
            </w:pPr>
          </w:p>
          <w:p w14:paraId="3256ED79" w14:textId="77777777" w:rsidR="00061921" w:rsidRDefault="00061921" w:rsidP="00277BC3">
            <w:pPr>
              <w:tabs>
                <w:tab w:val="left" w:pos="1800"/>
              </w:tabs>
              <w:rPr>
                <w:b/>
              </w:rPr>
            </w:pPr>
            <w:r>
              <w:rPr>
                <w:b/>
              </w:rPr>
              <w:tab/>
              <w:t>Complainant,</w:t>
            </w:r>
          </w:p>
          <w:p w14:paraId="3256ED7A" w14:textId="77777777" w:rsidR="00061921" w:rsidRDefault="00061921" w:rsidP="00277BC3">
            <w:pPr>
              <w:rPr>
                <w:b/>
              </w:rPr>
            </w:pPr>
          </w:p>
          <w:p w14:paraId="3256ED7B" w14:textId="77777777" w:rsidR="00061921" w:rsidRDefault="00061921" w:rsidP="00277BC3">
            <w:pPr>
              <w:rPr>
                <w:b/>
              </w:rPr>
            </w:pPr>
            <w:r>
              <w:rPr>
                <w:b/>
              </w:rPr>
              <w:t>v.</w:t>
            </w:r>
          </w:p>
          <w:p w14:paraId="3256ED7C" w14:textId="77777777" w:rsidR="00061921" w:rsidRDefault="00061921" w:rsidP="00277BC3">
            <w:pPr>
              <w:rPr>
                <w:b/>
              </w:rPr>
            </w:pPr>
          </w:p>
          <w:p w14:paraId="3256ED7D" w14:textId="77777777" w:rsidR="00061921" w:rsidRDefault="004026C2" w:rsidP="00F161C5">
            <w:pPr>
              <w:rPr>
                <w:b/>
              </w:rPr>
            </w:pPr>
            <w:r>
              <w:rPr>
                <w:b/>
              </w:rPr>
              <w:t>AVISTA CORPORATION</w:t>
            </w:r>
            <w:r w:rsidR="00A31AF4">
              <w:rPr>
                <w:b/>
              </w:rPr>
              <w:t>,</w:t>
            </w:r>
            <w:r w:rsidR="00516549">
              <w:rPr>
                <w:b/>
              </w:rPr>
              <w:t xml:space="preserve"> d/b/a AVISTA UTILITIES,</w:t>
            </w:r>
          </w:p>
          <w:p w14:paraId="3256ED7E" w14:textId="77777777" w:rsidR="00516549" w:rsidRDefault="00516549" w:rsidP="00F161C5">
            <w:pPr>
              <w:rPr>
                <w:b/>
              </w:rPr>
            </w:pPr>
          </w:p>
          <w:p w14:paraId="3256ED7F" w14:textId="77777777" w:rsidR="00061921" w:rsidRDefault="00061921" w:rsidP="00277BC3">
            <w:pPr>
              <w:tabs>
                <w:tab w:val="left" w:pos="1800"/>
              </w:tabs>
              <w:rPr>
                <w:b/>
              </w:rPr>
            </w:pPr>
            <w:r>
              <w:rPr>
                <w:b/>
              </w:rPr>
              <w:tab/>
              <w:t>Respondent.</w:t>
            </w:r>
          </w:p>
          <w:p w14:paraId="3256ED80" w14:textId="77777777" w:rsidR="00061921" w:rsidRDefault="00061921" w:rsidP="00277BC3">
            <w:pPr>
              <w:tabs>
                <w:tab w:val="center" w:pos="4680"/>
              </w:tabs>
              <w:jc w:val="center"/>
              <w:rPr>
                <w:b/>
                <w:bCs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14:paraId="3256ED81" w14:textId="77777777" w:rsidR="00F7778F" w:rsidRDefault="00D0361B" w:rsidP="00516549">
            <w:pPr>
              <w:keepNext/>
              <w:keepLines/>
              <w:spacing w:before="200"/>
              <w:ind w:left="450"/>
              <w:outlineLvl w:val="3"/>
              <w:rPr>
                <w:b/>
              </w:rPr>
            </w:pPr>
            <w:r>
              <w:rPr>
                <w:b/>
              </w:rPr>
              <w:t>DOCKET</w:t>
            </w:r>
            <w:r w:rsidR="00F7778F">
              <w:rPr>
                <w:b/>
              </w:rPr>
              <w:t>S</w:t>
            </w:r>
            <w:r w:rsidR="00061921">
              <w:rPr>
                <w:b/>
              </w:rPr>
              <w:t xml:space="preserve"> UE-</w:t>
            </w:r>
            <w:r w:rsidR="0099337A">
              <w:rPr>
                <w:b/>
              </w:rPr>
              <w:t>17</w:t>
            </w:r>
            <w:r w:rsidR="00F7778F">
              <w:rPr>
                <w:b/>
              </w:rPr>
              <w:t>0485</w:t>
            </w:r>
            <w:r w:rsidR="0099337A">
              <w:rPr>
                <w:b/>
              </w:rPr>
              <w:t xml:space="preserve"> &amp; </w:t>
            </w:r>
            <w:r w:rsidR="00F7778F">
              <w:rPr>
                <w:b/>
              </w:rPr>
              <w:t>UG-170486</w:t>
            </w:r>
          </w:p>
          <w:p w14:paraId="3256ED82" w14:textId="77777777" w:rsidR="00516549" w:rsidRPr="00516549" w:rsidRDefault="00516549" w:rsidP="00516549">
            <w:pPr>
              <w:keepNext/>
              <w:keepLines/>
              <w:spacing w:before="200"/>
              <w:ind w:left="450"/>
              <w:outlineLvl w:val="3"/>
              <w:rPr>
                <w:b/>
                <w:bCs/>
                <w:i/>
                <w:iCs/>
                <w:color w:val="4F81BD" w:themeColor="accent1"/>
              </w:rPr>
            </w:pPr>
            <w:r>
              <w:rPr>
                <w:b/>
                <w:i/>
              </w:rPr>
              <w:t>(Consolidated)</w:t>
            </w:r>
          </w:p>
          <w:p w14:paraId="3256ED83" w14:textId="77777777" w:rsidR="0099337A" w:rsidRPr="00F7778F" w:rsidRDefault="0099337A" w:rsidP="00F7778F">
            <w:pPr>
              <w:keepNext/>
              <w:keepLines/>
              <w:ind w:left="450"/>
              <w:outlineLvl w:val="3"/>
              <w:rPr>
                <w:b/>
                <w:i/>
              </w:rPr>
            </w:pPr>
          </w:p>
          <w:p w14:paraId="3256ED84" w14:textId="77777777" w:rsidR="00061921" w:rsidRDefault="00061921" w:rsidP="00277BC3">
            <w:pPr>
              <w:tabs>
                <w:tab w:val="center" w:pos="4680"/>
              </w:tabs>
              <w:rPr>
                <w:b/>
              </w:rPr>
            </w:pPr>
          </w:p>
          <w:p w14:paraId="3256ED85" w14:textId="77777777" w:rsidR="00061921" w:rsidRDefault="00061921" w:rsidP="00277BC3">
            <w:pPr>
              <w:tabs>
                <w:tab w:val="center" w:pos="4680"/>
              </w:tabs>
              <w:jc w:val="center"/>
              <w:rPr>
                <w:b/>
              </w:rPr>
            </w:pPr>
          </w:p>
        </w:tc>
      </w:tr>
    </w:tbl>
    <w:p w14:paraId="3256ED87" w14:textId="77777777" w:rsidR="00061921" w:rsidRDefault="00061921" w:rsidP="00277BC3">
      <w:pPr>
        <w:rPr>
          <w:b/>
          <w:bCs/>
        </w:rPr>
      </w:pPr>
    </w:p>
    <w:p w14:paraId="3256ED88" w14:textId="77777777" w:rsidR="00061921" w:rsidRDefault="00061921" w:rsidP="00277BC3">
      <w:pPr>
        <w:rPr>
          <w:b/>
          <w:bCs/>
        </w:rPr>
      </w:pPr>
    </w:p>
    <w:p w14:paraId="3256ED89" w14:textId="77777777" w:rsidR="00061921" w:rsidRDefault="00EC3BAA" w:rsidP="00277BC3">
      <w:pPr>
        <w:tabs>
          <w:tab w:val="center" w:pos="4680"/>
        </w:tabs>
        <w:jc w:val="center"/>
        <w:rPr>
          <w:b/>
          <w:bCs/>
        </w:rPr>
      </w:pPr>
      <w:r>
        <w:rPr>
          <w:b/>
          <w:bCs/>
        </w:rPr>
        <w:t>CROSS-ANSWERING</w:t>
      </w:r>
      <w:r w:rsidR="00CB206E">
        <w:rPr>
          <w:b/>
          <w:bCs/>
        </w:rPr>
        <w:t xml:space="preserve"> </w:t>
      </w:r>
      <w:r w:rsidR="00061921">
        <w:rPr>
          <w:b/>
          <w:bCs/>
        </w:rPr>
        <w:t>TESTIMONY OF</w:t>
      </w:r>
    </w:p>
    <w:p w14:paraId="3256ED8A" w14:textId="77777777" w:rsidR="00061921" w:rsidRDefault="00061921" w:rsidP="00277BC3">
      <w:pPr>
        <w:jc w:val="center"/>
        <w:rPr>
          <w:b/>
          <w:bCs/>
        </w:rPr>
      </w:pPr>
    </w:p>
    <w:p w14:paraId="3256ED8B" w14:textId="77777777" w:rsidR="00061921" w:rsidRDefault="00CB206E" w:rsidP="00277BC3">
      <w:pPr>
        <w:tabs>
          <w:tab w:val="center" w:pos="4680"/>
        </w:tabs>
        <w:jc w:val="center"/>
        <w:rPr>
          <w:b/>
          <w:bCs/>
        </w:rPr>
      </w:pPr>
      <w:r>
        <w:rPr>
          <w:b/>
          <w:bCs/>
        </w:rPr>
        <w:t>SHAWN M. COLLINS (E</w:t>
      </w:r>
      <w:r w:rsidR="00F7778F">
        <w:rPr>
          <w:b/>
          <w:bCs/>
        </w:rPr>
        <w:t>XH.</w:t>
      </w:r>
      <w:r w:rsidR="005A0996">
        <w:rPr>
          <w:b/>
          <w:bCs/>
        </w:rPr>
        <w:t xml:space="preserve"> </w:t>
      </w:r>
      <w:r>
        <w:rPr>
          <w:b/>
          <w:bCs/>
        </w:rPr>
        <w:t>SMC-</w:t>
      </w:r>
      <w:r w:rsidR="00EC3BAA">
        <w:rPr>
          <w:b/>
          <w:bCs/>
        </w:rPr>
        <w:t>4</w:t>
      </w:r>
      <w:r>
        <w:rPr>
          <w:b/>
          <w:bCs/>
        </w:rPr>
        <w:t>T)</w:t>
      </w:r>
    </w:p>
    <w:p w14:paraId="3256ED8C" w14:textId="77777777" w:rsidR="00061921" w:rsidRDefault="00061921" w:rsidP="00277BC3">
      <w:pPr>
        <w:tabs>
          <w:tab w:val="center" w:pos="4680"/>
        </w:tabs>
        <w:jc w:val="center"/>
        <w:rPr>
          <w:b/>
          <w:bCs/>
        </w:rPr>
      </w:pPr>
    </w:p>
    <w:p w14:paraId="3256ED8D" w14:textId="77777777" w:rsidR="00061921" w:rsidRDefault="0039041D" w:rsidP="00277BC3">
      <w:pPr>
        <w:tabs>
          <w:tab w:val="center" w:pos="4680"/>
        </w:tabs>
        <w:jc w:val="center"/>
        <w:rPr>
          <w:b/>
          <w:bCs/>
        </w:rPr>
      </w:pPr>
      <w:r>
        <w:rPr>
          <w:b/>
          <w:bCs/>
        </w:rPr>
        <w:t>DIRECTOR</w:t>
      </w:r>
      <w:r w:rsidR="00061921">
        <w:rPr>
          <w:b/>
          <w:bCs/>
        </w:rPr>
        <w:t xml:space="preserve"> OF</w:t>
      </w:r>
    </w:p>
    <w:p w14:paraId="3256ED8E" w14:textId="77777777" w:rsidR="00061921" w:rsidRDefault="00061921" w:rsidP="00277BC3">
      <w:pPr>
        <w:tabs>
          <w:tab w:val="center" w:pos="4680"/>
        </w:tabs>
        <w:jc w:val="center"/>
        <w:rPr>
          <w:b/>
          <w:bCs/>
        </w:rPr>
      </w:pPr>
      <w:r>
        <w:rPr>
          <w:b/>
          <w:bCs/>
        </w:rPr>
        <w:t>THE ENERGY PROJECT</w:t>
      </w:r>
    </w:p>
    <w:p w14:paraId="3256ED8F" w14:textId="77777777" w:rsidR="00061921" w:rsidRDefault="00061921" w:rsidP="00277BC3">
      <w:pPr>
        <w:jc w:val="center"/>
        <w:rPr>
          <w:b/>
          <w:bCs/>
        </w:rPr>
      </w:pPr>
    </w:p>
    <w:p w14:paraId="3256ED90" w14:textId="77777777" w:rsidR="00061921" w:rsidRDefault="00061921" w:rsidP="00277BC3">
      <w:pPr>
        <w:rPr>
          <w:b/>
          <w:bCs/>
        </w:rPr>
      </w:pPr>
    </w:p>
    <w:p w14:paraId="3256ED91" w14:textId="77777777" w:rsidR="00061921" w:rsidRDefault="00061921" w:rsidP="00277BC3">
      <w:pPr>
        <w:rPr>
          <w:b/>
          <w:bCs/>
        </w:rPr>
      </w:pPr>
    </w:p>
    <w:p w14:paraId="3256ED92" w14:textId="77777777" w:rsidR="00061921" w:rsidRDefault="00EC3BAA" w:rsidP="00277BC3">
      <w:pPr>
        <w:jc w:val="center"/>
        <w:rPr>
          <w:b/>
          <w:bCs/>
          <w:i/>
        </w:rPr>
      </w:pPr>
      <w:r>
        <w:rPr>
          <w:b/>
          <w:bCs/>
          <w:i/>
        </w:rPr>
        <w:t>Rate Spread, DSM, Fuel Conversion</w:t>
      </w:r>
    </w:p>
    <w:p w14:paraId="3256ED93" w14:textId="77777777" w:rsidR="00F7778F" w:rsidRDefault="00F7778F" w:rsidP="00277BC3">
      <w:pPr>
        <w:jc w:val="center"/>
        <w:rPr>
          <w:b/>
          <w:bCs/>
          <w:i/>
        </w:rPr>
      </w:pPr>
    </w:p>
    <w:p w14:paraId="3256ED94" w14:textId="77777777" w:rsidR="00F7778F" w:rsidRDefault="00F7778F" w:rsidP="00277BC3">
      <w:pPr>
        <w:jc w:val="center"/>
        <w:rPr>
          <w:b/>
          <w:bCs/>
          <w:i/>
        </w:rPr>
      </w:pPr>
    </w:p>
    <w:p w14:paraId="3256ED95" w14:textId="77777777" w:rsidR="00F7778F" w:rsidRPr="00F7778F" w:rsidRDefault="00EC3BAA" w:rsidP="00277BC3">
      <w:pPr>
        <w:jc w:val="center"/>
        <w:rPr>
          <w:b/>
          <w:bCs/>
        </w:rPr>
      </w:pPr>
      <w:r>
        <w:rPr>
          <w:b/>
          <w:bCs/>
        </w:rPr>
        <w:t>DECEMBER 1</w:t>
      </w:r>
      <w:r w:rsidR="00F7778F">
        <w:rPr>
          <w:b/>
          <w:bCs/>
        </w:rPr>
        <w:t>, 2017</w:t>
      </w:r>
    </w:p>
    <w:p w14:paraId="3256ED96" w14:textId="77777777" w:rsidR="00061921" w:rsidRDefault="00061921" w:rsidP="00277BC3">
      <w:pPr>
        <w:rPr>
          <w:b/>
          <w:bCs/>
        </w:rPr>
      </w:pPr>
    </w:p>
    <w:p w14:paraId="3256ED97" w14:textId="77777777" w:rsidR="00061921" w:rsidRDefault="00061921" w:rsidP="00277BC3">
      <w:pPr>
        <w:rPr>
          <w:b/>
          <w:bCs/>
        </w:rPr>
      </w:pPr>
    </w:p>
    <w:p w14:paraId="3256ED98" w14:textId="77777777" w:rsidR="00061921" w:rsidRDefault="00061921" w:rsidP="00277BC3"/>
    <w:p w14:paraId="3256ED99" w14:textId="77777777" w:rsidR="00061921" w:rsidRDefault="00061921" w:rsidP="00277BC3"/>
    <w:p w14:paraId="3256ED9A" w14:textId="77777777" w:rsidR="00061921" w:rsidRDefault="00061921" w:rsidP="00277BC3"/>
    <w:p w14:paraId="3256ED9B" w14:textId="77777777" w:rsidR="00061921" w:rsidRDefault="00061921" w:rsidP="00277BC3"/>
    <w:p w14:paraId="3256ED9C" w14:textId="77777777" w:rsidR="00061921" w:rsidRDefault="00061921" w:rsidP="00277BC3"/>
    <w:p w14:paraId="3256ED9D" w14:textId="77777777" w:rsidR="00061921" w:rsidRDefault="00061921" w:rsidP="00277BC3"/>
    <w:p w14:paraId="3256ED9E" w14:textId="77777777" w:rsidR="00061921" w:rsidRDefault="00061921" w:rsidP="00277BC3"/>
    <w:p w14:paraId="3256ED9F" w14:textId="77777777" w:rsidR="00061921" w:rsidRDefault="00061921" w:rsidP="00277BC3"/>
    <w:p w14:paraId="3256EDA0" w14:textId="77777777" w:rsidR="00061921" w:rsidRDefault="00061921" w:rsidP="00277BC3"/>
    <w:p w14:paraId="3256EDA1" w14:textId="77777777" w:rsidR="00363621" w:rsidRDefault="00363621" w:rsidP="00277BC3"/>
    <w:p w14:paraId="3256EDA2" w14:textId="77777777" w:rsidR="00061921" w:rsidRDefault="00061921" w:rsidP="00277BC3"/>
    <w:p w14:paraId="3256EDA3" w14:textId="77777777" w:rsidR="00061921" w:rsidRDefault="00061921" w:rsidP="00277BC3"/>
    <w:p w14:paraId="3256EDA4" w14:textId="77777777" w:rsidR="00C979D6" w:rsidRDefault="00C979D6" w:rsidP="00371F48">
      <w:pPr>
        <w:rPr>
          <w:b/>
        </w:rPr>
        <w:sectPr w:rsidR="00C979D6" w:rsidSect="00DB22DD">
          <w:headerReference w:type="default" r:id="rId11"/>
          <w:footerReference w:type="default" r:id="rId12"/>
          <w:pgSz w:w="12240" w:h="15840"/>
          <w:pgMar w:top="1440" w:right="1800" w:bottom="1440" w:left="1800" w:header="720" w:footer="720" w:gutter="0"/>
          <w:cols w:space="720"/>
          <w:titlePg/>
          <w:docGrid w:linePitch="326"/>
        </w:sectPr>
      </w:pPr>
    </w:p>
    <w:p w14:paraId="3256EDA5" w14:textId="77777777" w:rsidR="004422D6" w:rsidRDefault="004422D6" w:rsidP="00371F48">
      <w:pPr>
        <w:spacing w:line="480" w:lineRule="auto"/>
        <w:jc w:val="center"/>
        <w:rPr>
          <w:b/>
        </w:rPr>
      </w:pPr>
      <w:r>
        <w:rPr>
          <w:b/>
        </w:rPr>
        <w:lastRenderedPageBreak/>
        <w:t>I.</w:t>
      </w:r>
      <w:r>
        <w:rPr>
          <w:b/>
        </w:rPr>
        <w:tab/>
        <w:t>INTRODUCTION</w:t>
      </w:r>
    </w:p>
    <w:p w14:paraId="3256EDA6" w14:textId="77777777" w:rsidR="00061921" w:rsidRDefault="00061921">
      <w:pPr>
        <w:spacing w:line="480" w:lineRule="auto"/>
      </w:pPr>
      <w:r>
        <w:rPr>
          <w:b/>
        </w:rPr>
        <w:t>Q.</w:t>
      </w:r>
      <w:r>
        <w:rPr>
          <w:b/>
        </w:rPr>
        <w:tab/>
        <w:t xml:space="preserve">Please state your name and business address.  </w:t>
      </w:r>
    </w:p>
    <w:p w14:paraId="3256EDA7" w14:textId="77777777" w:rsidR="00061921" w:rsidRDefault="00061921" w:rsidP="002B2D26">
      <w:pPr>
        <w:spacing w:line="480" w:lineRule="auto"/>
        <w:ind w:left="720" w:hanging="720"/>
      </w:pPr>
      <w:r>
        <w:t>A.</w:t>
      </w:r>
      <w:r>
        <w:tab/>
      </w:r>
      <w:r w:rsidR="000755DF">
        <w:t>My name is</w:t>
      </w:r>
      <w:r>
        <w:t xml:space="preserve"> Shawn Collins.  My business address is 3406 Redwood Avenue, Bellingham, WA 98225</w:t>
      </w:r>
      <w:r w:rsidR="00503838">
        <w:t>.</w:t>
      </w:r>
    </w:p>
    <w:p w14:paraId="3256EDA8" w14:textId="77777777" w:rsidR="00061921" w:rsidRDefault="00061921">
      <w:pPr>
        <w:spacing w:line="480" w:lineRule="auto"/>
        <w:ind w:left="720" w:hanging="720"/>
      </w:pPr>
      <w:r>
        <w:rPr>
          <w:b/>
        </w:rPr>
        <w:t>Q.</w:t>
      </w:r>
      <w:r>
        <w:rPr>
          <w:b/>
        </w:rPr>
        <w:tab/>
        <w:t xml:space="preserve">By whom are you employed and in what capacity?  </w:t>
      </w:r>
    </w:p>
    <w:p w14:paraId="3256EDA9" w14:textId="77777777" w:rsidR="002E038B" w:rsidRDefault="00061921" w:rsidP="002B2D26">
      <w:pPr>
        <w:spacing w:line="480" w:lineRule="auto"/>
        <w:ind w:left="720" w:hanging="720"/>
      </w:pPr>
      <w:r w:rsidRPr="00F33C30">
        <w:t>A.</w:t>
      </w:r>
      <w:r>
        <w:tab/>
        <w:t xml:space="preserve">I am </w:t>
      </w:r>
      <w:r w:rsidR="00BB4309">
        <w:t>the</w:t>
      </w:r>
      <w:r w:rsidR="001C5184">
        <w:t xml:space="preserve"> Director of</w:t>
      </w:r>
      <w:r>
        <w:t xml:space="preserve"> The E</w:t>
      </w:r>
      <w:r w:rsidR="004422D6">
        <w:t>nergy Project</w:t>
      </w:r>
      <w:r w:rsidR="00BB4309">
        <w:t xml:space="preserve"> (TEP)</w:t>
      </w:r>
      <w:r w:rsidR="004422D6">
        <w:t xml:space="preserve">, </w:t>
      </w:r>
      <w:r w:rsidR="002535A2">
        <w:t>a pro</w:t>
      </w:r>
      <w:r w:rsidR="004357D2">
        <w:t xml:space="preserve">gram </w:t>
      </w:r>
      <w:r w:rsidR="002535A2">
        <w:t xml:space="preserve">of the Washington State Community Action Partnership housed at the </w:t>
      </w:r>
      <w:r>
        <w:t>Opportunity Council</w:t>
      </w:r>
      <w:r w:rsidR="002535A2">
        <w:t xml:space="preserve"> in Bellingham, WA</w:t>
      </w:r>
      <w:r>
        <w:t>.</w:t>
      </w:r>
      <w:r w:rsidR="001C5184">
        <w:t xml:space="preserve"> </w:t>
      </w:r>
    </w:p>
    <w:p w14:paraId="3256EDAA" w14:textId="77777777" w:rsidR="00061921" w:rsidRDefault="00061921" w:rsidP="002E038B">
      <w:pPr>
        <w:spacing w:line="480" w:lineRule="auto"/>
      </w:pPr>
      <w:r>
        <w:rPr>
          <w:b/>
        </w:rPr>
        <w:t>Q.</w:t>
      </w:r>
      <w:r>
        <w:rPr>
          <w:b/>
        </w:rPr>
        <w:tab/>
        <w:t xml:space="preserve">How long have you been employed </w:t>
      </w:r>
      <w:r w:rsidR="001C5184">
        <w:rPr>
          <w:b/>
        </w:rPr>
        <w:t xml:space="preserve">by </w:t>
      </w:r>
      <w:r w:rsidR="00747D97">
        <w:rPr>
          <w:b/>
        </w:rPr>
        <w:t xml:space="preserve">the </w:t>
      </w:r>
      <w:r w:rsidR="001C5184">
        <w:rPr>
          <w:b/>
        </w:rPr>
        <w:t>Opportunity Council.</w:t>
      </w:r>
      <w:r>
        <w:rPr>
          <w:b/>
        </w:rPr>
        <w:t xml:space="preserve">  </w:t>
      </w:r>
      <w:r>
        <w:t xml:space="preserve"> </w:t>
      </w:r>
    </w:p>
    <w:p w14:paraId="3256EDAB" w14:textId="77777777" w:rsidR="002E038B" w:rsidRDefault="001C5184" w:rsidP="002B2D26">
      <w:pPr>
        <w:spacing w:line="480" w:lineRule="auto"/>
        <w:ind w:left="720" w:hanging="720"/>
      </w:pPr>
      <w:r w:rsidRPr="00F33C30">
        <w:t>A.</w:t>
      </w:r>
      <w:r>
        <w:tab/>
        <w:t xml:space="preserve">I have been employed by Opportunity Council since 2006. </w:t>
      </w:r>
      <w:r w:rsidR="000563AB">
        <w:t xml:space="preserve">  I have served a</w:t>
      </w:r>
      <w:r w:rsidR="005A0996">
        <w:t>s the Director of TEP since 2015.</w:t>
      </w:r>
    </w:p>
    <w:p w14:paraId="3256EDAC" w14:textId="77777777" w:rsidR="00061921" w:rsidRDefault="00061921" w:rsidP="002E038B">
      <w:pPr>
        <w:spacing w:line="480" w:lineRule="auto"/>
      </w:pPr>
      <w:r>
        <w:rPr>
          <w:b/>
        </w:rPr>
        <w:t xml:space="preserve">Q </w:t>
      </w:r>
      <w:r>
        <w:rPr>
          <w:b/>
        </w:rPr>
        <w:tab/>
        <w:t xml:space="preserve">Would you please state your educational and professional background?  </w:t>
      </w:r>
    </w:p>
    <w:p w14:paraId="3256EDAD" w14:textId="77777777" w:rsidR="00C96C13" w:rsidRPr="0025186B" w:rsidRDefault="00061921" w:rsidP="00476048">
      <w:pPr>
        <w:spacing w:line="480" w:lineRule="auto"/>
        <w:ind w:left="720" w:hanging="720"/>
        <w:rPr>
          <w:i/>
        </w:rPr>
      </w:pPr>
      <w:r w:rsidRPr="00F33C30">
        <w:t>A.</w:t>
      </w:r>
      <w:r>
        <w:tab/>
      </w:r>
      <w:r w:rsidR="007A38AE">
        <w:t>A</w:t>
      </w:r>
      <w:r w:rsidR="007A38AE" w:rsidRPr="005A0996">
        <w:t xml:space="preserve"> statement of my professional qualifications </w:t>
      </w:r>
      <w:r w:rsidR="007A38AE">
        <w:t xml:space="preserve">has previously been filed in this docket </w:t>
      </w:r>
      <w:r w:rsidR="00476048" w:rsidRPr="005A0996">
        <w:t xml:space="preserve">as </w:t>
      </w:r>
      <w:r w:rsidR="000755DF" w:rsidRPr="005A0996">
        <w:t>Exhibit SMC-2</w:t>
      </w:r>
      <w:r w:rsidR="00476048" w:rsidRPr="008D67E5">
        <w:t>.</w:t>
      </w:r>
      <w:r w:rsidR="00476048" w:rsidRPr="0025186B">
        <w:rPr>
          <w:i/>
        </w:rPr>
        <w:t xml:space="preserve"> </w:t>
      </w:r>
      <w:r w:rsidR="00B3135C" w:rsidRPr="0025186B">
        <w:rPr>
          <w:i/>
        </w:rPr>
        <w:t xml:space="preserve"> </w:t>
      </w:r>
    </w:p>
    <w:p w14:paraId="3256EDAE" w14:textId="77777777" w:rsidR="002B2D26" w:rsidRDefault="00C96C13" w:rsidP="002B2D26">
      <w:pPr>
        <w:tabs>
          <w:tab w:val="left" w:pos="5940"/>
        </w:tabs>
        <w:spacing w:line="480" w:lineRule="auto"/>
        <w:ind w:left="720" w:hanging="720"/>
      </w:pPr>
      <w:r w:rsidRPr="00C96C13">
        <w:rPr>
          <w:b/>
        </w:rPr>
        <w:t>Q.</w:t>
      </w:r>
      <w:r w:rsidRPr="00C96C13">
        <w:rPr>
          <w:b/>
        </w:rPr>
        <w:tab/>
        <w:t>On whose behalf are you testifying?</w:t>
      </w:r>
    </w:p>
    <w:p w14:paraId="3256EDAF" w14:textId="77777777" w:rsidR="00105736" w:rsidRDefault="002B2D26" w:rsidP="00371F48">
      <w:pPr>
        <w:tabs>
          <w:tab w:val="left" w:pos="1440"/>
        </w:tabs>
        <w:spacing w:line="480" w:lineRule="auto"/>
        <w:ind w:left="720" w:hanging="720"/>
      </w:pPr>
      <w:r w:rsidRPr="00F33C30">
        <w:t>A.</w:t>
      </w:r>
      <w:r>
        <w:rPr>
          <w:b/>
        </w:rPr>
        <w:tab/>
      </w:r>
      <w:r w:rsidR="00C96C13">
        <w:t xml:space="preserve">I am testifying for </w:t>
      </w:r>
      <w:r w:rsidR="007D4C85">
        <w:t>TEP</w:t>
      </w:r>
      <w:r w:rsidR="001B7E7E">
        <w:t>, an interveno</w:t>
      </w:r>
      <w:r w:rsidR="00C96C13">
        <w:t>r in this proceeding</w:t>
      </w:r>
      <w:r w:rsidR="001B7E7E">
        <w:t>,</w:t>
      </w:r>
      <w:r w:rsidR="00C96C13">
        <w:t xml:space="preserve"> on behalf of the </w:t>
      </w:r>
      <w:r w:rsidR="007D4C85">
        <w:t xml:space="preserve">Community Action Partnership </w:t>
      </w:r>
      <w:r w:rsidR="00784DBB">
        <w:t xml:space="preserve">(CAP) </w:t>
      </w:r>
      <w:r w:rsidR="007D4C85">
        <w:t>organizations</w:t>
      </w:r>
      <w:r w:rsidR="00C96C13">
        <w:t xml:space="preserve"> that provide low-income energy efficiency and bill payment assistance for customers in </w:t>
      </w:r>
      <w:r w:rsidR="0025186B">
        <w:t xml:space="preserve">Avista’s </w:t>
      </w:r>
      <w:r w:rsidR="00C96C13">
        <w:t>service territory.</w:t>
      </w:r>
      <w:r w:rsidR="00BB5741">
        <w:t xml:space="preserve"> </w:t>
      </w:r>
      <w:r w:rsidR="00BB5741" w:rsidRPr="001B7E7E">
        <w:t>These agenc</w:t>
      </w:r>
      <w:r w:rsidR="00DE68C9" w:rsidRPr="001B7E7E">
        <w:t>ies include</w:t>
      </w:r>
      <w:r w:rsidR="001B7E7E" w:rsidRPr="001B7E7E">
        <w:t>:</w:t>
      </w:r>
      <w:r w:rsidR="003F322C">
        <w:t xml:space="preserve"> </w:t>
      </w:r>
      <w:r w:rsidR="0025186B">
        <w:t xml:space="preserve"> </w:t>
      </w:r>
      <w:r w:rsidR="005A0996">
        <w:t xml:space="preserve">SNAP </w:t>
      </w:r>
      <w:r w:rsidR="00C14295">
        <w:t>(Spokane Neighborhood Action Partners)</w:t>
      </w:r>
      <w:r w:rsidR="00C7249E">
        <w:t xml:space="preserve"> </w:t>
      </w:r>
      <w:r w:rsidR="005A0996">
        <w:t>(Spokane County), Rural Resources (Ferry, Lincoln, Stevens Co</w:t>
      </w:r>
      <w:r w:rsidR="00D3141E">
        <w:t>unties</w:t>
      </w:r>
      <w:r w:rsidR="005A0996">
        <w:t>), Community Action Partnership (Asotin</w:t>
      </w:r>
      <w:r w:rsidR="0016254B">
        <w:t xml:space="preserve"> County</w:t>
      </w:r>
      <w:r w:rsidR="005A0996">
        <w:t>), Community Action Center (Whitman Co</w:t>
      </w:r>
      <w:r w:rsidR="0016254B">
        <w:t>unty)</w:t>
      </w:r>
      <w:r w:rsidR="005A0996">
        <w:t xml:space="preserve">, </w:t>
      </w:r>
      <w:r w:rsidR="0016254B">
        <w:t xml:space="preserve">Opportunities Industrialization Center (OIC) of Washington </w:t>
      </w:r>
      <w:r w:rsidR="0016254B">
        <w:lastRenderedPageBreak/>
        <w:t>(Adams County)</w:t>
      </w:r>
      <w:r w:rsidR="00C14295">
        <w:t>, and Washington Gorge Action Programs (Skamania, Klickitat Counties).</w:t>
      </w:r>
    </w:p>
    <w:p w14:paraId="3256EDB0" w14:textId="77777777" w:rsidR="00105736" w:rsidRDefault="00105736" w:rsidP="00371F48">
      <w:pPr>
        <w:tabs>
          <w:tab w:val="left" w:pos="1440"/>
        </w:tabs>
        <w:spacing w:line="480" w:lineRule="auto"/>
        <w:ind w:left="720" w:hanging="720"/>
        <w:rPr>
          <w:b/>
        </w:rPr>
      </w:pPr>
      <w:r>
        <w:rPr>
          <w:b/>
        </w:rPr>
        <w:t>Q:</w:t>
      </w:r>
      <w:r>
        <w:rPr>
          <w:b/>
        </w:rPr>
        <w:tab/>
        <w:t>Have you previously filed testimony this docket?</w:t>
      </w:r>
    </w:p>
    <w:p w14:paraId="3256EDB1" w14:textId="77777777" w:rsidR="007C76F7" w:rsidRPr="00371F48" w:rsidRDefault="00105736" w:rsidP="00371F48">
      <w:pPr>
        <w:tabs>
          <w:tab w:val="left" w:pos="1440"/>
        </w:tabs>
        <w:spacing w:line="480" w:lineRule="auto"/>
        <w:ind w:left="720" w:hanging="720"/>
      </w:pPr>
      <w:r>
        <w:t>A:</w:t>
      </w:r>
      <w:r>
        <w:tab/>
        <w:t xml:space="preserve">Yes.   I filed Response Testimony (Exh. SMC-1T) on October 27, 2017, addressing low-income issues.  On November 1, 2017, I filed Testimony </w:t>
      </w:r>
      <w:r w:rsidR="00585E60">
        <w:t>i</w:t>
      </w:r>
      <w:r>
        <w:t xml:space="preserve">n </w:t>
      </w:r>
      <w:r w:rsidR="0003659B">
        <w:t>s</w:t>
      </w:r>
      <w:r>
        <w:t xml:space="preserve">upport of the </w:t>
      </w:r>
      <w:r w:rsidR="00071548">
        <w:t>M</w:t>
      </w:r>
      <w:r>
        <w:t xml:space="preserve">ultiparty </w:t>
      </w:r>
      <w:r w:rsidR="00071548">
        <w:t>P</w:t>
      </w:r>
      <w:r>
        <w:t xml:space="preserve">artial </w:t>
      </w:r>
      <w:r w:rsidR="00071548">
        <w:t>S</w:t>
      </w:r>
      <w:r>
        <w:t xml:space="preserve">ettlement </w:t>
      </w:r>
      <w:r w:rsidR="00071548">
        <w:t>S</w:t>
      </w:r>
      <w:r>
        <w:t>tipulation</w:t>
      </w:r>
      <w:r w:rsidR="007F5ED6">
        <w:t xml:space="preserve"> (Multiparty Settlement)</w:t>
      </w:r>
      <w:r>
        <w:t xml:space="preserve"> (Exh. SMC-3T).</w:t>
      </w:r>
    </w:p>
    <w:p w14:paraId="3256EDB2" w14:textId="77777777" w:rsidR="004422D6" w:rsidRDefault="004422D6" w:rsidP="004357D2">
      <w:pPr>
        <w:spacing w:line="480" w:lineRule="auto"/>
        <w:jc w:val="center"/>
        <w:rPr>
          <w:b/>
        </w:rPr>
      </w:pPr>
      <w:r>
        <w:rPr>
          <w:b/>
        </w:rPr>
        <w:t>II.</w:t>
      </w:r>
      <w:r>
        <w:rPr>
          <w:b/>
        </w:rPr>
        <w:tab/>
      </w:r>
      <w:r w:rsidR="001B7E7E">
        <w:rPr>
          <w:b/>
        </w:rPr>
        <w:t>PURPOSE AND SUMMARY</w:t>
      </w:r>
      <w:r>
        <w:rPr>
          <w:b/>
        </w:rPr>
        <w:t xml:space="preserve"> OF </w:t>
      </w:r>
      <w:r w:rsidR="006B061D">
        <w:rPr>
          <w:b/>
        </w:rPr>
        <w:t xml:space="preserve">CROSS-ANSWERING </w:t>
      </w:r>
      <w:r>
        <w:rPr>
          <w:b/>
        </w:rPr>
        <w:t>TESTIMONY</w:t>
      </w:r>
    </w:p>
    <w:p w14:paraId="3256EDB3" w14:textId="77777777" w:rsidR="004422D6" w:rsidRDefault="004422D6">
      <w:pPr>
        <w:spacing w:line="480" w:lineRule="auto"/>
        <w:ind w:left="720" w:hanging="720"/>
        <w:rPr>
          <w:b/>
        </w:rPr>
      </w:pPr>
      <w:r>
        <w:rPr>
          <w:b/>
        </w:rPr>
        <w:t>Q.</w:t>
      </w:r>
      <w:r>
        <w:rPr>
          <w:b/>
        </w:rPr>
        <w:tab/>
        <w:t xml:space="preserve">What is the scope of your </w:t>
      </w:r>
      <w:r w:rsidR="00BA69A6">
        <w:rPr>
          <w:b/>
        </w:rPr>
        <w:t xml:space="preserve">cross-answering </w:t>
      </w:r>
      <w:r>
        <w:rPr>
          <w:b/>
        </w:rPr>
        <w:t>testimony?</w:t>
      </w:r>
    </w:p>
    <w:p w14:paraId="3256EDB4" w14:textId="77777777" w:rsidR="00CF1A60" w:rsidRDefault="004422D6" w:rsidP="00121C1A">
      <w:pPr>
        <w:spacing w:line="480" w:lineRule="auto"/>
        <w:ind w:left="720" w:hanging="720"/>
      </w:pPr>
      <w:r w:rsidRPr="00F33C30">
        <w:rPr>
          <w:bCs/>
        </w:rPr>
        <w:t>A.</w:t>
      </w:r>
      <w:r>
        <w:tab/>
        <w:t xml:space="preserve">My testimony </w:t>
      </w:r>
      <w:r w:rsidR="006B061D">
        <w:t>responds to rate spread and</w:t>
      </w:r>
      <w:r w:rsidR="00990F1D">
        <w:t xml:space="preserve"> demand-side management (</w:t>
      </w:r>
      <w:r w:rsidR="006B061D">
        <w:t>DSM</w:t>
      </w:r>
      <w:r w:rsidR="00990F1D">
        <w:t>)</w:t>
      </w:r>
      <w:r w:rsidR="006B061D">
        <w:t xml:space="preserve"> proposals contained in the testimony of </w:t>
      </w:r>
      <w:r w:rsidR="00B8483B">
        <w:t xml:space="preserve">Robert </w:t>
      </w:r>
      <w:r w:rsidR="006B061D">
        <w:t>Stephens</w:t>
      </w:r>
      <w:r w:rsidR="00B8483B">
        <w:t xml:space="preserve"> on behalf of </w:t>
      </w:r>
      <w:r w:rsidR="009221E1">
        <w:t xml:space="preserve">the </w:t>
      </w:r>
      <w:r w:rsidR="00B8483B">
        <w:t>Industrial Customers of N</w:t>
      </w:r>
      <w:r w:rsidR="009221E1">
        <w:t>orthwest</w:t>
      </w:r>
      <w:r w:rsidR="00B8483B">
        <w:t xml:space="preserve"> Utilities (ICNU)</w:t>
      </w:r>
      <w:r w:rsidR="006B061D">
        <w:t>.  I also comment on</w:t>
      </w:r>
      <w:r w:rsidR="00B8483B">
        <w:t xml:space="preserve"> Commission Staff’s </w:t>
      </w:r>
      <w:r w:rsidR="006B061D">
        <w:t>recommendation</w:t>
      </w:r>
      <w:r w:rsidR="00FB51C5">
        <w:t>s in the testimony of Jennifer Snyder r</w:t>
      </w:r>
      <w:r w:rsidR="006B061D">
        <w:t xml:space="preserve">egarding </w:t>
      </w:r>
      <w:r w:rsidR="00B8483B">
        <w:t xml:space="preserve">Avista’s residential </w:t>
      </w:r>
      <w:r w:rsidR="006B061D">
        <w:t xml:space="preserve">fuel conversion </w:t>
      </w:r>
      <w:r w:rsidR="00B8483B">
        <w:t>program</w:t>
      </w:r>
      <w:r w:rsidR="0003659B">
        <w:t>.</w:t>
      </w:r>
      <w:r w:rsidR="00B8483B">
        <w:t xml:space="preserve"> </w:t>
      </w:r>
    </w:p>
    <w:p w14:paraId="3256EDB5" w14:textId="77777777" w:rsidR="001B7E7E" w:rsidRDefault="001B7E7E" w:rsidP="00121C1A">
      <w:pPr>
        <w:spacing w:line="480" w:lineRule="auto"/>
        <w:ind w:left="720" w:hanging="720"/>
        <w:rPr>
          <w:b/>
        </w:rPr>
      </w:pPr>
      <w:r>
        <w:rPr>
          <w:b/>
        </w:rPr>
        <w:t>Q.</w:t>
      </w:r>
      <w:r>
        <w:tab/>
      </w:r>
      <w:r w:rsidRPr="001B7E7E">
        <w:rPr>
          <w:b/>
        </w:rPr>
        <w:t xml:space="preserve">Could you please summarize </w:t>
      </w:r>
      <w:r w:rsidR="000808CC">
        <w:rPr>
          <w:b/>
        </w:rPr>
        <w:t xml:space="preserve">your </w:t>
      </w:r>
      <w:r w:rsidRPr="001B7E7E">
        <w:rPr>
          <w:b/>
        </w:rPr>
        <w:t>testimony?</w:t>
      </w:r>
    </w:p>
    <w:p w14:paraId="3256EDB6" w14:textId="77777777" w:rsidR="001B7E7E" w:rsidRPr="008E6FF9" w:rsidRDefault="000808CC" w:rsidP="0025186B">
      <w:pPr>
        <w:spacing w:line="480" w:lineRule="auto"/>
        <w:ind w:left="720" w:hanging="720"/>
      </w:pPr>
      <w:r w:rsidRPr="00F33C30">
        <w:t>A.</w:t>
      </w:r>
      <w:r>
        <w:rPr>
          <w:b/>
        </w:rPr>
        <w:tab/>
      </w:r>
      <w:r w:rsidR="006B061D" w:rsidRPr="006B061D">
        <w:t xml:space="preserve">The Energy Project does not support </w:t>
      </w:r>
      <w:r w:rsidR="00B8483B">
        <w:t xml:space="preserve">Mr. Stephens’ </w:t>
      </w:r>
      <w:r w:rsidR="00233D48">
        <w:t xml:space="preserve">recommendations on </w:t>
      </w:r>
      <w:r w:rsidR="009221E1">
        <w:t xml:space="preserve">cost-of-service and </w:t>
      </w:r>
      <w:r w:rsidR="00233D48">
        <w:t xml:space="preserve">residential rate spread </w:t>
      </w:r>
      <w:r w:rsidR="00B8483B">
        <w:t xml:space="preserve">or those regarding </w:t>
      </w:r>
      <w:r w:rsidR="00233D48">
        <w:t>DSM contributions</w:t>
      </w:r>
      <w:r w:rsidR="00B8483B">
        <w:t xml:space="preserve">.  I </w:t>
      </w:r>
      <w:r w:rsidR="00233D48">
        <w:t xml:space="preserve">believe that, if adopted, </w:t>
      </w:r>
      <w:r w:rsidR="00B8483B">
        <w:t>these proposals</w:t>
      </w:r>
      <w:r w:rsidR="00233D48">
        <w:t xml:space="preserve"> would be</w:t>
      </w:r>
      <w:r w:rsidR="00B8483B">
        <w:t xml:space="preserve"> </w:t>
      </w:r>
      <w:r w:rsidR="00233D48">
        <w:t xml:space="preserve">harmful to Avista’s low-income customers.  Regarding Staff’s fuel conversion recommendation, </w:t>
      </w:r>
      <w:r w:rsidR="00B8483B">
        <w:t xml:space="preserve">my testimony </w:t>
      </w:r>
      <w:r w:rsidR="00233D48">
        <w:t>provide</w:t>
      </w:r>
      <w:r w:rsidR="00B8483B">
        <w:t>s</w:t>
      </w:r>
      <w:r w:rsidR="00233D48">
        <w:t xml:space="preserve"> additional background about the </w:t>
      </w:r>
      <w:r w:rsidR="00990F1D">
        <w:t>value of retaining</w:t>
      </w:r>
      <w:r w:rsidR="00233D48">
        <w:t xml:space="preserve"> fuel conversion in low-income energy efficiency programs and note</w:t>
      </w:r>
      <w:r w:rsidR="004B1A54">
        <w:t>s</w:t>
      </w:r>
      <w:r w:rsidR="00233D48">
        <w:t xml:space="preserve"> Staff’s support for its continued availability</w:t>
      </w:r>
      <w:r w:rsidR="00991C11">
        <w:t xml:space="preserve"> in that context</w:t>
      </w:r>
      <w:r w:rsidR="00233D48">
        <w:t xml:space="preserve">. </w:t>
      </w:r>
    </w:p>
    <w:p w14:paraId="3256EDB7" w14:textId="77777777" w:rsidR="00E17351" w:rsidRDefault="00E17351" w:rsidP="0016254B">
      <w:pPr>
        <w:ind w:left="720" w:hanging="720"/>
        <w:jc w:val="center"/>
        <w:rPr>
          <w:b/>
        </w:rPr>
      </w:pPr>
    </w:p>
    <w:p w14:paraId="3256EDB8" w14:textId="77777777" w:rsidR="00CF1A60" w:rsidRDefault="00707C3E" w:rsidP="0016254B">
      <w:pPr>
        <w:ind w:left="720" w:hanging="720"/>
        <w:jc w:val="center"/>
        <w:rPr>
          <w:b/>
        </w:rPr>
      </w:pPr>
      <w:r>
        <w:rPr>
          <w:b/>
        </w:rPr>
        <w:lastRenderedPageBreak/>
        <w:t xml:space="preserve">III.  </w:t>
      </w:r>
      <w:r w:rsidR="00233D48">
        <w:rPr>
          <w:b/>
        </w:rPr>
        <w:t>ICNU’</w:t>
      </w:r>
      <w:r w:rsidR="009221E1">
        <w:rPr>
          <w:b/>
        </w:rPr>
        <w:t>S</w:t>
      </w:r>
      <w:r w:rsidR="00233D48">
        <w:rPr>
          <w:b/>
        </w:rPr>
        <w:t xml:space="preserve"> RATE SPREAD AND DSM RECOMMENDATIONS</w:t>
      </w:r>
    </w:p>
    <w:p w14:paraId="3256EDB9" w14:textId="77777777" w:rsidR="0016254B" w:rsidRDefault="0016254B" w:rsidP="0016254B">
      <w:pPr>
        <w:ind w:left="720" w:hanging="720"/>
        <w:jc w:val="center"/>
        <w:rPr>
          <w:b/>
        </w:rPr>
      </w:pPr>
    </w:p>
    <w:p w14:paraId="3256EDBA" w14:textId="77777777" w:rsidR="00233D48" w:rsidRDefault="00BB5110" w:rsidP="00233D48">
      <w:pPr>
        <w:spacing w:line="480" w:lineRule="auto"/>
        <w:ind w:left="720" w:hanging="720"/>
        <w:rPr>
          <w:b/>
        </w:rPr>
      </w:pPr>
      <w:r w:rsidRPr="00F33C30">
        <w:rPr>
          <w:b/>
        </w:rPr>
        <w:t>Q.</w:t>
      </w:r>
      <w:r>
        <w:rPr>
          <w:b/>
        </w:rPr>
        <w:t xml:space="preserve"> </w:t>
      </w:r>
      <w:r>
        <w:rPr>
          <w:b/>
        </w:rPr>
        <w:tab/>
      </w:r>
      <w:r w:rsidR="009C158B">
        <w:rPr>
          <w:b/>
        </w:rPr>
        <w:t>Please identify the rate spread recommendation</w:t>
      </w:r>
      <w:r w:rsidR="009221E1">
        <w:rPr>
          <w:b/>
        </w:rPr>
        <w:t>s</w:t>
      </w:r>
      <w:r w:rsidR="009C158B">
        <w:rPr>
          <w:b/>
        </w:rPr>
        <w:t xml:space="preserve"> </w:t>
      </w:r>
      <w:r w:rsidR="00991C11">
        <w:rPr>
          <w:b/>
        </w:rPr>
        <w:t xml:space="preserve">in </w:t>
      </w:r>
      <w:r w:rsidR="009C158B">
        <w:rPr>
          <w:b/>
        </w:rPr>
        <w:t>Mr. Stephens</w:t>
      </w:r>
      <w:r w:rsidR="00991C11">
        <w:rPr>
          <w:b/>
        </w:rPr>
        <w:t>’</w:t>
      </w:r>
      <w:r w:rsidR="009C158B">
        <w:rPr>
          <w:b/>
        </w:rPr>
        <w:t xml:space="preserve"> testimony that cause particular concern for The Energy Project. </w:t>
      </w:r>
    </w:p>
    <w:p w14:paraId="3256EDBB" w14:textId="77777777" w:rsidR="00991C11" w:rsidRDefault="009C158B" w:rsidP="00154E26">
      <w:pPr>
        <w:spacing w:line="480" w:lineRule="auto"/>
        <w:ind w:left="720" w:hanging="720"/>
      </w:pPr>
      <w:r>
        <w:t>A.</w:t>
      </w:r>
      <w:r>
        <w:tab/>
      </w:r>
      <w:r w:rsidR="00396293">
        <w:t xml:space="preserve">Mr. Stephens devotes </w:t>
      </w:r>
      <w:r w:rsidR="00A7729B">
        <w:t xml:space="preserve">extended </w:t>
      </w:r>
      <w:r w:rsidR="00396293">
        <w:t>attention to cost-of-service methodology in his response testimony.   He argues that Avista’s</w:t>
      </w:r>
      <w:r w:rsidR="00A7729B">
        <w:t xml:space="preserve"> long standing </w:t>
      </w:r>
      <w:r w:rsidR="00396293">
        <w:t>cost-of-service study (COSS) methodology has significant shortcomings and recommends “significant changes.”</w:t>
      </w:r>
      <w:r w:rsidR="00396293">
        <w:rPr>
          <w:rStyle w:val="FootnoteReference"/>
        </w:rPr>
        <w:footnoteReference w:id="1"/>
      </w:r>
      <w:r w:rsidR="00396293">
        <w:t xml:space="preserve">  </w:t>
      </w:r>
      <w:r w:rsidR="00991C11">
        <w:t>Mr. Stephens recommends that the Commission adopt his recommended changes and implement them under certain rate increase scenarios by requiring that</w:t>
      </w:r>
      <w:r w:rsidR="00F24BC5">
        <w:t xml:space="preserve"> </w:t>
      </w:r>
      <w:r w:rsidR="00154E26">
        <w:t xml:space="preserve">none of the benefits should </w:t>
      </w:r>
      <w:r w:rsidR="00F24BC5">
        <w:t>flow to Schedule 1/2 residential customers</w:t>
      </w:r>
      <w:r w:rsidR="00A7729B">
        <w:t>.</w:t>
      </w:r>
      <w:r w:rsidR="00F24BC5">
        <w:rPr>
          <w:rStyle w:val="FootnoteReference"/>
        </w:rPr>
        <w:footnoteReference w:id="2"/>
      </w:r>
      <w:r w:rsidR="00F24BC5">
        <w:t xml:space="preserve"> </w:t>
      </w:r>
      <w:r w:rsidR="00A7729B">
        <w:t xml:space="preserve"> Instead, any “savings” from a</w:t>
      </w:r>
      <w:r w:rsidR="00991C11">
        <w:t>n</w:t>
      </w:r>
      <w:r w:rsidR="00A7729B">
        <w:t xml:space="preserve"> increase </w:t>
      </w:r>
      <w:r w:rsidR="00991C11">
        <w:t xml:space="preserve">less than Avista’s full request </w:t>
      </w:r>
      <w:r w:rsidR="00A7729B">
        <w:t xml:space="preserve">should accrue, in Mr. Stephens view, to other </w:t>
      </w:r>
      <w:r w:rsidR="00991C11">
        <w:t xml:space="preserve">customer </w:t>
      </w:r>
      <w:r w:rsidR="00A7729B">
        <w:t>classes.</w:t>
      </w:r>
      <w:r w:rsidR="00A7729B">
        <w:rPr>
          <w:rStyle w:val="FootnoteReference"/>
        </w:rPr>
        <w:footnoteReference w:id="3"/>
      </w:r>
      <w:r w:rsidR="00A7729B">
        <w:t xml:space="preserve">  </w:t>
      </w:r>
    </w:p>
    <w:p w14:paraId="3256EDBC" w14:textId="77777777" w:rsidR="00396293" w:rsidRDefault="00E17351" w:rsidP="00E17351">
      <w:pPr>
        <w:spacing w:line="480" w:lineRule="auto"/>
        <w:ind w:left="720" w:firstLine="720"/>
      </w:pPr>
      <w:r>
        <w:t xml:space="preserve">In his testimony, </w:t>
      </w:r>
      <w:r w:rsidR="00991C11">
        <w:t xml:space="preserve">Mr. Stephens </w:t>
      </w:r>
      <w:r w:rsidR="00A7729B">
        <w:t xml:space="preserve">provides an example </w:t>
      </w:r>
      <w:r w:rsidR="00154E26">
        <w:t xml:space="preserve">of how his approach would work. </w:t>
      </w:r>
      <w:r w:rsidR="00991C11">
        <w:t xml:space="preserve"> </w:t>
      </w:r>
      <w:r w:rsidR="00154E26">
        <w:t>I</w:t>
      </w:r>
      <w:r w:rsidR="00A7729B">
        <w:t>f Avista were only allowed half of its $61.3 m</w:t>
      </w:r>
      <w:r w:rsidR="00154E26">
        <w:t>illion</w:t>
      </w:r>
      <w:r w:rsidR="00A7729B">
        <w:t xml:space="preserve"> electric rate request ($30.6 m), </w:t>
      </w:r>
      <w:r w:rsidR="00154E26">
        <w:t>the residential class would pay nearly $28 millio</w:t>
      </w:r>
      <w:r w:rsidR="0030409A">
        <w:t>n</w:t>
      </w:r>
      <w:r w:rsidR="00154E26">
        <w:t xml:space="preserve">, </w:t>
      </w:r>
      <w:r w:rsidR="00991C11">
        <w:t xml:space="preserve">or </w:t>
      </w:r>
      <w:r w:rsidR="00154E26">
        <w:t>over 90 percent of the increase.  Residential customers would see a 13.3 percent increase in rates, the same percent as if Avista’s as-filed electric increase were</w:t>
      </w:r>
      <w:r w:rsidR="004A41F5">
        <w:t xml:space="preserve"> fully</w:t>
      </w:r>
      <w:r w:rsidR="00154E26">
        <w:t xml:space="preserve"> granted.   All other customer classes would receive a 1 percent or less increase.</w:t>
      </w:r>
      <w:r w:rsidR="00B95E79">
        <w:rPr>
          <w:rStyle w:val="FootnoteReference"/>
        </w:rPr>
        <w:footnoteReference w:id="4"/>
      </w:r>
      <w:r w:rsidR="00FA2CA3">
        <w:t xml:space="preserve">  For subsequent years of a rate plan, he proposes a similar approach for Year 2 and </w:t>
      </w:r>
      <w:r w:rsidR="009221E1">
        <w:lastRenderedPageBreak/>
        <w:t xml:space="preserve">Year </w:t>
      </w:r>
      <w:r w:rsidR="00FA2CA3">
        <w:t xml:space="preserve">3 increases, allocating </w:t>
      </w:r>
      <w:r w:rsidR="009221E1">
        <w:t>a larger share of the rate increase</w:t>
      </w:r>
      <w:r w:rsidR="00FA2CA3">
        <w:t>s to the residential class.</w:t>
      </w:r>
      <w:r w:rsidR="00FA2CA3">
        <w:rPr>
          <w:rStyle w:val="FootnoteReference"/>
        </w:rPr>
        <w:footnoteReference w:id="5"/>
      </w:r>
      <w:r w:rsidR="00FA2CA3">
        <w:t xml:space="preserve"> </w:t>
      </w:r>
    </w:p>
    <w:p w14:paraId="3256EDBD" w14:textId="77777777" w:rsidR="00074BFB" w:rsidRDefault="00074BFB" w:rsidP="009C158B">
      <w:pPr>
        <w:spacing w:line="480" w:lineRule="auto"/>
        <w:ind w:left="720" w:hanging="720"/>
        <w:rPr>
          <w:b/>
        </w:rPr>
      </w:pPr>
      <w:r>
        <w:t>Q:</w:t>
      </w:r>
      <w:r>
        <w:rPr>
          <w:b/>
          <w:i/>
        </w:rPr>
        <w:tab/>
      </w:r>
      <w:r>
        <w:rPr>
          <w:b/>
        </w:rPr>
        <w:t>What is your concern with these recommendations?</w:t>
      </w:r>
    </w:p>
    <w:p w14:paraId="3256EDBE" w14:textId="77777777" w:rsidR="00BB6044" w:rsidRDefault="00074BFB" w:rsidP="00C7249E">
      <w:pPr>
        <w:spacing w:line="480" w:lineRule="auto"/>
        <w:ind w:left="720" w:hanging="720"/>
      </w:pPr>
      <w:r>
        <w:t>A:</w:t>
      </w:r>
      <w:r>
        <w:tab/>
      </w:r>
      <w:r w:rsidR="0030409A">
        <w:t xml:space="preserve">The Energy Project has two major concerns.   First, </w:t>
      </w:r>
      <w:r w:rsidR="006C122B">
        <w:t>Mr. Stephens does not adequately explain in his testimony why the Commission should</w:t>
      </w:r>
      <w:r w:rsidR="002E3CBE">
        <w:t xml:space="preserve"> accept ICNU’s invitation to </w:t>
      </w:r>
      <w:r w:rsidR="004A41F5">
        <w:t xml:space="preserve">open </w:t>
      </w:r>
      <w:r w:rsidR="002E3CBE">
        <w:t xml:space="preserve">cost-of-service </w:t>
      </w:r>
      <w:r w:rsidR="006C122B">
        <w:t>issues</w:t>
      </w:r>
      <w:r w:rsidR="004A41F5">
        <w:t xml:space="preserve"> to litigation in this docket</w:t>
      </w:r>
      <w:r w:rsidR="002E3CBE">
        <w:t xml:space="preserve">.  As Mr. Stephens acknowledges, Avista’s </w:t>
      </w:r>
      <w:r w:rsidR="00F11534">
        <w:t>cost-of-service study in this case is “</w:t>
      </w:r>
      <w:r w:rsidR="00BC33D3">
        <w:t xml:space="preserve">in many respects, </w:t>
      </w:r>
      <w:r w:rsidR="00F11534">
        <w:t>consistent</w:t>
      </w:r>
      <w:r w:rsidR="00BC33D3">
        <w:t xml:space="preserve"> with </w:t>
      </w:r>
      <w:r w:rsidR="00F11534">
        <w:t>studies filed by Avista in the past and is reasonable in certain ways</w:t>
      </w:r>
      <w:r w:rsidR="00BC33D3">
        <w:t>[.]</w:t>
      </w:r>
      <w:r w:rsidR="00F11534">
        <w:t>”</w:t>
      </w:r>
      <w:r w:rsidR="00F11534">
        <w:rPr>
          <w:rStyle w:val="FootnoteReference"/>
        </w:rPr>
        <w:footnoteReference w:id="6"/>
      </w:r>
      <w:r w:rsidR="002E3CBE">
        <w:t xml:space="preserve"> </w:t>
      </w:r>
      <w:r w:rsidR="00BC33D3">
        <w:t xml:space="preserve"> Avista’s </w:t>
      </w:r>
      <w:r w:rsidR="002E3CBE">
        <w:t xml:space="preserve">cost-of-service approach </w:t>
      </w:r>
      <w:r w:rsidR="00BC33D3">
        <w:t>uses methodologies approved by the Commission in previous dockets.</w:t>
      </w:r>
      <w:r w:rsidR="002E3CBE">
        <w:rPr>
          <w:rStyle w:val="FootnoteReference"/>
        </w:rPr>
        <w:footnoteReference w:id="7"/>
      </w:r>
      <w:r w:rsidR="002E3CBE">
        <w:t xml:space="preserve">  The </w:t>
      </w:r>
      <w:r w:rsidR="007F5ED6">
        <w:t xml:space="preserve">parties to the </w:t>
      </w:r>
      <w:r w:rsidR="004A41F5">
        <w:t>M</w:t>
      </w:r>
      <w:r w:rsidR="002E3CBE">
        <w:t xml:space="preserve">ultiparty </w:t>
      </w:r>
      <w:r w:rsidR="004A41F5">
        <w:t>S</w:t>
      </w:r>
      <w:r w:rsidR="002E3CBE">
        <w:t>ettlement agree</w:t>
      </w:r>
      <w:r w:rsidR="007F5ED6">
        <w:t xml:space="preserve">d </w:t>
      </w:r>
      <w:r w:rsidR="002E3CBE">
        <w:t>not to challenge that approach in this docket, in recognition of the fact that a “generic case” has been established by the Commission to review the complex and contentious issues raised by cost of service</w:t>
      </w:r>
      <w:r w:rsidR="007F5ED6">
        <w:t xml:space="preserve"> analysis</w:t>
      </w:r>
      <w:r w:rsidR="002E3CBE">
        <w:t>.   N</w:t>
      </w:r>
      <w:r w:rsidR="00444F69">
        <w:t xml:space="preserve">o useful purpose would be served by </w:t>
      </w:r>
      <w:r w:rsidR="005D0A54">
        <w:t>open</w:t>
      </w:r>
      <w:r w:rsidR="00444F69">
        <w:t>ing</w:t>
      </w:r>
      <w:r w:rsidR="005D0A54">
        <w:t xml:space="preserve"> up the breadth of electric cost-of-service methodolog</w:t>
      </w:r>
      <w:r w:rsidR="00444F69">
        <w:t xml:space="preserve">y issues </w:t>
      </w:r>
      <w:r w:rsidR="005D0A54">
        <w:t>for litigation in this docket</w:t>
      </w:r>
      <w:r w:rsidR="008D2E1B">
        <w:t xml:space="preserve"> </w:t>
      </w:r>
      <w:r w:rsidR="007F5ED6">
        <w:t>simply</w:t>
      </w:r>
      <w:r w:rsidR="00BB1311">
        <w:t xml:space="preserve"> because one party wishes to urge </w:t>
      </w:r>
      <w:r w:rsidR="007F5ED6">
        <w:t>an alternative to Avista’s existing</w:t>
      </w:r>
      <w:r w:rsidR="00BB1311">
        <w:t xml:space="preserve"> approach</w:t>
      </w:r>
      <w:r w:rsidR="005D0A54">
        <w:t xml:space="preserve">.  </w:t>
      </w:r>
    </w:p>
    <w:p w14:paraId="3256EDBF" w14:textId="77777777" w:rsidR="006C122B" w:rsidRDefault="00444F69" w:rsidP="00ED0E92">
      <w:pPr>
        <w:spacing w:line="480" w:lineRule="auto"/>
        <w:ind w:left="720" w:firstLine="720"/>
      </w:pPr>
      <w:r>
        <w:t>Mr. Stephens</w:t>
      </w:r>
      <w:r w:rsidR="007F5ED6">
        <w:t>’</w:t>
      </w:r>
      <w:r w:rsidR="00BC33D3">
        <w:t xml:space="preserve"> </w:t>
      </w:r>
      <w:r>
        <w:t xml:space="preserve">own testimony reflects the complexity of cost-of-service issues and the multiple approaches that can be </w:t>
      </w:r>
      <w:r w:rsidR="00BB6044">
        <w:t>proposed</w:t>
      </w:r>
      <w:r w:rsidR="002E3CBE">
        <w:t>.</w:t>
      </w:r>
      <w:r>
        <w:t xml:space="preserve"> </w:t>
      </w:r>
      <w:r w:rsidR="002E3CBE">
        <w:t xml:space="preserve"> </w:t>
      </w:r>
      <w:r>
        <w:t>There are many differences of opinion and varying interests among stakeholders on these issues</w:t>
      </w:r>
      <w:r w:rsidR="007F29AA">
        <w:t xml:space="preserve"> and ICNU’s proposals would undoubtedly be contested</w:t>
      </w:r>
      <w:r>
        <w:t xml:space="preserve">.   </w:t>
      </w:r>
      <w:r w:rsidR="007F29AA">
        <w:t xml:space="preserve">The </w:t>
      </w:r>
      <w:r w:rsidR="005D0A54">
        <w:t xml:space="preserve">“generic docket” </w:t>
      </w:r>
      <w:r w:rsidR="007F29AA">
        <w:t xml:space="preserve">can </w:t>
      </w:r>
      <w:r w:rsidR="005D0A54">
        <w:t xml:space="preserve">examine these same issues in a collaborative fashion </w:t>
      </w:r>
      <w:r w:rsidR="00BB6044">
        <w:t xml:space="preserve">in a suitable forum </w:t>
      </w:r>
      <w:r w:rsidR="005D0A54">
        <w:t xml:space="preserve">with </w:t>
      </w:r>
      <w:r w:rsidR="005D0A54">
        <w:lastRenderedPageBreak/>
        <w:t>participation from all regulated companies and other interested stakeholders</w:t>
      </w:r>
      <w:r w:rsidR="00BB6044">
        <w:t>, as</w:t>
      </w:r>
      <w:r w:rsidR="005D0A54">
        <w:t xml:space="preserve"> the </w:t>
      </w:r>
      <w:r w:rsidR="00BB6044">
        <w:t xml:space="preserve">settling </w:t>
      </w:r>
      <w:r w:rsidR="005D0A54">
        <w:t>parties stated in their Joint Memorandum.</w:t>
      </w:r>
      <w:r w:rsidR="00BB6044">
        <w:rPr>
          <w:rStyle w:val="FootnoteReference"/>
        </w:rPr>
        <w:footnoteReference w:id="8"/>
      </w:r>
      <w:r w:rsidR="005D0A54">
        <w:t xml:space="preserve"> </w:t>
      </w:r>
      <w:r w:rsidR="00BB6044">
        <w:t xml:space="preserve"> </w:t>
      </w:r>
      <w:r w:rsidR="005D0A54">
        <w:t>For this reason, The Energy Projec</w:t>
      </w:r>
      <w:r w:rsidR="00BC3194">
        <w:t xml:space="preserve">t supported the </w:t>
      </w:r>
      <w:r w:rsidR="00BB6044">
        <w:t>provisions of the Multiparty S</w:t>
      </w:r>
      <w:r w:rsidR="00BC3194">
        <w:t>ettlement</w:t>
      </w:r>
      <w:r w:rsidR="006C122B">
        <w:t xml:space="preserve"> deferring cost-of-service debates to the generic case</w:t>
      </w:r>
      <w:r w:rsidR="00BC3194">
        <w:t xml:space="preserve">. </w:t>
      </w:r>
    </w:p>
    <w:p w14:paraId="3256EDC0" w14:textId="77777777" w:rsidR="00BC3194" w:rsidRDefault="00BC3194" w:rsidP="00C7249E">
      <w:pPr>
        <w:spacing w:line="480" w:lineRule="auto"/>
        <w:ind w:firstLine="720"/>
        <w:rPr>
          <w:b/>
        </w:rPr>
      </w:pPr>
      <w:r w:rsidRPr="00BC3194">
        <w:rPr>
          <w:b/>
        </w:rPr>
        <w:t xml:space="preserve">Q:  </w:t>
      </w:r>
      <w:r w:rsidR="00BB1311">
        <w:rPr>
          <w:b/>
        </w:rPr>
        <w:t>What is your second</w:t>
      </w:r>
      <w:r w:rsidRPr="00BC3194">
        <w:rPr>
          <w:b/>
        </w:rPr>
        <w:t xml:space="preserve"> concern?</w:t>
      </w:r>
    </w:p>
    <w:p w14:paraId="3256EDC1" w14:textId="77777777" w:rsidR="00BB1311" w:rsidRPr="00BB1311" w:rsidRDefault="00BC3194" w:rsidP="00C7249E">
      <w:pPr>
        <w:spacing w:line="480" w:lineRule="auto"/>
        <w:ind w:firstLine="720"/>
      </w:pPr>
      <w:r w:rsidRPr="00BC3194">
        <w:t>A:</w:t>
      </w:r>
      <w:r>
        <w:t xml:space="preserve">  </w:t>
      </w:r>
      <w:r w:rsidR="00BB1311">
        <w:t>I do not believe Mr. Stephens</w:t>
      </w:r>
      <w:r w:rsidR="00EC1F13">
        <w:t>’</w:t>
      </w:r>
      <w:r w:rsidR="00BB1311">
        <w:t xml:space="preserve"> recommended approach is consistent </w:t>
      </w:r>
    </w:p>
    <w:p w14:paraId="3256EDC2" w14:textId="77777777" w:rsidR="00002F65" w:rsidRPr="00BB1311" w:rsidRDefault="00002F65" w:rsidP="00C7249E">
      <w:pPr>
        <w:spacing w:line="480" w:lineRule="auto"/>
        <w:ind w:firstLine="720"/>
      </w:pPr>
      <w:r w:rsidRPr="00BB1311">
        <w:t xml:space="preserve"> with the Commission’s principles for implementing changes to rate spread</w:t>
      </w:r>
      <w:r w:rsidR="005D46ED">
        <w:t>.</w:t>
      </w:r>
    </w:p>
    <w:p w14:paraId="3256EDC3" w14:textId="77777777" w:rsidR="00E24097" w:rsidRDefault="00002F65" w:rsidP="00A53F79">
      <w:pPr>
        <w:spacing w:line="480" w:lineRule="auto"/>
        <w:ind w:left="720"/>
      </w:pPr>
      <w:r>
        <w:t xml:space="preserve">The Commission has </w:t>
      </w:r>
      <w:r w:rsidR="00BB1311">
        <w:t xml:space="preserve">been clear </w:t>
      </w:r>
      <w:r w:rsidR="00EC1F13">
        <w:t xml:space="preserve">and consistent </w:t>
      </w:r>
      <w:r w:rsidR="00BB1311">
        <w:t xml:space="preserve">in prior decisions over </w:t>
      </w:r>
      <w:r w:rsidR="00EC1F13">
        <w:t xml:space="preserve">many </w:t>
      </w:r>
      <w:r w:rsidR="00BB1311">
        <w:t xml:space="preserve">years that </w:t>
      </w:r>
      <w:r w:rsidR="00EC1F13">
        <w:t xml:space="preserve">the </w:t>
      </w:r>
      <w:r w:rsidR="00BB1311">
        <w:t xml:space="preserve">results of cost-of-service studies are not to be automatically and uncritically adopted in setting rates.  </w:t>
      </w:r>
      <w:r w:rsidR="005D46ED">
        <w:t xml:space="preserve">This is in part a recognition of the fact that cost-of-service studies themselves </w:t>
      </w:r>
      <w:r w:rsidR="00EC1F13">
        <w:t xml:space="preserve">involve </w:t>
      </w:r>
      <w:r w:rsidR="005D46ED">
        <w:t xml:space="preserve">substantial elements of judgment.  In addition, in determining what is a fair, just, and reasonable rate, the Commission has placed significant weight on factors such as perceptions of fairness, rate stability over time, gradualism, and avoidance of rate shock.   </w:t>
      </w:r>
    </w:p>
    <w:p w14:paraId="3256EDC4" w14:textId="77777777" w:rsidR="005D46ED" w:rsidRDefault="00A601A2" w:rsidP="00ED0E92">
      <w:pPr>
        <w:spacing w:line="480" w:lineRule="auto"/>
        <w:ind w:left="720" w:firstLine="720"/>
      </w:pPr>
      <w:r>
        <w:t>These</w:t>
      </w:r>
      <w:r w:rsidR="001F602D">
        <w:t xml:space="preserve"> factors </w:t>
      </w:r>
      <w:r>
        <w:t xml:space="preserve">are particularly important from the perspective of Avista’s low-income customer population.   As I </w:t>
      </w:r>
      <w:r w:rsidR="008D2E1B">
        <w:t>stated</w:t>
      </w:r>
      <w:r>
        <w:t xml:space="preserve"> in my opening testimony, substantial numbers of Avista customers face challenging economic conditions</w:t>
      </w:r>
      <w:r w:rsidR="00936738">
        <w:t xml:space="preserve">, with more than 85,000, </w:t>
      </w:r>
      <w:r w:rsidR="003A262A">
        <w:t>nearly 40 percent of the residential class</w:t>
      </w:r>
      <w:r w:rsidR="00936738">
        <w:t>, having incomes under 200 percent of the Federal Poverty Level</w:t>
      </w:r>
      <w:r>
        <w:t>.</w:t>
      </w:r>
      <w:r w:rsidR="00936738">
        <w:rPr>
          <w:rStyle w:val="FootnoteReference"/>
        </w:rPr>
        <w:footnoteReference w:id="9"/>
      </w:r>
      <w:r>
        <w:t xml:space="preserve">   Mr. Stephens recommenda</w:t>
      </w:r>
      <w:r w:rsidR="00B71EFA">
        <w:t xml:space="preserve">tion suggests that </w:t>
      </w:r>
      <w:r>
        <w:t>these customers, along with all other residential customers, should bear the brunt of any approved rate increase</w:t>
      </w:r>
      <w:r w:rsidR="00AF60FB">
        <w:t xml:space="preserve">, while non-residential classes see </w:t>
      </w:r>
      <w:r w:rsidR="00AF60FB">
        <w:lastRenderedPageBreak/>
        <w:t>virtually no increase</w:t>
      </w:r>
      <w:r w:rsidR="00B71EFA">
        <w:t xml:space="preserve">.  </w:t>
      </w:r>
      <w:r w:rsidR="003A262A">
        <w:t xml:space="preserve">This is hardly consistent with ordinary perceptions of fairness.   Even if one agreed with Mr. Stephens’ cost-of-service methodology, the </w:t>
      </w:r>
      <w:r w:rsidR="007F61AA">
        <w:t>double-digit percent</w:t>
      </w:r>
      <w:r w:rsidR="003A262A">
        <w:t xml:space="preserve">age </w:t>
      </w:r>
      <w:r w:rsidR="007F61AA">
        <w:t>increase in rates</w:t>
      </w:r>
      <w:r w:rsidR="00B71EFA">
        <w:t xml:space="preserve"> </w:t>
      </w:r>
      <w:r w:rsidR="003A262A">
        <w:t xml:space="preserve">in his illustrative example </w:t>
      </w:r>
      <w:r w:rsidR="00B5260E">
        <w:t xml:space="preserve">certainly qualifies as “rate shock” and </w:t>
      </w:r>
      <w:r w:rsidR="003A262A">
        <w:t xml:space="preserve">does not comport with </w:t>
      </w:r>
      <w:r w:rsidR="00B71EFA">
        <w:t>the principle of gradualism</w:t>
      </w:r>
      <w:r w:rsidR="00B80A77">
        <w:t xml:space="preserve">. </w:t>
      </w:r>
      <w:r w:rsidR="00B71EFA">
        <w:t xml:space="preserve"> </w:t>
      </w:r>
      <w:r w:rsidR="001F602D">
        <w:t>Mr. Stephens recommendation seems</w:t>
      </w:r>
      <w:r w:rsidR="00B71EFA">
        <w:t xml:space="preserve"> to</w:t>
      </w:r>
      <w:r w:rsidR="0022161C">
        <w:t xml:space="preserve"> have </w:t>
      </w:r>
      <w:r w:rsidR="007255AC">
        <w:t>limited</w:t>
      </w:r>
      <w:r w:rsidR="00B71EFA">
        <w:t xml:space="preserve"> regard </w:t>
      </w:r>
      <w:r w:rsidR="0022161C">
        <w:t xml:space="preserve">for </w:t>
      </w:r>
      <w:r w:rsidR="00B71EFA">
        <w:t>these principles and</w:t>
      </w:r>
      <w:r w:rsidR="003A262A">
        <w:t xml:space="preserve"> to</w:t>
      </w:r>
      <w:r w:rsidR="00B71EFA">
        <w:t xml:space="preserve"> lean unduly toward a </w:t>
      </w:r>
      <w:r w:rsidR="00D81C3F">
        <w:t xml:space="preserve">mechanical </w:t>
      </w:r>
      <w:r w:rsidR="00B71EFA">
        <w:t xml:space="preserve">application of </w:t>
      </w:r>
      <w:r w:rsidR="00D81C3F">
        <w:t xml:space="preserve">his own </w:t>
      </w:r>
      <w:r w:rsidR="003A262A">
        <w:t>cost-of-service</w:t>
      </w:r>
      <w:r w:rsidR="00D81C3F">
        <w:t xml:space="preserve"> methodology.</w:t>
      </w:r>
      <w:r w:rsidR="00D81C3F">
        <w:rPr>
          <w:rStyle w:val="FootnoteReference"/>
        </w:rPr>
        <w:footnoteReference w:id="10"/>
      </w:r>
    </w:p>
    <w:p w14:paraId="3256EDC5" w14:textId="77777777" w:rsidR="005D46ED" w:rsidRPr="005D46ED" w:rsidRDefault="00D81C3F" w:rsidP="00ED0E92">
      <w:pPr>
        <w:spacing w:line="480" w:lineRule="auto"/>
        <w:ind w:left="720" w:firstLine="720"/>
      </w:pPr>
      <w:r>
        <w:t>By contrast, t</w:t>
      </w:r>
      <w:r w:rsidR="005D46ED">
        <w:t xml:space="preserve">he </w:t>
      </w:r>
      <w:r w:rsidR="007F29AA">
        <w:t>M</w:t>
      </w:r>
      <w:r w:rsidR="005D46ED">
        <w:t xml:space="preserve">ultiparty </w:t>
      </w:r>
      <w:r w:rsidR="007F29AA">
        <w:t>S</w:t>
      </w:r>
      <w:r w:rsidR="005D46ED">
        <w:t xml:space="preserve">ettlement </w:t>
      </w:r>
      <w:r>
        <w:t xml:space="preserve">on rate spread </w:t>
      </w:r>
      <w:r w:rsidR="005D46ED">
        <w:t>in this cas</w:t>
      </w:r>
      <w:r w:rsidR="00A601A2">
        <w:t xml:space="preserve">e is acceptable to The Energy Project because it </w:t>
      </w:r>
      <w:r>
        <w:t xml:space="preserve">is </w:t>
      </w:r>
      <w:r w:rsidR="00A601A2">
        <w:t xml:space="preserve">consistent with </w:t>
      </w:r>
      <w:r>
        <w:t xml:space="preserve">the Commission’s </w:t>
      </w:r>
      <w:r w:rsidR="00A601A2">
        <w:t xml:space="preserve">principles.   The </w:t>
      </w:r>
      <w:r w:rsidR="005B7C9F">
        <w:t>Multiparty Settlement</w:t>
      </w:r>
      <w:r w:rsidR="00A601A2">
        <w:t xml:space="preserve"> addresse</w:t>
      </w:r>
      <w:r w:rsidR="00612373">
        <w:t>s th</w:t>
      </w:r>
      <w:r w:rsidR="00A601A2">
        <w:t>e interest in moving residential rates closer to parity, but it does so in a reasonable, gradual and deliberate manner while protect</w:t>
      </w:r>
      <w:r>
        <w:t>ing</w:t>
      </w:r>
      <w:r w:rsidR="00A601A2">
        <w:t xml:space="preserve"> customers, including low-income customers, from</w:t>
      </w:r>
      <w:r>
        <w:t xml:space="preserve"> excessive rate impacts.</w:t>
      </w:r>
      <w:r w:rsidR="007F61AA">
        <w:rPr>
          <w:rStyle w:val="FootnoteReference"/>
        </w:rPr>
        <w:footnoteReference w:id="11"/>
      </w:r>
    </w:p>
    <w:p w14:paraId="3256EDC6" w14:textId="77777777" w:rsidR="00840ECE" w:rsidRDefault="00840ECE" w:rsidP="00A53F79">
      <w:pPr>
        <w:spacing w:line="480" w:lineRule="auto"/>
        <w:ind w:left="720" w:hanging="720"/>
        <w:rPr>
          <w:b/>
        </w:rPr>
      </w:pPr>
      <w:bookmarkStart w:id="1" w:name="_Hlk499712562"/>
      <w:r>
        <w:rPr>
          <w:b/>
        </w:rPr>
        <w:t xml:space="preserve">Q:   </w:t>
      </w:r>
      <w:r>
        <w:rPr>
          <w:b/>
        </w:rPr>
        <w:tab/>
        <w:t>Do</w:t>
      </w:r>
      <w:r w:rsidR="00331748">
        <w:rPr>
          <w:b/>
        </w:rPr>
        <w:t xml:space="preserve">es </w:t>
      </w:r>
      <w:r>
        <w:rPr>
          <w:b/>
        </w:rPr>
        <w:t>Mr. Stephens</w:t>
      </w:r>
      <w:r w:rsidR="00331748">
        <w:rPr>
          <w:b/>
        </w:rPr>
        <w:t xml:space="preserve"> make any</w:t>
      </w:r>
      <w:r>
        <w:rPr>
          <w:b/>
        </w:rPr>
        <w:t xml:space="preserve"> recommendation regarding the</w:t>
      </w:r>
      <w:r w:rsidR="00331748">
        <w:rPr>
          <w:b/>
        </w:rPr>
        <w:t xml:space="preserve"> Avista </w:t>
      </w:r>
      <w:r>
        <w:rPr>
          <w:b/>
        </w:rPr>
        <w:t>Demand Side Management program?</w:t>
      </w:r>
    </w:p>
    <w:p w14:paraId="3256EDC7" w14:textId="77777777" w:rsidR="00840ECE" w:rsidRPr="00FC0B87" w:rsidRDefault="00840ECE" w:rsidP="00A53F79">
      <w:pPr>
        <w:spacing w:line="480" w:lineRule="auto"/>
        <w:ind w:left="720" w:hanging="720"/>
      </w:pPr>
      <w:r>
        <w:t>A:</w:t>
      </w:r>
      <w:r>
        <w:tab/>
        <w:t xml:space="preserve">Yes.   Mr. Stephens </w:t>
      </w:r>
      <w:r w:rsidR="00B569F9">
        <w:t>argues that there is a disparity between classes in the relationship of benefits to costs associated with Schedule 91 Demand Side Management. (DSM) Rate Adjustment collections.</w:t>
      </w:r>
      <w:r w:rsidR="00B569F9">
        <w:rPr>
          <w:rStyle w:val="FootnoteReference"/>
        </w:rPr>
        <w:footnoteReference w:id="12"/>
      </w:r>
      <w:r w:rsidR="00B569F9">
        <w:t xml:space="preserve">  To </w:t>
      </w:r>
      <w:r w:rsidR="00FC0B87">
        <w:t xml:space="preserve">address this </w:t>
      </w:r>
      <w:r w:rsidR="00331748">
        <w:t xml:space="preserve">asserted </w:t>
      </w:r>
      <w:r w:rsidR="00FC0B87">
        <w:t xml:space="preserve">disparity, Mr. Stephens recommends that </w:t>
      </w:r>
      <w:r w:rsidR="00B569F9">
        <w:t xml:space="preserve">“the preferred alternative is to </w:t>
      </w:r>
      <w:r w:rsidR="00B569F9">
        <w:lastRenderedPageBreak/>
        <w:t xml:space="preserve">implement </w:t>
      </w:r>
      <w:r w:rsidR="00FC0B87">
        <w:t>an opt-out process for Schedule 25 customers, or at least the ICNU member most egregiously affected.”</w:t>
      </w:r>
      <w:r w:rsidR="00FC0B87">
        <w:rPr>
          <w:rStyle w:val="FootnoteReference"/>
        </w:rPr>
        <w:footnoteReference w:id="13"/>
      </w:r>
    </w:p>
    <w:p w14:paraId="3256EDC8" w14:textId="77777777" w:rsidR="00331748" w:rsidRDefault="00331748" w:rsidP="00A53F79">
      <w:pPr>
        <w:spacing w:line="480" w:lineRule="auto"/>
        <w:ind w:left="720" w:hanging="720"/>
        <w:rPr>
          <w:b/>
        </w:rPr>
      </w:pPr>
      <w:r>
        <w:rPr>
          <w:b/>
        </w:rPr>
        <w:t>Q:</w:t>
      </w:r>
      <w:r>
        <w:rPr>
          <w:b/>
        </w:rPr>
        <w:tab/>
        <w:t>Do you have a response to this proposal?</w:t>
      </w:r>
    </w:p>
    <w:p w14:paraId="3256EDC9" w14:textId="77777777" w:rsidR="00331748" w:rsidRDefault="00331748" w:rsidP="00A53F79">
      <w:pPr>
        <w:spacing w:line="480" w:lineRule="auto"/>
        <w:ind w:left="720" w:hanging="720"/>
      </w:pPr>
      <w:r>
        <w:t>A:</w:t>
      </w:r>
      <w:r>
        <w:tab/>
        <w:t xml:space="preserve">Yes.  </w:t>
      </w:r>
      <w:r w:rsidR="004B60B2">
        <w:t xml:space="preserve">The Energy Project does not support this recommendation.     </w:t>
      </w:r>
      <w:r>
        <w:t xml:space="preserve">As an initial matter, it is worth noting that Mr. Stephens’ premise </w:t>
      </w:r>
      <w:r w:rsidR="00B81585">
        <w:t xml:space="preserve">– </w:t>
      </w:r>
      <w:r w:rsidR="00A01343">
        <w:t xml:space="preserve">that there is </w:t>
      </w:r>
      <w:r w:rsidR="00B81585">
        <w:t xml:space="preserve">an inequitable disparity between contributions and benefits for Schedule 25 customers -- </w:t>
      </w:r>
      <w:r>
        <w:t xml:space="preserve">is </w:t>
      </w:r>
      <w:r w:rsidR="00B81585">
        <w:t>debatable.  In response to a similar proposal by ICNU in Avista’s last general rate case, Commission Staff challenged this premise and presented an analysis showing that “[</w:t>
      </w:r>
      <w:r w:rsidR="00B40CC3">
        <w:t>t</w:t>
      </w:r>
      <w:r w:rsidR="00B81585">
        <w:t>]he benefits of this [</w:t>
      </w:r>
      <w:r w:rsidR="00A01343">
        <w:t xml:space="preserve">Avista </w:t>
      </w:r>
      <w:r w:rsidR="00B81585">
        <w:t>DSM] program clearly exceed the costs being recovered from Schedule 25 customers.”</w:t>
      </w:r>
      <w:r w:rsidR="00B81585">
        <w:rPr>
          <w:rStyle w:val="FootnoteReference"/>
        </w:rPr>
        <w:footnoteReference w:id="14"/>
      </w:r>
      <w:r w:rsidR="008A2F2E">
        <w:t xml:space="preserve"> This </w:t>
      </w:r>
      <w:r w:rsidR="009B7A49">
        <w:t>calls into question the underlying j</w:t>
      </w:r>
      <w:r w:rsidR="008A2F2E">
        <w:t xml:space="preserve">ustification </w:t>
      </w:r>
      <w:r w:rsidR="009B7A49">
        <w:t xml:space="preserve">for </w:t>
      </w:r>
      <w:r w:rsidR="008A2F2E">
        <w:t>the changes proposed by Mr. Stephens.</w:t>
      </w:r>
    </w:p>
    <w:p w14:paraId="3256EDCA" w14:textId="77777777" w:rsidR="00862CF6" w:rsidRDefault="008A2F2E" w:rsidP="00A53F79">
      <w:pPr>
        <w:spacing w:line="480" w:lineRule="auto"/>
        <w:ind w:left="720" w:hanging="720"/>
      </w:pPr>
      <w:r>
        <w:tab/>
      </w:r>
      <w:r w:rsidR="00ED0E92">
        <w:tab/>
      </w:r>
      <w:r>
        <w:t xml:space="preserve">In addition, adoption of an “opt-out” option for some of Avista’s customers is poor public policy.  As Mr. Stephens points out,  </w:t>
      </w:r>
      <w:r w:rsidR="00094B4F">
        <w:t xml:space="preserve">Avista’s </w:t>
      </w:r>
      <w:r w:rsidR="00A01343">
        <w:t xml:space="preserve">Schedule 91 </w:t>
      </w:r>
      <w:r w:rsidR="00094B4F">
        <w:t xml:space="preserve">electric DSM </w:t>
      </w:r>
      <w:r w:rsidR="00A01343">
        <w:t>“</w:t>
      </w:r>
      <w:r w:rsidR="00094B4F">
        <w:t>tariff</w:t>
      </w:r>
      <w:r w:rsidR="00A01343">
        <w:t xml:space="preserve"> rider</w:t>
      </w:r>
      <w:r w:rsidR="00094B4F">
        <w:t>,</w:t>
      </w:r>
      <w:r w:rsidR="00A01343">
        <w:t>”</w:t>
      </w:r>
      <w:r w:rsidR="00094B4F">
        <w:t xml:space="preserve"> is applicable to all six major rate classes</w:t>
      </w:r>
      <w:r w:rsidR="009C5E8A">
        <w:t>, with different classes paying different rates per kWh</w:t>
      </w:r>
      <w:r w:rsidR="00094B4F">
        <w:t>.</w:t>
      </w:r>
      <w:r w:rsidR="009C5E8A">
        <w:rPr>
          <w:rStyle w:val="FootnoteReference"/>
        </w:rPr>
        <w:footnoteReference w:id="15"/>
      </w:r>
      <w:r w:rsidR="00094B4F">
        <w:t xml:space="preserve">  The tariff is designed</w:t>
      </w:r>
      <w:r w:rsidR="008720B5">
        <w:t xml:space="preserve"> </w:t>
      </w:r>
      <w:r w:rsidR="00862CF6">
        <w:t xml:space="preserve">as a non-bypassable systems benefit charge applicable to all retail sales and intended </w:t>
      </w:r>
      <w:r w:rsidR="00094B4F">
        <w:t xml:space="preserve">to recover from all customers </w:t>
      </w:r>
      <w:r w:rsidR="00151FFB">
        <w:t>“</w:t>
      </w:r>
      <w:r w:rsidR="00094B4F">
        <w:t xml:space="preserve">costs </w:t>
      </w:r>
      <w:r w:rsidR="00151FFB">
        <w:t xml:space="preserve">incurred by the Company associated with </w:t>
      </w:r>
      <w:r w:rsidR="00094B4F">
        <w:t xml:space="preserve">providing </w:t>
      </w:r>
      <w:r w:rsidR="00151FFB">
        <w:t>D</w:t>
      </w:r>
      <w:r w:rsidR="00094B4F">
        <w:t>emand</w:t>
      </w:r>
      <w:r w:rsidR="00151FFB">
        <w:t xml:space="preserve"> S</w:t>
      </w:r>
      <w:r w:rsidR="00094B4F">
        <w:t xml:space="preserve">ide </w:t>
      </w:r>
      <w:r w:rsidR="00151FFB">
        <w:t>M</w:t>
      </w:r>
      <w:r w:rsidR="00094B4F">
        <w:t>anagement services and programs to customers.</w:t>
      </w:r>
      <w:r w:rsidR="00151FFB">
        <w:t>”</w:t>
      </w:r>
      <w:r w:rsidR="009C5E8A">
        <w:rPr>
          <w:rStyle w:val="FootnoteReference"/>
        </w:rPr>
        <w:footnoteReference w:id="16"/>
      </w:r>
      <w:r w:rsidR="00094B4F">
        <w:t xml:space="preserve"> </w:t>
      </w:r>
      <w:r w:rsidR="009C5E8A">
        <w:t xml:space="preserve"> </w:t>
      </w:r>
      <w:r w:rsidR="006C2324">
        <w:t xml:space="preserve"> </w:t>
      </w:r>
      <w:r w:rsidR="003A6DA7">
        <w:t xml:space="preserve">Customers are not charged based on their individual use of Company DSM </w:t>
      </w:r>
      <w:r w:rsidR="003A6DA7">
        <w:lastRenderedPageBreak/>
        <w:t xml:space="preserve">programs.   For example, all </w:t>
      </w:r>
      <w:r w:rsidR="00862CF6">
        <w:t xml:space="preserve">residential customers, including </w:t>
      </w:r>
      <w:r w:rsidR="003A6DA7">
        <w:t>low-income customers</w:t>
      </w:r>
      <w:r w:rsidR="00862CF6">
        <w:t>,</w:t>
      </w:r>
      <w:r w:rsidR="003A6DA7">
        <w:t xml:space="preserve"> provide support for Avista DSM programs through the Schedule 91 residential rate, although not all directly participate in Avista’s energy efficiency programs.  </w:t>
      </w:r>
      <w:r w:rsidR="003A6DA7" w:rsidRPr="004B60B2">
        <w:t xml:space="preserve">  </w:t>
      </w:r>
    </w:p>
    <w:p w14:paraId="3256EDCB" w14:textId="77777777" w:rsidR="000141D1" w:rsidRDefault="003A6DA7" w:rsidP="00ED0E92">
      <w:pPr>
        <w:spacing w:line="480" w:lineRule="auto"/>
        <w:ind w:left="720" w:firstLine="720"/>
        <w:rPr>
          <w:b/>
        </w:rPr>
      </w:pPr>
      <w:r>
        <w:t>This is reasonable</w:t>
      </w:r>
      <w:r w:rsidR="009C5E8A">
        <w:t xml:space="preserve"> because DSM provides system-wide benefits</w:t>
      </w:r>
      <w:r w:rsidR="007F6DE3" w:rsidRPr="007F6DE3">
        <w:t xml:space="preserve"> </w:t>
      </w:r>
      <w:r w:rsidR="007F6DE3">
        <w:t>that help all customers</w:t>
      </w:r>
      <w:r w:rsidR="009C5E8A">
        <w:t>, including the avoidance of increased generation costs</w:t>
      </w:r>
      <w:r w:rsidR="00A53F79">
        <w:t xml:space="preserve">. </w:t>
      </w:r>
      <w:r w:rsidR="00840ECE" w:rsidRPr="004B60B2">
        <w:t xml:space="preserve"> </w:t>
      </w:r>
      <w:r w:rsidR="00631A52">
        <w:t xml:space="preserve">Recovering from all customers who benefit is </w:t>
      </w:r>
      <w:r w:rsidR="007F6DE3">
        <w:t>consistent with basic cost recovery principles</w:t>
      </w:r>
      <w:r w:rsidR="00840ECE" w:rsidRPr="004B60B2">
        <w:t xml:space="preserve">.   </w:t>
      </w:r>
      <w:r w:rsidR="00631A52">
        <w:t xml:space="preserve">By the same token, </w:t>
      </w:r>
      <w:r w:rsidR="00840ECE" w:rsidRPr="004B60B2">
        <w:t>allow</w:t>
      </w:r>
      <w:r w:rsidR="00631A52">
        <w:t xml:space="preserve">ing </w:t>
      </w:r>
      <w:r w:rsidR="00840ECE" w:rsidRPr="004B60B2">
        <w:t>individual customers or classes of customers to opt-out of supporting DSM</w:t>
      </w:r>
      <w:r w:rsidR="00631A52">
        <w:t xml:space="preserve"> would be inequitable, allowing </w:t>
      </w:r>
      <w:r w:rsidR="002F1BCE">
        <w:t xml:space="preserve">some </w:t>
      </w:r>
      <w:r w:rsidR="00631A52">
        <w:t>customers to avoid contributing while continuing to receive the system benefits of DSM</w:t>
      </w:r>
      <w:r w:rsidR="00840ECE" w:rsidRPr="004B60B2">
        <w:t xml:space="preserve">. </w:t>
      </w:r>
      <w:r w:rsidR="00625909">
        <w:t xml:space="preserve"> </w:t>
      </w:r>
      <w:r w:rsidR="009E1D4B">
        <w:t xml:space="preserve">  </w:t>
      </w:r>
      <w:r>
        <w:t xml:space="preserve"> </w:t>
      </w:r>
      <w:r w:rsidR="00840ECE" w:rsidRPr="004B60B2">
        <w:t>Ultimately</w:t>
      </w:r>
      <w:r w:rsidR="007F6DE3">
        <w:t xml:space="preserve">, </w:t>
      </w:r>
      <w:r>
        <w:t>allowing customers to opt-out of supporting</w:t>
      </w:r>
      <w:r w:rsidR="008A0E39">
        <w:t xml:space="preserve"> DSM </w:t>
      </w:r>
      <w:r w:rsidR="00840ECE" w:rsidRPr="004B60B2">
        <w:t xml:space="preserve">could </w:t>
      </w:r>
      <w:r w:rsidR="008A0E39">
        <w:t xml:space="preserve">reduce the support available for this important part of Avista’s </w:t>
      </w:r>
      <w:r w:rsidR="00840ECE" w:rsidRPr="004B60B2">
        <w:t>resource</w:t>
      </w:r>
      <w:r w:rsidR="008A0E39">
        <w:t xml:space="preserve"> portfolio, or shift DSM costs to other customer classes, or both.</w:t>
      </w:r>
      <w:bookmarkEnd w:id="1"/>
      <w:r w:rsidR="005E1B7B" w:rsidRPr="005E1B7B">
        <w:rPr>
          <w:rStyle w:val="FootnoteReference"/>
        </w:rPr>
        <w:t xml:space="preserve"> </w:t>
      </w:r>
      <w:r w:rsidR="005E1B7B">
        <w:rPr>
          <w:rStyle w:val="FootnoteReference"/>
        </w:rPr>
        <w:footnoteReference w:id="17"/>
      </w:r>
      <w:r w:rsidR="008A0E39">
        <w:t xml:space="preserve"> </w:t>
      </w:r>
    </w:p>
    <w:p w14:paraId="3256EDCC" w14:textId="77777777" w:rsidR="002F1BCE" w:rsidRDefault="00233D48" w:rsidP="00233D48">
      <w:pPr>
        <w:spacing w:line="480" w:lineRule="auto"/>
        <w:ind w:left="720" w:hanging="720"/>
        <w:jc w:val="center"/>
        <w:rPr>
          <w:b/>
        </w:rPr>
      </w:pPr>
      <w:r>
        <w:rPr>
          <w:b/>
        </w:rPr>
        <w:t xml:space="preserve">IV. </w:t>
      </w:r>
      <w:r w:rsidR="006568DF">
        <w:rPr>
          <w:b/>
        </w:rPr>
        <w:t>AVISTA</w:t>
      </w:r>
      <w:r w:rsidR="00841BF0">
        <w:rPr>
          <w:b/>
        </w:rPr>
        <w:t xml:space="preserve">’S </w:t>
      </w:r>
      <w:r>
        <w:rPr>
          <w:b/>
        </w:rPr>
        <w:t>FUEL CONVERSION</w:t>
      </w:r>
      <w:r w:rsidR="006568DF">
        <w:rPr>
          <w:b/>
        </w:rPr>
        <w:t xml:space="preserve"> PROGRAM</w:t>
      </w:r>
    </w:p>
    <w:p w14:paraId="3256EDCD" w14:textId="77777777" w:rsidR="002F1BCE" w:rsidRDefault="002F1BCE" w:rsidP="002F1BCE">
      <w:pPr>
        <w:spacing w:line="480" w:lineRule="auto"/>
        <w:ind w:left="720" w:hanging="720"/>
        <w:rPr>
          <w:b/>
        </w:rPr>
      </w:pPr>
      <w:r>
        <w:rPr>
          <w:b/>
        </w:rPr>
        <w:t>Q:</w:t>
      </w:r>
      <w:r>
        <w:rPr>
          <w:b/>
        </w:rPr>
        <w:tab/>
      </w:r>
      <w:r w:rsidR="006568DF">
        <w:rPr>
          <w:b/>
        </w:rPr>
        <w:t>Commission Staff witness Jennifer Snyder recommends that Avista discontinue funding its Fuel Conversion program through its electric conservation rider, Schedule 91.   Do you have any response?</w:t>
      </w:r>
    </w:p>
    <w:p w14:paraId="3256EDCE" w14:textId="77777777" w:rsidR="006568DF" w:rsidRDefault="006568DF" w:rsidP="002F1BCE">
      <w:pPr>
        <w:spacing w:line="480" w:lineRule="auto"/>
        <w:ind w:left="720" w:hanging="720"/>
      </w:pPr>
      <w:r>
        <w:t>A:</w:t>
      </w:r>
      <w:r>
        <w:tab/>
        <w:t xml:space="preserve">Yes.   The Energy Project recognizes that Staff and other stakeholders have concerns with the program and that Staff </w:t>
      </w:r>
      <w:r w:rsidR="00B36ABB">
        <w:t xml:space="preserve">testimony in this docket </w:t>
      </w:r>
      <w:r>
        <w:t xml:space="preserve">recommends </w:t>
      </w:r>
      <w:r w:rsidR="00021866">
        <w:lastRenderedPageBreak/>
        <w:t xml:space="preserve">that funding through Schedule 91 </w:t>
      </w:r>
      <w:r>
        <w:t>be discontinued.</w:t>
      </w:r>
      <w:r w:rsidR="00B36ABB">
        <w:rPr>
          <w:rStyle w:val="FootnoteReference"/>
        </w:rPr>
        <w:footnoteReference w:id="18"/>
      </w:r>
      <w:r>
        <w:t xml:space="preserve">    </w:t>
      </w:r>
      <w:r w:rsidR="00035254">
        <w:t xml:space="preserve">The issues </w:t>
      </w:r>
      <w:r w:rsidR="006E2AA8">
        <w:t>are</w:t>
      </w:r>
      <w:r w:rsidR="00035254">
        <w:t xml:space="preserve"> under discussion in the currently pending review</w:t>
      </w:r>
      <w:r w:rsidR="004E07E5">
        <w:t xml:space="preserve"> of</w:t>
      </w:r>
      <w:r w:rsidR="00035254">
        <w:t xml:space="preserve"> Avista’s 2018-2019 Biennial Conservation Plan, Docket UE-171091.  </w:t>
      </w:r>
      <w:r>
        <w:t xml:space="preserve">The Energy Project has not addressed the broader issues around the residential fuel conversion program, however, </w:t>
      </w:r>
      <w:r w:rsidR="00B36ABB">
        <w:t xml:space="preserve">I do have a response regarding fuel conversion incentives as part of low-income weatherization.  </w:t>
      </w:r>
    </w:p>
    <w:p w14:paraId="3256EDCF" w14:textId="77777777" w:rsidR="00B36ABB" w:rsidRDefault="00B36ABB" w:rsidP="002F1BCE">
      <w:pPr>
        <w:spacing w:line="480" w:lineRule="auto"/>
        <w:ind w:left="720" w:hanging="720"/>
        <w:rPr>
          <w:b/>
        </w:rPr>
      </w:pPr>
      <w:r>
        <w:rPr>
          <w:b/>
        </w:rPr>
        <w:t>Q:</w:t>
      </w:r>
      <w:r>
        <w:rPr>
          <w:b/>
        </w:rPr>
        <w:tab/>
        <w:t>Could you explain in more detail?</w:t>
      </w:r>
    </w:p>
    <w:p w14:paraId="3256EDD0" w14:textId="77777777" w:rsidR="00B36ABB" w:rsidRDefault="00B36ABB" w:rsidP="002F1BCE">
      <w:pPr>
        <w:spacing w:line="480" w:lineRule="auto"/>
        <w:ind w:left="720" w:hanging="720"/>
      </w:pPr>
      <w:r>
        <w:t>A:</w:t>
      </w:r>
      <w:r>
        <w:tab/>
      </w:r>
      <w:r w:rsidR="00A81AF6">
        <w:t>Avista’s low-income weatherization program is administered through six Community Action Partnership (CAP) agencies and one tribal organization.  Low-income fuel conversion measures are</w:t>
      </w:r>
      <w:r w:rsidR="005E1B7B">
        <w:t xml:space="preserve">, accordingly, </w:t>
      </w:r>
      <w:r w:rsidR="00A81AF6">
        <w:t xml:space="preserve">offered separately from the Avista’s general residential fuel conversion program.   In some cases, weatherization projects </w:t>
      </w:r>
      <w:r w:rsidR="00123F0D">
        <w:t xml:space="preserve">for </w:t>
      </w:r>
      <w:r w:rsidR="00A81AF6">
        <w:t>low-income homes include fuel conversion in the scope of work, often due to</w:t>
      </w:r>
      <w:r w:rsidR="005E1B7B">
        <w:t xml:space="preserve"> an</w:t>
      </w:r>
      <w:r w:rsidR="00A81AF6">
        <w:t xml:space="preserve"> assessment of </w:t>
      </w:r>
      <w:r w:rsidR="005E1B7B">
        <w:t>i</w:t>
      </w:r>
      <w:r w:rsidR="00A81AF6">
        <w:t>mproved affordability</w:t>
      </w:r>
      <w:r w:rsidR="005E1B7B">
        <w:t xml:space="preserve"> for the household</w:t>
      </w:r>
      <w:r w:rsidR="00A81AF6">
        <w:t xml:space="preserve">.   </w:t>
      </w:r>
      <w:r w:rsidR="009A2246">
        <w:t>Fuel conversion measures in the low-income weatherization program have been found to achieve higher than expected energy savings.</w:t>
      </w:r>
      <w:r w:rsidR="009A2246">
        <w:rPr>
          <w:rStyle w:val="FootnoteReference"/>
        </w:rPr>
        <w:footnoteReference w:id="19"/>
      </w:r>
      <w:r w:rsidR="009A2246">
        <w:t xml:space="preserve">   </w:t>
      </w:r>
      <w:r w:rsidR="00A81AF6">
        <w:t>Low-income fuel conversion is a modest component (12 percent) of the total low-income weatherization program, and less than one percent of the total Avista energy efficiency portfolio budget.</w:t>
      </w:r>
      <w:r w:rsidR="009A2246">
        <w:rPr>
          <w:rStyle w:val="FootnoteReference"/>
        </w:rPr>
        <w:footnoteReference w:id="20"/>
      </w:r>
      <w:r w:rsidR="00A81AF6">
        <w:t xml:space="preserve"> </w:t>
      </w:r>
      <w:r w:rsidR="009A2246">
        <w:t xml:space="preserve"> </w:t>
      </w:r>
    </w:p>
    <w:p w14:paraId="3256EDD1" w14:textId="77777777" w:rsidR="009A2246" w:rsidRDefault="009A2246" w:rsidP="002F1BCE">
      <w:pPr>
        <w:spacing w:line="480" w:lineRule="auto"/>
        <w:ind w:left="720" w:hanging="720"/>
        <w:rPr>
          <w:b/>
        </w:rPr>
      </w:pPr>
      <w:r>
        <w:rPr>
          <w:b/>
        </w:rPr>
        <w:t>Q:</w:t>
      </w:r>
      <w:r>
        <w:rPr>
          <w:b/>
        </w:rPr>
        <w:tab/>
        <w:t>What is your recommendation regarding low-income fuel conversion measures?</w:t>
      </w:r>
    </w:p>
    <w:p w14:paraId="3256EDD2" w14:textId="77777777" w:rsidR="009A2246" w:rsidRDefault="009A2246" w:rsidP="002F1BCE">
      <w:pPr>
        <w:spacing w:line="480" w:lineRule="auto"/>
        <w:ind w:left="720" w:hanging="720"/>
      </w:pPr>
      <w:r>
        <w:lastRenderedPageBreak/>
        <w:t>A;</w:t>
      </w:r>
      <w:r>
        <w:tab/>
        <w:t xml:space="preserve">I recommend that, in the event, the Commission considers discontinuation of </w:t>
      </w:r>
      <w:r w:rsidR="00021866">
        <w:t xml:space="preserve">Schedule 91 funding for </w:t>
      </w:r>
      <w:r>
        <w:t xml:space="preserve">Avista’s residential fuel conversion program, that fuel conversion measures be retained for the low-income weatherization program.  </w:t>
      </w:r>
      <w:r w:rsidR="00021866">
        <w:t xml:space="preserve">It may be appropriate to reflect this through tariff amendment, for example, to Schedule 90.  </w:t>
      </w:r>
      <w:r>
        <w:t xml:space="preserve">These measures represent another option for reducing the energy burden </w:t>
      </w:r>
      <w:r w:rsidR="006C1317">
        <w:t>of low-income households and are worth preserving.</w:t>
      </w:r>
      <w:r w:rsidR="00021866">
        <w:t xml:space="preserve">  </w:t>
      </w:r>
    </w:p>
    <w:p w14:paraId="3256EDD3" w14:textId="77777777" w:rsidR="006C1317" w:rsidRDefault="006C1317" w:rsidP="002F1BCE">
      <w:pPr>
        <w:spacing w:line="480" w:lineRule="auto"/>
        <w:ind w:left="720" w:hanging="720"/>
        <w:rPr>
          <w:b/>
        </w:rPr>
      </w:pPr>
      <w:r>
        <w:rPr>
          <w:b/>
        </w:rPr>
        <w:t>Q:</w:t>
      </w:r>
      <w:r>
        <w:rPr>
          <w:b/>
        </w:rPr>
        <w:tab/>
        <w:t>Does Commission Staff take a position on low-income fuel conversion?</w:t>
      </w:r>
    </w:p>
    <w:p w14:paraId="3256EDD4" w14:textId="77777777" w:rsidR="00CC32BA" w:rsidRDefault="006C1317" w:rsidP="00361947">
      <w:pPr>
        <w:spacing w:line="480" w:lineRule="auto"/>
        <w:ind w:left="720" w:hanging="720"/>
      </w:pPr>
      <w:r>
        <w:t>A:</w:t>
      </w:r>
      <w:r>
        <w:tab/>
      </w:r>
      <w:r w:rsidR="005B1FEE">
        <w:t xml:space="preserve">The Energy Project understands from conversations with Commission Staff that </w:t>
      </w:r>
      <w:bookmarkStart w:id="2" w:name="_Hlk499715972"/>
      <w:r w:rsidR="005B1FEE">
        <w:t xml:space="preserve">Staff supports retention of fuel conversion measures within the low-income weatherization program.  </w:t>
      </w:r>
      <w:bookmarkEnd w:id="2"/>
      <w:r w:rsidR="005B1FEE">
        <w:t xml:space="preserve"> Consistent with this understanding, </w:t>
      </w:r>
      <w:r>
        <w:t>while recommending overall discontinuation</w:t>
      </w:r>
      <w:r w:rsidR="00B907DC">
        <w:t xml:space="preserve"> of Schedule 91 funding</w:t>
      </w:r>
      <w:r>
        <w:t>, Ms. Snyder</w:t>
      </w:r>
      <w:r w:rsidR="005B1FEE">
        <w:t xml:space="preserve">’s testimony </w:t>
      </w:r>
      <w:r>
        <w:t>recognizes that CAP agencies provide low-income fuel conversion, and states that “Staff sees no reason not to allow these agencies to fund low-income fuel conversions in cases where it is in the best interest of the low-income customer.”</w:t>
      </w:r>
      <w:r>
        <w:rPr>
          <w:rStyle w:val="FootnoteReference"/>
        </w:rPr>
        <w:footnoteReference w:id="21"/>
      </w:r>
    </w:p>
    <w:p w14:paraId="3256EDD5" w14:textId="77777777" w:rsidR="00FE2D3D" w:rsidRPr="00FE2D3D" w:rsidRDefault="00014CCA" w:rsidP="000E1218">
      <w:pPr>
        <w:spacing w:line="480" w:lineRule="auto"/>
        <w:ind w:left="720" w:hanging="720"/>
        <w:jc w:val="center"/>
        <w:rPr>
          <w:i/>
        </w:rPr>
      </w:pPr>
      <w:r>
        <w:rPr>
          <w:b/>
        </w:rPr>
        <w:t>V. CONCLUSION</w:t>
      </w:r>
    </w:p>
    <w:p w14:paraId="3256EDD6" w14:textId="77777777" w:rsidR="00014CCA" w:rsidRDefault="00014CCA" w:rsidP="00A53F79">
      <w:pPr>
        <w:spacing w:line="480" w:lineRule="auto"/>
        <w:ind w:left="720" w:hanging="720"/>
        <w:rPr>
          <w:b/>
        </w:rPr>
      </w:pPr>
      <w:r>
        <w:rPr>
          <w:b/>
        </w:rPr>
        <w:t>Q.</w:t>
      </w:r>
      <w:r>
        <w:rPr>
          <w:b/>
        </w:rPr>
        <w:tab/>
        <w:t>Please summarize your recommendations.</w:t>
      </w:r>
    </w:p>
    <w:p w14:paraId="3256EDD7" w14:textId="77777777" w:rsidR="00014CCA" w:rsidRPr="002C01CC" w:rsidRDefault="00014CCA" w:rsidP="00A53F79">
      <w:pPr>
        <w:spacing w:line="480" w:lineRule="auto"/>
        <w:ind w:left="720" w:hanging="720"/>
        <w:rPr>
          <w:highlight w:val="yellow"/>
        </w:rPr>
      </w:pPr>
      <w:r>
        <w:t xml:space="preserve">A.   </w:t>
      </w:r>
      <w:r>
        <w:tab/>
      </w:r>
      <w:r w:rsidR="00361947">
        <w:t>The Energy Project respectfully recommends that the Commission not adopt the ICNU recommendation</w:t>
      </w:r>
      <w:r w:rsidR="00123F0D">
        <w:t>s</w:t>
      </w:r>
      <w:r w:rsidR="004346C4">
        <w:t xml:space="preserve"> regarding an alternative cost-of-service methodology with its associated</w:t>
      </w:r>
      <w:r w:rsidR="00E223B1">
        <w:t xml:space="preserve"> disproportionate </w:t>
      </w:r>
      <w:r w:rsidR="004346C4">
        <w:t>rate impacts</w:t>
      </w:r>
      <w:r w:rsidR="00C12D84">
        <w:t>.</w:t>
      </w:r>
      <w:r w:rsidR="004346C4">
        <w:t xml:space="preserve">   The Commission should approve the Multiparty Settlement on rate spread and rate design for the reasons </w:t>
      </w:r>
      <w:r w:rsidR="004346C4">
        <w:lastRenderedPageBreak/>
        <w:t>set forth in my separate testimony supporting the settlement.</w:t>
      </w:r>
      <w:r w:rsidR="004346C4">
        <w:rPr>
          <w:rStyle w:val="FootnoteReference"/>
        </w:rPr>
        <w:footnoteReference w:id="22"/>
      </w:r>
      <w:r w:rsidR="004346C4">
        <w:t xml:space="preserve">   The Energy Project also recommends that the Commission not approve ICNU’s proposal to allow Schedule 25 customers to opt-out of DSM contributions.   Finally, The Energy Project strongly recommends that, in the event that the Commission orders discontinuation of</w:t>
      </w:r>
      <w:r w:rsidR="0016591D">
        <w:t xml:space="preserve"> Schedule 91 funding for </w:t>
      </w:r>
      <w:r w:rsidR="004346C4">
        <w:t xml:space="preserve">Avista’s residential fuel conversion program, that it also </w:t>
      </w:r>
      <w:r w:rsidR="00521776">
        <w:t xml:space="preserve">provide in its order for </w:t>
      </w:r>
      <w:r w:rsidR="004346C4">
        <w:t xml:space="preserve">retention of fuel conversion measures within the low-income weatherization program.  </w:t>
      </w:r>
    </w:p>
    <w:p w14:paraId="3256EDD8" w14:textId="77777777" w:rsidR="00014CCA" w:rsidRDefault="00014CCA" w:rsidP="00A53F79">
      <w:pPr>
        <w:spacing w:line="480" w:lineRule="auto"/>
        <w:ind w:left="720" w:hanging="720"/>
        <w:rPr>
          <w:b/>
        </w:rPr>
      </w:pPr>
      <w:r>
        <w:rPr>
          <w:b/>
        </w:rPr>
        <w:t>Q.</w:t>
      </w:r>
      <w:r>
        <w:rPr>
          <w:b/>
        </w:rPr>
        <w:tab/>
        <w:t>Does this conclude your testimony?</w:t>
      </w:r>
    </w:p>
    <w:p w14:paraId="3256EDD9" w14:textId="77777777" w:rsidR="003746B9" w:rsidRPr="00737190" w:rsidRDefault="00CC32BA" w:rsidP="00A53F79">
      <w:pPr>
        <w:spacing w:line="480" w:lineRule="auto"/>
        <w:ind w:left="720" w:hanging="720"/>
      </w:pPr>
      <w:r w:rsidRPr="0054365B">
        <w:t>A.</w:t>
      </w:r>
      <w:r>
        <w:rPr>
          <w:b/>
        </w:rPr>
        <w:tab/>
      </w:r>
      <w:r w:rsidR="00014CCA" w:rsidRPr="00AD4B42">
        <w:t xml:space="preserve">Yes. </w:t>
      </w:r>
    </w:p>
    <w:sectPr w:rsidR="003746B9" w:rsidRPr="00737190" w:rsidSect="00737190">
      <w:pgSz w:w="12240" w:h="15840"/>
      <w:pgMar w:top="1440" w:right="1800" w:bottom="1440" w:left="1800" w:header="720" w:footer="720" w:gutter="0"/>
      <w:lnNumType w:countBy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6EDDC" w14:textId="77777777" w:rsidR="000427C2" w:rsidRDefault="000427C2" w:rsidP="00061921">
      <w:r>
        <w:separator/>
      </w:r>
    </w:p>
  </w:endnote>
  <w:endnote w:type="continuationSeparator" w:id="0">
    <w:p w14:paraId="3256EDDD" w14:textId="77777777" w:rsidR="000427C2" w:rsidRDefault="000427C2" w:rsidP="0006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altName w:val="Calibri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6EDE2" w14:textId="77777777" w:rsidR="00BC33D3" w:rsidRDefault="00BC33D3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3D22BA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14:paraId="3256EDE3" w14:textId="77777777" w:rsidR="00BC33D3" w:rsidRDefault="00BC33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6EDDA" w14:textId="77777777" w:rsidR="000427C2" w:rsidRDefault="000427C2" w:rsidP="00061921">
      <w:r>
        <w:separator/>
      </w:r>
    </w:p>
  </w:footnote>
  <w:footnote w:type="continuationSeparator" w:id="0">
    <w:p w14:paraId="3256EDDB" w14:textId="77777777" w:rsidR="000427C2" w:rsidRDefault="000427C2" w:rsidP="00061921">
      <w:r>
        <w:continuationSeparator/>
      </w:r>
    </w:p>
  </w:footnote>
  <w:footnote w:id="1">
    <w:p w14:paraId="3256EDE4" w14:textId="77777777" w:rsidR="00BC33D3" w:rsidRPr="00F11534" w:rsidRDefault="00BC33D3">
      <w:pPr>
        <w:pStyle w:val="FootnoteText"/>
        <w:rPr>
          <w:rFonts w:ascii="Times New Roman" w:hAnsi="Times New Roman" w:cs="Times New Roman"/>
          <w:sz w:val="20"/>
          <w:szCs w:val="20"/>
        </w:rPr>
      </w:pPr>
      <w:r w:rsidRPr="00F11534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F11534">
        <w:rPr>
          <w:rFonts w:ascii="Times New Roman" w:hAnsi="Times New Roman" w:cs="Times New Roman"/>
          <w:sz w:val="20"/>
          <w:szCs w:val="20"/>
        </w:rPr>
        <w:t xml:space="preserve"> Stephens, Exh. RRS-1CT at 2:4-22. </w:t>
      </w:r>
    </w:p>
  </w:footnote>
  <w:footnote w:id="2">
    <w:p w14:paraId="3256EDE5" w14:textId="77777777" w:rsidR="00BC33D3" w:rsidRPr="00F11534" w:rsidRDefault="00BC33D3">
      <w:pPr>
        <w:pStyle w:val="FootnoteText"/>
        <w:rPr>
          <w:rFonts w:ascii="Times New Roman" w:hAnsi="Times New Roman" w:cs="Times New Roman"/>
          <w:sz w:val="20"/>
          <w:szCs w:val="20"/>
        </w:rPr>
      </w:pPr>
      <w:r w:rsidRPr="00F11534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F11534">
        <w:rPr>
          <w:rFonts w:ascii="Times New Roman" w:hAnsi="Times New Roman" w:cs="Times New Roman"/>
          <w:sz w:val="20"/>
          <w:szCs w:val="20"/>
        </w:rPr>
        <w:t xml:space="preserve"> </w:t>
      </w:r>
      <w:r w:rsidRPr="00F11534">
        <w:rPr>
          <w:rFonts w:ascii="Times New Roman" w:hAnsi="Times New Roman" w:cs="Times New Roman"/>
          <w:i/>
          <w:sz w:val="20"/>
          <w:szCs w:val="20"/>
        </w:rPr>
        <w:t>Id.</w:t>
      </w:r>
      <w:r w:rsidRPr="00F11534">
        <w:rPr>
          <w:rFonts w:ascii="Times New Roman" w:hAnsi="Times New Roman" w:cs="Times New Roman"/>
          <w:sz w:val="20"/>
          <w:szCs w:val="20"/>
        </w:rPr>
        <w:t xml:space="preserve"> at 3:4-13.  Schedule 1 is Avista’s tariff for Residential Service.  Schedule 2 is Fixed-Income Senior &amp; Disabled Residential Service.</w:t>
      </w:r>
    </w:p>
  </w:footnote>
  <w:footnote w:id="3">
    <w:p w14:paraId="3256EDE6" w14:textId="77777777" w:rsidR="00BC33D3" w:rsidRPr="00F11534" w:rsidRDefault="00BC33D3">
      <w:pPr>
        <w:pStyle w:val="FootnoteText"/>
        <w:rPr>
          <w:rFonts w:ascii="Times New Roman" w:hAnsi="Times New Roman" w:cs="Times New Roman"/>
          <w:sz w:val="20"/>
          <w:szCs w:val="20"/>
        </w:rPr>
      </w:pPr>
      <w:r w:rsidRPr="00F11534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F11534">
        <w:rPr>
          <w:rFonts w:ascii="Times New Roman" w:hAnsi="Times New Roman" w:cs="Times New Roman"/>
          <w:sz w:val="20"/>
          <w:szCs w:val="20"/>
        </w:rPr>
        <w:t xml:space="preserve"> </w:t>
      </w:r>
      <w:r w:rsidRPr="00F11534">
        <w:rPr>
          <w:rFonts w:ascii="Times New Roman" w:hAnsi="Times New Roman" w:cs="Times New Roman"/>
          <w:i/>
          <w:sz w:val="20"/>
          <w:szCs w:val="20"/>
        </w:rPr>
        <w:t>Id.</w:t>
      </w:r>
      <w:r w:rsidRPr="00F11534">
        <w:rPr>
          <w:rFonts w:ascii="Times New Roman" w:hAnsi="Times New Roman" w:cs="Times New Roman"/>
          <w:sz w:val="20"/>
          <w:szCs w:val="20"/>
        </w:rPr>
        <w:t xml:space="preserve"> at 36:3-10.</w:t>
      </w:r>
    </w:p>
  </w:footnote>
  <w:footnote w:id="4">
    <w:p w14:paraId="3256EDE7" w14:textId="77777777" w:rsidR="00BC33D3" w:rsidRPr="00F11534" w:rsidRDefault="00BC33D3">
      <w:pPr>
        <w:pStyle w:val="FootnoteText"/>
        <w:rPr>
          <w:rFonts w:ascii="Times New Roman" w:hAnsi="Times New Roman" w:cs="Times New Roman"/>
        </w:rPr>
      </w:pPr>
      <w:r w:rsidRPr="00F11534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F11534">
        <w:rPr>
          <w:rFonts w:ascii="Times New Roman" w:hAnsi="Times New Roman" w:cs="Times New Roman"/>
          <w:sz w:val="20"/>
          <w:szCs w:val="20"/>
        </w:rPr>
        <w:t xml:space="preserve"> </w:t>
      </w:r>
      <w:r w:rsidRPr="00F11534">
        <w:rPr>
          <w:rFonts w:ascii="Times New Roman" w:hAnsi="Times New Roman" w:cs="Times New Roman"/>
          <w:i/>
          <w:sz w:val="20"/>
          <w:szCs w:val="20"/>
        </w:rPr>
        <w:t>Id.</w:t>
      </w:r>
      <w:r w:rsidRPr="00F11534">
        <w:rPr>
          <w:rFonts w:ascii="Times New Roman" w:hAnsi="Times New Roman" w:cs="Times New Roman"/>
          <w:sz w:val="20"/>
          <w:szCs w:val="20"/>
        </w:rPr>
        <w:t xml:space="preserve"> at 36, Table 5</w:t>
      </w:r>
    </w:p>
  </w:footnote>
  <w:footnote w:id="5">
    <w:p w14:paraId="3256EDE8" w14:textId="77777777" w:rsidR="00BC33D3" w:rsidRPr="00F11534" w:rsidRDefault="00BC33D3">
      <w:pPr>
        <w:pStyle w:val="FootnoteText"/>
        <w:rPr>
          <w:rFonts w:ascii="Times New Roman" w:hAnsi="Times New Roman" w:cs="Times New Roman"/>
          <w:sz w:val="20"/>
          <w:szCs w:val="20"/>
        </w:rPr>
      </w:pPr>
      <w:r w:rsidRPr="00F11534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F11534">
        <w:rPr>
          <w:rFonts w:ascii="Times New Roman" w:hAnsi="Times New Roman" w:cs="Times New Roman"/>
          <w:i/>
          <w:sz w:val="20"/>
          <w:szCs w:val="20"/>
        </w:rPr>
        <w:t xml:space="preserve"> Id.</w:t>
      </w:r>
      <w:r w:rsidRPr="00F11534">
        <w:rPr>
          <w:rFonts w:ascii="Times New Roman" w:hAnsi="Times New Roman" w:cs="Times New Roman"/>
          <w:sz w:val="20"/>
          <w:szCs w:val="20"/>
        </w:rPr>
        <w:t>, at 36:11-37:2.</w:t>
      </w:r>
      <w:r w:rsidRPr="00F11534">
        <w:rPr>
          <w:rFonts w:ascii="Times New Roman" w:hAnsi="Times New Roman" w:cs="Times New Roman"/>
          <w:i/>
          <w:sz w:val="20"/>
          <w:szCs w:val="20"/>
        </w:rPr>
        <w:t xml:space="preserve"> </w:t>
      </w:r>
    </w:p>
  </w:footnote>
  <w:footnote w:id="6">
    <w:p w14:paraId="3256EDE9" w14:textId="77777777" w:rsidR="00BC33D3" w:rsidRPr="00F11534" w:rsidRDefault="00BC33D3">
      <w:pPr>
        <w:pStyle w:val="FootnoteText"/>
        <w:rPr>
          <w:rFonts w:ascii="Times New Roman" w:hAnsi="Times New Roman" w:cs="Times New Roman"/>
          <w:sz w:val="20"/>
          <w:szCs w:val="20"/>
        </w:rPr>
      </w:pPr>
      <w:r w:rsidRPr="00F11534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F11534">
        <w:rPr>
          <w:rFonts w:ascii="Times New Roman" w:hAnsi="Times New Roman" w:cs="Times New Roman"/>
          <w:sz w:val="20"/>
          <w:szCs w:val="20"/>
        </w:rPr>
        <w:t xml:space="preserve"> Stephens, Exh. RRS-1CT at 9:7-8.</w:t>
      </w:r>
    </w:p>
  </w:footnote>
  <w:footnote w:id="7">
    <w:p w14:paraId="3256EDEA" w14:textId="77777777" w:rsidR="00BC33D3" w:rsidRPr="00F11534" w:rsidRDefault="00BC33D3">
      <w:pPr>
        <w:pStyle w:val="FootnoteText"/>
        <w:rPr>
          <w:rFonts w:ascii="Times New Roman" w:hAnsi="Times New Roman" w:cs="Times New Roman"/>
          <w:sz w:val="20"/>
          <w:szCs w:val="20"/>
        </w:rPr>
      </w:pPr>
      <w:r w:rsidRPr="00F11534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F1153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Joint </w:t>
      </w:r>
      <w:r w:rsidRPr="00F11534">
        <w:rPr>
          <w:rFonts w:ascii="Times New Roman" w:hAnsi="Times New Roman" w:cs="Times New Roman"/>
          <w:sz w:val="20"/>
          <w:szCs w:val="20"/>
        </w:rPr>
        <w:t>Memorandum</w:t>
      </w:r>
      <w:r>
        <w:rPr>
          <w:rFonts w:ascii="Times New Roman" w:hAnsi="Times New Roman" w:cs="Times New Roman"/>
          <w:sz w:val="20"/>
          <w:szCs w:val="20"/>
        </w:rPr>
        <w:t xml:space="preserve"> In Support Of Multiparty Partial Settlement Stipulation, ¶ 20.</w:t>
      </w:r>
    </w:p>
  </w:footnote>
  <w:footnote w:id="8">
    <w:p w14:paraId="3256EDEB" w14:textId="77777777" w:rsidR="00BC33D3" w:rsidRPr="00BC33D3" w:rsidRDefault="00BC33D3">
      <w:pPr>
        <w:pStyle w:val="FootnoteText"/>
        <w:rPr>
          <w:rFonts w:ascii="Times New Roman" w:hAnsi="Times New Roman" w:cs="Times New Roman"/>
          <w:sz w:val="20"/>
          <w:szCs w:val="20"/>
        </w:rPr>
      </w:pPr>
      <w:r w:rsidRPr="00F11534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F1153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Id. </w:t>
      </w:r>
      <w:r>
        <w:rPr>
          <w:rFonts w:ascii="Times New Roman" w:hAnsi="Times New Roman" w:cs="Times New Roman"/>
          <w:sz w:val="20"/>
          <w:szCs w:val="20"/>
        </w:rPr>
        <w:t>¶ 22.</w:t>
      </w:r>
    </w:p>
  </w:footnote>
  <w:footnote w:id="9">
    <w:p w14:paraId="3256EDEC" w14:textId="77777777" w:rsidR="00BC33D3" w:rsidRPr="00F11534" w:rsidRDefault="00BC33D3">
      <w:pPr>
        <w:pStyle w:val="FootnoteText"/>
        <w:rPr>
          <w:rFonts w:ascii="Times New Roman" w:hAnsi="Times New Roman" w:cs="Times New Roman"/>
          <w:sz w:val="20"/>
          <w:szCs w:val="20"/>
        </w:rPr>
      </w:pPr>
      <w:r w:rsidRPr="00F11534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F11534">
        <w:rPr>
          <w:rFonts w:ascii="Times New Roman" w:hAnsi="Times New Roman" w:cs="Times New Roman"/>
          <w:sz w:val="20"/>
          <w:szCs w:val="20"/>
        </w:rPr>
        <w:t xml:space="preserve"> Collins, Exh. SMC-1T at 7:6-11.</w:t>
      </w:r>
    </w:p>
  </w:footnote>
  <w:footnote w:id="10">
    <w:p w14:paraId="3256EDED" w14:textId="77777777" w:rsidR="00BC33D3" w:rsidRPr="00F11534" w:rsidRDefault="00BC33D3">
      <w:pPr>
        <w:pStyle w:val="FootnoteText"/>
        <w:rPr>
          <w:rFonts w:ascii="Times New Roman" w:hAnsi="Times New Roman" w:cs="Times New Roman"/>
          <w:sz w:val="20"/>
          <w:szCs w:val="20"/>
        </w:rPr>
      </w:pPr>
      <w:r w:rsidRPr="00F11534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F11534">
        <w:rPr>
          <w:rFonts w:ascii="Times New Roman" w:hAnsi="Times New Roman" w:cs="Times New Roman"/>
          <w:sz w:val="20"/>
          <w:szCs w:val="20"/>
        </w:rPr>
        <w:t xml:space="preserve"> </w:t>
      </w:r>
      <w:r w:rsidRPr="00BC33D3">
        <w:rPr>
          <w:rFonts w:ascii="Times New Roman" w:hAnsi="Times New Roman" w:cs="Times New Roman"/>
          <w:i/>
          <w:sz w:val="20"/>
          <w:szCs w:val="20"/>
        </w:rPr>
        <w:t>Id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Pr="00F11534">
        <w:rPr>
          <w:rFonts w:ascii="Times New Roman" w:hAnsi="Times New Roman" w:cs="Times New Roman"/>
          <w:sz w:val="20"/>
          <w:szCs w:val="20"/>
        </w:rPr>
        <w:t xml:space="preserve"> at 3:4-13.  Mr. Stephens </w:t>
      </w:r>
      <w:r w:rsidR="00C51040">
        <w:rPr>
          <w:rFonts w:ascii="Times New Roman" w:hAnsi="Times New Roman" w:cs="Times New Roman"/>
          <w:sz w:val="20"/>
          <w:szCs w:val="20"/>
        </w:rPr>
        <w:t xml:space="preserve">states that his </w:t>
      </w:r>
      <w:r w:rsidRPr="00F11534">
        <w:rPr>
          <w:rFonts w:ascii="Times New Roman" w:hAnsi="Times New Roman" w:cs="Times New Roman"/>
          <w:sz w:val="20"/>
          <w:szCs w:val="20"/>
        </w:rPr>
        <w:t>analysis would ultimately require</w:t>
      </w:r>
      <w:r w:rsidR="004C726F">
        <w:rPr>
          <w:rFonts w:ascii="Times New Roman" w:hAnsi="Times New Roman" w:cs="Times New Roman"/>
          <w:sz w:val="20"/>
          <w:szCs w:val="20"/>
        </w:rPr>
        <w:t xml:space="preserve"> </w:t>
      </w:r>
      <w:r w:rsidRPr="00F11534">
        <w:rPr>
          <w:rFonts w:ascii="Times New Roman" w:hAnsi="Times New Roman" w:cs="Times New Roman"/>
          <w:sz w:val="20"/>
          <w:szCs w:val="20"/>
        </w:rPr>
        <w:t xml:space="preserve">a 36 percent rate increase to bring residential customers to </w:t>
      </w:r>
      <w:r w:rsidR="004C726F">
        <w:rPr>
          <w:rFonts w:ascii="Times New Roman" w:hAnsi="Times New Roman" w:cs="Times New Roman"/>
          <w:sz w:val="20"/>
          <w:szCs w:val="20"/>
        </w:rPr>
        <w:t xml:space="preserve">full </w:t>
      </w:r>
      <w:r w:rsidRPr="00F11534">
        <w:rPr>
          <w:rFonts w:ascii="Times New Roman" w:hAnsi="Times New Roman" w:cs="Times New Roman"/>
          <w:sz w:val="20"/>
          <w:szCs w:val="20"/>
        </w:rPr>
        <w:t>parity</w:t>
      </w:r>
    </w:p>
  </w:footnote>
  <w:footnote w:id="11">
    <w:p w14:paraId="3256EDEE" w14:textId="77777777" w:rsidR="00BC33D3" w:rsidRPr="00CD2504" w:rsidRDefault="00BC33D3">
      <w:pPr>
        <w:pStyle w:val="FootnoteText"/>
        <w:rPr>
          <w:rFonts w:ascii="Times New Roman" w:hAnsi="Times New Roman" w:cs="Times New Roman"/>
          <w:sz w:val="20"/>
          <w:szCs w:val="20"/>
        </w:rPr>
      </w:pPr>
      <w:r w:rsidRPr="00F11534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F11534">
        <w:rPr>
          <w:rFonts w:ascii="Times New Roman" w:hAnsi="Times New Roman" w:cs="Times New Roman"/>
          <w:sz w:val="20"/>
          <w:szCs w:val="20"/>
        </w:rPr>
        <w:t xml:space="preserve"> Multiparty Partial Settlement Stipulation,  ¶ 6 (Electric Rate Spread).   The settlement provides that the residential class will receive 106 percent of any increase to other classes, and 94 percent of any decrease. </w:t>
      </w:r>
      <w:r w:rsidR="00CD2504">
        <w:rPr>
          <w:rFonts w:ascii="Times New Roman" w:hAnsi="Times New Roman" w:cs="Times New Roman"/>
          <w:i/>
          <w:sz w:val="20"/>
          <w:szCs w:val="20"/>
        </w:rPr>
        <w:t xml:space="preserve">See, </w:t>
      </w:r>
      <w:r w:rsidR="00CD2504">
        <w:rPr>
          <w:rFonts w:ascii="Times New Roman" w:hAnsi="Times New Roman" w:cs="Times New Roman"/>
          <w:sz w:val="20"/>
          <w:szCs w:val="20"/>
        </w:rPr>
        <w:t>Joint Memorandum In Support of Multiparty Settlement Stipulation, ¶ 23.</w:t>
      </w:r>
    </w:p>
  </w:footnote>
  <w:footnote w:id="12">
    <w:p w14:paraId="3256EDEF" w14:textId="77777777" w:rsidR="00BC33D3" w:rsidRPr="00F11534" w:rsidRDefault="00BC33D3">
      <w:pPr>
        <w:pStyle w:val="FootnoteText"/>
        <w:rPr>
          <w:rFonts w:ascii="Times New Roman" w:hAnsi="Times New Roman" w:cs="Times New Roman"/>
          <w:sz w:val="20"/>
          <w:szCs w:val="20"/>
        </w:rPr>
      </w:pPr>
      <w:r w:rsidRPr="00F11534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F11534">
        <w:rPr>
          <w:rFonts w:ascii="Times New Roman" w:hAnsi="Times New Roman" w:cs="Times New Roman"/>
          <w:sz w:val="20"/>
          <w:szCs w:val="20"/>
        </w:rPr>
        <w:t xml:space="preserve"> </w:t>
      </w:r>
      <w:r w:rsidR="00C9713D">
        <w:rPr>
          <w:rFonts w:ascii="Times New Roman" w:hAnsi="Times New Roman" w:cs="Times New Roman"/>
          <w:sz w:val="20"/>
          <w:szCs w:val="20"/>
        </w:rPr>
        <w:t>Stephens, Exh. RRS-1CT</w:t>
      </w:r>
      <w:r w:rsidRPr="00F11534">
        <w:rPr>
          <w:rFonts w:ascii="Times New Roman" w:hAnsi="Times New Roman" w:cs="Times New Roman"/>
          <w:sz w:val="20"/>
          <w:szCs w:val="20"/>
        </w:rPr>
        <w:t xml:space="preserve"> at 39:1-40:15</w:t>
      </w:r>
    </w:p>
  </w:footnote>
  <w:footnote w:id="13">
    <w:p w14:paraId="3256EDF0" w14:textId="77777777" w:rsidR="00BC33D3" w:rsidRPr="00F11534" w:rsidRDefault="00BC33D3">
      <w:pPr>
        <w:pStyle w:val="FootnoteText"/>
        <w:rPr>
          <w:rFonts w:ascii="Times New Roman" w:hAnsi="Times New Roman" w:cs="Times New Roman"/>
          <w:sz w:val="20"/>
          <w:szCs w:val="20"/>
        </w:rPr>
      </w:pPr>
      <w:r w:rsidRPr="00F11534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F11534">
        <w:rPr>
          <w:rFonts w:ascii="Times New Roman" w:hAnsi="Times New Roman" w:cs="Times New Roman"/>
          <w:sz w:val="20"/>
          <w:szCs w:val="20"/>
        </w:rPr>
        <w:t xml:space="preserve"> </w:t>
      </w:r>
      <w:r w:rsidRPr="00FE01E7">
        <w:rPr>
          <w:rFonts w:ascii="Times New Roman" w:hAnsi="Times New Roman" w:cs="Times New Roman"/>
          <w:i/>
          <w:sz w:val="20"/>
          <w:szCs w:val="20"/>
        </w:rPr>
        <w:t>Id</w:t>
      </w:r>
      <w:r w:rsidRPr="00F11534">
        <w:rPr>
          <w:rFonts w:ascii="Times New Roman" w:hAnsi="Times New Roman" w:cs="Times New Roman"/>
          <w:sz w:val="20"/>
          <w:szCs w:val="20"/>
        </w:rPr>
        <w:t>.</w:t>
      </w:r>
      <w:r w:rsidR="00FE01E7">
        <w:rPr>
          <w:rFonts w:ascii="Times New Roman" w:hAnsi="Times New Roman" w:cs="Times New Roman"/>
          <w:sz w:val="20"/>
          <w:szCs w:val="20"/>
        </w:rPr>
        <w:t xml:space="preserve"> at 40:14-15.</w:t>
      </w:r>
      <w:r w:rsidRPr="00F11534"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14">
    <w:p w14:paraId="3256EDF1" w14:textId="77777777" w:rsidR="00BC33D3" w:rsidRPr="00F11534" w:rsidRDefault="00BC33D3">
      <w:pPr>
        <w:pStyle w:val="FootnoteText"/>
        <w:rPr>
          <w:rFonts w:ascii="Times New Roman" w:hAnsi="Times New Roman" w:cs="Times New Roman"/>
          <w:sz w:val="20"/>
          <w:szCs w:val="20"/>
        </w:rPr>
      </w:pPr>
      <w:r w:rsidRPr="00F11534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F11534">
        <w:rPr>
          <w:rFonts w:ascii="Times New Roman" w:hAnsi="Times New Roman" w:cs="Times New Roman"/>
          <w:sz w:val="20"/>
          <w:szCs w:val="20"/>
        </w:rPr>
        <w:t xml:space="preserve"> </w:t>
      </w:r>
      <w:r w:rsidRPr="008575E3">
        <w:rPr>
          <w:rFonts w:ascii="Times New Roman" w:hAnsi="Times New Roman" w:cs="Times New Roman"/>
          <w:i/>
          <w:sz w:val="20"/>
          <w:szCs w:val="20"/>
        </w:rPr>
        <w:t>Washington Utilities &amp; Transportation Commission v. Avista Corp</w:t>
      </w:r>
      <w:r w:rsidRPr="00F11534">
        <w:rPr>
          <w:rFonts w:ascii="Times New Roman" w:hAnsi="Times New Roman" w:cs="Times New Roman"/>
          <w:sz w:val="20"/>
          <w:szCs w:val="20"/>
        </w:rPr>
        <w:t xml:space="preserve">., Docket UE-160228/UG-160229, Cross Answering Testimony of Jason Ball, Exh. JLB-5T at 7:3-4 and chart (Comparison of Schedule 25 Total DSM Benefits to Contributions).  </w:t>
      </w:r>
    </w:p>
  </w:footnote>
  <w:footnote w:id="15">
    <w:p w14:paraId="3256EDF2" w14:textId="77777777" w:rsidR="00BC33D3" w:rsidRPr="00F11534" w:rsidRDefault="00BC33D3">
      <w:pPr>
        <w:pStyle w:val="FootnoteText"/>
        <w:rPr>
          <w:rFonts w:ascii="Times New Roman" w:hAnsi="Times New Roman" w:cs="Times New Roman"/>
          <w:sz w:val="20"/>
          <w:szCs w:val="20"/>
        </w:rPr>
      </w:pPr>
      <w:r w:rsidRPr="00F11534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F11534">
        <w:rPr>
          <w:rFonts w:ascii="Times New Roman" w:hAnsi="Times New Roman" w:cs="Times New Roman"/>
          <w:sz w:val="20"/>
          <w:szCs w:val="20"/>
        </w:rPr>
        <w:t xml:space="preserve"> Stephens, Exh.</w:t>
      </w:r>
      <w:r w:rsidR="000C5BB9">
        <w:rPr>
          <w:rFonts w:ascii="Times New Roman" w:hAnsi="Times New Roman" w:cs="Times New Roman"/>
          <w:sz w:val="20"/>
          <w:szCs w:val="20"/>
        </w:rPr>
        <w:t xml:space="preserve"> </w:t>
      </w:r>
      <w:r w:rsidR="005A6E3D">
        <w:rPr>
          <w:rFonts w:ascii="Times New Roman" w:hAnsi="Times New Roman" w:cs="Times New Roman"/>
          <w:sz w:val="20"/>
          <w:szCs w:val="20"/>
        </w:rPr>
        <w:t xml:space="preserve">RRS-1CT at </w:t>
      </w:r>
      <w:r w:rsidR="00AF3F7C">
        <w:rPr>
          <w:rFonts w:ascii="Times New Roman" w:hAnsi="Times New Roman" w:cs="Times New Roman"/>
          <w:sz w:val="20"/>
          <w:szCs w:val="20"/>
        </w:rPr>
        <w:t xml:space="preserve">39:3-4. </w:t>
      </w:r>
      <w:r w:rsidRPr="00F11534">
        <w:rPr>
          <w:rFonts w:ascii="Times New Roman" w:hAnsi="Times New Roman" w:cs="Times New Roman"/>
          <w:sz w:val="20"/>
          <w:szCs w:val="20"/>
        </w:rPr>
        <w:t xml:space="preserve"> The current rate for Schedule 25 is </w:t>
      </w:r>
      <w:r w:rsidR="00AF3F7C">
        <w:rPr>
          <w:rFonts w:ascii="Times New Roman" w:hAnsi="Times New Roman" w:cs="Times New Roman"/>
          <w:sz w:val="20"/>
          <w:szCs w:val="20"/>
        </w:rPr>
        <w:t>$0.00232</w:t>
      </w:r>
      <w:r w:rsidRPr="00F11534">
        <w:rPr>
          <w:rFonts w:ascii="Times New Roman" w:hAnsi="Times New Roman" w:cs="Times New Roman"/>
          <w:sz w:val="20"/>
          <w:szCs w:val="20"/>
        </w:rPr>
        <w:t xml:space="preserve">. The </w:t>
      </w:r>
      <w:r w:rsidR="00AF3F7C" w:rsidRPr="00F11534">
        <w:rPr>
          <w:rFonts w:ascii="Times New Roman" w:hAnsi="Times New Roman" w:cs="Times New Roman"/>
          <w:sz w:val="20"/>
          <w:szCs w:val="20"/>
        </w:rPr>
        <w:t>Schedule 1</w:t>
      </w:r>
      <w:r w:rsidR="00151FFB">
        <w:rPr>
          <w:rFonts w:ascii="Times New Roman" w:hAnsi="Times New Roman" w:cs="Times New Roman"/>
          <w:sz w:val="20"/>
          <w:szCs w:val="20"/>
        </w:rPr>
        <w:t xml:space="preserve"> &amp; </w:t>
      </w:r>
      <w:r w:rsidR="00AF3F7C" w:rsidRPr="00F11534">
        <w:rPr>
          <w:rFonts w:ascii="Times New Roman" w:hAnsi="Times New Roman" w:cs="Times New Roman"/>
          <w:sz w:val="20"/>
          <w:szCs w:val="20"/>
        </w:rPr>
        <w:t xml:space="preserve">2  </w:t>
      </w:r>
      <w:r w:rsidRPr="00F11534">
        <w:rPr>
          <w:rFonts w:ascii="Times New Roman" w:hAnsi="Times New Roman" w:cs="Times New Roman"/>
          <w:sz w:val="20"/>
          <w:szCs w:val="20"/>
        </w:rPr>
        <w:t xml:space="preserve">residential class rate </w:t>
      </w:r>
      <w:r w:rsidR="00AF3F7C">
        <w:rPr>
          <w:rFonts w:ascii="Times New Roman" w:hAnsi="Times New Roman" w:cs="Times New Roman"/>
          <w:sz w:val="20"/>
          <w:szCs w:val="20"/>
        </w:rPr>
        <w:t>is $0.</w:t>
      </w:r>
      <w:r w:rsidR="000C5BB9">
        <w:rPr>
          <w:rFonts w:ascii="Times New Roman" w:hAnsi="Times New Roman" w:cs="Times New Roman"/>
          <w:sz w:val="20"/>
          <w:szCs w:val="20"/>
        </w:rPr>
        <w:t>00344</w:t>
      </w:r>
      <w:r w:rsidRPr="00F11534">
        <w:rPr>
          <w:rFonts w:ascii="Times New Roman" w:hAnsi="Times New Roman" w:cs="Times New Roman"/>
          <w:sz w:val="20"/>
          <w:szCs w:val="20"/>
        </w:rPr>
        <w:t xml:space="preserve">. </w:t>
      </w:r>
    </w:p>
  </w:footnote>
  <w:footnote w:id="16">
    <w:p w14:paraId="3256EDF3" w14:textId="77777777" w:rsidR="00BC33D3" w:rsidRDefault="00BC33D3">
      <w:pPr>
        <w:pStyle w:val="FootnoteText"/>
      </w:pPr>
      <w:r w:rsidRPr="00F11534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F11534">
        <w:rPr>
          <w:rFonts w:ascii="Times New Roman" w:hAnsi="Times New Roman" w:cs="Times New Roman"/>
          <w:sz w:val="20"/>
          <w:szCs w:val="20"/>
        </w:rPr>
        <w:t xml:space="preserve"> Schedule 91</w:t>
      </w:r>
    </w:p>
  </w:footnote>
  <w:footnote w:id="17">
    <w:p w14:paraId="3256EDF4" w14:textId="77777777" w:rsidR="00BC33D3" w:rsidRPr="00F11534" w:rsidRDefault="00BC33D3" w:rsidP="005E1B7B">
      <w:pPr>
        <w:pStyle w:val="FootnoteText"/>
        <w:rPr>
          <w:rFonts w:ascii="Times New Roman" w:hAnsi="Times New Roman" w:cs="Times New Roman"/>
          <w:sz w:val="20"/>
          <w:szCs w:val="20"/>
        </w:rPr>
      </w:pPr>
      <w:r w:rsidRPr="00F11534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F11534">
        <w:rPr>
          <w:rFonts w:ascii="Times New Roman" w:hAnsi="Times New Roman" w:cs="Times New Roman"/>
          <w:sz w:val="20"/>
          <w:szCs w:val="20"/>
        </w:rPr>
        <w:t xml:space="preserve"> The Commission recently recognized this</w:t>
      </w:r>
      <w:r w:rsidR="00AF1C1B">
        <w:rPr>
          <w:rFonts w:ascii="Times New Roman" w:hAnsi="Times New Roman" w:cs="Times New Roman"/>
          <w:sz w:val="20"/>
          <w:szCs w:val="20"/>
        </w:rPr>
        <w:t xml:space="preserve"> issue </w:t>
      </w:r>
      <w:r w:rsidRPr="00F11534">
        <w:rPr>
          <w:rFonts w:ascii="Times New Roman" w:hAnsi="Times New Roman" w:cs="Times New Roman"/>
          <w:sz w:val="20"/>
          <w:szCs w:val="20"/>
        </w:rPr>
        <w:t xml:space="preserve">in approving the settlement in the PSE Microsoft Special Contract case, noting the importance of Microsoft’s commitments “to continue or increase its contribution to conservation, energy efficiency, and low-income support funding” </w:t>
      </w:r>
      <w:r w:rsidR="00822060">
        <w:rPr>
          <w:rFonts w:ascii="Times New Roman" w:hAnsi="Times New Roman" w:cs="Times New Roman"/>
          <w:sz w:val="20"/>
          <w:szCs w:val="20"/>
        </w:rPr>
        <w:t>in</w:t>
      </w:r>
      <w:r w:rsidRPr="00F11534">
        <w:rPr>
          <w:rFonts w:ascii="Times New Roman" w:hAnsi="Times New Roman" w:cs="Times New Roman"/>
          <w:sz w:val="20"/>
          <w:szCs w:val="20"/>
        </w:rPr>
        <w:t xml:space="preserve"> advancing the public interest. </w:t>
      </w:r>
      <w:r w:rsidR="00822060">
        <w:rPr>
          <w:rFonts w:ascii="Times New Roman" w:hAnsi="Times New Roman" w:cs="Times New Roman"/>
          <w:i/>
          <w:sz w:val="20"/>
          <w:szCs w:val="20"/>
        </w:rPr>
        <w:t xml:space="preserve">Washington Utilities &amp; Transportation Commission v. Puget Sound </w:t>
      </w:r>
      <w:r w:rsidR="00822060" w:rsidRPr="00822060">
        <w:rPr>
          <w:rFonts w:ascii="Times New Roman" w:hAnsi="Times New Roman" w:cs="Times New Roman"/>
          <w:i/>
          <w:sz w:val="20"/>
          <w:szCs w:val="20"/>
        </w:rPr>
        <w:t>Energy</w:t>
      </w:r>
      <w:r w:rsidR="00822060">
        <w:rPr>
          <w:rFonts w:ascii="Times New Roman" w:hAnsi="Times New Roman" w:cs="Times New Roman"/>
          <w:sz w:val="20"/>
          <w:szCs w:val="20"/>
        </w:rPr>
        <w:t xml:space="preserve">, UE-161123, </w:t>
      </w:r>
      <w:r w:rsidRPr="00F11534">
        <w:rPr>
          <w:rFonts w:ascii="Times New Roman" w:hAnsi="Times New Roman" w:cs="Times New Roman"/>
          <w:sz w:val="20"/>
          <w:szCs w:val="20"/>
        </w:rPr>
        <w:t>Order</w:t>
      </w:r>
      <w:r w:rsidR="00822060">
        <w:rPr>
          <w:rFonts w:ascii="Times New Roman" w:hAnsi="Times New Roman" w:cs="Times New Roman"/>
          <w:sz w:val="20"/>
          <w:szCs w:val="20"/>
        </w:rPr>
        <w:t xml:space="preserve"> 06</w:t>
      </w:r>
      <w:r w:rsidRPr="00F11534">
        <w:rPr>
          <w:rFonts w:ascii="Times New Roman" w:hAnsi="Times New Roman" w:cs="Times New Roman"/>
          <w:sz w:val="20"/>
          <w:szCs w:val="20"/>
        </w:rPr>
        <w:t xml:space="preserve">, </w:t>
      </w:r>
      <w:r w:rsidR="00822060">
        <w:rPr>
          <w:rFonts w:ascii="Times New Roman" w:hAnsi="Times New Roman" w:cs="Times New Roman"/>
          <w:sz w:val="20"/>
          <w:szCs w:val="20"/>
        </w:rPr>
        <w:t xml:space="preserve">¶ </w:t>
      </w:r>
      <w:r w:rsidRPr="00F11534">
        <w:rPr>
          <w:rFonts w:ascii="Times New Roman" w:hAnsi="Times New Roman" w:cs="Times New Roman"/>
          <w:sz w:val="20"/>
          <w:szCs w:val="20"/>
        </w:rPr>
        <w:t>91-92.</w:t>
      </w:r>
    </w:p>
  </w:footnote>
  <w:footnote w:id="18">
    <w:p w14:paraId="3256EDF5" w14:textId="77777777" w:rsidR="00BC33D3" w:rsidRPr="00F11534" w:rsidRDefault="00BC33D3">
      <w:pPr>
        <w:pStyle w:val="FootnoteText"/>
        <w:rPr>
          <w:rFonts w:ascii="Times New Roman" w:hAnsi="Times New Roman" w:cs="Times New Roman"/>
          <w:sz w:val="20"/>
          <w:szCs w:val="20"/>
        </w:rPr>
      </w:pPr>
      <w:r w:rsidRPr="00F11534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F11534">
        <w:rPr>
          <w:rFonts w:ascii="Times New Roman" w:hAnsi="Times New Roman" w:cs="Times New Roman"/>
          <w:sz w:val="20"/>
          <w:szCs w:val="20"/>
        </w:rPr>
        <w:t xml:space="preserve"> </w:t>
      </w:r>
      <w:r w:rsidR="009E349F" w:rsidRPr="00F11534">
        <w:rPr>
          <w:rFonts w:ascii="Times New Roman" w:hAnsi="Times New Roman" w:cs="Times New Roman"/>
          <w:sz w:val="20"/>
          <w:szCs w:val="20"/>
        </w:rPr>
        <w:t>Snyder</w:t>
      </w:r>
      <w:r w:rsidR="009E349F">
        <w:rPr>
          <w:rFonts w:ascii="Times New Roman" w:hAnsi="Times New Roman" w:cs="Times New Roman"/>
          <w:sz w:val="20"/>
          <w:szCs w:val="20"/>
        </w:rPr>
        <w:t>, Exh. JES-1T at 24:11-14.</w:t>
      </w:r>
    </w:p>
  </w:footnote>
  <w:footnote w:id="19">
    <w:p w14:paraId="3256EDF6" w14:textId="77777777" w:rsidR="00BC33D3" w:rsidRPr="00F11534" w:rsidRDefault="00BC33D3">
      <w:pPr>
        <w:pStyle w:val="FootnoteText"/>
        <w:rPr>
          <w:rFonts w:ascii="Times New Roman" w:hAnsi="Times New Roman" w:cs="Times New Roman"/>
          <w:sz w:val="20"/>
          <w:szCs w:val="20"/>
        </w:rPr>
      </w:pPr>
      <w:r w:rsidRPr="00F11534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F11534">
        <w:rPr>
          <w:rFonts w:ascii="Times New Roman" w:hAnsi="Times New Roman" w:cs="Times New Roman"/>
          <w:sz w:val="20"/>
          <w:szCs w:val="20"/>
        </w:rPr>
        <w:t xml:space="preserve"> UE-132054, Avista Corp 2014-2015 Biennial Conservation Report, filed June 1, 2016, Appendix A, Impact Evaluation of Washington Electric 2014-2015 Energy Efficiency Programs, Nexant, Table 6-55, p. 145.</w:t>
      </w:r>
    </w:p>
  </w:footnote>
  <w:footnote w:id="20">
    <w:p w14:paraId="3256EDF7" w14:textId="77777777" w:rsidR="00BC33D3" w:rsidRPr="00C7249E" w:rsidRDefault="00BC33D3">
      <w:pPr>
        <w:pStyle w:val="FootnoteText"/>
        <w:rPr>
          <w:rFonts w:ascii="Times New Roman" w:hAnsi="Times New Roman" w:cs="Times New Roman"/>
          <w:sz w:val="20"/>
          <w:szCs w:val="20"/>
          <w:lang w:val="fr-FR"/>
        </w:rPr>
      </w:pPr>
      <w:r w:rsidRPr="00F11534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C7249E">
        <w:rPr>
          <w:rFonts w:ascii="Times New Roman" w:hAnsi="Times New Roman" w:cs="Times New Roman"/>
          <w:sz w:val="20"/>
          <w:szCs w:val="20"/>
          <w:lang w:val="fr-FR"/>
        </w:rPr>
        <w:t xml:space="preserve"> Avista 2018-2019 Biennial Conservation Plan, Appendix A.</w:t>
      </w:r>
    </w:p>
  </w:footnote>
  <w:footnote w:id="21">
    <w:p w14:paraId="3256EDF8" w14:textId="77777777" w:rsidR="00BC33D3" w:rsidRPr="00C7249E" w:rsidRDefault="00BC33D3">
      <w:pPr>
        <w:pStyle w:val="FootnoteText"/>
        <w:rPr>
          <w:rFonts w:ascii="Times New Roman" w:hAnsi="Times New Roman" w:cs="Times New Roman"/>
          <w:sz w:val="20"/>
          <w:szCs w:val="20"/>
          <w:lang w:val="fr-FR"/>
        </w:rPr>
      </w:pPr>
      <w:r w:rsidRPr="00F11534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C7249E">
        <w:rPr>
          <w:rFonts w:ascii="Times New Roman" w:hAnsi="Times New Roman" w:cs="Times New Roman"/>
          <w:sz w:val="20"/>
          <w:szCs w:val="20"/>
          <w:lang w:val="fr-FR"/>
        </w:rPr>
        <w:t xml:space="preserve"> Snyder, </w:t>
      </w:r>
      <w:r w:rsidR="0024393E" w:rsidRPr="00C7249E">
        <w:rPr>
          <w:rFonts w:ascii="Times New Roman" w:hAnsi="Times New Roman" w:cs="Times New Roman"/>
          <w:sz w:val="20"/>
          <w:szCs w:val="20"/>
          <w:lang w:val="fr-FR"/>
        </w:rPr>
        <w:t xml:space="preserve">JES-1T </w:t>
      </w:r>
      <w:r w:rsidRPr="00C7249E">
        <w:rPr>
          <w:rFonts w:ascii="Times New Roman" w:hAnsi="Times New Roman" w:cs="Times New Roman"/>
          <w:sz w:val="20"/>
          <w:szCs w:val="20"/>
          <w:lang w:val="fr-FR"/>
        </w:rPr>
        <w:t>at 24:4-9.</w:t>
      </w:r>
    </w:p>
  </w:footnote>
  <w:footnote w:id="22">
    <w:p w14:paraId="3256EDF9" w14:textId="77777777" w:rsidR="00BC33D3" w:rsidRPr="00C7249E" w:rsidRDefault="00BC33D3">
      <w:pPr>
        <w:pStyle w:val="FootnoteText"/>
        <w:rPr>
          <w:lang w:val="fr-FR"/>
        </w:rPr>
      </w:pPr>
      <w:r w:rsidRPr="00F11534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C7249E">
        <w:rPr>
          <w:rFonts w:ascii="Times New Roman" w:hAnsi="Times New Roman" w:cs="Times New Roman"/>
          <w:sz w:val="20"/>
          <w:szCs w:val="20"/>
          <w:lang w:val="fr-FR"/>
        </w:rPr>
        <w:t xml:space="preserve"> Collins, Exh. SMC-3T.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6EDDE" w14:textId="77777777" w:rsidR="00BC33D3" w:rsidRDefault="00BC33D3" w:rsidP="00DB22DD">
    <w:pPr>
      <w:pStyle w:val="Header"/>
      <w:jc w:val="right"/>
    </w:pPr>
    <w:r>
      <w:t>Dockets UE-170485/UG-170486</w:t>
    </w:r>
  </w:p>
  <w:p w14:paraId="3256EDDF" w14:textId="77777777" w:rsidR="00BC33D3" w:rsidRDefault="00BC33D3" w:rsidP="00DB22DD">
    <w:pPr>
      <w:pStyle w:val="Header"/>
    </w:pPr>
    <w:r>
      <w:tab/>
    </w:r>
    <w:r>
      <w:tab/>
      <w:t>Shawn M. Collins</w:t>
    </w:r>
  </w:p>
  <w:p w14:paraId="3256EDE0" w14:textId="77777777" w:rsidR="00BC33D3" w:rsidRDefault="00BC33D3" w:rsidP="00DB22DD">
    <w:pPr>
      <w:pStyle w:val="Header"/>
    </w:pPr>
    <w:r>
      <w:tab/>
    </w:r>
    <w:r>
      <w:tab/>
      <w:t>Exh. SMC-4T</w:t>
    </w:r>
  </w:p>
  <w:p w14:paraId="3256EDE1" w14:textId="77777777" w:rsidR="00BC33D3" w:rsidRDefault="00BC33D3" w:rsidP="00DB22D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C6196"/>
    <w:multiLevelType w:val="hybridMultilevel"/>
    <w:tmpl w:val="E7B23C1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D3A4233"/>
    <w:multiLevelType w:val="hybridMultilevel"/>
    <w:tmpl w:val="1B62CF66"/>
    <w:lvl w:ilvl="0" w:tplc="400EAB66">
      <w:start w:val="1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/>
        <w:spacing w:val="6"/>
        <w:sz w:val="20"/>
        <w:szCs w:val="25"/>
        <w:vertAlign w:val="baseline"/>
      </w:rPr>
    </w:lvl>
    <w:lvl w:ilvl="1" w:tplc="A5A66B1A">
      <w:start w:val="1"/>
      <w:numFmt w:val="upperLetter"/>
      <w:lvlText w:val="%2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3" w:tplc="3F9826F0">
      <w:start w:val="1"/>
      <w:numFmt w:val="lowerLetter"/>
      <w:lvlText w:val="%4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4" w:tplc="6F86D32A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 w:tplc="1ECA6D5E">
      <w:start w:val="1"/>
      <w:numFmt w:val="lowerRoman"/>
      <w:lvlText w:val="(%6)"/>
      <w:lvlJc w:val="left"/>
      <w:pPr>
        <w:ind w:left="7020" w:hanging="720"/>
      </w:pPr>
      <w:rPr>
        <w:rFonts w:hint="default"/>
      </w:rPr>
    </w:lvl>
    <w:lvl w:ilvl="6" w:tplc="FEC6B172">
      <w:start w:val="1"/>
      <w:numFmt w:val="lowerRoman"/>
      <w:lvlText w:val="%7)"/>
      <w:lvlJc w:val="left"/>
      <w:pPr>
        <w:ind w:left="7560" w:hanging="720"/>
      </w:pPr>
      <w:rPr>
        <w:rFonts w:hint="default"/>
      </w:rPr>
    </w:lvl>
    <w:lvl w:ilvl="7" w:tplc="5C1032FC">
      <w:start w:val="1"/>
      <w:numFmt w:val="decimal"/>
      <w:lvlText w:val="(%8)"/>
      <w:lvlJc w:val="left"/>
      <w:pPr>
        <w:ind w:left="7980" w:hanging="42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 w15:restartNumberingAfterBreak="0">
    <w:nsid w:val="323E37E1"/>
    <w:multiLevelType w:val="hybridMultilevel"/>
    <w:tmpl w:val="14DCA4F2"/>
    <w:lvl w:ilvl="0" w:tplc="F7B6A1D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F271AD"/>
    <w:multiLevelType w:val="hybridMultilevel"/>
    <w:tmpl w:val="B8ECE8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9279A"/>
    <w:multiLevelType w:val="hybridMultilevel"/>
    <w:tmpl w:val="CCC88AE2"/>
    <w:lvl w:ilvl="0" w:tplc="F226319A">
      <w:start w:val="1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EA95166"/>
    <w:multiLevelType w:val="hybridMultilevel"/>
    <w:tmpl w:val="E7B845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D27E0"/>
    <w:multiLevelType w:val="hybridMultilevel"/>
    <w:tmpl w:val="A5CC34D6"/>
    <w:lvl w:ilvl="0" w:tplc="6ACA68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21"/>
    <w:rsid w:val="000019A8"/>
    <w:rsid w:val="00002561"/>
    <w:rsid w:val="00002F65"/>
    <w:rsid w:val="00003090"/>
    <w:rsid w:val="00003155"/>
    <w:rsid w:val="00010759"/>
    <w:rsid w:val="000127AF"/>
    <w:rsid w:val="000141D1"/>
    <w:rsid w:val="00014CCA"/>
    <w:rsid w:val="00021866"/>
    <w:rsid w:val="00024254"/>
    <w:rsid w:val="000267C8"/>
    <w:rsid w:val="00030728"/>
    <w:rsid w:val="000329AD"/>
    <w:rsid w:val="00035254"/>
    <w:rsid w:val="0003659B"/>
    <w:rsid w:val="00040FB3"/>
    <w:rsid w:val="000427C2"/>
    <w:rsid w:val="0004419E"/>
    <w:rsid w:val="000461D4"/>
    <w:rsid w:val="000475AB"/>
    <w:rsid w:val="00052773"/>
    <w:rsid w:val="000563AB"/>
    <w:rsid w:val="00056E71"/>
    <w:rsid w:val="00061527"/>
    <w:rsid w:val="00061921"/>
    <w:rsid w:val="00063FDF"/>
    <w:rsid w:val="00067C23"/>
    <w:rsid w:val="00070037"/>
    <w:rsid w:val="00071548"/>
    <w:rsid w:val="00071F29"/>
    <w:rsid w:val="00074BFB"/>
    <w:rsid w:val="000755DF"/>
    <w:rsid w:val="000808CC"/>
    <w:rsid w:val="0008415B"/>
    <w:rsid w:val="00093135"/>
    <w:rsid w:val="00093A47"/>
    <w:rsid w:val="00094B4F"/>
    <w:rsid w:val="000A203F"/>
    <w:rsid w:val="000A2316"/>
    <w:rsid w:val="000A6FA1"/>
    <w:rsid w:val="000C52AB"/>
    <w:rsid w:val="000C5BB9"/>
    <w:rsid w:val="000D059E"/>
    <w:rsid w:val="000E0CB6"/>
    <w:rsid w:val="000E1218"/>
    <w:rsid w:val="000E3338"/>
    <w:rsid w:val="000E5E34"/>
    <w:rsid w:val="000F188B"/>
    <w:rsid w:val="000F3B35"/>
    <w:rsid w:val="000F551C"/>
    <w:rsid w:val="000F5737"/>
    <w:rsid w:val="00102949"/>
    <w:rsid w:val="00105736"/>
    <w:rsid w:val="00105AA3"/>
    <w:rsid w:val="00111181"/>
    <w:rsid w:val="001134C9"/>
    <w:rsid w:val="00113957"/>
    <w:rsid w:val="00121C1A"/>
    <w:rsid w:val="00123F0D"/>
    <w:rsid w:val="001278AE"/>
    <w:rsid w:val="00132C04"/>
    <w:rsid w:val="0013530E"/>
    <w:rsid w:val="00144816"/>
    <w:rsid w:val="0014701F"/>
    <w:rsid w:val="0014757C"/>
    <w:rsid w:val="00150593"/>
    <w:rsid w:val="00151FFB"/>
    <w:rsid w:val="00154E26"/>
    <w:rsid w:val="0015505F"/>
    <w:rsid w:val="00155450"/>
    <w:rsid w:val="00156175"/>
    <w:rsid w:val="001568F5"/>
    <w:rsid w:val="00160B2A"/>
    <w:rsid w:val="0016254B"/>
    <w:rsid w:val="00162D89"/>
    <w:rsid w:val="0016503B"/>
    <w:rsid w:val="0016509D"/>
    <w:rsid w:val="0016591D"/>
    <w:rsid w:val="00165DAC"/>
    <w:rsid w:val="00170A99"/>
    <w:rsid w:val="0017289A"/>
    <w:rsid w:val="001740D0"/>
    <w:rsid w:val="00187B79"/>
    <w:rsid w:val="00194C86"/>
    <w:rsid w:val="00196B7A"/>
    <w:rsid w:val="001B050B"/>
    <w:rsid w:val="001B15CA"/>
    <w:rsid w:val="001B166D"/>
    <w:rsid w:val="001B353E"/>
    <w:rsid w:val="001B7E7E"/>
    <w:rsid w:val="001C1AD9"/>
    <w:rsid w:val="001C5184"/>
    <w:rsid w:val="001C5C8E"/>
    <w:rsid w:val="001C751C"/>
    <w:rsid w:val="001D7B41"/>
    <w:rsid w:val="001E3573"/>
    <w:rsid w:val="001E365A"/>
    <w:rsid w:val="001E3A6C"/>
    <w:rsid w:val="001F04EA"/>
    <w:rsid w:val="001F121D"/>
    <w:rsid w:val="001F2442"/>
    <w:rsid w:val="001F602D"/>
    <w:rsid w:val="002010C8"/>
    <w:rsid w:val="002044B1"/>
    <w:rsid w:val="00212EE5"/>
    <w:rsid w:val="0022161C"/>
    <w:rsid w:val="00222A50"/>
    <w:rsid w:val="0022417E"/>
    <w:rsid w:val="00232CAB"/>
    <w:rsid w:val="002331BE"/>
    <w:rsid w:val="00233551"/>
    <w:rsid w:val="00233D48"/>
    <w:rsid w:val="002341E5"/>
    <w:rsid w:val="00234734"/>
    <w:rsid w:val="0024393E"/>
    <w:rsid w:val="0025186B"/>
    <w:rsid w:val="0025201C"/>
    <w:rsid w:val="002535A2"/>
    <w:rsid w:val="002562D0"/>
    <w:rsid w:val="00256554"/>
    <w:rsid w:val="00263DC3"/>
    <w:rsid w:val="00263E4C"/>
    <w:rsid w:val="002658A0"/>
    <w:rsid w:val="00272325"/>
    <w:rsid w:val="0027713B"/>
    <w:rsid w:val="00277BC3"/>
    <w:rsid w:val="00281098"/>
    <w:rsid w:val="00283B1E"/>
    <w:rsid w:val="00284B63"/>
    <w:rsid w:val="0029504A"/>
    <w:rsid w:val="00295791"/>
    <w:rsid w:val="002A25A1"/>
    <w:rsid w:val="002A63B8"/>
    <w:rsid w:val="002A7334"/>
    <w:rsid w:val="002B2D26"/>
    <w:rsid w:val="002B37CC"/>
    <w:rsid w:val="002B52E2"/>
    <w:rsid w:val="002C01CC"/>
    <w:rsid w:val="002C2393"/>
    <w:rsid w:val="002C38B3"/>
    <w:rsid w:val="002D108F"/>
    <w:rsid w:val="002D6794"/>
    <w:rsid w:val="002D6C8C"/>
    <w:rsid w:val="002D7E24"/>
    <w:rsid w:val="002E038B"/>
    <w:rsid w:val="002E2075"/>
    <w:rsid w:val="002E351C"/>
    <w:rsid w:val="002E3CBE"/>
    <w:rsid w:val="002E7C24"/>
    <w:rsid w:val="002F1BCE"/>
    <w:rsid w:val="002F492D"/>
    <w:rsid w:val="002F502E"/>
    <w:rsid w:val="002F5CA2"/>
    <w:rsid w:val="002F72CD"/>
    <w:rsid w:val="0030409A"/>
    <w:rsid w:val="00304B49"/>
    <w:rsid w:val="00307781"/>
    <w:rsid w:val="0031670F"/>
    <w:rsid w:val="00316C1A"/>
    <w:rsid w:val="0032246D"/>
    <w:rsid w:val="00322CC8"/>
    <w:rsid w:val="00330C36"/>
    <w:rsid w:val="00331748"/>
    <w:rsid w:val="00333717"/>
    <w:rsid w:val="00344FE6"/>
    <w:rsid w:val="0034785D"/>
    <w:rsid w:val="00361947"/>
    <w:rsid w:val="0036206B"/>
    <w:rsid w:val="00363621"/>
    <w:rsid w:val="00365195"/>
    <w:rsid w:val="00367AFD"/>
    <w:rsid w:val="00371BED"/>
    <w:rsid w:val="00371EFA"/>
    <w:rsid w:val="00371F48"/>
    <w:rsid w:val="00372C93"/>
    <w:rsid w:val="003746B9"/>
    <w:rsid w:val="00375A35"/>
    <w:rsid w:val="00376C37"/>
    <w:rsid w:val="00381FB1"/>
    <w:rsid w:val="0038202C"/>
    <w:rsid w:val="003821D6"/>
    <w:rsid w:val="003871F2"/>
    <w:rsid w:val="0039041D"/>
    <w:rsid w:val="00390FB4"/>
    <w:rsid w:val="00391B81"/>
    <w:rsid w:val="0039203D"/>
    <w:rsid w:val="00396293"/>
    <w:rsid w:val="003A0629"/>
    <w:rsid w:val="003A262A"/>
    <w:rsid w:val="003A36FF"/>
    <w:rsid w:val="003A6DA7"/>
    <w:rsid w:val="003B603E"/>
    <w:rsid w:val="003C124E"/>
    <w:rsid w:val="003C2309"/>
    <w:rsid w:val="003D140C"/>
    <w:rsid w:val="003D1974"/>
    <w:rsid w:val="003D22BA"/>
    <w:rsid w:val="003D598A"/>
    <w:rsid w:val="003D7080"/>
    <w:rsid w:val="003E1B9B"/>
    <w:rsid w:val="003E6FA8"/>
    <w:rsid w:val="003F088A"/>
    <w:rsid w:val="003F25DE"/>
    <w:rsid w:val="003F306D"/>
    <w:rsid w:val="003F322C"/>
    <w:rsid w:val="003F5A5F"/>
    <w:rsid w:val="003F6945"/>
    <w:rsid w:val="004026C2"/>
    <w:rsid w:val="00410174"/>
    <w:rsid w:val="00411653"/>
    <w:rsid w:val="00412786"/>
    <w:rsid w:val="00420AAA"/>
    <w:rsid w:val="0042595A"/>
    <w:rsid w:val="004329DD"/>
    <w:rsid w:val="00433D85"/>
    <w:rsid w:val="004346C4"/>
    <w:rsid w:val="004357D2"/>
    <w:rsid w:val="004372C3"/>
    <w:rsid w:val="00441193"/>
    <w:rsid w:val="004422D6"/>
    <w:rsid w:val="004438EF"/>
    <w:rsid w:val="00444F69"/>
    <w:rsid w:val="004502EB"/>
    <w:rsid w:val="004526F0"/>
    <w:rsid w:val="0046004F"/>
    <w:rsid w:val="0046559B"/>
    <w:rsid w:val="00470FDC"/>
    <w:rsid w:val="004730E8"/>
    <w:rsid w:val="0047394C"/>
    <w:rsid w:val="00473C3F"/>
    <w:rsid w:val="00476048"/>
    <w:rsid w:val="0048153F"/>
    <w:rsid w:val="004826A8"/>
    <w:rsid w:val="00486CB2"/>
    <w:rsid w:val="00487C71"/>
    <w:rsid w:val="00490B5D"/>
    <w:rsid w:val="00492AA4"/>
    <w:rsid w:val="00494F67"/>
    <w:rsid w:val="004A41F5"/>
    <w:rsid w:val="004B07D1"/>
    <w:rsid w:val="004B161D"/>
    <w:rsid w:val="004B1A54"/>
    <w:rsid w:val="004B221C"/>
    <w:rsid w:val="004B60B2"/>
    <w:rsid w:val="004B789D"/>
    <w:rsid w:val="004C08D5"/>
    <w:rsid w:val="004C3CEF"/>
    <w:rsid w:val="004C3EFD"/>
    <w:rsid w:val="004C726F"/>
    <w:rsid w:val="004D072C"/>
    <w:rsid w:val="004E07E5"/>
    <w:rsid w:val="004E1974"/>
    <w:rsid w:val="004E6425"/>
    <w:rsid w:val="004F10BA"/>
    <w:rsid w:val="004F2DA5"/>
    <w:rsid w:val="004F2E8D"/>
    <w:rsid w:val="004F5228"/>
    <w:rsid w:val="004F55BC"/>
    <w:rsid w:val="00503838"/>
    <w:rsid w:val="005102B7"/>
    <w:rsid w:val="0051397B"/>
    <w:rsid w:val="00515C1B"/>
    <w:rsid w:val="00516549"/>
    <w:rsid w:val="00521776"/>
    <w:rsid w:val="00522AB9"/>
    <w:rsid w:val="00523A1E"/>
    <w:rsid w:val="005307C9"/>
    <w:rsid w:val="00532309"/>
    <w:rsid w:val="00534980"/>
    <w:rsid w:val="0054365B"/>
    <w:rsid w:val="00544A83"/>
    <w:rsid w:val="005571DF"/>
    <w:rsid w:val="00570EC4"/>
    <w:rsid w:val="00581D20"/>
    <w:rsid w:val="00583223"/>
    <w:rsid w:val="00585E60"/>
    <w:rsid w:val="00586AFD"/>
    <w:rsid w:val="0059165C"/>
    <w:rsid w:val="00591DFA"/>
    <w:rsid w:val="00597574"/>
    <w:rsid w:val="005A0996"/>
    <w:rsid w:val="005A3550"/>
    <w:rsid w:val="005A5CD1"/>
    <w:rsid w:val="005A6E3D"/>
    <w:rsid w:val="005B1FEE"/>
    <w:rsid w:val="005B3451"/>
    <w:rsid w:val="005B7C9F"/>
    <w:rsid w:val="005D0A54"/>
    <w:rsid w:val="005D188B"/>
    <w:rsid w:val="005D46ED"/>
    <w:rsid w:val="005E1B7B"/>
    <w:rsid w:val="005E40BB"/>
    <w:rsid w:val="005E7061"/>
    <w:rsid w:val="005F0AAD"/>
    <w:rsid w:val="005F1865"/>
    <w:rsid w:val="00600564"/>
    <w:rsid w:val="0060413F"/>
    <w:rsid w:val="00606E12"/>
    <w:rsid w:val="00607211"/>
    <w:rsid w:val="00607354"/>
    <w:rsid w:val="00612373"/>
    <w:rsid w:val="00612A51"/>
    <w:rsid w:val="00612EA2"/>
    <w:rsid w:val="00613F6F"/>
    <w:rsid w:val="00623011"/>
    <w:rsid w:val="00625909"/>
    <w:rsid w:val="00631A52"/>
    <w:rsid w:val="0063542A"/>
    <w:rsid w:val="00651294"/>
    <w:rsid w:val="006568DF"/>
    <w:rsid w:val="00660C7D"/>
    <w:rsid w:val="00664DEF"/>
    <w:rsid w:val="0066584E"/>
    <w:rsid w:val="00665A32"/>
    <w:rsid w:val="006768BA"/>
    <w:rsid w:val="006773A3"/>
    <w:rsid w:val="00677C20"/>
    <w:rsid w:val="00681370"/>
    <w:rsid w:val="00682088"/>
    <w:rsid w:val="00687D7D"/>
    <w:rsid w:val="00694910"/>
    <w:rsid w:val="006A2B33"/>
    <w:rsid w:val="006A398F"/>
    <w:rsid w:val="006B061D"/>
    <w:rsid w:val="006B44DD"/>
    <w:rsid w:val="006B7E11"/>
    <w:rsid w:val="006C122B"/>
    <w:rsid w:val="006C1307"/>
    <w:rsid w:val="006C1317"/>
    <w:rsid w:val="006C2324"/>
    <w:rsid w:val="006C2655"/>
    <w:rsid w:val="006C6EBC"/>
    <w:rsid w:val="006D1732"/>
    <w:rsid w:val="006D3D22"/>
    <w:rsid w:val="006D60C7"/>
    <w:rsid w:val="006D78CC"/>
    <w:rsid w:val="006E1D42"/>
    <w:rsid w:val="006E2AA8"/>
    <w:rsid w:val="006E2CF7"/>
    <w:rsid w:val="006E734F"/>
    <w:rsid w:val="006F05A2"/>
    <w:rsid w:val="006F0F36"/>
    <w:rsid w:val="006F2B45"/>
    <w:rsid w:val="006F68CE"/>
    <w:rsid w:val="006F7BC3"/>
    <w:rsid w:val="00701AD0"/>
    <w:rsid w:val="007023F4"/>
    <w:rsid w:val="00703964"/>
    <w:rsid w:val="0070421F"/>
    <w:rsid w:val="0070450A"/>
    <w:rsid w:val="00707C3E"/>
    <w:rsid w:val="00710955"/>
    <w:rsid w:val="00710F9F"/>
    <w:rsid w:val="0071149A"/>
    <w:rsid w:val="00712925"/>
    <w:rsid w:val="00722F16"/>
    <w:rsid w:val="007255AC"/>
    <w:rsid w:val="007257EA"/>
    <w:rsid w:val="007269DB"/>
    <w:rsid w:val="00732AF6"/>
    <w:rsid w:val="00732B69"/>
    <w:rsid w:val="007353ED"/>
    <w:rsid w:val="007370F3"/>
    <w:rsid w:val="00737190"/>
    <w:rsid w:val="00737C6C"/>
    <w:rsid w:val="00737C71"/>
    <w:rsid w:val="00745D6A"/>
    <w:rsid w:val="00747D97"/>
    <w:rsid w:val="007503B0"/>
    <w:rsid w:val="00751BA6"/>
    <w:rsid w:val="00754EB2"/>
    <w:rsid w:val="0076046E"/>
    <w:rsid w:val="0076463F"/>
    <w:rsid w:val="00765339"/>
    <w:rsid w:val="007667CD"/>
    <w:rsid w:val="00770337"/>
    <w:rsid w:val="007727CC"/>
    <w:rsid w:val="00780625"/>
    <w:rsid w:val="00784DBB"/>
    <w:rsid w:val="00790E2D"/>
    <w:rsid w:val="0079153E"/>
    <w:rsid w:val="00793D0A"/>
    <w:rsid w:val="00793D9D"/>
    <w:rsid w:val="00794A41"/>
    <w:rsid w:val="00795144"/>
    <w:rsid w:val="00797FC6"/>
    <w:rsid w:val="007A38AE"/>
    <w:rsid w:val="007A4E3B"/>
    <w:rsid w:val="007B7738"/>
    <w:rsid w:val="007C00C5"/>
    <w:rsid w:val="007C6EDE"/>
    <w:rsid w:val="007C76F7"/>
    <w:rsid w:val="007C780C"/>
    <w:rsid w:val="007D3BC4"/>
    <w:rsid w:val="007D4C85"/>
    <w:rsid w:val="007D4D4B"/>
    <w:rsid w:val="007D63D2"/>
    <w:rsid w:val="007F0769"/>
    <w:rsid w:val="007F29AA"/>
    <w:rsid w:val="007F5ED6"/>
    <w:rsid w:val="007F61AA"/>
    <w:rsid w:val="007F6DE3"/>
    <w:rsid w:val="00802EB4"/>
    <w:rsid w:val="00803174"/>
    <w:rsid w:val="00804724"/>
    <w:rsid w:val="008049FC"/>
    <w:rsid w:val="0080719C"/>
    <w:rsid w:val="00820152"/>
    <w:rsid w:val="00821817"/>
    <w:rsid w:val="00822060"/>
    <w:rsid w:val="0082400B"/>
    <w:rsid w:val="00827D49"/>
    <w:rsid w:val="008319AD"/>
    <w:rsid w:val="008359CA"/>
    <w:rsid w:val="0083674F"/>
    <w:rsid w:val="00837EC0"/>
    <w:rsid w:val="00840ECE"/>
    <w:rsid w:val="00841BF0"/>
    <w:rsid w:val="0085141E"/>
    <w:rsid w:val="00857327"/>
    <w:rsid w:val="008575E3"/>
    <w:rsid w:val="00862434"/>
    <w:rsid w:val="00862CF6"/>
    <w:rsid w:val="008641BC"/>
    <w:rsid w:val="008702C0"/>
    <w:rsid w:val="008720B5"/>
    <w:rsid w:val="00875FEE"/>
    <w:rsid w:val="008765B0"/>
    <w:rsid w:val="00877262"/>
    <w:rsid w:val="00881B65"/>
    <w:rsid w:val="00884149"/>
    <w:rsid w:val="0088704F"/>
    <w:rsid w:val="008875D2"/>
    <w:rsid w:val="00891BF1"/>
    <w:rsid w:val="00892203"/>
    <w:rsid w:val="008970D0"/>
    <w:rsid w:val="008A0E39"/>
    <w:rsid w:val="008A0E8D"/>
    <w:rsid w:val="008A2F2E"/>
    <w:rsid w:val="008A3F49"/>
    <w:rsid w:val="008A431F"/>
    <w:rsid w:val="008A6B9F"/>
    <w:rsid w:val="008B0867"/>
    <w:rsid w:val="008B582B"/>
    <w:rsid w:val="008B643B"/>
    <w:rsid w:val="008D1937"/>
    <w:rsid w:val="008D2803"/>
    <w:rsid w:val="008D2E1B"/>
    <w:rsid w:val="008D626F"/>
    <w:rsid w:val="008D67E5"/>
    <w:rsid w:val="008D72B2"/>
    <w:rsid w:val="008E5051"/>
    <w:rsid w:val="008E6590"/>
    <w:rsid w:val="008E6FF9"/>
    <w:rsid w:val="008F6456"/>
    <w:rsid w:val="009074C3"/>
    <w:rsid w:val="0090771C"/>
    <w:rsid w:val="00910B9F"/>
    <w:rsid w:val="00910F38"/>
    <w:rsid w:val="00911408"/>
    <w:rsid w:val="00914DF6"/>
    <w:rsid w:val="009221E1"/>
    <w:rsid w:val="00922B28"/>
    <w:rsid w:val="00923A1A"/>
    <w:rsid w:val="00924EE0"/>
    <w:rsid w:val="00936738"/>
    <w:rsid w:val="0094590B"/>
    <w:rsid w:val="00947502"/>
    <w:rsid w:val="009510EF"/>
    <w:rsid w:val="0095295E"/>
    <w:rsid w:val="00954884"/>
    <w:rsid w:val="00962B0B"/>
    <w:rsid w:val="00965F66"/>
    <w:rsid w:val="009746C9"/>
    <w:rsid w:val="009761EE"/>
    <w:rsid w:val="00990F1D"/>
    <w:rsid w:val="0099176C"/>
    <w:rsid w:val="00991C11"/>
    <w:rsid w:val="00992076"/>
    <w:rsid w:val="0099337A"/>
    <w:rsid w:val="009966D2"/>
    <w:rsid w:val="009A096A"/>
    <w:rsid w:val="009A2246"/>
    <w:rsid w:val="009A41FD"/>
    <w:rsid w:val="009A6EDC"/>
    <w:rsid w:val="009A7B9A"/>
    <w:rsid w:val="009B55A1"/>
    <w:rsid w:val="009B60D0"/>
    <w:rsid w:val="009B7A49"/>
    <w:rsid w:val="009C158B"/>
    <w:rsid w:val="009C4046"/>
    <w:rsid w:val="009C5E8A"/>
    <w:rsid w:val="009D1661"/>
    <w:rsid w:val="009D1E53"/>
    <w:rsid w:val="009D6B11"/>
    <w:rsid w:val="009D6BCF"/>
    <w:rsid w:val="009E0727"/>
    <w:rsid w:val="009E1D4B"/>
    <w:rsid w:val="009E349F"/>
    <w:rsid w:val="009F52AC"/>
    <w:rsid w:val="009F78FD"/>
    <w:rsid w:val="00A00397"/>
    <w:rsid w:val="00A01343"/>
    <w:rsid w:val="00A059C8"/>
    <w:rsid w:val="00A066B1"/>
    <w:rsid w:val="00A11015"/>
    <w:rsid w:val="00A1512F"/>
    <w:rsid w:val="00A15ADC"/>
    <w:rsid w:val="00A20BD0"/>
    <w:rsid w:val="00A221AA"/>
    <w:rsid w:val="00A24F78"/>
    <w:rsid w:val="00A31892"/>
    <w:rsid w:val="00A31AF4"/>
    <w:rsid w:val="00A34629"/>
    <w:rsid w:val="00A37ECB"/>
    <w:rsid w:val="00A41D1A"/>
    <w:rsid w:val="00A459AD"/>
    <w:rsid w:val="00A467B6"/>
    <w:rsid w:val="00A516C5"/>
    <w:rsid w:val="00A53F79"/>
    <w:rsid w:val="00A57ABB"/>
    <w:rsid w:val="00A57C1B"/>
    <w:rsid w:val="00A601A2"/>
    <w:rsid w:val="00A64BCE"/>
    <w:rsid w:val="00A64C1F"/>
    <w:rsid w:val="00A7101B"/>
    <w:rsid w:val="00A7189A"/>
    <w:rsid w:val="00A75D90"/>
    <w:rsid w:val="00A7729B"/>
    <w:rsid w:val="00A775D1"/>
    <w:rsid w:val="00A81AF6"/>
    <w:rsid w:val="00A83818"/>
    <w:rsid w:val="00A86DDC"/>
    <w:rsid w:val="00A877E9"/>
    <w:rsid w:val="00A90393"/>
    <w:rsid w:val="00A923A7"/>
    <w:rsid w:val="00A925F4"/>
    <w:rsid w:val="00A958B1"/>
    <w:rsid w:val="00A95CDE"/>
    <w:rsid w:val="00AA001B"/>
    <w:rsid w:val="00AB044E"/>
    <w:rsid w:val="00AB2A9D"/>
    <w:rsid w:val="00AB6808"/>
    <w:rsid w:val="00AC5A70"/>
    <w:rsid w:val="00AD143C"/>
    <w:rsid w:val="00AD42B6"/>
    <w:rsid w:val="00AD4B42"/>
    <w:rsid w:val="00AE46C4"/>
    <w:rsid w:val="00AF066D"/>
    <w:rsid w:val="00AF1B29"/>
    <w:rsid w:val="00AF1C1B"/>
    <w:rsid w:val="00AF3F7C"/>
    <w:rsid w:val="00AF60FB"/>
    <w:rsid w:val="00AF7E6B"/>
    <w:rsid w:val="00B04842"/>
    <w:rsid w:val="00B1125B"/>
    <w:rsid w:val="00B261EB"/>
    <w:rsid w:val="00B26A07"/>
    <w:rsid w:val="00B26B17"/>
    <w:rsid w:val="00B27387"/>
    <w:rsid w:val="00B3135C"/>
    <w:rsid w:val="00B3235E"/>
    <w:rsid w:val="00B33037"/>
    <w:rsid w:val="00B34DC9"/>
    <w:rsid w:val="00B36ABB"/>
    <w:rsid w:val="00B36DAC"/>
    <w:rsid w:val="00B40CC3"/>
    <w:rsid w:val="00B45150"/>
    <w:rsid w:val="00B518B6"/>
    <w:rsid w:val="00B5255B"/>
    <w:rsid w:val="00B5260E"/>
    <w:rsid w:val="00B53914"/>
    <w:rsid w:val="00B55745"/>
    <w:rsid w:val="00B569F9"/>
    <w:rsid w:val="00B57292"/>
    <w:rsid w:val="00B65A42"/>
    <w:rsid w:val="00B67248"/>
    <w:rsid w:val="00B71EFA"/>
    <w:rsid w:val="00B73BB1"/>
    <w:rsid w:val="00B74F9A"/>
    <w:rsid w:val="00B759C7"/>
    <w:rsid w:val="00B7636A"/>
    <w:rsid w:val="00B774AE"/>
    <w:rsid w:val="00B80A77"/>
    <w:rsid w:val="00B81585"/>
    <w:rsid w:val="00B829A8"/>
    <w:rsid w:val="00B82B57"/>
    <w:rsid w:val="00B8483B"/>
    <w:rsid w:val="00B855A7"/>
    <w:rsid w:val="00B85C48"/>
    <w:rsid w:val="00B907DC"/>
    <w:rsid w:val="00B90A3E"/>
    <w:rsid w:val="00B9457F"/>
    <w:rsid w:val="00B95E79"/>
    <w:rsid w:val="00B95EC2"/>
    <w:rsid w:val="00BA00E8"/>
    <w:rsid w:val="00BA2CA1"/>
    <w:rsid w:val="00BA69A6"/>
    <w:rsid w:val="00BA75E2"/>
    <w:rsid w:val="00BB1311"/>
    <w:rsid w:val="00BB4309"/>
    <w:rsid w:val="00BB4AE9"/>
    <w:rsid w:val="00BB5110"/>
    <w:rsid w:val="00BB5741"/>
    <w:rsid w:val="00BB6044"/>
    <w:rsid w:val="00BB75DD"/>
    <w:rsid w:val="00BC0101"/>
    <w:rsid w:val="00BC3194"/>
    <w:rsid w:val="00BC33D3"/>
    <w:rsid w:val="00BC366C"/>
    <w:rsid w:val="00BC62F2"/>
    <w:rsid w:val="00BC6E42"/>
    <w:rsid w:val="00BD1564"/>
    <w:rsid w:val="00BD658B"/>
    <w:rsid w:val="00BD6E99"/>
    <w:rsid w:val="00BE35D1"/>
    <w:rsid w:val="00BE4B27"/>
    <w:rsid w:val="00BE4D59"/>
    <w:rsid w:val="00BE60DC"/>
    <w:rsid w:val="00BF7CBD"/>
    <w:rsid w:val="00C03CCA"/>
    <w:rsid w:val="00C12D84"/>
    <w:rsid w:val="00C14295"/>
    <w:rsid w:val="00C1641A"/>
    <w:rsid w:val="00C16B7A"/>
    <w:rsid w:val="00C1753B"/>
    <w:rsid w:val="00C17717"/>
    <w:rsid w:val="00C204B5"/>
    <w:rsid w:val="00C22B86"/>
    <w:rsid w:val="00C40853"/>
    <w:rsid w:val="00C51040"/>
    <w:rsid w:val="00C5660F"/>
    <w:rsid w:val="00C62B85"/>
    <w:rsid w:val="00C6617D"/>
    <w:rsid w:val="00C66467"/>
    <w:rsid w:val="00C7249E"/>
    <w:rsid w:val="00C7315E"/>
    <w:rsid w:val="00C7386B"/>
    <w:rsid w:val="00C77A86"/>
    <w:rsid w:val="00C807CA"/>
    <w:rsid w:val="00C816DC"/>
    <w:rsid w:val="00C83677"/>
    <w:rsid w:val="00C858EA"/>
    <w:rsid w:val="00C877EE"/>
    <w:rsid w:val="00C96C13"/>
    <w:rsid w:val="00C9713D"/>
    <w:rsid w:val="00C979D6"/>
    <w:rsid w:val="00CA2D7E"/>
    <w:rsid w:val="00CB206E"/>
    <w:rsid w:val="00CB26E8"/>
    <w:rsid w:val="00CB47FD"/>
    <w:rsid w:val="00CB53C9"/>
    <w:rsid w:val="00CC0A9C"/>
    <w:rsid w:val="00CC21B4"/>
    <w:rsid w:val="00CC32BA"/>
    <w:rsid w:val="00CD2504"/>
    <w:rsid w:val="00CD37FC"/>
    <w:rsid w:val="00CE0E44"/>
    <w:rsid w:val="00CE5578"/>
    <w:rsid w:val="00CE61AD"/>
    <w:rsid w:val="00CE6850"/>
    <w:rsid w:val="00CE68B2"/>
    <w:rsid w:val="00CE7949"/>
    <w:rsid w:val="00CF0844"/>
    <w:rsid w:val="00CF1A60"/>
    <w:rsid w:val="00CF1F75"/>
    <w:rsid w:val="00D01DF6"/>
    <w:rsid w:val="00D0361B"/>
    <w:rsid w:val="00D05B34"/>
    <w:rsid w:val="00D067D3"/>
    <w:rsid w:val="00D26E94"/>
    <w:rsid w:val="00D30346"/>
    <w:rsid w:val="00D3141E"/>
    <w:rsid w:val="00D32678"/>
    <w:rsid w:val="00D353B3"/>
    <w:rsid w:val="00D3782E"/>
    <w:rsid w:val="00D40262"/>
    <w:rsid w:val="00D42DCE"/>
    <w:rsid w:val="00D44BB4"/>
    <w:rsid w:val="00D47319"/>
    <w:rsid w:val="00D5168C"/>
    <w:rsid w:val="00D54E09"/>
    <w:rsid w:val="00D553B2"/>
    <w:rsid w:val="00D60197"/>
    <w:rsid w:val="00D65103"/>
    <w:rsid w:val="00D702DD"/>
    <w:rsid w:val="00D70EF0"/>
    <w:rsid w:val="00D754AA"/>
    <w:rsid w:val="00D77687"/>
    <w:rsid w:val="00D80208"/>
    <w:rsid w:val="00D81C3F"/>
    <w:rsid w:val="00D831E1"/>
    <w:rsid w:val="00D912CC"/>
    <w:rsid w:val="00D92C21"/>
    <w:rsid w:val="00DA1742"/>
    <w:rsid w:val="00DB11F0"/>
    <w:rsid w:val="00DB22DD"/>
    <w:rsid w:val="00DC112C"/>
    <w:rsid w:val="00DC54BC"/>
    <w:rsid w:val="00DC65B1"/>
    <w:rsid w:val="00DC684A"/>
    <w:rsid w:val="00DD04FF"/>
    <w:rsid w:val="00DD0960"/>
    <w:rsid w:val="00DD2422"/>
    <w:rsid w:val="00DD2688"/>
    <w:rsid w:val="00DD5000"/>
    <w:rsid w:val="00DD5A13"/>
    <w:rsid w:val="00DD6F7F"/>
    <w:rsid w:val="00DD729C"/>
    <w:rsid w:val="00DE12F4"/>
    <w:rsid w:val="00DE5D6A"/>
    <w:rsid w:val="00DE68C9"/>
    <w:rsid w:val="00DF3EEE"/>
    <w:rsid w:val="00E03DE3"/>
    <w:rsid w:val="00E04FD9"/>
    <w:rsid w:val="00E1070E"/>
    <w:rsid w:val="00E10BBE"/>
    <w:rsid w:val="00E17351"/>
    <w:rsid w:val="00E1764C"/>
    <w:rsid w:val="00E223B1"/>
    <w:rsid w:val="00E24097"/>
    <w:rsid w:val="00E24425"/>
    <w:rsid w:val="00E24E8C"/>
    <w:rsid w:val="00E26BF2"/>
    <w:rsid w:val="00E27636"/>
    <w:rsid w:val="00E2778A"/>
    <w:rsid w:val="00E34B4B"/>
    <w:rsid w:val="00E34F23"/>
    <w:rsid w:val="00E45A42"/>
    <w:rsid w:val="00E467AF"/>
    <w:rsid w:val="00E51ABC"/>
    <w:rsid w:val="00E536BA"/>
    <w:rsid w:val="00E53765"/>
    <w:rsid w:val="00E578AD"/>
    <w:rsid w:val="00E7349F"/>
    <w:rsid w:val="00E7609A"/>
    <w:rsid w:val="00E77DA9"/>
    <w:rsid w:val="00E901C5"/>
    <w:rsid w:val="00E9427E"/>
    <w:rsid w:val="00E94ED2"/>
    <w:rsid w:val="00EA01CF"/>
    <w:rsid w:val="00EA1696"/>
    <w:rsid w:val="00EA38F0"/>
    <w:rsid w:val="00EA3DAC"/>
    <w:rsid w:val="00EA541A"/>
    <w:rsid w:val="00EA599F"/>
    <w:rsid w:val="00EB0590"/>
    <w:rsid w:val="00EB3105"/>
    <w:rsid w:val="00EB4D15"/>
    <w:rsid w:val="00EB7E8B"/>
    <w:rsid w:val="00EC1F13"/>
    <w:rsid w:val="00EC38CF"/>
    <w:rsid w:val="00EC3BAA"/>
    <w:rsid w:val="00EC5193"/>
    <w:rsid w:val="00EC683A"/>
    <w:rsid w:val="00EC717E"/>
    <w:rsid w:val="00ED08E3"/>
    <w:rsid w:val="00ED0E92"/>
    <w:rsid w:val="00ED289C"/>
    <w:rsid w:val="00EE291B"/>
    <w:rsid w:val="00EF3DBF"/>
    <w:rsid w:val="00EF5FF1"/>
    <w:rsid w:val="00F06871"/>
    <w:rsid w:val="00F06896"/>
    <w:rsid w:val="00F07A29"/>
    <w:rsid w:val="00F10FCB"/>
    <w:rsid w:val="00F11534"/>
    <w:rsid w:val="00F161C5"/>
    <w:rsid w:val="00F1696E"/>
    <w:rsid w:val="00F20D6F"/>
    <w:rsid w:val="00F21378"/>
    <w:rsid w:val="00F230AE"/>
    <w:rsid w:val="00F24BC5"/>
    <w:rsid w:val="00F25110"/>
    <w:rsid w:val="00F30F80"/>
    <w:rsid w:val="00F32253"/>
    <w:rsid w:val="00F32443"/>
    <w:rsid w:val="00F33C30"/>
    <w:rsid w:val="00F3421B"/>
    <w:rsid w:val="00F359D4"/>
    <w:rsid w:val="00F36BDB"/>
    <w:rsid w:val="00F40936"/>
    <w:rsid w:val="00F44AAB"/>
    <w:rsid w:val="00F45DC3"/>
    <w:rsid w:val="00F47048"/>
    <w:rsid w:val="00F536EF"/>
    <w:rsid w:val="00F56501"/>
    <w:rsid w:val="00F627D2"/>
    <w:rsid w:val="00F65E88"/>
    <w:rsid w:val="00F7142F"/>
    <w:rsid w:val="00F75006"/>
    <w:rsid w:val="00F7778F"/>
    <w:rsid w:val="00F858FC"/>
    <w:rsid w:val="00F87C22"/>
    <w:rsid w:val="00F9169E"/>
    <w:rsid w:val="00F92AB5"/>
    <w:rsid w:val="00F933BC"/>
    <w:rsid w:val="00F943E1"/>
    <w:rsid w:val="00F9493F"/>
    <w:rsid w:val="00F97097"/>
    <w:rsid w:val="00FA098F"/>
    <w:rsid w:val="00FA1D91"/>
    <w:rsid w:val="00FA2A36"/>
    <w:rsid w:val="00FA2CA3"/>
    <w:rsid w:val="00FA7768"/>
    <w:rsid w:val="00FA7A04"/>
    <w:rsid w:val="00FB0978"/>
    <w:rsid w:val="00FB3AD0"/>
    <w:rsid w:val="00FB4FA9"/>
    <w:rsid w:val="00FB51C5"/>
    <w:rsid w:val="00FB51C6"/>
    <w:rsid w:val="00FB5521"/>
    <w:rsid w:val="00FC01BB"/>
    <w:rsid w:val="00FC0B87"/>
    <w:rsid w:val="00FC4D9E"/>
    <w:rsid w:val="00FD1F8B"/>
    <w:rsid w:val="00FD5234"/>
    <w:rsid w:val="00FD67F1"/>
    <w:rsid w:val="00FE01E7"/>
    <w:rsid w:val="00FE1740"/>
    <w:rsid w:val="00FE2C7D"/>
    <w:rsid w:val="00FE2D3D"/>
    <w:rsid w:val="00FE4660"/>
    <w:rsid w:val="00FE65BB"/>
    <w:rsid w:val="00FF687A"/>
    <w:rsid w:val="329DA7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256ED72"/>
  <w15:docId w15:val="{33D2629D-5292-41A3-8022-87AB18FA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921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9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92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619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921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061921"/>
    <w:pPr>
      <w:widowControl w:val="0"/>
      <w:autoSpaceDE w:val="0"/>
      <w:autoSpaceDN w:val="0"/>
      <w:adjustRightInd w:val="0"/>
    </w:pPr>
    <w:rPr>
      <w:rFonts w:ascii="TimesNewRoman" w:eastAsia="Times New Roman" w:hAnsi="TimesNewRoman"/>
      <w:szCs w:val="20"/>
    </w:rPr>
  </w:style>
  <w:style w:type="character" w:customStyle="1" w:styleId="SubtitleChar">
    <w:name w:val="Subtitle Char"/>
    <w:basedOn w:val="DefaultParagraphFont"/>
    <w:link w:val="Subtitle"/>
    <w:rsid w:val="00061921"/>
    <w:rPr>
      <w:rFonts w:ascii="TimesNewRoman" w:eastAsia="Times New Roman" w:hAnsi="TimesNewRoman" w:cs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42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2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2F2"/>
    <w:rPr>
      <w:rFonts w:ascii="Lucida Grande" w:eastAsiaTheme="minorHAnsi" w:hAnsi="Lucida Grande" w:cs="Times New Roman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C62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2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2F2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2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2F2"/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08415B"/>
    <w:rPr>
      <w:rFonts w:asciiTheme="minorHAnsi" w:eastAsiaTheme="minorEastAsia" w:hAnsiTheme="minorHAnsi" w:cstheme="minorBidi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415B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08415B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C979D6"/>
  </w:style>
  <w:style w:type="paragraph" w:customStyle="1" w:styleId="question">
    <w:name w:val="question"/>
    <w:basedOn w:val="Normal"/>
    <w:next w:val="Normal"/>
    <w:link w:val="questionChar"/>
    <w:uiPriority w:val="99"/>
    <w:rsid w:val="00367AFD"/>
    <w:pPr>
      <w:keepNext/>
      <w:spacing w:before="240" w:after="120" w:line="480" w:lineRule="auto"/>
      <w:ind w:left="720" w:hanging="720"/>
    </w:pPr>
    <w:rPr>
      <w:rFonts w:eastAsia="Times New Roman"/>
      <w:b/>
      <w:szCs w:val="20"/>
      <w:lang w:eastAsia="zh-CN"/>
    </w:rPr>
  </w:style>
  <w:style w:type="character" w:customStyle="1" w:styleId="questionChar">
    <w:name w:val="question Char"/>
    <w:basedOn w:val="DefaultParagraphFont"/>
    <w:link w:val="question"/>
    <w:uiPriority w:val="99"/>
    <w:locked/>
    <w:rsid w:val="00367AFD"/>
    <w:rPr>
      <w:rFonts w:ascii="Times New Roman" w:eastAsia="Times New Roman" w:hAnsi="Times New Roman" w:cs="Times New Roman"/>
      <w:b/>
      <w:sz w:val="24"/>
      <w:lang w:eastAsia="zh-CN"/>
    </w:rPr>
  </w:style>
  <w:style w:type="table" w:styleId="TableGrid">
    <w:name w:val="Table Grid"/>
    <w:basedOn w:val="TableNormal"/>
    <w:uiPriority w:val="39"/>
    <w:rsid w:val="009966D2"/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1B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2017-05-26T07:00:00+00:00</OpenedDate>
    <Date1 xmlns="dc463f71-b30c-4ab2-9473-d307f9d35888">2017-12-01T08:00:00+00:00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170485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293D7BF2DB2434CBA4573E3DBB11230" ma:contentTypeVersion="92" ma:contentTypeDescription="" ma:contentTypeScope="" ma:versionID="60b0b77e4944c850bac245fb75c837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EBE1B54-BF28-4B42-9033-4AB4FA723FEF}">
  <ds:schemaRefs>
    <ds:schemaRef ds:uri="6a7bd91e-004b-490a-8704-e368d63d59a0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7618FA-1B1D-446A-9A8B-CA962DBFEF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D7E2EE-C13D-4E6C-9A2D-EE559E16EE8A}"/>
</file>

<file path=customXml/itemProps4.xml><?xml version="1.0" encoding="utf-8"?>
<ds:datastoreItem xmlns:ds="http://schemas.openxmlformats.org/officeDocument/2006/customXml" ds:itemID="{388D330C-B717-46B4-A7BE-D39B188BD08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706F615-29C2-4477-9D16-F288C1AD4A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2223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Opportunity Council</Company>
  <LinksUpToDate>false</LinksUpToDate>
  <CharactersWithSpaces>14868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Shawn Collins</dc:creator>
  <cp:lastModifiedBy>Huey, Lorilyn (UTC)</cp:lastModifiedBy>
  <cp:revision>2</cp:revision>
  <cp:lastPrinted>2017-11-29T18:55:00Z</cp:lastPrinted>
  <dcterms:created xsi:type="dcterms:W3CDTF">2017-12-01T19:46:00Z</dcterms:created>
  <dcterms:modified xsi:type="dcterms:W3CDTF">2017-12-01T19:46:00Z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0x0101006E56B4D1795A2E4DB2F0B01679ED314A004293D7BF2DB2434CBA4573E3DBB11230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