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000"/>
      </w:tblPr>
      <w:tblGrid>
        <w:gridCol w:w="5148"/>
        <w:gridCol w:w="4500"/>
      </w:tblGrid>
      <w:tr w:rsidR="00C72C57" w:rsidTr="005A398E">
        <w:trPr>
          <w:cantSplit/>
        </w:trPr>
        <w:tc>
          <w:tcPr>
            <w:tcW w:w="9648" w:type="dxa"/>
            <w:gridSpan w:val="2"/>
          </w:tcPr>
          <w:p w:rsidR="00C72C57" w:rsidRDefault="00C72C57" w:rsidP="00562138">
            <w:pPr>
              <w:spacing w:before="360" w:after="240"/>
              <w:jc w:val="center"/>
              <w:rPr>
                <w:b/>
              </w:rPr>
            </w:pPr>
            <w:r>
              <w:rPr>
                <w:b/>
              </w:rPr>
              <w:t>BE</w:t>
            </w:r>
            <w:r w:rsidR="005A398E">
              <w:rPr>
                <w:b/>
              </w:rPr>
              <w:t>F</w:t>
            </w:r>
            <w:r>
              <w:rPr>
                <w:b/>
              </w:rPr>
              <w:t>ORE THE WASHINGTON UTIL</w:t>
            </w:r>
            <w:r w:rsidR="005A398E">
              <w:rPr>
                <w:b/>
              </w:rPr>
              <w:t>I</w:t>
            </w:r>
            <w:r>
              <w:rPr>
                <w:b/>
              </w:rPr>
              <w:t>TIES AND TRANSPORTATION COMMISSION</w:t>
            </w:r>
          </w:p>
          <w:p w:rsidR="00C72C57" w:rsidRDefault="00C72C57" w:rsidP="00562138">
            <w:pPr>
              <w:spacing w:before="360" w:after="240"/>
              <w:jc w:val="center"/>
              <w:rPr>
                <w:b/>
              </w:rPr>
            </w:pPr>
          </w:p>
        </w:tc>
      </w:tr>
      <w:tr w:rsidR="00C72C57" w:rsidRPr="00F27EA1" w:rsidTr="005A398E">
        <w:tc>
          <w:tcPr>
            <w:tcW w:w="5148" w:type="dxa"/>
            <w:tcBorders>
              <w:bottom w:val="single" w:sz="4" w:space="0" w:color="auto"/>
              <w:right w:val="single" w:sz="4" w:space="0" w:color="auto"/>
            </w:tcBorders>
          </w:tcPr>
          <w:p w:rsidR="00C72C57" w:rsidRDefault="00C72C57" w:rsidP="00562138">
            <w:pPr>
              <w:spacing w:line="240" w:lineRule="atLeast"/>
              <w:rPr>
                <w:b/>
              </w:rPr>
            </w:pPr>
          </w:p>
          <w:tbl>
            <w:tblPr>
              <w:tblW w:w="9540" w:type="dxa"/>
              <w:tblLayout w:type="fixed"/>
              <w:tblLook w:val="01E0"/>
            </w:tblPr>
            <w:tblGrid>
              <w:gridCol w:w="4860"/>
              <w:gridCol w:w="360"/>
              <w:gridCol w:w="4320"/>
            </w:tblGrid>
            <w:tr w:rsidR="00C72C57" w:rsidTr="00562138">
              <w:tc>
                <w:tcPr>
                  <w:tcW w:w="4860" w:type="dxa"/>
                </w:tcPr>
                <w:p w:rsidR="00C72C57" w:rsidRDefault="00C72C57" w:rsidP="00562138">
                  <w:pPr>
                    <w:tabs>
                      <w:tab w:val="left" w:pos="5220"/>
                    </w:tabs>
                  </w:pPr>
                  <w:r>
                    <w:t xml:space="preserve">In the Matter of the Joint Application of </w:t>
                  </w:r>
                </w:p>
                <w:p w:rsidR="00C72C57" w:rsidRDefault="00C72C57" w:rsidP="00562138">
                  <w:pPr>
                    <w:tabs>
                      <w:tab w:val="left" w:pos="5220"/>
                    </w:tabs>
                  </w:pPr>
                </w:p>
                <w:p w:rsidR="00C72C57" w:rsidRDefault="00C72C57" w:rsidP="00562138">
                  <w:pPr>
                    <w:tabs>
                      <w:tab w:val="left" w:pos="5220"/>
                    </w:tabs>
                  </w:pPr>
                  <w:r>
                    <w:t>QWEST COMMUNICATIONS INTERNATIONAL INC. AND CENTURYTEL, INC.</w:t>
                  </w:r>
                </w:p>
                <w:p w:rsidR="00C72C57" w:rsidRDefault="00C72C57" w:rsidP="00562138">
                  <w:pPr>
                    <w:tabs>
                      <w:tab w:val="left" w:pos="5220"/>
                    </w:tabs>
                  </w:pPr>
                </w:p>
                <w:p w:rsidR="00C72C57" w:rsidRDefault="00C72C57" w:rsidP="00562138">
                  <w:pPr>
                    <w:tabs>
                      <w:tab w:val="left" w:pos="5220"/>
                    </w:tabs>
                    <w:rPr>
                      <w:u w:val="single"/>
                    </w:rPr>
                  </w:pPr>
                  <w:r>
                    <w:t>For Approval of Indirect Transfer of Control of Qwest Corporation, Qwest Communications Company LLC, and Qwest LD Corp.</w:t>
                  </w:r>
                </w:p>
              </w:tc>
              <w:tc>
                <w:tcPr>
                  <w:tcW w:w="360" w:type="dxa"/>
                </w:tcPr>
                <w:p w:rsidR="00C72C57" w:rsidRDefault="00C72C57" w:rsidP="00562138"/>
              </w:tc>
              <w:tc>
                <w:tcPr>
                  <w:tcW w:w="4320" w:type="dxa"/>
                </w:tcPr>
                <w:p w:rsidR="00C72C57" w:rsidRDefault="00C72C57" w:rsidP="00562138"/>
                <w:p w:rsidR="00C72C57" w:rsidRDefault="00C72C57" w:rsidP="00562138">
                  <w:r>
                    <w:rPr>
                      <w:caps/>
                    </w:rPr>
                    <w:t>DOCKET No.</w:t>
                  </w:r>
                  <w:r>
                    <w:t xml:space="preserve"> UT-100820</w:t>
                  </w:r>
                </w:p>
                <w:p w:rsidR="00C72C57" w:rsidRDefault="00C72C57" w:rsidP="00562138"/>
                <w:p w:rsidR="00C72C57" w:rsidRDefault="00C72C57" w:rsidP="00562138">
                  <w:r>
                    <w:t>JOINT CLEC RESPONSE TO MOTION FOR SUPPLEMENTAL PROTECTIVE ORDER</w:t>
                  </w:r>
                </w:p>
                <w:p w:rsidR="00C72C57" w:rsidRDefault="00C72C57" w:rsidP="00562138">
                  <w:pPr>
                    <w:jc w:val="center"/>
                  </w:pPr>
                </w:p>
              </w:tc>
            </w:tr>
          </w:tbl>
          <w:p w:rsidR="00C72C57" w:rsidRDefault="00C72C57" w:rsidP="00562138">
            <w:pPr>
              <w:jc w:val="center"/>
              <w:rPr>
                <w:b/>
                <w:bCs/>
              </w:rPr>
            </w:pPr>
          </w:p>
          <w:p w:rsidR="00C72C57" w:rsidRPr="000311EC" w:rsidRDefault="00C72C57" w:rsidP="00562138">
            <w:pPr>
              <w:spacing w:line="240" w:lineRule="atLeast"/>
              <w:rPr>
                <w:b/>
              </w:rPr>
            </w:pPr>
          </w:p>
        </w:tc>
        <w:tc>
          <w:tcPr>
            <w:tcW w:w="4500" w:type="dxa"/>
            <w:tcBorders>
              <w:left w:val="nil"/>
            </w:tcBorders>
          </w:tcPr>
          <w:p w:rsidR="00C72C57" w:rsidRDefault="00C72C57" w:rsidP="00562138">
            <w:pPr>
              <w:spacing w:line="240" w:lineRule="atLeast"/>
              <w:rPr>
                <w:b/>
              </w:rPr>
            </w:pPr>
          </w:p>
          <w:p w:rsidR="00C72C57" w:rsidRDefault="00C72C57" w:rsidP="00562138">
            <w:pPr>
              <w:spacing w:line="240" w:lineRule="atLeast"/>
              <w:rPr>
                <w:b/>
              </w:rPr>
            </w:pPr>
          </w:p>
          <w:p w:rsidR="00C72C57" w:rsidRPr="00F27EA1" w:rsidRDefault="00C72C57" w:rsidP="00562138">
            <w:pPr>
              <w:spacing w:line="240" w:lineRule="atLeast"/>
              <w:rPr>
                <w:b/>
              </w:rPr>
            </w:pPr>
            <w:r w:rsidRPr="00F27EA1">
              <w:rPr>
                <w:b/>
              </w:rPr>
              <w:t>DOCKET NO. UT-</w:t>
            </w:r>
            <w:r>
              <w:rPr>
                <w:b/>
              </w:rPr>
              <w:t>100820</w:t>
            </w:r>
          </w:p>
        </w:tc>
      </w:tr>
    </w:tbl>
    <w:p w:rsidR="00C72C57" w:rsidRDefault="00C72C57" w:rsidP="00875E88">
      <w:pPr>
        <w:suppressLineNumbers/>
      </w:pPr>
    </w:p>
    <w:p w:rsidR="00C72C57" w:rsidRDefault="00C72C57" w:rsidP="00875E88">
      <w:pPr>
        <w:suppressLineNumbers/>
      </w:pPr>
    </w:p>
    <w:p w:rsidR="00C72C57" w:rsidRDefault="00C72C57" w:rsidP="00875E88">
      <w:pPr>
        <w:suppressLineNumbers/>
      </w:pPr>
    </w:p>
    <w:p w:rsidR="00187E5D" w:rsidRDefault="00187E5D" w:rsidP="00187E5D">
      <w:pPr>
        <w:suppressLineNumbers/>
        <w:jc w:val="center"/>
        <w:rPr>
          <w:b/>
        </w:rPr>
      </w:pPr>
    </w:p>
    <w:p w:rsidR="00721E18" w:rsidRDefault="00721E18" w:rsidP="00187E5D">
      <w:pPr>
        <w:suppressLineNumbers/>
        <w:jc w:val="center"/>
        <w:rPr>
          <w:b/>
        </w:rPr>
      </w:pPr>
      <w:r>
        <w:rPr>
          <w:b/>
        </w:rPr>
        <w:t>REBUTTAL TESTIMONY OF</w:t>
      </w:r>
    </w:p>
    <w:p w:rsidR="00721E18" w:rsidRDefault="00721E18" w:rsidP="00187E5D">
      <w:pPr>
        <w:suppressLineNumbers/>
        <w:jc w:val="center"/>
        <w:rPr>
          <w:b/>
        </w:rPr>
      </w:pPr>
    </w:p>
    <w:p w:rsidR="00721E18" w:rsidRPr="007E1625" w:rsidRDefault="00721E18" w:rsidP="00187E5D">
      <w:pPr>
        <w:suppressLineNumbers/>
        <w:jc w:val="center"/>
        <w:rPr>
          <w:rFonts w:ascii="Times New Roman Bold" w:hAnsi="Times New Roman Bold"/>
          <w:b/>
          <w:caps/>
        </w:rPr>
      </w:pPr>
      <w:r w:rsidRPr="007E1625">
        <w:rPr>
          <w:rFonts w:ascii="Times New Roman Bold" w:hAnsi="Times New Roman Bold"/>
          <w:b/>
          <w:caps/>
        </w:rPr>
        <w:t>G. Clay Bailey</w:t>
      </w:r>
    </w:p>
    <w:p w:rsidR="00721E18" w:rsidRDefault="00721E18" w:rsidP="00187E5D">
      <w:pPr>
        <w:suppressLineNumbers/>
        <w:jc w:val="center"/>
        <w:rPr>
          <w:b/>
        </w:rPr>
      </w:pPr>
    </w:p>
    <w:p w:rsidR="00721E18" w:rsidRDefault="00721E18" w:rsidP="00187E5D">
      <w:pPr>
        <w:suppressLineNumbers/>
        <w:jc w:val="center"/>
        <w:rPr>
          <w:b/>
        </w:rPr>
      </w:pPr>
    </w:p>
    <w:p w:rsidR="00721E18" w:rsidRDefault="00721E18" w:rsidP="00187E5D">
      <w:pPr>
        <w:suppressLineNumbers/>
        <w:jc w:val="center"/>
        <w:rPr>
          <w:b/>
        </w:rPr>
      </w:pPr>
      <w:r>
        <w:rPr>
          <w:b/>
        </w:rPr>
        <w:t>ON BEHALF OF</w:t>
      </w:r>
    </w:p>
    <w:p w:rsidR="00721E18" w:rsidRDefault="00721E18" w:rsidP="00187E5D">
      <w:pPr>
        <w:suppressLineNumbers/>
        <w:jc w:val="center"/>
        <w:rPr>
          <w:b/>
        </w:rPr>
      </w:pPr>
    </w:p>
    <w:p w:rsidR="00721E18" w:rsidRPr="00A72E00" w:rsidRDefault="00721E18" w:rsidP="00187E5D">
      <w:pPr>
        <w:suppressLineNumbers/>
        <w:jc w:val="center"/>
        <w:rPr>
          <w:b/>
        </w:rPr>
      </w:pPr>
      <w:r>
        <w:rPr>
          <w:b/>
        </w:rPr>
        <w:t>CENTURYLINK, INC.</w:t>
      </w:r>
    </w:p>
    <w:p w:rsidR="00187E5D" w:rsidRDefault="00187E5D" w:rsidP="00187E5D">
      <w:pPr>
        <w:suppressLineNumbers/>
        <w:jc w:val="center"/>
        <w:rPr>
          <w:b/>
          <w:bCs/>
        </w:rPr>
      </w:pPr>
    </w:p>
    <w:p w:rsidR="00187E5D" w:rsidRDefault="00187E5D" w:rsidP="00187E5D">
      <w:pPr>
        <w:suppressLineNumbers/>
        <w:jc w:val="center"/>
        <w:rPr>
          <w:b/>
          <w:bCs/>
        </w:rPr>
      </w:pPr>
    </w:p>
    <w:p w:rsidR="00187E5D" w:rsidRDefault="00187E5D" w:rsidP="00187E5D">
      <w:pPr>
        <w:suppressLineNumbers/>
        <w:jc w:val="center"/>
        <w:rPr>
          <w:b/>
          <w:bCs/>
        </w:rPr>
      </w:pPr>
    </w:p>
    <w:p w:rsidR="00187E5D" w:rsidRDefault="009E78B1" w:rsidP="00187E5D">
      <w:pPr>
        <w:suppressLineNumbers/>
        <w:jc w:val="center"/>
        <w:rPr>
          <w:b/>
          <w:bCs/>
        </w:rPr>
      </w:pPr>
      <w:r>
        <w:rPr>
          <w:b/>
          <w:bCs/>
        </w:rPr>
        <w:t>NOVEMBER 1</w:t>
      </w:r>
      <w:r w:rsidR="00187E5D">
        <w:rPr>
          <w:b/>
          <w:bCs/>
        </w:rPr>
        <w:t>, 2010</w:t>
      </w:r>
    </w:p>
    <w:p w:rsidR="00CB6099" w:rsidRDefault="00CB6099" w:rsidP="00187E5D">
      <w:pPr>
        <w:suppressLineNumbers/>
        <w:jc w:val="center"/>
        <w:rPr>
          <w:b/>
          <w:bCs/>
        </w:rPr>
      </w:pPr>
    </w:p>
    <w:p w:rsidR="00CB6099" w:rsidRDefault="008C5B32" w:rsidP="00187E5D">
      <w:pPr>
        <w:suppressLineNumbers/>
        <w:jc w:val="center"/>
        <w:rPr>
          <w:b/>
          <w:bCs/>
        </w:rPr>
      </w:pPr>
      <w:r>
        <w:rPr>
          <w:b/>
          <w:bCs/>
        </w:rPr>
        <w:t>REDACTED</w:t>
      </w:r>
    </w:p>
    <w:p w:rsidR="00CB6099" w:rsidRDefault="00CB6099" w:rsidP="00187E5D">
      <w:pPr>
        <w:suppressLineNumbers/>
        <w:jc w:val="center"/>
        <w:rPr>
          <w:b/>
          <w:bCs/>
        </w:rPr>
        <w:sectPr w:rsidR="00CB6099" w:rsidSect="00776B97">
          <w:headerReference w:type="default" r:id="rId8"/>
          <w:footerReference w:type="default" r:id="rId9"/>
          <w:pgSz w:w="12240" w:h="15840" w:code="1"/>
          <w:pgMar w:top="1440" w:right="1440" w:bottom="1440" w:left="1440" w:header="720" w:footer="720" w:gutter="0"/>
          <w:lnNumType w:countBy="1"/>
          <w:cols w:space="720"/>
          <w:docGrid w:linePitch="360"/>
        </w:sectPr>
      </w:pPr>
      <w:r>
        <w:rPr>
          <w:b/>
          <w:bCs/>
        </w:rPr>
        <w:t>HIGHLY CONFIDENTIAL VERSION</w:t>
      </w:r>
    </w:p>
    <w:p w:rsidR="00776B97" w:rsidRDefault="00776B97" w:rsidP="00187E5D">
      <w:pPr>
        <w:suppressLineNumbers/>
        <w:jc w:val="center"/>
        <w:rPr>
          <w:b/>
          <w:bCs/>
        </w:rPr>
      </w:pPr>
    </w:p>
    <w:p w:rsidR="00776B97" w:rsidRDefault="00776B97" w:rsidP="00EC69BB">
      <w:pPr>
        <w:tabs>
          <w:tab w:val="left" w:pos="720"/>
          <w:tab w:val="left" w:pos="1440"/>
          <w:tab w:val="left" w:pos="2160"/>
          <w:tab w:val="left" w:pos="2880"/>
          <w:tab w:val="left" w:pos="3600"/>
          <w:tab w:val="left" w:pos="4320"/>
          <w:tab w:val="left" w:pos="5040"/>
          <w:tab w:val="left" w:pos="5760"/>
          <w:tab w:val="left" w:pos="6480"/>
          <w:tab w:val="left" w:pos="7200"/>
          <w:tab w:val="left" w:pos="8411"/>
        </w:tabs>
        <w:spacing w:line="480" w:lineRule="auto"/>
        <w:jc w:val="both"/>
        <w:rPr>
          <w:b/>
          <w:bCs/>
        </w:rPr>
      </w:pPr>
      <w:r>
        <w:rPr>
          <w:b/>
          <w:bCs/>
        </w:rPr>
        <w:t>Q.</w:t>
      </w:r>
      <w:r>
        <w:rPr>
          <w:b/>
          <w:bCs/>
        </w:rPr>
        <w:tab/>
      </w:r>
      <w:r w:rsidRPr="00112F5F">
        <w:rPr>
          <w:rFonts w:ascii="Times New Roman Bold" w:hAnsi="Times New Roman Bold"/>
          <w:b/>
          <w:bCs/>
          <w:caps/>
        </w:rPr>
        <w:t>Please state your name and business address.</w:t>
      </w:r>
      <w:r w:rsidR="00EC69BB">
        <w:rPr>
          <w:rFonts w:ascii="Times New Roman Bold" w:hAnsi="Times New Roman Bold"/>
          <w:b/>
          <w:bCs/>
          <w:caps/>
        </w:rPr>
        <w:tab/>
      </w:r>
      <w:r w:rsidR="00EC69BB">
        <w:rPr>
          <w:rFonts w:ascii="Times New Roman Bold" w:hAnsi="Times New Roman Bold"/>
          <w:b/>
          <w:bCs/>
          <w:caps/>
        </w:rPr>
        <w:tab/>
      </w:r>
    </w:p>
    <w:p w:rsidR="00776B97" w:rsidRDefault="00776B97">
      <w:pPr>
        <w:spacing w:line="480" w:lineRule="auto"/>
        <w:ind w:left="720" w:hanging="720"/>
        <w:jc w:val="both"/>
      </w:pPr>
      <w:r>
        <w:t>A.</w:t>
      </w:r>
      <w:r>
        <w:tab/>
        <w:t>My name is G. Clay Bailey and my business address is 100 CenturyLink Drive, Monroe, Louisiana 71203.</w:t>
      </w:r>
    </w:p>
    <w:p w:rsidR="00776B97" w:rsidRDefault="00776B97">
      <w:pPr>
        <w:spacing w:line="480" w:lineRule="auto"/>
        <w:ind w:left="720" w:hanging="720"/>
        <w:jc w:val="both"/>
      </w:pPr>
    </w:p>
    <w:p w:rsidR="00776B97" w:rsidRPr="00112F5F" w:rsidRDefault="00776B97">
      <w:pPr>
        <w:spacing w:line="480" w:lineRule="auto"/>
        <w:ind w:left="720" w:hanging="720"/>
        <w:jc w:val="both"/>
        <w:rPr>
          <w:rFonts w:ascii="Times New Roman Bold" w:hAnsi="Times New Roman Bold"/>
          <w:b/>
          <w:bCs/>
          <w:caps/>
        </w:rPr>
      </w:pPr>
      <w:r w:rsidRPr="00AD29BA">
        <w:rPr>
          <w:b/>
          <w:bCs/>
        </w:rPr>
        <w:t>Q.</w:t>
      </w:r>
      <w:r w:rsidRPr="00AD29BA">
        <w:rPr>
          <w:b/>
          <w:bCs/>
        </w:rPr>
        <w:tab/>
      </w:r>
      <w:r w:rsidRPr="00112F5F">
        <w:rPr>
          <w:rFonts w:ascii="Times New Roman Bold" w:hAnsi="Times New Roman Bold"/>
          <w:b/>
          <w:bCs/>
          <w:caps/>
        </w:rPr>
        <w:t>Who is your employer and what is your position?</w:t>
      </w:r>
    </w:p>
    <w:p w:rsidR="00776B97" w:rsidRDefault="00776B97" w:rsidP="000C0EED">
      <w:pPr>
        <w:spacing w:line="480" w:lineRule="auto"/>
        <w:ind w:left="720" w:hanging="720"/>
        <w:jc w:val="both"/>
      </w:pPr>
      <w:r>
        <w:t>A.</w:t>
      </w:r>
      <w:r>
        <w:tab/>
        <w:t>I am employed as Senior Vice President and Treasurer for CenturyLink, Inc. (“CenturyLink</w:t>
      </w:r>
      <w:r w:rsidR="00A8105F">
        <w:t>,</w:t>
      </w:r>
      <w:r>
        <w:t xml:space="preserve">” </w:t>
      </w:r>
      <w:r w:rsidR="007667B0">
        <w:t xml:space="preserve">or </w:t>
      </w:r>
      <w:r>
        <w:t>the “Company”)</w:t>
      </w:r>
      <w:r w:rsidR="00467BFF">
        <w:t>.</w:t>
      </w:r>
    </w:p>
    <w:p w:rsidR="00776B97" w:rsidRDefault="00776B97" w:rsidP="000C0EED">
      <w:pPr>
        <w:spacing w:line="480" w:lineRule="auto"/>
        <w:ind w:left="720" w:hanging="720"/>
        <w:jc w:val="both"/>
      </w:pPr>
    </w:p>
    <w:p w:rsidR="00776B97" w:rsidRPr="00112F5F" w:rsidRDefault="00776B97" w:rsidP="000C0EE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Are you the same G. Clay Bailey who supplied direct testim</w:t>
      </w:r>
      <w:r w:rsidR="00EA4A2B" w:rsidRPr="00112F5F">
        <w:rPr>
          <w:rFonts w:ascii="Times New Roman Bold" w:hAnsi="Times New Roman Bold"/>
          <w:b/>
          <w:bCs/>
          <w:caps/>
        </w:rPr>
        <w:t>ony in this proceeding on May 2</w:t>
      </w:r>
      <w:r w:rsidR="009E78B1" w:rsidRPr="00112F5F">
        <w:rPr>
          <w:rFonts w:ascii="Times New Roman Bold" w:hAnsi="Times New Roman Bold"/>
          <w:b/>
          <w:bCs/>
          <w:caps/>
        </w:rPr>
        <w:t>1</w:t>
      </w:r>
      <w:r w:rsidRPr="00112F5F">
        <w:rPr>
          <w:rFonts w:ascii="Times New Roman Bold" w:hAnsi="Times New Roman Bold"/>
          <w:b/>
          <w:bCs/>
          <w:caps/>
        </w:rPr>
        <w:t>, 2010?</w:t>
      </w:r>
      <w:r w:rsidRPr="00C7304C">
        <w:rPr>
          <w:rStyle w:val="FootnoteReference"/>
          <w:rFonts w:ascii="Times New Roman Bold" w:hAnsi="Times New Roman Bold"/>
          <w:b/>
          <w:bCs/>
          <w:caps/>
        </w:rPr>
        <w:footnoteReference w:id="1"/>
      </w:r>
    </w:p>
    <w:p w:rsidR="00776B97" w:rsidRPr="007C3DD2" w:rsidRDefault="00776B97" w:rsidP="000C0EED">
      <w:pPr>
        <w:spacing w:line="480" w:lineRule="auto"/>
        <w:ind w:left="720" w:hanging="720"/>
        <w:jc w:val="both"/>
      </w:pPr>
      <w:r>
        <w:t>A.</w:t>
      </w:r>
      <w:r>
        <w:tab/>
        <w:t>Yes.  I am.</w:t>
      </w:r>
    </w:p>
    <w:p w:rsidR="00776B97" w:rsidRDefault="00776B97" w:rsidP="000C0EED">
      <w:pPr>
        <w:spacing w:line="480" w:lineRule="auto"/>
        <w:ind w:left="720" w:hanging="720"/>
        <w:jc w:val="both"/>
      </w:pPr>
    </w:p>
    <w:p w:rsidR="00776B97" w:rsidRPr="00112F5F" w:rsidRDefault="00776B97" w:rsidP="000C0EE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What is the purpose of your Rebuttal Testimony?</w:t>
      </w:r>
    </w:p>
    <w:p w:rsidR="00776B97" w:rsidRDefault="00776B97" w:rsidP="00F6728A">
      <w:pPr>
        <w:spacing w:line="480" w:lineRule="auto"/>
        <w:ind w:left="720" w:hanging="720"/>
        <w:jc w:val="both"/>
      </w:pPr>
      <w:r>
        <w:t>A.</w:t>
      </w:r>
      <w:r>
        <w:tab/>
        <w:t xml:space="preserve">I am providing rebuttal testimony concerning financial and related issues raised in </w:t>
      </w:r>
      <w:r w:rsidR="006E1AA3">
        <w:t>certain</w:t>
      </w:r>
      <w:r>
        <w:t xml:space="preserve"> testimonies in the proceeding before the </w:t>
      </w:r>
      <w:r w:rsidR="009E78B1">
        <w:t xml:space="preserve">Washington Utilities and Transportation </w:t>
      </w:r>
      <w:r>
        <w:t>Commission</w:t>
      </w:r>
      <w:r w:rsidRPr="00D3492B">
        <w:t xml:space="preserve"> (“Commission”)</w:t>
      </w:r>
      <w:r>
        <w:t xml:space="preserve"> related to the proposed merger </w:t>
      </w:r>
      <w:r w:rsidR="00503DD5">
        <w:t xml:space="preserve">(the “Transaction”) </w:t>
      </w:r>
      <w:r>
        <w:t xml:space="preserve">of </w:t>
      </w:r>
      <w:r w:rsidRPr="00797FC9">
        <w:t>Qwest Communications International, Inc.</w:t>
      </w:r>
      <w:r>
        <w:t xml:space="preserve"> (“Qwest”) and CenturyLink.  Specifically, I will address the testimonies of </w:t>
      </w:r>
      <w:r w:rsidR="008E5925">
        <w:t>M</w:t>
      </w:r>
      <w:r w:rsidR="009E78B1">
        <w:t>r</w:t>
      </w:r>
      <w:r w:rsidR="008E5925">
        <w:t>.</w:t>
      </w:r>
      <w:r w:rsidR="009E78B1">
        <w:t xml:space="preserve"> Rick </w:t>
      </w:r>
      <w:r w:rsidR="006E1AA3">
        <w:t xml:space="preserve">T. </w:t>
      </w:r>
      <w:r w:rsidR="009E78B1">
        <w:t>Applegate</w:t>
      </w:r>
      <w:r>
        <w:rPr>
          <w:rStyle w:val="FootnoteReference"/>
        </w:rPr>
        <w:footnoteReference w:id="2"/>
      </w:r>
      <w:r w:rsidR="00CB0E74">
        <w:t xml:space="preserve"> and</w:t>
      </w:r>
      <w:r w:rsidR="008E5925">
        <w:t xml:space="preserve"> </w:t>
      </w:r>
      <w:r w:rsidR="00632A25">
        <w:t xml:space="preserve">Mr. Mark </w:t>
      </w:r>
      <w:r w:rsidR="006E1AA3">
        <w:t xml:space="preserve">J. </w:t>
      </w:r>
      <w:r w:rsidR="00632A25">
        <w:t>Vasconi</w:t>
      </w:r>
      <w:r w:rsidR="00632A25">
        <w:rPr>
          <w:rStyle w:val="FootnoteReference"/>
        </w:rPr>
        <w:footnoteReference w:id="3"/>
      </w:r>
      <w:r w:rsidR="00632A25">
        <w:t xml:space="preserve">, </w:t>
      </w:r>
      <w:r>
        <w:t xml:space="preserve">who </w:t>
      </w:r>
      <w:r>
        <w:lastRenderedPageBreak/>
        <w:t>provide</w:t>
      </w:r>
      <w:r w:rsidR="007667B0">
        <w:t>d</w:t>
      </w:r>
      <w:r>
        <w:t xml:space="preserve"> testimony on behalf of the Staff of the Commission (collectively “Staff”); </w:t>
      </w:r>
      <w:r w:rsidR="00C461E2">
        <w:t xml:space="preserve"> </w:t>
      </w:r>
      <w:r w:rsidRPr="00B10706">
        <w:t>Mr. Timothy Gates</w:t>
      </w:r>
      <w:r w:rsidR="008E5925">
        <w:rPr>
          <w:rStyle w:val="FootnoteReference"/>
        </w:rPr>
        <w:footnoteReference w:id="4"/>
      </w:r>
      <w:r w:rsidR="008E5925">
        <w:t xml:space="preserve"> and </w:t>
      </w:r>
      <w:r w:rsidR="00FD4215">
        <w:t>D</w:t>
      </w:r>
      <w:r w:rsidR="008E5925">
        <w:t xml:space="preserve">r. </w:t>
      </w:r>
      <w:r w:rsidR="00FD4215">
        <w:t xml:space="preserve">August </w:t>
      </w:r>
      <w:r w:rsidR="008E5925">
        <w:t>Ankum</w:t>
      </w:r>
      <w:r w:rsidR="008E5925">
        <w:rPr>
          <w:rStyle w:val="FootnoteReference"/>
        </w:rPr>
        <w:footnoteReference w:id="5"/>
      </w:r>
      <w:r w:rsidRPr="00B10706">
        <w:t xml:space="preserve">, who provided </w:t>
      </w:r>
      <w:r w:rsidR="00632A25">
        <w:t>responsive</w:t>
      </w:r>
      <w:r w:rsidRPr="00B10706">
        <w:t xml:space="preserve"> testimony on behalf of </w:t>
      </w:r>
      <w:r w:rsidR="00F5048A">
        <w:t>Integr</w:t>
      </w:r>
      <w:r w:rsidR="00E24D73">
        <w:t>a Telecom of Washington, Inc., E</w:t>
      </w:r>
      <w:r w:rsidR="00F5048A">
        <w:t>lectric Lightwave, Inc., Advanced TelCom, Inc., and United Communications, Inc. d/b</w:t>
      </w:r>
      <w:r w:rsidR="00E24D73">
        <w:t>/a Unicom (collectively “</w:t>
      </w:r>
      <w:r w:rsidR="00833B7E">
        <w:t>Integra</w:t>
      </w:r>
      <w:r w:rsidR="00F5048A">
        <w:t xml:space="preserve">”); </w:t>
      </w:r>
      <w:r w:rsidR="00E24D73">
        <w:t>tw telecom of Washington, LLC; C</w:t>
      </w:r>
      <w:r w:rsidR="00F5048A">
        <w:t xml:space="preserve">ovad Communications Company; Level 3 Communications, LLC; McLeodUSA Telecommunications Services Inc., d/b/a PAETEC Business Services; Charter Fiberlink WA-CCVII, LLC; and Cbeyond Communications LLC </w:t>
      </w:r>
      <w:r>
        <w:t>(collectively, these competitive local exchange carriers are the “Joint CLECs”)</w:t>
      </w:r>
      <w:r w:rsidRPr="00B10706">
        <w:t>;</w:t>
      </w:r>
      <w:r w:rsidR="00D3182D">
        <w:t xml:space="preserve"> Mr. </w:t>
      </w:r>
      <w:r w:rsidR="00BF0CFE">
        <w:t>James Appleby</w:t>
      </w:r>
      <w:r w:rsidR="00D3182D">
        <w:rPr>
          <w:rStyle w:val="FootnoteReference"/>
        </w:rPr>
        <w:footnoteReference w:id="6"/>
      </w:r>
      <w:r w:rsidR="00D3182D">
        <w:t xml:space="preserve">, who provided </w:t>
      </w:r>
      <w:r w:rsidR="00BF0CFE">
        <w:t>responsive</w:t>
      </w:r>
      <w:r w:rsidR="00D3182D">
        <w:t xml:space="preserve"> testimony on behalf of </w:t>
      </w:r>
      <w:r w:rsidR="00BF0CFE">
        <w:t xml:space="preserve">Sprint Nextel Corporation </w:t>
      </w:r>
      <w:r w:rsidR="00E116D7">
        <w:t>(</w:t>
      </w:r>
      <w:r w:rsidR="00BF0CFE">
        <w:t>“Sprint</w:t>
      </w:r>
      <w:r w:rsidR="0082383F">
        <w:t xml:space="preserve"> Nextel</w:t>
      </w:r>
      <w:r w:rsidR="00E116D7">
        <w:t>”)</w:t>
      </w:r>
      <w:r w:rsidR="00D3182D">
        <w:t>; and Mr. Charles King</w:t>
      </w:r>
      <w:r w:rsidR="00D3182D">
        <w:rPr>
          <w:rStyle w:val="FootnoteReference"/>
        </w:rPr>
        <w:footnoteReference w:id="7"/>
      </w:r>
      <w:r w:rsidR="00D3182D">
        <w:t xml:space="preserve">, who provided </w:t>
      </w:r>
      <w:r w:rsidR="00632A25">
        <w:t>responsive</w:t>
      </w:r>
      <w:r w:rsidR="00D3182D">
        <w:t xml:space="preserve"> testimony on behalf of The Department of Defense and all other Federal Executive Agencies</w:t>
      </w:r>
      <w:r w:rsidR="00E116D7">
        <w:t xml:space="preserve"> (“DOD”)</w:t>
      </w:r>
      <w:r>
        <w:t xml:space="preserve">. </w:t>
      </w:r>
      <w:r w:rsidRPr="00D3492B">
        <w:t xml:space="preserve"> My rebuttal testimony regarding financial and related issues is to be read in conjunction with the rebuttal testimonies provided by other witnesses representing CenturyLink and Qwest</w:t>
      </w:r>
      <w:r w:rsidR="00086AA1">
        <w:t xml:space="preserve"> </w:t>
      </w:r>
      <w:r w:rsidR="00086AA1">
        <w:lastRenderedPageBreak/>
        <w:t>(“Joint Applicants”)</w:t>
      </w:r>
      <w:r w:rsidRPr="00D3492B">
        <w:t xml:space="preserve">.  I have reviewed and agree with the rebuttal testimonies presented by those other </w:t>
      </w:r>
      <w:r w:rsidR="00086AA1">
        <w:t>Joint Applicant</w:t>
      </w:r>
      <w:r w:rsidRPr="00D3492B">
        <w:t xml:space="preserve"> witnesses.</w:t>
      </w:r>
    </w:p>
    <w:p w:rsidR="00C461E2" w:rsidRDefault="00C461E2" w:rsidP="00F6728A">
      <w:pPr>
        <w:spacing w:line="480" w:lineRule="auto"/>
        <w:ind w:left="720" w:hanging="720"/>
        <w:jc w:val="both"/>
      </w:pPr>
    </w:p>
    <w:p w:rsidR="00776B97" w:rsidRDefault="00776B97" w:rsidP="003C0006">
      <w:pPr>
        <w:spacing w:line="480" w:lineRule="auto"/>
        <w:ind w:left="720" w:hanging="720"/>
        <w:jc w:val="both"/>
        <w:rPr>
          <w:b/>
          <w:bCs/>
        </w:rPr>
      </w:pPr>
      <w:r>
        <w:rPr>
          <w:b/>
          <w:bCs/>
        </w:rPr>
        <w:t>Q.</w:t>
      </w:r>
      <w:r>
        <w:rPr>
          <w:b/>
          <w:bCs/>
        </w:rPr>
        <w:tab/>
      </w:r>
      <w:r w:rsidRPr="00112F5F">
        <w:rPr>
          <w:rFonts w:ascii="Times New Roman Bold" w:hAnsi="Times New Roman Bold"/>
          <w:b/>
          <w:bCs/>
          <w:caps/>
        </w:rPr>
        <w:t>Please summarize your rebuttal testimony.</w:t>
      </w:r>
    </w:p>
    <w:p w:rsidR="00776B97" w:rsidRDefault="00776B97" w:rsidP="003C0006">
      <w:pPr>
        <w:spacing w:line="480" w:lineRule="auto"/>
        <w:ind w:left="720" w:hanging="720"/>
        <w:jc w:val="both"/>
      </w:pPr>
      <w:r>
        <w:t>A.</w:t>
      </w:r>
      <w:r>
        <w:tab/>
        <w:t xml:space="preserve">I will respond to the Staff and intervenor testimonies noted above regarding </w:t>
      </w:r>
      <w:r w:rsidR="001D3EF3">
        <w:t xml:space="preserve">financial </w:t>
      </w:r>
      <w:r>
        <w:t xml:space="preserve">concerns raised in the </w:t>
      </w:r>
      <w:r w:rsidR="0010150C">
        <w:t xml:space="preserve">various </w:t>
      </w:r>
      <w:r>
        <w:t>testimonies, principally based on the</w:t>
      </w:r>
      <w:r w:rsidR="00040213">
        <w:t xml:space="preserve"> proposed Staff conditions.</w:t>
      </w:r>
      <w:r>
        <w:t xml:space="preserve">  I will address the following general matters:</w:t>
      </w:r>
    </w:p>
    <w:p w:rsidR="00776B97" w:rsidRPr="001A3541" w:rsidRDefault="00776B97" w:rsidP="00AD29BA">
      <w:pPr>
        <w:pStyle w:val="ListParagraph"/>
        <w:numPr>
          <w:ilvl w:val="0"/>
          <w:numId w:val="10"/>
        </w:numPr>
        <w:spacing w:line="480" w:lineRule="auto"/>
        <w:ind w:left="1920" w:hanging="570"/>
        <w:jc w:val="both"/>
      </w:pPr>
      <w:r>
        <w:t xml:space="preserve">The </w:t>
      </w:r>
      <w:r w:rsidRPr="001A3541">
        <w:t xml:space="preserve">standard of review applied and the approach </w:t>
      </w:r>
      <w:r w:rsidR="001D3EF3" w:rsidRPr="001A3541">
        <w:t>used in</w:t>
      </w:r>
      <w:r w:rsidRPr="001A3541">
        <w:t xml:space="preserve"> evaluatin</w:t>
      </w:r>
      <w:r w:rsidR="001D3EF3" w:rsidRPr="001A3541">
        <w:t>g the proposed Transaction, not</w:t>
      </w:r>
      <w:r w:rsidR="001A3541" w:rsidRPr="001A3541">
        <w:t xml:space="preserve">ably based on the testimonies of Mr. </w:t>
      </w:r>
      <w:r w:rsidR="00E23AC8" w:rsidRPr="001A3541">
        <w:t xml:space="preserve">Vasconi </w:t>
      </w:r>
      <w:r w:rsidR="001A3541" w:rsidRPr="001A3541">
        <w:t>and Mr.</w:t>
      </w:r>
      <w:r w:rsidR="003668ED">
        <w:t xml:space="preserve"> </w:t>
      </w:r>
      <w:r w:rsidR="00E23AC8" w:rsidRPr="001A3541">
        <w:t>Applegate</w:t>
      </w:r>
      <w:r w:rsidR="00E23AC8">
        <w:t>;</w:t>
      </w:r>
    </w:p>
    <w:p w:rsidR="00776B97" w:rsidRPr="001A3541" w:rsidRDefault="001A3541" w:rsidP="00A570B6">
      <w:pPr>
        <w:pStyle w:val="ListParagraph"/>
        <w:numPr>
          <w:ilvl w:val="0"/>
          <w:numId w:val="10"/>
        </w:numPr>
        <w:spacing w:line="480" w:lineRule="auto"/>
        <w:ind w:left="1920" w:hanging="570"/>
        <w:jc w:val="both"/>
      </w:pPr>
      <w:r>
        <w:t xml:space="preserve">The financial analyses of Mr. Applegate that lead him to </w:t>
      </w:r>
      <w:r w:rsidR="00E23AC8">
        <w:t xml:space="preserve">conclude that no deterioration in the combined company’s financial condition (i.e., financial harm) is likely to result from </w:t>
      </w:r>
      <w:r>
        <w:t>the Transaction</w:t>
      </w:r>
      <w:r w:rsidR="008E66F0" w:rsidRPr="001A3541">
        <w:t>;</w:t>
      </w:r>
    </w:p>
    <w:p w:rsidR="00776B97" w:rsidRDefault="001A3541" w:rsidP="00AD29BA">
      <w:pPr>
        <w:pStyle w:val="ListParagraph"/>
        <w:numPr>
          <w:ilvl w:val="0"/>
          <w:numId w:val="10"/>
        </w:numPr>
        <w:spacing w:line="480" w:lineRule="auto"/>
        <w:ind w:left="1920" w:hanging="570"/>
        <w:jc w:val="both"/>
      </w:pPr>
      <w:r>
        <w:t>The additional financial analyses and recommendations of Mr. Vasconi</w:t>
      </w:r>
      <w:r w:rsidR="00776B97">
        <w:t>;</w:t>
      </w:r>
    </w:p>
    <w:p w:rsidR="00776B97" w:rsidRDefault="00776B97" w:rsidP="00AD29BA">
      <w:pPr>
        <w:pStyle w:val="ListParagraph"/>
        <w:numPr>
          <w:ilvl w:val="0"/>
          <w:numId w:val="10"/>
        </w:numPr>
        <w:spacing w:line="480" w:lineRule="auto"/>
        <w:ind w:left="1920" w:hanging="570"/>
        <w:jc w:val="both"/>
      </w:pPr>
      <w:r>
        <w:t xml:space="preserve">Perspectives on </w:t>
      </w:r>
      <w:r w:rsidR="00E23AC8">
        <w:t xml:space="preserve">the appropriate </w:t>
      </w:r>
      <w:r>
        <w:t xml:space="preserve">use of the Risk Factors section of the Securities and Exchange </w:t>
      </w:r>
      <w:r w:rsidR="00E23AC8">
        <w:t xml:space="preserve">Commission </w:t>
      </w:r>
      <w:r>
        <w:t xml:space="preserve">(“SEC”) Form S-4 </w:t>
      </w:r>
      <w:r w:rsidR="0010150C">
        <w:t xml:space="preserve">filing </w:t>
      </w:r>
      <w:r>
        <w:t>(“S-4”) in this proceeding;</w:t>
      </w:r>
      <w:r>
        <w:rPr>
          <w:rStyle w:val="FootnoteReference"/>
        </w:rPr>
        <w:footnoteReference w:id="8"/>
      </w:r>
      <w:r w:rsidR="00FC2D09">
        <w:t xml:space="preserve"> </w:t>
      </w:r>
    </w:p>
    <w:p w:rsidR="001A3541" w:rsidRDefault="00776B97" w:rsidP="00AD29BA">
      <w:pPr>
        <w:pStyle w:val="ListParagraph"/>
        <w:numPr>
          <w:ilvl w:val="0"/>
          <w:numId w:val="10"/>
        </w:numPr>
        <w:spacing w:line="480" w:lineRule="auto"/>
        <w:ind w:left="1920" w:hanging="570"/>
        <w:jc w:val="both"/>
      </w:pPr>
      <w:r w:rsidRPr="00896E13">
        <w:t xml:space="preserve">The </w:t>
      </w:r>
      <w:r w:rsidR="00E23AC8">
        <w:t xml:space="preserve">Joint </w:t>
      </w:r>
      <w:r>
        <w:t>CLECs’ recommendation</w:t>
      </w:r>
      <w:r w:rsidRPr="00896E13">
        <w:t xml:space="preserve"> that </w:t>
      </w:r>
      <w:r w:rsidR="00086AA1">
        <w:t>the Joint Applicants</w:t>
      </w:r>
      <w:r w:rsidRPr="00896E13">
        <w:t xml:space="preserve"> should be required to</w:t>
      </w:r>
      <w:r>
        <w:t xml:space="preserve"> prove affirmative benefits and</w:t>
      </w:r>
      <w:r w:rsidRPr="00896E13">
        <w:t xml:space="preserve"> share synergy savings with wholesale or other customers</w:t>
      </w:r>
      <w:r w:rsidR="001A3541">
        <w:t xml:space="preserve"> in Washington</w:t>
      </w:r>
      <w:r w:rsidR="00ED6CC3">
        <w:t xml:space="preserve">; </w:t>
      </w:r>
    </w:p>
    <w:p w:rsidR="001A3541" w:rsidRDefault="00ED6CC3" w:rsidP="00AD29BA">
      <w:pPr>
        <w:pStyle w:val="ListParagraph"/>
        <w:numPr>
          <w:ilvl w:val="0"/>
          <w:numId w:val="10"/>
        </w:numPr>
        <w:spacing w:line="480" w:lineRule="auto"/>
        <w:ind w:left="1920" w:hanging="570"/>
        <w:jc w:val="both"/>
      </w:pPr>
      <w:r>
        <w:t>O</w:t>
      </w:r>
      <w:r w:rsidRPr="00ED6CC3">
        <w:t>ther financial issues raised by intervenor</w:t>
      </w:r>
      <w:r w:rsidR="00E23AC8">
        <w:t xml:space="preserve"> witnesse</w:t>
      </w:r>
      <w:r w:rsidRPr="00ED6CC3">
        <w:t>s</w:t>
      </w:r>
      <w:r w:rsidR="001A3541">
        <w:t xml:space="preserve">; and </w:t>
      </w:r>
    </w:p>
    <w:p w:rsidR="00ED6CC3" w:rsidRDefault="001A3541" w:rsidP="00AD29BA">
      <w:pPr>
        <w:pStyle w:val="ListParagraph"/>
        <w:numPr>
          <w:ilvl w:val="0"/>
          <w:numId w:val="10"/>
        </w:numPr>
        <w:spacing w:line="480" w:lineRule="auto"/>
        <w:ind w:left="1920" w:hanging="570"/>
        <w:jc w:val="both"/>
      </w:pPr>
      <w:r>
        <w:lastRenderedPageBreak/>
        <w:t xml:space="preserve">Staff recommendations </w:t>
      </w:r>
      <w:r w:rsidR="00E23AC8">
        <w:t xml:space="preserve">regarding proposed </w:t>
      </w:r>
      <w:r>
        <w:t>financial conditions</w:t>
      </w:r>
      <w:r w:rsidR="00ED6CC3" w:rsidRPr="00ED6CC3">
        <w:t>.</w:t>
      </w:r>
    </w:p>
    <w:p w:rsidR="00776B97" w:rsidRDefault="00776B97" w:rsidP="0048491E">
      <w:pPr>
        <w:pStyle w:val="ListParagraph"/>
        <w:spacing w:line="480" w:lineRule="auto"/>
        <w:ind w:left="1710"/>
        <w:jc w:val="both"/>
      </w:pPr>
    </w:p>
    <w:p w:rsidR="00776B97" w:rsidRDefault="001D3EF3" w:rsidP="0048491E">
      <w:pPr>
        <w:pStyle w:val="ListParagraph"/>
        <w:numPr>
          <w:ilvl w:val="0"/>
          <w:numId w:val="15"/>
        </w:numPr>
        <w:spacing w:line="480" w:lineRule="auto"/>
        <w:ind w:left="1680" w:hanging="600"/>
        <w:jc w:val="both"/>
        <w:rPr>
          <w:b/>
          <w:bCs/>
        </w:rPr>
      </w:pPr>
      <w:r w:rsidRPr="001D3EF3">
        <w:rPr>
          <w:b/>
        </w:rPr>
        <w:t xml:space="preserve">THE STANDARD OF REVIEW APPLIED AND THE APPROACH USED IN EVALUATING THE PROPOSED TRANSACTION, NOTABLY BASED ON THE TESTIMONIES OF </w:t>
      </w:r>
      <w:r w:rsidR="001A3541">
        <w:rPr>
          <w:b/>
        </w:rPr>
        <w:t xml:space="preserve">MR. </w:t>
      </w:r>
      <w:r w:rsidR="00E23AC8">
        <w:rPr>
          <w:b/>
        </w:rPr>
        <w:t xml:space="preserve">VASCONI </w:t>
      </w:r>
      <w:r w:rsidR="00450D27">
        <w:rPr>
          <w:b/>
        </w:rPr>
        <w:t>AND MR</w:t>
      </w:r>
      <w:r w:rsidR="00E23AC8">
        <w:rPr>
          <w:b/>
        </w:rPr>
        <w:t>.</w:t>
      </w:r>
      <w:r w:rsidR="00E23AC8" w:rsidRPr="00E23AC8">
        <w:rPr>
          <w:b/>
        </w:rPr>
        <w:t xml:space="preserve"> </w:t>
      </w:r>
      <w:r w:rsidR="00E23AC8">
        <w:rPr>
          <w:b/>
        </w:rPr>
        <w:t>APPLEGATE</w:t>
      </w:r>
      <w:r w:rsidR="0064442E" w:rsidRPr="0064442E">
        <w:rPr>
          <w:b/>
          <w:bCs/>
        </w:rPr>
        <w:t>.</w:t>
      </w:r>
    </w:p>
    <w:p w:rsidR="00776B97" w:rsidRDefault="00776B97" w:rsidP="008059E6">
      <w:pPr>
        <w:spacing w:line="480" w:lineRule="auto"/>
        <w:ind w:left="720" w:hanging="720"/>
        <w:jc w:val="both"/>
        <w:rPr>
          <w:b/>
          <w:bCs/>
        </w:rPr>
      </w:pPr>
      <w:r w:rsidRPr="0048491E">
        <w:rPr>
          <w:b/>
          <w:bCs/>
        </w:rPr>
        <w:t>Q.</w:t>
      </w:r>
      <w:r>
        <w:rPr>
          <w:b/>
          <w:bCs/>
        </w:rPr>
        <w:tab/>
      </w:r>
      <w:r w:rsidRPr="00112F5F">
        <w:rPr>
          <w:rFonts w:ascii="Times New Roman Bold" w:hAnsi="Times New Roman Bold"/>
          <w:b/>
          <w:bCs/>
          <w:caps/>
        </w:rPr>
        <w:t xml:space="preserve">What is </w:t>
      </w:r>
      <w:r w:rsidR="00E23AC8" w:rsidRPr="00112F5F">
        <w:rPr>
          <w:rFonts w:ascii="Times New Roman Bold" w:hAnsi="Times New Roman Bold"/>
          <w:b/>
          <w:bCs/>
          <w:caps/>
        </w:rPr>
        <w:t xml:space="preserve">your understanding of </w:t>
      </w:r>
      <w:r w:rsidRPr="00112F5F">
        <w:rPr>
          <w:rFonts w:ascii="Times New Roman Bold" w:hAnsi="Times New Roman Bold"/>
          <w:b/>
          <w:bCs/>
          <w:caps/>
        </w:rPr>
        <w:t xml:space="preserve">the standard of review to be applied </w:t>
      </w:r>
      <w:r w:rsidR="00E23AC8" w:rsidRPr="00112F5F">
        <w:rPr>
          <w:rFonts w:ascii="Times New Roman Bold" w:hAnsi="Times New Roman Bold"/>
          <w:b/>
          <w:bCs/>
          <w:caps/>
        </w:rPr>
        <w:t xml:space="preserve">by the Commission </w:t>
      </w:r>
      <w:r w:rsidRPr="00112F5F">
        <w:rPr>
          <w:rFonts w:ascii="Times New Roman Bold" w:hAnsi="Times New Roman Bold"/>
          <w:b/>
          <w:bCs/>
          <w:caps/>
        </w:rPr>
        <w:t>in this transfer of control proceeding?</w:t>
      </w:r>
    </w:p>
    <w:p w:rsidR="00C5476B" w:rsidRDefault="00776B97" w:rsidP="00E44DB9">
      <w:pPr>
        <w:spacing w:line="480" w:lineRule="auto"/>
        <w:ind w:left="720" w:hanging="720"/>
        <w:jc w:val="both"/>
      </w:pPr>
      <w:r>
        <w:t>A.</w:t>
      </w:r>
      <w:r>
        <w:tab/>
      </w:r>
      <w:r w:rsidR="000E7A27">
        <w:t xml:space="preserve">I am not an attorney, but </w:t>
      </w:r>
      <w:r w:rsidR="008E2739">
        <w:t xml:space="preserve">I have reviewed </w:t>
      </w:r>
      <w:r w:rsidR="00E44DB9">
        <w:t>the testimony</w:t>
      </w:r>
      <w:r w:rsidR="00825653">
        <w:t xml:space="preserve"> of</w:t>
      </w:r>
      <w:r w:rsidR="00450D27">
        <w:t xml:space="preserve"> </w:t>
      </w:r>
      <w:r w:rsidR="00CB0E74">
        <w:t xml:space="preserve">Staff </w:t>
      </w:r>
      <w:r w:rsidR="00E23AC8">
        <w:t xml:space="preserve">lead </w:t>
      </w:r>
      <w:r w:rsidR="00CB0E74">
        <w:t xml:space="preserve">witness </w:t>
      </w:r>
      <w:r w:rsidR="00450D27">
        <w:t xml:space="preserve">Mr. Vasconi, who states that the “standard used by the Commission in reviewing an application </w:t>
      </w:r>
      <w:r w:rsidR="00E23AC8">
        <w:t>such as this</w:t>
      </w:r>
      <w:r w:rsidR="00450D27">
        <w:t xml:space="preserve"> is a ‘no harm’ standard.”</w:t>
      </w:r>
      <w:r>
        <w:rPr>
          <w:rStyle w:val="FootnoteReference"/>
        </w:rPr>
        <w:footnoteReference w:id="9"/>
      </w:r>
      <w:r>
        <w:t xml:space="preserve">  </w:t>
      </w:r>
      <w:r w:rsidR="00E24D73">
        <w:t>I also</w:t>
      </w:r>
      <w:r w:rsidR="00E44DB9">
        <w:t xml:space="preserve"> reviewed the testimony of Staff witness </w:t>
      </w:r>
      <w:r w:rsidR="00CB0E74">
        <w:t xml:space="preserve">Mr. </w:t>
      </w:r>
      <w:r w:rsidR="00E44DB9">
        <w:t xml:space="preserve">Applegate who provides financial analyses of the proposed Transaction, and he affirms that the Commission “will approve [the merger] if the record demonstrates </w:t>
      </w:r>
      <w:r w:rsidR="00E23AC8">
        <w:t xml:space="preserve">that </w:t>
      </w:r>
      <w:r w:rsidR="00E44DB9">
        <w:t>‘no harm’</w:t>
      </w:r>
      <w:r w:rsidR="00E23AC8">
        <w:t xml:space="preserve"> will occur as a result.</w:t>
      </w:r>
      <w:r w:rsidR="00E44DB9">
        <w:t>”</w:t>
      </w:r>
      <w:r w:rsidR="00E44DB9">
        <w:rPr>
          <w:rStyle w:val="FootnoteReference"/>
        </w:rPr>
        <w:footnoteReference w:id="10"/>
      </w:r>
      <w:r w:rsidR="00E44DB9">
        <w:t xml:space="preserve">  </w:t>
      </w:r>
      <w:r w:rsidR="00E24D73">
        <w:t xml:space="preserve">Finally, </w:t>
      </w:r>
      <w:r w:rsidR="00E44DB9">
        <w:t>I have read</w:t>
      </w:r>
      <w:r w:rsidR="00450D27">
        <w:t xml:space="preserve"> </w:t>
      </w:r>
      <w:r w:rsidR="00CB0E74">
        <w:t xml:space="preserve">the Washington statute at </w:t>
      </w:r>
      <w:r w:rsidR="00450D27">
        <w:t xml:space="preserve">80.12 RCW, which, as I understand the </w:t>
      </w:r>
      <w:r w:rsidR="00CB0E74">
        <w:t>section</w:t>
      </w:r>
      <w:r w:rsidR="00450D27">
        <w:t xml:space="preserve">, </w:t>
      </w:r>
      <w:r w:rsidR="00E23AC8">
        <w:t>establishes a standard of review under which</w:t>
      </w:r>
      <w:r w:rsidR="00C5476B">
        <w:t xml:space="preserve"> </w:t>
      </w:r>
      <w:r w:rsidR="00CB0E74">
        <w:t xml:space="preserve">the </w:t>
      </w:r>
      <w:r w:rsidR="00C5476B">
        <w:t xml:space="preserve">Commission should approve the application for transfer.  </w:t>
      </w:r>
      <w:r w:rsidR="00E44DB9">
        <w:t>In summary, m</w:t>
      </w:r>
      <w:r w:rsidR="0082383F">
        <w:t>y layman’s opinion</w:t>
      </w:r>
      <w:r w:rsidR="00C5476B">
        <w:t xml:space="preserve"> is that </w:t>
      </w:r>
      <w:r w:rsidR="00E23AC8">
        <w:t>the Joint Applicants are</w:t>
      </w:r>
      <w:r w:rsidR="00CB0E74">
        <w:t xml:space="preserve"> required to demonstrate that the proposed Transaction </w:t>
      </w:r>
      <w:r w:rsidR="00C5476B">
        <w:t>do</w:t>
      </w:r>
      <w:r w:rsidR="00CB0E74">
        <w:t>es</w:t>
      </w:r>
      <w:r w:rsidR="00C5476B">
        <w:t xml:space="preserve"> not result </w:t>
      </w:r>
      <w:r w:rsidR="0082383F">
        <w:t>in “harm” to the</w:t>
      </w:r>
      <w:r w:rsidR="00E23AC8">
        <w:t xml:space="preserve"> companies’</w:t>
      </w:r>
      <w:r w:rsidR="0082383F">
        <w:t xml:space="preserve"> customers </w:t>
      </w:r>
      <w:r w:rsidR="00E44DB9">
        <w:t>in Washington</w:t>
      </w:r>
      <w:r w:rsidR="00C5476B">
        <w:t>.</w:t>
      </w:r>
      <w:r w:rsidR="00CB0E74" w:rsidRPr="00CB0E74">
        <w:t xml:space="preserve"> </w:t>
      </w:r>
      <w:r w:rsidR="00CB0E74">
        <w:t xml:space="preserve">My </w:t>
      </w:r>
      <w:r w:rsidR="00E23AC8">
        <w:t xml:space="preserve">rebuttal </w:t>
      </w:r>
      <w:r w:rsidR="00CB0E74">
        <w:t xml:space="preserve">testimony, therefore, will focus </w:t>
      </w:r>
      <w:r w:rsidR="0082383F">
        <w:t>on</w:t>
      </w:r>
      <w:r w:rsidR="00CB0E74">
        <w:t xml:space="preserve"> the financial factors surrounding the </w:t>
      </w:r>
      <w:r w:rsidR="00A01E35">
        <w:t xml:space="preserve">proposed </w:t>
      </w:r>
      <w:r w:rsidR="00CB0E74">
        <w:t>merger</w:t>
      </w:r>
      <w:r w:rsidR="0082383F">
        <w:t xml:space="preserve"> to demonstrate that</w:t>
      </w:r>
      <w:r w:rsidR="00E23AC8">
        <w:t>, at a minimum,</w:t>
      </w:r>
      <w:r w:rsidR="0082383F">
        <w:t xml:space="preserve"> there is no harm to Washington customers</w:t>
      </w:r>
      <w:r w:rsidR="00E23AC8">
        <w:t xml:space="preserve">, </w:t>
      </w:r>
      <w:r w:rsidR="00E23AC8">
        <w:lastRenderedPageBreak/>
        <w:t>and in all likelihood Washington and Washington customers will benefit as a result of the proposed Transaction</w:t>
      </w:r>
      <w:r w:rsidR="00CB0E74">
        <w:t>.</w:t>
      </w:r>
    </w:p>
    <w:p w:rsidR="00C5476B" w:rsidRDefault="00C5476B" w:rsidP="00AB7913">
      <w:pPr>
        <w:spacing w:line="480" w:lineRule="auto"/>
        <w:ind w:left="720" w:hanging="720"/>
        <w:jc w:val="both"/>
      </w:pPr>
    </w:p>
    <w:p w:rsidR="00C5476B" w:rsidRPr="00112F5F" w:rsidRDefault="00A04E33" w:rsidP="00AB7913">
      <w:pPr>
        <w:spacing w:line="480" w:lineRule="auto"/>
        <w:ind w:left="720" w:hanging="720"/>
        <w:jc w:val="both"/>
        <w:rPr>
          <w:rFonts w:ascii="Times New Roman Bold" w:hAnsi="Times New Roman Bold"/>
          <w:bCs/>
          <w:caps/>
        </w:rPr>
      </w:pPr>
      <w:r>
        <w:rPr>
          <w:b/>
        </w:rPr>
        <w:t>Q.</w:t>
      </w:r>
      <w:r>
        <w:rPr>
          <w:b/>
        </w:rPr>
        <w:tab/>
      </w:r>
      <w:r w:rsidRPr="00112F5F">
        <w:rPr>
          <w:rFonts w:ascii="Times New Roman Bold" w:hAnsi="Times New Roman Bold"/>
          <w:b/>
          <w:bCs/>
          <w:caps/>
        </w:rPr>
        <w:t>Does</w:t>
      </w:r>
      <w:r w:rsidR="00DB6129" w:rsidRPr="00112F5F">
        <w:rPr>
          <w:rFonts w:ascii="Times New Roman Bold" w:hAnsi="Times New Roman Bold"/>
          <w:b/>
          <w:bCs/>
          <w:caps/>
        </w:rPr>
        <w:t xml:space="preserve"> Staff financial witness</w:t>
      </w:r>
      <w:r w:rsidR="00C5476B" w:rsidRPr="00112F5F">
        <w:rPr>
          <w:rFonts w:ascii="Times New Roman Bold" w:hAnsi="Times New Roman Bold"/>
          <w:b/>
          <w:bCs/>
          <w:caps/>
        </w:rPr>
        <w:t xml:space="preserve"> Applegate use this </w:t>
      </w:r>
      <w:r w:rsidR="00E44DB9" w:rsidRPr="00112F5F">
        <w:rPr>
          <w:rFonts w:ascii="Times New Roman Bold" w:hAnsi="Times New Roman Bold"/>
          <w:b/>
          <w:bCs/>
          <w:caps/>
        </w:rPr>
        <w:t xml:space="preserve">“no harm” </w:t>
      </w:r>
      <w:r w:rsidR="00C5476B" w:rsidRPr="00112F5F">
        <w:rPr>
          <w:rFonts w:ascii="Times New Roman Bold" w:hAnsi="Times New Roman Bold"/>
          <w:b/>
          <w:bCs/>
          <w:caps/>
        </w:rPr>
        <w:t>standard in his review of the financial factors related to the Transaction?</w:t>
      </w:r>
    </w:p>
    <w:p w:rsidR="00C5476B" w:rsidRDefault="00E44DB9" w:rsidP="00AB7913">
      <w:pPr>
        <w:spacing w:line="480" w:lineRule="auto"/>
        <w:ind w:left="720" w:hanging="720"/>
        <w:jc w:val="both"/>
      </w:pPr>
      <w:r>
        <w:t>A.</w:t>
      </w:r>
      <w:r>
        <w:tab/>
        <w:t xml:space="preserve">Yes.  Mr. Applegate </w:t>
      </w:r>
      <w:r w:rsidR="00FC498C">
        <w:t>states that he has identified</w:t>
      </w:r>
      <w:r>
        <w:t xml:space="preserve"> “several potential harms</w:t>
      </w:r>
      <w:r w:rsidR="00A04E33">
        <w:t>,</w:t>
      </w:r>
      <w:r>
        <w:t>”</w:t>
      </w:r>
      <w:r w:rsidR="00A04E33">
        <w:t xml:space="preserve"> which he </w:t>
      </w:r>
      <w:r w:rsidR="00E23AC8">
        <w:t>assesses</w:t>
      </w:r>
      <w:r w:rsidR="00A04E33">
        <w:t>,</w:t>
      </w:r>
      <w:r>
        <w:t xml:space="preserve"> and </w:t>
      </w:r>
      <w:r w:rsidR="00A04E33">
        <w:t xml:space="preserve">then </w:t>
      </w:r>
      <w:r>
        <w:t>he recommends specific conditions to protect against those “potential harms</w:t>
      </w:r>
      <w:r w:rsidR="00E23AC8">
        <w:t>.</w:t>
      </w:r>
      <w:r>
        <w:t>”</w:t>
      </w:r>
      <w:r w:rsidR="00CE2E52">
        <w:t xml:space="preserve"> </w:t>
      </w:r>
      <w:r>
        <w:t xml:space="preserve"> </w:t>
      </w:r>
      <w:r w:rsidR="00E23AC8">
        <w:t xml:space="preserve">In general, Mr. Applegate considers whether financial aspects of the proposed Transaction </w:t>
      </w:r>
      <w:r w:rsidR="00CE2E52">
        <w:t>might</w:t>
      </w:r>
      <w:r w:rsidR="00E23AC8">
        <w:t xml:space="preserve"> cause a “deterioration of the financial condition of the Combined Company,” which he uses as the measure for financial harm.</w:t>
      </w:r>
      <w:r w:rsidR="00E23AC8">
        <w:rPr>
          <w:rStyle w:val="FootnoteReference"/>
        </w:rPr>
        <w:footnoteReference w:id="11"/>
      </w:r>
      <w:r w:rsidR="00E23AC8">
        <w:t xml:space="preserve">  I will discuss in more detail below</w:t>
      </w:r>
      <w:r w:rsidR="00CE2E52">
        <w:t xml:space="preserve"> that</w:t>
      </w:r>
      <w:r w:rsidR="00E23AC8">
        <w:t xml:space="preserve"> Mr. Applegate reviews a number of </w:t>
      </w:r>
      <w:r w:rsidR="00CE2E52">
        <w:t>potential</w:t>
      </w:r>
      <w:r w:rsidR="00E23AC8">
        <w:t xml:space="preserve"> risks that </w:t>
      </w:r>
      <w:r w:rsidR="00CE2E52">
        <w:rPr>
          <w:i/>
        </w:rPr>
        <w:t>might</w:t>
      </w:r>
      <w:r w:rsidR="00E23AC8">
        <w:t xml:space="preserve"> cause public interest harm</w:t>
      </w:r>
      <w:r w:rsidR="00CE2E52">
        <w:t xml:space="preserve">; however, he concludes </w:t>
      </w:r>
      <w:r w:rsidR="00E23AC8">
        <w:t xml:space="preserve">that </w:t>
      </w:r>
      <w:r w:rsidR="00CE2E52">
        <w:t>none of those scenarios</w:t>
      </w:r>
      <w:r w:rsidR="00E23AC8">
        <w:t xml:space="preserve"> are likely to result in a meaningful deterioration or degradation of the combined company’s financial condition.</w:t>
      </w:r>
      <w:r>
        <w:t xml:space="preserve"> </w:t>
      </w:r>
      <w:r w:rsidR="00E23AC8">
        <w:t xml:space="preserve"> As such, Mr. Applegate </w:t>
      </w:r>
      <w:r>
        <w:t>concludes on the basis of his “more conservative analysis and . . . financial conditions</w:t>
      </w:r>
      <w:r w:rsidR="00FC498C">
        <w:t xml:space="preserve"> [that] . . . the financial aspects of this Transaction meet the Commission’s ‘no harm’ standard.”</w:t>
      </w:r>
      <w:r w:rsidR="00FC498C">
        <w:rPr>
          <w:rStyle w:val="FootnoteReference"/>
        </w:rPr>
        <w:footnoteReference w:id="12"/>
      </w:r>
      <w:r w:rsidR="00FC498C">
        <w:t xml:space="preserve">  I will provide </w:t>
      </w:r>
      <w:r w:rsidR="0082383F">
        <w:t xml:space="preserve">more </w:t>
      </w:r>
      <w:r w:rsidR="00CE2E52">
        <w:t>specific</w:t>
      </w:r>
      <w:r w:rsidR="0082383F">
        <w:t xml:space="preserve"> </w:t>
      </w:r>
      <w:r w:rsidR="00FC498C">
        <w:t>responsive testimony to Mr. Applegate’s “more conservative analysis” and to his proposed conditions, but I believe that Mr. Applegate understands and generally has assessed the financial matters in a balanced manner.</w:t>
      </w:r>
      <w:r w:rsidR="00E23AC8">
        <w:t xml:space="preserve">  I concur in Mr. Applegate’s conclusions that the various potential risks he raises are unlikely to cause deterioration in CenturyLink’s </w:t>
      </w:r>
      <w:r w:rsidR="00E23AC8">
        <w:lastRenderedPageBreak/>
        <w:t xml:space="preserve">financial condition, and therefore, </w:t>
      </w:r>
      <w:r w:rsidR="00CE2E52">
        <w:t xml:space="preserve">it is improbable that there </w:t>
      </w:r>
      <w:r w:rsidR="00E23AC8">
        <w:t xml:space="preserve">will be </w:t>
      </w:r>
      <w:r w:rsidR="00CE2E52">
        <w:t>any</w:t>
      </w:r>
      <w:r w:rsidR="00E23AC8">
        <w:t xml:space="preserve"> Transaction-related harm to Washington customers. </w:t>
      </w:r>
    </w:p>
    <w:p w:rsidR="00C5476B" w:rsidRPr="00C5476B" w:rsidRDefault="00C5476B" w:rsidP="00AB7913">
      <w:pPr>
        <w:spacing w:line="480" w:lineRule="auto"/>
        <w:ind w:left="720" w:hanging="720"/>
        <w:jc w:val="both"/>
      </w:pPr>
    </w:p>
    <w:p w:rsidR="00C5476B" w:rsidRPr="00112F5F" w:rsidRDefault="00DB6129" w:rsidP="00AB7913">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Does Staff witness Vasconi</w:t>
      </w:r>
      <w:r w:rsidR="00FC498C" w:rsidRPr="00112F5F">
        <w:rPr>
          <w:rFonts w:ascii="Times New Roman Bold" w:hAnsi="Times New Roman Bold"/>
          <w:b/>
          <w:bCs/>
          <w:caps/>
        </w:rPr>
        <w:t xml:space="preserve"> use a “no harm” standard in his review of the financial factors related to the Transaction?</w:t>
      </w:r>
    </w:p>
    <w:p w:rsidR="00FC498C" w:rsidRPr="00FC498C" w:rsidRDefault="00FC498C" w:rsidP="00AB7913">
      <w:pPr>
        <w:spacing w:line="480" w:lineRule="auto"/>
        <w:ind w:left="720" w:hanging="720"/>
        <w:jc w:val="both"/>
      </w:pPr>
      <w:r>
        <w:t>A.</w:t>
      </w:r>
      <w:r>
        <w:tab/>
        <w:t>No</w:t>
      </w:r>
      <w:r w:rsidR="00E23AC8">
        <w:t>t in my opinion</w:t>
      </w:r>
      <w:r>
        <w:t>.  Mr. Vasconi state</w:t>
      </w:r>
      <w:r w:rsidR="00E23AC8">
        <w:t>s</w:t>
      </w:r>
      <w:r>
        <w:t xml:space="preserve"> the stan</w:t>
      </w:r>
      <w:r w:rsidR="00826661">
        <w:t>dard correctly, according to my layman’s understanding of the law</w:t>
      </w:r>
      <w:r>
        <w:t xml:space="preserve">, but </w:t>
      </w:r>
      <w:r w:rsidR="00D522FE">
        <w:t xml:space="preserve">testifies very shortly thereafter that he is “concerned that synergy savings estimated by the Applicants </w:t>
      </w:r>
      <w:r w:rsidR="00D522FE" w:rsidRPr="00DB6129">
        <w:rPr>
          <w:i/>
        </w:rPr>
        <w:t>will not provide any benefits</w:t>
      </w:r>
      <w:r w:rsidR="00D522FE">
        <w:t xml:space="preserve"> to Washington customers.”</w:t>
      </w:r>
      <w:r w:rsidR="00D522FE">
        <w:rPr>
          <w:rStyle w:val="FootnoteReference"/>
        </w:rPr>
        <w:footnoteReference w:id="13"/>
      </w:r>
      <w:r w:rsidR="00D522FE">
        <w:t xml:space="preserve"> </w:t>
      </w:r>
      <w:r w:rsidR="00DB6129">
        <w:t xml:space="preserve"> [Emphasis added.] </w:t>
      </w:r>
      <w:r w:rsidR="00D522FE">
        <w:t xml:space="preserve"> </w:t>
      </w:r>
      <w:r w:rsidR="00E23AC8">
        <w:t>Mr. Vasconi</w:t>
      </w:r>
      <w:r w:rsidR="00D522FE">
        <w:t xml:space="preserve"> </w:t>
      </w:r>
      <w:r w:rsidR="00DB6129">
        <w:t>then sponsors</w:t>
      </w:r>
      <w:r w:rsidR="00D522FE">
        <w:t xml:space="preserve"> </w:t>
      </w:r>
      <w:r w:rsidR="00826661">
        <w:t>several</w:t>
      </w:r>
      <w:r w:rsidR="00D522FE">
        <w:t xml:space="preserve"> financial conditions that are in addition to those proposed </w:t>
      </w:r>
      <w:r w:rsidR="00096257">
        <w:t>by Mr. Applegate</w:t>
      </w:r>
      <w:r w:rsidR="00E23AC8">
        <w:t>.  Through those recommended conditions the lead Staff witness</w:t>
      </w:r>
      <w:r w:rsidR="00D522FE">
        <w:t xml:space="preserve"> </w:t>
      </w:r>
      <w:r w:rsidR="00E23AC8">
        <w:t xml:space="preserve">attempts to achieve </w:t>
      </w:r>
      <w:r w:rsidR="00D522FE">
        <w:t>financial outcomes that exceed</w:t>
      </w:r>
      <w:r w:rsidR="00826661">
        <w:t>, as I will show,</w:t>
      </w:r>
      <w:r w:rsidR="00D522FE">
        <w:t xml:space="preserve"> what could be termed as </w:t>
      </w:r>
      <w:r w:rsidR="00E23AC8">
        <w:t xml:space="preserve">outcomes </w:t>
      </w:r>
      <w:r w:rsidR="00D522FE">
        <w:t xml:space="preserve">consistent with a “no harm” standard.  </w:t>
      </w:r>
      <w:r w:rsidR="00E24D73">
        <w:t xml:space="preserve">Additionally, </w:t>
      </w:r>
      <w:r w:rsidR="00E23AC8">
        <w:t>Mr. Vasconi</w:t>
      </w:r>
      <w:r w:rsidR="00E24D73">
        <w:t xml:space="preserve"> presents other conditions, sponsored by himself or other Staff, which appear to exceed the</w:t>
      </w:r>
      <w:r w:rsidR="00E23AC8">
        <w:t xml:space="preserve"> requirements of a</w:t>
      </w:r>
      <w:r w:rsidR="00E24D73">
        <w:t xml:space="preserve"> “no harm” standard</w:t>
      </w:r>
      <w:r w:rsidR="00E23AC8">
        <w:t>.  T</w:t>
      </w:r>
      <w:r w:rsidR="00E24D73">
        <w:t>he response</w:t>
      </w:r>
      <w:r w:rsidR="00E23AC8">
        <w:t>s</w:t>
      </w:r>
      <w:r w:rsidR="00E24D73">
        <w:t xml:space="preserve"> of the Joint Applicants to many of those </w:t>
      </w:r>
      <w:r w:rsidR="00E23AC8">
        <w:t>additional proposed Staff</w:t>
      </w:r>
      <w:r w:rsidR="00E24D73">
        <w:t xml:space="preserve"> conditions will be provided by witnesses other than myself.  </w:t>
      </w:r>
      <w:r w:rsidR="00DA52C2">
        <w:t>With respect to the financial conditions</w:t>
      </w:r>
      <w:r w:rsidR="00826661">
        <w:t xml:space="preserve">, Mr. Vasconi’s </w:t>
      </w:r>
      <w:r w:rsidR="00BA498C">
        <w:t xml:space="preserve">primary </w:t>
      </w:r>
      <w:r w:rsidR="00826661">
        <w:t>additional recommendations are</w:t>
      </w:r>
      <w:r w:rsidR="00D522FE">
        <w:t xml:space="preserve"> Conditions 43 through 45 that include </w:t>
      </w:r>
      <w:r w:rsidR="00DC689D">
        <w:t>constant levels of</w:t>
      </w:r>
      <w:r w:rsidR="00D522FE">
        <w:t xml:space="preserve"> capital expenditures</w:t>
      </w:r>
      <w:r w:rsidR="00DA52C2">
        <w:t xml:space="preserve"> </w:t>
      </w:r>
      <w:r w:rsidR="00F810D7">
        <w:t>over the three years following the merger close.</w:t>
      </w:r>
      <w:r w:rsidR="00F810D7">
        <w:rPr>
          <w:rStyle w:val="FootnoteReference"/>
        </w:rPr>
        <w:footnoteReference w:id="14"/>
      </w:r>
      <w:r w:rsidR="00F810D7">
        <w:t xml:space="preserve">  I will explain in </w:t>
      </w:r>
      <w:r w:rsidR="00096257">
        <w:t>my rebuttal testimony that</w:t>
      </w:r>
      <w:r w:rsidR="00F810D7">
        <w:t xml:space="preserve"> the per-line capital expenditures and the DSL commitments that Mr. Vasconi is </w:t>
      </w:r>
      <w:r w:rsidR="00BA498C">
        <w:t xml:space="preserve">proposing clearly </w:t>
      </w:r>
      <w:r w:rsidR="00F810D7">
        <w:t xml:space="preserve">represent financial “net benefits” </w:t>
      </w:r>
      <w:r w:rsidR="00BA498C">
        <w:t xml:space="preserve">(not </w:t>
      </w:r>
      <w:r w:rsidR="00BA498C">
        <w:lastRenderedPageBreak/>
        <w:t xml:space="preserve">the avoidance of harm) </w:t>
      </w:r>
      <w:r w:rsidR="00F810D7">
        <w:t xml:space="preserve">and </w:t>
      </w:r>
      <w:r w:rsidR="00BA498C">
        <w:t xml:space="preserve">will </w:t>
      </w:r>
      <w:r w:rsidR="00F810D7">
        <w:t xml:space="preserve">limit the Company’s ability to determine how best to use its capital in responding to market and customer demands.  CenturyLink objects to </w:t>
      </w:r>
      <w:r w:rsidR="00BA498C">
        <w:t>Mr. Vasconi’s attempt to</w:t>
      </w:r>
      <w:r w:rsidR="00F810D7">
        <w:t xml:space="preserve"> </w:t>
      </w:r>
      <w:r w:rsidR="00BA498C">
        <w:t>modify</w:t>
      </w:r>
      <w:r w:rsidR="00F810D7">
        <w:t xml:space="preserve"> the standard</w:t>
      </w:r>
      <w:r w:rsidR="00BA498C">
        <w:t xml:space="preserve"> of review in order to obtain financial benefits as a condition to receiving approval of the proposed Transaction.  CenturyLink’s objection is</w:t>
      </w:r>
      <w:r w:rsidR="00F810D7">
        <w:t xml:space="preserve"> not because the Company intends to withhold </w:t>
      </w:r>
      <w:r w:rsidR="00BA498C">
        <w:t xml:space="preserve">appropriate </w:t>
      </w:r>
      <w:r w:rsidR="00F810D7">
        <w:t>investment</w:t>
      </w:r>
      <w:r w:rsidR="00BA498C">
        <w:t xml:space="preserve"> and broadband deployment in Washington</w:t>
      </w:r>
      <w:r w:rsidR="00F810D7">
        <w:t xml:space="preserve">, but because the </w:t>
      </w:r>
      <w:r w:rsidR="00BA498C">
        <w:t xml:space="preserve">competitive </w:t>
      </w:r>
      <w:r w:rsidR="00F810D7">
        <w:t xml:space="preserve">market requires </w:t>
      </w:r>
      <w:r w:rsidR="00BA498C">
        <w:t xml:space="preserve">financial </w:t>
      </w:r>
      <w:r w:rsidR="00F810D7">
        <w:t>flexi</w:t>
      </w:r>
      <w:r w:rsidR="00BA498C">
        <w:t>bility</w:t>
      </w:r>
      <w:r w:rsidR="00F810D7">
        <w:t xml:space="preserve"> </w:t>
      </w:r>
      <w:r w:rsidR="00BA498C">
        <w:t>in terms of the allocation of capital resources during</w:t>
      </w:r>
      <w:r w:rsidR="00F810D7">
        <w:t xml:space="preserve"> this period of industry transformation.</w:t>
      </w:r>
      <w:r w:rsidR="00D522FE">
        <w:t xml:space="preserve">  </w:t>
      </w:r>
    </w:p>
    <w:p w:rsidR="00FC498C" w:rsidRDefault="00FC498C" w:rsidP="00AB7913">
      <w:pPr>
        <w:spacing w:line="480" w:lineRule="auto"/>
        <w:ind w:left="720" w:hanging="720"/>
        <w:jc w:val="both"/>
      </w:pPr>
    </w:p>
    <w:p w:rsidR="00F810D7" w:rsidRPr="00112F5F" w:rsidRDefault="00DA52C2" w:rsidP="00AB7913">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 xml:space="preserve">Is it prudent that </w:t>
      </w:r>
      <w:r w:rsidR="00374531" w:rsidRPr="00112F5F">
        <w:rPr>
          <w:rFonts w:ascii="Times New Roman Bold" w:hAnsi="Times New Roman Bold"/>
          <w:b/>
          <w:bCs/>
          <w:caps/>
        </w:rPr>
        <w:t xml:space="preserve">the </w:t>
      </w:r>
      <w:r w:rsidRPr="00112F5F">
        <w:rPr>
          <w:rFonts w:ascii="Times New Roman Bold" w:hAnsi="Times New Roman Bold"/>
          <w:b/>
          <w:bCs/>
          <w:caps/>
        </w:rPr>
        <w:t xml:space="preserve">Staff and the Joint CLECs should seek incremental benefits </w:t>
      </w:r>
      <w:r w:rsidR="00374531" w:rsidRPr="00112F5F">
        <w:rPr>
          <w:rFonts w:ascii="Times New Roman Bold" w:hAnsi="Times New Roman Bold"/>
          <w:b/>
          <w:bCs/>
          <w:caps/>
        </w:rPr>
        <w:t xml:space="preserve">from the proposed Transaction </w:t>
      </w:r>
      <w:r w:rsidRPr="00112F5F">
        <w:rPr>
          <w:rFonts w:ascii="Times New Roman Bold" w:hAnsi="Times New Roman Bold"/>
          <w:b/>
          <w:bCs/>
          <w:caps/>
        </w:rPr>
        <w:t>to offset the uncertainties in this or in any other merger</w:t>
      </w:r>
      <w:r w:rsidR="00374531" w:rsidRPr="00112F5F">
        <w:rPr>
          <w:rFonts w:ascii="Times New Roman Bold" w:hAnsi="Times New Roman Bold"/>
          <w:b/>
          <w:bCs/>
          <w:caps/>
        </w:rPr>
        <w:t xml:space="preserve"> in Washington</w:t>
      </w:r>
      <w:r w:rsidRPr="00112F5F">
        <w:rPr>
          <w:rFonts w:ascii="Times New Roman Bold" w:hAnsi="Times New Roman Bold"/>
          <w:b/>
          <w:bCs/>
          <w:caps/>
        </w:rPr>
        <w:t>?</w:t>
      </w:r>
    </w:p>
    <w:p w:rsidR="00776B97" w:rsidRDefault="0035746A" w:rsidP="00AB7913">
      <w:pPr>
        <w:spacing w:line="480" w:lineRule="auto"/>
        <w:ind w:left="720" w:hanging="720"/>
        <w:jc w:val="both"/>
      </w:pPr>
      <w:r>
        <w:t>A.</w:t>
      </w:r>
      <w:r>
        <w:tab/>
        <w:t xml:space="preserve">No.   CenturyLink believes that “risks” should be assessed </w:t>
      </w:r>
      <w:r w:rsidR="00374531">
        <w:t xml:space="preserve">in terms of their probability and whether they truly flow from a proposed merger, </w:t>
      </w:r>
      <w:r>
        <w:t xml:space="preserve">and </w:t>
      </w:r>
      <w:r w:rsidR="00374531">
        <w:t xml:space="preserve">where appropriate, </w:t>
      </w:r>
      <w:r>
        <w:t>protective conditions should be defined</w:t>
      </w:r>
      <w:r w:rsidR="00374531">
        <w:t xml:space="preserve"> narrowly to address a specific harm that likely will be a direct result of the transaction under review</w:t>
      </w:r>
      <w:r>
        <w:t xml:space="preserve">.  </w:t>
      </w:r>
      <w:r w:rsidR="00374531">
        <w:t>For example, t</w:t>
      </w:r>
      <w:r w:rsidR="00091765">
        <w:t>here are currently service quality standards</w:t>
      </w:r>
      <w:r w:rsidR="00C51E96">
        <w:t xml:space="preserve"> determined by the Commission</w:t>
      </w:r>
      <w:r w:rsidR="00091765">
        <w:t xml:space="preserve"> and </w:t>
      </w:r>
      <w:r w:rsidR="005F7991">
        <w:t>by</w:t>
      </w:r>
      <w:r w:rsidR="00374531">
        <w:t xml:space="preserve"> </w:t>
      </w:r>
      <w:r w:rsidR="005F7991">
        <w:t xml:space="preserve">the </w:t>
      </w:r>
      <w:r w:rsidR="00374531">
        <w:t xml:space="preserve">terms of contractual </w:t>
      </w:r>
      <w:r w:rsidR="00C51E96">
        <w:t xml:space="preserve">agreements </w:t>
      </w:r>
      <w:r w:rsidR="00374531">
        <w:t>with other carriers</w:t>
      </w:r>
      <w:r w:rsidR="00C51E96">
        <w:t xml:space="preserve">.  These </w:t>
      </w:r>
      <w:r w:rsidR="00374531">
        <w:t xml:space="preserve">service quality </w:t>
      </w:r>
      <w:r w:rsidR="00C51E96">
        <w:t>protecti</w:t>
      </w:r>
      <w:r w:rsidR="00374531">
        <w:t>on</w:t>
      </w:r>
      <w:r w:rsidR="00C51E96">
        <w:t xml:space="preserve">s </w:t>
      </w:r>
      <w:r w:rsidR="00374531">
        <w:t xml:space="preserve">were considered sufficient to protect CenturyLink and Qwest customers in Washington prior to the announcement of the proposed Transaction, and the existing rules, regulations and contract terms should be </w:t>
      </w:r>
      <w:r w:rsidR="005F7991">
        <w:t>sufficient to protect against performance shortfalls</w:t>
      </w:r>
      <w:r w:rsidR="00374531">
        <w:t xml:space="preserve"> of the combined company</w:t>
      </w:r>
      <w:r w:rsidR="00C12BA0">
        <w:t xml:space="preserve">, in the unlikely event </w:t>
      </w:r>
      <w:r w:rsidR="00CC32FB">
        <w:t>such shortfalls</w:t>
      </w:r>
      <w:r w:rsidR="00C12BA0">
        <w:t xml:space="preserve"> were to occur</w:t>
      </w:r>
      <w:r w:rsidR="00091765">
        <w:t xml:space="preserve">.  </w:t>
      </w:r>
      <w:r w:rsidR="00374531">
        <w:t xml:space="preserve">In addition, </w:t>
      </w:r>
      <w:r w:rsidR="00C51E96">
        <w:lastRenderedPageBreak/>
        <w:t>CenturyLink believes that i</w:t>
      </w:r>
      <w:r w:rsidR="00091765">
        <w:t xml:space="preserve">ncremental broadband commitments, </w:t>
      </w:r>
      <w:r w:rsidR="00C51E96">
        <w:t xml:space="preserve">mandated </w:t>
      </w:r>
      <w:r w:rsidR="00091765">
        <w:t xml:space="preserve">capital expenditures and </w:t>
      </w:r>
      <w:r w:rsidR="00C51E96">
        <w:t>new obligations</w:t>
      </w:r>
      <w:r w:rsidR="00091765">
        <w:t xml:space="preserve"> addressed in other testimonies are not </w:t>
      </w:r>
      <w:r w:rsidR="00374531">
        <w:t xml:space="preserve">required </w:t>
      </w:r>
      <w:r w:rsidR="00091765">
        <w:t xml:space="preserve">to </w:t>
      </w:r>
      <w:r w:rsidR="00374531">
        <w:t xml:space="preserve">satisfy </w:t>
      </w:r>
      <w:r w:rsidR="00091765">
        <w:t>the “no harm” standard</w:t>
      </w:r>
      <w:r w:rsidR="00374531">
        <w:t xml:space="preserve">, but are attempts to </w:t>
      </w:r>
      <w:r w:rsidR="005F7991">
        <w:t>modify</w:t>
      </w:r>
      <w:r w:rsidR="00374531">
        <w:t xml:space="preserve"> the standard to </w:t>
      </w:r>
      <w:r w:rsidR="005F7991">
        <w:t>achieve</w:t>
      </w:r>
      <w:r w:rsidR="00374531">
        <w:t xml:space="preserve"> benefits</w:t>
      </w:r>
      <w:r w:rsidR="005F7991">
        <w:t xml:space="preserve"> for specific intervenors</w:t>
      </w:r>
      <w:r w:rsidR="00091765">
        <w:t xml:space="preserve">.  CenturyLink believes that it should be held to the statutory requirements and contractual obligations of Qwest and the Company, but objects to redirection of its cash flows when the result might not be in the </w:t>
      </w:r>
      <w:r w:rsidR="0093475E">
        <w:t xml:space="preserve">best interests of its customers, and, </w:t>
      </w:r>
      <w:r w:rsidR="005F7991">
        <w:t>therefore</w:t>
      </w:r>
      <w:r w:rsidR="0093475E">
        <w:t xml:space="preserve">, might not be in the best interests of </w:t>
      </w:r>
      <w:r w:rsidR="00091765">
        <w:t xml:space="preserve">employees, public policy, and other stakeholders.  </w:t>
      </w:r>
      <w:r w:rsidR="00C51E96">
        <w:t xml:space="preserve">In response to the question </w:t>
      </w:r>
      <w:r w:rsidR="003668ED">
        <w:t>raised by Staff and</w:t>
      </w:r>
      <w:r w:rsidR="00374531">
        <w:t xml:space="preserve"> intervenor witnesses regarding</w:t>
      </w:r>
      <w:r w:rsidR="00C51E96">
        <w:t xml:space="preserve"> potential </w:t>
      </w:r>
      <w:r w:rsidR="00374531">
        <w:t>risks</w:t>
      </w:r>
      <w:r w:rsidR="00C51E96">
        <w:t xml:space="preserve"> or new uncertainties, </w:t>
      </w:r>
      <w:r w:rsidR="00B829A5">
        <w:t>I su</w:t>
      </w:r>
      <w:r w:rsidR="005F7991">
        <w:t>bmit</w:t>
      </w:r>
      <w:r w:rsidR="00B829A5">
        <w:t xml:space="preserve"> </w:t>
      </w:r>
      <w:r w:rsidR="001D3EF3">
        <w:t xml:space="preserve">that </w:t>
      </w:r>
      <w:r w:rsidR="00AB7913">
        <w:t>the strongest testimony that CenturyLink can provide</w:t>
      </w:r>
      <w:r w:rsidR="00234D8F">
        <w:t>, which is more tangible and concrete than any speculative risk or harm raised by the Staff or intervenor witnesses,</w:t>
      </w:r>
      <w:r w:rsidR="00AB7913">
        <w:t xml:space="preserve"> is </w:t>
      </w:r>
      <w:r w:rsidR="00234D8F">
        <w:t>the Company’s</w:t>
      </w:r>
      <w:r w:rsidR="00AB7913">
        <w:t xml:space="preserve"> long history </w:t>
      </w:r>
      <w:r w:rsidR="00234D8F">
        <w:t>of</w:t>
      </w:r>
      <w:r w:rsidR="00AB7913">
        <w:t xml:space="preserve"> providing service consistent with </w:t>
      </w:r>
      <w:r w:rsidR="003668ED">
        <w:t>customer interests</w:t>
      </w:r>
      <w:r w:rsidR="00AB7913">
        <w:t xml:space="preserve">, including </w:t>
      </w:r>
      <w:r w:rsidR="00086AA1">
        <w:t xml:space="preserve">improved services after the consummation of the Company’s many </w:t>
      </w:r>
      <w:r w:rsidR="00AB7913">
        <w:t xml:space="preserve">previous acquisitions.  </w:t>
      </w:r>
      <w:r w:rsidR="00091765">
        <w:t>I</w:t>
      </w:r>
      <w:r w:rsidR="001D3EF3">
        <w:t xml:space="preserve"> </w:t>
      </w:r>
      <w:r w:rsidR="00250D58">
        <w:t>note</w:t>
      </w:r>
      <w:r w:rsidR="00AB7913">
        <w:t xml:space="preserve"> </w:t>
      </w:r>
      <w:r w:rsidR="00234D8F">
        <w:t xml:space="preserve">that </w:t>
      </w:r>
      <w:r w:rsidR="00BA2EF4">
        <w:t xml:space="preserve">no </w:t>
      </w:r>
      <w:r w:rsidR="00091765">
        <w:t xml:space="preserve">testimony from </w:t>
      </w:r>
      <w:r w:rsidR="00234D8F">
        <w:t xml:space="preserve">Staff </w:t>
      </w:r>
      <w:r w:rsidR="00BA2EF4">
        <w:t xml:space="preserve">or </w:t>
      </w:r>
      <w:r w:rsidR="00374531">
        <w:t xml:space="preserve">the </w:t>
      </w:r>
      <w:r w:rsidR="00BA2EF4">
        <w:t xml:space="preserve">intervenor </w:t>
      </w:r>
      <w:r w:rsidR="00234D8F">
        <w:t>witness</w:t>
      </w:r>
      <w:r w:rsidR="00091765">
        <w:t>es</w:t>
      </w:r>
      <w:r w:rsidR="00234D8F">
        <w:t xml:space="preserve"> </w:t>
      </w:r>
      <w:r w:rsidR="00BA2EF4">
        <w:t>has presented</w:t>
      </w:r>
      <w:r w:rsidR="00AB7913">
        <w:t xml:space="preserve"> </w:t>
      </w:r>
      <w:r w:rsidR="00234D8F">
        <w:t xml:space="preserve">substantive </w:t>
      </w:r>
      <w:r w:rsidR="00AB7913">
        <w:t xml:space="preserve">evidence </w:t>
      </w:r>
      <w:r w:rsidR="00BA2EF4">
        <w:t>or</w:t>
      </w:r>
      <w:r w:rsidR="00AB7913">
        <w:t xml:space="preserve"> data to show any probability that </w:t>
      </w:r>
      <w:r w:rsidR="00234D8F">
        <w:t>CenturyLink</w:t>
      </w:r>
      <w:r w:rsidR="00AB7913">
        <w:t xml:space="preserve"> will fail to meet any of the </w:t>
      </w:r>
      <w:r w:rsidR="00374531">
        <w:t xml:space="preserve">Washington </w:t>
      </w:r>
      <w:r w:rsidR="00AB7913">
        <w:t xml:space="preserve">policy </w:t>
      </w:r>
      <w:r w:rsidR="00374531">
        <w:t xml:space="preserve">objectives </w:t>
      </w:r>
      <w:r w:rsidR="00AB7913">
        <w:t xml:space="preserve">or statutory </w:t>
      </w:r>
      <w:r w:rsidR="00374531">
        <w:t>requirements</w:t>
      </w:r>
      <w:r w:rsidR="00AB7913">
        <w:t xml:space="preserve">, as I understand them, such that the </w:t>
      </w:r>
      <w:r w:rsidR="00BA2EF4">
        <w:t xml:space="preserve">Company’s </w:t>
      </w:r>
      <w:r w:rsidR="00AB7913">
        <w:t xml:space="preserve">historical record is </w:t>
      </w:r>
      <w:r w:rsidR="008051FA">
        <w:t>outweighed</w:t>
      </w:r>
      <w:r w:rsidR="00AB7913">
        <w:t>.  CenturyLink is a consistent provider of high</w:t>
      </w:r>
      <w:r w:rsidR="008051FA">
        <w:t>-</w:t>
      </w:r>
      <w:r w:rsidR="00AB7913">
        <w:t xml:space="preserve">quality services that are customer-centric, and </w:t>
      </w:r>
      <w:r w:rsidR="008051FA">
        <w:t xml:space="preserve">the Company </w:t>
      </w:r>
      <w:r w:rsidR="00AB7913">
        <w:t xml:space="preserve">has proven </w:t>
      </w:r>
      <w:r w:rsidR="008051FA">
        <w:t xml:space="preserve">its </w:t>
      </w:r>
      <w:r w:rsidR="00AB7913">
        <w:t xml:space="preserve">commitment </w:t>
      </w:r>
      <w:r w:rsidR="008051FA">
        <w:t xml:space="preserve">to the customers and communities it serves </w:t>
      </w:r>
      <w:r w:rsidR="00AB7913">
        <w:t xml:space="preserve">in every acquisition </w:t>
      </w:r>
      <w:r w:rsidR="00374531">
        <w:t xml:space="preserve">it has completed </w:t>
      </w:r>
      <w:r w:rsidR="00AB7913">
        <w:t>over the last twenty years.</w:t>
      </w:r>
    </w:p>
    <w:p w:rsidR="00BA2EF4" w:rsidRDefault="00BA2EF4" w:rsidP="0061112A">
      <w:pPr>
        <w:spacing w:line="480" w:lineRule="auto"/>
        <w:ind w:left="720" w:hanging="720"/>
        <w:jc w:val="both"/>
      </w:pPr>
    </w:p>
    <w:p w:rsidR="00BA2EF4" w:rsidRPr="00112F5F" w:rsidRDefault="00BA2EF4" w:rsidP="0061112A">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 xml:space="preserve">Are you saying that </w:t>
      </w:r>
      <w:r w:rsidR="00727A74" w:rsidRPr="00112F5F">
        <w:rPr>
          <w:rFonts w:ascii="Times New Roman Bold" w:hAnsi="Times New Roman Bold"/>
          <w:b/>
          <w:bCs/>
          <w:caps/>
        </w:rPr>
        <w:t xml:space="preserve">CenturyLink believes </w:t>
      </w:r>
      <w:r w:rsidRPr="00112F5F">
        <w:rPr>
          <w:rFonts w:ascii="Times New Roman Bold" w:hAnsi="Times New Roman Bold"/>
          <w:b/>
          <w:bCs/>
          <w:caps/>
        </w:rPr>
        <w:t xml:space="preserve">there are no risks </w:t>
      </w:r>
      <w:r w:rsidR="00727A74" w:rsidRPr="00112F5F">
        <w:rPr>
          <w:rFonts w:ascii="Times New Roman Bold" w:hAnsi="Times New Roman Bold"/>
          <w:b/>
          <w:bCs/>
          <w:caps/>
        </w:rPr>
        <w:t>related to</w:t>
      </w:r>
      <w:r w:rsidRPr="00112F5F">
        <w:rPr>
          <w:rFonts w:ascii="Times New Roman Bold" w:hAnsi="Times New Roman Bold"/>
          <w:b/>
          <w:bCs/>
          <w:caps/>
        </w:rPr>
        <w:t xml:space="preserve"> the proposed Transaction?</w:t>
      </w:r>
    </w:p>
    <w:p w:rsidR="00A263BE" w:rsidRDefault="00BA2EF4" w:rsidP="0061112A">
      <w:pPr>
        <w:spacing w:line="480" w:lineRule="auto"/>
        <w:ind w:left="720" w:hanging="720"/>
        <w:jc w:val="both"/>
      </w:pPr>
      <w:r>
        <w:lastRenderedPageBreak/>
        <w:t>A.</w:t>
      </w:r>
      <w:r>
        <w:tab/>
        <w:t xml:space="preserve">No.  </w:t>
      </w:r>
      <w:r w:rsidR="00751760">
        <w:t xml:space="preserve">CenturyLink </w:t>
      </w:r>
      <w:r w:rsidR="00727A74">
        <w:t>acknowledges</w:t>
      </w:r>
      <w:r w:rsidR="00751760">
        <w:t xml:space="preserve"> the </w:t>
      </w:r>
      <w:r w:rsidR="003668ED">
        <w:t xml:space="preserve">potential </w:t>
      </w:r>
      <w:r w:rsidR="00751760">
        <w:t>risks</w:t>
      </w:r>
      <w:r w:rsidR="00727A74">
        <w:t>—faced by all companies—</w:t>
      </w:r>
      <w:r w:rsidR="00751760">
        <w:t>associated with running a</w:t>
      </w:r>
      <w:r w:rsidR="0061112A">
        <w:t xml:space="preserve"> business</w:t>
      </w:r>
      <w:r w:rsidR="00751760">
        <w:t xml:space="preserve">, particularly in </w:t>
      </w:r>
      <w:r w:rsidR="00727A74">
        <w:t xml:space="preserve">the </w:t>
      </w:r>
      <w:r w:rsidR="00751760">
        <w:t>local telecommunications</w:t>
      </w:r>
      <w:r w:rsidR="00727A74">
        <w:t xml:space="preserve"> industry</w:t>
      </w:r>
      <w:r w:rsidR="00751760">
        <w:t>.</w:t>
      </w:r>
      <w:r>
        <w:t xml:space="preserve">  </w:t>
      </w:r>
      <w:r w:rsidR="00250D58">
        <w:t>T</w:t>
      </w:r>
      <w:r>
        <w:t xml:space="preserve">he Company does not </w:t>
      </w:r>
      <w:r w:rsidR="00727A74">
        <w:t xml:space="preserve">seek to </w:t>
      </w:r>
      <w:r>
        <w:t xml:space="preserve">trivialize </w:t>
      </w:r>
      <w:r w:rsidR="003668ED">
        <w:t xml:space="preserve">potential </w:t>
      </w:r>
      <w:r>
        <w:t xml:space="preserve">risks in </w:t>
      </w:r>
      <w:r w:rsidR="00727A74">
        <w:t xml:space="preserve">merger and </w:t>
      </w:r>
      <w:r>
        <w:t>acquisition</w:t>
      </w:r>
      <w:r w:rsidR="00727A74">
        <w:t xml:space="preserve"> transaction</w:t>
      </w:r>
      <w:r>
        <w:t>s.  A</w:t>
      </w:r>
      <w:r w:rsidR="00C51E96">
        <w:t>s the Commission understands, a</w:t>
      </w:r>
      <w:r w:rsidR="00751760">
        <w:t>ll business</w:t>
      </w:r>
      <w:r w:rsidR="0061112A">
        <w:t xml:space="preserve">es cope with </w:t>
      </w:r>
      <w:r w:rsidR="00944F0B">
        <w:t xml:space="preserve">potential </w:t>
      </w:r>
      <w:r w:rsidR="0061112A">
        <w:t xml:space="preserve">risks in the ordinary course of </w:t>
      </w:r>
      <w:r w:rsidR="00727A74">
        <w:t xml:space="preserve">operating </w:t>
      </w:r>
      <w:r w:rsidR="00751760">
        <w:t xml:space="preserve">and certainly </w:t>
      </w:r>
      <w:r w:rsidR="0061112A">
        <w:t xml:space="preserve">in conjunction with strategic initiatives such as mergers, acquisitions, growth projects, etc.  </w:t>
      </w:r>
      <w:r w:rsidR="00A263BE">
        <w:t xml:space="preserve">What sets exceptional </w:t>
      </w:r>
      <w:r w:rsidR="00727A74">
        <w:t xml:space="preserve">companies </w:t>
      </w:r>
      <w:r w:rsidR="00A263BE">
        <w:t>apart from others is how well they</w:t>
      </w:r>
      <w:r w:rsidR="0061112A" w:rsidRPr="009660B8">
        <w:t xml:space="preserve"> </w:t>
      </w:r>
      <w:r w:rsidR="0061112A">
        <w:t>recognize and mitigate</w:t>
      </w:r>
      <w:r w:rsidR="00A263BE">
        <w:t xml:space="preserve"> the inevitable risks</w:t>
      </w:r>
      <w:r w:rsidR="0061112A">
        <w:t xml:space="preserve">. </w:t>
      </w:r>
      <w:r w:rsidR="00091765">
        <w:t xml:space="preserve"> </w:t>
      </w:r>
      <w:r w:rsidR="00C46185">
        <w:t xml:space="preserve">The </w:t>
      </w:r>
      <w:r w:rsidR="00727A74">
        <w:t xml:space="preserve">noteworthy </w:t>
      </w:r>
      <w:r w:rsidR="00C46185">
        <w:t xml:space="preserve">point is that the </w:t>
      </w:r>
      <w:r w:rsidR="00727A74">
        <w:t>shareholders of Qwest and CenturyLink</w:t>
      </w:r>
      <w:r w:rsidR="00C46185">
        <w:t xml:space="preserve">, the vast majority </w:t>
      </w:r>
      <w:r w:rsidR="00727A74">
        <w:t xml:space="preserve">of </w:t>
      </w:r>
      <w:r w:rsidR="00C46185">
        <w:t>who</w:t>
      </w:r>
      <w:r w:rsidR="00727A74">
        <w:t>m</w:t>
      </w:r>
      <w:r w:rsidR="00C46185">
        <w:t xml:space="preserve"> </w:t>
      </w:r>
      <w:r w:rsidR="00727A74">
        <w:t>a</w:t>
      </w:r>
      <w:r w:rsidR="00C46185">
        <w:t xml:space="preserve">re </w:t>
      </w:r>
      <w:r w:rsidR="00727A74">
        <w:t xml:space="preserve">experienced </w:t>
      </w:r>
      <w:r w:rsidR="00C46185">
        <w:t xml:space="preserve">institutional investors, </w:t>
      </w:r>
      <w:r w:rsidR="007327FE">
        <w:t>were aware of the potential risks and benefits associated with the Transaction</w:t>
      </w:r>
      <w:r>
        <w:t xml:space="preserve">, </w:t>
      </w:r>
      <w:r w:rsidR="00C46185">
        <w:t xml:space="preserve">and voted overwhelmingly to approve the Transaction.  </w:t>
      </w:r>
      <w:r w:rsidR="0061112A">
        <w:t>CenturyLink believes that its long track record of</w:t>
      </w:r>
      <w:r w:rsidR="0061112A" w:rsidRPr="009660B8">
        <w:t xml:space="preserve"> strong </w:t>
      </w:r>
      <w:r w:rsidR="00C51E96">
        <w:t xml:space="preserve">and responsible </w:t>
      </w:r>
      <w:r w:rsidR="0061112A" w:rsidRPr="009660B8">
        <w:t xml:space="preserve">operating results </w:t>
      </w:r>
      <w:r w:rsidR="0061112A">
        <w:t xml:space="preserve">provides </w:t>
      </w:r>
      <w:r w:rsidR="007C77E5">
        <w:t xml:space="preserve">investors, customers, employees and the </w:t>
      </w:r>
      <w:r w:rsidR="0061112A">
        <w:t xml:space="preserve">Commission with a tangible indication that the Company is capable of avoiding risks that may confront the </w:t>
      </w:r>
      <w:r w:rsidR="00727A74">
        <w:t>combined c</w:t>
      </w:r>
      <w:r w:rsidR="0061112A">
        <w:t xml:space="preserve">ompany’s operations.  </w:t>
      </w:r>
    </w:p>
    <w:p w:rsidR="00A263BE" w:rsidRDefault="00A263BE" w:rsidP="0061112A">
      <w:pPr>
        <w:spacing w:line="480" w:lineRule="auto"/>
        <w:ind w:left="720" w:hanging="720"/>
        <w:jc w:val="both"/>
      </w:pPr>
    </w:p>
    <w:p w:rsidR="00A263BE" w:rsidRPr="00112F5F" w:rsidRDefault="00A263BE" w:rsidP="0061112A">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 xml:space="preserve">Because there are </w:t>
      </w:r>
      <w:r w:rsidR="00F55B72" w:rsidRPr="00112F5F">
        <w:rPr>
          <w:rFonts w:ascii="Times New Roman Bold" w:hAnsi="Times New Roman Bold"/>
          <w:b/>
          <w:bCs/>
          <w:caps/>
        </w:rPr>
        <w:t xml:space="preserve">potential </w:t>
      </w:r>
      <w:r w:rsidRPr="00112F5F">
        <w:rPr>
          <w:rFonts w:ascii="Times New Roman Bold" w:hAnsi="Times New Roman Bold"/>
          <w:b/>
          <w:bCs/>
          <w:caps/>
        </w:rPr>
        <w:t xml:space="preserve">risks, </w:t>
      </w:r>
      <w:r w:rsidR="007327FE" w:rsidRPr="00112F5F">
        <w:rPr>
          <w:rFonts w:ascii="Times New Roman Bold" w:hAnsi="Times New Roman Bold"/>
          <w:b/>
          <w:bCs/>
          <w:caps/>
        </w:rPr>
        <w:t>does that mean</w:t>
      </w:r>
      <w:r w:rsidRPr="00112F5F">
        <w:rPr>
          <w:rFonts w:ascii="Times New Roman Bold" w:hAnsi="Times New Roman Bold"/>
          <w:b/>
          <w:bCs/>
          <w:caps/>
        </w:rPr>
        <w:t xml:space="preserve"> it </w:t>
      </w:r>
      <w:r w:rsidR="007327FE" w:rsidRPr="00112F5F">
        <w:rPr>
          <w:rFonts w:ascii="Times New Roman Bold" w:hAnsi="Times New Roman Bold"/>
          <w:b/>
          <w:bCs/>
          <w:caps/>
        </w:rPr>
        <w:t xml:space="preserve">is </w:t>
      </w:r>
      <w:r w:rsidRPr="00112F5F">
        <w:rPr>
          <w:rFonts w:ascii="Times New Roman Bold" w:hAnsi="Times New Roman Bold"/>
          <w:b/>
          <w:bCs/>
          <w:caps/>
        </w:rPr>
        <w:t>appropriate that the Commission should impose conditions?</w:t>
      </w:r>
    </w:p>
    <w:p w:rsidR="00776B97" w:rsidRDefault="00A263BE" w:rsidP="0061112A">
      <w:pPr>
        <w:spacing w:line="480" w:lineRule="auto"/>
        <w:ind w:left="720" w:hanging="720"/>
        <w:jc w:val="both"/>
      </w:pPr>
      <w:r>
        <w:t>A.</w:t>
      </w:r>
      <w:r>
        <w:tab/>
        <w:t xml:space="preserve">Not necessarily.  </w:t>
      </w:r>
      <w:r w:rsidR="00C95551">
        <w:t xml:space="preserve">CenturyLink urges the Commission to focus </w:t>
      </w:r>
      <w:r w:rsidR="007327FE">
        <w:t xml:space="preserve">its review of the proposed Transaction </w:t>
      </w:r>
      <w:r w:rsidR="00C95551">
        <w:t xml:space="preserve">on the </w:t>
      </w:r>
      <w:r w:rsidR="00C51E96">
        <w:t xml:space="preserve">Washington </w:t>
      </w:r>
      <w:r w:rsidR="00C95551">
        <w:t>“</w:t>
      </w:r>
      <w:r w:rsidR="00CF6BFD">
        <w:t>no harm</w:t>
      </w:r>
      <w:r w:rsidR="00C95551">
        <w:t>” standard</w:t>
      </w:r>
      <w:r>
        <w:t xml:space="preserve">.  </w:t>
      </w:r>
      <w:r w:rsidR="00C46185">
        <w:t xml:space="preserve">CenturyLink </w:t>
      </w:r>
      <w:r w:rsidR="007327FE">
        <w:t xml:space="preserve">strongly </w:t>
      </w:r>
      <w:r w:rsidR="00C46185">
        <w:t xml:space="preserve">believes </w:t>
      </w:r>
      <w:r>
        <w:t>conditions that require unnecessary restrictions on the</w:t>
      </w:r>
      <w:r w:rsidR="007C77E5">
        <w:t xml:space="preserve"> operation of the business or on the</w:t>
      </w:r>
      <w:r>
        <w:t xml:space="preserve"> use of capital should be avoided.  “Unnecessary” restrictions are those that have no </w:t>
      </w:r>
      <w:r w:rsidR="00F55B72">
        <w:t xml:space="preserve">certain </w:t>
      </w:r>
      <w:r>
        <w:t xml:space="preserve">harm against which they protect, and are those that </w:t>
      </w:r>
      <w:r w:rsidR="00C51E96">
        <w:t xml:space="preserve">potentially </w:t>
      </w:r>
      <w:r>
        <w:t>frustrate the</w:t>
      </w:r>
      <w:r w:rsidR="00C46185">
        <w:t xml:space="preserve"> appropriate</w:t>
      </w:r>
      <w:r>
        <w:t xml:space="preserve"> operating flexibility of a company</w:t>
      </w:r>
      <w:r w:rsidR="00C46185">
        <w:t xml:space="preserve"> that is competing in a </w:t>
      </w:r>
      <w:r w:rsidR="007327FE">
        <w:t xml:space="preserve">challenging </w:t>
      </w:r>
      <w:r w:rsidR="007327FE">
        <w:lastRenderedPageBreak/>
        <w:t>economic</w:t>
      </w:r>
      <w:r w:rsidR="00C46185">
        <w:t xml:space="preserve"> environment</w:t>
      </w:r>
      <w:r w:rsidR="007327FE">
        <w:t xml:space="preserve"> and changing industry</w:t>
      </w:r>
      <w:r>
        <w:t xml:space="preserve">.  </w:t>
      </w:r>
      <w:r w:rsidR="007C77E5">
        <w:t xml:space="preserve">CenturyLink does not oppose reasonable regulatory oversight or </w:t>
      </w:r>
      <w:r w:rsidR="00F55B72">
        <w:t xml:space="preserve">existing </w:t>
      </w:r>
      <w:r w:rsidR="007C77E5">
        <w:t xml:space="preserve">service quality standards, but it cautions against excessive </w:t>
      </w:r>
      <w:r w:rsidR="00F55B72">
        <w:t xml:space="preserve">new </w:t>
      </w:r>
      <w:r w:rsidR="007C77E5">
        <w:t xml:space="preserve">restrictions </w:t>
      </w:r>
      <w:r w:rsidR="00F55B72">
        <w:t xml:space="preserve">that impact </w:t>
      </w:r>
      <w:r w:rsidR="007C77E5">
        <w:t xml:space="preserve">how a company </w:t>
      </w:r>
      <w:r w:rsidR="00F55B72">
        <w:t xml:space="preserve">can </w:t>
      </w:r>
      <w:r w:rsidR="00944F0B">
        <w:t xml:space="preserve">exercise its management discretion to </w:t>
      </w:r>
      <w:r w:rsidR="00F55B72">
        <w:t>operate its business</w:t>
      </w:r>
      <w:r w:rsidR="007C77E5">
        <w:t xml:space="preserve">.  </w:t>
      </w:r>
      <w:r>
        <w:t>T</w:t>
      </w:r>
      <w:r w:rsidR="00F55B72">
        <w:t>oday, t</w:t>
      </w:r>
      <w:r>
        <w:t xml:space="preserve">he Company cannot predict precisely what will happen with </w:t>
      </w:r>
      <w:r w:rsidR="00944F0B">
        <w:t xml:space="preserve">new </w:t>
      </w:r>
      <w:r>
        <w:t>technolog</w:t>
      </w:r>
      <w:r w:rsidR="00944F0B">
        <w:t>y development</w:t>
      </w:r>
      <w:r>
        <w:t>s</w:t>
      </w:r>
      <w:r w:rsidR="00944F0B">
        <w:t xml:space="preserve"> or</w:t>
      </w:r>
      <w:r>
        <w:t xml:space="preserve"> competition</w:t>
      </w:r>
      <w:r w:rsidR="007C77E5">
        <w:t>.</w:t>
      </w:r>
      <w:r w:rsidR="009E13A5">
        <w:t xml:space="preserve"> </w:t>
      </w:r>
      <w:r w:rsidR="00A8367B">
        <w:t xml:space="preserve"> </w:t>
      </w:r>
      <w:r w:rsidR="009E13A5">
        <w:t>Centu</w:t>
      </w:r>
      <w:r w:rsidR="007C77E5">
        <w:t>ryLink and Qwest seek to gain increased financial flexibility to achieve</w:t>
      </w:r>
      <w:r w:rsidR="00A8367B">
        <w:t xml:space="preserve"> </w:t>
      </w:r>
      <w:r w:rsidR="009E13A5">
        <w:t>a stronger</w:t>
      </w:r>
      <w:r w:rsidR="00380343">
        <w:t xml:space="preserve"> balance sheet, improved efficienc</w:t>
      </w:r>
      <w:r w:rsidR="00944F0B">
        <w:t>y</w:t>
      </w:r>
      <w:r w:rsidR="009E13A5">
        <w:t xml:space="preserve">, best practices, better purchasing power, </w:t>
      </w:r>
      <w:r w:rsidR="00A8367B">
        <w:t xml:space="preserve">and </w:t>
      </w:r>
      <w:r w:rsidR="009E13A5">
        <w:t xml:space="preserve">increased access to debt and equity capital.  These are not vague assertions, but </w:t>
      </w:r>
      <w:r w:rsidR="00F55B72">
        <w:t>are foundational</w:t>
      </w:r>
      <w:r w:rsidR="009E13A5">
        <w:t xml:space="preserve"> </w:t>
      </w:r>
      <w:r w:rsidR="00A8367B">
        <w:t>pillars of th</w:t>
      </w:r>
      <w:r w:rsidR="00F55B72">
        <w:t>e rationale for the proposed Transac</w:t>
      </w:r>
      <w:r w:rsidR="00A8367B">
        <w:t>tion</w:t>
      </w:r>
      <w:r w:rsidR="009E13A5">
        <w:t xml:space="preserve">.  </w:t>
      </w:r>
      <w:r w:rsidR="00F55B72">
        <w:t>T</w:t>
      </w:r>
      <w:r w:rsidR="009E13A5">
        <w:t xml:space="preserve">he </w:t>
      </w:r>
      <w:r w:rsidR="00A8367B">
        <w:t xml:space="preserve">underlying </w:t>
      </w:r>
      <w:r w:rsidR="009E13A5">
        <w:t xml:space="preserve">purpose </w:t>
      </w:r>
      <w:r w:rsidR="00F55B72">
        <w:t xml:space="preserve">of CenturyLink’s business approach </w:t>
      </w:r>
      <w:r w:rsidR="009E13A5">
        <w:t>remains the same as it has always been—to serve customers more effectively</w:t>
      </w:r>
      <w:r w:rsidR="00F55B72">
        <w:t xml:space="preserve"> and efficiently</w:t>
      </w:r>
      <w:r w:rsidR="009E13A5">
        <w:t xml:space="preserve">.  </w:t>
      </w:r>
      <w:r w:rsidR="007327FE">
        <w:t xml:space="preserve">If no harm related to the Transaction is demonstrated—as opposed to speculative potential risks—then conditions are not warranted under the Washington standard of review.  </w:t>
      </w:r>
      <w:r w:rsidR="007E673B">
        <w:t>CenturyLink urge</w:t>
      </w:r>
      <w:r w:rsidR="007C77E5">
        <w:t>s</w:t>
      </w:r>
      <w:r w:rsidR="007E673B">
        <w:t xml:space="preserve"> the Commission to</w:t>
      </w:r>
      <w:r w:rsidR="00C95551">
        <w:t xml:space="preserve"> avoid </w:t>
      </w:r>
      <w:r w:rsidR="00F55B72">
        <w:t xml:space="preserve">imposing </w:t>
      </w:r>
      <w:r w:rsidR="00C95551">
        <w:t xml:space="preserve">unnecessary conditions that can increase costs, </w:t>
      </w:r>
      <w:r w:rsidR="00944F0B">
        <w:t xml:space="preserve">interfere with management discretion, </w:t>
      </w:r>
      <w:r w:rsidR="00C95551">
        <w:t xml:space="preserve">divert management attention, and alter the competitive balance in a way that </w:t>
      </w:r>
      <w:r w:rsidR="00944F0B">
        <w:t xml:space="preserve">ultimately </w:t>
      </w:r>
      <w:r w:rsidR="00C95551">
        <w:t>may harm, not benefit</w:t>
      </w:r>
      <w:r w:rsidR="00CF6BFD">
        <w:t xml:space="preserve">, Washington </w:t>
      </w:r>
      <w:r w:rsidR="00C95551">
        <w:t xml:space="preserve">customers. </w:t>
      </w:r>
    </w:p>
    <w:p w:rsidR="00314648" w:rsidRDefault="00314648" w:rsidP="0061112A">
      <w:pPr>
        <w:spacing w:line="480" w:lineRule="auto"/>
        <w:ind w:left="720" w:hanging="720"/>
        <w:jc w:val="both"/>
      </w:pPr>
    </w:p>
    <w:p w:rsidR="00314648" w:rsidRPr="00112F5F" w:rsidRDefault="00314648" w:rsidP="0061112A">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Can you summarize from a financial point of view why th</w:t>
      </w:r>
      <w:r w:rsidR="005F49AF" w:rsidRPr="00112F5F">
        <w:rPr>
          <w:rFonts w:ascii="Times New Roman Bold" w:hAnsi="Times New Roman Bold"/>
          <w:b/>
          <w:bCs/>
          <w:caps/>
        </w:rPr>
        <w:t>e proposed</w:t>
      </w:r>
      <w:r w:rsidRPr="00112F5F">
        <w:rPr>
          <w:rFonts w:ascii="Times New Roman Bold" w:hAnsi="Times New Roman Bold"/>
          <w:b/>
          <w:bCs/>
          <w:caps/>
        </w:rPr>
        <w:t xml:space="preserve"> Transaction </w:t>
      </w:r>
      <w:r w:rsidR="004375C2" w:rsidRPr="00112F5F">
        <w:rPr>
          <w:rFonts w:ascii="Times New Roman Bold" w:hAnsi="Times New Roman Bold"/>
          <w:b/>
          <w:bCs/>
          <w:caps/>
        </w:rPr>
        <w:t>is expected to benefit Washington customers and, at the very least,</w:t>
      </w:r>
      <w:r w:rsidR="005F49AF" w:rsidRPr="00112F5F">
        <w:rPr>
          <w:rFonts w:ascii="Times New Roman Bold" w:hAnsi="Times New Roman Bold"/>
          <w:b/>
          <w:bCs/>
          <w:caps/>
        </w:rPr>
        <w:t xml:space="preserve"> meets the</w:t>
      </w:r>
      <w:r w:rsidR="00CF6BFD" w:rsidRPr="00112F5F">
        <w:rPr>
          <w:rFonts w:ascii="Times New Roman Bold" w:hAnsi="Times New Roman Bold"/>
          <w:b/>
          <w:bCs/>
          <w:caps/>
        </w:rPr>
        <w:t xml:space="preserve"> Washington </w:t>
      </w:r>
      <w:r w:rsidR="00BF1C34" w:rsidRPr="00112F5F">
        <w:rPr>
          <w:rFonts w:ascii="Times New Roman Bold" w:hAnsi="Times New Roman Bold"/>
          <w:b/>
          <w:bCs/>
          <w:caps/>
        </w:rPr>
        <w:t xml:space="preserve">“no harm” </w:t>
      </w:r>
      <w:r w:rsidR="005F49AF" w:rsidRPr="00112F5F">
        <w:rPr>
          <w:rFonts w:ascii="Times New Roman Bold" w:hAnsi="Times New Roman Bold"/>
          <w:b/>
          <w:bCs/>
          <w:caps/>
        </w:rPr>
        <w:t>standard of review</w:t>
      </w:r>
      <w:r w:rsidRPr="00112F5F">
        <w:rPr>
          <w:rFonts w:ascii="Times New Roman Bold" w:hAnsi="Times New Roman Bold"/>
          <w:b/>
          <w:bCs/>
          <w:caps/>
        </w:rPr>
        <w:t>?</w:t>
      </w:r>
    </w:p>
    <w:p w:rsidR="00C5403F" w:rsidRDefault="00314648" w:rsidP="0061112A">
      <w:pPr>
        <w:spacing w:line="480" w:lineRule="auto"/>
        <w:ind w:left="720" w:hanging="720"/>
        <w:jc w:val="both"/>
      </w:pPr>
      <w:r>
        <w:t>A.</w:t>
      </w:r>
      <w:r>
        <w:tab/>
        <w:t xml:space="preserve">Yes.  </w:t>
      </w:r>
      <w:r w:rsidR="00BF1C34">
        <w:t xml:space="preserve">The merger is a direct and constructive response to industry pressures.  </w:t>
      </w:r>
      <w:r>
        <w:t xml:space="preserve">Competition </w:t>
      </w:r>
      <w:r w:rsidR="005F49AF">
        <w:t xml:space="preserve">in the telecommunications industry </w:t>
      </w:r>
      <w:r>
        <w:t xml:space="preserve">is </w:t>
      </w:r>
      <w:r w:rsidR="005F49AF">
        <w:t xml:space="preserve">robust and </w:t>
      </w:r>
      <w:r w:rsidR="00B373CF">
        <w:t xml:space="preserve">is </w:t>
      </w:r>
      <w:r>
        <w:t xml:space="preserve">increasing in terms of </w:t>
      </w:r>
      <w:r w:rsidR="00C04BEF">
        <w:t xml:space="preserve">business </w:t>
      </w:r>
      <w:r w:rsidR="00C04BEF">
        <w:lastRenderedPageBreak/>
        <w:t xml:space="preserve">services provided by </w:t>
      </w:r>
      <w:r w:rsidR="00C5403F">
        <w:t>competitive local exchange carriers (“</w:t>
      </w:r>
      <w:r w:rsidR="00C04BEF">
        <w:t>CLECs</w:t>
      </w:r>
      <w:r w:rsidR="00C5403F">
        <w:t>”)</w:t>
      </w:r>
      <w:r w:rsidR="005F49AF">
        <w:t>,</w:t>
      </w:r>
      <w:r w:rsidR="00C04BEF">
        <w:t xml:space="preserve"> and </w:t>
      </w:r>
      <w:r w:rsidR="005F49AF">
        <w:t xml:space="preserve">residential and business services provided by </w:t>
      </w:r>
      <w:r w:rsidR="00C04BEF">
        <w:t xml:space="preserve">cable operators, including those that sponsor voice over Internet protocol (“VoIP”) services.  Wireless carriers </w:t>
      </w:r>
      <w:r w:rsidR="005F49AF">
        <w:t xml:space="preserve">also </w:t>
      </w:r>
      <w:r w:rsidR="00C04BEF">
        <w:t>are capturing a very large percentage of the marketplace, particularly among residential subscribers</w:t>
      </w:r>
      <w:r w:rsidR="005F49AF">
        <w:t>—</w:t>
      </w:r>
      <w:r w:rsidR="00C04BEF">
        <w:t xml:space="preserve">it is generally </w:t>
      </w:r>
      <w:r w:rsidR="005F49AF">
        <w:t xml:space="preserve">accepted </w:t>
      </w:r>
      <w:r w:rsidR="00C04BEF">
        <w:t xml:space="preserve">that </w:t>
      </w:r>
      <w:r w:rsidR="005F49AF">
        <w:t xml:space="preserve">currently </w:t>
      </w:r>
      <w:r w:rsidR="00C04BEF">
        <w:t xml:space="preserve">more than 25% of the residential </w:t>
      </w:r>
      <w:r w:rsidR="005F49AF">
        <w:t xml:space="preserve">telephone customer </w:t>
      </w:r>
      <w:r w:rsidR="00C04BEF">
        <w:t>base has “cut the cord.”</w:t>
      </w:r>
      <w:r w:rsidR="00B373CF">
        <w:rPr>
          <w:rStyle w:val="FootnoteReference"/>
        </w:rPr>
        <w:footnoteReference w:id="15"/>
      </w:r>
      <w:r w:rsidR="00C04BEF">
        <w:t xml:space="preserve">  </w:t>
      </w:r>
      <w:r w:rsidR="003E4262">
        <w:t>Telecommunications is no</w:t>
      </w:r>
      <w:r w:rsidR="005F49AF">
        <w:t xml:space="preserve"> longer</w:t>
      </w:r>
      <w:r w:rsidR="003E4262">
        <w:t xml:space="preserve"> a monopoly </w:t>
      </w:r>
      <w:r w:rsidR="005F49AF">
        <w:t xml:space="preserve">business, </w:t>
      </w:r>
      <w:r w:rsidR="003E4262">
        <w:t xml:space="preserve">except </w:t>
      </w:r>
      <w:r w:rsidR="005F49AF">
        <w:t>by the most narrow of definitions (for industry sub-segments that have little relevance in understanding overall industry dynamics)</w:t>
      </w:r>
      <w:r w:rsidR="003E4262">
        <w:t>.</w:t>
      </w:r>
      <w:r w:rsidR="00552187">
        <w:rPr>
          <w:rStyle w:val="FootnoteReference"/>
        </w:rPr>
        <w:footnoteReference w:id="16"/>
      </w:r>
      <w:r w:rsidR="003E4262">
        <w:t xml:space="preserve"> </w:t>
      </w:r>
      <w:r w:rsidR="00AC35FD">
        <w:t xml:space="preserve"> </w:t>
      </w:r>
      <w:r w:rsidR="00A8367B">
        <w:t xml:space="preserve">Illustrating the </w:t>
      </w:r>
      <w:r w:rsidR="00AC35FD">
        <w:t xml:space="preserve">competitive </w:t>
      </w:r>
      <w:r w:rsidR="00A8367B">
        <w:t xml:space="preserve">pressures, Qwest reported </w:t>
      </w:r>
      <w:r w:rsidR="00C5403F">
        <w:t xml:space="preserve">total </w:t>
      </w:r>
      <w:r w:rsidR="00A8367B">
        <w:t>access lines that fell by 1</w:t>
      </w:r>
      <w:r w:rsidR="000D2D44">
        <w:t>0.5</w:t>
      </w:r>
      <w:r w:rsidR="00A8367B">
        <w:t>% year-over-year at the end of the second quarter of 2010, while CenturyLink</w:t>
      </w:r>
      <w:r w:rsidR="00AC35FD">
        <w:t xml:space="preserve"> reported an 8.0% decline pro forma (adjusting for </w:t>
      </w:r>
      <w:r w:rsidR="005C1E7C">
        <w:t xml:space="preserve">the </w:t>
      </w:r>
      <w:r w:rsidR="00AC35FD">
        <w:t xml:space="preserve">acquisition of Embarq </w:t>
      </w:r>
      <w:r w:rsidR="00AC35FD" w:rsidRPr="00663926">
        <w:rPr>
          <w:bCs/>
        </w:rPr>
        <w:t>Corporation (“Embarq”)</w:t>
      </w:r>
      <w:r w:rsidR="00AC35FD">
        <w:t>)</w:t>
      </w:r>
      <w:r w:rsidR="00A8367B">
        <w:t>.</w:t>
      </w:r>
      <w:r w:rsidR="00A8367B">
        <w:rPr>
          <w:rStyle w:val="FootnoteReference"/>
        </w:rPr>
        <w:footnoteReference w:id="17"/>
      </w:r>
      <w:r w:rsidR="00A8367B">
        <w:t xml:space="preserve"> </w:t>
      </w:r>
      <w:r w:rsidR="00AC35FD">
        <w:t xml:space="preserve"> T</w:t>
      </w:r>
      <w:r w:rsidR="00C04BEF">
        <w:t xml:space="preserve">echnologies are changing as </w:t>
      </w:r>
      <w:r w:rsidR="00C04BEF">
        <w:lastRenderedPageBreak/>
        <w:t xml:space="preserve">customers are demanding higher throughput </w:t>
      </w:r>
      <w:r w:rsidR="00814CC9">
        <w:t xml:space="preserve">for data </w:t>
      </w:r>
      <w:r w:rsidR="00C04BEF">
        <w:t xml:space="preserve">and </w:t>
      </w:r>
      <w:r w:rsidR="007E673B">
        <w:t xml:space="preserve">a </w:t>
      </w:r>
      <w:r w:rsidR="00814CC9">
        <w:t xml:space="preserve">range of </w:t>
      </w:r>
      <w:r w:rsidR="00C04BEF">
        <w:t>new applications</w:t>
      </w:r>
      <w:r w:rsidR="007E673B">
        <w:t xml:space="preserve">, including those provided by wireless carriers </w:t>
      </w:r>
      <w:r w:rsidR="00B111C9">
        <w:t xml:space="preserve">(that are in the process of introducing 4G technologies) </w:t>
      </w:r>
      <w:r w:rsidR="007E673B">
        <w:t>or cable television companies</w:t>
      </w:r>
      <w:r w:rsidR="00B111C9">
        <w:t xml:space="preserve"> (that are moving toward very high</w:t>
      </w:r>
      <w:r w:rsidR="00250D58">
        <w:t>-</w:t>
      </w:r>
      <w:r w:rsidR="00B111C9">
        <w:t>speed DOCSIS 3.0 services)</w:t>
      </w:r>
      <w:r w:rsidR="00C04BEF">
        <w:t xml:space="preserve">.  </w:t>
      </w:r>
    </w:p>
    <w:p w:rsidR="00C5403F" w:rsidRDefault="00C5403F" w:rsidP="0061112A">
      <w:pPr>
        <w:spacing w:line="480" w:lineRule="auto"/>
        <w:ind w:left="720" w:hanging="720"/>
        <w:jc w:val="both"/>
      </w:pPr>
    </w:p>
    <w:p w:rsidR="005F7991" w:rsidRDefault="00C04BEF">
      <w:pPr>
        <w:spacing w:line="480" w:lineRule="auto"/>
        <w:ind w:left="720"/>
        <w:jc w:val="both"/>
      </w:pPr>
      <w:r>
        <w:t>From a fi</w:t>
      </w:r>
      <w:r w:rsidR="0096521D">
        <w:t>nancial point of view, the wireline telecommunications</w:t>
      </w:r>
      <w:r>
        <w:t xml:space="preserve"> industry is coping with a shrinking base of voice-only customers</w:t>
      </w:r>
      <w:r w:rsidR="00814CC9">
        <w:t xml:space="preserve"> (generally contracting between</w:t>
      </w:r>
      <w:r w:rsidR="00AC35FD">
        <w:t xml:space="preserve"> 6% and 12</w:t>
      </w:r>
      <w:r w:rsidR="00814CC9">
        <w:t>% annually)</w:t>
      </w:r>
      <w:r>
        <w:t>, greater risks in terms of deploying technologies</w:t>
      </w:r>
      <w:r w:rsidR="007E673B">
        <w:t xml:space="preserve"> (with </w:t>
      </w:r>
      <w:r w:rsidR="00814CC9">
        <w:t>uncertainty surrounding how f</w:t>
      </w:r>
      <w:r w:rsidR="007E673B">
        <w:t>ar fiber should be pushed to</w:t>
      </w:r>
      <w:r w:rsidR="005C1E7C">
        <w:t>ward</w:t>
      </w:r>
      <w:r w:rsidR="00814CC9">
        <w:t xml:space="preserve"> the premises)</w:t>
      </w:r>
      <w:r>
        <w:t>, pressures on margins and cash flows</w:t>
      </w:r>
      <w:r w:rsidR="00814CC9">
        <w:t xml:space="preserve"> (as most carriers are reporting at least some margin compression)</w:t>
      </w:r>
      <w:r>
        <w:t>, more critical scrutiny from debt and equity investors</w:t>
      </w:r>
      <w:r w:rsidR="00814CC9">
        <w:t xml:space="preserve"> (among the major carriers only three</w:t>
      </w:r>
      <w:r w:rsidR="00C5403F">
        <w:t>, including CenturyLink,</w:t>
      </w:r>
      <w:r w:rsidR="00814CC9">
        <w:t xml:space="preserve"> have corporate credit ratings that are investment grade)</w:t>
      </w:r>
      <w:r>
        <w:t>, the need to rationalize operations to achieve efficiencies</w:t>
      </w:r>
      <w:r w:rsidR="00814CC9">
        <w:t xml:space="preserve"> (such that rapid consolidation is occurring in the industry, including among the largest carriers)</w:t>
      </w:r>
      <w:r w:rsidR="00B111C9">
        <w:t>, and pending federal financial regulatory reforms</w:t>
      </w:r>
      <w:r>
        <w:t xml:space="preserve">.  </w:t>
      </w:r>
      <w:r w:rsidR="0096521D">
        <w:t>The financial benefits</w:t>
      </w:r>
      <w:r w:rsidR="00814CC9">
        <w:t xml:space="preserve"> </w:t>
      </w:r>
      <w:r w:rsidR="005C1E7C">
        <w:t>of</w:t>
      </w:r>
      <w:r w:rsidR="00814CC9">
        <w:t xml:space="preserve"> th</w:t>
      </w:r>
      <w:r w:rsidR="005C1E7C">
        <w:t>e proposed</w:t>
      </w:r>
      <w:r w:rsidR="00814CC9">
        <w:t xml:space="preserve"> Transaction</w:t>
      </w:r>
      <w:r w:rsidR="0096521D">
        <w:t xml:space="preserve">, therefore, are </w:t>
      </w:r>
      <w:r w:rsidR="00814CC9">
        <w:t>centered</w:t>
      </w:r>
      <w:r w:rsidR="0096521D">
        <w:t xml:space="preserve"> on </w:t>
      </w:r>
      <w:r w:rsidR="008F0BC9">
        <w:t xml:space="preserve">creating a combined company with greater scope and scale, strong financial characteristics (low leverage, prudent payout ratio, diversification of markets and revenue sources, etc.), and the ability to generate significant free cash flows.  It is also important to note that the combined company is not acquiring any new debt as the Transaction is a stock-for-stock merger.  The combined company is positioning itself to generate incremental cash flows through synergies and </w:t>
      </w:r>
      <w:r w:rsidR="00944F0B">
        <w:t xml:space="preserve">incremental </w:t>
      </w:r>
      <w:r w:rsidR="008F0BC9">
        <w:t xml:space="preserve">revenues </w:t>
      </w:r>
      <w:r w:rsidR="00944F0B">
        <w:t xml:space="preserve">from expanded service offerings </w:t>
      </w:r>
      <w:r w:rsidR="008F0BC9">
        <w:t xml:space="preserve">based on the combination of CenturyLink and Qwest assets.  The result will be higher cash flows that can be used to fund operations, invest in new service </w:t>
      </w:r>
      <w:r w:rsidR="008F0BC9">
        <w:lastRenderedPageBreak/>
        <w:t xml:space="preserve">capabilities, and reduce debt from current levels, which are affirmative benefits of the merger.  In addition, CenturyLink believes that the merged company’s market capitalization will provide a larger and more liquid equity base (more shares outstanding and a higher market capitalization).  All else being equal, the increase in market capitalization generally improves access to capital markets, which is an important consideration for the Commission in this review process.  Finally, the combined company will be run by </w:t>
      </w:r>
      <w:r w:rsidR="0096521D">
        <w:t>a management team that has been effective in responding to customers</w:t>
      </w:r>
      <w:r w:rsidR="007E673B">
        <w:t>, in generating</w:t>
      </w:r>
      <w:r w:rsidR="0096521D">
        <w:t xml:space="preserve"> better efficiencies </w:t>
      </w:r>
      <w:r w:rsidR="00814CC9">
        <w:t xml:space="preserve">through </w:t>
      </w:r>
      <w:r w:rsidR="0096521D">
        <w:t xml:space="preserve">synergies and </w:t>
      </w:r>
      <w:r w:rsidR="00C5403F">
        <w:t>more efficient operations</w:t>
      </w:r>
      <w:r w:rsidR="0096521D">
        <w:t xml:space="preserve">, </w:t>
      </w:r>
      <w:r w:rsidR="007E673B">
        <w:t xml:space="preserve">and in </w:t>
      </w:r>
      <w:r w:rsidR="0096521D">
        <w:t>investing in network and services</w:t>
      </w:r>
      <w:r w:rsidR="0029736E">
        <w:t xml:space="preserve">.  </w:t>
      </w:r>
    </w:p>
    <w:p w:rsidR="005F7991" w:rsidRDefault="005F7991">
      <w:pPr>
        <w:spacing w:line="480" w:lineRule="auto"/>
        <w:ind w:left="720"/>
        <w:jc w:val="both"/>
      </w:pPr>
    </w:p>
    <w:p w:rsidR="005F7991" w:rsidRDefault="00A91279">
      <w:pPr>
        <w:spacing w:line="480" w:lineRule="auto"/>
        <w:ind w:left="720"/>
        <w:jc w:val="both"/>
      </w:pPr>
      <w:r>
        <w:t>Based on the financial benefits of the proposed Transaction</w:t>
      </w:r>
      <w:r w:rsidR="008F0BC9">
        <w:t xml:space="preserve">, </w:t>
      </w:r>
      <w:r w:rsidR="003E4262">
        <w:t xml:space="preserve">CenturyLink </w:t>
      </w:r>
      <w:r w:rsidR="008F0BC9">
        <w:t>believes</w:t>
      </w:r>
      <w:r w:rsidR="003E4262">
        <w:t xml:space="preserve"> </w:t>
      </w:r>
      <w:r w:rsidR="00814CC9">
        <w:t xml:space="preserve">that </w:t>
      </w:r>
      <w:r>
        <w:t xml:space="preserve">the </w:t>
      </w:r>
      <w:r w:rsidR="00CF6BFD">
        <w:t xml:space="preserve">Washington </w:t>
      </w:r>
      <w:r>
        <w:t>“</w:t>
      </w:r>
      <w:r w:rsidR="00CF6BFD">
        <w:t>no harm</w:t>
      </w:r>
      <w:r>
        <w:t xml:space="preserve">” </w:t>
      </w:r>
      <w:r w:rsidR="00944F0B">
        <w:t xml:space="preserve">approval </w:t>
      </w:r>
      <w:r>
        <w:t>standard</w:t>
      </w:r>
      <w:r w:rsidR="00E7100E">
        <w:t xml:space="preserve"> </w:t>
      </w:r>
      <w:r>
        <w:t xml:space="preserve">has been </w:t>
      </w:r>
      <w:r w:rsidR="00E7100E">
        <w:t>satisfied</w:t>
      </w:r>
      <w:r>
        <w:t xml:space="preserve">.  As such, </w:t>
      </w:r>
      <w:r w:rsidR="003E4262">
        <w:t xml:space="preserve">the imposition </w:t>
      </w:r>
      <w:r w:rsidR="00EC601C">
        <w:t>of</w:t>
      </w:r>
      <w:r w:rsidR="00814CC9">
        <w:t xml:space="preserve"> </w:t>
      </w:r>
      <w:r w:rsidR="003E4262">
        <w:t xml:space="preserve">unnecessary </w:t>
      </w:r>
      <w:r w:rsidR="00814CC9">
        <w:t>conditions</w:t>
      </w:r>
      <w:r w:rsidR="008F0BC9">
        <w:t xml:space="preserve"> </w:t>
      </w:r>
      <w:r>
        <w:t>c</w:t>
      </w:r>
      <w:r w:rsidR="00814CC9">
        <w:t xml:space="preserve">ould </w:t>
      </w:r>
      <w:r>
        <w:t xml:space="preserve">undermine the expected financial benefits and </w:t>
      </w:r>
      <w:r w:rsidR="00EC601C">
        <w:t>hinder</w:t>
      </w:r>
      <w:r w:rsidR="00814CC9">
        <w:t xml:space="preserve"> the Company’s ability to respond flexibly to the </w:t>
      </w:r>
      <w:r w:rsidR="008F0BC9">
        <w:t xml:space="preserve">rapidly changing and increasingly competitive telecommunications </w:t>
      </w:r>
      <w:r w:rsidR="00814CC9">
        <w:t>marketplace</w:t>
      </w:r>
      <w:r>
        <w:t xml:space="preserve">—a result </w:t>
      </w:r>
      <w:r w:rsidR="003E4262">
        <w:t xml:space="preserve">which </w:t>
      </w:r>
      <w:r w:rsidR="00A570B6">
        <w:t>w</w:t>
      </w:r>
      <w:r w:rsidR="003E4262">
        <w:t xml:space="preserve">ould harm </w:t>
      </w:r>
      <w:r w:rsidR="00CF6BFD">
        <w:t>Washington</w:t>
      </w:r>
      <w:r w:rsidR="00A570B6">
        <w:t xml:space="preserve"> </w:t>
      </w:r>
      <w:r w:rsidR="003E4262">
        <w:t>customers and public policy</w:t>
      </w:r>
      <w:r w:rsidR="00814CC9">
        <w:t>.</w:t>
      </w:r>
      <w:r w:rsidR="000930B7" w:rsidDel="000930B7">
        <w:t xml:space="preserve"> </w:t>
      </w:r>
      <w:r w:rsidR="0029736E">
        <w:t xml:space="preserve">  </w:t>
      </w:r>
    </w:p>
    <w:p w:rsidR="00776B97" w:rsidRPr="00287298" w:rsidRDefault="00776B97" w:rsidP="0048491E">
      <w:pPr>
        <w:spacing w:line="480" w:lineRule="auto"/>
        <w:ind w:left="720" w:hanging="720"/>
        <w:jc w:val="both"/>
        <w:rPr>
          <w:b/>
          <w:bCs/>
        </w:rPr>
      </w:pPr>
    </w:p>
    <w:p w:rsidR="00505A5A" w:rsidRPr="00B16B64" w:rsidRDefault="00CF6BFD" w:rsidP="00B16B64">
      <w:pPr>
        <w:pStyle w:val="ListParagraph"/>
        <w:numPr>
          <w:ilvl w:val="0"/>
          <w:numId w:val="15"/>
        </w:numPr>
        <w:ind w:left="1680" w:hanging="960"/>
        <w:jc w:val="both"/>
        <w:rPr>
          <w:b/>
          <w:bCs/>
        </w:rPr>
      </w:pPr>
      <w:r w:rsidRPr="00CF6BFD">
        <w:rPr>
          <w:b/>
        </w:rPr>
        <w:t xml:space="preserve">THE FINANCIAL ANALYSES OF MR. APPLEGATE THAT LEAD HIM TO </w:t>
      </w:r>
      <w:r w:rsidR="00A10FAA" w:rsidRPr="00A10FAA">
        <w:rPr>
          <w:rFonts w:ascii="Times New Roman Bold" w:hAnsi="Times New Roman Bold"/>
          <w:b/>
          <w:caps/>
        </w:rPr>
        <w:t>conclude that no deterioration in the combined company’s financial condition (i.e., financial harm) is likely to result from</w:t>
      </w:r>
      <w:r w:rsidR="006F37C0" w:rsidRPr="006F37C0">
        <w:rPr>
          <w:b/>
        </w:rPr>
        <w:t xml:space="preserve"> </w:t>
      </w:r>
      <w:r w:rsidRPr="00CF6BFD">
        <w:rPr>
          <w:b/>
        </w:rPr>
        <w:t>THE TRANSACTION.</w:t>
      </w:r>
    </w:p>
    <w:p w:rsidR="00B16B64" w:rsidRPr="00CF6BFD" w:rsidRDefault="00B16B64" w:rsidP="00B16B64">
      <w:pPr>
        <w:pStyle w:val="ListParagraph"/>
        <w:jc w:val="both"/>
        <w:rPr>
          <w:b/>
          <w:bCs/>
        </w:rPr>
      </w:pPr>
    </w:p>
    <w:p w:rsidR="00CF6BFD" w:rsidRPr="00112F5F" w:rsidRDefault="00141F68" w:rsidP="00CF6BFD">
      <w:pPr>
        <w:spacing w:line="480" w:lineRule="auto"/>
        <w:ind w:left="720" w:hanging="720"/>
        <w:jc w:val="both"/>
        <w:rPr>
          <w:rFonts w:ascii="Times New Roman Bold" w:hAnsi="Times New Roman Bold"/>
          <w:b/>
          <w:bCs/>
          <w:caps/>
        </w:rPr>
      </w:pPr>
      <w:r w:rsidRPr="00CF6BFD">
        <w:rPr>
          <w:b/>
          <w:bCs/>
        </w:rPr>
        <w:t>Q</w:t>
      </w:r>
      <w:r>
        <w:rPr>
          <w:b/>
          <w:bCs/>
        </w:rPr>
        <w:t>.</w:t>
      </w:r>
      <w:r>
        <w:rPr>
          <w:b/>
          <w:bCs/>
        </w:rPr>
        <w:tab/>
      </w:r>
      <w:r w:rsidRPr="00112F5F">
        <w:rPr>
          <w:rFonts w:ascii="Times New Roman Bold" w:hAnsi="Times New Roman Bold"/>
          <w:b/>
          <w:bCs/>
          <w:caps/>
        </w:rPr>
        <w:t>Please comment on</w:t>
      </w:r>
      <w:r w:rsidR="00B07362" w:rsidRPr="00112F5F">
        <w:rPr>
          <w:rFonts w:ascii="Times New Roman Bold" w:hAnsi="Times New Roman Bold"/>
          <w:b/>
          <w:bCs/>
          <w:caps/>
        </w:rPr>
        <w:t xml:space="preserve"> Staff witness Applegate’s summary of the rationale for the proposed Transaction.</w:t>
      </w:r>
    </w:p>
    <w:p w:rsidR="00B07362" w:rsidRDefault="00B07362" w:rsidP="00CF6BFD">
      <w:pPr>
        <w:spacing w:line="480" w:lineRule="auto"/>
        <w:ind w:left="720" w:hanging="720"/>
        <w:jc w:val="both"/>
        <w:rPr>
          <w:bCs/>
        </w:rPr>
      </w:pPr>
      <w:r>
        <w:rPr>
          <w:bCs/>
        </w:rPr>
        <w:lastRenderedPageBreak/>
        <w:t>A.</w:t>
      </w:r>
      <w:r>
        <w:rPr>
          <w:bCs/>
        </w:rPr>
        <w:tab/>
        <w:t xml:space="preserve">Mr. Applegate testifies in a single sentence </w:t>
      </w:r>
      <w:r w:rsidR="00EC601C">
        <w:rPr>
          <w:bCs/>
        </w:rPr>
        <w:t xml:space="preserve">response </w:t>
      </w:r>
      <w:r>
        <w:rPr>
          <w:bCs/>
        </w:rPr>
        <w:t>that the rationale</w:t>
      </w:r>
      <w:r w:rsidR="00EC601C">
        <w:rPr>
          <w:bCs/>
        </w:rPr>
        <w:t xml:space="preserve"> for the merger</w:t>
      </w:r>
      <w:r>
        <w:rPr>
          <w:bCs/>
        </w:rPr>
        <w:t xml:space="preserve"> is that “[t]he Combined Company should benefit from economies of scale.”</w:t>
      </w:r>
      <w:r>
        <w:rPr>
          <w:rStyle w:val="FootnoteReference"/>
          <w:bCs/>
        </w:rPr>
        <w:footnoteReference w:id="18"/>
      </w:r>
      <w:r>
        <w:rPr>
          <w:bCs/>
        </w:rPr>
        <w:t xml:space="preserve">  CenturyLink agrees that the merged company </w:t>
      </w:r>
      <w:r w:rsidR="00FA5C63">
        <w:rPr>
          <w:bCs/>
        </w:rPr>
        <w:t xml:space="preserve">will </w:t>
      </w:r>
      <w:r>
        <w:rPr>
          <w:bCs/>
        </w:rPr>
        <w:t xml:space="preserve">benefit from improved </w:t>
      </w:r>
      <w:r w:rsidR="00FA5C63">
        <w:rPr>
          <w:bCs/>
        </w:rPr>
        <w:t>economies of scale</w:t>
      </w:r>
      <w:r>
        <w:rPr>
          <w:bCs/>
        </w:rPr>
        <w:t xml:space="preserve">, </w:t>
      </w:r>
      <w:r w:rsidR="000F2C58">
        <w:rPr>
          <w:bCs/>
        </w:rPr>
        <w:t xml:space="preserve">which are expected to generate </w:t>
      </w:r>
      <w:r w:rsidR="00FA5C63">
        <w:rPr>
          <w:bCs/>
        </w:rPr>
        <w:t xml:space="preserve">improved efficiencies and </w:t>
      </w:r>
      <w:r>
        <w:rPr>
          <w:bCs/>
        </w:rPr>
        <w:t>increased cash flows</w:t>
      </w:r>
      <w:r w:rsidR="00767787">
        <w:rPr>
          <w:bCs/>
        </w:rPr>
        <w:t xml:space="preserve"> that can be used to better serve the Company’s </w:t>
      </w:r>
      <w:r>
        <w:rPr>
          <w:bCs/>
        </w:rPr>
        <w:t>customer</w:t>
      </w:r>
      <w:r w:rsidR="00767787">
        <w:rPr>
          <w:bCs/>
        </w:rPr>
        <w:t>s</w:t>
      </w:r>
      <w:r>
        <w:rPr>
          <w:bCs/>
        </w:rPr>
        <w:t>.</w:t>
      </w:r>
      <w:r w:rsidR="00EC601C">
        <w:rPr>
          <w:bCs/>
        </w:rPr>
        <w:t xml:space="preserve">  CenturyLink also believes</w:t>
      </w:r>
      <w:r w:rsidR="00212554">
        <w:rPr>
          <w:bCs/>
        </w:rPr>
        <w:t xml:space="preserve"> that the rationale includes the ability to combine </w:t>
      </w:r>
      <w:r w:rsidR="00FA5C63">
        <w:rPr>
          <w:bCs/>
        </w:rPr>
        <w:t xml:space="preserve">complementary </w:t>
      </w:r>
      <w:r w:rsidR="00212554">
        <w:rPr>
          <w:bCs/>
        </w:rPr>
        <w:t>capabilities</w:t>
      </w:r>
      <w:r w:rsidR="00FA5C63">
        <w:rPr>
          <w:bCs/>
        </w:rPr>
        <w:t xml:space="preserve"> and assets</w:t>
      </w:r>
      <w:r w:rsidR="00212554">
        <w:rPr>
          <w:bCs/>
        </w:rPr>
        <w:t xml:space="preserve">, including transport and local access, to </w:t>
      </w:r>
      <w:r w:rsidR="00FA5C63">
        <w:rPr>
          <w:bCs/>
        </w:rPr>
        <w:t xml:space="preserve">offer </w:t>
      </w:r>
      <w:r w:rsidR="00212554">
        <w:rPr>
          <w:bCs/>
        </w:rPr>
        <w:t xml:space="preserve">a broader range of products </w:t>
      </w:r>
      <w:r w:rsidR="00FA5C63">
        <w:rPr>
          <w:bCs/>
        </w:rPr>
        <w:t>and services to</w:t>
      </w:r>
      <w:r w:rsidR="00212554">
        <w:rPr>
          <w:bCs/>
        </w:rPr>
        <w:t xml:space="preserve"> our customers.  Finally, </w:t>
      </w:r>
      <w:r w:rsidR="00EC601C">
        <w:rPr>
          <w:bCs/>
        </w:rPr>
        <w:t xml:space="preserve">CenturyLink </w:t>
      </w:r>
      <w:r w:rsidR="00FA5C63">
        <w:rPr>
          <w:bCs/>
        </w:rPr>
        <w:t xml:space="preserve">and Qwest </w:t>
      </w:r>
      <w:r w:rsidR="00EC601C">
        <w:rPr>
          <w:bCs/>
        </w:rPr>
        <w:t>seek to</w:t>
      </w:r>
      <w:r w:rsidR="00212554">
        <w:rPr>
          <w:bCs/>
        </w:rPr>
        <w:t xml:space="preserve"> diversif</w:t>
      </w:r>
      <w:r w:rsidR="00EC601C">
        <w:rPr>
          <w:bCs/>
        </w:rPr>
        <w:t xml:space="preserve">y </w:t>
      </w:r>
      <w:r w:rsidR="00FA5C63">
        <w:rPr>
          <w:bCs/>
        </w:rPr>
        <w:t>their</w:t>
      </w:r>
      <w:r w:rsidR="00212554">
        <w:rPr>
          <w:bCs/>
        </w:rPr>
        <w:t xml:space="preserve"> </w:t>
      </w:r>
      <w:r w:rsidR="00FA5C63">
        <w:rPr>
          <w:bCs/>
        </w:rPr>
        <w:t>operations</w:t>
      </w:r>
      <w:r w:rsidR="00EC601C">
        <w:rPr>
          <w:bCs/>
        </w:rPr>
        <w:t xml:space="preserve">, thereby </w:t>
      </w:r>
      <w:r w:rsidR="00FA5C63">
        <w:rPr>
          <w:bCs/>
        </w:rPr>
        <w:t xml:space="preserve">improving </w:t>
      </w:r>
      <w:r w:rsidR="00212554">
        <w:rPr>
          <w:bCs/>
        </w:rPr>
        <w:t xml:space="preserve">the overall risk </w:t>
      </w:r>
      <w:r w:rsidR="00FA5C63">
        <w:rPr>
          <w:bCs/>
        </w:rPr>
        <w:t>profile of the</w:t>
      </w:r>
      <w:r w:rsidR="00212554">
        <w:rPr>
          <w:bCs/>
        </w:rPr>
        <w:t xml:space="preserve"> merged company’s business.</w:t>
      </w:r>
      <w:r w:rsidR="00EC5909">
        <w:rPr>
          <w:bCs/>
        </w:rPr>
        <w:t xml:space="preserve">  All of these “rationales” should make the Company a better</w:t>
      </w:r>
      <w:r w:rsidR="00FA5C63">
        <w:rPr>
          <w:bCs/>
        </w:rPr>
        <w:t>, more capable</w:t>
      </w:r>
      <w:r w:rsidR="00EC5909">
        <w:rPr>
          <w:bCs/>
        </w:rPr>
        <w:t xml:space="preserve"> service provider</w:t>
      </w:r>
      <w:r w:rsidR="00FA5C63">
        <w:rPr>
          <w:bCs/>
        </w:rPr>
        <w:t xml:space="preserve"> for Washington and Washington customers</w:t>
      </w:r>
      <w:r w:rsidR="00EC5909">
        <w:rPr>
          <w:bCs/>
        </w:rPr>
        <w:t>.</w:t>
      </w:r>
    </w:p>
    <w:p w:rsidR="00C53551" w:rsidRDefault="00C53551" w:rsidP="00CF6BFD">
      <w:pPr>
        <w:spacing w:line="480" w:lineRule="auto"/>
        <w:ind w:left="720" w:hanging="720"/>
        <w:jc w:val="both"/>
        <w:rPr>
          <w:bCs/>
        </w:rPr>
      </w:pPr>
    </w:p>
    <w:p w:rsidR="00C53551" w:rsidRPr="00112F5F" w:rsidRDefault="00C53551" w:rsidP="00CF6BF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What </w:t>
      </w:r>
      <w:r w:rsidR="00E66434" w:rsidRPr="00112F5F">
        <w:rPr>
          <w:rFonts w:ascii="Times New Roman Bold" w:hAnsi="Times New Roman Bold"/>
          <w:b/>
          <w:bCs/>
          <w:caps/>
        </w:rPr>
        <w:t>is</w:t>
      </w:r>
      <w:r w:rsidRPr="00112F5F">
        <w:rPr>
          <w:rFonts w:ascii="Times New Roman Bold" w:hAnsi="Times New Roman Bold"/>
          <w:b/>
          <w:bCs/>
          <w:caps/>
        </w:rPr>
        <w:t xml:space="preserve"> the </w:t>
      </w:r>
      <w:r w:rsidR="00E66434" w:rsidRPr="00112F5F">
        <w:rPr>
          <w:rFonts w:ascii="Times New Roman Bold" w:hAnsi="Times New Roman Bold"/>
          <w:b/>
          <w:bCs/>
          <w:caps/>
        </w:rPr>
        <w:t xml:space="preserve">overriding financial </w:t>
      </w:r>
      <w:r w:rsidRPr="00112F5F">
        <w:rPr>
          <w:rFonts w:ascii="Times New Roman Bold" w:hAnsi="Times New Roman Bold"/>
          <w:b/>
          <w:bCs/>
          <w:caps/>
        </w:rPr>
        <w:t xml:space="preserve">risk that </w:t>
      </w:r>
      <w:r w:rsidR="00E66434" w:rsidRPr="00112F5F">
        <w:rPr>
          <w:rFonts w:ascii="Times New Roman Bold" w:hAnsi="Times New Roman Bold"/>
          <w:b/>
          <w:bCs/>
          <w:caps/>
        </w:rPr>
        <w:t xml:space="preserve">concerns </w:t>
      </w:r>
      <w:r w:rsidRPr="00112F5F">
        <w:rPr>
          <w:rFonts w:ascii="Times New Roman Bold" w:hAnsi="Times New Roman Bold"/>
          <w:b/>
          <w:bCs/>
          <w:caps/>
        </w:rPr>
        <w:t xml:space="preserve">Mr. Applegate </w:t>
      </w:r>
      <w:r w:rsidR="00E66434" w:rsidRPr="00112F5F">
        <w:rPr>
          <w:rFonts w:ascii="Times New Roman Bold" w:hAnsi="Times New Roman Bold"/>
          <w:b/>
          <w:bCs/>
          <w:caps/>
        </w:rPr>
        <w:t>and how does he propose to assess the risk</w:t>
      </w:r>
      <w:r w:rsidRPr="00112F5F">
        <w:rPr>
          <w:rFonts w:ascii="Times New Roman Bold" w:hAnsi="Times New Roman Bold"/>
          <w:b/>
          <w:bCs/>
          <w:caps/>
        </w:rPr>
        <w:t>?</w:t>
      </w:r>
    </w:p>
    <w:p w:rsidR="00C53551" w:rsidRDefault="00C53551" w:rsidP="00CF6BFD">
      <w:pPr>
        <w:spacing w:line="480" w:lineRule="auto"/>
        <w:ind w:left="720" w:hanging="720"/>
        <w:jc w:val="both"/>
        <w:rPr>
          <w:bCs/>
        </w:rPr>
      </w:pPr>
      <w:r>
        <w:rPr>
          <w:bCs/>
        </w:rPr>
        <w:t>A.</w:t>
      </w:r>
      <w:r>
        <w:rPr>
          <w:bCs/>
        </w:rPr>
        <w:tab/>
      </w:r>
      <w:r w:rsidR="00BA3ED8">
        <w:rPr>
          <w:bCs/>
        </w:rPr>
        <w:t xml:space="preserve">Mr. Applegate </w:t>
      </w:r>
      <w:r w:rsidR="00E66434">
        <w:rPr>
          <w:bCs/>
        </w:rPr>
        <w:t xml:space="preserve">primarily is concerned with assessing </w:t>
      </w:r>
      <w:r w:rsidR="00BA3ED8">
        <w:rPr>
          <w:bCs/>
        </w:rPr>
        <w:t xml:space="preserve">the potential for deterioration in the financial condition of the combined company </w:t>
      </w:r>
      <w:r w:rsidR="00E66434">
        <w:rPr>
          <w:bCs/>
        </w:rPr>
        <w:t>as a result of the proposed Transaction.</w:t>
      </w:r>
      <w:r w:rsidR="00E66434">
        <w:rPr>
          <w:rStyle w:val="FootnoteReference"/>
          <w:bCs/>
        </w:rPr>
        <w:footnoteReference w:id="19"/>
      </w:r>
      <w:r w:rsidR="00E66434">
        <w:rPr>
          <w:bCs/>
        </w:rPr>
        <w:t xml:space="preserve">  Mr. Applegate focuses his evaluation of the combined company’s financial condition on </w:t>
      </w:r>
      <w:r w:rsidR="00BA3ED8">
        <w:rPr>
          <w:bCs/>
        </w:rPr>
        <w:t>three metrics: (i) earnings before interest, taxes, depreciation and amortization (“EBITDA”), (ii) long-term debt, and (iii) free cash flow after dividends.</w:t>
      </w:r>
      <w:r w:rsidR="00BA3ED8">
        <w:rPr>
          <w:rStyle w:val="FootnoteReference"/>
          <w:bCs/>
        </w:rPr>
        <w:footnoteReference w:id="20"/>
      </w:r>
      <w:r w:rsidR="00BA3ED8">
        <w:rPr>
          <w:bCs/>
        </w:rPr>
        <w:t xml:space="preserve"> </w:t>
      </w:r>
      <w:r w:rsidR="0052125A">
        <w:rPr>
          <w:bCs/>
        </w:rPr>
        <w:t xml:space="preserve"> Cen</w:t>
      </w:r>
      <w:r w:rsidR="0057465E">
        <w:rPr>
          <w:bCs/>
        </w:rPr>
        <w:t>turyLink agrees that the three</w:t>
      </w:r>
      <w:r w:rsidR="0052125A">
        <w:rPr>
          <w:bCs/>
        </w:rPr>
        <w:t xml:space="preserve"> metrics </w:t>
      </w:r>
      <w:r w:rsidR="00E66434">
        <w:rPr>
          <w:bCs/>
        </w:rPr>
        <w:t xml:space="preserve">identified by Mr. Applegate </w:t>
      </w:r>
      <w:r w:rsidR="007E7112">
        <w:rPr>
          <w:bCs/>
        </w:rPr>
        <w:t>highlight</w:t>
      </w:r>
      <w:r w:rsidR="00FB4D77">
        <w:rPr>
          <w:bCs/>
        </w:rPr>
        <w:t>, at least generally,</w:t>
      </w:r>
      <w:r w:rsidR="0052125A">
        <w:rPr>
          <w:bCs/>
        </w:rPr>
        <w:t xml:space="preserve"> </w:t>
      </w:r>
      <w:r w:rsidR="00E66434">
        <w:rPr>
          <w:bCs/>
        </w:rPr>
        <w:t xml:space="preserve">the financial health of a company and are consistent with </w:t>
      </w:r>
      <w:r w:rsidR="0052125A">
        <w:rPr>
          <w:bCs/>
        </w:rPr>
        <w:t>the rationale</w:t>
      </w:r>
      <w:r w:rsidR="007E7112">
        <w:rPr>
          <w:bCs/>
        </w:rPr>
        <w:t xml:space="preserve"> for the merger</w:t>
      </w:r>
      <w:r w:rsidR="00E66434">
        <w:rPr>
          <w:bCs/>
        </w:rPr>
        <w:t xml:space="preserve">.  As </w:t>
      </w:r>
      <w:r w:rsidR="00E66434">
        <w:rPr>
          <w:bCs/>
        </w:rPr>
        <w:lastRenderedPageBreak/>
        <w:t>such, the metrics p</w:t>
      </w:r>
      <w:r w:rsidR="0057465E">
        <w:rPr>
          <w:bCs/>
        </w:rPr>
        <w:t xml:space="preserve">rovide a </w:t>
      </w:r>
      <w:r w:rsidR="00E66434">
        <w:rPr>
          <w:bCs/>
        </w:rPr>
        <w:t xml:space="preserve">reasonable </w:t>
      </w:r>
      <w:r w:rsidR="0057465E">
        <w:rPr>
          <w:bCs/>
        </w:rPr>
        <w:t xml:space="preserve">basis for </w:t>
      </w:r>
      <w:r w:rsidR="0052125A">
        <w:rPr>
          <w:bCs/>
        </w:rPr>
        <w:t>assess</w:t>
      </w:r>
      <w:r w:rsidR="0057465E">
        <w:rPr>
          <w:bCs/>
        </w:rPr>
        <w:t>ing</w:t>
      </w:r>
      <w:r w:rsidR="0052125A">
        <w:rPr>
          <w:bCs/>
        </w:rPr>
        <w:t xml:space="preserve"> the financial risks associated with the proposed Transaction.</w:t>
      </w:r>
    </w:p>
    <w:p w:rsidR="00D6322A" w:rsidRDefault="00D6322A" w:rsidP="00CF6BFD">
      <w:pPr>
        <w:spacing w:line="480" w:lineRule="auto"/>
        <w:ind w:left="720" w:hanging="720"/>
        <w:jc w:val="both"/>
        <w:rPr>
          <w:bCs/>
        </w:rPr>
      </w:pPr>
    </w:p>
    <w:p w:rsidR="00863FC8" w:rsidRPr="00112F5F" w:rsidRDefault="00863FC8" w:rsidP="00863FC8">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What are the primary potential risk factors that serve as the basis for Mr. Applegate’s assessment?</w:t>
      </w:r>
    </w:p>
    <w:p w:rsidR="00863FC8" w:rsidRDefault="00863FC8" w:rsidP="00863FC8">
      <w:pPr>
        <w:spacing w:line="480" w:lineRule="auto"/>
        <w:ind w:left="720" w:hanging="720"/>
        <w:jc w:val="both"/>
        <w:rPr>
          <w:b/>
          <w:bCs/>
        </w:rPr>
      </w:pPr>
      <w:r>
        <w:rPr>
          <w:bCs/>
        </w:rPr>
        <w:t>A.</w:t>
      </w:r>
      <w:r>
        <w:rPr>
          <w:bCs/>
        </w:rPr>
        <w:tab/>
        <w:t>The financial factors analyzed by Mr. Applegate are: (i) integration expenses to be incurred by CenturyLink, (ii) the combined company’s ability to integrate and generate the expected synergies, (iii) CenturyLink’s assumption of additional debt, (iv) financial impacts of continuing access line losses, and (v) any material adverse litigation outcomes, particularly the KPNQwest litigation.</w:t>
      </w:r>
      <w:r>
        <w:rPr>
          <w:rStyle w:val="FootnoteReference"/>
          <w:bCs/>
        </w:rPr>
        <w:footnoteReference w:id="21"/>
      </w:r>
      <w:r>
        <w:rPr>
          <w:bCs/>
        </w:rPr>
        <w:t xml:space="preserve">  I will address each of these </w:t>
      </w:r>
      <w:r w:rsidR="003268BF">
        <w:rPr>
          <w:bCs/>
        </w:rPr>
        <w:t>factors below in my testimony</w:t>
      </w:r>
      <w:r>
        <w:rPr>
          <w:bCs/>
        </w:rPr>
        <w:t>.</w:t>
      </w:r>
    </w:p>
    <w:p w:rsidR="00863FC8" w:rsidRDefault="00863FC8" w:rsidP="00CF6BFD">
      <w:pPr>
        <w:spacing w:line="480" w:lineRule="auto"/>
        <w:ind w:left="720" w:hanging="720"/>
        <w:jc w:val="both"/>
        <w:rPr>
          <w:b/>
          <w:bCs/>
        </w:rPr>
      </w:pPr>
    </w:p>
    <w:p w:rsidR="0057549D" w:rsidRPr="00112F5F" w:rsidRDefault="0057549D" w:rsidP="0057549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What is Mr. Applegate’s assessment of the risk of financial harm related to one-time integration costs?</w:t>
      </w:r>
    </w:p>
    <w:p w:rsidR="0057549D" w:rsidRDefault="0057549D" w:rsidP="008C5B32">
      <w:pPr>
        <w:spacing w:line="480" w:lineRule="auto"/>
        <w:ind w:left="720" w:hanging="720"/>
        <w:rPr>
          <w:b/>
          <w:bCs/>
        </w:rPr>
      </w:pPr>
      <w:r>
        <w:rPr>
          <w:bCs/>
        </w:rPr>
        <w:t>A.</w:t>
      </w:r>
      <w:r>
        <w:rPr>
          <w:bCs/>
        </w:rPr>
        <w:tab/>
        <w:t xml:space="preserve">Mr. Applegate </w:t>
      </w:r>
      <w:r w:rsidR="006F676A">
        <w:rPr>
          <w:bCs/>
        </w:rPr>
        <w:t>prepared confidential Table 2 that summarizes the expected one-time operating and capital integration costs, and how those nonrecurring costs will be phased-in over the 2011-2015 time period.</w:t>
      </w:r>
      <w:r w:rsidR="006F676A">
        <w:rPr>
          <w:rStyle w:val="FootnoteReference"/>
          <w:bCs/>
        </w:rPr>
        <w:footnoteReference w:id="22"/>
      </w:r>
      <w:r w:rsidR="006F676A">
        <w:rPr>
          <w:bCs/>
        </w:rPr>
        <w:t xml:space="preserve">  </w:t>
      </w:r>
      <w:r w:rsidR="008D57F4">
        <w:rPr>
          <w:bCs/>
        </w:rPr>
        <w:t>Mr. Applegate then assessed</w:t>
      </w:r>
      <w:r w:rsidR="001F1967">
        <w:rPr>
          <w:bCs/>
        </w:rPr>
        <w:t xml:space="preserve"> th</w:t>
      </w:r>
      <w:r w:rsidR="00C07877">
        <w:rPr>
          <w:bCs/>
        </w:rPr>
        <w:t>o</w:t>
      </w:r>
      <w:r w:rsidR="001F1967">
        <w:rPr>
          <w:bCs/>
        </w:rPr>
        <w:t>se costs relative to the combined company’s expected financial performance, concluding that the integration costs are</w:t>
      </w:r>
      <w:r w:rsidR="00D55636">
        <w:rPr>
          <w:bCs/>
        </w:rPr>
        <w:t xml:space="preserve"> ***</w:t>
      </w:r>
      <w:r w:rsidR="00C07877">
        <w:rPr>
          <w:bCs/>
        </w:rPr>
        <w:t>BEGIN HIGHLY CONFIDENTIAL</w:t>
      </w:r>
      <w:r w:rsidR="001F1967">
        <w:rPr>
          <w:bCs/>
        </w:rPr>
        <w:t xml:space="preserve"> </w:t>
      </w:r>
      <w:r w:rsidR="001F1967" w:rsidRPr="005A398E">
        <w:rPr>
          <w:bCs/>
          <w:shd w:val="clear" w:color="auto" w:fill="D9D9D9"/>
        </w:rPr>
        <w:t>“</w:t>
      </w:r>
      <w:r w:rsidR="008C5B32" w:rsidRPr="001A6836">
        <w:rPr>
          <w:bCs/>
          <w:i/>
          <w:shd w:val="clear" w:color="auto" w:fill="D9D9D9"/>
        </w:rPr>
        <w:t>REDACTED</w:t>
      </w:r>
      <w:r w:rsidR="008C5B32">
        <w:rPr>
          <w:bCs/>
          <w:shd w:val="clear" w:color="auto" w:fill="D9D9D9"/>
        </w:rPr>
        <w:t xml:space="preserve"> XXXXXXX XXXXXXXXXXXXXXXXXXXXXXXXXXXXXXXXXXXXXXXXXXXXXXX</w:t>
      </w:r>
      <w:r w:rsidR="001F1967" w:rsidRPr="005C3FEB">
        <w:rPr>
          <w:bCs/>
          <w:shd w:val="clear" w:color="auto" w:fill="BFBFBF"/>
        </w:rPr>
        <w:t>.</w:t>
      </w:r>
      <w:r w:rsidR="001F1967" w:rsidRPr="005A398E">
        <w:rPr>
          <w:bCs/>
          <w:shd w:val="clear" w:color="auto" w:fill="D9D9D9"/>
        </w:rPr>
        <w:t>”</w:t>
      </w:r>
      <w:r w:rsidR="001F1967">
        <w:rPr>
          <w:rStyle w:val="FootnoteReference"/>
          <w:bCs/>
        </w:rPr>
        <w:footnoteReference w:id="23"/>
      </w:r>
      <w:r w:rsidR="001A2841">
        <w:rPr>
          <w:bCs/>
          <w:shd w:val="clear" w:color="auto" w:fill="D9D9D9"/>
        </w:rPr>
        <w:t xml:space="preserve"> </w:t>
      </w:r>
      <w:r w:rsidR="001A2841">
        <w:rPr>
          <w:bCs/>
        </w:rPr>
        <w:t>END HIGHLY CONFIDENTIAL ***</w:t>
      </w:r>
      <w:r w:rsidR="001F1967">
        <w:rPr>
          <w:bCs/>
        </w:rPr>
        <w:t xml:space="preserve">  As such, the Staff financial witness concludes </w:t>
      </w:r>
      <w:r w:rsidR="001F1967">
        <w:rPr>
          <w:bCs/>
        </w:rPr>
        <w:lastRenderedPageBreak/>
        <w:t>that “integration costs should not cause the financial condition of the Combined Company to deteriorate.”</w:t>
      </w:r>
      <w:r w:rsidR="008D57F4">
        <w:rPr>
          <w:rStyle w:val="FootnoteReference"/>
          <w:bCs/>
        </w:rPr>
        <w:footnoteReference w:id="24"/>
      </w:r>
      <w:r w:rsidR="001F1967">
        <w:rPr>
          <w:bCs/>
        </w:rPr>
        <w:t xml:space="preserve">  Thus</w:t>
      </w:r>
      <w:r w:rsidR="008D57F4">
        <w:rPr>
          <w:bCs/>
        </w:rPr>
        <w:t>,</w:t>
      </w:r>
      <w:r w:rsidR="001F1967">
        <w:rPr>
          <w:bCs/>
        </w:rPr>
        <w:t xml:space="preserve"> by Mr. Applegate’s own definition,</w:t>
      </w:r>
      <w:r w:rsidR="008D57F4">
        <w:rPr>
          <w:bCs/>
        </w:rPr>
        <w:t xml:space="preserve"> the integration costs should not be expected to cause harm to Washington or Washington customers.  CenturyLink agrees with Mr. Applegate’s assessment.</w:t>
      </w:r>
      <w:r w:rsidR="006F676A">
        <w:rPr>
          <w:bCs/>
        </w:rPr>
        <w:t xml:space="preserve">   </w:t>
      </w:r>
    </w:p>
    <w:p w:rsidR="0057549D" w:rsidRDefault="0057549D" w:rsidP="00CF6BFD">
      <w:pPr>
        <w:spacing w:line="480" w:lineRule="auto"/>
        <w:ind w:left="720" w:hanging="720"/>
        <w:jc w:val="both"/>
        <w:rPr>
          <w:b/>
          <w:bCs/>
        </w:rPr>
      </w:pPr>
    </w:p>
    <w:p w:rsidR="0052125A" w:rsidRPr="00112F5F" w:rsidRDefault="0052125A" w:rsidP="00CF6BFD">
      <w:pPr>
        <w:spacing w:line="480" w:lineRule="auto"/>
        <w:ind w:left="720" w:hanging="720"/>
        <w:jc w:val="both"/>
        <w:rPr>
          <w:rFonts w:ascii="Times New Roman Bold" w:hAnsi="Times New Roman Bold"/>
          <w:b/>
          <w:bCs/>
          <w:caps/>
        </w:rPr>
      </w:pPr>
      <w:r>
        <w:rPr>
          <w:b/>
          <w:bCs/>
        </w:rPr>
        <w:t>Q.</w:t>
      </w:r>
      <w:r>
        <w:rPr>
          <w:b/>
          <w:bCs/>
        </w:rPr>
        <w:tab/>
      </w:r>
      <w:r w:rsidR="0057465E" w:rsidRPr="00112F5F">
        <w:rPr>
          <w:rFonts w:ascii="Times New Roman Bold" w:hAnsi="Times New Roman Bold"/>
          <w:b/>
          <w:bCs/>
          <w:caps/>
        </w:rPr>
        <w:t xml:space="preserve">Do you have any comments on Mr. Applegate’s analysis of </w:t>
      </w:r>
      <w:r w:rsidR="003268BF" w:rsidRPr="00112F5F">
        <w:rPr>
          <w:rFonts w:ascii="Times New Roman Bold" w:hAnsi="Times New Roman Bold"/>
          <w:b/>
          <w:bCs/>
          <w:caps/>
        </w:rPr>
        <w:t xml:space="preserve">the combined company’s ability to generate the expected </w:t>
      </w:r>
      <w:r w:rsidR="0057465E" w:rsidRPr="00112F5F">
        <w:rPr>
          <w:rFonts w:ascii="Times New Roman Bold" w:hAnsi="Times New Roman Bold"/>
          <w:b/>
          <w:bCs/>
          <w:caps/>
        </w:rPr>
        <w:t>synergy savings and cash flow</w:t>
      </w:r>
      <w:r w:rsidR="003268BF" w:rsidRPr="00112F5F">
        <w:rPr>
          <w:rFonts w:ascii="Times New Roman Bold" w:hAnsi="Times New Roman Bold"/>
          <w:b/>
          <w:bCs/>
          <w:caps/>
        </w:rPr>
        <w:t xml:space="preserve"> improvement</w:t>
      </w:r>
      <w:r w:rsidR="0057465E" w:rsidRPr="00112F5F">
        <w:rPr>
          <w:rFonts w:ascii="Times New Roman Bold" w:hAnsi="Times New Roman Bold"/>
          <w:b/>
          <w:bCs/>
          <w:caps/>
        </w:rPr>
        <w:t>s?</w:t>
      </w:r>
    </w:p>
    <w:p w:rsidR="0057465E" w:rsidRDefault="0057465E" w:rsidP="00CF6BFD">
      <w:pPr>
        <w:spacing w:line="480" w:lineRule="auto"/>
        <w:ind w:left="720" w:hanging="720"/>
        <w:jc w:val="both"/>
        <w:rPr>
          <w:bCs/>
        </w:rPr>
      </w:pPr>
      <w:r>
        <w:rPr>
          <w:bCs/>
        </w:rPr>
        <w:t>A.</w:t>
      </w:r>
      <w:r>
        <w:rPr>
          <w:bCs/>
        </w:rPr>
        <w:tab/>
        <w:t xml:space="preserve">Yes.  Mr. </w:t>
      </w:r>
      <w:r w:rsidR="007E7112">
        <w:rPr>
          <w:bCs/>
        </w:rPr>
        <w:t>Applegate prepared</w:t>
      </w:r>
      <w:r>
        <w:rPr>
          <w:bCs/>
        </w:rPr>
        <w:t xml:space="preserve"> </w:t>
      </w:r>
      <w:r w:rsidR="00C07877">
        <w:rPr>
          <w:bCs/>
        </w:rPr>
        <w:t>Highly C</w:t>
      </w:r>
      <w:r>
        <w:rPr>
          <w:bCs/>
        </w:rPr>
        <w:t xml:space="preserve">onfidential Table 3 that summarizes the annual impact of merger-related </w:t>
      </w:r>
      <w:r w:rsidR="003268BF">
        <w:rPr>
          <w:bCs/>
        </w:rPr>
        <w:t xml:space="preserve">one-time integration </w:t>
      </w:r>
      <w:r>
        <w:rPr>
          <w:bCs/>
        </w:rPr>
        <w:t xml:space="preserve">costs </w:t>
      </w:r>
      <w:r w:rsidR="003268BF">
        <w:rPr>
          <w:bCs/>
        </w:rPr>
        <w:t xml:space="preserve">(discussed above) </w:t>
      </w:r>
      <w:r>
        <w:rPr>
          <w:bCs/>
        </w:rPr>
        <w:t xml:space="preserve">and </w:t>
      </w:r>
      <w:r w:rsidR="003268BF">
        <w:rPr>
          <w:bCs/>
        </w:rPr>
        <w:t xml:space="preserve">expected </w:t>
      </w:r>
      <w:r>
        <w:rPr>
          <w:bCs/>
        </w:rPr>
        <w:t>synergies between 2011 and 2015.</w:t>
      </w:r>
      <w:r>
        <w:rPr>
          <w:rStyle w:val="FootnoteReference"/>
          <w:bCs/>
        </w:rPr>
        <w:footnoteReference w:id="25"/>
      </w:r>
      <w:r w:rsidR="001862B5">
        <w:rPr>
          <w:bCs/>
        </w:rPr>
        <w:t xml:space="preserve">  </w:t>
      </w:r>
      <w:r w:rsidR="003268BF">
        <w:rPr>
          <w:bCs/>
        </w:rPr>
        <w:t>Regarding the level of expected synergies, Mr. Applegate clearly states, “My analysis has not indicated any major flaws or weaknesses in CenturyLink’s estimated synergy values,” as he believes the Transaction “undoubtedly presents opportunities to eliminate redundant functions or to achieve economies of scale.”</w:t>
      </w:r>
      <w:r w:rsidR="003268BF">
        <w:rPr>
          <w:rStyle w:val="FootnoteReference"/>
          <w:bCs/>
        </w:rPr>
        <w:footnoteReference w:id="26"/>
      </w:r>
      <w:r w:rsidR="003268BF">
        <w:rPr>
          <w:bCs/>
        </w:rPr>
        <w:t xml:space="preserve">  </w:t>
      </w:r>
      <w:r w:rsidR="001862B5">
        <w:rPr>
          <w:bCs/>
        </w:rPr>
        <w:t>CenturyLink agrees with Mr. Applegate’s asses</w:t>
      </w:r>
      <w:r w:rsidR="00693427">
        <w:rPr>
          <w:bCs/>
        </w:rPr>
        <w:t xml:space="preserve">sment </w:t>
      </w:r>
      <w:r w:rsidR="003268BF">
        <w:rPr>
          <w:bCs/>
        </w:rPr>
        <w:t xml:space="preserve">that the expected synergies are reasonable and achievable.  </w:t>
      </w:r>
      <w:r w:rsidR="00E62E2D">
        <w:rPr>
          <w:bCs/>
        </w:rPr>
        <w:t>In addition, Mr. Applegate indicates that “[a] failure to achieve synergies probably would not result in a degraded financial condition.”</w:t>
      </w:r>
      <w:r w:rsidR="00E62E2D">
        <w:rPr>
          <w:rStyle w:val="FootnoteReference"/>
          <w:bCs/>
        </w:rPr>
        <w:footnoteReference w:id="27"/>
      </w:r>
      <w:r w:rsidR="00E62E2D">
        <w:rPr>
          <w:bCs/>
        </w:rPr>
        <w:t xml:space="preserve">  Since the Staff financial witness has defined financial harm as deterioration in financial condition, the conclusion must be that even if the combined company does not achieve the expected synergies—which are reasonable and achievable—it is </w:t>
      </w:r>
      <w:r w:rsidR="00E62E2D">
        <w:rPr>
          <w:bCs/>
        </w:rPr>
        <w:lastRenderedPageBreak/>
        <w:t>improbable that harm will result.  Finally, b</w:t>
      </w:r>
      <w:r w:rsidR="00FB4D77">
        <w:rPr>
          <w:bCs/>
        </w:rPr>
        <w:t>ased on</w:t>
      </w:r>
      <w:r w:rsidR="005879C0">
        <w:rPr>
          <w:bCs/>
        </w:rPr>
        <w:t xml:space="preserve"> </w:t>
      </w:r>
      <w:r w:rsidR="00C07877">
        <w:rPr>
          <w:bCs/>
        </w:rPr>
        <w:t xml:space="preserve">Highly Confidential </w:t>
      </w:r>
      <w:r w:rsidR="005879C0">
        <w:rPr>
          <w:bCs/>
        </w:rPr>
        <w:t>Table 3</w:t>
      </w:r>
      <w:r w:rsidR="00E62E2D">
        <w:rPr>
          <w:bCs/>
        </w:rPr>
        <w:t>,</w:t>
      </w:r>
      <w:r w:rsidR="00693427">
        <w:rPr>
          <w:bCs/>
        </w:rPr>
        <w:t xml:space="preserve"> </w:t>
      </w:r>
      <w:r w:rsidR="005879C0">
        <w:rPr>
          <w:bCs/>
        </w:rPr>
        <w:t xml:space="preserve">Mr. Applegate </w:t>
      </w:r>
      <w:r w:rsidR="00E62E2D">
        <w:rPr>
          <w:bCs/>
        </w:rPr>
        <w:t xml:space="preserve">concludes that, </w:t>
      </w:r>
      <w:r w:rsidR="005879C0">
        <w:rPr>
          <w:bCs/>
        </w:rPr>
        <w:t xml:space="preserve">regarding the </w:t>
      </w:r>
      <w:r w:rsidR="003C69FD">
        <w:rPr>
          <w:bCs/>
        </w:rPr>
        <w:t>effects on cash flows after</w:t>
      </w:r>
      <w:r w:rsidR="00E62E2D">
        <w:rPr>
          <w:bCs/>
        </w:rPr>
        <w:t xml:space="preserve"> the one-time integration costs and the expected synergies</w:t>
      </w:r>
      <w:r w:rsidR="003C69FD">
        <w:rPr>
          <w:bCs/>
        </w:rPr>
        <w:t xml:space="preserve"> </w:t>
      </w:r>
      <w:r w:rsidR="005879C0">
        <w:rPr>
          <w:bCs/>
        </w:rPr>
        <w:t xml:space="preserve">over the forecasted </w:t>
      </w:r>
      <w:r w:rsidR="00E62E2D">
        <w:rPr>
          <w:bCs/>
        </w:rPr>
        <w:t xml:space="preserve">2011-2015 </w:t>
      </w:r>
      <w:r w:rsidR="005879C0">
        <w:rPr>
          <w:bCs/>
        </w:rPr>
        <w:t>period</w:t>
      </w:r>
      <w:r w:rsidR="00E62E2D">
        <w:rPr>
          <w:bCs/>
        </w:rPr>
        <w:t xml:space="preserve">, the </w:t>
      </w:r>
      <w:r w:rsidR="000C0BE2">
        <w:rPr>
          <w:bCs/>
        </w:rPr>
        <w:t>net impact</w:t>
      </w:r>
      <w:r w:rsidR="00E62E2D">
        <w:rPr>
          <w:bCs/>
        </w:rPr>
        <w:t xml:space="preserve"> is</w:t>
      </w:r>
      <w:r w:rsidR="00D55636">
        <w:rPr>
          <w:bCs/>
        </w:rPr>
        <w:t xml:space="preserve"> ***BEGIN HIGHLY CONFIDENTIAL</w:t>
      </w:r>
      <w:r w:rsidR="00E62E2D">
        <w:rPr>
          <w:bCs/>
        </w:rPr>
        <w:t xml:space="preserve"> </w:t>
      </w:r>
      <w:r w:rsidR="00E62E2D" w:rsidRPr="005A398E">
        <w:rPr>
          <w:bCs/>
          <w:shd w:val="clear" w:color="auto" w:fill="D9D9D9"/>
        </w:rPr>
        <w:t>“</w:t>
      </w:r>
      <w:r w:rsidR="008C5B32">
        <w:rPr>
          <w:bCs/>
          <w:shd w:val="clear" w:color="auto" w:fill="D9D9D9"/>
        </w:rPr>
        <w:t>REDACTED XXXXXXXXX</w:t>
      </w:r>
      <w:r w:rsidR="00E62E2D" w:rsidRPr="005C3FEB">
        <w:rPr>
          <w:bCs/>
          <w:shd w:val="clear" w:color="auto" w:fill="BFBFBF"/>
        </w:rPr>
        <w:t xml:space="preserve"> </w:t>
      </w:r>
      <w:r w:rsidR="008C5B32">
        <w:rPr>
          <w:bCs/>
          <w:shd w:val="clear" w:color="auto" w:fill="BFBFBF"/>
        </w:rPr>
        <w:t>XXXXXXXXXXXXXXXXXXXXXXXXXXXXXXXXXXXXXX</w:t>
      </w:r>
      <w:r w:rsidR="005879C0" w:rsidRPr="005A398E">
        <w:rPr>
          <w:bCs/>
          <w:shd w:val="clear" w:color="auto" w:fill="D9D9D9"/>
        </w:rPr>
        <w:t>.</w:t>
      </w:r>
      <w:r w:rsidR="00E62E2D" w:rsidRPr="005A398E">
        <w:rPr>
          <w:bCs/>
          <w:shd w:val="clear" w:color="auto" w:fill="D9D9D9"/>
        </w:rPr>
        <w:t>”</w:t>
      </w:r>
      <w:r w:rsidR="00693427">
        <w:rPr>
          <w:rStyle w:val="FootnoteReference"/>
          <w:bCs/>
        </w:rPr>
        <w:footnoteReference w:id="28"/>
      </w:r>
      <w:r w:rsidR="005879C0">
        <w:rPr>
          <w:bCs/>
        </w:rPr>
        <w:t xml:space="preserve">  </w:t>
      </w:r>
      <w:r w:rsidR="001A2841">
        <w:rPr>
          <w:bCs/>
        </w:rPr>
        <w:t xml:space="preserve">END HIGHLY CONFIDENTIAL***  </w:t>
      </w:r>
      <w:r w:rsidR="005879C0">
        <w:rPr>
          <w:bCs/>
        </w:rPr>
        <w:t xml:space="preserve">In short, Mr. Applegate affirms the </w:t>
      </w:r>
      <w:r w:rsidR="00FB4D77">
        <w:rPr>
          <w:bCs/>
        </w:rPr>
        <w:t xml:space="preserve">financial </w:t>
      </w:r>
      <w:r w:rsidR="005879C0">
        <w:rPr>
          <w:bCs/>
        </w:rPr>
        <w:t xml:space="preserve">logic of the merger and </w:t>
      </w:r>
      <w:r w:rsidR="0057549D">
        <w:rPr>
          <w:bCs/>
        </w:rPr>
        <w:t>demonstrates that the combined company’s financial condition is not likely to deteriorate—financial harm is not likely to occur—as a result of transaction-related costs and synergies</w:t>
      </w:r>
      <w:r w:rsidR="005879C0">
        <w:rPr>
          <w:bCs/>
        </w:rPr>
        <w:t>.</w:t>
      </w:r>
    </w:p>
    <w:p w:rsidR="005879C0" w:rsidRDefault="005879C0" w:rsidP="00CF6BFD">
      <w:pPr>
        <w:spacing w:line="480" w:lineRule="auto"/>
        <w:ind w:left="720" w:hanging="720"/>
        <w:jc w:val="both"/>
        <w:rPr>
          <w:bCs/>
        </w:rPr>
      </w:pPr>
    </w:p>
    <w:p w:rsidR="005879C0" w:rsidRPr="00112F5F" w:rsidRDefault="005879C0" w:rsidP="00CF6BF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What is Mr. Applegate’s assessment related to CenturyLink’s “assumption of substantial debt”?</w:t>
      </w:r>
    </w:p>
    <w:p w:rsidR="005879C0" w:rsidRDefault="00DF1183" w:rsidP="00387EAA">
      <w:pPr>
        <w:spacing w:line="480" w:lineRule="auto"/>
        <w:ind w:left="720" w:hanging="720"/>
        <w:rPr>
          <w:bCs/>
        </w:rPr>
      </w:pPr>
      <w:r>
        <w:rPr>
          <w:bCs/>
        </w:rPr>
        <w:t>A.</w:t>
      </w:r>
      <w:r>
        <w:rPr>
          <w:bCs/>
        </w:rPr>
        <w:tab/>
        <w:t xml:space="preserve">Mr. Applegate </w:t>
      </w:r>
      <w:r w:rsidR="00A657DD">
        <w:rPr>
          <w:bCs/>
        </w:rPr>
        <w:t xml:space="preserve">notes </w:t>
      </w:r>
      <w:r w:rsidR="005879C0">
        <w:rPr>
          <w:bCs/>
        </w:rPr>
        <w:t xml:space="preserve">the pro forma $19.5 billion in </w:t>
      </w:r>
      <w:r w:rsidR="00A657DD">
        <w:rPr>
          <w:bCs/>
        </w:rPr>
        <w:t xml:space="preserve">total </w:t>
      </w:r>
      <w:r w:rsidR="005879C0">
        <w:rPr>
          <w:bCs/>
        </w:rPr>
        <w:t xml:space="preserve">debt, which includes Qwest’s debt of $11.5 billion </w:t>
      </w:r>
      <w:r w:rsidR="000624D2">
        <w:rPr>
          <w:bCs/>
        </w:rPr>
        <w:t>that</w:t>
      </w:r>
      <w:r w:rsidR="00A657DD">
        <w:rPr>
          <w:bCs/>
        </w:rPr>
        <w:t xml:space="preserve"> will be </w:t>
      </w:r>
      <w:r w:rsidR="005879C0">
        <w:rPr>
          <w:bCs/>
        </w:rPr>
        <w:t xml:space="preserve">assumed </w:t>
      </w:r>
      <w:r w:rsidR="00A657DD">
        <w:rPr>
          <w:bCs/>
        </w:rPr>
        <w:t xml:space="preserve">by the combined company </w:t>
      </w:r>
      <w:r w:rsidR="005879C0">
        <w:rPr>
          <w:bCs/>
        </w:rPr>
        <w:t xml:space="preserve">in the proposed merger.  On the basis of </w:t>
      </w:r>
      <w:r w:rsidR="001A3A5E">
        <w:rPr>
          <w:bCs/>
        </w:rPr>
        <w:t>Highly C</w:t>
      </w:r>
      <w:r w:rsidR="005879C0">
        <w:rPr>
          <w:bCs/>
        </w:rPr>
        <w:t xml:space="preserve">onfidential information, </w:t>
      </w:r>
      <w:r w:rsidR="00A657DD">
        <w:rPr>
          <w:bCs/>
        </w:rPr>
        <w:t>Mr. Applegate</w:t>
      </w:r>
      <w:r w:rsidR="005879C0">
        <w:rPr>
          <w:bCs/>
        </w:rPr>
        <w:t xml:space="preserve"> </w:t>
      </w:r>
      <w:r w:rsidR="008F1A4B">
        <w:rPr>
          <w:bCs/>
        </w:rPr>
        <w:t xml:space="preserve">also </w:t>
      </w:r>
      <w:r w:rsidR="005879C0">
        <w:rPr>
          <w:bCs/>
        </w:rPr>
        <w:t xml:space="preserve">assesses the </w:t>
      </w:r>
      <w:r w:rsidR="008F1A4B">
        <w:rPr>
          <w:bCs/>
        </w:rPr>
        <w:t xml:space="preserve">modeled debt </w:t>
      </w:r>
      <w:r w:rsidR="00A657DD">
        <w:rPr>
          <w:bCs/>
        </w:rPr>
        <w:t xml:space="preserve">maturities for the combined company </w:t>
      </w:r>
      <w:r w:rsidR="008F1A4B">
        <w:rPr>
          <w:bCs/>
        </w:rPr>
        <w:t xml:space="preserve">over the next </w:t>
      </w:r>
      <w:r w:rsidR="008F533E">
        <w:rPr>
          <w:bCs/>
        </w:rPr>
        <w:t xml:space="preserve">several </w:t>
      </w:r>
      <w:r w:rsidR="008F1A4B">
        <w:rPr>
          <w:bCs/>
        </w:rPr>
        <w:t>years</w:t>
      </w:r>
      <w:r w:rsidR="00A657DD">
        <w:rPr>
          <w:bCs/>
        </w:rPr>
        <w:t xml:space="preserve">, concluding the CenturyLink’s pro forma cash flows should provide it </w:t>
      </w:r>
      <w:r w:rsidR="001A3A5E">
        <w:rPr>
          <w:bCs/>
        </w:rPr>
        <w:t xml:space="preserve">***BEGIN HIGHLY CONFIDENTIAL </w:t>
      </w:r>
      <w:r w:rsidR="00A657DD" w:rsidRPr="005A398E">
        <w:rPr>
          <w:bCs/>
          <w:shd w:val="clear" w:color="auto" w:fill="D9D9D9"/>
        </w:rPr>
        <w:t>“</w:t>
      </w:r>
      <w:r w:rsidR="00387EAA" w:rsidRPr="001A6836">
        <w:rPr>
          <w:bCs/>
          <w:i/>
          <w:shd w:val="clear" w:color="auto" w:fill="D9D9D9"/>
        </w:rPr>
        <w:t>REDACTED</w:t>
      </w:r>
      <w:r w:rsidR="00387EAA">
        <w:rPr>
          <w:bCs/>
          <w:shd w:val="clear" w:color="auto" w:fill="D9D9D9"/>
        </w:rPr>
        <w:t xml:space="preserve"> XXXXXXXXXXXXXXXXXXXXXXX</w:t>
      </w:r>
      <w:r w:rsidR="00A657DD" w:rsidRPr="005C3FEB">
        <w:rPr>
          <w:bCs/>
          <w:shd w:val="clear" w:color="auto" w:fill="BFBFBF"/>
        </w:rPr>
        <w:t xml:space="preserve"> </w:t>
      </w:r>
      <w:r w:rsidR="00387EAA">
        <w:rPr>
          <w:bCs/>
          <w:shd w:val="clear" w:color="auto" w:fill="BFBFBF"/>
        </w:rPr>
        <w:t>XXXX</w:t>
      </w:r>
      <w:r w:rsidR="008F1A4B" w:rsidRPr="005C3FEB">
        <w:rPr>
          <w:bCs/>
          <w:shd w:val="clear" w:color="auto" w:fill="BFBFBF"/>
        </w:rPr>
        <w:t>.</w:t>
      </w:r>
      <w:r w:rsidR="00A657DD" w:rsidRPr="005C3FEB">
        <w:rPr>
          <w:bCs/>
          <w:shd w:val="clear" w:color="auto" w:fill="BFBFBF"/>
        </w:rPr>
        <w:t>”</w:t>
      </w:r>
      <w:r w:rsidR="001A3A5E">
        <w:rPr>
          <w:bCs/>
        </w:rPr>
        <w:t xml:space="preserve"> END HIGHLY CONFIDENTIAL***</w:t>
      </w:r>
      <w:r w:rsidR="008F1A4B">
        <w:rPr>
          <w:rStyle w:val="FootnoteReference"/>
          <w:bCs/>
        </w:rPr>
        <w:footnoteReference w:id="29"/>
      </w:r>
      <w:r w:rsidR="008F533E">
        <w:rPr>
          <w:bCs/>
        </w:rPr>
        <w:t xml:space="preserve">  </w:t>
      </w:r>
      <w:r w:rsidR="00A657DD">
        <w:rPr>
          <w:bCs/>
        </w:rPr>
        <w:t>The Staff financial witness</w:t>
      </w:r>
      <w:r w:rsidR="008F533E">
        <w:rPr>
          <w:bCs/>
        </w:rPr>
        <w:t xml:space="preserve"> then reviews the published opinions of the three major credit rating agencies.  </w:t>
      </w:r>
      <w:r w:rsidR="00A657DD">
        <w:rPr>
          <w:bCs/>
        </w:rPr>
        <w:t>Mr. Applegate</w:t>
      </w:r>
      <w:r w:rsidR="008F533E">
        <w:rPr>
          <w:bCs/>
        </w:rPr>
        <w:t xml:space="preserve"> concludes that a ratings downgrade of </w:t>
      </w:r>
      <w:r w:rsidR="00A657DD">
        <w:rPr>
          <w:bCs/>
        </w:rPr>
        <w:t xml:space="preserve">post-merger </w:t>
      </w:r>
      <w:r w:rsidR="008F533E">
        <w:rPr>
          <w:bCs/>
        </w:rPr>
        <w:t xml:space="preserve">CenturyLink’s debt could result in </w:t>
      </w:r>
      <w:r w:rsidR="008F533E">
        <w:rPr>
          <w:bCs/>
        </w:rPr>
        <w:lastRenderedPageBreak/>
        <w:t>public interest harm, because customer rates might rise to accommodate the</w:t>
      </w:r>
      <w:r>
        <w:rPr>
          <w:bCs/>
        </w:rPr>
        <w:t xml:space="preserve"> possibly</w:t>
      </w:r>
      <w:r w:rsidR="008F533E">
        <w:rPr>
          <w:bCs/>
        </w:rPr>
        <w:t xml:space="preserve"> higher cost of capital and because investment might suffer as the Company calculates a lower net present value</w:t>
      </w:r>
      <w:r w:rsidR="008854B6">
        <w:rPr>
          <w:bCs/>
        </w:rPr>
        <w:t xml:space="preserve"> </w:t>
      </w:r>
      <w:r w:rsidR="0014274F">
        <w:rPr>
          <w:bCs/>
        </w:rPr>
        <w:t xml:space="preserve">(“NPV”) of future investments that are </w:t>
      </w:r>
      <w:r w:rsidR="008F533E">
        <w:rPr>
          <w:bCs/>
        </w:rPr>
        <w:t xml:space="preserve">discounted using </w:t>
      </w:r>
      <w:r w:rsidR="0014274F">
        <w:rPr>
          <w:bCs/>
        </w:rPr>
        <w:t xml:space="preserve">what might be </w:t>
      </w:r>
      <w:r w:rsidR="008F533E">
        <w:rPr>
          <w:bCs/>
        </w:rPr>
        <w:t>a higher cost of capital.</w:t>
      </w:r>
      <w:r w:rsidR="008F533E">
        <w:rPr>
          <w:rStyle w:val="FootnoteReference"/>
          <w:bCs/>
        </w:rPr>
        <w:footnoteReference w:id="30"/>
      </w:r>
      <w:r w:rsidR="007E7112">
        <w:rPr>
          <w:bCs/>
        </w:rPr>
        <w:t xml:space="preserve">  </w:t>
      </w:r>
      <w:r>
        <w:rPr>
          <w:bCs/>
        </w:rPr>
        <w:t xml:space="preserve">To manage the risk </w:t>
      </w:r>
      <w:r w:rsidR="00A657DD">
        <w:rPr>
          <w:bCs/>
        </w:rPr>
        <w:t xml:space="preserve">of harm </w:t>
      </w:r>
      <w:r w:rsidR="001A3A5E">
        <w:rPr>
          <w:bCs/>
        </w:rPr>
        <w:t xml:space="preserve">that </w:t>
      </w:r>
      <w:r>
        <w:rPr>
          <w:bCs/>
        </w:rPr>
        <w:t>he believes he has identified, Mr. Applegate</w:t>
      </w:r>
      <w:r w:rsidR="007E7112">
        <w:rPr>
          <w:bCs/>
        </w:rPr>
        <w:t xml:space="preserve"> then proposes a condition</w:t>
      </w:r>
      <w:r>
        <w:rPr>
          <w:bCs/>
        </w:rPr>
        <w:t xml:space="preserve"> about which I will comment</w:t>
      </w:r>
      <w:r w:rsidR="007E7112">
        <w:rPr>
          <w:bCs/>
        </w:rPr>
        <w:t xml:space="preserve"> in the final section of my testimony below.</w:t>
      </w:r>
    </w:p>
    <w:p w:rsidR="008F533E" w:rsidRDefault="008F533E" w:rsidP="00CF6BFD">
      <w:pPr>
        <w:spacing w:line="480" w:lineRule="auto"/>
        <w:ind w:left="720" w:hanging="720"/>
        <w:jc w:val="both"/>
        <w:rPr>
          <w:bCs/>
        </w:rPr>
      </w:pPr>
    </w:p>
    <w:p w:rsidR="008F533E" w:rsidRPr="00112F5F" w:rsidRDefault="008F533E" w:rsidP="00CF6BF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Do you agree with Mr. Applegate’s assessment of the risks associated with </w:t>
      </w:r>
      <w:r w:rsidR="00A657DD" w:rsidRPr="00112F5F">
        <w:rPr>
          <w:rFonts w:ascii="Times New Roman Bold" w:hAnsi="Times New Roman Bold"/>
          <w:b/>
          <w:bCs/>
          <w:caps/>
        </w:rPr>
        <w:t>CenturyLink having a</w:t>
      </w:r>
      <w:r w:rsidRPr="00112F5F">
        <w:rPr>
          <w:rFonts w:ascii="Times New Roman Bold" w:hAnsi="Times New Roman Bold"/>
          <w:b/>
          <w:bCs/>
          <w:caps/>
        </w:rPr>
        <w:t xml:space="preserve"> higher level of debt?</w:t>
      </w:r>
    </w:p>
    <w:p w:rsidR="008F533E" w:rsidRPr="006741A4" w:rsidRDefault="008F533E" w:rsidP="00CF6BFD">
      <w:pPr>
        <w:spacing w:line="480" w:lineRule="auto"/>
        <w:ind w:left="720" w:hanging="720"/>
        <w:jc w:val="both"/>
        <w:rPr>
          <w:bCs/>
        </w:rPr>
      </w:pPr>
      <w:r>
        <w:rPr>
          <w:bCs/>
        </w:rPr>
        <w:t>A.</w:t>
      </w:r>
      <w:r>
        <w:rPr>
          <w:bCs/>
        </w:rPr>
        <w:tab/>
        <w:t>No.  I disagree with him for three reasons.  First, Mr. Applegate is assessing the possibility</w:t>
      </w:r>
      <w:r w:rsidR="00BB77E3">
        <w:rPr>
          <w:bCs/>
        </w:rPr>
        <w:t xml:space="preserve"> </w:t>
      </w:r>
      <w:r>
        <w:rPr>
          <w:bCs/>
        </w:rPr>
        <w:t>that the merged company’s credit rating will be lower than that of CenturyLink</w:t>
      </w:r>
      <w:r w:rsidR="006741A4">
        <w:rPr>
          <w:bCs/>
        </w:rPr>
        <w:t xml:space="preserve"> today.  </w:t>
      </w:r>
      <w:r w:rsidR="00A657DD">
        <w:rPr>
          <w:bCs/>
        </w:rPr>
        <w:t>Mr. Applegate’s</w:t>
      </w:r>
      <w:r w:rsidR="00AB66DD">
        <w:rPr>
          <w:bCs/>
        </w:rPr>
        <w:t xml:space="preserve"> </w:t>
      </w:r>
      <w:r w:rsidR="001A3A5E">
        <w:rPr>
          <w:bCs/>
        </w:rPr>
        <w:t>conclusion</w:t>
      </w:r>
      <w:r w:rsidR="00AB66DD">
        <w:rPr>
          <w:bCs/>
        </w:rPr>
        <w:t xml:space="preserve"> is that more costly debt capital </w:t>
      </w:r>
      <w:r w:rsidR="00384C16">
        <w:rPr>
          <w:bCs/>
        </w:rPr>
        <w:t>may create</w:t>
      </w:r>
      <w:r w:rsidR="00AB66DD">
        <w:rPr>
          <w:bCs/>
        </w:rPr>
        <w:t xml:space="preserve"> a greater risk</w:t>
      </w:r>
      <w:r w:rsidR="00384C16">
        <w:rPr>
          <w:bCs/>
        </w:rPr>
        <w:t xml:space="preserve"> of harm (not actual harm)</w:t>
      </w:r>
      <w:r w:rsidR="00AB66DD">
        <w:rPr>
          <w:bCs/>
        </w:rPr>
        <w:t xml:space="preserve">.  </w:t>
      </w:r>
      <w:r w:rsidR="006741A4">
        <w:rPr>
          <w:bCs/>
        </w:rPr>
        <w:t>H</w:t>
      </w:r>
      <w:r w:rsidR="00AB66DD">
        <w:rPr>
          <w:bCs/>
        </w:rPr>
        <w:t>owever, Mr. Applegate’s</w:t>
      </w:r>
      <w:r w:rsidR="006741A4">
        <w:rPr>
          <w:bCs/>
        </w:rPr>
        <w:t xml:space="preserve"> commentary overlooks that </w:t>
      </w:r>
      <w:r w:rsidR="00384C16">
        <w:rPr>
          <w:bCs/>
        </w:rPr>
        <w:t>88</w:t>
      </w:r>
      <w:r w:rsidR="006741A4">
        <w:rPr>
          <w:bCs/>
        </w:rPr>
        <w:t>% of the access lines (based on 2009 pro forma lines) of the merg</w:t>
      </w:r>
      <w:r w:rsidR="00DE2BBD">
        <w:rPr>
          <w:bCs/>
        </w:rPr>
        <w:t>ed company in Washington are</w:t>
      </w:r>
      <w:r w:rsidR="006741A4">
        <w:rPr>
          <w:bCs/>
        </w:rPr>
        <w:t xml:space="preserve"> customers </w:t>
      </w:r>
      <w:r w:rsidR="00DE2BBD">
        <w:rPr>
          <w:bCs/>
        </w:rPr>
        <w:t xml:space="preserve">who </w:t>
      </w:r>
      <w:r w:rsidR="00384C16">
        <w:rPr>
          <w:bCs/>
        </w:rPr>
        <w:t xml:space="preserve">currently </w:t>
      </w:r>
      <w:r w:rsidR="00DE2BBD">
        <w:rPr>
          <w:bCs/>
        </w:rPr>
        <w:t xml:space="preserve">are </w:t>
      </w:r>
      <w:r w:rsidR="006741A4">
        <w:rPr>
          <w:bCs/>
        </w:rPr>
        <w:t>served by Qwest</w:t>
      </w:r>
      <w:r w:rsidR="00AB66DD">
        <w:rPr>
          <w:bCs/>
        </w:rPr>
        <w:t>.  As will be discussed later, Qwest’s</w:t>
      </w:r>
      <w:r w:rsidR="006741A4">
        <w:rPr>
          <w:bCs/>
        </w:rPr>
        <w:t xml:space="preserve"> credit rating </w:t>
      </w:r>
      <w:r w:rsidR="00384C16">
        <w:rPr>
          <w:bCs/>
        </w:rPr>
        <w:t xml:space="preserve">likely </w:t>
      </w:r>
      <w:r w:rsidR="006741A4">
        <w:rPr>
          <w:bCs/>
        </w:rPr>
        <w:t xml:space="preserve">will be </w:t>
      </w:r>
      <w:r w:rsidR="006741A4">
        <w:rPr>
          <w:bCs/>
          <w:i/>
        </w:rPr>
        <w:t>improved</w:t>
      </w:r>
      <w:r w:rsidR="006741A4">
        <w:rPr>
          <w:bCs/>
        </w:rPr>
        <w:t xml:space="preserve"> </w:t>
      </w:r>
      <w:r w:rsidR="00384C16">
        <w:rPr>
          <w:bCs/>
        </w:rPr>
        <w:t>as a result of</w:t>
      </w:r>
      <w:r w:rsidR="006741A4">
        <w:rPr>
          <w:bCs/>
        </w:rPr>
        <w:t xml:space="preserve"> the </w:t>
      </w:r>
      <w:r w:rsidR="00384C16">
        <w:rPr>
          <w:bCs/>
        </w:rPr>
        <w:t>proposed Transaction</w:t>
      </w:r>
      <w:r w:rsidR="006741A4">
        <w:rPr>
          <w:bCs/>
        </w:rPr>
        <w:t>.  Accordingly, Mr. Applegate’s argument can be</w:t>
      </w:r>
      <w:r w:rsidR="00FC39B1">
        <w:rPr>
          <w:bCs/>
        </w:rPr>
        <w:t xml:space="preserve"> reversed.  In fact, the overwhelming majority </w:t>
      </w:r>
      <w:r w:rsidR="00384C16">
        <w:rPr>
          <w:bCs/>
        </w:rPr>
        <w:t xml:space="preserve">of customers </w:t>
      </w:r>
      <w:r w:rsidR="00FC39B1">
        <w:rPr>
          <w:bCs/>
        </w:rPr>
        <w:t>of th</w:t>
      </w:r>
      <w:r w:rsidR="00DE2BBD">
        <w:rPr>
          <w:bCs/>
        </w:rPr>
        <w:t>e pro forma company in Washington</w:t>
      </w:r>
      <w:r w:rsidR="00FC39B1">
        <w:rPr>
          <w:bCs/>
        </w:rPr>
        <w:t xml:space="preserve"> will </w:t>
      </w:r>
      <w:r w:rsidR="00FC39B1">
        <w:rPr>
          <w:bCs/>
          <w:i/>
        </w:rPr>
        <w:t>benefit</w:t>
      </w:r>
      <w:r w:rsidR="00FC39B1">
        <w:rPr>
          <w:bCs/>
        </w:rPr>
        <w:t xml:space="preserve"> from a </w:t>
      </w:r>
      <w:r w:rsidR="00FC39B1">
        <w:rPr>
          <w:bCs/>
          <w:i/>
        </w:rPr>
        <w:t>lower cost of capital</w:t>
      </w:r>
      <w:r w:rsidR="007E7112">
        <w:rPr>
          <w:bCs/>
        </w:rPr>
        <w:t xml:space="preserve"> and, with respect to future investment, </w:t>
      </w:r>
      <w:r w:rsidR="00DE2BBD">
        <w:rPr>
          <w:bCs/>
        </w:rPr>
        <w:t xml:space="preserve">will </w:t>
      </w:r>
      <w:r w:rsidR="00DE2BBD">
        <w:rPr>
          <w:bCs/>
          <w:i/>
        </w:rPr>
        <w:t xml:space="preserve">benefit </w:t>
      </w:r>
      <w:r w:rsidR="00DE2BBD">
        <w:rPr>
          <w:bCs/>
        </w:rPr>
        <w:t xml:space="preserve">from </w:t>
      </w:r>
      <w:r w:rsidR="007E7112">
        <w:rPr>
          <w:bCs/>
        </w:rPr>
        <w:t>a</w:t>
      </w:r>
      <w:r w:rsidR="00DE2BBD">
        <w:rPr>
          <w:bCs/>
        </w:rPr>
        <w:t xml:space="preserve">n </w:t>
      </w:r>
      <w:r w:rsidR="00DE2BBD">
        <w:rPr>
          <w:bCs/>
          <w:i/>
        </w:rPr>
        <w:t>NPV</w:t>
      </w:r>
      <w:r w:rsidR="00FC39B1">
        <w:rPr>
          <w:bCs/>
          <w:i/>
        </w:rPr>
        <w:t xml:space="preserve"> that is higher</w:t>
      </w:r>
      <w:r w:rsidR="00DE2BBD">
        <w:rPr>
          <w:bCs/>
        </w:rPr>
        <w:t xml:space="preserve"> </w:t>
      </w:r>
      <w:r w:rsidR="00384C16">
        <w:rPr>
          <w:bCs/>
        </w:rPr>
        <w:t xml:space="preserve">(based on a lower discount rate) </w:t>
      </w:r>
      <w:r w:rsidR="00DE2BBD">
        <w:rPr>
          <w:bCs/>
        </w:rPr>
        <w:t>than might have been calculated</w:t>
      </w:r>
      <w:r w:rsidR="00FC39B1">
        <w:rPr>
          <w:bCs/>
        </w:rPr>
        <w:t xml:space="preserve"> before the proposed Transaction.</w:t>
      </w:r>
      <w:r w:rsidR="006741A4">
        <w:rPr>
          <w:bCs/>
        </w:rPr>
        <w:t xml:space="preserve"> </w:t>
      </w:r>
    </w:p>
    <w:p w:rsidR="0014274F" w:rsidRDefault="0014274F" w:rsidP="00CF6BFD">
      <w:pPr>
        <w:spacing w:line="480" w:lineRule="auto"/>
        <w:ind w:left="720" w:hanging="720"/>
        <w:jc w:val="both"/>
        <w:rPr>
          <w:bCs/>
        </w:rPr>
      </w:pPr>
    </w:p>
    <w:p w:rsidR="0014274F" w:rsidRPr="00112F5F" w:rsidRDefault="0014274F" w:rsidP="00CF6BFD">
      <w:pPr>
        <w:spacing w:line="480" w:lineRule="auto"/>
        <w:ind w:left="720" w:hanging="720"/>
        <w:jc w:val="both"/>
        <w:rPr>
          <w:rFonts w:ascii="Times New Roman Bold" w:hAnsi="Times New Roman Bold"/>
          <w:b/>
          <w:bCs/>
          <w:caps/>
        </w:rPr>
      </w:pPr>
      <w:r>
        <w:rPr>
          <w:b/>
          <w:bCs/>
        </w:rPr>
        <w:lastRenderedPageBreak/>
        <w:t>Q.</w:t>
      </w:r>
      <w:r>
        <w:rPr>
          <w:b/>
          <w:bCs/>
        </w:rPr>
        <w:tab/>
      </w:r>
      <w:r w:rsidRPr="00112F5F">
        <w:rPr>
          <w:rFonts w:ascii="Times New Roman Bold" w:hAnsi="Times New Roman Bold"/>
          <w:b/>
          <w:bCs/>
          <w:caps/>
        </w:rPr>
        <w:t>What is the second reason for your disagreement with Mr. Applegate concerning the risks associated with higher debt?</w:t>
      </w:r>
    </w:p>
    <w:p w:rsidR="0014274F" w:rsidRDefault="0014274F" w:rsidP="00CF6BFD">
      <w:pPr>
        <w:spacing w:line="480" w:lineRule="auto"/>
        <w:ind w:left="720" w:hanging="720"/>
        <w:jc w:val="both"/>
        <w:rPr>
          <w:bCs/>
        </w:rPr>
      </w:pPr>
      <w:r>
        <w:rPr>
          <w:bCs/>
        </w:rPr>
        <w:t>A.</w:t>
      </w:r>
      <w:r>
        <w:rPr>
          <w:bCs/>
        </w:rPr>
        <w:tab/>
        <w:t xml:space="preserve">Mr. Applegate assumes that CenturyLink will make investment decisions significantly on the basis of slightly higher or </w:t>
      </w:r>
      <w:r w:rsidR="0050254C">
        <w:rPr>
          <w:bCs/>
        </w:rPr>
        <w:t xml:space="preserve">slightly </w:t>
      </w:r>
      <w:r>
        <w:rPr>
          <w:bCs/>
        </w:rPr>
        <w:t>lower discount rates</w:t>
      </w:r>
      <w:r w:rsidR="007E7112">
        <w:rPr>
          <w:bCs/>
        </w:rPr>
        <w:t xml:space="preserve"> that affect the </w:t>
      </w:r>
      <w:r w:rsidR="00520CCB">
        <w:rPr>
          <w:bCs/>
        </w:rPr>
        <w:t>NPV</w:t>
      </w:r>
      <w:r w:rsidR="007E7112">
        <w:rPr>
          <w:bCs/>
        </w:rPr>
        <w:t xml:space="preserve"> of those investments</w:t>
      </w:r>
      <w:r>
        <w:rPr>
          <w:bCs/>
        </w:rPr>
        <w:t>.</w:t>
      </w:r>
      <w:r w:rsidR="0050254C">
        <w:rPr>
          <w:bCs/>
        </w:rPr>
        <w:t xml:space="preserve">  </w:t>
      </w:r>
      <w:r w:rsidR="007E7112">
        <w:rPr>
          <w:bCs/>
        </w:rPr>
        <w:t>He</w:t>
      </w:r>
      <w:r w:rsidR="0096479A">
        <w:rPr>
          <w:bCs/>
        </w:rPr>
        <w:t xml:space="preserve"> is not correct.  First, a</w:t>
      </w:r>
      <w:r w:rsidR="0050254C">
        <w:rPr>
          <w:bCs/>
        </w:rPr>
        <w:t xml:space="preserve">s was just explained, the Qwest investments will be evaluated in light of </w:t>
      </w:r>
      <w:r w:rsidR="0050254C">
        <w:rPr>
          <w:bCs/>
          <w:i/>
        </w:rPr>
        <w:t xml:space="preserve">improved </w:t>
      </w:r>
      <w:r w:rsidR="007E7112">
        <w:rPr>
          <w:bCs/>
          <w:i/>
        </w:rPr>
        <w:t>(</w:t>
      </w:r>
      <w:r w:rsidR="0050254C">
        <w:rPr>
          <w:bCs/>
          <w:i/>
        </w:rPr>
        <w:t>lower</w:t>
      </w:r>
      <w:r w:rsidR="007E7112">
        <w:rPr>
          <w:bCs/>
          <w:i/>
        </w:rPr>
        <w:t>)</w:t>
      </w:r>
      <w:r w:rsidR="0050254C">
        <w:rPr>
          <w:bCs/>
        </w:rPr>
        <w:t xml:space="preserve"> discount rates, which </w:t>
      </w:r>
      <w:r w:rsidR="0096479A">
        <w:rPr>
          <w:bCs/>
        </w:rPr>
        <w:t>is therefore a benefit.  Second and more important</w:t>
      </w:r>
      <w:r w:rsidR="0050254C">
        <w:rPr>
          <w:bCs/>
        </w:rPr>
        <w:t xml:space="preserve">, CenturyLink makes investment decisions based on the potential for multiple benefits, including the introduction of new products </w:t>
      </w:r>
      <w:r w:rsidR="0096479A">
        <w:rPr>
          <w:bCs/>
        </w:rPr>
        <w:t xml:space="preserve">and </w:t>
      </w:r>
      <w:r w:rsidR="00384C16">
        <w:rPr>
          <w:bCs/>
        </w:rPr>
        <w:t xml:space="preserve">the deployment of advanced </w:t>
      </w:r>
      <w:r w:rsidR="0096479A">
        <w:rPr>
          <w:bCs/>
        </w:rPr>
        <w:t xml:space="preserve">technologies </w:t>
      </w:r>
      <w:r w:rsidR="0050254C">
        <w:rPr>
          <w:bCs/>
        </w:rPr>
        <w:t xml:space="preserve">that position the Company to be responsive to customers, to reduce maintenance expenses, to </w:t>
      </w:r>
      <w:r w:rsidR="0096479A">
        <w:rPr>
          <w:bCs/>
        </w:rPr>
        <w:t>accommodate growth, to fulfill carrier of last resort obligations</w:t>
      </w:r>
      <w:r w:rsidR="007E7112">
        <w:rPr>
          <w:bCs/>
        </w:rPr>
        <w:t>, among others</w:t>
      </w:r>
      <w:r w:rsidR="0096479A">
        <w:rPr>
          <w:bCs/>
        </w:rPr>
        <w:t xml:space="preserve">.  The very slight differences associated with </w:t>
      </w:r>
      <w:r w:rsidR="00520CCB">
        <w:rPr>
          <w:bCs/>
        </w:rPr>
        <w:t xml:space="preserve">what might be </w:t>
      </w:r>
      <w:r w:rsidR="0096479A">
        <w:rPr>
          <w:bCs/>
        </w:rPr>
        <w:t xml:space="preserve">higher or lower discount rates will almost certainly </w:t>
      </w:r>
      <w:r w:rsidR="0096479A" w:rsidRPr="00852FBD">
        <w:rPr>
          <w:bCs/>
          <w:i/>
        </w:rPr>
        <w:t>not</w:t>
      </w:r>
      <w:r w:rsidR="0096479A">
        <w:rPr>
          <w:bCs/>
        </w:rPr>
        <w:t xml:space="preserve"> be determinative in capital investment decisions</w:t>
      </w:r>
      <w:r w:rsidR="001532B9">
        <w:rPr>
          <w:bCs/>
        </w:rPr>
        <w:t xml:space="preserve"> when combined with the multitude of other considerations that affect investment </w:t>
      </w:r>
      <w:r w:rsidR="001A3A5E">
        <w:rPr>
          <w:bCs/>
        </w:rPr>
        <w:t>commitments</w:t>
      </w:r>
      <w:r w:rsidR="0096479A">
        <w:rPr>
          <w:bCs/>
        </w:rPr>
        <w:t>.</w:t>
      </w:r>
      <w:r w:rsidR="00852FBD">
        <w:rPr>
          <w:bCs/>
        </w:rPr>
        <w:t xml:space="preserve">  Mr. Applegate’s concern that investment will be affected by </w:t>
      </w:r>
      <w:r w:rsidR="00384C16">
        <w:rPr>
          <w:bCs/>
        </w:rPr>
        <w:t>potentially</w:t>
      </w:r>
      <w:r w:rsidR="00520CCB">
        <w:rPr>
          <w:bCs/>
        </w:rPr>
        <w:t xml:space="preserve"> </w:t>
      </w:r>
      <w:r w:rsidR="00852FBD">
        <w:rPr>
          <w:bCs/>
        </w:rPr>
        <w:t xml:space="preserve">slightly higher or lower costs of capital is not only speculative, but it is </w:t>
      </w:r>
      <w:r w:rsidR="00384C16">
        <w:rPr>
          <w:bCs/>
        </w:rPr>
        <w:t xml:space="preserve">based on too narrow a perspective </w:t>
      </w:r>
      <w:r w:rsidR="001A3A5E">
        <w:rPr>
          <w:bCs/>
        </w:rPr>
        <w:t>regarding the criteria by which</w:t>
      </w:r>
      <w:r w:rsidR="00384C16">
        <w:rPr>
          <w:bCs/>
        </w:rPr>
        <w:t xml:space="preserve"> CenturyLink evaluates investment decisions</w:t>
      </w:r>
      <w:r w:rsidR="00852FBD">
        <w:rPr>
          <w:bCs/>
        </w:rPr>
        <w:t>.</w:t>
      </w:r>
    </w:p>
    <w:p w:rsidR="0014274F" w:rsidRDefault="0014274F" w:rsidP="00CF6BFD">
      <w:pPr>
        <w:spacing w:line="480" w:lineRule="auto"/>
        <w:ind w:left="720" w:hanging="720"/>
        <w:jc w:val="both"/>
        <w:rPr>
          <w:bCs/>
        </w:rPr>
      </w:pPr>
    </w:p>
    <w:p w:rsidR="0014274F" w:rsidRPr="00112F5F" w:rsidRDefault="0014274F" w:rsidP="00CF6BF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What is the final reason that you object to Mr. Applegate’s assessment of the credit profile of the merged company?</w:t>
      </w:r>
    </w:p>
    <w:p w:rsidR="0014274F" w:rsidRPr="00FE5498" w:rsidRDefault="0014274F" w:rsidP="00CF6BFD">
      <w:pPr>
        <w:spacing w:line="480" w:lineRule="auto"/>
        <w:ind w:left="720" w:hanging="720"/>
        <w:jc w:val="both"/>
        <w:rPr>
          <w:bCs/>
          <w:i/>
        </w:rPr>
      </w:pPr>
      <w:r>
        <w:rPr>
          <w:bCs/>
        </w:rPr>
        <w:t>A.</w:t>
      </w:r>
      <w:r>
        <w:rPr>
          <w:bCs/>
        </w:rPr>
        <w:tab/>
        <w:t xml:space="preserve">Mr. Applegate is attempting </w:t>
      </w:r>
      <w:r w:rsidR="002B2578">
        <w:rPr>
          <w:bCs/>
        </w:rPr>
        <w:t xml:space="preserve">to assess the </w:t>
      </w:r>
      <w:r w:rsidR="0093400D">
        <w:rPr>
          <w:bCs/>
        </w:rPr>
        <w:t xml:space="preserve">possible </w:t>
      </w:r>
      <w:r w:rsidR="002B2578">
        <w:rPr>
          <w:bCs/>
        </w:rPr>
        <w:t xml:space="preserve">credit rating </w:t>
      </w:r>
      <w:r w:rsidR="0093400D">
        <w:rPr>
          <w:bCs/>
        </w:rPr>
        <w:t xml:space="preserve">of the combined company </w:t>
      </w:r>
      <w:r w:rsidR="002B2578">
        <w:rPr>
          <w:bCs/>
        </w:rPr>
        <w:t>at</w:t>
      </w:r>
      <w:r>
        <w:rPr>
          <w:bCs/>
        </w:rPr>
        <w:t xml:space="preserve"> </w:t>
      </w:r>
      <w:r w:rsidR="00FE5498">
        <w:rPr>
          <w:bCs/>
        </w:rPr>
        <w:t xml:space="preserve">one specific point in time—at </w:t>
      </w:r>
      <w:r>
        <w:rPr>
          <w:bCs/>
        </w:rPr>
        <w:t xml:space="preserve">the close of the merger.  However, </w:t>
      </w:r>
      <w:r w:rsidR="0093400D">
        <w:rPr>
          <w:bCs/>
        </w:rPr>
        <w:t>Mr. Applegate</w:t>
      </w:r>
      <w:r>
        <w:rPr>
          <w:bCs/>
        </w:rPr>
        <w:t xml:space="preserve"> </w:t>
      </w:r>
      <w:r w:rsidR="0093400D">
        <w:rPr>
          <w:bCs/>
        </w:rPr>
        <w:lastRenderedPageBreak/>
        <w:t xml:space="preserve">already </w:t>
      </w:r>
      <w:r>
        <w:rPr>
          <w:bCs/>
        </w:rPr>
        <w:t>has explained that the merged company expects to generate increased efficiencies and cash flows over time</w:t>
      </w:r>
      <w:r w:rsidR="0093400D">
        <w:rPr>
          <w:bCs/>
        </w:rPr>
        <w:t xml:space="preserve"> and should have the discretion to pay down debt</w:t>
      </w:r>
      <w:r>
        <w:rPr>
          <w:bCs/>
        </w:rPr>
        <w:t>.  The benefit</w:t>
      </w:r>
      <w:r w:rsidR="0093400D">
        <w:rPr>
          <w:bCs/>
        </w:rPr>
        <w:t>,</w:t>
      </w:r>
      <w:r>
        <w:rPr>
          <w:bCs/>
        </w:rPr>
        <w:t xml:space="preserve"> therefore</w:t>
      </w:r>
      <w:r w:rsidR="0093400D">
        <w:rPr>
          <w:bCs/>
        </w:rPr>
        <w:t>,</w:t>
      </w:r>
      <w:r>
        <w:rPr>
          <w:bCs/>
        </w:rPr>
        <w:t xml:space="preserve"> of </w:t>
      </w:r>
      <w:r w:rsidR="0093400D">
        <w:rPr>
          <w:bCs/>
        </w:rPr>
        <w:t xml:space="preserve">ongoing </w:t>
      </w:r>
      <w:r w:rsidR="00520CCB">
        <w:rPr>
          <w:bCs/>
        </w:rPr>
        <w:t>improvements in cash flows c</w:t>
      </w:r>
      <w:r>
        <w:rPr>
          <w:bCs/>
        </w:rPr>
        <w:t>ould</w:t>
      </w:r>
      <w:r w:rsidR="002B2578">
        <w:rPr>
          <w:bCs/>
        </w:rPr>
        <w:t xml:space="preserve"> </w:t>
      </w:r>
      <w:r w:rsidR="0093400D">
        <w:rPr>
          <w:bCs/>
          <w:i/>
        </w:rPr>
        <w:t>enhance</w:t>
      </w:r>
      <w:r w:rsidR="0093400D" w:rsidRPr="00FE5498">
        <w:rPr>
          <w:bCs/>
          <w:i/>
        </w:rPr>
        <w:t xml:space="preserve"> </w:t>
      </w:r>
      <w:r w:rsidRPr="00FE5498">
        <w:rPr>
          <w:bCs/>
          <w:i/>
        </w:rPr>
        <w:t xml:space="preserve">the </w:t>
      </w:r>
      <w:r w:rsidR="002B2578" w:rsidRPr="00FE5498">
        <w:rPr>
          <w:bCs/>
          <w:i/>
        </w:rPr>
        <w:t xml:space="preserve">longer-term </w:t>
      </w:r>
      <w:r w:rsidRPr="00FE5498">
        <w:rPr>
          <w:bCs/>
          <w:i/>
        </w:rPr>
        <w:t>credit profile</w:t>
      </w:r>
      <w:r w:rsidR="002B2578">
        <w:rPr>
          <w:bCs/>
        </w:rPr>
        <w:t xml:space="preserve"> of the merged company compared with the standalone </w:t>
      </w:r>
      <w:r w:rsidR="0093400D">
        <w:rPr>
          <w:bCs/>
        </w:rPr>
        <w:t>credit characteristics</w:t>
      </w:r>
      <w:r w:rsidR="002B2578">
        <w:rPr>
          <w:bCs/>
        </w:rPr>
        <w:t xml:space="preserve"> of</w:t>
      </w:r>
      <w:r>
        <w:rPr>
          <w:bCs/>
        </w:rPr>
        <w:t xml:space="preserve"> Qwest or CenturyLink.</w:t>
      </w:r>
      <w:r w:rsidR="002B2578">
        <w:rPr>
          <w:bCs/>
        </w:rPr>
        <w:t xml:space="preserve">  </w:t>
      </w:r>
      <w:r w:rsidR="0093400D">
        <w:rPr>
          <w:bCs/>
        </w:rPr>
        <w:t xml:space="preserve">That is, even if a temporary credit downgrade were to occur, it is expected that CenturyLink will work to regain its investment grade credit rating, possibly achieving higher ratings and lower capital costs than it would have as a standalone company.  </w:t>
      </w:r>
      <w:r w:rsidR="002B2578">
        <w:rPr>
          <w:bCs/>
        </w:rPr>
        <w:t>The Joi</w:t>
      </w:r>
      <w:r w:rsidR="00FE5498">
        <w:rPr>
          <w:bCs/>
        </w:rPr>
        <w:t>nt Applicants believe that the merged company’s</w:t>
      </w:r>
      <w:r w:rsidR="002B2578">
        <w:rPr>
          <w:bCs/>
        </w:rPr>
        <w:t xml:space="preserve"> operating performance and financial strength will be strengthened </w:t>
      </w:r>
      <w:r w:rsidR="0093400D">
        <w:rPr>
          <w:bCs/>
        </w:rPr>
        <w:t xml:space="preserve">materially </w:t>
      </w:r>
      <w:r w:rsidR="002B2578">
        <w:rPr>
          <w:bCs/>
        </w:rPr>
        <w:t>due to this merger, in part based on the Company’s estimates that the longer-term synergies will generate a</w:t>
      </w:r>
      <w:r w:rsidR="00520CCB">
        <w:rPr>
          <w:bCs/>
        </w:rPr>
        <w:t>n NPV</w:t>
      </w:r>
      <w:r w:rsidR="002B2578">
        <w:rPr>
          <w:bCs/>
        </w:rPr>
        <w:t xml:space="preserve"> of $3.3 billion.</w:t>
      </w:r>
      <w:r w:rsidR="002B2578">
        <w:rPr>
          <w:rStyle w:val="FootnoteReference"/>
          <w:bCs/>
        </w:rPr>
        <w:footnoteReference w:id="31"/>
      </w:r>
      <w:r w:rsidR="00FE5498">
        <w:rPr>
          <w:bCs/>
        </w:rPr>
        <w:t xml:space="preserve">  Sound financial decisions require a longer-term view of whether the combination benefits customers and the service provider over the foreseeable future.  The Company is confident that the vast majority of </w:t>
      </w:r>
      <w:r w:rsidR="0093400D">
        <w:rPr>
          <w:bCs/>
        </w:rPr>
        <w:t xml:space="preserve">Washington </w:t>
      </w:r>
      <w:r w:rsidR="00FE5498">
        <w:rPr>
          <w:bCs/>
        </w:rPr>
        <w:t xml:space="preserve">customers will benefit from the combination from day one, and the entire </w:t>
      </w:r>
      <w:r w:rsidR="001A3A5E">
        <w:rPr>
          <w:bCs/>
        </w:rPr>
        <w:t>C</w:t>
      </w:r>
      <w:r w:rsidR="00FE5498">
        <w:rPr>
          <w:bCs/>
        </w:rPr>
        <w:t xml:space="preserve">ompany’s cost of capital will be improved </w:t>
      </w:r>
      <w:r w:rsidR="00FE5498">
        <w:rPr>
          <w:bCs/>
          <w:i/>
        </w:rPr>
        <w:t xml:space="preserve">relative to what it might have been </w:t>
      </w:r>
      <w:r w:rsidR="001532B9">
        <w:rPr>
          <w:bCs/>
          <w:i/>
        </w:rPr>
        <w:t xml:space="preserve">the case </w:t>
      </w:r>
      <w:r w:rsidR="00FE5498">
        <w:rPr>
          <w:bCs/>
          <w:i/>
        </w:rPr>
        <w:t>if the merger were not to occur.</w:t>
      </w:r>
    </w:p>
    <w:p w:rsidR="00047E4E" w:rsidRDefault="00047E4E" w:rsidP="00CF6BFD">
      <w:pPr>
        <w:spacing w:line="480" w:lineRule="auto"/>
        <w:ind w:left="720" w:hanging="720"/>
        <w:jc w:val="both"/>
        <w:rPr>
          <w:bCs/>
        </w:rPr>
      </w:pPr>
    </w:p>
    <w:p w:rsidR="00047E4E" w:rsidRPr="00112F5F" w:rsidRDefault="00D6322A" w:rsidP="00CF6BF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Please comment on Mr. Applegate’s analyses related to </w:t>
      </w:r>
      <w:r w:rsidR="009D2B85" w:rsidRPr="00112F5F">
        <w:rPr>
          <w:rFonts w:ascii="Times New Roman Bold" w:hAnsi="Times New Roman Bold"/>
          <w:b/>
          <w:bCs/>
          <w:caps/>
        </w:rPr>
        <w:t xml:space="preserve">access line losses, declining revenues, and the possible impact on </w:t>
      </w:r>
      <w:r w:rsidRPr="00112F5F">
        <w:rPr>
          <w:rFonts w:ascii="Times New Roman Bold" w:hAnsi="Times New Roman Bold"/>
          <w:b/>
          <w:bCs/>
          <w:caps/>
        </w:rPr>
        <w:t>cash flows after dividends.</w:t>
      </w:r>
    </w:p>
    <w:p w:rsidR="00BE0587" w:rsidRDefault="00D6322A" w:rsidP="00CF6BFD">
      <w:pPr>
        <w:spacing w:line="480" w:lineRule="auto"/>
        <w:ind w:left="720" w:hanging="720"/>
        <w:jc w:val="both"/>
        <w:rPr>
          <w:bCs/>
        </w:rPr>
      </w:pPr>
      <w:r>
        <w:rPr>
          <w:bCs/>
        </w:rPr>
        <w:lastRenderedPageBreak/>
        <w:t>A.</w:t>
      </w:r>
      <w:r>
        <w:rPr>
          <w:bCs/>
        </w:rPr>
        <w:tab/>
        <w:t xml:space="preserve">Mr. Applegate assesses CenturyLink’s </w:t>
      </w:r>
      <w:r w:rsidR="009D2B85">
        <w:rPr>
          <w:bCs/>
        </w:rPr>
        <w:t xml:space="preserve">pro forma combined projection </w:t>
      </w:r>
      <w:r>
        <w:rPr>
          <w:bCs/>
        </w:rPr>
        <w:t xml:space="preserve">model for the years 2011 through 2015, and </w:t>
      </w:r>
      <w:r w:rsidR="009D2B85">
        <w:rPr>
          <w:bCs/>
        </w:rPr>
        <w:t xml:space="preserve">attempts to </w:t>
      </w:r>
      <w:r>
        <w:rPr>
          <w:bCs/>
        </w:rPr>
        <w:t xml:space="preserve">test </w:t>
      </w:r>
      <w:r w:rsidR="009D2B85">
        <w:rPr>
          <w:bCs/>
        </w:rPr>
        <w:t>certain</w:t>
      </w:r>
      <w:r>
        <w:rPr>
          <w:bCs/>
        </w:rPr>
        <w:t xml:space="preserve"> assumptions included i</w:t>
      </w:r>
      <w:r w:rsidR="001532B9">
        <w:rPr>
          <w:bCs/>
        </w:rPr>
        <w:t xml:space="preserve">n the </w:t>
      </w:r>
      <w:r w:rsidR="001A3A5E">
        <w:rPr>
          <w:bCs/>
        </w:rPr>
        <w:t>Highly C</w:t>
      </w:r>
      <w:r w:rsidR="001532B9">
        <w:rPr>
          <w:bCs/>
        </w:rPr>
        <w:t xml:space="preserve">onfidential </w:t>
      </w:r>
      <w:r>
        <w:rPr>
          <w:bCs/>
        </w:rPr>
        <w:t>model</w:t>
      </w:r>
      <w:r w:rsidR="001532B9">
        <w:rPr>
          <w:bCs/>
        </w:rPr>
        <w:t xml:space="preserve"> used by the Company</w:t>
      </w:r>
      <w:r>
        <w:rPr>
          <w:bCs/>
        </w:rPr>
        <w:t xml:space="preserve">.  </w:t>
      </w:r>
      <w:r w:rsidR="001532B9">
        <w:rPr>
          <w:bCs/>
        </w:rPr>
        <w:t xml:space="preserve">Specifically, </w:t>
      </w:r>
      <w:r w:rsidR="00FD740C">
        <w:rPr>
          <w:bCs/>
        </w:rPr>
        <w:t>Mr. Applegate</w:t>
      </w:r>
      <w:r>
        <w:rPr>
          <w:bCs/>
        </w:rPr>
        <w:t xml:space="preserve"> evaluates the revenue projections and other inputs to </w:t>
      </w:r>
      <w:r w:rsidR="0023505E">
        <w:rPr>
          <w:bCs/>
        </w:rPr>
        <w:t>judge</w:t>
      </w:r>
      <w:r>
        <w:rPr>
          <w:bCs/>
        </w:rPr>
        <w:t xml:space="preserve"> the relative risk associated with the Company’s projections.  </w:t>
      </w:r>
      <w:r w:rsidR="00FD740C">
        <w:rPr>
          <w:bCs/>
        </w:rPr>
        <w:t xml:space="preserve">I will briefly address certain misunderstandings reflected in Mr. Applegate’s concerns regarding certain model assumptions.  </w:t>
      </w:r>
    </w:p>
    <w:p w:rsidR="00BE0587" w:rsidRDefault="00BE0587" w:rsidP="00CF6BFD">
      <w:pPr>
        <w:spacing w:line="480" w:lineRule="auto"/>
        <w:ind w:left="720" w:hanging="720"/>
        <w:jc w:val="both"/>
        <w:rPr>
          <w:bCs/>
        </w:rPr>
      </w:pPr>
    </w:p>
    <w:p w:rsidR="005F7991" w:rsidRDefault="00FD740C">
      <w:pPr>
        <w:spacing w:line="480" w:lineRule="auto"/>
        <w:ind w:left="720"/>
        <w:jc w:val="both"/>
        <w:rPr>
          <w:bCs/>
        </w:rPr>
      </w:pPr>
      <w:r>
        <w:rPr>
          <w:bCs/>
        </w:rPr>
        <w:t>First, Mr. Applegate believes that the average monthly revenue per line assumption in the model is too low because the companies</w:t>
      </w:r>
      <w:r w:rsidR="00BE0587">
        <w:rPr>
          <w:bCs/>
        </w:rPr>
        <w:t>’</w:t>
      </w:r>
      <w:r>
        <w:rPr>
          <w:bCs/>
        </w:rPr>
        <w:t xml:space="preserve"> Washington metrics are higher.</w:t>
      </w:r>
      <w:r w:rsidR="00FD532C">
        <w:rPr>
          <w:rStyle w:val="FootnoteReference"/>
          <w:bCs/>
        </w:rPr>
        <w:footnoteReference w:id="32"/>
      </w:r>
      <w:r>
        <w:rPr>
          <w:bCs/>
        </w:rPr>
        <w:t xml:space="preserve">  The reality is that the projection model is for the combined company’</w:t>
      </w:r>
      <w:r w:rsidR="00BE0587">
        <w:rPr>
          <w:bCs/>
        </w:rPr>
        <w:t>s nationwide operations.  T</w:t>
      </w:r>
      <w:r>
        <w:rPr>
          <w:bCs/>
        </w:rPr>
        <w:t>herefore</w:t>
      </w:r>
      <w:r w:rsidR="00BE0587">
        <w:rPr>
          <w:bCs/>
        </w:rPr>
        <w:t>,</w:t>
      </w:r>
      <w:r>
        <w:rPr>
          <w:bCs/>
        </w:rPr>
        <w:t xml:space="preserve"> the assumption inputs should reflect national data, not Washington-specific metrics</w:t>
      </w:r>
      <w:r w:rsidR="00FD532C">
        <w:rPr>
          <w:bCs/>
        </w:rPr>
        <w:t xml:space="preserve"> as suggested by Mr. Applegate</w:t>
      </w:r>
      <w:r>
        <w:rPr>
          <w:bCs/>
        </w:rPr>
        <w:t xml:space="preserve">.  In addition, </w:t>
      </w:r>
      <w:r w:rsidR="00DB2F29">
        <w:rPr>
          <w:bCs/>
        </w:rPr>
        <w:t xml:space="preserve">theoretically </w:t>
      </w:r>
      <w:r>
        <w:rPr>
          <w:bCs/>
        </w:rPr>
        <w:t xml:space="preserve">increasing the average monthly revenue per line assumption in the model, as Mr. Applegate suggests, while raising the level of revenues lost </w:t>
      </w:r>
      <w:r w:rsidR="00BE0587">
        <w:rPr>
          <w:bCs/>
        </w:rPr>
        <w:t xml:space="preserve">due to access line declines, ultimately </w:t>
      </w:r>
      <w:r w:rsidR="00FD532C">
        <w:rPr>
          <w:bCs/>
        </w:rPr>
        <w:t xml:space="preserve">would </w:t>
      </w:r>
      <w:r w:rsidR="00BE0587">
        <w:rPr>
          <w:bCs/>
        </w:rPr>
        <w:t>result in greater projected revenues and cash flows for post-merger CenturyLink.  This is because the highe</w:t>
      </w:r>
      <w:r w:rsidR="00FD532C">
        <w:rPr>
          <w:bCs/>
        </w:rPr>
        <w:t>r per unit revenue assumption would be</w:t>
      </w:r>
      <w:r w:rsidR="00BE0587">
        <w:rPr>
          <w:bCs/>
        </w:rPr>
        <w:t xml:space="preserve"> multiplied by </w:t>
      </w:r>
      <w:r w:rsidR="00A10FAA" w:rsidRPr="00A10FAA">
        <w:rPr>
          <w:bCs/>
          <w:i/>
        </w:rPr>
        <w:t>all</w:t>
      </w:r>
      <w:r w:rsidR="00BE0587">
        <w:rPr>
          <w:bCs/>
        </w:rPr>
        <w:t xml:space="preserve"> of the combined company access lines, generating a revenue increase substantially higher than the incremental revenue loss </w:t>
      </w:r>
      <w:r w:rsidR="001A3A5E">
        <w:rPr>
          <w:bCs/>
        </w:rPr>
        <w:t>used</w:t>
      </w:r>
      <w:r w:rsidR="00BE0587">
        <w:rPr>
          <w:bCs/>
        </w:rPr>
        <w:t xml:space="preserve"> by Mr. Applegate.  As such, the actual impact of Mr. Applegate’s suggested </w:t>
      </w:r>
      <w:r w:rsidR="00DB2F29">
        <w:rPr>
          <w:bCs/>
        </w:rPr>
        <w:t xml:space="preserve">theoretical </w:t>
      </w:r>
      <w:r w:rsidR="00BE0587">
        <w:rPr>
          <w:bCs/>
        </w:rPr>
        <w:t>change would be positive, not negative.</w:t>
      </w:r>
      <w:r>
        <w:rPr>
          <w:bCs/>
        </w:rPr>
        <w:t xml:space="preserve">  </w:t>
      </w:r>
      <w:r w:rsidR="00FD532C">
        <w:rPr>
          <w:bCs/>
        </w:rPr>
        <w:t>The answer, however, is that the average monthly revenue per line assumptions in the model are set appropriately</w:t>
      </w:r>
      <w:r w:rsidR="00DB2F29">
        <w:rPr>
          <w:bCs/>
        </w:rPr>
        <w:t xml:space="preserve"> based on national data</w:t>
      </w:r>
      <w:r w:rsidR="00FD532C">
        <w:rPr>
          <w:bCs/>
        </w:rPr>
        <w:t xml:space="preserve">, and Mr. Applegate is incorrect in suggesting </w:t>
      </w:r>
      <w:r w:rsidR="00DB2F29">
        <w:rPr>
          <w:bCs/>
        </w:rPr>
        <w:t xml:space="preserve">that </w:t>
      </w:r>
      <w:r w:rsidR="00FD532C">
        <w:rPr>
          <w:bCs/>
        </w:rPr>
        <w:t>the assumptions should be increased</w:t>
      </w:r>
      <w:r w:rsidR="00DB2F29">
        <w:rPr>
          <w:bCs/>
        </w:rPr>
        <w:t xml:space="preserve"> to reflect Washington-specific metrics</w:t>
      </w:r>
      <w:r w:rsidR="00FD532C">
        <w:rPr>
          <w:bCs/>
        </w:rPr>
        <w:t xml:space="preserve">.  </w:t>
      </w:r>
      <w:r w:rsidR="00BE0587">
        <w:rPr>
          <w:bCs/>
        </w:rPr>
        <w:t xml:space="preserve">The same </w:t>
      </w:r>
      <w:r w:rsidR="00BE0587">
        <w:rPr>
          <w:bCs/>
        </w:rPr>
        <w:lastRenderedPageBreak/>
        <w:t xml:space="preserve">issues can be raised with Mr. Applegate’s contention regarding the margin assumptions in the CenturyLink forecasts—national, not Washington-specific, inputs must be used in the total company model, and increasing the assumed margins </w:t>
      </w:r>
      <w:r w:rsidR="00DB2F29">
        <w:rPr>
          <w:bCs/>
        </w:rPr>
        <w:t>theoretically would</w:t>
      </w:r>
      <w:r w:rsidR="00BE0587">
        <w:rPr>
          <w:bCs/>
        </w:rPr>
        <w:t xml:space="preserve"> enhance the combined company’s total EBITDA by a far greater amount than the incremental margin reduction due to line losses.  In any event, accepting for argument’s sake Mr. Applegate’s approach </w:t>
      </w:r>
      <w:r w:rsidR="00FD532C">
        <w:rPr>
          <w:bCs/>
        </w:rPr>
        <w:t xml:space="preserve">to adjusting the projections </w:t>
      </w:r>
      <w:r w:rsidR="00BE0587">
        <w:rPr>
          <w:bCs/>
        </w:rPr>
        <w:t xml:space="preserve">as quantified in his testimony, </w:t>
      </w:r>
      <w:r w:rsidR="00F64AA2">
        <w:rPr>
          <w:bCs/>
        </w:rPr>
        <w:t>***</w:t>
      </w:r>
      <w:r w:rsidR="001A3A5E">
        <w:rPr>
          <w:bCs/>
        </w:rPr>
        <w:t xml:space="preserve">BEGIN HIGHLY </w:t>
      </w:r>
      <w:r w:rsidR="00F64AA2">
        <w:rPr>
          <w:bCs/>
        </w:rPr>
        <w:t>CONFIDENTIAL</w:t>
      </w:r>
      <w:r w:rsidR="00387EAA">
        <w:rPr>
          <w:bCs/>
        </w:rPr>
        <w:t>:</w:t>
      </w:r>
      <w:r w:rsidR="001A3A5E">
        <w:rPr>
          <w:bCs/>
        </w:rPr>
        <w:t xml:space="preserve"> </w:t>
      </w:r>
      <w:r w:rsidR="00387EAA" w:rsidRPr="001A6836">
        <w:rPr>
          <w:bCs/>
          <w:i/>
        </w:rPr>
        <w:t xml:space="preserve">REDACTED </w:t>
      </w:r>
      <w:r w:rsidR="00387EAA">
        <w:rPr>
          <w:bCs/>
        </w:rPr>
        <w:t>XXXXXXXXXXXXXXXXXX</w:t>
      </w:r>
      <w:r w:rsidR="00E7776E" w:rsidRPr="00B16B64">
        <w:rPr>
          <w:bCs/>
          <w:shd w:val="clear" w:color="auto" w:fill="BFBFBF"/>
        </w:rPr>
        <w:t xml:space="preserve"> </w:t>
      </w:r>
      <w:r w:rsidR="00387EAA">
        <w:rPr>
          <w:bCs/>
          <w:shd w:val="clear" w:color="auto" w:fill="BFBFBF"/>
        </w:rPr>
        <w:t>XXXXXXXXXXXXXXXXXXXXXXXXXXXXXXXXXXXXXXXXXXXXXXXXXXXXXXXXXXXXXXXXXXXXXXXXXXXXXXXXXXXXXXXXXXXXXXXXXX</w:t>
      </w:r>
      <w:r w:rsidR="00662696" w:rsidRPr="00B16B64">
        <w:rPr>
          <w:bCs/>
          <w:shd w:val="clear" w:color="auto" w:fill="BFBFBF"/>
        </w:rPr>
        <w:t xml:space="preserve"> </w:t>
      </w:r>
      <w:r w:rsidR="004B67A7">
        <w:rPr>
          <w:bCs/>
          <w:shd w:val="clear" w:color="auto" w:fill="BFBFBF"/>
        </w:rPr>
        <w:t>XXXXXXXXXXXXXXXXXXXXXXXXXXXXXXXXXXXXXXXXXXXXXXXXXXXXXXXXXXXXXXXXXXXXXXXXXXXXXXXXXXXXXXXXXXXXXXXXXXXXXXXXXXXXXXXXXXXXXXXXXXXXXXXXXXXXXXXXXXXXXXXXXX</w:t>
      </w:r>
      <w:r w:rsidR="00DB2F29" w:rsidRPr="00B16B64">
        <w:rPr>
          <w:bCs/>
          <w:shd w:val="clear" w:color="auto" w:fill="BFBFBF"/>
        </w:rPr>
        <w:t>.</w:t>
      </w:r>
      <w:r w:rsidR="00662696" w:rsidRPr="00B16B64">
        <w:rPr>
          <w:rStyle w:val="FootnoteReference"/>
          <w:bCs/>
          <w:shd w:val="clear" w:color="auto" w:fill="BFBFBF"/>
        </w:rPr>
        <w:footnoteReference w:id="33"/>
      </w:r>
      <w:r w:rsidR="001532B9" w:rsidRPr="00B16B64">
        <w:rPr>
          <w:bCs/>
          <w:shd w:val="clear" w:color="auto" w:fill="BFBFBF"/>
        </w:rPr>
        <w:t xml:space="preserve">  </w:t>
      </w:r>
      <w:r w:rsidR="004B67A7">
        <w:rPr>
          <w:bCs/>
          <w:shd w:val="clear" w:color="auto" w:fill="BFBFBF"/>
        </w:rPr>
        <w:t>XXXXXXXXXXXXXXXXXXXXXXXXXXXXXXXXXXXXXXXXXXXXXXXXXXXXXXXXXXXXXXXXXXXXXXXXXXXXXXXXXXXXXXXXXXXXXX</w:t>
      </w:r>
      <w:r w:rsidR="008B6B9F">
        <w:rPr>
          <w:bCs/>
        </w:rPr>
        <w:t xml:space="preserve">END HIGHLY </w:t>
      </w:r>
      <w:r w:rsidR="00F64AA2">
        <w:rPr>
          <w:bCs/>
        </w:rPr>
        <w:t>CONFIDENTIAL***</w:t>
      </w:r>
    </w:p>
    <w:p w:rsidR="002B2578" w:rsidRDefault="002B2578" w:rsidP="00CF6BFD">
      <w:pPr>
        <w:spacing w:line="480" w:lineRule="auto"/>
        <w:ind w:left="720" w:hanging="720"/>
        <w:jc w:val="both"/>
        <w:rPr>
          <w:bCs/>
        </w:rPr>
      </w:pPr>
    </w:p>
    <w:p w:rsidR="000863B7" w:rsidRPr="00112F5F" w:rsidRDefault="000863B7" w:rsidP="000863B7">
      <w:pPr>
        <w:spacing w:line="480" w:lineRule="auto"/>
        <w:ind w:left="720" w:hanging="720"/>
        <w:jc w:val="both"/>
        <w:rPr>
          <w:rFonts w:ascii="Times New Roman Bold" w:hAnsi="Times New Roman Bold"/>
          <w:b/>
          <w:bCs/>
          <w:caps/>
        </w:rPr>
      </w:pPr>
      <w:r>
        <w:rPr>
          <w:b/>
          <w:bCs/>
        </w:rPr>
        <w:t>Q.</w:t>
      </w:r>
      <w:r>
        <w:rPr>
          <w:b/>
          <w:bCs/>
        </w:rPr>
        <w:tab/>
      </w:r>
      <w:r w:rsidR="00972739" w:rsidRPr="00112F5F">
        <w:rPr>
          <w:rFonts w:ascii="Times New Roman Bold" w:hAnsi="Times New Roman Bold"/>
          <w:b/>
          <w:bCs/>
          <w:caps/>
        </w:rPr>
        <w:t>Mr. Applegate also raises the potential risk of goodwill impairment and notes the increase in CenturyLink’s goodwill as a result of the proposed Transaction</w:t>
      </w:r>
      <w:r w:rsidRPr="00112F5F">
        <w:rPr>
          <w:rFonts w:ascii="Times New Roman Bold" w:hAnsi="Times New Roman Bold"/>
          <w:b/>
          <w:bCs/>
          <w:caps/>
        </w:rPr>
        <w:t>.</w:t>
      </w:r>
      <w:r w:rsidR="00972739" w:rsidRPr="00C7304C">
        <w:rPr>
          <w:rStyle w:val="FootnoteReference"/>
          <w:rFonts w:ascii="Times New Roman Bold" w:hAnsi="Times New Roman Bold"/>
          <w:b/>
          <w:bCs/>
          <w:caps/>
        </w:rPr>
        <w:footnoteReference w:id="34"/>
      </w:r>
      <w:r w:rsidR="00972739" w:rsidRPr="00C7304C">
        <w:rPr>
          <w:rFonts w:ascii="Times New Roman Bold" w:hAnsi="Times New Roman Bold"/>
          <w:b/>
          <w:bCs/>
          <w:caps/>
          <w:vertAlign w:val="superscript"/>
        </w:rPr>
        <w:t xml:space="preserve"> </w:t>
      </w:r>
      <w:r w:rsidR="00972739" w:rsidRPr="00112F5F">
        <w:rPr>
          <w:rFonts w:ascii="Times New Roman Bold" w:hAnsi="Times New Roman Bold"/>
          <w:b/>
          <w:bCs/>
          <w:caps/>
        </w:rPr>
        <w:t xml:space="preserve"> Are the potential concerns related to goodwill likely to cause harm to Washington customers? </w:t>
      </w:r>
    </w:p>
    <w:p w:rsidR="000863B7" w:rsidRDefault="000863B7" w:rsidP="000863B7">
      <w:pPr>
        <w:spacing w:line="480" w:lineRule="auto"/>
        <w:ind w:left="720" w:hanging="720"/>
        <w:jc w:val="both"/>
      </w:pPr>
      <w:r>
        <w:rPr>
          <w:bCs/>
        </w:rPr>
        <w:lastRenderedPageBreak/>
        <w:t>A.</w:t>
      </w:r>
      <w:r>
        <w:rPr>
          <w:bCs/>
        </w:rPr>
        <w:tab/>
      </w:r>
      <w:r w:rsidR="00972739">
        <w:t xml:space="preserve">No.  Goodwill is an accounting convention that permits a company to book on its balance sheet the value of intangible assets that may not be captured in the tangible assets or liabilities accounts.  While goodwill most often is created when a premium is paid in an acquisition, it </w:t>
      </w:r>
      <w:r w:rsidR="008268CF">
        <w:t>is also used</w:t>
      </w:r>
      <w:r w:rsidR="00972739">
        <w:t xml:space="preserve"> to account for the value of licenses, customer lists, or other intangible assets.  By contrast with book accounting conventions, most businesses generally are valued on the basis of their potential to generate cash flows, regardless of the tangible or intangible nature of the assets on the balance sheet.  </w:t>
      </w:r>
      <w:r w:rsidR="008268CF">
        <w:t>Whatever</w:t>
      </w:r>
      <w:r w:rsidR="00972739">
        <w:t xml:space="preserve"> the level of goodwill on a company’s balance sheet, it is the company’s ability to generate cash flows that in most cases will drive the value and sustainability of the business.</w:t>
      </w:r>
    </w:p>
    <w:p w:rsidR="00972739" w:rsidRDefault="00972739" w:rsidP="000863B7">
      <w:pPr>
        <w:spacing w:line="480" w:lineRule="auto"/>
        <w:ind w:left="720" w:hanging="720"/>
        <w:jc w:val="both"/>
      </w:pPr>
    </w:p>
    <w:p w:rsidR="00972739" w:rsidRDefault="00972739" w:rsidP="000863B7">
      <w:pPr>
        <w:spacing w:line="480" w:lineRule="auto"/>
        <w:ind w:left="720" w:hanging="720"/>
        <w:jc w:val="both"/>
        <w:rPr>
          <w:b/>
          <w:bCs/>
        </w:rPr>
      </w:pPr>
      <w:r>
        <w:tab/>
        <w:t>It is correct that, due to current accounting rules, goodwill cannot be amortized on the income statement, and that a “test” occurs at regular intervals to determine whether the value captured in goodwill has declined</w:t>
      </w:r>
      <w:r w:rsidR="00E70DD9">
        <w:t xml:space="preserve"> (“goodwill impairment”)</w:t>
      </w:r>
      <w:r>
        <w:t>, which could lead to lower book earnings if there were a write-down in value.  However, the reduction in book earnings is non-cash in nature, which is the critical insight.  If cash is unaffected, then regardless of changes in the value of goodwill, the same level of cash flows remain available to fund operating expenses, investment, service of equity and debt, etc.  Investors focus on cash flows.  This past summer, CenturyLink disclosed in SEC filings the estimated goodwill that will be created as a result of the acquisition of Qwest</w:t>
      </w:r>
      <w:r w:rsidR="00E70DD9">
        <w:t>, as Mr. Applegate notes</w:t>
      </w:r>
      <w:r>
        <w:t xml:space="preserve">.  However, there was no material negative change in CenturyLink’s share price as a result of this disclosure.  Investors understand that the creation of goodwill and any potential future goodwill impairment charge will have no impact on the cash flow generation capabilities of the combined company.  Changes in the value of </w:t>
      </w:r>
      <w:r>
        <w:lastRenderedPageBreak/>
        <w:t xml:space="preserve">goodwill do not, of themselves, create volatility in cash flows or a risk to the economic value of the company, </w:t>
      </w:r>
      <w:r w:rsidR="00E70DD9">
        <w:t>and therefore, do not create harm for customers</w:t>
      </w:r>
      <w:r>
        <w:t>.</w:t>
      </w:r>
    </w:p>
    <w:p w:rsidR="000863B7" w:rsidRDefault="000863B7" w:rsidP="00212554">
      <w:pPr>
        <w:spacing w:line="480" w:lineRule="auto"/>
        <w:ind w:left="720" w:hanging="720"/>
        <w:jc w:val="both"/>
        <w:rPr>
          <w:b/>
          <w:bCs/>
        </w:rPr>
      </w:pPr>
    </w:p>
    <w:p w:rsidR="00E74B15" w:rsidRPr="00112F5F" w:rsidRDefault="00E74B15" w:rsidP="00212554">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Please comment on Mr. Applegate’s assessment of the KPNQwest litigation.</w:t>
      </w:r>
    </w:p>
    <w:p w:rsidR="00E74B15" w:rsidRPr="00E74B15" w:rsidRDefault="00E74B15" w:rsidP="0022225A">
      <w:pPr>
        <w:spacing w:line="480" w:lineRule="auto"/>
        <w:ind w:left="720" w:hanging="720"/>
        <w:jc w:val="both"/>
        <w:rPr>
          <w:bCs/>
        </w:rPr>
      </w:pPr>
      <w:r>
        <w:rPr>
          <w:bCs/>
        </w:rPr>
        <w:t>A.</w:t>
      </w:r>
      <w:r>
        <w:rPr>
          <w:bCs/>
        </w:rPr>
        <w:tab/>
        <w:t>Mr. Applegate</w:t>
      </w:r>
      <w:r w:rsidR="009139FE">
        <w:rPr>
          <w:bCs/>
        </w:rPr>
        <w:t xml:space="preserve"> testifies concerning</w:t>
      </w:r>
      <w:r w:rsidR="001532B9">
        <w:rPr>
          <w:bCs/>
        </w:rPr>
        <w:t xml:space="preserve"> the pending litigation related</w:t>
      </w:r>
      <w:r w:rsidR="009139FE">
        <w:rPr>
          <w:bCs/>
        </w:rPr>
        <w:t xml:space="preserve"> to the partnership between Qwest and the Dutch national telecommunications company, KPN.  </w:t>
      </w:r>
      <w:r w:rsidR="00E52CB4">
        <w:rPr>
          <w:bCs/>
        </w:rPr>
        <w:t>Mr. Applegate states</w:t>
      </w:r>
      <w:r w:rsidR="009139FE">
        <w:rPr>
          <w:bCs/>
        </w:rPr>
        <w:t xml:space="preserve"> that this merger might “expose an even greater portion of Washington telecommunications services to what would be isolated nonsystematic risks of a single company.”</w:t>
      </w:r>
      <w:r w:rsidR="009139FE">
        <w:rPr>
          <w:rStyle w:val="FootnoteReference"/>
          <w:bCs/>
        </w:rPr>
        <w:footnoteReference w:id="35"/>
      </w:r>
      <w:r w:rsidR="006A411C">
        <w:rPr>
          <w:bCs/>
        </w:rPr>
        <w:t xml:space="preserve">  </w:t>
      </w:r>
      <w:r w:rsidR="0022225A">
        <w:rPr>
          <w:bCs/>
        </w:rPr>
        <w:t xml:space="preserve"> </w:t>
      </w:r>
      <w:r w:rsidR="00E52CB4">
        <w:rPr>
          <w:bCs/>
        </w:rPr>
        <w:t>The Staff financial witness also</w:t>
      </w:r>
      <w:r w:rsidR="0022225A">
        <w:rPr>
          <w:bCs/>
        </w:rPr>
        <w:t xml:space="preserve"> acknowledges that “the magnitude of [the litigation’s]</w:t>
      </w:r>
      <w:r w:rsidR="0022225A" w:rsidRPr="0022225A">
        <w:rPr>
          <w:bCs/>
        </w:rPr>
        <w:t xml:space="preserve"> impact is</w:t>
      </w:r>
      <w:r w:rsidR="0022225A">
        <w:rPr>
          <w:bCs/>
        </w:rPr>
        <w:t xml:space="preserve"> </w:t>
      </w:r>
      <w:r w:rsidR="0022225A" w:rsidRPr="0022225A">
        <w:rPr>
          <w:bCs/>
        </w:rPr>
        <w:t>neither known nor measurable.</w:t>
      </w:r>
      <w:r w:rsidR="0022225A">
        <w:rPr>
          <w:bCs/>
        </w:rPr>
        <w:t>”</w:t>
      </w:r>
      <w:r w:rsidR="0022225A">
        <w:rPr>
          <w:rStyle w:val="FootnoteReference"/>
          <w:bCs/>
        </w:rPr>
        <w:footnoteReference w:id="36"/>
      </w:r>
      <w:r w:rsidR="0022225A">
        <w:rPr>
          <w:bCs/>
        </w:rPr>
        <w:t xml:space="preserve">  </w:t>
      </w:r>
      <w:r w:rsidR="006A411C">
        <w:rPr>
          <w:bCs/>
        </w:rPr>
        <w:t>C</w:t>
      </w:r>
      <w:r w:rsidR="001532B9">
        <w:rPr>
          <w:bCs/>
        </w:rPr>
        <w:t>enturyLink recognizes that</w:t>
      </w:r>
      <w:r w:rsidR="006A411C">
        <w:rPr>
          <w:bCs/>
        </w:rPr>
        <w:t xml:space="preserve"> there is a risk that the KPNQwest litigation will result in an adverse outcome.  However, the </w:t>
      </w:r>
      <w:r w:rsidR="001532B9">
        <w:rPr>
          <w:bCs/>
        </w:rPr>
        <w:t xml:space="preserve">same </w:t>
      </w:r>
      <w:r w:rsidR="006A411C">
        <w:rPr>
          <w:bCs/>
        </w:rPr>
        <w:t xml:space="preserve">risk </w:t>
      </w:r>
      <w:r w:rsidR="009139FE">
        <w:rPr>
          <w:bCs/>
        </w:rPr>
        <w:t xml:space="preserve">exists </w:t>
      </w:r>
      <w:r w:rsidR="00980F08">
        <w:rPr>
          <w:bCs/>
        </w:rPr>
        <w:t>today</w:t>
      </w:r>
      <w:r w:rsidR="009139FE">
        <w:rPr>
          <w:bCs/>
        </w:rPr>
        <w:t xml:space="preserve"> for Qwest and its customers, which constitute approximately </w:t>
      </w:r>
      <w:r w:rsidR="00E52CB4">
        <w:rPr>
          <w:bCs/>
        </w:rPr>
        <w:t>88</w:t>
      </w:r>
      <w:r w:rsidR="009139FE">
        <w:rPr>
          <w:bCs/>
        </w:rPr>
        <w:t xml:space="preserve">% of the </w:t>
      </w:r>
      <w:r w:rsidR="00E52CB4">
        <w:rPr>
          <w:bCs/>
        </w:rPr>
        <w:t xml:space="preserve">pro forma company’s Washington </w:t>
      </w:r>
      <w:r w:rsidR="009139FE">
        <w:rPr>
          <w:bCs/>
        </w:rPr>
        <w:t>cust</w:t>
      </w:r>
      <w:r w:rsidR="001532B9">
        <w:rPr>
          <w:bCs/>
        </w:rPr>
        <w:t xml:space="preserve">omers.  While more customers </w:t>
      </w:r>
      <w:r w:rsidR="00E52CB4">
        <w:rPr>
          <w:bCs/>
        </w:rPr>
        <w:t xml:space="preserve">(the current CenturyLink Washington customers) </w:t>
      </w:r>
      <w:r w:rsidR="001532B9">
        <w:rPr>
          <w:bCs/>
        </w:rPr>
        <w:t>would be</w:t>
      </w:r>
      <w:r w:rsidR="009139FE">
        <w:rPr>
          <w:bCs/>
        </w:rPr>
        <w:t xml:space="preserve"> exposed to the risk</w:t>
      </w:r>
      <w:r w:rsidR="001532B9">
        <w:rPr>
          <w:bCs/>
        </w:rPr>
        <w:t xml:space="preserve"> in the post-merger company</w:t>
      </w:r>
      <w:r w:rsidR="009139FE">
        <w:rPr>
          <w:bCs/>
        </w:rPr>
        <w:t xml:space="preserve">, the risk would be spread over a larger </w:t>
      </w:r>
      <w:r w:rsidR="00E52CB4">
        <w:rPr>
          <w:bCs/>
        </w:rPr>
        <w:t xml:space="preserve">nationwide customer </w:t>
      </w:r>
      <w:r w:rsidR="009139FE">
        <w:rPr>
          <w:bCs/>
        </w:rPr>
        <w:t xml:space="preserve">base, thereby reducing the per-customer exposure to that risk.  Further, the merged company expects to generate synergies, so that the available cash would presumably render the Company better able to </w:t>
      </w:r>
      <w:r w:rsidR="00C90260">
        <w:rPr>
          <w:bCs/>
        </w:rPr>
        <w:t xml:space="preserve">resolve any negative </w:t>
      </w:r>
      <w:r w:rsidR="00E52CB4">
        <w:rPr>
          <w:bCs/>
        </w:rPr>
        <w:t xml:space="preserve">litigation </w:t>
      </w:r>
      <w:r w:rsidR="00C90260">
        <w:rPr>
          <w:bCs/>
        </w:rPr>
        <w:t>outcomes, if those were to occur.</w:t>
      </w:r>
      <w:r w:rsidR="001532B9">
        <w:rPr>
          <w:bCs/>
        </w:rPr>
        <w:t xml:space="preserve">  On balance, CenturyLink believes that the risk per customer is significantly reduced by virtue of the merger, which is again a </w:t>
      </w:r>
      <w:r w:rsidR="00E52CB4">
        <w:rPr>
          <w:bCs/>
        </w:rPr>
        <w:t xml:space="preserve">net </w:t>
      </w:r>
      <w:r w:rsidR="001532B9">
        <w:rPr>
          <w:bCs/>
        </w:rPr>
        <w:t>benefit to Washington customers.</w:t>
      </w:r>
    </w:p>
    <w:p w:rsidR="00776B97" w:rsidRPr="00AB060F" w:rsidRDefault="007561BC" w:rsidP="00212554">
      <w:pPr>
        <w:spacing w:line="480" w:lineRule="auto"/>
        <w:ind w:left="720" w:hanging="720"/>
        <w:jc w:val="both"/>
        <w:rPr>
          <w:b/>
          <w:bCs/>
        </w:rPr>
      </w:pPr>
      <w:r>
        <w:rPr>
          <w:bCs/>
        </w:rPr>
        <w:lastRenderedPageBreak/>
        <w:t xml:space="preserve">  </w:t>
      </w:r>
      <w:r w:rsidR="00F31C26">
        <w:rPr>
          <w:bCs/>
        </w:rPr>
        <w:t xml:space="preserve"> </w:t>
      </w:r>
    </w:p>
    <w:p w:rsidR="005F7991" w:rsidRDefault="00CF6BFD" w:rsidP="004B67A7">
      <w:pPr>
        <w:pStyle w:val="ListParagraph"/>
        <w:numPr>
          <w:ilvl w:val="0"/>
          <w:numId w:val="15"/>
        </w:numPr>
        <w:ind w:hanging="720"/>
        <w:rPr>
          <w:b/>
          <w:bCs/>
        </w:rPr>
      </w:pPr>
      <w:r w:rsidRPr="00CF6BFD">
        <w:rPr>
          <w:b/>
        </w:rPr>
        <w:t>THE ADDITIONAL FINANCIAL ANALYSES AND RECOMMENDATIONS OF MR. VASCONI</w:t>
      </w:r>
      <w:r w:rsidRPr="00CF6BFD">
        <w:rPr>
          <w:b/>
          <w:bCs/>
        </w:rPr>
        <w:t>.</w:t>
      </w:r>
    </w:p>
    <w:p w:rsidR="00B16B64" w:rsidRDefault="00B16B64" w:rsidP="00B16B64">
      <w:pPr>
        <w:pStyle w:val="ListParagraph"/>
        <w:jc w:val="both"/>
        <w:rPr>
          <w:b/>
          <w:bCs/>
        </w:rPr>
      </w:pPr>
    </w:p>
    <w:p w:rsidR="00EE003B" w:rsidRPr="00112F5F" w:rsidRDefault="00EE003B" w:rsidP="00EE003B">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Are there specific alleged financial “risks” related to the proposed Transaction that concern Mr. Vasconi?</w:t>
      </w:r>
    </w:p>
    <w:p w:rsidR="00713E7C" w:rsidRDefault="00EE003B" w:rsidP="00EE003B">
      <w:pPr>
        <w:spacing w:line="480" w:lineRule="auto"/>
        <w:ind w:left="720" w:hanging="720"/>
        <w:jc w:val="both"/>
        <w:rPr>
          <w:bCs/>
        </w:rPr>
      </w:pPr>
      <w:r>
        <w:rPr>
          <w:bCs/>
        </w:rPr>
        <w:t>A.</w:t>
      </w:r>
      <w:r>
        <w:rPr>
          <w:bCs/>
        </w:rPr>
        <w:tab/>
        <w:t>Mr. Vasconi indicates that he has some concern that the estimated synergies will not benefit Washington customers—despite the fact that the Staff lead witness already has asserted correctly that a “no harm” standard of review is applicable—and he is concerned that the combined company</w:t>
      </w:r>
      <w:r w:rsidR="00713E7C">
        <w:rPr>
          <w:bCs/>
        </w:rPr>
        <w:t xml:space="preserve"> eventually will increase rates</w:t>
      </w:r>
      <w:r>
        <w:rPr>
          <w:bCs/>
        </w:rPr>
        <w:t>.</w:t>
      </w:r>
      <w:r w:rsidR="00713E7C">
        <w:rPr>
          <w:rStyle w:val="FootnoteReference"/>
          <w:bCs/>
        </w:rPr>
        <w:footnoteReference w:id="37"/>
      </w:r>
    </w:p>
    <w:p w:rsidR="00713E7C" w:rsidRPr="00112F5F" w:rsidRDefault="00713E7C" w:rsidP="00EE003B">
      <w:pPr>
        <w:spacing w:line="480" w:lineRule="auto"/>
        <w:ind w:left="720" w:hanging="720"/>
        <w:jc w:val="both"/>
        <w:rPr>
          <w:rFonts w:ascii="Times New Roman Bold" w:hAnsi="Times New Roman Bold"/>
          <w:bCs/>
          <w:caps/>
        </w:rPr>
      </w:pPr>
    </w:p>
    <w:p w:rsidR="00713E7C" w:rsidRPr="00112F5F" w:rsidRDefault="00713E7C" w:rsidP="004B67A7">
      <w:pPr>
        <w:spacing w:line="480" w:lineRule="auto"/>
        <w:ind w:left="720" w:hanging="720"/>
        <w:rPr>
          <w:rFonts w:ascii="Times New Roman Bold" w:hAnsi="Times New Roman Bold"/>
          <w:b/>
          <w:bCs/>
          <w:caps/>
        </w:rPr>
      </w:pPr>
      <w:r w:rsidRPr="00112F5F">
        <w:rPr>
          <w:rFonts w:ascii="Times New Roman Bold" w:hAnsi="Times New Roman Bold"/>
          <w:b/>
          <w:bCs/>
          <w:caps/>
        </w:rPr>
        <w:t>Q.</w:t>
      </w:r>
      <w:r w:rsidRPr="00112F5F">
        <w:rPr>
          <w:rFonts w:ascii="Times New Roman Bold" w:hAnsi="Times New Roman Bold"/>
          <w:b/>
          <w:bCs/>
          <w:caps/>
        </w:rPr>
        <w:tab/>
        <w:t>Can you respond to Mr. Vasconi’s concerns regarding synergies</w:t>
      </w:r>
      <w:r w:rsidR="008268CF" w:rsidRPr="00112F5F">
        <w:rPr>
          <w:rFonts w:ascii="Times New Roman Bold" w:hAnsi="Times New Roman Bold"/>
          <w:b/>
          <w:bCs/>
          <w:caps/>
        </w:rPr>
        <w:t>,</w:t>
      </w:r>
      <w:r w:rsidRPr="00112F5F">
        <w:rPr>
          <w:rFonts w:ascii="Times New Roman Bold" w:hAnsi="Times New Roman Bold"/>
          <w:b/>
          <w:bCs/>
          <w:caps/>
        </w:rPr>
        <w:t xml:space="preserve"> and whether or not the synergies may provide benefits to Washington customers?</w:t>
      </w:r>
    </w:p>
    <w:p w:rsidR="00713E7C" w:rsidRDefault="00713E7C" w:rsidP="00713E7C">
      <w:pPr>
        <w:spacing w:line="480" w:lineRule="auto"/>
        <w:ind w:left="720" w:hanging="720"/>
        <w:jc w:val="both"/>
        <w:rPr>
          <w:bCs/>
        </w:rPr>
      </w:pPr>
      <w:r>
        <w:rPr>
          <w:bCs/>
        </w:rPr>
        <w:t>A.</w:t>
      </w:r>
      <w:r>
        <w:rPr>
          <w:bCs/>
        </w:rPr>
        <w:tab/>
        <w:t xml:space="preserve">It is somewhat difficult to understand what are Mr. Vasconi’s concerns regarding the expected synergies.  On the one hand, Mr. Vasconi seems to be seeking benefits for Washington from the synergies, which would go beyond what is required for approval of the </w:t>
      </w:r>
      <w:r w:rsidR="00E13716">
        <w:rPr>
          <w:bCs/>
        </w:rPr>
        <w:t>T</w:t>
      </w:r>
      <w:r>
        <w:rPr>
          <w:bCs/>
        </w:rPr>
        <w:t xml:space="preserve">ransaction under the “no harm” standard of review.  </w:t>
      </w:r>
      <w:r w:rsidR="0075305D">
        <w:rPr>
          <w:bCs/>
        </w:rPr>
        <w:t>O</w:t>
      </w:r>
      <w:r>
        <w:rPr>
          <w:bCs/>
        </w:rPr>
        <w:t>n the other hand, the Staff lead witness seems concerned that achieving the synergies and enhancing the cash flows of the combined company somehow creates a “risk that maintenance as well as investment in Washington will be reduced.”</w:t>
      </w:r>
      <w:r>
        <w:rPr>
          <w:rStyle w:val="FootnoteReference"/>
          <w:bCs/>
        </w:rPr>
        <w:footnoteReference w:id="38"/>
      </w:r>
      <w:r w:rsidR="00954EE0">
        <w:rPr>
          <w:bCs/>
        </w:rPr>
        <w:t xml:space="preserve">  This second concern appears to be the source of proposed Conditions 43 and 44, which I will address in more detail below.  However, the summary response is that the proposed synergy levels are achievable—as </w:t>
      </w:r>
      <w:r w:rsidR="00954EE0">
        <w:rPr>
          <w:bCs/>
        </w:rPr>
        <w:lastRenderedPageBreak/>
        <w:t>Staff witness Mr. Applegate reinforces—and the combined company is expected to generate sufficient cash flows from operations, regardless of whether or not the synergies are achieved, so that CenturyLink’s investment in the combined Washington operations will not be put at risk.</w:t>
      </w:r>
      <w:r>
        <w:rPr>
          <w:bCs/>
        </w:rPr>
        <w:t xml:space="preserve">     </w:t>
      </w:r>
    </w:p>
    <w:p w:rsidR="00EE003B" w:rsidRDefault="00EE003B" w:rsidP="00713E7C">
      <w:pPr>
        <w:spacing w:line="480" w:lineRule="auto"/>
        <w:ind w:left="720" w:hanging="720"/>
        <w:jc w:val="both"/>
        <w:rPr>
          <w:bCs/>
        </w:rPr>
      </w:pPr>
      <w:r>
        <w:rPr>
          <w:bCs/>
        </w:rPr>
        <w:t xml:space="preserve">  </w:t>
      </w:r>
    </w:p>
    <w:p w:rsidR="009C045D" w:rsidRPr="00112F5F" w:rsidRDefault="009C045D" w:rsidP="004B67A7">
      <w:pPr>
        <w:spacing w:line="480" w:lineRule="auto"/>
        <w:ind w:left="720" w:hanging="720"/>
        <w:rPr>
          <w:rFonts w:ascii="Times New Roman Bold" w:hAnsi="Times New Roman Bold"/>
          <w:b/>
          <w:bCs/>
          <w:caps/>
        </w:rPr>
      </w:pPr>
      <w:r>
        <w:rPr>
          <w:b/>
          <w:bCs/>
        </w:rPr>
        <w:t>Q.</w:t>
      </w:r>
      <w:r>
        <w:rPr>
          <w:b/>
          <w:bCs/>
        </w:rPr>
        <w:tab/>
      </w:r>
      <w:r w:rsidRPr="00112F5F">
        <w:rPr>
          <w:rFonts w:ascii="Times New Roman Bold" w:hAnsi="Times New Roman Bold"/>
          <w:b/>
          <w:bCs/>
          <w:caps/>
        </w:rPr>
        <w:t>Can you respond to Staff witness Liu’s concern that CenturyLink should be required to dedicate a “fair portion of its synergy savings to the state of Washington”?</w:t>
      </w:r>
      <w:r w:rsidRPr="00C7304C">
        <w:rPr>
          <w:rStyle w:val="FootnoteReference"/>
          <w:rFonts w:ascii="Times New Roman Bold" w:hAnsi="Times New Roman Bold"/>
          <w:b/>
          <w:bCs/>
          <w:caps/>
        </w:rPr>
        <w:footnoteReference w:id="39"/>
      </w:r>
    </w:p>
    <w:p w:rsidR="009C045D" w:rsidRPr="009C045D" w:rsidRDefault="009C045D" w:rsidP="001A6836">
      <w:pPr>
        <w:spacing w:line="480" w:lineRule="auto"/>
        <w:ind w:left="720" w:hanging="720"/>
        <w:rPr>
          <w:bCs/>
        </w:rPr>
      </w:pPr>
      <w:r>
        <w:rPr>
          <w:bCs/>
        </w:rPr>
        <w:t>A.</w:t>
      </w:r>
      <w:r>
        <w:rPr>
          <w:bCs/>
        </w:rPr>
        <w:tab/>
        <w:t xml:space="preserve">Yes.  First, my understanding is that the Commission is evaluating whether </w:t>
      </w:r>
      <w:r w:rsidR="009A66FB">
        <w:rPr>
          <w:bCs/>
        </w:rPr>
        <w:t>the proposed Transaction</w:t>
      </w:r>
      <w:r>
        <w:rPr>
          <w:bCs/>
        </w:rPr>
        <w:t xml:space="preserve"> meets a “no harm” standard</w:t>
      </w:r>
      <w:r w:rsidR="009A66FB">
        <w:rPr>
          <w:bCs/>
        </w:rPr>
        <w:t xml:space="preserve"> of review</w:t>
      </w:r>
      <w:r>
        <w:rPr>
          <w:bCs/>
        </w:rPr>
        <w:t xml:space="preserve">.  Staff witness Liu is seeking </w:t>
      </w:r>
      <w:r w:rsidR="00D7607D">
        <w:rPr>
          <w:bCs/>
        </w:rPr>
        <w:t xml:space="preserve">incremental </w:t>
      </w:r>
      <w:r>
        <w:rPr>
          <w:bCs/>
        </w:rPr>
        <w:t xml:space="preserve">assurances </w:t>
      </w:r>
      <w:r w:rsidR="009A66FB">
        <w:rPr>
          <w:bCs/>
        </w:rPr>
        <w:t xml:space="preserve">and benefits </w:t>
      </w:r>
      <w:r>
        <w:rPr>
          <w:bCs/>
        </w:rPr>
        <w:t>that are not present today</w:t>
      </w:r>
      <w:r w:rsidR="009A66FB">
        <w:rPr>
          <w:bCs/>
        </w:rPr>
        <w:t xml:space="preserve">, despite the fact that </w:t>
      </w:r>
      <w:r w:rsidR="00E13716">
        <w:rPr>
          <w:bCs/>
        </w:rPr>
        <w:t>n</w:t>
      </w:r>
      <w:r w:rsidR="00D7607D">
        <w:rPr>
          <w:bCs/>
        </w:rPr>
        <w:t>o</w:t>
      </w:r>
      <w:r w:rsidR="009A66FB">
        <w:rPr>
          <w:bCs/>
        </w:rPr>
        <w:t xml:space="preserve"> related</w:t>
      </w:r>
      <w:r w:rsidR="00D7607D">
        <w:rPr>
          <w:bCs/>
        </w:rPr>
        <w:t xml:space="preserve"> harm </w:t>
      </w:r>
      <w:r w:rsidR="009A66FB">
        <w:rPr>
          <w:bCs/>
        </w:rPr>
        <w:t xml:space="preserve">resulting from the Transaction </w:t>
      </w:r>
      <w:r w:rsidR="00D7607D">
        <w:rPr>
          <w:bCs/>
        </w:rPr>
        <w:t xml:space="preserve">has been identified.  Second, CenturyLink </w:t>
      </w:r>
      <w:r w:rsidR="009A66FB">
        <w:rPr>
          <w:bCs/>
        </w:rPr>
        <w:t xml:space="preserve">has indicated repeatedly that it </w:t>
      </w:r>
      <w:r w:rsidR="00D7607D">
        <w:rPr>
          <w:bCs/>
        </w:rPr>
        <w:t xml:space="preserve">is committed to </w:t>
      </w:r>
      <w:r w:rsidR="009A66FB">
        <w:rPr>
          <w:bCs/>
        </w:rPr>
        <w:t>funding ongoing</w:t>
      </w:r>
      <w:r w:rsidR="00D7607D">
        <w:rPr>
          <w:bCs/>
        </w:rPr>
        <w:t xml:space="preserve"> network investment that supports its customers</w:t>
      </w:r>
      <w:r w:rsidR="009A66FB">
        <w:rPr>
          <w:bCs/>
        </w:rPr>
        <w:t>’ demands</w:t>
      </w:r>
      <w:r w:rsidR="00F05FE4">
        <w:rPr>
          <w:bCs/>
        </w:rPr>
        <w:t>, as Mr. Jones explains in his testimony</w:t>
      </w:r>
      <w:r w:rsidR="00D7607D">
        <w:rPr>
          <w:bCs/>
        </w:rPr>
        <w:t xml:space="preserve">.  </w:t>
      </w:r>
      <w:r w:rsidR="009A66FB">
        <w:t xml:space="preserve">Both </w:t>
      </w:r>
      <w:r w:rsidR="009A66FB">
        <w:rPr>
          <w:color w:val="010101"/>
        </w:rPr>
        <w:t xml:space="preserve">CenturyLink and Qwest have invested significantly and consistently in their Washington networks in order to provide their customers with access to advanced services.  In addition, CenturyLink understands that the future of the telecommunications industry is based on broadband, and the Company is committed strategically to expanding its broadband capabilities.  With broadband currently available to approximately </w:t>
      </w:r>
      <w:r w:rsidR="0001668F">
        <w:rPr>
          <w:bCs/>
        </w:rPr>
        <w:t>BEGIN HIGHLY CONFIDENTIAL</w:t>
      </w:r>
      <w:r w:rsidR="0001668F">
        <w:t xml:space="preserve"> </w:t>
      </w:r>
      <w:r w:rsidR="004B67A7" w:rsidRPr="001A6836">
        <w:rPr>
          <w:i/>
          <w:sz w:val="22"/>
          <w:szCs w:val="22"/>
        </w:rPr>
        <w:t>REDACTED</w:t>
      </w:r>
      <w:r w:rsidR="0001668F">
        <w:t xml:space="preserve"> </w:t>
      </w:r>
      <w:r w:rsidR="0001668F">
        <w:rPr>
          <w:bCs/>
        </w:rPr>
        <w:t xml:space="preserve">END HIGHLY CONFIDENTIAL </w:t>
      </w:r>
      <w:r w:rsidR="009A66FB">
        <w:rPr>
          <w:color w:val="010101"/>
        </w:rPr>
        <w:t xml:space="preserve">of Qwest’s Washington </w:t>
      </w:r>
      <w:r w:rsidR="005A398E">
        <w:rPr>
          <w:color w:val="010101"/>
        </w:rPr>
        <w:t>residential households</w:t>
      </w:r>
      <w:r w:rsidR="009A66FB">
        <w:rPr>
          <w:color w:val="010101"/>
        </w:rPr>
        <w:t xml:space="preserve"> and </w:t>
      </w:r>
      <w:r w:rsidR="0001668F">
        <w:rPr>
          <w:bCs/>
        </w:rPr>
        <w:t>BEGIN HIGHLY CONFIDENTIAL</w:t>
      </w:r>
      <w:r w:rsidR="0001668F">
        <w:t xml:space="preserve">  </w:t>
      </w:r>
      <w:r w:rsidR="004B67A7" w:rsidRPr="001A6836">
        <w:rPr>
          <w:i/>
          <w:sz w:val="22"/>
          <w:szCs w:val="22"/>
        </w:rPr>
        <w:t>REDACTED</w:t>
      </w:r>
      <w:r w:rsidR="0001668F" w:rsidRPr="001A6836">
        <w:rPr>
          <w:sz w:val="22"/>
          <w:szCs w:val="22"/>
        </w:rPr>
        <w:t xml:space="preserve"> </w:t>
      </w:r>
      <w:r w:rsidR="0001668F">
        <w:rPr>
          <w:bCs/>
        </w:rPr>
        <w:t xml:space="preserve">END HIGHLY CONFIDENTIAL </w:t>
      </w:r>
      <w:r w:rsidR="009A66FB">
        <w:rPr>
          <w:color w:val="010101"/>
        </w:rPr>
        <w:t xml:space="preserve">of </w:t>
      </w:r>
      <w:proofErr w:type="spellStart"/>
      <w:r w:rsidR="009A66FB">
        <w:rPr>
          <w:color w:val="010101"/>
        </w:rPr>
        <w:t>CenturyLink’s</w:t>
      </w:r>
      <w:proofErr w:type="spellEnd"/>
      <w:r w:rsidR="009A66FB">
        <w:rPr>
          <w:color w:val="010101"/>
        </w:rPr>
        <w:t xml:space="preserve"> </w:t>
      </w:r>
      <w:r w:rsidR="005A398E">
        <w:rPr>
          <w:color w:val="010101"/>
        </w:rPr>
        <w:t>residential households</w:t>
      </w:r>
      <w:r w:rsidR="009A66FB">
        <w:rPr>
          <w:color w:val="010101"/>
        </w:rPr>
        <w:t xml:space="preserve"> in the </w:t>
      </w:r>
      <w:r w:rsidR="001A6836">
        <w:rPr>
          <w:color w:val="010101"/>
        </w:rPr>
        <w:t xml:space="preserve">     </w:t>
      </w:r>
      <w:r w:rsidR="009A66FB">
        <w:rPr>
          <w:color w:val="010101"/>
        </w:rPr>
        <w:lastRenderedPageBreak/>
        <w:t xml:space="preserve">state, the companies have demonstrated their commitment—based on their business strategies—to invest in Washington.  Therefore, based on the Company’s consistent track-record of investment, </w:t>
      </w:r>
      <w:r w:rsidR="00E13716">
        <w:rPr>
          <w:bCs/>
        </w:rPr>
        <w:t>CenturyLink believes that t</w:t>
      </w:r>
      <w:r w:rsidR="00D7607D">
        <w:rPr>
          <w:bCs/>
        </w:rPr>
        <w:t xml:space="preserve">he </w:t>
      </w:r>
      <w:r w:rsidR="009A66FB">
        <w:rPr>
          <w:bCs/>
        </w:rPr>
        <w:t>broadband investment commitment proposed by Staff is unnecessary</w:t>
      </w:r>
      <w:r w:rsidR="00D7607D">
        <w:rPr>
          <w:bCs/>
        </w:rPr>
        <w:t xml:space="preserve"> to as</w:t>
      </w:r>
      <w:r w:rsidR="00E13716">
        <w:rPr>
          <w:bCs/>
        </w:rPr>
        <w:t>sure that the Company</w:t>
      </w:r>
      <w:r w:rsidR="00D7607D">
        <w:rPr>
          <w:bCs/>
        </w:rPr>
        <w:t xml:space="preserve"> will do all in its power to </w:t>
      </w:r>
      <w:r w:rsidR="009A66FB">
        <w:rPr>
          <w:bCs/>
        </w:rPr>
        <w:t>serve its</w:t>
      </w:r>
      <w:r w:rsidR="00D7607D">
        <w:rPr>
          <w:bCs/>
        </w:rPr>
        <w:t xml:space="preserve"> customer</w:t>
      </w:r>
      <w:r w:rsidR="009A66FB">
        <w:rPr>
          <w:bCs/>
        </w:rPr>
        <w:t>s’</w:t>
      </w:r>
      <w:r w:rsidR="00D7607D">
        <w:rPr>
          <w:bCs/>
        </w:rPr>
        <w:t xml:space="preserve"> needs.  </w:t>
      </w:r>
      <w:r w:rsidR="00F05FE4">
        <w:rPr>
          <w:bCs/>
        </w:rPr>
        <w:t xml:space="preserve">Third, CenturyLink is working to achieve appropriate </w:t>
      </w:r>
      <w:r w:rsidR="00E13716">
        <w:rPr>
          <w:bCs/>
        </w:rPr>
        <w:t xml:space="preserve">financial </w:t>
      </w:r>
      <w:r w:rsidR="00F05FE4">
        <w:rPr>
          <w:bCs/>
        </w:rPr>
        <w:t>flexibility</w:t>
      </w:r>
      <w:r w:rsidR="00226CA9">
        <w:rPr>
          <w:bCs/>
        </w:rPr>
        <w:t>—which is a fundamental rationale and benefit of the proposed Transaction—</w:t>
      </w:r>
      <w:r w:rsidR="00F05FE4">
        <w:rPr>
          <w:bCs/>
        </w:rPr>
        <w:t xml:space="preserve">to respond constructively to the Company’s </w:t>
      </w:r>
      <w:r w:rsidR="00226CA9">
        <w:rPr>
          <w:bCs/>
        </w:rPr>
        <w:t xml:space="preserve">increasingly competitive </w:t>
      </w:r>
      <w:r w:rsidR="00F05FE4">
        <w:rPr>
          <w:bCs/>
        </w:rPr>
        <w:t xml:space="preserve">markets.  </w:t>
      </w:r>
      <w:r w:rsidR="00E13716">
        <w:rPr>
          <w:bCs/>
        </w:rPr>
        <w:t xml:space="preserve">I use the word “constructively” because </w:t>
      </w:r>
      <w:r w:rsidR="00226CA9">
        <w:rPr>
          <w:bCs/>
        </w:rPr>
        <w:t>CenturyLink is</w:t>
      </w:r>
      <w:r w:rsidR="00E13716">
        <w:rPr>
          <w:bCs/>
        </w:rPr>
        <w:t xml:space="preserve"> </w:t>
      </w:r>
      <w:r w:rsidR="00226CA9">
        <w:rPr>
          <w:bCs/>
        </w:rPr>
        <w:t>“</w:t>
      </w:r>
      <w:r w:rsidR="00E13716">
        <w:rPr>
          <w:bCs/>
        </w:rPr>
        <w:t>building</w:t>
      </w:r>
      <w:r w:rsidR="00226CA9">
        <w:rPr>
          <w:bCs/>
        </w:rPr>
        <w:t>”</w:t>
      </w:r>
      <w:r w:rsidR="00E13716">
        <w:rPr>
          <w:bCs/>
        </w:rPr>
        <w:t xml:space="preserve"> </w:t>
      </w:r>
      <w:r w:rsidR="00226CA9">
        <w:rPr>
          <w:bCs/>
        </w:rPr>
        <w:t xml:space="preserve">the robust </w:t>
      </w:r>
      <w:r w:rsidR="00E13716">
        <w:rPr>
          <w:bCs/>
        </w:rPr>
        <w:t>cash flows</w:t>
      </w:r>
      <w:r w:rsidR="00226CA9">
        <w:rPr>
          <w:bCs/>
        </w:rPr>
        <w:t xml:space="preserve">, high-quality </w:t>
      </w:r>
      <w:r w:rsidR="00E13716">
        <w:rPr>
          <w:bCs/>
        </w:rPr>
        <w:t>assets</w:t>
      </w:r>
      <w:r w:rsidR="00226CA9">
        <w:rPr>
          <w:bCs/>
        </w:rPr>
        <w:t>, sound balance sheet,</w:t>
      </w:r>
      <w:r w:rsidR="00E13716">
        <w:rPr>
          <w:bCs/>
        </w:rPr>
        <w:t xml:space="preserve"> and </w:t>
      </w:r>
      <w:r w:rsidR="00226CA9">
        <w:rPr>
          <w:bCs/>
        </w:rPr>
        <w:t xml:space="preserve">experienced </w:t>
      </w:r>
      <w:r w:rsidR="00E13716">
        <w:rPr>
          <w:bCs/>
        </w:rPr>
        <w:t xml:space="preserve">personnel to achieve goals that are entirely consistent with </w:t>
      </w:r>
      <w:r w:rsidR="00226CA9">
        <w:rPr>
          <w:bCs/>
        </w:rPr>
        <w:t xml:space="preserve">the </w:t>
      </w:r>
      <w:r w:rsidR="00E13716">
        <w:rPr>
          <w:bCs/>
        </w:rPr>
        <w:t xml:space="preserve">public interest </w:t>
      </w:r>
      <w:r w:rsidR="00226CA9">
        <w:rPr>
          <w:bCs/>
        </w:rPr>
        <w:t>goals</w:t>
      </w:r>
      <w:r w:rsidR="00E13716">
        <w:rPr>
          <w:bCs/>
        </w:rPr>
        <w:t xml:space="preserve"> of the Commission.  Specifically, that “construction” includes i</w:t>
      </w:r>
      <w:r w:rsidR="00F05FE4">
        <w:rPr>
          <w:bCs/>
        </w:rPr>
        <w:t xml:space="preserve">ncreased cash flows </w:t>
      </w:r>
      <w:r w:rsidR="00E13716">
        <w:rPr>
          <w:bCs/>
        </w:rPr>
        <w:t xml:space="preserve">that should </w:t>
      </w:r>
      <w:r w:rsidR="00F05FE4">
        <w:rPr>
          <w:bCs/>
        </w:rPr>
        <w:t xml:space="preserve">allow the Company to maintain an appropriately conservative capital structure, respond to market forces, price competitively, implement new technologies, and attract and retain a superior workforce.  </w:t>
      </w:r>
      <w:r w:rsidR="00E13716">
        <w:rPr>
          <w:bCs/>
        </w:rPr>
        <w:t xml:space="preserve">Respectfully, I note that neither the Commission nor </w:t>
      </w:r>
      <w:r w:rsidR="00F05FE4">
        <w:rPr>
          <w:bCs/>
        </w:rPr>
        <w:t>CenturyLink know</w:t>
      </w:r>
      <w:r w:rsidR="00E13716">
        <w:rPr>
          <w:bCs/>
        </w:rPr>
        <w:t>s</w:t>
      </w:r>
      <w:r w:rsidR="00F05FE4">
        <w:rPr>
          <w:bCs/>
        </w:rPr>
        <w:t xml:space="preserve"> what competitive conditions will be in three or</w:t>
      </w:r>
      <w:r w:rsidR="00E13716">
        <w:rPr>
          <w:bCs/>
        </w:rPr>
        <w:t xml:space="preserve"> five years, as technologies</w:t>
      </w:r>
      <w:r w:rsidR="00F05FE4">
        <w:rPr>
          <w:bCs/>
        </w:rPr>
        <w:t xml:space="preserve"> change, or competitors gain support for services in high-cost regions, or margins </w:t>
      </w:r>
      <w:r w:rsidR="00E13716">
        <w:rPr>
          <w:bCs/>
        </w:rPr>
        <w:t>compress, or the federal government alters decades of regulatory systems</w:t>
      </w:r>
      <w:r w:rsidR="00F05FE4">
        <w:rPr>
          <w:bCs/>
        </w:rPr>
        <w:t xml:space="preserve">.  </w:t>
      </w:r>
      <w:r w:rsidR="00226CA9">
        <w:rPr>
          <w:bCs/>
        </w:rPr>
        <w:t>CenturyLink is</w:t>
      </w:r>
      <w:r w:rsidR="00E13716">
        <w:rPr>
          <w:bCs/>
        </w:rPr>
        <w:t xml:space="preserve"> </w:t>
      </w:r>
      <w:r w:rsidR="00F05FE4">
        <w:rPr>
          <w:bCs/>
        </w:rPr>
        <w:t>seek</w:t>
      </w:r>
      <w:r w:rsidR="00E13716">
        <w:rPr>
          <w:bCs/>
        </w:rPr>
        <w:t xml:space="preserve">ing through this merger to </w:t>
      </w:r>
      <w:r w:rsidR="00226CA9">
        <w:rPr>
          <w:bCs/>
        </w:rPr>
        <w:t>achieve</w:t>
      </w:r>
      <w:r w:rsidR="00E13716">
        <w:rPr>
          <w:bCs/>
        </w:rPr>
        <w:t xml:space="preserve"> greater</w:t>
      </w:r>
      <w:r w:rsidR="00F05FE4">
        <w:rPr>
          <w:bCs/>
        </w:rPr>
        <w:t xml:space="preserve"> flexibility to </w:t>
      </w:r>
      <w:r w:rsidR="00226CA9">
        <w:rPr>
          <w:bCs/>
        </w:rPr>
        <w:t xml:space="preserve">serve its Washington customers and </w:t>
      </w:r>
      <w:r w:rsidR="00F05FE4">
        <w:rPr>
          <w:bCs/>
        </w:rPr>
        <w:t>compete</w:t>
      </w:r>
      <w:r w:rsidR="00226CA9">
        <w:rPr>
          <w:bCs/>
        </w:rPr>
        <w:t xml:space="preserve"> effectively.  As such, m</w:t>
      </w:r>
      <w:r w:rsidR="00F05FE4">
        <w:rPr>
          <w:bCs/>
        </w:rPr>
        <w:t xml:space="preserve">icromanagement of </w:t>
      </w:r>
      <w:r w:rsidR="00226CA9">
        <w:rPr>
          <w:bCs/>
        </w:rPr>
        <w:t>the Company’s</w:t>
      </w:r>
      <w:r w:rsidR="00F05FE4">
        <w:rPr>
          <w:bCs/>
        </w:rPr>
        <w:t xml:space="preserve"> cash flows </w:t>
      </w:r>
      <w:r w:rsidR="00226CA9">
        <w:rPr>
          <w:bCs/>
        </w:rPr>
        <w:t xml:space="preserve">through mandated broadband investment levels </w:t>
      </w:r>
      <w:r w:rsidR="00F05FE4">
        <w:rPr>
          <w:bCs/>
        </w:rPr>
        <w:t xml:space="preserve">has the potential effect of damaging the </w:t>
      </w:r>
      <w:r w:rsidR="00226CA9">
        <w:rPr>
          <w:bCs/>
        </w:rPr>
        <w:t>financial</w:t>
      </w:r>
      <w:r w:rsidR="00F05FE4">
        <w:rPr>
          <w:bCs/>
        </w:rPr>
        <w:t xml:space="preserve"> flexibility that a prudent and long-term </w:t>
      </w:r>
      <w:r w:rsidR="00226CA9">
        <w:rPr>
          <w:bCs/>
        </w:rPr>
        <w:t xml:space="preserve">communications </w:t>
      </w:r>
      <w:r w:rsidR="00F05FE4">
        <w:rPr>
          <w:bCs/>
        </w:rPr>
        <w:t>operator requires</w:t>
      </w:r>
      <w:r w:rsidR="00226CA9">
        <w:rPr>
          <w:bCs/>
        </w:rPr>
        <w:t xml:space="preserve"> and easily could result in the inefficient deployment of scarce capital resources</w:t>
      </w:r>
      <w:r w:rsidR="00F05FE4">
        <w:rPr>
          <w:bCs/>
        </w:rPr>
        <w:t xml:space="preserve">.  </w:t>
      </w:r>
      <w:r w:rsidR="009F276F">
        <w:rPr>
          <w:bCs/>
        </w:rPr>
        <w:t xml:space="preserve">Thus, </w:t>
      </w:r>
      <w:r w:rsidR="00226CA9">
        <w:rPr>
          <w:bCs/>
        </w:rPr>
        <w:t>CenturyLink</w:t>
      </w:r>
      <w:r w:rsidR="00657995">
        <w:rPr>
          <w:bCs/>
        </w:rPr>
        <w:t xml:space="preserve"> </w:t>
      </w:r>
      <w:r w:rsidR="00226CA9">
        <w:rPr>
          <w:bCs/>
        </w:rPr>
        <w:t>believes</w:t>
      </w:r>
      <w:r w:rsidR="00E13716">
        <w:rPr>
          <w:bCs/>
        </w:rPr>
        <w:t xml:space="preserve"> that specif</w:t>
      </w:r>
      <w:r w:rsidR="00657995">
        <w:rPr>
          <w:bCs/>
        </w:rPr>
        <w:t xml:space="preserve">ic capital </w:t>
      </w:r>
      <w:r w:rsidR="00226CA9">
        <w:rPr>
          <w:bCs/>
        </w:rPr>
        <w:t>commitments</w:t>
      </w:r>
      <w:r w:rsidR="00657995">
        <w:rPr>
          <w:bCs/>
        </w:rPr>
        <w:t xml:space="preserve"> can have the unintended consequence of being</w:t>
      </w:r>
      <w:r w:rsidR="00E13716">
        <w:rPr>
          <w:bCs/>
        </w:rPr>
        <w:t xml:space="preserve"> harmful in a </w:t>
      </w:r>
      <w:r w:rsidR="00E13716">
        <w:rPr>
          <w:bCs/>
        </w:rPr>
        <w:lastRenderedPageBreak/>
        <w:t xml:space="preserve">rapidly changing competitive and technologically-driven </w:t>
      </w:r>
      <w:r w:rsidR="00226CA9">
        <w:rPr>
          <w:bCs/>
        </w:rPr>
        <w:t xml:space="preserve">telecommunications </w:t>
      </w:r>
      <w:r w:rsidR="00E13716">
        <w:rPr>
          <w:bCs/>
        </w:rPr>
        <w:t>marketplace.</w:t>
      </w:r>
      <w:r w:rsidR="00226CA9">
        <w:rPr>
          <w:bCs/>
        </w:rPr>
        <w:t xml:space="preserve">  Given these risks and the Company’s well-established track-record of broadband </w:t>
      </w:r>
      <w:r w:rsidR="00C7070C">
        <w:rPr>
          <w:bCs/>
        </w:rPr>
        <w:t>investment in Washington</w:t>
      </w:r>
      <w:r w:rsidR="009F276F">
        <w:rPr>
          <w:bCs/>
        </w:rPr>
        <w:t xml:space="preserve">, </w:t>
      </w:r>
      <w:r w:rsidR="00226CA9">
        <w:rPr>
          <w:bCs/>
        </w:rPr>
        <w:t xml:space="preserve">no capital commitment is required to ensure that Washington and Washington customers will </w:t>
      </w:r>
      <w:r w:rsidR="00C7070C">
        <w:rPr>
          <w:bCs/>
        </w:rPr>
        <w:t xml:space="preserve">not be harmed by and in fact will </w:t>
      </w:r>
      <w:r w:rsidR="00226CA9">
        <w:rPr>
          <w:bCs/>
        </w:rPr>
        <w:t xml:space="preserve">benefit </w:t>
      </w:r>
      <w:r w:rsidR="00C7070C">
        <w:rPr>
          <w:bCs/>
        </w:rPr>
        <w:t xml:space="preserve">from the proposed Transaction. </w:t>
      </w:r>
      <w:r w:rsidR="00F05FE4">
        <w:rPr>
          <w:bCs/>
        </w:rPr>
        <w:t xml:space="preserve"> </w:t>
      </w:r>
      <w:r w:rsidR="00D7607D">
        <w:rPr>
          <w:bCs/>
        </w:rPr>
        <w:t xml:space="preserve">   </w:t>
      </w:r>
    </w:p>
    <w:p w:rsidR="009C045D" w:rsidRDefault="009C045D" w:rsidP="00713E7C">
      <w:pPr>
        <w:spacing w:line="480" w:lineRule="auto"/>
        <w:ind w:left="720" w:hanging="720"/>
        <w:jc w:val="both"/>
        <w:rPr>
          <w:b/>
          <w:bCs/>
        </w:rPr>
      </w:pPr>
    </w:p>
    <w:p w:rsidR="00954EE0" w:rsidRPr="00112F5F" w:rsidRDefault="00954EE0" w:rsidP="00954EE0">
      <w:pPr>
        <w:spacing w:line="480" w:lineRule="auto"/>
        <w:ind w:left="720" w:hanging="720"/>
        <w:jc w:val="both"/>
        <w:rPr>
          <w:rFonts w:ascii="Times New Roman Bold" w:hAnsi="Times New Roman Bold"/>
          <w:b/>
          <w:bCs/>
          <w:caps/>
        </w:rPr>
      </w:pPr>
      <w:r>
        <w:rPr>
          <w:b/>
          <w:bCs/>
        </w:rPr>
        <w:t>Q.</w:t>
      </w:r>
      <w:r>
        <w:rPr>
          <w:b/>
          <w:bCs/>
        </w:rPr>
        <w:tab/>
      </w:r>
      <w:r w:rsidR="00ED371B" w:rsidRPr="00112F5F">
        <w:rPr>
          <w:rFonts w:ascii="Times New Roman Bold" w:hAnsi="Times New Roman Bold"/>
          <w:b/>
          <w:bCs/>
          <w:caps/>
        </w:rPr>
        <w:t>What is</w:t>
      </w:r>
      <w:r w:rsidRPr="00112F5F">
        <w:rPr>
          <w:rFonts w:ascii="Times New Roman Bold" w:hAnsi="Times New Roman Bold"/>
          <w:b/>
          <w:bCs/>
          <w:caps/>
        </w:rPr>
        <w:t xml:space="preserve"> Mr. Vasconi’s concern regarding potential future rate increases?</w:t>
      </w:r>
    </w:p>
    <w:p w:rsidR="00ED371B" w:rsidRDefault="00954EE0" w:rsidP="00954EE0">
      <w:pPr>
        <w:spacing w:line="480" w:lineRule="auto"/>
        <w:ind w:left="720" w:hanging="720"/>
        <w:jc w:val="both"/>
        <w:rPr>
          <w:bCs/>
        </w:rPr>
      </w:pPr>
      <w:r>
        <w:rPr>
          <w:bCs/>
        </w:rPr>
        <w:t>A.</w:t>
      </w:r>
      <w:r>
        <w:rPr>
          <w:bCs/>
        </w:rPr>
        <w:tab/>
        <w:t xml:space="preserve">Mr. Vasconi indicates that “the merged entity </w:t>
      </w:r>
      <w:r w:rsidR="00A10FAA" w:rsidRPr="00A10FAA">
        <w:rPr>
          <w:bCs/>
          <w:i/>
        </w:rPr>
        <w:t>may attempt</w:t>
      </w:r>
      <w:r>
        <w:rPr>
          <w:bCs/>
        </w:rPr>
        <w:t xml:space="preserve"> to recover costs associated with the Transaction through eventual rate increases for residential services or basic business services.” [Emphasis added.]</w:t>
      </w:r>
      <w:r w:rsidR="00ED371B">
        <w:rPr>
          <w:bCs/>
        </w:rPr>
        <w:t xml:space="preserve">  As such, Mr. Vasconi indicates clearly through the language in his testimony that the rate increase concern is not a harm resulting from the Transaction, but reflects a speculative possibility that the Company </w:t>
      </w:r>
      <w:r w:rsidR="0075305D">
        <w:rPr>
          <w:bCs/>
        </w:rPr>
        <w:t>might</w:t>
      </w:r>
      <w:r w:rsidR="00ED371B">
        <w:rPr>
          <w:bCs/>
        </w:rPr>
        <w:t xml:space="preserve"> </w:t>
      </w:r>
      <w:r w:rsidR="00A10FAA" w:rsidRPr="00A10FAA">
        <w:rPr>
          <w:bCs/>
          <w:i/>
        </w:rPr>
        <w:t>attempt</w:t>
      </w:r>
      <w:r w:rsidR="00ED371B">
        <w:rPr>
          <w:bCs/>
        </w:rPr>
        <w:t xml:space="preserve"> </w:t>
      </w:r>
      <w:r w:rsidR="0075305D">
        <w:rPr>
          <w:bCs/>
        </w:rPr>
        <w:t xml:space="preserve">to change rates </w:t>
      </w:r>
      <w:r w:rsidR="00ED371B">
        <w:rPr>
          <w:bCs/>
        </w:rPr>
        <w:t xml:space="preserve">in the future. </w:t>
      </w:r>
      <w:r w:rsidR="0075305D">
        <w:rPr>
          <w:bCs/>
        </w:rPr>
        <w:t xml:space="preserve"> </w:t>
      </w:r>
    </w:p>
    <w:p w:rsidR="00ED371B" w:rsidRDefault="00ED371B" w:rsidP="00954EE0">
      <w:pPr>
        <w:spacing w:line="480" w:lineRule="auto"/>
        <w:ind w:left="720" w:hanging="720"/>
        <w:jc w:val="both"/>
        <w:rPr>
          <w:bCs/>
        </w:rPr>
      </w:pPr>
    </w:p>
    <w:p w:rsidR="00ED371B" w:rsidRPr="00ED371B" w:rsidRDefault="00A10FAA" w:rsidP="00ED371B">
      <w:pPr>
        <w:spacing w:line="480" w:lineRule="auto"/>
        <w:ind w:left="720" w:hanging="720"/>
        <w:jc w:val="both"/>
        <w:rPr>
          <w:b/>
        </w:rPr>
      </w:pPr>
      <w:r w:rsidRPr="00A10FAA">
        <w:rPr>
          <w:b/>
          <w:bCs/>
        </w:rPr>
        <w:t>Q.</w:t>
      </w:r>
      <w:r w:rsidRPr="00A10FAA">
        <w:rPr>
          <w:b/>
          <w:bCs/>
        </w:rPr>
        <w:tab/>
      </w:r>
      <w:r w:rsidR="00ED371B" w:rsidRPr="00112F5F">
        <w:rPr>
          <w:rFonts w:ascii="Times New Roman Bold" w:hAnsi="Times New Roman Bold"/>
          <w:b/>
          <w:bCs/>
          <w:caps/>
        </w:rPr>
        <w:t xml:space="preserve">Doesn’t </w:t>
      </w:r>
      <w:r w:rsidRPr="00112F5F">
        <w:rPr>
          <w:rFonts w:ascii="Times New Roman Bold" w:hAnsi="Times New Roman Bold"/>
          <w:b/>
          <w:bCs/>
          <w:caps/>
        </w:rPr>
        <w:t xml:space="preserve">DOD witness Mr. King </w:t>
      </w:r>
      <w:r w:rsidR="00ED371B" w:rsidRPr="00112F5F">
        <w:rPr>
          <w:rFonts w:ascii="Times New Roman Bold" w:hAnsi="Times New Roman Bold"/>
          <w:b/>
          <w:bCs/>
          <w:caps/>
        </w:rPr>
        <w:t>raise a somewhat similar</w:t>
      </w:r>
      <w:r w:rsidRPr="00112F5F">
        <w:rPr>
          <w:rFonts w:ascii="Times New Roman Bold" w:hAnsi="Times New Roman Bold"/>
          <w:b/>
          <w:bCs/>
          <w:caps/>
        </w:rPr>
        <w:t xml:space="preserve"> concern that the integration will require investment before the realization of synergies</w:t>
      </w:r>
      <w:r w:rsidR="00ED371B" w:rsidRPr="00112F5F">
        <w:rPr>
          <w:rFonts w:ascii="Times New Roman Bold" w:hAnsi="Times New Roman Bold"/>
          <w:b/>
          <w:bCs/>
          <w:caps/>
        </w:rPr>
        <w:t xml:space="preserve">, causing him to </w:t>
      </w:r>
      <w:r w:rsidRPr="00112F5F">
        <w:rPr>
          <w:rFonts w:ascii="Times New Roman Bold" w:hAnsi="Times New Roman Bold"/>
          <w:b/>
          <w:bCs/>
          <w:caps/>
        </w:rPr>
        <w:t>recommend a three-year rate cap on basic business services</w:t>
      </w:r>
      <w:r w:rsidR="00ED371B" w:rsidRPr="00112F5F">
        <w:rPr>
          <w:rFonts w:ascii="Times New Roman Bold" w:hAnsi="Times New Roman Bold"/>
          <w:b/>
          <w:bCs/>
          <w:caps/>
        </w:rPr>
        <w:t>?</w:t>
      </w:r>
      <w:r w:rsidRPr="00112F5F">
        <w:rPr>
          <w:rStyle w:val="FootnoteReference"/>
          <w:rFonts w:ascii="Times New Roman Bold" w:hAnsi="Times New Roman Bold"/>
          <w:b/>
          <w:bCs/>
          <w:caps/>
        </w:rPr>
        <w:footnoteReference w:id="40"/>
      </w:r>
      <w:r w:rsidRPr="00A10FAA">
        <w:rPr>
          <w:b/>
        </w:rPr>
        <w:t xml:space="preserve"> </w:t>
      </w:r>
    </w:p>
    <w:p w:rsidR="00ED371B" w:rsidRDefault="00A10FAA" w:rsidP="00ED371B">
      <w:pPr>
        <w:spacing w:line="480" w:lineRule="auto"/>
        <w:ind w:left="720" w:hanging="720"/>
        <w:jc w:val="both"/>
      </w:pPr>
      <w:r w:rsidRPr="00A10FAA">
        <w:t>A.</w:t>
      </w:r>
      <w:r w:rsidRPr="00A10FAA">
        <w:tab/>
        <w:t xml:space="preserve">Yes.  Mr. King states that he does “not necessarily” oppose the transaction, as CenturyLink is a larger, financially healthier company compared with other acquirers of </w:t>
      </w:r>
      <w:r w:rsidRPr="00A10FAA">
        <w:lastRenderedPageBreak/>
        <w:t>ILEC properties, and has a “trouble-free” history.</w:t>
      </w:r>
      <w:r>
        <w:rPr>
          <w:rStyle w:val="FootnoteReference"/>
        </w:rPr>
        <w:footnoteReference w:id="41"/>
      </w:r>
      <w:r w:rsidRPr="00A10FAA">
        <w:t xml:space="preserve">  However, Mr. King cites a concern related to the source of funding for the integration expenses.</w:t>
      </w:r>
      <w:r>
        <w:rPr>
          <w:rStyle w:val="FootnoteReference"/>
        </w:rPr>
        <w:footnoteReference w:id="42"/>
      </w:r>
      <w:r w:rsidRPr="00A10FAA">
        <w:t xml:space="preserve">  Mr. King </w:t>
      </w:r>
      <w:r w:rsidR="000624D2">
        <w:t>then speculates</w:t>
      </w:r>
      <w:r w:rsidRPr="00A10FAA">
        <w:t xml:space="preserve"> that “costs will be incurred before the benefits of the synergies are felt, so that they represent a new net requirement for funds.  Left unstated is where the money for these transition costs will come from . . . . CenturyLink may look to its local operations, including those in Washington, to meet the urgent requirement to increase revenue.”</w:t>
      </w:r>
      <w:r>
        <w:rPr>
          <w:rStyle w:val="FootnoteReference"/>
        </w:rPr>
        <w:footnoteReference w:id="43"/>
      </w:r>
      <w:r w:rsidRPr="00A10FAA">
        <w:t xml:space="preserve">  </w:t>
      </w:r>
      <w:r w:rsidR="0075305D">
        <w:t xml:space="preserve">Thus, </w:t>
      </w:r>
      <w:r w:rsidRPr="00A10FAA">
        <w:t>Mr. King is concerned that “additional revenue” in the form of rate increases will be required to pay for integration costs.</w:t>
      </w:r>
      <w:r>
        <w:rPr>
          <w:rStyle w:val="FootnoteReference"/>
        </w:rPr>
        <w:footnoteReference w:id="44"/>
      </w:r>
      <w:r w:rsidRPr="00A10FAA">
        <w:t xml:space="preserve">  </w:t>
      </w:r>
    </w:p>
    <w:p w:rsidR="00ED371B" w:rsidRDefault="00ED371B" w:rsidP="00ED371B">
      <w:pPr>
        <w:spacing w:line="480" w:lineRule="auto"/>
        <w:ind w:left="720" w:hanging="720"/>
        <w:jc w:val="both"/>
      </w:pPr>
    </w:p>
    <w:p w:rsidR="00ED371B" w:rsidRPr="00112F5F" w:rsidRDefault="00ED371B" w:rsidP="00ED371B">
      <w:pPr>
        <w:spacing w:line="480" w:lineRule="auto"/>
        <w:ind w:left="720" w:hanging="720"/>
        <w:jc w:val="both"/>
        <w:rPr>
          <w:rFonts w:ascii="Times New Roman Bold" w:hAnsi="Times New Roman Bold"/>
          <w:caps/>
        </w:rPr>
      </w:pPr>
      <w:r w:rsidRPr="00ED371B">
        <w:rPr>
          <w:b/>
          <w:bCs/>
        </w:rPr>
        <w:t>Q.</w:t>
      </w:r>
      <w:r w:rsidRPr="00ED371B">
        <w:rPr>
          <w:b/>
          <w:bCs/>
        </w:rPr>
        <w:tab/>
      </w:r>
      <w:r w:rsidRPr="00112F5F">
        <w:rPr>
          <w:rFonts w:ascii="Times New Roman Bold" w:hAnsi="Times New Roman Bold"/>
          <w:b/>
          <w:bCs/>
          <w:caps/>
        </w:rPr>
        <w:t>Can you address Mr. Vasconi’s and Mr. King’s concerns regarding the synergies and integration costs, and whether these</w:t>
      </w:r>
      <w:r w:rsidR="001C7037" w:rsidRPr="00112F5F">
        <w:rPr>
          <w:rFonts w:ascii="Times New Roman Bold" w:hAnsi="Times New Roman Bold"/>
          <w:b/>
          <w:bCs/>
          <w:caps/>
        </w:rPr>
        <w:t xml:space="preserve"> Transaction-related factors will cause the combined company to increase rates or reduce investment?</w:t>
      </w:r>
    </w:p>
    <w:p w:rsidR="00ED371B" w:rsidRPr="00ED371B" w:rsidRDefault="001C7037" w:rsidP="00ED371B">
      <w:pPr>
        <w:spacing w:line="480" w:lineRule="auto"/>
        <w:ind w:left="720" w:hanging="720"/>
        <w:jc w:val="both"/>
        <w:rPr>
          <w:b/>
        </w:rPr>
      </w:pPr>
      <w:r>
        <w:t>A.</w:t>
      </w:r>
      <w:r>
        <w:tab/>
        <w:t xml:space="preserve">Yes.  Regarding potential future rate impacts, Mr. Vasconi and </w:t>
      </w:r>
      <w:r w:rsidR="00A10FAA" w:rsidRPr="00A10FAA">
        <w:t xml:space="preserve">Mr. King </w:t>
      </w:r>
      <w:r>
        <w:t>are</w:t>
      </w:r>
      <w:r w:rsidR="00A10FAA" w:rsidRPr="00A10FAA">
        <w:t xml:space="preserve"> incorrect, as no rate increases will be required to pay for the </w:t>
      </w:r>
      <w:r w:rsidR="0075305D">
        <w:t>T</w:t>
      </w:r>
      <w:r>
        <w:t xml:space="preserve">ransaction costs or the </w:t>
      </w:r>
      <w:r w:rsidR="00A10FAA" w:rsidRPr="00A10FAA">
        <w:t>integration process</w:t>
      </w:r>
      <w:r>
        <w:t xml:space="preserve">.  In addition, </w:t>
      </w:r>
      <w:r w:rsidR="00A10FAA" w:rsidRPr="00A10FAA">
        <w:t xml:space="preserve">CenturyLink has indicated clearly that rates, if and when they are changed, will be altered only in conformity with proper regulatory review and negotiated terms, as rate changes were handled before the merger.  The simple response to </w:t>
      </w:r>
      <w:r>
        <w:t xml:space="preserve">the Staff </w:t>
      </w:r>
      <w:r>
        <w:lastRenderedPageBreak/>
        <w:t>and DOD witnesses</w:t>
      </w:r>
      <w:r w:rsidR="00A10FAA" w:rsidRPr="00A10FAA">
        <w:t xml:space="preserve"> is that post-merger CenturyLink will have the ability to pay for one-time </w:t>
      </w:r>
      <w:r>
        <w:t xml:space="preserve">transaction and </w:t>
      </w:r>
      <w:r w:rsidR="00A10FAA" w:rsidRPr="00A10FAA">
        <w:t>integration costs out of pre-synergy cash flow generated by the combined operations</w:t>
      </w:r>
      <w:r w:rsidR="0075305D">
        <w:t>;</w:t>
      </w:r>
      <w:r w:rsidR="00A10FAA" w:rsidRPr="00A10FAA">
        <w:t xml:space="preserve"> and network investment will not be put at risk nor will ratepayers be burdened with one-time merger costs.  The Company anticipates generating annual “excess” free cash flow that, based on 2009 pro forma results </w:t>
      </w:r>
      <w:r w:rsidR="00A10FAA" w:rsidRPr="00A10FAA">
        <w:rPr>
          <w:i/>
        </w:rPr>
        <w:t>and before including any synergies</w:t>
      </w:r>
      <w:r w:rsidR="00A10FAA" w:rsidRPr="00A10FAA">
        <w:t xml:space="preserve">, would be $1.7 billion.  This residual cash flow assumes that the Company has paid all operating expenses, </w:t>
      </w:r>
      <w:r w:rsidR="00A10FAA" w:rsidRPr="00A10FAA">
        <w:rPr>
          <w:i/>
        </w:rPr>
        <w:t xml:space="preserve">and </w:t>
      </w:r>
      <w:r w:rsidR="00A10FAA" w:rsidRPr="00A10FAA">
        <w:t xml:space="preserve">invested approximately $2.4 billion in capital plant, </w:t>
      </w:r>
      <w:r w:rsidR="00A10FAA" w:rsidRPr="00A10FAA">
        <w:rPr>
          <w:i/>
        </w:rPr>
        <w:t>and</w:t>
      </w:r>
      <w:r w:rsidR="00A10FAA" w:rsidRPr="00A10FAA">
        <w:t xml:space="preserve"> met its dividend obligations to equity-holders who supply critical capital.  </w:t>
      </w:r>
      <w:r>
        <w:t>T</w:t>
      </w:r>
      <w:r w:rsidR="00A10FAA" w:rsidRPr="00A10FAA">
        <w:t>he one-time integration expenses are expected to be $650 million to $800 million, with another $150 million to $200 million in one-time capital costs.</w:t>
      </w:r>
      <w:r w:rsidR="00A10FAA">
        <w:rPr>
          <w:rStyle w:val="FootnoteReference"/>
        </w:rPr>
        <w:footnoteReference w:id="45"/>
      </w:r>
      <w:r w:rsidR="00A10FAA" w:rsidRPr="00A10FAA">
        <w:t xml:space="preserve">  In addition, the integration expenses will not occur in a single year immediately after closing, but are expected to be phased-in over five years, while the one-time capital costs will be incurred over a shorter multi-year period.  CenturyLink believes that the post-merger company will be able comfortably to fund </w:t>
      </w:r>
      <w:r w:rsidR="00A10FAA" w:rsidRPr="00A10FAA">
        <w:rPr>
          <w:i/>
        </w:rPr>
        <w:t>one-time</w:t>
      </w:r>
      <w:r w:rsidR="00A10FAA" w:rsidRPr="00A10FAA">
        <w:t xml:space="preserve"> integration </w:t>
      </w:r>
      <w:r>
        <w:t xml:space="preserve">and transaction </w:t>
      </w:r>
      <w:r w:rsidR="00A10FAA" w:rsidRPr="00A10FAA">
        <w:t>costs</w:t>
      </w:r>
      <w:r w:rsidR="0075305D">
        <w:t>, which,</w:t>
      </w:r>
      <w:r w:rsidR="00A10FAA" w:rsidRPr="00A10FAA">
        <w:t xml:space="preserve"> at the highest estimated level</w:t>
      </w:r>
      <w:r w:rsidR="0075305D">
        <w:t>,</w:t>
      </w:r>
      <w:r w:rsidR="00A10FAA" w:rsidRPr="00A10FAA">
        <w:t xml:space="preserve"> </w:t>
      </w:r>
      <w:r w:rsidR="00A10FAA" w:rsidRPr="00A10FAA">
        <w:rPr>
          <w:i/>
        </w:rPr>
        <w:t>total</w:t>
      </w:r>
      <w:r w:rsidR="00A10FAA" w:rsidRPr="00A10FAA">
        <w:t xml:space="preserve"> an aggregate $1.0 billion (the combination of the high figures of the ranges for one-time integration and capital costs) and are expected to be spread over a multi-year period.  Additionally, as has been the experience of the Company in previous transactions, including </w:t>
      </w:r>
      <w:r>
        <w:t xml:space="preserve">the </w:t>
      </w:r>
      <w:r w:rsidR="00A10FAA" w:rsidRPr="00A10FAA">
        <w:t>Embarq</w:t>
      </w:r>
      <w:r>
        <w:t xml:space="preserve"> acquisition</w:t>
      </w:r>
      <w:r w:rsidR="00A10FAA" w:rsidRPr="00A10FAA">
        <w:t xml:space="preserve">, </w:t>
      </w:r>
      <w:r w:rsidR="0072350A">
        <w:t xml:space="preserve">CenturyLink </w:t>
      </w:r>
      <w:r w:rsidR="00A10FAA" w:rsidRPr="00A10FAA">
        <w:t>begin</w:t>
      </w:r>
      <w:r w:rsidR="0072350A">
        <w:t>s</w:t>
      </w:r>
      <w:r w:rsidR="00A10FAA" w:rsidRPr="00A10FAA">
        <w:t xml:space="preserve"> to realize</w:t>
      </w:r>
      <w:r w:rsidR="0072350A">
        <w:t xml:space="preserve"> synergies</w:t>
      </w:r>
      <w:r w:rsidR="00A10FAA" w:rsidRPr="00A10FAA">
        <w:t xml:space="preserve"> immediately after the consummation of the merger, providing a still larger buffer for the merged company to fund one-time integration </w:t>
      </w:r>
      <w:r>
        <w:t xml:space="preserve">and transaction </w:t>
      </w:r>
      <w:r w:rsidR="00A10FAA" w:rsidRPr="00A10FAA">
        <w:t xml:space="preserve">costs without reducing network investment or raising rates.  As such, </w:t>
      </w:r>
      <w:r w:rsidR="008654EA">
        <w:t xml:space="preserve">Mr. Vasconi’s </w:t>
      </w:r>
      <w:r w:rsidR="0072350A">
        <w:t>speculations</w:t>
      </w:r>
      <w:r w:rsidR="008654EA">
        <w:t xml:space="preserve"> regarding rate increases </w:t>
      </w:r>
      <w:r w:rsidR="008654EA">
        <w:lastRenderedPageBreak/>
        <w:t xml:space="preserve">and </w:t>
      </w:r>
      <w:r w:rsidR="0072350A">
        <w:t>underinvestment that might</w:t>
      </w:r>
      <w:r w:rsidR="008654EA">
        <w:t xml:space="preserve"> harm Washington customers </w:t>
      </w:r>
      <w:r w:rsidR="0072350A">
        <w:t>are not based on the financial data presented in this case, nor are they based on the Company’s long record</w:t>
      </w:r>
      <w:r w:rsidR="008654EA">
        <w:t xml:space="preserve">.  In addition, </w:t>
      </w:r>
      <w:r w:rsidR="00A10FAA" w:rsidRPr="00A10FAA">
        <w:t xml:space="preserve">Mr. King’s proposed condition requiring a three-year cap on basic business services rates is entirely unnecessary as </w:t>
      </w:r>
      <w:r w:rsidR="0072350A">
        <w:t>his foundational concern about the source of funding is also contrary to the financial evidence</w:t>
      </w:r>
      <w:r w:rsidR="00A10FAA" w:rsidRPr="00A10FAA">
        <w:t xml:space="preserve">.    </w:t>
      </w:r>
    </w:p>
    <w:p w:rsidR="00ED371B" w:rsidRPr="00ED371B" w:rsidRDefault="00A10FAA" w:rsidP="00ED371B">
      <w:pPr>
        <w:spacing w:line="480" w:lineRule="auto"/>
        <w:ind w:left="720" w:hanging="720"/>
        <w:jc w:val="both"/>
        <w:rPr>
          <w:b/>
          <w:bCs/>
        </w:rPr>
      </w:pPr>
      <w:r w:rsidRPr="00A10FAA">
        <w:rPr>
          <w:b/>
          <w:bCs/>
        </w:rPr>
        <w:tab/>
      </w:r>
    </w:p>
    <w:p w:rsidR="00ED371B" w:rsidRPr="00112F5F" w:rsidRDefault="00A10FAA" w:rsidP="00ED371B">
      <w:pPr>
        <w:spacing w:line="480" w:lineRule="auto"/>
        <w:ind w:left="720" w:hanging="720"/>
        <w:jc w:val="both"/>
        <w:rPr>
          <w:rFonts w:ascii="Times New Roman Bold" w:hAnsi="Times New Roman Bold"/>
          <w:b/>
          <w:bCs/>
          <w:caps/>
        </w:rPr>
      </w:pPr>
      <w:r w:rsidRPr="00A10FAA">
        <w:rPr>
          <w:b/>
          <w:bCs/>
        </w:rPr>
        <w:t>Q.</w:t>
      </w:r>
      <w:r w:rsidRPr="00A10FAA">
        <w:rPr>
          <w:b/>
          <w:bCs/>
        </w:rPr>
        <w:tab/>
      </w:r>
      <w:r w:rsidR="000627AA" w:rsidRPr="00112F5F">
        <w:rPr>
          <w:rFonts w:ascii="Times New Roman Bold" w:hAnsi="Times New Roman Bold"/>
          <w:b/>
          <w:bCs/>
          <w:caps/>
        </w:rPr>
        <w:t>Given the Staff’s and Mr. King’s concerns about the synergies, a</w:t>
      </w:r>
      <w:r w:rsidRPr="00112F5F">
        <w:rPr>
          <w:rFonts w:ascii="Times New Roman Bold" w:hAnsi="Times New Roman Bold"/>
          <w:b/>
          <w:bCs/>
          <w:caps/>
        </w:rPr>
        <w:t>re the published synergy targets extraordinarily large or aggressive in the proposed Transaction?</w:t>
      </w:r>
    </w:p>
    <w:p w:rsidR="00ED371B" w:rsidRPr="00ED371B" w:rsidRDefault="00A10FAA" w:rsidP="00ED371B">
      <w:pPr>
        <w:spacing w:line="480" w:lineRule="auto"/>
        <w:ind w:left="720" w:hanging="720"/>
        <w:jc w:val="both"/>
      </w:pPr>
      <w:r w:rsidRPr="00A10FAA">
        <w:t>A.</w:t>
      </w:r>
      <w:r w:rsidRPr="00A10FAA">
        <w:tab/>
        <w:t>No, they are not.  The reality is that the estimate of $575 million in operating expense savings is approximately 7% of Qwest’s 2009 cash operating costs.  Further, the synergy targets are modest compared with synergy expectations announced in other ILEC mergers.  Illustrating the reasonableness of the expected synergies for the proposed Transaction, the estimates (operating costs and capital expenditure savings) as a percentage of cash operating costs are below the 11% expected cost savings announced when CenturyTel merged with Embarq, and are well below other merger-related synergies from ILEC transactions that generally have been 20%+ of the target company’s cash operating costs in recent years, as verified by independent financial analysts.</w:t>
      </w:r>
      <w:r>
        <w:rPr>
          <w:rStyle w:val="FootnoteReference"/>
        </w:rPr>
        <w:footnoteReference w:id="46"/>
      </w:r>
      <w:r w:rsidR="000627AA">
        <w:t xml:space="preserve">  In addition, as I noted earlier, the Staff financial witness, Mr. Applegate, states that his “analysis has not indicated any major flaws or weaknesses in CenturyLink’s estimated </w:t>
      </w:r>
      <w:r w:rsidR="000627AA">
        <w:lastRenderedPageBreak/>
        <w:t>synergy values” and that the Transaction “undoubtedly presents opportunities to eliminate redundant functions or to achieve economies of scale.”</w:t>
      </w:r>
      <w:r w:rsidR="000627AA">
        <w:rPr>
          <w:rStyle w:val="FootnoteReference"/>
        </w:rPr>
        <w:footnoteReference w:id="47"/>
      </w:r>
      <w:r w:rsidRPr="00A10FAA">
        <w:t xml:space="preserve">  </w:t>
      </w:r>
    </w:p>
    <w:p w:rsidR="00ED371B" w:rsidRPr="00ED371B" w:rsidRDefault="00ED371B" w:rsidP="00ED371B">
      <w:pPr>
        <w:spacing w:line="480" w:lineRule="auto"/>
        <w:ind w:left="720" w:hanging="720"/>
        <w:jc w:val="both"/>
      </w:pPr>
    </w:p>
    <w:p w:rsidR="00ED371B" w:rsidRPr="00ED371B" w:rsidRDefault="00A10FAA" w:rsidP="00ED371B">
      <w:pPr>
        <w:spacing w:line="480" w:lineRule="auto"/>
        <w:ind w:left="720" w:hanging="720"/>
        <w:jc w:val="both"/>
        <w:rPr>
          <w:b/>
          <w:bCs/>
        </w:rPr>
      </w:pPr>
      <w:r w:rsidRPr="00A10FAA">
        <w:rPr>
          <w:b/>
          <w:bCs/>
        </w:rPr>
        <w:t>Q.</w:t>
      </w:r>
      <w:r w:rsidRPr="00A10FAA">
        <w:rPr>
          <w:b/>
          <w:bCs/>
        </w:rPr>
        <w:tab/>
      </w:r>
      <w:r w:rsidRPr="00112F5F">
        <w:rPr>
          <w:rFonts w:ascii="Times New Roman Bold" w:hAnsi="Times New Roman Bold"/>
          <w:b/>
          <w:bCs/>
          <w:caps/>
        </w:rPr>
        <w:t>Does the synergy target create an incremental risk for CLECs, based on investor expectations, as suggested by Mr. Gates?</w:t>
      </w:r>
    </w:p>
    <w:p w:rsidR="00954EE0" w:rsidRDefault="00A10FAA" w:rsidP="00ED371B">
      <w:pPr>
        <w:spacing w:line="480" w:lineRule="auto"/>
        <w:ind w:left="720" w:hanging="720"/>
        <w:jc w:val="both"/>
        <w:rPr>
          <w:b/>
          <w:bCs/>
        </w:rPr>
      </w:pPr>
      <w:r w:rsidRPr="00A10FAA">
        <w:t>A.</w:t>
      </w:r>
      <w:r w:rsidRPr="00A10FAA">
        <w:tab/>
        <w:t>No.  Mr. Gates states that the merged company will be seeking “to find synergies [and] it will be under pressure to produce meaningful dividends, pay down debt and invest in advanced services” which might result in making wholesale service a “low . . . priority.”</w:t>
      </w:r>
      <w:r>
        <w:rPr>
          <w:rStyle w:val="FootnoteReference"/>
        </w:rPr>
        <w:footnoteReference w:id="48"/>
      </w:r>
      <w:r w:rsidRPr="00A10FAA">
        <w:t xml:space="preserve">  CenturyLink’s management believes the estimated synergies can be achieved while continuing to </w:t>
      </w:r>
      <w:r w:rsidRPr="00A10FAA">
        <w:rPr>
          <w:iCs/>
        </w:rPr>
        <w:t>provide high-quality</w:t>
      </w:r>
      <w:r w:rsidRPr="00A10FAA">
        <w:t xml:space="preserve"> service to customers and </w:t>
      </w:r>
      <w:r w:rsidR="000627AA">
        <w:t xml:space="preserve">to </w:t>
      </w:r>
      <w:r w:rsidRPr="00A10FAA">
        <w:t xml:space="preserve">invest in the network.  As noted above, using pro forma 2009 financials, </w:t>
      </w:r>
      <w:r w:rsidRPr="00A10FAA">
        <w:rPr>
          <w:i/>
          <w:iCs/>
        </w:rPr>
        <w:t>before any expected synergies</w:t>
      </w:r>
      <w:r w:rsidRPr="00A10FAA">
        <w:t xml:space="preserve">, the merged CenturyLink and Qwest estimate that, after meeting all operating, capital and financial costs, the combined company would have had about $1.7 billion in remaining cash flow—without assuming any synergies—that could be used for additional investment (beyond the $2.4 billion in capital investment noted above), debt repayment, and other appropriate uses.  As such, CenturyLink expects to be financially sound even if no synergies are achieved and, therefore, will not be unduly pressured by investors or other stakeholders.  CenturyLink understands its business, and its priorities are aligned with successfully </w:t>
      </w:r>
      <w:r w:rsidR="000502BA">
        <w:t xml:space="preserve">managing and </w:t>
      </w:r>
      <w:r w:rsidRPr="00A10FAA">
        <w:t>operating the business in a manner that benefits its customers and other key stakeholders.</w:t>
      </w:r>
      <w:r w:rsidR="00ED371B">
        <w:rPr>
          <w:bCs/>
        </w:rPr>
        <w:t xml:space="preserve">  </w:t>
      </w:r>
      <w:r w:rsidR="00954EE0">
        <w:rPr>
          <w:bCs/>
        </w:rPr>
        <w:t xml:space="preserve">   </w:t>
      </w:r>
    </w:p>
    <w:p w:rsidR="00954EE0" w:rsidRDefault="00954EE0" w:rsidP="00AB060F">
      <w:pPr>
        <w:spacing w:line="480" w:lineRule="auto"/>
        <w:ind w:left="720" w:hanging="720"/>
        <w:jc w:val="both"/>
        <w:rPr>
          <w:b/>
          <w:bCs/>
        </w:rPr>
      </w:pPr>
    </w:p>
    <w:p w:rsidR="00B579A6" w:rsidRDefault="00B579A6" w:rsidP="00AB060F">
      <w:pPr>
        <w:spacing w:line="480" w:lineRule="auto"/>
        <w:ind w:left="720" w:hanging="720"/>
        <w:jc w:val="both"/>
        <w:rPr>
          <w:b/>
          <w:bCs/>
        </w:rPr>
      </w:pPr>
      <w:r>
        <w:rPr>
          <w:b/>
          <w:bCs/>
        </w:rPr>
        <w:t>Q.</w:t>
      </w:r>
      <w:r>
        <w:rPr>
          <w:b/>
          <w:bCs/>
        </w:rPr>
        <w:tab/>
      </w:r>
      <w:bookmarkStart w:id="0" w:name="VasconiCapex"/>
      <w:bookmarkEnd w:id="0"/>
      <w:r w:rsidR="000627AA" w:rsidRPr="00112F5F">
        <w:rPr>
          <w:rFonts w:ascii="Times New Roman Bold" w:hAnsi="Times New Roman Bold"/>
          <w:b/>
          <w:bCs/>
          <w:caps/>
        </w:rPr>
        <w:t xml:space="preserve">You noted above that it appears that Mr. </w:t>
      </w:r>
      <w:r w:rsidR="00246863" w:rsidRPr="00112F5F">
        <w:rPr>
          <w:rFonts w:ascii="Times New Roman Bold" w:hAnsi="Times New Roman Bold"/>
          <w:b/>
          <w:bCs/>
          <w:caps/>
        </w:rPr>
        <w:t xml:space="preserve">Vasconi’s concern regarding the realization of synergies has caused him to propose conditions related to capital investment in Washington.  </w:t>
      </w:r>
      <w:r w:rsidRPr="00112F5F">
        <w:rPr>
          <w:rFonts w:ascii="Times New Roman Bold" w:hAnsi="Times New Roman Bold"/>
          <w:b/>
          <w:bCs/>
          <w:caps/>
        </w:rPr>
        <w:t>Please commen</w:t>
      </w:r>
      <w:r w:rsidR="00B31EA5" w:rsidRPr="00112F5F">
        <w:rPr>
          <w:rFonts w:ascii="Times New Roman Bold" w:hAnsi="Times New Roman Bold"/>
          <w:b/>
          <w:bCs/>
          <w:caps/>
        </w:rPr>
        <w:t xml:space="preserve">t on </w:t>
      </w:r>
      <w:r w:rsidR="00E422A7" w:rsidRPr="00112F5F">
        <w:rPr>
          <w:rFonts w:ascii="Times New Roman Bold" w:hAnsi="Times New Roman Bold"/>
          <w:b/>
          <w:bCs/>
          <w:caps/>
        </w:rPr>
        <w:t xml:space="preserve">proposed </w:t>
      </w:r>
      <w:r w:rsidR="00B31EA5" w:rsidRPr="00112F5F">
        <w:rPr>
          <w:rFonts w:ascii="Times New Roman Bold" w:hAnsi="Times New Roman Bold"/>
          <w:b/>
          <w:bCs/>
          <w:caps/>
        </w:rPr>
        <w:t>Staff C</w:t>
      </w:r>
      <w:r w:rsidR="00CF6BFD" w:rsidRPr="00112F5F">
        <w:rPr>
          <w:rFonts w:ascii="Times New Roman Bold" w:hAnsi="Times New Roman Bold"/>
          <w:b/>
          <w:bCs/>
          <w:caps/>
        </w:rPr>
        <w:t>ondition 43</w:t>
      </w:r>
      <w:r w:rsidRPr="00112F5F">
        <w:rPr>
          <w:rFonts w:ascii="Times New Roman Bold" w:hAnsi="Times New Roman Bold"/>
          <w:b/>
          <w:bCs/>
          <w:caps/>
        </w:rPr>
        <w:t>, which requir</w:t>
      </w:r>
      <w:r w:rsidR="00CF6BFD" w:rsidRPr="00112F5F">
        <w:rPr>
          <w:rFonts w:ascii="Times New Roman Bold" w:hAnsi="Times New Roman Bold"/>
          <w:b/>
          <w:bCs/>
          <w:caps/>
        </w:rPr>
        <w:t>es</w:t>
      </w:r>
      <w:r w:rsidRPr="00112F5F">
        <w:rPr>
          <w:rFonts w:ascii="Times New Roman Bold" w:hAnsi="Times New Roman Bold"/>
          <w:b/>
          <w:bCs/>
          <w:caps/>
        </w:rPr>
        <w:t xml:space="preserve"> that</w:t>
      </w:r>
      <w:r w:rsidR="00457D05" w:rsidRPr="00112F5F">
        <w:rPr>
          <w:rFonts w:ascii="Times New Roman Bold" w:hAnsi="Times New Roman Bold"/>
          <w:b/>
          <w:bCs/>
          <w:caps/>
        </w:rPr>
        <w:t>, for three years,</w:t>
      </w:r>
      <w:r w:rsidR="002865B2" w:rsidRPr="00112F5F">
        <w:rPr>
          <w:rFonts w:ascii="Times New Roman Bold" w:hAnsi="Times New Roman Bold"/>
          <w:b/>
          <w:bCs/>
          <w:caps/>
        </w:rPr>
        <w:t xml:space="preserve"> CenturyLink w</w:t>
      </w:r>
      <w:r w:rsidRPr="00112F5F">
        <w:rPr>
          <w:rFonts w:ascii="Times New Roman Bold" w:hAnsi="Times New Roman Bold"/>
          <w:b/>
          <w:bCs/>
          <w:caps/>
        </w:rPr>
        <w:t>ould invest</w:t>
      </w:r>
      <w:r w:rsidR="00CF6BFD" w:rsidRPr="00112F5F">
        <w:rPr>
          <w:rFonts w:ascii="Times New Roman Bold" w:hAnsi="Times New Roman Bold"/>
          <w:b/>
          <w:bCs/>
          <w:caps/>
        </w:rPr>
        <w:t xml:space="preserve"> </w:t>
      </w:r>
      <w:r w:rsidR="00457D05" w:rsidRPr="00112F5F">
        <w:rPr>
          <w:rFonts w:ascii="Times New Roman Bold" w:hAnsi="Times New Roman Bold"/>
          <w:b/>
          <w:bCs/>
          <w:caps/>
        </w:rPr>
        <w:t xml:space="preserve">total </w:t>
      </w:r>
      <w:r w:rsidR="00CE3116" w:rsidRPr="00112F5F">
        <w:rPr>
          <w:rFonts w:ascii="Times New Roman Bold" w:hAnsi="Times New Roman Bold"/>
          <w:b/>
          <w:bCs/>
          <w:caps/>
        </w:rPr>
        <w:t xml:space="preserve">annual </w:t>
      </w:r>
      <w:r w:rsidR="00457D05" w:rsidRPr="00112F5F">
        <w:rPr>
          <w:rFonts w:ascii="Times New Roman Bold" w:hAnsi="Times New Roman Bold"/>
          <w:b/>
          <w:bCs/>
          <w:caps/>
        </w:rPr>
        <w:t xml:space="preserve">capital expenditures </w:t>
      </w:r>
      <w:r w:rsidRPr="00112F5F">
        <w:rPr>
          <w:rFonts w:ascii="Times New Roman Bold" w:hAnsi="Times New Roman Bold"/>
          <w:b/>
          <w:bCs/>
          <w:caps/>
        </w:rPr>
        <w:t xml:space="preserve">in the </w:t>
      </w:r>
      <w:r w:rsidR="00CF6BFD" w:rsidRPr="00112F5F">
        <w:rPr>
          <w:rFonts w:ascii="Times New Roman Bold" w:hAnsi="Times New Roman Bold"/>
          <w:b/>
          <w:bCs/>
          <w:caps/>
        </w:rPr>
        <w:t>Washington</w:t>
      </w:r>
      <w:r w:rsidRPr="00112F5F">
        <w:rPr>
          <w:rFonts w:ascii="Times New Roman Bold" w:hAnsi="Times New Roman Bold"/>
          <w:b/>
          <w:bCs/>
          <w:caps/>
        </w:rPr>
        <w:t xml:space="preserve"> network</w:t>
      </w:r>
      <w:r w:rsidR="00457D05" w:rsidRPr="00112F5F">
        <w:rPr>
          <w:rFonts w:ascii="Times New Roman Bold" w:hAnsi="Times New Roman Bold"/>
          <w:b/>
          <w:bCs/>
          <w:caps/>
        </w:rPr>
        <w:t xml:space="preserve"> no less than the average </w:t>
      </w:r>
      <w:r w:rsidR="00CE3116" w:rsidRPr="00112F5F">
        <w:rPr>
          <w:rFonts w:ascii="Times New Roman Bold" w:hAnsi="Times New Roman Bold"/>
          <w:b/>
          <w:bCs/>
          <w:caps/>
        </w:rPr>
        <w:t xml:space="preserve">annual </w:t>
      </w:r>
      <w:r w:rsidR="00457D05" w:rsidRPr="00112F5F">
        <w:rPr>
          <w:rFonts w:ascii="Times New Roman Bold" w:hAnsi="Times New Roman Bold"/>
          <w:b/>
          <w:bCs/>
          <w:caps/>
        </w:rPr>
        <w:t>level invested between 2005 and 2009</w:t>
      </w:r>
      <w:r w:rsidRPr="00112F5F">
        <w:rPr>
          <w:rFonts w:ascii="Times New Roman Bold" w:hAnsi="Times New Roman Bold"/>
          <w:b/>
          <w:bCs/>
          <w:caps/>
        </w:rPr>
        <w:t>.</w:t>
      </w:r>
      <w:r w:rsidR="005C254B">
        <w:rPr>
          <w:rStyle w:val="FootnoteReference"/>
          <w:b/>
          <w:bCs/>
        </w:rPr>
        <w:footnoteReference w:id="49"/>
      </w:r>
    </w:p>
    <w:p w:rsidR="00787976" w:rsidRDefault="00B579A6" w:rsidP="004710C3">
      <w:pPr>
        <w:spacing w:line="480" w:lineRule="auto"/>
        <w:ind w:left="720" w:hanging="720"/>
        <w:jc w:val="both"/>
        <w:rPr>
          <w:bCs/>
        </w:rPr>
      </w:pPr>
      <w:r>
        <w:rPr>
          <w:bCs/>
        </w:rPr>
        <w:t>A.</w:t>
      </w:r>
      <w:r>
        <w:rPr>
          <w:bCs/>
        </w:rPr>
        <w:tab/>
        <w:t xml:space="preserve">CenturyLink </w:t>
      </w:r>
      <w:r w:rsidR="00E422A7">
        <w:rPr>
          <w:bCs/>
        </w:rPr>
        <w:t xml:space="preserve">strongly </w:t>
      </w:r>
      <w:r>
        <w:rPr>
          <w:bCs/>
        </w:rPr>
        <w:t xml:space="preserve">objects to </w:t>
      </w:r>
      <w:r w:rsidR="00AE7E77">
        <w:rPr>
          <w:bCs/>
        </w:rPr>
        <w:t>Mr. Vasconi’s</w:t>
      </w:r>
      <w:r>
        <w:rPr>
          <w:bCs/>
        </w:rPr>
        <w:t xml:space="preserve"> </w:t>
      </w:r>
      <w:r w:rsidR="00E422A7">
        <w:rPr>
          <w:bCs/>
        </w:rPr>
        <w:t xml:space="preserve">proposed </w:t>
      </w:r>
      <w:r>
        <w:rPr>
          <w:bCs/>
        </w:rPr>
        <w:t>conditio</w:t>
      </w:r>
      <w:r w:rsidR="007A5FE7">
        <w:rPr>
          <w:bCs/>
        </w:rPr>
        <w:t>n</w:t>
      </w:r>
      <w:r w:rsidR="00E422A7">
        <w:rPr>
          <w:bCs/>
        </w:rPr>
        <w:t xml:space="preserve"> as </w:t>
      </w:r>
      <w:r w:rsidR="00852212">
        <w:rPr>
          <w:bCs/>
        </w:rPr>
        <w:t>quantifiably unreasonable</w:t>
      </w:r>
      <w:r w:rsidR="007A5FE7">
        <w:rPr>
          <w:bCs/>
        </w:rPr>
        <w:t xml:space="preserve">.  </w:t>
      </w:r>
      <w:r w:rsidR="00A85B13">
        <w:rPr>
          <w:bCs/>
        </w:rPr>
        <w:t>Staff witness</w:t>
      </w:r>
      <w:r w:rsidR="00046FDE">
        <w:rPr>
          <w:bCs/>
        </w:rPr>
        <w:t xml:space="preserve"> Vasconi</w:t>
      </w:r>
      <w:r w:rsidR="00A85B13">
        <w:rPr>
          <w:bCs/>
        </w:rPr>
        <w:t xml:space="preserve"> </w:t>
      </w:r>
      <w:r w:rsidR="00457D05">
        <w:rPr>
          <w:bCs/>
        </w:rPr>
        <w:t>proposes that</w:t>
      </w:r>
      <w:r w:rsidR="00B83627">
        <w:rPr>
          <w:bCs/>
        </w:rPr>
        <w:t xml:space="preserve"> annual capital expenditures</w:t>
      </w:r>
      <w:r w:rsidR="001F7978">
        <w:rPr>
          <w:bCs/>
        </w:rPr>
        <w:t xml:space="preserve"> in Washington for the combined company should be totaled each year</w:t>
      </w:r>
      <w:r w:rsidR="00B83627">
        <w:rPr>
          <w:bCs/>
        </w:rPr>
        <w:t xml:space="preserve"> </w:t>
      </w:r>
      <w:r w:rsidR="001F7978">
        <w:rPr>
          <w:bCs/>
        </w:rPr>
        <w:t xml:space="preserve">between 2005 and 2009.  Then the </w:t>
      </w:r>
      <w:r w:rsidR="00AE7E77">
        <w:rPr>
          <w:bCs/>
        </w:rPr>
        <w:t xml:space="preserve">five-year </w:t>
      </w:r>
      <w:r w:rsidR="001F7978">
        <w:rPr>
          <w:bCs/>
        </w:rPr>
        <w:t xml:space="preserve">average </w:t>
      </w:r>
      <w:r w:rsidR="007C50A3">
        <w:rPr>
          <w:bCs/>
        </w:rPr>
        <w:t xml:space="preserve">annual </w:t>
      </w:r>
      <w:r w:rsidR="001F7978">
        <w:rPr>
          <w:bCs/>
        </w:rPr>
        <w:t>level of capital expenditures shou</w:t>
      </w:r>
      <w:r w:rsidR="00CE3116">
        <w:rPr>
          <w:bCs/>
        </w:rPr>
        <w:t>ld be computed</w:t>
      </w:r>
      <w:r w:rsidR="001F7978">
        <w:rPr>
          <w:bCs/>
        </w:rPr>
        <w:t>, and</w:t>
      </w:r>
      <w:r w:rsidR="002865B2">
        <w:rPr>
          <w:bCs/>
        </w:rPr>
        <w:t>, according to Mr. Vasconi,</w:t>
      </w:r>
      <w:r w:rsidR="001F7978">
        <w:rPr>
          <w:bCs/>
        </w:rPr>
        <w:t xml:space="preserve"> the </w:t>
      </w:r>
      <w:r w:rsidR="00AE7E77">
        <w:rPr>
          <w:bCs/>
        </w:rPr>
        <w:t xml:space="preserve">post-merger </w:t>
      </w:r>
      <w:r w:rsidR="001F7978">
        <w:rPr>
          <w:bCs/>
        </w:rPr>
        <w:t xml:space="preserve">Company </w:t>
      </w:r>
      <w:r w:rsidR="00457D05">
        <w:rPr>
          <w:bCs/>
        </w:rPr>
        <w:t xml:space="preserve">should </w:t>
      </w:r>
      <w:r w:rsidR="001F7978">
        <w:rPr>
          <w:bCs/>
        </w:rPr>
        <w:t xml:space="preserve">be required to make the same </w:t>
      </w:r>
      <w:r w:rsidR="004272B5">
        <w:rPr>
          <w:bCs/>
        </w:rPr>
        <w:t xml:space="preserve">average </w:t>
      </w:r>
      <w:r w:rsidR="001F7978">
        <w:rPr>
          <w:bCs/>
        </w:rPr>
        <w:t xml:space="preserve">level of </w:t>
      </w:r>
      <w:r w:rsidR="00AE7E77">
        <w:rPr>
          <w:bCs/>
        </w:rPr>
        <w:t xml:space="preserve">annual </w:t>
      </w:r>
      <w:r w:rsidR="001F7978">
        <w:rPr>
          <w:bCs/>
        </w:rPr>
        <w:t xml:space="preserve">investment in Washington </w:t>
      </w:r>
      <w:r w:rsidR="00AE7E77">
        <w:rPr>
          <w:bCs/>
        </w:rPr>
        <w:t xml:space="preserve">for </w:t>
      </w:r>
      <w:r w:rsidR="00CE3116">
        <w:rPr>
          <w:bCs/>
        </w:rPr>
        <w:t xml:space="preserve">each of </w:t>
      </w:r>
      <w:r w:rsidR="001F7978">
        <w:rPr>
          <w:bCs/>
        </w:rPr>
        <w:t xml:space="preserve">the three years </w:t>
      </w:r>
      <w:r w:rsidR="00AE7E77">
        <w:rPr>
          <w:bCs/>
        </w:rPr>
        <w:t>following the merger close</w:t>
      </w:r>
      <w:r w:rsidR="00457D05">
        <w:rPr>
          <w:bCs/>
        </w:rPr>
        <w:t>.</w:t>
      </w:r>
      <w:r w:rsidR="00B83627">
        <w:rPr>
          <w:bCs/>
        </w:rPr>
        <w:t xml:space="preserve">  However, </w:t>
      </w:r>
      <w:r w:rsidR="00457D05">
        <w:rPr>
          <w:bCs/>
        </w:rPr>
        <w:t>Mr. Vasconi</w:t>
      </w:r>
      <w:r w:rsidR="00B83627">
        <w:rPr>
          <w:bCs/>
        </w:rPr>
        <w:t xml:space="preserve"> fails to </w:t>
      </w:r>
      <w:r w:rsidR="008E2E37">
        <w:rPr>
          <w:bCs/>
        </w:rPr>
        <w:t xml:space="preserve">acknowledge </w:t>
      </w:r>
      <w:r w:rsidR="00B83627">
        <w:rPr>
          <w:bCs/>
        </w:rPr>
        <w:t xml:space="preserve">that both </w:t>
      </w:r>
      <w:r w:rsidR="00AE7E77">
        <w:rPr>
          <w:bCs/>
        </w:rPr>
        <w:t xml:space="preserve">CenturyLink and Qwest </w:t>
      </w:r>
      <w:r w:rsidR="00B83627">
        <w:rPr>
          <w:bCs/>
        </w:rPr>
        <w:t>have had declining numbers of access lines</w:t>
      </w:r>
      <w:r w:rsidR="004272B5">
        <w:rPr>
          <w:bCs/>
        </w:rPr>
        <w:t xml:space="preserve"> in its regulated business</w:t>
      </w:r>
      <w:r w:rsidR="00E422A7">
        <w:rPr>
          <w:bCs/>
        </w:rPr>
        <w:t xml:space="preserve"> over </w:t>
      </w:r>
      <w:r w:rsidR="00AE7E77">
        <w:rPr>
          <w:bCs/>
        </w:rPr>
        <w:t>2005 to 2009</w:t>
      </w:r>
      <w:r w:rsidR="00E422A7">
        <w:rPr>
          <w:bCs/>
        </w:rPr>
        <w:t xml:space="preserve"> period</w:t>
      </w:r>
      <w:r w:rsidR="001F7978">
        <w:rPr>
          <w:bCs/>
        </w:rPr>
        <w:t xml:space="preserve"> and likely </w:t>
      </w:r>
      <w:r w:rsidR="007C50A3">
        <w:rPr>
          <w:bCs/>
        </w:rPr>
        <w:t>will experie</w:t>
      </w:r>
      <w:r w:rsidR="00D774C5">
        <w:rPr>
          <w:bCs/>
        </w:rPr>
        <w:t xml:space="preserve">nce </w:t>
      </w:r>
      <w:r w:rsidR="00AE7E77">
        <w:rPr>
          <w:bCs/>
        </w:rPr>
        <w:t xml:space="preserve">ongoing access line </w:t>
      </w:r>
      <w:r w:rsidR="00D774C5">
        <w:rPr>
          <w:bCs/>
        </w:rPr>
        <w:t xml:space="preserve">contraction </w:t>
      </w:r>
      <w:r w:rsidR="001F7978">
        <w:rPr>
          <w:bCs/>
        </w:rPr>
        <w:t>over the next years</w:t>
      </w:r>
      <w:r w:rsidR="00B83627">
        <w:rPr>
          <w:bCs/>
        </w:rPr>
        <w:t xml:space="preserve">.  </w:t>
      </w:r>
      <w:r w:rsidR="00E50D58">
        <w:rPr>
          <w:bCs/>
        </w:rPr>
        <w:t>If</w:t>
      </w:r>
      <w:r w:rsidR="007C50A3">
        <w:rPr>
          <w:bCs/>
        </w:rPr>
        <w:t xml:space="preserve"> Staff’s assumption is </w:t>
      </w:r>
      <w:r w:rsidR="00E50D58">
        <w:rPr>
          <w:bCs/>
        </w:rPr>
        <w:t xml:space="preserve">that the combined company invested </w:t>
      </w:r>
      <w:r w:rsidR="00D774C5">
        <w:rPr>
          <w:bCs/>
        </w:rPr>
        <w:t>at an appropriate level</w:t>
      </w:r>
      <w:r w:rsidR="00E50D58">
        <w:rPr>
          <w:bCs/>
        </w:rPr>
        <w:t xml:space="preserve"> in 2007 (the middle year of the </w:t>
      </w:r>
      <w:r w:rsidR="00AE7E77">
        <w:rPr>
          <w:bCs/>
        </w:rPr>
        <w:t xml:space="preserve">proposed </w:t>
      </w:r>
      <w:r w:rsidR="00E50D58">
        <w:rPr>
          <w:bCs/>
        </w:rPr>
        <w:t>five</w:t>
      </w:r>
      <w:r w:rsidR="00AE7E77">
        <w:rPr>
          <w:bCs/>
        </w:rPr>
        <w:t>-</w:t>
      </w:r>
      <w:r w:rsidR="00E50D58">
        <w:rPr>
          <w:bCs/>
        </w:rPr>
        <w:t xml:space="preserve">year benchmark period), it should be clear that total investment going forward should be </w:t>
      </w:r>
      <w:r w:rsidR="00E50D58">
        <w:rPr>
          <w:bCs/>
          <w:i/>
        </w:rPr>
        <w:t>lower</w:t>
      </w:r>
      <w:r w:rsidR="00E50D58">
        <w:rPr>
          <w:bCs/>
        </w:rPr>
        <w:t xml:space="preserve">, all else being equal, because the number of access lines is contracting at a sharp </w:t>
      </w:r>
      <w:r w:rsidR="00E50D58">
        <w:rPr>
          <w:bCs/>
        </w:rPr>
        <w:lastRenderedPageBreak/>
        <w:t>rate and a constant level of total investment would result in rapidly increasing per-line investment that is not justified</w:t>
      </w:r>
      <w:r w:rsidR="00AE7E77">
        <w:rPr>
          <w:bCs/>
        </w:rPr>
        <w:t xml:space="preserve"> from a financial perspective</w:t>
      </w:r>
      <w:r w:rsidR="00E50D58">
        <w:rPr>
          <w:bCs/>
          <w:i/>
        </w:rPr>
        <w:t>.</w:t>
      </w:r>
      <w:r w:rsidR="00E50D58" w:rsidRPr="00E50D58">
        <w:rPr>
          <w:bCs/>
        </w:rPr>
        <w:t xml:space="preserve"> </w:t>
      </w:r>
      <w:r w:rsidR="00E50D58">
        <w:rPr>
          <w:bCs/>
        </w:rPr>
        <w:t xml:space="preserve"> </w:t>
      </w:r>
      <w:r w:rsidR="00B83627">
        <w:rPr>
          <w:bCs/>
        </w:rPr>
        <w:t xml:space="preserve">A closer examination </w:t>
      </w:r>
      <w:r w:rsidR="00E422A7">
        <w:rPr>
          <w:bCs/>
        </w:rPr>
        <w:t xml:space="preserve">of </w:t>
      </w:r>
      <w:r w:rsidR="00D774C5">
        <w:rPr>
          <w:bCs/>
        </w:rPr>
        <w:t>a</w:t>
      </w:r>
      <w:r w:rsidR="004272B5">
        <w:rPr>
          <w:bCs/>
        </w:rPr>
        <w:t xml:space="preserve"> simplified</w:t>
      </w:r>
      <w:r w:rsidR="00EE0444">
        <w:rPr>
          <w:bCs/>
        </w:rPr>
        <w:t xml:space="preserve"> illustrative analysis</w:t>
      </w:r>
      <w:r w:rsidR="00E422A7">
        <w:rPr>
          <w:bCs/>
        </w:rPr>
        <w:t xml:space="preserve"> </w:t>
      </w:r>
      <w:r w:rsidR="00D774C5">
        <w:rPr>
          <w:bCs/>
        </w:rPr>
        <w:t xml:space="preserve">as found </w:t>
      </w:r>
      <w:r w:rsidR="00E50D58">
        <w:rPr>
          <w:bCs/>
        </w:rPr>
        <w:t xml:space="preserve">in </w:t>
      </w:r>
      <w:r w:rsidR="00ED43BC">
        <w:rPr>
          <w:bCs/>
        </w:rPr>
        <w:fldChar w:fldCharType="begin"/>
      </w:r>
      <w:r w:rsidR="00E50D58">
        <w:rPr>
          <w:bCs/>
        </w:rPr>
        <w:instrText xml:space="preserve"> REF _Ref274238276 \h </w:instrText>
      </w:r>
      <w:r w:rsidR="00ED43BC">
        <w:rPr>
          <w:bCs/>
        </w:rPr>
      </w:r>
      <w:r w:rsidR="00ED43BC">
        <w:rPr>
          <w:bCs/>
        </w:rPr>
        <w:fldChar w:fldCharType="separate"/>
      </w:r>
      <w:r w:rsidR="0055436C" w:rsidRPr="00787976">
        <w:t xml:space="preserve">Table </w:t>
      </w:r>
      <w:r w:rsidR="0055436C">
        <w:rPr>
          <w:noProof/>
        </w:rPr>
        <w:t>1</w:t>
      </w:r>
      <w:r w:rsidR="00ED43BC">
        <w:rPr>
          <w:bCs/>
        </w:rPr>
        <w:fldChar w:fldCharType="end"/>
      </w:r>
      <w:r w:rsidR="00E50D58">
        <w:rPr>
          <w:bCs/>
        </w:rPr>
        <w:t xml:space="preserve"> </w:t>
      </w:r>
      <w:r w:rsidR="00B83627">
        <w:rPr>
          <w:bCs/>
        </w:rPr>
        <w:t xml:space="preserve">reveals </w:t>
      </w:r>
      <w:r w:rsidR="00E50D58">
        <w:rPr>
          <w:bCs/>
        </w:rPr>
        <w:t xml:space="preserve">the </w:t>
      </w:r>
      <w:r w:rsidR="00B83627">
        <w:rPr>
          <w:bCs/>
        </w:rPr>
        <w:t>problem</w:t>
      </w:r>
      <w:r w:rsidR="00E422A7">
        <w:rPr>
          <w:bCs/>
        </w:rPr>
        <w:t xml:space="preserve"> with Staff’s propose</w:t>
      </w:r>
      <w:r w:rsidR="00D774C5">
        <w:rPr>
          <w:bCs/>
        </w:rPr>
        <w:t>d C</w:t>
      </w:r>
      <w:r w:rsidR="00D132AD">
        <w:rPr>
          <w:bCs/>
        </w:rPr>
        <w:t>ondition</w:t>
      </w:r>
      <w:r w:rsidR="00AE7E77">
        <w:rPr>
          <w:bCs/>
        </w:rPr>
        <w:t xml:space="preserve"> 43</w:t>
      </w:r>
      <w:r w:rsidR="001F7978">
        <w:rPr>
          <w:bCs/>
        </w:rPr>
        <w:t>.</w:t>
      </w:r>
      <w:r w:rsidR="00B83627">
        <w:rPr>
          <w:bCs/>
        </w:rPr>
        <w:t xml:space="preserve">  </w:t>
      </w:r>
    </w:p>
    <w:p w:rsidR="00787976" w:rsidRPr="00787976" w:rsidRDefault="00787976" w:rsidP="007C50A3">
      <w:pPr>
        <w:pStyle w:val="Caption"/>
        <w:keepNext/>
        <w:pBdr>
          <w:top w:val="single" w:sz="4" w:space="1" w:color="auto"/>
        </w:pBdr>
        <w:ind w:left="720"/>
        <w:rPr>
          <w:bCs w:val="0"/>
          <w:color w:val="auto"/>
          <w:sz w:val="24"/>
        </w:rPr>
      </w:pPr>
      <w:bookmarkStart w:id="1" w:name="_Ref274238276"/>
      <w:r w:rsidRPr="00787976">
        <w:rPr>
          <w:color w:val="auto"/>
          <w:sz w:val="24"/>
        </w:rPr>
        <w:t xml:space="preserve">Table </w:t>
      </w:r>
      <w:r w:rsidR="00ED43BC" w:rsidRPr="00787976">
        <w:rPr>
          <w:color w:val="auto"/>
          <w:sz w:val="24"/>
        </w:rPr>
        <w:fldChar w:fldCharType="begin"/>
      </w:r>
      <w:r w:rsidRPr="00787976">
        <w:rPr>
          <w:color w:val="auto"/>
          <w:sz w:val="24"/>
        </w:rPr>
        <w:instrText xml:space="preserve"> SEQ Table \* ARABIC </w:instrText>
      </w:r>
      <w:r w:rsidR="00ED43BC" w:rsidRPr="00787976">
        <w:rPr>
          <w:color w:val="auto"/>
          <w:sz w:val="24"/>
        </w:rPr>
        <w:fldChar w:fldCharType="separate"/>
      </w:r>
      <w:r w:rsidR="0055436C">
        <w:rPr>
          <w:noProof/>
          <w:color w:val="auto"/>
          <w:sz w:val="24"/>
        </w:rPr>
        <w:t>1</w:t>
      </w:r>
      <w:r w:rsidR="00ED43BC" w:rsidRPr="00787976">
        <w:rPr>
          <w:color w:val="auto"/>
          <w:sz w:val="24"/>
        </w:rPr>
        <w:fldChar w:fldCharType="end"/>
      </w:r>
      <w:bookmarkEnd w:id="1"/>
      <w:r>
        <w:rPr>
          <w:color w:val="auto"/>
          <w:sz w:val="24"/>
        </w:rPr>
        <w:t>: Analyzing per line capital expenditures per Staff Condition 43</w:t>
      </w:r>
    </w:p>
    <w:p w:rsidR="00787976" w:rsidRDefault="005A398E" w:rsidP="007C50A3">
      <w:pPr>
        <w:keepNext/>
        <w:pBdr>
          <w:bottom w:val="single" w:sz="4" w:space="1" w:color="auto"/>
        </w:pBdr>
        <w:spacing w:line="480" w:lineRule="auto"/>
        <w:ind w:left="720"/>
        <w:jc w:val="both"/>
        <w:rPr>
          <w:bCs/>
        </w:rPr>
      </w:pPr>
      <w:r w:rsidRPr="00EB4D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in;height:81.15pt;visibility:visible">
            <v:imagedata r:id="rId10" o:title=""/>
          </v:shape>
        </w:pict>
      </w:r>
    </w:p>
    <w:p w:rsidR="00787976" w:rsidRDefault="00787976" w:rsidP="007C50A3">
      <w:pPr>
        <w:keepNext/>
        <w:spacing w:line="480" w:lineRule="auto"/>
        <w:ind w:left="720"/>
        <w:jc w:val="both"/>
        <w:rPr>
          <w:bCs/>
        </w:rPr>
      </w:pPr>
    </w:p>
    <w:p w:rsidR="00B579A6" w:rsidRDefault="007C50A3" w:rsidP="00787976">
      <w:pPr>
        <w:spacing w:line="480" w:lineRule="auto"/>
        <w:ind w:left="720"/>
        <w:jc w:val="both"/>
        <w:rPr>
          <w:bCs/>
        </w:rPr>
      </w:pPr>
      <w:r>
        <w:rPr>
          <w:bCs/>
        </w:rPr>
        <w:t xml:space="preserve">The analysis </w:t>
      </w:r>
      <w:r w:rsidR="009E1549">
        <w:rPr>
          <w:bCs/>
        </w:rPr>
        <w:t xml:space="preserve">begins with </w:t>
      </w:r>
      <w:r>
        <w:rPr>
          <w:bCs/>
        </w:rPr>
        <w:t>illustrative</w:t>
      </w:r>
      <w:r w:rsidR="00E50D58">
        <w:rPr>
          <w:bCs/>
        </w:rPr>
        <w:t xml:space="preserve"> 2007 </w:t>
      </w:r>
      <w:r w:rsidR="00D774C5">
        <w:rPr>
          <w:bCs/>
        </w:rPr>
        <w:t xml:space="preserve">figures </w:t>
      </w:r>
      <w:r w:rsidR="00E50D58">
        <w:rPr>
          <w:bCs/>
        </w:rPr>
        <w:t>(the middle year of the fiv</w:t>
      </w:r>
      <w:r w:rsidR="00D774C5">
        <w:rPr>
          <w:bCs/>
        </w:rPr>
        <w:t>e-</w:t>
      </w:r>
      <w:r w:rsidR="00E50D58">
        <w:rPr>
          <w:bCs/>
        </w:rPr>
        <w:t>year benchmark period</w:t>
      </w:r>
      <w:r w:rsidR="00DA15B7">
        <w:rPr>
          <w:bCs/>
        </w:rPr>
        <w:t>, which for lines and capex are assumed to be approximately the average for the five-year period</w:t>
      </w:r>
      <w:r w:rsidR="00E50D58">
        <w:rPr>
          <w:bCs/>
        </w:rPr>
        <w:t>),</w:t>
      </w:r>
      <w:r w:rsidR="00787976">
        <w:rPr>
          <w:bCs/>
        </w:rPr>
        <w:t xml:space="preserve"> </w:t>
      </w:r>
      <w:r>
        <w:rPr>
          <w:bCs/>
        </w:rPr>
        <w:t xml:space="preserve">assuming </w:t>
      </w:r>
      <w:r w:rsidR="00787976">
        <w:rPr>
          <w:bCs/>
        </w:rPr>
        <w:t xml:space="preserve">the combined company averaged </w:t>
      </w:r>
      <w:r w:rsidR="00E50D58">
        <w:rPr>
          <w:bCs/>
        </w:rPr>
        <w:t>$10,000 in total cap</w:t>
      </w:r>
      <w:r w:rsidR="00AE7E77">
        <w:rPr>
          <w:bCs/>
        </w:rPr>
        <w:t xml:space="preserve">ital </w:t>
      </w:r>
      <w:r w:rsidR="00E50D58">
        <w:rPr>
          <w:bCs/>
        </w:rPr>
        <w:t>ex</w:t>
      </w:r>
      <w:r w:rsidR="00AE7E77">
        <w:rPr>
          <w:bCs/>
        </w:rPr>
        <w:t>penditures</w:t>
      </w:r>
      <w:r w:rsidR="00E50D58">
        <w:rPr>
          <w:bCs/>
        </w:rPr>
        <w:t xml:space="preserve"> and </w:t>
      </w:r>
      <w:r>
        <w:rPr>
          <w:bCs/>
        </w:rPr>
        <w:t>had</w:t>
      </w:r>
      <w:r w:rsidR="00D774C5">
        <w:rPr>
          <w:bCs/>
        </w:rPr>
        <w:t xml:space="preserve"> </w:t>
      </w:r>
      <w:r w:rsidR="00E50D58">
        <w:rPr>
          <w:bCs/>
        </w:rPr>
        <w:t xml:space="preserve">100 </w:t>
      </w:r>
      <w:r w:rsidR="00EE0444">
        <w:rPr>
          <w:bCs/>
        </w:rPr>
        <w:t xml:space="preserve">average access </w:t>
      </w:r>
      <w:r w:rsidR="00E50D58">
        <w:rPr>
          <w:bCs/>
        </w:rPr>
        <w:t>lines</w:t>
      </w:r>
      <w:r>
        <w:rPr>
          <w:bCs/>
        </w:rPr>
        <w:t xml:space="preserve"> in that year.  Thus,</w:t>
      </w:r>
      <w:r w:rsidR="00E50D58">
        <w:rPr>
          <w:bCs/>
        </w:rPr>
        <w:t xml:space="preserve"> </w:t>
      </w:r>
      <w:r w:rsidR="006016EC">
        <w:rPr>
          <w:bCs/>
        </w:rPr>
        <w:t xml:space="preserve">in 2007 </w:t>
      </w:r>
      <w:r w:rsidR="00E50D58">
        <w:rPr>
          <w:bCs/>
        </w:rPr>
        <w:t>the pro forma company would have invested $100 per average line</w:t>
      </w:r>
      <w:r>
        <w:rPr>
          <w:bCs/>
        </w:rPr>
        <w:t xml:space="preserve"> in the hypothetical</w:t>
      </w:r>
      <w:r w:rsidR="00D774C5">
        <w:rPr>
          <w:bCs/>
        </w:rPr>
        <w:t xml:space="preserve"> analysis</w:t>
      </w:r>
      <w:r w:rsidR="00E50D58">
        <w:rPr>
          <w:bCs/>
        </w:rPr>
        <w:t xml:space="preserve">.  If </w:t>
      </w:r>
      <w:r w:rsidR="00D774C5">
        <w:rPr>
          <w:bCs/>
        </w:rPr>
        <w:t>one</w:t>
      </w:r>
      <w:r w:rsidR="00E50D58">
        <w:rPr>
          <w:bCs/>
        </w:rPr>
        <w:t xml:space="preserve"> assumed that access lines were contracting annually at an 8</w:t>
      </w:r>
      <w:r w:rsidR="00005806">
        <w:rPr>
          <w:bCs/>
        </w:rPr>
        <w:t>.5</w:t>
      </w:r>
      <w:r w:rsidR="00E50D58">
        <w:rPr>
          <w:bCs/>
        </w:rPr>
        <w:t>% rate, the effect by 2013 (if that were the third year</w:t>
      </w:r>
      <w:r w:rsidR="00EE0444">
        <w:rPr>
          <w:bCs/>
        </w:rPr>
        <w:t xml:space="preserve"> according to Condition 43</w:t>
      </w:r>
      <w:r w:rsidR="00E50D58">
        <w:rPr>
          <w:bCs/>
        </w:rPr>
        <w:t xml:space="preserve">) would be to </w:t>
      </w:r>
      <w:r w:rsidR="00E50D58">
        <w:rPr>
          <w:bCs/>
          <w:i/>
        </w:rPr>
        <w:t>increase</w:t>
      </w:r>
      <w:r w:rsidR="00E50D58">
        <w:rPr>
          <w:bCs/>
        </w:rPr>
        <w:t xml:space="preserve"> the investment per line by </w:t>
      </w:r>
      <w:r w:rsidR="00005806">
        <w:rPr>
          <w:bCs/>
        </w:rPr>
        <w:t>70</w:t>
      </w:r>
      <w:r w:rsidR="00E50D58">
        <w:rPr>
          <w:bCs/>
        </w:rPr>
        <w:t xml:space="preserve">% (that is, </w:t>
      </w:r>
      <w:r w:rsidR="00005806">
        <w:rPr>
          <w:bCs/>
        </w:rPr>
        <w:t>170</w:t>
      </w:r>
      <w:r w:rsidR="00EE0444">
        <w:rPr>
          <w:bCs/>
        </w:rPr>
        <w:t xml:space="preserve">% </w:t>
      </w:r>
      <w:r w:rsidR="006C326E">
        <w:rPr>
          <w:bCs/>
        </w:rPr>
        <w:t>of the 2007 cap</w:t>
      </w:r>
      <w:r w:rsidR="00C4542B">
        <w:rPr>
          <w:bCs/>
        </w:rPr>
        <w:t xml:space="preserve">ital </w:t>
      </w:r>
      <w:r w:rsidR="006C326E">
        <w:rPr>
          <w:bCs/>
        </w:rPr>
        <w:t>ex</w:t>
      </w:r>
      <w:r w:rsidR="00C4542B">
        <w:rPr>
          <w:bCs/>
        </w:rPr>
        <w:t>penditures per line</w:t>
      </w:r>
      <w:r w:rsidR="006C326E">
        <w:rPr>
          <w:bCs/>
        </w:rPr>
        <w:t>), or</w:t>
      </w:r>
      <w:r w:rsidR="00C4542B">
        <w:rPr>
          <w:bCs/>
        </w:rPr>
        <w:t xml:space="preserve"> to</w:t>
      </w:r>
      <w:r w:rsidR="006C326E">
        <w:rPr>
          <w:bCs/>
        </w:rPr>
        <w:t xml:space="preserve"> </w:t>
      </w:r>
      <w:r w:rsidR="006C326E">
        <w:rPr>
          <w:bCs/>
          <w:i/>
        </w:rPr>
        <w:t>increase</w:t>
      </w:r>
      <w:r w:rsidR="006C326E">
        <w:rPr>
          <w:bCs/>
        </w:rPr>
        <w:t xml:space="preserve"> the investment per line by</w:t>
      </w:r>
      <w:r>
        <w:rPr>
          <w:bCs/>
        </w:rPr>
        <w:t xml:space="preserve"> </w:t>
      </w:r>
      <w:r w:rsidR="00005806">
        <w:rPr>
          <w:bCs/>
        </w:rPr>
        <w:t>86</w:t>
      </w:r>
      <w:r>
        <w:rPr>
          <w:bCs/>
        </w:rPr>
        <w:t xml:space="preserve">% (that is, </w:t>
      </w:r>
      <w:r w:rsidR="00005806">
        <w:rPr>
          <w:bCs/>
        </w:rPr>
        <w:t>186</w:t>
      </w:r>
      <w:r>
        <w:rPr>
          <w:bCs/>
        </w:rPr>
        <w:t>% of the</w:t>
      </w:r>
      <w:r w:rsidR="006C326E">
        <w:rPr>
          <w:bCs/>
        </w:rPr>
        <w:t xml:space="preserve"> 2007</w:t>
      </w:r>
      <w:r>
        <w:rPr>
          <w:bCs/>
        </w:rPr>
        <w:t xml:space="preserve"> cap</w:t>
      </w:r>
      <w:r w:rsidR="00C4542B">
        <w:rPr>
          <w:bCs/>
        </w:rPr>
        <w:t xml:space="preserve">ital </w:t>
      </w:r>
      <w:r>
        <w:rPr>
          <w:bCs/>
        </w:rPr>
        <w:t>ex</w:t>
      </w:r>
      <w:r w:rsidR="00C4542B">
        <w:rPr>
          <w:bCs/>
        </w:rPr>
        <w:t>penditures per line</w:t>
      </w:r>
      <w:r w:rsidR="006C326E">
        <w:rPr>
          <w:bCs/>
        </w:rPr>
        <w:t xml:space="preserve">) if 2014 were the third year.  </w:t>
      </w:r>
      <w:r w:rsidR="00EE0444">
        <w:rPr>
          <w:bCs/>
        </w:rPr>
        <w:t>The access line contraction might be higher or lower than</w:t>
      </w:r>
      <w:r w:rsidR="006C326E">
        <w:rPr>
          <w:bCs/>
        </w:rPr>
        <w:t xml:space="preserve"> 8</w:t>
      </w:r>
      <w:r w:rsidR="00005806">
        <w:rPr>
          <w:bCs/>
        </w:rPr>
        <w:t>.5</w:t>
      </w:r>
      <w:r w:rsidR="006C326E">
        <w:rPr>
          <w:bCs/>
        </w:rPr>
        <w:t xml:space="preserve">%, but </w:t>
      </w:r>
      <w:r w:rsidR="00D774C5">
        <w:rPr>
          <w:bCs/>
        </w:rPr>
        <w:t>CenturyLink suggests that 8</w:t>
      </w:r>
      <w:r w:rsidR="00005806">
        <w:rPr>
          <w:bCs/>
        </w:rPr>
        <w:t>.5</w:t>
      </w:r>
      <w:r w:rsidR="00D774C5">
        <w:rPr>
          <w:bCs/>
        </w:rPr>
        <w:t xml:space="preserve">% </w:t>
      </w:r>
      <w:r w:rsidR="00EE0444">
        <w:rPr>
          <w:bCs/>
        </w:rPr>
        <w:t>is a reasonable figure as</w:t>
      </w:r>
      <w:r w:rsidR="006C326E">
        <w:rPr>
          <w:bCs/>
        </w:rPr>
        <w:t xml:space="preserve"> </w:t>
      </w:r>
      <w:r w:rsidR="00CD7E64">
        <w:rPr>
          <w:bCs/>
        </w:rPr>
        <w:t>CenturyLink’s pro forma</w:t>
      </w:r>
      <w:r w:rsidR="006C326E">
        <w:rPr>
          <w:rStyle w:val="FootnoteReference"/>
          <w:bCs/>
        </w:rPr>
        <w:footnoteReference w:id="50"/>
      </w:r>
      <w:r w:rsidR="00CD7E64">
        <w:rPr>
          <w:bCs/>
        </w:rPr>
        <w:t xml:space="preserve"> company-wide annual line loss </w:t>
      </w:r>
      <w:r w:rsidR="00EE0444">
        <w:rPr>
          <w:bCs/>
        </w:rPr>
        <w:t>was reported as</w:t>
      </w:r>
      <w:r w:rsidR="00CD7E64">
        <w:rPr>
          <w:bCs/>
        </w:rPr>
        <w:t xml:space="preserve"> 8</w:t>
      </w:r>
      <w:r w:rsidR="00005806">
        <w:rPr>
          <w:bCs/>
        </w:rPr>
        <w:t>.0</w:t>
      </w:r>
      <w:r w:rsidR="00CD7E64">
        <w:rPr>
          <w:bCs/>
        </w:rPr>
        <w:t xml:space="preserve">% in the </w:t>
      </w:r>
      <w:r w:rsidR="00CD7E64">
        <w:rPr>
          <w:bCs/>
        </w:rPr>
        <w:lastRenderedPageBreak/>
        <w:t xml:space="preserve">second quarter of 2010 and </w:t>
      </w:r>
      <w:r w:rsidR="00B579A6">
        <w:rPr>
          <w:bCs/>
        </w:rPr>
        <w:t>Qwest’</w:t>
      </w:r>
      <w:r w:rsidR="00EF3FFB">
        <w:rPr>
          <w:bCs/>
        </w:rPr>
        <w:t xml:space="preserve">s current </w:t>
      </w:r>
      <w:r w:rsidR="00D132AD">
        <w:rPr>
          <w:bCs/>
        </w:rPr>
        <w:t xml:space="preserve">annual </w:t>
      </w:r>
      <w:r w:rsidR="00EF3FFB">
        <w:rPr>
          <w:bCs/>
        </w:rPr>
        <w:t xml:space="preserve">rate of </w:t>
      </w:r>
      <w:r w:rsidR="000D2D44">
        <w:rPr>
          <w:bCs/>
        </w:rPr>
        <w:t xml:space="preserve">total </w:t>
      </w:r>
      <w:r w:rsidR="00D132AD">
        <w:rPr>
          <w:bCs/>
        </w:rPr>
        <w:t xml:space="preserve">access line </w:t>
      </w:r>
      <w:r w:rsidR="00EF3FFB">
        <w:rPr>
          <w:bCs/>
        </w:rPr>
        <w:t>decline</w:t>
      </w:r>
      <w:r w:rsidR="001B0BD1">
        <w:rPr>
          <w:bCs/>
        </w:rPr>
        <w:t xml:space="preserve"> </w:t>
      </w:r>
      <w:r w:rsidR="00D132AD">
        <w:rPr>
          <w:bCs/>
        </w:rPr>
        <w:t xml:space="preserve">was </w:t>
      </w:r>
      <w:r w:rsidR="001B0BD1">
        <w:rPr>
          <w:bCs/>
        </w:rPr>
        <w:t xml:space="preserve">reported at </w:t>
      </w:r>
      <w:r w:rsidR="00B83627">
        <w:rPr>
          <w:bCs/>
        </w:rPr>
        <w:t>10.</w:t>
      </w:r>
      <w:r w:rsidR="00CD7E64">
        <w:rPr>
          <w:bCs/>
        </w:rPr>
        <w:t>5</w:t>
      </w:r>
      <w:r w:rsidR="00B83627">
        <w:rPr>
          <w:bCs/>
        </w:rPr>
        <w:t>% in the second quarter of 2010</w:t>
      </w:r>
      <w:r w:rsidR="001B0BD1">
        <w:rPr>
          <w:bCs/>
        </w:rPr>
        <w:t>.</w:t>
      </w:r>
      <w:r w:rsidR="00C20F8B">
        <w:rPr>
          <w:bCs/>
        </w:rPr>
        <w:t xml:space="preserve"> </w:t>
      </w:r>
      <w:r w:rsidR="00EE0444">
        <w:rPr>
          <w:bCs/>
        </w:rPr>
        <w:t xml:space="preserve"> If a</w:t>
      </w:r>
      <w:r w:rsidR="00C4542B">
        <w:rPr>
          <w:bCs/>
        </w:rPr>
        <w:t>n access line loss rate</w:t>
      </w:r>
      <w:r w:rsidR="00977977">
        <w:rPr>
          <w:bCs/>
        </w:rPr>
        <w:t xml:space="preserve"> </w:t>
      </w:r>
      <w:r w:rsidR="00EE0444">
        <w:rPr>
          <w:bCs/>
        </w:rPr>
        <w:t>higher than 8</w:t>
      </w:r>
      <w:r w:rsidR="00DA15B7">
        <w:rPr>
          <w:bCs/>
        </w:rPr>
        <w:t>.5</w:t>
      </w:r>
      <w:r w:rsidR="00EE0444">
        <w:rPr>
          <w:bCs/>
        </w:rPr>
        <w:t xml:space="preserve">% were assumed in the illustration, the per-line investment percentage </w:t>
      </w:r>
      <w:r w:rsidR="00C4542B">
        <w:rPr>
          <w:bCs/>
        </w:rPr>
        <w:t xml:space="preserve">increases </w:t>
      </w:r>
      <w:r w:rsidR="00D774C5">
        <w:rPr>
          <w:bCs/>
        </w:rPr>
        <w:t>would be</w:t>
      </w:r>
      <w:r w:rsidR="00EE0444">
        <w:rPr>
          <w:bCs/>
        </w:rPr>
        <w:t xml:space="preserve"> </w:t>
      </w:r>
      <w:r w:rsidR="00EE0444" w:rsidRPr="00D774C5">
        <w:rPr>
          <w:bCs/>
          <w:i/>
        </w:rPr>
        <w:t>higher still</w:t>
      </w:r>
      <w:r w:rsidR="00EE0444">
        <w:rPr>
          <w:bCs/>
        </w:rPr>
        <w:t xml:space="preserve">. </w:t>
      </w:r>
      <w:r w:rsidR="00977977">
        <w:rPr>
          <w:bCs/>
        </w:rPr>
        <w:t xml:space="preserve"> Such a</w:t>
      </w:r>
      <w:r w:rsidR="00C4542B">
        <w:rPr>
          <w:bCs/>
        </w:rPr>
        <w:t xml:space="preserve"> formulaic</w:t>
      </w:r>
      <w:r w:rsidR="00977977">
        <w:rPr>
          <w:bCs/>
        </w:rPr>
        <w:t xml:space="preserve"> increase in per-line investment would almost certainly be </w:t>
      </w:r>
      <w:r w:rsidR="00C4542B">
        <w:rPr>
          <w:bCs/>
        </w:rPr>
        <w:t>economically unjustifiable and in all probability requires over-investment that could harm, not benefit, Washington ratepayers</w:t>
      </w:r>
      <w:r w:rsidR="00977977">
        <w:rPr>
          <w:bCs/>
        </w:rPr>
        <w:t>.</w:t>
      </w:r>
      <w:r w:rsidR="00EE0444">
        <w:rPr>
          <w:bCs/>
        </w:rPr>
        <w:t xml:space="preserve"> </w:t>
      </w:r>
      <w:r w:rsidR="00852212">
        <w:rPr>
          <w:bCs/>
        </w:rPr>
        <w:t xml:space="preserve">   </w:t>
      </w:r>
      <w:r w:rsidR="005C41E2">
        <w:rPr>
          <w:bCs/>
        </w:rPr>
        <w:t xml:space="preserve"> </w:t>
      </w:r>
    </w:p>
    <w:p w:rsidR="005C41E2" w:rsidRDefault="005C41E2" w:rsidP="004710C3">
      <w:pPr>
        <w:spacing w:line="480" w:lineRule="auto"/>
        <w:ind w:left="720" w:hanging="720"/>
        <w:jc w:val="both"/>
        <w:rPr>
          <w:bCs/>
        </w:rPr>
      </w:pPr>
    </w:p>
    <w:p w:rsidR="005C41E2" w:rsidRDefault="005C41E2" w:rsidP="004710C3">
      <w:pPr>
        <w:spacing w:line="480" w:lineRule="auto"/>
        <w:ind w:left="720" w:hanging="720"/>
        <w:jc w:val="both"/>
        <w:rPr>
          <w:b/>
          <w:bCs/>
        </w:rPr>
      </w:pPr>
      <w:r>
        <w:rPr>
          <w:b/>
          <w:bCs/>
        </w:rPr>
        <w:t>Q.</w:t>
      </w:r>
      <w:r>
        <w:rPr>
          <w:b/>
          <w:bCs/>
        </w:rPr>
        <w:tab/>
      </w:r>
      <w:r w:rsidRPr="00112F5F">
        <w:rPr>
          <w:rFonts w:ascii="Times New Roman Bold" w:hAnsi="Times New Roman Bold"/>
          <w:b/>
          <w:bCs/>
          <w:caps/>
        </w:rPr>
        <w:t>Are there other ob</w:t>
      </w:r>
      <w:r w:rsidR="00B31EA5" w:rsidRPr="00112F5F">
        <w:rPr>
          <w:rFonts w:ascii="Times New Roman Bold" w:hAnsi="Times New Roman Bold"/>
          <w:b/>
          <w:bCs/>
          <w:caps/>
        </w:rPr>
        <w:t xml:space="preserve">jections to </w:t>
      </w:r>
      <w:r w:rsidR="001D2918" w:rsidRPr="00112F5F">
        <w:rPr>
          <w:rFonts w:ascii="Times New Roman Bold" w:hAnsi="Times New Roman Bold"/>
          <w:b/>
          <w:bCs/>
          <w:caps/>
        </w:rPr>
        <w:t xml:space="preserve">proposed </w:t>
      </w:r>
      <w:r w:rsidR="00B31EA5" w:rsidRPr="00112F5F">
        <w:rPr>
          <w:rFonts w:ascii="Times New Roman Bold" w:hAnsi="Times New Roman Bold"/>
          <w:b/>
          <w:bCs/>
          <w:caps/>
        </w:rPr>
        <w:t>Staff C</w:t>
      </w:r>
      <w:r w:rsidRPr="00112F5F">
        <w:rPr>
          <w:rFonts w:ascii="Times New Roman Bold" w:hAnsi="Times New Roman Bold"/>
          <w:b/>
          <w:bCs/>
          <w:caps/>
        </w:rPr>
        <w:t xml:space="preserve">ondition </w:t>
      </w:r>
      <w:r w:rsidR="00EE0444" w:rsidRPr="00112F5F">
        <w:rPr>
          <w:rFonts w:ascii="Times New Roman Bold" w:hAnsi="Times New Roman Bold"/>
          <w:b/>
          <w:bCs/>
          <w:caps/>
        </w:rPr>
        <w:t>43</w:t>
      </w:r>
      <w:r>
        <w:rPr>
          <w:b/>
          <w:bCs/>
        </w:rPr>
        <w:t>?</w:t>
      </w:r>
    </w:p>
    <w:p w:rsidR="005C41E2" w:rsidRDefault="005C41E2" w:rsidP="004710C3">
      <w:pPr>
        <w:spacing w:line="480" w:lineRule="auto"/>
        <w:ind w:left="720" w:hanging="720"/>
        <w:jc w:val="both"/>
        <w:rPr>
          <w:bCs/>
        </w:rPr>
      </w:pPr>
      <w:r>
        <w:rPr>
          <w:bCs/>
        </w:rPr>
        <w:t>A.</w:t>
      </w:r>
      <w:r>
        <w:rPr>
          <w:bCs/>
        </w:rPr>
        <w:tab/>
        <w:t>Yes.  There</w:t>
      </w:r>
      <w:r w:rsidR="00126BCA">
        <w:rPr>
          <w:bCs/>
        </w:rPr>
        <w:t xml:space="preserve"> are several other problems with C</w:t>
      </w:r>
      <w:r>
        <w:rPr>
          <w:bCs/>
        </w:rPr>
        <w:t>ondition</w:t>
      </w:r>
      <w:r w:rsidR="00EE0444">
        <w:rPr>
          <w:bCs/>
        </w:rPr>
        <w:t xml:space="preserve"> 43</w:t>
      </w:r>
      <w:r>
        <w:rPr>
          <w:bCs/>
        </w:rPr>
        <w:t xml:space="preserve">.  First, capital expenditures </w:t>
      </w:r>
      <w:r w:rsidR="00E25F51">
        <w:rPr>
          <w:bCs/>
        </w:rPr>
        <w:t xml:space="preserve">in a state (or on a company-wide basis) </w:t>
      </w:r>
      <w:r>
        <w:rPr>
          <w:bCs/>
        </w:rPr>
        <w:t>are higher or lower in a</w:t>
      </w:r>
      <w:r w:rsidR="00AB098B">
        <w:rPr>
          <w:bCs/>
        </w:rPr>
        <w:t>ny given</w:t>
      </w:r>
      <w:r>
        <w:rPr>
          <w:bCs/>
        </w:rPr>
        <w:t xml:space="preserve"> year due</w:t>
      </w:r>
      <w:r w:rsidR="00DC3552">
        <w:rPr>
          <w:bCs/>
        </w:rPr>
        <w:t>, for example,</w:t>
      </w:r>
      <w:r>
        <w:rPr>
          <w:bCs/>
        </w:rPr>
        <w:t xml:space="preserve"> to whether there is a need for replacement of higher</w:t>
      </w:r>
      <w:r w:rsidR="00CE6712">
        <w:rPr>
          <w:bCs/>
        </w:rPr>
        <w:t>-</w:t>
      </w:r>
      <w:r>
        <w:rPr>
          <w:bCs/>
        </w:rPr>
        <w:t>cost components such as switches, expansion of network</w:t>
      </w:r>
      <w:r w:rsidR="005555A8">
        <w:rPr>
          <w:bCs/>
        </w:rPr>
        <w:t xml:space="preserve"> because of economic growth</w:t>
      </w:r>
      <w:r>
        <w:rPr>
          <w:bCs/>
        </w:rPr>
        <w:t>, or fiber builds to businesses or homes, among other</w:t>
      </w:r>
      <w:r w:rsidR="00E25F51">
        <w:rPr>
          <w:bCs/>
        </w:rPr>
        <w:t xml:space="preserve"> factor</w:t>
      </w:r>
      <w:r>
        <w:rPr>
          <w:bCs/>
        </w:rPr>
        <w:t xml:space="preserve">s.  It is not prudent </w:t>
      </w:r>
      <w:r w:rsidR="000502BA">
        <w:rPr>
          <w:bCs/>
        </w:rPr>
        <w:t xml:space="preserve">for the Commission </w:t>
      </w:r>
      <w:r>
        <w:rPr>
          <w:bCs/>
        </w:rPr>
        <w:t xml:space="preserve">to </w:t>
      </w:r>
      <w:r w:rsidR="00A41BCF">
        <w:rPr>
          <w:bCs/>
        </w:rPr>
        <w:t xml:space="preserve">compel </w:t>
      </w:r>
      <w:r w:rsidR="00126BCA">
        <w:rPr>
          <w:bCs/>
        </w:rPr>
        <w:t xml:space="preserve">a </w:t>
      </w:r>
      <w:r>
        <w:rPr>
          <w:bCs/>
        </w:rPr>
        <w:t>company</w:t>
      </w:r>
      <w:r w:rsidR="00CE6712">
        <w:rPr>
          <w:bCs/>
        </w:rPr>
        <w:t xml:space="preserve"> </w:t>
      </w:r>
      <w:r w:rsidR="00126BCA">
        <w:rPr>
          <w:bCs/>
        </w:rPr>
        <w:t xml:space="preserve">to </w:t>
      </w:r>
      <w:r w:rsidR="00A41BCF">
        <w:rPr>
          <w:bCs/>
        </w:rPr>
        <w:t>dedicate any sp</w:t>
      </w:r>
      <w:r>
        <w:rPr>
          <w:bCs/>
        </w:rPr>
        <w:t xml:space="preserve">ecific </w:t>
      </w:r>
      <w:r w:rsidR="00A41BCF">
        <w:rPr>
          <w:bCs/>
        </w:rPr>
        <w:t xml:space="preserve">level of </w:t>
      </w:r>
      <w:r>
        <w:rPr>
          <w:bCs/>
        </w:rPr>
        <w:t>capital expenditure</w:t>
      </w:r>
      <w:r w:rsidR="00A41BCF">
        <w:rPr>
          <w:bCs/>
        </w:rPr>
        <w:t>s, particularly</w:t>
      </w:r>
      <w:r>
        <w:rPr>
          <w:bCs/>
        </w:rPr>
        <w:t xml:space="preserve"> when the Commission is able to monitor </w:t>
      </w:r>
      <w:r w:rsidR="00A41BCF">
        <w:rPr>
          <w:bCs/>
        </w:rPr>
        <w:t xml:space="preserve">the </w:t>
      </w:r>
      <w:r w:rsidR="00E25F51">
        <w:rPr>
          <w:bCs/>
        </w:rPr>
        <w:t>performance of the network and customer satisfaction</w:t>
      </w:r>
      <w:r w:rsidR="00126BCA">
        <w:rPr>
          <w:bCs/>
        </w:rPr>
        <w:t xml:space="preserve"> in terms of</w:t>
      </w:r>
      <w:r>
        <w:rPr>
          <w:bCs/>
        </w:rPr>
        <w:t xml:space="preserve"> </w:t>
      </w:r>
      <w:r w:rsidR="00E25F51">
        <w:rPr>
          <w:bCs/>
        </w:rPr>
        <w:t xml:space="preserve">existing </w:t>
      </w:r>
      <w:r>
        <w:rPr>
          <w:bCs/>
        </w:rPr>
        <w:t>service quality</w:t>
      </w:r>
      <w:r w:rsidR="00E25F51">
        <w:rPr>
          <w:bCs/>
        </w:rPr>
        <w:t xml:space="preserve"> </w:t>
      </w:r>
      <w:r w:rsidR="008E2E37">
        <w:rPr>
          <w:bCs/>
        </w:rPr>
        <w:t>metrics</w:t>
      </w:r>
      <w:r w:rsidR="004272B5">
        <w:rPr>
          <w:bCs/>
        </w:rPr>
        <w:t>, which are the best test of ongoing service</w:t>
      </w:r>
      <w:r>
        <w:rPr>
          <w:bCs/>
        </w:rPr>
        <w:t xml:space="preserve">.  Second, </w:t>
      </w:r>
      <w:r w:rsidR="005555A8">
        <w:rPr>
          <w:bCs/>
        </w:rPr>
        <w:t xml:space="preserve">ILECs today are </w:t>
      </w:r>
      <w:r w:rsidR="00E25F51">
        <w:rPr>
          <w:bCs/>
        </w:rPr>
        <w:t xml:space="preserve">operating in </w:t>
      </w:r>
      <w:r w:rsidR="005555A8">
        <w:rPr>
          <w:bCs/>
        </w:rPr>
        <w:t>a highly competitive business</w:t>
      </w:r>
      <w:r w:rsidR="004272B5">
        <w:rPr>
          <w:bCs/>
        </w:rPr>
        <w:t xml:space="preserve"> that requires flexible allocations of capital</w:t>
      </w:r>
      <w:r w:rsidR="005555A8">
        <w:rPr>
          <w:bCs/>
        </w:rPr>
        <w:t>.  Conflicts for the use of capital include capital expenditures in other jurisdictions (e.g., service centers or transport) which could be beneficial to</w:t>
      </w:r>
      <w:r w:rsidR="00EE0444">
        <w:rPr>
          <w:bCs/>
        </w:rPr>
        <w:t xml:space="preserve"> Washington</w:t>
      </w:r>
      <w:r w:rsidR="005555A8">
        <w:rPr>
          <w:bCs/>
        </w:rPr>
        <w:t xml:space="preserve"> customers, debt repayment that ultimately may lower the per-unit costs of services, the acquisitions of new assets or service capabilities that benefit many or all customers, among others.  Accordingly, </w:t>
      </w:r>
      <w:r w:rsidR="00EE0444">
        <w:rPr>
          <w:bCs/>
        </w:rPr>
        <w:t xml:space="preserve">a </w:t>
      </w:r>
      <w:r w:rsidR="004C270A">
        <w:rPr>
          <w:bCs/>
        </w:rPr>
        <w:t>limitation</w:t>
      </w:r>
      <w:r w:rsidR="00AB098B">
        <w:rPr>
          <w:bCs/>
        </w:rPr>
        <w:t xml:space="preserve"> on the </w:t>
      </w:r>
      <w:r w:rsidR="00E25F51">
        <w:rPr>
          <w:bCs/>
        </w:rPr>
        <w:t>allocation</w:t>
      </w:r>
      <w:r w:rsidR="00AB098B">
        <w:rPr>
          <w:bCs/>
        </w:rPr>
        <w:t xml:space="preserve"> of capital is </w:t>
      </w:r>
      <w:r w:rsidR="005555A8">
        <w:rPr>
          <w:bCs/>
        </w:rPr>
        <w:t xml:space="preserve">potentially </w:t>
      </w:r>
      <w:r w:rsidR="00AB098B">
        <w:rPr>
          <w:bCs/>
        </w:rPr>
        <w:t xml:space="preserve">a </w:t>
      </w:r>
      <w:r w:rsidR="005555A8">
        <w:rPr>
          <w:bCs/>
        </w:rPr>
        <w:t>harmful approach</w:t>
      </w:r>
      <w:r w:rsidR="00126BCA">
        <w:rPr>
          <w:bCs/>
        </w:rPr>
        <w:t xml:space="preserve">, </w:t>
      </w:r>
      <w:r w:rsidR="008E2E37">
        <w:rPr>
          <w:bCs/>
        </w:rPr>
        <w:t xml:space="preserve">particularly </w:t>
      </w:r>
      <w:r w:rsidR="00126BCA">
        <w:rPr>
          <w:bCs/>
        </w:rPr>
        <w:t xml:space="preserve">when </w:t>
      </w:r>
      <w:r w:rsidR="008E2E37">
        <w:rPr>
          <w:bCs/>
        </w:rPr>
        <w:t xml:space="preserve">it is clear that </w:t>
      </w:r>
      <w:r w:rsidR="00126BCA">
        <w:rPr>
          <w:bCs/>
        </w:rPr>
        <w:t xml:space="preserve">customers derive benefits </w:t>
      </w:r>
      <w:r w:rsidR="00126BCA">
        <w:rPr>
          <w:bCs/>
        </w:rPr>
        <w:lastRenderedPageBreak/>
        <w:t xml:space="preserve">from </w:t>
      </w:r>
      <w:r w:rsidR="00E25F51">
        <w:rPr>
          <w:bCs/>
        </w:rPr>
        <w:t xml:space="preserve">a variety of </w:t>
      </w:r>
      <w:r w:rsidR="00126BCA">
        <w:rPr>
          <w:bCs/>
        </w:rPr>
        <w:t>uses of capital</w:t>
      </w:r>
      <w:r w:rsidR="004C270A">
        <w:rPr>
          <w:bCs/>
        </w:rPr>
        <w:t xml:space="preserve">.  </w:t>
      </w:r>
      <w:r w:rsidR="00E25F51">
        <w:t>Third, it is possible</w:t>
      </w:r>
      <w:r w:rsidR="00EE0444">
        <w:t xml:space="preserve"> that the</w:t>
      </w:r>
      <w:r w:rsidR="00E25F51">
        <w:t xml:space="preserve"> investment levels recommended by Staff will not be reasonable in light of the market demand, and the risk is that CenturyLink will be required to dedicate capital </w:t>
      </w:r>
      <w:r w:rsidR="00265FB1">
        <w:t xml:space="preserve">in </w:t>
      </w:r>
      <w:r w:rsidR="00EE0444">
        <w:t>Washington</w:t>
      </w:r>
      <w:r w:rsidR="00265FB1">
        <w:t xml:space="preserve"> </w:t>
      </w:r>
      <w:r w:rsidR="00E25F51">
        <w:t xml:space="preserve">in a way that is not economically justified, as noted above.  </w:t>
      </w:r>
      <w:r w:rsidR="00CE6712">
        <w:t xml:space="preserve">No such requirement exists at the present, and no potential harm has been demonstrated to justify such a condition. </w:t>
      </w:r>
      <w:r w:rsidR="00A0288F">
        <w:t xml:space="preserve"> </w:t>
      </w:r>
      <w:r w:rsidR="004C270A">
        <w:rPr>
          <w:bCs/>
        </w:rPr>
        <w:t xml:space="preserve">Finally, </w:t>
      </w:r>
      <w:r w:rsidR="00265FB1">
        <w:t xml:space="preserve">it is important to note that Moody's Investors Service (“Moody’s”) has indicated that its affirmation to-date of CenturyTel's </w:t>
      </w:r>
      <w:r w:rsidR="00505A5A">
        <w:t xml:space="preserve">credit </w:t>
      </w:r>
      <w:r w:rsidR="00265FB1">
        <w:t>ratings “assumes that any conditions that may be imposed will not have a material impact on the Company's financial profile.”</w:t>
      </w:r>
      <w:r w:rsidR="00265FB1">
        <w:rPr>
          <w:rStyle w:val="FootnoteReference"/>
        </w:rPr>
        <w:footnoteReference w:id="51"/>
      </w:r>
      <w:r w:rsidR="004C270A">
        <w:rPr>
          <w:bCs/>
        </w:rPr>
        <w:t xml:space="preserve">  </w:t>
      </w:r>
      <w:r w:rsidR="00265FB1">
        <w:t>CenturyLink is concerned that proposed conditions that have meaningful financial impacts</w:t>
      </w:r>
      <w:r w:rsidR="00A0288F">
        <w:t xml:space="preserve"> </w:t>
      </w:r>
      <w:r w:rsidR="00265FB1">
        <w:t xml:space="preserve">could be perceived by the credit rating agencies as negatively </w:t>
      </w:r>
      <w:r w:rsidR="00DC3552">
        <w:t>affecting</w:t>
      </w:r>
      <w:r w:rsidR="00265FB1">
        <w:t xml:space="preserve"> the Company’s financial profile.  Such a result would have the probable effect of </w:t>
      </w:r>
      <w:r w:rsidR="00EE0444">
        <w:t>increasing</w:t>
      </w:r>
      <w:r w:rsidR="00265FB1">
        <w:t xml:space="preserve"> the merged company’s cost of capital.  CenturyLink believes that this potentially unintended consequence of certain types of conditions should be given serious consideration by the Commission.  </w:t>
      </w:r>
      <w:r w:rsidR="004C270A">
        <w:rPr>
          <w:bCs/>
        </w:rPr>
        <w:t>The</w:t>
      </w:r>
      <w:r w:rsidR="00265FB1">
        <w:rPr>
          <w:bCs/>
        </w:rPr>
        <w:t>refore, Staff’s proposed</w:t>
      </w:r>
      <w:r w:rsidR="004C270A">
        <w:rPr>
          <w:bCs/>
        </w:rPr>
        <w:t xml:space="preserve"> </w:t>
      </w:r>
      <w:r w:rsidR="00265FB1">
        <w:rPr>
          <w:bCs/>
        </w:rPr>
        <w:t>C</w:t>
      </w:r>
      <w:r w:rsidR="004C270A">
        <w:rPr>
          <w:bCs/>
        </w:rPr>
        <w:t xml:space="preserve">ondition </w:t>
      </w:r>
      <w:r w:rsidR="00EE0444">
        <w:rPr>
          <w:bCs/>
        </w:rPr>
        <w:t>43</w:t>
      </w:r>
      <w:r w:rsidR="00265FB1">
        <w:rPr>
          <w:bCs/>
        </w:rPr>
        <w:t xml:space="preserve"> </w:t>
      </w:r>
      <w:r w:rsidR="004C270A">
        <w:rPr>
          <w:bCs/>
        </w:rPr>
        <w:t>is not acceptable to CenturyLink</w:t>
      </w:r>
      <w:r w:rsidR="00265FB1">
        <w:rPr>
          <w:bCs/>
        </w:rPr>
        <w:t xml:space="preserve"> </w:t>
      </w:r>
      <w:r w:rsidR="000502BA">
        <w:rPr>
          <w:bCs/>
        </w:rPr>
        <w:t>because</w:t>
      </w:r>
      <w:r w:rsidR="00265FB1">
        <w:rPr>
          <w:bCs/>
        </w:rPr>
        <w:t xml:space="preserve"> it is </w:t>
      </w:r>
      <w:r w:rsidR="004272B5">
        <w:rPr>
          <w:bCs/>
        </w:rPr>
        <w:t>in</w:t>
      </w:r>
      <w:r w:rsidR="00265FB1">
        <w:rPr>
          <w:bCs/>
        </w:rPr>
        <w:t xml:space="preserve">consistent with the current telecommunications business environment and is more likely to harm, rather than benefit, </w:t>
      </w:r>
      <w:r w:rsidR="000502BA">
        <w:rPr>
          <w:bCs/>
        </w:rPr>
        <w:t>Washington customers</w:t>
      </w:r>
      <w:r w:rsidR="004C270A">
        <w:rPr>
          <w:bCs/>
        </w:rPr>
        <w:t>.</w:t>
      </w:r>
    </w:p>
    <w:p w:rsidR="009965AE" w:rsidRDefault="009965AE" w:rsidP="004710C3">
      <w:pPr>
        <w:spacing w:line="480" w:lineRule="auto"/>
        <w:ind w:left="720" w:hanging="720"/>
        <w:jc w:val="both"/>
        <w:rPr>
          <w:bCs/>
        </w:rPr>
      </w:pPr>
    </w:p>
    <w:p w:rsidR="009965AE" w:rsidRPr="00112F5F" w:rsidRDefault="009965AE" w:rsidP="004710C3">
      <w:pPr>
        <w:spacing w:line="480" w:lineRule="auto"/>
        <w:ind w:left="720" w:hanging="720"/>
        <w:jc w:val="both"/>
        <w:rPr>
          <w:rFonts w:ascii="Times New Roman Bold" w:hAnsi="Times New Roman Bold"/>
          <w:b/>
          <w:bCs/>
          <w:caps/>
        </w:rPr>
      </w:pPr>
      <w:r>
        <w:rPr>
          <w:b/>
          <w:bCs/>
        </w:rPr>
        <w:t>Q.</w:t>
      </w:r>
      <w:r>
        <w:rPr>
          <w:b/>
          <w:bCs/>
        </w:rPr>
        <w:tab/>
      </w:r>
      <w:bookmarkStart w:id="2" w:name="VasconiMaintenance"/>
      <w:bookmarkEnd w:id="2"/>
      <w:r w:rsidRPr="00112F5F">
        <w:rPr>
          <w:rFonts w:ascii="Times New Roman Bold" w:hAnsi="Times New Roman Bold"/>
          <w:b/>
          <w:bCs/>
          <w:caps/>
        </w:rPr>
        <w:t xml:space="preserve">Please comment on </w:t>
      </w:r>
      <w:r w:rsidR="000D5A5B" w:rsidRPr="00112F5F">
        <w:rPr>
          <w:rFonts w:ascii="Times New Roman Bold" w:hAnsi="Times New Roman Bold"/>
          <w:b/>
          <w:bCs/>
          <w:caps/>
        </w:rPr>
        <w:t>Staff’s proposed</w:t>
      </w:r>
      <w:r w:rsidRPr="00112F5F">
        <w:rPr>
          <w:rFonts w:ascii="Times New Roman Bold" w:hAnsi="Times New Roman Bold"/>
          <w:b/>
          <w:bCs/>
          <w:caps/>
        </w:rPr>
        <w:t xml:space="preserve"> Condition 44.</w:t>
      </w:r>
    </w:p>
    <w:p w:rsidR="009965AE" w:rsidRDefault="009965AE" w:rsidP="004710C3">
      <w:pPr>
        <w:spacing w:line="480" w:lineRule="auto"/>
        <w:ind w:left="720" w:hanging="720"/>
        <w:jc w:val="both"/>
        <w:rPr>
          <w:bCs/>
        </w:rPr>
      </w:pPr>
      <w:r>
        <w:rPr>
          <w:bCs/>
        </w:rPr>
        <w:t>A.</w:t>
      </w:r>
      <w:r>
        <w:rPr>
          <w:bCs/>
        </w:rPr>
        <w:tab/>
        <w:t xml:space="preserve">Mr. Vasconi proposes that maintenance capital expenditures </w:t>
      </w:r>
      <w:r w:rsidR="000D5A5B">
        <w:rPr>
          <w:bCs/>
        </w:rPr>
        <w:t xml:space="preserve">for the CenturyLink and Qwest operations in Washington </w:t>
      </w:r>
      <w:r>
        <w:rPr>
          <w:bCs/>
        </w:rPr>
        <w:t>should remain at the same lev</w:t>
      </w:r>
      <w:r w:rsidR="0022225A">
        <w:rPr>
          <w:bCs/>
        </w:rPr>
        <w:t xml:space="preserve">el as that of the average </w:t>
      </w:r>
      <w:r w:rsidR="0022225A">
        <w:rPr>
          <w:bCs/>
        </w:rPr>
        <w:lastRenderedPageBreak/>
        <w:t>annual maintenance capital expenditures</w:t>
      </w:r>
      <w:r>
        <w:rPr>
          <w:bCs/>
        </w:rPr>
        <w:t xml:space="preserve"> between the years 2005 and 2009.</w:t>
      </w:r>
      <w:r w:rsidR="0022225A">
        <w:rPr>
          <w:rStyle w:val="FootnoteReference"/>
          <w:bCs/>
        </w:rPr>
        <w:footnoteReference w:id="52"/>
      </w:r>
      <w:r w:rsidR="00AC446F">
        <w:rPr>
          <w:bCs/>
        </w:rPr>
        <w:t xml:space="preserve">  </w:t>
      </w:r>
      <w:r w:rsidR="00DC689D">
        <w:rPr>
          <w:bCs/>
        </w:rPr>
        <w:t>P</w:t>
      </w:r>
      <w:r w:rsidR="00AC446F">
        <w:rPr>
          <w:bCs/>
        </w:rPr>
        <w:t xml:space="preserve">roposed Condition </w:t>
      </w:r>
      <w:r w:rsidR="00DC689D">
        <w:rPr>
          <w:bCs/>
        </w:rPr>
        <w:t xml:space="preserve">44, which appears to be a subset of proposed Condition 43, </w:t>
      </w:r>
      <w:r w:rsidR="00AC446F">
        <w:rPr>
          <w:bCs/>
        </w:rPr>
        <w:t xml:space="preserve">is objectionable for virtually the same reasons as I outlined above </w:t>
      </w:r>
      <w:r w:rsidR="00DC689D">
        <w:rPr>
          <w:bCs/>
        </w:rPr>
        <w:t>in response</w:t>
      </w:r>
      <w:r w:rsidR="00AC446F">
        <w:rPr>
          <w:bCs/>
        </w:rPr>
        <w:t xml:space="preserve"> to </w:t>
      </w:r>
      <w:r w:rsidR="00DC689D">
        <w:rPr>
          <w:bCs/>
        </w:rPr>
        <w:t xml:space="preserve">proposed </w:t>
      </w:r>
      <w:r w:rsidR="00AC446F">
        <w:rPr>
          <w:bCs/>
        </w:rPr>
        <w:t xml:space="preserve">Condition 43.  That is, </w:t>
      </w:r>
      <w:r w:rsidR="00DC689D">
        <w:rPr>
          <w:bCs/>
        </w:rPr>
        <w:t xml:space="preserve">as access lines contract and maintenance investment is held constant, </w:t>
      </w:r>
      <w:r w:rsidR="00AC446F">
        <w:rPr>
          <w:bCs/>
        </w:rPr>
        <w:t>the growth in per-lin</w:t>
      </w:r>
      <w:r w:rsidR="007B7F92">
        <w:rPr>
          <w:bCs/>
        </w:rPr>
        <w:t xml:space="preserve">e </w:t>
      </w:r>
      <w:r w:rsidR="00DC689D">
        <w:rPr>
          <w:bCs/>
        </w:rPr>
        <w:t xml:space="preserve">maintenance </w:t>
      </w:r>
      <w:r w:rsidR="007B7F92">
        <w:rPr>
          <w:bCs/>
        </w:rPr>
        <w:t xml:space="preserve">capital expenditures </w:t>
      </w:r>
      <w:r w:rsidR="00DC689D">
        <w:rPr>
          <w:bCs/>
        </w:rPr>
        <w:t xml:space="preserve">would be expected to </w:t>
      </w:r>
      <w:r w:rsidR="007B7F92">
        <w:rPr>
          <w:bCs/>
        </w:rPr>
        <w:t>expand</w:t>
      </w:r>
      <w:r w:rsidR="00AC446F">
        <w:rPr>
          <w:bCs/>
        </w:rPr>
        <w:t xml:space="preserve"> at </w:t>
      </w:r>
      <w:r w:rsidR="00DC689D">
        <w:rPr>
          <w:bCs/>
        </w:rPr>
        <w:t>high</w:t>
      </w:r>
      <w:r w:rsidR="007B7F92">
        <w:rPr>
          <w:bCs/>
        </w:rPr>
        <w:t xml:space="preserve"> </w:t>
      </w:r>
      <w:r w:rsidR="00AC446F">
        <w:rPr>
          <w:bCs/>
        </w:rPr>
        <w:t>rates</w:t>
      </w:r>
      <w:r w:rsidR="00DC689D">
        <w:rPr>
          <w:bCs/>
        </w:rPr>
        <w:t>, similar to the</w:t>
      </w:r>
      <w:r w:rsidR="00AC446F">
        <w:rPr>
          <w:bCs/>
        </w:rPr>
        <w:t xml:space="preserve"> illustrat</w:t>
      </w:r>
      <w:r w:rsidR="00DC689D">
        <w:rPr>
          <w:bCs/>
        </w:rPr>
        <w:t>ion</w:t>
      </w:r>
      <w:r w:rsidR="00AC446F">
        <w:rPr>
          <w:bCs/>
        </w:rPr>
        <w:t xml:space="preserve"> in </w:t>
      </w:r>
      <w:r w:rsidR="00ED43BC">
        <w:rPr>
          <w:bCs/>
        </w:rPr>
        <w:fldChar w:fldCharType="begin"/>
      </w:r>
      <w:r w:rsidR="00AC446F">
        <w:rPr>
          <w:bCs/>
        </w:rPr>
        <w:instrText xml:space="preserve"> REF _Ref274238276 \h </w:instrText>
      </w:r>
      <w:r w:rsidR="00ED43BC">
        <w:rPr>
          <w:bCs/>
        </w:rPr>
      </w:r>
      <w:r w:rsidR="00ED43BC">
        <w:rPr>
          <w:bCs/>
        </w:rPr>
        <w:fldChar w:fldCharType="separate"/>
      </w:r>
      <w:r w:rsidR="0055436C" w:rsidRPr="00787976">
        <w:t xml:space="preserve">Table </w:t>
      </w:r>
      <w:r w:rsidR="0055436C">
        <w:rPr>
          <w:noProof/>
        </w:rPr>
        <w:t>1</w:t>
      </w:r>
      <w:r w:rsidR="00ED43BC">
        <w:rPr>
          <w:bCs/>
        </w:rPr>
        <w:fldChar w:fldCharType="end"/>
      </w:r>
      <w:r w:rsidR="00AC446F">
        <w:rPr>
          <w:bCs/>
        </w:rPr>
        <w:t>, which is unreasonable.  As the Commission understands, maintenance capital expenditures will vary from one year to the next</w:t>
      </w:r>
      <w:r w:rsidR="00DC689D">
        <w:rPr>
          <w:bCs/>
        </w:rPr>
        <w:t xml:space="preserve"> based on a variety of factors</w:t>
      </w:r>
      <w:r w:rsidR="00AC446F">
        <w:rPr>
          <w:bCs/>
        </w:rPr>
        <w:t xml:space="preserve">, and an approach </w:t>
      </w:r>
      <w:r w:rsidR="00DC689D">
        <w:rPr>
          <w:bCs/>
        </w:rPr>
        <w:t xml:space="preserve">that mandates in advance a constant level of maintenance investment </w:t>
      </w:r>
      <w:r w:rsidR="00AC446F">
        <w:rPr>
          <w:bCs/>
        </w:rPr>
        <w:t>is far too inflexible.  Additionally, the Commission has service quality metrics to ensure that customers’ needs are met</w:t>
      </w:r>
      <w:r w:rsidR="00DC689D">
        <w:rPr>
          <w:bCs/>
        </w:rPr>
        <w:t xml:space="preserve"> satisfactorily</w:t>
      </w:r>
      <w:r w:rsidR="00AC446F">
        <w:rPr>
          <w:bCs/>
        </w:rPr>
        <w:t xml:space="preserve">, which presumably captures </w:t>
      </w:r>
      <w:r w:rsidR="00DC3552">
        <w:rPr>
          <w:bCs/>
        </w:rPr>
        <w:t xml:space="preserve">the most important information about </w:t>
      </w:r>
      <w:r w:rsidR="00AC446F">
        <w:rPr>
          <w:bCs/>
        </w:rPr>
        <w:t xml:space="preserve">whether a carrier is failing to maintain </w:t>
      </w:r>
      <w:r w:rsidR="00DC689D">
        <w:rPr>
          <w:bCs/>
        </w:rPr>
        <w:t xml:space="preserve">its network </w:t>
      </w:r>
      <w:r w:rsidR="00AC446F">
        <w:rPr>
          <w:bCs/>
        </w:rPr>
        <w:t xml:space="preserve">plant.  And, finally, </w:t>
      </w:r>
      <w:r w:rsidR="007B7F92">
        <w:rPr>
          <w:bCs/>
        </w:rPr>
        <w:t xml:space="preserve">no such </w:t>
      </w:r>
      <w:r w:rsidR="00DC689D">
        <w:rPr>
          <w:bCs/>
        </w:rPr>
        <w:t xml:space="preserve">minimum investment </w:t>
      </w:r>
      <w:r w:rsidR="007B7F92">
        <w:rPr>
          <w:bCs/>
        </w:rPr>
        <w:t xml:space="preserve">requirement exists </w:t>
      </w:r>
      <w:r w:rsidR="00DC689D">
        <w:rPr>
          <w:bCs/>
        </w:rPr>
        <w:t xml:space="preserve">in Washington </w:t>
      </w:r>
      <w:r w:rsidR="007B7F92">
        <w:rPr>
          <w:bCs/>
        </w:rPr>
        <w:t xml:space="preserve">at the present and </w:t>
      </w:r>
      <w:r w:rsidR="008C4436">
        <w:rPr>
          <w:bCs/>
        </w:rPr>
        <w:t xml:space="preserve">there is </w:t>
      </w:r>
      <w:r w:rsidR="007B7F92">
        <w:rPr>
          <w:bCs/>
        </w:rPr>
        <w:t xml:space="preserve">no </w:t>
      </w:r>
      <w:r w:rsidR="008C4436">
        <w:rPr>
          <w:bCs/>
        </w:rPr>
        <w:t xml:space="preserve">defined or even suggested harm </w:t>
      </w:r>
      <w:r w:rsidR="00DC689D">
        <w:rPr>
          <w:bCs/>
        </w:rPr>
        <w:t xml:space="preserve">resulting from the Transaction </w:t>
      </w:r>
      <w:r w:rsidR="008C4436">
        <w:rPr>
          <w:bCs/>
        </w:rPr>
        <w:t xml:space="preserve">against which </w:t>
      </w:r>
      <w:r w:rsidR="00DC689D">
        <w:rPr>
          <w:bCs/>
        </w:rPr>
        <w:t xml:space="preserve">proposed </w:t>
      </w:r>
      <w:r w:rsidR="008C4436">
        <w:rPr>
          <w:bCs/>
        </w:rPr>
        <w:t xml:space="preserve">Condition </w:t>
      </w:r>
      <w:r w:rsidR="00DC689D">
        <w:rPr>
          <w:bCs/>
        </w:rPr>
        <w:t xml:space="preserve">44 </w:t>
      </w:r>
      <w:r w:rsidR="008C4436">
        <w:rPr>
          <w:bCs/>
        </w:rPr>
        <w:t>protects.  It could be suggested that a required level of maintenance capital</w:t>
      </w:r>
      <w:r w:rsidR="007B7F92">
        <w:rPr>
          <w:bCs/>
        </w:rPr>
        <w:t xml:space="preserve"> expenditures creates risks if</w:t>
      </w:r>
      <w:r w:rsidR="008C4436">
        <w:rPr>
          <w:bCs/>
        </w:rPr>
        <w:t xml:space="preserve"> the Company is </w:t>
      </w:r>
      <w:r w:rsidR="007B7F92">
        <w:rPr>
          <w:bCs/>
        </w:rPr>
        <w:t>compelled to divert</w:t>
      </w:r>
      <w:r w:rsidR="008C4436">
        <w:rPr>
          <w:bCs/>
        </w:rPr>
        <w:t xml:space="preserve"> capital from important other uses to </w:t>
      </w:r>
      <w:r w:rsidR="009B6BAB">
        <w:rPr>
          <w:bCs/>
        </w:rPr>
        <w:t>investments that may not be necessary.</w:t>
      </w:r>
    </w:p>
    <w:p w:rsidR="009B6BAB" w:rsidRDefault="009B6BAB" w:rsidP="004710C3">
      <w:pPr>
        <w:spacing w:line="480" w:lineRule="auto"/>
        <w:ind w:left="720" w:hanging="720"/>
        <w:jc w:val="both"/>
        <w:rPr>
          <w:bCs/>
        </w:rPr>
      </w:pPr>
    </w:p>
    <w:p w:rsidR="00112F5F" w:rsidRPr="009965AE" w:rsidRDefault="00112F5F" w:rsidP="004710C3">
      <w:pPr>
        <w:spacing w:line="480" w:lineRule="auto"/>
        <w:ind w:left="720" w:hanging="720"/>
        <w:jc w:val="both"/>
        <w:rPr>
          <w:bCs/>
        </w:rPr>
      </w:pPr>
    </w:p>
    <w:p w:rsidR="004C270A" w:rsidRPr="00112F5F" w:rsidRDefault="009B6BAB" w:rsidP="004710C3">
      <w:pPr>
        <w:spacing w:line="480" w:lineRule="auto"/>
        <w:ind w:left="720" w:hanging="720"/>
        <w:jc w:val="both"/>
        <w:rPr>
          <w:rFonts w:ascii="Times New Roman Bold" w:hAnsi="Times New Roman Bold"/>
          <w:b/>
          <w:bCs/>
          <w:caps/>
        </w:rPr>
      </w:pPr>
      <w:r>
        <w:rPr>
          <w:b/>
          <w:bCs/>
        </w:rPr>
        <w:t>Q.</w:t>
      </w:r>
      <w:r>
        <w:rPr>
          <w:b/>
          <w:bCs/>
        </w:rPr>
        <w:tab/>
      </w:r>
      <w:bookmarkStart w:id="3" w:name="VasconiDSL"/>
      <w:bookmarkEnd w:id="3"/>
      <w:r w:rsidRPr="00112F5F">
        <w:rPr>
          <w:rFonts w:ascii="Times New Roman Bold" w:hAnsi="Times New Roman Bold"/>
          <w:b/>
          <w:bCs/>
          <w:caps/>
        </w:rPr>
        <w:t xml:space="preserve">Please comment on </w:t>
      </w:r>
      <w:r w:rsidR="00DC689D" w:rsidRPr="00112F5F">
        <w:rPr>
          <w:rFonts w:ascii="Times New Roman Bold" w:hAnsi="Times New Roman Bold"/>
          <w:b/>
          <w:bCs/>
          <w:caps/>
        </w:rPr>
        <w:t>Staff’s proposed</w:t>
      </w:r>
      <w:r w:rsidRPr="00112F5F">
        <w:rPr>
          <w:rFonts w:ascii="Times New Roman Bold" w:hAnsi="Times New Roman Bold"/>
          <w:b/>
          <w:bCs/>
          <w:caps/>
        </w:rPr>
        <w:t xml:space="preserve"> Condition 45.</w:t>
      </w:r>
    </w:p>
    <w:p w:rsidR="00776B97" w:rsidRDefault="009B6BAB" w:rsidP="004272B5">
      <w:pPr>
        <w:spacing w:line="480" w:lineRule="auto"/>
        <w:ind w:left="720" w:hanging="720"/>
        <w:jc w:val="both"/>
        <w:rPr>
          <w:bCs/>
        </w:rPr>
      </w:pPr>
      <w:r w:rsidRPr="009B6BAB">
        <w:rPr>
          <w:bCs/>
        </w:rPr>
        <w:t>A.</w:t>
      </w:r>
      <w:r w:rsidRPr="009B6BAB">
        <w:rPr>
          <w:bCs/>
        </w:rPr>
        <w:tab/>
      </w:r>
      <w:r>
        <w:rPr>
          <w:bCs/>
        </w:rPr>
        <w:t xml:space="preserve">Mr. Vasconi </w:t>
      </w:r>
      <w:r w:rsidR="006C091A">
        <w:rPr>
          <w:bCs/>
        </w:rPr>
        <w:t xml:space="preserve">also </w:t>
      </w:r>
      <w:r>
        <w:rPr>
          <w:bCs/>
        </w:rPr>
        <w:t xml:space="preserve">sponsors </w:t>
      </w:r>
      <w:r w:rsidR="006C091A">
        <w:rPr>
          <w:bCs/>
        </w:rPr>
        <w:t xml:space="preserve">proposed </w:t>
      </w:r>
      <w:r>
        <w:rPr>
          <w:bCs/>
        </w:rPr>
        <w:t xml:space="preserve">Condition 45 that is effectively a footnote to </w:t>
      </w:r>
      <w:r w:rsidR="006C091A">
        <w:rPr>
          <w:bCs/>
        </w:rPr>
        <w:t xml:space="preserve">proposed </w:t>
      </w:r>
      <w:r>
        <w:rPr>
          <w:bCs/>
        </w:rPr>
        <w:t xml:space="preserve">Conditions 43 and 44 related to </w:t>
      </w:r>
      <w:r w:rsidR="006C091A">
        <w:rPr>
          <w:bCs/>
        </w:rPr>
        <w:t xml:space="preserve">suggested </w:t>
      </w:r>
      <w:r>
        <w:rPr>
          <w:bCs/>
        </w:rPr>
        <w:t xml:space="preserve">compulsory levels of </w:t>
      </w:r>
      <w:r w:rsidR="006C091A">
        <w:rPr>
          <w:bCs/>
        </w:rPr>
        <w:t xml:space="preserve">total and </w:t>
      </w:r>
      <w:r w:rsidR="006C091A">
        <w:rPr>
          <w:bCs/>
        </w:rPr>
        <w:lastRenderedPageBreak/>
        <w:t xml:space="preserve">maintenance </w:t>
      </w:r>
      <w:r>
        <w:rPr>
          <w:bCs/>
        </w:rPr>
        <w:t xml:space="preserve">annual capital expenditures.  In spite of the </w:t>
      </w:r>
      <w:r w:rsidR="006C091A">
        <w:rPr>
          <w:bCs/>
        </w:rPr>
        <w:t>mandated</w:t>
      </w:r>
      <w:r>
        <w:rPr>
          <w:bCs/>
        </w:rPr>
        <w:t xml:space="preserve"> levels of capital expenditures </w:t>
      </w:r>
      <w:r w:rsidR="000A2FDA">
        <w:rPr>
          <w:bCs/>
        </w:rPr>
        <w:t xml:space="preserve">proposed </w:t>
      </w:r>
      <w:r>
        <w:rPr>
          <w:bCs/>
        </w:rPr>
        <w:t xml:space="preserve">for </w:t>
      </w:r>
      <w:r w:rsidR="006C091A">
        <w:rPr>
          <w:bCs/>
        </w:rPr>
        <w:t xml:space="preserve">total </w:t>
      </w:r>
      <w:r>
        <w:rPr>
          <w:bCs/>
        </w:rPr>
        <w:t>network investment and maintenance e</w:t>
      </w:r>
      <w:r w:rsidR="000A2FDA">
        <w:rPr>
          <w:bCs/>
        </w:rPr>
        <w:t>xpe</w:t>
      </w:r>
      <w:r w:rsidR="006C091A">
        <w:rPr>
          <w:bCs/>
        </w:rPr>
        <w:t>n</w:t>
      </w:r>
      <w:r w:rsidR="000A2FDA">
        <w:rPr>
          <w:bCs/>
        </w:rPr>
        <w:t xml:space="preserve">ditures, Mr. Vasconi </w:t>
      </w:r>
      <w:r w:rsidR="006C091A">
        <w:rPr>
          <w:bCs/>
        </w:rPr>
        <w:t xml:space="preserve">also </w:t>
      </w:r>
      <w:r w:rsidR="000A2FDA">
        <w:rPr>
          <w:bCs/>
        </w:rPr>
        <w:t>recommends</w:t>
      </w:r>
      <w:r>
        <w:rPr>
          <w:bCs/>
        </w:rPr>
        <w:t xml:space="preserve"> that any incremental investments in digital subscriber line (“DSL</w:t>
      </w:r>
      <w:r w:rsidR="006C091A">
        <w:rPr>
          <w:bCs/>
        </w:rPr>
        <w:t>”</w:t>
      </w:r>
      <w:r>
        <w:rPr>
          <w:bCs/>
        </w:rPr>
        <w:t xml:space="preserve">) technologies </w:t>
      </w:r>
      <w:r w:rsidR="006C091A">
        <w:rPr>
          <w:bCs/>
        </w:rPr>
        <w:t xml:space="preserve">in Washington, </w:t>
      </w:r>
      <w:r>
        <w:rPr>
          <w:bCs/>
        </w:rPr>
        <w:t>pursuant to the Staff’s other conditions</w:t>
      </w:r>
      <w:r w:rsidR="006C091A">
        <w:rPr>
          <w:bCs/>
        </w:rPr>
        <w:t>,</w:t>
      </w:r>
      <w:r>
        <w:rPr>
          <w:bCs/>
        </w:rPr>
        <w:t xml:space="preserve"> should not be included in the calculations of annual capital expenditures to comply with </w:t>
      </w:r>
      <w:r w:rsidR="006C091A">
        <w:rPr>
          <w:bCs/>
        </w:rPr>
        <w:t xml:space="preserve">proposed </w:t>
      </w:r>
      <w:r>
        <w:rPr>
          <w:bCs/>
        </w:rPr>
        <w:t xml:space="preserve">Conditions 43 and 44.  </w:t>
      </w:r>
      <w:r w:rsidR="004272B5">
        <w:rPr>
          <w:bCs/>
        </w:rPr>
        <w:t>P</w:t>
      </w:r>
      <w:r w:rsidR="006C091A">
        <w:rPr>
          <w:bCs/>
        </w:rPr>
        <w:t>roposed</w:t>
      </w:r>
      <w:r w:rsidR="000D3C48">
        <w:rPr>
          <w:bCs/>
        </w:rPr>
        <w:t xml:space="preserve"> Condition </w:t>
      </w:r>
      <w:r w:rsidR="006C091A">
        <w:rPr>
          <w:bCs/>
        </w:rPr>
        <w:t xml:space="preserve">45 </w:t>
      </w:r>
      <w:r w:rsidR="000D3C48">
        <w:rPr>
          <w:bCs/>
        </w:rPr>
        <w:t xml:space="preserve">is unreasonable.  </w:t>
      </w:r>
      <w:r w:rsidR="00D50562">
        <w:rPr>
          <w:bCs/>
        </w:rPr>
        <w:t xml:space="preserve">First, investment </w:t>
      </w:r>
      <w:r w:rsidR="006C091A">
        <w:rPr>
          <w:bCs/>
        </w:rPr>
        <w:t xml:space="preserve">required to provide broadband (i.e., DSL) services </w:t>
      </w:r>
      <w:r w:rsidR="00D50562">
        <w:rPr>
          <w:bCs/>
        </w:rPr>
        <w:t xml:space="preserve">often </w:t>
      </w:r>
      <w:r w:rsidR="000D3C48">
        <w:rPr>
          <w:bCs/>
        </w:rPr>
        <w:t>includes</w:t>
      </w:r>
      <w:r w:rsidR="00D50562">
        <w:rPr>
          <w:bCs/>
        </w:rPr>
        <w:t xml:space="preserve"> </w:t>
      </w:r>
      <w:r w:rsidR="006C091A">
        <w:rPr>
          <w:bCs/>
        </w:rPr>
        <w:t xml:space="preserve">network </w:t>
      </w:r>
      <w:r w:rsidR="00D50562">
        <w:rPr>
          <w:bCs/>
        </w:rPr>
        <w:t>maintenance and</w:t>
      </w:r>
      <w:r w:rsidR="006C091A">
        <w:rPr>
          <w:bCs/>
        </w:rPr>
        <w:t xml:space="preserve"> </w:t>
      </w:r>
      <w:r w:rsidR="00D50562">
        <w:rPr>
          <w:bCs/>
        </w:rPr>
        <w:t xml:space="preserve">upgrades.  </w:t>
      </w:r>
      <w:r w:rsidR="000D3C48">
        <w:rPr>
          <w:bCs/>
        </w:rPr>
        <w:t>Second and m</w:t>
      </w:r>
      <w:r w:rsidR="00D50562">
        <w:rPr>
          <w:bCs/>
        </w:rPr>
        <w:t xml:space="preserve">ore fundamentally, </w:t>
      </w:r>
      <w:r w:rsidR="000A2FDA">
        <w:rPr>
          <w:bCs/>
        </w:rPr>
        <w:t xml:space="preserve">CenturyLink objects as </w:t>
      </w:r>
      <w:r w:rsidR="006C091A">
        <w:rPr>
          <w:bCs/>
        </w:rPr>
        <w:t>Staff’s</w:t>
      </w:r>
      <w:r w:rsidR="000A2FDA">
        <w:rPr>
          <w:bCs/>
        </w:rPr>
        <w:t xml:space="preserve"> three </w:t>
      </w:r>
      <w:r w:rsidR="006C091A">
        <w:rPr>
          <w:bCs/>
        </w:rPr>
        <w:t xml:space="preserve">proposed investment </w:t>
      </w:r>
      <w:r w:rsidR="000A2FDA">
        <w:rPr>
          <w:bCs/>
        </w:rPr>
        <w:t xml:space="preserve">conditions </w:t>
      </w:r>
      <w:r w:rsidR="006C091A">
        <w:rPr>
          <w:bCs/>
        </w:rPr>
        <w:t xml:space="preserve">(43-45) </w:t>
      </w:r>
      <w:r w:rsidR="000A2FDA">
        <w:rPr>
          <w:bCs/>
        </w:rPr>
        <w:t>combine t</w:t>
      </w:r>
      <w:r w:rsidR="00D50562">
        <w:rPr>
          <w:bCs/>
        </w:rPr>
        <w:t>o (i) require the dedication of unreasonably</w:t>
      </w:r>
      <w:r w:rsidR="000A2FDA">
        <w:rPr>
          <w:bCs/>
        </w:rPr>
        <w:t xml:space="preserve"> high levels of </w:t>
      </w:r>
      <w:r w:rsidR="006C091A">
        <w:rPr>
          <w:bCs/>
        </w:rPr>
        <w:t>per-line investment</w:t>
      </w:r>
      <w:r w:rsidR="000A2FDA">
        <w:rPr>
          <w:bCs/>
        </w:rPr>
        <w:t xml:space="preserve"> to network plant, </w:t>
      </w:r>
      <w:r w:rsidR="00D50562">
        <w:rPr>
          <w:bCs/>
        </w:rPr>
        <w:t xml:space="preserve">(ii) </w:t>
      </w:r>
      <w:r w:rsidR="00580B3D">
        <w:rPr>
          <w:bCs/>
        </w:rPr>
        <w:t xml:space="preserve">create an inflexible </w:t>
      </w:r>
      <w:r w:rsidR="000A2FDA">
        <w:rPr>
          <w:bCs/>
        </w:rPr>
        <w:t>micromanag</w:t>
      </w:r>
      <w:r w:rsidR="00580B3D">
        <w:rPr>
          <w:bCs/>
        </w:rPr>
        <w:t>ement of the</w:t>
      </w:r>
      <w:r w:rsidR="000A2FDA">
        <w:rPr>
          <w:bCs/>
        </w:rPr>
        <w:t xml:space="preserve"> business</w:t>
      </w:r>
      <w:r w:rsidR="00580B3D">
        <w:rPr>
          <w:bCs/>
        </w:rPr>
        <w:t xml:space="preserve"> in a way that </w:t>
      </w:r>
      <w:r w:rsidR="006C091A">
        <w:rPr>
          <w:bCs/>
        </w:rPr>
        <w:t xml:space="preserve">currently </w:t>
      </w:r>
      <w:r w:rsidR="00580B3D">
        <w:rPr>
          <w:bCs/>
        </w:rPr>
        <w:t xml:space="preserve">is not imposed on </w:t>
      </w:r>
      <w:r w:rsidR="00DC3552">
        <w:rPr>
          <w:bCs/>
        </w:rPr>
        <w:t>Qwest or CenturyLink</w:t>
      </w:r>
      <w:r w:rsidR="00580B3D">
        <w:rPr>
          <w:bCs/>
        </w:rPr>
        <w:t xml:space="preserve"> or other </w:t>
      </w:r>
      <w:r w:rsidR="006C091A">
        <w:rPr>
          <w:bCs/>
        </w:rPr>
        <w:t xml:space="preserve">competing </w:t>
      </w:r>
      <w:r w:rsidR="00580B3D">
        <w:rPr>
          <w:bCs/>
        </w:rPr>
        <w:t>carriers</w:t>
      </w:r>
      <w:r w:rsidR="006C091A">
        <w:rPr>
          <w:bCs/>
        </w:rPr>
        <w:t xml:space="preserve"> in the state</w:t>
      </w:r>
      <w:r w:rsidR="000A2FDA">
        <w:rPr>
          <w:bCs/>
        </w:rPr>
        <w:t xml:space="preserve">, and </w:t>
      </w:r>
      <w:r w:rsidR="00D50562">
        <w:rPr>
          <w:bCs/>
        </w:rPr>
        <w:t xml:space="preserve">(iii) </w:t>
      </w:r>
      <w:r w:rsidR="00580B3D">
        <w:rPr>
          <w:bCs/>
        </w:rPr>
        <w:t xml:space="preserve">restrict the application of cash resources from other beneficial </w:t>
      </w:r>
      <w:r w:rsidR="00D50562">
        <w:rPr>
          <w:bCs/>
        </w:rPr>
        <w:t>uses</w:t>
      </w:r>
      <w:r w:rsidR="006C091A">
        <w:rPr>
          <w:bCs/>
        </w:rPr>
        <w:t>, potentially creating harm for Washington customers</w:t>
      </w:r>
      <w:r w:rsidR="000A2FDA">
        <w:rPr>
          <w:bCs/>
        </w:rPr>
        <w:t>.</w:t>
      </w:r>
      <w:r w:rsidR="00D50562">
        <w:rPr>
          <w:bCs/>
        </w:rPr>
        <w:t xml:space="preserve">  With respect to this last point, management of CenturyLink </w:t>
      </w:r>
      <w:r w:rsidR="00580B3D">
        <w:rPr>
          <w:bCs/>
        </w:rPr>
        <w:t>constantly</w:t>
      </w:r>
      <w:r w:rsidR="00D50562">
        <w:rPr>
          <w:bCs/>
        </w:rPr>
        <w:t xml:space="preserve"> evaluate</w:t>
      </w:r>
      <w:r w:rsidR="00580B3D">
        <w:rPr>
          <w:bCs/>
        </w:rPr>
        <w:t>s</w:t>
      </w:r>
      <w:r w:rsidR="00D50562">
        <w:rPr>
          <w:bCs/>
        </w:rPr>
        <w:t xml:space="preserve"> how much capital to dedicate to operating the business, improving the balance sheet, </w:t>
      </w:r>
      <w:r w:rsidR="00580B3D">
        <w:rPr>
          <w:bCs/>
        </w:rPr>
        <w:t>preserving or attracting</w:t>
      </w:r>
      <w:r w:rsidR="00D50562">
        <w:rPr>
          <w:bCs/>
        </w:rPr>
        <w:t xml:space="preserve"> the best employees, researching new products, and upgrading the network in a variet</w:t>
      </w:r>
      <w:r w:rsidR="00580B3D">
        <w:rPr>
          <w:bCs/>
        </w:rPr>
        <w:t xml:space="preserve">y of ways.  The adoption of Mr. Vasconi’s </w:t>
      </w:r>
      <w:r w:rsidR="00D50562">
        <w:rPr>
          <w:bCs/>
        </w:rPr>
        <w:t xml:space="preserve">set of three </w:t>
      </w:r>
      <w:r w:rsidR="00580B3D">
        <w:rPr>
          <w:bCs/>
        </w:rPr>
        <w:t xml:space="preserve">financial </w:t>
      </w:r>
      <w:r w:rsidR="00D50562">
        <w:rPr>
          <w:bCs/>
        </w:rPr>
        <w:t xml:space="preserve">conditions </w:t>
      </w:r>
      <w:r w:rsidR="00F32398">
        <w:rPr>
          <w:bCs/>
        </w:rPr>
        <w:t>would</w:t>
      </w:r>
      <w:r w:rsidR="00D50562">
        <w:rPr>
          <w:bCs/>
        </w:rPr>
        <w:t xml:space="preserve"> </w:t>
      </w:r>
      <w:r w:rsidR="00F32398">
        <w:rPr>
          <w:bCs/>
        </w:rPr>
        <w:t>constrain unnecessarily</w:t>
      </w:r>
      <w:r w:rsidR="00D50562">
        <w:rPr>
          <w:bCs/>
        </w:rPr>
        <w:t xml:space="preserve"> the Company’s ability to manage </w:t>
      </w:r>
      <w:r w:rsidR="006C091A">
        <w:rPr>
          <w:bCs/>
        </w:rPr>
        <w:t xml:space="preserve">its business </w:t>
      </w:r>
      <w:r w:rsidR="00D50562">
        <w:rPr>
          <w:bCs/>
        </w:rPr>
        <w:t xml:space="preserve">in a highly competitive and rapidly changing marketplace. </w:t>
      </w:r>
    </w:p>
    <w:p w:rsidR="00E07EF2" w:rsidRPr="00AB060F" w:rsidRDefault="00E07EF2" w:rsidP="004272B5">
      <w:pPr>
        <w:spacing w:line="480" w:lineRule="auto"/>
        <w:ind w:left="720" w:hanging="720"/>
        <w:jc w:val="both"/>
        <w:rPr>
          <w:b/>
          <w:bCs/>
        </w:rPr>
      </w:pPr>
    </w:p>
    <w:p w:rsidR="00776B97" w:rsidRPr="00BB3B67" w:rsidRDefault="00776B97" w:rsidP="00BB3B67">
      <w:pPr>
        <w:pStyle w:val="ListParagraph"/>
        <w:numPr>
          <w:ilvl w:val="0"/>
          <w:numId w:val="15"/>
        </w:numPr>
        <w:spacing w:line="480" w:lineRule="auto"/>
        <w:ind w:left="1680" w:hanging="960"/>
        <w:jc w:val="both"/>
        <w:rPr>
          <w:b/>
          <w:bCs/>
        </w:rPr>
      </w:pPr>
      <w:r w:rsidRPr="0048491E">
        <w:rPr>
          <w:b/>
          <w:bCs/>
        </w:rPr>
        <w:t>PERSPECTIVES ON USE OF THE RISK SECTION OF THE FORM S-4 IN THIS PROCEEDING</w:t>
      </w:r>
      <w:r>
        <w:rPr>
          <w:b/>
          <w:bCs/>
        </w:rPr>
        <w:t>.</w:t>
      </w:r>
      <w:r w:rsidRPr="00BB3B67">
        <w:rPr>
          <w:b/>
          <w:bCs/>
        </w:rPr>
        <w:t xml:space="preserve">  </w:t>
      </w:r>
    </w:p>
    <w:p w:rsidR="00776B97" w:rsidRPr="00112F5F" w:rsidRDefault="006B7F98" w:rsidP="00BB3B67">
      <w:pPr>
        <w:spacing w:line="480" w:lineRule="auto"/>
        <w:ind w:left="748" w:hanging="748"/>
        <w:jc w:val="both"/>
        <w:rPr>
          <w:rFonts w:ascii="Times New Roman Bold" w:hAnsi="Times New Roman Bold"/>
          <w:b/>
          <w:bCs/>
          <w:caps/>
        </w:rPr>
      </w:pPr>
      <w:r>
        <w:rPr>
          <w:b/>
          <w:bCs/>
        </w:rPr>
        <w:t>Q.</w:t>
      </w:r>
      <w:r>
        <w:rPr>
          <w:b/>
          <w:bCs/>
        </w:rPr>
        <w:tab/>
      </w:r>
      <w:r w:rsidR="008F02C6" w:rsidRPr="00112F5F">
        <w:rPr>
          <w:rFonts w:ascii="Times New Roman Bold" w:hAnsi="Times New Roman Bold"/>
          <w:b/>
          <w:bCs/>
          <w:caps/>
        </w:rPr>
        <w:t>S</w:t>
      </w:r>
      <w:r w:rsidR="00776B97" w:rsidRPr="00112F5F">
        <w:rPr>
          <w:rFonts w:ascii="Times New Roman Bold" w:hAnsi="Times New Roman Bold"/>
          <w:b/>
          <w:bCs/>
          <w:caps/>
        </w:rPr>
        <w:t>everal of the intervenor witnesses cite the SEC Form S-4 that CenturyLink filed on July 16, 2010, noting the “Risk Factors” associated with the Transaction as reasons to be concerned.  Can you respond?</w:t>
      </w:r>
    </w:p>
    <w:p w:rsidR="00776B97" w:rsidRDefault="00776B97" w:rsidP="008F02C6">
      <w:pPr>
        <w:spacing w:line="480" w:lineRule="auto"/>
        <w:ind w:left="748" w:hanging="748"/>
        <w:jc w:val="both"/>
      </w:pPr>
      <w:r w:rsidRPr="00C16479">
        <w:t>A.</w:t>
      </w:r>
      <w:r w:rsidRPr="00C16479">
        <w:tab/>
        <w:t xml:space="preserve">Yes.  </w:t>
      </w:r>
      <w:r w:rsidR="008A2CA4" w:rsidRPr="00C16479">
        <w:t>Obviously, there are numerou</w:t>
      </w:r>
      <w:r w:rsidR="008A2CA4">
        <w:t>s benefits associated with the T</w:t>
      </w:r>
      <w:r w:rsidR="008A2CA4" w:rsidRPr="00C16479">
        <w:t xml:space="preserve">ransaction, which also are detailed in the </w:t>
      </w:r>
      <w:r w:rsidR="008A2CA4">
        <w:t xml:space="preserve">CenturyLink </w:t>
      </w:r>
      <w:r w:rsidR="008A2CA4" w:rsidRPr="00C16479">
        <w:t xml:space="preserve">S-4 and in </w:t>
      </w:r>
      <w:r w:rsidR="008A2CA4">
        <w:t>the CenturyLink and Qwest</w:t>
      </w:r>
      <w:r w:rsidR="008A2CA4" w:rsidRPr="00C16479">
        <w:t xml:space="preserve"> testimon</w:t>
      </w:r>
      <w:r w:rsidR="008A2CA4">
        <w:t>ies in this proceeding</w:t>
      </w:r>
      <w:r w:rsidR="008A2CA4" w:rsidRPr="00C16479">
        <w:t xml:space="preserve">. </w:t>
      </w:r>
      <w:r w:rsidR="008A2CA4">
        <w:t xml:space="preserve"> </w:t>
      </w:r>
      <w:r w:rsidR="008F02C6">
        <w:t>Mr. Applegate includes the “Risk Factors” from CenturyLink’s Form S-4 in his Exhibit RTA-4, and he states that “this section has an intended audience of securities regulators and the broader investment community, [but] this Commission should consider the risks it discloses.”</w:t>
      </w:r>
      <w:r w:rsidR="008F02C6">
        <w:rPr>
          <w:rStyle w:val="FootnoteReference"/>
        </w:rPr>
        <w:footnoteReference w:id="53"/>
      </w:r>
      <w:r w:rsidR="008F02C6">
        <w:t xml:space="preserve">  </w:t>
      </w:r>
      <w:r w:rsidR="008A2CA4">
        <w:t>C</w:t>
      </w:r>
      <w:r w:rsidRPr="00C16479">
        <w:t xml:space="preserve">ertain </w:t>
      </w:r>
      <w:r w:rsidR="008A2CA4">
        <w:t xml:space="preserve">other </w:t>
      </w:r>
      <w:r w:rsidRPr="00C16479">
        <w:t>intervenor</w:t>
      </w:r>
      <w:r>
        <w:t xml:space="preserve"> witnesse</w:t>
      </w:r>
      <w:r w:rsidRPr="00C16479">
        <w:t xml:space="preserve">s </w:t>
      </w:r>
      <w:r w:rsidR="000502BA">
        <w:t>discuss</w:t>
      </w:r>
      <w:r w:rsidR="000502BA" w:rsidRPr="00C16479">
        <w:t xml:space="preserve"> </w:t>
      </w:r>
      <w:r w:rsidRPr="00C16479">
        <w:t xml:space="preserve">the </w:t>
      </w:r>
      <w:r w:rsidR="000502BA">
        <w:t>“</w:t>
      </w:r>
      <w:r w:rsidRPr="00C16479">
        <w:t>Risk Factors</w:t>
      </w:r>
      <w:r w:rsidR="000502BA">
        <w:t>”</w:t>
      </w:r>
      <w:r w:rsidRPr="00C16479">
        <w:t xml:space="preserve"> as if CenturyLink is suggesting some degree of probability that OSS systems will be changed or that integrations or other risks noted are </w:t>
      </w:r>
      <w:r w:rsidRPr="00F14B66">
        <w:rPr>
          <w:i/>
          <w:iCs/>
        </w:rPr>
        <w:t>likely</w:t>
      </w:r>
      <w:r w:rsidRPr="00C16479">
        <w:t xml:space="preserve"> problems.</w:t>
      </w:r>
      <w:r w:rsidRPr="00C16479">
        <w:rPr>
          <w:rStyle w:val="FootnoteReference"/>
        </w:rPr>
        <w:footnoteReference w:id="54"/>
      </w:r>
      <w:r w:rsidRPr="00C16479">
        <w:t xml:space="preserve">  </w:t>
      </w:r>
      <w:r w:rsidR="000502BA">
        <w:t xml:space="preserve">That is categorically untrue.  </w:t>
      </w:r>
      <w:r w:rsidR="0092017F">
        <w:t>I</w:t>
      </w:r>
      <w:r w:rsidR="0092017F" w:rsidRPr="00C16479">
        <w:t xml:space="preserve">t is important to understand the purpose of the </w:t>
      </w:r>
      <w:r w:rsidR="0092017F">
        <w:t xml:space="preserve">“Risk Factors” </w:t>
      </w:r>
      <w:r w:rsidR="0092017F" w:rsidRPr="00C16479">
        <w:t>section</w:t>
      </w:r>
      <w:r w:rsidR="0092017F">
        <w:t xml:space="preserve"> in SEC filings by companies with publicly-traded securities</w:t>
      </w:r>
      <w:r w:rsidR="0092017F" w:rsidRPr="00C16479">
        <w:t xml:space="preserve">.  </w:t>
      </w:r>
      <w:r w:rsidRPr="00C16479">
        <w:t xml:space="preserve">These items are mentioned as a matter of full disclosure of any and all </w:t>
      </w:r>
      <w:r w:rsidR="000502BA">
        <w:t xml:space="preserve">potential </w:t>
      </w:r>
      <w:r w:rsidRPr="00C16479">
        <w:t>risks to shareholders, as would be included in any public company’s SEC Form S-4 or annual Form 10</w:t>
      </w:r>
      <w:r>
        <w:t>-K.  As described, these “Risk F</w:t>
      </w:r>
      <w:r w:rsidRPr="00C16479">
        <w:t xml:space="preserve">actors” represent general recitals of </w:t>
      </w:r>
      <w:r w:rsidR="000502BA">
        <w:t xml:space="preserve">potential </w:t>
      </w:r>
      <w:r w:rsidRPr="00C16479">
        <w:t xml:space="preserve">risks of which companies and the public are generally well </w:t>
      </w:r>
      <w:r>
        <w:t>aware.  The disclosure of</w:t>
      </w:r>
      <w:r w:rsidRPr="00C16479">
        <w:t xml:space="preserve"> </w:t>
      </w:r>
      <w:r w:rsidR="00DE3763">
        <w:t>“R</w:t>
      </w:r>
      <w:r w:rsidRPr="00C16479">
        <w:t xml:space="preserve">isk </w:t>
      </w:r>
      <w:r w:rsidR="00DE3763">
        <w:t>F</w:t>
      </w:r>
      <w:r w:rsidRPr="00C16479">
        <w:t>actors</w:t>
      </w:r>
      <w:r w:rsidR="00DE3763">
        <w:t>”</w:t>
      </w:r>
      <w:r w:rsidRPr="00C16479">
        <w:t xml:space="preserve"> provides legal pr</w:t>
      </w:r>
      <w:r w:rsidR="005D6D58">
        <w:t>otection to investors and to a</w:t>
      </w:r>
      <w:r w:rsidRPr="00C16479">
        <w:t xml:space="preserve"> company whose securities are publicly-traded; but the disclosures are not intended to suggest that the risks are likely outcomes.  </w:t>
      </w:r>
      <w:r w:rsidR="005D6D58">
        <w:t xml:space="preserve">Mr. Applegate is correct when he </w:t>
      </w:r>
      <w:r w:rsidR="00DE3763">
        <w:t>testifies</w:t>
      </w:r>
      <w:r w:rsidR="005D6D58">
        <w:t xml:space="preserve"> that i</w:t>
      </w:r>
      <w:r w:rsidR="005D6D58" w:rsidRPr="00C16479">
        <w:t xml:space="preserve">t is important to understand the purpose of the </w:t>
      </w:r>
      <w:r w:rsidR="005D6D58">
        <w:t xml:space="preserve">“Risk Factors” </w:t>
      </w:r>
      <w:r w:rsidR="005D6D58" w:rsidRPr="00C16479">
        <w:t>section</w:t>
      </w:r>
      <w:r w:rsidR="005D6D58">
        <w:t xml:space="preserve"> in SEC filings by companies with publicly-traded securities</w:t>
      </w:r>
      <w:r w:rsidR="005D6D58" w:rsidRPr="00C16479">
        <w:t xml:space="preserve">. </w:t>
      </w:r>
      <w:r w:rsidR="00691242">
        <w:t xml:space="preserve"> </w:t>
      </w:r>
      <w:r w:rsidRPr="00C16479">
        <w:t xml:space="preserve">As noted previously, CenturyLink has a long history of successfully executing ILEC transactions, a fact that underscores that the Company fully understands the importance of the customer, and is capable of </w:t>
      </w:r>
      <w:r w:rsidR="00772C34">
        <w:t xml:space="preserve">managing operating risks, and </w:t>
      </w:r>
      <w:r w:rsidRPr="00C16479">
        <w:t xml:space="preserve">delivering superior service through these types of combinations.  In summary, there is no evidence that failures or problems </w:t>
      </w:r>
      <w:r w:rsidR="00DE3763">
        <w:t>occurred in previous</w:t>
      </w:r>
      <w:r w:rsidR="00DE3763" w:rsidRPr="00C16479">
        <w:t xml:space="preserve"> </w:t>
      </w:r>
      <w:r w:rsidR="00DE3763">
        <w:t>CenturyLink transactions in spite of the disclosure of similar</w:t>
      </w:r>
      <w:r>
        <w:t xml:space="preserve"> “Risk Factors” </w:t>
      </w:r>
      <w:r w:rsidR="00691242">
        <w:t xml:space="preserve">in </w:t>
      </w:r>
      <w:r w:rsidR="00DE3763">
        <w:t xml:space="preserve">prior </w:t>
      </w:r>
      <w:r w:rsidR="00691242">
        <w:t>SEC filings</w:t>
      </w:r>
      <w:r w:rsidR="001440CC">
        <w:t>,</w:t>
      </w:r>
      <w:r>
        <w:t xml:space="preserve"> </w:t>
      </w:r>
      <w:r w:rsidRPr="00C16479">
        <w:t xml:space="preserve">and </w:t>
      </w:r>
      <w:r>
        <w:t xml:space="preserve">CenturyLink believes </w:t>
      </w:r>
      <w:r w:rsidRPr="00C16479">
        <w:t xml:space="preserve">there is little likelihood that </w:t>
      </w:r>
      <w:r>
        <w:t>those types of problems</w:t>
      </w:r>
      <w:r w:rsidRPr="00C16479">
        <w:t xml:space="preserve"> will occur </w:t>
      </w:r>
      <w:r w:rsidR="001440CC">
        <w:t>in the proposed Transaction</w:t>
      </w:r>
      <w:r w:rsidRPr="00C16479">
        <w:t xml:space="preserve">.  I also </w:t>
      </w:r>
      <w:r w:rsidR="001440CC">
        <w:t>believe</w:t>
      </w:r>
      <w:r w:rsidR="001440CC" w:rsidRPr="00C16479">
        <w:t xml:space="preserve"> </w:t>
      </w:r>
      <w:r w:rsidRPr="00C16479">
        <w:t xml:space="preserve">that, if undue emphasis were placed upon the </w:t>
      </w:r>
      <w:r w:rsidR="00691242">
        <w:t>“R</w:t>
      </w:r>
      <w:r w:rsidRPr="00C16479">
        <w:t xml:space="preserve">isk </w:t>
      </w:r>
      <w:r w:rsidR="00691242">
        <w:t>F</w:t>
      </w:r>
      <w:r w:rsidRPr="00C16479">
        <w:t>actors</w:t>
      </w:r>
      <w:r w:rsidR="00691242">
        <w:t>” filed with the SEC</w:t>
      </w:r>
      <w:r w:rsidRPr="00C16479">
        <w:t xml:space="preserve">, mergers and </w:t>
      </w:r>
      <w:r>
        <w:t xml:space="preserve">financings for </w:t>
      </w:r>
      <w:r w:rsidRPr="00C16479">
        <w:t xml:space="preserve">new investment </w:t>
      </w:r>
      <w:r>
        <w:t xml:space="preserve">likely </w:t>
      </w:r>
      <w:r w:rsidRPr="00C16479">
        <w:t xml:space="preserve">would never occur.  </w:t>
      </w:r>
      <w:r w:rsidR="006F64EE">
        <w:t>As noted earlier, d</w:t>
      </w:r>
      <w:r>
        <w:t xml:space="preserve">espite the cited </w:t>
      </w:r>
      <w:r w:rsidR="00691242">
        <w:t>“R</w:t>
      </w:r>
      <w:r>
        <w:t xml:space="preserve">isk </w:t>
      </w:r>
      <w:r w:rsidR="00691242">
        <w:t>F</w:t>
      </w:r>
      <w:r>
        <w:t>actors,</w:t>
      </w:r>
      <w:r w:rsidR="00691242">
        <w:t>”</w:t>
      </w:r>
      <w:r>
        <w:t xml:space="preserve"> recently t</w:t>
      </w:r>
      <w:r w:rsidR="00CF3304">
        <w:t>he shareholders of CenturyLink</w:t>
      </w:r>
      <w:r w:rsidRPr="00C16479">
        <w:t xml:space="preserve"> and </w:t>
      </w:r>
      <w:r>
        <w:t>Qwest</w:t>
      </w:r>
      <w:r w:rsidRPr="00C16479">
        <w:t xml:space="preserve"> </w:t>
      </w:r>
      <w:r>
        <w:t xml:space="preserve">overwhelmingly </w:t>
      </w:r>
      <w:r w:rsidRPr="00C16479">
        <w:t>approved the proposed transaction because they concluded that the likely benefits of the proposed merger outweighed the potential risks.</w:t>
      </w:r>
      <w:r>
        <w:t xml:space="preserve"> </w:t>
      </w:r>
    </w:p>
    <w:p w:rsidR="00776B97" w:rsidRDefault="00776B97" w:rsidP="00BB3B67">
      <w:pPr>
        <w:spacing w:line="480" w:lineRule="auto"/>
        <w:ind w:left="748" w:hanging="748"/>
        <w:jc w:val="both"/>
      </w:pPr>
    </w:p>
    <w:p w:rsidR="00776B97" w:rsidRPr="00112F5F" w:rsidRDefault="00776B97" w:rsidP="00BB3B67">
      <w:pPr>
        <w:spacing w:line="480" w:lineRule="auto"/>
        <w:ind w:left="748" w:hanging="748"/>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Are all </w:t>
      </w:r>
      <w:r w:rsidR="005B4BDC" w:rsidRPr="00112F5F">
        <w:rPr>
          <w:rFonts w:ascii="Times New Roman Bold" w:hAnsi="Times New Roman Bold"/>
          <w:b/>
          <w:bCs/>
          <w:caps/>
        </w:rPr>
        <w:t xml:space="preserve">of </w:t>
      </w:r>
      <w:r w:rsidRPr="00112F5F">
        <w:rPr>
          <w:rFonts w:ascii="Times New Roman Bold" w:hAnsi="Times New Roman Bold"/>
          <w:b/>
          <w:bCs/>
          <w:caps/>
        </w:rPr>
        <w:t xml:space="preserve">the </w:t>
      </w:r>
      <w:r w:rsidR="00772C34" w:rsidRPr="00112F5F">
        <w:rPr>
          <w:rFonts w:ascii="Times New Roman Bold" w:hAnsi="Times New Roman Bold"/>
          <w:b/>
          <w:bCs/>
          <w:caps/>
        </w:rPr>
        <w:t>S-4 Risk F</w:t>
      </w:r>
      <w:r w:rsidR="00866925" w:rsidRPr="00112F5F">
        <w:rPr>
          <w:rFonts w:ascii="Times New Roman Bold" w:hAnsi="Times New Roman Bold"/>
          <w:b/>
          <w:bCs/>
          <w:caps/>
        </w:rPr>
        <w:t>actors</w:t>
      </w:r>
      <w:r w:rsidRPr="00112F5F">
        <w:rPr>
          <w:rFonts w:ascii="Times New Roman Bold" w:hAnsi="Times New Roman Bold"/>
          <w:b/>
          <w:bCs/>
          <w:caps/>
        </w:rPr>
        <w:t xml:space="preserve"> the result of the proposed Transaction?</w:t>
      </w:r>
    </w:p>
    <w:p w:rsidR="00776B97" w:rsidRPr="00F14B66" w:rsidRDefault="00776B97" w:rsidP="000E543E">
      <w:pPr>
        <w:spacing w:line="480" w:lineRule="auto"/>
        <w:ind w:left="748" w:hanging="748"/>
        <w:jc w:val="both"/>
      </w:pPr>
      <w:r>
        <w:t>A.</w:t>
      </w:r>
      <w:r>
        <w:tab/>
        <w:t xml:space="preserve">No.  In fact, </w:t>
      </w:r>
      <w:r w:rsidR="00772C34">
        <w:t xml:space="preserve">the S-4 operating </w:t>
      </w:r>
      <w:r>
        <w:t>risks cited</w:t>
      </w:r>
      <w:r w:rsidR="00772C34">
        <w:t xml:space="preserve"> include those that are industry-related as well as transaction-related</w:t>
      </w:r>
      <w:r>
        <w:t xml:space="preserve">. </w:t>
      </w:r>
      <w:r w:rsidR="00866925">
        <w:t xml:space="preserve"> CenturyLink and Qwest will</w:t>
      </w:r>
      <w:r>
        <w:t xml:space="preserve"> face </w:t>
      </w:r>
      <w:r w:rsidR="00866925">
        <w:t xml:space="preserve">many of the </w:t>
      </w:r>
      <w:r w:rsidR="00691242">
        <w:t xml:space="preserve">potential </w:t>
      </w:r>
      <w:r w:rsidR="00866925">
        <w:t xml:space="preserve">risks </w:t>
      </w:r>
      <w:r>
        <w:t>with or without the merger, that is, the companies may not be able to retain key employees; access lines losses could lead to financial pressures; competitive pressures could intensify; technology changes could put the compan</w:t>
      </w:r>
      <w:r w:rsidR="005855B4">
        <w:t>ies</w:t>
      </w:r>
      <w:r>
        <w:t xml:space="preserve"> at risk; the industry is undergoing change and the compan</w:t>
      </w:r>
      <w:r w:rsidR="005855B4">
        <w:t>ies</w:t>
      </w:r>
      <w:r>
        <w:t xml:space="preserve"> cannot assure that </w:t>
      </w:r>
      <w:r w:rsidR="005855B4">
        <w:t>their</w:t>
      </w:r>
      <w:r>
        <w:t xml:space="preserve"> diversification</w:t>
      </w:r>
      <w:r w:rsidR="00CF3304">
        <w:t>s</w:t>
      </w:r>
      <w:r>
        <w:t xml:space="preserve"> will be successful; the compan</w:t>
      </w:r>
      <w:r w:rsidR="005855B4">
        <w:t>ies</w:t>
      </w:r>
      <w:r>
        <w:t xml:space="preserve"> may not be able to grow through future acquisitions; in the future, the relationship with other key communications companies may be at risk; and network disruptions could harm performance.  </w:t>
      </w:r>
      <w:r w:rsidR="008F3015">
        <w:t xml:space="preserve">Mr. Applegate notes, in particular, certain </w:t>
      </w:r>
      <w:r w:rsidR="00B9397A">
        <w:t xml:space="preserve">integration-related </w:t>
      </w:r>
      <w:r w:rsidR="00772C34">
        <w:t>risks</w:t>
      </w:r>
      <w:r w:rsidR="00866925">
        <w:t xml:space="preserve"> listed in the S-4, noting</w:t>
      </w:r>
      <w:r>
        <w:t xml:space="preserve"> that CenturyLink </w:t>
      </w:r>
      <w:r w:rsidR="00866925">
        <w:t xml:space="preserve">may be subjected to conditions by regulatory authorities; </w:t>
      </w:r>
      <w:r w:rsidR="005B4BDC">
        <w:t xml:space="preserve">CenturyLink </w:t>
      </w:r>
      <w:r>
        <w:t xml:space="preserve">will incur substantial merger-related expenses; the Company </w:t>
      </w:r>
      <w:r w:rsidRPr="00CF3304">
        <w:rPr>
          <w:iCs/>
        </w:rPr>
        <w:t>may</w:t>
      </w:r>
      <w:r w:rsidRPr="00CF3304">
        <w:t xml:space="preserve"> </w:t>
      </w:r>
      <w:r>
        <w:t xml:space="preserve">not be successful in integrating the businesses such that it can realize anticipated benefits; CenturyLink will serve additional urban markets where it has less experience competing; </w:t>
      </w:r>
      <w:r w:rsidR="00866925">
        <w:t xml:space="preserve">and </w:t>
      </w:r>
      <w:r>
        <w:t>future resu</w:t>
      </w:r>
      <w:r w:rsidRPr="00CF3304">
        <w:t xml:space="preserve">lts </w:t>
      </w:r>
      <w:r w:rsidRPr="00CF3304">
        <w:rPr>
          <w:iCs/>
        </w:rPr>
        <w:t>may</w:t>
      </w:r>
      <w:r w:rsidRPr="00CF3304">
        <w:t xml:space="preserve"> </w:t>
      </w:r>
      <w:r>
        <w:t>be affected if CenturyLink does not effectively manage expanded operations</w:t>
      </w:r>
      <w:r w:rsidR="00866925">
        <w:t>.</w:t>
      </w:r>
      <w:r w:rsidR="00FE1B56">
        <w:rPr>
          <w:rStyle w:val="FootnoteReference"/>
        </w:rPr>
        <w:footnoteReference w:id="55"/>
      </w:r>
      <w:r w:rsidR="00866925">
        <w:t xml:space="preserve"> </w:t>
      </w:r>
      <w:r>
        <w:t xml:space="preserve"> If one considers </w:t>
      </w:r>
      <w:r w:rsidR="00B9397A">
        <w:t xml:space="preserve">many of </w:t>
      </w:r>
      <w:r>
        <w:t xml:space="preserve">the </w:t>
      </w:r>
      <w:r w:rsidR="00691242">
        <w:t xml:space="preserve">potential </w:t>
      </w:r>
      <w:r>
        <w:t xml:space="preserve">risks outlined above, it is apparent that these are general disclosures of what might go wrong in any business in the telecommunications industry, and the merger-related items are potential costs which are typical in any combination, against which the thoughtful investor or observer or manager will weigh the potential benefits associated with greater efficiencies and capabilities.  </w:t>
      </w:r>
      <w:r w:rsidR="00E63837">
        <w:t xml:space="preserve">When CenturyLink operates its business or engages in acquisitions, the Company works to identify any and all </w:t>
      </w:r>
      <w:r w:rsidR="00691242">
        <w:t xml:space="preserve">potential </w:t>
      </w:r>
      <w:r w:rsidR="00E63837">
        <w:t xml:space="preserve">risks.  </w:t>
      </w:r>
      <w:r w:rsidR="00CF3304">
        <w:t xml:space="preserve">To point to the </w:t>
      </w:r>
      <w:r w:rsidR="00691242">
        <w:t>“</w:t>
      </w:r>
      <w:r w:rsidR="00CF3304">
        <w:t>Risk F</w:t>
      </w:r>
      <w:r>
        <w:t>actor</w:t>
      </w:r>
      <w:r w:rsidR="00691242">
        <w:t>”</w:t>
      </w:r>
      <w:r>
        <w:t xml:space="preserve"> discussion in the S-4 filing does not provide</w:t>
      </w:r>
      <w:r w:rsidR="009B0FEA">
        <w:t xml:space="preserve"> any</w:t>
      </w:r>
      <w:r>
        <w:t xml:space="preserve"> evidence </w:t>
      </w:r>
      <w:r w:rsidR="009B0FEA">
        <w:t>that</w:t>
      </w:r>
      <w:r w:rsidR="00CF3304">
        <w:t xml:space="preserve"> the intervenors or Staff</w:t>
      </w:r>
      <w:r w:rsidR="009B0FEA">
        <w:t xml:space="preserve"> have assessed the risks</w:t>
      </w:r>
      <w:r>
        <w:t>.</w:t>
      </w:r>
      <w:r w:rsidR="009B0FEA">
        <w:t xml:space="preserve"> </w:t>
      </w:r>
      <w:r w:rsidR="00772C34">
        <w:t xml:space="preserve">  The </w:t>
      </w:r>
      <w:r w:rsidR="005B4BDC">
        <w:t xml:space="preserve">Joint </w:t>
      </w:r>
      <w:r w:rsidR="00772C34">
        <w:t>Applicants</w:t>
      </w:r>
      <w:r w:rsidR="00251454">
        <w:t>’</w:t>
      </w:r>
      <w:r w:rsidR="00772C34">
        <w:t xml:space="preserve"> boards of directors, management and investors believe that the </w:t>
      </w:r>
      <w:r w:rsidR="00691242">
        <w:t xml:space="preserve">potential </w:t>
      </w:r>
      <w:r w:rsidR="00772C34">
        <w:t xml:space="preserve">risks are manageable and there is a net benefit to the </w:t>
      </w:r>
      <w:r w:rsidR="00CF3304">
        <w:t>Company’s core operations—serving the</w:t>
      </w:r>
      <w:r w:rsidR="00251454">
        <w:t xml:space="preserve"> customer base—in moving forward.</w:t>
      </w:r>
    </w:p>
    <w:p w:rsidR="00776B97" w:rsidRPr="00F47ED6" w:rsidRDefault="00776B97" w:rsidP="00F47ED6">
      <w:pPr>
        <w:spacing w:line="480" w:lineRule="auto"/>
        <w:jc w:val="both"/>
      </w:pPr>
    </w:p>
    <w:p w:rsidR="00776B97" w:rsidRDefault="00776B97" w:rsidP="003E2864">
      <w:pPr>
        <w:pStyle w:val="ListParagraph"/>
        <w:numPr>
          <w:ilvl w:val="0"/>
          <w:numId w:val="15"/>
        </w:numPr>
        <w:spacing w:line="480" w:lineRule="auto"/>
        <w:ind w:hanging="720"/>
        <w:jc w:val="both"/>
        <w:rPr>
          <w:b/>
          <w:bCs/>
        </w:rPr>
      </w:pPr>
      <w:r w:rsidRPr="0048491E">
        <w:rPr>
          <w:b/>
          <w:bCs/>
        </w:rPr>
        <w:t>THE CLECS’ RECOMMENDA</w:t>
      </w:r>
      <w:r>
        <w:rPr>
          <w:b/>
          <w:bCs/>
        </w:rPr>
        <w:t>TION THAT CENTURYLINK AND QWEST</w:t>
      </w:r>
      <w:r w:rsidRPr="0048491E">
        <w:rPr>
          <w:b/>
          <w:bCs/>
        </w:rPr>
        <w:t xml:space="preserve"> SHOULD BE REQUIRED TO SHARE SYNERGY SAVINGS WITH W</w:t>
      </w:r>
      <w:r>
        <w:rPr>
          <w:b/>
          <w:bCs/>
        </w:rPr>
        <w:t>HOLESALE CUSTOMERS.</w:t>
      </w:r>
    </w:p>
    <w:p w:rsidR="00776B97" w:rsidRPr="00560299" w:rsidRDefault="00776B97" w:rsidP="00BB3B67">
      <w:pPr>
        <w:spacing w:line="480" w:lineRule="auto"/>
        <w:ind w:left="720" w:hanging="720"/>
        <w:jc w:val="both"/>
        <w:rPr>
          <w:b/>
          <w:bCs/>
        </w:rPr>
      </w:pPr>
      <w:r>
        <w:rPr>
          <w:b/>
          <w:bCs/>
        </w:rPr>
        <w:t>Q.</w:t>
      </w:r>
      <w:r>
        <w:rPr>
          <w:b/>
          <w:bCs/>
        </w:rPr>
        <w:tab/>
      </w:r>
      <w:r w:rsidRPr="00112F5F">
        <w:rPr>
          <w:rFonts w:ascii="Times New Roman Bold" w:hAnsi="Times New Roman Bold"/>
          <w:b/>
          <w:bCs/>
          <w:caps/>
        </w:rPr>
        <w:t>Please respond to the intervenor witnesses who argue that the Commission should require sharing of the financial benefits of the merger?</w:t>
      </w:r>
    </w:p>
    <w:p w:rsidR="00776B97" w:rsidRDefault="00E851EC" w:rsidP="00BB3B67">
      <w:pPr>
        <w:spacing w:line="480" w:lineRule="auto"/>
        <w:ind w:left="720" w:hanging="720"/>
        <w:jc w:val="both"/>
      </w:pPr>
      <w:r>
        <w:t>A.</w:t>
      </w:r>
      <w:r>
        <w:tab/>
        <w:t>Dr. Ankum,</w:t>
      </w:r>
      <w:r w:rsidR="00776B97">
        <w:t xml:space="preserve"> Mr. Gates</w:t>
      </w:r>
      <w:r>
        <w:t xml:space="preserve"> and Mr. Appleby each</w:t>
      </w:r>
      <w:r w:rsidR="00776B97">
        <w:t xml:space="preserve"> argue that wholesale customers should “share” in the benefits that flow from the merger.  </w:t>
      </w:r>
      <w:r>
        <w:t>Mr. Appleby testifies that his company, Sprint Nextel, seeks not only to be protected from risks associated with the Transaction, but also that Sprint Nextel should be a direct beneficiary of lower wholesale rates resulting from an allocation of merger synergy savings that are calc</w:t>
      </w:r>
      <w:r w:rsidR="004B5B37">
        <w:t>ulated on the basis of Washington</w:t>
      </w:r>
      <w:r>
        <w:t>’s percentage of the total company’s access lines.</w:t>
      </w:r>
      <w:r>
        <w:rPr>
          <w:rStyle w:val="FootnoteReference"/>
        </w:rPr>
        <w:footnoteReference w:id="56"/>
      </w:r>
      <w:r>
        <w:t xml:space="preserve">  </w:t>
      </w:r>
      <w:r w:rsidR="00776B97">
        <w:t xml:space="preserve">Dr. Ankum </w:t>
      </w:r>
      <w:r>
        <w:t>testifies similarly</w:t>
      </w:r>
      <w:r w:rsidR="00776B97">
        <w:t xml:space="preserve">: “And without a concrete commitment that allows CLECs to </w:t>
      </w:r>
      <w:r w:rsidR="00776B97" w:rsidRPr="000E1362">
        <w:rPr>
          <w:i/>
          <w:iCs/>
        </w:rPr>
        <w:t>rightfully share in the cost-savings</w:t>
      </w:r>
      <w:r w:rsidR="00776B97">
        <w:t xml:space="preserve"> the combined company achieves, this will be very low on CenturyLink’s priority list post-transaction.”</w:t>
      </w:r>
      <w:r w:rsidR="00776B97">
        <w:rPr>
          <w:rStyle w:val="FootnoteReference"/>
        </w:rPr>
        <w:footnoteReference w:id="57"/>
      </w:r>
      <w:r w:rsidR="00776B97">
        <w:t xml:space="preserve"> [Emphasis added.]  Mr. Gates argues that “CenturyLink should not be permitted to keep all of the benefits of increased economies and efficiencies for itself.”</w:t>
      </w:r>
      <w:r w:rsidR="00776B97">
        <w:rPr>
          <w:rStyle w:val="FootnoteReference"/>
        </w:rPr>
        <w:footnoteReference w:id="58"/>
      </w:r>
      <w:r w:rsidR="00776B97">
        <w:t xml:space="preserve">  As such, the intervenor witnesses are not satisfied that the Commission should </w:t>
      </w:r>
      <w:r w:rsidR="00AC1896">
        <w:t>find “no harm,”</w:t>
      </w:r>
      <w:r w:rsidR="00776B97">
        <w:t xml:space="preserve"> consistent wi</w:t>
      </w:r>
      <w:r w:rsidR="00AC1896">
        <w:t xml:space="preserve">th the </w:t>
      </w:r>
      <w:r w:rsidR="00D51146">
        <w:t xml:space="preserve">Washington </w:t>
      </w:r>
      <w:r w:rsidR="00AC1896">
        <w:t xml:space="preserve">standard of review.  In contrast, the </w:t>
      </w:r>
      <w:r w:rsidR="00A26E86">
        <w:t xml:space="preserve">Joint </w:t>
      </w:r>
      <w:r w:rsidR="00AC1896">
        <w:t>CLEC intervenors</w:t>
      </w:r>
      <w:r w:rsidR="00776B97">
        <w:t xml:space="preserve"> contend that the Commission should </w:t>
      </w:r>
      <w:r w:rsidR="004920CF">
        <w:t xml:space="preserve">permit </w:t>
      </w:r>
      <w:r w:rsidR="00776B97">
        <w:t xml:space="preserve">competitive and wholesale carriers </w:t>
      </w:r>
      <w:r w:rsidR="004920CF">
        <w:t>to share in the</w:t>
      </w:r>
      <w:r w:rsidR="00776B97">
        <w:t xml:space="preserve"> direct financial benefi</w:t>
      </w:r>
      <w:r w:rsidR="004920CF">
        <w:t>ts</w:t>
      </w:r>
      <w:r w:rsidR="00776B97">
        <w:t xml:space="preserve"> of the Transaction.</w:t>
      </w:r>
      <w:r w:rsidR="0026766E">
        <w:t xml:space="preserve">  </w:t>
      </w:r>
      <w:r w:rsidR="004920CF">
        <w:t xml:space="preserve">CenturyLink disagrees.  </w:t>
      </w:r>
      <w:r w:rsidR="0026766E">
        <w:t>CenturyLink believes that the Company should be subject to the same regulations and agreements that are currently in force, but should not be obligated to make additional financial concessions that prote</w:t>
      </w:r>
      <w:r w:rsidR="00AC1896">
        <w:t>ct against no probable harms.  In fact, t</w:t>
      </w:r>
      <w:r w:rsidR="0026766E">
        <w:t xml:space="preserve">here are </w:t>
      </w:r>
      <w:r w:rsidR="00AC1896">
        <w:t xml:space="preserve">more appropriate </w:t>
      </w:r>
      <w:r w:rsidR="0026766E">
        <w:t>venues for resolving rate</w:t>
      </w:r>
      <w:r w:rsidR="00691242">
        <w:t xml:space="preserve"> issue</w:t>
      </w:r>
      <w:r w:rsidR="0026766E">
        <w:t xml:space="preserve">s or enforcing negotiated agreements, and </w:t>
      </w:r>
      <w:r w:rsidR="007558D8">
        <w:t xml:space="preserve">CenturyLink </w:t>
      </w:r>
      <w:r w:rsidR="00691242">
        <w:t xml:space="preserve">submits </w:t>
      </w:r>
      <w:r w:rsidR="007558D8">
        <w:t xml:space="preserve">that </w:t>
      </w:r>
      <w:r w:rsidR="0026766E">
        <w:t>a merger proceeding is not the forum to alter rules, terms and regulations.</w:t>
      </w:r>
    </w:p>
    <w:p w:rsidR="00776B97" w:rsidRPr="00EA40FF" w:rsidRDefault="00776B97" w:rsidP="00BB3B67">
      <w:pPr>
        <w:spacing w:line="480" w:lineRule="auto"/>
        <w:jc w:val="both"/>
      </w:pPr>
    </w:p>
    <w:p w:rsidR="00776B97" w:rsidRPr="00112F5F" w:rsidRDefault="00776B97" w:rsidP="00BB3B67">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Please respond to </w:t>
      </w:r>
      <w:r w:rsidR="001455C4" w:rsidRPr="00112F5F">
        <w:rPr>
          <w:rFonts w:ascii="Times New Roman Bold" w:hAnsi="Times New Roman Bold"/>
          <w:b/>
          <w:bCs/>
          <w:caps/>
        </w:rPr>
        <w:t xml:space="preserve">certain </w:t>
      </w:r>
      <w:r w:rsidRPr="00112F5F">
        <w:rPr>
          <w:rFonts w:ascii="Times New Roman Bold" w:hAnsi="Times New Roman Bold"/>
          <w:b/>
          <w:bCs/>
          <w:caps/>
        </w:rPr>
        <w:t>intervenor witnesses’ argument that the merged company should “share” directly with wholesale customers the financial benefits that flow from the proposed Transaction</w:t>
      </w:r>
      <w:r w:rsidR="00D62FE8" w:rsidRPr="00112F5F">
        <w:rPr>
          <w:rFonts w:ascii="Times New Roman Bold" w:hAnsi="Times New Roman Bold"/>
          <w:b/>
          <w:bCs/>
          <w:caps/>
        </w:rPr>
        <w:t>.</w:t>
      </w:r>
    </w:p>
    <w:p w:rsidR="00776B97" w:rsidRDefault="00776B97" w:rsidP="00BB3B67">
      <w:pPr>
        <w:spacing w:line="480" w:lineRule="auto"/>
        <w:ind w:left="720" w:hanging="720"/>
        <w:jc w:val="both"/>
      </w:pPr>
      <w:r>
        <w:t>A.</w:t>
      </w:r>
      <w:r>
        <w:tab/>
        <w:t xml:space="preserve">CenturyLink believes that the intervenors have no right to claim a financial share of the efficiencies or other benefits.  </w:t>
      </w:r>
      <w:r w:rsidR="00687B31">
        <w:t xml:space="preserve">First, </w:t>
      </w:r>
      <w:r w:rsidR="007018C5">
        <w:t>CenturyLink believes that the Commission is evaluating this Transaction to determine whether the</w:t>
      </w:r>
      <w:r w:rsidR="004D6119">
        <w:t xml:space="preserve"> merger results in “no harm,”</w:t>
      </w:r>
      <w:r w:rsidR="007018C5">
        <w:t xml:space="preserve"> in part as measured by the merged company’s financial capabilities.  </w:t>
      </w:r>
      <w:r w:rsidR="00687B31">
        <w:t>Second, t</w:t>
      </w:r>
      <w:r>
        <w:t xml:space="preserve">he intervenors here are </w:t>
      </w:r>
      <w:r w:rsidR="001E537E">
        <w:t>recommend</w:t>
      </w:r>
      <w:r>
        <w:t xml:space="preserve">ing the redirection of cash flows narrowly </w:t>
      </w:r>
      <w:r w:rsidR="001455C4">
        <w:t xml:space="preserve">to </w:t>
      </w:r>
      <w:r>
        <w:t>benefit CLECs and other wholesale customers</w:t>
      </w:r>
      <w:r w:rsidR="00687B31">
        <w:t>, in spite of the fact that wholesale-specific synergies are estimated to be only approximately 2% of the entire synergy savings</w:t>
      </w:r>
      <w:r>
        <w:t>.</w:t>
      </w:r>
      <w:r w:rsidR="0026766E">
        <w:t xml:space="preserve"> </w:t>
      </w:r>
      <w:r>
        <w:t xml:space="preserve"> </w:t>
      </w:r>
      <w:r w:rsidR="00687B31">
        <w:t xml:space="preserve">Third, </w:t>
      </w:r>
      <w:r>
        <w:t xml:space="preserve">CenturyLink and Qwest are committed to achieving financial flexibility to respond to its customers and market conditions—through improved balance sheet characteristics, network investment, more compelling service offerings, or some combination of </w:t>
      </w:r>
      <w:r w:rsidRPr="000300E3">
        <w:t xml:space="preserve">these </w:t>
      </w:r>
      <w:r>
        <w:t xml:space="preserve">or other </w:t>
      </w:r>
      <w:r w:rsidRPr="000300E3">
        <w:t xml:space="preserve">benefits.  </w:t>
      </w:r>
      <w:r w:rsidR="002F1A32">
        <w:t>Importantly, the two Joint Applicants</w:t>
      </w:r>
      <w:r w:rsidRPr="000300E3">
        <w:t xml:space="preserve"> have made a commitment to mer</w:t>
      </w:r>
      <w:r w:rsidRPr="004D6119">
        <w:t>ge, to bear the integration risk, and to create a stronger service provider for the benefit of all</w:t>
      </w:r>
      <w:r w:rsidR="00126BCA" w:rsidRPr="004D6119">
        <w:t xml:space="preserve"> </w:t>
      </w:r>
      <w:r w:rsidR="00D74502" w:rsidRPr="004D6119">
        <w:t>Washington</w:t>
      </w:r>
      <w:r w:rsidRPr="004D6119">
        <w:t xml:space="preserve"> custom</w:t>
      </w:r>
      <w:r w:rsidRPr="000300E3">
        <w:t>ers.</w:t>
      </w:r>
      <w:r w:rsidR="003717D6">
        <w:t xml:space="preserve">  </w:t>
      </w:r>
      <w:r w:rsidR="003717D6" w:rsidRPr="003717D6">
        <w:t xml:space="preserve">On the contrary, the Joint CLECs are not putting any capital at risk as part of the proposed Transaction, are not incurring any of the transaction costs, and are not taking any of the risks to create a stronger service provider for </w:t>
      </w:r>
      <w:r w:rsidR="004D6119">
        <w:t>Washington</w:t>
      </w:r>
      <w:r w:rsidR="003717D6" w:rsidRPr="003717D6">
        <w:t>.  As such, there is no rational basis for directing a dedicated new financial benefit from the Transaction to wholesale and CLEC customers.</w:t>
      </w:r>
      <w:r w:rsidRPr="000300E3">
        <w:t xml:space="preserve">  </w:t>
      </w:r>
    </w:p>
    <w:p w:rsidR="00206FD3" w:rsidRDefault="00206FD3" w:rsidP="00BB3B67">
      <w:pPr>
        <w:spacing w:line="480" w:lineRule="auto"/>
        <w:ind w:left="720" w:hanging="720"/>
        <w:jc w:val="both"/>
      </w:pPr>
    </w:p>
    <w:p w:rsidR="002B359D" w:rsidRPr="00112F5F" w:rsidRDefault="002B359D" w:rsidP="002B359D">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As an element of analyzing whether the Commission “should consider . . . if CenturyLink should be required to share merger synergies with its wholesale customers,” Mr. Appleby points to CenturyLink’s “high” dividend.</w:t>
      </w:r>
      <w:r w:rsidRPr="00C7304C">
        <w:rPr>
          <w:rStyle w:val="FootnoteReference"/>
          <w:rFonts w:ascii="Times New Roman Bold" w:hAnsi="Times New Roman Bold"/>
          <w:b/>
          <w:bCs/>
          <w:caps/>
        </w:rPr>
        <w:footnoteReference w:id="59"/>
      </w:r>
      <w:r w:rsidRPr="00112F5F">
        <w:rPr>
          <w:rFonts w:ascii="Times New Roman Bold" w:hAnsi="Times New Roman Bold"/>
          <w:b/>
          <w:bCs/>
          <w:caps/>
        </w:rPr>
        <w:t xml:space="preserve">  Can you comment?</w:t>
      </w:r>
    </w:p>
    <w:p w:rsidR="00A26E86" w:rsidRDefault="002B359D" w:rsidP="002B359D">
      <w:pPr>
        <w:spacing w:line="480" w:lineRule="auto"/>
        <w:ind w:left="720" w:hanging="720"/>
        <w:jc w:val="both"/>
      </w:pPr>
      <w:r>
        <w:t>A.</w:t>
      </w:r>
      <w:r>
        <w:tab/>
        <w:t xml:space="preserve">Yes.  </w:t>
      </w:r>
      <w:r w:rsidR="00987B25">
        <w:t xml:space="preserve">Mr. Appleby is focused on reducing access rates in Washington; CenturyLink </w:t>
      </w:r>
      <w:r w:rsidR="004B44E8">
        <w:t xml:space="preserve">believes </w:t>
      </w:r>
      <w:r w:rsidR="00987B25">
        <w:t>that a merger proceeding is not the correct venue for building such a record or determining access rates.  Second, Mr. Appleby testifies about economic costs in a narrow manner, which does not include any analysis of the network investment costs that are real “economic” costs that</w:t>
      </w:r>
      <w:r w:rsidR="00024D5A">
        <w:t>,</w:t>
      </w:r>
      <w:r w:rsidR="004B44E8">
        <w:t xml:space="preserve"> due to policy decisions</w:t>
      </w:r>
      <w:r w:rsidR="00024D5A">
        <w:t>,</w:t>
      </w:r>
      <w:r w:rsidR="00987B25">
        <w:t xml:space="preserve"> </w:t>
      </w:r>
      <w:r w:rsidR="004B44E8">
        <w:t xml:space="preserve">historically </w:t>
      </w:r>
      <w:r w:rsidR="00987B25">
        <w:t>have been matched in part with access revenues.</w:t>
      </w:r>
      <w:r w:rsidR="00C039B2">
        <w:rPr>
          <w:rStyle w:val="FootnoteReference"/>
        </w:rPr>
        <w:footnoteReference w:id="60"/>
      </w:r>
      <w:r w:rsidR="00987B25">
        <w:t xml:space="preserve">  Third, if Mr. Appleby is correct about the economic windfall in combi</w:t>
      </w:r>
      <w:r w:rsidR="00A26E86">
        <w:t>ni</w:t>
      </w:r>
      <w:r w:rsidR="00987B25">
        <w:t xml:space="preserve">ng long-distance services with </w:t>
      </w:r>
      <w:r w:rsidR="00A26E86">
        <w:t xml:space="preserve">local </w:t>
      </w:r>
      <w:r w:rsidR="00987B25">
        <w:t xml:space="preserve">access </w:t>
      </w:r>
      <w:r w:rsidR="00A26E86">
        <w:t>operations</w:t>
      </w:r>
      <w:r w:rsidR="00987B25">
        <w:t>, it is difficult to understand why Verizon</w:t>
      </w:r>
      <w:r w:rsidR="00A26E86">
        <w:t xml:space="preserve"> </w:t>
      </w:r>
      <w:r w:rsidR="009E0E64" w:rsidRPr="00A26E86">
        <w:rPr>
          <w:bCs/>
        </w:rPr>
        <w:t>Communications Inc.’s (“Verizon”)</w:t>
      </w:r>
      <w:r w:rsidR="009E0E64" w:rsidRPr="00A26E86">
        <w:t xml:space="preserve"> </w:t>
      </w:r>
      <w:r w:rsidR="00A26E86">
        <w:t>or Sprint</w:t>
      </w:r>
      <w:r w:rsidR="009E0E64">
        <w:t xml:space="preserve"> Nextel</w:t>
      </w:r>
      <w:r w:rsidR="00A26E86">
        <w:t xml:space="preserve"> itself divested ILEC</w:t>
      </w:r>
      <w:r w:rsidR="00987B25">
        <w:t xml:space="preserve"> operations</w:t>
      </w:r>
      <w:r w:rsidR="00216849">
        <w:t xml:space="preserve"> over recent years.  The </w:t>
      </w:r>
      <w:r w:rsidR="00C039B2">
        <w:t>answer is, of course, that ILEC</w:t>
      </w:r>
      <w:r w:rsidR="00216849">
        <w:t xml:space="preserve"> operations are very costly to build and maintain, particularly in a period in which wireless</w:t>
      </w:r>
      <w:r w:rsidR="00C039B2">
        <w:t xml:space="preserve"> operators, such as Sprint Nextel, are</w:t>
      </w:r>
      <w:r w:rsidR="00216849">
        <w:t xml:space="preserve"> capturing significant market share in terms of “lines” and minutes.  </w:t>
      </w:r>
      <w:r w:rsidR="004B44E8">
        <w:t xml:space="preserve">The economic windfall </w:t>
      </w:r>
      <w:r w:rsidR="00024D5A">
        <w:t>does not exist in spite of</w:t>
      </w:r>
      <w:r w:rsidR="004B44E8">
        <w:t xml:space="preserve"> Mr. Appleby </w:t>
      </w:r>
      <w:r w:rsidR="00024D5A">
        <w:t>arguments</w:t>
      </w:r>
      <w:r w:rsidR="004B44E8">
        <w:t xml:space="preserve">, and the actions of Verizon and Sprint Nextel regarding their ILEC operations are tangible evidence of that fact.  </w:t>
      </w:r>
      <w:r w:rsidR="00216849">
        <w:t xml:space="preserve">Fourth, </w:t>
      </w:r>
      <w:r w:rsidR="00C039B2">
        <w:t>to justify his access-related arguments, Mr. Appleby raises</w:t>
      </w:r>
      <w:r w:rsidR="00216849">
        <w:t xml:space="preserve"> a non-access issue</w:t>
      </w:r>
      <w:r w:rsidR="00C039B2">
        <w:t xml:space="preserve"> (CenturyLink’s dividend policy) to </w:t>
      </w:r>
      <w:r w:rsidR="00C039B2" w:rsidRPr="00A26E86">
        <w:t>argue that the</w:t>
      </w:r>
      <w:r w:rsidR="004B44E8">
        <w:t xml:space="preserve"> Company is generating</w:t>
      </w:r>
      <w:r w:rsidR="00C039B2" w:rsidRPr="00A26E86">
        <w:t xml:space="preserve"> excess profits</w:t>
      </w:r>
      <w:r w:rsidR="00216849" w:rsidRPr="00A26E86">
        <w:t xml:space="preserve">.  </w:t>
      </w:r>
    </w:p>
    <w:p w:rsidR="00A26E86" w:rsidRPr="00A26E86" w:rsidRDefault="00A26E86" w:rsidP="002B359D">
      <w:pPr>
        <w:spacing w:line="480" w:lineRule="auto"/>
        <w:ind w:left="720" w:hanging="720"/>
        <w:jc w:val="both"/>
      </w:pPr>
    </w:p>
    <w:p w:rsidR="00A26E86" w:rsidRPr="00112F5F" w:rsidRDefault="00A26E86" w:rsidP="00A26E86">
      <w:pPr>
        <w:spacing w:line="480" w:lineRule="auto"/>
        <w:ind w:left="720" w:hanging="720"/>
        <w:jc w:val="both"/>
        <w:rPr>
          <w:rFonts w:ascii="Times New Roman Bold" w:hAnsi="Times New Roman Bold"/>
          <w:b/>
          <w:bCs/>
          <w:caps/>
        </w:rPr>
      </w:pPr>
      <w:r w:rsidRPr="00A26E86">
        <w:rPr>
          <w:b/>
        </w:rPr>
        <w:t>Q.</w:t>
      </w:r>
      <w:r w:rsidRPr="00A26E86">
        <w:rPr>
          <w:b/>
        </w:rPr>
        <w:tab/>
      </w:r>
      <w:r w:rsidR="00852ECA" w:rsidRPr="00112F5F">
        <w:rPr>
          <w:rFonts w:ascii="Times New Roman Bold" w:hAnsi="Times New Roman Bold"/>
          <w:b/>
          <w:bCs/>
          <w:caps/>
        </w:rPr>
        <w:t>Is the level of</w:t>
      </w:r>
      <w:r w:rsidRPr="00112F5F">
        <w:rPr>
          <w:rFonts w:ascii="Times New Roman Bold" w:hAnsi="Times New Roman Bold"/>
          <w:b/>
          <w:bCs/>
          <w:caps/>
        </w:rPr>
        <w:t xml:space="preserve"> CenturyLink’s dividend </w:t>
      </w:r>
      <w:r w:rsidR="00852ECA" w:rsidRPr="00112F5F">
        <w:rPr>
          <w:rFonts w:ascii="Times New Roman Bold" w:hAnsi="Times New Roman Bold"/>
          <w:b/>
          <w:bCs/>
          <w:caps/>
        </w:rPr>
        <w:t>an indication that the Company has excess profits?</w:t>
      </w:r>
      <w:r w:rsidRPr="00112F5F">
        <w:rPr>
          <w:rFonts w:ascii="Times New Roman Bold" w:hAnsi="Times New Roman Bold"/>
          <w:b/>
          <w:bCs/>
          <w:caps/>
        </w:rPr>
        <w:t xml:space="preserve"> </w:t>
      </w:r>
    </w:p>
    <w:p w:rsidR="00A26E86" w:rsidRDefault="00A26E86" w:rsidP="00A26E86">
      <w:pPr>
        <w:spacing w:line="480" w:lineRule="auto"/>
        <w:ind w:left="720" w:hanging="720"/>
        <w:jc w:val="both"/>
      </w:pPr>
      <w:r>
        <w:t>A.</w:t>
      </w:r>
      <w:r>
        <w:tab/>
      </w:r>
      <w:r w:rsidR="00852ECA">
        <w:t xml:space="preserve">No. </w:t>
      </w:r>
      <w:r>
        <w:t xml:space="preserve">CenturyLink’s dividend </w:t>
      </w:r>
      <w:r w:rsidR="00852ECA">
        <w:t xml:space="preserve">level is appropriate in a slow growth industry.  </w:t>
      </w:r>
      <w:r>
        <w:t>However, Mr. Appleby urges the Commission to reflect on the “high level” of CenturyLink’s dividend, as he apparently believes the dividend is an indication that the Company is generating profit</w:t>
      </w:r>
      <w:r w:rsidR="00024D5A">
        <w:t>s</w:t>
      </w:r>
      <w:r>
        <w:t xml:space="preserve"> that should be shared with wholesale customers.</w:t>
      </w:r>
      <w:r>
        <w:rPr>
          <w:rStyle w:val="FootnoteReference"/>
        </w:rPr>
        <w:footnoteReference w:id="61"/>
      </w:r>
      <w:r>
        <w:t xml:space="preserve">  In response, CenturyLink reaffirms that equity investors deserve to be compensated for their capital, just as debt-holders deserve to be paid interest.  Dividends are an important component in paying for the use of equity capital in an industry—such as wireline telecommunications—in which earnings growth (</w:t>
      </w:r>
      <w:r w:rsidR="004D3569">
        <w:t xml:space="preserve">in normal economic and market conditions </w:t>
      </w:r>
      <w:r>
        <w:t xml:space="preserve">often a proxy for share-price appreciation potential) is slow.  </w:t>
      </w:r>
      <w:r w:rsidR="004D3569">
        <w:t xml:space="preserve">Retaining ready access to capital is important in a capital-intensive business.  </w:t>
      </w:r>
      <w:r>
        <w:t>CenturyLink’s equity investors are provided a competitive, market-based return, while additional free cash flow prudently is retained for network investment, debt reduction, or other appropriate uses.</w:t>
      </w:r>
    </w:p>
    <w:p w:rsidR="00852ECA" w:rsidRPr="00A26E86" w:rsidRDefault="00852ECA" w:rsidP="00A26E86">
      <w:pPr>
        <w:spacing w:line="480" w:lineRule="auto"/>
        <w:ind w:left="720" w:hanging="720"/>
        <w:jc w:val="both"/>
      </w:pPr>
    </w:p>
    <w:p w:rsidR="00A26E86" w:rsidRPr="00A26E86" w:rsidRDefault="00A26E86" w:rsidP="00A26E86">
      <w:pPr>
        <w:spacing w:line="480" w:lineRule="auto"/>
        <w:ind w:left="720" w:hanging="720"/>
        <w:jc w:val="both"/>
        <w:rPr>
          <w:b/>
          <w:bCs/>
        </w:rPr>
      </w:pPr>
      <w:r w:rsidRPr="00A26E86">
        <w:rPr>
          <w:b/>
          <w:bCs/>
        </w:rPr>
        <w:t>Q.</w:t>
      </w:r>
      <w:r w:rsidRPr="00A26E86">
        <w:rPr>
          <w:b/>
          <w:bCs/>
        </w:rPr>
        <w:tab/>
      </w:r>
      <w:r w:rsidRPr="00112F5F">
        <w:rPr>
          <w:rFonts w:ascii="Times New Roman Bold" w:hAnsi="Times New Roman Bold"/>
          <w:b/>
          <w:bCs/>
          <w:caps/>
        </w:rPr>
        <w:t>Is the CenturyLink dividend too high and does it represent a risk?</w:t>
      </w:r>
    </w:p>
    <w:p w:rsidR="00A26E86" w:rsidRDefault="00A26E86" w:rsidP="00A26E86">
      <w:pPr>
        <w:spacing w:line="480" w:lineRule="auto"/>
        <w:ind w:left="720" w:hanging="720"/>
        <w:jc w:val="both"/>
      </w:pPr>
      <w:r w:rsidRPr="00A26E86">
        <w:t>A.</w:t>
      </w:r>
      <w:r w:rsidRPr="00A26E86">
        <w:tab/>
        <w:t xml:space="preserve">No.   CenturyLink pays dividends out of cash flows available after meeting all other obligations including the costs of operating the business and capital investment.  The Company believes it has adopted a prudent approach as it pays dividends at a level that, as a percentage of its free cash flow, is </w:t>
      </w:r>
      <w:r w:rsidRPr="00A26E86">
        <w:rPr>
          <w:i/>
          <w:iCs/>
        </w:rPr>
        <w:t>lower</w:t>
      </w:r>
      <w:r w:rsidRPr="00A26E86">
        <w:t xml:space="preserve"> than that paid by any of its peers.  Specifically, the merged company’s pro forma dividend payout ratio (dividends paid divided by free cash flow after operating costs and capital expenditures are paid), based on 2009 figures and before any assumed synergies, is estimated to be approximately 50.4%, which is lower than the ratio for Windstream Corporation, d/b/a Windstream Communications (“Windstream”) (53% at year end 2009) and Frontier Communications Corporation (“Frontier”) (60%), which are the peer companies in the wireline-only industry.</w:t>
      </w:r>
      <w:r w:rsidRPr="00A26E86">
        <w:rPr>
          <w:rStyle w:val="FootnoteReference"/>
        </w:rPr>
        <w:footnoteReference w:id="62"/>
      </w:r>
      <w:r w:rsidRPr="00A26E86">
        <w:t xml:space="preserve">  Additionally, AT&amp;T</w:t>
      </w:r>
      <w:r w:rsidR="00852ECA">
        <w:t>’s</w:t>
      </w:r>
      <w:r w:rsidRPr="00A26E86">
        <w:t xml:space="preserve"> payout ratio at year-end 2009 was 56%, while Verizon</w:t>
      </w:r>
      <w:r w:rsidR="009E0E64">
        <w:rPr>
          <w:bCs/>
        </w:rPr>
        <w:t>’s</w:t>
      </w:r>
      <w:r w:rsidRPr="00A26E86">
        <w:t xml:space="preserve"> payout ratio was 71%.  And, assuming that the merged company is able to </w:t>
      </w:r>
      <w:r w:rsidR="00FF2917">
        <w:t xml:space="preserve">achieve estimated synergies, </w:t>
      </w:r>
      <w:r w:rsidR="00F87296">
        <w:t>CenturyLink’s</w:t>
      </w:r>
      <w:r w:rsidRPr="00A26E86">
        <w:t xml:space="preserve"> payout ratio, based on pro forma 2009 cash flows, is expected to be 45.1%, making it even lower (better) when compared with the merged company’s peers.  Without appropriate levels of dividend payments, the Company would be subjected to higher capital risks.  The Company is confident that its dividend policy is conservative compared with other peer carriers.</w:t>
      </w:r>
    </w:p>
    <w:p w:rsidR="00216849" w:rsidRDefault="00216849" w:rsidP="002B359D">
      <w:pPr>
        <w:spacing w:line="480" w:lineRule="auto"/>
        <w:ind w:left="720" w:hanging="720"/>
        <w:jc w:val="both"/>
      </w:pPr>
    </w:p>
    <w:p w:rsidR="00216849" w:rsidRDefault="00216849" w:rsidP="002B359D">
      <w:pPr>
        <w:spacing w:line="480" w:lineRule="auto"/>
        <w:ind w:left="720" w:hanging="720"/>
        <w:jc w:val="both"/>
        <w:rPr>
          <w:b/>
        </w:rPr>
      </w:pPr>
      <w:r>
        <w:rPr>
          <w:b/>
        </w:rPr>
        <w:t>Q.</w:t>
      </w:r>
      <w:r>
        <w:rPr>
          <w:b/>
        </w:rPr>
        <w:tab/>
      </w:r>
      <w:r w:rsidRPr="00112F5F">
        <w:rPr>
          <w:rFonts w:ascii="Times New Roman Bold" w:hAnsi="Times New Roman Bold"/>
          <w:b/>
          <w:bCs/>
          <w:caps/>
        </w:rPr>
        <w:t>Is Mr. Appleby correct whe</w:t>
      </w:r>
      <w:r w:rsidR="00FF2917" w:rsidRPr="00112F5F">
        <w:rPr>
          <w:rFonts w:ascii="Times New Roman Bold" w:hAnsi="Times New Roman Bold"/>
          <w:b/>
          <w:bCs/>
          <w:caps/>
        </w:rPr>
        <w:t xml:space="preserve">n he argues that CenturyLink should be </w:t>
      </w:r>
      <w:r w:rsidRPr="00112F5F">
        <w:rPr>
          <w:rFonts w:ascii="Times New Roman Bold" w:hAnsi="Times New Roman Bold"/>
          <w:b/>
          <w:bCs/>
          <w:caps/>
        </w:rPr>
        <w:t xml:space="preserve">comparing its dividend policy to the broader </w:t>
      </w:r>
      <w:r w:rsidR="00191371" w:rsidRPr="00112F5F">
        <w:rPr>
          <w:rFonts w:ascii="Times New Roman Bold" w:hAnsi="Times New Roman Bold"/>
          <w:b/>
          <w:bCs/>
          <w:caps/>
        </w:rPr>
        <w:t>Standard &amp; Poor’s (“S&amp;P”)</w:t>
      </w:r>
      <w:r w:rsidRPr="00112F5F">
        <w:rPr>
          <w:rFonts w:ascii="Times New Roman Bold" w:hAnsi="Times New Roman Bold"/>
          <w:b/>
          <w:bCs/>
          <w:caps/>
        </w:rPr>
        <w:t xml:space="preserve"> 500</w:t>
      </w:r>
      <w:r w:rsidR="00FF2917" w:rsidRPr="00112F5F">
        <w:rPr>
          <w:rFonts w:ascii="Times New Roman Bold" w:hAnsi="Times New Roman Bold"/>
          <w:b/>
          <w:bCs/>
          <w:caps/>
        </w:rPr>
        <w:t xml:space="preserve"> and not simply to other ILECs</w:t>
      </w:r>
      <w:r>
        <w:rPr>
          <w:b/>
        </w:rPr>
        <w:t>?</w:t>
      </w:r>
      <w:r w:rsidR="00C039B2">
        <w:rPr>
          <w:rStyle w:val="FootnoteReference"/>
          <w:b/>
        </w:rPr>
        <w:footnoteReference w:id="63"/>
      </w:r>
    </w:p>
    <w:p w:rsidR="00216849" w:rsidRDefault="00216849" w:rsidP="002B359D">
      <w:pPr>
        <w:spacing w:line="480" w:lineRule="auto"/>
        <w:ind w:left="720" w:hanging="720"/>
        <w:jc w:val="both"/>
      </w:pPr>
      <w:r>
        <w:t>A.</w:t>
      </w:r>
      <w:r>
        <w:tab/>
        <w:t>No.  The characteristics of other companies in the S&amp;P 500 vary widely in terms of potential for stock price appreciation, risk, capital intensity and other factors.  The appropriate comparison is always to the peer group to determine how investors view a specific industry and the way in which they expect to be compensated.</w:t>
      </w:r>
      <w:r w:rsidR="00B86EA9">
        <w:t xml:space="preserve">  </w:t>
      </w:r>
      <w:r w:rsidR="00FF2917">
        <w:t>In fact, f</w:t>
      </w:r>
      <w:r w:rsidR="00B86EA9">
        <w:t>inancial analysts</w:t>
      </w:r>
      <w:r w:rsidR="00FF2917">
        <w:t>, who advise institutional and retail investors,</w:t>
      </w:r>
      <w:r w:rsidR="00B86EA9">
        <w:t xml:space="preserve"> </w:t>
      </w:r>
      <w:r w:rsidR="00FF2917">
        <w:t>focus their analysis and publications on</w:t>
      </w:r>
      <w:r w:rsidR="00B86EA9">
        <w:t xml:space="preserve"> specific industries </w:t>
      </w:r>
      <w:r w:rsidR="00FF2917">
        <w:t>beca</w:t>
      </w:r>
      <w:r w:rsidR="00B86EA9">
        <w:t xml:space="preserve">use the appropriate investor comparisons are within an industry group, and then </w:t>
      </w:r>
      <w:r w:rsidR="00FF2917">
        <w:t>they compare the</w:t>
      </w:r>
      <w:r w:rsidR="00B86EA9">
        <w:t xml:space="preserve"> risks, opportunities, valuations, and competitive performance of those industries relative to the overall market.  The correct comparison of payout ratios is to the industry peers and CenturyLink’s ratio is more favorable </w:t>
      </w:r>
      <w:r w:rsidR="00722681">
        <w:t xml:space="preserve">(meaning a lower percentage of free cash flow is paid out to shareholders) </w:t>
      </w:r>
      <w:r w:rsidR="00B86EA9">
        <w:t>than the ratios at Windstream and Frontier, which are peer companies, and more favorable even than the ratios at AT&amp;T and Verizon.</w:t>
      </w:r>
    </w:p>
    <w:p w:rsidR="00B86EA9" w:rsidRDefault="00B86EA9" w:rsidP="002B359D">
      <w:pPr>
        <w:spacing w:line="480" w:lineRule="auto"/>
        <w:ind w:left="720" w:hanging="720"/>
        <w:jc w:val="both"/>
      </w:pPr>
    </w:p>
    <w:p w:rsidR="00B86EA9" w:rsidRPr="00112F5F" w:rsidRDefault="00B86EA9" w:rsidP="002B359D">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Can you comment on Mr. Appleby’s analysis of CenturyLink’s stock price appreciation?</w:t>
      </w:r>
    </w:p>
    <w:p w:rsidR="00B86EA9" w:rsidRPr="00B86EA9" w:rsidRDefault="00B86EA9" w:rsidP="002B359D">
      <w:pPr>
        <w:spacing w:line="480" w:lineRule="auto"/>
        <w:ind w:left="720" w:hanging="720"/>
        <w:jc w:val="both"/>
      </w:pPr>
      <w:r>
        <w:t>A.</w:t>
      </w:r>
      <w:r>
        <w:tab/>
        <w:t>Ye</w:t>
      </w:r>
      <w:r w:rsidR="001F0D30">
        <w:t>s.  Mr. Appleby argues that t</w:t>
      </w:r>
      <w:r w:rsidR="0093306B">
        <w:t xml:space="preserve">he </w:t>
      </w:r>
      <w:r w:rsidR="001F0D30">
        <w:t>level</w:t>
      </w:r>
      <w:r>
        <w:t xml:space="preserve"> of the dividend </w:t>
      </w:r>
      <w:r w:rsidR="001F0D30">
        <w:t>cannot be explained by the slow growth in the industry as</w:t>
      </w:r>
      <w:r>
        <w:t xml:space="preserve"> CenturyLink’s stock price has outperformed the level of appreciation of the S&amp;P 500 over the recent year and five years.</w:t>
      </w:r>
      <w:r>
        <w:rPr>
          <w:rStyle w:val="FootnoteReference"/>
        </w:rPr>
        <w:footnoteReference w:id="64"/>
      </w:r>
      <w:r w:rsidR="001F0D30">
        <w:t xml:space="preserve">  The argument </w:t>
      </w:r>
      <w:r w:rsidR="008F2EFE">
        <w:t xml:space="preserve">ignores significant factors related to why the </w:t>
      </w:r>
      <w:r w:rsidR="00024D5A">
        <w:t xml:space="preserve">CenturyLink </w:t>
      </w:r>
      <w:r w:rsidR="008F2EFE">
        <w:t>share price outperformance has occurred</w:t>
      </w:r>
      <w:r w:rsidR="001F0D30">
        <w:t xml:space="preserve">.  </w:t>
      </w:r>
      <w:r w:rsidR="008F2EFE">
        <w:t>Specifically, t</w:t>
      </w:r>
      <w:r w:rsidR="001F0D30">
        <w:t xml:space="preserve">he </w:t>
      </w:r>
      <w:r w:rsidR="008F2EFE">
        <w:t>financial</w:t>
      </w:r>
      <w:r w:rsidR="001F0D30">
        <w:t xml:space="preserve"> market</w:t>
      </w:r>
      <w:r w:rsidR="008F2EFE">
        <w:t xml:space="preserve"> condition</w:t>
      </w:r>
      <w:r w:rsidR="001F0D30">
        <w:t xml:space="preserve">s </w:t>
      </w:r>
      <w:r w:rsidR="008F2EFE">
        <w:t xml:space="preserve">and overall economic environment </w:t>
      </w:r>
      <w:r w:rsidR="001F0D30">
        <w:t xml:space="preserve">of the last </w:t>
      </w:r>
      <w:r w:rsidR="0093306B">
        <w:t xml:space="preserve">two years </w:t>
      </w:r>
      <w:r w:rsidR="00D71CD0">
        <w:t xml:space="preserve">(the “Great Recession”) </w:t>
      </w:r>
      <w:r w:rsidR="0093306B">
        <w:t xml:space="preserve">have been </w:t>
      </w:r>
      <w:r w:rsidR="008F2EFE">
        <w:t xml:space="preserve">far from </w:t>
      </w:r>
      <w:r w:rsidR="0093306B">
        <w:t>typical.  Profound f</w:t>
      </w:r>
      <w:r w:rsidR="001F0D30">
        <w:t xml:space="preserve">ear has driven </w:t>
      </w:r>
      <w:r w:rsidR="0093306B">
        <w:t xml:space="preserve">many </w:t>
      </w:r>
      <w:r w:rsidR="001F0D30">
        <w:t xml:space="preserve">investors out of the </w:t>
      </w:r>
      <w:r w:rsidR="008F2EFE">
        <w:t xml:space="preserve">stock </w:t>
      </w:r>
      <w:r w:rsidR="001F0D30">
        <w:t>market</w:t>
      </w:r>
      <w:r w:rsidR="008F2EFE">
        <w:t xml:space="preserve"> entirely</w:t>
      </w:r>
      <w:r w:rsidR="001F0D30">
        <w:t>, and has caused a flight from investments that are dependent on econom</w:t>
      </w:r>
      <w:r w:rsidR="008F2EFE">
        <w:t>ic growth</w:t>
      </w:r>
      <w:r w:rsidR="001F0D30">
        <w:t xml:space="preserve"> to investments that are </w:t>
      </w:r>
      <w:r w:rsidR="008F2EFE">
        <w:t xml:space="preserve">more </w:t>
      </w:r>
      <w:r w:rsidR="001F0D30">
        <w:t xml:space="preserve">“defensive.”  Thus, slower-growth and higher-dividend stocks </w:t>
      </w:r>
      <w:r w:rsidR="00D71CD0">
        <w:t xml:space="preserve">of companies that are less cyclical in nature (such as telecom companies) </w:t>
      </w:r>
      <w:r w:rsidR="001F0D30">
        <w:t xml:space="preserve">have performed relatively better </w:t>
      </w:r>
      <w:r w:rsidR="00D71CD0">
        <w:t xml:space="preserve">than the overall market </w:t>
      </w:r>
      <w:r w:rsidR="001F0D30">
        <w:t>in this</w:t>
      </w:r>
      <w:r w:rsidR="0093306B">
        <w:t xml:space="preserve"> extraordinarily difficult investment</w:t>
      </w:r>
      <w:r w:rsidR="001F0D30">
        <w:t xml:space="preserve"> period.  There is no question, however, that investors in a normal market environment will evaluate total </w:t>
      </w:r>
      <w:r w:rsidR="00D71CD0">
        <w:t xml:space="preserve">expected </w:t>
      </w:r>
      <w:r w:rsidR="001F0D30">
        <w:t xml:space="preserve">compensation for the use of their capital—calculating </w:t>
      </w:r>
      <w:r w:rsidR="00D71CD0">
        <w:t>likely price appreciation (typically based on growth prospects)</w:t>
      </w:r>
      <w:r w:rsidR="001F0D30">
        <w:t>, dividend</w:t>
      </w:r>
      <w:r w:rsidR="00D71CD0">
        <w:t xml:space="preserve"> yield</w:t>
      </w:r>
      <w:r w:rsidR="001F0D30">
        <w:t>s, risk and other factors.  Mr. Appleby is incorrect when he</w:t>
      </w:r>
      <w:r w:rsidR="0093306B">
        <w:t xml:space="preserve"> argues that dividend levels are</w:t>
      </w:r>
      <w:r w:rsidR="001F0D30">
        <w:t xml:space="preserve"> not matched with stock price appreciati</w:t>
      </w:r>
      <w:r w:rsidR="00D62631">
        <w:t xml:space="preserve">on to determine overall </w:t>
      </w:r>
      <w:r w:rsidR="00D71CD0">
        <w:t xml:space="preserve">expected equity </w:t>
      </w:r>
      <w:r w:rsidR="00D62631">
        <w:t xml:space="preserve">returns, and his </w:t>
      </w:r>
      <w:r w:rsidR="00D71CD0">
        <w:t xml:space="preserve">relative performance </w:t>
      </w:r>
      <w:r w:rsidR="00D62631">
        <w:t xml:space="preserve">“analysis” is based on </w:t>
      </w:r>
      <w:r w:rsidR="00D71CD0">
        <w:t xml:space="preserve">and influenced by </w:t>
      </w:r>
      <w:r w:rsidR="00D62631">
        <w:t xml:space="preserve">a </w:t>
      </w:r>
      <w:r w:rsidR="00D71CD0">
        <w:t xml:space="preserve">highly </w:t>
      </w:r>
      <w:r w:rsidR="00D62631">
        <w:t>distorted market environment.</w:t>
      </w:r>
    </w:p>
    <w:p w:rsidR="002B359D" w:rsidRDefault="002B359D" w:rsidP="00BB3B67">
      <w:pPr>
        <w:spacing w:line="480" w:lineRule="auto"/>
        <w:ind w:left="720" w:hanging="720"/>
        <w:jc w:val="both"/>
      </w:pPr>
    </w:p>
    <w:p w:rsidR="0082142F" w:rsidRDefault="00206FD3" w:rsidP="00206FD3">
      <w:pPr>
        <w:pStyle w:val="ListParagraph"/>
        <w:numPr>
          <w:ilvl w:val="0"/>
          <w:numId w:val="15"/>
        </w:numPr>
        <w:spacing w:line="480" w:lineRule="auto"/>
        <w:ind w:left="1680" w:hanging="600"/>
        <w:jc w:val="both"/>
        <w:rPr>
          <w:b/>
          <w:bCs/>
        </w:rPr>
      </w:pPr>
      <w:r>
        <w:rPr>
          <w:b/>
          <w:bCs/>
        </w:rPr>
        <w:t>OTHER FINANCIAL ISSUES RAISED BY INTERVENOR</w:t>
      </w:r>
      <w:r w:rsidR="00573BF3">
        <w:rPr>
          <w:b/>
          <w:bCs/>
        </w:rPr>
        <w:t xml:space="preserve"> WITNESSE</w:t>
      </w:r>
      <w:r>
        <w:rPr>
          <w:b/>
          <w:bCs/>
        </w:rPr>
        <w:t>S</w:t>
      </w:r>
    </w:p>
    <w:p w:rsidR="009D51BA" w:rsidRPr="00112F5F" w:rsidRDefault="009D51BA" w:rsidP="009D51BA">
      <w:pPr>
        <w:spacing w:line="480" w:lineRule="auto"/>
        <w:ind w:left="720" w:hanging="720"/>
        <w:jc w:val="both"/>
        <w:rPr>
          <w:rFonts w:ascii="Times New Roman Bold" w:hAnsi="Times New Roman Bold"/>
          <w:b/>
          <w:bCs/>
          <w:caps/>
        </w:rPr>
      </w:pPr>
      <w:r w:rsidRPr="00AB060F">
        <w:rPr>
          <w:b/>
          <w:bCs/>
        </w:rPr>
        <w:t>Q.</w:t>
      </w:r>
      <w:r w:rsidRPr="00AB060F">
        <w:rPr>
          <w:b/>
          <w:bCs/>
        </w:rPr>
        <w:tab/>
      </w:r>
      <w:r w:rsidRPr="00112F5F">
        <w:rPr>
          <w:rFonts w:ascii="Times New Roman Bold" w:hAnsi="Times New Roman Bold"/>
          <w:b/>
          <w:bCs/>
          <w:caps/>
        </w:rPr>
        <w:t xml:space="preserve">Please comment on the concerns raised by </w:t>
      </w:r>
      <w:r w:rsidR="005D3EC2" w:rsidRPr="00112F5F">
        <w:rPr>
          <w:rFonts w:ascii="Times New Roman Bold" w:hAnsi="Times New Roman Bold"/>
          <w:b/>
          <w:bCs/>
          <w:caps/>
        </w:rPr>
        <w:t>the</w:t>
      </w:r>
      <w:r w:rsidRPr="00112F5F">
        <w:rPr>
          <w:rFonts w:ascii="Times New Roman Bold" w:hAnsi="Times New Roman Bold"/>
          <w:b/>
          <w:bCs/>
          <w:caps/>
        </w:rPr>
        <w:t xml:space="preserve"> intervenor witnesses regarding the </w:t>
      </w:r>
      <w:r w:rsidR="000E68D4" w:rsidRPr="00112F5F">
        <w:rPr>
          <w:rFonts w:ascii="Times New Roman Bold" w:hAnsi="Times New Roman Bold"/>
          <w:b/>
          <w:bCs/>
          <w:caps/>
        </w:rPr>
        <w:t xml:space="preserve">potential </w:t>
      </w:r>
      <w:r w:rsidRPr="00112F5F">
        <w:rPr>
          <w:rFonts w:ascii="Times New Roman Bold" w:hAnsi="Times New Roman Bold"/>
          <w:b/>
          <w:bCs/>
          <w:caps/>
        </w:rPr>
        <w:t xml:space="preserve">risks </w:t>
      </w:r>
      <w:r w:rsidR="003D4762" w:rsidRPr="00112F5F">
        <w:rPr>
          <w:rFonts w:ascii="Times New Roman Bold" w:hAnsi="Times New Roman Bold"/>
          <w:b/>
          <w:bCs/>
          <w:caps/>
        </w:rPr>
        <w:t>due to</w:t>
      </w:r>
      <w:r w:rsidRPr="00112F5F">
        <w:rPr>
          <w:rFonts w:ascii="Times New Roman Bold" w:hAnsi="Times New Roman Bold"/>
          <w:b/>
          <w:bCs/>
          <w:caps/>
        </w:rPr>
        <w:t xml:space="preserve"> increased levels of debt on the merged company’s balance sheet. </w:t>
      </w:r>
    </w:p>
    <w:p w:rsidR="009D51BA" w:rsidRDefault="009D51BA" w:rsidP="009D51BA">
      <w:pPr>
        <w:spacing w:line="480" w:lineRule="auto"/>
        <w:ind w:left="720" w:hanging="720"/>
        <w:jc w:val="both"/>
      </w:pPr>
      <w:r>
        <w:t>A.</w:t>
      </w:r>
      <w:r>
        <w:tab/>
        <w:t xml:space="preserve">Representing the CLECs, Mr. Gates </w:t>
      </w:r>
      <w:r w:rsidR="003D4762">
        <w:t>testifies</w:t>
      </w:r>
      <w:r>
        <w:t xml:space="preserve"> that CenturyLink “will have </w:t>
      </w:r>
      <w:r>
        <w:rPr>
          <w:i/>
          <w:iCs/>
        </w:rPr>
        <w:t>more than quadrupled</w:t>
      </w:r>
      <w:r>
        <w:t xml:space="preserve"> its debt load in approximately three years.”</w:t>
      </w:r>
      <w:r>
        <w:rPr>
          <w:rStyle w:val="FootnoteReference"/>
        </w:rPr>
        <w:footnoteReference w:id="65"/>
      </w:r>
      <w:r>
        <w:t xml:space="preserve"> [Emphasis in the original.</w:t>
      </w:r>
      <w:r w:rsidR="003D4762">
        <w:t xml:space="preserve">]  What </w:t>
      </w:r>
      <w:r>
        <w:t>Mr. Gates fail</w:t>
      </w:r>
      <w:r w:rsidR="003D4762">
        <w:t>s</w:t>
      </w:r>
      <w:r>
        <w:t xml:space="preserve"> to </w:t>
      </w:r>
      <w:r w:rsidR="000E68D4">
        <w:t xml:space="preserve">mention </w:t>
      </w:r>
      <w:r>
        <w:t>is that the merged company will be far larger, and, as important, will generate significantly larger levels of cash flows to service its debt.  Illustrating the proportionate growth in operating cash flow to support investment and debt, CenturyLink’s EBITDA at the end of 2006 was $1.2 billion and, at the end of 2007, EBITDA was $1.3 billion, while the pro forma EBITDA for the combined company at the end of 2009 was approximately $8.2 billion.</w:t>
      </w:r>
      <w:r>
        <w:rPr>
          <w:rStyle w:val="FootnoteReference"/>
        </w:rPr>
        <w:footnoteReference w:id="66"/>
      </w:r>
      <w:r>
        <w:t xml:space="preserve">  Accordingly, the pro forma 2009 EBITDA is higher by 6.9 times from 2006 and </w:t>
      </w:r>
      <w:r w:rsidR="003D4762">
        <w:t xml:space="preserve">by </w:t>
      </w:r>
      <w:r>
        <w:t xml:space="preserve">6.2 times from 2007.  Further, the </w:t>
      </w:r>
      <w:r w:rsidR="003D4762">
        <w:t xml:space="preserve">Company </w:t>
      </w:r>
      <w:r w:rsidR="000E68D4">
        <w:t xml:space="preserve">intends </w:t>
      </w:r>
      <w:r w:rsidR="003D4762">
        <w:t>within three-to-</w:t>
      </w:r>
      <w:r>
        <w:t>five years to generate synergies that will result in annual operating cash flows that improve by $575 million and an annual capital expenditure benefit that is estimated at $50 million.  Thus, the Company expects to produce operating cash flows that permit incremental reductions of debt and incremental investments in plant and services.  This increased capacity to strengthen the merged company’s balance sheet is a financial benefit for customers, employees and all the other stakeholders.</w:t>
      </w:r>
    </w:p>
    <w:p w:rsidR="009D51BA" w:rsidRDefault="009D51BA" w:rsidP="009D51BA">
      <w:pPr>
        <w:spacing w:line="480" w:lineRule="auto"/>
        <w:ind w:left="720" w:hanging="720"/>
        <w:jc w:val="both"/>
      </w:pPr>
    </w:p>
    <w:p w:rsidR="009D51BA" w:rsidRPr="00112F5F" w:rsidRDefault="009D51BA" w:rsidP="009D51BA">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Can you </w:t>
      </w:r>
      <w:r w:rsidR="000E68D4" w:rsidRPr="00112F5F">
        <w:rPr>
          <w:rFonts w:ascii="Times New Roman Bold" w:hAnsi="Times New Roman Bold"/>
          <w:b/>
          <w:bCs/>
          <w:caps/>
        </w:rPr>
        <w:t xml:space="preserve">provide additional </w:t>
      </w:r>
      <w:r w:rsidRPr="00112F5F">
        <w:rPr>
          <w:rFonts w:ascii="Times New Roman Bold" w:hAnsi="Times New Roman Bold"/>
          <w:b/>
          <w:bCs/>
          <w:caps/>
        </w:rPr>
        <w:t>comment on the debt leverage of the pro forma company?</w:t>
      </w:r>
    </w:p>
    <w:p w:rsidR="009D51BA" w:rsidRDefault="003D4762" w:rsidP="009D51BA">
      <w:pPr>
        <w:spacing w:line="480" w:lineRule="auto"/>
        <w:ind w:left="720" w:hanging="720"/>
        <w:jc w:val="both"/>
      </w:pPr>
      <w:r>
        <w:t>A.</w:t>
      </w:r>
      <w:r>
        <w:tab/>
        <w:t>Yes.  W</w:t>
      </w:r>
      <w:r w:rsidR="009D51BA">
        <w:t>hile CenturyLink’s pro forma net leverage (Net Debt-to-EBITDA) will rise modestly in the near term from the current level of 2.0 times, the Net Debt-to-EBITDA for Qwest should be reduced through the combination.  Qwest’s net leverage is expected to improve from 2.7 times at the end of 2009 to the pro forma 2009 net leverage for the merged company, which is estimated to be 2.4 times before including the positive impact of expected synergies and 2.2 times after including the full run-rate synergies.</w:t>
      </w:r>
      <w:r w:rsidR="009D51BA">
        <w:rPr>
          <w:rStyle w:val="FootnoteReference"/>
        </w:rPr>
        <w:footnoteReference w:id="67"/>
      </w:r>
      <w:r w:rsidR="009D51BA">
        <w:t xml:space="preserve">  The combined company’s leverage level is more favorable, even before synergies, than the 2009 net leverage of the two most comparable companies in the incumbent local exchange carrier industry—Winds</w:t>
      </w:r>
      <w:r w:rsidR="00546E81">
        <w:t>tream</w:t>
      </w:r>
      <w:r w:rsidR="009D51BA">
        <w:t xml:space="preserve"> and Frontier—and, again, is better than that of Qwest.</w:t>
      </w:r>
      <w:r w:rsidR="009D51BA">
        <w:rPr>
          <w:rStyle w:val="FootnoteReference"/>
        </w:rPr>
        <w:footnoteReference w:id="68"/>
      </w:r>
      <w:r w:rsidR="009D51BA">
        <w:t xml:space="preserve">  If the Commis</w:t>
      </w:r>
      <w:r w:rsidR="009D51BA" w:rsidRPr="002F3FDB">
        <w:t>sion</w:t>
      </w:r>
      <w:r w:rsidR="005D3EC2" w:rsidRPr="002F3FDB">
        <w:t xml:space="preserve"> considers that, at </w:t>
      </w:r>
      <w:r w:rsidR="00D62631">
        <w:t xml:space="preserve">the end of 2009, approximately </w:t>
      </w:r>
      <w:r w:rsidR="000E68D4">
        <w:t>88</w:t>
      </w:r>
      <w:r w:rsidR="009D51BA" w:rsidRPr="002F3FDB">
        <w:t xml:space="preserve">% of the pro forma company’s </w:t>
      </w:r>
      <w:r w:rsidR="00D74502" w:rsidRPr="002F3FDB">
        <w:t>Washington</w:t>
      </w:r>
      <w:r w:rsidR="009D51BA" w:rsidRPr="002F3FDB">
        <w:t xml:space="preserve"> customers</w:t>
      </w:r>
      <w:r w:rsidRPr="002F3FDB">
        <w:t xml:space="preserve"> (those from legacy Qwest)</w:t>
      </w:r>
      <w:r w:rsidR="009D51BA" w:rsidRPr="002F3FDB">
        <w:t xml:space="preserve"> will be served by a merged company with a net leverage ratio </w:t>
      </w:r>
      <w:r w:rsidR="009D51BA" w:rsidRPr="002F3FDB">
        <w:rPr>
          <w:i/>
          <w:iCs/>
        </w:rPr>
        <w:t>below</w:t>
      </w:r>
      <w:r w:rsidR="009D51BA" w:rsidRPr="002F3FDB">
        <w:t xml:space="preserve"> that of Qwest</w:t>
      </w:r>
      <w:r w:rsidRPr="002F3FDB">
        <w:t xml:space="preserve"> today</w:t>
      </w:r>
      <w:r w:rsidR="009D51BA" w:rsidRPr="002F3FDB">
        <w:t xml:space="preserve">, the conclusion should be that this </w:t>
      </w:r>
      <w:r w:rsidR="005D3EC2" w:rsidRPr="002F3FDB">
        <w:t xml:space="preserve">improved </w:t>
      </w:r>
      <w:r w:rsidR="009D51BA" w:rsidRPr="002F3FDB">
        <w:t>levera</w:t>
      </w:r>
      <w:r w:rsidR="009D51BA">
        <w:t>ge ra</w:t>
      </w:r>
      <w:r w:rsidR="005D3EC2">
        <w:t xml:space="preserve">tio is </w:t>
      </w:r>
      <w:r w:rsidR="009D51BA">
        <w:t xml:space="preserve">a net benefit for the vast majority of the </w:t>
      </w:r>
      <w:r w:rsidR="000E68D4">
        <w:t xml:space="preserve">pro forma company’s </w:t>
      </w:r>
      <w:r w:rsidR="009D51BA">
        <w:t xml:space="preserve">customer base.  </w:t>
      </w:r>
      <w:r w:rsidR="00AB660C">
        <w:t xml:space="preserve">In addition, as I have stated, </w:t>
      </w:r>
      <w:r w:rsidR="009D51BA">
        <w:t xml:space="preserve">the combined company is not acquiring any new debt as the Transaction is a stock-for-stock merger, and the combined company is positioning itself to generate incremental cash flows through synergies and </w:t>
      </w:r>
      <w:r w:rsidR="000E68D4">
        <w:t>incremental</w:t>
      </w:r>
      <w:r w:rsidR="009D51BA">
        <w:t xml:space="preserve"> revenues </w:t>
      </w:r>
      <w:r w:rsidR="000E68D4">
        <w:t xml:space="preserve">from expanded service offerings </w:t>
      </w:r>
      <w:r w:rsidR="009D51BA">
        <w:t xml:space="preserve">based on the combination of CenturyLink and Qwest assets.    </w:t>
      </w:r>
    </w:p>
    <w:p w:rsidR="009D51BA" w:rsidRDefault="009D51BA" w:rsidP="009D51BA">
      <w:pPr>
        <w:spacing w:line="480" w:lineRule="auto"/>
        <w:jc w:val="both"/>
        <w:rPr>
          <w:b/>
          <w:bCs/>
        </w:rPr>
      </w:pPr>
    </w:p>
    <w:p w:rsidR="009D51BA" w:rsidRDefault="009D51BA" w:rsidP="009D51BA">
      <w:pPr>
        <w:spacing w:line="480" w:lineRule="auto"/>
        <w:ind w:left="720" w:hanging="720"/>
        <w:jc w:val="both"/>
      </w:pPr>
      <w:r>
        <w:rPr>
          <w:b/>
          <w:bCs/>
        </w:rPr>
        <w:t>Q.</w:t>
      </w:r>
      <w:r>
        <w:rPr>
          <w:b/>
          <w:bCs/>
        </w:rPr>
        <w:tab/>
      </w:r>
      <w:r w:rsidRPr="00112F5F">
        <w:rPr>
          <w:rFonts w:ascii="Times New Roman Bold" w:hAnsi="Times New Roman Bold"/>
          <w:b/>
          <w:bCs/>
          <w:caps/>
        </w:rPr>
        <w:t xml:space="preserve">Is </w:t>
      </w:r>
      <w:r w:rsidR="005D3EC2" w:rsidRPr="00112F5F">
        <w:rPr>
          <w:rFonts w:ascii="Times New Roman Bold" w:hAnsi="Times New Roman Bold"/>
          <w:b/>
          <w:bCs/>
          <w:caps/>
        </w:rPr>
        <w:t>it</w:t>
      </w:r>
      <w:r w:rsidRPr="00112F5F">
        <w:rPr>
          <w:rFonts w:ascii="Times New Roman Bold" w:hAnsi="Times New Roman Bold"/>
          <w:b/>
          <w:bCs/>
          <w:caps/>
        </w:rPr>
        <w:t xml:space="preserve"> correct that the merged company’s debt may not be rated investment grade after the close of the Transaction</w:t>
      </w:r>
      <w:r>
        <w:rPr>
          <w:b/>
          <w:bCs/>
        </w:rPr>
        <w:t>?</w:t>
      </w:r>
    </w:p>
    <w:p w:rsidR="009D51BA" w:rsidRDefault="009D51BA" w:rsidP="00573BF3">
      <w:pPr>
        <w:spacing w:line="480" w:lineRule="auto"/>
        <w:ind w:left="720" w:hanging="720"/>
        <w:jc w:val="both"/>
      </w:pPr>
      <w:r>
        <w:t>A.</w:t>
      </w:r>
      <w:r>
        <w:tab/>
        <w:t>Yes, it is possible that one or several of the credit rating agencies could rate the merged company’s debt below investment grade.  It also is possible that some of the merged company’s debt could be rated investment grade and th</w:t>
      </w:r>
      <w:r w:rsidRPr="002F3FDB">
        <w:t xml:space="preserve">at other debt could be rated non-investment grade (as is the case with Qwest today).  </w:t>
      </w:r>
      <w:r w:rsidR="005D3EC2" w:rsidRPr="002F3FDB">
        <w:t>A</w:t>
      </w:r>
      <w:r w:rsidRPr="002F3FDB">
        <w:t>s explained above, Qwest, which will contrib</w:t>
      </w:r>
      <w:r w:rsidR="002F3FDB">
        <w:t xml:space="preserve">ute approximately </w:t>
      </w:r>
      <w:r w:rsidR="00A835AC">
        <w:t>88</w:t>
      </w:r>
      <w:r w:rsidRPr="002F3FDB">
        <w:t xml:space="preserve">% of the pro forma company’s </w:t>
      </w:r>
      <w:r w:rsidR="00D74502" w:rsidRPr="002F3FDB">
        <w:t>Washington</w:t>
      </w:r>
      <w:r w:rsidR="00296C88" w:rsidRPr="002F3FDB">
        <w:t xml:space="preserve"> </w:t>
      </w:r>
      <w:r w:rsidRPr="002F3FDB">
        <w:t xml:space="preserve">lines, is expected to have a stable or higher credit rating, </w:t>
      </w:r>
      <w:r w:rsidRPr="002F3FDB">
        <w:rPr>
          <w:i/>
          <w:iCs/>
        </w:rPr>
        <w:t>which presumably will not slip,</w:t>
      </w:r>
      <w:r w:rsidRPr="002F3FDB">
        <w:t xml:space="preserve"> since it is combining with a </w:t>
      </w:r>
      <w:r w:rsidR="00296C88" w:rsidRPr="002F3FDB">
        <w:t>c</w:t>
      </w:r>
      <w:r w:rsidRPr="002F3FDB">
        <w:t>ompany that has a higher credit rating.  In fact, all three of t</w:t>
      </w:r>
      <w:r>
        <w:t>he major credit rating agencies have noted that Qwest’s debt possibly could be upgraded in the future as a result of the proposed Transaction.  Moody’s, at the time of its recent upgrade of Qwest’s debt to one step below investment grade, stated that Qwest’</w:t>
      </w:r>
      <w:r w:rsidRPr="00BC24CB">
        <w:t xml:space="preserve">s ratings </w:t>
      </w:r>
      <w:r w:rsidRPr="004154D9">
        <w:rPr>
          <w:i/>
          <w:iCs/>
        </w:rPr>
        <w:t>remain</w:t>
      </w:r>
      <w:r w:rsidRPr="00BC24CB">
        <w:t xml:space="preserve"> on review for upgrade, </w:t>
      </w:r>
      <w:r>
        <w:t>as</w:t>
      </w:r>
      <w:r w:rsidRPr="00BC24CB">
        <w:t xml:space="preserve"> the planned acquisition "could lead to a further improvement in Qwest's credit profile</w:t>
      </w:r>
      <w:r>
        <w:t>.”</w:t>
      </w:r>
      <w:r>
        <w:rPr>
          <w:rStyle w:val="FootnoteReference"/>
        </w:rPr>
        <w:footnoteReference w:id="69"/>
      </w:r>
      <w:r>
        <w:t xml:space="preserve">  I</w:t>
      </w:r>
      <w:r w:rsidR="00191371">
        <w:t>n addition, S&amp;P</w:t>
      </w:r>
      <w:r>
        <w:t xml:space="preserve"> revised its outlook on Qwest’s debt to “CreditWatch Positive” on April 22, 2010, when the Qwest-CenturyLink merger was announced, because of S&amp;P’s assessment that the combination might result in improved financial characteristics for Qwest.</w:t>
      </w:r>
      <w:r>
        <w:rPr>
          <w:rStyle w:val="FootnoteReference"/>
        </w:rPr>
        <w:footnoteReference w:id="70"/>
      </w:r>
      <w:r>
        <w:t xml:space="preserve">  Finally, Fitch Ratings improved its outlook on Qwest’s ratings to “Watch Pos</w:t>
      </w:r>
      <w:r w:rsidRPr="002F3FDB">
        <w:t>itive” that same day, again as a result of the announced combination.</w:t>
      </w:r>
      <w:r w:rsidRPr="002F3FDB">
        <w:rPr>
          <w:rStyle w:val="FootnoteReference"/>
        </w:rPr>
        <w:footnoteReference w:id="71"/>
      </w:r>
      <w:r w:rsidRPr="002F3FDB">
        <w:t xml:space="preserve">  The possible improved credit rating for the state’s largest telecommunications carrier immediately after the close of the proposed Transaction is clearly a significant </w:t>
      </w:r>
      <w:r w:rsidR="005D3EC2" w:rsidRPr="002F3FDB">
        <w:t xml:space="preserve">net benefit to </w:t>
      </w:r>
      <w:r w:rsidR="00D74502" w:rsidRPr="002F3FDB">
        <w:t>Washington</w:t>
      </w:r>
      <w:r w:rsidR="005D3EC2" w:rsidRPr="002F3FDB">
        <w:t xml:space="preserve"> custom</w:t>
      </w:r>
      <w:r w:rsidR="005D3EC2">
        <w:t>ers</w:t>
      </w:r>
      <w:r>
        <w:t xml:space="preserve">. </w:t>
      </w:r>
    </w:p>
    <w:p w:rsidR="005C254B" w:rsidRDefault="005C254B" w:rsidP="0031196C">
      <w:pPr>
        <w:spacing w:line="480" w:lineRule="auto"/>
        <w:jc w:val="both"/>
      </w:pPr>
    </w:p>
    <w:p w:rsidR="00B16B64" w:rsidRDefault="00B16B64" w:rsidP="0031196C">
      <w:pPr>
        <w:spacing w:line="480" w:lineRule="auto"/>
        <w:jc w:val="both"/>
      </w:pPr>
      <w:r>
        <w:br w:type="page"/>
      </w:r>
    </w:p>
    <w:p w:rsidR="0082142F" w:rsidRPr="00B16B64" w:rsidRDefault="0082142F" w:rsidP="00B16B64">
      <w:pPr>
        <w:pStyle w:val="ListParagraph"/>
        <w:numPr>
          <w:ilvl w:val="0"/>
          <w:numId w:val="15"/>
        </w:numPr>
        <w:ind w:left="2160" w:hanging="1080"/>
        <w:jc w:val="both"/>
        <w:rPr>
          <w:b/>
          <w:bCs/>
        </w:rPr>
      </w:pPr>
      <w:r w:rsidRPr="0082142F">
        <w:rPr>
          <w:b/>
        </w:rPr>
        <w:t xml:space="preserve">STAFF RECOMMENDATIONS </w:t>
      </w:r>
      <w:r w:rsidR="00573BF3">
        <w:rPr>
          <w:b/>
        </w:rPr>
        <w:t>REGARDING PROPOSED</w:t>
      </w:r>
      <w:r w:rsidR="00573BF3" w:rsidRPr="0082142F">
        <w:rPr>
          <w:b/>
        </w:rPr>
        <w:t xml:space="preserve"> </w:t>
      </w:r>
      <w:r w:rsidRPr="0082142F">
        <w:rPr>
          <w:b/>
        </w:rPr>
        <w:t>FINANCIAL CONDITIONS.</w:t>
      </w:r>
    </w:p>
    <w:p w:rsidR="00B16B64" w:rsidRPr="0082142F" w:rsidRDefault="00B16B64" w:rsidP="00B16B64">
      <w:pPr>
        <w:pStyle w:val="ListParagraph"/>
        <w:ind w:left="1080"/>
        <w:jc w:val="both"/>
        <w:rPr>
          <w:b/>
          <w:bCs/>
        </w:rPr>
      </w:pPr>
    </w:p>
    <w:p w:rsidR="00AA619D" w:rsidRPr="00112F5F" w:rsidRDefault="00AA619D" w:rsidP="00AA619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Please comment on Staff</w:t>
      </w:r>
      <w:r w:rsidR="00A20142" w:rsidRPr="00112F5F">
        <w:rPr>
          <w:rFonts w:ascii="Times New Roman Bold" w:hAnsi="Times New Roman Bold"/>
          <w:b/>
          <w:bCs/>
          <w:caps/>
        </w:rPr>
        <w:t>’s proposed</w:t>
      </w:r>
      <w:r w:rsidRPr="00112F5F">
        <w:rPr>
          <w:rFonts w:ascii="Times New Roman Bold" w:hAnsi="Times New Roman Bold"/>
          <w:b/>
          <w:bCs/>
          <w:caps/>
        </w:rPr>
        <w:t xml:space="preserve"> financial Condition No.</w:t>
      </w:r>
      <w:r w:rsidR="002718E0" w:rsidRPr="00112F5F">
        <w:rPr>
          <w:rFonts w:ascii="Times New Roman Bold" w:hAnsi="Times New Roman Bold"/>
          <w:b/>
          <w:bCs/>
          <w:caps/>
        </w:rPr>
        <w:t xml:space="preserve"> </w:t>
      </w:r>
      <w:r w:rsidRPr="00112F5F">
        <w:rPr>
          <w:rFonts w:ascii="Times New Roman Bold" w:hAnsi="Times New Roman Bold"/>
          <w:b/>
          <w:bCs/>
          <w:caps/>
        </w:rPr>
        <w:t xml:space="preserve">1 that </w:t>
      </w:r>
      <w:r w:rsidR="007D24B8" w:rsidRPr="00112F5F">
        <w:rPr>
          <w:rFonts w:ascii="Times New Roman Bold" w:hAnsi="Times New Roman Bold"/>
          <w:b/>
          <w:bCs/>
          <w:caps/>
        </w:rPr>
        <w:t xml:space="preserve">principally </w:t>
      </w:r>
      <w:r w:rsidRPr="00112F5F">
        <w:rPr>
          <w:rFonts w:ascii="Times New Roman Bold" w:hAnsi="Times New Roman Bold"/>
          <w:b/>
          <w:bCs/>
          <w:caps/>
        </w:rPr>
        <w:t xml:space="preserve">requires quarterly reporting </w:t>
      </w:r>
      <w:r w:rsidR="007D24B8" w:rsidRPr="00112F5F">
        <w:rPr>
          <w:rFonts w:ascii="Times New Roman Bold" w:hAnsi="Times New Roman Bold"/>
          <w:b/>
          <w:bCs/>
          <w:caps/>
        </w:rPr>
        <w:t xml:space="preserve">of </w:t>
      </w:r>
      <w:r w:rsidRPr="00112F5F">
        <w:rPr>
          <w:rFonts w:ascii="Times New Roman Bold" w:hAnsi="Times New Roman Bold"/>
          <w:b/>
          <w:bCs/>
          <w:caps/>
        </w:rPr>
        <w:t xml:space="preserve">the merged company’s </w:t>
      </w:r>
      <w:r w:rsidR="007D24B8" w:rsidRPr="00112F5F">
        <w:rPr>
          <w:rFonts w:ascii="Times New Roman Bold" w:hAnsi="Times New Roman Bold"/>
          <w:b/>
          <w:bCs/>
          <w:caps/>
        </w:rPr>
        <w:t xml:space="preserve">intercompany transactions </w:t>
      </w:r>
      <w:r w:rsidRPr="00112F5F">
        <w:rPr>
          <w:rFonts w:ascii="Times New Roman Bold" w:hAnsi="Times New Roman Bold"/>
          <w:b/>
          <w:bCs/>
          <w:caps/>
        </w:rPr>
        <w:t>in</w:t>
      </w:r>
      <w:r w:rsidR="007D24B8" w:rsidRPr="00112F5F">
        <w:rPr>
          <w:rFonts w:ascii="Times New Roman Bold" w:hAnsi="Times New Roman Bold"/>
          <w:b/>
          <w:bCs/>
          <w:caps/>
        </w:rPr>
        <w:t>volving the</w:t>
      </w:r>
      <w:r w:rsidRPr="00112F5F">
        <w:rPr>
          <w:rFonts w:ascii="Times New Roman Bold" w:hAnsi="Times New Roman Bold"/>
          <w:b/>
          <w:bCs/>
          <w:caps/>
        </w:rPr>
        <w:t xml:space="preserve"> Washington</w:t>
      </w:r>
      <w:r w:rsidR="007D24B8" w:rsidRPr="00112F5F">
        <w:rPr>
          <w:rFonts w:ascii="Times New Roman Bold" w:hAnsi="Times New Roman Bold"/>
          <w:b/>
          <w:bCs/>
          <w:caps/>
        </w:rPr>
        <w:t xml:space="preserve"> subsidiaries</w:t>
      </w:r>
      <w:r w:rsidRPr="00112F5F">
        <w:rPr>
          <w:rFonts w:ascii="Times New Roman Bold" w:hAnsi="Times New Roman Bold"/>
          <w:b/>
          <w:bCs/>
          <w:caps/>
        </w:rPr>
        <w:t>.</w:t>
      </w:r>
    </w:p>
    <w:p w:rsidR="00AA619D" w:rsidRDefault="00AA619D" w:rsidP="00AA619D">
      <w:pPr>
        <w:spacing w:line="480" w:lineRule="auto"/>
        <w:ind w:left="720" w:hanging="720"/>
        <w:jc w:val="both"/>
      </w:pPr>
      <w:r>
        <w:rPr>
          <w:bCs/>
        </w:rPr>
        <w:t>A.</w:t>
      </w:r>
      <w:r>
        <w:rPr>
          <w:bCs/>
        </w:rPr>
        <w:tab/>
      </w:r>
      <w:r w:rsidRPr="00814204">
        <w:rPr>
          <w:bCs/>
        </w:rPr>
        <w:t xml:space="preserve">Staff </w:t>
      </w:r>
      <w:r w:rsidR="003B3E54">
        <w:rPr>
          <w:bCs/>
        </w:rPr>
        <w:t>C</w:t>
      </w:r>
      <w:r w:rsidRPr="00814204">
        <w:rPr>
          <w:bCs/>
        </w:rPr>
        <w:t xml:space="preserve">ondition No. 1 proposes that, for five years following the merger close, the merged company and the operating companies in Washington shall “submit quarterly reports to the Commission </w:t>
      </w:r>
      <w:r w:rsidR="007D24B8">
        <w:rPr>
          <w:bCs/>
        </w:rPr>
        <w:t>list</w:t>
      </w:r>
      <w:r w:rsidR="007D24B8" w:rsidRPr="00814204">
        <w:rPr>
          <w:bCs/>
        </w:rPr>
        <w:t xml:space="preserve">ing </w:t>
      </w:r>
      <w:r w:rsidR="007D24B8">
        <w:rPr>
          <w:bCs/>
        </w:rPr>
        <w:t xml:space="preserve">for each entity </w:t>
      </w:r>
      <w:r w:rsidRPr="00814204">
        <w:rPr>
          <w:bCs/>
        </w:rPr>
        <w:t>the account balances of intercompany receivables and payables, including the beginning balance of each, the change for the quarter and the ending balance [and] . . . for each quarter the dividend that CenturyLink declares to be paid to its shareholders (in total and per share).”</w:t>
      </w:r>
      <w:r w:rsidRPr="00814204">
        <w:rPr>
          <w:rStyle w:val="FootnoteReference"/>
          <w:bCs/>
        </w:rPr>
        <w:footnoteReference w:id="72"/>
      </w:r>
      <w:r w:rsidR="00814204">
        <w:rPr>
          <w:bCs/>
        </w:rPr>
        <w:t xml:space="preserve">  CenturyLink </w:t>
      </w:r>
      <w:r w:rsidR="007D24B8">
        <w:rPr>
          <w:bCs/>
        </w:rPr>
        <w:t xml:space="preserve">and Qwest </w:t>
      </w:r>
      <w:r w:rsidR="00814204">
        <w:rPr>
          <w:bCs/>
        </w:rPr>
        <w:t xml:space="preserve">currently provide reports to the Commission </w:t>
      </w:r>
      <w:r w:rsidR="007D24B8">
        <w:rPr>
          <w:bCs/>
        </w:rPr>
        <w:t xml:space="preserve">that include data regarding intercompany transactions.  </w:t>
      </w:r>
      <w:r w:rsidR="009445E7">
        <w:rPr>
          <w:bCs/>
        </w:rPr>
        <w:t xml:space="preserve">In addition, information regarding CenturyLink’s dividend payments is readily available to the public in SEC filings.  </w:t>
      </w:r>
      <w:r w:rsidR="007D24B8">
        <w:rPr>
          <w:bCs/>
        </w:rPr>
        <w:t>As such, CenturyLink</w:t>
      </w:r>
      <w:r w:rsidR="00814204">
        <w:rPr>
          <w:bCs/>
        </w:rPr>
        <w:t xml:space="preserve"> believes that this </w:t>
      </w:r>
      <w:r w:rsidR="009445E7">
        <w:rPr>
          <w:bCs/>
        </w:rPr>
        <w:t xml:space="preserve">proposed </w:t>
      </w:r>
      <w:r w:rsidR="00B81B72">
        <w:rPr>
          <w:bCs/>
        </w:rPr>
        <w:t>C</w:t>
      </w:r>
      <w:r w:rsidR="00814204">
        <w:rPr>
          <w:bCs/>
        </w:rPr>
        <w:t xml:space="preserve">ondition adds unnecessary costs to the merged company, and therefore </w:t>
      </w:r>
      <w:r w:rsidR="007D24B8">
        <w:rPr>
          <w:bCs/>
        </w:rPr>
        <w:t>potentially harms Washington</w:t>
      </w:r>
      <w:r w:rsidR="00814204">
        <w:rPr>
          <w:bCs/>
        </w:rPr>
        <w:t xml:space="preserve"> customers. </w:t>
      </w:r>
      <w:r w:rsidR="009445E7">
        <w:rPr>
          <w:bCs/>
        </w:rPr>
        <w:t xml:space="preserve">CenturyLink and Qwest comply, and will continue to comply, with all statutes and regulations that apply regarding </w:t>
      </w:r>
      <w:r w:rsidR="008C25FE">
        <w:rPr>
          <w:bCs/>
        </w:rPr>
        <w:t>intercompany</w:t>
      </w:r>
      <w:r w:rsidR="009445E7">
        <w:rPr>
          <w:bCs/>
        </w:rPr>
        <w:t xml:space="preserve"> transaction reporting and the reporting of dividend payments.</w:t>
      </w:r>
      <w:r w:rsidR="00814204">
        <w:rPr>
          <w:bCs/>
        </w:rPr>
        <w:t xml:space="preserve"> </w:t>
      </w:r>
    </w:p>
    <w:p w:rsidR="00814204" w:rsidRDefault="00814204" w:rsidP="00AA619D">
      <w:pPr>
        <w:spacing w:line="480" w:lineRule="auto"/>
        <w:ind w:left="720" w:hanging="720"/>
        <w:jc w:val="both"/>
      </w:pPr>
    </w:p>
    <w:p w:rsidR="00814204" w:rsidRDefault="00814204" w:rsidP="00AA619D">
      <w:pPr>
        <w:spacing w:line="480" w:lineRule="auto"/>
        <w:ind w:left="720" w:hanging="720"/>
        <w:jc w:val="both"/>
        <w:rPr>
          <w:b/>
        </w:rPr>
      </w:pPr>
      <w:r>
        <w:rPr>
          <w:b/>
        </w:rPr>
        <w:t>Q.</w:t>
      </w:r>
      <w:r>
        <w:rPr>
          <w:b/>
        </w:rPr>
        <w:tab/>
      </w:r>
      <w:r w:rsidRPr="00112F5F">
        <w:rPr>
          <w:rFonts w:ascii="Times New Roman Bold" w:hAnsi="Times New Roman Bold"/>
          <w:b/>
          <w:bCs/>
          <w:caps/>
        </w:rPr>
        <w:t>Please comment on Staff</w:t>
      </w:r>
      <w:r w:rsidR="00A20142" w:rsidRPr="00112F5F">
        <w:rPr>
          <w:rFonts w:ascii="Times New Roman Bold" w:hAnsi="Times New Roman Bold"/>
          <w:b/>
          <w:bCs/>
          <w:caps/>
        </w:rPr>
        <w:t>’s proposed</w:t>
      </w:r>
      <w:r w:rsidRPr="00112F5F">
        <w:rPr>
          <w:rFonts w:ascii="Times New Roman Bold" w:hAnsi="Times New Roman Bold"/>
          <w:b/>
          <w:bCs/>
          <w:caps/>
        </w:rPr>
        <w:t xml:space="preserve"> financial Condition No. 2 that requires that Washington customers should not bear </w:t>
      </w:r>
      <w:r w:rsidR="003B3E54" w:rsidRPr="00112F5F">
        <w:rPr>
          <w:rFonts w:ascii="Times New Roman Bold" w:hAnsi="Times New Roman Bold"/>
          <w:b/>
          <w:bCs/>
          <w:caps/>
        </w:rPr>
        <w:t xml:space="preserve">any </w:t>
      </w:r>
      <w:r w:rsidRPr="00112F5F">
        <w:rPr>
          <w:rFonts w:ascii="Times New Roman Bold" w:hAnsi="Times New Roman Bold"/>
          <w:b/>
          <w:bCs/>
          <w:caps/>
        </w:rPr>
        <w:t>higher capital costs that occur as a result of the proposed Transaction.</w:t>
      </w:r>
    </w:p>
    <w:p w:rsidR="00AA619D" w:rsidRDefault="00814204" w:rsidP="00AA619D">
      <w:pPr>
        <w:spacing w:line="480" w:lineRule="auto"/>
        <w:ind w:left="720" w:hanging="720"/>
        <w:jc w:val="both"/>
        <w:rPr>
          <w:bCs/>
        </w:rPr>
      </w:pPr>
      <w:r w:rsidRPr="001E26A2">
        <w:t>A.</w:t>
      </w:r>
      <w:r w:rsidRPr="001E26A2">
        <w:tab/>
        <w:t>The Staff proposes that future analyses of “</w:t>
      </w:r>
      <w:r w:rsidR="00AA619D" w:rsidRPr="001E26A2">
        <w:rPr>
          <w:bCs/>
        </w:rPr>
        <w:t>cost of capital for the purposes of any results of operations</w:t>
      </w:r>
      <w:r w:rsidRPr="001E26A2">
        <w:rPr>
          <w:bCs/>
        </w:rPr>
        <w:t xml:space="preserve"> must be based upon ‘investment grade’</w:t>
      </w:r>
      <w:r w:rsidR="00AA619D" w:rsidRPr="001E26A2">
        <w:rPr>
          <w:bCs/>
        </w:rPr>
        <w:t xml:space="preserve"> debt and equity.</w:t>
      </w:r>
      <w:r w:rsidRPr="001E26A2">
        <w:rPr>
          <w:bCs/>
        </w:rPr>
        <w:t>”</w:t>
      </w:r>
      <w:r w:rsidRPr="001E26A2">
        <w:rPr>
          <w:rStyle w:val="FootnoteReference"/>
          <w:bCs/>
        </w:rPr>
        <w:footnoteReference w:id="73"/>
      </w:r>
      <w:r w:rsidRPr="001E26A2">
        <w:rPr>
          <w:bCs/>
        </w:rPr>
        <w:t xml:space="preserve">  </w:t>
      </w:r>
      <w:r w:rsidR="00AA619D" w:rsidRPr="001E26A2">
        <w:rPr>
          <w:bCs/>
        </w:rPr>
        <w:t xml:space="preserve"> </w:t>
      </w:r>
      <w:r w:rsidR="001E26A2" w:rsidRPr="001E26A2">
        <w:rPr>
          <w:bCs/>
        </w:rPr>
        <w:t>Staff</w:t>
      </w:r>
      <w:r w:rsidR="001E26A2">
        <w:rPr>
          <w:bCs/>
        </w:rPr>
        <w:t xml:space="preserve"> </w:t>
      </w:r>
      <w:r w:rsidR="003B3E54">
        <w:rPr>
          <w:bCs/>
        </w:rPr>
        <w:t>points to</w:t>
      </w:r>
      <w:r w:rsidR="001E26A2" w:rsidRPr="001E26A2">
        <w:rPr>
          <w:bCs/>
        </w:rPr>
        <w:t xml:space="preserve"> </w:t>
      </w:r>
      <w:r w:rsidR="00AA619D" w:rsidRPr="001E26A2">
        <w:rPr>
          <w:bCs/>
        </w:rPr>
        <w:t>CenturyLink</w:t>
      </w:r>
      <w:r w:rsidR="001E26A2" w:rsidRPr="001E26A2">
        <w:rPr>
          <w:bCs/>
        </w:rPr>
        <w:t xml:space="preserve">’s </w:t>
      </w:r>
      <w:r w:rsidR="00AA619D" w:rsidRPr="001E26A2">
        <w:rPr>
          <w:bCs/>
        </w:rPr>
        <w:t>current investment grade debt rating</w:t>
      </w:r>
      <w:r w:rsidR="001E26A2">
        <w:rPr>
          <w:bCs/>
        </w:rPr>
        <w:t xml:space="preserve">, </w:t>
      </w:r>
      <w:r w:rsidR="00AF2289">
        <w:rPr>
          <w:bCs/>
        </w:rPr>
        <w:t xml:space="preserve">and </w:t>
      </w:r>
      <w:r w:rsidR="001E26A2">
        <w:rPr>
          <w:bCs/>
        </w:rPr>
        <w:t>notes</w:t>
      </w:r>
      <w:r w:rsidR="001E26A2" w:rsidRPr="001E26A2">
        <w:rPr>
          <w:bCs/>
        </w:rPr>
        <w:t xml:space="preserve"> that </w:t>
      </w:r>
      <w:r w:rsidR="00AA619D" w:rsidRPr="001E26A2">
        <w:rPr>
          <w:bCs/>
        </w:rPr>
        <w:t>Washington customers</w:t>
      </w:r>
      <w:r w:rsidR="001E26A2" w:rsidRPr="001E26A2">
        <w:rPr>
          <w:bCs/>
        </w:rPr>
        <w:t xml:space="preserve"> </w:t>
      </w:r>
      <w:r w:rsidR="00AA619D" w:rsidRPr="001E26A2">
        <w:rPr>
          <w:bCs/>
        </w:rPr>
        <w:t>should not be required to bear higher capital</w:t>
      </w:r>
      <w:r w:rsidR="001E26A2" w:rsidRPr="001E26A2">
        <w:rPr>
          <w:bCs/>
        </w:rPr>
        <w:t xml:space="preserve"> costs that might result from the proposed Transaction</w:t>
      </w:r>
      <w:r w:rsidR="00AA619D" w:rsidRPr="001E26A2">
        <w:rPr>
          <w:bCs/>
        </w:rPr>
        <w:t>.</w:t>
      </w:r>
      <w:r w:rsidR="001E26A2">
        <w:rPr>
          <w:bCs/>
        </w:rPr>
        <w:t xml:space="preserve">  CenturyLink objects to </w:t>
      </w:r>
      <w:r w:rsidR="00040B95">
        <w:rPr>
          <w:bCs/>
        </w:rPr>
        <w:t xml:space="preserve">proposed Staff </w:t>
      </w:r>
      <w:r w:rsidR="001E26A2">
        <w:rPr>
          <w:bCs/>
        </w:rPr>
        <w:t>Condition</w:t>
      </w:r>
      <w:r w:rsidR="00040B95">
        <w:rPr>
          <w:bCs/>
        </w:rPr>
        <w:t xml:space="preserve"> No. 2</w:t>
      </w:r>
      <w:r w:rsidR="001E26A2">
        <w:rPr>
          <w:bCs/>
        </w:rPr>
        <w:t>, which is unclear</w:t>
      </w:r>
      <w:r w:rsidR="00AF2289">
        <w:rPr>
          <w:bCs/>
        </w:rPr>
        <w:t xml:space="preserve"> and possibly could deprive the Company of important rights</w:t>
      </w:r>
      <w:r w:rsidR="001E26A2">
        <w:rPr>
          <w:bCs/>
        </w:rPr>
        <w:t xml:space="preserve">.  First of all, </w:t>
      </w:r>
      <w:r w:rsidR="00562138">
        <w:rPr>
          <w:bCs/>
        </w:rPr>
        <w:t>CenturyLink</w:t>
      </w:r>
      <w:r w:rsidR="004E4F04">
        <w:rPr>
          <w:bCs/>
        </w:rPr>
        <w:t xml:space="preserve"> assume</w:t>
      </w:r>
      <w:r w:rsidR="00562138">
        <w:rPr>
          <w:bCs/>
        </w:rPr>
        <w:t>s</w:t>
      </w:r>
      <w:r w:rsidR="004E4F04">
        <w:rPr>
          <w:bCs/>
        </w:rPr>
        <w:t xml:space="preserve"> that </w:t>
      </w:r>
      <w:r w:rsidR="00040B95">
        <w:rPr>
          <w:bCs/>
        </w:rPr>
        <w:t>proposed</w:t>
      </w:r>
      <w:r w:rsidR="004E4F04">
        <w:rPr>
          <w:bCs/>
        </w:rPr>
        <w:t xml:space="preserve"> Condition </w:t>
      </w:r>
      <w:r w:rsidR="00040B95">
        <w:rPr>
          <w:bCs/>
        </w:rPr>
        <w:t xml:space="preserve">No. 2 </w:t>
      </w:r>
      <w:r w:rsidR="004E4F04">
        <w:rPr>
          <w:bCs/>
        </w:rPr>
        <w:t xml:space="preserve">refers </w:t>
      </w:r>
      <w:r w:rsidR="00562138">
        <w:rPr>
          <w:bCs/>
        </w:rPr>
        <w:t xml:space="preserve">only </w:t>
      </w:r>
      <w:r w:rsidR="004E4F04">
        <w:rPr>
          <w:bCs/>
        </w:rPr>
        <w:t>to “investment grade” debt</w:t>
      </w:r>
      <w:r w:rsidR="00AF2289">
        <w:rPr>
          <w:bCs/>
        </w:rPr>
        <w:t xml:space="preserve"> </w:t>
      </w:r>
      <w:r w:rsidR="004E4F04">
        <w:rPr>
          <w:bCs/>
        </w:rPr>
        <w:t>as the</w:t>
      </w:r>
      <w:r w:rsidR="00040B95">
        <w:rPr>
          <w:bCs/>
        </w:rPr>
        <w:t xml:space="preserve"> Company is unaware of any investment institution that provides</w:t>
      </w:r>
      <w:r w:rsidR="004E4F04">
        <w:rPr>
          <w:bCs/>
        </w:rPr>
        <w:t xml:space="preserve"> “investment grade” equity</w:t>
      </w:r>
      <w:r w:rsidR="00040B95">
        <w:rPr>
          <w:bCs/>
        </w:rPr>
        <w:t xml:space="preserve"> ratings</w:t>
      </w:r>
      <w:r w:rsidR="004E4F04">
        <w:rPr>
          <w:bCs/>
        </w:rPr>
        <w:t xml:space="preserve">.  Second, CenturyLink </w:t>
      </w:r>
      <w:r w:rsidR="00040B95">
        <w:rPr>
          <w:bCs/>
        </w:rPr>
        <w:t>believes that it is unreasonable for the Staff to request the Company</w:t>
      </w:r>
      <w:r w:rsidR="00AF2289">
        <w:rPr>
          <w:bCs/>
        </w:rPr>
        <w:t xml:space="preserve"> to</w:t>
      </w:r>
      <w:r w:rsidR="004E4F04">
        <w:rPr>
          <w:bCs/>
        </w:rPr>
        <w:t xml:space="preserve"> forfeit its rights to </w:t>
      </w:r>
      <w:r w:rsidR="00040B95">
        <w:rPr>
          <w:bCs/>
        </w:rPr>
        <w:t>include its actual</w:t>
      </w:r>
      <w:r w:rsidR="00AF2289">
        <w:rPr>
          <w:bCs/>
        </w:rPr>
        <w:t xml:space="preserve"> costs</w:t>
      </w:r>
      <w:r w:rsidR="00562138">
        <w:rPr>
          <w:bCs/>
        </w:rPr>
        <w:t>,</w:t>
      </w:r>
      <w:r w:rsidR="00AF2289">
        <w:rPr>
          <w:bCs/>
        </w:rPr>
        <w:t xml:space="preserve"> including cost of capital</w:t>
      </w:r>
      <w:r w:rsidR="00040B95">
        <w:rPr>
          <w:bCs/>
        </w:rPr>
        <w:t>, in future regulatory proceedings</w:t>
      </w:r>
      <w:r w:rsidR="00AF2289">
        <w:rPr>
          <w:bCs/>
        </w:rPr>
        <w:t xml:space="preserve">.  </w:t>
      </w:r>
      <w:r w:rsidR="00040B95">
        <w:rPr>
          <w:bCs/>
        </w:rPr>
        <w:t>The reality is that</w:t>
      </w:r>
      <w:r w:rsidR="00AF2289">
        <w:rPr>
          <w:bCs/>
        </w:rPr>
        <w:t xml:space="preserve"> Qwest</w:t>
      </w:r>
      <w:r w:rsidR="00040B95">
        <w:rPr>
          <w:bCs/>
        </w:rPr>
        <w:t>’s</w:t>
      </w:r>
      <w:r w:rsidR="00AF2289">
        <w:rPr>
          <w:bCs/>
        </w:rPr>
        <w:t xml:space="preserve"> </w:t>
      </w:r>
      <w:r w:rsidR="00040B95">
        <w:rPr>
          <w:bCs/>
        </w:rPr>
        <w:t xml:space="preserve">Washington </w:t>
      </w:r>
      <w:r w:rsidR="00AF2289">
        <w:rPr>
          <w:bCs/>
        </w:rPr>
        <w:t>customers (</w:t>
      </w:r>
      <w:r w:rsidR="00040B95">
        <w:rPr>
          <w:bCs/>
        </w:rPr>
        <w:t>88</w:t>
      </w:r>
      <w:r w:rsidR="001E26A2">
        <w:rPr>
          <w:bCs/>
        </w:rPr>
        <w:t xml:space="preserve">% of the pro forma </w:t>
      </w:r>
      <w:r w:rsidR="00C752E8">
        <w:rPr>
          <w:bCs/>
        </w:rPr>
        <w:t xml:space="preserve">company’s </w:t>
      </w:r>
      <w:r w:rsidR="001E26A2">
        <w:rPr>
          <w:bCs/>
        </w:rPr>
        <w:t>lines</w:t>
      </w:r>
      <w:r w:rsidR="00040B95">
        <w:rPr>
          <w:bCs/>
        </w:rPr>
        <w:t xml:space="preserve"> in the state</w:t>
      </w:r>
      <w:r w:rsidR="00AF2289">
        <w:rPr>
          <w:bCs/>
        </w:rPr>
        <w:t>)</w:t>
      </w:r>
      <w:r w:rsidR="001E26A2">
        <w:rPr>
          <w:bCs/>
        </w:rPr>
        <w:t xml:space="preserve"> will benefit from a potentially </w:t>
      </w:r>
      <w:r w:rsidR="001E26A2">
        <w:rPr>
          <w:bCs/>
          <w:i/>
        </w:rPr>
        <w:t>improved cost of capital</w:t>
      </w:r>
      <w:r w:rsidR="00AF2289">
        <w:rPr>
          <w:bCs/>
        </w:rPr>
        <w:t xml:space="preserve"> </w:t>
      </w:r>
      <w:r w:rsidR="00040B95">
        <w:rPr>
          <w:bCs/>
        </w:rPr>
        <w:t xml:space="preserve">due to the Transaction.  </w:t>
      </w:r>
      <w:r w:rsidR="00C752E8">
        <w:rPr>
          <w:bCs/>
        </w:rPr>
        <w:t>So, w</w:t>
      </w:r>
      <w:r w:rsidR="00AF2289">
        <w:rPr>
          <w:bCs/>
        </w:rPr>
        <w:t xml:space="preserve">hile </w:t>
      </w:r>
      <w:r w:rsidR="00562138">
        <w:rPr>
          <w:bCs/>
        </w:rPr>
        <w:t xml:space="preserve">legacy </w:t>
      </w:r>
      <w:r w:rsidR="00AF2289">
        <w:rPr>
          <w:bCs/>
        </w:rPr>
        <w:t xml:space="preserve">CenturyLink </w:t>
      </w:r>
      <w:r w:rsidR="00C752E8">
        <w:rPr>
          <w:bCs/>
        </w:rPr>
        <w:t xml:space="preserve">Washington customers (12% of the pro forma company’s lines in the state) potentially </w:t>
      </w:r>
      <w:r w:rsidR="00AF2289">
        <w:rPr>
          <w:bCs/>
        </w:rPr>
        <w:t>may</w:t>
      </w:r>
      <w:r w:rsidR="00C752E8">
        <w:rPr>
          <w:bCs/>
        </w:rPr>
        <w:t xml:space="preserve"> </w:t>
      </w:r>
      <w:r w:rsidR="00562138">
        <w:rPr>
          <w:bCs/>
        </w:rPr>
        <w:t xml:space="preserve">incur </w:t>
      </w:r>
      <w:r w:rsidR="00AF2289">
        <w:rPr>
          <w:bCs/>
        </w:rPr>
        <w:t xml:space="preserve">a </w:t>
      </w:r>
      <w:r w:rsidR="00C752E8">
        <w:rPr>
          <w:bCs/>
        </w:rPr>
        <w:t xml:space="preserve">slightly </w:t>
      </w:r>
      <w:r w:rsidR="00AF2289">
        <w:rPr>
          <w:bCs/>
        </w:rPr>
        <w:t>higher cost of capital</w:t>
      </w:r>
      <w:r w:rsidR="00C752E8">
        <w:rPr>
          <w:bCs/>
        </w:rPr>
        <w:t xml:space="preserve"> at the outset</w:t>
      </w:r>
      <w:r w:rsidR="00AF2289">
        <w:rPr>
          <w:bCs/>
        </w:rPr>
        <w:t xml:space="preserve">, the </w:t>
      </w:r>
      <w:r w:rsidR="00C752E8">
        <w:rPr>
          <w:bCs/>
        </w:rPr>
        <w:t xml:space="preserve">net </w:t>
      </w:r>
      <w:r w:rsidR="00562138">
        <w:rPr>
          <w:bCs/>
        </w:rPr>
        <w:t xml:space="preserve">effect should be </w:t>
      </w:r>
      <w:r w:rsidR="00AF2289">
        <w:rPr>
          <w:bCs/>
        </w:rPr>
        <w:t xml:space="preserve">no </w:t>
      </w:r>
      <w:r w:rsidR="003B3E54">
        <w:rPr>
          <w:bCs/>
        </w:rPr>
        <w:t xml:space="preserve">significant </w:t>
      </w:r>
      <w:r w:rsidR="00AF2289">
        <w:rPr>
          <w:bCs/>
        </w:rPr>
        <w:t xml:space="preserve">change </w:t>
      </w:r>
      <w:r w:rsidR="00C752E8">
        <w:rPr>
          <w:bCs/>
        </w:rPr>
        <w:t>in</w:t>
      </w:r>
      <w:r w:rsidR="00AF2289">
        <w:rPr>
          <w:bCs/>
        </w:rPr>
        <w:t xml:space="preserve"> the </w:t>
      </w:r>
      <w:r w:rsidR="00C752E8">
        <w:rPr>
          <w:bCs/>
        </w:rPr>
        <w:t>cost of capital</w:t>
      </w:r>
      <w:r w:rsidR="004C49D8">
        <w:rPr>
          <w:bCs/>
        </w:rPr>
        <w:t>, if one averages the effect over</w:t>
      </w:r>
      <w:r w:rsidR="003B3E54">
        <w:rPr>
          <w:bCs/>
        </w:rPr>
        <w:t xml:space="preserve"> all </w:t>
      </w:r>
      <w:r w:rsidR="00C752E8">
        <w:rPr>
          <w:bCs/>
        </w:rPr>
        <w:t>Washington</w:t>
      </w:r>
      <w:r w:rsidR="003B3E54">
        <w:rPr>
          <w:bCs/>
        </w:rPr>
        <w:t xml:space="preserve"> customers</w:t>
      </w:r>
      <w:r w:rsidR="00AF2289">
        <w:rPr>
          <w:bCs/>
        </w:rPr>
        <w:t>.</w:t>
      </w:r>
      <w:r w:rsidR="001E26A2">
        <w:rPr>
          <w:bCs/>
        </w:rPr>
        <w:t xml:space="preserve">  </w:t>
      </w:r>
      <w:r w:rsidR="00C752E8">
        <w:rPr>
          <w:bCs/>
        </w:rPr>
        <w:t xml:space="preserve">As such, proposed Condition No. 2 does not address any likely harm to Washington customers and, therefore, is unnecessary.  In addition, </w:t>
      </w:r>
      <w:r w:rsidR="00562138">
        <w:rPr>
          <w:bCs/>
        </w:rPr>
        <w:t xml:space="preserve">CenturyLink believes that the computation of the </w:t>
      </w:r>
      <w:r w:rsidR="000921B5">
        <w:rPr>
          <w:bCs/>
        </w:rPr>
        <w:t xml:space="preserve">hypothetical </w:t>
      </w:r>
      <w:r w:rsidR="00562138">
        <w:rPr>
          <w:bCs/>
        </w:rPr>
        <w:t>cost of capital that is “a result of this trans</w:t>
      </w:r>
      <w:r w:rsidR="003B3E54">
        <w:rPr>
          <w:bCs/>
        </w:rPr>
        <w:t>action” is an exercise that could</w:t>
      </w:r>
      <w:r w:rsidR="00562138">
        <w:rPr>
          <w:bCs/>
        </w:rPr>
        <w:t xml:space="preserve"> cause </w:t>
      </w:r>
      <w:r w:rsidR="003B3E54">
        <w:rPr>
          <w:bCs/>
        </w:rPr>
        <w:t xml:space="preserve">confusion, dispute and </w:t>
      </w:r>
      <w:r w:rsidR="00562138">
        <w:rPr>
          <w:bCs/>
        </w:rPr>
        <w:t>frustration</w:t>
      </w:r>
      <w:r w:rsidR="003B3E54">
        <w:rPr>
          <w:bCs/>
        </w:rPr>
        <w:t xml:space="preserve"> because of the ambiguities surrounding such a </w:t>
      </w:r>
      <w:r w:rsidR="00B81B72">
        <w:rPr>
          <w:bCs/>
        </w:rPr>
        <w:t>calculation</w:t>
      </w:r>
      <w:r w:rsidR="00562138">
        <w:rPr>
          <w:bCs/>
        </w:rPr>
        <w:t xml:space="preserve">.  Third, CenturyLink notes that there are many factors affecting credit ratings, including the credit agencies’ view of the entire industry, overall market conditions, as well as factors that are specific to the </w:t>
      </w:r>
      <w:r w:rsidR="003B3E54">
        <w:rPr>
          <w:bCs/>
        </w:rPr>
        <w:t xml:space="preserve">Company.  This </w:t>
      </w:r>
      <w:r w:rsidR="000921B5">
        <w:rPr>
          <w:bCs/>
        </w:rPr>
        <w:t xml:space="preserve">proposed </w:t>
      </w:r>
      <w:r w:rsidR="003B3E54">
        <w:rPr>
          <w:bCs/>
        </w:rPr>
        <w:t>Condition invites</w:t>
      </w:r>
      <w:r w:rsidR="00562138">
        <w:rPr>
          <w:bCs/>
        </w:rPr>
        <w:t xml:space="preserve"> disputes over whether and how much the Transaction</w:t>
      </w:r>
      <w:r w:rsidR="000921B5">
        <w:rPr>
          <w:bCs/>
        </w:rPr>
        <w:t>, as an independent factor,</w:t>
      </w:r>
      <w:r w:rsidR="00562138">
        <w:rPr>
          <w:bCs/>
        </w:rPr>
        <w:t xml:space="preserve"> affects the </w:t>
      </w:r>
      <w:r w:rsidR="000921B5">
        <w:rPr>
          <w:bCs/>
        </w:rPr>
        <w:t xml:space="preserve">combined company’s </w:t>
      </w:r>
      <w:r w:rsidR="00562138">
        <w:rPr>
          <w:bCs/>
        </w:rPr>
        <w:t xml:space="preserve">subsequent </w:t>
      </w:r>
      <w:r w:rsidR="000921B5">
        <w:rPr>
          <w:bCs/>
        </w:rPr>
        <w:t xml:space="preserve">credit </w:t>
      </w:r>
      <w:r w:rsidR="00562138">
        <w:rPr>
          <w:bCs/>
        </w:rPr>
        <w:t>rating</w:t>
      </w:r>
      <w:r w:rsidR="000921B5">
        <w:rPr>
          <w:bCs/>
        </w:rPr>
        <w:t>, and what the standalone companies’ credit ratings might have been absent the Transaction</w:t>
      </w:r>
      <w:r w:rsidR="00562138">
        <w:rPr>
          <w:bCs/>
        </w:rPr>
        <w:t>.</w:t>
      </w:r>
    </w:p>
    <w:p w:rsidR="00562138" w:rsidRDefault="00562138" w:rsidP="00AA619D">
      <w:pPr>
        <w:spacing w:line="480" w:lineRule="auto"/>
        <w:ind w:left="720" w:hanging="720"/>
        <w:jc w:val="both"/>
        <w:rPr>
          <w:bCs/>
        </w:rPr>
      </w:pPr>
    </w:p>
    <w:p w:rsidR="00AA619D" w:rsidRPr="00112F5F" w:rsidRDefault="00562138" w:rsidP="00AA619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Please comment on Staff’s </w:t>
      </w:r>
      <w:r w:rsidR="00A20142" w:rsidRPr="00112F5F">
        <w:rPr>
          <w:rFonts w:ascii="Times New Roman Bold" w:hAnsi="Times New Roman Bold"/>
          <w:b/>
          <w:bCs/>
          <w:caps/>
        </w:rPr>
        <w:t xml:space="preserve">proposed </w:t>
      </w:r>
      <w:r w:rsidRPr="00112F5F">
        <w:rPr>
          <w:rFonts w:ascii="Times New Roman Bold" w:hAnsi="Times New Roman Bold"/>
          <w:b/>
          <w:bCs/>
          <w:caps/>
        </w:rPr>
        <w:t xml:space="preserve">financial </w:t>
      </w:r>
      <w:r w:rsidR="00AA619D" w:rsidRPr="00112F5F">
        <w:rPr>
          <w:rFonts w:ascii="Times New Roman Bold" w:hAnsi="Times New Roman Bold"/>
          <w:b/>
          <w:bCs/>
          <w:caps/>
        </w:rPr>
        <w:t>Condition No.</w:t>
      </w:r>
      <w:r w:rsidRPr="00112F5F">
        <w:rPr>
          <w:rFonts w:ascii="Times New Roman Bold" w:hAnsi="Times New Roman Bold"/>
          <w:b/>
          <w:bCs/>
          <w:caps/>
        </w:rPr>
        <w:t xml:space="preserve"> </w:t>
      </w:r>
      <w:r w:rsidR="00AA619D" w:rsidRPr="00112F5F">
        <w:rPr>
          <w:rFonts w:ascii="Times New Roman Bold" w:hAnsi="Times New Roman Bold"/>
          <w:b/>
          <w:bCs/>
          <w:caps/>
        </w:rPr>
        <w:t>4</w:t>
      </w:r>
      <w:r w:rsidRPr="00112F5F">
        <w:rPr>
          <w:rFonts w:ascii="Times New Roman Bold" w:hAnsi="Times New Roman Bold"/>
          <w:b/>
          <w:bCs/>
          <w:caps/>
        </w:rPr>
        <w:t xml:space="preserve"> that </w:t>
      </w:r>
      <w:r w:rsidR="008C25FE" w:rsidRPr="00112F5F">
        <w:rPr>
          <w:rFonts w:ascii="Times New Roman Bold" w:hAnsi="Times New Roman Bold"/>
          <w:b/>
          <w:bCs/>
          <w:caps/>
        </w:rPr>
        <w:t xml:space="preserve">suggests </w:t>
      </w:r>
      <w:r w:rsidRPr="00112F5F">
        <w:rPr>
          <w:rFonts w:ascii="Times New Roman Bold" w:hAnsi="Times New Roman Bold"/>
          <w:b/>
          <w:bCs/>
          <w:caps/>
        </w:rPr>
        <w:t xml:space="preserve">that CenturyLink should report </w:t>
      </w:r>
      <w:r w:rsidR="00460B8F" w:rsidRPr="00112F5F">
        <w:rPr>
          <w:rFonts w:ascii="Times New Roman Bold" w:hAnsi="Times New Roman Bold"/>
          <w:b/>
          <w:bCs/>
          <w:caps/>
        </w:rPr>
        <w:t xml:space="preserve">to the Commission on the realization of </w:t>
      </w:r>
      <w:r w:rsidRPr="00112F5F">
        <w:rPr>
          <w:rFonts w:ascii="Times New Roman Bold" w:hAnsi="Times New Roman Bold"/>
          <w:b/>
          <w:bCs/>
          <w:caps/>
        </w:rPr>
        <w:t>“synergy savings”</w:t>
      </w:r>
      <w:r w:rsidR="00460B8F" w:rsidRPr="00112F5F">
        <w:rPr>
          <w:rFonts w:ascii="Times New Roman Bold" w:hAnsi="Times New Roman Bold"/>
          <w:b/>
          <w:bCs/>
          <w:caps/>
        </w:rPr>
        <w:t xml:space="preserve"> </w:t>
      </w:r>
      <w:r w:rsidR="00494103" w:rsidRPr="00112F5F">
        <w:rPr>
          <w:rFonts w:ascii="Times New Roman Bold" w:hAnsi="Times New Roman Bold"/>
          <w:b/>
          <w:bCs/>
          <w:caps/>
        </w:rPr>
        <w:t>r</w:t>
      </w:r>
      <w:r w:rsidR="00460B8F" w:rsidRPr="00112F5F">
        <w:rPr>
          <w:rFonts w:ascii="Times New Roman Bold" w:hAnsi="Times New Roman Bold"/>
          <w:b/>
          <w:bCs/>
          <w:caps/>
        </w:rPr>
        <w:t>esulting from the proposed Transaction.</w:t>
      </w:r>
    </w:p>
    <w:p w:rsidR="00AA619D" w:rsidRDefault="00562138" w:rsidP="00636C82">
      <w:pPr>
        <w:spacing w:line="480" w:lineRule="auto"/>
        <w:ind w:left="720" w:hanging="720"/>
        <w:jc w:val="both"/>
        <w:rPr>
          <w:bCs/>
        </w:rPr>
      </w:pPr>
      <w:r>
        <w:rPr>
          <w:bCs/>
        </w:rPr>
        <w:t>A.</w:t>
      </w:r>
      <w:r>
        <w:rPr>
          <w:bCs/>
        </w:rPr>
        <w:tab/>
      </w:r>
      <w:r w:rsidR="00AA619D" w:rsidRPr="00636C82">
        <w:rPr>
          <w:bCs/>
        </w:rPr>
        <w:t xml:space="preserve">CenturyLink </w:t>
      </w:r>
      <w:r w:rsidRPr="00636C82">
        <w:rPr>
          <w:bCs/>
        </w:rPr>
        <w:t xml:space="preserve">notes that such reporting is very difficult to track as the Company does not have </w:t>
      </w:r>
      <w:r w:rsidR="00636C82" w:rsidRPr="00636C82">
        <w:rPr>
          <w:bCs/>
        </w:rPr>
        <w:t>specific systems for verifying and reporting on a semi-annual basis “[c]</w:t>
      </w:r>
      <w:r w:rsidR="00AA619D" w:rsidRPr="00636C82">
        <w:rPr>
          <w:bCs/>
        </w:rPr>
        <w:t>osts and projected savings associated with each respective activity on a</w:t>
      </w:r>
      <w:r w:rsidR="00636C82" w:rsidRPr="00636C82">
        <w:rPr>
          <w:bCs/>
        </w:rPr>
        <w:t xml:space="preserve"> </w:t>
      </w:r>
      <w:r w:rsidR="00AA619D" w:rsidRPr="00636C82">
        <w:rPr>
          <w:bCs/>
        </w:rPr>
        <w:t>CenturyLink total company basis;</w:t>
      </w:r>
      <w:r w:rsidR="00636C82" w:rsidRPr="00636C82">
        <w:rPr>
          <w:bCs/>
        </w:rPr>
        <w:t xml:space="preserve"> . . .</w:t>
      </w:r>
      <w:r w:rsidR="00636C82">
        <w:rPr>
          <w:bCs/>
        </w:rPr>
        <w:t xml:space="preserve"> </w:t>
      </w:r>
      <w:r w:rsidR="00636C82" w:rsidRPr="00636C82">
        <w:rPr>
          <w:bCs/>
        </w:rPr>
        <w:t>[c]</w:t>
      </w:r>
      <w:r w:rsidR="00AA619D" w:rsidRPr="00636C82">
        <w:rPr>
          <w:bCs/>
        </w:rPr>
        <w:t>onsolidation and organizational changes to network operations and</w:t>
      </w:r>
      <w:r w:rsidR="00636C82" w:rsidRPr="00636C82">
        <w:rPr>
          <w:bCs/>
        </w:rPr>
        <w:t xml:space="preserve"> </w:t>
      </w:r>
      <w:r w:rsidR="00AA619D" w:rsidRPr="00636C82">
        <w:rPr>
          <w:bCs/>
        </w:rPr>
        <w:t>staffing levels in the Washington operations</w:t>
      </w:r>
      <w:r w:rsidR="00636C82" w:rsidRPr="00636C82">
        <w:rPr>
          <w:bCs/>
        </w:rPr>
        <w:t>; . . . [and i]</w:t>
      </w:r>
      <w:r w:rsidR="00AA619D" w:rsidRPr="00636C82">
        <w:rPr>
          <w:bCs/>
        </w:rPr>
        <w:t>mpacts on Washington operations and customers.</w:t>
      </w:r>
      <w:r w:rsidR="00636C82" w:rsidRPr="00636C82">
        <w:rPr>
          <w:bCs/>
        </w:rPr>
        <w:t>”</w:t>
      </w:r>
      <w:r w:rsidR="00636C82" w:rsidRPr="00636C82">
        <w:rPr>
          <w:rStyle w:val="FootnoteReference"/>
          <w:bCs/>
        </w:rPr>
        <w:footnoteReference w:id="74"/>
      </w:r>
      <w:r w:rsidR="00636C82">
        <w:rPr>
          <w:bCs/>
        </w:rPr>
        <w:t xml:space="preserve">  Not only is the </w:t>
      </w:r>
      <w:r w:rsidR="00460B8F">
        <w:rPr>
          <w:bCs/>
        </w:rPr>
        <w:t>c</w:t>
      </w:r>
      <w:r w:rsidR="00636C82">
        <w:rPr>
          <w:bCs/>
        </w:rPr>
        <w:t xml:space="preserve">ondition vague </w:t>
      </w:r>
      <w:r w:rsidR="00460B8F">
        <w:rPr>
          <w:bCs/>
        </w:rPr>
        <w:t xml:space="preserve">and overly broad </w:t>
      </w:r>
      <w:r w:rsidR="00636C82">
        <w:rPr>
          <w:bCs/>
        </w:rPr>
        <w:t xml:space="preserve">(e.g., “impacts on Washington operations and customers”), but, as time passes, it </w:t>
      </w:r>
      <w:r w:rsidR="00460B8F">
        <w:rPr>
          <w:bCs/>
        </w:rPr>
        <w:t xml:space="preserve">will </w:t>
      </w:r>
      <w:r w:rsidR="00636C82">
        <w:rPr>
          <w:bCs/>
        </w:rPr>
        <w:t>become increasingly difficult to discern what is a merger-related synergy and what is an ongoing business decision.  Finally</w:t>
      </w:r>
      <w:r w:rsidR="003B3E54">
        <w:rPr>
          <w:bCs/>
        </w:rPr>
        <w:t xml:space="preserve"> and possibly more fundamental</w:t>
      </w:r>
      <w:r w:rsidR="00636C82">
        <w:rPr>
          <w:bCs/>
        </w:rPr>
        <w:t xml:space="preserve">, </w:t>
      </w:r>
      <w:r w:rsidR="00460B8F">
        <w:rPr>
          <w:bCs/>
        </w:rPr>
        <w:t>proposed</w:t>
      </w:r>
      <w:r w:rsidR="00636C82">
        <w:rPr>
          <w:bCs/>
        </w:rPr>
        <w:t xml:space="preserve"> Condition </w:t>
      </w:r>
      <w:r w:rsidR="00460B8F">
        <w:rPr>
          <w:bCs/>
        </w:rPr>
        <w:t xml:space="preserve">No. 4 </w:t>
      </w:r>
      <w:r w:rsidR="00636C82">
        <w:rPr>
          <w:bCs/>
        </w:rPr>
        <w:t xml:space="preserve">does not protect against any </w:t>
      </w:r>
      <w:r w:rsidR="00460B8F">
        <w:rPr>
          <w:bCs/>
        </w:rPr>
        <w:t xml:space="preserve">defined potential </w:t>
      </w:r>
      <w:r w:rsidR="00636C82">
        <w:rPr>
          <w:bCs/>
        </w:rPr>
        <w:t xml:space="preserve">harm </w:t>
      </w:r>
      <w:r w:rsidR="00460B8F">
        <w:rPr>
          <w:bCs/>
        </w:rPr>
        <w:t>to Washington or Washington customers.  If the proposed condition is someho</w:t>
      </w:r>
      <w:r w:rsidR="009F350D">
        <w:rPr>
          <w:bCs/>
        </w:rPr>
        <w:t>w related to concerns regarding</w:t>
      </w:r>
      <w:r w:rsidR="00636C82">
        <w:rPr>
          <w:bCs/>
        </w:rPr>
        <w:t xml:space="preserve"> service quality, there are service </w:t>
      </w:r>
      <w:r w:rsidR="003B3E54">
        <w:rPr>
          <w:bCs/>
        </w:rPr>
        <w:t xml:space="preserve">quality </w:t>
      </w:r>
      <w:r w:rsidR="009F350D">
        <w:rPr>
          <w:bCs/>
        </w:rPr>
        <w:t>standards</w:t>
      </w:r>
      <w:r w:rsidR="00636C82">
        <w:rPr>
          <w:bCs/>
        </w:rPr>
        <w:t xml:space="preserve"> </w:t>
      </w:r>
      <w:r w:rsidR="009F350D">
        <w:rPr>
          <w:bCs/>
        </w:rPr>
        <w:t xml:space="preserve">and reporting requirements </w:t>
      </w:r>
      <w:r w:rsidR="00636C82">
        <w:rPr>
          <w:bCs/>
        </w:rPr>
        <w:t>that provide more direct and helpful information to the Commission.</w:t>
      </w:r>
      <w:r w:rsidR="009F350D">
        <w:rPr>
          <w:bCs/>
        </w:rPr>
        <w:t xml:space="preserve">  As such, Staff’s proposed Condition No. 4 is unnecessary and should not be adopted by the Commission.</w:t>
      </w:r>
    </w:p>
    <w:p w:rsidR="00636C82" w:rsidRDefault="00636C82" w:rsidP="00636C82">
      <w:pPr>
        <w:spacing w:line="480" w:lineRule="auto"/>
        <w:ind w:left="720" w:hanging="720"/>
        <w:jc w:val="both"/>
        <w:rPr>
          <w:bCs/>
        </w:rPr>
      </w:pPr>
    </w:p>
    <w:p w:rsidR="00AA619D" w:rsidRDefault="002718E0" w:rsidP="00AA619D">
      <w:pPr>
        <w:spacing w:line="480" w:lineRule="auto"/>
        <w:ind w:left="720" w:hanging="720"/>
        <w:jc w:val="both"/>
        <w:rPr>
          <w:b/>
          <w:bCs/>
        </w:rPr>
      </w:pPr>
      <w:r>
        <w:rPr>
          <w:b/>
          <w:bCs/>
        </w:rPr>
        <w:t>Q.</w:t>
      </w:r>
      <w:r>
        <w:rPr>
          <w:b/>
          <w:bCs/>
        </w:rPr>
        <w:tab/>
      </w:r>
      <w:r w:rsidRPr="00112F5F">
        <w:rPr>
          <w:rFonts w:ascii="Times New Roman Bold" w:hAnsi="Times New Roman Bold"/>
          <w:b/>
          <w:bCs/>
          <w:caps/>
        </w:rPr>
        <w:t xml:space="preserve">Please comment on </w:t>
      </w:r>
      <w:r w:rsidR="008C25FE" w:rsidRPr="00112F5F">
        <w:rPr>
          <w:rFonts w:ascii="Times New Roman Bold" w:hAnsi="Times New Roman Bold"/>
          <w:b/>
          <w:bCs/>
          <w:caps/>
        </w:rPr>
        <w:t xml:space="preserve">Staff’s proposed </w:t>
      </w:r>
      <w:r w:rsidR="00AA619D" w:rsidRPr="00112F5F">
        <w:rPr>
          <w:rFonts w:ascii="Times New Roman Bold" w:hAnsi="Times New Roman Bold"/>
          <w:b/>
          <w:bCs/>
          <w:caps/>
        </w:rPr>
        <w:t>Condition No.</w:t>
      </w:r>
      <w:r w:rsidRPr="00112F5F">
        <w:rPr>
          <w:rFonts w:ascii="Times New Roman Bold" w:hAnsi="Times New Roman Bold"/>
          <w:b/>
          <w:bCs/>
          <w:caps/>
        </w:rPr>
        <w:t xml:space="preserve"> </w:t>
      </w:r>
      <w:r w:rsidR="00AA619D" w:rsidRPr="00112F5F">
        <w:rPr>
          <w:rFonts w:ascii="Times New Roman Bold" w:hAnsi="Times New Roman Bold"/>
          <w:b/>
          <w:bCs/>
          <w:caps/>
        </w:rPr>
        <w:t>5</w:t>
      </w:r>
      <w:r w:rsidR="00382866" w:rsidRPr="00112F5F">
        <w:rPr>
          <w:rFonts w:ascii="Times New Roman Bold" w:hAnsi="Times New Roman Bold"/>
          <w:b/>
          <w:bCs/>
          <w:caps/>
        </w:rPr>
        <w:t xml:space="preserve"> that requires the merged company to hold harmless retai</w:t>
      </w:r>
      <w:r w:rsidR="00AA619D" w:rsidRPr="00112F5F">
        <w:rPr>
          <w:rFonts w:ascii="Times New Roman Bold" w:hAnsi="Times New Roman Bold"/>
          <w:b/>
          <w:bCs/>
          <w:caps/>
        </w:rPr>
        <w:t>l and wholesale customers</w:t>
      </w:r>
      <w:r w:rsidR="00382866" w:rsidRPr="00112F5F">
        <w:rPr>
          <w:rFonts w:ascii="Times New Roman Bold" w:hAnsi="Times New Roman Bold"/>
          <w:b/>
          <w:bCs/>
          <w:caps/>
        </w:rPr>
        <w:t xml:space="preserve"> f</w:t>
      </w:r>
      <w:r w:rsidR="00AA619D" w:rsidRPr="00112F5F">
        <w:rPr>
          <w:rFonts w:ascii="Times New Roman Bold" w:hAnsi="Times New Roman Bold"/>
          <w:b/>
          <w:bCs/>
          <w:caps/>
        </w:rPr>
        <w:t xml:space="preserve">or </w:t>
      </w:r>
      <w:r w:rsidR="00382866" w:rsidRPr="00112F5F">
        <w:rPr>
          <w:rFonts w:ascii="Times New Roman Bold" w:hAnsi="Times New Roman Bold"/>
          <w:b/>
          <w:bCs/>
          <w:caps/>
        </w:rPr>
        <w:t>“</w:t>
      </w:r>
      <w:r w:rsidR="00AA619D" w:rsidRPr="00112F5F">
        <w:rPr>
          <w:rFonts w:ascii="Times New Roman Bold" w:hAnsi="Times New Roman Bold"/>
          <w:b/>
          <w:bCs/>
          <w:caps/>
        </w:rPr>
        <w:t>increases in overall management costs that result from the</w:t>
      </w:r>
      <w:r w:rsidR="00382866" w:rsidRPr="00112F5F">
        <w:rPr>
          <w:rFonts w:ascii="Times New Roman Bold" w:hAnsi="Times New Roman Bold"/>
          <w:b/>
          <w:bCs/>
          <w:caps/>
        </w:rPr>
        <w:t xml:space="preserve"> </w:t>
      </w:r>
      <w:r w:rsidR="00AA619D" w:rsidRPr="00112F5F">
        <w:rPr>
          <w:rFonts w:ascii="Times New Roman Bold" w:hAnsi="Times New Roman Bold"/>
          <w:b/>
          <w:bCs/>
          <w:caps/>
        </w:rPr>
        <w:t>transaction.</w:t>
      </w:r>
      <w:r w:rsidR="00382866" w:rsidRPr="00112F5F">
        <w:rPr>
          <w:rFonts w:ascii="Times New Roman Bold" w:hAnsi="Times New Roman Bold"/>
          <w:b/>
          <w:bCs/>
          <w:caps/>
        </w:rPr>
        <w:t>”</w:t>
      </w:r>
      <w:r w:rsidR="00382866">
        <w:rPr>
          <w:rStyle w:val="FootnoteReference"/>
          <w:b/>
          <w:bCs/>
        </w:rPr>
        <w:footnoteReference w:id="75"/>
      </w:r>
    </w:p>
    <w:p w:rsidR="00AA619D" w:rsidRDefault="00382866" w:rsidP="00AA619D">
      <w:pPr>
        <w:spacing w:line="480" w:lineRule="auto"/>
        <w:ind w:left="720" w:hanging="720"/>
        <w:jc w:val="both"/>
      </w:pPr>
      <w:r>
        <w:rPr>
          <w:bCs/>
        </w:rPr>
        <w:t>A.</w:t>
      </w:r>
      <w:r>
        <w:rPr>
          <w:bCs/>
        </w:rPr>
        <w:tab/>
        <w:t xml:space="preserve">As part of a comprehensive settlement agreement recommending an approval of the proposed Transaction, </w:t>
      </w:r>
      <w:r>
        <w:t xml:space="preserve">CenturyLink could agree to a condition similar to Staff’s proposed Condition No. 5, if that Condition is defined more specifically so that the Company agrees not to seek recovery from its customers </w:t>
      </w:r>
      <w:r w:rsidR="00494103">
        <w:t xml:space="preserve">of </w:t>
      </w:r>
      <w:r>
        <w:t>any corporate overhead allocated Transaction-related costs.  CenturyLink does not agree to forfeit rights to set its prices at levels that compensate the Company for factors other than the defined corporate overhead allocated Transaction-related costs.</w:t>
      </w:r>
    </w:p>
    <w:p w:rsidR="00382866" w:rsidRDefault="00382866" w:rsidP="00AA619D">
      <w:pPr>
        <w:spacing w:line="480" w:lineRule="auto"/>
        <w:ind w:left="720" w:hanging="720"/>
        <w:jc w:val="both"/>
        <w:rPr>
          <w:b/>
          <w:bCs/>
        </w:rPr>
      </w:pPr>
    </w:p>
    <w:p w:rsidR="00AA619D" w:rsidRDefault="00382866" w:rsidP="00AA619D">
      <w:pPr>
        <w:spacing w:line="480" w:lineRule="auto"/>
        <w:ind w:left="720" w:hanging="720"/>
        <w:jc w:val="both"/>
        <w:rPr>
          <w:b/>
          <w:bCs/>
        </w:rPr>
      </w:pPr>
      <w:r>
        <w:rPr>
          <w:b/>
          <w:bCs/>
        </w:rPr>
        <w:t>Q.</w:t>
      </w:r>
      <w:r>
        <w:rPr>
          <w:b/>
          <w:bCs/>
        </w:rPr>
        <w:tab/>
      </w:r>
      <w:r w:rsidRPr="00112F5F">
        <w:rPr>
          <w:rFonts w:ascii="Times New Roman Bold" w:hAnsi="Times New Roman Bold"/>
          <w:b/>
          <w:bCs/>
          <w:caps/>
        </w:rPr>
        <w:t xml:space="preserve">Please comment on Staff’s </w:t>
      </w:r>
      <w:r w:rsidR="008C25FE" w:rsidRPr="00112F5F">
        <w:rPr>
          <w:rFonts w:ascii="Times New Roman Bold" w:hAnsi="Times New Roman Bold"/>
          <w:b/>
          <w:bCs/>
          <w:caps/>
        </w:rPr>
        <w:t xml:space="preserve">proposed </w:t>
      </w:r>
      <w:r w:rsidRPr="00112F5F">
        <w:rPr>
          <w:rFonts w:ascii="Times New Roman Bold" w:hAnsi="Times New Roman Bold"/>
          <w:b/>
          <w:bCs/>
          <w:caps/>
        </w:rPr>
        <w:t xml:space="preserve">financial Condition No. 6 that </w:t>
      </w:r>
      <w:r w:rsidR="008C25FE" w:rsidRPr="00112F5F">
        <w:rPr>
          <w:rFonts w:ascii="Times New Roman Bold" w:hAnsi="Times New Roman Bold"/>
          <w:b/>
          <w:bCs/>
          <w:caps/>
        </w:rPr>
        <w:t xml:space="preserve">requires </w:t>
      </w:r>
      <w:r w:rsidRPr="00112F5F">
        <w:rPr>
          <w:rFonts w:ascii="Times New Roman Bold" w:hAnsi="Times New Roman Bold"/>
          <w:b/>
          <w:bCs/>
          <w:caps/>
        </w:rPr>
        <w:t>that the merged company will not seek to recover</w:t>
      </w:r>
      <w:r w:rsidR="00AA619D" w:rsidRPr="00112F5F">
        <w:rPr>
          <w:rFonts w:ascii="Times New Roman Bold" w:hAnsi="Times New Roman Bold"/>
          <w:b/>
          <w:bCs/>
          <w:caps/>
        </w:rPr>
        <w:t xml:space="preserve"> </w:t>
      </w:r>
      <w:r w:rsidRPr="00112F5F">
        <w:rPr>
          <w:rFonts w:ascii="Times New Roman Bold" w:hAnsi="Times New Roman Bold"/>
          <w:b/>
          <w:bCs/>
          <w:caps/>
        </w:rPr>
        <w:t>“</w:t>
      </w:r>
      <w:r w:rsidR="00AA619D" w:rsidRPr="00112F5F">
        <w:rPr>
          <w:rFonts w:ascii="Times New Roman Bold" w:hAnsi="Times New Roman Bold"/>
          <w:b/>
          <w:bCs/>
          <w:caps/>
        </w:rPr>
        <w:t>any separation, branding and transition costs.</w:t>
      </w:r>
      <w:r w:rsidRPr="00112F5F">
        <w:rPr>
          <w:rFonts w:ascii="Times New Roman Bold" w:hAnsi="Times New Roman Bold"/>
          <w:b/>
          <w:bCs/>
          <w:caps/>
        </w:rPr>
        <w:t>”</w:t>
      </w:r>
      <w:r>
        <w:rPr>
          <w:rStyle w:val="FootnoteReference"/>
          <w:b/>
          <w:bCs/>
        </w:rPr>
        <w:footnoteReference w:id="76"/>
      </w:r>
    </w:p>
    <w:p w:rsidR="00382866" w:rsidRDefault="00FD7804" w:rsidP="00AA619D">
      <w:pPr>
        <w:spacing w:line="480" w:lineRule="auto"/>
        <w:ind w:left="720" w:hanging="720"/>
        <w:jc w:val="both"/>
      </w:pPr>
      <w:r>
        <w:rPr>
          <w:bCs/>
        </w:rPr>
        <w:t>A.</w:t>
      </w:r>
      <w:r>
        <w:rPr>
          <w:bCs/>
        </w:rPr>
        <w:tab/>
        <w:t xml:space="preserve">As part of a comprehensive settlement agreement recommending an approval of the proposed Transaction, </w:t>
      </w:r>
      <w:r>
        <w:t>CenturyLink could agree to a condition similar to Staff’s proposed Condition No. 6.</w:t>
      </w:r>
    </w:p>
    <w:p w:rsidR="00FD7804" w:rsidRDefault="00FD7804" w:rsidP="00AA619D">
      <w:pPr>
        <w:spacing w:line="480" w:lineRule="auto"/>
        <w:ind w:left="720" w:hanging="720"/>
        <w:jc w:val="both"/>
      </w:pPr>
    </w:p>
    <w:p w:rsidR="00AA619D" w:rsidRDefault="00FD7804" w:rsidP="00AA619D">
      <w:pPr>
        <w:spacing w:line="480" w:lineRule="auto"/>
        <w:ind w:left="720" w:hanging="720"/>
        <w:jc w:val="both"/>
        <w:rPr>
          <w:b/>
          <w:bCs/>
        </w:rPr>
      </w:pPr>
      <w:r>
        <w:rPr>
          <w:b/>
        </w:rPr>
        <w:t>Q.</w:t>
      </w:r>
      <w:r>
        <w:rPr>
          <w:b/>
        </w:rPr>
        <w:tab/>
      </w:r>
      <w:r w:rsidRPr="00112F5F">
        <w:rPr>
          <w:rFonts w:ascii="Times New Roman Bold" w:hAnsi="Times New Roman Bold"/>
          <w:b/>
          <w:bCs/>
          <w:caps/>
        </w:rPr>
        <w:t xml:space="preserve">Please comment on Staff’s </w:t>
      </w:r>
      <w:r w:rsidR="008C25FE" w:rsidRPr="00112F5F">
        <w:rPr>
          <w:rFonts w:ascii="Times New Roman Bold" w:hAnsi="Times New Roman Bold"/>
          <w:b/>
          <w:bCs/>
          <w:caps/>
        </w:rPr>
        <w:t xml:space="preserve">proposed </w:t>
      </w:r>
      <w:r w:rsidRPr="00112F5F">
        <w:rPr>
          <w:rFonts w:ascii="Times New Roman Bold" w:hAnsi="Times New Roman Bold"/>
          <w:b/>
          <w:bCs/>
          <w:caps/>
        </w:rPr>
        <w:t>financial Condition No. 7 that requires that “</w:t>
      </w:r>
      <w:r w:rsidR="00AA619D" w:rsidRPr="00112F5F">
        <w:rPr>
          <w:rFonts w:ascii="Times New Roman Bold" w:hAnsi="Times New Roman Bold"/>
          <w:b/>
          <w:bCs/>
          <w:caps/>
        </w:rPr>
        <w:t>CenturyLink may not encumber the Washington assets</w:t>
      </w:r>
      <w:r w:rsidRPr="00112F5F">
        <w:rPr>
          <w:rFonts w:ascii="Times New Roman Bold" w:hAnsi="Times New Roman Bold"/>
          <w:b/>
          <w:bCs/>
          <w:caps/>
        </w:rPr>
        <w:t>”</w:t>
      </w:r>
      <w:r w:rsidR="00AA619D" w:rsidRPr="00112F5F">
        <w:rPr>
          <w:rFonts w:ascii="Times New Roman Bold" w:hAnsi="Times New Roman Bold"/>
          <w:b/>
          <w:bCs/>
          <w:caps/>
        </w:rPr>
        <w:t xml:space="preserve"> of </w:t>
      </w:r>
      <w:r w:rsidRPr="00112F5F">
        <w:rPr>
          <w:rFonts w:ascii="Times New Roman Bold" w:hAnsi="Times New Roman Bold"/>
          <w:b/>
          <w:bCs/>
          <w:caps/>
        </w:rPr>
        <w:t>the merged company</w:t>
      </w:r>
      <w:r w:rsidR="00AA619D" w:rsidRPr="00112F5F">
        <w:rPr>
          <w:rFonts w:ascii="Times New Roman Bold" w:hAnsi="Times New Roman Bold"/>
          <w:b/>
          <w:bCs/>
          <w:caps/>
        </w:rPr>
        <w:t>.</w:t>
      </w:r>
      <w:r>
        <w:rPr>
          <w:rStyle w:val="FootnoteReference"/>
          <w:b/>
          <w:bCs/>
        </w:rPr>
        <w:footnoteReference w:id="77"/>
      </w:r>
    </w:p>
    <w:p w:rsidR="00FD7804" w:rsidRDefault="00FD7804" w:rsidP="00FD7804">
      <w:pPr>
        <w:spacing w:line="480" w:lineRule="auto"/>
        <w:ind w:left="720" w:hanging="720"/>
        <w:jc w:val="both"/>
      </w:pPr>
      <w:r>
        <w:rPr>
          <w:bCs/>
        </w:rPr>
        <w:t>A.</w:t>
      </w:r>
      <w:r>
        <w:rPr>
          <w:bCs/>
        </w:rPr>
        <w:tab/>
      </w:r>
      <w:r>
        <w:t xml:space="preserve">CenturyLink </w:t>
      </w:r>
      <w:r w:rsidR="00C7070C">
        <w:t>believes that</w:t>
      </w:r>
      <w:r>
        <w:t xml:space="preserve"> Staff’s proposed Condition No. 7</w:t>
      </w:r>
      <w:r w:rsidR="00C7070C">
        <w:t xml:space="preserve"> is unnecessarily broad and would limit the Company’s flexibility to manage its operations in order to best meet customer needs and respond to changing market conditions</w:t>
      </w:r>
      <w:r>
        <w:t>.</w:t>
      </w:r>
      <w:r w:rsidR="00C7070C">
        <w:t xml:space="preserve">  Staff has not demonstrated any harm to Washington or Washington customers resulting from the proposed Transaction that would require imposition of such a condition.  </w:t>
      </w:r>
      <w:r w:rsidR="00B16B64">
        <w:t>T</w:t>
      </w:r>
      <w:r w:rsidR="001E3C6E">
        <w:t>he Company would be willing</w:t>
      </w:r>
      <w:r w:rsidR="001E3C6E" w:rsidRPr="001E3C6E">
        <w:t xml:space="preserve"> </w:t>
      </w:r>
      <w:r w:rsidR="001E3C6E">
        <w:t xml:space="preserve">to agree, as part of a comprehensive settlement agreement recommending an approval of the merger, that it would not encumber the combined company’s Washington assets </w:t>
      </w:r>
      <w:r w:rsidR="00B16B64">
        <w:t>except as allowed by Chapter 80.08 of the Revised Code of Washington</w:t>
      </w:r>
      <w:r w:rsidR="001E3C6E">
        <w:t>.</w:t>
      </w:r>
      <w:r w:rsidR="00C7070C">
        <w:t xml:space="preserve">   </w:t>
      </w:r>
    </w:p>
    <w:p w:rsidR="00FD7804" w:rsidRDefault="00FD7804" w:rsidP="00AA619D">
      <w:pPr>
        <w:spacing w:line="480" w:lineRule="auto"/>
        <w:ind w:left="720" w:hanging="720"/>
        <w:jc w:val="both"/>
        <w:rPr>
          <w:b/>
          <w:bCs/>
        </w:rPr>
      </w:pPr>
    </w:p>
    <w:p w:rsidR="00AA619D" w:rsidRDefault="00FD7804" w:rsidP="00FD7804">
      <w:pPr>
        <w:spacing w:line="480" w:lineRule="auto"/>
        <w:ind w:left="720" w:hanging="720"/>
        <w:jc w:val="both"/>
        <w:rPr>
          <w:b/>
          <w:bCs/>
        </w:rPr>
      </w:pPr>
      <w:r>
        <w:rPr>
          <w:b/>
          <w:bCs/>
        </w:rPr>
        <w:t>Q.</w:t>
      </w:r>
      <w:r>
        <w:rPr>
          <w:b/>
          <w:bCs/>
        </w:rPr>
        <w:tab/>
      </w:r>
      <w:r w:rsidRPr="00112F5F">
        <w:rPr>
          <w:rFonts w:ascii="Times New Roman Bold" w:hAnsi="Times New Roman Bold"/>
          <w:b/>
          <w:bCs/>
          <w:caps/>
        </w:rPr>
        <w:t xml:space="preserve">Please comment on Staff’s </w:t>
      </w:r>
      <w:r w:rsidR="008C25FE" w:rsidRPr="00112F5F">
        <w:rPr>
          <w:rFonts w:ascii="Times New Roman Bold" w:hAnsi="Times New Roman Bold"/>
          <w:b/>
          <w:bCs/>
          <w:caps/>
        </w:rPr>
        <w:t xml:space="preserve">recommended </w:t>
      </w:r>
      <w:r w:rsidRPr="00112F5F">
        <w:rPr>
          <w:rFonts w:ascii="Times New Roman Bold" w:hAnsi="Times New Roman Bold"/>
          <w:b/>
          <w:bCs/>
          <w:caps/>
        </w:rPr>
        <w:t xml:space="preserve">financial </w:t>
      </w:r>
      <w:r w:rsidR="00AA619D" w:rsidRPr="00112F5F">
        <w:rPr>
          <w:rFonts w:ascii="Times New Roman Bold" w:hAnsi="Times New Roman Bold"/>
          <w:b/>
          <w:bCs/>
          <w:caps/>
        </w:rPr>
        <w:t>Condition No.</w:t>
      </w:r>
      <w:r w:rsidRPr="00112F5F">
        <w:rPr>
          <w:rFonts w:ascii="Times New Roman Bold" w:hAnsi="Times New Roman Bold"/>
          <w:b/>
          <w:bCs/>
          <w:caps/>
        </w:rPr>
        <w:t xml:space="preserve"> </w:t>
      </w:r>
      <w:r w:rsidR="00AA619D" w:rsidRPr="00112F5F">
        <w:rPr>
          <w:rFonts w:ascii="Times New Roman Bold" w:hAnsi="Times New Roman Bold"/>
          <w:b/>
          <w:bCs/>
          <w:caps/>
        </w:rPr>
        <w:t>8</w:t>
      </w:r>
      <w:r w:rsidRPr="00112F5F">
        <w:rPr>
          <w:rFonts w:ascii="Times New Roman Bold" w:hAnsi="Times New Roman Bold"/>
          <w:b/>
          <w:bCs/>
          <w:caps/>
        </w:rPr>
        <w:t xml:space="preserve"> that proposes that “[w]</w:t>
      </w:r>
      <w:r w:rsidR="00AA619D" w:rsidRPr="00112F5F">
        <w:rPr>
          <w:rFonts w:ascii="Times New Roman Bold" w:hAnsi="Times New Roman Bold"/>
          <w:b/>
          <w:bCs/>
          <w:caps/>
        </w:rPr>
        <w:t>ithin 30 days after the day the transaction closes, CenturyLink must notify</w:t>
      </w:r>
      <w:r w:rsidRPr="00112F5F">
        <w:rPr>
          <w:rFonts w:ascii="Times New Roman Bold" w:hAnsi="Times New Roman Bold"/>
          <w:b/>
          <w:bCs/>
          <w:caps/>
        </w:rPr>
        <w:t xml:space="preserve"> </w:t>
      </w:r>
      <w:r w:rsidR="00AA619D" w:rsidRPr="00112F5F">
        <w:rPr>
          <w:rFonts w:ascii="Times New Roman Bold" w:hAnsi="Times New Roman Bold"/>
          <w:b/>
          <w:bCs/>
          <w:caps/>
        </w:rPr>
        <w:t>Staff of</w:t>
      </w:r>
      <w:r w:rsidRPr="00112F5F">
        <w:rPr>
          <w:rFonts w:ascii="Times New Roman Bold" w:hAnsi="Times New Roman Bold"/>
          <w:b/>
          <w:bCs/>
          <w:caps/>
        </w:rPr>
        <w:t xml:space="preserve"> </w:t>
      </w:r>
      <w:r w:rsidR="00AA619D" w:rsidRPr="00112F5F">
        <w:rPr>
          <w:rFonts w:ascii="Times New Roman Bold" w:hAnsi="Times New Roman Bold"/>
          <w:b/>
          <w:bCs/>
          <w:caps/>
        </w:rPr>
        <w:t>the CenturyLink post-transaction consolidated Net Debt/EBITDA</w:t>
      </w:r>
      <w:r w:rsidRPr="00112F5F">
        <w:rPr>
          <w:rFonts w:ascii="Times New Roman Bold" w:hAnsi="Times New Roman Bold"/>
          <w:b/>
          <w:bCs/>
          <w:caps/>
        </w:rPr>
        <w:t xml:space="preserve"> and the price per share used to determine transaction shares and the calculation of the share price.”</w:t>
      </w:r>
      <w:r>
        <w:rPr>
          <w:rStyle w:val="FootnoteReference"/>
          <w:b/>
          <w:bCs/>
        </w:rPr>
        <w:footnoteReference w:id="78"/>
      </w:r>
    </w:p>
    <w:p w:rsidR="00FD7804" w:rsidRDefault="00FD7804" w:rsidP="00FD7804">
      <w:pPr>
        <w:spacing w:line="480" w:lineRule="auto"/>
        <w:ind w:left="720" w:hanging="720"/>
        <w:jc w:val="both"/>
      </w:pPr>
      <w:r>
        <w:rPr>
          <w:bCs/>
        </w:rPr>
        <w:t>A.</w:t>
      </w:r>
      <w:r>
        <w:rPr>
          <w:bCs/>
        </w:rPr>
        <w:tab/>
        <w:t xml:space="preserve">As part of a comprehensive settlement agreement recommending an approval of the proposed Transaction, </w:t>
      </w:r>
      <w:r>
        <w:t xml:space="preserve">CenturyLink could agree to a condition similar to Staff’s proposed Condition No. 8.  CenturyLink </w:t>
      </w:r>
      <w:r w:rsidR="001406FD">
        <w:t>will be able to report the share price</w:t>
      </w:r>
      <w:r w:rsidR="00494103">
        <w:t xml:space="preserve"> on the closing date</w:t>
      </w:r>
      <w:r w:rsidR="001406FD">
        <w:t xml:space="preserve">, but </w:t>
      </w:r>
      <w:r>
        <w:t xml:space="preserve">notes that price per share is not material in this Transaction as there is no </w:t>
      </w:r>
      <w:r w:rsidR="00494103">
        <w:t>variability in the stock-for-stock exchange ratio</w:t>
      </w:r>
      <w:r>
        <w:t xml:space="preserve">.  Rather, </w:t>
      </w:r>
      <w:r w:rsidR="00494103">
        <w:t>the exchange ratio already has been fixed as part of the merger agreement—</w:t>
      </w:r>
      <w:r>
        <w:t>Qwest shareholders will receive 0.1664 shares of CenturyLink shares (New York Stock Exchange</w:t>
      </w:r>
      <w:r w:rsidR="001406FD">
        <w:t xml:space="preserve"> (“NYSE”)</w:t>
      </w:r>
      <w:r>
        <w:t>—ticker symbol “CTL”) for each Qwest share (NYSE—ticker symbol “Q”)</w:t>
      </w:r>
      <w:r w:rsidR="003A6B43">
        <w:t xml:space="preserve"> they hold.</w:t>
      </w:r>
      <w:r w:rsidR="00494103">
        <w:t xml:space="preserve">  Therefore, the share price information included as part of proposed Condition No. 8 appears to be </w:t>
      </w:r>
      <w:r w:rsidR="00B81B72">
        <w:t>unnecessary</w:t>
      </w:r>
      <w:r w:rsidR="00494103">
        <w:t>.</w:t>
      </w:r>
    </w:p>
    <w:p w:rsidR="00FD7804" w:rsidRDefault="00FD7804" w:rsidP="00FD7804">
      <w:pPr>
        <w:spacing w:line="480" w:lineRule="auto"/>
        <w:ind w:left="720" w:hanging="720"/>
        <w:jc w:val="both"/>
        <w:rPr>
          <w:b/>
          <w:bCs/>
        </w:rPr>
      </w:pPr>
    </w:p>
    <w:p w:rsidR="00AA619D" w:rsidRDefault="003A6B43" w:rsidP="00AA619D">
      <w:pPr>
        <w:spacing w:line="480" w:lineRule="auto"/>
        <w:ind w:left="720" w:hanging="720"/>
        <w:jc w:val="both"/>
        <w:rPr>
          <w:b/>
          <w:bCs/>
        </w:rPr>
      </w:pPr>
      <w:r>
        <w:rPr>
          <w:b/>
          <w:bCs/>
        </w:rPr>
        <w:t>Q.</w:t>
      </w:r>
      <w:r>
        <w:rPr>
          <w:b/>
          <w:bCs/>
        </w:rPr>
        <w:tab/>
      </w:r>
      <w:r w:rsidRPr="00112F5F">
        <w:rPr>
          <w:rFonts w:ascii="Times New Roman Bold" w:hAnsi="Times New Roman Bold"/>
          <w:b/>
          <w:bCs/>
          <w:caps/>
        </w:rPr>
        <w:t>Please comment on Staff</w:t>
      </w:r>
      <w:r w:rsidR="008C25FE" w:rsidRPr="00112F5F">
        <w:rPr>
          <w:rFonts w:ascii="Times New Roman Bold" w:hAnsi="Times New Roman Bold"/>
          <w:b/>
          <w:bCs/>
          <w:caps/>
        </w:rPr>
        <w:t>’s proposed</w:t>
      </w:r>
      <w:r w:rsidRPr="00112F5F">
        <w:rPr>
          <w:rFonts w:ascii="Times New Roman Bold" w:hAnsi="Times New Roman Bold"/>
          <w:b/>
          <w:bCs/>
          <w:caps/>
        </w:rPr>
        <w:t xml:space="preserve"> financial </w:t>
      </w:r>
      <w:r w:rsidR="00AA619D" w:rsidRPr="00112F5F">
        <w:rPr>
          <w:rFonts w:ascii="Times New Roman Bold" w:hAnsi="Times New Roman Bold"/>
          <w:b/>
          <w:bCs/>
          <w:caps/>
        </w:rPr>
        <w:t>Condition No.</w:t>
      </w:r>
      <w:r w:rsidRPr="00112F5F">
        <w:rPr>
          <w:rFonts w:ascii="Times New Roman Bold" w:hAnsi="Times New Roman Bold"/>
          <w:b/>
          <w:bCs/>
          <w:caps/>
        </w:rPr>
        <w:t xml:space="preserve"> </w:t>
      </w:r>
      <w:r w:rsidR="00AA619D" w:rsidRPr="00112F5F">
        <w:rPr>
          <w:rFonts w:ascii="Times New Roman Bold" w:hAnsi="Times New Roman Bold"/>
          <w:b/>
          <w:bCs/>
          <w:caps/>
        </w:rPr>
        <w:t>9</w:t>
      </w:r>
      <w:r w:rsidRPr="00112F5F">
        <w:rPr>
          <w:rFonts w:ascii="Times New Roman Bold" w:hAnsi="Times New Roman Bold"/>
          <w:b/>
          <w:bCs/>
          <w:caps/>
        </w:rPr>
        <w:t xml:space="preserve"> related to affiliated interest transaction filings.</w:t>
      </w:r>
    </w:p>
    <w:p w:rsidR="00AA619D" w:rsidRDefault="003A6B43" w:rsidP="00AA619D">
      <w:pPr>
        <w:spacing w:line="480" w:lineRule="auto"/>
        <w:ind w:left="720" w:hanging="720"/>
        <w:jc w:val="both"/>
        <w:rPr>
          <w:bCs/>
        </w:rPr>
      </w:pPr>
      <w:r>
        <w:rPr>
          <w:bCs/>
        </w:rPr>
        <w:t>A.</w:t>
      </w:r>
      <w:r>
        <w:rPr>
          <w:bCs/>
        </w:rPr>
        <w:tab/>
        <w:t>Staff proposes that “[f]</w:t>
      </w:r>
      <w:r w:rsidR="00AA619D" w:rsidRPr="003A6B43">
        <w:rPr>
          <w:bCs/>
        </w:rPr>
        <w:t>or all affiliated interest transaction filings under WAC 480-120-375,</w:t>
      </w:r>
      <w:r w:rsidRPr="003A6B43">
        <w:rPr>
          <w:bCs/>
        </w:rPr>
        <w:t xml:space="preserve"> Century</w:t>
      </w:r>
      <w:r w:rsidR="00AA619D" w:rsidRPr="003A6B43">
        <w:rPr>
          <w:bCs/>
        </w:rPr>
        <w:t>Link ILECs and Qwest must:</w:t>
      </w:r>
      <w:r w:rsidRPr="003A6B43">
        <w:rPr>
          <w:bCs/>
        </w:rPr>
        <w:t xml:space="preserve">  </w:t>
      </w:r>
      <w:r w:rsidR="00AA619D" w:rsidRPr="003A6B43">
        <w:rPr>
          <w:bCs/>
        </w:rPr>
        <w:t>a. Certify in the cover letter for the filing that the transaction complies with</w:t>
      </w:r>
      <w:r w:rsidRPr="003A6B43">
        <w:rPr>
          <w:bCs/>
        </w:rPr>
        <w:t xml:space="preserve"> </w:t>
      </w:r>
      <w:r w:rsidR="00AA619D" w:rsidRPr="003A6B43">
        <w:rPr>
          <w:bCs/>
        </w:rPr>
        <w:t>47 C.F.R. 32.27 ("Transactions with affiliates");</w:t>
      </w:r>
      <w:r w:rsidRPr="003A6B43">
        <w:rPr>
          <w:bCs/>
        </w:rPr>
        <w:t xml:space="preserve"> </w:t>
      </w:r>
      <w:r w:rsidR="00AA619D" w:rsidRPr="003A6B43">
        <w:rPr>
          <w:bCs/>
        </w:rPr>
        <w:t>b. Determine that the cost of the transaction is reasonable and consistent</w:t>
      </w:r>
      <w:r w:rsidRPr="003A6B43">
        <w:rPr>
          <w:bCs/>
        </w:rPr>
        <w:t xml:space="preserve"> </w:t>
      </w:r>
      <w:r w:rsidR="00AA619D" w:rsidRPr="003A6B43">
        <w:rPr>
          <w:bCs/>
        </w:rPr>
        <w:t>with the public interest and, upon request of Staff, CenturyLink, a</w:t>
      </w:r>
      <w:r w:rsidRPr="003A6B43">
        <w:rPr>
          <w:bCs/>
        </w:rPr>
        <w:t xml:space="preserve"> </w:t>
      </w:r>
      <w:r w:rsidR="00AA619D" w:rsidRPr="003A6B43">
        <w:rPr>
          <w:bCs/>
        </w:rPr>
        <w:t>CenturyLink ILEC, or Qwest, provide cost support documentation prior</w:t>
      </w:r>
      <w:r w:rsidRPr="003A6B43">
        <w:rPr>
          <w:bCs/>
        </w:rPr>
        <w:t xml:space="preserve"> </w:t>
      </w:r>
      <w:r w:rsidR="00AA619D" w:rsidRPr="003A6B43">
        <w:rPr>
          <w:bCs/>
        </w:rPr>
        <w:t>to the effective date of the transaction.</w:t>
      </w:r>
      <w:r w:rsidRPr="003A6B43">
        <w:rPr>
          <w:bCs/>
        </w:rPr>
        <w:t>”</w:t>
      </w:r>
      <w:r>
        <w:rPr>
          <w:rStyle w:val="FootnoteReference"/>
          <w:b/>
          <w:bCs/>
        </w:rPr>
        <w:footnoteReference w:id="79"/>
      </w:r>
      <w:r>
        <w:rPr>
          <w:bCs/>
        </w:rPr>
        <w:t xml:space="preserve">  CenturyLink believes that proposed Condition No. 9 is a non-issue, as CenturyLink and Qwest have complied, and will continue to comply, with all statutes and regulations that apply to reporting affiliated interest transactions.  </w:t>
      </w:r>
      <w:r w:rsidR="003E2F3E">
        <w:rPr>
          <w:bCs/>
        </w:rPr>
        <w:t>However, i</w:t>
      </w:r>
      <w:r w:rsidR="001161F3">
        <w:rPr>
          <w:bCs/>
        </w:rPr>
        <w:t xml:space="preserve">t is unclear what is involved in supplying “cost support documentation” as proposed in this Condition.  </w:t>
      </w:r>
      <w:r w:rsidR="003E2F3E">
        <w:rPr>
          <w:bCs/>
        </w:rPr>
        <w:t>To the extent this condition is intended to impose additional affiliate interest reporting and approval requirements, CenturyLink is opposed to such provisions.  A merger approval proceeding is not the appropriate forum for placing additional requirements beyond the Commission’s current rules when there has been no demonstration of any potential harm in this area resulting from the  Transaction</w:t>
      </w:r>
    </w:p>
    <w:p w:rsidR="006346E7" w:rsidRDefault="006346E7" w:rsidP="00AA619D">
      <w:pPr>
        <w:spacing w:line="480" w:lineRule="auto"/>
        <w:ind w:left="720" w:hanging="720"/>
        <w:jc w:val="both"/>
        <w:rPr>
          <w:bCs/>
        </w:rPr>
      </w:pPr>
    </w:p>
    <w:p w:rsidR="00AA619D" w:rsidRPr="00112F5F" w:rsidRDefault="00E82547" w:rsidP="00AA619D">
      <w:pPr>
        <w:spacing w:line="480" w:lineRule="auto"/>
        <w:ind w:left="720" w:hanging="720"/>
        <w:jc w:val="both"/>
        <w:rPr>
          <w:rFonts w:ascii="Times New Roman Bold" w:hAnsi="Times New Roman Bold"/>
          <w:b/>
          <w:bCs/>
          <w:caps/>
        </w:rPr>
      </w:pPr>
      <w:r>
        <w:rPr>
          <w:b/>
          <w:bCs/>
        </w:rPr>
        <w:t>Q.</w:t>
      </w:r>
      <w:r>
        <w:rPr>
          <w:b/>
          <w:bCs/>
        </w:rPr>
        <w:tab/>
      </w:r>
      <w:r w:rsidRPr="00112F5F">
        <w:rPr>
          <w:rFonts w:ascii="Times New Roman Bold" w:hAnsi="Times New Roman Bold"/>
          <w:b/>
          <w:bCs/>
          <w:caps/>
        </w:rPr>
        <w:t xml:space="preserve">Please comment on Staff’s </w:t>
      </w:r>
      <w:r w:rsidR="008C25FE" w:rsidRPr="00112F5F">
        <w:rPr>
          <w:rFonts w:ascii="Times New Roman Bold" w:hAnsi="Times New Roman Bold"/>
          <w:b/>
          <w:bCs/>
          <w:caps/>
        </w:rPr>
        <w:t xml:space="preserve">proposed </w:t>
      </w:r>
      <w:r w:rsidRPr="00112F5F">
        <w:rPr>
          <w:rFonts w:ascii="Times New Roman Bold" w:hAnsi="Times New Roman Bold"/>
          <w:b/>
          <w:bCs/>
          <w:caps/>
        </w:rPr>
        <w:t xml:space="preserve">financial </w:t>
      </w:r>
      <w:r w:rsidR="00AA619D" w:rsidRPr="00112F5F">
        <w:rPr>
          <w:rFonts w:ascii="Times New Roman Bold" w:hAnsi="Times New Roman Bold"/>
          <w:b/>
          <w:bCs/>
          <w:caps/>
        </w:rPr>
        <w:t>Condition No. 10</w:t>
      </w:r>
      <w:r w:rsidRPr="00112F5F">
        <w:rPr>
          <w:rFonts w:ascii="Times New Roman Bold" w:hAnsi="Times New Roman Bold"/>
          <w:b/>
          <w:bCs/>
          <w:caps/>
        </w:rPr>
        <w:t xml:space="preserve"> regarding the requirement to notify the Commission about any material change in the Transaction terms or conditions.</w:t>
      </w:r>
    </w:p>
    <w:p w:rsidR="00E82547" w:rsidRDefault="00E82547" w:rsidP="00AA619D">
      <w:pPr>
        <w:spacing w:line="480" w:lineRule="auto"/>
        <w:ind w:left="720" w:hanging="720"/>
        <w:jc w:val="both"/>
      </w:pPr>
      <w:r>
        <w:rPr>
          <w:bCs/>
        </w:rPr>
        <w:t>A.</w:t>
      </w:r>
      <w:r>
        <w:rPr>
          <w:bCs/>
        </w:rPr>
        <w:tab/>
        <w:t xml:space="preserve">As part of a comprehensive settlement agreement recommending an approval of the proposed Transaction, </w:t>
      </w:r>
      <w:r>
        <w:t>CenturyLink could agree to a condition similar to Staff’s proposed Condition No. 10.</w:t>
      </w:r>
    </w:p>
    <w:p w:rsidR="002F6913" w:rsidRDefault="002F6913" w:rsidP="00AA619D">
      <w:pPr>
        <w:spacing w:line="480" w:lineRule="auto"/>
        <w:ind w:left="720" w:hanging="720"/>
        <w:jc w:val="both"/>
      </w:pPr>
    </w:p>
    <w:p w:rsidR="0082142F" w:rsidRDefault="002F6913" w:rsidP="00AA619D">
      <w:pPr>
        <w:spacing w:line="480" w:lineRule="auto"/>
        <w:ind w:left="720" w:hanging="720"/>
        <w:jc w:val="both"/>
        <w:rPr>
          <w:b/>
          <w:bCs/>
        </w:rPr>
      </w:pPr>
      <w:r>
        <w:rPr>
          <w:b/>
        </w:rPr>
        <w:t>Q.</w:t>
      </w:r>
      <w:r>
        <w:rPr>
          <w:b/>
        </w:rPr>
        <w:tab/>
      </w:r>
      <w:r w:rsidRPr="00112F5F">
        <w:rPr>
          <w:rFonts w:ascii="Times New Roman Bold" w:hAnsi="Times New Roman Bold"/>
          <w:b/>
          <w:bCs/>
          <w:caps/>
        </w:rPr>
        <w:t>Please comment on Staff</w:t>
      </w:r>
      <w:r w:rsidR="008C25FE" w:rsidRPr="00112F5F">
        <w:rPr>
          <w:rFonts w:ascii="Times New Roman Bold" w:hAnsi="Times New Roman Bold"/>
          <w:b/>
          <w:bCs/>
          <w:caps/>
        </w:rPr>
        <w:t>’s proposed</w:t>
      </w:r>
      <w:r w:rsidRPr="00112F5F">
        <w:rPr>
          <w:rFonts w:ascii="Times New Roman Bold" w:hAnsi="Times New Roman Bold"/>
          <w:b/>
          <w:bCs/>
          <w:caps/>
        </w:rPr>
        <w:t xml:space="preserve"> financial </w:t>
      </w:r>
      <w:r w:rsidR="00AA619D" w:rsidRPr="00112F5F">
        <w:rPr>
          <w:rFonts w:ascii="Times New Roman Bold" w:hAnsi="Times New Roman Bold"/>
          <w:b/>
          <w:bCs/>
          <w:caps/>
        </w:rPr>
        <w:t>Condition No. 11</w:t>
      </w:r>
      <w:r w:rsidRPr="00112F5F">
        <w:rPr>
          <w:rFonts w:ascii="Times New Roman Bold" w:hAnsi="Times New Roman Bold"/>
          <w:b/>
          <w:bCs/>
          <w:caps/>
        </w:rPr>
        <w:t xml:space="preserve"> regarding the requirement to maintain books concerning “</w:t>
      </w:r>
      <w:r w:rsidR="00AA619D" w:rsidRPr="00112F5F">
        <w:rPr>
          <w:rFonts w:ascii="Times New Roman Bold" w:hAnsi="Times New Roman Bold"/>
          <w:b/>
          <w:bCs/>
          <w:caps/>
        </w:rPr>
        <w:t>Washington-specific data that is being reported currently</w:t>
      </w:r>
      <w:r w:rsidRPr="00112F5F">
        <w:rPr>
          <w:rFonts w:ascii="Times New Roman Bold" w:hAnsi="Times New Roman Bold"/>
          <w:b/>
          <w:bCs/>
          <w:caps/>
        </w:rPr>
        <w:t xml:space="preserve"> </w:t>
      </w:r>
      <w:r w:rsidR="00AA619D" w:rsidRPr="00112F5F">
        <w:rPr>
          <w:rFonts w:ascii="Times New Roman Bold" w:hAnsi="Times New Roman Bold"/>
          <w:b/>
          <w:bCs/>
          <w:caps/>
        </w:rPr>
        <w:t>by CenturyLink ILECs and Qwest.</w:t>
      </w:r>
      <w:r w:rsidRPr="00112F5F">
        <w:rPr>
          <w:rFonts w:ascii="Times New Roman Bold" w:hAnsi="Times New Roman Bold"/>
          <w:b/>
          <w:bCs/>
          <w:caps/>
        </w:rPr>
        <w:t>”</w:t>
      </w:r>
      <w:r>
        <w:rPr>
          <w:rStyle w:val="FootnoteReference"/>
          <w:b/>
          <w:bCs/>
        </w:rPr>
        <w:footnoteReference w:id="80"/>
      </w:r>
    </w:p>
    <w:p w:rsidR="002F6913" w:rsidRDefault="002F6913" w:rsidP="002F6913">
      <w:pPr>
        <w:spacing w:line="480" w:lineRule="auto"/>
        <w:ind w:left="720" w:hanging="720"/>
        <w:jc w:val="both"/>
      </w:pPr>
      <w:r>
        <w:rPr>
          <w:bCs/>
        </w:rPr>
        <w:t>A.</w:t>
      </w:r>
      <w:r>
        <w:rPr>
          <w:bCs/>
        </w:rPr>
        <w:tab/>
        <w:t xml:space="preserve">As part of a comprehensive settlement agreement recommending an approval of the proposed Transaction, </w:t>
      </w:r>
      <w:r>
        <w:t>CenturyLink could agree to a condition similar to Staff’s proposed Condition No. 11, if this Condition means that CenturyLink will continue to report data it has reported up to the present and Qwest will report data it has reported up to the present.</w:t>
      </w:r>
    </w:p>
    <w:p w:rsidR="0065552F" w:rsidRDefault="0065552F" w:rsidP="002F6913">
      <w:pPr>
        <w:spacing w:line="480" w:lineRule="auto"/>
        <w:ind w:left="720" w:hanging="720"/>
        <w:jc w:val="both"/>
      </w:pPr>
    </w:p>
    <w:p w:rsidR="0060466A" w:rsidRDefault="0060466A" w:rsidP="0060466A">
      <w:pPr>
        <w:spacing w:line="480" w:lineRule="auto"/>
        <w:ind w:left="720" w:hanging="720"/>
        <w:jc w:val="both"/>
        <w:rPr>
          <w:b/>
          <w:bCs/>
        </w:rPr>
      </w:pPr>
      <w:r>
        <w:rPr>
          <w:b/>
        </w:rPr>
        <w:t>Q.</w:t>
      </w:r>
      <w:r>
        <w:rPr>
          <w:b/>
        </w:rPr>
        <w:tab/>
      </w:r>
      <w:r w:rsidRPr="00112F5F">
        <w:rPr>
          <w:rFonts w:ascii="Times New Roman Bold" w:hAnsi="Times New Roman Bold"/>
          <w:b/>
          <w:bCs/>
          <w:caps/>
        </w:rPr>
        <w:t>Please comment on Staff’s proposed financial Condition No. 13 regarding the requirement that the combined company’s Washington operating subsidiaries provide an annual report detailing various aspects of Washington budgeted capital expenditures.”</w:t>
      </w:r>
      <w:r>
        <w:rPr>
          <w:rStyle w:val="FootnoteReference"/>
          <w:b/>
          <w:bCs/>
        </w:rPr>
        <w:footnoteReference w:id="81"/>
      </w:r>
    </w:p>
    <w:p w:rsidR="0060466A" w:rsidRDefault="0060466A" w:rsidP="0060466A">
      <w:pPr>
        <w:spacing w:line="480" w:lineRule="auto"/>
        <w:ind w:left="720" w:hanging="720"/>
        <w:jc w:val="both"/>
        <w:rPr>
          <w:b/>
        </w:rPr>
      </w:pPr>
      <w:r>
        <w:rPr>
          <w:bCs/>
        </w:rPr>
        <w:t>A.</w:t>
      </w:r>
      <w:r>
        <w:rPr>
          <w:bCs/>
        </w:rPr>
        <w:tab/>
      </w:r>
      <w:r w:rsidR="005E62CA">
        <w:rPr>
          <w:bCs/>
        </w:rPr>
        <w:t xml:space="preserve">CenturyLink intends to be responsive to Commission concerns about the quality of the network.  However, </w:t>
      </w:r>
      <w:r w:rsidR="005E62CA">
        <w:t>the imposition on CenturyLink of costly and burdensome reporting requirements that are not otherwise also imposed upon CenturyLink’s competitors places CenturyLink at a competitive disadvantage and creates unnecessary reporting costs that could detract from investments.  </w:t>
      </w:r>
      <w:r w:rsidR="005E62CA">
        <w:rPr>
          <w:bCs/>
        </w:rPr>
        <w:t>Given the potential for unnecessary costs associated with unilateral reporting obligations, Staff’s proposed Condition 13 should be rejected.</w:t>
      </w:r>
    </w:p>
    <w:p w:rsidR="0060466A" w:rsidRDefault="0060466A" w:rsidP="0065552F">
      <w:pPr>
        <w:spacing w:line="480" w:lineRule="auto"/>
        <w:ind w:left="720" w:hanging="720"/>
        <w:jc w:val="both"/>
        <w:rPr>
          <w:b/>
        </w:rPr>
      </w:pPr>
    </w:p>
    <w:p w:rsidR="0065552F" w:rsidRDefault="0065552F" w:rsidP="0065552F">
      <w:pPr>
        <w:spacing w:line="480" w:lineRule="auto"/>
        <w:ind w:left="720" w:hanging="720"/>
        <w:jc w:val="both"/>
        <w:rPr>
          <w:b/>
        </w:rPr>
      </w:pPr>
      <w:r>
        <w:rPr>
          <w:b/>
        </w:rPr>
        <w:t>Q.</w:t>
      </w:r>
      <w:r>
        <w:rPr>
          <w:b/>
        </w:rPr>
        <w:tab/>
      </w:r>
      <w:r w:rsidRPr="00112F5F">
        <w:rPr>
          <w:rFonts w:ascii="Times New Roman Bold" w:hAnsi="Times New Roman Bold"/>
          <w:b/>
          <w:bCs/>
          <w:caps/>
        </w:rPr>
        <w:t>Please comment on Staff</w:t>
      </w:r>
      <w:r w:rsidR="008C25FE" w:rsidRPr="00112F5F">
        <w:rPr>
          <w:rFonts w:ascii="Times New Roman Bold" w:hAnsi="Times New Roman Bold"/>
          <w:b/>
          <w:bCs/>
          <w:caps/>
        </w:rPr>
        <w:t>’s proposed</w:t>
      </w:r>
      <w:r w:rsidRPr="00112F5F">
        <w:rPr>
          <w:rFonts w:ascii="Times New Roman Bold" w:hAnsi="Times New Roman Bold"/>
          <w:b/>
          <w:bCs/>
          <w:caps/>
        </w:rPr>
        <w:t xml:space="preserve"> Condition No. 43 regarding capital investment levels over the three years after the close of the Transaction.</w:t>
      </w:r>
    </w:p>
    <w:p w:rsidR="0065552F" w:rsidRDefault="0065552F" w:rsidP="0065552F">
      <w:pPr>
        <w:spacing w:line="480" w:lineRule="auto"/>
        <w:ind w:left="720" w:hanging="720"/>
        <w:jc w:val="both"/>
      </w:pPr>
      <w:r>
        <w:t>A.</w:t>
      </w:r>
      <w:r>
        <w:tab/>
        <w:t xml:space="preserve">As explained </w:t>
      </w:r>
      <w:r w:rsidR="00851D93">
        <w:t xml:space="preserve">in more detail beginning on page </w:t>
      </w:r>
      <w:r w:rsidR="00ED43BC">
        <w:fldChar w:fldCharType="begin"/>
      </w:r>
      <w:r w:rsidR="00851D93">
        <w:instrText xml:space="preserve"> PAGEREF VasconiCapex \h </w:instrText>
      </w:r>
      <w:r w:rsidR="00ED43BC">
        <w:fldChar w:fldCharType="separate"/>
      </w:r>
      <w:r w:rsidR="0055436C">
        <w:rPr>
          <w:noProof/>
        </w:rPr>
        <w:t>33</w:t>
      </w:r>
      <w:r w:rsidR="00ED43BC">
        <w:fldChar w:fldCharType="end"/>
      </w:r>
      <w:r w:rsidR="00851D93">
        <w:t xml:space="preserve">, CenturyLink objects </w:t>
      </w:r>
      <w:r w:rsidR="008C25FE">
        <w:t xml:space="preserve">to </w:t>
      </w:r>
      <w:r w:rsidR="00851D93">
        <w:t>th</w:t>
      </w:r>
      <w:r w:rsidR="004C49D8">
        <w:t xml:space="preserve">is </w:t>
      </w:r>
      <w:r w:rsidR="008C25FE">
        <w:t>proposed c</w:t>
      </w:r>
      <w:r w:rsidR="004C49D8">
        <w:t>ondition which</w:t>
      </w:r>
      <w:r w:rsidR="00851D93">
        <w:t xml:space="preserve"> would result in </w:t>
      </w:r>
      <w:r w:rsidR="008C25FE">
        <w:t>potentially uneconomic</w:t>
      </w:r>
      <w:r w:rsidR="00851D93">
        <w:t xml:space="preserve"> per-line capital expenditures </w:t>
      </w:r>
      <w:r w:rsidR="008C25FE">
        <w:t xml:space="preserve">in Washington </w:t>
      </w:r>
      <w:r w:rsidR="00851D93">
        <w:t xml:space="preserve">and would limit the Company’s financial flexibility in a way that could result in harm to the Company’s </w:t>
      </w:r>
      <w:r w:rsidR="008C25FE">
        <w:t xml:space="preserve">Washington </w:t>
      </w:r>
      <w:r w:rsidR="00851D93">
        <w:t>customers.</w:t>
      </w:r>
    </w:p>
    <w:p w:rsidR="00BE10BC" w:rsidRPr="0065552F" w:rsidRDefault="00BE10BC" w:rsidP="0065552F">
      <w:pPr>
        <w:spacing w:line="480" w:lineRule="auto"/>
        <w:ind w:left="720" w:hanging="720"/>
        <w:jc w:val="both"/>
      </w:pPr>
    </w:p>
    <w:p w:rsidR="00BE10BC" w:rsidRPr="00112F5F" w:rsidRDefault="00BE10BC" w:rsidP="00BE10BC">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Please comment on Staff</w:t>
      </w:r>
      <w:r w:rsidR="008C25FE" w:rsidRPr="00112F5F">
        <w:rPr>
          <w:rFonts w:ascii="Times New Roman Bold" w:hAnsi="Times New Roman Bold"/>
          <w:b/>
          <w:bCs/>
          <w:caps/>
        </w:rPr>
        <w:t>’s proposed</w:t>
      </w:r>
      <w:r w:rsidRPr="00112F5F">
        <w:rPr>
          <w:rFonts w:ascii="Times New Roman Bold" w:hAnsi="Times New Roman Bold"/>
          <w:b/>
          <w:bCs/>
          <w:caps/>
        </w:rPr>
        <w:t xml:space="preserve"> Condition No. 44 regarding maintenance investment levels over the three years after the close of the Transaction.</w:t>
      </w:r>
    </w:p>
    <w:p w:rsidR="00BE10BC" w:rsidRDefault="00BE10BC" w:rsidP="00BE10BC">
      <w:pPr>
        <w:spacing w:line="480" w:lineRule="auto"/>
        <w:ind w:left="720" w:hanging="720"/>
        <w:jc w:val="both"/>
      </w:pPr>
      <w:r>
        <w:t>A.</w:t>
      </w:r>
      <w:r>
        <w:tab/>
        <w:t>As explained</w:t>
      </w:r>
      <w:r w:rsidR="00851D93">
        <w:t xml:space="preserve"> on page</w:t>
      </w:r>
      <w:r>
        <w:t xml:space="preserve"> </w:t>
      </w:r>
      <w:r w:rsidR="00ED43BC">
        <w:fldChar w:fldCharType="begin"/>
      </w:r>
      <w:r w:rsidR="00851D93">
        <w:instrText xml:space="preserve"> PAGEREF VasconiMaintenance \h </w:instrText>
      </w:r>
      <w:r w:rsidR="00ED43BC">
        <w:fldChar w:fldCharType="separate"/>
      </w:r>
      <w:r w:rsidR="0055436C">
        <w:rPr>
          <w:noProof/>
        </w:rPr>
        <w:t>36</w:t>
      </w:r>
      <w:r w:rsidR="00ED43BC">
        <w:fldChar w:fldCharType="end"/>
      </w:r>
      <w:r w:rsidR="00851D93">
        <w:t>, Century</w:t>
      </w:r>
      <w:r w:rsidR="004C49D8">
        <w:t xml:space="preserve">Link objects </w:t>
      </w:r>
      <w:r w:rsidR="008C25FE">
        <w:t xml:space="preserve">to </w:t>
      </w:r>
      <w:r w:rsidR="004C49D8">
        <w:t xml:space="preserve">this </w:t>
      </w:r>
      <w:r w:rsidR="008C25FE">
        <w:t>proposed c</w:t>
      </w:r>
      <w:r w:rsidR="004C49D8">
        <w:t>ondition which</w:t>
      </w:r>
      <w:r w:rsidR="00851D93">
        <w:t xml:space="preserve"> would result in </w:t>
      </w:r>
      <w:r w:rsidR="008C25FE">
        <w:t xml:space="preserve">potentially uneconomic </w:t>
      </w:r>
      <w:r w:rsidR="00851D93">
        <w:t xml:space="preserve">per-line maintenance expenditures </w:t>
      </w:r>
      <w:r w:rsidR="008C25FE">
        <w:t xml:space="preserve">in Washington </w:t>
      </w:r>
      <w:r w:rsidR="00851D93">
        <w:t xml:space="preserve">and would limit the Company’s financial flexibility in a way that could result in harm to the Company’s </w:t>
      </w:r>
      <w:r w:rsidR="008C25FE">
        <w:t xml:space="preserve">Washington </w:t>
      </w:r>
      <w:r w:rsidR="00851D93">
        <w:t>customers.</w:t>
      </w:r>
    </w:p>
    <w:p w:rsidR="0082142F" w:rsidRDefault="0082142F" w:rsidP="002F6913">
      <w:pPr>
        <w:spacing w:line="480" w:lineRule="auto"/>
        <w:jc w:val="both"/>
      </w:pPr>
    </w:p>
    <w:p w:rsidR="00BE10BC" w:rsidRPr="00112F5F" w:rsidRDefault="00BE10BC" w:rsidP="00BE10BC">
      <w:pPr>
        <w:spacing w:line="480" w:lineRule="auto"/>
        <w:ind w:left="720" w:hanging="720"/>
        <w:jc w:val="both"/>
        <w:rPr>
          <w:rFonts w:ascii="Times New Roman Bold" w:hAnsi="Times New Roman Bold"/>
          <w:b/>
          <w:bCs/>
          <w:caps/>
        </w:rPr>
      </w:pPr>
      <w:r>
        <w:rPr>
          <w:b/>
        </w:rPr>
        <w:t>Q.</w:t>
      </w:r>
      <w:r>
        <w:rPr>
          <w:b/>
        </w:rPr>
        <w:tab/>
      </w:r>
      <w:r w:rsidRPr="00112F5F">
        <w:rPr>
          <w:rFonts w:ascii="Times New Roman Bold" w:hAnsi="Times New Roman Bold"/>
          <w:b/>
          <w:bCs/>
          <w:caps/>
        </w:rPr>
        <w:t>Please comment on Staff</w:t>
      </w:r>
      <w:r w:rsidR="008C25FE" w:rsidRPr="00112F5F">
        <w:rPr>
          <w:rFonts w:ascii="Times New Roman Bold" w:hAnsi="Times New Roman Bold"/>
          <w:b/>
          <w:bCs/>
          <w:caps/>
        </w:rPr>
        <w:t>’s proposed</w:t>
      </w:r>
      <w:r w:rsidRPr="00112F5F">
        <w:rPr>
          <w:rFonts w:ascii="Times New Roman Bold" w:hAnsi="Times New Roman Bold"/>
          <w:b/>
          <w:bCs/>
          <w:caps/>
        </w:rPr>
        <w:t xml:space="preserve"> Condition No. 4</w:t>
      </w:r>
      <w:r w:rsidR="008C25FE" w:rsidRPr="00112F5F">
        <w:rPr>
          <w:rFonts w:ascii="Times New Roman Bold" w:hAnsi="Times New Roman Bold"/>
          <w:b/>
          <w:bCs/>
          <w:caps/>
        </w:rPr>
        <w:t>5</w:t>
      </w:r>
      <w:r w:rsidRPr="00112F5F">
        <w:rPr>
          <w:rFonts w:ascii="Times New Roman Bold" w:hAnsi="Times New Roman Bold"/>
          <w:b/>
          <w:bCs/>
          <w:caps/>
        </w:rPr>
        <w:t xml:space="preserve"> regarding </w:t>
      </w:r>
      <w:r w:rsidR="008C25FE" w:rsidRPr="00112F5F">
        <w:rPr>
          <w:rFonts w:ascii="Times New Roman Bold" w:hAnsi="Times New Roman Bold"/>
          <w:b/>
          <w:bCs/>
          <w:caps/>
        </w:rPr>
        <w:t>the exclusion from proposed Staff Conditions 43 and 44 of capital investments and maintenance expenditures required to meet the Staff’s proposed DSL commitments</w:t>
      </w:r>
      <w:r w:rsidRPr="00112F5F">
        <w:rPr>
          <w:rFonts w:ascii="Times New Roman Bold" w:hAnsi="Times New Roman Bold"/>
          <w:b/>
          <w:bCs/>
          <w:caps/>
        </w:rPr>
        <w:t>.</w:t>
      </w:r>
    </w:p>
    <w:p w:rsidR="00BE10BC" w:rsidRDefault="00BE10BC" w:rsidP="00BE10BC">
      <w:pPr>
        <w:spacing w:line="480" w:lineRule="auto"/>
        <w:ind w:left="720" w:hanging="720"/>
        <w:jc w:val="both"/>
      </w:pPr>
      <w:r>
        <w:t>A.</w:t>
      </w:r>
      <w:r>
        <w:tab/>
        <w:t>As explained</w:t>
      </w:r>
      <w:r w:rsidR="00851D93">
        <w:t xml:space="preserve"> on page</w:t>
      </w:r>
      <w:r>
        <w:t xml:space="preserve"> </w:t>
      </w:r>
      <w:r w:rsidR="00ED43BC">
        <w:fldChar w:fldCharType="begin"/>
      </w:r>
      <w:r w:rsidR="00851D93">
        <w:instrText xml:space="preserve"> PAGEREF VasconiDSL \h </w:instrText>
      </w:r>
      <w:r w:rsidR="00ED43BC">
        <w:fldChar w:fldCharType="separate"/>
      </w:r>
      <w:r w:rsidR="0055436C">
        <w:rPr>
          <w:noProof/>
        </w:rPr>
        <w:t>37</w:t>
      </w:r>
      <w:r w:rsidR="00ED43BC">
        <w:fldChar w:fldCharType="end"/>
      </w:r>
      <w:r w:rsidR="00851D93">
        <w:t xml:space="preserve">, CenturyLink objects </w:t>
      </w:r>
      <w:r w:rsidR="0060466A">
        <w:t xml:space="preserve">to </w:t>
      </w:r>
      <w:r w:rsidR="00851D93">
        <w:t xml:space="preserve">this </w:t>
      </w:r>
      <w:r w:rsidR="0060466A">
        <w:t xml:space="preserve">proposed </w:t>
      </w:r>
      <w:r w:rsidR="00851D93">
        <w:t xml:space="preserve">Condition that would add </w:t>
      </w:r>
      <w:r w:rsidR="0060466A">
        <w:t xml:space="preserve">an </w:t>
      </w:r>
      <w:r w:rsidR="00851D93">
        <w:t xml:space="preserve">incremental capital investment requirement to already </w:t>
      </w:r>
      <w:r w:rsidR="001406FD">
        <w:t xml:space="preserve">high </w:t>
      </w:r>
      <w:r w:rsidR="00851D93">
        <w:t>network investment</w:t>
      </w:r>
      <w:r w:rsidR="001406FD">
        <w:t xml:space="preserve"> as specified in Conditions 43 and 44.</w:t>
      </w:r>
      <w:r w:rsidR="00851D93">
        <w:t xml:space="preserve">  CenturyLink believes that such elevated </w:t>
      </w:r>
      <w:r w:rsidR="0060466A">
        <w:t xml:space="preserve">levels of </w:t>
      </w:r>
      <w:r w:rsidR="00851D93">
        <w:t>network investment</w:t>
      </w:r>
      <w:r w:rsidR="0060466A">
        <w:t xml:space="preserve"> in Washington</w:t>
      </w:r>
      <w:r w:rsidR="00851D93">
        <w:t xml:space="preserve"> would limit the Company’s financial flexibility in a way that could result in harm to the Company’s </w:t>
      </w:r>
      <w:r w:rsidR="0060466A">
        <w:t xml:space="preserve">Washington </w:t>
      </w:r>
      <w:r w:rsidR="00851D93">
        <w:t>customers.</w:t>
      </w:r>
    </w:p>
    <w:p w:rsidR="00BE10BC" w:rsidRDefault="00BE10BC" w:rsidP="002F6913">
      <w:pPr>
        <w:spacing w:line="480" w:lineRule="auto"/>
        <w:jc w:val="both"/>
      </w:pPr>
    </w:p>
    <w:p w:rsidR="001455C4" w:rsidRDefault="00B16B64" w:rsidP="00873EFD">
      <w:pPr>
        <w:spacing w:line="480" w:lineRule="auto"/>
        <w:ind w:left="720" w:hanging="720"/>
        <w:jc w:val="both"/>
        <w:rPr>
          <w:b/>
          <w:bCs/>
        </w:rPr>
      </w:pPr>
      <w:r>
        <w:rPr>
          <w:b/>
          <w:bCs/>
        </w:rPr>
        <w:br w:type="page"/>
      </w:r>
      <w:r w:rsidR="001455C4">
        <w:rPr>
          <w:b/>
          <w:bCs/>
        </w:rPr>
        <w:t>Q.</w:t>
      </w:r>
      <w:r w:rsidR="001455C4">
        <w:rPr>
          <w:b/>
          <w:bCs/>
        </w:rPr>
        <w:tab/>
      </w:r>
      <w:r w:rsidR="001455C4" w:rsidRPr="00112F5F">
        <w:rPr>
          <w:rFonts w:ascii="Times New Roman Bold" w:hAnsi="Times New Roman Bold"/>
          <w:b/>
          <w:bCs/>
          <w:caps/>
        </w:rPr>
        <w:t>Do you have concluding remarks?</w:t>
      </w:r>
    </w:p>
    <w:p w:rsidR="005F7991" w:rsidRDefault="001455C4">
      <w:pPr>
        <w:spacing w:line="480" w:lineRule="auto"/>
        <w:ind w:left="720" w:hanging="720"/>
        <w:jc w:val="both"/>
        <w:rPr>
          <w:b/>
          <w:bCs/>
        </w:rPr>
      </w:pPr>
      <w:r>
        <w:t>A.</w:t>
      </w:r>
      <w:r>
        <w:tab/>
        <w:t xml:space="preserve">Yes.  CenturyLink wishes to serve its customers—retail and wholesale—in a manner consistent with the history of CenturyLink and Qwest, while striving to improve that service over time.  CenturyLink objects to unverified and speculative risks that will lead to the imposition of costly and inefficient conditions to achieve hypothetical benefits that appear not to be required under </w:t>
      </w:r>
      <w:r w:rsidR="00873EFD">
        <w:t>Washington</w:t>
      </w:r>
      <w:r>
        <w:t xml:space="preserve">’s standard of review.  CenturyLink will abide by all regulatory and negotiated agreements and terms, and is committed to </w:t>
      </w:r>
      <w:r w:rsidR="00873EFD">
        <w:t xml:space="preserve">providing </w:t>
      </w:r>
      <w:r>
        <w:t>superior telecommunications services</w:t>
      </w:r>
      <w:r w:rsidR="00873EFD">
        <w:t xml:space="preserve"> to its customers</w:t>
      </w:r>
      <w:r>
        <w:t xml:space="preserve">.  CenturyLink could not find evidence that any of the risks outlined by the </w:t>
      </w:r>
      <w:r w:rsidR="00873EFD">
        <w:t xml:space="preserve">Staff </w:t>
      </w:r>
      <w:r>
        <w:t>or other intervenor</w:t>
      </w:r>
      <w:r w:rsidR="00873EFD">
        <w:t xml:space="preserve"> witnesse</w:t>
      </w:r>
      <w:r>
        <w:t xml:space="preserve">s were likely to result in net harm to </w:t>
      </w:r>
      <w:r w:rsidR="00873EFD">
        <w:t>Washington</w:t>
      </w:r>
      <w:r>
        <w:t xml:space="preserve"> or </w:t>
      </w:r>
      <w:r w:rsidR="00873EFD">
        <w:t>Washington</w:t>
      </w:r>
      <w:r>
        <w:t xml:space="preserve"> customers as a result of the Transaction.  In fact, the vast majority of the combined company’s </w:t>
      </w:r>
      <w:r w:rsidR="00873EFD">
        <w:t>Washington</w:t>
      </w:r>
      <w:r>
        <w:t xml:space="preserve"> custome</w:t>
      </w:r>
      <w:r w:rsidR="00873EFD">
        <w:t>rs—the current Qwest customers—</w:t>
      </w:r>
      <w:r>
        <w:t xml:space="preserve">will benefit from the improved operating performance and financial strength of the post-merger company when compared to Qwest today.  Thus, there will be no net harm to </w:t>
      </w:r>
      <w:r w:rsidR="00873EFD">
        <w:t>Washington</w:t>
      </w:r>
      <w:r>
        <w:t xml:space="preserve"> </w:t>
      </w:r>
      <w:r w:rsidR="00873EFD">
        <w:t>customers, and the T</w:t>
      </w:r>
      <w:r>
        <w:t xml:space="preserve">ransaction </w:t>
      </w:r>
      <w:r w:rsidR="00873EFD">
        <w:t xml:space="preserve">actually </w:t>
      </w:r>
      <w:r>
        <w:t xml:space="preserve">will </w:t>
      </w:r>
      <w:r w:rsidR="00873EFD">
        <w:t xml:space="preserve">provide </w:t>
      </w:r>
      <w:r>
        <w:t>meaningful public interest benefit</w:t>
      </w:r>
      <w:r w:rsidR="00873EFD">
        <w:t>s</w:t>
      </w:r>
      <w:r>
        <w:t xml:space="preserve">.  Further, I believe that CenturyLink and Qwest have given the Commission facts that provide assurance that the merged company will have the resources and capabilities to provide services, that the Transaction will result in no net harm to customers, and that the proposed Transaction is </w:t>
      </w:r>
      <w:r w:rsidR="00873EFD">
        <w:t>in</w:t>
      </w:r>
      <w:r>
        <w:t xml:space="preserve"> the public interest.</w:t>
      </w:r>
    </w:p>
    <w:p w:rsidR="001455C4" w:rsidRDefault="001455C4" w:rsidP="00C70A4D">
      <w:pPr>
        <w:spacing w:line="480" w:lineRule="auto"/>
        <w:ind w:left="720" w:hanging="720"/>
        <w:rPr>
          <w:b/>
          <w:bCs/>
        </w:rPr>
      </w:pPr>
    </w:p>
    <w:p w:rsidR="00776B97" w:rsidRPr="00112F5F" w:rsidRDefault="00776B97" w:rsidP="00C70A4D">
      <w:pPr>
        <w:spacing w:line="480" w:lineRule="auto"/>
        <w:ind w:left="720" w:hanging="720"/>
        <w:rPr>
          <w:rFonts w:ascii="Times New Roman Bold" w:hAnsi="Times New Roman Bold"/>
          <w:b/>
          <w:bCs/>
          <w:caps/>
        </w:rPr>
      </w:pPr>
      <w:r>
        <w:rPr>
          <w:b/>
          <w:bCs/>
        </w:rPr>
        <w:t xml:space="preserve">Q. </w:t>
      </w:r>
      <w:r>
        <w:rPr>
          <w:b/>
          <w:bCs/>
        </w:rPr>
        <w:tab/>
      </w:r>
      <w:r w:rsidRPr="00112F5F">
        <w:rPr>
          <w:rFonts w:ascii="Times New Roman Bold" w:hAnsi="Times New Roman Bold"/>
          <w:b/>
          <w:bCs/>
          <w:caps/>
        </w:rPr>
        <w:t xml:space="preserve">Does this </w:t>
      </w:r>
      <w:r w:rsidR="0060466A" w:rsidRPr="00112F5F">
        <w:rPr>
          <w:rFonts w:ascii="Times New Roman Bold" w:hAnsi="Times New Roman Bold"/>
          <w:b/>
          <w:bCs/>
          <w:caps/>
        </w:rPr>
        <w:t xml:space="preserve">conclude </w:t>
      </w:r>
      <w:r w:rsidRPr="00112F5F">
        <w:rPr>
          <w:rFonts w:ascii="Times New Roman Bold" w:hAnsi="Times New Roman Bold"/>
          <w:b/>
          <w:bCs/>
          <w:caps/>
        </w:rPr>
        <w:t xml:space="preserve">your Rebuttal Testimony? </w:t>
      </w:r>
    </w:p>
    <w:p w:rsidR="00DA3E03" w:rsidRPr="00DA3E03" w:rsidRDefault="00776B97" w:rsidP="009277B3">
      <w:pPr>
        <w:spacing w:line="480" w:lineRule="auto"/>
        <w:ind w:left="720" w:hanging="720"/>
      </w:pPr>
      <w:r>
        <w:t xml:space="preserve">A. </w:t>
      </w:r>
      <w:r>
        <w:tab/>
        <w:t xml:space="preserve">Yes. </w:t>
      </w:r>
    </w:p>
    <w:sectPr w:rsidR="00DA3E03" w:rsidRPr="00DA3E03" w:rsidSect="00112F5F">
      <w:headerReference w:type="default" r:id="rId11"/>
      <w:footerReference w:type="default" r:id="rId12"/>
      <w:pgSz w:w="12240" w:h="15840" w:code="1"/>
      <w:pgMar w:top="1235"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A7" w:rsidRDefault="004B67A7">
      <w:r>
        <w:separator/>
      </w:r>
    </w:p>
  </w:endnote>
  <w:endnote w:type="continuationSeparator" w:id="0">
    <w:p w:rsidR="004B67A7" w:rsidRDefault="004B6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7" w:rsidRDefault="004B67A7">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7" w:rsidRPr="008C5B32" w:rsidRDefault="004B67A7">
    <w:pPr>
      <w:pStyle w:val="Footer"/>
      <w:jc w:val="center"/>
      <w:rPr>
        <w:sz w:val="20"/>
        <w:szCs w:val="20"/>
      </w:rPr>
    </w:pPr>
    <w:r w:rsidRPr="008C5B32">
      <w:rPr>
        <w:sz w:val="20"/>
        <w:szCs w:val="20"/>
      </w:rPr>
      <w:t>REDACTED HIGHLY CONFIDENTIAL PURSUANT TO PROTECTIVE ORDER IN DOCKET NO. UT-100820</w:t>
    </w:r>
  </w:p>
  <w:p w:rsidR="004B67A7" w:rsidRDefault="004B67A7">
    <w:pPr>
      <w:pStyle w:val="Footer"/>
      <w:jc w:val="center"/>
    </w:pPr>
    <w:fldSimple w:instr=" PAGE   \* MERGEFORMAT ">
      <w:r w:rsidR="0055436C">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A7" w:rsidRDefault="004B67A7">
      <w:r>
        <w:separator/>
      </w:r>
    </w:p>
  </w:footnote>
  <w:footnote w:type="continuationSeparator" w:id="0">
    <w:p w:rsidR="004B67A7" w:rsidRDefault="004B67A7">
      <w:r>
        <w:continuationSeparator/>
      </w:r>
    </w:p>
  </w:footnote>
  <w:footnote w:id="1">
    <w:p w:rsidR="004B67A7" w:rsidRDefault="004B67A7" w:rsidP="00903B1B">
      <w:pPr>
        <w:pStyle w:val="FootnoteText"/>
      </w:pPr>
      <w:r>
        <w:rPr>
          <w:rStyle w:val="FootnoteReference"/>
        </w:rPr>
        <w:footnoteRef/>
      </w:r>
      <w:r>
        <w:t xml:space="preserve"> Direct Testimony of G. Clay Bailey, CenturyLink, Joint Application of Qwest Communications International, Inc. and CenturyLink, Inc. for approval of indirect transfer of control of Qwest Corporation, Qwest Communications Company, LLC and Qwest LD Corp. Docket No. UT-100820, May 21, 2010 [hereafter “Bailey Direct”].</w:t>
      </w:r>
    </w:p>
  </w:footnote>
  <w:footnote w:id="2">
    <w:p w:rsidR="004B67A7" w:rsidRDefault="004B67A7">
      <w:pPr>
        <w:pStyle w:val="FootnoteText"/>
      </w:pPr>
      <w:r>
        <w:rPr>
          <w:rStyle w:val="FootnoteReference"/>
        </w:rPr>
        <w:footnoteRef/>
      </w:r>
      <w:r>
        <w:t xml:space="preserve"> Testimony of Rick T. Applegate, Staff of Washington Utilities and Transportation Commission, In the Matter of Joint Application of Qwest Communications International, Inc. and CenturyLink, Inc. for approval of indirect transfer of control of Qwest Corporation, Qwest Communications Company, LLC and Qwest LD Corp., Docket No. UT-100820, September 27, 2010 [hereafter “Staff, Applegate”]. </w:t>
      </w:r>
    </w:p>
  </w:footnote>
  <w:footnote w:id="3">
    <w:p w:rsidR="004B67A7" w:rsidRDefault="004B67A7">
      <w:pPr>
        <w:pStyle w:val="FootnoteText"/>
      </w:pPr>
      <w:r>
        <w:rPr>
          <w:rStyle w:val="FootnoteReference"/>
        </w:rPr>
        <w:footnoteRef/>
      </w:r>
      <w:r>
        <w:t xml:space="preserve"> Testimony of Mark J. Vasconi, Staff of Washington Utilities and Transportation Commission, In the Matter of Joint Application of Qwest Communications International, Inc. and CenturyLink, Inc. for approval of indirect transfer of control of Qwest Corporation, Qwest Communications Company, LLC and Qwest LD Corp., Docket No. UT-100820, September 27, 2010 [hereafter “Staff, Vasconi”].</w:t>
      </w:r>
    </w:p>
  </w:footnote>
  <w:footnote w:id="4">
    <w:p w:rsidR="004B67A7" w:rsidRDefault="004B67A7">
      <w:r>
        <w:rPr>
          <w:rStyle w:val="FootnoteReference"/>
          <w:sz w:val="20"/>
          <w:szCs w:val="20"/>
        </w:rPr>
        <w:footnoteRef/>
      </w:r>
      <w:r w:rsidRPr="008E66F0">
        <w:rPr>
          <w:sz w:val="20"/>
          <w:szCs w:val="20"/>
        </w:rPr>
        <w:t xml:space="preserve"> Responsive Testimony of Timothy J Gates on behalf of Integra Telecom of Washington, Inc., Electric Lightwave, Inc., Advanced TelCom, Inc., and United Communications, Inc. d/b/a Unicom (collectively “Integra”); tw telecom of washington llc; Covad Communications Company; Level 3 Communications, LLC; McLeodUSA Telecommunications Services, Inc., d/b/a PAETEC Business Services; Charter Fiberlink WA-CCVII, LLC; and Cbeyond Communications LLC, Docket No. UT-100820, September 27, 2010 [hereafter “Joint CLECs, Gates”]. </w:t>
      </w:r>
    </w:p>
  </w:footnote>
  <w:footnote w:id="5">
    <w:p w:rsidR="004B67A7" w:rsidRDefault="004B67A7">
      <w:pPr>
        <w:pStyle w:val="FootnoteText"/>
      </w:pPr>
      <w:r>
        <w:rPr>
          <w:rStyle w:val="FootnoteReference"/>
        </w:rPr>
        <w:footnoteRef/>
      </w:r>
      <w:r>
        <w:t xml:space="preserve"> </w:t>
      </w:r>
      <w:r w:rsidRPr="00C22F57">
        <w:t xml:space="preserve">Responsive Testimony of </w:t>
      </w:r>
      <w:r>
        <w:t xml:space="preserve">August H. Ankum, Ph.D. </w:t>
      </w:r>
      <w:r w:rsidRPr="00C22F57">
        <w:t xml:space="preserve">on behalf of Integra Telecom of Washington, Inc., Electric Lightwave, Inc., Advanced TelCom, Inc., and United Communications, Inc. d/b/a Unicom (collectively “Integra”); tw telecom of washington llc; Covad Communications Company; Level 3 Communications, LLC; McLeodUSA Telecommunications Services, Inc., d/b/a PAETEC Business Services; Charter Fiberlink WA-CCVII, LLC; and Cbeyond Communications LLC, Docket No. UT-100820, September 27, 2010 [hereafter “Joint CLECs, </w:t>
      </w:r>
      <w:r>
        <w:t>Ankum</w:t>
      </w:r>
      <w:r w:rsidRPr="00C22F57">
        <w:t xml:space="preserve">”]. </w:t>
      </w:r>
    </w:p>
  </w:footnote>
  <w:footnote w:id="6">
    <w:p w:rsidR="004B67A7" w:rsidRDefault="004B67A7">
      <w:pPr>
        <w:pStyle w:val="FootnoteText"/>
      </w:pPr>
      <w:r>
        <w:rPr>
          <w:rStyle w:val="FootnoteReference"/>
        </w:rPr>
        <w:footnoteRef/>
      </w:r>
      <w:r>
        <w:t xml:space="preserve"> Testimony of James A. Appleby, Sprint Nextel Corporation, In the Matter of Joint Application of Qwest Communications International, Inc. and CenturyLink, Inc. for approval of indirect transfer of control of Qwest Corporation, Qwest Communications Company, LLC and Qwest LD Corp., Docket No. UT-100820, September 27, 2010 [hereafter “Sprint Nextel, Appleby”].</w:t>
      </w:r>
    </w:p>
  </w:footnote>
  <w:footnote w:id="7">
    <w:p w:rsidR="004B67A7" w:rsidRDefault="004B67A7">
      <w:pPr>
        <w:pStyle w:val="FootnoteText"/>
      </w:pPr>
      <w:r>
        <w:rPr>
          <w:rStyle w:val="FootnoteReference"/>
        </w:rPr>
        <w:footnoteRef/>
      </w:r>
      <w:r>
        <w:t xml:space="preserve"> Responsive Testimony of Charles W. King on behalf of The Department of Defense and all other Federal Executive Agencies, In the Matter of Joint Application of Qwest Communications International, Inc. and CenturyLink, Inc. for approval of indirect transfer of control of Qwest Corporation, Qwest Communications Company, LLC and Qwest LD Corp., Docket No. UT-100820, September 27, 2010 [hereafter “DOD, King”].</w:t>
      </w:r>
    </w:p>
  </w:footnote>
  <w:footnote w:id="8">
    <w:p w:rsidR="004B67A7" w:rsidRDefault="004B67A7">
      <w:pPr>
        <w:pStyle w:val="FootnoteText"/>
      </w:pPr>
      <w:r>
        <w:rPr>
          <w:rStyle w:val="FootnoteReference"/>
        </w:rPr>
        <w:footnoteRef/>
      </w:r>
      <w:r>
        <w:t xml:space="preserve"> CenturyLink SEC Form S-4, filed July 16, 2010, available at </w:t>
      </w:r>
      <w:hyperlink r:id="rId1" w:anchor="113" w:history="1">
        <w:r w:rsidRPr="00072FC1">
          <w:rPr>
            <w:rStyle w:val="Hyperlink"/>
          </w:rPr>
          <w:t>http://www.sec.gov/Archives/edgar/data/18926/000095012310066042/y84818a1sv4za.htm#113</w:t>
        </w:r>
      </w:hyperlink>
      <w:r>
        <w:t>.</w:t>
      </w:r>
    </w:p>
  </w:footnote>
  <w:footnote w:id="9">
    <w:p w:rsidR="004B67A7" w:rsidRPr="00FF7C0E" w:rsidRDefault="004B67A7">
      <w:pPr>
        <w:pStyle w:val="FootnoteText"/>
        <w:rPr>
          <w:highlight w:val="yellow"/>
        </w:rPr>
      </w:pPr>
      <w:r w:rsidRPr="00E44DB9">
        <w:rPr>
          <w:rStyle w:val="FootnoteReference"/>
        </w:rPr>
        <w:footnoteRef/>
      </w:r>
      <w:r w:rsidRPr="00E44DB9">
        <w:t xml:space="preserve"> Staff, Vasconi, p. 9, lines 5-6.</w:t>
      </w:r>
    </w:p>
  </w:footnote>
  <w:footnote w:id="10">
    <w:p w:rsidR="004B67A7" w:rsidRDefault="004B67A7">
      <w:pPr>
        <w:pStyle w:val="FootnoteText"/>
      </w:pPr>
      <w:r>
        <w:rPr>
          <w:rStyle w:val="FootnoteReference"/>
        </w:rPr>
        <w:footnoteRef/>
      </w:r>
      <w:r>
        <w:t xml:space="preserve"> Staff, Applegate, p. 3, lines 5-7.</w:t>
      </w:r>
    </w:p>
  </w:footnote>
  <w:footnote w:id="11">
    <w:p w:rsidR="004B67A7" w:rsidRDefault="004B67A7">
      <w:pPr>
        <w:pStyle w:val="FootnoteText"/>
      </w:pPr>
      <w:r>
        <w:rPr>
          <w:rStyle w:val="FootnoteReference"/>
        </w:rPr>
        <w:footnoteRef/>
      </w:r>
      <w:r>
        <w:t xml:space="preserve"> Staff, Applegate, p. 5, lines 12-15.</w:t>
      </w:r>
    </w:p>
  </w:footnote>
  <w:footnote w:id="12">
    <w:p w:rsidR="004B67A7" w:rsidRDefault="004B67A7">
      <w:pPr>
        <w:pStyle w:val="FootnoteText"/>
      </w:pPr>
      <w:r>
        <w:rPr>
          <w:rStyle w:val="FootnoteReference"/>
        </w:rPr>
        <w:footnoteRef/>
      </w:r>
      <w:r>
        <w:t xml:space="preserve"> Staff, Applegate, p. 28, lines 5-8.</w:t>
      </w:r>
    </w:p>
  </w:footnote>
  <w:footnote w:id="13">
    <w:p w:rsidR="004B67A7" w:rsidRDefault="004B67A7">
      <w:pPr>
        <w:pStyle w:val="FootnoteText"/>
      </w:pPr>
      <w:r>
        <w:rPr>
          <w:rStyle w:val="FootnoteReference"/>
        </w:rPr>
        <w:footnoteRef/>
      </w:r>
      <w:r>
        <w:t xml:space="preserve"> Staff, Vasconi, p. 10, lines 24-25.</w:t>
      </w:r>
    </w:p>
  </w:footnote>
  <w:footnote w:id="14">
    <w:p w:rsidR="004B67A7" w:rsidRDefault="004B67A7">
      <w:pPr>
        <w:pStyle w:val="FootnoteText"/>
      </w:pPr>
      <w:r>
        <w:rPr>
          <w:rStyle w:val="FootnoteReference"/>
        </w:rPr>
        <w:footnoteRef/>
      </w:r>
      <w:r>
        <w:t xml:space="preserve"> Staff, Vasconi, p. 18, line 20 through p. 19, line 4.</w:t>
      </w:r>
    </w:p>
  </w:footnote>
  <w:footnote w:id="15">
    <w:p w:rsidR="004B67A7" w:rsidRPr="00140EDD" w:rsidRDefault="004B67A7" w:rsidP="00006345">
      <w:pPr>
        <w:pStyle w:val="FootnoteText"/>
      </w:pPr>
      <w:r>
        <w:rPr>
          <w:rStyle w:val="FootnoteReference"/>
        </w:rPr>
        <w:footnoteRef/>
      </w:r>
      <w:r>
        <w:t xml:space="preserve"> Dan Frommer, </w:t>
      </w:r>
      <w:r>
        <w:rPr>
          <w:i/>
        </w:rPr>
        <w:t>Almost a Third of U.S. Households Have Cut the Landline Cord</w:t>
      </w:r>
      <w:r>
        <w:t xml:space="preserve">, SFGate (San Francisco Chronicle), August 18, 2010, available at </w:t>
      </w:r>
      <w:hyperlink r:id="rId2" w:history="1">
        <w:r w:rsidRPr="006079BB">
          <w:rPr>
            <w:rStyle w:val="Hyperlink"/>
          </w:rPr>
          <w:t>http://www.sfgate.com/cgi-bin/article.cgi?f=/g/a/2010/08/18/businessinsider-chart-of-the-day-almost-a-third-of-us-households-have-cut-the-landline-cord-2010-8.DTL</w:t>
        </w:r>
      </w:hyperlink>
      <w:r>
        <w:t xml:space="preserve">; Frommer states that “[a]lmost 30% of U.S. households have cut the cord, up from about 25% a year ago, via a Citi Investment Research report by analyst Jason Bazinet.”  At the end of 2009, the Center for Disease Control reported that 24.5% of homes were wireless-only; see </w:t>
      </w:r>
      <w:r w:rsidRPr="00140EDD">
        <w:t xml:space="preserve">Stephen J. Blumberg, Ph.D., and Julian V. Luke, Division of Health Interview Statistics, </w:t>
      </w:r>
      <w:r w:rsidRPr="00140EDD">
        <w:rPr>
          <w:i/>
        </w:rPr>
        <w:t>National Center for Health Statistics, Wireless Substitution: Early Release of Estimates From the National Health Interview Survey, July-December 2009</w:t>
      </w:r>
      <w:r>
        <w:t xml:space="preserve">, available at </w:t>
      </w:r>
      <w:hyperlink r:id="rId3" w:history="1">
        <w:r w:rsidRPr="006079BB">
          <w:rPr>
            <w:rStyle w:val="Hyperlink"/>
          </w:rPr>
          <w:t>http://www.cdc.gov/nchs/data/nhis/earlyrelease/wireless201005.pdf</w:t>
        </w:r>
      </w:hyperlink>
      <w:r>
        <w:t xml:space="preserve">.  See, also, Dane Jasper, </w:t>
      </w:r>
      <w:r>
        <w:rPr>
          <w:i/>
        </w:rPr>
        <w:t>Why Include Phone</w:t>
      </w:r>
      <w:r>
        <w:t>, September 9, 2010, Sonic.net CEO, availabl</w:t>
      </w:r>
      <w:r w:rsidRPr="003776A3">
        <w:t>e at</w:t>
      </w:r>
      <w:r>
        <w:t xml:space="preserve">  </w:t>
      </w:r>
      <w:hyperlink r:id="rId4" w:history="1">
        <w:r>
          <w:rPr>
            <w:rStyle w:val="Hyperlink"/>
          </w:rPr>
          <w:t>http://corp.sonic.net/ceo/2010/09/09/why-include-phone/</w:t>
        </w:r>
      </w:hyperlink>
      <w:r>
        <w:t>.</w:t>
      </w:r>
    </w:p>
  </w:footnote>
  <w:footnote w:id="16">
    <w:p w:rsidR="004B67A7" w:rsidRPr="00344F46" w:rsidRDefault="004B67A7">
      <w:pPr>
        <w:pStyle w:val="FootnoteText"/>
        <w:rPr>
          <w:i/>
        </w:rPr>
      </w:pPr>
      <w:r>
        <w:rPr>
          <w:rStyle w:val="FootnoteReference"/>
        </w:rPr>
        <w:footnoteRef/>
      </w:r>
      <w:r>
        <w:t xml:space="preserve"> Mr. Appleby notes that the “Merged Firm will increase its market-share of Washington ILEC lines to 74%.”  See, Sprint Nextel, Appleby, p. 5, lines 7-8.  However, Mr. Appleby fails to note that the appropriate market is not “ILEC lines” but rather telecommunications customers.  The most recent report from the FCC on </w:t>
      </w:r>
      <w:r>
        <w:rPr>
          <w:i/>
        </w:rPr>
        <w:t xml:space="preserve">Trends in Telephone Service </w:t>
      </w:r>
      <w:r>
        <w:t xml:space="preserve">(as of December 31, 2008) included Table 8.5 that showed Washington state with 3,386,000 switched and voice landline connections; of those 2,367,000 were ILEC lines, which were 70% of the total.  However, the appropriate universe is larger than landline services, as wireless continues to capture market share at a rapid rate.  Wireless connections in Washington, according to the FCC, at the end of 2008 were 5,624,000 (Table 11.1); available at </w:t>
      </w:r>
      <w:hyperlink r:id="rId5" w:history="1">
        <w:r w:rsidRPr="006079BB">
          <w:rPr>
            <w:rStyle w:val="Hyperlink"/>
          </w:rPr>
          <w:t>http://www.fcc.gov/Daily_Releases/Daily_Business/2010/db0930/DOC-301823A1.pdf</w:t>
        </w:r>
      </w:hyperlink>
      <w:r>
        <w:t xml:space="preserve">.  Thus, the statewide market share of landline connections for all ILECs was 70% (which was likely somewhat lower in the more densely populated Qwest and CenturyLink regions), and statewide ILEC lines were 26% of total connections if one includes all wireless and non-ILEC connections. </w:t>
      </w:r>
    </w:p>
  </w:footnote>
  <w:footnote w:id="17">
    <w:p w:rsidR="004B67A7" w:rsidRDefault="004B67A7">
      <w:pPr>
        <w:pStyle w:val="FootnoteText"/>
      </w:pPr>
      <w:r>
        <w:rPr>
          <w:rStyle w:val="FootnoteReference"/>
        </w:rPr>
        <w:footnoteRef/>
      </w:r>
      <w:r>
        <w:t xml:space="preserve"> </w:t>
      </w:r>
      <w:r w:rsidRPr="00A8367B">
        <w:t xml:space="preserve">Qwest Communications </w:t>
      </w:r>
      <w:r>
        <w:t xml:space="preserve">2010: Second Quarter Historical Financial Info, </w:t>
      </w:r>
      <w:r w:rsidRPr="00A8367B">
        <w:t>August 4, 2010</w:t>
      </w:r>
      <w:r>
        <w:t xml:space="preserve">, available at </w:t>
      </w:r>
      <w:hyperlink r:id="rId6" w:history="1">
        <w:r w:rsidRPr="00674B51">
          <w:rPr>
            <w:rStyle w:val="Hyperlink"/>
          </w:rPr>
          <w:t>http://investor.qwest.com/index.php?s=68</w:t>
        </w:r>
      </w:hyperlink>
      <w:r>
        <w:t xml:space="preserve">.   </w:t>
      </w:r>
      <w:r w:rsidRPr="00AC35FD">
        <w:t>CenturyLink Reports Second Quarter 2010 Earnings</w:t>
      </w:r>
      <w:r>
        <w:t xml:space="preserve">, August 4, 2010, available at </w:t>
      </w:r>
      <w:hyperlink r:id="rId7" w:history="1">
        <w:r w:rsidRPr="00674B51">
          <w:rPr>
            <w:rStyle w:val="Hyperlink"/>
          </w:rPr>
          <w:t>http://phx.corporate-ir.net/External.File?item=UGFyZW50SUQ9MzkyMDAyfENoaWxkSUQ9Mzk2MzQxfFR5cGU9MQ==&amp;t=1</w:t>
        </w:r>
      </w:hyperlink>
      <w:r>
        <w:t>, p. 12.</w:t>
      </w:r>
    </w:p>
  </w:footnote>
  <w:footnote w:id="18">
    <w:p w:rsidR="004B67A7" w:rsidRDefault="004B67A7">
      <w:pPr>
        <w:pStyle w:val="FootnoteText"/>
      </w:pPr>
      <w:r>
        <w:rPr>
          <w:rStyle w:val="FootnoteReference"/>
        </w:rPr>
        <w:footnoteRef/>
      </w:r>
      <w:r>
        <w:t xml:space="preserve"> Staff, Applegate, p. 5, lines 6-8.</w:t>
      </w:r>
    </w:p>
  </w:footnote>
  <w:footnote w:id="19">
    <w:p w:rsidR="004B67A7" w:rsidRDefault="004B67A7">
      <w:pPr>
        <w:pStyle w:val="FootnoteText"/>
      </w:pPr>
      <w:r>
        <w:rPr>
          <w:rStyle w:val="FootnoteReference"/>
        </w:rPr>
        <w:footnoteRef/>
      </w:r>
      <w:r>
        <w:t xml:space="preserve"> Staff, Applegate, p. 5, lines 12-15.</w:t>
      </w:r>
    </w:p>
  </w:footnote>
  <w:footnote w:id="20">
    <w:p w:rsidR="004B67A7" w:rsidRDefault="004B67A7">
      <w:pPr>
        <w:pStyle w:val="FootnoteText"/>
      </w:pPr>
      <w:r>
        <w:rPr>
          <w:rStyle w:val="FootnoteReference"/>
        </w:rPr>
        <w:footnoteRef/>
      </w:r>
      <w:r>
        <w:t xml:space="preserve"> Staff, Applegate, p. 5, lines 17-20.</w:t>
      </w:r>
    </w:p>
  </w:footnote>
  <w:footnote w:id="21">
    <w:p w:rsidR="004B67A7" w:rsidRDefault="004B67A7">
      <w:pPr>
        <w:pStyle w:val="FootnoteText"/>
      </w:pPr>
      <w:r>
        <w:rPr>
          <w:rStyle w:val="FootnoteReference"/>
        </w:rPr>
        <w:footnoteRef/>
      </w:r>
      <w:r>
        <w:t xml:space="preserve"> Staff, Applegate, p. 8, lines 1-16.</w:t>
      </w:r>
    </w:p>
  </w:footnote>
  <w:footnote w:id="22">
    <w:p w:rsidR="004B67A7" w:rsidRDefault="004B67A7">
      <w:pPr>
        <w:pStyle w:val="FootnoteText"/>
      </w:pPr>
      <w:r>
        <w:rPr>
          <w:rStyle w:val="FootnoteReference"/>
        </w:rPr>
        <w:footnoteRef/>
      </w:r>
      <w:r>
        <w:t xml:space="preserve"> Staff, Applegate, p. 9, lines 1-6.</w:t>
      </w:r>
    </w:p>
  </w:footnote>
  <w:footnote w:id="23">
    <w:p w:rsidR="004B67A7" w:rsidRDefault="004B67A7">
      <w:pPr>
        <w:pStyle w:val="FootnoteText"/>
      </w:pPr>
      <w:r>
        <w:rPr>
          <w:rStyle w:val="FootnoteReference"/>
        </w:rPr>
        <w:footnoteRef/>
      </w:r>
      <w:r>
        <w:t xml:space="preserve"> Staff, Applegate, p. 9, lines 16-17.</w:t>
      </w:r>
    </w:p>
  </w:footnote>
  <w:footnote w:id="24">
    <w:p w:rsidR="004B67A7" w:rsidRDefault="004B67A7">
      <w:pPr>
        <w:pStyle w:val="FootnoteText"/>
      </w:pPr>
      <w:r>
        <w:rPr>
          <w:rStyle w:val="FootnoteReference"/>
        </w:rPr>
        <w:footnoteRef/>
      </w:r>
      <w:r>
        <w:t xml:space="preserve"> Staff, Applegate, p. 9, lines 13-14.</w:t>
      </w:r>
    </w:p>
  </w:footnote>
  <w:footnote w:id="25">
    <w:p w:rsidR="004B67A7" w:rsidRDefault="004B67A7">
      <w:pPr>
        <w:pStyle w:val="FootnoteText"/>
      </w:pPr>
      <w:r>
        <w:rPr>
          <w:rStyle w:val="FootnoteReference"/>
        </w:rPr>
        <w:footnoteRef/>
      </w:r>
      <w:r>
        <w:t xml:space="preserve"> Staff, Applegate, p. 10, line 7 through p. 11, line 16.</w:t>
      </w:r>
    </w:p>
  </w:footnote>
  <w:footnote w:id="26">
    <w:p w:rsidR="004B67A7" w:rsidRDefault="004B67A7">
      <w:pPr>
        <w:pStyle w:val="FootnoteText"/>
      </w:pPr>
      <w:r>
        <w:rPr>
          <w:rStyle w:val="FootnoteReference"/>
        </w:rPr>
        <w:footnoteRef/>
      </w:r>
      <w:r>
        <w:t xml:space="preserve"> Staff, Applegate, p. 12, lines 6-9.</w:t>
      </w:r>
    </w:p>
  </w:footnote>
  <w:footnote w:id="27">
    <w:p w:rsidR="004B67A7" w:rsidRDefault="004B67A7">
      <w:pPr>
        <w:pStyle w:val="FootnoteText"/>
      </w:pPr>
      <w:r>
        <w:rPr>
          <w:rStyle w:val="FootnoteReference"/>
        </w:rPr>
        <w:footnoteRef/>
      </w:r>
      <w:r>
        <w:t xml:space="preserve"> Staff, Applegate, p. 10, lines 12-13.</w:t>
      </w:r>
    </w:p>
  </w:footnote>
  <w:footnote w:id="28">
    <w:p w:rsidR="004B67A7" w:rsidRDefault="004B67A7">
      <w:pPr>
        <w:pStyle w:val="FootnoteText"/>
      </w:pPr>
      <w:r>
        <w:rPr>
          <w:rStyle w:val="FootnoteReference"/>
        </w:rPr>
        <w:footnoteRef/>
      </w:r>
      <w:r>
        <w:t xml:space="preserve"> Staff, Applegate, p. 11, lines 15-16.</w:t>
      </w:r>
    </w:p>
  </w:footnote>
  <w:footnote w:id="29">
    <w:p w:rsidR="004B67A7" w:rsidRDefault="004B67A7">
      <w:pPr>
        <w:pStyle w:val="FootnoteText"/>
      </w:pPr>
      <w:r>
        <w:rPr>
          <w:rStyle w:val="FootnoteReference"/>
        </w:rPr>
        <w:footnoteRef/>
      </w:r>
      <w:r>
        <w:t xml:space="preserve"> Staff, Applegate, p. 12, lines 15-21.</w:t>
      </w:r>
    </w:p>
  </w:footnote>
  <w:footnote w:id="30">
    <w:p w:rsidR="004B67A7" w:rsidRDefault="004B67A7">
      <w:pPr>
        <w:pStyle w:val="FootnoteText"/>
      </w:pPr>
      <w:r>
        <w:rPr>
          <w:rStyle w:val="FootnoteReference"/>
        </w:rPr>
        <w:footnoteRef/>
      </w:r>
      <w:r>
        <w:t xml:space="preserve"> Staff, Applegate, p. 16, line 16 through p. 17, line 7.</w:t>
      </w:r>
    </w:p>
  </w:footnote>
  <w:footnote w:id="31">
    <w:p w:rsidR="004B67A7" w:rsidRDefault="004B67A7">
      <w:pPr>
        <w:pStyle w:val="FootnoteText"/>
      </w:pPr>
      <w:r>
        <w:rPr>
          <w:rStyle w:val="FootnoteReference"/>
        </w:rPr>
        <w:footnoteRef/>
      </w:r>
      <w:r>
        <w:t xml:space="preserve"> </w:t>
      </w:r>
      <w:r w:rsidRPr="00831D8E">
        <w:rPr>
          <w:i/>
        </w:rPr>
        <w:t>See</w:t>
      </w:r>
      <w:r>
        <w:t xml:space="preserve"> CenturyLink and Qwest Merger Conference Call, April 22, 2010, [hereafter “Merger Conference Call”]; available at </w:t>
      </w:r>
      <w:hyperlink r:id="rId8" w:history="1">
        <w:r w:rsidRPr="00516C05">
          <w:rPr>
            <w:rStyle w:val="Hyperlink"/>
          </w:rPr>
          <w:t>http://phx.corporate-ir.net/External.File?item=UGFyZW50SUQ9MzA0MDUyNnxDaGlsZElEPTM3ODA0M3xUeXBlPTI=&amp;t=1</w:t>
        </w:r>
      </w:hyperlink>
      <w:r>
        <w:t>, slide 9.</w:t>
      </w:r>
    </w:p>
  </w:footnote>
  <w:footnote w:id="32">
    <w:p w:rsidR="004B67A7" w:rsidRDefault="004B67A7">
      <w:pPr>
        <w:pStyle w:val="FootnoteText"/>
      </w:pPr>
      <w:r>
        <w:rPr>
          <w:rStyle w:val="FootnoteReference"/>
        </w:rPr>
        <w:footnoteRef/>
      </w:r>
      <w:r>
        <w:t xml:space="preserve"> Staff, Applegate, p. 21, lines 7-12.</w:t>
      </w:r>
    </w:p>
  </w:footnote>
  <w:footnote w:id="33">
    <w:p w:rsidR="004B67A7" w:rsidRDefault="004B67A7">
      <w:pPr>
        <w:pStyle w:val="FootnoteText"/>
      </w:pPr>
      <w:r>
        <w:rPr>
          <w:rStyle w:val="FootnoteReference"/>
        </w:rPr>
        <w:footnoteRef/>
      </w:r>
      <w:r>
        <w:t xml:space="preserve"> Staff, Applegate, p. 22, lines 3-5.</w:t>
      </w:r>
    </w:p>
  </w:footnote>
  <w:footnote w:id="34">
    <w:p w:rsidR="004B67A7" w:rsidRDefault="004B67A7">
      <w:pPr>
        <w:pStyle w:val="FootnoteText"/>
      </w:pPr>
      <w:r>
        <w:rPr>
          <w:rStyle w:val="FootnoteReference"/>
        </w:rPr>
        <w:footnoteRef/>
      </w:r>
      <w:r>
        <w:t xml:space="preserve"> Staff, Applegate, p. 20, lines 9-13 and FN 21.</w:t>
      </w:r>
    </w:p>
  </w:footnote>
  <w:footnote w:id="35">
    <w:p w:rsidR="004B67A7" w:rsidRDefault="004B67A7">
      <w:pPr>
        <w:pStyle w:val="FootnoteText"/>
      </w:pPr>
      <w:r>
        <w:rPr>
          <w:rStyle w:val="FootnoteReference"/>
        </w:rPr>
        <w:footnoteRef/>
      </w:r>
      <w:r>
        <w:t xml:space="preserve"> Staff, Applegate, p. 23 lines 8-10.</w:t>
      </w:r>
    </w:p>
  </w:footnote>
  <w:footnote w:id="36">
    <w:p w:rsidR="004B67A7" w:rsidRDefault="004B67A7">
      <w:pPr>
        <w:pStyle w:val="FootnoteText"/>
      </w:pPr>
      <w:r>
        <w:rPr>
          <w:rStyle w:val="FootnoteReference"/>
        </w:rPr>
        <w:footnoteRef/>
      </w:r>
      <w:r>
        <w:t xml:space="preserve"> Staff, Applegate, p. 23, lines 3-5.</w:t>
      </w:r>
    </w:p>
  </w:footnote>
  <w:footnote w:id="37">
    <w:p w:rsidR="004B67A7" w:rsidRDefault="004B67A7">
      <w:pPr>
        <w:pStyle w:val="FootnoteText"/>
      </w:pPr>
      <w:r>
        <w:rPr>
          <w:rStyle w:val="FootnoteReference"/>
        </w:rPr>
        <w:footnoteRef/>
      </w:r>
      <w:r>
        <w:t xml:space="preserve"> Staff, Vasconi, p. 10, lines 24-26.</w:t>
      </w:r>
    </w:p>
  </w:footnote>
  <w:footnote w:id="38">
    <w:p w:rsidR="004B67A7" w:rsidRDefault="004B67A7">
      <w:pPr>
        <w:pStyle w:val="FootnoteText"/>
      </w:pPr>
      <w:r>
        <w:rPr>
          <w:rStyle w:val="FootnoteReference"/>
        </w:rPr>
        <w:footnoteRef/>
      </w:r>
      <w:r>
        <w:t xml:space="preserve"> Staff, Vasconi, p. 11, lines 1-2.</w:t>
      </w:r>
    </w:p>
  </w:footnote>
  <w:footnote w:id="39">
    <w:p w:rsidR="004B67A7" w:rsidRDefault="004B67A7">
      <w:pPr>
        <w:pStyle w:val="FootnoteText"/>
      </w:pPr>
      <w:r>
        <w:rPr>
          <w:rStyle w:val="FootnoteReference"/>
        </w:rPr>
        <w:footnoteRef/>
      </w:r>
      <w:r>
        <w:t xml:space="preserve"> Staff, Liu, p. 5, lines 8-10.</w:t>
      </w:r>
    </w:p>
  </w:footnote>
  <w:footnote w:id="40">
    <w:p w:rsidR="004B67A7" w:rsidRPr="00402EDD" w:rsidRDefault="004B67A7" w:rsidP="00ED371B">
      <w:pPr>
        <w:pStyle w:val="FootnoteText"/>
        <w:rPr>
          <w:highlight w:val="yellow"/>
        </w:rPr>
      </w:pPr>
      <w:r w:rsidRPr="006973C7">
        <w:rPr>
          <w:rStyle w:val="FootnoteReference"/>
        </w:rPr>
        <w:footnoteRef/>
      </w:r>
      <w:r w:rsidRPr="006973C7">
        <w:t xml:space="preserve"> DOD, King, p. 17, lines 20-30.</w:t>
      </w:r>
    </w:p>
  </w:footnote>
  <w:footnote w:id="41">
    <w:p w:rsidR="004B67A7" w:rsidRPr="006973C7" w:rsidRDefault="004B67A7" w:rsidP="00ED371B">
      <w:pPr>
        <w:pStyle w:val="FootnoteText"/>
        <w:tabs>
          <w:tab w:val="left" w:pos="3093"/>
        </w:tabs>
      </w:pPr>
      <w:r w:rsidRPr="006973C7">
        <w:rPr>
          <w:rStyle w:val="FootnoteReference"/>
        </w:rPr>
        <w:footnoteRef/>
      </w:r>
      <w:r w:rsidRPr="006973C7">
        <w:t xml:space="preserve"> DOD, King, p. 11, lines 19-27.</w:t>
      </w:r>
      <w:r w:rsidRPr="006973C7">
        <w:tab/>
      </w:r>
    </w:p>
  </w:footnote>
  <w:footnote w:id="42">
    <w:p w:rsidR="004B67A7" w:rsidRPr="00594968" w:rsidRDefault="004B67A7" w:rsidP="00ED371B">
      <w:pPr>
        <w:pStyle w:val="FootnoteText"/>
        <w:rPr>
          <w:highlight w:val="yellow"/>
        </w:rPr>
      </w:pPr>
      <w:r w:rsidRPr="006973C7">
        <w:rPr>
          <w:rStyle w:val="FootnoteReference"/>
        </w:rPr>
        <w:footnoteRef/>
      </w:r>
      <w:r w:rsidRPr="006973C7">
        <w:t xml:space="preserve"> DOD, King, p.</w:t>
      </w:r>
      <w:r w:rsidRPr="00CC27EC">
        <w:t xml:space="preserve"> 13, lines </w:t>
      </w:r>
      <w:r>
        <w:t>2</w:t>
      </w:r>
      <w:r w:rsidRPr="00CC27EC">
        <w:t>-</w:t>
      </w:r>
      <w:r>
        <w:t>18.</w:t>
      </w:r>
    </w:p>
  </w:footnote>
  <w:footnote w:id="43">
    <w:p w:rsidR="004B67A7" w:rsidRPr="00041EF9" w:rsidRDefault="004B67A7" w:rsidP="00ED371B">
      <w:pPr>
        <w:pStyle w:val="FootnoteText"/>
      </w:pPr>
      <w:r w:rsidRPr="00041EF9">
        <w:rPr>
          <w:rStyle w:val="FootnoteReference"/>
        </w:rPr>
        <w:footnoteRef/>
      </w:r>
      <w:r>
        <w:t xml:space="preserve"> DOD, King, p. 13</w:t>
      </w:r>
      <w:r w:rsidRPr="00041EF9">
        <w:t>, line</w:t>
      </w:r>
      <w:r>
        <w:t>s 16-18</w:t>
      </w:r>
      <w:r w:rsidRPr="00041EF9">
        <w:t>.</w:t>
      </w:r>
    </w:p>
  </w:footnote>
  <w:footnote w:id="44">
    <w:p w:rsidR="004B67A7" w:rsidRDefault="004B67A7" w:rsidP="00ED371B">
      <w:pPr>
        <w:pStyle w:val="FootnoteText"/>
      </w:pPr>
      <w:r w:rsidRPr="00041EF9">
        <w:rPr>
          <w:rStyle w:val="FootnoteReference"/>
        </w:rPr>
        <w:footnoteRef/>
      </w:r>
      <w:r>
        <w:t xml:space="preserve"> DOD, King</w:t>
      </w:r>
      <w:r w:rsidRPr="00041EF9">
        <w:t>, p. 1</w:t>
      </w:r>
      <w:r>
        <w:t>6</w:t>
      </w:r>
      <w:r w:rsidRPr="00041EF9">
        <w:t xml:space="preserve">, lines </w:t>
      </w:r>
      <w:r>
        <w:t>21</w:t>
      </w:r>
      <w:r w:rsidRPr="00041EF9">
        <w:t>-</w:t>
      </w:r>
      <w:r>
        <w:t>23</w:t>
      </w:r>
      <w:r w:rsidRPr="00041EF9">
        <w:t>; “Based on the foregoing, I believe that basic business services are most susceptible to unilateral rate increases motivated by the need to raise revenue to implement the merger.”  Mr. King also incorrectly alleges that the post-merger company may need to engage in “cost cutting in the form of reduced resources, including capital investment and the manpower devoted to plant maintenance an</w:t>
      </w:r>
      <w:r>
        <w:t>d customer service.” DOD, King</w:t>
      </w:r>
      <w:r w:rsidRPr="00041EF9">
        <w:t xml:space="preserve">, p. </w:t>
      </w:r>
      <w:r>
        <w:t>20</w:t>
      </w:r>
      <w:r w:rsidRPr="00041EF9">
        <w:t xml:space="preserve">, lines </w:t>
      </w:r>
      <w:r>
        <w:t>11-13</w:t>
      </w:r>
      <w:r w:rsidRPr="00041EF9">
        <w:t>.  As indicated, post-merger CenturyLi</w:t>
      </w:r>
      <w:r>
        <w:t>nk’s free cash flow generation, even before synergies, will be sufficient to cover the integration costs, making Mr. King’s cost cutting “concern” moot.</w:t>
      </w:r>
    </w:p>
  </w:footnote>
  <w:footnote w:id="45">
    <w:p w:rsidR="004B67A7" w:rsidRDefault="004B67A7" w:rsidP="00ED371B">
      <w:pPr>
        <w:pStyle w:val="FootnoteText"/>
      </w:pPr>
      <w:r>
        <w:rPr>
          <w:rStyle w:val="FootnoteReference"/>
        </w:rPr>
        <w:footnoteRef/>
      </w:r>
      <w:r>
        <w:t xml:space="preserve"> DOD, King, p. 12, lines 21-24; Mr. King reports that the high end of the one-time integration costs is $850, but the announced range is $650 million to $800 million, as found in the Merger Conference Call, slide 13.</w:t>
      </w:r>
    </w:p>
  </w:footnote>
  <w:footnote w:id="46">
    <w:p w:rsidR="004B67A7" w:rsidRDefault="004B67A7" w:rsidP="00ED371B">
      <w:pPr>
        <w:pStyle w:val="FootnoteText"/>
      </w:pPr>
      <w:r>
        <w:rPr>
          <w:rStyle w:val="FootnoteReference"/>
        </w:rPr>
        <w:footnoteRef/>
      </w:r>
      <w:r>
        <w:t xml:space="preserve"> Simon Flannery, </w:t>
      </w:r>
      <w:r>
        <w:rPr>
          <w:i/>
          <w:iCs/>
        </w:rPr>
        <w:t xml:space="preserve">CenturyTel: 1Q10 Preview: Awaiting Embarq Synergy/Integration Update and </w:t>
      </w:r>
      <w:r w:rsidRPr="009E78AB">
        <w:rPr>
          <w:i/>
          <w:iCs/>
        </w:rPr>
        <w:t>Additional Color on Qwest Deal,</w:t>
      </w:r>
      <w:r w:rsidRPr="009E78AB">
        <w:rPr>
          <w:b/>
          <w:bCs/>
        </w:rPr>
        <w:t xml:space="preserve"> </w:t>
      </w:r>
      <w:r w:rsidRPr="009E78AB">
        <w:t>Morgan Stanley Research, North America, April 29, 2010.</w:t>
      </w:r>
    </w:p>
  </w:footnote>
  <w:footnote w:id="47">
    <w:p w:rsidR="004B67A7" w:rsidRDefault="004B67A7">
      <w:pPr>
        <w:pStyle w:val="FootnoteText"/>
      </w:pPr>
      <w:r>
        <w:rPr>
          <w:rStyle w:val="FootnoteReference"/>
        </w:rPr>
        <w:footnoteRef/>
      </w:r>
      <w:r>
        <w:t xml:space="preserve"> Staff, Applegate, p. 12, lines 6-9.</w:t>
      </w:r>
    </w:p>
  </w:footnote>
  <w:footnote w:id="48">
    <w:p w:rsidR="004B67A7" w:rsidRDefault="004B67A7" w:rsidP="00ED371B">
      <w:pPr>
        <w:pStyle w:val="FootnoteText"/>
      </w:pPr>
      <w:r w:rsidRPr="00F00994">
        <w:rPr>
          <w:rStyle w:val="FootnoteReference"/>
        </w:rPr>
        <w:footnoteRef/>
      </w:r>
      <w:r w:rsidRPr="00F00994">
        <w:t xml:space="preserve"> </w:t>
      </w:r>
      <w:r>
        <w:t>Joint CLECs, Gates p. 28</w:t>
      </w:r>
      <w:r w:rsidRPr="00F00994">
        <w:t>, lines 1</w:t>
      </w:r>
      <w:r>
        <w:t>3</w:t>
      </w:r>
      <w:r w:rsidRPr="00F00994">
        <w:t>-1</w:t>
      </w:r>
      <w:r>
        <w:t>6</w:t>
      </w:r>
      <w:r w:rsidRPr="00F00994">
        <w:t>.</w:t>
      </w:r>
    </w:p>
  </w:footnote>
  <w:footnote w:id="49">
    <w:p w:rsidR="004B67A7" w:rsidRPr="00457D05" w:rsidRDefault="004B67A7">
      <w:pPr>
        <w:pStyle w:val="FootnoteText"/>
      </w:pPr>
      <w:r w:rsidRPr="00457D05">
        <w:rPr>
          <w:rStyle w:val="FootnoteReference"/>
        </w:rPr>
        <w:footnoteRef/>
      </w:r>
      <w:r w:rsidRPr="00457D05">
        <w:t xml:space="preserve"> Staff, Vasconi, p. 18, lines 20-25.</w:t>
      </w:r>
    </w:p>
  </w:footnote>
  <w:footnote w:id="50">
    <w:p w:rsidR="004B67A7" w:rsidRDefault="004B67A7">
      <w:pPr>
        <w:pStyle w:val="FootnoteText"/>
      </w:pPr>
      <w:r>
        <w:rPr>
          <w:rStyle w:val="FootnoteReference"/>
        </w:rPr>
        <w:footnoteRef/>
      </w:r>
      <w:r>
        <w:t xml:space="preserve"> A </w:t>
      </w:r>
      <w:r>
        <w:rPr>
          <w:bCs/>
        </w:rPr>
        <w:t>“pro forma” adjustment is necessary because CenturyLink completed the Embarq acquisition mid-year 2009.</w:t>
      </w:r>
    </w:p>
  </w:footnote>
  <w:footnote w:id="51">
    <w:p w:rsidR="004B67A7" w:rsidRDefault="004B67A7" w:rsidP="00265FB1">
      <w:pPr>
        <w:pStyle w:val="FootnoteText"/>
      </w:pPr>
      <w:r>
        <w:rPr>
          <w:rStyle w:val="FootnoteReference"/>
        </w:rPr>
        <w:footnoteRef/>
      </w:r>
      <w:r>
        <w:t xml:space="preserve"> Moody’s Investors Service, “Rating Action: Moody's changes CenturyTel's outlook to negative; reviews Qwest's ratings for upgrade,” April 22, 2010, p.1.</w:t>
      </w:r>
    </w:p>
  </w:footnote>
  <w:footnote w:id="52">
    <w:p w:rsidR="004B67A7" w:rsidRDefault="004B67A7">
      <w:pPr>
        <w:pStyle w:val="FootnoteText"/>
      </w:pPr>
      <w:r>
        <w:rPr>
          <w:rStyle w:val="FootnoteReference"/>
        </w:rPr>
        <w:footnoteRef/>
      </w:r>
      <w:r>
        <w:t xml:space="preserve"> Staff, Vasconi, p. 18, lines 26-31.</w:t>
      </w:r>
    </w:p>
  </w:footnote>
  <w:footnote w:id="53">
    <w:p w:rsidR="004B67A7" w:rsidRPr="0076081A" w:rsidRDefault="004B67A7">
      <w:pPr>
        <w:pStyle w:val="FootnoteText"/>
      </w:pPr>
      <w:r w:rsidRPr="0076081A">
        <w:rPr>
          <w:rStyle w:val="FootnoteReference"/>
        </w:rPr>
        <w:footnoteRef/>
      </w:r>
      <w:r w:rsidRPr="0076081A">
        <w:t xml:space="preserve"> Staff, Applegate, p. 7, lines 16-18.</w:t>
      </w:r>
    </w:p>
  </w:footnote>
  <w:footnote w:id="54">
    <w:p w:rsidR="004B67A7" w:rsidRDefault="004B67A7" w:rsidP="00BB3B67">
      <w:pPr>
        <w:pStyle w:val="FootnoteText"/>
      </w:pPr>
      <w:r w:rsidRPr="0076081A">
        <w:rPr>
          <w:rStyle w:val="FootnoteReference"/>
        </w:rPr>
        <w:footnoteRef/>
      </w:r>
      <w:r w:rsidRPr="0076081A">
        <w:t xml:space="preserve"> Joint CLECs, Ankum</w:t>
      </w:r>
      <w:r>
        <w:t>,</w:t>
      </w:r>
      <w:r w:rsidRPr="0076081A">
        <w:t xml:space="preserve"> p. 50, lines 1-28; Dr. Ankum cites risks related to expenses to argue that CenturyLink “has put CLECs on notice to expect changes.”</w:t>
      </w:r>
      <w:r w:rsidRPr="00D3492B">
        <w:t xml:space="preserve"> </w:t>
      </w:r>
    </w:p>
  </w:footnote>
  <w:footnote w:id="55">
    <w:p w:rsidR="004B67A7" w:rsidRDefault="004B67A7">
      <w:pPr>
        <w:pStyle w:val="FootnoteText"/>
      </w:pPr>
      <w:r>
        <w:rPr>
          <w:rStyle w:val="FootnoteReference"/>
        </w:rPr>
        <w:footnoteRef/>
      </w:r>
      <w:r>
        <w:t xml:space="preserve"> Staff, Applegate, p. 8, lines 1-16.</w:t>
      </w:r>
    </w:p>
  </w:footnote>
  <w:footnote w:id="56">
    <w:p w:rsidR="004B67A7" w:rsidRDefault="004B67A7" w:rsidP="00E851EC">
      <w:pPr>
        <w:pStyle w:val="FootnoteText"/>
      </w:pPr>
      <w:r>
        <w:rPr>
          <w:rStyle w:val="FootnoteReference"/>
        </w:rPr>
        <w:footnoteRef/>
      </w:r>
      <w:r>
        <w:t xml:space="preserve"> Sprint Nextel, Appleby, p. 21, lines 2-7.</w:t>
      </w:r>
    </w:p>
  </w:footnote>
  <w:footnote w:id="57">
    <w:p w:rsidR="004B67A7" w:rsidRDefault="004B67A7" w:rsidP="00BB3B67">
      <w:pPr>
        <w:pStyle w:val="FootnoteText"/>
      </w:pPr>
      <w:r w:rsidRPr="00D3492B">
        <w:rPr>
          <w:rStyle w:val="FootnoteReference"/>
        </w:rPr>
        <w:footnoteRef/>
      </w:r>
      <w:r>
        <w:t xml:space="preserve">Joint CLECs, </w:t>
      </w:r>
      <w:r w:rsidRPr="009277B3">
        <w:t>Ankum</w:t>
      </w:r>
      <w:r>
        <w:t>,</w:t>
      </w:r>
      <w:r w:rsidRPr="009277B3">
        <w:t xml:space="preserve"> p. 6</w:t>
      </w:r>
      <w:r>
        <w:t>4</w:t>
      </w:r>
      <w:r w:rsidRPr="009277B3">
        <w:t xml:space="preserve">, lines </w:t>
      </w:r>
      <w:r>
        <w:t>4-</w:t>
      </w:r>
      <w:r w:rsidRPr="009277B3">
        <w:t>7.</w:t>
      </w:r>
    </w:p>
  </w:footnote>
  <w:footnote w:id="58">
    <w:p w:rsidR="004B67A7" w:rsidRDefault="004B67A7" w:rsidP="00BB3B67">
      <w:pPr>
        <w:pStyle w:val="FootnoteText"/>
      </w:pPr>
      <w:r w:rsidRPr="00D3492B">
        <w:rPr>
          <w:rStyle w:val="FootnoteReference"/>
        </w:rPr>
        <w:footnoteRef/>
      </w:r>
      <w:r>
        <w:t>Joint CLECs, Gates, p.114 lines 10-12</w:t>
      </w:r>
      <w:r w:rsidRPr="00D3492B">
        <w:t xml:space="preserve">; Mr. Gates footnotes the concept, citing to the FCC’s </w:t>
      </w:r>
      <w:r w:rsidRPr="00D3492B">
        <w:rPr>
          <w:i/>
          <w:iCs/>
        </w:rPr>
        <w:t>Local Competition Order</w:t>
      </w:r>
      <w:r w:rsidRPr="00D3492B">
        <w:t xml:space="preserve"> (“Order”) from 1996, ¶11, and his footnote selectively states “…the local competition provisions of the Act require that these economies be shared with entrants.”  In reality, the Order’s paragraph concerns setting initial rules based on “economies of density, connectivity, and scale [that have] traditionally . . . been viewed as creating a natural monopoly.”  Nowhere does the FCC’s Order suggest that there should be a sharing of economic benefits resulting from a merger.</w:t>
      </w:r>
    </w:p>
  </w:footnote>
  <w:footnote w:id="59">
    <w:p w:rsidR="004B67A7" w:rsidRDefault="004B67A7" w:rsidP="002B359D">
      <w:pPr>
        <w:pStyle w:val="FootnoteText"/>
      </w:pPr>
      <w:r w:rsidRPr="009F5E2A">
        <w:rPr>
          <w:rStyle w:val="FootnoteReference"/>
        </w:rPr>
        <w:footnoteRef/>
      </w:r>
      <w:r w:rsidRPr="009F5E2A">
        <w:t xml:space="preserve"> </w:t>
      </w:r>
      <w:r>
        <w:t xml:space="preserve">Sprint Nextel, </w:t>
      </w:r>
      <w:r w:rsidRPr="009F5E2A">
        <w:t>Appleby, p. 17, line 11 through p. 18, line 6.</w:t>
      </w:r>
    </w:p>
  </w:footnote>
  <w:footnote w:id="60">
    <w:p w:rsidR="004B67A7" w:rsidRDefault="004B67A7">
      <w:pPr>
        <w:pStyle w:val="FootnoteText"/>
      </w:pPr>
      <w:r>
        <w:rPr>
          <w:rStyle w:val="FootnoteReference"/>
        </w:rPr>
        <w:footnoteRef/>
      </w:r>
      <w:r>
        <w:t xml:space="preserve"> Sprint Nextel, Appleby, p. 6, lines 10-11.</w:t>
      </w:r>
    </w:p>
  </w:footnote>
  <w:footnote w:id="61">
    <w:p w:rsidR="004B67A7" w:rsidRDefault="004B67A7" w:rsidP="00A26E86">
      <w:pPr>
        <w:pStyle w:val="FootnoteText"/>
      </w:pPr>
      <w:r>
        <w:rPr>
          <w:rStyle w:val="FootnoteReference"/>
        </w:rPr>
        <w:footnoteRef/>
      </w:r>
      <w:r>
        <w:t xml:space="preserve"> Sprint Nextel, Appleby, p. 25, lines 5-17.</w:t>
      </w:r>
    </w:p>
  </w:footnote>
  <w:footnote w:id="62">
    <w:p w:rsidR="004B67A7" w:rsidRDefault="004B67A7" w:rsidP="00A26E86">
      <w:pPr>
        <w:pStyle w:val="FootnoteText"/>
      </w:pPr>
      <w:r>
        <w:rPr>
          <w:rStyle w:val="FootnoteReference"/>
        </w:rPr>
        <w:footnoteRef/>
      </w:r>
      <w:r>
        <w:t xml:space="preserve"> Merger Conference Call, slides 7 and 11.</w:t>
      </w:r>
    </w:p>
  </w:footnote>
  <w:footnote w:id="63">
    <w:p w:rsidR="004B67A7" w:rsidRDefault="004B67A7">
      <w:pPr>
        <w:pStyle w:val="FootnoteText"/>
      </w:pPr>
      <w:r>
        <w:rPr>
          <w:rStyle w:val="FootnoteReference"/>
        </w:rPr>
        <w:footnoteRef/>
      </w:r>
      <w:r>
        <w:t xml:space="preserve"> Sprint Nextel, p. 26, lines 1-15.</w:t>
      </w:r>
    </w:p>
  </w:footnote>
  <w:footnote w:id="64">
    <w:p w:rsidR="004B67A7" w:rsidRDefault="004B67A7">
      <w:pPr>
        <w:pStyle w:val="FootnoteText"/>
      </w:pPr>
      <w:r>
        <w:rPr>
          <w:rStyle w:val="FootnoteReference"/>
        </w:rPr>
        <w:footnoteRef/>
      </w:r>
      <w:r>
        <w:t xml:space="preserve"> Sprint Nextel, Appleby, p. 26, line 16 through p. 29, line 7.</w:t>
      </w:r>
    </w:p>
  </w:footnote>
  <w:footnote w:id="65">
    <w:p w:rsidR="004B67A7" w:rsidRDefault="004B67A7" w:rsidP="009D51BA">
      <w:pPr>
        <w:pStyle w:val="FootnoteText"/>
      </w:pPr>
      <w:r w:rsidRPr="00D3492B">
        <w:rPr>
          <w:rStyle w:val="FootnoteReference"/>
        </w:rPr>
        <w:footnoteRef/>
      </w:r>
      <w:r w:rsidRPr="00D3492B">
        <w:t xml:space="preserve"> </w:t>
      </w:r>
      <w:r>
        <w:t>Joint CLECs, Gates</w:t>
      </w:r>
      <w:r w:rsidRPr="00D3492B">
        <w:t xml:space="preserve">, </w:t>
      </w:r>
      <w:r>
        <w:t xml:space="preserve">p. 78, </w:t>
      </w:r>
      <w:r w:rsidRPr="00D3492B">
        <w:t xml:space="preserve">lines </w:t>
      </w:r>
      <w:r>
        <w:t>17-18</w:t>
      </w:r>
      <w:r w:rsidRPr="00D3492B">
        <w:t>.</w:t>
      </w:r>
    </w:p>
  </w:footnote>
  <w:footnote w:id="66">
    <w:p w:rsidR="004B67A7" w:rsidRDefault="004B67A7" w:rsidP="009D51BA">
      <w:pPr>
        <w:pStyle w:val="FootnoteText"/>
      </w:pPr>
      <w:r>
        <w:rPr>
          <w:rStyle w:val="FootnoteReference"/>
        </w:rPr>
        <w:footnoteRef/>
      </w:r>
      <w:r>
        <w:t xml:space="preserve"> The EBITDA in 2006 (in thousands) was $</w:t>
      </w:r>
      <w:r w:rsidRPr="003C7F87">
        <w:t xml:space="preserve">1,189,044 </w:t>
      </w:r>
      <w:r>
        <w:t>and in 2007 was</w:t>
      </w:r>
      <w:r w:rsidRPr="003C7F87">
        <w:t xml:space="preserve"> </w:t>
      </w:r>
      <w:r>
        <w:t>$</w:t>
      </w:r>
      <w:r w:rsidRPr="003C7F87">
        <w:t>1,329,333</w:t>
      </w:r>
      <w:r>
        <w:t xml:space="preserve">; see 2007 CenturyTel SEC Form 10-K, available at </w:t>
      </w:r>
      <w:hyperlink r:id="rId9" w:history="1">
        <w:r w:rsidRPr="00516C05">
          <w:rPr>
            <w:rStyle w:val="Hyperlink"/>
          </w:rPr>
          <w:t>http://www.sec.gov/Archives/edgar/data/18926/000001892608000004/form10k2007.htm</w:t>
        </w:r>
      </w:hyperlink>
      <w:r>
        <w:t>; 2006 D&amp;A was $523,506 and operating income was $665,538, while 2007 D&amp;A was $536,255 and operating income was $793,078.</w:t>
      </w:r>
    </w:p>
  </w:footnote>
  <w:footnote w:id="67">
    <w:p w:rsidR="004B67A7" w:rsidRDefault="004B67A7" w:rsidP="009D51BA">
      <w:pPr>
        <w:pStyle w:val="FootnoteText"/>
      </w:pPr>
      <w:r w:rsidRPr="0050686A">
        <w:rPr>
          <w:rStyle w:val="FootnoteReference"/>
        </w:rPr>
        <w:footnoteRef/>
      </w:r>
      <w:r w:rsidRPr="0050686A">
        <w:t xml:space="preserve"> </w:t>
      </w:r>
      <w:r w:rsidRPr="00831D8E">
        <w:rPr>
          <w:i/>
          <w:iCs/>
        </w:rPr>
        <w:t>See</w:t>
      </w:r>
      <w:r>
        <w:t xml:space="preserve"> Merger Conference Call, slides 7 and 12.</w:t>
      </w:r>
    </w:p>
  </w:footnote>
  <w:footnote w:id="68">
    <w:p w:rsidR="004B67A7" w:rsidRDefault="004B67A7" w:rsidP="009D51BA">
      <w:pPr>
        <w:pStyle w:val="FootnoteText"/>
      </w:pPr>
      <w:r w:rsidRPr="00FE2E24">
        <w:rPr>
          <w:rStyle w:val="FootnoteReference"/>
        </w:rPr>
        <w:footnoteRef/>
      </w:r>
      <w:r w:rsidRPr="00FE2E24">
        <w:t xml:space="preserve"> Merger Conference Call, slide 12.</w:t>
      </w:r>
    </w:p>
  </w:footnote>
  <w:footnote w:id="69">
    <w:p w:rsidR="004B67A7" w:rsidRDefault="004B67A7" w:rsidP="009D51BA">
      <w:pPr>
        <w:pStyle w:val="FootnoteText"/>
      </w:pPr>
      <w:r>
        <w:rPr>
          <w:rStyle w:val="FootnoteReference"/>
        </w:rPr>
        <w:footnoteRef/>
      </w:r>
      <w:r>
        <w:t xml:space="preserve"> “Moody’s upgrades Qwest rating,” Bloomberg BusinessWeek, August 13, 2010, available at </w:t>
      </w:r>
      <w:r w:rsidRPr="00BC24CB">
        <w:t>http://www.businessweek.com/ap/financialnews/D9HINI3G0.htm</w:t>
      </w:r>
      <w:r>
        <w:t>.</w:t>
      </w:r>
    </w:p>
  </w:footnote>
  <w:footnote w:id="70">
    <w:p w:rsidR="004B67A7" w:rsidRDefault="004B67A7" w:rsidP="009D51BA">
      <w:pPr>
        <w:pStyle w:val="FootnoteText"/>
      </w:pPr>
      <w:r>
        <w:rPr>
          <w:rStyle w:val="FootnoteReference"/>
        </w:rPr>
        <w:footnoteRef/>
      </w:r>
      <w:r>
        <w:t xml:space="preserve"> Standard &amp; Poor’s Global Credit Portal, Ratings Direct, “Qwest ‘BB’ Rating On Watch Positive,” April 22, 2010, p. 2.</w:t>
      </w:r>
    </w:p>
  </w:footnote>
  <w:footnote w:id="71">
    <w:p w:rsidR="004B67A7" w:rsidRDefault="004B67A7" w:rsidP="009D51BA">
      <w:pPr>
        <w:pStyle w:val="FootnoteText"/>
      </w:pPr>
      <w:r>
        <w:rPr>
          <w:rStyle w:val="FootnoteReference"/>
        </w:rPr>
        <w:footnoteRef/>
      </w:r>
      <w:r>
        <w:t xml:space="preserve"> Fitch Ratings, </w:t>
      </w:r>
      <w:r>
        <w:rPr>
          <w:i/>
          <w:iCs/>
        </w:rPr>
        <w:t>Fitch Places CenturyTel’s Ratings on Watch Negative; Qwest’s Ratings on Watch Positive</w:t>
      </w:r>
      <w:r>
        <w:t>, April 22, 2010.</w:t>
      </w:r>
    </w:p>
  </w:footnote>
  <w:footnote w:id="72">
    <w:p w:rsidR="004B67A7" w:rsidRDefault="004B67A7">
      <w:pPr>
        <w:pStyle w:val="FootnoteText"/>
      </w:pPr>
      <w:r>
        <w:rPr>
          <w:rStyle w:val="FootnoteReference"/>
        </w:rPr>
        <w:footnoteRef/>
      </w:r>
      <w:r>
        <w:t xml:space="preserve"> Staff, </w:t>
      </w:r>
      <w:proofErr w:type="spellStart"/>
      <w:r>
        <w:t>Vasconi</w:t>
      </w:r>
      <w:proofErr w:type="spellEnd"/>
      <w:r>
        <w:t>, p. 19, lines 8-20.</w:t>
      </w:r>
    </w:p>
  </w:footnote>
  <w:footnote w:id="73">
    <w:p w:rsidR="004B67A7" w:rsidRDefault="004B67A7">
      <w:pPr>
        <w:pStyle w:val="FootnoteText"/>
      </w:pPr>
      <w:r>
        <w:rPr>
          <w:rStyle w:val="FootnoteReference"/>
        </w:rPr>
        <w:footnoteRef/>
      </w:r>
      <w:r>
        <w:t xml:space="preserve"> Staff, Vasconi, p. 19, lines 21-26.</w:t>
      </w:r>
    </w:p>
  </w:footnote>
  <w:footnote w:id="74">
    <w:p w:rsidR="004B67A7" w:rsidRDefault="004B67A7">
      <w:pPr>
        <w:pStyle w:val="FootnoteText"/>
      </w:pPr>
      <w:r>
        <w:rPr>
          <w:rStyle w:val="FootnoteReference"/>
        </w:rPr>
        <w:footnoteRef/>
      </w:r>
      <w:r>
        <w:t xml:space="preserve"> Staff, Vasconi, p. 20, lines 6-11.</w:t>
      </w:r>
    </w:p>
  </w:footnote>
  <w:footnote w:id="75">
    <w:p w:rsidR="004B67A7" w:rsidRDefault="004B67A7">
      <w:pPr>
        <w:pStyle w:val="FootnoteText"/>
      </w:pPr>
      <w:r>
        <w:rPr>
          <w:rStyle w:val="FootnoteReference"/>
        </w:rPr>
        <w:footnoteRef/>
      </w:r>
      <w:r>
        <w:t xml:space="preserve"> Staff, Vasconi, p. 20, lines 12-15. </w:t>
      </w:r>
    </w:p>
  </w:footnote>
  <w:footnote w:id="76">
    <w:p w:rsidR="004B67A7" w:rsidRDefault="004B67A7">
      <w:pPr>
        <w:pStyle w:val="FootnoteText"/>
      </w:pPr>
      <w:r>
        <w:rPr>
          <w:rStyle w:val="FootnoteReference"/>
        </w:rPr>
        <w:footnoteRef/>
      </w:r>
      <w:r>
        <w:t xml:space="preserve"> Staff, Vasconi, p. 20, lines 16-28.</w:t>
      </w:r>
    </w:p>
  </w:footnote>
  <w:footnote w:id="77">
    <w:p w:rsidR="004B67A7" w:rsidRDefault="004B67A7">
      <w:pPr>
        <w:pStyle w:val="FootnoteText"/>
      </w:pPr>
      <w:r>
        <w:rPr>
          <w:rStyle w:val="FootnoteReference"/>
        </w:rPr>
        <w:footnoteRef/>
      </w:r>
      <w:r>
        <w:t xml:space="preserve"> Staff, Vasconi, p. 20, lines 29-31.</w:t>
      </w:r>
    </w:p>
  </w:footnote>
  <w:footnote w:id="78">
    <w:p w:rsidR="004B67A7" w:rsidRDefault="004B67A7">
      <w:pPr>
        <w:pStyle w:val="FootnoteText"/>
      </w:pPr>
      <w:r>
        <w:rPr>
          <w:rStyle w:val="FootnoteReference"/>
        </w:rPr>
        <w:footnoteRef/>
      </w:r>
      <w:r>
        <w:t xml:space="preserve"> Staff, Vasconi, p. 20, line 32 through p. 21, line 2.</w:t>
      </w:r>
    </w:p>
  </w:footnote>
  <w:footnote w:id="79">
    <w:p w:rsidR="004B67A7" w:rsidRDefault="004B67A7">
      <w:pPr>
        <w:pStyle w:val="FootnoteText"/>
      </w:pPr>
      <w:r>
        <w:rPr>
          <w:rStyle w:val="FootnoteReference"/>
        </w:rPr>
        <w:footnoteRef/>
      </w:r>
      <w:r>
        <w:t xml:space="preserve"> Staff, Vasconi, p. 21, lines 3-11.</w:t>
      </w:r>
    </w:p>
  </w:footnote>
  <w:footnote w:id="80">
    <w:p w:rsidR="004B67A7" w:rsidRDefault="004B67A7">
      <w:pPr>
        <w:pStyle w:val="FootnoteText"/>
      </w:pPr>
      <w:r>
        <w:rPr>
          <w:rStyle w:val="FootnoteReference"/>
        </w:rPr>
        <w:footnoteRef/>
      </w:r>
      <w:r>
        <w:t xml:space="preserve"> Staff, Vasconi, p. 21, lines 22-26.</w:t>
      </w:r>
    </w:p>
  </w:footnote>
  <w:footnote w:id="81">
    <w:p w:rsidR="004B67A7" w:rsidRDefault="004B67A7" w:rsidP="0060466A">
      <w:pPr>
        <w:pStyle w:val="FootnoteText"/>
      </w:pPr>
      <w:r>
        <w:rPr>
          <w:rStyle w:val="FootnoteReference"/>
        </w:rPr>
        <w:footnoteRef/>
      </w:r>
      <w:r>
        <w:t xml:space="preserve"> Staff, Vasconi, p. 17, lines 19-30.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7" w:rsidRDefault="004B67A7">
    <w:pPr>
      <w:pStyle w:val="Header"/>
      <w:jc w:val="right"/>
    </w:pPr>
    <w:r w:rsidRPr="00775572">
      <w:t xml:space="preserve">EXHIBIT </w:t>
    </w:r>
    <w:r>
      <w:t>____GCB</w:t>
    </w:r>
    <w:r w:rsidRPr="00775572">
      <w:t>-</w:t>
    </w:r>
    <w:r>
      <w:t>6HC-R</w:t>
    </w:r>
    <w:r w:rsidRPr="00775572">
      <w:t>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7" w:rsidRPr="00F27EA1" w:rsidRDefault="004B67A7" w:rsidP="00C72C57">
    <w:pPr>
      <w:jc w:val="right"/>
      <w:rPr>
        <w:sz w:val="20"/>
      </w:rPr>
    </w:pPr>
    <w:r w:rsidRPr="00F27EA1">
      <w:rPr>
        <w:sz w:val="20"/>
      </w:rPr>
      <w:t>Docket No. UT-</w:t>
    </w:r>
    <w:r>
      <w:rPr>
        <w:sz w:val="20"/>
      </w:rPr>
      <w:t>100820</w:t>
    </w:r>
  </w:p>
  <w:p w:rsidR="004B67A7" w:rsidRPr="00F27EA1" w:rsidRDefault="004B67A7" w:rsidP="00C72C57">
    <w:pPr>
      <w:pStyle w:val="Header"/>
      <w:tabs>
        <w:tab w:val="clear" w:pos="4320"/>
        <w:tab w:val="clear" w:pos="8640"/>
        <w:tab w:val="right" w:pos="9360"/>
      </w:tabs>
      <w:rPr>
        <w:sz w:val="20"/>
      </w:rPr>
    </w:pPr>
    <w:r>
      <w:rPr>
        <w:sz w:val="20"/>
      </w:rPr>
      <w:tab/>
    </w:r>
    <w:r w:rsidR="003E2F48">
      <w:rPr>
        <w:sz w:val="20"/>
      </w:rPr>
      <w:t xml:space="preserve">REDACTED </w:t>
    </w:r>
    <w:r>
      <w:rPr>
        <w:sz w:val="20"/>
      </w:rPr>
      <w:t xml:space="preserve">Highly Confidential Rebuttal </w:t>
    </w:r>
    <w:r w:rsidRPr="00F27EA1">
      <w:rPr>
        <w:sz w:val="20"/>
      </w:rPr>
      <w:t xml:space="preserve">Testimony of </w:t>
    </w:r>
    <w:r>
      <w:rPr>
        <w:sz w:val="20"/>
      </w:rPr>
      <w:t>G. Clay Bailey</w:t>
    </w:r>
  </w:p>
  <w:p w:rsidR="004B67A7" w:rsidRPr="00F27EA1" w:rsidRDefault="004B67A7" w:rsidP="00C72C57">
    <w:pPr>
      <w:pStyle w:val="Header"/>
      <w:tabs>
        <w:tab w:val="clear" w:pos="4320"/>
        <w:tab w:val="clear" w:pos="8640"/>
        <w:tab w:val="right" w:pos="9360"/>
      </w:tabs>
      <w:rPr>
        <w:sz w:val="20"/>
      </w:rPr>
    </w:pPr>
    <w:r w:rsidRPr="00F27EA1">
      <w:rPr>
        <w:sz w:val="20"/>
      </w:rPr>
      <w:tab/>
      <w:t xml:space="preserve">Exhibit </w:t>
    </w:r>
    <w:r>
      <w:rPr>
        <w:sz w:val="20"/>
      </w:rPr>
      <w:t>GCB</w:t>
    </w:r>
    <w:r w:rsidRPr="00F27EA1">
      <w:rPr>
        <w:sz w:val="20"/>
      </w:rPr>
      <w:t>-</w:t>
    </w:r>
    <w:r>
      <w:rPr>
        <w:sz w:val="20"/>
      </w:rPr>
      <w:t>6HC-R</w:t>
    </w:r>
    <w:r w:rsidRPr="00F27EA1">
      <w:rPr>
        <w:sz w:val="20"/>
      </w:rPr>
      <w:t>T</w:t>
    </w:r>
  </w:p>
  <w:p w:rsidR="004B67A7" w:rsidRPr="00F27EA1" w:rsidRDefault="004B67A7" w:rsidP="00C72C57">
    <w:pPr>
      <w:pStyle w:val="Header"/>
      <w:tabs>
        <w:tab w:val="clear" w:pos="8640"/>
        <w:tab w:val="right" w:pos="9360"/>
      </w:tabs>
      <w:rPr>
        <w:sz w:val="20"/>
      </w:rPr>
    </w:pPr>
    <w:r w:rsidRPr="00F27EA1">
      <w:rPr>
        <w:sz w:val="20"/>
      </w:rPr>
      <w:tab/>
    </w:r>
    <w:r w:rsidRPr="00F27EA1">
      <w:rPr>
        <w:sz w:val="20"/>
      </w:rPr>
      <w:tab/>
    </w:r>
    <w:r>
      <w:rPr>
        <w:sz w:val="20"/>
      </w:rPr>
      <w:t>November 1, 2010</w:t>
    </w:r>
  </w:p>
  <w:p w:rsidR="004B67A7" w:rsidRDefault="004B67A7">
    <w:pPr>
      <w:pStyle w:val="Header"/>
      <w:jc w:val="right"/>
    </w:pPr>
    <w:r w:rsidRPr="00F27EA1">
      <w:rPr>
        <w:sz w:val="20"/>
      </w:rPr>
      <w:tab/>
    </w:r>
    <w:r w:rsidRPr="00F27EA1">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60AABE"/>
    <w:lvl w:ilvl="0">
      <w:start w:val="1"/>
      <w:numFmt w:val="bullet"/>
      <w:lvlText w:val=""/>
      <w:lvlJc w:val="left"/>
      <w:pPr>
        <w:tabs>
          <w:tab w:val="num" w:pos="360"/>
        </w:tabs>
        <w:ind w:left="360" w:hanging="360"/>
      </w:pPr>
      <w:rPr>
        <w:rFonts w:ascii="Symbol" w:hAnsi="Symbol" w:hint="default"/>
      </w:rPr>
    </w:lvl>
  </w:abstractNum>
  <w:abstractNum w:abstractNumId="1">
    <w:nsid w:val="0B5D1422"/>
    <w:multiLevelType w:val="hybridMultilevel"/>
    <w:tmpl w:val="C8168C02"/>
    <w:lvl w:ilvl="0" w:tplc="595A3084">
      <w:start w:val="1"/>
      <w:numFmt w:val="upp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B794218"/>
    <w:multiLevelType w:val="hybridMultilevel"/>
    <w:tmpl w:val="F5D48A64"/>
    <w:lvl w:ilvl="0" w:tplc="B1020D8C">
      <w:start w:val="1"/>
      <w:numFmt w:val="decimal"/>
      <w:lvlText w:val="%1."/>
      <w:lvlJc w:val="left"/>
      <w:pPr>
        <w:ind w:left="171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11F0A45"/>
    <w:multiLevelType w:val="hybridMultilevel"/>
    <w:tmpl w:val="6010B9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23FE77E9"/>
    <w:multiLevelType w:val="hybridMultilevel"/>
    <w:tmpl w:val="2AAC7B60"/>
    <w:lvl w:ilvl="0" w:tplc="595A3084">
      <w:start w:val="1"/>
      <w:numFmt w:val="upp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7517D62"/>
    <w:multiLevelType w:val="hybridMultilevel"/>
    <w:tmpl w:val="9D125110"/>
    <w:lvl w:ilvl="0" w:tplc="1A2417C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8665E2"/>
    <w:multiLevelType w:val="hybridMultilevel"/>
    <w:tmpl w:val="11A2BE80"/>
    <w:lvl w:ilvl="0" w:tplc="595A3084">
      <w:start w:val="1"/>
      <w:numFmt w:val="upp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4415EBE"/>
    <w:multiLevelType w:val="multilevel"/>
    <w:tmpl w:val="5F747726"/>
    <w:lvl w:ilvl="0">
      <w:start w:val="1"/>
      <w:numFmt w:val="upperRoman"/>
      <w:pStyle w:val="OutHead1"/>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sz w:val="24"/>
        <w:szCs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8">
    <w:nsid w:val="3B6261A3"/>
    <w:multiLevelType w:val="hybridMultilevel"/>
    <w:tmpl w:val="BC9E75C4"/>
    <w:lvl w:ilvl="0" w:tplc="04090015">
      <w:start w:val="1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3BC52D09"/>
    <w:multiLevelType w:val="hybridMultilevel"/>
    <w:tmpl w:val="F5D48A64"/>
    <w:lvl w:ilvl="0" w:tplc="B1020D8C">
      <w:start w:val="1"/>
      <w:numFmt w:val="decimal"/>
      <w:lvlText w:val="%1."/>
      <w:lvlJc w:val="left"/>
      <w:pPr>
        <w:ind w:left="171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BD51A8A"/>
    <w:multiLevelType w:val="hybridMultilevel"/>
    <w:tmpl w:val="61B61B92"/>
    <w:lvl w:ilvl="0" w:tplc="F17A98E0">
      <w:start w:val="3"/>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1">
    <w:nsid w:val="441356B1"/>
    <w:multiLevelType w:val="multilevel"/>
    <w:tmpl w:val="5BF65C5C"/>
    <w:lvl w:ilvl="0">
      <w:start w:val="1"/>
      <w:numFmt w:val="upperRoman"/>
      <w:lvlText w:val="%1."/>
      <w:lvlJc w:val="left"/>
      <w:pPr>
        <w:tabs>
          <w:tab w:val="num" w:pos="720"/>
        </w:tabs>
        <w:ind w:left="720" w:hanging="720"/>
      </w:pPr>
      <w:rPr>
        <w:rFonts w:ascii="Times New Roman" w:hAnsi="Times New Roman" w:cs="Times New Roman"/>
        <w:b/>
        <w:bCs/>
        <w:i w:val="0"/>
        <w:iCs w:val="0"/>
        <w:caps/>
        <w:smallCaps w:val="0"/>
        <w:color w:val="000000"/>
        <w:sz w:val="24"/>
        <w:szCs w:val="24"/>
        <w:u w:val="no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color w:val="000000"/>
        <w:sz w:val="24"/>
        <w:szCs w:val="24"/>
        <w:u w:val="none"/>
      </w:rPr>
    </w:lvl>
    <w:lvl w:ilvl="2">
      <w:start w:val="1"/>
      <w:numFmt w:val="decimal"/>
      <w:lvlText w:val="%3."/>
      <w:lvlJc w:val="left"/>
      <w:pPr>
        <w:tabs>
          <w:tab w:val="num" w:pos="2160"/>
        </w:tabs>
        <w:ind w:left="2160" w:hanging="720"/>
      </w:pPr>
      <w:rPr>
        <w:rFonts w:ascii="Times New Roman" w:hAnsi="Times New Roman" w:cs="Times New Roman"/>
        <w:b/>
        <w:bCs/>
        <w:i w:val="0"/>
        <w:iCs w:val="0"/>
        <w:caps w:val="0"/>
        <w:color w:val="000000"/>
        <w:sz w:val="24"/>
        <w:szCs w:val="24"/>
        <w:u w:val="none"/>
      </w:rPr>
    </w:lvl>
    <w:lvl w:ilvl="3">
      <w:start w:val="1"/>
      <w:numFmt w:val="lowerLetter"/>
      <w:lvlText w:val="%4."/>
      <w:lvlJc w:val="left"/>
      <w:pPr>
        <w:tabs>
          <w:tab w:val="num" w:pos="2880"/>
        </w:tabs>
        <w:ind w:left="2880" w:hanging="720"/>
      </w:pPr>
      <w:rPr>
        <w:rFonts w:ascii="Times New Roman" w:hAnsi="Times New Roman" w:cs="Times New Roman"/>
        <w:b w:val="0"/>
        <w:bCs w:val="0"/>
        <w:i w:val="0"/>
        <w:iCs w:val="0"/>
        <w:caps w:val="0"/>
        <w:smallCaps w:val="0"/>
        <w:color w:val="000000"/>
        <w:sz w:val="24"/>
        <w:szCs w:val="24"/>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000000"/>
        <w:sz w:val="24"/>
        <w:szCs w:val="24"/>
        <w:u w:val="none"/>
      </w:rPr>
    </w:lvl>
    <w:lvl w:ilvl="5">
      <w:start w:val="1"/>
      <w:numFmt w:val="lowerLetter"/>
      <w:lvlText w:val="(%6)"/>
      <w:lvlJc w:val="left"/>
      <w:pPr>
        <w:tabs>
          <w:tab w:val="num" w:pos="4320"/>
        </w:tabs>
        <w:ind w:left="4320" w:hanging="720"/>
      </w:pPr>
      <w:rPr>
        <w:smallCaps w:val="0"/>
        <w:sz w:val="24"/>
        <w:szCs w:val="24"/>
      </w:rPr>
    </w:lvl>
    <w:lvl w:ilvl="6">
      <w:start w:val="1"/>
      <w:numFmt w:val="lowerRoman"/>
      <w:lvlText w:val="(%7)"/>
      <w:lvlJc w:val="left"/>
      <w:pPr>
        <w:tabs>
          <w:tab w:val="num" w:pos="5040"/>
        </w:tabs>
        <w:ind w:left="5040" w:hanging="720"/>
      </w:pPr>
      <w:rPr>
        <w:rFonts w:ascii="Times New Roman" w:hAnsi="Times New Roman" w:cs="Times New Roman"/>
        <w:smallCaps w:val="0"/>
        <w:sz w:val="24"/>
        <w:szCs w:val="24"/>
      </w:rPr>
    </w:lvl>
    <w:lvl w:ilvl="7">
      <w:start w:val="1"/>
      <w:numFmt w:val="lowerLetter"/>
      <w:lvlText w:val="%8)"/>
      <w:lvlJc w:val="left"/>
      <w:pPr>
        <w:tabs>
          <w:tab w:val="num" w:pos="5760"/>
        </w:tabs>
        <w:ind w:left="5760" w:hanging="720"/>
      </w:pPr>
      <w:rPr>
        <w:rFonts w:ascii="Times New Roman" w:hAnsi="Times New Roman" w:cs="Times New Roman"/>
        <w:caps/>
        <w:smallCaps w:val="0"/>
        <w:sz w:val="24"/>
        <w:szCs w:val="24"/>
      </w:rPr>
    </w:lvl>
    <w:lvl w:ilvl="8">
      <w:start w:val="1"/>
      <w:numFmt w:val="lowerRoman"/>
      <w:lvlText w:val="%9)"/>
      <w:lvlJc w:val="left"/>
      <w:pPr>
        <w:tabs>
          <w:tab w:val="num" w:pos="6480"/>
        </w:tabs>
        <w:ind w:left="6480" w:hanging="720"/>
      </w:pPr>
      <w:rPr>
        <w:smallCaps w:val="0"/>
      </w:rPr>
    </w:lvl>
  </w:abstractNum>
  <w:abstractNum w:abstractNumId="12">
    <w:nsid w:val="48B87547"/>
    <w:multiLevelType w:val="hybridMultilevel"/>
    <w:tmpl w:val="076650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C22B1"/>
    <w:multiLevelType w:val="hybridMultilevel"/>
    <w:tmpl w:val="6F3CD8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853142"/>
    <w:multiLevelType w:val="hybridMultilevel"/>
    <w:tmpl w:val="D60E50EC"/>
    <w:lvl w:ilvl="0" w:tplc="B1020D8C">
      <w:start w:val="1"/>
      <w:numFmt w:val="decimal"/>
      <w:lvlText w:val="%1."/>
      <w:lvlJc w:val="left"/>
      <w:pPr>
        <w:ind w:left="315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66D00D9E"/>
    <w:multiLevelType w:val="hybridMultilevel"/>
    <w:tmpl w:val="CEC86240"/>
    <w:lvl w:ilvl="0" w:tplc="ABDEE370">
      <w:start w:val="1"/>
      <w:numFmt w:val="decimal"/>
      <w:lvlText w:val="%1."/>
      <w:lvlJc w:val="left"/>
      <w:pPr>
        <w:tabs>
          <w:tab w:val="num" w:pos="720"/>
        </w:tabs>
        <w:ind w:left="720" w:hanging="360"/>
      </w:pPr>
      <w:rPr>
        <w:b w:val="0"/>
        <w:bCs w:val="0"/>
      </w:rPr>
    </w:lvl>
    <w:lvl w:ilvl="1" w:tplc="4EC8B40C">
      <w:start w:val="3"/>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A505F24"/>
    <w:multiLevelType w:val="hybridMultilevel"/>
    <w:tmpl w:val="64D6F5C0"/>
    <w:lvl w:ilvl="0" w:tplc="595A308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B73382C"/>
    <w:multiLevelType w:val="hybridMultilevel"/>
    <w:tmpl w:val="776613F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7E090290"/>
    <w:multiLevelType w:val="hybridMultilevel"/>
    <w:tmpl w:val="D900779E"/>
    <w:lvl w:ilvl="0" w:tplc="B1020D8C">
      <w:start w:val="1"/>
      <w:numFmt w:val="decimal"/>
      <w:lvlText w:val="%1."/>
      <w:lvlJc w:val="left"/>
      <w:pPr>
        <w:ind w:left="17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5"/>
  </w:num>
  <w:num w:numId="4">
    <w:abstractNumId w:val="11"/>
  </w:num>
  <w:num w:numId="5">
    <w:abstractNumId w:val="8"/>
  </w:num>
  <w:num w:numId="6">
    <w:abstractNumId w:val="16"/>
  </w:num>
  <w:num w:numId="7">
    <w:abstractNumId w:val="5"/>
  </w:num>
  <w:num w:numId="8">
    <w:abstractNumId w:val="17"/>
  </w:num>
  <w:num w:numId="9">
    <w:abstractNumId w:val="13"/>
  </w:num>
  <w:num w:numId="10">
    <w:abstractNumId w:val="2"/>
  </w:num>
  <w:num w:numId="11">
    <w:abstractNumId w:val="10"/>
  </w:num>
  <w:num w:numId="12">
    <w:abstractNumId w:val="9"/>
  </w:num>
  <w:num w:numId="13">
    <w:abstractNumId w:val="14"/>
  </w:num>
  <w:num w:numId="14">
    <w:abstractNumId w:val="18"/>
  </w:num>
  <w:num w:numId="15">
    <w:abstractNumId w:val="4"/>
  </w:num>
  <w:num w:numId="16">
    <w:abstractNumId w:val="12"/>
  </w:num>
  <w:num w:numId="17">
    <w:abstractNumId w:val="6"/>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doNotTrackMoves/>
  <w:defaultTabStop w:val="720"/>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5D4"/>
    <w:rsid w:val="00002D3B"/>
    <w:rsid w:val="00003077"/>
    <w:rsid w:val="000033D3"/>
    <w:rsid w:val="0000349D"/>
    <w:rsid w:val="00003CCE"/>
    <w:rsid w:val="000042BD"/>
    <w:rsid w:val="000050B1"/>
    <w:rsid w:val="00005806"/>
    <w:rsid w:val="00006345"/>
    <w:rsid w:val="00010655"/>
    <w:rsid w:val="00010B0C"/>
    <w:rsid w:val="00010DB1"/>
    <w:rsid w:val="00012986"/>
    <w:rsid w:val="00012F41"/>
    <w:rsid w:val="000141C7"/>
    <w:rsid w:val="00015E29"/>
    <w:rsid w:val="0001668F"/>
    <w:rsid w:val="0001689B"/>
    <w:rsid w:val="00022964"/>
    <w:rsid w:val="00023033"/>
    <w:rsid w:val="00023268"/>
    <w:rsid w:val="00023B02"/>
    <w:rsid w:val="00024D5A"/>
    <w:rsid w:val="00024F64"/>
    <w:rsid w:val="00024FEE"/>
    <w:rsid w:val="0002527A"/>
    <w:rsid w:val="000279A7"/>
    <w:rsid w:val="00030026"/>
    <w:rsid w:val="000300E3"/>
    <w:rsid w:val="00030DA4"/>
    <w:rsid w:val="000318F9"/>
    <w:rsid w:val="0003470A"/>
    <w:rsid w:val="00034A5C"/>
    <w:rsid w:val="0003607D"/>
    <w:rsid w:val="000370C6"/>
    <w:rsid w:val="00037D3A"/>
    <w:rsid w:val="00040156"/>
    <w:rsid w:val="00040193"/>
    <w:rsid w:val="00040213"/>
    <w:rsid w:val="00040759"/>
    <w:rsid w:val="00040B95"/>
    <w:rsid w:val="00041EF9"/>
    <w:rsid w:val="00042D4B"/>
    <w:rsid w:val="000433B6"/>
    <w:rsid w:val="00043715"/>
    <w:rsid w:val="00044806"/>
    <w:rsid w:val="00045608"/>
    <w:rsid w:val="00046837"/>
    <w:rsid w:val="00046FDE"/>
    <w:rsid w:val="00047225"/>
    <w:rsid w:val="0004726F"/>
    <w:rsid w:val="00047E4E"/>
    <w:rsid w:val="000502BA"/>
    <w:rsid w:val="0005286F"/>
    <w:rsid w:val="00053F89"/>
    <w:rsid w:val="00054E5C"/>
    <w:rsid w:val="000568FD"/>
    <w:rsid w:val="00056B19"/>
    <w:rsid w:val="00056D3C"/>
    <w:rsid w:val="00056F10"/>
    <w:rsid w:val="000577D0"/>
    <w:rsid w:val="00057F3D"/>
    <w:rsid w:val="000609E9"/>
    <w:rsid w:val="000614BD"/>
    <w:rsid w:val="00062257"/>
    <w:rsid w:val="000624D2"/>
    <w:rsid w:val="000627AA"/>
    <w:rsid w:val="00062889"/>
    <w:rsid w:val="00062E9F"/>
    <w:rsid w:val="000651F0"/>
    <w:rsid w:val="00065703"/>
    <w:rsid w:val="000666F9"/>
    <w:rsid w:val="00066A51"/>
    <w:rsid w:val="00067317"/>
    <w:rsid w:val="0006740D"/>
    <w:rsid w:val="000679B1"/>
    <w:rsid w:val="00072447"/>
    <w:rsid w:val="00072E96"/>
    <w:rsid w:val="00072FC1"/>
    <w:rsid w:val="00073073"/>
    <w:rsid w:val="0007417E"/>
    <w:rsid w:val="000745E0"/>
    <w:rsid w:val="00077FF4"/>
    <w:rsid w:val="000813A5"/>
    <w:rsid w:val="0008213D"/>
    <w:rsid w:val="0008221E"/>
    <w:rsid w:val="000828D2"/>
    <w:rsid w:val="000844A7"/>
    <w:rsid w:val="00086097"/>
    <w:rsid w:val="000863B7"/>
    <w:rsid w:val="0008666F"/>
    <w:rsid w:val="00086AA1"/>
    <w:rsid w:val="000870C7"/>
    <w:rsid w:val="000876BB"/>
    <w:rsid w:val="00087E66"/>
    <w:rsid w:val="00091153"/>
    <w:rsid w:val="00091765"/>
    <w:rsid w:val="000921B5"/>
    <w:rsid w:val="000930B7"/>
    <w:rsid w:val="000933B4"/>
    <w:rsid w:val="0009343E"/>
    <w:rsid w:val="00094B8A"/>
    <w:rsid w:val="0009560A"/>
    <w:rsid w:val="00095F28"/>
    <w:rsid w:val="00096257"/>
    <w:rsid w:val="00096DB6"/>
    <w:rsid w:val="000A2FDA"/>
    <w:rsid w:val="000A62C2"/>
    <w:rsid w:val="000B044E"/>
    <w:rsid w:val="000B0D6F"/>
    <w:rsid w:val="000B1A3E"/>
    <w:rsid w:val="000B2232"/>
    <w:rsid w:val="000B27F0"/>
    <w:rsid w:val="000B300E"/>
    <w:rsid w:val="000B3049"/>
    <w:rsid w:val="000B30F6"/>
    <w:rsid w:val="000B4392"/>
    <w:rsid w:val="000B4FFF"/>
    <w:rsid w:val="000B69B0"/>
    <w:rsid w:val="000C0BE2"/>
    <w:rsid w:val="000C0EED"/>
    <w:rsid w:val="000C2C22"/>
    <w:rsid w:val="000C3BCF"/>
    <w:rsid w:val="000C4186"/>
    <w:rsid w:val="000C663D"/>
    <w:rsid w:val="000C6859"/>
    <w:rsid w:val="000D0593"/>
    <w:rsid w:val="000D0786"/>
    <w:rsid w:val="000D1FD9"/>
    <w:rsid w:val="000D284F"/>
    <w:rsid w:val="000D2D44"/>
    <w:rsid w:val="000D35CF"/>
    <w:rsid w:val="000D3C48"/>
    <w:rsid w:val="000D4A01"/>
    <w:rsid w:val="000D4D03"/>
    <w:rsid w:val="000D579B"/>
    <w:rsid w:val="000D5A5B"/>
    <w:rsid w:val="000D5C09"/>
    <w:rsid w:val="000E1362"/>
    <w:rsid w:val="000E1ECC"/>
    <w:rsid w:val="000E25A2"/>
    <w:rsid w:val="000E543E"/>
    <w:rsid w:val="000E5E33"/>
    <w:rsid w:val="000E68D4"/>
    <w:rsid w:val="000E78DD"/>
    <w:rsid w:val="000E7A27"/>
    <w:rsid w:val="000E7E54"/>
    <w:rsid w:val="000F04DB"/>
    <w:rsid w:val="000F2C58"/>
    <w:rsid w:val="000F3AD9"/>
    <w:rsid w:val="000F5C39"/>
    <w:rsid w:val="000F69C5"/>
    <w:rsid w:val="000F7B64"/>
    <w:rsid w:val="000F7B9F"/>
    <w:rsid w:val="0010150C"/>
    <w:rsid w:val="00101938"/>
    <w:rsid w:val="001027AC"/>
    <w:rsid w:val="00102EDA"/>
    <w:rsid w:val="00102EE4"/>
    <w:rsid w:val="00103BE3"/>
    <w:rsid w:val="0010418B"/>
    <w:rsid w:val="0010556A"/>
    <w:rsid w:val="00105AA4"/>
    <w:rsid w:val="00106E02"/>
    <w:rsid w:val="00107FDA"/>
    <w:rsid w:val="00110AA6"/>
    <w:rsid w:val="00110D89"/>
    <w:rsid w:val="001117A6"/>
    <w:rsid w:val="00111E1F"/>
    <w:rsid w:val="00112F5F"/>
    <w:rsid w:val="001161F3"/>
    <w:rsid w:val="001205FA"/>
    <w:rsid w:val="0012096D"/>
    <w:rsid w:val="00120A07"/>
    <w:rsid w:val="00121076"/>
    <w:rsid w:val="00121C07"/>
    <w:rsid w:val="00123696"/>
    <w:rsid w:val="0012490A"/>
    <w:rsid w:val="00126BCA"/>
    <w:rsid w:val="001271AA"/>
    <w:rsid w:val="00133230"/>
    <w:rsid w:val="001333A6"/>
    <w:rsid w:val="0013405A"/>
    <w:rsid w:val="00134E20"/>
    <w:rsid w:val="0013792F"/>
    <w:rsid w:val="001406FD"/>
    <w:rsid w:val="00140ECE"/>
    <w:rsid w:val="00140EDD"/>
    <w:rsid w:val="00141C3B"/>
    <w:rsid w:val="00141F68"/>
    <w:rsid w:val="0014274F"/>
    <w:rsid w:val="00143CA6"/>
    <w:rsid w:val="001440CC"/>
    <w:rsid w:val="00145134"/>
    <w:rsid w:val="001455C4"/>
    <w:rsid w:val="001459DC"/>
    <w:rsid w:val="00150B10"/>
    <w:rsid w:val="00150B16"/>
    <w:rsid w:val="0015161E"/>
    <w:rsid w:val="00151B5A"/>
    <w:rsid w:val="00152B4C"/>
    <w:rsid w:val="00152DF7"/>
    <w:rsid w:val="001532B9"/>
    <w:rsid w:val="00153E89"/>
    <w:rsid w:val="00155500"/>
    <w:rsid w:val="001559C5"/>
    <w:rsid w:val="001562A1"/>
    <w:rsid w:val="00156D77"/>
    <w:rsid w:val="00157417"/>
    <w:rsid w:val="001577DE"/>
    <w:rsid w:val="00157E08"/>
    <w:rsid w:val="00160571"/>
    <w:rsid w:val="00160F24"/>
    <w:rsid w:val="00161321"/>
    <w:rsid w:val="0016230E"/>
    <w:rsid w:val="00163F3F"/>
    <w:rsid w:val="001667DF"/>
    <w:rsid w:val="00171E4D"/>
    <w:rsid w:val="001729F7"/>
    <w:rsid w:val="001732B0"/>
    <w:rsid w:val="001732F3"/>
    <w:rsid w:val="0017415C"/>
    <w:rsid w:val="0017550E"/>
    <w:rsid w:val="00176A6D"/>
    <w:rsid w:val="00176C9B"/>
    <w:rsid w:val="0017711F"/>
    <w:rsid w:val="0018153F"/>
    <w:rsid w:val="00182480"/>
    <w:rsid w:val="00182575"/>
    <w:rsid w:val="001839A7"/>
    <w:rsid w:val="00185377"/>
    <w:rsid w:val="00185A1C"/>
    <w:rsid w:val="001862B5"/>
    <w:rsid w:val="001863C5"/>
    <w:rsid w:val="00187E5D"/>
    <w:rsid w:val="00190A45"/>
    <w:rsid w:val="00190A4C"/>
    <w:rsid w:val="00190A56"/>
    <w:rsid w:val="00190D18"/>
    <w:rsid w:val="0019128E"/>
    <w:rsid w:val="00191371"/>
    <w:rsid w:val="00191435"/>
    <w:rsid w:val="00195AB3"/>
    <w:rsid w:val="001972B6"/>
    <w:rsid w:val="001A097B"/>
    <w:rsid w:val="001A1398"/>
    <w:rsid w:val="001A13A8"/>
    <w:rsid w:val="001A17D8"/>
    <w:rsid w:val="001A2841"/>
    <w:rsid w:val="001A3541"/>
    <w:rsid w:val="001A3A5E"/>
    <w:rsid w:val="001A4E06"/>
    <w:rsid w:val="001A5919"/>
    <w:rsid w:val="001A6836"/>
    <w:rsid w:val="001B0BD1"/>
    <w:rsid w:val="001B24F2"/>
    <w:rsid w:val="001B3945"/>
    <w:rsid w:val="001B3C41"/>
    <w:rsid w:val="001B41A4"/>
    <w:rsid w:val="001B42B7"/>
    <w:rsid w:val="001B4B16"/>
    <w:rsid w:val="001B4BBC"/>
    <w:rsid w:val="001B4CF0"/>
    <w:rsid w:val="001B5930"/>
    <w:rsid w:val="001B5BAF"/>
    <w:rsid w:val="001B6963"/>
    <w:rsid w:val="001C1C2E"/>
    <w:rsid w:val="001C2D65"/>
    <w:rsid w:val="001C549C"/>
    <w:rsid w:val="001C5930"/>
    <w:rsid w:val="001C6236"/>
    <w:rsid w:val="001C63B1"/>
    <w:rsid w:val="001C647E"/>
    <w:rsid w:val="001C6598"/>
    <w:rsid w:val="001C7037"/>
    <w:rsid w:val="001D0626"/>
    <w:rsid w:val="001D06E6"/>
    <w:rsid w:val="001D1A85"/>
    <w:rsid w:val="001D1ED5"/>
    <w:rsid w:val="001D2918"/>
    <w:rsid w:val="001D2C37"/>
    <w:rsid w:val="001D3EF3"/>
    <w:rsid w:val="001D56D9"/>
    <w:rsid w:val="001D5DA6"/>
    <w:rsid w:val="001D6065"/>
    <w:rsid w:val="001D631E"/>
    <w:rsid w:val="001D6857"/>
    <w:rsid w:val="001D743E"/>
    <w:rsid w:val="001D76FD"/>
    <w:rsid w:val="001E26A2"/>
    <w:rsid w:val="001E2F40"/>
    <w:rsid w:val="001E35BF"/>
    <w:rsid w:val="001E3C6E"/>
    <w:rsid w:val="001E416B"/>
    <w:rsid w:val="001E537E"/>
    <w:rsid w:val="001E7275"/>
    <w:rsid w:val="001F0481"/>
    <w:rsid w:val="001F0520"/>
    <w:rsid w:val="001F09D0"/>
    <w:rsid w:val="001F0D05"/>
    <w:rsid w:val="001F0D30"/>
    <w:rsid w:val="001F1967"/>
    <w:rsid w:val="001F1A8C"/>
    <w:rsid w:val="001F1FED"/>
    <w:rsid w:val="001F24AC"/>
    <w:rsid w:val="001F2704"/>
    <w:rsid w:val="001F372C"/>
    <w:rsid w:val="001F4E40"/>
    <w:rsid w:val="001F61EE"/>
    <w:rsid w:val="001F6236"/>
    <w:rsid w:val="001F6277"/>
    <w:rsid w:val="001F62D2"/>
    <w:rsid w:val="001F7978"/>
    <w:rsid w:val="001F7ECD"/>
    <w:rsid w:val="0020012D"/>
    <w:rsid w:val="002005A9"/>
    <w:rsid w:val="00201945"/>
    <w:rsid w:val="00203135"/>
    <w:rsid w:val="00203F2B"/>
    <w:rsid w:val="00204691"/>
    <w:rsid w:val="002051C7"/>
    <w:rsid w:val="00206FD3"/>
    <w:rsid w:val="002071C4"/>
    <w:rsid w:val="00210E0E"/>
    <w:rsid w:val="00212554"/>
    <w:rsid w:val="00212760"/>
    <w:rsid w:val="00213237"/>
    <w:rsid w:val="002132CD"/>
    <w:rsid w:val="00213354"/>
    <w:rsid w:val="00214568"/>
    <w:rsid w:val="00215DFD"/>
    <w:rsid w:val="00216849"/>
    <w:rsid w:val="00217355"/>
    <w:rsid w:val="00217A49"/>
    <w:rsid w:val="0022140A"/>
    <w:rsid w:val="002218C5"/>
    <w:rsid w:val="0022225A"/>
    <w:rsid w:val="002223ED"/>
    <w:rsid w:val="0022243B"/>
    <w:rsid w:val="00222CC4"/>
    <w:rsid w:val="00223096"/>
    <w:rsid w:val="00223AAA"/>
    <w:rsid w:val="00223EDC"/>
    <w:rsid w:val="002244FC"/>
    <w:rsid w:val="002248B2"/>
    <w:rsid w:val="00226CA9"/>
    <w:rsid w:val="0023162B"/>
    <w:rsid w:val="002328AB"/>
    <w:rsid w:val="002334AA"/>
    <w:rsid w:val="00234984"/>
    <w:rsid w:val="00234D8F"/>
    <w:rsid w:val="0023505E"/>
    <w:rsid w:val="0023665B"/>
    <w:rsid w:val="00236F19"/>
    <w:rsid w:val="002370D3"/>
    <w:rsid w:val="00237E64"/>
    <w:rsid w:val="00240A36"/>
    <w:rsid w:val="002410D3"/>
    <w:rsid w:val="0024157B"/>
    <w:rsid w:val="00241744"/>
    <w:rsid w:val="0024185B"/>
    <w:rsid w:val="002425A3"/>
    <w:rsid w:val="00243563"/>
    <w:rsid w:val="00244926"/>
    <w:rsid w:val="0024503B"/>
    <w:rsid w:val="00245334"/>
    <w:rsid w:val="00245F98"/>
    <w:rsid w:val="00246863"/>
    <w:rsid w:val="002506D8"/>
    <w:rsid w:val="00250702"/>
    <w:rsid w:val="00250CC7"/>
    <w:rsid w:val="00250D58"/>
    <w:rsid w:val="00251454"/>
    <w:rsid w:val="00251D73"/>
    <w:rsid w:val="00253D1A"/>
    <w:rsid w:val="002567EB"/>
    <w:rsid w:val="00256A87"/>
    <w:rsid w:val="0025750D"/>
    <w:rsid w:val="00263AC6"/>
    <w:rsid w:val="00263DF7"/>
    <w:rsid w:val="00264087"/>
    <w:rsid w:val="00265FB1"/>
    <w:rsid w:val="0026613A"/>
    <w:rsid w:val="00266C51"/>
    <w:rsid w:val="0026759E"/>
    <w:rsid w:val="0026766E"/>
    <w:rsid w:val="00267B6F"/>
    <w:rsid w:val="0027156D"/>
    <w:rsid w:val="002718E0"/>
    <w:rsid w:val="002720A4"/>
    <w:rsid w:val="002725CA"/>
    <w:rsid w:val="00273E9C"/>
    <w:rsid w:val="002741AB"/>
    <w:rsid w:val="002754DA"/>
    <w:rsid w:val="00277B2D"/>
    <w:rsid w:val="00282114"/>
    <w:rsid w:val="0028401C"/>
    <w:rsid w:val="002849DC"/>
    <w:rsid w:val="00284ED6"/>
    <w:rsid w:val="00286236"/>
    <w:rsid w:val="002865B2"/>
    <w:rsid w:val="00287298"/>
    <w:rsid w:val="002908A2"/>
    <w:rsid w:val="00291127"/>
    <w:rsid w:val="002925F9"/>
    <w:rsid w:val="00292F30"/>
    <w:rsid w:val="002944B0"/>
    <w:rsid w:val="00294C25"/>
    <w:rsid w:val="00295C5E"/>
    <w:rsid w:val="00296C88"/>
    <w:rsid w:val="0029736E"/>
    <w:rsid w:val="002A045E"/>
    <w:rsid w:val="002A19D0"/>
    <w:rsid w:val="002A238E"/>
    <w:rsid w:val="002A2991"/>
    <w:rsid w:val="002A2E40"/>
    <w:rsid w:val="002A327D"/>
    <w:rsid w:val="002A345F"/>
    <w:rsid w:val="002A3962"/>
    <w:rsid w:val="002A434B"/>
    <w:rsid w:val="002A4789"/>
    <w:rsid w:val="002A5329"/>
    <w:rsid w:val="002A6259"/>
    <w:rsid w:val="002B03DB"/>
    <w:rsid w:val="002B0A28"/>
    <w:rsid w:val="002B0DF8"/>
    <w:rsid w:val="002B252C"/>
    <w:rsid w:val="002B2578"/>
    <w:rsid w:val="002B359D"/>
    <w:rsid w:val="002B3B9C"/>
    <w:rsid w:val="002B4112"/>
    <w:rsid w:val="002B42D0"/>
    <w:rsid w:val="002B7673"/>
    <w:rsid w:val="002C097B"/>
    <w:rsid w:val="002C10F2"/>
    <w:rsid w:val="002C23B1"/>
    <w:rsid w:val="002C30A7"/>
    <w:rsid w:val="002C618B"/>
    <w:rsid w:val="002C6B29"/>
    <w:rsid w:val="002C7201"/>
    <w:rsid w:val="002D0D5A"/>
    <w:rsid w:val="002D0DD9"/>
    <w:rsid w:val="002D3661"/>
    <w:rsid w:val="002D3680"/>
    <w:rsid w:val="002D4818"/>
    <w:rsid w:val="002D4FDD"/>
    <w:rsid w:val="002D510D"/>
    <w:rsid w:val="002E09C3"/>
    <w:rsid w:val="002E2097"/>
    <w:rsid w:val="002E3367"/>
    <w:rsid w:val="002E4172"/>
    <w:rsid w:val="002E4BEB"/>
    <w:rsid w:val="002E6F8E"/>
    <w:rsid w:val="002F0106"/>
    <w:rsid w:val="002F1A32"/>
    <w:rsid w:val="002F294C"/>
    <w:rsid w:val="002F2B1C"/>
    <w:rsid w:val="002F3FDB"/>
    <w:rsid w:val="002F49EB"/>
    <w:rsid w:val="002F4F04"/>
    <w:rsid w:val="002F6913"/>
    <w:rsid w:val="002F6E81"/>
    <w:rsid w:val="002F7EEC"/>
    <w:rsid w:val="00300158"/>
    <w:rsid w:val="003005DD"/>
    <w:rsid w:val="00301345"/>
    <w:rsid w:val="003016AD"/>
    <w:rsid w:val="003032FC"/>
    <w:rsid w:val="00303C08"/>
    <w:rsid w:val="00305DBB"/>
    <w:rsid w:val="00307E00"/>
    <w:rsid w:val="003104C3"/>
    <w:rsid w:val="003107CA"/>
    <w:rsid w:val="00310809"/>
    <w:rsid w:val="0031196C"/>
    <w:rsid w:val="00311BAE"/>
    <w:rsid w:val="00314111"/>
    <w:rsid w:val="00314648"/>
    <w:rsid w:val="003149EA"/>
    <w:rsid w:val="0031624F"/>
    <w:rsid w:val="0031683C"/>
    <w:rsid w:val="00316853"/>
    <w:rsid w:val="003170D6"/>
    <w:rsid w:val="0031743D"/>
    <w:rsid w:val="003208C9"/>
    <w:rsid w:val="00320AB0"/>
    <w:rsid w:val="00322695"/>
    <w:rsid w:val="00322EF7"/>
    <w:rsid w:val="00324459"/>
    <w:rsid w:val="003268BF"/>
    <w:rsid w:val="00327F49"/>
    <w:rsid w:val="003300D4"/>
    <w:rsid w:val="0033115F"/>
    <w:rsid w:val="0033665B"/>
    <w:rsid w:val="00342270"/>
    <w:rsid w:val="0034373A"/>
    <w:rsid w:val="00344F46"/>
    <w:rsid w:val="0034534F"/>
    <w:rsid w:val="003467A1"/>
    <w:rsid w:val="00347042"/>
    <w:rsid w:val="003470CD"/>
    <w:rsid w:val="00347931"/>
    <w:rsid w:val="00350A59"/>
    <w:rsid w:val="0035410C"/>
    <w:rsid w:val="003550ED"/>
    <w:rsid w:val="00355F03"/>
    <w:rsid w:val="0035746A"/>
    <w:rsid w:val="00360D7D"/>
    <w:rsid w:val="0036115F"/>
    <w:rsid w:val="00361482"/>
    <w:rsid w:val="0036218F"/>
    <w:rsid w:val="00364EA9"/>
    <w:rsid w:val="003653E6"/>
    <w:rsid w:val="003654E0"/>
    <w:rsid w:val="00366259"/>
    <w:rsid w:val="003668ED"/>
    <w:rsid w:val="00366F65"/>
    <w:rsid w:val="0036718C"/>
    <w:rsid w:val="00371101"/>
    <w:rsid w:val="003717D6"/>
    <w:rsid w:val="00371BFF"/>
    <w:rsid w:val="0037205F"/>
    <w:rsid w:val="003723F5"/>
    <w:rsid w:val="003731A2"/>
    <w:rsid w:val="00374531"/>
    <w:rsid w:val="00375897"/>
    <w:rsid w:val="00376067"/>
    <w:rsid w:val="003776A3"/>
    <w:rsid w:val="00377C23"/>
    <w:rsid w:val="00380343"/>
    <w:rsid w:val="00380E71"/>
    <w:rsid w:val="003813D4"/>
    <w:rsid w:val="003817FD"/>
    <w:rsid w:val="00382866"/>
    <w:rsid w:val="00382AB8"/>
    <w:rsid w:val="003849D3"/>
    <w:rsid w:val="00384C16"/>
    <w:rsid w:val="00385710"/>
    <w:rsid w:val="003869ED"/>
    <w:rsid w:val="00387EAA"/>
    <w:rsid w:val="00391A91"/>
    <w:rsid w:val="00391B2B"/>
    <w:rsid w:val="00394314"/>
    <w:rsid w:val="00394D94"/>
    <w:rsid w:val="00395FD0"/>
    <w:rsid w:val="0039759F"/>
    <w:rsid w:val="003A217D"/>
    <w:rsid w:val="003A2630"/>
    <w:rsid w:val="003A26BF"/>
    <w:rsid w:val="003A3718"/>
    <w:rsid w:val="003A63D3"/>
    <w:rsid w:val="003A6B43"/>
    <w:rsid w:val="003B06C4"/>
    <w:rsid w:val="003B1654"/>
    <w:rsid w:val="003B1F13"/>
    <w:rsid w:val="003B2A97"/>
    <w:rsid w:val="003B3E54"/>
    <w:rsid w:val="003B4663"/>
    <w:rsid w:val="003B4BCF"/>
    <w:rsid w:val="003B4D9E"/>
    <w:rsid w:val="003B59B5"/>
    <w:rsid w:val="003B6A68"/>
    <w:rsid w:val="003C0006"/>
    <w:rsid w:val="003C0BAC"/>
    <w:rsid w:val="003C135E"/>
    <w:rsid w:val="003C1450"/>
    <w:rsid w:val="003C15FA"/>
    <w:rsid w:val="003C25B5"/>
    <w:rsid w:val="003C32CF"/>
    <w:rsid w:val="003C4E6A"/>
    <w:rsid w:val="003C540B"/>
    <w:rsid w:val="003C59D4"/>
    <w:rsid w:val="003C603D"/>
    <w:rsid w:val="003C61B4"/>
    <w:rsid w:val="003C69FD"/>
    <w:rsid w:val="003C72A6"/>
    <w:rsid w:val="003C7955"/>
    <w:rsid w:val="003C7A4C"/>
    <w:rsid w:val="003C7F87"/>
    <w:rsid w:val="003D0348"/>
    <w:rsid w:val="003D0940"/>
    <w:rsid w:val="003D0B33"/>
    <w:rsid w:val="003D0E3A"/>
    <w:rsid w:val="003D4762"/>
    <w:rsid w:val="003D73A1"/>
    <w:rsid w:val="003D7C42"/>
    <w:rsid w:val="003E038C"/>
    <w:rsid w:val="003E03A9"/>
    <w:rsid w:val="003E0BD1"/>
    <w:rsid w:val="003E16A6"/>
    <w:rsid w:val="003E2864"/>
    <w:rsid w:val="003E2F3E"/>
    <w:rsid w:val="003E2F48"/>
    <w:rsid w:val="003E37A7"/>
    <w:rsid w:val="003E3CE6"/>
    <w:rsid w:val="003E4262"/>
    <w:rsid w:val="003E453B"/>
    <w:rsid w:val="003E4D4E"/>
    <w:rsid w:val="003E4F84"/>
    <w:rsid w:val="003E521A"/>
    <w:rsid w:val="003E53DE"/>
    <w:rsid w:val="003E6D43"/>
    <w:rsid w:val="003E7515"/>
    <w:rsid w:val="003E757B"/>
    <w:rsid w:val="003F0524"/>
    <w:rsid w:val="003F0FBF"/>
    <w:rsid w:val="003F108A"/>
    <w:rsid w:val="003F2554"/>
    <w:rsid w:val="003F3B19"/>
    <w:rsid w:val="003F46E5"/>
    <w:rsid w:val="00400FF6"/>
    <w:rsid w:val="004020D1"/>
    <w:rsid w:val="00402652"/>
    <w:rsid w:val="00402EDD"/>
    <w:rsid w:val="00404DCC"/>
    <w:rsid w:val="00406373"/>
    <w:rsid w:val="0040646C"/>
    <w:rsid w:val="00406EF6"/>
    <w:rsid w:val="00407467"/>
    <w:rsid w:val="00407C7A"/>
    <w:rsid w:val="00412CF4"/>
    <w:rsid w:val="004149C2"/>
    <w:rsid w:val="004151FC"/>
    <w:rsid w:val="004154D9"/>
    <w:rsid w:val="004219E5"/>
    <w:rsid w:val="0042302F"/>
    <w:rsid w:val="004231B7"/>
    <w:rsid w:val="00423E85"/>
    <w:rsid w:val="004246BC"/>
    <w:rsid w:val="00426CFB"/>
    <w:rsid w:val="004272B5"/>
    <w:rsid w:val="00427897"/>
    <w:rsid w:val="00431996"/>
    <w:rsid w:val="004319F7"/>
    <w:rsid w:val="00431D03"/>
    <w:rsid w:val="004322BC"/>
    <w:rsid w:val="00432AF7"/>
    <w:rsid w:val="00433C68"/>
    <w:rsid w:val="00435100"/>
    <w:rsid w:val="00436037"/>
    <w:rsid w:val="004375C2"/>
    <w:rsid w:val="00440D01"/>
    <w:rsid w:val="00442428"/>
    <w:rsid w:val="00442BB0"/>
    <w:rsid w:val="00444996"/>
    <w:rsid w:val="00444B23"/>
    <w:rsid w:val="00444CCB"/>
    <w:rsid w:val="0044611F"/>
    <w:rsid w:val="00446F30"/>
    <w:rsid w:val="00450D27"/>
    <w:rsid w:val="004511CC"/>
    <w:rsid w:val="004526E0"/>
    <w:rsid w:val="00452996"/>
    <w:rsid w:val="00453956"/>
    <w:rsid w:val="00454047"/>
    <w:rsid w:val="004550AD"/>
    <w:rsid w:val="004558DA"/>
    <w:rsid w:val="00455AAD"/>
    <w:rsid w:val="00457D05"/>
    <w:rsid w:val="0046061D"/>
    <w:rsid w:val="00460B8F"/>
    <w:rsid w:val="00461268"/>
    <w:rsid w:val="00462A3B"/>
    <w:rsid w:val="004632FE"/>
    <w:rsid w:val="00464405"/>
    <w:rsid w:val="00466B49"/>
    <w:rsid w:val="00466D3A"/>
    <w:rsid w:val="00467BFF"/>
    <w:rsid w:val="00471053"/>
    <w:rsid w:val="004710C3"/>
    <w:rsid w:val="004718B0"/>
    <w:rsid w:val="00471A9C"/>
    <w:rsid w:val="004748C0"/>
    <w:rsid w:val="0047505E"/>
    <w:rsid w:val="00475098"/>
    <w:rsid w:val="00477D8F"/>
    <w:rsid w:val="004806B9"/>
    <w:rsid w:val="0048234E"/>
    <w:rsid w:val="00483C38"/>
    <w:rsid w:val="00484523"/>
    <w:rsid w:val="0048491E"/>
    <w:rsid w:val="00485B2E"/>
    <w:rsid w:val="00485C85"/>
    <w:rsid w:val="0049006E"/>
    <w:rsid w:val="00490661"/>
    <w:rsid w:val="00491353"/>
    <w:rsid w:val="004920CF"/>
    <w:rsid w:val="00492C41"/>
    <w:rsid w:val="00493EA8"/>
    <w:rsid w:val="00494103"/>
    <w:rsid w:val="00496996"/>
    <w:rsid w:val="0049729C"/>
    <w:rsid w:val="004A1B61"/>
    <w:rsid w:val="004A2B74"/>
    <w:rsid w:val="004A3376"/>
    <w:rsid w:val="004A6345"/>
    <w:rsid w:val="004A6CE7"/>
    <w:rsid w:val="004A71E7"/>
    <w:rsid w:val="004A7AC6"/>
    <w:rsid w:val="004B1BCC"/>
    <w:rsid w:val="004B29B8"/>
    <w:rsid w:val="004B3E7F"/>
    <w:rsid w:val="004B44E8"/>
    <w:rsid w:val="004B5992"/>
    <w:rsid w:val="004B5B37"/>
    <w:rsid w:val="004B5FD8"/>
    <w:rsid w:val="004B67A7"/>
    <w:rsid w:val="004B7A42"/>
    <w:rsid w:val="004C079A"/>
    <w:rsid w:val="004C1389"/>
    <w:rsid w:val="004C1490"/>
    <w:rsid w:val="004C22C4"/>
    <w:rsid w:val="004C270A"/>
    <w:rsid w:val="004C3188"/>
    <w:rsid w:val="004C3FDB"/>
    <w:rsid w:val="004C49D8"/>
    <w:rsid w:val="004C5B7A"/>
    <w:rsid w:val="004C68D4"/>
    <w:rsid w:val="004C7BD7"/>
    <w:rsid w:val="004D020B"/>
    <w:rsid w:val="004D16DF"/>
    <w:rsid w:val="004D2042"/>
    <w:rsid w:val="004D3569"/>
    <w:rsid w:val="004D40FD"/>
    <w:rsid w:val="004D4243"/>
    <w:rsid w:val="004D4428"/>
    <w:rsid w:val="004D5187"/>
    <w:rsid w:val="004D5670"/>
    <w:rsid w:val="004D5AB7"/>
    <w:rsid w:val="004D5C70"/>
    <w:rsid w:val="004D6119"/>
    <w:rsid w:val="004E14FC"/>
    <w:rsid w:val="004E1C7A"/>
    <w:rsid w:val="004E1CBD"/>
    <w:rsid w:val="004E3A05"/>
    <w:rsid w:val="004E3F07"/>
    <w:rsid w:val="004E4658"/>
    <w:rsid w:val="004E4CA2"/>
    <w:rsid w:val="004E4F04"/>
    <w:rsid w:val="004E5025"/>
    <w:rsid w:val="004E59B1"/>
    <w:rsid w:val="004E660A"/>
    <w:rsid w:val="004E68DF"/>
    <w:rsid w:val="004E693E"/>
    <w:rsid w:val="004E7657"/>
    <w:rsid w:val="004F17CC"/>
    <w:rsid w:val="004F1A10"/>
    <w:rsid w:val="004F27FB"/>
    <w:rsid w:val="004F3F57"/>
    <w:rsid w:val="004F4A2E"/>
    <w:rsid w:val="004F589F"/>
    <w:rsid w:val="005010CB"/>
    <w:rsid w:val="00501951"/>
    <w:rsid w:val="00501CBC"/>
    <w:rsid w:val="0050254C"/>
    <w:rsid w:val="00503DD5"/>
    <w:rsid w:val="005042E9"/>
    <w:rsid w:val="00504614"/>
    <w:rsid w:val="00505A5A"/>
    <w:rsid w:val="00505EE9"/>
    <w:rsid w:val="0050686A"/>
    <w:rsid w:val="0051109F"/>
    <w:rsid w:val="005129CD"/>
    <w:rsid w:val="00513338"/>
    <w:rsid w:val="00513D45"/>
    <w:rsid w:val="00514501"/>
    <w:rsid w:val="0051646A"/>
    <w:rsid w:val="00516C05"/>
    <w:rsid w:val="0052057A"/>
    <w:rsid w:val="00520CCB"/>
    <w:rsid w:val="0052125A"/>
    <w:rsid w:val="00522C68"/>
    <w:rsid w:val="00524770"/>
    <w:rsid w:val="00526114"/>
    <w:rsid w:val="005277CC"/>
    <w:rsid w:val="0053189D"/>
    <w:rsid w:val="00531D61"/>
    <w:rsid w:val="005320CA"/>
    <w:rsid w:val="0053233A"/>
    <w:rsid w:val="00534A1E"/>
    <w:rsid w:val="00536FB7"/>
    <w:rsid w:val="005404FC"/>
    <w:rsid w:val="005407C5"/>
    <w:rsid w:val="00541560"/>
    <w:rsid w:val="00543A64"/>
    <w:rsid w:val="00543C81"/>
    <w:rsid w:val="00545C5B"/>
    <w:rsid w:val="00546E81"/>
    <w:rsid w:val="005475DC"/>
    <w:rsid w:val="005517B7"/>
    <w:rsid w:val="00551B8C"/>
    <w:rsid w:val="00552187"/>
    <w:rsid w:val="00552C58"/>
    <w:rsid w:val="00553956"/>
    <w:rsid w:val="00553A03"/>
    <w:rsid w:val="00553ADA"/>
    <w:rsid w:val="0055436C"/>
    <w:rsid w:val="00554597"/>
    <w:rsid w:val="00554956"/>
    <w:rsid w:val="005550E2"/>
    <w:rsid w:val="005555A8"/>
    <w:rsid w:val="005557EA"/>
    <w:rsid w:val="00560249"/>
    <w:rsid w:val="00560263"/>
    <w:rsid w:val="00560299"/>
    <w:rsid w:val="00562138"/>
    <w:rsid w:val="00564A7F"/>
    <w:rsid w:val="00565B52"/>
    <w:rsid w:val="00567AED"/>
    <w:rsid w:val="00567EE0"/>
    <w:rsid w:val="00570502"/>
    <w:rsid w:val="00573BF3"/>
    <w:rsid w:val="00574534"/>
    <w:rsid w:val="0057465E"/>
    <w:rsid w:val="00574950"/>
    <w:rsid w:val="0057549D"/>
    <w:rsid w:val="00576190"/>
    <w:rsid w:val="0057693A"/>
    <w:rsid w:val="00576F3E"/>
    <w:rsid w:val="00577AC1"/>
    <w:rsid w:val="00577FEC"/>
    <w:rsid w:val="00580B3D"/>
    <w:rsid w:val="00580FD6"/>
    <w:rsid w:val="00582CD7"/>
    <w:rsid w:val="005852B6"/>
    <w:rsid w:val="005855B4"/>
    <w:rsid w:val="005866C9"/>
    <w:rsid w:val="005879C0"/>
    <w:rsid w:val="00590B5A"/>
    <w:rsid w:val="005916DB"/>
    <w:rsid w:val="00591885"/>
    <w:rsid w:val="00593621"/>
    <w:rsid w:val="0059396D"/>
    <w:rsid w:val="00593DF3"/>
    <w:rsid w:val="005942A0"/>
    <w:rsid w:val="00594968"/>
    <w:rsid w:val="005961C7"/>
    <w:rsid w:val="00596E53"/>
    <w:rsid w:val="005A385F"/>
    <w:rsid w:val="005A398E"/>
    <w:rsid w:val="005A3DA3"/>
    <w:rsid w:val="005A49A9"/>
    <w:rsid w:val="005A67BE"/>
    <w:rsid w:val="005A6AC1"/>
    <w:rsid w:val="005A7831"/>
    <w:rsid w:val="005B0564"/>
    <w:rsid w:val="005B0716"/>
    <w:rsid w:val="005B2E06"/>
    <w:rsid w:val="005B303F"/>
    <w:rsid w:val="005B32C4"/>
    <w:rsid w:val="005B352A"/>
    <w:rsid w:val="005B4274"/>
    <w:rsid w:val="005B4BDC"/>
    <w:rsid w:val="005B7138"/>
    <w:rsid w:val="005C04A7"/>
    <w:rsid w:val="005C0AB2"/>
    <w:rsid w:val="005C10B3"/>
    <w:rsid w:val="005C1E7C"/>
    <w:rsid w:val="005C254B"/>
    <w:rsid w:val="005C3FEB"/>
    <w:rsid w:val="005C41E2"/>
    <w:rsid w:val="005C4333"/>
    <w:rsid w:val="005C4465"/>
    <w:rsid w:val="005C5021"/>
    <w:rsid w:val="005C56C2"/>
    <w:rsid w:val="005C582F"/>
    <w:rsid w:val="005C58A9"/>
    <w:rsid w:val="005C5D12"/>
    <w:rsid w:val="005C61B0"/>
    <w:rsid w:val="005C7B8E"/>
    <w:rsid w:val="005D0174"/>
    <w:rsid w:val="005D0E0E"/>
    <w:rsid w:val="005D0E40"/>
    <w:rsid w:val="005D157A"/>
    <w:rsid w:val="005D1790"/>
    <w:rsid w:val="005D35E9"/>
    <w:rsid w:val="005D3B99"/>
    <w:rsid w:val="005D3EC2"/>
    <w:rsid w:val="005D6D58"/>
    <w:rsid w:val="005D6E6F"/>
    <w:rsid w:val="005D72DA"/>
    <w:rsid w:val="005E02FB"/>
    <w:rsid w:val="005E0B2D"/>
    <w:rsid w:val="005E1737"/>
    <w:rsid w:val="005E204E"/>
    <w:rsid w:val="005E27E0"/>
    <w:rsid w:val="005E62CA"/>
    <w:rsid w:val="005E78B6"/>
    <w:rsid w:val="005F2D64"/>
    <w:rsid w:val="005F33D0"/>
    <w:rsid w:val="005F4695"/>
    <w:rsid w:val="005F49AF"/>
    <w:rsid w:val="005F49CE"/>
    <w:rsid w:val="005F5BD4"/>
    <w:rsid w:val="005F76B7"/>
    <w:rsid w:val="005F7991"/>
    <w:rsid w:val="005F7BCB"/>
    <w:rsid w:val="0060107B"/>
    <w:rsid w:val="006016EC"/>
    <w:rsid w:val="00601AC4"/>
    <w:rsid w:val="006042AF"/>
    <w:rsid w:val="006043E0"/>
    <w:rsid w:val="0060466A"/>
    <w:rsid w:val="006046E7"/>
    <w:rsid w:val="0060476B"/>
    <w:rsid w:val="00605DCA"/>
    <w:rsid w:val="00605FAA"/>
    <w:rsid w:val="0061112A"/>
    <w:rsid w:val="006115CC"/>
    <w:rsid w:val="00612538"/>
    <w:rsid w:val="00613F75"/>
    <w:rsid w:val="00614D9E"/>
    <w:rsid w:val="00615065"/>
    <w:rsid w:val="0061541A"/>
    <w:rsid w:val="006154B1"/>
    <w:rsid w:val="00615AFD"/>
    <w:rsid w:val="00615C36"/>
    <w:rsid w:val="006163C6"/>
    <w:rsid w:val="00616C9B"/>
    <w:rsid w:val="00616D3E"/>
    <w:rsid w:val="0061754C"/>
    <w:rsid w:val="00620E9D"/>
    <w:rsid w:val="00623ACB"/>
    <w:rsid w:val="006248ED"/>
    <w:rsid w:val="00624B66"/>
    <w:rsid w:val="00624FE1"/>
    <w:rsid w:val="0062552F"/>
    <w:rsid w:val="00625DE3"/>
    <w:rsid w:val="0062613C"/>
    <w:rsid w:val="00627AE1"/>
    <w:rsid w:val="00630D03"/>
    <w:rsid w:val="00632431"/>
    <w:rsid w:val="00632A25"/>
    <w:rsid w:val="006336E7"/>
    <w:rsid w:val="006346E7"/>
    <w:rsid w:val="006350D0"/>
    <w:rsid w:val="00636C82"/>
    <w:rsid w:val="006377A1"/>
    <w:rsid w:val="0064155F"/>
    <w:rsid w:val="00641D77"/>
    <w:rsid w:val="00641E95"/>
    <w:rsid w:val="0064442E"/>
    <w:rsid w:val="0064465E"/>
    <w:rsid w:val="00644EBC"/>
    <w:rsid w:val="0064638E"/>
    <w:rsid w:val="00646974"/>
    <w:rsid w:val="00647480"/>
    <w:rsid w:val="00647C50"/>
    <w:rsid w:val="00650EB2"/>
    <w:rsid w:val="006512C6"/>
    <w:rsid w:val="00651A66"/>
    <w:rsid w:val="006551D3"/>
    <w:rsid w:val="0065552F"/>
    <w:rsid w:val="00657995"/>
    <w:rsid w:val="006614F5"/>
    <w:rsid w:val="00662493"/>
    <w:rsid w:val="00662696"/>
    <w:rsid w:val="00663311"/>
    <w:rsid w:val="006644DA"/>
    <w:rsid w:val="006647FE"/>
    <w:rsid w:val="00664F8B"/>
    <w:rsid w:val="00666940"/>
    <w:rsid w:val="006702D7"/>
    <w:rsid w:val="00670EAE"/>
    <w:rsid w:val="00671B42"/>
    <w:rsid w:val="00672AD7"/>
    <w:rsid w:val="00672BAC"/>
    <w:rsid w:val="006741A4"/>
    <w:rsid w:val="00680F37"/>
    <w:rsid w:val="0068196C"/>
    <w:rsid w:val="00681F1A"/>
    <w:rsid w:val="006839E9"/>
    <w:rsid w:val="00683CE3"/>
    <w:rsid w:val="00683E72"/>
    <w:rsid w:val="006840E6"/>
    <w:rsid w:val="00686FEA"/>
    <w:rsid w:val="0068706C"/>
    <w:rsid w:val="00687B31"/>
    <w:rsid w:val="00690406"/>
    <w:rsid w:val="00691242"/>
    <w:rsid w:val="00691EF1"/>
    <w:rsid w:val="00692C2B"/>
    <w:rsid w:val="00693013"/>
    <w:rsid w:val="00693427"/>
    <w:rsid w:val="00694388"/>
    <w:rsid w:val="00696AF7"/>
    <w:rsid w:val="006973C7"/>
    <w:rsid w:val="006A0851"/>
    <w:rsid w:val="006A1B9E"/>
    <w:rsid w:val="006A23ED"/>
    <w:rsid w:val="006A3649"/>
    <w:rsid w:val="006A411C"/>
    <w:rsid w:val="006A456E"/>
    <w:rsid w:val="006A57F5"/>
    <w:rsid w:val="006A6E14"/>
    <w:rsid w:val="006A6ECD"/>
    <w:rsid w:val="006A7D18"/>
    <w:rsid w:val="006B10F2"/>
    <w:rsid w:val="006B3E6E"/>
    <w:rsid w:val="006B3EDC"/>
    <w:rsid w:val="006B4EC8"/>
    <w:rsid w:val="006B5C62"/>
    <w:rsid w:val="006B6B17"/>
    <w:rsid w:val="006B7137"/>
    <w:rsid w:val="006B728A"/>
    <w:rsid w:val="006B7F98"/>
    <w:rsid w:val="006C0206"/>
    <w:rsid w:val="006C091A"/>
    <w:rsid w:val="006C0F11"/>
    <w:rsid w:val="006C150E"/>
    <w:rsid w:val="006C1ADD"/>
    <w:rsid w:val="006C326E"/>
    <w:rsid w:val="006C6491"/>
    <w:rsid w:val="006C71D8"/>
    <w:rsid w:val="006D1437"/>
    <w:rsid w:val="006D1B68"/>
    <w:rsid w:val="006D2EA2"/>
    <w:rsid w:val="006D2EB6"/>
    <w:rsid w:val="006D5EBE"/>
    <w:rsid w:val="006D74ED"/>
    <w:rsid w:val="006E0621"/>
    <w:rsid w:val="006E0ADE"/>
    <w:rsid w:val="006E0E36"/>
    <w:rsid w:val="006E1994"/>
    <w:rsid w:val="006E1AA3"/>
    <w:rsid w:val="006E2124"/>
    <w:rsid w:val="006E2F9D"/>
    <w:rsid w:val="006E35AD"/>
    <w:rsid w:val="006E618E"/>
    <w:rsid w:val="006E6CEE"/>
    <w:rsid w:val="006E6D1B"/>
    <w:rsid w:val="006F1686"/>
    <w:rsid w:val="006F27F9"/>
    <w:rsid w:val="006F37C0"/>
    <w:rsid w:val="006F4D43"/>
    <w:rsid w:val="006F64EE"/>
    <w:rsid w:val="006F66DF"/>
    <w:rsid w:val="006F676A"/>
    <w:rsid w:val="006F6EE0"/>
    <w:rsid w:val="006F797E"/>
    <w:rsid w:val="007012BB"/>
    <w:rsid w:val="007018C5"/>
    <w:rsid w:val="007028D9"/>
    <w:rsid w:val="00703D06"/>
    <w:rsid w:val="00706E50"/>
    <w:rsid w:val="00710D90"/>
    <w:rsid w:val="00712167"/>
    <w:rsid w:val="00713E7C"/>
    <w:rsid w:val="007140FF"/>
    <w:rsid w:val="00714540"/>
    <w:rsid w:val="007145BD"/>
    <w:rsid w:val="007157A3"/>
    <w:rsid w:val="007170A7"/>
    <w:rsid w:val="00720131"/>
    <w:rsid w:val="00721E18"/>
    <w:rsid w:val="00722681"/>
    <w:rsid w:val="00722D70"/>
    <w:rsid w:val="0072300D"/>
    <w:rsid w:val="0072350A"/>
    <w:rsid w:val="0072389A"/>
    <w:rsid w:val="00724479"/>
    <w:rsid w:val="00724A50"/>
    <w:rsid w:val="00725996"/>
    <w:rsid w:val="00725B75"/>
    <w:rsid w:val="007267C1"/>
    <w:rsid w:val="00726A66"/>
    <w:rsid w:val="00727A74"/>
    <w:rsid w:val="00731B66"/>
    <w:rsid w:val="00732218"/>
    <w:rsid w:val="007327FE"/>
    <w:rsid w:val="00733B63"/>
    <w:rsid w:val="007344CE"/>
    <w:rsid w:val="00734774"/>
    <w:rsid w:val="00734B53"/>
    <w:rsid w:val="00734D7A"/>
    <w:rsid w:val="00735463"/>
    <w:rsid w:val="00736290"/>
    <w:rsid w:val="007363B8"/>
    <w:rsid w:val="00736CF5"/>
    <w:rsid w:val="00737F87"/>
    <w:rsid w:val="0074158D"/>
    <w:rsid w:val="00743F83"/>
    <w:rsid w:val="0074539C"/>
    <w:rsid w:val="007473AE"/>
    <w:rsid w:val="007501B1"/>
    <w:rsid w:val="0075034A"/>
    <w:rsid w:val="00751760"/>
    <w:rsid w:val="00751AB0"/>
    <w:rsid w:val="00752AD6"/>
    <w:rsid w:val="0075305D"/>
    <w:rsid w:val="00753BA9"/>
    <w:rsid w:val="007547A4"/>
    <w:rsid w:val="007558D8"/>
    <w:rsid w:val="007561BC"/>
    <w:rsid w:val="00756421"/>
    <w:rsid w:val="007575EE"/>
    <w:rsid w:val="007577A7"/>
    <w:rsid w:val="00757DDA"/>
    <w:rsid w:val="007607DC"/>
    <w:rsid w:val="0076081A"/>
    <w:rsid w:val="00761090"/>
    <w:rsid w:val="00764925"/>
    <w:rsid w:val="00765100"/>
    <w:rsid w:val="00765FBD"/>
    <w:rsid w:val="00766398"/>
    <w:rsid w:val="007663ED"/>
    <w:rsid w:val="007667B0"/>
    <w:rsid w:val="00766B3F"/>
    <w:rsid w:val="00767787"/>
    <w:rsid w:val="007716CB"/>
    <w:rsid w:val="00772C34"/>
    <w:rsid w:val="007739AA"/>
    <w:rsid w:val="00774842"/>
    <w:rsid w:val="00774DD9"/>
    <w:rsid w:val="00774F67"/>
    <w:rsid w:val="007754E0"/>
    <w:rsid w:val="0077570E"/>
    <w:rsid w:val="00775C09"/>
    <w:rsid w:val="00776B97"/>
    <w:rsid w:val="007777B8"/>
    <w:rsid w:val="0078182B"/>
    <w:rsid w:val="00782D89"/>
    <w:rsid w:val="00783058"/>
    <w:rsid w:val="00784872"/>
    <w:rsid w:val="00785099"/>
    <w:rsid w:val="0078671A"/>
    <w:rsid w:val="0078756D"/>
    <w:rsid w:val="00787880"/>
    <w:rsid w:val="00787976"/>
    <w:rsid w:val="00790F66"/>
    <w:rsid w:val="00792F8B"/>
    <w:rsid w:val="007930AF"/>
    <w:rsid w:val="0079484F"/>
    <w:rsid w:val="00794FF3"/>
    <w:rsid w:val="0079600E"/>
    <w:rsid w:val="007962FC"/>
    <w:rsid w:val="00797FC9"/>
    <w:rsid w:val="007A1F30"/>
    <w:rsid w:val="007A2131"/>
    <w:rsid w:val="007A2552"/>
    <w:rsid w:val="007A38B2"/>
    <w:rsid w:val="007A3AC1"/>
    <w:rsid w:val="007A5FE7"/>
    <w:rsid w:val="007A660C"/>
    <w:rsid w:val="007A6E51"/>
    <w:rsid w:val="007B0775"/>
    <w:rsid w:val="007B11CD"/>
    <w:rsid w:val="007B2A04"/>
    <w:rsid w:val="007B3333"/>
    <w:rsid w:val="007B4480"/>
    <w:rsid w:val="007B4D97"/>
    <w:rsid w:val="007B4EB4"/>
    <w:rsid w:val="007B5D22"/>
    <w:rsid w:val="007B6606"/>
    <w:rsid w:val="007B7F92"/>
    <w:rsid w:val="007C0005"/>
    <w:rsid w:val="007C0511"/>
    <w:rsid w:val="007C0517"/>
    <w:rsid w:val="007C0A4F"/>
    <w:rsid w:val="007C12E6"/>
    <w:rsid w:val="007C18C5"/>
    <w:rsid w:val="007C2303"/>
    <w:rsid w:val="007C3DD2"/>
    <w:rsid w:val="007C50A3"/>
    <w:rsid w:val="007C5462"/>
    <w:rsid w:val="007C554A"/>
    <w:rsid w:val="007C5B16"/>
    <w:rsid w:val="007C5C2C"/>
    <w:rsid w:val="007C5F81"/>
    <w:rsid w:val="007C638C"/>
    <w:rsid w:val="007C65B9"/>
    <w:rsid w:val="007C728F"/>
    <w:rsid w:val="007C77E5"/>
    <w:rsid w:val="007D056F"/>
    <w:rsid w:val="007D05F2"/>
    <w:rsid w:val="007D080B"/>
    <w:rsid w:val="007D0B9B"/>
    <w:rsid w:val="007D1149"/>
    <w:rsid w:val="007D1BFF"/>
    <w:rsid w:val="007D20CC"/>
    <w:rsid w:val="007D2456"/>
    <w:rsid w:val="007D24B8"/>
    <w:rsid w:val="007D2D07"/>
    <w:rsid w:val="007D42DD"/>
    <w:rsid w:val="007D6366"/>
    <w:rsid w:val="007D7580"/>
    <w:rsid w:val="007E084E"/>
    <w:rsid w:val="007E1625"/>
    <w:rsid w:val="007E1CD2"/>
    <w:rsid w:val="007E4F3B"/>
    <w:rsid w:val="007E5198"/>
    <w:rsid w:val="007E5FCE"/>
    <w:rsid w:val="007E673B"/>
    <w:rsid w:val="007E7112"/>
    <w:rsid w:val="007F2EAD"/>
    <w:rsid w:val="007F3D70"/>
    <w:rsid w:val="007F455A"/>
    <w:rsid w:val="007F481A"/>
    <w:rsid w:val="007F4E4E"/>
    <w:rsid w:val="007F6AB7"/>
    <w:rsid w:val="007F7839"/>
    <w:rsid w:val="0080364C"/>
    <w:rsid w:val="00804EB7"/>
    <w:rsid w:val="008051FA"/>
    <w:rsid w:val="008059E6"/>
    <w:rsid w:val="00805BB0"/>
    <w:rsid w:val="00805C09"/>
    <w:rsid w:val="008060AD"/>
    <w:rsid w:val="0080634C"/>
    <w:rsid w:val="00806E13"/>
    <w:rsid w:val="00807908"/>
    <w:rsid w:val="00811B4C"/>
    <w:rsid w:val="00811E2C"/>
    <w:rsid w:val="00812104"/>
    <w:rsid w:val="00812559"/>
    <w:rsid w:val="00814204"/>
    <w:rsid w:val="0081430E"/>
    <w:rsid w:val="00814447"/>
    <w:rsid w:val="00814CC9"/>
    <w:rsid w:val="00816964"/>
    <w:rsid w:val="00817EC5"/>
    <w:rsid w:val="00820DED"/>
    <w:rsid w:val="00820F12"/>
    <w:rsid w:val="0082142F"/>
    <w:rsid w:val="00823141"/>
    <w:rsid w:val="0082334C"/>
    <w:rsid w:val="0082383F"/>
    <w:rsid w:val="00824180"/>
    <w:rsid w:val="00825653"/>
    <w:rsid w:val="008264AA"/>
    <w:rsid w:val="00826661"/>
    <w:rsid w:val="008268CF"/>
    <w:rsid w:val="00826A0E"/>
    <w:rsid w:val="00827044"/>
    <w:rsid w:val="00831D8E"/>
    <w:rsid w:val="00832C17"/>
    <w:rsid w:val="00832F51"/>
    <w:rsid w:val="00833B7E"/>
    <w:rsid w:val="00836341"/>
    <w:rsid w:val="00836652"/>
    <w:rsid w:val="008403B5"/>
    <w:rsid w:val="00844C82"/>
    <w:rsid w:val="0084504D"/>
    <w:rsid w:val="0084551E"/>
    <w:rsid w:val="00845EDE"/>
    <w:rsid w:val="00846361"/>
    <w:rsid w:val="008472ED"/>
    <w:rsid w:val="00847BE3"/>
    <w:rsid w:val="0085008A"/>
    <w:rsid w:val="00850DA0"/>
    <w:rsid w:val="00850F74"/>
    <w:rsid w:val="008519A1"/>
    <w:rsid w:val="00851D93"/>
    <w:rsid w:val="00852212"/>
    <w:rsid w:val="00852ECA"/>
    <w:rsid w:val="00852FBD"/>
    <w:rsid w:val="00855DD2"/>
    <w:rsid w:val="00856281"/>
    <w:rsid w:val="00857B75"/>
    <w:rsid w:val="0086012A"/>
    <w:rsid w:val="00860FE4"/>
    <w:rsid w:val="00862E2F"/>
    <w:rsid w:val="00863258"/>
    <w:rsid w:val="0086326C"/>
    <w:rsid w:val="00863BB5"/>
    <w:rsid w:val="00863FC8"/>
    <w:rsid w:val="008648A1"/>
    <w:rsid w:val="008648D4"/>
    <w:rsid w:val="00864E00"/>
    <w:rsid w:val="008654EA"/>
    <w:rsid w:val="00866001"/>
    <w:rsid w:val="00866925"/>
    <w:rsid w:val="00870424"/>
    <w:rsid w:val="00870D05"/>
    <w:rsid w:val="00870EE3"/>
    <w:rsid w:val="00873EFD"/>
    <w:rsid w:val="00874662"/>
    <w:rsid w:val="0087518E"/>
    <w:rsid w:val="008753A0"/>
    <w:rsid w:val="008753CE"/>
    <w:rsid w:val="00875928"/>
    <w:rsid w:val="00875E88"/>
    <w:rsid w:val="0088079C"/>
    <w:rsid w:val="00880AB7"/>
    <w:rsid w:val="00880EFE"/>
    <w:rsid w:val="0088435B"/>
    <w:rsid w:val="008854B6"/>
    <w:rsid w:val="0088735E"/>
    <w:rsid w:val="00887A6A"/>
    <w:rsid w:val="008914E0"/>
    <w:rsid w:val="00892B57"/>
    <w:rsid w:val="00893E63"/>
    <w:rsid w:val="008942DF"/>
    <w:rsid w:val="0089693D"/>
    <w:rsid w:val="00896A90"/>
    <w:rsid w:val="00896AF7"/>
    <w:rsid w:val="00896E13"/>
    <w:rsid w:val="008971A5"/>
    <w:rsid w:val="008974E5"/>
    <w:rsid w:val="008A0ADD"/>
    <w:rsid w:val="008A1E9A"/>
    <w:rsid w:val="008A1F8E"/>
    <w:rsid w:val="008A29A1"/>
    <w:rsid w:val="008A2CA4"/>
    <w:rsid w:val="008A40E9"/>
    <w:rsid w:val="008A5591"/>
    <w:rsid w:val="008A6A49"/>
    <w:rsid w:val="008A74F1"/>
    <w:rsid w:val="008A7861"/>
    <w:rsid w:val="008B089A"/>
    <w:rsid w:val="008B110A"/>
    <w:rsid w:val="008B17A6"/>
    <w:rsid w:val="008B1CD8"/>
    <w:rsid w:val="008B212E"/>
    <w:rsid w:val="008B2F1F"/>
    <w:rsid w:val="008B3CB4"/>
    <w:rsid w:val="008B403E"/>
    <w:rsid w:val="008B4063"/>
    <w:rsid w:val="008B6B9F"/>
    <w:rsid w:val="008C06E6"/>
    <w:rsid w:val="008C25FE"/>
    <w:rsid w:val="008C2F1F"/>
    <w:rsid w:val="008C3E94"/>
    <w:rsid w:val="008C4436"/>
    <w:rsid w:val="008C4735"/>
    <w:rsid w:val="008C496B"/>
    <w:rsid w:val="008C5B32"/>
    <w:rsid w:val="008C5B59"/>
    <w:rsid w:val="008C7B85"/>
    <w:rsid w:val="008D0DEA"/>
    <w:rsid w:val="008D1268"/>
    <w:rsid w:val="008D4134"/>
    <w:rsid w:val="008D4B41"/>
    <w:rsid w:val="008D57F4"/>
    <w:rsid w:val="008D686B"/>
    <w:rsid w:val="008D6C45"/>
    <w:rsid w:val="008D762A"/>
    <w:rsid w:val="008E024A"/>
    <w:rsid w:val="008E0840"/>
    <w:rsid w:val="008E125A"/>
    <w:rsid w:val="008E2739"/>
    <w:rsid w:val="008E289C"/>
    <w:rsid w:val="008E2E37"/>
    <w:rsid w:val="008E4A18"/>
    <w:rsid w:val="008E542E"/>
    <w:rsid w:val="008E5925"/>
    <w:rsid w:val="008E66F0"/>
    <w:rsid w:val="008E725E"/>
    <w:rsid w:val="008E7880"/>
    <w:rsid w:val="008E7A03"/>
    <w:rsid w:val="008F02C6"/>
    <w:rsid w:val="008F0461"/>
    <w:rsid w:val="008F0BC9"/>
    <w:rsid w:val="008F1A4B"/>
    <w:rsid w:val="008F2EFE"/>
    <w:rsid w:val="008F2F42"/>
    <w:rsid w:val="008F3015"/>
    <w:rsid w:val="008F44E0"/>
    <w:rsid w:val="008F4D65"/>
    <w:rsid w:val="008F533E"/>
    <w:rsid w:val="008F5A79"/>
    <w:rsid w:val="008F647F"/>
    <w:rsid w:val="008F7ADE"/>
    <w:rsid w:val="00901B3F"/>
    <w:rsid w:val="00901F67"/>
    <w:rsid w:val="00903B1B"/>
    <w:rsid w:val="009064DE"/>
    <w:rsid w:val="0090684E"/>
    <w:rsid w:val="00906F04"/>
    <w:rsid w:val="00912840"/>
    <w:rsid w:val="0091377C"/>
    <w:rsid w:val="009139FE"/>
    <w:rsid w:val="009141F7"/>
    <w:rsid w:val="00914C03"/>
    <w:rsid w:val="00915BD8"/>
    <w:rsid w:val="009166AD"/>
    <w:rsid w:val="00917798"/>
    <w:rsid w:val="0092017F"/>
    <w:rsid w:val="00921167"/>
    <w:rsid w:val="009225B3"/>
    <w:rsid w:val="009229C0"/>
    <w:rsid w:val="00923057"/>
    <w:rsid w:val="009252FE"/>
    <w:rsid w:val="009277B3"/>
    <w:rsid w:val="00930811"/>
    <w:rsid w:val="00930819"/>
    <w:rsid w:val="00931C53"/>
    <w:rsid w:val="00931E57"/>
    <w:rsid w:val="00932176"/>
    <w:rsid w:val="0093306B"/>
    <w:rsid w:val="00933497"/>
    <w:rsid w:val="009334DA"/>
    <w:rsid w:val="0093400D"/>
    <w:rsid w:val="0093475E"/>
    <w:rsid w:val="009355B8"/>
    <w:rsid w:val="009355E2"/>
    <w:rsid w:val="00936988"/>
    <w:rsid w:val="00940427"/>
    <w:rsid w:val="00944217"/>
    <w:rsid w:val="009445E7"/>
    <w:rsid w:val="009445F8"/>
    <w:rsid w:val="00944C6E"/>
    <w:rsid w:val="00944F0B"/>
    <w:rsid w:val="009457FC"/>
    <w:rsid w:val="009469AD"/>
    <w:rsid w:val="009475C3"/>
    <w:rsid w:val="00947CC9"/>
    <w:rsid w:val="00950E1B"/>
    <w:rsid w:val="00952464"/>
    <w:rsid w:val="00953280"/>
    <w:rsid w:val="009536B0"/>
    <w:rsid w:val="00954EE0"/>
    <w:rsid w:val="009550A6"/>
    <w:rsid w:val="00957015"/>
    <w:rsid w:val="00961787"/>
    <w:rsid w:val="009642A0"/>
    <w:rsid w:val="0096479A"/>
    <w:rsid w:val="0096521D"/>
    <w:rsid w:val="00965766"/>
    <w:rsid w:val="009660B8"/>
    <w:rsid w:val="0096663C"/>
    <w:rsid w:val="00967094"/>
    <w:rsid w:val="00967130"/>
    <w:rsid w:val="009679CD"/>
    <w:rsid w:val="00972739"/>
    <w:rsid w:val="00972776"/>
    <w:rsid w:val="00973636"/>
    <w:rsid w:val="009745D4"/>
    <w:rsid w:val="00975C92"/>
    <w:rsid w:val="00977977"/>
    <w:rsid w:val="00980F08"/>
    <w:rsid w:val="0098116E"/>
    <w:rsid w:val="00982DB9"/>
    <w:rsid w:val="0098443F"/>
    <w:rsid w:val="00984960"/>
    <w:rsid w:val="00985ACD"/>
    <w:rsid w:val="00986168"/>
    <w:rsid w:val="0098628E"/>
    <w:rsid w:val="00987280"/>
    <w:rsid w:val="00987336"/>
    <w:rsid w:val="009873F9"/>
    <w:rsid w:val="009875CE"/>
    <w:rsid w:val="00987A54"/>
    <w:rsid w:val="00987B25"/>
    <w:rsid w:val="009902D4"/>
    <w:rsid w:val="0099088B"/>
    <w:rsid w:val="00990959"/>
    <w:rsid w:val="009911A2"/>
    <w:rsid w:val="00991D9D"/>
    <w:rsid w:val="00991FBA"/>
    <w:rsid w:val="00992517"/>
    <w:rsid w:val="00992731"/>
    <w:rsid w:val="00992B58"/>
    <w:rsid w:val="00992DC7"/>
    <w:rsid w:val="00993428"/>
    <w:rsid w:val="00995D3D"/>
    <w:rsid w:val="009965AE"/>
    <w:rsid w:val="0099721F"/>
    <w:rsid w:val="009A0C61"/>
    <w:rsid w:val="009A14BB"/>
    <w:rsid w:val="009A2650"/>
    <w:rsid w:val="009A495B"/>
    <w:rsid w:val="009A66FB"/>
    <w:rsid w:val="009B01BB"/>
    <w:rsid w:val="009B0FEA"/>
    <w:rsid w:val="009B1373"/>
    <w:rsid w:val="009B21A3"/>
    <w:rsid w:val="009B4D92"/>
    <w:rsid w:val="009B6439"/>
    <w:rsid w:val="009B6BAB"/>
    <w:rsid w:val="009B70B4"/>
    <w:rsid w:val="009C045D"/>
    <w:rsid w:val="009C599F"/>
    <w:rsid w:val="009C6D21"/>
    <w:rsid w:val="009D0AFC"/>
    <w:rsid w:val="009D2400"/>
    <w:rsid w:val="009D2AB4"/>
    <w:rsid w:val="009D2B85"/>
    <w:rsid w:val="009D4DCB"/>
    <w:rsid w:val="009D51BA"/>
    <w:rsid w:val="009D5BF9"/>
    <w:rsid w:val="009D70FA"/>
    <w:rsid w:val="009E09A7"/>
    <w:rsid w:val="009E0D35"/>
    <w:rsid w:val="009E0E64"/>
    <w:rsid w:val="009E123F"/>
    <w:rsid w:val="009E13A5"/>
    <w:rsid w:val="009E1549"/>
    <w:rsid w:val="009E1B32"/>
    <w:rsid w:val="009E41A6"/>
    <w:rsid w:val="009E522E"/>
    <w:rsid w:val="009E6AF0"/>
    <w:rsid w:val="009E762E"/>
    <w:rsid w:val="009E78AB"/>
    <w:rsid w:val="009E78B1"/>
    <w:rsid w:val="009F1BC4"/>
    <w:rsid w:val="009F20CC"/>
    <w:rsid w:val="009F2693"/>
    <w:rsid w:val="009F276F"/>
    <w:rsid w:val="009F32C1"/>
    <w:rsid w:val="009F350D"/>
    <w:rsid w:val="009F546A"/>
    <w:rsid w:val="009F5960"/>
    <w:rsid w:val="009F5E2A"/>
    <w:rsid w:val="009F6D37"/>
    <w:rsid w:val="00A00349"/>
    <w:rsid w:val="00A00C3D"/>
    <w:rsid w:val="00A01E35"/>
    <w:rsid w:val="00A0288F"/>
    <w:rsid w:val="00A02B94"/>
    <w:rsid w:val="00A033BC"/>
    <w:rsid w:val="00A0376C"/>
    <w:rsid w:val="00A04834"/>
    <w:rsid w:val="00A04951"/>
    <w:rsid w:val="00A04E33"/>
    <w:rsid w:val="00A052AA"/>
    <w:rsid w:val="00A06CA3"/>
    <w:rsid w:val="00A10FAA"/>
    <w:rsid w:val="00A12B51"/>
    <w:rsid w:val="00A13363"/>
    <w:rsid w:val="00A13DC3"/>
    <w:rsid w:val="00A14AA5"/>
    <w:rsid w:val="00A16659"/>
    <w:rsid w:val="00A17ACB"/>
    <w:rsid w:val="00A20142"/>
    <w:rsid w:val="00A21340"/>
    <w:rsid w:val="00A229AD"/>
    <w:rsid w:val="00A22CF6"/>
    <w:rsid w:val="00A230F9"/>
    <w:rsid w:val="00A23B19"/>
    <w:rsid w:val="00A245B4"/>
    <w:rsid w:val="00A2591B"/>
    <w:rsid w:val="00A263BE"/>
    <w:rsid w:val="00A26E86"/>
    <w:rsid w:val="00A31144"/>
    <w:rsid w:val="00A31933"/>
    <w:rsid w:val="00A31B95"/>
    <w:rsid w:val="00A32383"/>
    <w:rsid w:val="00A34FBE"/>
    <w:rsid w:val="00A36671"/>
    <w:rsid w:val="00A36D6E"/>
    <w:rsid w:val="00A3707C"/>
    <w:rsid w:val="00A3793D"/>
    <w:rsid w:val="00A40E6A"/>
    <w:rsid w:val="00A4119A"/>
    <w:rsid w:val="00A418C6"/>
    <w:rsid w:val="00A41BCF"/>
    <w:rsid w:val="00A42466"/>
    <w:rsid w:val="00A4295B"/>
    <w:rsid w:val="00A433CE"/>
    <w:rsid w:val="00A43DD7"/>
    <w:rsid w:val="00A44CB2"/>
    <w:rsid w:val="00A46A1B"/>
    <w:rsid w:val="00A46FE5"/>
    <w:rsid w:val="00A520BE"/>
    <w:rsid w:val="00A52363"/>
    <w:rsid w:val="00A5284E"/>
    <w:rsid w:val="00A53722"/>
    <w:rsid w:val="00A54B5A"/>
    <w:rsid w:val="00A5552E"/>
    <w:rsid w:val="00A570B6"/>
    <w:rsid w:val="00A60E5E"/>
    <w:rsid w:val="00A61510"/>
    <w:rsid w:val="00A63057"/>
    <w:rsid w:val="00A6308B"/>
    <w:rsid w:val="00A647A3"/>
    <w:rsid w:val="00A6575B"/>
    <w:rsid w:val="00A657DD"/>
    <w:rsid w:val="00A6694A"/>
    <w:rsid w:val="00A676DC"/>
    <w:rsid w:val="00A707A9"/>
    <w:rsid w:val="00A70CF0"/>
    <w:rsid w:val="00A730DC"/>
    <w:rsid w:val="00A741E2"/>
    <w:rsid w:val="00A74672"/>
    <w:rsid w:val="00A755FA"/>
    <w:rsid w:val="00A80D0A"/>
    <w:rsid w:val="00A80D2F"/>
    <w:rsid w:val="00A8105F"/>
    <w:rsid w:val="00A827DE"/>
    <w:rsid w:val="00A831B0"/>
    <w:rsid w:val="00A835AC"/>
    <w:rsid w:val="00A8367B"/>
    <w:rsid w:val="00A839BB"/>
    <w:rsid w:val="00A84139"/>
    <w:rsid w:val="00A85B13"/>
    <w:rsid w:val="00A85F1A"/>
    <w:rsid w:val="00A90122"/>
    <w:rsid w:val="00A90699"/>
    <w:rsid w:val="00A90DD1"/>
    <w:rsid w:val="00A91279"/>
    <w:rsid w:val="00A92514"/>
    <w:rsid w:val="00A92E05"/>
    <w:rsid w:val="00A9350E"/>
    <w:rsid w:val="00A936EB"/>
    <w:rsid w:val="00A938BA"/>
    <w:rsid w:val="00A9496B"/>
    <w:rsid w:val="00A95AC7"/>
    <w:rsid w:val="00A962E8"/>
    <w:rsid w:val="00A96A7B"/>
    <w:rsid w:val="00A96FD0"/>
    <w:rsid w:val="00A9736B"/>
    <w:rsid w:val="00A977AF"/>
    <w:rsid w:val="00AA0782"/>
    <w:rsid w:val="00AA185B"/>
    <w:rsid w:val="00AA1909"/>
    <w:rsid w:val="00AA2D1C"/>
    <w:rsid w:val="00AA3410"/>
    <w:rsid w:val="00AA3713"/>
    <w:rsid w:val="00AA5608"/>
    <w:rsid w:val="00AA5CBB"/>
    <w:rsid w:val="00AA5E95"/>
    <w:rsid w:val="00AA619D"/>
    <w:rsid w:val="00AA71BF"/>
    <w:rsid w:val="00AB060F"/>
    <w:rsid w:val="00AB098B"/>
    <w:rsid w:val="00AB0C4F"/>
    <w:rsid w:val="00AB18F4"/>
    <w:rsid w:val="00AB1E2C"/>
    <w:rsid w:val="00AB2B12"/>
    <w:rsid w:val="00AB3075"/>
    <w:rsid w:val="00AB64A9"/>
    <w:rsid w:val="00AB660C"/>
    <w:rsid w:val="00AB66DD"/>
    <w:rsid w:val="00AB6905"/>
    <w:rsid w:val="00AB7005"/>
    <w:rsid w:val="00AB7913"/>
    <w:rsid w:val="00AC0B15"/>
    <w:rsid w:val="00AC1074"/>
    <w:rsid w:val="00AC1896"/>
    <w:rsid w:val="00AC1F4B"/>
    <w:rsid w:val="00AC2530"/>
    <w:rsid w:val="00AC35FD"/>
    <w:rsid w:val="00AC40D0"/>
    <w:rsid w:val="00AC446F"/>
    <w:rsid w:val="00AC449D"/>
    <w:rsid w:val="00AC528D"/>
    <w:rsid w:val="00AC6837"/>
    <w:rsid w:val="00AD0998"/>
    <w:rsid w:val="00AD29BA"/>
    <w:rsid w:val="00AD332C"/>
    <w:rsid w:val="00AD480C"/>
    <w:rsid w:val="00AD4916"/>
    <w:rsid w:val="00AD5E6F"/>
    <w:rsid w:val="00AD6C1C"/>
    <w:rsid w:val="00AE1091"/>
    <w:rsid w:val="00AE27B3"/>
    <w:rsid w:val="00AE4D2E"/>
    <w:rsid w:val="00AE6950"/>
    <w:rsid w:val="00AE7C47"/>
    <w:rsid w:val="00AE7E77"/>
    <w:rsid w:val="00AF05A9"/>
    <w:rsid w:val="00AF2289"/>
    <w:rsid w:val="00AF31D7"/>
    <w:rsid w:val="00AF6DCE"/>
    <w:rsid w:val="00AF6E13"/>
    <w:rsid w:val="00B006B7"/>
    <w:rsid w:val="00B00F70"/>
    <w:rsid w:val="00B011EA"/>
    <w:rsid w:val="00B0198C"/>
    <w:rsid w:val="00B02F4F"/>
    <w:rsid w:val="00B03367"/>
    <w:rsid w:val="00B044B1"/>
    <w:rsid w:val="00B045F8"/>
    <w:rsid w:val="00B04984"/>
    <w:rsid w:val="00B05270"/>
    <w:rsid w:val="00B0684A"/>
    <w:rsid w:val="00B06EFF"/>
    <w:rsid w:val="00B07292"/>
    <w:rsid w:val="00B07362"/>
    <w:rsid w:val="00B10086"/>
    <w:rsid w:val="00B10706"/>
    <w:rsid w:val="00B110A3"/>
    <w:rsid w:val="00B111C9"/>
    <w:rsid w:val="00B11E4E"/>
    <w:rsid w:val="00B12595"/>
    <w:rsid w:val="00B1444C"/>
    <w:rsid w:val="00B14BAB"/>
    <w:rsid w:val="00B14D77"/>
    <w:rsid w:val="00B15123"/>
    <w:rsid w:val="00B157CD"/>
    <w:rsid w:val="00B15B03"/>
    <w:rsid w:val="00B16B64"/>
    <w:rsid w:val="00B17739"/>
    <w:rsid w:val="00B17E2B"/>
    <w:rsid w:val="00B20E1E"/>
    <w:rsid w:val="00B20F8F"/>
    <w:rsid w:val="00B210D5"/>
    <w:rsid w:val="00B21E16"/>
    <w:rsid w:val="00B22616"/>
    <w:rsid w:val="00B22E4D"/>
    <w:rsid w:val="00B23782"/>
    <w:rsid w:val="00B25917"/>
    <w:rsid w:val="00B25920"/>
    <w:rsid w:val="00B26159"/>
    <w:rsid w:val="00B27E24"/>
    <w:rsid w:val="00B300B5"/>
    <w:rsid w:val="00B31269"/>
    <w:rsid w:val="00B31BE0"/>
    <w:rsid w:val="00B31EA5"/>
    <w:rsid w:val="00B323B3"/>
    <w:rsid w:val="00B325B2"/>
    <w:rsid w:val="00B32A85"/>
    <w:rsid w:val="00B3432A"/>
    <w:rsid w:val="00B34348"/>
    <w:rsid w:val="00B352B9"/>
    <w:rsid w:val="00B35883"/>
    <w:rsid w:val="00B3630E"/>
    <w:rsid w:val="00B368CE"/>
    <w:rsid w:val="00B373CF"/>
    <w:rsid w:val="00B42977"/>
    <w:rsid w:val="00B447CF"/>
    <w:rsid w:val="00B44F20"/>
    <w:rsid w:val="00B46BFA"/>
    <w:rsid w:val="00B46E0A"/>
    <w:rsid w:val="00B50435"/>
    <w:rsid w:val="00B51025"/>
    <w:rsid w:val="00B5191B"/>
    <w:rsid w:val="00B52347"/>
    <w:rsid w:val="00B550CD"/>
    <w:rsid w:val="00B556BA"/>
    <w:rsid w:val="00B56530"/>
    <w:rsid w:val="00B579A6"/>
    <w:rsid w:val="00B60095"/>
    <w:rsid w:val="00B602E4"/>
    <w:rsid w:val="00B608C1"/>
    <w:rsid w:val="00B610F5"/>
    <w:rsid w:val="00B641BA"/>
    <w:rsid w:val="00B66A6D"/>
    <w:rsid w:val="00B67051"/>
    <w:rsid w:val="00B67498"/>
    <w:rsid w:val="00B674CB"/>
    <w:rsid w:val="00B712C3"/>
    <w:rsid w:val="00B7172D"/>
    <w:rsid w:val="00B74F39"/>
    <w:rsid w:val="00B75F28"/>
    <w:rsid w:val="00B76A0A"/>
    <w:rsid w:val="00B77C5C"/>
    <w:rsid w:val="00B80FB8"/>
    <w:rsid w:val="00B810B9"/>
    <w:rsid w:val="00B81B72"/>
    <w:rsid w:val="00B829A5"/>
    <w:rsid w:val="00B83026"/>
    <w:rsid w:val="00B83627"/>
    <w:rsid w:val="00B85874"/>
    <w:rsid w:val="00B86497"/>
    <w:rsid w:val="00B86D93"/>
    <w:rsid w:val="00B86EA9"/>
    <w:rsid w:val="00B871A4"/>
    <w:rsid w:val="00B913C9"/>
    <w:rsid w:val="00B92134"/>
    <w:rsid w:val="00B921BC"/>
    <w:rsid w:val="00B9397A"/>
    <w:rsid w:val="00B95F55"/>
    <w:rsid w:val="00B9690D"/>
    <w:rsid w:val="00B97BD0"/>
    <w:rsid w:val="00B97ECB"/>
    <w:rsid w:val="00BA2280"/>
    <w:rsid w:val="00BA2EF4"/>
    <w:rsid w:val="00BA3862"/>
    <w:rsid w:val="00BA3B2A"/>
    <w:rsid w:val="00BA3ED8"/>
    <w:rsid w:val="00BA498C"/>
    <w:rsid w:val="00BA6007"/>
    <w:rsid w:val="00BA7EB1"/>
    <w:rsid w:val="00BB0004"/>
    <w:rsid w:val="00BB1D38"/>
    <w:rsid w:val="00BB2357"/>
    <w:rsid w:val="00BB2434"/>
    <w:rsid w:val="00BB3452"/>
    <w:rsid w:val="00BB3B67"/>
    <w:rsid w:val="00BB4533"/>
    <w:rsid w:val="00BB4682"/>
    <w:rsid w:val="00BB5390"/>
    <w:rsid w:val="00BB58CD"/>
    <w:rsid w:val="00BB5CA3"/>
    <w:rsid w:val="00BB605B"/>
    <w:rsid w:val="00BB6273"/>
    <w:rsid w:val="00BB6E3A"/>
    <w:rsid w:val="00BB7609"/>
    <w:rsid w:val="00BB76A8"/>
    <w:rsid w:val="00BB77E3"/>
    <w:rsid w:val="00BB7CCE"/>
    <w:rsid w:val="00BC045A"/>
    <w:rsid w:val="00BC11F7"/>
    <w:rsid w:val="00BC2169"/>
    <w:rsid w:val="00BC21C2"/>
    <w:rsid w:val="00BC24CB"/>
    <w:rsid w:val="00BC449F"/>
    <w:rsid w:val="00BC521F"/>
    <w:rsid w:val="00BC583C"/>
    <w:rsid w:val="00BC68B3"/>
    <w:rsid w:val="00BD1005"/>
    <w:rsid w:val="00BD1792"/>
    <w:rsid w:val="00BD1827"/>
    <w:rsid w:val="00BD277E"/>
    <w:rsid w:val="00BD3204"/>
    <w:rsid w:val="00BD37C8"/>
    <w:rsid w:val="00BD3959"/>
    <w:rsid w:val="00BD53A3"/>
    <w:rsid w:val="00BD576E"/>
    <w:rsid w:val="00BD60C6"/>
    <w:rsid w:val="00BD625A"/>
    <w:rsid w:val="00BD6856"/>
    <w:rsid w:val="00BD707A"/>
    <w:rsid w:val="00BE0587"/>
    <w:rsid w:val="00BE10BC"/>
    <w:rsid w:val="00BE117C"/>
    <w:rsid w:val="00BE1203"/>
    <w:rsid w:val="00BE242E"/>
    <w:rsid w:val="00BE29D9"/>
    <w:rsid w:val="00BE6EF4"/>
    <w:rsid w:val="00BE7F15"/>
    <w:rsid w:val="00BF0551"/>
    <w:rsid w:val="00BF0CFE"/>
    <w:rsid w:val="00BF1C34"/>
    <w:rsid w:val="00BF29DC"/>
    <w:rsid w:val="00BF6753"/>
    <w:rsid w:val="00BF766C"/>
    <w:rsid w:val="00C01E2F"/>
    <w:rsid w:val="00C01F55"/>
    <w:rsid w:val="00C03198"/>
    <w:rsid w:val="00C039B2"/>
    <w:rsid w:val="00C04BEF"/>
    <w:rsid w:val="00C06575"/>
    <w:rsid w:val="00C065FF"/>
    <w:rsid w:val="00C07877"/>
    <w:rsid w:val="00C12BA0"/>
    <w:rsid w:val="00C14C36"/>
    <w:rsid w:val="00C156A0"/>
    <w:rsid w:val="00C16479"/>
    <w:rsid w:val="00C16B51"/>
    <w:rsid w:val="00C17608"/>
    <w:rsid w:val="00C2075D"/>
    <w:rsid w:val="00C20F8B"/>
    <w:rsid w:val="00C22F57"/>
    <w:rsid w:val="00C237D6"/>
    <w:rsid w:val="00C243D6"/>
    <w:rsid w:val="00C25888"/>
    <w:rsid w:val="00C25DF4"/>
    <w:rsid w:val="00C25EFB"/>
    <w:rsid w:val="00C2733F"/>
    <w:rsid w:val="00C3012C"/>
    <w:rsid w:val="00C304BE"/>
    <w:rsid w:val="00C3096D"/>
    <w:rsid w:val="00C31A08"/>
    <w:rsid w:val="00C33BD6"/>
    <w:rsid w:val="00C3557D"/>
    <w:rsid w:val="00C35F5F"/>
    <w:rsid w:val="00C37233"/>
    <w:rsid w:val="00C4043F"/>
    <w:rsid w:val="00C406D1"/>
    <w:rsid w:val="00C40A2F"/>
    <w:rsid w:val="00C41870"/>
    <w:rsid w:val="00C42A36"/>
    <w:rsid w:val="00C42CD5"/>
    <w:rsid w:val="00C43F2E"/>
    <w:rsid w:val="00C4542B"/>
    <w:rsid w:val="00C4546C"/>
    <w:rsid w:val="00C4591E"/>
    <w:rsid w:val="00C46185"/>
    <w:rsid w:val="00C461E2"/>
    <w:rsid w:val="00C462E9"/>
    <w:rsid w:val="00C474CA"/>
    <w:rsid w:val="00C50B8C"/>
    <w:rsid w:val="00C50C94"/>
    <w:rsid w:val="00C515DE"/>
    <w:rsid w:val="00C51E96"/>
    <w:rsid w:val="00C5265C"/>
    <w:rsid w:val="00C53551"/>
    <w:rsid w:val="00C5394D"/>
    <w:rsid w:val="00C5403F"/>
    <w:rsid w:val="00C540D0"/>
    <w:rsid w:val="00C5476B"/>
    <w:rsid w:val="00C54C58"/>
    <w:rsid w:val="00C60AB5"/>
    <w:rsid w:val="00C60D07"/>
    <w:rsid w:val="00C60F30"/>
    <w:rsid w:val="00C61185"/>
    <w:rsid w:val="00C61A43"/>
    <w:rsid w:val="00C61BA4"/>
    <w:rsid w:val="00C6308D"/>
    <w:rsid w:val="00C63563"/>
    <w:rsid w:val="00C636E9"/>
    <w:rsid w:val="00C65A18"/>
    <w:rsid w:val="00C66B5F"/>
    <w:rsid w:val="00C671B5"/>
    <w:rsid w:val="00C702AC"/>
    <w:rsid w:val="00C70507"/>
    <w:rsid w:val="00C7070C"/>
    <w:rsid w:val="00C70A4D"/>
    <w:rsid w:val="00C70DAF"/>
    <w:rsid w:val="00C70DBB"/>
    <w:rsid w:val="00C70FD4"/>
    <w:rsid w:val="00C713D4"/>
    <w:rsid w:val="00C72633"/>
    <w:rsid w:val="00C72C57"/>
    <w:rsid w:val="00C7304C"/>
    <w:rsid w:val="00C731D1"/>
    <w:rsid w:val="00C73E3C"/>
    <w:rsid w:val="00C752E8"/>
    <w:rsid w:val="00C760A3"/>
    <w:rsid w:val="00C76EDF"/>
    <w:rsid w:val="00C814F5"/>
    <w:rsid w:val="00C83C9F"/>
    <w:rsid w:val="00C855AB"/>
    <w:rsid w:val="00C85E68"/>
    <w:rsid w:val="00C862ED"/>
    <w:rsid w:val="00C86A04"/>
    <w:rsid w:val="00C87909"/>
    <w:rsid w:val="00C90129"/>
    <w:rsid w:val="00C90260"/>
    <w:rsid w:val="00C90FA3"/>
    <w:rsid w:val="00C9141A"/>
    <w:rsid w:val="00C91CA1"/>
    <w:rsid w:val="00C92EC5"/>
    <w:rsid w:val="00C92FA0"/>
    <w:rsid w:val="00C932FC"/>
    <w:rsid w:val="00C93568"/>
    <w:rsid w:val="00C93586"/>
    <w:rsid w:val="00C939FE"/>
    <w:rsid w:val="00C94150"/>
    <w:rsid w:val="00C94235"/>
    <w:rsid w:val="00C95551"/>
    <w:rsid w:val="00C9557D"/>
    <w:rsid w:val="00C96524"/>
    <w:rsid w:val="00C965B3"/>
    <w:rsid w:val="00CA07B4"/>
    <w:rsid w:val="00CA09E7"/>
    <w:rsid w:val="00CA11CA"/>
    <w:rsid w:val="00CA273D"/>
    <w:rsid w:val="00CA3441"/>
    <w:rsid w:val="00CA712A"/>
    <w:rsid w:val="00CB019B"/>
    <w:rsid w:val="00CB078B"/>
    <w:rsid w:val="00CB0E74"/>
    <w:rsid w:val="00CB2604"/>
    <w:rsid w:val="00CB2A45"/>
    <w:rsid w:val="00CB3A99"/>
    <w:rsid w:val="00CB4AF2"/>
    <w:rsid w:val="00CB50A6"/>
    <w:rsid w:val="00CB5A3A"/>
    <w:rsid w:val="00CB5C70"/>
    <w:rsid w:val="00CB5E23"/>
    <w:rsid w:val="00CB6099"/>
    <w:rsid w:val="00CB6126"/>
    <w:rsid w:val="00CB7F64"/>
    <w:rsid w:val="00CC0F82"/>
    <w:rsid w:val="00CC173B"/>
    <w:rsid w:val="00CC1E77"/>
    <w:rsid w:val="00CC2065"/>
    <w:rsid w:val="00CC27EC"/>
    <w:rsid w:val="00CC2A19"/>
    <w:rsid w:val="00CC32FB"/>
    <w:rsid w:val="00CC4210"/>
    <w:rsid w:val="00CC7CD0"/>
    <w:rsid w:val="00CD162A"/>
    <w:rsid w:val="00CD1738"/>
    <w:rsid w:val="00CD17A6"/>
    <w:rsid w:val="00CD1CD6"/>
    <w:rsid w:val="00CD2000"/>
    <w:rsid w:val="00CD3657"/>
    <w:rsid w:val="00CD3D42"/>
    <w:rsid w:val="00CD3DFE"/>
    <w:rsid w:val="00CD44DA"/>
    <w:rsid w:val="00CD47DC"/>
    <w:rsid w:val="00CD6750"/>
    <w:rsid w:val="00CD6DA0"/>
    <w:rsid w:val="00CD7351"/>
    <w:rsid w:val="00CD79EB"/>
    <w:rsid w:val="00CD7E64"/>
    <w:rsid w:val="00CE1D2E"/>
    <w:rsid w:val="00CE1F91"/>
    <w:rsid w:val="00CE2E52"/>
    <w:rsid w:val="00CE3116"/>
    <w:rsid w:val="00CE43AF"/>
    <w:rsid w:val="00CE4477"/>
    <w:rsid w:val="00CE6712"/>
    <w:rsid w:val="00CE6953"/>
    <w:rsid w:val="00CE6BF5"/>
    <w:rsid w:val="00CE7442"/>
    <w:rsid w:val="00CE75F1"/>
    <w:rsid w:val="00CE7CC2"/>
    <w:rsid w:val="00CE7DA2"/>
    <w:rsid w:val="00CE7EBE"/>
    <w:rsid w:val="00CF0BA8"/>
    <w:rsid w:val="00CF1C52"/>
    <w:rsid w:val="00CF3304"/>
    <w:rsid w:val="00CF3783"/>
    <w:rsid w:val="00CF40D3"/>
    <w:rsid w:val="00CF54E1"/>
    <w:rsid w:val="00CF588F"/>
    <w:rsid w:val="00CF62BD"/>
    <w:rsid w:val="00CF6BFD"/>
    <w:rsid w:val="00CF723B"/>
    <w:rsid w:val="00CF75DD"/>
    <w:rsid w:val="00D00C06"/>
    <w:rsid w:val="00D00DDD"/>
    <w:rsid w:val="00D01266"/>
    <w:rsid w:val="00D012ED"/>
    <w:rsid w:val="00D06768"/>
    <w:rsid w:val="00D076BC"/>
    <w:rsid w:val="00D12AB6"/>
    <w:rsid w:val="00D13272"/>
    <w:rsid w:val="00D132AD"/>
    <w:rsid w:val="00D15E99"/>
    <w:rsid w:val="00D15F30"/>
    <w:rsid w:val="00D17643"/>
    <w:rsid w:val="00D17D85"/>
    <w:rsid w:val="00D17F8E"/>
    <w:rsid w:val="00D209F7"/>
    <w:rsid w:val="00D2233A"/>
    <w:rsid w:val="00D25D44"/>
    <w:rsid w:val="00D3182D"/>
    <w:rsid w:val="00D33F3F"/>
    <w:rsid w:val="00D3492B"/>
    <w:rsid w:val="00D34990"/>
    <w:rsid w:val="00D363E8"/>
    <w:rsid w:val="00D36FE8"/>
    <w:rsid w:val="00D373A1"/>
    <w:rsid w:val="00D4011B"/>
    <w:rsid w:val="00D404F4"/>
    <w:rsid w:val="00D405F1"/>
    <w:rsid w:val="00D42744"/>
    <w:rsid w:val="00D43007"/>
    <w:rsid w:val="00D43310"/>
    <w:rsid w:val="00D43A39"/>
    <w:rsid w:val="00D4459A"/>
    <w:rsid w:val="00D448BE"/>
    <w:rsid w:val="00D46756"/>
    <w:rsid w:val="00D472DE"/>
    <w:rsid w:val="00D50562"/>
    <w:rsid w:val="00D506D9"/>
    <w:rsid w:val="00D50D84"/>
    <w:rsid w:val="00D50E4B"/>
    <w:rsid w:val="00D51146"/>
    <w:rsid w:val="00D51A3A"/>
    <w:rsid w:val="00D522FE"/>
    <w:rsid w:val="00D523E1"/>
    <w:rsid w:val="00D529E9"/>
    <w:rsid w:val="00D53566"/>
    <w:rsid w:val="00D5439A"/>
    <w:rsid w:val="00D55636"/>
    <w:rsid w:val="00D55BEB"/>
    <w:rsid w:val="00D55CE2"/>
    <w:rsid w:val="00D55F5F"/>
    <w:rsid w:val="00D576B1"/>
    <w:rsid w:val="00D57F7A"/>
    <w:rsid w:val="00D611E9"/>
    <w:rsid w:val="00D61D69"/>
    <w:rsid w:val="00D62631"/>
    <w:rsid w:val="00D6283F"/>
    <w:rsid w:val="00D62FE8"/>
    <w:rsid w:val="00D6322A"/>
    <w:rsid w:val="00D63C43"/>
    <w:rsid w:val="00D64C41"/>
    <w:rsid w:val="00D660A0"/>
    <w:rsid w:val="00D672B9"/>
    <w:rsid w:val="00D67D84"/>
    <w:rsid w:val="00D70446"/>
    <w:rsid w:val="00D7172C"/>
    <w:rsid w:val="00D71CD0"/>
    <w:rsid w:val="00D7233D"/>
    <w:rsid w:val="00D72365"/>
    <w:rsid w:val="00D72E3A"/>
    <w:rsid w:val="00D736DE"/>
    <w:rsid w:val="00D7387E"/>
    <w:rsid w:val="00D74502"/>
    <w:rsid w:val="00D75B16"/>
    <w:rsid w:val="00D7607D"/>
    <w:rsid w:val="00D77346"/>
    <w:rsid w:val="00D774C5"/>
    <w:rsid w:val="00D776E5"/>
    <w:rsid w:val="00D80F23"/>
    <w:rsid w:val="00D81630"/>
    <w:rsid w:val="00D8534A"/>
    <w:rsid w:val="00D919C2"/>
    <w:rsid w:val="00D92ACF"/>
    <w:rsid w:val="00D932AC"/>
    <w:rsid w:val="00D9379D"/>
    <w:rsid w:val="00D94E38"/>
    <w:rsid w:val="00D94FEF"/>
    <w:rsid w:val="00D97476"/>
    <w:rsid w:val="00DA15B7"/>
    <w:rsid w:val="00DA217D"/>
    <w:rsid w:val="00DA3E03"/>
    <w:rsid w:val="00DA44A0"/>
    <w:rsid w:val="00DA52C2"/>
    <w:rsid w:val="00DB0E9F"/>
    <w:rsid w:val="00DB1E9A"/>
    <w:rsid w:val="00DB259A"/>
    <w:rsid w:val="00DB2845"/>
    <w:rsid w:val="00DB2F29"/>
    <w:rsid w:val="00DB309D"/>
    <w:rsid w:val="00DB58CF"/>
    <w:rsid w:val="00DB6129"/>
    <w:rsid w:val="00DB6D77"/>
    <w:rsid w:val="00DB7408"/>
    <w:rsid w:val="00DC1D4C"/>
    <w:rsid w:val="00DC336B"/>
    <w:rsid w:val="00DC3552"/>
    <w:rsid w:val="00DC3D3B"/>
    <w:rsid w:val="00DC4522"/>
    <w:rsid w:val="00DC52B8"/>
    <w:rsid w:val="00DC5513"/>
    <w:rsid w:val="00DC689D"/>
    <w:rsid w:val="00DC7A7E"/>
    <w:rsid w:val="00DD01A3"/>
    <w:rsid w:val="00DD0326"/>
    <w:rsid w:val="00DD2904"/>
    <w:rsid w:val="00DD2D3C"/>
    <w:rsid w:val="00DD34DA"/>
    <w:rsid w:val="00DD61A1"/>
    <w:rsid w:val="00DD66C7"/>
    <w:rsid w:val="00DD6A28"/>
    <w:rsid w:val="00DD7D50"/>
    <w:rsid w:val="00DE061C"/>
    <w:rsid w:val="00DE0D06"/>
    <w:rsid w:val="00DE0E74"/>
    <w:rsid w:val="00DE15E0"/>
    <w:rsid w:val="00DE2BBD"/>
    <w:rsid w:val="00DE3763"/>
    <w:rsid w:val="00DE4327"/>
    <w:rsid w:val="00DE7578"/>
    <w:rsid w:val="00DE78E7"/>
    <w:rsid w:val="00DF0C38"/>
    <w:rsid w:val="00DF1183"/>
    <w:rsid w:val="00DF226F"/>
    <w:rsid w:val="00DF3954"/>
    <w:rsid w:val="00DF6951"/>
    <w:rsid w:val="00DF6BE5"/>
    <w:rsid w:val="00E0087C"/>
    <w:rsid w:val="00E00BBC"/>
    <w:rsid w:val="00E00CC2"/>
    <w:rsid w:val="00E013D1"/>
    <w:rsid w:val="00E01949"/>
    <w:rsid w:val="00E01CB0"/>
    <w:rsid w:val="00E027E5"/>
    <w:rsid w:val="00E02B37"/>
    <w:rsid w:val="00E037E7"/>
    <w:rsid w:val="00E04239"/>
    <w:rsid w:val="00E04E1E"/>
    <w:rsid w:val="00E05EEA"/>
    <w:rsid w:val="00E06E88"/>
    <w:rsid w:val="00E078AE"/>
    <w:rsid w:val="00E07EF2"/>
    <w:rsid w:val="00E1066A"/>
    <w:rsid w:val="00E116D7"/>
    <w:rsid w:val="00E1188D"/>
    <w:rsid w:val="00E133DF"/>
    <w:rsid w:val="00E13716"/>
    <w:rsid w:val="00E156EE"/>
    <w:rsid w:val="00E15D82"/>
    <w:rsid w:val="00E1644C"/>
    <w:rsid w:val="00E166D3"/>
    <w:rsid w:val="00E16D2C"/>
    <w:rsid w:val="00E20485"/>
    <w:rsid w:val="00E20E7F"/>
    <w:rsid w:val="00E22B36"/>
    <w:rsid w:val="00E23AC8"/>
    <w:rsid w:val="00E23B87"/>
    <w:rsid w:val="00E23B92"/>
    <w:rsid w:val="00E24089"/>
    <w:rsid w:val="00E24B2E"/>
    <w:rsid w:val="00E24D73"/>
    <w:rsid w:val="00E259FF"/>
    <w:rsid w:val="00E25F51"/>
    <w:rsid w:val="00E27F9B"/>
    <w:rsid w:val="00E3009F"/>
    <w:rsid w:val="00E30A78"/>
    <w:rsid w:val="00E3249E"/>
    <w:rsid w:val="00E32CE2"/>
    <w:rsid w:val="00E34941"/>
    <w:rsid w:val="00E35966"/>
    <w:rsid w:val="00E35D52"/>
    <w:rsid w:val="00E361BD"/>
    <w:rsid w:val="00E40550"/>
    <w:rsid w:val="00E41FAF"/>
    <w:rsid w:val="00E422A7"/>
    <w:rsid w:val="00E42599"/>
    <w:rsid w:val="00E42E33"/>
    <w:rsid w:val="00E43005"/>
    <w:rsid w:val="00E430A7"/>
    <w:rsid w:val="00E437B5"/>
    <w:rsid w:val="00E44608"/>
    <w:rsid w:val="00E447DD"/>
    <w:rsid w:val="00E44DB9"/>
    <w:rsid w:val="00E45F19"/>
    <w:rsid w:val="00E46C24"/>
    <w:rsid w:val="00E46C39"/>
    <w:rsid w:val="00E472D7"/>
    <w:rsid w:val="00E50D58"/>
    <w:rsid w:val="00E5154A"/>
    <w:rsid w:val="00E52CB4"/>
    <w:rsid w:val="00E52CFC"/>
    <w:rsid w:val="00E568E2"/>
    <w:rsid w:val="00E57C6A"/>
    <w:rsid w:val="00E6006C"/>
    <w:rsid w:val="00E6155F"/>
    <w:rsid w:val="00E61B66"/>
    <w:rsid w:val="00E62557"/>
    <w:rsid w:val="00E6274B"/>
    <w:rsid w:val="00E62A6E"/>
    <w:rsid w:val="00E62E2D"/>
    <w:rsid w:val="00E63837"/>
    <w:rsid w:val="00E640D6"/>
    <w:rsid w:val="00E64352"/>
    <w:rsid w:val="00E64BBA"/>
    <w:rsid w:val="00E65363"/>
    <w:rsid w:val="00E6582F"/>
    <w:rsid w:val="00E66434"/>
    <w:rsid w:val="00E700EA"/>
    <w:rsid w:val="00E7020F"/>
    <w:rsid w:val="00E70DD9"/>
    <w:rsid w:val="00E7100E"/>
    <w:rsid w:val="00E71863"/>
    <w:rsid w:val="00E71BB2"/>
    <w:rsid w:val="00E72235"/>
    <w:rsid w:val="00E72B2C"/>
    <w:rsid w:val="00E73310"/>
    <w:rsid w:val="00E73C75"/>
    <w:rsid w:val="00E73EE7"/>
    <w:rsid w:val="00E74535"/>
    <w:rsid w:val="00E74B15"/>
    <w:rsid w:val="00E75168"/>
    <w:rsid w:val="00E75CC2"/>
    <w:rsid w:val="00E7776E"/>
    <w:rsid w:val="00E77772"/>
    <w:rsid w:val="00E77E3D"/>
    <w:rsid w:val="00E80B30"/>
    <w:rsid w:val="00E8198D"/>
    <w:rsid w:val="00E822CC"/>
    <w:rsid w:val="00E824BC"/>
    <w:rsid w:val="00E82547"/>
    <w:rsid w:val="00E825FC"/>
    <w:rsid w:val="00E82871"/>
    <w:rsid w:val="00E83EFF"/>
    <w:rsid w:val="00E84F5E"/>
    <w:rsid w:val="00E851EC"/>
    <w:rsid w:val="00E857A3"/>
    <w:rsid w:val="00E8728D"/>
    <w:rsid w:val="00E87D63"/>
    <w:rsid w:val="00E90252"/>
    <w:rsid w:val="00E9068C"/>
    <w:rsid w:val="00E946DB"/>
    <w:rsid w:val="00E95C37"/>
    <w:rsid w:val="00E96E7A"/>
    <w:rsid w:val="00EA1DAD"/>
    <w:rsid w:val="00EA219E"/>
    <w:rsid w:val="00EA2865"/>
    <w:rsid w:val="00EA2B2E"/>
    <w:rsid w:val="00EA40FF"/>
    <w:rsid w:val="00EA4A2B"/>
    <w:rsid w:val="00EA5087"/>
    <w:rsid w:val="00EA66C4"/>
    <w:rsid w:val="00EA7B88"/>
    <w:rsid w:val="00EB077F"/>
    <w:rsid w:val="00EB3C39"/>
    <w:rsid w:val="00EC0507"/>
    <w:rsid w:val="00EC075D"/>
    <w:rsid w:val="00EC1645"/>
    <w:rsid w:val="00EC2073"/>
    <w:rsid w:val="00EC20A2"/>
    <w:rsid w:val="00EC21AD"/>
    <w:rsid w:val="00EC4072"/>
    <w:rsid w:val="00EC508B"/>
    <w:rsid w:val="00EC5909"/>
    <w:rsid w:val="00EC601C"/>
    <w:rsid w:val="00EC69BB"/>
    <w:rsid w:val="00ED19FA"/>
    <w:rsid w:val="00ED2C5F"/>
    <w:rsid w:val="00ED31E3"/>
    <w:rsid w:val="00ED371B"/>
    <w:rsid w:val="00ED43BC"/>
    <w:rsid w:val="00ED6CC3"/>
    <w:rsid w:val="00ED7D74"/>
    <w:rsid w:val="00EE003B"/>
    <w:rsid w:val="00EE0444"/>
    <w:rsid w:val="00EE08CD"/>
    <w:rsid w:val="00EE150E"/>
    <w:rsid w:val="00EE2BC1"/>
    <w:rsid w:val="00EE2C31"/>
    <w:rsid w:val="00EE4867"/>
    <w:rsid w:val="00EE5830"/>
    <w:rsid w:val="00EE5EE3"/>
    <w:rsid w:val="00EE6B8C"/>
    <w:rsid w:val="00EE70B7"/>
    <w:rsid w:val="00EF10C6"/>
    <w:rsid w:val="00EF1CE8"/>
    <w:rsid w:val="00EF302B"/>
    <w:rsid w:val="00EF3EEF"/>
    <w:rsid w:val="00EF3FFB"/>
    <w:rsid w:val="00EF4068"/>
    <w:rsid w:val="00EF4867"/>
    <w:rsid w:val="00EF4A28"/>
    <w:rsid w:val="00EF4B8F"/>
    <w:rsid w:val="00EF4EC9"/>
    <w:rsid w:val="00EF741C"/>
    <w:rsid w:val="00F00994"/>
    <w:rsid w:val="00F00F88"/>
    <w:rsid w:val="00F01259"/>
    <w:rsid w:val="00F029EA"/>
    <w:rsid w:val="00F02EF1"/>
    <w:rsid w:val="00F046C5"/>
    <w:rsid w:val="00F04790"/>
    <w:rsid w:val="00F04C67"/>
    <w:rsid w:val="00F05371"/>
    <w:rsid w:val="00F05B30"/>
    <w:rsid w:val="00F05FE4"/>
    <w:rsid w:val="00F06E94"/>
    <w:rsid w:val="00F136C3"/>
    <w:rsid w:val="00F13D59"/>
    <w:rsid w:val="00F13F79"/>
    <w:rsid w:val="00F14B66"/>
    <w:rsid w:val="00F14D14"/>
    <w:rsid w:val="00F161E6"/>
    <w:rsid w:val="00F16CB9"/>
    <w:rsid w:val="00F16F4C"/>
    <w:rsid w:val="00F21FA7"/>
    <w:rsid w:val="00F23365"/>
    <w:rsid w:val="00F30E81"/>
    <w:rsid w:val="00F31143"/>
    <w:rsid w:val="00F312A8"/>
    <w:rsid w:val="00F31C26"/>
    <w:rsid w:val="00F31CAB"/>
    <w:rsid w:val="00F32398"/>
    <w:rsid w:val="00F3261A"/>
    <w:rsid w:val="00F361B1"/>
    <w:rsid w:val="00F37267"/>
    <w:rsid w:val="00F407B2"/>
    <w:rsid w:val="00F40F29"/>
    <w:rsid w:val="00F41F8E"/>
    <w:rsid w:val="00F435FD"/>
    <w:rsid w:val="00F44F4D"/>
    <w:rsid w:val="00F45011"/>
    <w:rsid w:val="00F47500"/>
    <w:rsid w:val="00F4780B"/>
    <w:rsid w:val="00F47ED6"/>
    <w:rsid w:val="00F47F0D"/>
    <w:rsid w:val="00F5048A"/>
    <w:rsid w:val="00F504BE"/>
    <w:rsid w:val="00F50B1B"/>
    <w:rsid w:val="00F5109D"/>
    <w:rsid w:val="00F51226"/>
    <w:rsid w:val="00F51BF7"/>
    <w:rsid w:val="00F531C5"/>
    <w:rsid w:val="00F533E4"/>
    <w:rsid w:val="00F533F6"/>
    <w:rsid w:val="00F53B46"/>
    <w:rsid w:val="00F53F90"/>
    <w:rsid w:val="00F55B72"/>
    <w:rsid w:val="00F55C09"/>
    <w:rsid w:val="00F56230"/>
    <w:rsid w:val="00F56A14"/>
    <w:rsid w:val="00F56E61"/>
    <w:rsid w:val="00F57429"/>
    <w:rsid w:val="00F60241"/>
    <w:rsid w:val="00F63BE3"/>
    <w:rsid w:val="00F64AA2"/>
    <w:rsid w:val="00F64AC6"/>
    <w:rsid w:val="00F657F3"/>
    <w:rsid w:val="00F65923"/>
    <w:rsid w:val="00F66D19"/>
    <w:rsid w:val="00F66E47"/>
    <w:rsid w:val="00F6728A"/>
    <w:rsid w:val="00F72738"/>
    <w:rsid w:val="00F73187"/>
    <w:rsid w:val="00F73963"/>
    <w:rsid w:val="00F74AA8"/>
    <w:rsid w:val="00F772CC"/>
    <w:rsid w:val="00F810D7"/>
    <w:rsid w:val="00F816A9"/>
    <w:rsid w:val="00F81796"/>
    <w:rsid w:val="00F81900"/>
    <w:rsid w:val="00F821EA"/>
    <w:rsid w:val="00F8263F"/>
    <w:rsid w:val="00F82662"/>
    <w:rsid w:val="00F83A63"/>
    <w:rsid w:val="00F84C8F"/>
    <w:rsid w:val="00F85709"/>
    <w:rsid w:val="00F86972"/>
    <w:rsid w:val="00F86BE8"/>
    <w:rsid w:val="00F87249"/>
    <w:rsid w:val="00F87296"/>
    <w:rsid w:val="00F90056"/>
    <w:rsid w:val="00F91E16"/>
    <w:rsid w:val="00F92B36"/>
    <w:rsid w:val="00F92EA3"/>
    <w:rsid w:val="00F93439"/>
    <w:rsid w:val="00F94867"/>
    <w:rsid w:val="00F949A2"/>
    <w:rsid w:val="00F94C09"/>
    <w:rsid w:val="00F96907"/>
    <w:rsid w:val="00F97681"/>
    <w:rsid w:val="00F9776B"/>
    <w:rsid w:val="00F97950"/>
    <w:rsid w:val="00F97DC9"/>
    <w:rsid w:val="00FA0B92"/>
    <w:rsid w:val="00FA0DD9"/>
    <w:rsid w:val="00FA0F51"/>
    <w:rsid w:val="00FA236B"/>
    <w:rsid w:val="00FA3A0C"/>
    <w:rsid w:val="00FA3ACE"/>
    <w:rsid w:val="00FA5C63"/>
    <w:rsid w:val="00FA7911"/>
    <w:rsid w:val="00FB13C1"/>
    <w:rsid w:val="00FB1DD3"/>
    <w:rsid w:val="00FB4959"/>
    <w:rsid w:val="00FB4D77"/>
    <w:rsid w:val="00FB7036"/>
    <w:rsid w:val="00FB7601"/>
    <w:rsid w:val="00FB7A3F"/>
    <w:rsid w:val="00FC1190"/>
    <w:rsid w:val="00FC2D09"/>
    <w:rsid w:val="00FC3552"/>
    <w:rsid w:val="00FC39B1"/>
    <w:rsid w:val="00FC498C"/>
    <w:rsid w:val="00FC7546"/>
    <w:rsid w:val="00FC75DF"/>
    <w:rsid w:val="00FD04AF"/>
    <w:rsid w:val="00FD085C"/>
    <w:rsid w:val="00FD0ECC"/>
    <w:rsid w:val="00FD22E6"/>
    <w:rsid w:val="00FD2719"/>
    <w:rsid w:val="00FD2954"/>
    <w:rsid w:val="00FD4215"/>
    <w:rsid w:val="00FD532C"/>
    <w:rsid w:val="00FD5A78"/>
    <w:rsid w:val="00FD6054"/>
    <w:rsid w:val="00FD732A"/>
    <w:rsid w:val="00FD740C"/>
    <w:rsid w:val="00FD7804"/>
    <w:rsid w:val="00FD7B4A"/>
    <w:rsid w:val="00FE021C"/>
    <w:rsid w:val="00FE1733"/>
    <w:rsid w:val="00FE19AD"/>
    <w:rsid w:val="00FE1B56"/>
    <w:rsid w:val="00FE2E24"/>
    <w:rsid w:val="00FE326B"/>
    <w:rsid w:val="00FE3475"/>
    <w:rsid w:val="00FE4032"/>
    <w:rsid w:val="00FE4659"/>
    <w:rsid w:val="00FE5072"/>
    <w:rsid w:val="00FE5498"/>
    <w:rsid w:val="00FE5E9E"/>
    <w:rsid w:val="00FE70C8"/>
    <w:rsid w:val="00FF0029"/>
    <w:rsid w:val="00FF1CCC"/>
    <w:rsid w:val="00FF2917"/>
    <w:rsid w:val="00FF339B"/>
    <w:rsid w:val="00FF3454"/>
    <w:rsid w:val="00FF49DA"/>
    <w:rsid w:val="00FF5D49"/>
    <w:rsid w:val="00FF5FE0"/>
    <w:rsid w:val="00FF6C79"/>
    <w:rsid w:val="00FF6C7D"/>
    <w:rsid w:val="00FF6F8B"/>
    <w:rsid w:val="00FF772A"/>
    <w:rsid w:val="00FF7C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2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125A"/>
    <w:pPr>
      <w:tabs>
        <w:tab w:val="center" w:pos="4320"/>
        <w:tab w:val="right" w:pos="8640"/>
      </w:tabs>
    </w:pPr>
  </w:style>
  <w:style w:type="character" w:customStyle="1" w:styleId="FooterChar">
    <w:name w:val="Footer Char"/>
    <w:basedOn w:val="DefaultParagraphFont"/>
    <w:link w:val="Footer"/>
    <w:uiPriority w:val="99"/>
    <w:locked/>
    <w:rsid w:val="00496996"/>
    <w:rPr>
      <w:sz w:val="24"/>
      <w:szCs w:val="24"/>
    </w:rPr>
  </w:style>
  <w:style w:type="character" w:styleId="PageNumber">
    <w:name w:val="page number"/>
    <w:basedOn w:val="DefaultParagraphFont"/>
    <w:rsid w:val="008E125A"/>
  </w:style>
  <w:style w:type="paragraph" w:customStyle="1" w:styleId="DWTNorm">
    <w:name w:val="DWTNorm"/>
    <w:basedOn w:val="Normal"/>
    <w:uiPriority w:val="99"/>
    <w:rsid w:val="008E125A"/>
    <w:pPr>
      <w:spacing w:after="240"/>
      <w:ind w:firstLine="720"/>
    </w:pPr>
  </w:style>
  <w:style w:type="paragraph" w:customStyle="1" w:styleId="OutHead1">
    <w:name w:val="OutHead1"/>
    <w:basedOn w:val="Normal"/>
    <w:next w:val="DWTNorm"/>
    <w:uiPriority w:val="99"/>
    <w:rsid w:val="008E125A"/>
    <w:pPr>
      <w:keepNext/>
      <w:numPr>
        <w:numId w:val="1"/>
      </w:numPr>
      <w:spacing w:after="240"/>
      <w:jc w:val="center"/>
      <w:outlineLvl w:val="0"/>
    </w:pPr>
    <w:rPr>
      <w:b/>
      <w:bCs/>
      <w:caps/>
      <w:color w:val="000000"/>
    </w:rPr>
  </w:style>
  <w:style w:type="paragraph" w:customStyle="1" w:styleId="OutHead2">
    <w:name w:val="OutHead2"/>
    <w:basedOn w:val="Normal"/>
    <w:next w:val="DWTNorm"/>
    <w:uiPriority w:val="99"/>
    <w:rsid w:val="008E125A"/>
    <w:pPr>
      <w:keepNext/>
      <w:numPr>
        <w:ilvl w:val="1"/>
        <w:numId w:val="1"/>
      </w:numPr>
      <w:spacing w:after="240"/>
      <w:outlineLvl w:val="1"/>
    </w:pPr>
    <w:rPr>
      <w:b/>
      <w:bCs/>
      <w:color w:val="000000"/>
    </w:rPr>
  </w:style>
  <w:style w:type="paragraph" w:customStyle="1" w:styleId="OutHead3">
    <w:name w:val="OutHead3"/>
    <w:basedOn w:val="Normal"/>
    <w:next w:val="DWTNorm"/>
    <w:uiPriority w:val="99"/>
    <w:rsid w:val="008E125A"/>
    <w:pPr>
      <w:keepNext/>
      <w:numPr>
        <w:ilvl w:val="2"/>
        <w:numId w:val="1"/>
      </w:numPr>
      <w:spacing w:after="240"/>
      <w:outlineLvl w:val="2"/>
    </w:pPr>
    <w:rPr>
      <w:b/>
      <w:bCs/>
      <w:color w:val="000000"/>
    </w:rPr>
  </w:style>
  <w:style w:type="paragraph" w:customStyle="1" w:styleId="OutHead4">
    <w:name w:val="OutHead4"/>
    <w:basedOn w:val="Normal"/>
    <w:next w:val="DWTNorm"/>
    <w:uiPriority w:val="99"/>
    <w:rsid w:val="008E125A"/>
    <w:pPr>
      <w:keepNext/>
      <w:numPr>
        <w:ilvl w:val="3"/>
        <w:numId w:val="1"/>
      </w:numPr>
      <w:spacing w:after="240"/>
      <w:outlineLvl w:val="3"/>
    </w:pPr>
    <w:rPr>
      <w:b/>
      <w:bCs/>
      <w:color w:val="000000"/>
    </w:rPr>
  </w:style>
  <w:style w:type="paragraph" w:customStyle="1" w:styleId="OutHead5">
    <w:name w:val="OutHead5"/>
    <w:basedOn w:val="Normal"/>
    <w:next w:val="DWTNorm"/>
    <w:uiPriority w:val="99"/>
    <w:rsid w:val="008E125A"/>
    <w:pPr>
      <w:keepNext/>
      <w:numPr>
        <w:ilvl w:val="4"/>
        <w:numId w:val="1"/>
      </w:numPr>
      <w:spacing w:after="240"/>
      <w:outlineLvl w:val="4"/>
    </w:pPr>
    <w:rPr>
      <w:b/>
      <w:bCs/>
      <w:color w:val="000000"/>
    </w:rPr>
  </w:style>
  <w:style w:type="paragraph" w:customStyle="1" w:styleId="OutHead6">
    <w:name w:val="OutHead6"/>
    <w:basedOn w:val="Normal"/>
    <w:next w:val="DWTNorm"/>
    <w:uiPriority w:val="99"/>
    <w:rsid w:val="008E125A"/>
    <w:pPr>
      <w:keepNext/>
      <w:numPr>
        <w:ilvl w:val="5"/>
        <w:numId w:val="1"/>
      </w:numPr>
      <w:spacing w:after="240"/>
      <w:outlineLvl w:val="5"/>
    </w:pPr>
    <w:rPr>
      <w:b/>
      <w:bCs/>
      <w:color w:val="000000"/>
    </w:rPr>
  </w:style>
  <w:style w:type="paragraph" w:customStyle="1" w:styleId="OutHead7">
    <w:name w:val="OutHead7"/>
    <w:basedOn w:val="Normal"/>
    <w:next w:val="DWTNorm"/>
    <w:uiPriority w:val="99"/>
    <w:rsid w:val="008E125A"/>
    <w:pPr>
      <w:keepNext/>
      <w:numPr>
        <w:ilvl w:val="6"/>
        <w:numId w:val="1"/>
      </w:numPr>
      <w:spacing w:after="240"/>
      <w:outlineLvl w:val="6"/>
    </w:pPr>
    <w:rPr>
      <w:b/>
      <w:bCs/>
      <w:color w:val="000000"/>
    </w:rPr>
  </w:style>
  <w:style w:type="paragraph" w:customStyle="1" w:styleId="OutHead8">
    <w:name w:val="OutHead8"/>
    <w:basedOn w:val="Normal"/>
    <w:next w:val="DWTNorm"/>
    <w:uiPriority w:val="99"/>
    <w:rsid w:val="008E125A"/>
    <w:pPr>
      <w:keepNext/>
      <w:numPr>
        <w:ilvl w:val="7"/>
        <w:numId w:val="1"/>
      </w:numPr>
      <w:spacing w:after="240"/>
      <w:outlineLvl w:val="7"/>
    </w:pPr>
    <w:rPr>
      <w:b/>
      <w:bCs/>
      <w:color w:val="000000"/>
    </w:rPr>
  </w:style>
  <w:style w:type="character" w:styleId="LineNumber">
    <w:name w:val="line number"/>
    <w:basedOn w:val="DefaultParagraphFont"/>
    <w:uiPriority w:val="99"/>
    <w:rsid w:val="008E125A"/>
  </w:style>
  <w:style w:type="paragraph" w:styleId="FootnoteText">
    <w:name w:val="footnote text"/>
    <w:aliases w:val="Style 4,Footnote Text Char2 Char,Footnote Text Char3 Char Char,Footnote Text Char2 Char Char Char,Footnote Text Char Char Char1 Char Char Char,Footnote Text Char1 Char1 Char Char Char,fn Char Char,fn Char,ALTS FOOTNOTE,Footnote Text Char1"/>
    <w:basedOn w:val="Normal"/>
    <w:link w:val="FootnoteTextChar"/>
    <w:uiPriority w:val="99"/>
    <w:rsid w:val="0078756D"/>
    <w:rPr>
      <w:sz w:val="20"/>
      <w:szCs w:val="20"/>
    </w:rPr>
  </w:style>
  <w:style w:type="character" w:customStyle="1" w:styleId="FootnoteTextChar">
    <w:name w:val="Footnote Text Char"/>
    <w:aliases w:val="Style 4 Char,Footnote Text Char2 Char Char,Footnote Text Char3 Char Char Char,Footnote Text Char2 Char Char Char Char,Footnote Text Char Char Char1 Char Char Char Char,Footnote Text Char1 Char1 Char Char Char Char,fn Char Char Char"/>
    <w:basedOn w:val="DefaultParagraphFont"/>
    <w:link w:val="FootnoteText"/>
    <w:uiPriority w:val="99"/>
    <w:locked/>
    <w:rsid w:val="00B323B3"/>
    <w:rPr>
      <w:lang w:val="en-US" w:eastAsia="en-US"/>
    </w:rPr>
  </w:style>
  <w:style w:type="character" w:styleId="FootnoteReference">
    <w:name w:val="footnote reference"/>
    <w:aliases w:val="Style 3,Appel note de bas de p,o,fr,(NECG) Footnote Reference,Style 12,Style 124,Style 6,Style 20,FR,Style 17,Style 13,callout"/>
    <w:basedOn w:val="DefaultParagraphFont"/>
    <w:uiPriority w:val="99"/>
    <w:rsid w:val="0078756D"/>
    <w:rPr>
      <w:vertAlign w:val="superscript"/>
    </w:rPr>
  </w:style>
  <w:style w:type="paragraph" w:styleId="BodyText">
    <w:name w:val="Body Text"/>
    <w:basedOn w:val="Normal"/>
    <w:link w:val="BodyTextChar"/>
    <w:uiPriority w:val="99"/>
    <w:rsid w:val="0064465E"/>
    <w:pPr>
      <w:spacing w:after="240"/>
      <w:ind w:firstLine="720"/>
    </w:pPr>
  </w:style>
  <w:style w:type="character" w:customStyle="1" w:styleId="BodyTextChar">
    <w:name w:val="Body Text Char"/>
    <w:basedOn w:val="DefaultParagraphFont"/>
    <w:link w:val="BodyText"/>
    <w:uiPriority w:val="99"/>
    <w:semiHidden/>
    <w:locked/>
    <w:rsid w:val="00496996"/>
    <w:rPr>
      <w:sz w:val="24"/>
      <w:szCs w:val="24"/>
    </w:rPr>
  </w:style>
  <w:style w:type="character" w:styleId="CommentReference">
    <w:name w:val="annotation reference"/>
    <w:basedOn w:val="DefaultParagraphFont"/>
    <w:uiPriority w:val="99"/>
    <w:semiHidden/>
    <w:rsid w:val="00671B42"/>
    <w:rPr>
      <w:sz w:val="16"/>
      <w:szCs w:val="16"/>
    </w:rPr>
  </w:style>
  <w:style w:type="paragraph" w:styleId="CommentText">
    <w:name w:val="annotation text"/>
    <w:basedOn w:val="Normal"/>
    <w:link w:val="CommentTextChar"/>
    <w:uiPriority w:val="99"/>
    <w:semiHidden/>
    <w:rsid w:val="00671B42"/>
    <w:rPr>
      <w:sz w:val="20"/>
      <w:szCs w:val="20"/>
    </w:rPr>
  </w:style>
  <w:style w:type="character" w:customStyle="1" w:styleId="CommentTextChar">
    <w:name w:val="Comment Text Char"/>
    <w:basedOn w:val="DefaultParagraphFont"/>
    <w:link w:val="CommentText"/>
    <w:uiPriority w:val="99"/>
    <w:semiHidden/>
    <w:locked/>
    <w:rsid w:val="00496996"/>
    <w:rPr>
      <w:sz w:val="20"/>
      <w:szCs w:val="20"/>
    </w:rPr>
  </w:style>
  <w:style w:type="paragraph" w:styleId="CommentSubject">
    <w:name w:val="annotation subject"/>
    <w:basedOn w:val="CommentText"/>
    <w:next w:val="CommentText"/>
    <w:link w:val="CommentSubjectChar"/>
    <w:uiPriority w:val="99"/>
    <w:semiHidden/>
    <w:rsid w:val="00671B42"/>
    <w:rPr>
      <w:b/>
      <w:bCs/>
    </w:rPr>
  </w:style>
  <w:style w:type="character" w:customStyle="1" w:styleId="CommentSubjectChar">
    <w:name w:val="Comment Subject Char"/>
    <w:basedOn w:val="CommentTextChar"/>
    <w:link w:val="CommentSubject"/>
    <w:uiPriority w:val="99"/>
    <w:semiHidden/>
    <w:locked/>
    <w:rsid w:val="00496996"/>
    <w:rPr>
      <w:b/>
      <w:bCs/>
    </w:rPr>
  </w:style>
  <w:style w:type="paragraph" w:styleId="BalloonText">
    <w:name w:val="Balloon Text"/>
    <w:basedOn w:val="Normal"/>
    <w:link w:val="BalloonTextChar"/>
    <w:uiPriority w:val="99"/>
    <w:semiHidden/>
    <w:rsid w:val="00671B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996"/>
    <w:rPr>
      <w:sz w:val="2"/>
      <w:szCs w:val="2"/>
    </w:rPr>
  </w:style>
  <w:style w:type="paragraph" w:styleId="Header">
    <w:name w:val="header"/>
    <w:basedOn w:val="Normal"/>
    <w:link w:val="HeaderChar"/>
    <w:rsid w:val="00671B42"/>
    <w:pPr>
      <w:tabs>
        <w:tab w:val="center" w:pos="4320"/>
        <w:tab w:val="right" w:pos="8640"/>
      </w:tabs>
    </w:pPr>
  </w:style>
  <w:style w:type="character" w:customStyle="1" w:styleId="HeaderChar">
    <w:name w:val="Header Char"/>
    <w:basedOn w:val="DefaultParagraphFont"/>
    <w:link w:val="Header"/>
    <w:uiPriority w:val="99"/>
    <w:locked/>
    <w:rsid w:val="00496996"/>
    <w:rPr>
      <w:sz w:val="24"/>
      <w:szCs w:val="24"/>
    </w:rPr>
  </w:style>
  <w:style w:type="paragraph" w:styleId="ListParagraph">
    <w:name w:val="List Paragraph"/>
    <w:basedOn w:val="Normal"/>
    <w:uiPriority w:val="99"/>
    <w:qFormat/>
    <w:rsid w:val="00E95C37"/>
    <w:pPr>
      <w:ind w:left="720"/>
    </w:pPr>
  </w:style>
  <w:style w:type="paragraph" w:styleId="Revision">
    <w:name w:val="Revision"/>
    <w:hidden/>
    <w:uiPriority w:val="99"/>
    <w:semiHidden/>
    <w:rsid w:val="00F4780B"/>
    <w:rPr>
      <w:sz w:val="24"/>
      <w:szCs w:val="24"/>
    </w:rPr>
  </w:style>
  <w:style w:type="character" w:styleId="Hyperlink">
    <w:name w:val="Hyperlink"/>
    <w:basedOn w:val="DefaultParagraphFont"/>
    <w:uiPriority w:val="99"/>
    <w:rsid w:val="009D5BF9"/>
    <w:rPr>
      <w:color w:val="0000FF"/>
      <w:u w:val="single"/>
    </w:rPr>
  </w:style>
  <w:style w:type="character" w:styleId="FollowedHyperlink">
    <w:name w:val="FollowedHyperlink"/>
    <w:basedOn w:val="DefaultParagraphFont"/>
    <w:uiPriority w:val="99"/>
    <w:rsid w:val="00496996"/>
    <w:rPr>
      <w:color w:val="auto"/>
      <w:u w:val="single"/>
    </w:rPr>
  </w:style>
  <w:style w:type="character" w:customStyle="1" w:styleId="Char">
    <w:name w:val="Char"/>
    <w:basedOn w:val="DefaultParagraphFont"/>
    <w:uiPriority w:val="99"/>
    <w:rsid w:val="00C636E9"/>
    <w:rPr>
      <w:sz w:val="24"/>
      <w:szCs w:val="24"/>
    </w:rPr>
  </w:style>
  <w:style w:type="character" w:customStyle="1" w:styleId="Char1">
    <w:name w:val="Char1"/>
    <w:basedOn w:val="DefaultParagraphFont"/>
    <w:uiPriority w:val="99"/>
    <w:rsid w:val="00C636E9"/>
    <w:rPr>
      <w:lang w:val="en-US" w:eastAsia="en-US"/>
    </w:rPr>
  </w:style>
  <w:style w:type="character" w:customStyle="1" w:styleId="FootnoteTextChar2">
    <w:name w:val="Footnote Text Char2"/>
    <w:aliases w:val="Style 4 Char1,Footnote Text Char Char1,Footnote Text Char2 Char Char1,Footnote Text Char3 Char Char Char1,Footnote Text Char2 Char Char Char Char1,Footnote Text Char Char Char1 Char Char Char Char1,fn Char Char Char1,fn Char Char2"/>
    <w:uiPriority w:val="99"/>
    <w:semiHidden/>
    <w:rsid w:val="000F3AD9"/>
    <w:rPr>
      <w:lang w:val="en-US" w:eastAsia="en-US"/>
    </w:rPr>
  </w:style>
  <w:style w:type="paragraph" w:styleId="Caption">
    <w:name w:val="caption"/>
    <w:basedOn w:val="Normal"/>
    <w:next w:val="Normal"/>
    <w:unhideWhenUsed/>
    <w:qFormat/>
    <w:locked/>
    <w:rsid w:val="00FD7B4A"/>
    <w:pPr>
      <w:spacing w:after="200"/>
    </w:pPr>
    <w:rPr>
      <w:b/>
      <w:bCs/>
      <w:color w:val="4F81BD"/>
      <w:sz w:val="18"/>
      <w:szCs w:val="18"/>
    </w:rPr>
  </w:style>
  <w:style w:type="paragraph" w:customStyle="1" w:styleId="ANSWER">
    <w:name w:val="ANSWER"/>
    <w:basedOn w:val="Normal"/>
    <w:rsid w:val="00C72C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ind w:left="547" w:right="187" w:hanging="547"/>
    </w:pPr>
    <w:rPr>
      <w:szCs w:val="20"/>
    </w:rPr>
  </w:style>
</w:styles>
</file>

<file path=word/webSettings.xml><?xml version="1.0" encoding="utf-8"?>
<w:webSettings xmlns:r="http://schemas.openxmlformats.org/officeDocument/2006/relationships" xmlns:w="http://schemas.openxmlformats.org/wordprocessingml/2006/main">
  <w:divs>
    <w:div w:id="349528203">
      <w:bodyDiv w:val="1"/>
      <w:marLeft w:val="0"/>
      <w:marRight w:val="0"/>
      <w:marTop w:val="0"/>
      <w:marBottom w:val="0"/>
      <w:divBdr>
        <w:top w:val="none" w:sz="0" w:space="0" w:color="auto"/>
        <w:left w:val="none" w:sz="0" w:space="0" w:color="auto"/>
        <w:bottom w:val="none" w:sz="0" w:space="0" w:color="auto"/>
        <w:right w:val="none" w:sz="0" w:space="0" w:color="auto"/>
      </w:divBdr>
    </w:div>
    <w:div w:id="1226797520">
      <w:marLeft w:val="0"/>
      <w:marRight w:val="0"/>
      <w:marTop w:val="0"/>
      <w:marBottom w:val="0"/>
      <w:divBdr>
        <w:top w:val="none" w:sz="0" w:space="0" w:color="auto"/>
        <w:left w:val="none" w:sz="0" w:space="0" w:color="auto"/>
        <w:bottom w:val="none" w:sz="0" w:space="0" w:color="auto"/>
        <w:right w:val="none" w:sz="0" w:space="0" w:color="auto"/>
      </w:divBdr>
    </w:div>
    <w:div w:id="1226797524">
      <w:marLeft w:val="0"/>
      <w:marRight w:val="0"/>
      <w:marTop w:val="0"/>
      <w:marBottom w:val="0"/>
      <w:divBdr>
        <w:top w:val="none" w:sz="0" w:space="0" w:color="auto"/>
        <w:left w:val="none" w:sz="0" w:space="0" w:color="auto"/>
        <w:bottom w:val="none" w:sz="0" w:space="0" w:color="auto"/>
        <w:right w:val="none" w:sz="0" w:space="0" w:color="auto"/>
      </w:divBdr>
      <w:divsChild>
        <w:div w:id="1226797526">
          <w:marLeft w:val="0"/>
          <w:marRight w:val="0"/>
          <w:marTop w:val="0"/>
          <w:marBottom w:val="0"/>
          <w:divBdr>
            <w:top w:val="none" w:sz="0" w:space="0" w:color="auto"/>
            <w:left w:val="none" w:sz="0" w:space="0" w:color="auto"/>
            <w:bottom w:val="none" w:sz="0" w:space="0" w:color="auto"/>
            <w:right w:val="none" w:sz="0" w:space="0" w:color="auto"/>
          </w:divBdr>
          <w:divsChild>
            <w:div w:id="1226797522">
              <w:marLeft w:val="0"/>
              <w:marRight w:val="0"/>
              <w:marTop w:val="0"/>
              <w:marBottom w:val="0"/>
              <w:divBdr>
                <w:top w:val="none" w:sz="0" w:space="0" w:color="auto"/>
                <w:left w:val="none" w:sz="0" w:space="0" w:color="auto"/>
                <w:bottom w:val="none" w:sz="0" w:space="0" w:color="auto"/>
                <w:right w:val="none" w:sz="0" w:space="0" w:color="auto"/>
              </w:divBdr>
              <w:divsChild>
                <w:div w:id="1226797521">
                  <w:marLeft w:val="0"/>
                  <w:marRight w:val="0"/>
                  <w:marTop w:val="0"/>
                  <w:marBottom w:val="0"/>
                  <w:divBdr>
                    <w:top w:val="none" w:sz="0" w:space="0" w:color="auto"/>
                    <w:left w:val="none" w:sz="0" w:space="0" w:color="auto"/>
                    <w:bottom w:val="none" w:sz="0" w:space="0" w:color="auto"/>
                    <w:right w:val="none" w:sz="0" w:space="0" w:color="auto"/>
                  </w:divBdr>
                  <w:divsChild>
                    <w:div w:id="1226797525">
                      <w:marLeft w:val="0"/>
                      <w:marRight w:val="0"/>
                      <w:marTop w:val="0"/>
                      <w:marBottom w:val="0"/>
                      <w:divBdr>
                        <w:top w:val="none" w:sz="0" w:space="0" w:color="auto"/>
                        <w:left w:val="none" w:sz="0" w:space="0" w:color="auto"/>
                        <w:bottom w:val="none" w:sz="0" w:space="0" w:color="auto"/>
                        <w:right w:val="none" w:sz="0" w:space="0" w:color="auto"/>
                      </w:divBdr>
                      <w:divsChild>
                        <w:div w:id="1226797523">
                          <w:marLeft w:val="0"/>
                          <w:marRight w:val="0"/>
                          <w:marTop w:val="0"/>
                          <w:marBottom w:val="0"/>
                          <w:divBdr>
                            <w:top w:val="none" w:sz="0" w:space="0" w:color="auto"/>
                            <w:left w:val="none" w:sz="0" w:space="0" w:color="auto"/>
                            <w:bottom w:val="none" w:sz="0" w:space="0" w:color="auto"/>
                            <w:right w:val="none" w:sz="0" w:space="0" w:color="auto"/>
                          </w:divBdr>
                          <w:divsChild>
                            <w:div w:id="12267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97527">
      <w:marLeft w:val="0"/>
      <w:marRight w:val="0"/>
      <w:marTop w:val="0"/>
      <w:marBottom w:val="0"/>
      <w:divBdr>
        <w:top w:val="none" w:sz="0" w:space="0" w:color="auto"/>
        <w:left w:val="none" w:sz="0" w:space="0" w:color="auto"/>
        <w:bottom w:val="none" w:sz="0" w:space="0" w:color="auto"/>
        <w:right w:val="none" w:sz="0" w:space="0" w:color="auto"/>
      </w:divBdr>
    </w:div>
    <w:div w:id="1226797529">
      <w:marLeft w:val="0"/>
      <w:marRight w:val="0"/>
      <w:marTop w:val="0"/>
      <w:marBottom w:val="0"/>
      <w:divBdr>
        <w:top w:val="none" w:sz="0" w:space="0" w:color="auto"/>
        <w:left w:val="none" w:sz="0" w:space="0" w:color="auto"/>
        <w:bottom w:val="none" w:sz="0" w:space="0" w:color="auto"/>
        <w:right w:val="none" w:sz="0" w:space="0" w:color="auto"/>
      </w:divBdr>
    </w:div>
    <w:div w:id="1241872142">
      <w:bodyDiv w:val="1"/>
      <w:marLeft w:val="0"/>
      <w:marRight w:val="0"/>
      <w:marTop w:val="0"/>
      <w:marBottom w:val="0"/>
      <w:divBdr>
        <w:top w:val="none" w:sz="0" w:space="0" w:color="auto"/>
        <w:left w:val="none" w:sz="0" w:space="0" w:color="auto"/>
        <w:bottom w:val="none" w:sz="0" w:space="0" w:color="auto"/>
        <w:right w:val="none" w:sz="0" w:space="0" w:color="auto"/>
      </w:divBdr>
    </w:div>
    <w:div w:id="17122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hx.corporate-ir.net/External.File?item=UGFyZW50SUQ9MzA0MDUyNnxDaGlsZElEPTM3ODA0M3xUeXBlPTI=&amp;t=1" TargetMode="External"/><Relationship Id="rId3" Type="http://schemas.openxmlformats.org/officeDocument/2006/relationships/hyperlink" Target="http://www.cdc.gov/nchs/data/nhis/earlyrelease/wireless201005.pdf" TargetMode="External"/><Relationship Id="rId7" Type="http://schemas.openxmlformats.org/officeDocument/2006/relationships/hyperlink" Target="http://phx.corporate-ir.net/External.File?item=UGFyZW50SUQ9MzkyMDAyfENoaWxkSUQ9Mzk2MzQxfFR5cGU9MQ==&amp;t=1" TargetMode="External"/><Relationship Id="rId2" Type="http://schemas.openxmlformats.org/officeDocument/2006/relationships/hyperlink" Target="http://www.sfgate.com/cgi-bin/article.cgi?f=/g/a/2010/08/18/businessinsider-chart-of-the-day-almost-a-third-of-us-households-have-cut-the-landline-cord-2010-8.DTL" TargetMode="External"/><Relationship Id="rId1" Type="http://schemas.openxmlformats.org/officeDocument/2006/relationships/hyperlink" Target="http://www.sec.gov/Archives/edgar/data/18926/000095012310066042/y84818a1sv4za.htm" TargetMode="External"/><Relationship Id="rId6" Type="http://schemas.openxmlformats.org/officeDocument/2006/relationships/hyperlink" Target="http://investor.qwest.com/index.php?s=68" TargetMode="External"/><Relationship Id="rId5" Type="http://schemas.openxmlformats.org/officeDocument/2006/relationships/hyperlink" Target="http://www.fcc.gov/Daily_Releases/Daily_Business/2010/db0930/DOC-301823A1.pdf" TargetMode="External"/><Relationship Id="rId4" Type="http://schemas.openxmlformats.org/officeDocument/2006/relationships/hyperlink" Target="http://corp.sonic.net/ceo/2010/09/09/why-include-phone/" TargetMode="External"/><Relationship Id="rId9" Type="http://schemas.openxmlformats.org/officeDocument/2006/relationships/hyperlink" Target="http://www.sec.gov/Archives/edgar/data/18926/000001892608000004/form10k20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2010-11-01T07:00:00+00:00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87CE37-F794-4731-8B98-0FF6D68CF3BC}"/>
</file>

<file path=customXml/itemProps2.xml><?xml version="1.0" encoding="utf-8"?>
<ds:datastoreItem xmlns:ds="http://schemas.openxmlformats.org/officeDocument/2006/customXml" ds:itemID="{BFEA8755-CC9C-4E08-A0FD-7EF2E81B124F}"/>
</file>

<file path=customXml/itemProps3.xml><?xml version="1.0" encoding="utf-8"?>
<ds:datastoreItem xmlns:ds="http://schemas.openxmlformats.org/officeDocument/2006/customXml" ds:itemID="{17D92F2A-63FE-4876-8B24-79A27F171B82}"/>
</file>

<file path=customXml/itemProps4.xml><?xml version="1.0" encoding="utf-8"?>
<ds:datastoreItem xmlns:ds="http://schemas.openxmlformats.org/officeDocument/2006/customXml" ds:itemID="{82F4E6BE-01E7-4D94-8A3E-D07BB373E2C5}"/>
</file>

<file path=customXml/itemProps5.xml><?xml version="1.0" encoding="utf-8"?>
<ds:datastoreItem xmlns:ds="http://schemas.openxmlformats.org/officeDocument/2006/customXml" ds:itemID="{24385F1F-0E5B-4D11-8B2E-C44AA311C4DE}"/>
</file>

<file path=docProps/app.xml><?xml version="1.0" encoding="utf-8"?>
<Properties xmlns="http://schemas.openxmlformats.org/officeDocument/2006/extended-properties" xmlns:vt="http://schemas.openxmlformats.org/officeDocument/2006/docPropsVTypes">
  <Template>Normal.dotm</Template>
  <TotalTime>2</TotalTime>
  <Pages>62</Pages>
  <Words>14002</Words>
  <Characters>79816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BEFORE THE ________________________________ WASHINTON STATE UTILITIES AND TRANSPORTATION COMMISSION</vt:lpstr>
    </vt:vector>
  </TitlesOfParts>
  <Company>Hewlett-Packard Company</Company>
  <LinksUpToDate>false</LinksUpToDate>
  <CharactersWithSpaces>93631</CharactersWithSpaces>
  <SharedDoc>false</SharedDoc>
  <HLinks>
    <vt:vector size="54" baseType="variant">
      <vt:variant>
        <vt:i4>6291517</vt:i4>
      </vt:variant>
      <vt:variant>
        <vt:i4>24</vt:i4>
      </vt:variant>
      <vt:variant>
        <vt:i4>0</vt:i4>
      </vt:variant>
      <vt:variant>
        <vt:i4>5</vt:i4>
      </vt:variant>
      <vt:variant>
        <vt:lpwstr>http://www.sec.gov/Archives/edgar/data/18926/000001892608000004/form10k2007.htm</vt:lpwstr>
      </vt:variant>
      <vt:variant>
        <vt:lpwstr/>
      </vt:variant>
      <vt:variant>
        <vt:i4>2293794</vt:i4>
      </vt:variant>
      <vt:variant>
        <vt:i4>21</vt:i4>
      </vt:variant>
      <vt:variant>
        <vt:i4>0</vt:i4>
      </vt:variant>
      <vt:variant>
        <vt:i4>5</vt:i4>
      </vt:variant>
      <vt:variant>
        <vt:lpwstr>http://phx.corporate-ir.net/External.File?item=UGFyZW50SUQ9MzA0MDUyNnxDaGlsZElEPTM3ODA0M3xUeXBlPTI=&amp;t=1</vt:lpwstr>
      </vt:variant>
      <vt:variant>
        <vt:lpwstr/>
      </vt:variant>
      <vt:variant>
        <vt:i4>7536684</vt:i4>
      </vt:variant>
      <vt:variant>
        <vt:i4>18</vt:i4>
      </vt:variant>
      <vt:variant>
        <vt:i4>0</vt:i4>
      </vt:variant>
      <vt:variant>
        <vt:i4>5</vt:i4>
      </vt:variant>
      <vt:variant>
        <vt:lpwstr>http://phx.corporate-ir.net/External.File?item=UGFyZW50SUQ9MzkyMDAyfENoaWxkSUQ9Mzk2MzQxfFR5cGU9MQ==&amp;t=1</vt:lpwstr>
      </vt:variant>
      <vt:variant>
        <vt:lpwstr/>
      </vt:variant>
      <vt:variant>
        <vt:i4>1769562</vt:i4>
      </vt:variant>
      <vt:variant>
        <vt:i4>15</vt:i4>
      </vt:variant>
      <vt:variant>
        <vt:i4>0</vt:i4>
      </vt:variant>
      <vt:variant>
        <vt:i4>5</vt:i4>
      </vt:variant>
      <vt:variant>
        <vt:lpwstr>http://investor.qwest.com/index.php?s=68</vt:lpwstr>
      </vt:variant>
      <vt:variant>
        <vt:lpwstr/>
      </vt:variant>
      <vt:variant>
        <vt:i4>8192040</vt:i4>
      </vt:variant>
      <vt:variant>
        <vt:i4>12</vt:i4>
      </vt:variant>
      <vt:variant>
        <vt:i4>0</vt:i4>
      </vt:variant>
      <vt:variant>
        <vt:i4>5</vt:i4>
      </vt:variant>
      <vt:variant>
        <vt:lpwstr>http://www.fcc.gov/Daily_Releases/Daily_Business/2010/db0930/DOC-301823A1.pdf</vt:lpwstr>
      </vt:variant>
      <vt:variant>
        <vt:lpwstr/>
      </vt:variant>
      <vt:variant>
        <vt:i4>7602300</vt:i4>
      </vt:variant>
      <vt:variant>
        <vt:i4>9</vt:i4>
      </vt:variant>
      <vt:variant>
        <vt:i4>0</vt:i4>
      </vt:variant>
      <vt:variant>
        <vt:i4>5</vt:i4>
      </vt:variant>
      <vt:variant>
        <vt:lpwstr>http://corp.sonic.net/ceo/2010/09/09/why-include-phone/</vt:lpwstr>
      </vt:variant>
      <vt:variant>
        <vt:lpwstr/>
      </vt:variant>
      <vt:variant>
        <vt:i4>5177347</vt:i4>
      </vt:variant>
      <vt:variant>
        <vt:i4>6</vt:i4>
      </vt:variant>
      <vt:variant>
        <vt:i4>0</vt:i4>
      </vt:variant>
      <vt:variant>
        <vt:i4>5</vt:i4>
      </vt:variant>
      <vt:variant>
        <vt:lpwstr>http://www.cdc.gov/nchs/data/nhis/earlyrelease/wireless201005.pdf</vt:lpwstr>
      </vt:variant>
      <vt:variant>
        <vt:lpwstr/>
      </vt:variant>
      <vt:variant>
        <vt:i4>3604512</vt:i4>
      </vt:variant>
      <vt:variant>
        <vt:i4>3</vt:i4>
      </vt:variant>
      <vt:variant>
        <vt:i4>0</vt:i4>
      </vt:variant>
      <vt:variant>
        <vt:i4>5</vt:i4>
      </vt:variant>
      <vt:variant>
        <vt:lpwstr>http://www.sfgate.com/cgi-bin/article.cgi?f=/g/a/2010/08/18/businessinsider-chart-of-the-day-almost-a-third-of-us-households-have-cut-the-landline-cord-2010-8.DTL</vt:lpwstr>
      </vt:variant>
      <vt:variant>
        <vt:lpwstr/>
      </vt:variant>
      <vt:variant>
        <vt:i4>6684799</vt:i4>
      </vt:variant>
      <vt:variant>
        <vt:i4>0</vt:i4>
      </vt:variant>
      <vt:variant>
        <vt:i4>0</vt:i4>
      </vt:variant>
      <vt:variant>
        <vt:i4>5</vt:i4>
      </vt:variant>
      <vt:variant>
        <vt:lpwstr>http://www.sec.gov/Archives/edgar/data/18926/000095012310066042/y84818a1sv4za.htm</vt:lpwstr>
      </vt:variant>
      <vt:variant>
        <vt:lpwstr>113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________________________________ WASHINTON STATE UTILITIES AND TRANSPORTATION COMMISSION</dc:title>
  <dc:subject/>
  <dc:creator>CenturyTel Financial Draft</dc:creator>
  <cp:keywords/>
  <cp:lastModifiedBy>Peterson, Maura</cp:lastModifiedBy>
  <cp:revision>3</cp:revision>
  <cp:lastPrinted>2010-11-01T20:43:00Z</cp:lastPrinted>
  <dcterms:created xsi:type="dcterms:W3CDTF">2010-11-01T20:43:00Z</dcterms:created>
  <dcterms:modified xsi:type="dcterms:W3CDTF">2010-11-01T20:43:00Z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