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A705" w14:textId="4D004DF9" w:rsidR="004026AD" w:rsidRPr="0060336C" w:rsidRDefault="004026AD" w:rsidP="0060336C">
      <w:pPr>
        <w:ind w:left="5670"/>
        <w:rPr>
          <w:b/>
        </w:rPr>
      </w:pPr>
      <w:r w:rsidRPr="0060336C">
        <w:rPr>
          <w:b/>
        </w:rPr>
        <w:t xml:space="preserve">Exhibit No. </w:t>
      </w:r>
      <w:r w:rsidR="002752E0" w:rsidRPr="0060336C">
        <w:rPr>
          <w:b/>
        </w:rPr>
        <w:t>CSH</w:t>
      </w:r>
      <w:r w:rsidR="005F4293" w:rsidRPr="0060336C">
        <w:rPr>
          <w:b/>
        </w:rPr>
        <w:t>-1</w:t>
      </w:r>
      <w:r w:rsidR="00021208">
        <w:rPr>
          <w:b/>
        </w:rPr>
        <w:t>0</w:t>
      </w:r>
      <w:r w:rsidR="00B13018" w:rsidRPr="0060336C">
        <w:rPr>
          <w:b/>
        </w:rPr>
        <w:t>T</w:t>
      </w:r>
      <w:r w:rsidRPr="0060336C">
        <w:rPr>
          <w:b/>
        </w:rPr>
        <w:t xml:space="preserve"> </w:t>
      </w:r>
    </w:p>
    <w:p w14:paraId="0B0AA706" w14:textId="755929B7" w:rsidR="004026AD" w:rsidRPr="00F720F8" w:rsidRDefault="004026AD" w:rsidP="0012658F">
      <w:pPr>
        <w:tabs>
          <w:tab w:val="center" w:pos="4680"/>
        </w:tabs>
        <w:ind w:left="5670" w:right="-252"/>
        <w:rPr>
          <w:rFonts w:eastAsia="Times New Roman"/>
          <w:b/>
          <w:bCs/>
        </w:rPr>
      </w:pPr>
      <w:r w:rsidRPr="00F720F8">
        <w:rPr>
          <w:rFonts w:eastAsia="Times New Roman"/>
          <w:b/>
          <w:bCs/>
        </w:rPr>
        <w:t>Docket</w:t>
      </w:r>
      <w:r w:rsidR="00BD533D" w:rsidRPr="00F720F8">
        <w:rPr>
          <w:rFonts w:eastAsia="Times New Roman"/>
          <w:b/>
          <w:bCs/>
        </w:rPr>
        <w:t>s</w:t>
      </w:r>
      <w:r w:rsidRPr="00F720F8">
        <w:rPr>
          <w:rFonts w:eastAsia="Times New Roman"/>
          <w:b/>
          <w:bCs/>
        </w:rPr>
        <w:t xml:space="preserve"> </w:t>
      </w:r>
      <w:r w:rsidR="00A20BE8">
        <w:rPr>
          <w:rFonts w:eastAsia="Times New Roman"/>
          <w:b/>
          <w:bCs/>
        </w:rPr>
        <w:t>UE-160228/UG-160229</w:t>
      </w:r>
    </w:p>
    <w:p w14:paraId="0B0AA707" w14:textId="08EF138C" w:rsidR="004026AD" w:rsidRPr="00F720F8" w:rsidRDefault="004026AD" w:rsidP="0012658F">
      <w:pPr>
        <w:tabs>
          <w:tab w:val="center" w:pos="4680"/>
        </w:tabs>
        <w:ind w:left="5670" w:right="-252"/>
        <w:rPr>
          <w:rFonts w:eastAsia="Times New Roman"/>
          <w:b/>
          <w:bCs/>
        </w:rPr>
      </w:pPr>
      <w:r w:rsidRPr="00F720F8">
        <w:rPr>
          <w:rFonts w:eastAsia="Times New Roman"/>
          <w:b/>
          <w:bCs/>
        </w:rPr>
        <w:t xml:space="preserve">Witness: </w:t>
      </w:r>
      <w:r w:rsidR="002752E0">
        <w:rPr>
          <w:rFonts w:eastAsia="Times New Roman"/>
          <w:b/>
          <w:bCs/>
        </w:rPr>
        <w:t>Christopher S. Hancock</w:t>
      </w:r>
    </w:p>
    <w:p w14:paraId="0B0AA708" w14:textId="78A5EB96" w:rsidR="004026AD" w:rsidRPr="00F720F8" w:rsidRDefault="004026AD" w:rsidP="0060336C">
      <w:pPr>
        <w:tabs>
          <w:tab w:val="center" w:pos="4680"/>
        </w:tabs>
        <w:ind w:left="5760" w:right="-252"/>
        <w:jc w:val="both"/>
        <w:rPr>
          <w:rFonts w:eastAsia="Times New Roman"/>
          <w:b/>
          <w:bCs/>
        </w:rPr>
      </w:pPr>
    </w:p>
    <w:p w14:paraId="0B0AA709" w14:textId="77777777" w:rsidR="004026AD" w:rsidRPr="00F720F8" w:rsidRDefault="004026AD" w:rsidP="004026AD">
      <w:pPr>
        <w:tabs>
          <w:tab w:val="center" w:pos="4680"/>
        </w:tabs>
        <w:ind w:right="-252" w:hanging="360"/>
        <w:jc w:val="both"/>
        <w:rPr>
          <w:rFonts w:eastAsia="Times New Roman"/>
          <w:b/>
          <w:bCs/>
        </w:rPr>
      </w:pPr>
    </w:p>
    <w:p w14:paraId="0B0AA70A" w14:textId="77777777" w:rsidR="004026AD" w:rsidRPr="00F720F8" w:rsidRDefault="004026AD" w:rsidP="004026AD">
      <w:pPr>
        <w:tabs>
          <w:tab w:val="center" w:pos="4680"/>
        </w:tabs>
        <w:ind w:right="-252" w:hanging="360"/>
        <w:jc w:val="both"/>
        <w:rPr>
          <w:rFonts w:eastAsia="Times New Roman"/>
          <w:b/>
          <w:bCs/>
        </w:rPr>
      </w:pPr>
    </w:p>
    <w:p w14:paraId="4B26C46E" w14:textId="77777777" w:rsidR="001A7B47" w:rsidRDefault="00FA0296" w:rsidP="006355F2">
      <w:pPr>
        <w:tabs>
          <w:tab w:val="center" w:pos="4680"/>
        </w:tabs>
        <w:ind w:right="-432" w:hanging="720"/>
        <w:jc w:val="center"/>
        <w:rPr>
          <w:b/>
        </w:rPr>
      </w:pPr>
      <w:r w:rsidRPr="00F720F8">
        <w:rPr>
          <w:b/>
        </w:rPr>
        <w:t xml:space="preserve">BEFORE THE WASHINGTON </w:t>
      </w:r>
    </w:p>
    <w:p w14:paraId="2C1AAA0F" w14:textId="335CF025" w:rsidR="00FA0296" w:rsidRPr="00F720F8" w:rsidRDefault="00FA0296" w:rsidP="006355F2">
      <w:pPr>
        <w:tabs>
          <w:tab w:val="center" w:pos="4680"/>
        </w:tabs>
        <w:ind w:right="-432" w:hanging="720"/>
        <w:jc w:val="center"/>
        <w:rPr>
          <w:b/>
        </w:rPr>
      </w:pPr>
      <w:r w:rsidRPr="00F720F8">
        <w:rPr>
          <w:b/>
        </w:rPr>
        <w:t>UTILITIES AND TRANSPORTATION COMMISSION</w:t>
      </w:r>
    </w:p>
    <w:p w14:paraId="21A7632A" w14:textId="77777777" w:rsidR="008E5E72" w:rsidRPr="00F720F8" w:rsidRDefault="008E5E72" w:rsidP="006355F2">
      <w:pPr>
        <w:tabs>
          <w:tab w:val="center" w:pos="4680"/>
        </w:tabs>
        <w:ind w:right="-432" w:hanging="720"/>
        <w:jc w:val="center"/>
        <w:rPr>
          <w:b/>
        </w:rPr>
      </w:pPr>
    </w:p>
    <w:p w14:paraId="15FABFDE" w14:textId="77777777" w:rsidR="00FA0296" w:rsidRPr="00F720F8" w:rsidRDefault="00FA0296" w:rsidP="00FA0296">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A0296" w:rsidRPr="00F720F8" w14:paraId="1145D9F2" w14:textId="77777777" w:rsidTr="009D4E52">
        <w:tc>
          <w:tcPr>
            <w:tcW w:w="4590" w:type="dxa"/>
            <w:tcBorders>
              <w:top w:val="single" w:sz="6" w:space="0" w:color="FFFFFF"/>
              <w:left w:val="single" w:sz="6" w:space="0" w:color="FFFFFF"/>
              <w:bottom w:val="single" w:sz="6" w:space="0" w:color="000000"/>
              <w:right w:val="single" w:sz="6" w:space="0" w:color="FFFFFF"/>
            </w:tcBorders>
          </w:tcPr>
          <w:p w14:paraId="7405A748" w14:textId="77777777" w:rsidR="006355F2" w:rsidRPr="006355F2" w:rsidRDefault="006355F2" w:rsidP="006355F2">
            <w:pPr>
              <w:pStyle w:val="Header"/>
              <w:tabs>
                <w:tab w:val="left" w:pos="681"/>
                <w:tab w:val="left" w:pos="1401"/>
              </w:tabs>
              <w:rPr>
                <w:b/>
              </w:rPr>
            </w:pPr>
            <w:r w:rsidRPr="006355F2">
              <w:rPr>
                <w:b/>
              </w:rPr>
              <w:t>WASHINGTON UTILITIES AND TRANSPORTATION COMMISSION,</w:t>
            </w:r>
          </w:p>
          <w:p w14:paraId="17EF7750" w14:textId="77777777" w:rsidR="006355F2" w:rsidRPr="006355F2" w:rsidRDefault="006355F2" w:rsidP="006355F2">
            <w:pPr>
              <w:pStyle w:val="Header"/>
              <w:tabs>
                <w:tab w:val="left" w:pos="681"/>
                <w:tab w:val="left" w:pos="1401"/>
              </w:tabs>
              <w:rPr>
                <w:b/>
              </w:rPr>
            </w:pPr>
          </w:p>
          <w:p w14:paraId="58C0EFBC" w14:textId="2534BDF3" w:rsidR="006355F2" w:rsidRPr="006355F2" w:rsidRDefault="006355F2" w:rsidP="006355F2">
            <w:pPr>
              <w:pStyle w:val="Header"/>
              <w:tabs>
                <w:tab w:val="left" w:pos="681"/>
                <w:tab w:val="left" w:pos="1401"/>
              </w:tabs>
              <w:rPr>
                <w:b/>
              </w:rPr>
            </w:pPr>
            <w:r w:rsidRPr="006355F2">
              <w:rPr>
                <w:b/>
              </w:rPr>
              <w:tab/>
            </w:r>
            <w:r w:rsidR="00AE04F7">
              <w:rPr>
                <w:b/>
              </w:rPr>
              <w:tab/>
            </w:r>
            <w:r w:rsidRPr="006355F2">
              <w:rPr>
                <w:b/>
              </w:rPr>
              <w:t>Complainant,</w:t>
            </w:r>
          </w:p>
          <w:p w14:paraId="7CB9D78F" w14:textId="77777777" w:rsidR="006355F2" w:rsidRPr="006355F2" w:rsidRDefault="006355F2" w:rsidP="006355F2">
            <w:pPr>
              <w:pStyle w:val="Header"/>
              <w:tabs>
                <w:tab w:val="left" w:pos="681"/>
                <w:tab w:val="left" w:pos="1401"/>
              </w:tabs>
              <w:rPr>
                <w:b/>
              </w:rPr>
            </w:pPr>
          </w:p>
          <w:p w14:paraId="008F881B" w14:textId="77777777" w:rsidR="006355F2" w:rsidRPr="006355F2" w:rsidRDefault="006355F2" w:rsidP="006355F2">
            <w:pPr>
              <w:pStyle w:val="Header"/>
              <w:tabs>
                <w:tab w:val="left" w:pos="681"/>
                <w:tab w:val="left" w:pos="1401"/>
              </w:tabs>
              <w:rPr>
                <w:b/>
              </w:rPr>
            </w:pPr>
            <w:r w:rsidRPr="006355F2">
              <w:rPr>
                <w:b/>
              </w:rPr>
              <w:t>v.</w:t>
            </w:r>
          </w:p>
          <w:p w14:paraId="1D6530BA" w14:textId="77777777" w:rsidR="006355F2" w:rsidRPr="006355F2" w:rsidRDefault="006355F2" w:rsidP="006355F2">
            <w:pPr>
              <w:pStyle w:val="Header"/>
              <w:tabs>
                <w:tab w:val="left" w:pos="681"/>
                <w:tab w:val="left" w:pos="1401"/>
              </w:tabs>
              <w:rPr>
                <w:b/>
              </w:rPr>
            </w:pPr>
          </w:p>
          <w:p w14:paraId="1B6073EB" w14:textId="6DB1B99D" w:rsidR="006355F2" w:rsidRPr="006355F2" w:rsidRDefault="00A20BE8" w:rsidP="006355F2">
            <w:pPr>
              <w:pStyle w:val="Header"/>
              <w:tabs>
                <w:tab w:val="left" w:pos="681"/>
                <w:tab w:val="left" w:pos="1401"/>
              </w:tabs>
              <w:rPr>
                <w:b/>
              </w:rPr>
            </w:pPr>
            <w:r w:rsidRPr="00A20BE8">
              <w:rPr>
                <w:b/>
              </w:rPr>
              <w:t>AVISTA CORPORATION d/b/a AVISTA UTILITIES</w:t>
            </w:r>
            <w:r w:rsidR="006355F2" w:rsidRPr="006355F2">
              <w:rPr>
                <w:b/>
              </w:rPr>
              <w:t>,</w:t>
            </w:r>
          </w:p>
          <w:p w14:paraId="5E4BBDC2" w14:textId="77777777" w:rsidR="006355F2" w:rsidRPr="006355F2" w:rsidRDefault="006355F2" w:rsidP="006355F2">
            <w:pPr>
              <w:pStyle w:val="Header"/>
              <w:tabs>
                <w:tab w:val="left" w:pos="681"/>
                <w:tab w:val="left" w:pos="1401"/>
              </w:tabs>
              <w:rPr>
                <w:b/>
              </w:rPr>
            </w:pPr>
          </w:p>
          <w:p w14:paraId="1ABBAEF2" w14:textId="34C67EEC" w:rsidR="006355F2" w:rsidRPr="006355F2" w:rsidRDefault="006355F2" w:rsidP="006355F2">
            <w:pPr>
              <w:pStyle w:val="Header"/>
              <w:tabs>
                <w:tab w:val="left" w:pos="681"/>
                <w:tab w:val="left" w:pos="1401"/>
              </w:tabs>
              <w:rPr>
                <w:b/>
              </w:rPr>
            </w:pPr>
            <w:r w:rsidRPr="006355F2">
              <w:rPr>
                <w:b/>
              </w:rPr>
              <w:tab/>
            </w:r>
            <w:r w:rsidR="00AE04F7">
              <w:rPr>
                <w:b/>
              </w:rPr>
              <w:tab/>
            </w:r>
            <w:r w:rsidRPr="006355F2">
              <w:rPr>
                <w:b/>
              </w:rPr>
              <w:t>Respondent.</w:t>
            </w:r>
          </w:p>
          <w:p w14:paraId="04A83310" w14:textId="39E68132" w:rsidR="00FA0296" w:rsidRPr="00F720F8" w:rsidRDefault="00FA0296" w:rsidP="001B5C88">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15632B46" w14:textId="77777777" w:rsidR="00554F30" w:rsidRDefault="00554F30" w:rsidP="00554F30">
            <w:pPr>
              <w:ind w:left="734" w:hanging="14"/>
              <w:rPr>
                <w:b/>
              </w:rPr>
            </w:pPr>
            <w:r w:rsidRPr="00F720F8">
              <w:rPr>
                <w:b/>
              </w:rPr>
              <w:t>DOCKET</w:t>
            </w:r>
            <w:r>
              <w:rPr>
                <w:b/>
              </w:rPr>
              <w:t>S</w:t>
            </w:r>
            <w:r w:rsidRPr="00F720F8">
              <w:rPr>
                <w:b/>
              </w:rPr>
              <w:t xml:space="preserve"> UE-1</w:t>
            </w:r>
            <w:r>
              <w:rPr>
                <w:b/>
              </w:rPr>
              <w:t>60228 and</w:t>
            </w:r>
          </w:p>
          <w:p w14:paraId="43BBA8C1" w14:textId="187FEBEE" w:rsidR="002752E0" w:rsidRPr="002752E0" w:rsidRDefault="00554F30" w:rsidP="006355F2">
            <w:pPr>
              <w:ind w:left="734" w:hanging="14"/>
              <w:rPr>
                <w:b/>
                <w:i/>
              </w:rPr>
            </w:pPr>
            <w:r>
              <w:rPr>
                <w:b/>
              </w:rPr>
              <w:t xml:space="preserve">UG-160229 </w:t>
            </w:r>
            <w:r w:rsidR="002752E0" w:rsidRPr="0012658F">
              <w:rPr>
                <w:b/>
              </w:rPr>
              <w:t>(</w:t>
            </w:r>
            <w:r w:rsidR="002752E0" w:rsidRPr="002752E0">
              <w:rPr>
                <w:b/>
                <w:i/>
              </w:rPr>
              <w:t>Consolidated</w:t>
            </w:r>
            <w:r w:rsidR="002752E0" w:rsidRPr="0012658F">
              <w:rPr>
                <w:b/>
              </w:rPr>
              <w:t>)</w:t>
            </w:r>
          </w:p>
        </w:tc>
      </w:tr>
    </w:tbl>
    <w:p w14:paraId="0B0AA722" w14:textId="77777777" w:rsidR="004026AD" w:rsidRDefault="004026AD" w:rsidP="004026AD">
      <w:pPr>
        <w:rPr>
          <w:rFonts w:eastAsia="Times New Roman"/>
          <w:b/>
          <w:bCs/>
        </w:rPr>
      </w:pPr>
    </w:p>
    <w:p w14:paraId="608401A0" w14:textId="77777777" w:rsidR="006355F2" w:rsidRPr="00F720F8" w:rsidRDefault="006355F2" w:rsidP="004026AD">
      <w:pPr>
        <w:rPr>
          <w:rFonts w:eastAsia="Times New Roman"/>
          <w:b/>
          <w:bCs/>
        </w:rPr>
      </w:pPr>
    </w:p>
    <w:p w14:paraId="0B0AA723" w14:textId="77777777" w:rsidR="00D50AB7" w:rsidRPr="00F720F8" w:rsidRDefault="00D50AB7" w:rsidP="004026AD">
      <w:pPr>
        <w:jc w:val="center"/>
        <w:rPr>
          <w:rFonts w:eastAsia="Times New Roman"/>
          <w:b/>
          <w:bCs/>
        </w:rPr>
      </w:pPr>
    </w:p>
    <w:p w14:paraId="0B0AA724" w14:textId="20CD6914" w:rsidR="004026AD" w:rsidRPr="00F720F8" w:rsidRDefault="00EC053F" w:rsidP="004026AD">
      <w:pPr>
        <w:jc w:val="center"/>
        <w:rPr>
          <w:rFonts w:eastAsia="Times New Roman"/>
          <w:b/>
          <w:bCs/>
        </w:rPr>
      </w:pPr>
      <w:r>
        <w:rPr>
          <w:rFonts w:eastAsia="Times New Roman"/>
          <w:b/>
          <w:bCs/>
        </w:rPr>
        <w:t>CROSS</w:t>
      </w:r>
      <w:r w:rsidR="00240159">
        <w:rPr>
          <w:rFonts w:eastAsia="Times New Roman"/>
          <w:b/>
          <w:bCs/>
        </w:rPr>
        <w:t xml:space="preserve"> </w:t>
      </w:r>
      <w:r>
        <w:rPr>
          <w:rFonts w:eastAsia="Times New Roman"/>
          <w:b/>
          <w:bCs/>
        </w:rPr>
        <w:t xml:space="preserve">ANSWERING </w:t>
      </w:r>
      <w:r w:rsidR="004026AD" w:rsidRPr="00F720F8">
        <w:rPr>
          <w:rFonts w:eastAsia="Times New Roman"/>
          <w:b/>
          <w:bCs/>
        </w:rPr>
        <w:t>TESTIMONY OF</w:t>
      </w:r>
    </w:p>
    <w:p w14:paraId="0B0AA725" w14:textId="77777777" w:rsidR="004026AD" w:rsidRPr="00F720F8" w:rsidRDefault="004026AD" w:rsidP="004026AD">
      <w:pPr>
        <w:jc w:val="center"/>
        <w:rPr>
          <w:rFonts w:eastAsia="Times New Roman"/>
          <w:b/>
          <w:bCs/>
        </w:rPr>
      </w:pPr>
    </w:p>
    <w:p w14:paraId="0B0AA726" w14:textId="5EA20F69" w:rsidR="004026AD" w:rsidRPr="00F720F8" w:rsidRDefault="00F76CC0" w:rsidP="004026AD">
      <w:pPr>
        <w:jc w:val="center"/>
        <w:rPr>
          <w:rFonts w:eastAsia="Times New Roman"/>
          <w:b/>
          <w:bCs/>
        </w:rPr>
      </w:pPr>
      <w:r>
        <w:rPr>
          <w:rFonts w:eastAsia="Times New Roman"/>
          <w:b/>
          <w:bCs/>
        </w:rPr>
        <w:t>CHRISTOPHER S. HANCOCK</w:t>
      </w:r>
    </w:p>
    <w:p w14:paraId="0B0AA727" w14:textId="77777777" w:rsidR="004026AD" w:rsidRPr="00F720F8" w:rsidRDefault="004026AD" w:rsidP="004026AD">
      <w:pPr>
        <w:jc w:val="center"/>
        <w:rPr>
          <w:rFonts w:eastAsia="Times New Roman"/>
          <w:b/>
          <w:bCs/>
        </w:rPr>
      </w:pPr>
    </w:p>
    <w:p w14:paraId="0B0AA728" w14:textId="77777777" w:rsidR="004026AD" w:rsidRPr="00F720F8" w:rsidRDefault="004026AD" w:rsidP="004026AD">
      <w:pPr>
        <w:jc w:val="center"/>
        <w:rPr>
          <w:rFonts w:eastAsia="Times New Roman"/>
          <w:b/>
          <w:bCs/>
        </w:rPr>
      </w:pPr>
      <w:r w:rsidRPr="00F720F8">
        <w:rPr>
          <w:rFonts w:eastAsia="Times New Roman"/>
          <w:b/>
          <w:bCs/>
        </w:rPr>
        <w:t>STAFF OF</w:t>
      </w:r>
    </w:p>
    <w:p w14:paraId="0B0AA729" w14:textId="77777777" w:rsidR="004026AD" w:rsidRPr="00F720F8" w:rsidRDefault="004026AD" w:rsidP="004026AD">
      <w:pPr>
        <w:jc w:val="center"/>
        <w:rPr>
          <w:rFonts w:eastAsia="Times New Roman"/>
          <w:b/>
          <w:bCs/>
        </w:rPr>
      </w:pPr>
      <w:r w:rsidRPr="00F720F8">
        <w:rPr>
          <w:rFonts w:eastAsia="Times New Roman"/>
          <w:b/>
          <w:bCs/>
        </w:rPr>
        <w:t>WASHINGTON UTILITIES AND</w:t>
      </w:r>
    </w:p>
    <w:p w14:paraId="0B0AA72A" w14:textId="77777777" w:rsidR="004026AD" w:rsidRPr="00F720F8" w:rsidRDefault="004026AD" w:rsidP="004026AD">
      <w:pPr>
        <w:jc w:val="center"/>
        <w:rPr>
          <w:rFonts w:eastAsia="Times New Roman"/>
          <w:b/>
          <w:bCs/>
        </w:rPr>
      </w:pPr>
      <w:r w:rsidRPr="00F720F8">
        <w:rPr>
          <w:rFonts w:eastAsia="Times New Roman"/>
          <w:b/>
          <w:bCs/>
        </w:rPr>
        <w:t>TRANSPORTATION COMMISSION</w:t>
      </w:r>
    </w:p>
    <w:p w14:paraId="0B0AA72B" w14:textId="77777777" w:rsidR="004026AD" w:rsidRDefault="004026AD" w:rsidP="004026AD">
      <w:pPr>
        <w:jc w:val="center"/>
        <w:rPr>
          <w:rFonts w:eastAsia="Times New Roman"/>
          <w:b/>
          <w:bCs/>
        </w:rPr>
      </w:pPr>
    </w:p>
    <w:p w14:paraId="0B0AA72C" w14:textId="77777777" w:rsidR="004026AD" w:rsidRPr="00F720F8" w:rsidRDefault="004026AD" w:rsidP="004026AD">
      <w:pPr>
        <w:jc w:val="center"/>
        <w:rPr>
          <w:rFonts w:eastAsia="Times New Roman"/>
          <w:b/>
          <w:bCs/>
        </w:rPr>
      </w:pPr>
    </w:p>
    <w:p w14:paraId="04BDC779" w14:textId="44602A22" w:rsidR="002752E0" w:rsidRDefault="00DC13D8" w:rsidP="00F27471">
      <w:pPr>
        <w:jc w:val="center"/>
        <w:rPr>
          <w:rFonts w:eastAsia="Times New Roman"/>
          <w:b/>
          <w:bCs/>
          <w:i/>
        </w:rPr>
      </w:pPr>
      <w:r>
        <w:rPr>
          <w:rFonts w:eastAsia="Times New Roman"/>
          <w:b/>
          <w:bCs/>
          <w:i/>
        </w:rPr>
        <w:t>Response to the Testimony of Glenn Watkins and Bradley Mullins</w:t>
      </w:r>
    </w:p>
    <w:p w14:paraId="55542595" w14:textId="77777777" w:rsidR="002752E0" w:rsidRDefault="002752E0" w:rsidP="004026AD">
      <w:pPr>
        <w:jc w:val="center"/>
        <w:rPr>
          <w:rFonts w:eastAsia="Times New Roman"/>
          <w:b/>
          <w:bCs/>
          <w:i/>
        </w:rPr>
      </w:pPr>
    </w:p>
    <w:p w14:paraId="0B0AA730" w14:textId="79DAAF5D" w:rsidR="004026AD" w:rsidRPr="00F720F8" w:rsidRDefault="004026AD" w:rsidP="004026AD">
      <w:pPr>
        <w:jc w:val="center"/>
        <w:rPr>
          <w:rFonts w:eastAsia="Times New Roman"/>
          <w:b/>
          <w:bCs/>
        </w:rPr>
      </w:pPr>
    </w:p>
    <w:p w14:paraId="0B0AA731" w14:textId="6080295E" w:rsidR="004026AD" w:rsidRPr="00F720F8" w:rsidRDefault="002257E9" w:rsidP="004026AD">
      <w:pPr>
        <w:jc w:val="center"/>
        <w:rPr>
          <w:rFonts w:eastAsia="Times New Roman"/>
          <w:b/>
          <w:bCs/>
        </w:rPr>
      </w:pPr>
      <w:r>
        <w:rPr>
          <w:rFonts w:eastAsia="Times New Roman"/>
          <w:b/>
          <w:bCs/>
        </w:rPr>
        <w:t>September 19</w:t>
      </w:r>
      <w:r w:rsidR="001B5C88" w:rsidRPr="002752E0">
        <w:rPr>
          <w:rFonts w:eastAsia="Times New Roman"/>
          <w:b/>
          <w:bCs/>
        </w:rPr>
        <w:t>, 201</w:t>
      </w:r>
      <w:r w:rsidR="000419F6">
        <w:rPr>
          <w:rFonts w:eastAsia="Times New Roman"/>
          <w:b/>
          <w:bCs/>
        </w:rPr>
        <w:t>6</w:t>
      </w:r>
    </w:p>
    <w:p w14:paraId="0B0AA732" w14:textId="77777777" w:rsidR="004026AD" w:rsidRPr="00F720F8" w:rsidRDefault="004026AD" w:rsidP="004026AD">
      <w:pPr>
        <w:jc w:val="center"/>
        <w:rPr>
          <w:rFonts w:eastAsia="Times New Roman"/>
          <w:b/>
          <w:bCs/>
        </w:rPr>
      </w:pPr>
    </w:p>
    <w:p w14:paraId="0B0AA733" w14:textId="77777777" w:rsidR="004026AD" w:rsidRPr="00F720F8" w:rsidRDefault="004026AD" w:rsidP="004026AD">
      <w:pPr>
        <w:jc w:val="center"/>
        <w:rPr>
          <w:rFonts w:eastAsia="Times New Roman"/>
          <w:b/>
          <w:bCs/>
        </w:rPr>
      </w:pPr>
    </w:p>
    <w:p w14:paraId="0B0AA734" w14:textId="77777777" w:rsidR="004026AD" w:rsidRPr="00F720F8" w:rsidRDefault="004026AD" w:rsidP="004026AD">
      <w:pPr>
        <w:jc w:val="center"/>
        <w:rPr>
          <w:rFonts w:eastAsia="Times New Roman"/>
          <w:b/>
          <w:bCs/>
        </w:rPr>
      </w:pPr>
    </w:p>
    <w:p w14:paraId="0B0AA735" w14:textId="77777777" w:rsidR="004026AD" w:rsidRPr="00F720F8" w:rsidRDefault="004026AD" w:rsidP="004026AD">
      <w:pPr>
        <w:jc w:val="center"/>
        <w:rPr>
          <w:rFonts w:eastAsia="Times New Roman"/>
          <w:b/>
          <w:bCs/>
        </w:rPr>
      </w:pPr>
    </w:p>
    <w:p w14:paraId="0B0AA737" w14:textId="77777777" w:rsidR="004026AD" w:rsidRPr="00F720F8" w:rsidRDefault="004026AD" w:rsidP="004026AD">
      <w:pPr>
        <w:tabs>
          <w:tab w:val="center" w:pos="4680"/>
        </w:tabs>
        <w:rPr>
          <w:rFonts w:eastAsia="Times New Roman"/>
          <w:b/>
          <w:bCs/>
        </w:rPr>
      </w:pPr>
    </w:p>
    <w:p w14:paraId="0B0AA738" w14:textId="77777777" w:rsidR="004026AD" w:rsidRPr="00F720F8" w:rsidRDefault="004026AD" w:rsidP="004026AD">
      <w:pPr>
        <w:jc w:val="center"/>
        <w:rPr>
          <w:rFonts w:eastAsia="Times New Roman"/>
          <w:b/>
        </w:rPr>
        <w:sectPr w:rsidR="004026AD" w:rsidRPr="00F720F8" w:rsidSect="00BD533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872" w:header="720" w:footer="720" w:gutter="0"/>
          <w:pgNumType w:start="1"/>
          <w:cols w:space="720"/>
          <w:titlePg/>
          <w:docGrid w:linePitch="360"/>
        </w:sectPr>
      </w:pPr>
    </w:p>
    <w:p w14:paraId="3401842D" w14:textId="03890F59" w:rsidR="007F3100" w:rsidRPr="001A7B47" w:rsidRDefault="001A7B47" w:rsidP="001A7B47">
      <w:pPr>
        <w:spacing w:after="240"/>
        <w:jc w:val="center"/>
        <w:rPr>
          <w:rFonts w:eastAsia="Times New Roman"/>
          <w:b/>
        </w:rPr>
      </w:pPr>
      <w:r>
        <w:rPr>
          <w:rFonts w:eastAsia="Times New Roman"/>
          <w:b/>
        </w:rPr>
        <w:lastRenderedPageBreak/>
        <w:t>TABLE OF CONTENTS</w:t>
      </w:r>
    </w:p>
    <w:p w14:paraId="1CCA61BA" w14:textId="6167C19B" w:rsidR="0088748C" w:rsidRDefault="00BA2B83" w:rsidP="00363F28">
      <w:pPr>
        <w:pStyle w:val="NoSpacing"/>
        <w:tabs>
          <w:tab w:val="left" w:pos="720"/>
          <w:tab w:val="left" w:pos="1440"/>
          <w:tab w:val="left" w:pos="2160"/>
          <w:tab w:val="right" w:leader="dot" w:pos="9187"/>
        </w:tabs>
        <w:rPr>
          <w:rFonts w:asciiTheme="minorHAnsi" w:hAnsiTheme="minorHAnsi" w:cstheme="minorBidi"/>
          <w:b/>
          <w:caps/>
          <w:sz w:val="22"/>
          <w:szCs w:val="22"/>
        </w:rPr>
      </w:pPr>
      <w:r w:rsidRPr="003017D8">
        <w:rPr>
          <w:rFonts w:ascii="Times New Roman Bold" w:eastAsiaTheme="minorEastAsia" w:hAnsi="Times New Roman Bold"/>
          <w:b/>
          <w:caps/>
          <w:noProof/>
          <w:lang w:eastAsia="ja-JP"/>
        </w:rPr>
        <w:fldChar w:fldCharType="begin"/>
      </w:r>
      <w:r w:rsidRPr="003017D8">
        <w:instrText xml:space="preserve"> TOC \o "1-3" \u </w:instrText>
      </w:r>
      <w:r w:rsidRPr="003017D8">
        <w:rPr>
          <w:rFonts w:ascii="Times New Roman Bold" w:eastAsiaTheme="minorEastAsia" w:hAnsi="Times New Roman Bold"/>
          <w:b/>
          <w:caps/>
          <w:noProof/>
          <w:lang w:eastAsia="ja-JP"/>
        </w:rPr>
        <w:fldChar w:fldCharType="separate"/>
      </w:r>
      <w:r w:rsidR="0088748C" w:rsidRPr="006B66BD">
        <w:t>I.</w:t>
      </w:r>
      <w:r w:rsidR="0088748C">
        <w:rPr>
          <w:rFonts w:asciiTheme="minorHAnsi" w:hAnsiTheme="minorHAnsi" w:cstheme="minorBidi"/>
          <w:sz w:val="22"/>
          <w:szCs w:val="22"/>
        </w:rPr>
        <w:tab/>
      </w:r>
      <w:r w:rsidR="00363F28" w:rsidRPr="006B66BD">
        <w:t>INTRODUCTION</w:t>
      </w:r>
      <w:r w:rsidR="00363F28">
        <w:tab/>
      </w:r>
      <w:r w:rsidR="0088748C">
        <w:fldChar w:fldCharType="begin"/>
      </w:r>
      <w:r w:rsidR="0088748C">
        <w:instrText xml:space="preserve"> PAGEREF _Toc462054327 \h </w:instrText>
      </w:r>
      <w:r w:rsidR="0088748C">
        <w:fldChar w:fldCharType="separate"/>
      </w:r>
      <w:r w:rsidR="002D2AD9">
        <w:t>1</w:t>
      </w:r>
      <w:r w:rsidR="0088748C">
        <w:fldChar w:fldCharType="end"/>
      </w:r>
    </w:p>
    <w:p w14:paraId="1B13D0A6" w14:textId="6954FFB8" w:rsidR="0088748C" w:rsidRDefault="0088748C" w:rsidP="00363F28">
      <w:pPr>
        <w:pStyle w:val="NoSpacing"/>
        <w:tabs>
          <w:tab w:val="left" w:pos="720"/>
          <w:tab w:val="left" w:pos="1440"/>
          <w:tab w:val="left" w:pos="2160"/>
          <w:tab w:val="right" w:leader="dot" w:pos="9187"/>
        </w:tabs>
        <w:rPr>
          <w:rFonts w:asciiTheme="minorHAnsi" w:hAnsiTheme="minorHAnsi" w:cstheme="minorBidi"/>
          <w:b/>
          <w:caps/>
          <w:sz w:val="22"/>
          <w:szCs w:val="22"/>
        </w:rPr>
      </w:pPr>
      <w:r w:rsidRPr="006B66BD">
        <w:t>II.</w:t>
      </w:r>
      <w:r>
        <w:rPr>
          <w:rFonts w:asciiTheme="minorHAnsi" w:hAnsiTheme="minorHAnsi" w:cstheme="minorBidi"/>
          <w:sz w:val="22"/>
          <w:szCs w:val="22"/>
        </w:rPr>
        <w:tab/>
      </w:r>
      <w:r w:rsidR="00363F28" w:rsidRPr="006B66BD">
        <w:t>RESPONSE TO THE TESTIMONY OF GLENN WATKINS</w:t>
      </w:r>
      <w:r w:rsidR="00363F28">
        <w:tab/>
      </w:r>
      <w:r>
        <w:fldChar w:fldCharType="begin"/>
      </w:r>
      <w:r>
        <w:instrText xml:space="preserve"> PAGEREF _Toc462054328 \h </w:instrText>
      </w:r>
      <w:r>
        <w:fldChar w:fldCharType="separate"/>
      </w:r>
      <w:r w:rsidR="002D2AD9">
        <w:t>1</w:t>
      </w:r>
      <w:r>
        <w:fldChar w:fldCharType="end"/>
      </w:r>
    </w:p>
    <w:p w14:paraId="62382CFF" w14:textId="4C45670E" w:rsidR="0088748C" w:rsidRDefault="0088748C" w:rsidP="00363F28">
      <w:pPr>
        <w:pStyle w:val="NoSpacing"/>
        <w:tabs>
          <w:tab w:val="left" w:pos="720"/>
          <w:tab w:val="left" w:pos="1440"/>
          <w:tab w:val="left" w:pos="2160"/>
          <w:tab w:val="right" w:leader="dot" w:pos="9187"/>
        </w:tabs>
        <w:ind w:firstLine="0"/>
        <w:rPr>
          <w:rFonts w:asciiTheme="minorHAnsi" w:hAnsiTheme="minorHAnsi" w:cstheme="minorBidi"/>
          <w:noProof/>
          <w:sz w:val="22"/>
          <w:szCs w:val="22"/>
        </w:rPr>
      </w:pPr>
      <w:r>
        <w:rPr>
          <w:noProof/>
        </w:rPr>
        <w:t>A.</w:t>
      </w:r>
      <w:r>
        <w:rPr>
          <w:rFonts w:asciiTheme="minorHAnsi" w:hAnsiTheme="minorHAnsi" w:cstheme="minorBidi"/>
          <w:noProof/>
          <w:sz w:val="22"/>
          <w:szCs w:val="22"/>
        </w:rPr>
        <w:tab/>
      </w:r>
      <w:r>
        <w:rPr>
          <w:noProof/>
        </w:rPr>
        <w:t>CPI is Not a Fair Comparison to the Company’s Labor Costs in this Case</w:t>
      </w:r>
      <w:r w:rsidR="00363F28">
        <w:rPr>
          <w:noProof/>
        </w:rPr>
        <w:tab/>
      </w:r>
      <w:r w:rsidR="00085F4F">
        <w:rPr>
          <w:noProof/>
        </w:rPr>
        <w:t>2</w:t>
      </w:r>
    </w:p>
    <w:p w14:paraId="2023116C" w14:textId="5297E7BC" w:rsidR="0088748C" w:rsidRDefault="0088748C" w:rsidP="00363F28">
      <w:pPr>
        <w:pStyle w:val="NoSpacing"/>
        <w:tabs>
          <w:tab w:val="left" w:pos="720"/>
          <w:tab w:val="left" w:pos="1440"/>
          <w:tab w:val="left" w:pos="2160"/>
          <w:tab w:val="right" w:leader="dot" w:pos="9187"/>
        </w:tabs>
        <w:ind w:firstLine="0"/>
        <w:rPr>
          <w:rFonts w:asciiTheme="minorHAnsi" w:hAnsiTheme="minorHAnsi" w:cstheme="minorBidi"/>
          <w:noProof/>
          <w:sz w:val="22"/>
          <w:szCs w:val="22"/>
        </w:rPr>
      </w:pPr>
      <w:r>
        <w:rPr>
          <w:noProof/>
        </w:rPr>
        <w:t>B.</w:t>
      </w:r>
      <w:r>
        <w:rPr>
          <w:rFonts w:asciiTheme="minorHAnsi" w:hAnsiTheme="minorHAnsi" w:cstheme="minorBidi"/>
          <w:noProof/>
          <w:sz w:val="22"/>
          <w:szCs w:val="22"/>
        </w:rPr>
        <w:tab/>
      </w:r>
      <w:r>
        <w:rPr>
          <w:noProof/>
        </w:rPr>
        <w:t>Avista Does Not Operate Under True Competition</w:t>
      </w:r>
      <w:r w:rsidR="00363F28">
        <w:rPr>
          <w:noProof/>
        </w:rPr>
        <w:tab/>
      </w:r>
      <w:r>
        <w:rPr>
          <w:noProof/>
        </w:rPr>
        <w:fldChar w:fldCharType="begin"/>
      </w:r>
      <w:r>
        <w:rPr>
          <w:noProof/>
        </w:rPr>
        <w:instrText xml:space="preserve"> PAGEREF _Toc462054330 \h </w:instrText>
      </w:r>
      <w:r>
        <w:rPr>
          <w:noProof/>
        </w:rPr>
      </w:r>
      <w:r>
        <w:rPr>
          <w:noProof/>
        </w:rPr>
        <w:fldChar w:fldCharType="separate"/>
      </w:r>
      <w:r w:rsidR="002D2AD9">
        <w:rPr>
          <w:noProof/>
        </w:rPr>
        <w:t>4</w:t>
      </w:r>
      <w:r>
        <w:rPr>
          <w:noProof/>
        </w:rPr>
        <w:fldChar w:fldCharType="end"/>
      </w:r>
    </w:p>
    <w:p w14:paraId="7C602D74" w14:textId="300A470A" w:rsidR="0088748C" w:rsidRDefault="0088748C" w:rsidP="00363F28">
      <w:pPr>
        <w:pStyle w:val="NoSpacing"/>
        <w:tabs>
          <w:tab w:val="left" w:pos="720"/>
          <w:tab w:val="left" w:pos="1440"/>
          <w:tab w:val="left" w:pos="2160"/>
          <w:tab w:val="right" w:leader="dot" w:pos="9187"/>
        </w:tabs>
        <w:rPr>
          <w:rFonts w:asciiTheme="minorHAnsi" w:hAnsiTheme="minorHAnsi" w:cstheme="minorBidi"/>
          <w:b/>
          <w:caps/>
          <w:sz w:val="22"/>
          <w:szCs w:val="22"/>
        </w:rPr>
      </w:pPr>
      <w:r w:rsidRPr="006B66BD">
        <w:t>III.</w:t>
      </w:r>
      <w:r>
        <w:rPr>
          <w:rFonts w:asciiTheme="minorHAnsi" w:hAnsiTheme="minorHAnsi" w:cstheme="minorBidi"/>
          <w:sz w:val="22"/>
          <w:szCs w:val="22"/>
        </w:rPr>
        <w:tab/>
      </w:r>
      <w:r w:rsidR="00363F28" w:rsidRPr="006B66BD">
        <w:t>RESPONSE TO THE TESTIMONY OF BRADLEY MULLINS</w:t>
      </w:r>
      <w:r>
        <w:tab/>
      </w:r>
      <w:r>
        <w:fldChar w:fldCharType="begin"/>
      </w:r>
      <w:r>
        <w:instrText xml:space="preserve"> PAGEREF _Toc462054331 \h </w:instrText>
      </w:r>
      <w:r>
        <w:fldChar w:fldCharType="separate"/>
      </w:r>
      <w:r w:rsidR="002D2AD9">
        <w:t>5</w:t>
      </w:r>
      <w:r>
        <w:fldChar w:fldCharType="end"/>
      </w:r>
    </w:p>
    <w:p w14:paraId="67201FEF" w14:textId="3E5E8260" w:rsidR="00201B1A" w:rsidRPr="00846996" w:rsidRDefault="00BA2B83" w:rsidP="00363F28">
      <w:pPr>
        <w:pStyle w:val="NoSpacing"/>
      </w:pPr>
      <w:r w:rsidRPr="003017D8">
        <w:fldChar w:fldCharType="end"/>
      </w:r>
    </w:p>
    <w:p w14:paraId="35C933CA" w14:textId="0A557F63" w:rsidR="003B1A28" w:rsidRPr="006355F2" w:rsidRDefault="003B1A28" w:rsidP="003017D8">
      <w:pPr>
        <w:sectPr w:rsidR="003B1A28" w:rsidRPr="006355F2" w:rsidSect="00BD533D">
          <w:pgSz w:w="12240" w:h="15840" w:code="1"/>
          <w:pgMar w:top="1440" w:right="1440" w:bottom="1440" w:left="1440" w:header="720" w:footer="720" w:gutter="0"/>
          <w:pgNumType w:fmt="lowerRoman" w:start="1"/>
          <w:cols w:space="720"/>
          <w:docGrid w:linePitch="360"/>
        </w:sectPr>
      </w:pPr>
    </w:p>
    <w:p w14:paraId="0B0AA73E" w14:textId="2957B29B" w:rsidR="004026AD" w:rsidRPr="002752E0" w:rsidRDefault="00455AAB" w:rsidP="002F0235">
      <w:pPr>
        <w:pStyle w:val="Heading1"/>
        <w:ind w:left="0" w:firstLine="0"/>
        <w:rPr>
          <w:caps/>
        </w:rPr>
      </w:pPr>
      <w:bookmarkStart w:id="0" w:name="_Toc424808464"/>
      <w:bookmarkStart w:id="1" w:name="_Toc424808485"/>
      <w:bookmarkStart w:id="2" w:name="_Toc462054327"/>
      <w:r w:rsidRPr="002752E0">
        <w:rPr>
          <w:caps/>
        </w:rPr>
        <w:lastRenderedPageBreak/>
        <w:t>Intro</w:t>
      </w:r>
      <w:bookmarkStart w:id="3" w:name="_GoBack"/>
      <w:bookmarkEnd w:id="3"/>
      <w:r w:rsidRPr="002752E0">
        <w:rPr>
          <w:caps/>
        </w:rPr>
        <w:t>duction</w:t>
      </w:r>
      <w:bookmarkEnd w:id="0"/>
      <w:bookmarkEnd w:id="1"/>
      <w:bookmarkEnd w:id="2"/>
    </w:p>
    <w:p w14:paraId="0B79B8CF" w14:textId="77777777" w:rsidR="003E7CD6" w:rsidRDefault="003E7CD6" w:rsidP="003E7CD6">
      <w:pPr>
        <w:pStyle w:val="NoSpacing"/>
      </w:pPr>
      <w:bookmarkStart w:id="4" w:name="_Toc391989915"/>
      <w:bookmarkStart w:id="5" w:name="_Toc391990017"/>
      <w:bookmarkStart w:id="6" w:name="_Toc393023104"/>
      <w:bookmarkStart w:id="7" w:name="_Toc393023310"/>
    </w:p>
    <w:p w14:paraId="0B0AA73F" w14:textId="6A5904F6" w:rsidR="004026AD" w:rsidRPr="00F720F8" w:rsidRDefault="004026AD" w:rsidP="008F38DE">
      <w:pPr>
        <w:pStyle w:val="Heading8"/>
      </w:pPr>
      <w:r w:rsidRPr="00F720F8">
        <w:t>Q.</w:t>
      </w:r>
      <w:r w:rsidRPr="00F720F8">
        <w:tab/>
      </w:r>
      <w:bookmarkEnd w:id="4"/>
      <w:bookmarkEnd w:id="5"/>
      <w:bookmarkEnd w:id="6"/>
      <w:bookmarkEnd w:id="7"/>
      <w:r w:rsidR="00EC053F">
        <w:t xml:space="preserve">Are you the same Christopher S. Hancock </w:t>
      </w:r>
      <w:r w:rsidR="000E48E2">
        <w:t>who</w:t>
      </w:r>
      <w:r w:rsidR="00EC053F">
        <w:t xml:space="preserve"> testified previously in this case?</w:t>
      </w:r>
      <w:r w:rsidRPr="00F720F8">
        <w:t xml:space="preserve">  </w:t>
      </w:r>
    </w:p>
    <w:p w14:paraId="0B0AA740" w14:textId="2E14CEF7" w:rsidR="004026AD" w:rsidRPr="00F720F8" w:rsidRDefault="004026AD" w:rsidP="00713027">
      <w:pPr>
        <w:pStyle w:val="NoSpacing"/>
      </w:pPr>
      <w:r w:rsidRPr="00F720F8">
        <w:t>A.</w:t>
      </w:r>
      <w:r w:rsidRPr="00F720F8">
        <w:tab/>
      </w:r>
      <w:r w:rsidR="00EC053F">
        <w:t>Yes</w:t>
      </w:r>
      <w:r w:rsidR="00AC132D">
        <w:t>.</w:t>
      </w:r>
      <w:r w:rsidRPr="00F720F8">
        <w:t xml:space="preserve"> </w:t>
      </w:r>
    </w:p>
    <w:p w14:paraId="791F60E7" w14:textId="77777777" w:rsidR="00CD0188" w:rsidRPr="00F720F8" w:rsidRDefault="00CD0188" w:rsidP="00713027">
      <w:pPr>
        <w:pStyle w:val="NoSpacing"/>
      </w:pPr>
    </w:p>
    <w:p w14:paraId="1164267C" w14:textId="36BF4F47" w:rsidR="00C31468" w:rsidRDefault="00C31468" w:rsidP="00163F79">
      <w:pPr>
        <w:pStyle w:val="Heading8"/>
        <w:keepNext/>
      </w:pPr>
      <w:r>
        <w:t>Q.</w:t>
      </w:r>
      <w:r>
        <w:tab/>
      </w:r>
      <w:r w:rsidR="00EC053F">
        <w:t>What is the purpose of your cross-answering testimony</w:t>
      </w:r>
      <w:r>
        <w:t>?</w:t>
      </w:r>
    </w:p>
    <w:p w14:paraId="0C9F509E" w14:textId="6E60D619" w:rsidR="00C31468" w:rsidRPr="00C31468" w:rsidRDefault="00C31468" w:rsidP="00C31468">
      <w:pPr>
        <w:pStyle w:val="NoSpacing"/>
      </w:pPr>
      <w:r w:rsidRPr="00C31468">
        <w:t>A.</w:t>
      </w:r>
      <w:r w:rsidRPr="00C31468">
        <w:tab/>
      </w:r>
      <w:r w:rsidR="00EC053F">
        <w:t>I am responding generally to the</w:t>
      </w:r>
      <w:r w:rsidR="00083381">
        <w:t xml:space="preserve"> attrition-related</w:t>
      </w:r>
      <w:r w:rsidR="00EC053F">
        <w:t xml:space="preserve"> testimon</w:t>
      </w:r>
      <w:r w:rsidR="00083381">
        <w:t>ies</w:t>
      </w:r>
      <w:r w:rsidR="00EC053F">
        <w:t xml:space="preserve"> of Mr.</w:t>
      </w:r>
      <w:r w:rsidR="002257E9">
        <w:t xml:space="preserve"> Glenn Watkins of Public Counsel, and Mr. Bradley Mullins, of ICNU and NWIGU</w:t>
      </w:r>
      <w:r w:rsidR="002434C4">
        <w:t>.</w:t>
      </w:r>
    </w:p>
    <w:p w14:paraId="18131F65" w14:textId="77777777" w:rsidR="00434D77" w:rsidRPr="00F720F8" w:rsidRDefault="00434D77" w:rsidP="00713027">
      <w:pPr>
        <w:pStyle w:val="NoSpacing"/>
      </w:pPr>
    </w:p>
    <w:p w14:paraId="05887D49" w14:textId="6010C455" w:rsidR="00A31693" w:rsidRPr="002752E0" w:rsidRDefault="00FE1EE9" w:rsidP="002F0235">
      <w:pPr>
        <w:pStyle w:val="Heading1"/>
        <w:ind w:left="0" w:firstLine="0"/>
        <w:rPr>
          <w:caps/>
        </w:rPr>
      </w:pPr>
      <w:bookmarkStart w:id="8" w:name="_Toc462054328"/>
      <w:r>
        <w:rPr>
          <w:caps/>
        </w:rPr>
        <w:t>Response to the testimony of glenn watkins</w:t>
      </w:r>
      <w:bookmarkEnd w:id="8"/>
    </w:p>
    <w:p w14:paraId="37DBD0CF" w14:textId="77777777" w:rsidR="00083381" w:rsidRDefault="00083381" w:rsidP="00713027">
      <w:pPr>
        <w:pStyle w:val="NoSpacing"/>
        <w:rPr>
          <w:b/>
        </w:rPr>
      </w:pPr>
    </w:p>
    <w:p w14:paraId="5D9DC695" w14:textId="06E67051" w:rsidR="003D686A" w:rsidRPr="00083381" w:rsidRDefault="00083381" w:rsidP="00713027">
      <w:pPr>
        <w:pStyle w:val="NoSpacing"/>
        <w:rPr>
          <w:b/>
        </w:rPr>
      </w:pPr>
      <w:r w:rsidRPr="00083381">
        <w:rPr>
          <w:b/>
        </w:rPr>
        <w:t>Q.</w:t>
      </w:r>
      <w:r w:rsidRPr="00083381">
        <w:rPr>
          <w:b/>
        </w:rPr>
        <w:tab/>
        <w:t xml:space="preserve">Please summarize your response to Mr. Watkins’ testimony. </w:t>
      </w:r>
    </w:p>
    <w:p w14:paraId="5CCF8EC4" w14:textId="17F6FE55" w:rsidR="00083381" w:rsidRDefault="00083381" w:rsidP="00083381">
      <w:pPr>
        <w:pStyle w:val="NoSpacing"/>
      </w:pPr>
      <w:r>
        <w:t>A.</w:t>
      </w:r>
      <w:r>
        <w:tab/>
        <w:t xml:space="preserve">First, Mr. Watkins’ reliance on general inflation rates is unreasonable. </w:t>
      </w:r>
      <w:r w:rsidR="00927490">
        <w:t xml:space="preserve"> </w:t>
      </w:r>
      <w:r>
        <w:t>The same Bureau of Labor Statistics</w:t>
      </w:r>
      <w:r w:rsidR="00515B91">
        <w:t xml:space="preserve"> (BLS)</w:t>
      </w:r>
      <w:r>
        <w:t xml:space="preserve"> that publishes the general inflation data also provides utility-specific data. </w:t>
      </w:r>
      <w:r w:rsidR="00927490">
        <w:t xml:space="preserve"> </w:t>
      </w:r>
      <w:r>
        <w:t xml:space="preserve">The </w:t>
      </w:r>
      <w:r w:rsidR="005C4692">
        <w:t>BLS’s utility-specific data is a</w:t>
      </w:r>
      <w:r>
        <w:t xml:space="preserve"> more applicable and reasonable gauge of cost pressures facing Avista. </w:t>
      </w:r>
      <w:r w:rsidR="00927490">
        <w:t xml:space="preserve"> </w:t>
      </w:r>
      <w:r>
        <w:t xml:space="preserve">Indeed, the BLS publishes utility-specific data </w:t>
      </w:r>
      <w:r w:rsidRPr="00ED703E">
        <w:rPr>
          <w:i/>
        </w:rPr>
        <w:t>because</w:t>
      </w:r>
      <w:r>
        <w:t xml:space="preserve"> it is more relevant to utilities. </w:t>
      </w:r>
    </w:p>
    <w:p w14:paraId="21A4D005" w14:textId="17CA6B8F" w:rsidR="00083381" w:rsidRDefault="00083381" w:rsidP="00083381">
      <w:pPr>
        <w:pStyle w:val="NoSpacing"/>
      </w:pPr>
      <w:r>
        <w:tab/>
      </w:r>
      <w:r>
        <w:tab/>
        <w:t xml:space="preserve">Second, Mr. Watkins’ discussion of truly competitive markets is not relevant to Avista’s current situation. </w:t>
      </w:r>
    </w:p>
    <w:p w14:paraId="142AEEFC" w14:textId="77777777" w:rsidR="00515B91" w:rsidRDefault="00515B91" w:rsidP="00083381">
      <w:pPr>
        <w:pStyle w:val="NoSpacing"/>
      </w:pPr>
    </w:p>
    <w:p w14:paraId="66EE53B2" w14:textId="0E5BC94E" w:rsidR="00287889" w:rsidRDefault="00083381" w:rsidP="002F0235">
      <w:pPr>
        <w:pStyle w:val="Heading2"/>
        <w:keepNext/>
        <w:numPr>
          <w:ilvl w:val="0"/>
          <w:numId w:val="4"/>
        </w:numPr>
        <w:ind w:left="1440" w:hanging="720"/>
      </w:pPr>
      <w:bookmarkStart w:id="9" w:name="_Toc462054329"/>
      <w:r w:rsidRPr="00083381">
        <w:lastRenderedPageBreak/>
        <w:t xml:space="preserve">CPI is </w:t>
      </w:r>
      <w:r w:rsidR="003D5190">
        <w:t>N</w:t>
      </w:r>
      <w:r w:rsidRPr="00083381">
        <w:t xml:space="preserve">ot a </w:t>
      </w:r>
      <w:r w:rsidR="003D5190" w:rsidRPr="00083381">
        <w:t xml:space="preserve">Fair </w:t>
      </w:r>
      <w:r w:rsidR="003D5190" w:rsidRPr="006E27FD">
        <w:t xml:space="preserve">Comparison </w:t>
      </w:r>
      <w:r w:rsidR="006E27FD" w:rsidRPr="006E27FD">
        <w:t>to</w:t>
      </w:r>
      <w:r w:rsidRPr="00083381">
        <w:t xml:space="preserve"> the Company’s </w:t>
      </w:r>
      <w:r w:rsidR="003D5190" w:rsidRPr="00083381">
        <w:t xml:space="preserve">Labor Costs </w:t>
      </w:r>
      <w:r w:rsidR="003D5190">
        <w:t>in this C</w:t>
      </w:r>
      <w:r w:rsidRPr="00083381">
        <w:t>ase</w:t>
      </w:r>
      <w:r w:rsidR="00226578">
        <w:t>.</w:t>
      </w:r>
      <w:bookmarkEnd w:id="9"/>
    </w:p>
    <w:p w14:paraId="37BA69F4" w14:textId="77777777" w:rsidR="00085F4F" w:rsidRDefault="00085F4F" w:rsidP="002F0235">
      <w:pPr>
        <w:pStyle w:val="Heading8"/>
        <w:keepNext/>
      </w:pPr>
    </w:p>
    <w:p w14:paraId="03725B2A" w14:textId="51FF6885" w:rsidR="00EC053F" w:rsidRDefault="00D227E2" w:rsidP="002F0235">
      <w:pPr>
        <w:pStyle w:val="Heading8"/>
        <w:keepNext/>
      </w:pPr>
      <w:r w:rsidRPr="00F720F8">
        <w:t>Q.</w:t>
      </w:r>
      <w:r w:rsidRPr="00F720F8">
        <w:tab/>
      </w:r>
      <w:r w:rsidR="00EC053F">
        <w:t>Mr. Watkins mentions the rate of inflation throughout his testimony.  What is inflation?</w:t>
      </w:r>
    </w:p>
    <w:p w14:paraId="6F7FCE1F" w14:textId="574DD0A6" w:rsidR="00EC053F" w:rsidRPr="00EC053F" w:rsidRDefault="00EC053F" w:rsidP="002F0235">
      <w:pPr>
        <w:pStyle w:val="NoSpacing"/>
      </w:pPr>
      <w:r>
        <w:t>A.</w:t>
      </w:r>
      <w:r>
        <w:tab/>
        <w:t>Inflation is a process of continually rising costs.  There are numerous ways of measuring inflation.</w:t>
      </w:r>
    </w:p>
    <w:p w14:paraId="5AFEA30A" w14:textId="77777777" w:rsidR="00EC053F" w:rsidRDefault="00EC053F" w:rsidP="00B949A2">
      <w:pPr>
        <w:pStyle w:val="NoSpacing"/>
      </w:pPr>
    </w:p>
    <w:p w14:paraId="4ED57415" w14:textId="2D736842" w:rsidR="001659CC" w:rsidRPr="00EC053F" w:rsidRDefault="00EC053F" w:rsidP="00EC053F">
      <w:pPr>
        <w:pStyle w:val="Heading8"/>
      </w:pPr>
      <w:r w:rsidRPr="00EC053F">
        <w:t>Q.</w:t>
      </w:r>
      <w:r w:rsidRPr="00EC053F">
        <w:tab/>
      </w:r>
      <w:r>
        <w:t>What measure of inflation is Mr. Watkins</w:t>
      </w:r>
      <w:r w:rsidRPr="00EC053F">
        <w:t xml:space="preserve"> using?</w:t>
      </w:r>
    </w:p>
    <w:p w14:paraId="4330A8E5" w14:textId="59CEA7C2" w:rsidR="00EC053F" w:rsidRDefault="00EC053F" w:rsidP="00EC053F">
      <w:pPr>
        <w:pStyle w:val="NoSpacing"/>
      </w:pPr>
      <w:r>
        <w:t>A.</w:t>
      </w:r>
      <w:r>
        <w:tab/>
        <w:t>Mr. Watkins is using the Consumer Price Index, or CPI.</w:t>
      </w:r>
      <w:r>
        <w:rPr>
          <w:rStyle w:val="FootnoteReference"/>
        </w:rPr>
        <w:footnoteReference w:id="2"/>
      </w:r>
      <w:r>
        <w:t xml:space="preserve">  </w:t>
      </w:r>
    </w:p>
    <w:p w14:paraId="75CDD4D9" w14:textId="77777777" w:rsidR="00EC053F" w:rsidRDefault="00EC053F" w:rsidP="00EC053F">
      <w:pPr>
        <w:pStyle w:val="NoSpacing"/>
      </w:pPr>
    </w:p>
    <w:p w14:paraId="7A1970CC" w14:textId="77777777" w:rsidR="00EC053F" w:rsidRDefault="00EC053F" w:rsidP="00EC053F">
      <w:pPr>
        <w:pStyle w:val="Heading8"/>
      </w:pPr>
      <w:r>
        <w:t>Q.</w:t>
      </w:r>
      <w:r>
        <w:tab/>
        <w:t>What is the CPI measuring?</w:t>
      </w:r>
    </w:p>
    <w:p w14:paraId="39A95293" w14:textId="5392C2DE" w:rsidR="00083381" w:rsidRDefault="00EC053F" w:rsidP="00EC053F">
      <w:pPr>
        <w:pStyle w:val="NoSpacing"/>
      </w:pPr>
      <w:r>
        <w:t>A.</w:t>
      </w:r>
      <w:r>
        <w:tab/>
      </w:r>
      <w:r w:rsidR="00083381">
        <w:t>T</w:t>
      </w:r>
      <w:r>
        <w:t xml:space="preserve">he CPI </w:t>
      </w:r>
      <w:r w:rsidR="00083381">
        <w:t>i</w:t>
      </w:r>
      <w:r>
        <w:t>s “a measure of the average change over time in the prices paid by urban consumers for a market basket of consumer goods and services.”</w:t>
      </w:r>
      <w:r>
        <w:rPr>
          <w:rStyle w:val="FootnoteReference"/>
        </w:rPr>
        <w:footnoteReference w:id="3"/>
      </w:r>
      <w:r>
        <w:t xml:space="preserve">  </w:t>
      </w:r>
      <w:r w:rsidR="00417536">
        <w:t>This</w:t>
      </w:r>
      <w:r w:rsidR="009356DE">
        <w:t xml:space="preserve"> </w:t>
      </w:r>
      <w:r w:rsidR="00417536">
        <w:t>measure of inflation attempts to capture “inflation as experienced by consumers in their day-to-day living expenses</w:t>
      </w:r>
      <w:r w:rsidR="00322EBF">
        <w:t>.</w:t>
      </w:r>
      <w:r w:rsidR="00417536">
        <w:t>”</w:t>
      </w:r>
      <w:r w:rsidR="00417536">
        <w:rPr>
          <w:rStyle w:val="FootnoteReference"/>
        </w:rPr>
        <w:footnoteReference w:id="4"/>
      </w:r>
      <w:r w:rsidR="00417536">
        <w:t xml:space="preserve">  </w:t>
      </w:r>
      <w:r>
        <w:t>The goods and services in th</w:t>
      </w:r>
      <w:r w:rsidR="00083381">
        <w:t>e CPI</w:t>
      </w:r>
      <w:r>
        <w:t xml:space="preserve"> basket comprise over 200 </w:t>
      </w:r>
      <w:r w:rsidR="006E27FD">
        <w:t>categories of items</w:t>
      </w:r>
      <w:r>
        <w:t xml:space="preserve"> arranged into eight major </w:t>
      </w:r>
      <w:r w:rsidR="004A08E6">
        <w:t>groups</w:t>
      </w:r>
      <w:r>
        <w:t xml:space="preserve">.  </w:t>
      </w:r>
      <w:r w:rsidR="00083381">
        <w:t>E</w:t>
      </w:r>
      <w:r w:rsidR="00B30DF1">
        <w:t>xample</w:t>
      </w:r>
      <w:r w:rsidR="00083381">
        <w:t>s</w:t>
      </w:r>
      <w:r w:rsidR="00B30DF1">
        <w:t xml:space="preserve"> of some</w:t>
      </w:r>
      <w:r>
        <w:t xml:space="preserve"> of </w:t>
      </w:r>
      <w:r w:rsidR="004A08E6">
        <w:t>the</w:t>
      </w:r>
      <w:r>
        <w:t xml:space="preserve"> items </w:t>
      </w:r>
      <w:r w:rsidR="004A08E6">
        <w:t xml:space="preserve">in these </w:t>
      </w:r>
      <w:r w:rsidR="006E27FD">
        <w:t xml:space="preserve">categories </w:t>
      </w:r>
      <w:r>
        <w:t>are</w:t>
      </w:r>
      <w:r w:rsidR="00B30DF1">
        <w:t>:</w:t>
      </w:r>
      <w:r>
        <w:t xml:space="preserve"> breakfast cereal, rent of primary residences, men’s shirts, new vehicles, prescription drugs, televisions, college tuition, and tobacco and smoking products.  </w:t>
      </w:r>
    </w:p>
    <w:p w14:paraId="63AF2979" w14:textId="77777777" w:rsidR="00083381" w:rsidRDefault="00083381" w:rsidP="00EC053F">
      <w:pPr>
        <w:pStyle w:val="NoSpacing"/>
      </w:pPr>
    </w:p>
    <w:p w14:paraId="745F927E" w14:textId="7C9EB281" w:rsidR="00083381" w:rsidRPr="007C1C91" w:rsidRDefault="00083381" w:rsidP="00EC053F">
      <w:pPr>
        <w:pStyle w:val="NoSpacing"/>
        <w:rPr>
          <w:b/>
        </w:rPr>
      </w:pPr>
      <w:r w:rsidRPr="007C1C91">
        <w:rPr>
          <w:b/>
        </w:rPr>
        <w:t>Q.</w:t>
      </w:r>
      <w:r w:rsidRPr="007C1C91">
        <w:rPr>
          <w:b/>
        </w:rPr>
        <w:tab/>
        <w:t>Why is CPI an inappropriate measure in this case?</w:t>
      </w:r>
    </w:p>
    <w:p w14:paraId="4E84689A" w14:textId="238216BF" w:rsidR="00840855" w:rsidRDefault="00083381" w:rsidP="00EC053F">
      <w:pPr>
        <w:pStyle w:val="NoSpacing"/>
      </w:pPr>
      <w:r>
        <w:t>A.</w:t>
      </w:r>
      <w:r>
        <w:tab/>
        <w:t>Utilities do not eat breakfast cereal, or smoke cigarettes, or attend college.</w:t>
      </w:r>
      <w:r w:rsidDel="00083381">
        <w:t xml:space="preserve"> </w:t>
      </w:r>
    </w:p>
    <w:p w14:paraId="6F83AB65" w14:textId="71C49CF1" w:rsidR="00EC053F" w:rsidRDefault="006E27FD" w:rsidP="006E27FD">
      <w:pPr>
        <w:pStyle w:val="NoSpacing"/>
        <w:ind w:firstLine="720"/>
      </w:pPr>
      <w:r>
        <w:t xml:space="preserve">The </w:t>
      </w:r>
      <w:r w:rsidR="00417536">
        <w:t xml:space="preserve">CPI </w:t>
      </w:r>
      <w:r w:rsidR="00FE1EE9">
        <w:t xml:space="preserve">is a good tool for evaluating the rise and fall of costs that consumers like you and </w:t>
      </w:r>
      <w:r w:rsidR="00840855">
        <w:t>I</w:t>
      </w:r>
      <w:r w:rsidR="00FE1EE9">
        <w:t xml:space="preserve"> face.  </w:t>
      </w:r>
      <w:r>
        <w:t xml:space="preserve">The </w:t>
      </w:r>
      <w:r w:rsidR="00417536">
        <w:t xml:space="preserve">CPI </w:t>
      </w:r>
      <w:r w:rsidR="00FE1EE9">
        <w:t xml:space="preserve">is </w:t>
      </w:r>
      <w:r w:rsidR="00FE1EE9" w:rsidRPr="00DC13D8">
        <w:rPr>
          <w:u w:val="single"/>
        </w:rPr>
        <w:t>not</w:t>
      </w:r>
      <w:r w:rsidR="00FE1EE9">
        <w:t xml:space="preserve"> an ideal tool for measuring the rise or fall in costs that utilities face.  </w:t>
      </w:r>
      <w:r>
        <w:t xml:space="preserve">The </w:t>
      </w:r>
      <w:r w:rsidR="00417536">
        <w:t xml:space="preserve">CPI is a particularly </w:t>
      </w:r>
      <w:r w:rsidR="00515B91">
        <w:t xml:space="preserve">inappropriate </w:t>
      </w:r>
      <w:r w:rsidR="00417536">
        <w:t>tool in this case because</w:t>
      </w:r>
      <w:r w:rsidR="00515B91">
        <w:t xml:space="preserve"> </w:t>
      </w:r>
      <w:r w:rsidR="00417536">
        <w:t xml:space="preserve">the BLS also publishes utility-specific labor cost data. </w:t>
      </w:r>
    </w:p>
    <w:p w14:paraId="659878B4" w14:textId="77777777" w:rsidR="00EC053F" w:rsidRDefault="00EC053F" w:rsidP="00EC053F">
      <w:pPr>
        <w:pStyle w:val="NoSpacing"/>
      </w:pPr>
    </w:p>
    <w:p w14:paraId="46C2C995" w14:textId="266331E0" w:rsidR="00EC053F" w:rsidRDefault="00EC053F" w:rsidP="00EC053F">
      <w:pPr>
        <w:pStyle w:val="Heading8"/>
      </w:pPr>
      <w:r>
        <w:t>Q.</w:t>
      </w:r>
      <w:r>
        <w:tab/>
        <w:t xml:space="preserve">Is there a better measure of inflation for </w:t>
      </w:r>
      <w:r w:rsidR="00242872" w:rsidRPr="0088748C">
        <w:rPr>
          <w:u w:val="single"/>
        </w:rPr>
        <w:t>labor</w:t>
      </w:r>
      <w:r w:rsidR="00242872">
        <w:t xml:space="preserve"> </w:t>
      </w:r>
      <w:r>
        <w:t>costs facing utilities?</w:t>
      </w:r>
    </w:p>
    <w:p w14:paraId="13BCDD5C" w14:textId="77777777" w:rsidR="009E3369" w:rsidRDefault="00EC053F" w:rsidP="00EC053F">
      <w:pPr>
        <w:pStyle w:val="NoSpacing"/>
      </w:pPr>
      <w:r>
        <w:t>A.</w:t>
      </w:r>
      <w:r>
        <w:tab/>
        <w:t>Yes</w:t>
      </w:r>
      <w:r w:rsidR="004A08E6">
        <w:t xml:space="preserve">.  </w:t>
      </w:r>
      <w:r w:rsidR="002C160A">
        <w:t>The Employment Cost Index (ECI) is also collected and maintained by the Bureau of Labor Statistics</w:t>
      </w:r>
      <w:r w:rsidR="004A08E6">
        <w:t>, and is a very good measure of labor costs</w:t>
      </w:r>
      <w:r w:rsidR="002C160A">
        <w:t xml:space="preserve">.  The Bureau of Labor Statistics also reports the ECI specific to utilities.  </w:t>
      </w:r>
      <w:r w:rsidR="00417536">
        <w:t xml:space="preserve">Utility-specific ECI data </w:t>
      </w:r>
      <w:r w:rsidR="002C160A">
        <w:t xml:space="preserve">is </w:t>
      </w:r>
      <w:r w:rsidR="00515B91">
        <w:t>a much</w:t>
      </w:r>
      <w:r w:rsidR="002C160A">
        <w:t xml:space="preserve"> better measure of inflation </w:t>
      </w:r>
      <w:r w:rsidR="00417536">
        <w:t>for</w:t>
      </w:r>
      <w:r w:rsidR="002C160A">
        <w:t xml:space="preserve"> labor-related utility costs</w:t>
      </w:r>
      <w:r w:rsidR="00515B91">
        <w:t xml:space="preserve"> than the CPI</w:t>
      </w:r>
      <w:r w:rsidR="002C160A">
        <w:t>.</w:t>
      </w:r>
    </w:p>
    <w:p w14:paraId="4BB86699" w14:textId="0A985A08" w:rsidR="00EC053F" w:rsidRDefault="009E3369" w:rsidP="00EC053F">
      <w:pPr>
        <w:pStyle w:val="NoSpacing"/>
      </w:pPr>
      <w:r>
        <w:tab/>
      </w:r>
      <w:r>
        <w:tab/>
      </w:r>
      <w:r w:rsidR="006624E5">
        <w:t>For non-labor costs, t</w:t>
      </w:r>
      <w:r>
        <w:t xml:space="preserve">he Producers Price Index specific to utilities (which is also used in Staff’s attrition anaylsis) </w:t>
      </w:r>
      <w:r w:rsidR="0088748C">
        <w:t>is also a much better measure than the Consumer Price Index, for similar reasons.</w:t>
      </w:r>
    </w:p>
    <w:p w14:paraId="23E99BE6" w14:textId="77777777" w:rsidR="002C160A" w:rsidRDefault="002C160A" w:rsidP="00EC053F">
      <w:pPr>
        <w:pStyle w:val="NoSpacing"/>
      </w:pPr>
    </w:p>
    <w:p w14:paraId="5ADDA62F" w14:textId="2D00E199" w:rsidR="002C160A" w:rsidRDefault="002C160A" w:rsidP="002C160A">
      <w:pPr>
        <w:pStyle w:val="Heading8"/>
      </w:pPr>
      <w:r>
        <w:t>Q.</w:t>
      </w:r>
      <w:r>
        <w:tab/>
        <w:t>Mr. Watkins notes that Avista’s employee wages have grown at a faster rate than CPI.</w:t>
      </w:r>
      <w:r>
        <w:rPr>
          <w:rStyle w:val="FootnoteReference"/>
        </w:rPr>
        <w:footnoteReference w:id="5"/>
      </w:r>
      <w:r>
        <w:t xml:space="preserve">  How do</w:t>
      </w:r>
      <w:r w:rsidR="00417536">
        <w:t>es the growth in</w:t>
      </w:r>
      <w:r>
        <w:t xml:space="preserve"> Avista’s employee wages compare to the ECI?</w:t>
      </w:r>
    </w:p>
    <w:p w14:paraId="6F53382B" w14:textId="1534DA36" w:rsidR="00417536" w:rsidRDefault="002C160A" w:rsidP="00417536">
      <w:pPr>
        <w:pStyle w:val="NoSpacing"/>
      </w:pPr>
      <w:r>
        <w:t>A.</w:t>
      </w:r>
      <w:r>
        <w:tab/>
        <w:t>The growth in Avista’s wages</w:t>
      </w:r>
      <w:r>
        <w:rPr>
          <w:rStyle w:val="FootnoteReference"/>
        </w:rPr>
        <w:footnoteReference w:id="6"/>
      </w:r>
      <w:r>
        <w:t xml:space="preserve"> in both natural gas and electric service look much more reasonable when using the ECI</w:t>
      </w:r>
      <w:r w:rsidR="00417536">
        <w:t xml:space="preserve">.  Between 2007 and 2015, the Employment Cost Index for Utilities grew 27.12% </w:t>
      </w:r>
      <w:r w:rsidR="00F72283">
        <w:t>–</w:t>
      </w:r>
      <w:r w:rsidR="00417536">
        <w:t xml:space="preserve"> almost twice as much as the 14.30% growth seen in Consumer Price Index.  This discrepancy highlights the importance of choosing the most reasonable measure of inflation when making these comparisons. </w:t>
      </w:r>
    </w:p>
    <w:p w14:paraId="28759DD1" w14:textId="75A4B29E" w:rsidR="008B4596" w:rsidRDefault="00417536" w:rsidP="002F0235">
      <w:pPr>
        <w:pStyle w:val="NoSpacing"/>
      </w:pPr>
      <w:r>
        <w:tab/>
      </w:r>
      <w:r>
        <w:tab/>
        <w:t xml:space="preserve">It is important to note, though, that Avista’s employee wages </w:t>
      </w:r>
      <w:r w:rsidR="00262FD1">
        <w:t>still outpace the ECI over this time</w:t>
      </w:r>
      <w:r w:rsidR="002C160A">
        <w:t>.</w:t>
      </w:r>
      <w:r w:rsidR="00CF0635">
        <w:t xml:space="preserve">  </w:t>
      </w:r>
      <w:r w:rsidR="008B4596">
        <w:t>The graphic below illustrates this</w:t>
      </w:r>
      <w:r w:rsidR="00DC13D8">
        <w:t>, using data on wages from Mr.</w:t>
      </w:r>
      <w:r w:rsidR="00927490">
        <w:t> </w:t>
      </w:r>
      <w:r w:rsidR="00DC13D8">
        <w:t>Watkins’s testimony</w:t>
      </w:r>
      <w:r w:rsidR="008B4596">
        <w:t>.</w:t>
      </w:r>
    </w:p>
    <w:p w14:paraId="7BB2FF3F" w14:textId="32801D73" w:rsidR="008B4596" w:rsidRDefault="008B4596" w:rsidP="002F0235">
      <w:pPr>
        <w:pStyle w:val="NoSpacing"/>
        <w:keepNext/>
        <w:keepLines/>
        <w:jc w:val="center"/>
        <w:rPr>
          <w:b/>
        </w:rPr>
      </w:pPr>
      <w:r w:rsidRPr="008B4596">
        <w:rPr>
          <w:b/>
        </w:rPr>
        <w:t>Illustration 1</w:t>
      </w:r>
      <w:r w:rsidRPr="008B4596">
        <w:rPr>
          <w:b/>
        </w:rPr>
        <w:br/>
      </w:r>
      <w:r w:rsidR="000D319D">
        <w:rPr>
          <w:noProof/>
        </w:rPr>
        <w:drawing>
          <wp:inline distT="0" distB="0" distL="0" distR="0" wp14:anchorId="77F69014" wp14:editId="76177E2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F4692B" w14:textId="77777777" w:rsidR="00417536" w:rsidRDefault="00417536" w:rsidP="002F0235">
      <w:pPr>
        <w:pStyle w:val="NoSpacing"/>
        <w:rPr>
          <w:b/>
        </w:rPr>
      </w:pPr>
    </w:p>
    <w:p w14:paraId="7B669B88" w14:textId="16577815" w:rsidR="00417536" w:rsidRDefault="00417536" w:rsidP="002F0235">
      <w:pPr>
        <w:pStyle w:val="Heading2"/>
        <w:numPr>
          <w:ilvl w:val="0"/>
          <w:numId w:val="4"/>
        </w:numPr>
        <w:ind w:left="1440" w:hanging="720"/>
      </w:pPr>
      <w:bookmarkStart w:id="10" w:name="_Toc462054330"/>
      <w:r w:rsidRPr="00417536">
        <w:t xml:space="preserve">Avista </w:t>
      </w:r>
      <w:r w:rsidR="003D5190">
        <w:t>D</w:t>
      </w:r>
      <w:r w:rsidRPr="00417536">
        <w:t xml:space="preserve">oes </w:t>
      </w:r>
      <w:r w:rsidR="003D5190">
        <w:t>N</w:t>
      </w:r>
      <w:r w:rsidRPr="00417536">
        <w:t xml:space="preserve">ot </w:t>
      </w:r>
      <w:r w:rsidR="003D5190">
        <w:t>O</w:t>
      </w:r>
      <w:r w:rsidRPr="00417536">
        <w:t xml:space="preserve">perate </w:t>
      </w:r>
      <w:r w:rsidR="003D5190" w:rsidRPr="00417536">
        <w:t>Under True Competition</w:t>
      </w:r>
      <w:r w:rsidRPr="00417536">
        <w:t>.</w:t>
      </w:r>
      <w:bookmarkEnd w:id="10"/>
      <w:r w:rsidRPr="00417536">
        <w:t xml:space="preserve"> </w:t>
      </w:r>
    </w:p>
    <w:p w14:paraId="44CF8213" w14:textId="77777777" w:rsidR="00417536" w:rsidRPr="00417536" w:rsidRDefault="00417536" w:rsidP="002F0235">
      <w:pPr>
        <w:spacing w:line="480" w:lineRule="auto"/>
      </w:pPr>
    </w:p>
    <w:p w14:paraId="0F0288E1" w14:textId="34E4EE4A" w:rsidR="00B949A2" w:rsidRDefault="00B949A2" w:rsidP="002F0235">
      <w:pPr>
        <w:pStyle w:val="Heading8"/>
      </w:pPr>
      <w:r>
        <w:t>Q.</w:t>
      </w:r>
      <w:r>
        <w:tab/>
        <w:t>In addressing Avista’s rising costs, Mr. Watkins argues that “under true competition, a firm may not increase prices simply because its individual cost of providing service increases.”  Do you have any comments on this?</w:t>
      </w:r>
    </w:p>
    <w:p w14:paraId="3D099D51" w14:textId="78833A89" w:rsidR="00B949A2" w:rsidRDefault="00B949A2" w:rsidP="00CA7539">
      <w:pPr>
        <w:pStyle w:val="NoSpacing"/>
      </w:pPr>
      <w:r>
        <w:t>A.</w:t>
      </w:r>
      <w:r>
        <w:tab/>
        <w:t>Yes.  While Mr. Watkins is correct</w:t>
      </w:r>
      <w:r w:rsidR="00417536">
        <w:t>, the statement is irrelevant.</w:t>
      </w:r>
      <w:r>
        <w:t xml:space="preserve"> </w:t>
      </w:r>
      <w:r w:rsidR="00E3339A">
        <w:t>W</w:t>
      </w:r>
      <w:r>
        <w:t>e should acknowledge that</w:t>
      </w:r>
      <w:r w:rsidR="00E3339A">
        <w:t xml:space="preserve"> Avista is not</w:t>
      </w:r>
      <w:r>
        <w:t xml:space="preserve"> a business operating in an industry with “true competition.”  If </w:t>
      </w:r>
      <w:r w:rsidR="00E3339A">
        <w:t>utilities were competitive</w:t>
      </w:r>
      <w:r>
        <w:t>, there would be no need for th</w:t>
      </w:r>
      <w:r w:rsidR="00E3339A">
        <w:t xml:space="preserve">e ratemaking </w:t>
      </w:r>
      <w:r>
        <w:t>process</w:t>
      </w:r>
      <w:r w:rsidR="006E27FD">
        <w:t xml:space="preserve">; the </w:t>
      </w:r>
      <w:r w:rsidR="003E7846">
        <w:t>workings of a competitive marketplace</w:t>
      </w:r>
      <w:r w:rsidR="006E27FD">
        <w:t xml:space="preserve"> would sort everything out for us.</w:t>
      </w:r>
    </w:p>
    <w:p w14:paraId="40EF22E8" w14:textId="35C5C833" w:rsidR="00B949A2" w:rsidRDefault="00B949A2" w:rsidP="00262FD1">
      <w:pPr>
        <w:pStyle w:val="NoSpacing"/>
      </w:pPr>
      <w:r>
        <w:tab/>
      </w:r>
      <w:r>
        <w:tab/>
        <w:t xml:space="preserve">A more </w:t>
      </w:r>
      <w:r w:rsidR="006E27FD">
        <w:t xml:space="preserve">relevant </w:t>
      </w:r>
      <w:r>
        <w:t xml:space="preserve">point made by Mr. Watkins is: “In competitive markets, prices may only change when the costs of </w:t>
      </w:r>
      <w:r w:rsidRPr="00B949A2">
        <w:rPr>
          <w:u w:val="single"/>
        </w:rPr>
        <w:t>all producers</w:t>
      </w:r>
      <w:r>
        <w:t xml:space="preserve"> in that industry increase o</w:t>
      </w:r>
      <w:r w:rsidR="00515B91">
        <w:t>r</w:t>
      </w:r>
      <w:r>
        <w:t xml:space="preserve"> decrease.” (Emphasis added.)  Avista operates as the single provider in a business that is a natural monopoly.  </w:t>
      </w:r>
      <w:r w:rsidR="006B6217">
        <w:t xml:space="preserve">In Avista’s service territory, it </w:t>
      </w:r>
      <w:r w:rsidR="006B6217" w:rsidRPr="00060E6A">
        <w:rPr>
          <w:i/>
        </w:rPr>
        <w:t>is</w:t>
      </w:r>
      <w:r w:rsidR="006B6217">
        <w:t xml:space="preserve"> “all producers</w:t>
      </w:r>
      <w:r w:rsidR="00226578">
        <w:t>.</w:t>
      </w:r>
      <w:r w:rsidR="006B6217">
        <w:t>”</w:t>
      </w:r>
      <w:r w:rsidR="00E3339A" w:rsidRPr="00E3339A">
        <w:t xml:space="preserve"> </w:t>
      </w:r>
      <w:r w:rsidR="00E3339A">
        <w:t xml:space="preserve"> Thus, if Avista’s cost increases are prudent and reasonable, then, as the only producer in its market, the price the Company charges for its services should also increase. Avista’s current rate request should be understood in that context.  </w:t>
      </w:r>
    </w:p>
    <w:p w14:paraId="4DF872CF" w14:textId="77777777" w:rsidR="00B949A2" w:rsidRDefault="00B949A2" w:rsidP="00262FD1">
      <w:pPr>
        <w:pStyle w:val="NoSpacing"/>
      </w:pPr>
    </w:p>
    <w:p w14:paraId="0CFD00ED" w14:textId="35438180" w:rsidR="00F1097A" w:rsidRDefault="00E955E5" w:rsidP="00CA7539">
      <w:pPr>
        <w:pStyle w:val="Heading1"/>
        <w:ind w:left="0" w:firstLine="0"/>
        <w:rPr>
          <w:caps/>
        </w:rPr>
      </w:pPr>
      <w:bookmarkStart w:id="11" w:name="_Toc462054331"/>
      <w:r>
        <w:rPr>
          <w:caps/>
        </w:rPr>
        <w:t>Response to the Testimony of Bradley Mullins</w:t>
      </w:r>
      <w:bookmarkEnd w:id="11"/>
    </w:p>
    <w:p w14:paraId="411E3D3C" w14:textId="25FD3144" w:rsidR="005E6965" w:rsidRDefault="005E6965" w:rsidP="00CA7539">
      <w:pPr>
        <w:spacing w:line="480" w:lineRule="auto"/>
      </w:pPr>
    </w:p>
    <w:p w14:paraId="3C3A5C8C" w14:textId="7A0B8058" w:rsidR="005E6965" w:rsidRDefault="005E6965" w:rsidP="00CA7539">
      <w:pPr>
        <w:pStyle w:val="Heading8"/>
      </w:pPr>
      <w:r>
        <w:t>Q.</w:t>
      </w:r>
      <w:r>
        <w:tab/>
      </w:r>
      <w:r w:rsidR="00E3339A">
        <w:t>Please summarize your response to Mr. Mullins’ testimony</w:t>
      </w:r>
      <w:r w:rsidR="006E27FD">
        <w:t>.</w:t>
      </w:r>
    </w:p>
    <w:p w14:paraId="65A06252" w14:textId="681BFC27" w:rsidR="00E955E5" w:rsidRDefault="005E6965" w:rsidP="00CA7539">
      <w:pPr>
        <w:pStyle w:val="NoSpacing"/>
      </w:pPr>
      <w:r>
        <w:t>A.</w:t>
      </w:r>
      <w:r>
        <w:tab/>
      </w:r>
      <w:r w:rsidR="00E955E5">
        <w:t>Mr. Mullins</w:t>
      </w:r>
      <w:r w:rsidR="00E3339A">
        <w:t>’ attrition study</w:t>
      </w:r>
      <w:r w:rsidR="00E955E5">
        <w:t xml:space="preserve"> is arbitrary and seemingly engineered to produce similar results to that of his more traditional revenue requirements study.</w:t>
      </w:r>
      <w:r w:rsidR="00FB30E9">
        <w:rPr>
          <w:rStyle w:val="FootnoteReference"/>
        </w:rPr>
        <w:footnoteReference w:id="7"/>
      </w:r>
      <w:r w:rsidR="00D07C82">
        <w:t xml:space="preserve">  </w:t>
      </w:r>
    </w:p>
    <w:p w14:paraId="0E4B17AE" w14:textId="77777777" w:rsidR="00E955E5" w:rsidRDefault="00E955E5" w:rsidP="00CA7539">
      <w:pPr>
        <w:pStyle w:val="NoSpacing"/>
      </w:pPr>
    </w:p>
    <w:p w14:paraId="4834635B" w14:textId="148C4EBB" w:rsidR="00D07C82" w:rsidRDefault="00D07C82" w:rsidP="00CA7539">
      <w:pPr>
        <w:pStyle w:val="Heading8"/>
      </w:pPr>
      <w:r>
        <w:t>Q.</w:t>
      </w:r>
      <w:r>
        <w:tab/>
      </w:r>
      <w:r w:rsidR="00E3339A">
        <w:t>Is Mr. Mullins’ study consistent with the basic methodology approved in the Commission’s Order 05 in Avista’s last rate case</w:t>
      </w:r>
      <w:r>
        <w:t>?</w:t>
      </w:r>
    </w:p>
    <w:p w14:paraId="16C7B306" w14:textId="70E02100" w:rsidR="009862DD" w:rsidRDefault="00D07C82" w:rsidP="009862DD">
      <w:pPr>
        <w:pStyle w:val="NoSpacing"/>
      </w:pPr>
      <w:r>
        <w:t>A.</w:t>
      </w:r>
      <w:r>
        <w:tab/>
      </w:r>
      <w:r w:rsidR="00E3339A">
        <w:t xml:space="preserve">No. </w:t>
      </w:r>
      <w:r>
        <w:t xml:space="preserve">The premise of the models approved in Avista’s last rate case was that historical data could be extrapolated to provide insight on the revenue requirements for the company in the rate-effective period.  This extrapolating was appropriate if the data  was drawn from a </w:t>
      </w:r>
      <w:r w:rsidRPr="00C15B60">
        <w:rPr>
          <w:u w:val="single"/>
        </w:rPr>
        <w:t>consistent</w:t>
      </w:r>
      <w:r>
        <w:t xml:space="preserve"> period of time, </w:t>
      </w:r>
      <w:r w:rsidR="00E3339A">
        <w:t xml:space="preserve">and </w:t>
      </w:r>
      <w:r>
        <w:t xml:space="preserve">if </w:t>
      </w:r>
      <w:r w:rsidR="00E3339A">
        <w:t>the data</w:t>
      </w:r>
      <w:r>
        <w:t xml:space="preserve"> showed a reasonably strong relationship with the passage of time.  Mr. Mullins’s attrition study does not have this feature.</w:t>
      </w:r>
      <w:r w:rsidR="009862DD">
        <w:t xml:space="preserve"> </w:t>
      </w:r>
    </w:p>
    <w:p w14:paraId="1B8C25F5" w14:textId="77777777" w:rsidR="00D07C82" w:rsidRPr="005E6965" w:rsidRDefault="00D07C82" w:rsidP="00D07C82">
      <w:pPr>
        <w:pStyle w:val="NoSpacing"/>
      </w:pPr>
    </w:p>
    <w:p w14:paraId="0D9F52F8" w14:textId="10D24D78" w:rsidR="00E955E5" w:rsidRDefault="00E955E5" w:rsidP="00E955E5">
      <w:pPr>
        <w:pStyle w:val="Heading8"/>
      </w:pPr>
      <w:r>
        <w:t>Q.</w:t>
      </w:r>
      <w:r>
        <w:tab/>
        <w:t>What is so arbitrary about this approach?</w:t>
      </w:r>
    </w:p>
    <w:p w14:paraId="157209BE" w14:textId="6352CC73" w:rsidR="005E6965" w:rsidRDefault="00E955E5" w:rsidP="00242872">
      <w:pPr>
        <w:pStyle w:val="NoSpacing"/>
      </w:pPr>
      <w:r>
        <w:t>A</w:t>
      </w:r>
      <w:r>
        <w:tab/>
        <w:t>Mr. Mullins concedes that his model does not “adhere to any bright-line rules”</w:t>
      </w:r>
      <w:r w:rsidR="001960E4">
        <w:rPr>
          <w:rStyle w:val="FootnoteReference"/>
        </w:rPr>
        <w:footnoteReference w:id="8"/>
      </w:r>
      <w:r>
        <w:t xml:space="preserve"> for historical periods or the escalation factors produced from those historical periods.  </w:t>
      </w:r>
      <w:r w:rsidR="00E3339A">
        <w:t xml:space="preserve">The result is an </w:t>
      </w:r>
      <w:r w:rsidR="00E3339A" w:rsidRPr="009A7D54">
        <w:rPr>
          <w:i/>
        </w:rPr>
        <w:t>ad hoc</w:t>
      </w:r>
      <w:r w:rsidR="00E3339A">
        <w:t xml:space="preserve"> mismatch of subjective judgments. </w:t>
      </w:r>
      <w:r>
        <w:t xml:space="preserve">For instance, to derive some escalation factors, Mr. Mullins uses a 2005-2015 period, whereas </w:t>
      </w:r>
      <w:r w:rsidR="00205208">
        <w:t xml:space="preserve">for </w:t>
      </w:r>
      <w:r>
        <w:t xml:space="preserve">others </w:t>
      </w:r>
      <w:r w:rsidR="00205208">
        <w:t xml:space="preserve">he </w:t>
      </w:r>
      <w:r>
        <w:t>use</w:t>
      </w:r>
      <w:r w:rsidR="00205208">
        <w:t>s</w:t>
      </w:r>
      <w:r>
        <w:t xml:space="preserve"> a 2009-15 period, and </w:t>
      </w:r>
      <w:r w:rsidR="00205208">
        <w:t xml:space="preserve">for </w:t>
      </w:r>
      <w:r>
        <w:t>yet ot</w:t>
      </w:r>
      <w:r w:rsidR="00F66E21">
        <w:t>hers a 2013</w:t>
      </w:r>
      <w:r>
        <w:t>-15 period.</w:t>
      </w:r>
      <w:r w:rsidR="001960E4">
        <w:t xml:space="preserve">  The escalation factors do not </w:t>
      </w:r>
      <w:r w:rsidR="00E3339A">
        <w:t xml:space="preserve">follow </w:t>
      </w:r>
      <w:r w:rsidR="001960E4">
        <w:t>any standard for “what degree of closeness was evidence of a trend.”</w:t>
      </w:r>
      <w:r w:rsidR="006E27FD">
        <w:rPr>
          <w:rStyle w:val="FootnoteReference"/>
        </w:rPr>
        <w:footnoteReference w:id="9"/>
      </w:r>
      <w:r w:rsidR="00E3339A">
        <w:t xml:space="preserve"> Without a consistent methodology, there is no consistent definition of a trend.</w:t>
      </w:r>
      <w:r w:rsidR="00242872">
        <w:t xml:space="preserve">  Instead, a trend in Mr. Mullins’s attrition model is much like </w:t>
      </w:r>
      <w:r w:rsidR="005E7CEC">
        <w:t>beauty</w:t>
      </w:r>
      <w:r w:rsidR="00242872">
        <w:t>, in that it is in the eye of the beholder.</w:t>
      </w:r>
    </w:p>
    <w:p w14:paraId="6141AA46" w14:textId="649AE1A8" w:rsidR="00573612" w:rsidRDefault="00573612" w:rsidP="00242872">
      <w:pPr>
        <w:pStyle w:val="NoSpacing"/>
      </w:pPr>
    </w:p>
    <w:p w14:paraId="7C5864A6" w14:textId="62F05F23" w:rsidR="00573612" w:rsidRDefault="00573612" w:rsidP="00573612">
      <w:pPr>
        <w:pStyle w:val="Heading8"/>
      </w:pPr>
      <w:r>
        <w:t>Q.</w:t>
      </w:r>
      <w:r>
        <w:tab/>
        <w:t>Can you provide an example of this?</w:t>
      </w:r>
    </w:p>
    <w:p w14:paraId="730ACA0D" w14:textId="6BF57997" w:rsidR="00433F1E" w:rsidRDefault="00573612" w:rsidP="005E6965">
      <w:pPr>
        <w:pStyle w:val="NoSpacing"/>
      </w:pPr>
      <w:r>
        <w:t>A.</w:t>
      </w:r>
      <w:r>
        <w:tab/>
        <w:t xml:space="preserve">Yes.  </w:t>
      </w:r>
      <w:r w:rsidR="00242872">
        <w:t>As one example, p</w:t>
      </w:r>
      <w:r>
        <w:t xml:space="preserve">lease refer to </w:t>
      </w:r>
      <w:r w:rsidR="003834EF">
        <w:t xml:space="preserve">Exhibit No. </w:t>
      </w:r>
      <w:r>
        <w:t xml:space="preserve">BGM-3, page 5.  The line of best fit shown here is over only </w:t>
      </w:r>
      <w:r w:rsidR="003834EF">
        <w:t>three</w:t>
      </w:r>
      <w:r>
        <w:t xml:space="preserve"> data points.  Mr. Mullins notes in his accompanying narrative that this line produces “a higher </w:t>
      </w:r>
      <w:r w:rsidR="00685090">
        <w:t>r-square</w:t>
      </w:r>
      <w:r>
        <w:t xml:space="preserve"> value than any other period</w:t>
      </w:r>
      <w:r w:rsidR="003834EF">
        <w:t>.</w:t>
      </w:r>
      <w:r>
        <w:t xml:space="preserve">” </w:t>
      </w:r>
      <w:r w:rsidR="00E3339A">
        <w:t xml:space="preserve"> But the</w:t>
      </w:r>
      <w:r>
        <w:t xml:space="preserve"> high </w:t>
      </w:r>
      <w:r w:rsidR="00685090">
        <w:t>r-square</w:t>
      </w:r>
      <w:r>
        <w:t xml:space="preserve"> value is </w:t>
      </w:r>
      <w:r w:rsidR="00B72EF4">
        <w:t xml:space="preserve">largely </w:t>
      </w:r>
      <w:r>
        <w:t>a</w:t>
      </w:r>
      <w:r w:rsidR="00433F1E">
        <w:t xml:space="preserve"> mathematical</w:t>
      </w:r>
      <w:r>
        <w:t xml:space="preserve"> mirage</w:t>
      </w:r>
      <w:r w:rsidR="00E3339A">
        <w:t xml:space="preserve"> because it</w:t>
      </w:r>
      <w:r w:rsidR="003834EF">
        <w:t xml:space="preserve"> i</w:t>
      </w:r>
      <w:r w:rsidR="00E3339A">
        <w:t>s</w:t>
      </w:r>
      <w:r>
        <w:t xml:space="preserve"> the result o</w:t>
      </w:r>
      <w:r w:rsidR="00433F1E">
        <w:t xml:space="preserve">f using only </w:t>
      </w:r>
      <w:r w:rsidR="003834EF">
        <w:t>three</w:t>
      </w:r>
      <w:r w:rsidR="00433F1E">
        <w:t xml:space="preserve"> data points.  </w:t>
      </w:r>
    </w:p>
    <w:p w14:paraId="7F838C3A" w14:textId="1F16A22A" w:rsidR="00573612" w:rsidRDefault="00E3339A" w:rsidP="00085F4F">
      <w:pPr>
        <w:pStyle w:val="NoSpacing"/>
        <w:ind w:firstLine="720"/>
      </w:pPr>
      <w:r>
        <w:t>A</w:t>
      </w:r>
      <w:r w:rsidR="00433F1E">
        <w:t xml:space="preserve"> line that used only </w:t>
      </w:r>
      <w:r w:rsidR="003834EF">
        <w:t>two</w:t>
      </w:r>
      <w:r w:rsidR="00433F1E">
        <w:t xml:space="preserve"> points would, in fact, have the highest </w:t>
      </w:r>
      <w:r w:rsidR="00685090">
        <w:t>r-square</w:t>
      </w:r>
      <w:r w:rsidR="00433F1E">
        <w:t xml:space="preserve"> value </w:t>
      </w:r>
      <w:r w:rsidR="00C15B60">
        <w:t>possible</w:t>
      </w:r>
      <w:r w:rsidR="00433F1E">
        <w:t xml:space="preserve">: 1.0.  </w:t>
      </w:r>
      <w:r w:rsidR="00433F1E" w:rsidRPr="00433F1E">
        <w:rPr>
          <w:i/>
        </w:rPr>
        <w:t>Any</w:t>
      </w:r>
      <w:r w:rsidR="00433F1E">
        <w:t xml:space="preserve"> line connecting </w:t>
      </w:r>
      <w:r w:rsidR="00433F1E">
        <w:rPr>
          <w:i/>
        </w:rPr>
        <w:t xml:space="preserve">any </w:t>
      </w:r>
      <w:r w:rsidR="003834EF">
        <w:t>two</w:t>
      </w:r>
      <w:r w:rsidR="00433F1E">
        <w:t xml:space="preserve"> points in </w:t>
      </w:r>
      <w:r w:rsidR="00433F1E">
        <w:rPr>
          <w:i/>
        </w:rPr>
        <w:t xml:space="preserve">any </w:t>
      </w:r>
      <w:r w:rsidR="00433F1E">
        <w:t xml:space="preserve">data series would have this characteristic.  </w:t>
      </w:r>
      <w:r>
        <w:t>T</w:t>
      </w:r>
      <w:r w:rsidR="00433F1E">
        <w:t xml:space="preserve">he high </w:t>
      </w:r>
      <w:r w:rsidR="00685090">
        <w:t>r-square</w:t>
      </w:r>
      <w:r w:rsidR="00433F1E">
        <w:t xml:space="preserve"> value Mr. Mullins finds for this particular data series says </w:t>
      </w:r>
      <w:r w:rsidR="00C15B60">
        <w:t xml:space="preserve">much </w:t>
      </w:r>
      <w:r w:rsidR="00433F1E">
        <w:t xml:space="preserve">more about how small his </w:t>
      </w:r>
      <w:r w:rsidR="00F66E21">
        <w:t>chosen sample is</w:t>
      </w:r>
      <w:r w:rsidR="00433F1E">
        <w:t xml:space="preserve"> than </w:t>
      </w:r>
      <w:r w:rsidR="00B72EF4">
        <w:t xml:space="preserve">it does </w:t>
      </w:r>
      <w:r w:rsidR="00433F1E">
        <w:t>about the predictive power of the resulting line of best fit.</w:t>
      </w:r>
    </w:p>
    <w:p w14:paraId="14C012ED" w14:textId="72D09396" w:rsidR="00F66E21" w:rsidRDefault="00433F1E" w:rsidP="00085F4F">
      <w:pPr>
        <w:pStyle w:val="NoSpacing"/>
        <w:ind w:firstLine="720"/>
        <w:rPr>
          <w:i/>
        </w:rPr>
      </w:pPr>
      <w:r>
        <w:t xml:space="preserve">This is a great example of why it </w:t>
      </w:r>
      <w:r w:rsidR="00E3339A">
        <w:t>is almost always more</w:t>
      </w:r>
      <w:r>
        <w:t xml:space="preserve"> appropriate to </w:t>
      </w:r>
      <w:r w:rsidR="00F66E21">
        <w:t xml:space="preserve">use the same historical period for </w:t>
      </w:r>
      <w:r w:rsidR="006E27FD">
        <w:t>all items that are</w:t>
      </w:r>
      <w:r w:rsidR="00F66E21">
        <w:t xml:space="preserve"> escalated</w:t>
      </w:r>
      <w:r w:rsidR="00C15B60">
        <w:t xml:space="preserve">, rather than a </w:t>
      </w:r>
      <w:r w:rsidR="003834EF">
        <w:t>three-</w:t>
      </w:r>
      <w:r w:rsidR="00C15B60">
        <w:t xml:space="preserve">year period for some items and a </w:t>
      </w:r>
      <w:r w:rsidR="003834EF">
        <w:t>twelve-</w:t>
      </w:r>
      <w:r w:rsidR="00C15B60">
        <w:t>year period for others</w:t>
      </w:r>
      <w:r w:rsidR="00F66E21">
        <w:t>.  This is also a good example of why</w:t>
      </w:r>
      <w:r w:rsidR="00E3339A">
        <w:t xml:space="preserve"> objectivity require</w:t>
      </w:r>
      <w:r w:rsidR="006E27FD">
        <w:t>s</w:t>
      </w:r>
      <w:r w:rsidR="00F66E21">
        <w:t xml:space="preserve"> standards for what constitutes an appropriate line of best fit </w:t>
      </w:r>
      <w:r w:rsidR="00F66E21">
        <w:rPr>
          <w:i/>
        </w:rPr>
        <w:t>prior to performing any analysis.</w:t>
      </w:r>
      <w:r w:rsidR="00E3339A" w:rsidRPr="00E3339A">
        <w:t xml:space="preserve"> </w:t>
      </w:r>
      <w:r w:rsidR="00E3339A">
        <w:t xml:space="preserve"> Establishing standards </w:t>
      </w:r>
      <w:r w:rsidR="00E3339A">
        <w:rPr>
          <w:i/>
        </w:rPr>
        <w:t>after</w:t>
      </w:r>
      <w:r w:rsidR="00E3339A">
        <w:t xml:space="preserve"> or </w:t>
      </w:r>
      <w:r w:rsidR="00E3339A">
        <w:rPr>
          <w:i/>
        </w:rPr>
        <w:t xml:space="preserve">while </w:t>
      </w:r>
      <w:r w:rsidR="00E3339A">
        <w:t xml:space="preserve">performing the analysis </w:t>
      </w:r>
      <w:r w:rsidR="006E27FD">
        <w:t>amounts to</w:t>
      </w:r>
      <w:r w:rsidR="00E3339A">
        <w:t xml:space="preserve"> </w:t>
      </w:r>
      <w:r w:rsidR="006E27FD">
        <w:t xml:space="preserve">selective </w:t>
      </w:r>
      <w:r w:rsidR="00E3339A">
        <w:t>data mining.</w:t>
      </w:r>
    </w:p>
    <w:p w14:paraId="119FF248" w14:textId="7748DBD1" w:rsidR="009862DD" w:rsidRDefault="009862DD" w:rsidP="009862DD">
      <w:pPr>
        <w:pStyle w:val="NoSpacing"/>
      </w:pPr>
    </w:p>
    <w:p w14:paraId="2B42826C" w14:textId="7C7194B2" w:rsidR="009862DD" w:rsidRDefault="009862DD" w:rsidP="009862DD">
      <w:pPr>
        <w:pStyle w:val="Heading8"/>
      </w:pPr>
      <w:r>
        <w:t>Q.</w:t>
      </w:r>
      <w:r>
        <w:tab/>
        <w:t xml:space="preserve">Mr. Mullins </w:t>
      </w:r>
      <w:r w:rsidR="00732A74">
        <w:t>argues that authorizing a “post-</w:t>
      </w:r>
      <w:r>
        <w:t xml:space="preserve">attrition adjustment” for a particular capital project after that project has been given </w:t>
      </w:r>
      <w:r w:rsidRPr="0057410B">
        <w:t>pro forma</w:t>
      </w:r>
      <w:r>
        <w:t xml:space="preserve"> treatment in the Traditional ratemaking method amounts to double-counting.</w:t>
      </w:r>
      <w:r w:rsidR="00472813">
        <w:rPr>
          <w:rStyle w:val="FootnoteReference"/>
        </w:rPr>
        <w:footnoteReference w:id="10"/>
      </w:r>
      <w:r>
        <w:t xml:space="preserve">  Do you agree?</w:t>
      </w:r>
    </w:p>
    <w:p w14:paraId="40B551F8" w14:textId="132ACF83" w:rsidR="00BC6307" w:rsidRDefault="009862DD" w:rsidP="006E27FD">
      <w:pPr>
        <w:pStyle w:val="NoSpacing"/>
      </w:pPr>
      <w:r>
        <w:t>A.</w:t>
      </w:r>
      <w:r>
        <w:tab/>
        <w:t xml:space="preserve">No.  The attrition study is a </w:t>
      </w:r>
      <w:r w:rsidRPr="009862DD">
        <w:rPr>
          <w:u w:val="single"/>
        </w:rPr>
        <w:t>separate</w:t>
      </w:r>
      <w:r>
        <w:t xml:space="preserve"> exercise in estimating the rate base, expenses, and revenues likely to be present in the rate-effective period.  </w:t>
      </w:r>
      <w:r w:rsidR="00F80227">
        <w:t xml:space="preserve">As a result, performing a </w:t>
      </w:r>
      <w:r w:rsidR="00F80227" w:rsidRPr="0057410B">
        <w:t>pro forma</w:t>
      </w:r>
      <w:r w:rsidR="00F80227">
        <w:t xml:space="preserve"> adjustment to the Traditional method has no bearing on whether the capital project in question is reflected in the unadjusted rate base figures in the attrition study.</w:t>
      </w:r>
      <w:r w:rsidR="000B4262" w:rsidRPr="000B4262">
        <w:rPr>
          <w:rStyle w:val="FootnoteReference"/>
        </w:rPr>
        <w:t xml:space="preserve"> </w:t>
      </w:r>
      <w:r w:rsidR="000B4262">
        <w:rPr>
          <w:rStyle w:val="FootnoteReference"/>
        </w:rPr>
        <w:footnoteReference w:id="11"/>
      </w:r>
    </w:p>
    <w:p w14:paraId="3BFA37D1" w14:textId="480D1B95" w:rsidR="00472813" w:rsidRDefault="00472813" w:rsidP="00472813">
      <w:pPr>
        <w:pStyle w:val="Heading8"/>
      </w:pPr>
      <w:r>
        <w:t>Q.</w:t>
      </w:r>
      <w:r>
        <w:tab/>
        <w:t>Mr. Mullins states that it is appropriate to remove abnormal and major projects from the historical record when developing escalation rates.</w:t>
      </w:r>
      <w:r w:rsidR="00C04330">
        <w:rPr>
          <w:rStyle w:val="FootnoteReference"/>
        </w:rPr>
        <w:footnoteReference w:id="12"/>
      </w:r>
      <w:r>
        <w:t xml:space="preserve">  Do you have any comments on this idea?</w:t>
      </w:r>
    </w:p>
    <w:p w14:paraId="4D413A3A" w14:textId="28AFBF6F" w:rsidR="00472813" w:rsidRDefault="00472813" w:rsidP="009862DD">
      <w:pPr>
        <w:pStyle w:val="NoSpacing"/>
      </w:pPr>
      <w:r>
        <w:t>A.</w:t>
      </w:r>
      <w:r>
        <w:tab/>
        <w:t xml:space="preserve">Yes.  This idea has some </w:t>
      </w:r>
      <w:r w:rsidR="00E3339A">
        <w:t xml:space="preserve">intuitive </w:t>
      </w:r>
      <w:r>
        <w:t>appeal</w:t>
      </w:r>
      <w:r w:rsidR="00E3339A">
        <w:t xml:space="preserve"> but turns out to be mathematically unnecessary and overly subjective</w:t>
      </w:r>
      <w:r>
        <w:t xml:space="preserve">.  </w:t>
      </w:r>
      <w:r w:rsidR="00E3339A">
        <w:t>I</w:t>
      </w:r>
      <w:r w:rsidR="005E6A19">
        <w:t xml:space="preserve">f we strip the historical data of </w:t>
      </w:r>
      <w:r w:rsidR="00E3339A">
        <w:t>so-called abnormal</w:t>
      </w:r>
      <w:r w:rsidR="005E6A19">
        <w:t xml:space="preserve"> items, </w:t>
      </w:r>
      <w:r>
        <w:t>the task then becomes retroactively definin</w:t>
      </w:r>
      <w:r w:rsidR="005E6A19">
        <w:t xml:space="preserve">g an abnormal project </w:t>
      </w:r>
      <w:r w:rsidR="00796026">
        <w:t>all the way back to 2007</w:t>
      </w:r>
      <w:r>
        <w:t xml:space="preserve">.  It is not clear </w:t>
      </w:r>
      <w:r w:rsidR="00BE7920">
        <w:t>what criteria Mr. Mullins used in determining which projects were abnormal</w:t>
      </w:r>
      <w:r>
        <w:t xml:space="preserve">.  </w:t>
      </w:r>
      <w:r w:rsidR="00732A74">
        <w:t>It appears that only Project Compass met Mr.</w:t>
      </w:r>
      <w:r w:rsidR="000E48E2">
        <w:t> </w:t>
      </w:r>
      <w:r w:rsidR="00732A74">
        <w:t>Mullins’s standard.</w:t>
      </w:r>
    </w:p>
    <w:p w14:paraId="16162F11" w14:textId="153480FC" w:rsidR="00472813" w:rsidRDefault="00472813" w:rsidP="009862DD">
      <w:pPr>
        <w:pStyle w:val="NoSpacing"/>
      </w:pPr>
      <w:r>
        <w:tab/>
      </w:r>
      <w:r>
        <w:tab/>
        <w:t xml:space="preserve">Staff </w:t>
      </w:r>
      <w:r w:rsidR="00242872">
        <w:t xml:space="preserve">considered </w:t>
      </w:r>
      <w:r>
        <w:t xml:space="preserve">this issue in developing its own attrition study.  Instead of attempting this messy and fraught task, Staff accepted the historical data on plant growth as it was.  This </w:t>
      </w:r>
      <w:r w:rsidR="00796026">
        <w:t>avoided subjective judgments for distinguishing between</w:t>
      </w:r>
      <w:r>
        <w:t xml:space="preserve"> which projects were appropriate to consider as part of a historical trend and which ones were not.</w:t>
      </w:r>
      <w:r w:rsidR="00BE7920">
        <w:t xml:space="preserve">  </w:t>
      </w:r>
      <w:r w:rsidR="00796026">
        <w:t xml:space="preserve">Equally important, </w:t>
      </w:r>
      <w:r w:rsidR="00BE7920">
        <w:t>t</w:t>
      </w:r>
      <w:r>
        <w:t>he unadulter</w:t>
      </w:r>
      <w:r w:rsidR="00363F28">
        <w:t>at</w:t>
      </w:r>
      <w:r>
        <w:t>ed data showed statistically-significant and consistent trends</w:t>
      </w:r>
      <w:r w:rsidR="00796026">
        <w:t xml:space="preserve"> anyway</w:t>
      </w:r>
      <w:r w:rsidR="00322EBF">
        <w:t>.</w:t>
      </w:r>
      <w:r>
        <w:t xml:space="preserve"> </w:t>
      </w:r>
      <w:r w:rsidR="00322EBF">
        <w:t>T</w:t>
      </w:r>
      <w:r w:rsidR="00796026">
        <w:t xml:space="preserve">he data </w:t>
      </w:r>
      <w:r>
        <w:t xml:space="preserve">was </w:t>
      </w:r>
      <w:r w:rsidR="00322EBF">
        <w:t xml:space="preserve">therefore </w:t>
      </w:r>
      <w:r w:rsidR="00796026">
        <w:t xml:space="preserve">statistically reliable and </w:t>
      </w:r>
      <w:r w:rsidR="00322EBF">
        <w:t>a</w:t>
      </w:r>
      <w:r>
        <w:t xml:space="preserve">ppropriate for developing escalation factors.  </w:t>
      </w:r>
    </w:p>
    <w:p w14:paraId="4C309825" w14:textId="02EA1057" w:rsidR="00472813" w:rsidRDefault="00472813" w:rsidP="009862DD">
      <w:pPr>
        <w:pStyle w:val="NoSpacing"/>
      </w:pPr>
      <w:r>
        <w:tab/>
      </w:r>
      <w:r>
        <w:tab/>
        <w:t xml:space="preserve">In other words, the presence in the historical data of projects that may be seen by some parties as being abnormal did not result in the data producing insignificant trends.  Instead, the </w:t>
      </w:r>
      <w:r w:rsidR="00322EBF">
        <w:t xml:space="preserve">unadulterated </w:t>
      </w:r>
      <w:r>
        <w:t>data showed robust consistency with respect to plant growth</w:t>
      </w:r>
      <w:r w:rsidR="006F3C76">
        <w:t xml:space="preserve"> over time</w:t>
      </w:r>
      <w:r>
        <w:t>.</w:t>
      </w:r>
      <w:r w:rsidR="00732A74">
        <w:t xml:space="preserve">  </w:t>
      </w:r>
    </w:p>
    <w:p w14:paraId="3B03D781" w14:textId="5EC671A3" w:rsidR="005E6A19" w:rsidRDefault="00472813" w:rsidP="009862DD">
      <w:pPr>
        <w:pStyle w:val="NoSpacing"/>
      </w:pPr>
      <w:r>
        <w:tab/>
      </w:r>
      <w:r>
        <w:tab/>
      </w:r>
      <w:r w:rsidRPr="00732A74">
        <w:t xml:space="preserve">It is also worth noting that Staff’s approach, which does not remove </w:t>
      </w:r>
      <w:r w:rsidR="006E27FD">
        <w:t xml:space="preserve">so-called </w:t>
      </w:r>
      <w:r w:rsidRPr="00732A74">
        <w:t xml:space="preserve">abnormal projects from the historical data, produces a higher bar </w:t>
      </w:r>
      <w:r w:rsidR="00796026">
        <w:t xml:space="preserve">for the Company </w:t>
      </w:r>
      <w:r w:rsidRPr="00732A74">
        <w:t xml:space="preserve">to clear for consideration of </w:t>
      </w:r>
      <w:r w:rsidRPr="0057410B">
        <w:t>pro forma</w:t>
      </w:r>
      <w:r w:rsidRPr="00732A74">
        <w:t xml:space="preserve"> adjustments to the attrition study rate base (“post-attrition adjustments”).  </w:t>
      </w:r>
      <w:r w:rsidR="00796026">
        <w:t>Mr. Mullins’</w:t>
      </w:r>
      <w:r w:rsidR="003834EF">
        <w:t>s</w:t>
      </w:r>
      <w:r w:rsidR="00796026">
        <w:t xml:space="preserve"> approach actually favors, or at least invites the potential for, more </w:t>
      </w:r>
      <w:r w:rsidR="006E27FD">
        <w:t>“</w:t>
      </w:r>
      <w:r w:rsidR="00796026">
        <w:t>post-attrition adjustments</w:t>
      </w:r>
      <w:r w:rsidR="006E27FD">
        <w:t>” because more “post-</w:t>
      </w:r>
      <w:r w:rsidR="00992DD0">
        <w:t>a</w:t>
      </w:r>
      <w:r w:rsidR="006E27FD">
        <w:t xml:space="preserve">ttrition” adjustments could be rationalized </w:t>
      </w:r>
      <w:r w:rsidR="00322EBF">
        <w:t xml:space="preserve">for </w:t>
      </w:r>
      <w:r w:rsidR="006E27FD">
        <w:t>a</w:t>
      </w:r>
      <w:r w:rsidR="00322EBF">
        <w:t>ny individual projects that</w:t>
      </w:r>
      <w:r w:rsidR="006E27FD">
        <w:t xml:space="preserve"> deviat</w:t>
      </w:r>
      <w:r w:rsidR="00322EBF">
        <w:t>e</w:t>
      </w:r>
      <w:r w:rsidR="006E27FD">
        <w:t xml:space="preserve"> from the historical trend</w:t>
      </w:r>
      <w:r w:rsidR="00796026">
        <w:t xml:space="preserve">. </w:t>
      </w:r>
      <w:r w:rsidR="008E4117">
        <w:t xml:space="preserve">Staff’s approach only gives </w:t>
      </w:r>
      <w:r w:rsidR="008E4117" w:rsidRPr="0057410B">
        <w:t>pro forma</w:t>
      </w:r>
      <w:r w:rsidR="008E4117">
        <w:rPr>
          <w:i/>
        </w:rPr>
        <w:t xml:space="preserve"> </w:t>
      </w:r>
      <w:r w:rsidR="008E4117">
        <w:t>treatment to the known and measurable plant additions that are above and beyond what the h</w:t>
      </w:r>
      <w:r w:rsidR="005E6A19">
        <w:t>istorical trend would suggest.</w:t>
      </w:r>
    </w:p>
    <w:p w14:paraId="3738B9E4" w14:textId="77777777" w:rsidR="00CF7A75" w:rsidRDefault="00CF7A75" w:rsidP="009862DD">
      <w:pPr>
        <w:pStyle w:val="NoSpacing"/>
      </w:pPr>
    </w:p>
    <w:p w14:paraId="0E31248B" w14:textId="5E277CAA" w:rsidR="00CF7A75" w:rsidRDefault="00CF7A75" w:rsidP="00CF7A75">
      <w:pPr>
        <w:pStyle w:val="Heading8"/>
      </w:pPr>
      <w:r>
        <w:t>Q.</w:t>
      </w:r>
      <w:r>
        <w:tab/>
        <w:t>Mr. Mullins also argues that if post-attrition adjustments are entertained, the time over which rate base is escalated should be reduced.  Do you agree?</w:t>
      </w:r>
    </w:p>
    <w:p w14:paraId="6AF6285D" w14:textId="37565284" w:rsidR="006E27FD" w:rsidRDefault="00CF7A75" w:rsidP="009862DD">
      <w:pPr>
        <w:pStyle w:val="NoSpacing"/>
      </w:pPr>
      <w:r>
        <w:t>A.</w:t>
      </w:r>
      <w:r>
        <w:tab/>
        <w:t xml:space="preserve">No.  </w:t>
      </w:r>
      <w:r w:rsidR="00BD4B15">
        <w:t>Mr. Mullins’</w:t>
      </w:r>
      <w:r w:rsidR="003834EF">
        <w:t>s</w:t>
      </w:r>
      <w:r w:rsidR="00BD4B15">
        <w:t xml:space="preserve"> proposal for reducing the escalation period to counter the acceptance of a “post-attrition adjustment” is simply a means of reducing the resulting rate base figure.  The number of years to escalate is immutably tied to the period over which we intend to estimate.  </w:t>
      </w:r>
    </w:p>
    <w:p w14:paraId="0FFCBC82" w14:textId="019EA178" w:rsidR="00685090" w:rsidRDefault="006E27FD" w:rsidP="006E27FD">
      <w:pPr>
        <w:pStyle w:val="NoSpacing"/>
        <w:ind w:firstLine="720"/>
      </w:pPr>
      <w:r>
        <w:t>Staff and Avista</w:t>
      </w:r>
      <w:r w:rsidR="00685090">
        <w:t xml:space="preserve"> both produce estimates of figures for the 12 months ending December 2017, and the 12 months ending June 2018.  Staff and Avista</w:t>
      </w:r>
      <w:r>
        <w:t xml:space="preserve"> used an escalation factor based on two years in their respective attrition studies </w:t>
      </w:r>
      <w:r w:rsidR="00BD4B15">
        <w:t>because</w:t>
      </w:r>
      <w:r>
        <w:t xml:space="preserve"> Staff and Avista are producing an estimate for two years in the future</w:t>
      </w:r>
      <w:r w:rsidR="00685090">
        <w:t xml:space="preserve"> – for the </w:t>
      </w:r>
      <w:r w:rsidR="008E3FBF">
        <w:t>tweleve</w:t>
      </w:r>
      <w:r w:rsidR="00685090">
        <w:t xml:space="preserve"> months ending December 2017</w:t>
      </w:r>
      <w:r>
        <w:t xml:space="preserve">. </w:t>
      </w:r>
      <w:r w:rsidR="00796026">
        <w:t>Similarly, the purpose in escalating over two</w:t>
      </w:r>
      <w:r w:rsidR="00DC25BC">
        <w:t>-</w:t>
      </w:r>
      <w:r w:rsidR="00796026">
        <w:t>and</w:t>
      </w:r>
      <w:r w:rsidR="00DC25BC">
        <w:t>-</w:t>
      </w:r>
      <w:r w:rsidR="00796026">
        <w:t>a</w:t>
      </w:r>
      <w:r w:rsidR="00DC25BC">
        <w:t>-</w:t>
      </w:r>
      <w:r w:rsidR="00796026">
        <w:t>half years</w:t>
      </w:r>
      <w:r>
        <w:t xml:space="preserve"> (for the twelve months ending June 2018)</w:t>
      </w:r>
      <w:r w:rsidR="00796026">
        <w:t xml:space="preserve"> is to produce an estimate of figures likely to be present in two</w:t>
      </w:r>
      <w:r w:rsidR="00DC25BC">
        <w:t>-</w:t>
      </w:r>
      <w:r w:rsidR="00796026">
        <w:t>and</w:t>
      </w:r>
      <w:r w:rsidR="00DC25BC">
        <w:t>-</w:t>
      </w:r>
      <w:r w:rsidR="00796026">
        <w:t>a</w:t>
      </w:r>
      <w:r w:rsidR="00DC25BC">
        <w:t>-</w:t>
      </w:r>
      <w:r w:rsidR="00796026">
        <w:t>half years.  The</w:t>
      </w:r>
      <w:r w:rsidR="00685090">
        <w:t xml:space="preserve"> period of time over which escalations are made does not lend itself to usage as a bargaining chip</w:t>
      </w:r>
      <w:r w:rsidR="00796026">
        <w:t xml:space="preserve">. </w:t>
      </w:r>
    </w:p>
    <w:p w14:paraId="5C19034E" w14:textId="003EB3F2" w:rsidR="00CF7A75" w:rsidRDefault="00685090" w:rsidP="006E27FD">
      <w:pPr>
        <w:pStyle w:val="NoSpacing"/>
        <w:ind w:firstLine="720"/>
      </w:pPr>
      <w:r>
        <w:t>A</w:t>
      </w:r>
      <w:r w:rsidR="001C799B">
        <w:t xml:space="preserve"> </w:t>
      </w:r>
      <w:r w:rsidR="001C799B" w:rsidRPr="0057410B">
        <w:t>pro forma</w:t>
      </w:r>
      <w:r w:rsidR="001C799B">
        <w:t xml:space="preserve"> adjustment to </w:t>
      </w:r>
      <w:r>
        <w:t>the results of this escalation</w:t>
      </w:r>
      <w:r w:rsidR="001C799B">
        <w:t xml:space="preserve"> (a “post-attrition adjustment”) is made to more accurately capture the rate base levels likely to be present during the rate-effective period</w:t>
      </w:r>
      <w:r>
        <w:t>, beyond what the historical trend would suggest</w:t>
      </w:r>
      <w:r w:rsidR="001C799B">
        <w:t>.</w:t>
      </w:r>
      <w:r>
        <w:t xml:space="preserve">  There is no reason to then reduce the escalation period to offset such an adjustment; in fact, doing so defeats the purpose.</w:t>
      </w:r>
    </w:p>
    <w:p w14:paraId="2D52EB24" w14:textId="22F8B05D" w:rsidR="00DE6104" w:rsidRDefault="00DE6104" w:rsidP="003F6B32">
      <w:pPr>
        <w:pStyle w:val="NoSpacing"/>
      </w:pPr>
      <w:bookmarkStart w:id="12" w:name="_Toc457890377"/>
      <w:bookmarkStart w:id="13" w:name="_Toc457890378"/>
      <w:bookmarkStart w:id="14" w:name="_Toc457890380"/>
      <w:bookmarkStart w:id="15" w:name="_Toc457890381"/>
      <w:bookmarkStart w:id="16" w:name="_Toc457890383"/>
      <w:bookmarkStart w:id="17" w:name="_Toc457890384"/>
      <w:bookmarkEnd w:id="12"/>
      <w:bookmarkEnd w:id="13"/>
      <w:bookmarkEnd w:id="14"/>
      <w:bookmarkEnd w:id="15"/>
      <w:bookmarkEnd w:id="16"/>
      <w:bookmarkEnd w:id="17"/>
    </w:p>
    <w:p w14:paraId="7FA18193" w14:textId="77777777" w:rsidR="00DE6104" w:rsidRDefault="00DE6104" w:rsidP="00DE6104">
      <w:pPr>
        <w:pStyle w:val="Heading8"/>
      </w:pPr>
      <w:r>
        <w:t>Q.</w:t>
      </w:r>
      <w:r>
        <w:tab/>
        <w:t>Does this conclude your testimony?</w:t>
      </w:r>
    </w:p>
    <w:p w14:paraId="0AE7174D" w14:textId="18AE8C7C" w:rsidR="00DE6104" w:rsidRDefault="00DE6104" w:rsidP="001F6E2C">
      <w:pPr>
        <w:pStyle w:val="NoSpacing"/>
      </w:pPr>
      <w:r>
        <w:t>A.</w:t>
      </w:r>
      <w:r>
        <w:tab/>
        <w:t>Yes.</w:t>
      </w:r>
    </w:p>
    <w:sectPr w:rsidR="00DE6104" w:rsidSect="000E039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72CC2" w14:textId="77777777" w:rsidR="003E7846" w:rsidRDefault="003E7846" w:rsidP="00CC09B5">
      <w:r>
        <w:separator/>
      </w:r>
    </w:p>
    <w:p w14:paraId="3EACC3FA" w14:textId="77777777" w:rsidR="003E7846" w:rsidRDefault="003E7846"/>
    <w:p w14:paraId="04E71BD3" w14:textId="77777777" w:rsidR="003E7846" w:rsidRDefault="003E7846" w:rsidP="00352C04"/>
    <w:p w14:paraId="31232480" w14:textId="77777777" w:rsidR="003E7846" w:rsidRDefault="003E7846" w:rsidP="00352C04"/>
    <w:p w14:paraId="2C3C1AD8" w14:textId="77777777" w:rsidR="003E7846" w:rsidRDefault="003E7846"/>
  </w:endnote>
  <w:endnote w:type="continuationSeparator" w:id="0">
    <w:p w14:paraId="2C5BC25F" w14:textId="77777777" w:rsidR="003E7846" w:rsidRDefault="003E7846" w:rsidP="00CC09B5">
      <w:r>
        <w:continuationSeparator/>
      </w:r>
    </w:p>
    <w:p w14:paraId="573C7D3E" w14:textId="77777777" w:rsidR="003E7846" w:rsidRDefault="003E7846"/>
    <w:p w14:paraId="469D9F58" w14:textId="77777777" w:rsidR="003E7846" w:rsidRDefault="003E7846" w:rsidP="00352C04"/>
    <w:p w14:paraId="27F6DB6C" w14:textId="77777777" w:rsidR="003E7846" w:rsidRDefault="003E7846" w:rsidP="00352C04"/>
    <w:p w14:paraId="444C79A7" w14:textId="77777777" w:rsidR="003E7846" w:rsidRDefault="003E7846"/>
  </w:endnote>
  <w:endnote w:type="continuationNotice" w:id="1">
    <w:p w14:paraId="73BF0B2E" w14:textId="77777777" w:rsidR="003E7846" w:rsidRDefault="003E7846"/>
    <w:p w14:paraId="031CD9A7" w14:textId="77777777" w:rsidR="003E7846" w:rsidRDefault="003E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E028B" w14:textId="77777777" w:rsidR="00A16864" w:rsidRDefault="00A16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A77D" w14:textId="62783D81" w:rsidR="003E7846" w:rsidRPr="006D70FC" w:rsidRDefault="003E7846" w:rsidP="00CC09B5">
    <w:pPr>
      <w:pStyle w:val="Footer"/>
      <w:rPr>
        <w:sz w:val="20"/>
        <w:szCs w:val="20"/>
      </w:rPr>
    </w:pPr>
    <w:r w:rsidRPr="006D70FC">
      <w:rPr>
        <w:sz w:val="20"/>
        <w:szCs w:val="20"/>
      </w:rPr>
      <w:t>CROSS</w:t>
    </w:r>
    <w:r w:rsidR="00240159">
      <w:rPr>
        <w:sz w:val="20"/>
        <w:szCs w:val="20"/>
      </w:rPr>
      <w:t xml:space="preserve"> </w:t>
    </w:r>
    <w:r w:rsidRPr="006D70FC">
      <w:rPr>
        <w:sz w:val="20"/>
        <w:szCs w:val="20"/>
      </w:rPr>
      <w:t xml:space="preserve">ANSWERING TESTIMONY OF CHRISTOPHER S. HANCOCK </w:t>
    </w:r>
    <w:r w:rsidRPr="006D70FC">
      <w:rPr>
        <w:sz w:val="20"/>
        <w:szCs w:val="20"/>
      </w:rPr>
      <w:tab/>
      <w:t>Exhibit No. CSH-1</w:t>
    </w:r>
    <w:r>
      <w:rPr>
        <w:sz w:val="20"/>
        <w:szCs w:val="20"/>
      </w:rPr>
      <w:t>0</w:t>
    </w:r>
    <w:r w:rsidRPr="006D70FC">
      <w:rPr>
        <w:sz w:val="20"/>
        <w:szCs w:val="20"/>
      </w:rPr>
      <w:t>T</w:t>
    </w:r>
  </w:p>
  <w:p w14:paraId="0B0AA77E" w14:textId="07D9D07E" w:rsidR="003E7846" w:rsidRPr="00287889" w:rsidRDefault="003E7846" w:rsidP="00CC09B5">
    <w:pPr>
      <w:pStyle w:val="Footer"/>
      <w:rPr>
        <w:rStyle w:val="PageNumber"/>
        <w:sz w:val="22"/>
        <w:szCs w:val="22"/>
        <w:lang w:val="fr-FR"/>
      </w:rPr>
    </w:pPr>
    <w:r w:rsidRPr="006D70FC">
      <w:rPr>
        <w:sz w:val="20"/>
        <w:szCs w:val="20"/>
      </w:rPr>
      <w:t>Dockets</w:t>
    </w:r>
    <w:r w:rsidRPr="006D70FC">
      <w:rPr>
        <w:sz w:val="20"/>
        <w:szCs w:val="20"/>
        <w:lang w:val="fr-FR"/>
      </w:rPr>
      <w:t xml:space="preserve"> UE-160228/UG-160229</w:t>
    </w:r>
    <w:r w:rsidRPr="006D70FC">
      <w:rPr>
        <w:sz w:val="20"/>
        <w:szCs w:val="20"/>
        <w:lang w:val="fr-FR"/>
      </w:rPr>
      <w:tab/>
    </w:r>
    <w:r w:rsidRPr="006D70FC">
      <w:rPr>
        <w:sz w:val="20"/>
        <w:szCs w:val="20"/>
        <w:lang w:val="fr-FR"/>
      </w:rPr>
      <w:tab/>
      <w:t xml:space="preserve">Page </w:t>
    </w:r>
    <w:r w:rsidRPr="006D70FC">
      <w:rPr>
        <w:rStyle w:val="PageNumber"/>
        <w:sz w:val="20"/>
        <w:szCs w:val="20"/>
        <w:lang w:val="fr-FR"/>
      </w:rPr>
      <w:fldChar w:fldCharType="begin"/>
    </w:r>
    <w:r w:rsidRPr="006D70FC">
      <w:rPr>
        <w:rStyle w:val="PageNumber"/>
        <w:sz w:val="20"/>
        <w:szCs w:val="20"/>
        <w:lang w:val="fr-FR"/>
      </w:rPr>
      <w:instrText xml:space="preserve"> PAGE </w:instrText>
    </w:r>
    <w:r w:rsidRPr="006D70FC">
      <w:rPr>
        <w:rStyle w:val="PageNumber"/>
        <w:sz w:val="20"/>
        <w:szCs w:val="20"/>
        <w:lang w:val="fr-FR"/>
      </w:rPr>
      <w:fldChar w:fldCharType="separate"/>
    </w:r>
    <w:r w:rsidR="002F0235">
      <w:rPr>
        <w:rStyle w:val="PageNumber"/>
        <w:noProof/>
        <w:sz w:val="20"/>
        <w:szCs w:val="20"/>
        <w:lang w:val="fr-FR"/>
      </w:rPr>
      <w:t>5</w:t>
    </w:r>
    <w:r w:rsidRPr="006D70FC">
      <w:rPr>
        <w:rStyle w:val="PageNumber"/>
        <w:sz w:val="20"/>
        <w:szCs w:val="20"/>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5239" w14:textId="77777777" w:rsidR="00A16864" w:rsidRDefault="00A16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E5BC6" w14:textId="77777777" w:rsidR="003E7846" w:rsidRDefault="003E7846">
      <w:r>
        <w:separator/>
      </w:r>
    </w:p>
  </w:footnote>
  <w:footnote w:type="continuationSeparator" w:id="0">
    <w:p w14:paraId="16B8B9C3" w14:textId="77777777" w:rsidR="003E7846" w:rsidRDefault="003E7846" w:rsidP="00352C04">
      <w:r>
        <w:continuationSeparator/>
      </w:r>
    </w:p>
    <w:p w14:paraId="47BB2E5A" w14:textId="77777777" w:rsidR="003E7846" w:rsidRDefault="003E7846"/>
  </w:footnote>
  <w:footnote w:type="continuationNotice" w:id="1">
    <w:p w14:paraId="33A57B73" w14:textId="77777777" w:rsidR="003E7846" w:rsidRDefault="003E7846"/>
    <w:p w14:paraId="6E7DAD89" w14:textId="77777777" w:rsidR="003E7846" w:rsidRDefault="003E7846"/>
  </w:footnote>
  <w:footnote w:id="2">
    <w:p w14:paraId="6806A181" w14:textId="0C0D024D" w:rsidR="003E7846" w:rsidRDefault="003E7846">
      <w:pPr>
        <w:pStyle w:val="FootnoteText"/>
      </w:pPr>
      <w:r>
        <w:rPr>
          <w:rStyle w:val="FootnoteReference"/>
        </w:rPr>
        <w:footnoteRef/>
      </w:r>
      <w:r>
        <w:t xml:space="preserve"> Watkins, Exh. No. GAW-1T 5. </w:t>
      </w:r>
    </w:p>
  </w:footnote>
  <w:footnote w:id="3">
    <w:p w14:paraId="1B5D537E" w14:textId="6A1DF712" w:rsidR="003E7846" w:rsidRDefault="003E7846">
      <w:pPr>
        <w:pStyle w:val="FootnoteText"/>
      </w:pPr>
      <w:r>
        <w:rPr>
          <w:rStyle w:val="FootnoteReference"/>
        </w:rPr>
        <w:footnoteRef/>
      </w:r>
      <w:r>
        <w:t xml:space="preserve"> “Consumer Price Index Frequently Asked Questions,” U.S. Department of Labor, Bureau of Labor Statistics, last modified June 29, 2016, </w:t>
      </w:r>
      <w:r w:rsidRPr="001C68AF">
        <w:t>http://www.bls.gov/cpi/cpifaq.htm#Question_1</w:t>
      </w:r>
      <w:r>
        <w:t>.</w:t>
      </w:r>
    </w:p>
  </w:footnote>
  <w:footnote w:id="4">
    <w:p w14:paraId="29C56D74" w14:textId="2E4F085A" w:rsidR="003E7846" w:rsidRDefault="003E7846" w:rsidP="00417536">
      <w:pPr>
        <w:pStyle w:val="FootnoteText"/>
      </w:pPr>
      <w:r>
        <w:rPr>
          <w:rStyle w:val="FootnoteReference"/>
        </w:rPr>
        <w:footnoteRef/>
      </w:r>
      <w:r>
        <w:t xml:space="preserve"> </w:t>
      </w:r>
      <w:r>
        <w:rPr>
          <w:i/>
        </w:rPr>
        <w:t xml:space="preserve">Id. </w:t>
      </w:r>
      <w:r>
        <w:t xml:space="preserve">at </w:t>
      </w:r>
      <w:r w:rsidRPr="001C68AF">
        <w:t>http://www.bls.gov/cpi/cpifaq.htm#Question_12</w:t>
      </w:r>
      <w:r>
        <w:t>.</w:t>
      </w:r>
    </w:p>
  </w:footnote>
  <w:footnote w:id="5">
    <w:p w14:paraId="005E9776" w14:textId="3E1B22BD" w:rsidR="003E7846" w:rsidRDefault="003E7846">
      <w:pPr>
        <w:pStyle w:val="FootnoteText"/>
      </w:pPr>
      <w:r>
        <w:rPr>
          <w:rStyle w:val="FootnoteReference"/>
        </w:rPr>
        <w:footnoteRef/>
      </w:r>
      <w:r>
        <w:t xml:space="preserve"> Watkins, Exh. No. GAW-1T 17, 28.</w:t>
      </w:r>
    </w:p>
  </w:footnote>
  <w:footnote w:id="6">
    <w:p w14:paraId="1A0C761B" w14:textId="472ABBA9" w:rsidR="003E7846" w:rsidRDefault="003E7846">
      <w:pPr>
        <w:pStyle w:val="FootnoteText"/>
      </w:pPr>
      <w:r>
        <w:rPr>
          <w:rStyle w:val="FootnoteReference"/>
        </w:rPr>
        <w:footnoteRef/>
      </w:r>
      <w:r>
        <w:t xml:space="preserve"> Here and in Mr. Watkins’s testimony, wages are measured as average wage per employee for employees directly assigned to Washington.</w:t>
      </w:r>
    </w:p>
  </w:footnote>
  <w:footnote w:id="7">
    <w:p w14:paraId="178EC9C7" w14:textId="4ACED714" w:rsidR="003E7846" w:rsidRDefault="003E7846">
      <w:pPr>
        <w:pStyle w:val="FootnoteText"/>
      </w:pPr>
      <w:r>
        <w:rPr>
          <w:rStyle w:val="FootnoteReference"/>
        </w:rPr>
        <w:footnoteRef/>
      </w:r>
      <w:r>
        <w:t xml:space="preserve"> The fact that the results of Mr. Mullins’s attrition study closely match that of his “Traditional” approach is put forth as evidence of its reasonableness.  Mullins, Exh. No. BGM-1CT 13.</w:t>
      </w:r>
    </w:p>
  </w:footnote>
  <w:footnote w:id="8">
    <w:p w14:paraId="31E82AD4" w14:textId="63A1F14A" w:rsidR="003E7846" w:rsidRDefault="003E7846">
      <w:pPr>
        <w:pStyle w:val="FootnoteText"/>
      </w:pPr>
      <w:r>
        <w:rPr>
          <w:rStyle w:val="FootnoteReference"/>
        </w:rPr>
        <w:footnoteRef/>
      </w:r>
      <w:r>
        <w:t xml:space="preserve"> Mullins, Exh. No. BGM-1CT 19.</w:t>
      </w:r>
    </w:p>
  </w:footnote>
  <w:footnote w:id="9">
    <w:p w14:paraId="1628268A" w14:textId="1BC12F06" w:rsidR="003E7846" w:rsidRDefault="003E7846">
      <w:pPr>
        <w:pStyle w:val="FootnoteText"/>
      </w:pPr>
      <w:r>
        <w:rPr>
          <w:rStyle w:val="FootnoteReference"/>
        </w:rPr>
        <w:footnoteRef/>
      </w:r>
      <w:r>
        <w:t xml:space="preserve"> Mullins, Exh. No. BGM-1CT 18:22.</w:t>
      </w:r>
    </w:p>
  </w:footnote>
  <w:footnote w:id="10">
    <w:p w14:paraId="0E81778A" w14:textId="10C0C015" w:rsidR="003E7846" w:rsidRDefault="003E7846">
      <w:pPr>
        <w:pStyle w:val="FootnoteText"/>
      </w:pPr>
      <w:r>
        <w:rPr>
          <w:rStyle w:val="FootnoteReference"/>
        </w:rPr>
        <w:footnoteRef/>
      </w:r>
      <w:r>
        <w:t xml:space="preserve"> Mullins, Exh. No. BGM-1CT 23.</w:t>
      </w:r>
    </w:p>
  </w:footnote>
  <w:footnote w:id="11">
    <w:p w14:paraId="4BFB000D" w14:textId="77777777" w:rsidR="003E7846" w:rsidRDefault="003E7846" w:rsidP="000B4262">
      <w:pPr>
        <w:pStyle w:val="FootnoteText"/>
      </w:pPr>
      <w:r>
        <w:rPr>
          <w:rStyle w:val="FootnoteReference"/>
        </w:rPr>
        <w:footnoteRef/>
      </w:r>
      <w:r>
        <w:t xml:space="preserve"> Here I am assuming that an attrition allowance is found as the difference between the attrition study result and the result of the Traditional modified historical test year.</w:t>
      </w:r>
    </w:p>
  </w:footnote>
  <w:footnote w:id="12">
    <w:p w14:paraId="39E7F853" w14:textId="6A91BA82" w:rsidR="003E7846" w:rsidRDefault="003E7846">
      <w:pPr>
        <w:pStyle w:val="FootnoteText"/>
      </w:pPr>
      <w:r>
        <w:rPr>
          <w:rStyle w:val="FootnoteReference"/>
        </w:rPr>
        <w:footnoteRef/>
      </w:r>
      <w:r>
        <w:t xml:space="preserve"> Mullins, Exh. No. BGM-1CT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6603" w14:textId="77777777" w:rsidR="00A16864" w:rsidRDefault="00A16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7AEC" w14:textId="77777777" w:rsidR="00A16864" w:rsidRDefault="00A16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6A4B" w14:textId="77777777" w:rsidR="00A16864" w:rsidRDefault="00A16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57ED4"/>
    <w:multiLevelType w:val="hybridMultilevel"/>
    <w:tmpl w:val="E1646F26"/>
    <w:lvl w:ilvl="0" w:tplc="6CE4F678">
      <w:start w:val="1"/>
      <w:numFmt w:val="upperRoman"/>
      <w:pStyle w:val="Heading1"/>
      <w:lvlText w:val="%1."/>
      <w:lvlJc w:val="left"/>
      <w:pPr>
        <w:ind w:left="495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1">
    <w:nsid w:val="424F15EF"/>
    <w:multiLevelType w:val="hybridMultilevel"/>
    <w:tmpl w:val="2B0849F6"/>
    <w:lvl w:ilvl="0" w:tplc="C3B2235C">
      <w:start w:val="1"/>
      <w:numFmt w:val="upperLetter"/>
      <w:pStyle w:val="Heading2"/>
      <w:lvlText w:val="%1."/>
      <w:lvlJc w:val="left"/>
      <w:pPr>
        <w:ind w:left="1080" w:hanging="360"/>
      </w:pPr>
      <w:rPr>
        <w:rFonts w:ascii="Times New Roman" w:hAnsi="Times New Roman" w:cs="Times New Roman"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FE56E6"/>
    <w:multiLevelType w:val="hybridMultilevel"/>
    <w:tmpl w:val="DD72219A"/>
    <w:lvl w:ilvl="0" w:tplc="EDE61B34">
      <w:start w:val="1"/>
      <w:numFmt w:val="decimal"/>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 w:numId="4">
    <w:abstractNumId w:val="1"/>
    <w:lvlOverride w:ilvl="0">
      <w:startOverride w:val="1"/>
    </w:lvlOverride>
  </w:num>
  <w:num w:numId="5">
    <w:abstractNumId w:val="1"/>
    <w:lvlOverride w:ilvl="0">
      <w:startOverride w:val="1"/>
    </w:lvlOverride>
  </w:num>
  <w:num w:numId="6">
    <w:abstractNumId w:val="1"/>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D"/>
    <w:rsid w:val="00001366"/>
    <w:rsid w:val="000022B3"/>
    <w:rsid w:val="000039C1"/>
    <w:rsid w:val="000045F7"/>
    <w:rsid w:val="000047BA"/>
    <w:rsid w:val="00004B1B"/>
    <w:rsid w:val="00005919"/>
    <w:rsid w:val="00007391"/>
    <w:rsid w:val="000076E1"/>
    <w:rsid w:val="000105BA"/>
    <w:rsid w:val="00011425"/>
    <w:rsid w:val="00011A63"/>
    <w:rsid w:val="00012559"/>
    <w:rsid w:val="00012BB3"/>
    <w:rsid w:val="0001357D"/>
    <w:rsid w:val="00013BEB"/>
    <w:rsid w:val="000140A9"/>
    <w:rsid w:val="00014871"/>
    <w:rsid w:val="0001556A"/>
    <w:rsid w:val="00015EAF"/>
    <w:rsid w:val="000166D5"/>
    <w:rsid w:val="0001674B"/>
    <w:rsid w:val="00016BEF"/>
    <w:rsid w:val="000172BE"/>
    <w:rsid w:val="00017FA6"/>
    <w:rsid w:val="0002053F"/>
    <w:rsid w:val="00021208"/>
    <w:rsid w:val="00021DE1"/>
    <w:rsid w:val="00022107"/>
    <w:rsid w:val="00022ADC"/>
    <w:rsid w:val="00022FC6"/>
    <w:rsid w:val="00023E8C"/>
    <w:rsid w:val="0002498F"/>
    <w:rsid w:val="00026244"/>
    <w:rsid w:val="00026519"/>
    <w:rsid w:val="000274D0"/>
    <w:rsid w:val="00030A7E"/>
    <w:rsid w:val="0003114F"/>
    <w:rsid w:val="00031FC5"/>
    <w:rsid w:val="000324D6"/>
    <w:rsid w:val="00032935"/>
    <w:rsid w:val="00032C72"/>
    <w:rsid w:val="00032F70"/>
    <w:rsid w:val="00033300"/>
    <w:rsid w:val="0003348C"/>
    <w:rsid w:val="0003575B"/>
    <w:rsid w:val="00035ABE"/>
    <w:rsid w:val="00035B40"/>
    <w:rsid w:val="0003623E"/>
    <w:rsid w:val="0004009B"/>
    <w:rsid w:val="00040469"/>
    <w:rsid w:val="00040903"/>
    <w:rsid w:val="000419F6"/>
    <w:rsid w:val="0004278F"/>
    <w:rsid w:val="00042833"/>
    <w:rsid w:val="00042A8F"/>
    <w:rsid w:val="00043405"/>
    <w:rsid w:val="000434BA"/>
    <w:rsid w:val="000437E5"/>
    <w:rsid w:val="0004590F"/>
    <w:rsid w:val="00046F31"/>
    <w:rsid w:val="00047A14"/>
    <w:rsid w:val="00047C0D"/>
    <w:rsid w:val="0005013D"/>
    <w:rsid w:val="00050BD7"/>
    <w:rsid w:val="0005166A"/>
    <w:rsid w:val="00051C32"/>
    <w:rsid w:val="000528C9"/>
    <w:rsid w:val="00052DAA"/>
    <w:rsid w:val="00052EDB"/>
    <w:rsid w:val="00052F74"/>
    <w:rsid w:val="000538CD"/>
    <w:rsid w:val="00053CAC"/>
    <w:rsid w:val="000543EB"/>
    <w:rsid w:val="000549E4"/>
    <w:rsid w:val="0005661C"/>
    <w:rsid w:val="0005685B"/>
    <w:rsid w:val="00057BD1"/>
    <w:rsid w:val="0006056E"/>
    <w:rsid w:val="00060E6A"/>
    <w:rsid w:val="000610B9"/>
    <w:rsid w:val="000617A7"/>
    <w:rsid w:val="00061B84"/>
    <w:rsid w:val="000621E7"/>
    <w:rsid w:val="00063000"/>
    <w:rsid w:val="0006308B"/>
    <w:rsid w:val="00063125"/>
    <w:rsid w:val="00065A9F"/>
    <w:rsid w:val="00065E18"/>
    <w:rsid w:val="00065FA3"/>
    <w:rsid w:val="000669B5"/>
    <w:rsid w:val="00066C8D"/>
    <w:rsid w:val="0006742C"/>
    <w:rsid w:val="00070D52"/>
    <w:rsid w:val="00072146"/>
    <w:rsid w:val="00072ABB"/>
    <w:rsid w:val="0007345F"/>
    <w:rsid w:val="000736A2"/>
    <w:rsid w:val="000745E8"/>
    <w:rsid w:val="00075863"/>
    <w:rsid w:val="00076138"/>
    <w:rsid w:val="00080598"/>
    <w:rsid w:val="00080968"/>
    <w:rsid w:val="00080B04"/>
    <w:rsid w:val="00080B1D"/>
    <w:rsid w:val="000812F4"/>
    <w:rsid w:val="00083381"/>
    <w:rsid w:val="00084B0C"/>
    <w:rsid w:val="00085307"/>
    <w:rsid w:val="000853DC"/>
    <w:rsid w:val="00085BAE"/>
    <w:rsid w:val="00085F4F"/>
    <w:rsid w:val="000863D3"/>
    <w:rsid w:val="000867C1"/>
    <w:rsid w:val="00086824"/>
    <w:rsid w:val="00087484"/>
    <w:rsid w:val="00087980"/>
    <w:rsid w:val="00090908"/>
    <w:rsid w:val="0009113C"/>
    <w:rsid w:val="00094A54"/>
    <w:rsid w:val="00095101"/>
    <w:rsid w:val="000951DC"/>
    <w:rsid w:val="0009778C"/>
    <w:rsid w:val="000A0159"/>
    <w:rsid w:val="000A02DF"/>
    <w:rsid w:val="000A1303"/>
    <w:rsid w:val="000A2B6E"/>
    <w:rsid w:val="000A44E7"/>
    <w:rsid w:val="000A5F6B"/>
    <w:rsid w:val="000A6644"/>
    <w:rsid w:val="000A6937"/>
    <w:rsid w:val="000A6CBB"/>
    <w:rsid w:val="000A7333"/>
    <w:rsid w:val="000A7789"/>
    <w:rsid w:val="000B0BE1"/>
    <w:rsid w:val="000B0E31"/>
    <w:rsid w:val="000B1762"/>
    <w:rsid w:val="000B1D2B"/>
    <w:rsid w:val="000B2044"/>
    <w:rsid w:val="000B2703"/>
    <w:rsid w:val="000B4262"/>
    <w:rsid w:val="000B58E4"/>
    <w:rsid w:val="000B5DED"/>
    <w:rsid w:val="000B5E30"/>
    <w:rsid w:val="000B6C36"/>
    <w:rsid w:val="000B6C89"/>
    <w:rsid w:val="000B6DCD"/>
    <w:rsid w:val="000C02E3"/>
    <w:rsid w:val="000C0B24"/>
    <w:rsid w:val="000C1E37"/>
    <w:rsid w:val="000C249D"/>
    <w:rsid w:val="000C2F4A"/>
    <w:rsid w:val="000C2FC3"/>
    <w:rsid w:val="000C3134"/>
    <w:rsid w:val="000C31AB"/>
    <w:rsid w:val="000C45A5"/>
    <w:rsid w:val="000C5D43"/>
    <w:rsid w:val="000C64C8"/>
    <w:rsid w:val="000C74D4"/>
    <w:rsid w:val="000C7A93"/>
    <w:rsid w:val="000C7E30"/>
    <w:rsid w:val="000D0CC2"/>
    <w:rsid w:val="000D1CF7"/>
    <w:rsid w:val="000D2086"/>
    <w:rsid w:val="000D2545"/>
    <w:rsid w:val="000D2944"/>
    <w:rsid w:val="000D2A04"/>
    <w:rsid w:val="000D2B89"/>
    <w:rsid w:val="000D319D"/>
    <w:rsid w:val="000D449E"/>
    <w:rsid w:val="000D4D30"/>
    <w:rsid w:val="000D5166"/>
    <w:rsid w:val="000D5B20"/>
    <w:rsid w:val="000D64B8"/>
    <w:rsid w:val="000D6B9C"/>
    <w:rsid w:val="000D6DD8"/>
    <w:rsid w:val="000D7206"/>
    <w:rsid w:val="000E0390"/>
    <w:rsid w:val="000E0584"/>
    <w:rsid w:val="000E16BF"/>
    <w:rsid w:val="000E1B43"/>
    <w:rsid w:val="000E1BA6"/>
    <w:rsid w:val="000E222A"/>
    <w:rsid w:val="000E259D"/>
    <w:rsid w:val="000E25D5"/>
    <w:rsid w:val="000E2853"/>
    <w:rsid w:val="000E3D9E"/>
    <w:rsid w:val="000E48DB"/>
    <w:rsid w:val="000E48E2"/>
    <w:rsid w:val="000E5244"/>
    <w:rsid w:val="000E5C5C"/>
    <w:rsid w:val="000E640C"/>
    <w:rsid w:val="000E6626"/>
    <w:rsid w:val="000E684A"/>
    <w:rsid w:val="000E72B5"/>
    <w:rsid w:val="000E7A01"/>
    <w:rsid w:val="000E7A9D"/>
    <w:rsid w:val="000E7FDE"/>
    <w:rsid w:val="000F0A77"/>
    <w:rsid w:val="000F1521"/>
    <w:rsid w:val="000F17CF"/>
    <w:rsid w:val="000F3187"/>
    <w:rsid w:val="000F3361"/>
    <w:rsid w:val="000F531D"/>
    <w:rsid w:val="000F5E5A"/>
    <w:rsid w:val="000F5ED6"/>
    <w:rsid w:val="000F5F09"/>
    <w:rsid w:val="000F6F0E"/>
    <w:rsid w:val="000F75F7"/>
    <w:rsid w:val="000F767F"/>
    <w:rsid w:val="000F7DEB"/>
    <w:rsid w:val="00100C7F"/>
    <w:rsid w:val="00100F1C"/>
    <w:rsid w:val="00102D3F"/>
    <w:rsid w:val="001032B2"/>
    <w:rsid w:val="0010513D"/>
    <w:rsid w:val="001061B4"/>
    <w:rsid w:val="001068CF"/>
    <w:rsid w:val="0010773E"/>
    <w:rsid w:val="00107771"/>
    <w:rsid w:val="00107802"/>
    <w:rsid w:val="001103E2"/>
    <w:rsid w:val="00110B4F"/>
    <w:rsid w:val="00110D01"/>
    <w:rsid w:val="001112CD"/>
    <w:rsid w:val="00111748"/>
    <w:rsid w:val="00111B3C"/>
    <w:rsid w:val="00112A60"/>
    <w:rsid w:val="00112B09"/>
    <w:rsid w:val="00113989"/>
    <w:rsid w:val="001148F8"/>
    <w:rsid w:val="001150B7"/>
    <w:rsid w:val="001151DA"/>
    <w:rsid w:val="00115341"/>
    <w:rsid w:val="0011555D"/>
    <w:rsid w:val="00115EAC"/>
    <w:rsid w:val="00121912"/>
    <w:rsid w:val="00122162"/>
    <w:rsid w:val="00122435"/>
    <w:rsid w:val="0012425C"/>
    <w:rsid w:val="001243CD"/>
    <w:rsid w:val="00124440"/>
    <w:rsid w:val="001248FF"/>
    <w:rsid w:val="00124903"/>
    <w:rsid w:val="00124C0C"/>
    <w:rsid w:val="0012658F"/>
    <w:rsid w:val="00126657"/>
    <w:rsid w:val="00126DFB"/>
    <w:rsid w:val="00126E6A"/>
    <w:rsid w:val="00127E18"/>
    <w:rsid w:val="00131AFF"/>
    <w:rsid w:val="00132503"/>
    <w:rsid w:val="00132FAD"/>
    <w:rsid w:val="0013319E"/>
    <w:rsid w:val="001336AD"/>
    <w:rsid w:val="00135A86"/>
    <w:rsid w:val="00135F84"/>
    <w:rsid w:val="00136B26"/>
    <w:rsid w:val="00136E68"/>
    <w:rsid w:val="001400E3"/>
    <w:rsid w:val="00142E99"/>
    <w:rsid w:val="001430BF"/>
    <w:rsid w:val="001434F0"/>
    <w:rsid w:val="00143FA1"/>
    <w:rsid w:val="00143FC6"/>
    <w:rsid w:val="001446FC"/>
    <w:rsid w:val="001460C3"/>
    <w:rsid w:val="00150962"/>
    <w:rsid w:val="00150FB3"/>
    <w:rsid w:val="00151BC9"/>
    <w:rsid w:val="00151DBF"/>
    <w:rsid w:val="0015239D"/>
    <w:rsid w:val="001524D0"/>
    <w:rsid w:val="00152EAD"/>
    <w:rsid w:val="00153BF3"/>
    <w:rsid w:val="0015401A"/>
    <w:rsid w:val="0015418D"/>
    <w:rsid w:val="00154511"/>
    <w:rsid w:val="00154C47"/>
    <w:rsid w:val="001551C8"/>
    <w:rsid w:val="001555D7"/>
    <w:rsid w:val="00155E8D"/>
    <w:rsid w:val="00156391"/>
    <w:rsid w:val="00156760"/>
    <w:rsid w:val="00156E5A"/>
    <w:rsid w:val="001571AD"/>
    <w:rsid w:val="00157CD2"/>
    <w:rsid w:val="0016014F"/>
    <w:rsid w:val="00161CA7"/>
    <w:rsid w:val="00163F36"/>
    <w:rsid w:val="00163F79"/>
    <w:rsid w:val="00164A72"/>
    <w:rsid w:val="001659CC"/>
    <w:rsid w:val="00165DCC"/>
    <w:rsid w:val="001673D9"/>
    <w:rsid w:val="00167412"/>
    <w:rsid w:val="00167DD5"/>
    <w:rsid w:val="00170796"/>
    <w:rsid w:val="001709B3"/>
    <w:rsid w:val="00171148"/>
    <w:rsid w:val="00171AB3"/>
    <w:rsid w:val="00171CF5"/>
    <w:rsid w:val="00171D6A"/>
    <w:rsid w:val="001722F8"/>
    <w:rsid w:val="00173506"/>
    <w:rsid w:val="00173FEB"/>
    <w:rsid w:val="0017417F"/>
    <w:rsid w:val="00174634"/>
    <w:rsid w:val="00174853"/>
    <w:rsid w:val="00174E53"/>
    <w:rsid w:val="00176053"/>
    <w:rsid w:val="00176438"/>
    <w:rsid w:val="00176F15"/>
    <w:rsid w:val="00177589"/>
    <w:rsid w:val="00180244"/>
    <w:rsid w:val="001812D7"/>
    <w:rsid w:val="00181A53"/>
    <w:rsid w:val="001830E6"/>
    <w:rsid w:val="00184A69"/>
    <w:rsid w:val="00184CF0"/>
    <w:rsid w:val="0018617F"/>
    <w:rsid w:val="001868DA"/>
    <w:rsid w:val="00186ACA"/>
    <w:rsid w:val="00187211"/>
    <w:rsid w:val="00187C60"/>
    <w:rsid w:val="00190110"/>
    <w:rsid w:val="00190721"/>
    <w:rsid w:val="00191683"/>
    <w:rsid w:val="001919AF"/>
    <w:rsid w:val="00192187"/>
    <w:rsid w:val="00192E4A"/>
    <w:rsid w:val="00193339"/>
    <w:rsid w:val="00193624"/>
    <w:rsid w:val="001938C7"/>
    <w:rsid w:val="00194B04"/>
    <w:rsid w:val="0019571B"/>
    <w:rsid w:val="00195D8A"/>
    <w:rsid w:val="001960E4"/>
    <w:rsid w:val="00196321"/>
    <w:rsid w:val="0019718F"/>
    <w:rsid w:val="00197D16"/>
    <w:rsid w:val="001A07C6"/>
    <w:rsid w:val="001A0A09"/>
    <w:rsid w:val="001A0BAF"/>
    <w:rsid w:val="001A0C18"/>
    <w:rsid w:val="001A11B7"/>
    <w:rsid w:val="001A203B"/>
    <w:rsid w:val="001A277E"/>
    <w:rsid w:val="001A2F78"/>
    <w:rsid w:val="001A42AD"/>
    <w:rsid w:val="001A4594"/>
    <w:rsid w:val="001A4E75"/>
    <w:rsid w:val="001A554A"/>
    <w:rsid w:val="001A5C82"/>
    <w:rsid w:val="001A6E35"/>
    <w:rsid w:val="001A738C"/>
    <w:rsid w:val="001A7B11"/>
    <w:rsid w:val="001A7B47"/>
    <w:rsid w:val="001B0991"/>
    <w:rsid w:val="001B0DAD"/>
    <w:rsid w:val="001B1A02"/>
    <w:rsid w:val="001B1B57"/>
    <w:rsid w:val="001B2217"/>
    <w:rsid w:val="001B3881"/>
    <w:rsid w:val="001B3D80"/>
    <w:rsid w:val="001B4290"/>
    <w:rsid w:val="001B4376"/>
    <w:rsid w:val="001B47E7"/>
    <w:rsid w:val="001B5680"/>
    <w:rsid w:val="001B5C88"/>
    <w:rsid w:val="001B62DF"/>
    <w:rsid w:val="001B7F18"/>
    <w:rsid w:val="001C0490"/>
    <w:rsid w:val="001C5AB1"/>
    <w:rsid w:val="001C6479"/>
    <w:rsid w:val="001C68AF"/>
    <w:rsid w:val="001C6BF8"/>
    <w:rsid w:val="001C7314"/>
    <w:rsid w:val="001C799B"/>
    <w:rsid w:val="001D0618"/>
    <w:rsid w:val="001D111B"/>
    <w:rsid w:val="001D15B4"/>
    <w:rsid w:val="001D2496"/>
    <w:rsid w:val="001D2BD5"/>
    <w:rsid w:val="001D2E3D"/>
    <w:rsid w:val="001D3C15"/>
    <w:rsid w:val="001D43E7"/>
    <w:rsid w:val="001D4640"/>
    <w:rsid w:val="001D4BD1"/>
    <w:rsid w:val="001D4FFE"/>
    <w:rsid w:val="001D521E"/>
    <w:rsid w:val="001D5AB0"/>
    <w:rsid w:val="001D5E2A"/>
    <w:rsid w:val="001D7336"/>
    <w:rsid w:val="001D7428"/>
    <w:rsid w:val="001D7FC9"/>
    <w:rsid w:val="001E030B"/>
    <w:rsid w:val="001E1027"/>
    <w:rsid w:val="001E1D7A"/>
    <w:rsid w:val="001E2109"/>
    <w:rsid w:val="001E310C"/>
    <w:rsid w:val="001E3243"/>
    <w:rsid w:val="001E3423"/>
    <w:rsid w:val="001E4478"/>
    <w:rsid w:val="001E4BAB"/>
    <w:rsid w:val="001E4D34"/>
    <w:rsid w:val="001E565B"/>
    <w:rsid w:val="001E5DEA"/>
    <w:rsid w:val="001E7817"/>
    <w:rsid w:val="001E7AF1"/>
    <w:rsid w:val="001F086C"/>
    <w:rsid w:val="001F0AA3"/>
    <w:rsid w:val="001F0C24"/>
    <w:rsid w:val="001F125E"/>
    <w:rsid w:val="001F1273"/>
    <w:rsid w:val="001F15D6"/>
    <w:rsid w:val="001F1B3B"/>
    <w:rsid w:val="001F1B4E"/>
    <w:rsid w:val="001F3415"/>
    <w:rsid w:val="001F35F8"/>
    <w:rsid w:val="001F45C1"/>
    <w:rsid w:val="001F5258"/>
    <w:rsid w:val="001F56E7"/>
    <w:rsid w:val="001F6106"/>
    <w:rsid w:val="001F6A0D"/>
    <w:rsid w:val="001F6E2C"/>
    <w:rsid w:val="001F734A"/>
    <w:rsid w:val="001F75EC"/>
    <w:rsid w:val="00201B1A"/>
    <w:rsid w:val="00201CA6"/>
    <w:rsid w:val="0020491A"/>
    <w:rsid w:val="00204931"/>
    <w:rsid w:val="00205208"/>
    <w:rsid w:val="00205535"/>
    <w:rsid w:val="0020694D"/>
    <w:rsid w:val="0020700A"/>
    <w:rsid w:val="0020738C"/>
    <w:rsid w:val="002073E4"/>
    <w:rsid w:val="00207756"/>
    <w:rsid w:val="00210119"/>
    <w:rsid w:val="00211B1B"/>
    <w:rsid w:val="00212323"/>
    <w:rsid w:val="00212EFE"/>
    <w:rsid w:val="0021357C"/>
    <w:rsid w:val="002144AD"/>
    <w:rsid w:val="00215CB7"/>
    <w:rsid w:val="00217E5C"/>
    <w:rsid w:val="00217FFB"/>
    <w:rsid w:val="00220F49"/>
    <w:rsid w:val="00220FBD"/>
    <w:rsid w:val="00221332"/>
    <w:rsid w:val="002217E1"/>
    <w:rsid w:val="002223DE"/>
    <w:rsid w:val="00222602"/>
    <w:rsid w:val="00222981"/>
    <w:rsid w:val="00224272"/>
    <w:rsid w:val="00224ACE"/>
    <w:rsid w:val="002251C0"/>
    <w:rsid w:val="00225599"/>
    <w:rsid w:val="002257E9"/>
    <w:rsid w:val="002263EA"/>
    <w:rsid w:val="00226578"/>
    <w:rsid w:val="002307D1"/>
    <w:rsid w:val="00230CBA"/>
    <w:rsid w:val="00231994"/>
    <w:rsid w:val="002327FC"/>
    <w:rsid w:val="0023282C"/>
    <w:rsid w:val="002329FA"/>
    <w:rsid w:val="00233484"/>
    <w:rsid w:val="002348B0"/>
    <w:rsid w:val="00234EE9"/>
    <w:rsid w:val="002353BB"/>
    <w:rsid w:val="00235813"/>
    <w:rsid w:val="00235C4C"/>
    <w:rsid w:val="00235C9D"/>
    <w:rsid w:val="00236395"/>
    <w:rsid w:val="00237969"/>
    <w:rsid w:val="00237D89"/>
    <w:rsid w:val="00240159"/>
    <w:rsid w:val="002408A6"/>
    <w:rsid w:val="00240CB8"/>
    <w:rsid w:val="00241879"/>
    <w:rsid w:val="00242872"/>
    <w:rsid w:val="0024290C"/>
    <w:rsid w:val="00242B34"/>
    <w:rsid w:val="002434C4"/>
    <w:rsid w:val="00243780"/>
    <w:rsid w:val="00243BD1"/>
    <w:rsid w:val="0024470E"/>
    <w:rsid w:val="00244A49"/>
    <w:rsid w:val="00245215"/>
    <w:rsid w:val="002453AA"/>
    <w:rsid w:val="00245E33"/>
    <w:rsid w:val="00246056"/>
    <w:rsid w:val="00246266"/>
    <w:rsid w:val="002462FD"/>
    <w:rsid w:val="00246739"/>
    <w:rsid w:val="00252B8B"/>
    <w:rsid w:val="002534CA"/>
    <w:rsid w:val="00255C70"/>
    <w:rsid w:val="0025612E"/>
    <w:rsid w:val="002563C4"/>
    <w:rsid w:val="00256F74"/>
    <w:rsid w:val="00260650"/>
    <w:rsid w:val="00260DCD"/>
    <w:rsid w:val="002619FC"/>
    <w:rsid w:val="00261E0C"/>
    <w:rsid w:val="002625EC"/>
    <w:rsid w:val="00262FA2"/>
    <w:rsid w:val="00262FD1"/>
    <w:rsid w:val="002631FE"/>
    <w:rsid w:val="00263395"/>
    <w:rsid w:val="002635D7"/>
    <w:rsid w:val="00264A69"/>
    <w:rsid w:val="00264E7F"/>
    <w:rsid w:val="00265148"/>
    <w:rsid w:val="002670DD"/>
    <w:rsid w:val="002678B2"/>
    <w:rsid w:val="00267CAA"/>
    <w:rsid w:val="002702D1"/>
    <w:rsid w:val="00271733"/>
    <w:rsid w:val="00272700"/>
    <w:rsid w:val="002729F7"/>
    <w:rsid w:val="00272E7A"/>
    <w:rsid w:val="0027357D"/>
    <w:rsid w:val="0027362D"/>
    <w:rsid w:val="00273C92"/>
    <w:rsid w:val="002746FC"/>
    <w:rsid w:val="00274BAD"/>
    <w:rsid w:val="00274F25"/>
    <w:rsid w:val="002752E0"/>
    <w:rsid w:val="00275A69"/>
    <w:rsid w:val="00275D09"/>
    <w:rsid w:val="00276B63"/>
    <w:rsid w:val="002775AE"/>
    <w:rsid w:val="00277DD8"/>
    <w:rsid w:val="0028084F"/>
    <w:rsid w:val="0028109C"/>
    <w:rsid w:val="002810B9"/>
    <w:rsid w:val="00281890"/>
    <w:rsid w:val="00281DC7"/>
    <w:rsid w:val="0028298C"/>
    <w:rsid w:val="00282ED0"/>
    <w:rsid w:val="0028300E"/>
    <w:rsid w:val="00283D4B"/>
    <w:rsid w:val="00284401"/>
    <w:rsid w:val="00284C94"/>
    <w:rsid w:val="002851CB"/>
    <w:rsid w:val="002856A8"/>
    <w:rsid w:val="002873E8"/>
    <w:rsid w:val="00287889"/>
    <w:rsid w:val="002878E9"/>
    <w:rsid w:val="002908BA"/>
    <w:rsid w:val="0029178E"/>
    <w:rsid w:val="00291CA4"/>
    <w:rsid w:val="00291D72"/>
    <w:rsid w:val="00291E4A"/>
    <w:rsid w:val="002924F8"/>
    <w:rsid w:val="00293755"/>
    <w:rsid w:val="0029457D"/>
    <w:rsid w:val="00294873"/>
    <w:rsid w:val="00294942"/>
    <w:rsid w:val="00294DEC"/>
    <w:rsid w:val="00296AFE"/>
    <w:rsid w:val="00296B4E"/>
    <w:rsid w:val="002971CC"/>
    <w:rsid w:val="002974B1"/>
    <w:rsid w:val="002A2675"/>
    <w:rsid w:val="002A41B0"/>
    <w:rsid w:val="002A652F"/>
    <w:rsid w:val="002A65A8"/>
    <w:rsid w:val="002A6F55"/>
    <w:rsid w:val="002A753B"/>
    <w:rsid w:val="002A7659"/>
    <w:rsid w:val="002A7AE3"/>
    <w:rsid w:val="002A7EFD"/>
    <w:rsid w:val="002B1A28"/>
    <w:rsid w:val="002B4E4D"/>
    <w:rsid w:val="002B4FE6"/>
    <w:rsid w:val="002B5E4E"/>
    <w:rsid w:val="002B641A"/>
    <w:rsid w:val="002B68CF"/>
    <w:rsid w:val="002B77F2"/>
    <w:rsid w:val="002C016E"/>
    <w:rsid w:val="002C039A"/>
    <w:rsid w:val="002C092D"/>
    <w:rsid w:val="002C160A"/>
    <w:rsid w:val="002C1CCA"/>
    <w:rsid w:val="002C2E27"/>
    <w:rsid w:val="002C3B0A"/>
    <w:rsid w:val="002C4A07"/>
    <w:rsid w:val="002C6100"/>
    <w:rsid w:val="002C69F2"/>
    <w:rsid w:val="002C6A6B"/>
    <w:rsid w:val="002C6AF3"/>
    <w:rsid w:val="002D14C7"/>
    <w:rsid w:val="002D14D5"/>
    <w:rsid w:val="002D18EF"/>
    <w:rsid w:val="002D1B24"/>
    <w:rsid w:val="002D2889"/>
    <w:rsid w:val="002D2AD9"/>
    <w:rsid w:val="002D2EAF"/>
    <w:rsid w:val="002D32BE"/>
    <w:rsid w:val="002D33C6"/>
    <w:rsid w:val="002D3D19"/>
    <w:rsid w:val="002D4056"/>
    <w:rsid w:val="002D42B1"/>
    <w:rsid w:val="002D5666"/>
    <w:rsid w:val="002D589C"/>
    <w:rsid w:val="002D5B64"/>
    <w:rsid w:val="002D6F2A"/>
    <w:rsid w:val="002D7760"/>
    <w:rsid w:val="002E0E71"/>
    <w:rsid w:val="002E0F85"/>
    <w:rsid w:val="002E1640"/>
    <w:rsid w:val="002E2961"/>
    <w:rsid w:val="002E39C1"/>
    <w:rsid w:val="002E3B6B"/>
    <w:rsid w:val="002E42FF"/>
    <w:rsid w:val="002E4F53"/>
    <w:rsid w:val="002E4FF4"/>
    <w:rsid w:val="002E5CB5"/>
    <w:rsid w:val="002E5F9F"/>
    <w:rsid w:val="002E6466"/>
    <w:rsid w:val="002E7CBE"/>
    <w:rsid w:val="002E7E4B"/>
    <w:rsid w:val="002F0235"/>
    <w:rsid w:val="002F1226"/>
    <w:rsid w:val="002F206F"/>
    <w:rsid w:val="002F37CF"/>
    <w:rsid w:val="002F3889"/>
    <w:rsid w:val="002F5BAF"/>
    <w:rsid w:val="002F668B"/>
    <w:rsid w:val="002F69D9"/>
    <w:rsid w:val="002F79FC"/>
    <w:rsid w:val="002F7C44"/>
    <w:rsid w:val="003007A9"/>
    <w:rsid w:val="003017D8"/>
    <w:rsid w:val="003019EF"/>
    <w:rsid w:val="00301D68"/>
    <w:rsid w:val="00302643"/>
    <w:rsid w:val="00302FE2"/>
    <w:rsid w:val="00303653"/>
    <w:rsid w:val="00303C13"/>
    <w:rsid w:val="003041E0"/>
    <w:rsid w:val="00304ADA"/>
    <w:rsid w:val="003050E9"/>
    <w:rsid w:val="00305402"/>
    <w:rsid w:val="00305496"/>
    <w:rsid w:val="003056B1"/>
    <w:rsid w:val="00305F70"/>
    <w:rsid w:val="00307B48"/>
    <w:rsid w:val="003102A4"/>
    <w:rsid w:val="003103CE"/>
    <w:rsid w:val="003110FB"/>
    <w:rsid w:val="0031110C"/>
    <w:rsid w:val="00311191"/>
    <w:rsid w:val="003111E5"/>
    <w:rsid w:val="0031143B"/>
    <w:rsid w:val="00311B76"/>
    <w:rsid w:val="003122ED"/>
    <w:rsid w:val="00312F65"/>
    <w:rsid w:val="00313421"/>
    <w:rsid w:val="0031351F"/>
    <w:rsid w:val="00316424"/>
    <w:rsid w:val="00316523"/>
    <w:rsid w:val="00316F0B"/>
    <w:rsid w:val="00317AA5"/>
    <w:rsid w:val="00317E65"/>
    <w:rsid w:val="0032027F"/>
    <w:rsid w:val="00320EDE"/>
    <w:rsid w:val="003213C0"/>
    <w:rsid w:val="00321D57"/>
    <w:rsid w:val="003225D0"/>
    <w:rsid w:val="00322EBF"/>
    <w:rsid w:val="00324031"/>
    <w:rsid w:val="00324061"/>
    <w:rsid w:val="0032408A"/>
    <w:rsid w:val="0032530A"/>
    <w:rsid w:val="00325AB2"/>
    <w:rsid w:val="003276EF"/>
    <w:rsid w:val="003310E6"/>
    <w:rsid w:val="00331ED9"/>
    <w:rsid w:val="003320D1"/>
    <w:rsid w:val="00332494"/>
    <w:rsid w:val="003336AB"/>
    <w:rsid w:val="0033598E"/>
    <w:rsid w:val="00336588"/>
    <w:rsid w:val="00336977"/>
    <w:rsid w:val="0033738A"/>
    <w:rsid w:val="00337393"/>
    <w:rsid w:val="003403B4"/>
    <w:rsid w:val="00340B5E"/>
    <w:rsid w:val="00340BDB"/>
    <w:rsid w:val="0034158A"/>
    <w:rsid w:val="0034237D"/>
    <w:rsid w:val="003435E6"/>
    <w:rsid w:val="003448A6"/>
    <w:rsid w:val="00345362"/>
    <w:rsid w:val="00346430"/>
    <w:rsid w:val="003469C6"/>
    <w:rsid w:val="00347697"/>
    <w:rsid w:val="00350F54"/>
    <w:rsid w:val="00350FE8"/>
    <w:rsid w:val="0035122F"/>
    <w:rsid w:val="00351AA1"/>
    <w:rsid w:val="00352514"/>
    <w:rsid w:val="00352C04"/>
    <w:rsid w:val="00353232"/>
    <w:rsid w:val="00353712"/>
    <w:rsid w:val="003541EB"/>
    <w:rsid w:val="0035556C"/>
    <w:rsid w:val="00355977"/>
    <w:rsid w:val="00355D49"/>
    <w:rsid w:val="00356B17"/>
    <w:rsid w:val="00356B62"/>
    <w:rsid w:val="003607CE"/>
    <w:rsid w:val="003609E0"/>
    <w:rsid w:val="00361960"/>
    <w:rsid w:val="003625F0"/>
    <w:rsid w:val="0036279B"/>
    <w:rsid w:val="00363F15"/>
    <w:rsid w:val="00363F28"/>
    <w:rsid w:val="00370D3E"/>
    <w:rsid w:val="00371184"/>
    <w:rsid w:val="0037119A"/>
    <w:rsid w:val="003717D8"/>
    <w:rsid w:val="00372380"/>
    <w:rsid w:val="00373839"/>
    <w:rsid w:val="003741F4"/>
    <w:rsid w:val="00374ED8"/>
    <w:rsid w:val="00374F45"/>
    <w:rsid w:val="00374FF0"/>
    <w:rsid w:val="00380401"/>
    <w:rsid w:val="003810FC"/>
    <w:rsid w:val="00381B37"/>
    <w:rsid w:val="003824BD"/>
    <w:rsid w:val="00382768"/>
    <w:rsid w:val="003829B2"/>
    <w:rsid w:val="00382AFA"/>
    <w:rsid w:val="00383083"/>
    <w:rsid w:val="003834EF"/>
    <w:rsid w:val="00385C91"/>
    <w:rsid w:val="00386213"/>
    <w:rsid w:val="00386431"/>
    <w:rsid w:val="00387F73"/>
    <w:rsid w:val="003900C9"/>
    <w:rsid w:val="003903F4"/>
    <w:rsid w:val="00390410"/>
    <w:rsid w:val="00390E99"/>
    <w:rsid w:val="00390FB8"/>
    <w:rsid w:val="00391849"/>
    <w:rsid w:val="00392982"/>
    <w:rsid w:val="00393FD6"/>
    <w:rsid w:val="003942BF"/>
    <w:rsid w:val="00394483"/>
    <w:rsid w:val="00394E5D"/>
    <w:rsid w:val="00394EF6"/>
    <w:rsid w:val="00396D99"/>
    <w:rsid w:val="00397353"/>
    <w:rsid w:val="00397D00"/>
    <w:rsid w:val="003A3135"/>
    <w:rsid w:val="003A3C66"/>
    <w:rsid w:val="003A4017"/>
    <w:rsid w:val="003A423F"/>
    <w:rsid w:val="003A5447"/>
    <w:rsid w:val="003A6130"/>
    <w:rsid w:val="003A6F04"/>
    <w:rsid w:val="003B08E1"/>
    <w:rsid w:val="003B1A28"/>
    <w:rsid w:val="003B1AC8"/>
    <w:rsid w:val="003B1B67"/>
    <w:rsid w:val="003B297F"/>
    <w:rsid w:val="003B33B6"/>
    <w:rsid w:val="003B4765"/>
    <w:rsid w:val="003B4D2B"/>
    <w:rsid w:val="003B4FB2"/>
    <w:rsid w:val="003B5735"/>
    <w:rsid w:val="003B6E07"/>
    <w:rsid w:val="003B759D"/>
    <w:rsid w:val="003C149B"/>
    <w:rsid w:val="003C1D75"/>
    <w:rsid w:val="003C2810"/>
    <w:rsid w:val="003C3776"/>
    <w:rsid w:val="003C385F"/>
    <w:rsid w:val="003C49AB"/>
    <w:rsid w:val="003C4B2C"/>
    <w:rsid w:val="003C502C"/>
    <w:rsid w:val="003C5667"/>
    <w:rsid w:val="003C592D"/>
    <w:rsid w:val="003C60E3"/>
    <w:rsid w:val="003D08EF"/>
    <w:rsid w:val="003D0D28"/>
    <w:rsid w:val="003D21FF"/>
    <w:rsid w:val="003D3A78"/>
    <w:rsid w:val="003D4B5A"/>
    <w:rsid w:val="003D4F20"/>
    <w:rsid w:val="003D5190"/>
    <w:rsid w:val="003D578F"/>
    <w:rsid w:val="003D5AB4"/>
    <w:rsid w:val="003D686A"/>
    <w:rsid w:val="003D6874"/>
    <w:rsid w:val="003E2604"/>
    <w:rsid w:val="003E39AB"/>
    <w:rsid w:val="003E3D16"/>
    <w:rsid w:val="003E3D85"/>
    <w:rsid w:val="003E400E"/>
    <w:rsid w:val="003E425E"/>
    <w:rsid w:val="003E4330"/>
    <w:rsid w:val="003E46E1"/>
    <w:rsid w:val="003E4840"/>
    <w:rsid w:val="003E4B43"/>
    <w:rsid w:val="003E5730"/>
    <w:rsid w:val="003E6BD1"/>
    <w:rsid w:val="003E7393"/>
    <w:rsid w:val="003E753E"/>
    <w:rsid w:val="003E7846"/>
    <w:rsid w:val="003E78E7"/>
    <w:rsid w:val="003E7CD6"/>
    <w:rsid w:val="003F1CD8"/>
    <w:rsid w:val="003F26BA"/>
    <w:rsid w:val="003F2974"/>
    <w:rsid w:val="003F2C74"/>
    <w:rsid w:val="003F36CC"/>
    <w:rsid w:val="003F5955"/>
    <w:rsid w:val="003F5E46"/>
    <w:rsid w:val="003F5FEC"/>
    <w:rsid w:val="003F6524"/>
    <w:rsid w:val="003F6B32"/>
    <w:rsid w:val="003F71BB"/>
    <w:rsid w:val="003F73A5"/>
    <w:rsid w:val="003F769C"/>
    <w:rsid w:val="003F788B"/>
    <w:rsid w:val="0040003A"/>
    <w:rsid w:val="00400128"/>
    <w:rsid w:val="004011D5"/>
    <w:rsid w:val="0040130E"/>
    <w:rsid w:val="004015FC"/>
    <w:rsid w:val="00401E03"/>
    <w:rsid w:val="004020BC"/>
    <w:rsid w:val="004026AD"/>
    <w:rsid w:val="004027A6"/>
    <w:rsid w:val="00402AE1"/>
    <w:rsid w:val="00403245"/>
    <w:rsid w:val="0040549B"/>
    <w:rsid w:val="00405960"/>
    <w:rsid w:val="00405CFE"/>
    <w:rsid w:val="0040659B"/>
    <w:rsid w:val="00407254"/>
    <w:rsid w:val="0040759C"/>
    <w:rsid w:val="004078AC"/>
    <w:rsid w:val="00407BB2"/>
    <w:rsid w:val="00411E77"/>
    <w:rsid w:val="00412934"/>
    <w:rsid w:val="00412B06"/>
    <w:rsid w:val="00413D48"/>
    <w:rsid w:val="00413D72"/>
    <w:rsid w:val="00416149"/>
    <w:rsid w:val="0041627C"/>
    <w:rsid w:val="00416283"/>
    <w:rsid w:val="00416806"/>
    <w:rsid w:val="00416A6E"/>
    <w:rsid w:val="00416D11"/>
    <w:rsid w:val="00417260"/>
    <w:rsid w:val="00417536"/>
    <w:rsid w:val="004202F0"/>
    <w:rsid w:val="0042040E"/>
    <w:rsid w:val="00420D60"/>
    <w:rsid w:val="0042148E"/>
    <w:rsid w:val="00421EA5"/>
    <w:rsid w:val="00421EDE"/>
    <w:rsid w:val="00422BA7"/>
    <w:rsid w:val="00423A56"/>
    <w:rsid w:val="0042424F"/>
    <w:rsid w:val="00424AA5"/>
    <w:rsid w:val="00424FFA"/>
    <w:rsid w:val="00426839"/>
    <w:rsid w:val="0042716B"/>
    <w:rsid w:val="004272F8"/>
    <w:rsid w:val="0042756C"/>
    <w:rsid w:val="00427B54"/>
    <w:rsid w:val="00427C46"/>
    <w:rsid w:val="00427FC9"/>
    <w:rsid w:val="00430880"/>
    <w:rsid w:val="004308DA"/>
    <w:rsid w:val="00430997"/>
    <w:rsid w:val="00430B11"/>
    <w:rsid w:val="00432473"/>
    <w:rsid w:val="00432480"/>
    <w:rsid w:val="00433F1E"/>
    <w:rsid w:val="00434D77"/>
    <w:rsid w:val="00436132"/>
    <w:rsid w:val="0043775C"/>
    <w:rsid w:val="004378C8"/>
    <w:rsid w:val="00437AD4"/>
    <w:rsid w:val="0044004E"/>
    <w:rsid w:val="00441168"/>
    <w:rsid w:val="00441371"/>
    <w:rsid w:val="0044150A"/>
    <w:rsid w:val="0044197A"/>
    <w:rsid w:val="00441BA6"/>
    <w:rsid w:val="0044228C"/>
    <w:rsid w:val="004423DE"/>
    <w:rsid w:val="00442699"/>
    <w:rsid w:val="00442DC0"/>
    <w:rsid w:val="00444307"/>
    <w:rsid w:val="00444490"/>
    <w:rsid w:val="00445C20"/>
    <w:rsid w:val="004508B5"/>
    <w:rsid w:val="00450CB7"/>
    <w:rsid w:val="00452EE9"/>
    <w:rsid w:val="00452EF2"/>
    <w:rsid w:val="004531FE"/>
    <w:rsid w:val="0045327A"/>
    <w:rsid w:val="00453AC1"/>
    <w:rsid w:val="004550C9"/>
    <w:rsid w:val="00455AAB"/>
    <w:rsid w:val="00457431"/>
    <w:rsid w:val="00457479"/>
    <w:rsid w:val="00461111"/>
    <w:rsid w:val="00461B64"/>
    <w:rsid w:val="00462A4F"/>
    <w:rsid w:val="00463044"/>
    <w:rsid w:val="00463621"/>
    <w:rsid w:val="0046414C"/>
    <w:rsid w:val="00464B48"/>
    <w:rsid w:val="00464D0C"/>
    <w:rsid w:val="00465CDB"/>
    <w:rsid w:val="00466228"/>
    <w:rsid w:val="00466B9C"/>
    <w:rsid w:val="0046730C"/>
    <w:rsid w:val="00467B03"/>
    <w:rsid w:val="00470B02"/>
    <w:rsid w:val="00471C3F"/>
    <w:rsid w:val="00471D52"/>
    <w:rsid w:val="00472485"/>
    <w:rsid w:val="004725CA"/>
    <w:rsid w:val="00472813"/>
    <w:rsid w:val="004732A0"/>
    <w:rsid w:val="004735AC"/>
    <w:rsid w:val="00473BD6"/>
    <w:rsid w:val="004763B7"/>
    <w:rsid w:val="00477444"/>
    <w:rsid w:val="004775DF"/>
    <w:rsid w:val="00480DD0"/>
    <w:rsid w:val="0048114E"/>
    <w:rsid w:val="00482046"/>
    <w:rsid w:val="00482A02"/>
    <w:rsid w:val="00482E1A"/>
    <w:rsid w:val="0048444F"/>
    <w:rsid w:val="00484AB3"/>
    <w:rsid w:val="004853CC"/>
    <w:rsid w:val="00486467"/>
    <w:rsid w:val="004867EF"/>
    <w:rsid w:val="004869A4"/>
    <w:rsid w:val="004877A6"/>
    <w:rsid w:val="0048792E"/>
    <w:rsid w:val="004909EF"/>
    <w:rsid w:val="00490D4E"/>
    <w:rsid w:val="00490E22"/>
    <w:rsid w:val="00491D44"/>
    <w:rsid w:val="00492050"/>
    <w:rsid w:val="0049263A"/>
    <w:rsid w:val="004929B1"/>
    <w:rsid w:val="00492EDF"/>
    <w:rsid w:val="004934F2"/>
    <w:rsid w:val="004940D7"/>
    <w:rsid w:val="00494CBF"/>
    <w:rsid w:val="004951B4"/>
    <w:rsid w:val="00495A26"/>
    <w:rsid w:val="00495AED"/>
    <w:rsid w:val="0049618E"/>
    <w:rsid w:val="00496EF7"/>
    <w:rsid w:val="004971BA"/>
    <w:rsid w:val="00497405"/>
    <w:rsid w:val="004A08E6"/>
    <w:rsid w:val="004A2122"/>
    <w:rsid w:val="004A27B2"/>
    <w:rsid w:val="004A2F25"/>
    <w:rsid w:val="004A317D"/>
    <w:rsid w:val="004A3277"/>
    <w:rsid w:val="004A4771"/>
    <w:rsid w:val="004A480C"/>
    <w:rsid w:val="004A700C"/>
    <w:rsid w:val="004A7358"/>
    <w:rsid w:val="004B053D"/>
    <w:rsid w:val="004B18EA"/>
    <w:rsid w:val="004B2041"/>
    <w:rsid w:val="004B2C7B"/>
    <w:rsid w:val="004B4D8D"/>
    <w:rsid w:val="004B4F84"/>
    <w:rsid w:val="004B52EA"/>
    <w:rsid w:val="004B5B03"/>
    <w:rsid w:val="004B60CD"/>
    <w:rsid w:val="004B650B"/>
    <w:rsid w:val="004B70B9"/>
    <w:rsid w:val="004B79A0"/>
    <w:rsid w:val="004C1180"/>
    <w:rsid w:val="004C122B"/>
    <w:rsid w:val="004C12AD"/>
    <w:rsid w:val="004C3F22"/>
    <w:rsid w:val="004C49B7"/>
    <w:rsid w:val="004C545C"/>
    <w:rsid w:val="004C56B8"/>
    <w:rsid w:val="004C6090"/>
    <w:rsid w:val="004D019A"/>
    <w:rsid w:val="004D05EC"/>
    <w:rsid w:val="004D0E4B"/>
    <w:rsid w:val="004D1960"/>
    <w:rsid w:val="004D3C1C"/>
    <w:rsid w:val="004D3EC3"/>
    <w:rsid w:val="004D4220"/>
    <w:rsid w:val="004D48ED"/>
    <w:rsid w:val="004D54F5"/>
    <w:rsid w:val="004D56B8"/>
    <w:rsid w:val="004D5A63"/>
    <w:rsid w:val="004D603A"/>
    <w:rsid w:val="004E23E1"/>
    <w:rsid w:val="004E2A5A"/>
    <w:rsid w:val="004E2B00"/>
    <w:rsid w:val="004E3C38"/>
    <w:rsid w:val="004E4A0F"/>
    <w:rsid w:val="004E67D2"/>
    <w:rsid w:val="004E70B5"/>
    <w:rsid w:val="004E7D2C"/>
    <w:rsid w:val="004F0EA2"/>
    <w:rsid w:val="004F301D"/>
    <w:rsid w:val="004F464F"/>
    <w:rsid w:val="004F4BF1"/>
    <w:rsid w:val="004F4D1E"/>
    <w:rsid w:val="004F55D9"/>
    <w:rsid w:val="004F5D33"/>
    <w:rsid w:val="004F5D60"/>
    <w:rsid w:val="004F616C"/>
    <w:rsid w:val="004F6737"/>
    <w:rsid w:val="004F7C0A"/>
    <w:rsid w:val="0050004A"/>
    <w:rsid w:val="00500502"/>
    <w:rsid w:val="00500C80"/>
    <w:rsid w:val="00500DD9"/>
    <w:rsid w:val="0050116B"/>
    <w:rsid w:val="0050190B"/>
    <w:rsid w:val="005029E6"/>
    <w:rsid w:val="005031A2"/>
    <w:rsid w:val="0050349F"/>
    <w:rsid w:val="00503A3F"/>
    <w:rsid w:val="0050423F"/>
    <w:rsid w:val="00504548"/>
    <w:rsid w:val="005049F7"/>
    <w:rsid w:val="005059A9"/>
    <w:rsid w:val="00506139"/>
    <w:rsid w:val="0050634D"/>
    <w:rsid w:val="00506A57"/>
    <w:rsid w:val="0051014B"/>
    <w:rsid w:val="00511967"/>
    <w:rsid w:val="00512D2E"/>
    <w:rsid w:val="005138CB"/>
    <w:rsid w:val="00513A81"/>
    <w:rsid w:val="00513F2D"/>
    <w:rsid w:val="005141AE"/>
    <w:rsid w:val="00514349"/>
    <w:rsid w:val="00514D38"/>
    <w:rsid w:val="00514EA6"/>
    <w:rsid w:val="0051546C"/>
    <w:rsid w:val="00515B91"/>
    <w:rsid w:val="005166CA"/>
    <w:rsid w:val="005176E9"/>
    <w:rsid w:val="00520032"/>
    <w:rsid w:val="0052035F"/>
    <w:rsid w:val="005209B5"/>
    <w:rsid w:val="005221A7"/>
    <w:rsid w:val="00522223"/>
    <w:rsid w:val="00522602"/>
    <w:rsid w:val="005227C4"/>
    <w:rsid w:val="00522971"/>
    <w:rsid w:val="00522AE2"/>
    <w:rsid w:val="00522C7A"/>
    <w:rsid w:val="005230DC"/>
    <w:rsid w:val="0052366E"/>
    <w:rsid w:val="005249FD"/>
    <w:rsid w:val="00525DD0"/>
    <w:rsid w:val="00525EB7"/>
    <w:rsid w:val="005277A1"/>
    <w:rsid w:val="00527F68"/>
    <w:rsid w:val="00530ADF"/>
    <w:rsid w:val="00530D64"/>
    <w:rsid w:val="00530FEE"/>
    <w:rsid w:val="00531227"/>
    <w:rsid w:val="00531BFA"/>
    <w:rsid w:val="005322B5"/>
    <w:rsid w:val="00532933"/>
    <w:rsid w:val="00532CBB"/>
    <w:rsid w:val="005331EC"/>
    <w:rsid w:val="005338E4"/>
    <w:rsid w:val="00533B53"/>
    <w:rsid w:val="00533B6E"/>
    <w:rsid w:val="00533E18"/>
    <w:rsid w:val="00533FDA"/>
    <w:rsid w:val="00534317"/>
    <w:rsid w:val="00535B97"/>
    <w:rsid w:val="00536045"/>
    <w:rsid w:val="00540335"/>
    <w:rsid w:val="00540687"/>
    <w:rsid w:val="00540803"/>
    <w:rsid w:val="00541CF9"/>
    <w:rsid w:val="005422A9"/>
    <w:rsid w:val="00542C22"/>
    <w:rsid w:val="005431A9"/>
    <w:rsid w:val="005435F9"/>
    <w:rsid w:val="00543E0C"/>
    <w:rsid w:val="00544310"/>
    <w:rsid w:val="00544701"/>
    <w:rsid w:val="00544A43"/>
    <w:rsid w:val="00544AB8"/>
    <w:rsid w:val="00544D57"/>
    <w:rsid w:val="0054647F"/>
    <w:rsid w:val="00547968"/>
    <w:rsid w:val="00547F23"/>
    <w:rsid w:val="00550E1F"/>
    <w:rsid w:val="00551CEF"/>
    <w:rsid w:val="00552600"/>
    <w:rsid w:val="00553440"/>
    <w:rsid w:val="005537D8"/>
    <w:rsid w:val="00553974"/>
    <w:rsid w:val="00553A66"/>
    <w:rsid w:val="00553ED8"/>
    <w:rsid w:val="005540FA"/>
    <w:rsid w:val="0055435C"/>
    <w:rsid w:val="005546B3"/>
    <w:rsid w:val="00554F30"/>
    <w:rsid w:val="005550E8"/>
    <w:rsid w:val="00555113"/>
    <w:rsid w:val="00555D94"/>
    <w:rsid w:val="005561EA"/>
    <w:rsid w:val="005563BD"/>
    <w:rsid w:val="00557092"/>
    <w:rsid w:val="0055755D"/>
    <w:rsid w:val="00557A25"/>
    <w:rsid w:val="00557B43"/>
    <w:rsid w:val="00557F15"/>
    <w:rsid w:val="005604A4"/>
    <w:rsid w:val="005608FB"/>
    <w:rsid w:val="00563BFE"/>
    <w:rsid w:val="00564839"/>
    <w:rsid w:val="00564ACF"/>
    <w:rsid w:val="00564C3A"/>
    <w:rsid w:val="00564E2D"/>
    <w:rsid w:val="00567133"/>
    <w:rsid w:val="00567F5A"/>
    <w:rsid w:val="005700DB"/>
    <w:rsid w:val="00570359"/>
    <w:rsid w:val="00570367"/>
    <w:rsid w:val="0057042C"/>
    <w:rsid w:val="005707D7"/>
    <w:rsid w:val="005711A4"/>
    <w:rsid w:val="00573157"/>
    <w:rsid w:val="00573612"/>
    <w:rsid w:val="0057362A"/>
    <w:rsid w:val="0057410B"/>
    <w:rsid w:val="005741E4"/>
    <w:rsid w:val="005745D4"/>
    <w:rsid w:val="00574E1D"/>
    <w:rsid w:val="00576130"/>
    <w:rsid w:val="005771AB"/>
    <w:rsid w:val="0057744D"/>
    <w:rsid w:val="00577A15"/>
    <w:rsid w:val="00580054"/>
    <w:rsid w:val="00581FD3"/>
    <w:rsid w:val="00582169"/>
    <w:rsid w:val="005823AA"/>
    <w:rsid w:val="005839CC"/>
    <w:rsid w:val="00584104"/>
    <w:rsid w:val="00584592"/>
    <w:rsid w:val="0058462B"/>
    <w:rsid w:val="00585107"/>
    <w:rsid w:val="0058652F"/>
    <w:rsid w:val="005870D7"/>
    <w:rsid w:val="00587160"/>
    <w:rsid w:val="00587BFC"/>
    <w:rsid w:val="00591783"/>
    <w:rsid w:val="00591968"/>
    <w:rsid w:val="00591A7A"/>
    <w:rsid w:val="00592717"/>
    <w:rsid w:val="0059344F"/>
    <w:rsid w:val="005944F2"/>
    <w:rsid w:val="005947B4"/>
    <w:rsid w:val="00594D5B"/>
    <w:rsid w:val="00594E2F"/>
    <w:rsid w:val="005950A6"/>
    <w:rsid w:val="005953E1"/>
    <w:rsid w:val="005956EF"/>
    <w:rsid w:val="00596065"/>
    <w:rsid w:val="0059679F"/>
    <w:rsid w:val="00596D12"/>
    <w:rsid w:val="0059712C"/>
    <w:rsid w:val="00597817"/>
    <w:rsid w:val="005A0EA1"/>
    <w:rsid w:val="005A130E"/>
    <w:rsid w:val="005A15F0"/>
    <w:rsid w:val="005A1BFA"/>
    <w:rsid w:val="005A1DDE"/>
    <w:rsid w:val="005A22D7"/>
    <w:rsid w:val="005A2AAC"/>
    <w:rsid w:val="005A2D46"/>
    <w:rsid w:val="005A386F"/>
    <w:rsid w:val="005A3C8F"/>
    <w:rsid w:val="005A3FD8"/>
    <w:rsid w:val="005A41D2"/>
    <w:rsid w:val="005A5CBF"/>
    <w:rsid w:val="005A67EF"/>
    <w:rsid w:val="005A6C74"/>
    <w:rsid w:val="005A7435"/>
    <w:rsid w:val="005A75DB"/>
    <w:rsid w:val="005A7DDF"/>
    <w:rsid w:val="005B0468"/>
    <w:rsid w:val="005B05B6"/>
    <w:rsid w:val="005B077B"/>
    <w:rsid w:val="005B08C6"/>
    <w:rsid w:val="005B12DA"/>
    <w:rsid w:val="005B1609"/>
    <w:rsid w:val="005B2EFB"/>
    <w:rsid w:val="005B30F7"/>
    <w:rsid w:val="005B3126"/>
    <w:rsid w:val="005B494B"/>
    <w:rsid w:val="005B4CE5"/>
    <w:rsid w:val="005B5876"/>
    <w:rsid w:val="005B632C"/>
    <w:rsid w:val="005B72C0"/>
    <w:rsid w:val="005C468F"/>
    <w:rsid w:val="005C4692"/>
    <w:rsid w:val="005C4F93"/>
    <w:rsid w:val="005C5295"/>
    <w:rsid w:val="005C5394"/>
    <w:rsid w:val="005C559D"/>
    <w:rsid w:val="005C5A17"/>
    <w:rsid w:val="005C5CBC"/>
    <w:rsid w:val="005C5F3A"/>
    <w:rsid w:val="005C689A"/>
    <w:rsid w:val="005C68C6"/>
    <w:rsid w:val="005C6BA7"/>
    <w:rsid w:val="005D0960"/>
    <w:rsid w:val="005D09AB"/>
    <w:rsid w:val="005D1C41"/>
    <w:rsid w:val="005D2FB1"/>
    <w:rsid w:val="005D35FE"/>
    <w:rsid w:val="005D3876"/>
    <w:rsid w:val="005D3F0D"/>
    <w:rsid w:val="005D4C6B"/>
    <w:rsid w:val="005D4D32"/>
    <w:rsid w:val="005D5748"/>
    <w:rsid w:val="005D5B02"/>
    <w:rsid w:val="005D5CF9"/>
    <w:rsid w:val="005D6905"/>
    <w:rsid w:val="005D6BA3"/>
    <w:rsid w:val="005E0A56"/>
    <w:rsid w:val="005E0C70"/>
    <w:rsid w:val="005E428F"/>
    <w:rsid w:val="005E4A7B"/>
    <w:rsid w:val="005E6965"/>
    <w:rsid w:val="005E6A19"/>
    <w:rsid w:val="005E6D0C"/>
    <w:rsid w:val="005E7CEC"/>
    <w:rsid w:val="005E7E1D"/>
    <w:rsid w:val="005F0C61"/>
    <w:rsid w:val="005F1516"/>
    <w:rsid w:val="005F1825"/>
    <w:rsid w:val="005F1B2C"/>
    <w:rsid w:val="005F230D"/>
    <w:rsid w:val="005F2EB0"/>
    <w:rsid w:val="005F33C7"/>
    <w:rsid w:val="005F3A9E"/>
    <w:rsid w:val="005F3AC4"/>
    <w:rsid w:val="005F4213"/>
    <w:rsid w:val="005F4293"/>
    <w:rsid w:val="005F649E"/>
    <w:rsid w:val="005F6DF7"/>
    <w:rsid w:val="00600002"/>
    <w:rsid w:val="006005C0"/>
    <w:rsid w:val="00602C03"/>
    <w:rsid w:val="0060336C"/>
    <w:rsid w:val="00604A5F"/>
    <w:rsid w:val="0060597B"/>
    <w:rsid w:val="00605E72"/>
    <w:rsid w:val="006066A1"/>
    <w:rsid w:val="00607066"/>
    <w:rsid w:val="006100E1"/>
    <w:rsid w:val="006103F7"/>
    <w:rsid w:val="00610B3A"/>
    <w:rsid w:val="00610FA8"/>
    <w:rsid w:val="0061131B"/>
    <w:rsid w:val="00611706"/>
    <w:rsid w:val="0061172E"/>
    <w:rsid w:val="0061190B"/>
    <w:rsid w:val="00611A27"/>
    <w:rsid w:val="006127D0"/>
    <w:rsid w:val="00613A48"/>
    <w:rsid w:val="00614068"/>
    <w:rsid w:val="00614174"/>
    <w:rsid w:val="00615205"/>
    <w:rsid w:val="00615851"/>
    <w:rsid w:val="00616A37"/>
    <w:rsid w:val="00617888"/>
    <w:rsid w:val="006178DF"/>
    <w:rsid w:val="00617941"/>
    <w:rsid w:val="00620358"/>
    <w:rsid w:val="006235CE"/>
    <w:rsid w:val="00623621"/>
    <w:rsid w:val="00624DBC"/>
    <w:rsid w:val="006251D9"/>
    <w:rsid w:val="006262A6"/>
    <w:rsid w:val="00627337"/>
    <w:rsid w:val="006277DE"/>
    <w:rsid w:val="00630496"/>
    <w:rsid w:val="006304C8"/>
    <w:rsid w:val="00630665"/>
    <w:rsid w:val="0063093F"/>
    <w:rsid w:val="0063121E"/>
    <w:rsid w:val="0063157D"/>
    <w:rsid w:val="00632566"/>
    <w:rsid w:val="006329C6"/>
    <w:rsid w:val="00632B69"/>
    <w:rsid w:val="006334F2"/>
    <w:rsid w:val="00634AAD"/>
    <w:rsid w:val="006355F2"/>
    <w:rsid w:val="00636BCE"/>
    <w:rsid w:val="0063715A"/>
    <w:rsid w:val="006376AE"/>
    <w:rsid w:val="00637E63"/>
    <w:rsid w:val="00640D0B"/>
    <w:rsid w:val="00640E50"/>
    <w:rsid w:val="00641982"/>
    <w:rsid w:val="0064233D"/>
    <w:rsid w:val="0064290B"/>
    <w:rsid w:val="0064319A"/>
    <w:rsid w:val="00643823"/>
    <w:rsid w:val="006445F6"/>
    <w:rsid w:val="006447E2"/>
    <w:rsid w:val="006457EA"/>
    <w:rsid w:val="00645ABD"/>
    <w:rsid w:val="00645D2F"/>
    <w:rsid w:val="00645E15"/>
    <w:rsid w:val="00647B90"/>
    <w:rsid w:val="00650467"/>
    <w:rsid w:val="00650854"/>
    <w:rsid w:val="006508F4"/>
    <w:rsid w:val="00650C1A"/>
    <w:rsid w:val="00651EEC"/>
    <w:rsid w:val="00652677"/>
    <w:rsid w:val="006535A0"/>
    <w:rsid w:val="00653BBA"/>
    <w:rsid w:val="00654049"/>
    <w:rsid w:val="006547C5"/>
    <w:rsid w:val="00654B4F"/>
    <w:rsid w:val="00654FE7"/>
    <w:rsid w:val="006553E3"/>
    <w:rsid w:val="00655920"/>
    <w:rsid w:val="00656451"/>
    <w:rsid w:val="00656662"/>
    <w:rsid w:val="00656AEE"/>
    <w:rsid w:val="00657355"/>
    <w:rsid w:val="00657549"/>
    <w:rsid w:val="00657BAB"/>
    <w:rsid w:val="006602DF"/>
    <w:rsid w:val="00660331"/>
    <w:rsid w:val="00660445"/>
    <w:rsid w:val="00660909"/>
    <w:rsid w:val="006624E5"/>
    <w:rsid w:val="006644FB"/>
    <w:rsid w:val="006648BA"/>
    <w:rsid w:val="00665426"/>
    <w:rsid w:val="006672F7"/>
    <w:rsid w:val="00667FAE"/>
    <w:rsid w:val="006704A7"/>
    <w:rsid w:val="00670635"/>
    <w:rsid w:val="00670A21"/>
    <w:rsid w:val="00671AEB"/>
    <w:rsid w:val="00672F7B"/>
    <w:rsid w:val="00673524"/>
    <w:rsid w:val="00673958"/>
    <w:rsid w:val="0067411A"/>
    <w:rsid w:val="006744A7"/>
    <w:rsid w:val="006769A9"/>
    <w:rsid w:val="006775AB"/>
    <w:rsid w:val="00677CF3"/>
    <w:rsid w:val="0068005F"/>
    <w:rsid w:val="00680831"/>
    <w:rsid w:val="00680BC1"/>
    <w:rsid w:val="00682036"/>
    <w:rsid w:val="006824BA"/>
    <w:rsid w:val="00683417"/>
    <w:rsid w:val="0068394B"/>
    <w:rsid w:val="00683999"/>
    <w:rsid w:val="0068431A"/>
    <w:rsid w:val="00685090"/>
    <w:rsid w:val="006876B0"/>
    <w:rsid w:val="00687CE3"/>
    <w:rsid w:val="00690EA6"/>
    <w:rsid w:val="006914F8"/>
    <w:rsid w:val="006919FA"/>
    <w:rsid w:val="006933E4"/>
    <w:rsid w:val="00693452"/>
    <w:rsid w:val="006955DD"/>
    <w:rsid w:val="00696187"/>
    <w:rsid w:val="00697633"/>
    <w:rsid w:val="00697CAC"/>
    <w:rsid w:val="006A0C0E"/>
    <w:rsid w:val="006A246D"/>
    <w:rsid w:val="006A39ED"/>
    <w:rsid w:val="006A41EE"/>
    <w:rsid w:val="006A4FC3"/>
    <w:rsid w:val="006A7340"/>
    <w:rsid w:val="006A73CE"/>
    <w:rsid w:val="006A74B5"/>
    <w:rsid w:val="006A7656"/>
    <w:rsid w:val="006A7722"/>
    <w:rsid w:val="006A7F58"/>
    <w:rsid w:val="006B122D"/>
    <w:rsid w:val="006B127E"/>
    <w:rsid w:val="006B1FCA"/>
    <w:rsid w:val="006B3740"/>
    <w:rsid w:val="006B38EA"/>
    <w:rsid w:val="006B3EF8"/>
    <w:rsid w:val="006B3F01"/>
    <w:rsid w:val="006B43D8"/>
    <w:rsid w:val="006B4ABB"/>
    <w:rsid w:val="006B6217"/>
    <w:rsid w:val="006B683D"/>
    <w:rsid w:val="006B704C"/>
    <w:rsid w:val="006B7744"/>
    <w:rsid w:val="006C09B1"/>
    <w:rsid w:val="006C192A"/>
    <w:rsid w:val="006C1EAA"/>
    <w:rsid w:val="006C21C4"/>
    <w:rsid w:val="006C3CD7"/>
    <w:rsid w:val="006C46D2"/>
    <w:rsid w:val="006C4903"/>
    <w:rsid w:val="006C5AF3"/>
    <w:rsid w:val="006C5AF9"/>
    <w:rsid w:val="006C678C"/>
    <w:rsid w:val="006D0D5F"/>
    <w:rsid w:val="006D4EB0"/>
    <w:rsid w:val="006D5102"/>
    <w:rsid w:val="006D5599"/>
    <w:rsid w:val="006D5801"/>
    <w:rsid w:val="006D5FCE"/>
    <w:rsid w:val="006D6CB8"/>
    <w:rsid w:val="006D70FC"/>
    <w:rsid w:val="006D7263"/>
    <w:rsid w:val="006D7D12"/>
    <w:rsid w:val="006D7E2C"/>
    <w:rsid w:val="006E00AB"/>
    <w:rsid w:val="006E03C1"/>
    <w:rsid w:val="006E1670"/>
    <w:rsid w:val="006E16B3"/>
    <w:rsid w:val="006E16F4"/>
    <w:rsid w:val="006E18DB"/>
    <w:rsid w:val="006E19A7"/>
    <w:rsid w:val="006E27FD"/>
    <w:rsid w:val="006E2DD6"/>
    <w:rsid w:val="006E38F0"/>
    <w:rsid w:val="006E3D8E"/>
    <w:rsid w:val="006E6177"/>
    <w:rsid w:val="006E695F"/>
    <w:rsid w:val="006E6C3E"/>
    <w:rsid w:val="006E7F05"/>
    <w:rsid w:val="006F0BF7"/>
    <w:rsid w:val="006F0CE5"/>
    <w:rsid w:val="006F0FE7"/>
    <w:rsid w:val="006F1CA8"/>
    <w:rsid w:val="006F27DA"/>
    <w:rsid w:val="006F3C76"/>
    <w:rsid w:val="006F5015"/>
    <w:rsid w:val="006F50BB"/>
    <w:rsid w:val="006F5EA1"/>
    <w:rsid w:val="006F77FE"/>
    <w:rsid w:val="0070008F"/>
    <w:rsid w:val="00700138"/>
    <w:rsid w:val="007003EC"/>
    <w:rsid w:val="00700E8F"/>
    <w:rsid w:val="00700EA6"/>
    <w:rsid w:val="00701828"/>
    <w:rsid w:val="00703659"/>
    <w:rsid w:val="00703C4A"/>
    <w:rsid w:val="007041AD"/>
    <w:rsid w:val="00704264"/>
    <w:rsid w:val="007065AB"/>
    <w:rsid w:val="00706B4E"/>
    <w:rsid w:val="007079D8"/>
    <w:rsid w:val="00707F57"/>
    <w:rsid w:val="00710EB1"/>
    <w:rsid w:val="00711B16"/>
    <w:rsid w:val="00712C91"/>
    <w:rsid w:val="00712DE3"/>
    <w:rsid w:val="00713027"/>
    <w:rsid w:val="00713EEE"/>
    <w:rsid w:val="0071436C"/>
    <w:rsid w:val="007148AE"/>
    <w:rsid w:val="00715631"/>
    <w:rsid w:val="00716CBC"/>
    <w:rsid w:val="00716F0A"/>
    <w:rsid w:val="00720A02"/>
    <w:rsid w:val="007211B3"/>
    <w:rsid w:val="007211BD"/>
    <w:rsid w:val="0072243D"/>
    <w:rsid w:val="0072288B"/>
    <w:rsid w:val="00723CC9"/>
    <w:rsid w:val="00724640"/>
    <w:rsid w:val="00724793"/>
    <w:rsid w:val="00724898"/>
    <w:rsid w:val="00724E87"/>
    <w:rsid w:val="00724F97"/>
    <w:rsid w:val="007251DC"/>
    <w:rsid w:val="00725623"/>
    <w:rsid w:val="00725706"/>
    <w:rsid w:val="007309F4"/>
    <w:rsid w:val="007316D6"/>
    <w:rsid w:val="00732717"/>
    <w:rsid w:val="007328E4"/>
    <w:rsid w:val="00732A74"/>
    <w:rsid w:val="00734444"/>
    <w:rsid w:val="00734808"/>
    <w:rsid w:val="00735298"/>
    <w:rsid w:val="007368D1"/>
    <w:rsid w:val="00736EFE"/>
    <w:rsid w:val="00736F65"/>
    <w:rsid w:val="00737360"/>
    <w:rsid w:val="00737508"/>
    <w:rsid w:val="00737F10"/>
    <w:rsid w:val="0074037A"/>
    <w:rsid w:val="0074176C"/>
    <w:rsid w:val="00742336"/>
    <w:rsid w:val="00742D60"/>
    <w:rsid w:val="00743343"/>
    <w:rsid w:val="00743F11"/>
    <w:rsid w:val="00743FE7"/>
    <w:rsid w:val="00744804"/>
    <w:rsid w:val="007449FB"/>
    <w:rsid w:val="00744D41"/>
    <w:rsid w:val="00744E8F"/>
    <w:rsid w:val="0074579C"/>
    <w:rsid w:val="0074598F"/>
    <w:rsid w:val="00745FBD"/>
    <w:rsid w:val="0075052C"/>
    <w:rsid w:val="00750B19"/>
    <w:rsid w:val="00750B51"/>
    <w:rsid w:val="007511EB"/>
    <w:rsid w:val="00753A36"/>
    <w:rsid w:val="00753FF0"/>
    <w:rsid w:val="00754084"/>
    <w:rsid w:val="0075453B"/>
    <w:rsid w:val="007545FB"/>
    <w:rsid w:val="007560D5"/>
    <w:rsid w:val="00756435"/>
    <w:rsid w:val="00757310"/>
    <w:rsid w:val="00760517"/>
    <w:rsid w:val="007609ED"/>
    <w:rsid w:val="00761104"/>
    <w:rsid w:val="0076167E"/>
    <w:rsid w:val="007619F5"/>
    <w:rsid w:val="00762548"/>
    <w:rsid w:val="0076274D"/>
    <w:rsid w:val="007637C9"/>
    <w:rsid w:val="00763ABE"/>
    <w:rsid w:val="00765267"/>
    <w:rsid w:val="007702B8"/>
    <w:rsid w:val="00770AB8"/>
    <w:rsid w:val="00770E90"/>
    <w:rsid w:val="00770F4D"/>
    <w:rsid w:val="00771654"/>
    <w:rsid w:val="0077167F"/>
    <w:rsid w:val="00771CE8"/>
    <w:rsid w:val="0077278A"/>
    <w:rsid w:val="0077292D"/>
    <w:rsid w:val="00772DFE"/>
    <w:rsid w:val="007735CE"/>
    <w:rsid w:val="007744F1"/>
    <w:rsid w:val="007759B4"/>
    <w:rsid w:val="007765F5"/>
    <w:rsid w:val="00777BEA"/>
    <w:rsid w:val="00777FCC"/>
    <w:rsid w:val="00780B9E"/>
    <w:rsid w:val="00781521"/>
    <w:rsid w:val="00782135"/>
    <w:rsid w:val="0078239E"/>
    <w:rsid w:val="00782E7B"/>
    <w:rsid w:val="0078379F"/>
    <w:rsid w:val="00783AB3"/>
    <w:rsid w:val="00784256"/>
    <w:rsid w:val="007857B6"/>
    <w:rsid w:val="0078598D"/>
    <w:rsid w:val="007859C4"/>
    <w:rsid w:val="00785A4F"/>
    <w:rsid w:val="00785E14"/>
    <w:rsid w:val="00787688"/>
    <w:rsid w:val="00791E83"/>
    <w:rsid w:val="007928D2"/>
    <w:rsid w:val="00792FFB"/>
    <w:rsid w:val="00794EF9"/>
    <w:rsid w:val="0079506E"/>
    <w:rsid w:val="00796026"/>
    <w:rsid w:val="007964A2"/>
    <w:rsid w:val="00796B10"/>
    <w:rsid w:val="00797721"/>
    <w:rsid w:val="007A01EE"/>
    <w:rsid w:val="007A0710"/>
    <w:rsid w:val="007A11AB"/>
    <w:rsid w:val="007A2334"/>
    <w:rsid w:val="007A264B"/>
    <w:rsid w:val="007A302A"/>
    <w:rsid w:val="007A3144"/>
    <w:rsid w:val="007A343E"/>
    <w:rsid w:val="007A46CE"/>
    <w:rsid w:val="007A6017"/>
    <w:rsid w:val="007A65FF"/>
    <w:rsid w:val="007A6F3D"/>
    <w:rsid w:val="007A772C"/>
    <w:rsid w:val="007B05AE"/>
    <w:rsid w:val="007B0EF4"/>
    <w:rsid w:val="007B1407"/>
    <w:rsid w:val="007B186D"/>
    <w:rsid w:val="007B23F9"/>
    <w:rsid w:val="007B28F2"/>
    <w:rsid w:val="007B37F0"/>
    <w:rsid w:val="007B5613"/>
    <w:rsid w:val="007B63C9"/>
    <w:rsid w:val="007B6AE1"/>
    <w:rsid w:val="007B707A"/>
    <w:rsid w:val="007B7155"/>
    <w:rsid w:val="007B7336"/>
    <w:rsid w:val="007B7B66"/>
    <w:rsid w:val="007C073B"/>
    <w:rsid w:val="007C1305"/>
    <w:rsid w:val="007C14AB"/>
    <w:rsid w:val="007C1595"/>
    <w:rsid w:val="007C1B26"/>
    <w:rsid w:val="007C1C91"/>
    <w:rsid w:val="007C2837"/>
    <w:rsid w:val="007C2953"/>
    <w:rsid w:val="007C2B1D"/>
    <w:rsid w:val="007C32DB"/>
    <w:rsid w:val="007C3D1C"/>
    <w:rsid w:val="007C48E4"/>
    <w:rsid w:val="007C4BEB"/>
    <w:rsid w:val="007C51AA"/>
    <w:rsid w:val="007C51FF"/>
    <w:rsid w:val="007C58A1"/>
    <w:rsid w:val="007C59B8"/>
    <w:rsid w:val="007C5A88"/>
    <w:rsid w:val="007C61F3"/>
    <w:rsid w:val="007C7918"/>
    <w:rsid w:val="007C7BF4"/>
    <w:rsid w:val="007D0437"/>
    <w:rsid w:val="007D079C"/>
    <w:rsid w:val="007D08EC"/>
    <w:rsid w:val="007D0B87"/>
    <w:rsid w:val="007D0B8E"/>
    <w:rsid w:val="007D1500"/>
    <w:rsid w:val="007D1981"/>
    <w:rsid w:val="007D1FA0"/>
    <w:rsid w:val="007D24C9"/>
    <w:rsid w:val="007D2858"/>
    <w:rsid w:val="007D34D4"/>
    <w:rsid w:val="007D3E01"/>
    <w:rsid w:val="007D4069"/>
    <w:rsid w:val="007D4DEC"/>
    <w:rsid w:val="007D6351"/>
    <w:rsid w:val="007D6645"/>
    <w:rsid w:val="007D76D2"/>
    <w:rsid w:val="007E02D0"/>
    <w:rsid w:val="007E0745"/>
    <w:rsid w:val="007E11CA"/>
    <w:rsid w:val="007E1FAF"/>
    <w:rsid w:val="007E48B0"/>
    <w:rsid w:val="007E5E58"/>
    <w:rsid w:val="007E6938"/>
    <w:rsid w:val="007E767A"/>
    <w:rsid w:val="007E7A33"/>
    <w:rsid w:val="007E7C69"/>
    <w:rsid w:val="007F0D70"/>
    <w:rsid w:val="007F1CE7"/>
    <w:rsid w:val="007F28FC"/>
    <w:rsid w:val="007F3100"/>
    <w:rsid w:val="007F4AB3"/>
    <w:rsid w:val="007F5926"/>
    <w:rsid w:val="007F6005"/>
    <w:rsid w:val="007F6644"/>
    <w:rsid w:val="007F674E"/>
    <w:rsid w:val="007F6879"/>
    <w:rsid w:val="007F6B9D"/>
    <w:rsid w:val="007F6D90"/>
    <w:rsid w:val="008001EA"/>
    <w:rsid w:val="008004C0"/>
    <w:rsid w:val="00803052"/>
    <w:rsid w:val="00803436"/>
    <w:rsid w:val="00805849"/>
    <w:rsid w:val="00806428"/>
    <w:rsid w:val="00806BFF"/>
    <w:rsid w:val="00811D3B"/>
    <w:rsid w:val="0081298B"/>
    <w:rsid w:val="008129CB"/>
    <w:rsid w:val="008133A5"/>
    <w:rsid w:val="008136C9"/>
    <w:rsid w:val="00813D9C"/>
    <w:rsid w:val="00814B85"/>
    <w:rsid w:val="00814D85"/>
    <w:rsid w:val="00814F49"/>
    <w:rsid w:val="00815D3F"/>
    <w:rsid w:val="008166C6"/>
    <w:rsid w:val="00816BD2"/>
    <w:rsid w:val="008177E2"/>
    <w:rsid w:val="00817CD4"/>
    <w:rsid w:val="00817D5C"/>
    <w:rsid w:val="008203D4"/>
    <w:rsid w:val="008204D5"/>
    <w:rsid w:val="00820AFB"/>
    <w:rsid w:val="00821047"/>
    <w:rsid w:val="00821C17"/>
    <w:rsid w:val="00821F6C"/>
    <w:rsid w:val="0082248C"/>
    <w:rsid w:val="008225AD"/>
    <w:rsid w:val="00822AD2"/>
    <w:rsid w:val="00824000"/>
    <w:rsid w:val="008243D7"/>
    <w:rsid w:val="0082756A"/>
    <w:rsid w:val="008277A2"/>
    <w:rsid w:val="00827FC1"/>
    <w:rsid w:val="00831179"/>
    <w:rsid w:val="0083207C"/>
    <w:rsid w:val="00833E5C"/>
    <w:rsid w:val="008341F5"/>
    <w:rsid w:val="00836712"/>
    <w:rsid w:val="00837387"/>
    <w:rsid w:val="00840855"/>
    <w:rsid w:val="0084351F"/>
    <w:rsid w:val="00843C17"/>
    <w:rsid w:val="0084543A"/>
    <w:rsid w:val="008458F0"/>
    <w:rsid w:val="0084655B"/>
    <w:rsid w:val="00846996"/>
    <w:rsid w:val="00846E64"/>
    <w:rsid w:val="00847D50"/>
    <w:rsid w:val="00850F7D"/>
    <w:rsid w:val="00851733"/>
    <w:rsid w:val="00851A68"/>
    <w:rsid w:val="008536F1"/>
    <w:rsid w:val="00853DB0"/>
    <w:rsid w:val="00853E76"/>
    <w:rsid w:val="0085455A"/>
    <w:rsid w:val="0085570A"/>
    <w:rsid w:val="00855C1F"/>
    <w:rsid w:val="00856E89"/>
    <w:rsid w:val="00857232"/>
    <w:rsid w:val="008574D4"/>
    <w:rsid w:val="008575B6"/>
    <w:rsid w:val="0085787B"/>
    <w:rsid w:val="00860D69"/>
    <w:rsid w:val="00860EB1"/>
    <w:rsid w:val="00861707"/>
    <w:rsid w:val="0086313A"/>
    <w:rsid w:val="00863FF0"/>
    <w:rsid w:val="0086404F"/>
    <w:rsid w:val="00864BDF"/>
    <w:rsid w:val="00864D9D"/>
    <w:rsid w:val="00865435"/>
    <w:rsid w:val="008657F4"/>
    <w:rsid w:val="00866193"/>
    <w:rsid w:val="0086644D"/>
    <w:rsid w:val="00867244"/>
    <w:rsid w:val="00870729"/>
    <w:rsid w:val="00870D17"/>
    <w:rsid w:val="00870DE9"/>
    <w:rsid w:val="008712E1"/>
    <w:rsid w:val="008716D3"/>
    <w:rsid w:val="00871721"/>
    <w:rsid w:val="00871757"/>
    <w:rsid w:val="00871CAA"/>
    <w:rsid w:val="00872632"/>
    <w:rsid w:val="008736F3"/>
    <w:rsid w:val="00873739"/>
    <w:rsid w:val="008739DD"/>
    <w:rsid w:val="00873BEA"/>
    <w:rsid w:val="00874A47"/>
    <w:rsid w:val="008752C0"/>
    <w:rsid w:val="0087607D"/>
    <w:rsid w:val="00876299"/>
    <w:rsid w:val="00876D98"/>
    <w:rsid w:val="00877104"/>
    <w:rsid w:val="00880D29"/>
    <w:rsid w:val="008815BC"/>
    <w:rsid w:val="00881A63"/>
    <w:rsid w:val="00882C42"/>
    <w:rsid w:val="00883FD6"/>
    <w:rsid w:val="0088498A"/>
    <w:rsid w:val="008854AE"/>
    <w:rsid w:val="008857BF"/>
    <w:rsid w:val="008860A2"/>
    <w:rsid w:val="00886373"/>
    <w:rsid w:val="0088748C"/>
    <w:rsid w:val="008875B0"/>
    <w:rsid w:val="008876C8"/>
    <w:rsid w:val="0089036C"/>
    <w:rsid w:val="00890E53"/>
    <w:rsid w:val="00890F35"/>
    <w:rsid w:val="008919E7"/>
    <w:rsid w:val="00891C0B"/>
    <w:rsid w:val="008935CF"/>
    <w:rsid w:val="008937AC"/>
    <w:rsid w:val="00894D30"/>
    <w:rsid w:val="00897585"/>
    <w:rsid w:val="0089782F"/>
    <w:rsid w:val="00897BF9"/>
    <w:rsid w:val="008A08FB"/>
    <w:rsid w:val="008A0A4E"/>
    <w:rsid w:val="008A1CCF"/>
    <w:rsid w:val="008A2F6B"/>
    <w:rsid w:val="008A30DE"/>
    <w:rsid w:val="008A30E4"/>
    <w:rsid w:val="008A317A"/>
    <w:rsid w:val="008A34A9"/>
    <w:rsid w:val="008A41AF"/>
    <w:rsid w:val="008A4734"/>
    <w:rsid w:val="008A4871"/>
    <w:rsid w:val="008A511B"/>
    <w:rsid w:val="008A5431"/>
    <w:rsid w:val="008A55E6"/>
    <w:rsid w:val="008A5D66"/>
    <w:rsid w:val="008A6B3B"/>
    <w:rsid w:val="008A6C18"/>
    <w:rsid w:val="008A7653"/>
    <w:rsid w:val="008A7998"/>
    <w:rsid w:val="008A7CB0"/>
    <w:rsid w:val="008B0560"/>
    <w:rsid w:val="008B0EF5"/>
    <w:rsid w:val="008B12AA"/>
    <w:rsid w:val="008B12BC"/>
    <w:rsid w:val="008B14D6"/>
    <w:rsid w:val="008B2BE8"/>
    <w:rsid w:val="008B303F"/>
    <w:rsid w:val="008B3F51"/>
    <w:rsid w:val="008B4596"/>
    <w:rsid w:val="008B4E44"/>
    <w:rsid w:val="008B5265"/>
    <w:rsid w:val="008B55C3"/>
    <w:rsid w:val="008B59C0"/>
    <w:rsid w:val="008C04E0"/>
    <w:rsid w:val="008C06F8"/>
    <w:rsid w:val="008C126B"/>
    <w:rsid w:val="008C1391"/>
    <w:rsid w:val="008C1C12"/>
    <w:rsid w:val="008C3743"/>
    <w:rsid w:val="008C4B11"/>
    <w:rsid w:val="008C4C71"/>
    <w:rsid w:val="008C51B0"/>
    <w:rsid w:val="008C5B37"/>
    <w:rsid w:val="008C5F16"/>
    <w:rsid w:val="008C6EE9"/>
    <w:rsid w:val="008C7B22"/>
    <w:rsid w:val="008C7BA0"/>
    <w:rsid w:val="008D1569"/>
    <w:rsid w:val="008D2F24"/>
    <w:rsid w:val="008D350A"/>
    <w:rsid w:val="008D414B"/>
    <w:rsid w:val="008D4A2E"/>
    <w:rsid w:val="008D4B08"/>
    <w:rsid w:val="008D4D0F"/>
    <w:rsid w:val="008D506F"/>
    <w:rsid w:val="008D54E1"/>
    <w:rsid w:val="008D669C"/>
    <w:rsid w:val="008D7FDA"/>
    <w:rsid w:val="008E0788"/>
    <w:rsid w:val="008E084B"/>
    <w:rsid w:val="008E0C42"/>
    <w:rsid w:val="008E1930"/>
    <w:rsid w:val="008E1A17"/>
    <w:rsid w:val="008E2F8D"/>
    <w:rsid w:val="008E3ABE"/>
    <w:rsid w:val="008E3B96"/>
    <w:rsid w:val="008E3FBF"/>
    <w:rsid w:val="008E4117"/>
    <w:rsid w:val="008E561C"/>
    <w:rsid w:val="008E5BF2"/>
    <w:rsid w:val="008E5E04"/>
    <w:rsid w:val="008E5E72"/>
    <w:rsid w:val="008E6740"/>
    <w:rsid w:val="008E6A6E"/>
    <w:rsid w:val="008E6A87"/>
    <w:rsid w:val="008E75FE"/>
    <w:rsid w:val="008E79F1"/>
    <w:rsid w:val="008E7CCE"/>
    <w:rsid w:val="008E7E25"/>
    <w:rsid w:val="008F0311"/>
    <w:rsid w:val="008F092C"/>
    <w:rsid w:val="008F0DD9"/>
    <w:rsid w:val="008F13C4"/>
    <w:rsid w:val="008F19B5"/>
    <w:rsid w:val="008F1AE1"/>
    <w:rsid w:val="008F2EB3"/>
    <w:rsid w:val="008F2F6F"/>
    <w:rsid w:val="008F35CB"/>
    <w:rsid w:val="008F38DE"/>
    <w:rsid w:val="008F3D16"/>
    <w:rsid w:val="008F3E9C"/>
    <w:rsid w:val="008F3EEA"/>
    <w:rsid w:val="008F41B9"/>
    <w:rsid w:val="008F4B1B"/>
    <w:rsid w:val="008F507E"/>
    <w:rsid w:val="008F51FF"/>
    <w:rsid w:val="008F5B5D"/>
    <w:rsid w:val="008F5FD9"/>
    <w:rsid w:val="008F6007"/>
    <w:rsid w:val="008F61C8"/>
    <w:rsid w:val="008F6416"/>
    <w:rsid w:val="008F678F"/>
    <w:rsid w:val="008F681F"/>
    <w:rsid w:val="008F6F30"/>
    <w:rsid w:val="008F7063"/>
    <w:rsid w:val="008F7286"/>
    <w:rsid w:val="00901BC6"/>
    <w:rsid w:val="009024F3"/>
    <w:rsid w:val="009027A4"/>
    <w:rsid w:val="009033E4"/>
    <w:rsid w:val="00903BAC"/>
    <w:rsid w:val="0090429E"/>
    <w:rsid w:val="009043DA"/>
    <w:rsid w:val="009049EE"/>
    <w:rsid w:val="00904E3D"/>
    <w:rsid w:val="0090500A"/>
    <w:rsid w:val="00905160"/>
    <w:rsid w:val="00905BC3"/>
    <w:rsid w:val="00907194"/>
    <w:rsid w:val="00907FA4"/>
    <w:rsid w:val="009109A9"/>
    <w:rsid w:val="009111CF"/>
    <w:rsid w:val="00913147"/>
    <w:rsid w:val="0091525F"/>
    <w:rsid w:val="0091549B"/>
    <w:rsid w:val="00917FA2"/>
    <w:rsid w:val="00917FE0"/>
    <w:rsid w:val="009201A4"/>
    <w:rsid w:val="0092150D"/>
    <w:rsid w:val="0092293A"/>
    <w:rsid w:val="009235D2"/>
    <w:rsid w:val="00923A9E"/>
    <w:rsid w:val="00923CC1"/>
    <w:rsid w:val="00924A24"/>
    <w:rsid w:val="00925684"/>
    <w:rsid w:val="00927490"/>
    <w:rsid w:val="00927650"/>
    <w:rsid w:val="00931602"/>
    <w:rsid w:val="009316BE"/>
    <w:rsid w:val="00932889"/>
    <w:rsid w:val="00932D22"/>
    <w:rsid w:val="00933116"/>
    <w:rsid w:val="00934173"/>
    <w:rsid w:val="009342CD"/>
    <w:rsid w:val="0093508C"/>
    <w:rsid w:val="009356DE"/>
    <w:rsid w:val="009358EA"/>
    <w:rsid w:val="0093596B"/>
    <w:rsid w:val="009360D4"/>
    <w:rsid w:val="009370D8"/>
    <w:rsid w:val="009401C6"/>
    <w:rsid w:val="00940E94"/>
    <w:rsid w:val="00941B30"/>
    <w:rsid w:val="0094239A"/>
    <w:rsid w:val="00942E03"/>
    <w:rsid w:val="00943E37"/>
    <w:rsid w:val="009445CE"/>
    <w:rsid w:val="00945DBD"/>
    <w:rsid w:val="00945FEF"/>
    <w:rsid w:val="00946388"/>
    <w:rsid w:val="00946CB8"/>
    <w:rsid w:val="009474A4"/>
    <w:rsid w:val="009510A5"/>
    <w:rsid w:val="00951C80"/>
    <w:rsid w:val="00952059"/>
    <w:rsid w:val="009523BB"/>
    <w:rsid w:val="009526D2"/>
    <w:rsid w:val="00952747"/>
    <w:rsid w:val="0095345A"/>
    <w:rsid w:val="00954A78"/>
    <w:rsid w:val="00954B5E"/>
    <w:rsid w:val="00954EC0"/>
    <w:rsid w:val="009550F7"/>
    <w:rsid w:val="00955CEF"/>
    <w:rsid w:val="0095660D"/>
    <w:rsid w:val="00956829"/>
    <w:rsid w:val="00956CAE"/>
    <w:rsid w:val="00956F33"/>
    <w:rsid w:val="009579E4"/>
    <w:rsid w:val="009611DE"/>
    <w:rsid w:val="0096239C"/>
    <w:rsid w:val="00962F56"/>
    <w:rsid w:val="0096462D"/>
    <w:rsid w:val="009646CC"/>
    <w:rsid w:val="00966849"/>
    <w:rsid w:val="0096692D"/>
    <w:rsid w:val="009673A9"/>
    <w:rsid w:val="009674AD"/>
    <w:rsid w:val="00967590"/>
    <w:rsid w:val="00967827"/>
    <w:rsid w:val="00967DB6"/>
    <w:rsid w:val="009704FF"/>
    <w:rsid w:val="0097157B"/>
    <w:rsid w:val="00971B9A"/>
    <w:rsid w:val="00972D9D"/>
    <w:rsid w:val="00974959"/>
    <w:rsid w:val="00974AE1"/>
    <w:rsid w:val="00975038"/>
    <w:rsid w:val="009753BF"/>
    <w:rsid w:val="00976427"/>
    <w:rsid w:val="00977ACD"/>
    <w:rsid w:val="00980900"/>
    <w:rsid w:val="00980923"/>
    <w:rsid w:val="00981219"/>
    <w:rsid w:val="009819AC"/>
    <w:rsid w:val="00981F49"/>
    <w:rsid w:val="00982698"/>
    <w:rsid w:val="00982C5D"/>
    <w:rsid w:val="0098342A"/>
    <w:rsid w:val="0098408F"/>
    <w:rsid w:val="0098500F"/>
    <w:rsid w:val="00985B4A"/>
    <w:rsid w:val="00985D8F"/>
    <w:rsid w:val="00985F8E"/>
    <w:rsid w:val="009862DD"/>
    <w:rsid w:val="0098700D"/>
    <w:rsid w:val="00987068"/>
    <w:rsid w:val="00990BD1"/>
    <w:rsid w:val="00990E80"/>
    <w:rsid w:val="00991889"/>
    <w:rsid w:val="00992DD0"/>
    <w:rsid w:val="00994073"/>
    <w:rsid w:val="0099510B"/>
    <w:rsid w:val="00996417"/>
    <w:rsid w:val="00996E36"/>
    <w:rsid w:val="00997DB2"/>
    <w:rsid w:val="009A0102"/>
    <w:rsid w:val="009A1440"/>
    <w:rsid w:val="009A187A"/>
    <w:rsid w:val="009A2581"/>
    <w:rsid w:val="009A2774"/>
    <w:rsid w:val="009A2B4F"/>
    <w:rsid w:val="009A2EC2"/>
    <w:rsid w:val="009A38C9"/>
    <w:rsid w:val="009A3CF1"/>
    <w:rsid w:val="009A3E40"/>
    <w:rsid w:val="009A3F67"/>
    <w:rsid w:val="009A4747"/>
    <w:rsid w:val="009A605E"/>
    <w:rsid w:val="009A79CC"/>
    <w:rsid w:val="009A7D54"/>
    <w:rsid w:val="009B0B07"/>
    <w:rsid w:val="009B1148"/>
    <w:rsid w:val="009B12EC"/>
    <w:rsid w:val="009B214F"/>
    <w:rsid w:val="009B2D5D"/>
    <w:rsid w:val="009B2DBA"/>
    <w:rsid w:val="009B2FAC"/>
    <w:rsid w:val="009B3F37"/>
    <w:rsid w:val="009B43B1"/>
    <w:rsid w:val="009B4D0E"/>
    <w:rsid w:val="009B6032"/>
    <w:rsid w:val="009B7B74"/>
    <w:rsid w:val="009C2B90"/>
    <w:rsid w:val="009C2DDD"/>
    <w:rsid w:val="009C6405"/>
    <w:rsid w:val="009C6D8D"/>
    <w:rsid w:val="009C7C82"/>
    <w:rsid w:val="009D2250"/>
    <w:rsid w:val="009D2DC6"/>
    <w:rsid w:val="009D4E52"/>
    <w:rsid w:val="009D62F0"/>
    <w:rsid w:val="009D66AC"/>
    <w:rsid w:val="009D68BB"/>
    <w:rsid w:val="009D69A1"/>
    <w:rsid w:val="009D6E8C"/>
    <w:rsid w:val="009D737B"/>
    <w:rsid w:val="009E0074"/>
    <w:rsid w:val="009E104B"/>
    <w:rsid w:val="009E3369"/>
    <w:rsid w:val="009E49A5"/>
    <w:rsid w:val="009E4F01"/>
    <w:rsid w:val="009E6633"/>
    <w:rsid w:val="009E7C38"/>
    <w:rsid w:val="009E7E02"/>
    <w:rsid w:val="009F0B31"/>
    <w:rsid w:val="009F0B68"/>
    <w:rsid w:val="009F25AD"/>
    <w:rsid w:val="009F47B7"/>
    <w:rsid w:val="009F4AA1"/>
    <w:rsid w:val="009F527E"/>
    <w:rsid w:val="009F6339"/>
    <w:rsid w:val="009F6E14"/>
    <w:rsid w:val="009F7E7D"/>
    <w:rsid w:val="00A00EF4"/>
    <w:rsid w:val="00A020B6"/>
    <w:rsid w:val="00A04458"/>
    <w:rsid w:val="00A05401"/>
    <w:rsid w:val="00A06946"/>
    <w:rsid w:val="00A07B9D"/>
    <w:rsid w:val="00A10992"/>
    <w:rsid w:val="00A10E48"/>
    <w:rsid w:val="00A11403"/>
    <w:rsid w:val="00A12857"/>
    <w:rsid w:val="00A12D85"/>
    <w:rsid w:val="00A13766"/>
    <w:rsid w:val="00A13DBE"/>
    <w:rsid w:val="00A1451E"/>
    <w:rsid w:val="00A1470B"/>
    <w:rsid w:val="00A14B50"/>
    <w:rsid w:val="00A15989"/>
    <w:rsid w:val="00A15B38"/>
    <w:rsid w:val="00A15CB3"/>
    <w:rsid w:val="00A16182"/>
    <w:rsid w:val="00A161F2"/>
    <w:rsid w:val="00A16864"/>
    <w:rsid w:val="00A16AE7"/>
    <w:rsid w:val="00A17737"/>
    <w:rsid w:val="00A20BE8"/>
    <w:rsid w:val="00A20D1D"/>
    <w:rsid w:val="00A21376"/>
    <w:rsid w:val="00A21495"/>
    <w:rsid w:val="00A2377E"/>
    <w:rsid w:val="00A243E0"/>
    <w:rsid w:val="00A25276"/>
    <w:rsid w:val="00A25ED5"/>
    <w:rsid w:val="00A25FEF"/>
    <w:rsid w:val="00A274B2"/>
    <w:rsid w:val="00A2792E"/>
    <w:rsid w:val="00A31693"/>
    <w:rsid w:val="00A32342"/>
    <w:rsid w:val="00A32C54"/>
    <w:rsid w:val="00A33B55"/>
    <w:rsid w:val="00A33F44"/>
    <w:rsid w:val="00A34195"/>
    <w:rsid w:val="00A3442B"/>
    <w:rsid w:val="00A3463E"/>
    <w:rsid w:val="00A34786"/>
    <w:rsid w:val="00A349C8"/>
    <w:rsid w:val="00A34CA1"/>
    <w:rsid w:val="00A3554A"/>
    <w:rsid w:val="00A35EE1"/>
    <w:rsid w:val="00A40041"/>
    <w:rsid w:val="00A40C52"/>
    <w:rsid w:val="00A41196"/>
    <w:rsid w:val="00A41FBF"/>
    <w:rsid w:val="00A43B01"/>
    <w:rsid w:val="00A44CD9"/>
    <w:rsid w:val="00A44D27"/>
    <w:rsid w:val="00A44DCE"/>
    <w:rsid w:val="00A456DE"/>
    <w:rsid w:val="00A45C46"/>
    <w:rsid w:val="00A46221"/>
    <w:rsid w:val="00A47D43"/>
    <w:rsid w:val="00A5038D"/>
    <w:rsid w:val="00A5159D"/>
    <w:rsid w:val="00A525BE"/>
    <w:rsid w:val="00A53743"/>
    <w:rsid w:val="00A538EB"/>
    <w:rsid w:val="00A53E45"/>
    <w:rsid w:val="00A54CBA"/>
    <w:rsid w:val="00A54D61"/>
    <w:rsid w:val="00A55AB3"/>
    <w:rsid w:val="00A5631E"/>
    <w:rsid w:val="00A56E98"/>
    <w:rsid w:val="00A572DF"/>
    <w:rsid w:val="00A57740"/>
    <w:rsid w:val="00A57891"/>
    <w:rsid w:val="00A609EA"/>
    <w:rsid w:val="00A60D0D"/>
    <w:rsid w:val="00A60DFE"/>
    <w:rsid w:val="00A613B0"/>
    <w:rsid w:val="00A61740"/>
    <w:rsid w:val="00A62C63"/>
    <w:rsid w:val="00A63CC8"/>
    <w:rsid w:val="00A63DE2"/>
    <w:rsid w:val="00A647AB"/>
    <w:rsid w:val="00A65697"/>
    <w:rsid w:val="00A659FC"/>
    <w:rsid w:val="00A67EFA"/>
    <w:rsid w:val="00A707B3"/>
    <w:rsid w:val="00A71E0B"/>
    <w:rsid w:val="00A720A7"/>
    <w:rsid w:val="00A7330F"/>
    <w:rsid w:val="00A747F4"/>
    <w:rsid w:val="00A74995"/>
    <w:rsid w:val="00A74B66"/>
    <w:rsid w:val="00A76FA9"/>
    <w:rsid w:val="00A7795A"/>
    <w:rsid w:val="00A77D67"/>
    <w:rsid w:val="00A8038C"/>
    <w:rsid w:val="00A804FC"/>
    <w:rsid w:val="00A80D20"/>
    <w:rsid w:val="00A81895"/>
    <w:rsid w:val="00A82409"/>
    <w:rsid w:val="00A826CB"/>
    <w:rsid w:val="00A830B9"/>
    <w:rsid w:val="00A833A7"/>
    <w:rsid w:val="00A83CDE"/>
    <w:rsid w:val="00A84C2A"/>
    <w:rsid w:val="00A86250"/>
    <w:rsid w:val="00A86C22"/>
    <w:rsid w:val="00A870EA"/>
    <w:rsid w:val="00A8799D"/>
    <w:rsid w:val="00A91164"/>
    <w:rsid w:val="00A911B9"/>
    <w:rsid w:val="00A92174"/>
    <w:rsid w:val="00A95199"/>
    <w:rsid w:val="00A9580A"/>
    <w:rsid w:val="00A95B0D"/>
    <w:rsid w:val="00A9698F"/>
    <w:rsid w:val="00A97CB8"/>
    <w:rsid w:val="00A97D96"/>
    <w:rsid w:val="00AA03CB"/>
    <w:rsid w:val="00AA10D4"/>
    <w:rsid w:val="00AA133F"/>
    <w:rsid w:val="00AA1F52"/>
    <w:rsid w:val="00AA232B"/>
    <w:rsid w:val="00AA294A"/>
    <w:rsid w:val="00AA311D"/>
    <w:rsid w:val="00AA45BF"/>
    <w:rsid w:val="00AA48C6"/>
    <w:rsid w:val="00AA4D60"/>
    <w:rsid w:val="00AA552D"/>
    <w:rsid w:val="00AA5725"/>
    <w:rsid w:val="00AA579D"/>
    <w:rsid w:val="00AA5952"/>
    <w:rsid w:val="00AA5CE6"/>
    <w:rsid w:val="00AA65CB"/>
    <w:rsid w:val="00AA7C01"/>
    <w:rsid w:val="00AB157A"/>
    <w:rsid w:val="00AB2727"/>
    <w:rsid w:val="00AB3052"/>
    <w:rsid w:val="00AB5532"/>
    <w:rsid w:val="00AB5800"/>
    <w:rsid w:val="00AB5A8B"/>
    <w:rsid w:val="00AB67AA"/>
    <w:rsid w:val="00AC059E"/>
    <w:rsid w:val="00AC132D"/>
    <w:rsid w:val="00AC146F"/>
    <w:rsid w:val="00AC1F32"/>
    <w:rsid w:val="00AC2C50"/>
    <w:rsid w:val="00AC2EBD"/>
    <w:rsid w:val="00AC2F4C"/>
    <w:rsid w:val="00AC3456"/>
    <w:rsid w:val="00AC3599"/>
    <w:rsid w:val="00AC369F"/>
    <w:rsid w:val="00AC5CA9"/>
    <w:rsid w:val="00AC5F5F"/>
    <w:rsid w:val="00AC6B26"/>
    <w:rsid w:val="00AC7A20"/>
    <w:rsid w:val="00AD01FF"/>
    <w:rsid w:val="00AD103A"/>
    <w:rsid w:val="00AD1919"/>
    <w:rsid w:val="00AD2941"/>
    <w:rsid w:val="00AD3312"/>
    <w:rsid w:val="00AD3507"/>
    <w:rsid w:val="00AD3EA2"/>
    <w:rsid w:val="00AD421D"/>
    <w:rsid w:val="00AD4E7E"/>
    <w:rsid w:val="00AD508D"/>
    <w:rsid w:val="00AD58BA"/>
    <w:rsid w:val="00AD5B0E"/>
    <w:rsid w:val="00AD73F1"/>
    <w:rsid w:val="00AE04F7"/>
    <w:rsid w:val="00AE099A"/>
    <w:rsid w:val="00AE099D"/>
    <w:rsid w:val="00AE103E"/>
    <w:rsid w:val="00AE10BD"/>
    <w:rsid w:val="00AE18E0"/>
    <w:rsid w:val="00AE1F98"/>
    <w:rsid w:val="00AE26BE"/>
    <w:rsid w:val="00AE273E"/>
    <w:rsid w:val="00AE3F9A"/>
    <w:rsid w:val="00AE40E3"/>
    <w:rsid w:val="00AE4243"/>
    <w:rsid w:val="00AE5432"/>
    <w:rsid w:val="00AE5630"/>
    <w:rsid w:val="00AE5B57"/>
    <w:rsid w:val="00AE5C01"/>
    <w:rsid w:val="00AE6A80"/>
    <w:rsid w:val="00AF0463"/>
    <w:rsid w:val="00AF06E7"/>
    <w:rsid w:val="00AF0C90"/>
    <w:rsid w:val="00AF178B"/>
    <w:rsid w:val="00AF28D3"/>
    <w:rsid w:val="00AF393E"/>
    <w:rsid w:val="00AF3ACB"/>
    <w:rsid w:val="00AF463A"/>
    <w:rsid w:val="00B00397"/>
    <w:rsid w:val="00B012D9"/>
    <w:rsid w:val="00B0195E"/>
    <w:rsid w:val="00B02427"/>
    <w:rsid w:val="00B03D1A"/>
    <w:rsid w:val="00B0430C"/>
    <w:rsid w:val="00B04E6F"/>
    <w:rsid w:val="00B04F10"/>
    <w:rsid w:val="00B0504E"/>
    <w:rsid w:val="00B0550D"/>
    <w:rsid w:val="00B06CBB"/>
    <w:rsid w:val="00B06DCD"/>
    <w:rsid w:val="00B06FD7"/>
    <w:rsid w:val="00B10263"/>
    <w:rsid w:val="00B10570"/>
    <w:rsid w:val="00B10763"/>
    <w:rsid w:val="00B10854"/>
    <w:rsid w:val="00B12C22"/>
    <w:rsid w:val="00B13018"/>
    <w:rsid w:val="00B13041"/>
    <w:rsid w:val="00B13C4A"/>
    <w:rsid w:val="00B13EB9"/>
    <w:rsid w:val="00B15742"/>
    <w:rsid w:val="00B16E1C"/>
    <w:rsid w:val="00B173BB"/>
    <w:rsid w:val="00B17782"/>
    <w:rsid w:val="00B17EC3"/>
    <w:rsid w:val="00B20998"/>
    <w:rsid w:val="00B2183B"/>
    <w:rsid w:val="00B21FC6"/>
    <w:rsid w:val="00B2324A"/>
    <w:rsid w:val="00B24A99"/>
    <w:rsid w:val="00B24AAF"/>
    <w:rsid w:val="00B24FFA"/>
    <w:rsid w:val="00B25158"/>
    <w:rsid w:val="00B267D8"/>
    <w:rsid w:val="00B30DF1"/>
    <w:rsid w:val="00B326DE"/>
    <w:rsid w:val="00B32B51"/>
    <w:rsid w:val="00B32BB1"/>
    <w:rsid w:val="00B32E5C"/>
    <w:rsid w:val="00B33096"/>
    <w:rsid w:val="00B33739"/>
    <w:rsid w:val="00B33950"/>
    <w:rsid w:val="00B3424C"/>
    <w:rsid w:val="00B348FF"/>
    <w:rsid w:val="00B34C6A"/>
    <w:rsid w:val="00B36B12"/>
    <w:rsid w:val="00B37666"/>
    <w:rsid w:val="00B37E0B"/>
    <w:rsid w:val="00B4008D"/>
    <w:rsid w:val="00B40272"/>
    <w:rsid w:val="00B4119F"/>
    <w:rsid w:val="00B412AB"/>
    <w:rsid w:val="00B41C03"/>
    <w:rsid w:val="00B44DF4"/>
    <w:rsid w:val="00B44EAA"/>
    <w:rsid w:val="00B467A2"/>
    <w:rsid w:val="00B50030"/>
    <w:rsid w:val="00B50F09"/>
    <w:rsid w:val="00B5100C"/>
    <w:rsid w:val="00B51750"/>
    <w:rsid w:val="00B51A1C"/>
    <w:rsid w:val="00B5241A"/>
    <w:rsid w:val="00B53112"/>
    <w:rsid w:val="00B53E57"/>
    <w:rsid w:val="00B55089"/>
    <w:rsid w:val="00B55717"/>
    <w:rsid w:val="00B559B0"/>
    <w:rsid w:val="00B5757D"/>
    <w:rsid w:val="00B57A80"/>
    <w:rsid w:val="00B60040"/>
    <w:rsid w:val="00B60FAA"/>
    <w:rsid w:val="00B61D82"/>
    <w:rsid w:val="00B632B8"/>
    <w:rsid w:val="00B63698"/>
    <w:rsid w:val="00B63DBA"/>
    <w:rsid w:val="00B63FA8"/>
    <w:rsid w:val="00B640A8"/>
    <w:rsid w:val="00B64A40"/>
    <w:rsid w:val="00B65734"/>
    <w:rsid w:val="00B65C8C"/>
    <w:rsid w:val="00B65E3E"/>
    <w:rsid w:val="00B672B2"/>
    <w:rsid w:val="00B67979"/>
    <w:rsid w:val="00B70B11"/>
    <w:rsid w:val="00B71376"/>
    <w:rsid w:val="00B71FBE"/>
    <w:rsid w:val="00B72232"/>
    <w:rsid w:val="00B725D3"/>
    <w:rsid w:val="00B72C62"/>
    <w:rsid w:val="00B72EF4"/>
    <w:rsid w:val="00B73760"/>
    <w:rsid w:val="00B7485E"/>
    <w:rsid w:val="00B762C3"/>
    <w:rsid w:val="00B77AA6"/>
    <w:rsid w:val="00B77C4C"/>
    <w:rsid w:val="00B810D1"/>
    <w:rsid w:val="00B82BB6"/>
    <w:rsid w:val="00B83768"/>
    <w:rsid w:val="00B83785"/>
    <w:rsid w:val="00B84388"/>
    <w:rsid w:val="00B84564"/>
    <w:rsid w:val="00B856BD"/>
    <w:rsid w:val="00B85A9F"/>
    <w:rsid w:val="00B85B03"/>
    <w:rsid w:val="00B85CAA"/>
    <w:rsid w:val="00B86EA1"/>
    <w:rsid w:val="00B872C9"/>
    <w:rsid w:val="00B87495"/>
    <w:rsid w:val="00B903C2"/>
    <w:rsid w:val="00B90B92"/>
    <w:rsid w:val="00B912A6"/>
    <w:rsid w:val="00B9334C"/>
    <w:rsid w:val="00B949A2"/>
    <w:rsid w:val="00B94C57"/>
    <w:rsid w:val="00B9547B"/>
    <w:rsid w:val="00B9629D"/>
    <w:rsid w:val="00B96DE6"/>
    <w:rsid w:val="00B97396"/>
    <w:rsid w:val="00BA0D4A"/>
    <w:rsid w:val="00BA12BE"/>
    <w:rsid w:val="00BA149F"/>
    <w:rsid w:val="00BA2B83"/>
    <w:rsid w:val="00BA4C73"/>
    <w:rsid w:val="00BA5099"/>
    <w:rsid w:val="00BA51C8"/>
    <w:rsid w:val="00BA5445"/>
    <w:rsid w:val="00BA690B"/>
    <w:rsid w:val="00BA70F8"/>
    <w:rsid w:val="00BA7303"/>
    <w:rsid w:val="00BA7B84"/>
    <w:rsid w:val="00BA7DFC"/>
    <w:rsid w:val="00BB0909"/>
    <w:rsid w:val="00BB0AAB"/>
    <w:rsid w:val="00BB154A"/>
    <w:rsid w:val="00BB181E"/>
    <w:rsid w:val="00BB1ADD"/>
    <w:rsid w:val="00BB1C67"/>
    <w:rsid w:val="00BB221C"/>
    <w:rsid w:val="00BB27D1"/>
    <w:rsid w:val="00BB28B0"/>
    <w:rsid w:val="00BB38C9"/>
    <w:rsid w:val="00BB390E"/>
    <w:rsid w:val="00BB3CD7"/>
    <w:rsid w:val="00BB429E"/>
    <w:rsid w:val="00BB43F8"/>
    <w:rsid w:val="00BB4C47"/>
    <w:rsid w:val="00BB5552"/>
    <w:rsid w:val="00BB65E7"/>
    <w:rsid w:val="00BB69B5"/>
    <w:rsid w:val="00BB6A8B"/>
    <w:rsid w:val="00BB6BBD"/>
    <w:rsid w:val="00BB6CBF"/>
    <w:rsid w:val="00BB7D87"/>
    <w:rsid w:val="00BC0BC5"/>
    <w:rsid w:val="00BC0DC3"/>
    <w:rsid w:val="00BC3243"/>
    <w:rsid w:val="00BC38EB"/>
    <w:rsid w:val="00BC3DC6"/>
    <w:rsid w:val="00BC41EC"/>
    <w:rsid w:val="00BC4951"/>
    <w:rsid w:val="00BC4CA0"/>
    <w:rsid w:val="00BC513F"/>
    <w:rsid w:val="00BC5DB0"/>
    <w:rsid w:val="00BC5F4E"/>
    <w:rsid w:val="00BC6048"/>
    <w:rsid w:val="00BC6307"/>
    <w:rsid w:val="00BC64BC"/>
    <w:rsid w:val="00BC70A4"/>
    <w:rsid w:val="00BD05F9"/>
    <w:rsid w:val="00BD3AC4"/>
    <w:rsid w:val="00BD4B15"/>
    <w:rsid w:val="00BD4C2B"/>
    <w:rsid w:val="00BD533D"/>
    <w:rsid w:val="00BD5A49"/>
    <w:rsid w:val="00BD5CD0"/>
    <w:rsid w:val="00BD5D7C"/>
    <w:rsid w:val="00BD68B7"/>
    <w:rsid w:val="00BD6B8E"/>
    <w:rsid w:val="00BD70B5"/>
    <w:rsid w:val="00BD7E02"/>
    <w:rsid w:val="00BE01B1"/>
    <w:rsid w:val="00BE136B"/>
    <w:rsid w:val="00BE161D"/>
    <w:rsid w:val="00BE19AA"/>
    <w:rsid w:val="00BE1A79"/>
    <w:rsid w:val="00BE1D2D"/>
    <w:rsid w:val="00BE3001"/>
    <w:rsid w:val="00BE3710"/>
    <w:rsid w:val="00BE3D7A"/>
    <w:rsid w:val="00BE4B80"/>
    <w:rsid w:val="00BE5F2E"/>
    <w:rsid w:val="00BE63CA"/>
    <w:rsid w:val="00BE675D"/>
    <w:rsid w:val="00BE6A48"/>
    <w:rsid w:val="00BE6C64"/>
    <w:rsid w:val="00BE6D77"/>
    <w:rsid w:val="00BE6DA3"/>
    <w:rsid w:val="00BE7920"/>
    <w:rsid w:val="00BE7FF9"/>
    <w:rsid w:val="00BF06A6"/>
    <w:rsid w:val="00BF0F14"/>
    <w:rsid w:val="00BF1B73"/>
    <w:rsid w:val="00BF2A14"/>
    <w:rsid w:val="00BF36DB"/>
    <w:rsid w:val="00BF3EA7"/>
    <w:rsid w:val="00BF4004"/>
    <w:rsid w:val="00BF45D6"/>
    <w:rsid w:val="00BF56AC"/>
    <w:rsid w:val="00BF5D6F"/>
    <w:rsid w:val="00BF6B8A"/>
    <w:rsid w:val="00C00450"/>
    <w:rsid w:val="00C02CAF"/>
    <w:rsid w:val="00C02CB3"/>
    <w:rsid w:val="00C030B8"/>
    <w:rsid w:val="00C035A8"/>
    <w:rsid w:val="00C038B4"/>
    <w:rsid w:val="00C04330"/>
    <w:rsid w:val="00C04843"/>
    <w:rsid w:val="00C04A6F"/>
    <w:rsid w:val="00C0669F"/>
    <w:rsid w:val="00C06D48"/>
    <w:rsid w:val="00C07ACB"/>
    <w:rsid w:val="00C12356"/>
    <w:rsid w:val="00C123CB"/>
    <w:rsid w:val="00C144D6"/>
    <w:rsid w:val="00C14ED6"/>
    <w:rsid w:val="00C1514E"/>
    <w:rsid w:val="00C1573E"/>
    <w:rsid w:val="00C15A37"/>
    <w:rsid w:val="00C15B60"/>
    <w:rsid w:val="00C15F63"/>
    <w:rsid w:val="00C16164"/>
    <w:rsid w:val="00C168B8"/>
    <w:rsid w:val="00C16904"/>
    <w:rsid w:val="00C17208"/>
    <w:rsid w:val="00C217CC"/>
    <w:rsid w:val="00C21893"/>
    <w:rsid w:val="00C21E8E"/>
    <w:rsid w:val="00C21F58"/>
    <w:rsid w:val="00C23146"/>
    <w:rsid w:val="00C23A19"/>
    <w:rsid w:val="00C24B4E"/>
    <w:rsid w:val="00C25C62"/>
    <w:rsid w:val="00C25CF8"/>
    <w:rsid w:val="00C25D68"/>
    <w:rsid w:val="00C26107"/>
    <w:rsid w:val="00C31468"/>
    <w:rsid w:val="00C322D4"/>
    <w:rsid w:val="00C3261D"/>
    <w:rsid w:val="00C331DB"/>
    <w:rsid w:val="00C3354F"/>
    <w:rsid w:val="00C33C3D"/>
    <w:rsid w:val="00C34099"/>
    <w:rsid w:val="00C34D29"/>
    <w:rsid w:val="00C35E13"/>
    <w:rsid w:val="00C365BA"/>
    <w:rsid w:val="00C36AFD"/>
    <w:rsid w:val="00C36D7B"/>
    <w:rsid w:val="00C40305"/>
    <w:rsid w:val="00C4080F"/>
    <w:rsid w:val="00C40DD1"/>
    <w:rsid w:val="00C41280"/>
    <w:rsid w:val="00C41286"/>
    <w:rsid w:val="00C4182F"/>
    <w:rsid w:val="00C41E45"/>
    <w:rsid w:val="00C42432"/>
    <w:rsid w:val="00C443E0"/>
    <w:rsid w:val="00C44540"/>
    <w:rsid w:val="00C447FD"/>
    <w:rsid w:val="00C46337"/>
    <w:rsid w:val="00C47D8E"/>
    <w:rsid w:val="00C516ED"/>
    <w:rsid w:val="00C51AF8"/>
    <w:rsid w:val="00C53AE9"/>
    <w:rsid w:val="00C545D8"/>
    <w:rsid w:val="00C55528"/>
    <w:rsid w:val="00C5578C"/>
    <w:rsid w:val="00C56476"/>
    <w:rsid w:val="00C57C8D"/>
    <w:rsid w:val="00C57CB5"/>
    <w:rsid w:val="00C60CBB"/>
    <w:rsid w:val="00C621E4"/>
    <w:rsid w:val="00C62FEA"/>
    <w:rsid w:val="00C641EC"/>
    <w:rsid w:val="00C644DA"/>
    <w:rsid w:val="00C64508"/>
    <w:rsid w:val="00C64A60"/>
    <w:rsid w:val="00C657BE"/>
    <w:rsid w:val="00C66A3F"/>
    <w:rsid w:val="00C66F68"/>
    <w:rsid w:val="00C677A2"/>
    <w:rsid w:val="00C70198"/>
    <w:rsid w:val="00C7045F"/>
    <w:rsid w:val="00C70C3D"/>
    <w:rsid w:val="00C70E6D"/>
    <w:rsid w:val="00C70F65"/>
    <w:rsid w:val="00C7125D"/>
    <w:rsid w:val="00C71E76"/>
    <w:rsid w:val="00C72A95"/>
    <w:rsid w:val="00C748FF"/>
    <w:rsid w:val="00C75D43"/>
    <w:rsid w:val="00C76E49"/>
    <w:rsid w:val="00C77529"/>
    <w:rsid w:val="00C777C7"/>
    <w:rsid w:val="00C801E8"/>
    <w:rsid w:val="00C8049E"/>
    <w:rsid w:val="00C82912"/>
    <w:rsid w:val="00C82B1E"/>
    <w:rsid w:val="00C86025"/>
    <w:rsid w:val="00C872E5"/>
    <w:rsid w:val="00C8761B"/>
    <w:rsid w:val="00C90241"/>
    <w:rsid w:val="00C909A2"/>
    <w:rsid w:val="00C9113B"/>
    <w:rsid w:val="00C91369"/>
    <w:rsid w:val="00C928C3"/>
    <w:rsid w:val="00C92AFF"/>
    <w:rsid w:val="00C93D12"/>
    <w:rsid w:val="00C93FF9"/>
    <w:rsid w:val="00C9527D"/>
    <w:rsid w:val="00C95B6D"/>
    <w:rsid w:val="00C95F94"/>
    <w:rsid w:val="00C97E30"/>
    <w:rsid w:val="00CA0D98"/>
    <w:rsid w:val="00CA1519"/>
    <w:rsid w:val="00CA17FE"/>
    <w:rsid w:val="00CA2BD7"/>
    <w:rsid w:val="00CA3AD3"/>
    <w:rsid w:val="00CA3C79"/>
    <w:rsid w:val="00CA40A7"/>
    <w:rsid w:val="00CA420B"/>
    <w:rsid w:val="00CA47FB"/>
    <w:rsid w:val="00CA618A"/>
    <w:rsid w:val="00CA62D6"/>
    <w:rsid w:val="00CA643A"/>
    <w:rsid w:val="00CA6ADF"/>
    <w:rsid w:val="00CA743F"/>
    <w:rsid w:val="00CA7539"/>
    <w:rsid w:val="00CB04E5"/>
    <w:rsid w:val="00CB0D10"/>
    <w:rsid w:val="00CB0F67"/>
    <w:rsid w:val="00CB1731"/>
    <w:rsid w:val="00CB19FA"/>
    <w:rsid w:val="00CB1A40"/>
    <w:rsid w:val="00CB1C65"/>
    <w:rsid w:val="00CB1F0F"/>
    <w:rsid w:val="00CB2248"/>
    <w:rsid w:val="00CB2518"/>
    <w:rsid w:val="00CB484D"/>
    <w:rsid w:val="00CB5B9D"/>
    <w:rsid w:val="00CB6386"/>
    <w:rsid w:val="00CB652F"/>
    <w:rsid w:val="00CB6785"/>
    <w:rsid w:val="00CC044C"/>
    <w:rsid w:val="00CC0736"/>
    <w:rsid w:val="00CC086F"/>
    <w:rsid w:val="00CC09B5"/>
    <w:rsid w:val="00CC3199"/>
    <w:rsid w:val="00CC3F1B"/>
    <w:rsid w:val="00CC4354"/>
    <w:rsid w:val="00CC48FA"/>
    <w:rsid w:val="00CC5779"/>
    <w:rsid w:val="00CC59C4"/>
    <w:rsid w:val="00CC7D90"/>
    <w:rsid w:val="00CC7EF9"/>
    <w:rsid w:val="00CD0188"/>
    <w:rsid w:val="00CD09C4"/>
    <w:rsid w:val="00CD0E2A"/>
    <w:rsid w:val="00CD109F"/>
    <w:rsid w:val="00CD10A7"/>
    <w:rsid w:val="00CD1681"/>
    <w:rsid w:val="00CD1721"/>
    <w:rsid w:val="00CD2148"/>
    <w:rsid w:val="00CD32EA"/>
    <w:rsid w:val="00CD3CBE"/>
    <w:rsid w:val="00CD3DF4"/>
    <w:rsid w:val="00CD3E83"/>
    <w:rsid w:val="00CD3F0E"/>
    <w:rsid w:val="00CD4301"/>
    <w:rsid w:val="00CD5A34"/>
    <w:rsid w:val="00CD6317"/>
    <w:rsid w:val="00CD670B"/>
    <w:rsid w:val="00CD6776"/>
    <w:rsid w:val="00CD68F8"/>
    <w:rsid w:val="00CD6CAC"/>
    <w:rsid w:val="00CD7339"/>
    <w:rsid w:val="00CE0171"/>
    <w:rsid w:val="00CE037D"/>
    <w:rsid w:val="00CE0872"/>
    <w:rsid w:val="00CE0D5F"/>
    <w:rsid w:val="00CE18E4"/>
    <w:rsid w:val="00CE2246"/>
    <w:rsid w:val="00CE3D17"/>
    <w:rsid w:val="00CE3FDE"/>
    <w:rsid w:val="00CE6D18"/>
    <w:rsid w:val="00CF0337"/>
    <w:rsid w:val="00CF0635"/>
    <w:rsid w:val="00CF079C"/>
    <w:rsid w:val="00CF1461"/>
    <w:rsid w:val="00CF1976"/>
    <w:rsid w:val="00CF3AD2"/>
    <w:rsid w:val="00CF3F61"/>
    <w:rsid w:val="00CF4ABB"/>
    <w:rsid w:val="00CF4E05"/>
    <w:rsid w:val="00CF53AB"/>
    <w:rsid w:val="00CF58E2"/>
    <w:rsid w:val="00CF5BE2"/>
    <w:rsid w:val="00CF633C"/>
    <w:rsid w:val="00CF69D0"/>
    <w:rsid w:val="00CF69E5"/>
    <w:rsid w:val="00CF6A9E"/>
    <w:rsid w:val="00CF7521"/>
    <w:rsid w:val="00CF7A75"/>
    <w:rsid w:val="00CF7F47"/>
    <w:rsid w:val="00D002D5"/>
    <w:rsid w:val="00D008CE"/>
    <w:rsid w:val="00D00D4A"/>
    <w:rsid w:val="00D00DF7"/>
    <w:rsid w:val="00D00FB9"/>
    <w:rsid w:val="00D016F1"/>
    <w:rsid w:val="00D01A4A"/>
    <w:rsid w:val="00D0299B"/>
    <w:rsid w:val="00D02EE5"/>
    <w:rsid w:val="00D03D35"/>
    <w:rsid w:val="00D04C90"/>
    <w:rsid w:val="00D054E5"/>
    <w:rsid w:val="00D05695"/>
    <w:rsid w:val="00D07099"/>
    <w:rsid w:val="00D07A65"/>
    <w:rsid w:val="00D07C82"/>
    <w:rsid w:val="00D10F61"/>
    <w:rsid w:val="00D138DD"/>
    <w:rsid w:val="00D144E5"/>
    <w:rsid w:val="00D1457D"/>
    <w:rsid w:val="00D14656"/>
    <w:rsid w:val="00D148EA"/>
    <w:rsid w:val="00D149E2"/>
    <w:rsid w:val="00D14B5E"/>
    <w:rsid w:val="00D14C21"/>
    <w:rsid w:val="00D151E9"/>
    <w:rsid w:val="00D167DA"/>
    <w:rsid w:val="00D17CBA"/>
    <w:rsid w:val="00D201D2"/>
    <w:rsid w:val="00D202A5"/>
    <w:rsid w:val="00D21100"/>
    <w:rsid w:val="00D21693"/>
    <w:rsid w:val="00D224F6"/>
    <w:rsid w:val="00D227E2"/>
    <w:rsid w:val="00D241A6"/>
    <w:rsid w:val="00D24395"/>
    <w:rsid w:val="00D259BA"/>
    <w:rsid w:val="00D25BF4"/>
    <w:rsid w:val="00D26092"/>
    <w:rsid w:val="00D260BD"/>
    <w:rsid w:val="00D2647B"/>
    <w:rsid w:val="00D277CA"/>
    <w:rsid w:val="00D30409"/>
    <w:rsid w:val="00D3092D"/>
    <w:rsid w:val="00D30D79"/>
    <w:rsid w:val="00D32E7E"/>
    <w:rsid w:val="00D331AE"/>
    <w:rsid w:val="00D332E6"/>
    <w:rsid w:val="00D3385E"/>
    <w:rsid w:val="00D35535"/>
    <w:rsid w:val="00D35933"/>
    <w:rsid w:val="00D35A5C"/>
    <w:rsid w:val="00D36DE3"/>
    <w:rsid w:val="00D40390"/>
    <w:rsid w:val="00D40FDE"/>
    <w:rsid w:val="00D41559"/>
    <w:rsid w:val="00D4273E"/>
    <w:rsid w:val="00D42909"/>
    <w:rsid w:val="00D43422"/>
    <w:rsid w:val="00D441F2"/>
    <w:rsid w:val="00D44FE8"/>
    <w:rsid w:val="00D45A86"/>
    <w:rsid w:val="00D460C4"/>
    <w:rsid w:val="00D4648C"/>
    <w:rsid w:val="00D46BA8"/>
    <w:rsid w:val="00D46E24"/>
    <w:rsid w:val="00D4727A"/>
    <w:rsid w:val="00D475AE"/>
    <w:rsid w:val="00D5042C"/>
    <w:rsid w:val="00D50693"/>
    <w:rsid w:val="00D50973"/>
    <w:rsid w:val="00D50AB7"/>
    <w:rsid w:val="00D51830"/>
    <w:rsid w:val="00D51E50"/>
    <w:rsid w:val="00D51E89"/>
    <w:rsid w:val="00D51EB3"/>
    <w:rsid w:val="00D5294A"/>
    <w:rsid w:val="00D53548"/>
    <w:rsid w:val="00D537F2"/>
    <w:rsid w:val="00D553E1"/>
    <w:rsid w:val="00D55F95"/>
    <w:rsid w:val="00D567CC"/>
    <w:rsid w:val="00D56DBD"/>
    <w:rsid w:val="00D571E7"/>
    <w:rsid w:val="00D573BE"/>
    <w:rsid w:val="00D575AD"/>
    <w:rsid w:val="00D576D0"/>
    <w:rsid w:val="00D57D28"/>
    <w:rsid w:val="00D60CD9"/>
    <w:rsid w:val="00D61340"/>
    <w:rsid w:val="00D61B31"/>
    <w:rsid w:val="00D61D9C"/>
    <w:rsid w:val="00D61E73"/>
    <w:rsid w:val="00D62C8E"/>
    <w:rsid w:val="00D6305D"/>
    <w:rsid w:val="00D633C0"/>
    <w:rsid w:val="00D63504"/>
    <w:rsid w:val="00D640BF"/>
    <w:rsid w:val="00D65056"/>
    <w:rsid w:val="00D65193"/>
    <w:rsid w:val="00D65C8A"/>
    <w:rsid w:val="00D673F6"/>
    <w:rsid w:val="00D67791"/>
    <w:rsid w:val="00D7053C"/>
    <w:rsid w:val="00D70702"/>
    <w:rsid w:val="00D72A24"/>
    <w:rsid w:val="00D72C69"/>
    <w:rsid w:val="00D73274"/>
    <w:rsid w:val="00D74EE8"/>
    <w:rsid w:val="00D75267"/>
    <w:rsid w:val="00D76581"/>
    <w:rsid w:val="00D76684"/>
    <w:rsid w:val="00D7709A"/>
    <w:rsid w:val="00D776B4"/>
    <w:rsid w:val="00D77814"/>
    <w:rsid w:val="00D80713"/>
    <w:rsid w:val="00D80A4E"/>
    <w:rsid w:val="00D80BA4"/>
    <w:rsid w:val="00D81210"/>
    <w:rsid w:val="00D816D8"/>
    <w:rsid w:val="00D821BD"/>
    <w:rsid w:val="00D82E43"/>
    <w:rsid w:val="00D8556E"/>
    <w:rsid w:val="00D85DEF"/>
    <w:rsid w:val="00D87183"/>
    <w:rsid w:val="00D87ACA"/>
    <w:rsid w:val="00D87B1E"/>
    <w:rsid w:val="00D905B3"/>
    <w:rsid w:val="00D909ED"/>
    <w:rsid w:val="00D90D40"/>
    <w:rsid w:val="00D90DF3"/>
    <w:rsid w:val="00D90EC2"/>
    <w:rsid w:val="00D9251A"/>
    <w:rsid w:val="00D92EB0"/>
    <w:rsid w:val="00D9389A"/>
    <w:rsid w:val="00D939CA"/>
    <w:rsid w:val="00D93EC1"/>
    <w:rsid w:val="00D95368"/>
    <w:rsid w:val="00D95C43"/>
    <w:rsid w:val="00D963F0"/>
    <w:rsid w:val="00D96456"/>
    <w:rsid w:val="00D96F4F"/>
    <w:rsid w:val="00D97267"/>
    <w:rsid w:val="00D97E1C"/>
    <w:rsid w:val="00D97EF3"/>
    <w:rsid w:val="00DA0638"/>
    <w:rsid w:val="00DA06BF"/>
    <w:rsid w:val="00DA0B9C"/>
    <w:rsid w:val="00DA1B86"/>
    <w:rsid w:val="00DA284D"/>
    <w:rsid w:val="00DA2E71"/>
    <w:rsid w:val="00DA4141"/>
    <w:rsid w:val="00DA418D"/>
    <w:rsid w:val="00DA4658"/>
    <w:rsid w:val="00DA46CC"/>
    <w:rsid w:val="00DA512E"/>
    <w:rsid w:val="00DA58E8"/>
    <w:rsid w:val="00DA5D0E"/>
    <w:rsid w:val="00DA62B0"/>
    <w:rsid w:val="00DA6E91"/>
    <w:rsid w:val="00DA70BB"/>
    <w:rsid w:val="00DA7210"/>
    <w:rsid w:val="00DA7823"/>
    <w:rsid w:val="00DA790F"/>
    <w:rsid w:val="00DB0881"/>
    <w:rsid w:val="00DB0ADB"/>
    <w:rsid w:val="00DB131B"/>
    <w:rsid w:val="00DB17BA"/>
    <w:rsid w:val="00DB26D7"/>
    <w:rsid w:val="00DB2C46"/>
    <w:rsid w:val="00DB2F47"/>
    <w:rsid w:val="00DB3A38"/>
    <w:rsid w:val="00DB3B30"/>
    <w:rsid w:val="00DB44C8"/>
    <w:rsid w:val="00DB5DEA"/>
    <w:rsid w:val="00DB5E58"/>
    <w:rsid w:val="00DB6185"/>
    <w:rsid w:val="00DB7020"/>
    <w:rsid w:val="00DB726D"/>
    <w:rsid w:val="00DC06A8"/>
    <w:rsid w:val="00DC09D5"/>
    <w:rsid w:val="00DC13D8"/>
    <w:rsid w:val="00DC25BC"/>
    <w:rsid w:val="00DC2EA8"/>
    <w:rsid w:val="00DC2ED2"/>
    <w:rsid w:val="00DC3370"/>
    <w:rsid w:val="00DC3631"/>
    <w:rsid w:val="00DC52A5"/>
    <w:rsid w:val="00DC56DD"/>
    <w:rsid w:val="00DC6241"/>
    <w:rsid w:val="00DC63A2"/>
    <w:rsid w:val="00DC7377"/>
    <w:rsid w:val="00DD0799"/>
    <w:rsid w:val="00DD0805"/>
    <w:rsid w:val="00DD0B10"/>
    <w:rsid w:val="00DD0C49"/>
    <w:rsid w:val="00DD0F81"/>
    <w:rsid w:val="00DD13F6"/>
    <w:rsid w:val="00DD1AB6"/>
    <w:rsid w:val="00DD2A47"/>
    <w:rsid w:val="00DD2AD5"/>
    <w:rsid w:val="00DD3897"/>
    <w:rsid w:val="00DD40E0"/>
    <w:rsid w:val="00DD43A0"/>
    <w:rsid w:val="00DD49B2"/>
    <w:rsid w:val="00DD4BDD"/>
    <w:rsid w:val="00DD66D6"/>
    <w:rsid w:val="00DD6ECD"/>
    <w:rsid w:val="00DD730D"/>
    <w:rsid w:val="00DD743A"/>
    <w:rsid w:val="00DD74F7"/>
    <w:rsid w:val="00DD7E31"/>
    <w:rsid w:val="00DE175B"/>
    <w:rsid w:val="00DE1B89"/>
    <w:rsid w:val="00DE2D7D"/>
    <w:rsid w:val="00DE3A0A"/>
    <w:rsid w:val="00DE3A25"/>
    <w:rsid w:val="00DE3F1D"/>
    <w:rsid w:val="00DE4FF1"/>
    <w:rsid w:val="00DE51AD"/>
    <w:rsid w:val="00DE51D1"/>
    <w:rsid w:val="00DE6069"/>
    <w:rsid w:val="00DE60CA"/>
    <w:rsid w:val="00DE6104"/>
    <w:rsid w:val="00DE66A1"/>
    <w:rsid w:val="00DE6DB8"/>
    <w:rsid w:val="00DE7108"/>
    <w:rsid w:val="00DE7ED2"/>
    <w:rsid w:val="00DF10DF"/>
    <w:rsid w:val="00DF2B17"/>
    <w:rsid w:val="00DF2B57"/>
    <w:rsid w:val="00DF3006"/>
    <w:rsid w:val="00DF3047"/>
    <w:rsid w:val="00DF4111"/>
    <w:rsid w:val="00DF4389"/>
    <w:rsid w:val="00DF4878"/>
    <w:rsid w:val="00DF5A4F"/>
    <w:rsid w:val="00DF6B62"/>
    <w:rsid w:val="00E025FB"/>
    <w:rsid w:val="00E037B6"/>
    <w:rsid w:val="00E04FB0"/>
    <w:rsid w:val="00E0575E"/>
    <w:rsid w:val="00E0691B"/>
    <w:rsid w:val="00E06ECB"/>
    <w:rsid w:val="00E07067"/>
    <w:rsid w:val="00E07383"/>
    <w:rsid w:val="00E108BE"/>
    <w:rsid w:val="00E11F57"/>
    <w:rsid w:val="00E137A9"/>
    <w:rsid w:val="00E14793"/>
    <w:rsid w:val="00E14AA5"/>
    <w:rsid w:val="00E16F5E"/>
    <w:rsid w:val="00E171EA"/>
    <w:rsid w:val="00E17A0F"/>
    <w:rsid w:val="00E17CB2"/>
    <w:rsid w:val="00E2031E"/>
    <w:rsid w:val="00E204A7"/>
    <w:rsid w:val="00E20671"/>
    <w:rsid w:val="00E20717"/>
    <w:rsid w:val="00E209C5"/>
    <w:rsid w:val="00E21878"/>
    <w:rsid w:val="00E22823"/>
    <w:rsid w:val="00E22B28"/>
    <w:rsid w:val="00E23129"/>
    <w:rsid w:val="00E23EEB"/>
    <w:rsid w:val="00E24135"/>
    <w:rsid w:val="00E241CB"/>
    <w:rsid w:val="00E24B42"/>
    <w:rsid w:val="00E24F5F"/>
    <w:rsid w:val="00E25F91"/>
    <w:rsid w:val="00E26581"/>
    <w:rsid w:val="00E26CE5"/>
    <w:rsid w:val="00E27824"/>
    <w:rsid w:val="00E30342"/>
    <w:rsid w:val="00E305A4"/>
    <w:rsid w:val="00E30F65"/>
    <w:rsid w:val="00E31A58"/>
    <w:rsid w:val="00E328BC"/>
    <w:rsid w:val="00E32B70"/>
    <w:rsid w:val="00E3339A"/>
    <w:rsid w:val="00E33451"/>
    <w:rsid w:val="00E3395C"/>
    <w:rsid w:val="00E343E2"/>
    <w:rsid w:val="00E34CA4"/>
    <w:rsid w:val="00E353E4"/>
    <w:rsid w:val="00E35948"/>
    <w:rsid w:val="00E35BE5"/>
    <w:rsid w:val="00E35CD0"/>
    <w:rsid w:val="00E35FAE"/>
    <w:rsid w:val="00E409B4"/>
    <w:rsid w:val="00E41E16"/>
    <w:rsid w:val="00E429E3"/>
    <w:rsid w:val="00E42EDE"/>
    <w:rsid w:val="00E43313"/>
    <w:rsid w:val="00E453DD"/>
    <w:rsid w:val="00E45652"/>
    <w:rsid w:val="00E45A75"/>
    <w:rsid w:val="00E46306"/>
    <w:rsid w:val="00E46A65"/>
    <w:rsid w:val="00E479A5"/>
    <w:rsid w:val="00E479EA"/>
    <w:rsid w:val="00E47A3E"/>
    <w:rsid w:val="00E47A55"/>
    <w:rsid w:val="00E47B58"/>
    <w:rsid w:val="00E47D20"/>
    <w:rsid w:val="00E52358"/>
    <w:rsid w:val="00E54C8C"/>
    <w:rsid w:val="00E551E2"/>
    <w:rsid w:val="00E55BD2"/>
    <w:rsid w:val="00E55C74"/>
    <w:rsid w:val="00E57913"/>
    <w:rsid w:val="00E57F84"/>
    <w:rsid w:val="00E606B3"/>
    <w:rsid w:val="00E608B4"/>
    <w:rsid w:val="00E60C2A"/>
    <w:rsid w:val="00E60F4C"/>
    <w:rsid w:val="00E616B7"/>
    <w:rsid w:val="00E63351"/>
    <w:rsid w:val="00E63A1C"/>
    <w:rsid w:val="00E63A35"/>
    <w:rsid w:val="00E63E28"/>
    <w:rsid w:val="00E6419A"/>
    <w:rsid w:val="00E6427B"/>
    <w:rsid w:val="00E6441D"/>
    <w:rsid w:val="00E65217"/>
    <w:rsid w:val="00E65CF0"/>
    <w:rsid w:val="00E6614A"/>
    <w:rsid w:val="00E66A48"/>
    <w:rsid w:val="00E67C50"/>
    <w:rsid w:val="00E70846"/>
    <w:rsid w:val="00E708F2"/>
    <w:rsid w:val="00E70EA9"/>
    <w:rsid w:val="00E71688"/>
    <w:rsid w:val="00E7178B"/>
    <w:rsid w:val="00E71E19"/>
    <w:rsid w:val="00E7316F"/>
    <w:rsid w:val="00E734A1"/>
    <w:rsid w:val="00E7378B"/>
    <w:rsid w:val="00E739E6"/>
    <w:rsid w:val="00E74523"/>
    <w:rsid w:val="00E74B02"/>
    <w:rsid w:val="00E74E43"/>
    <w:rsid w:val="00E75C48"/>
    <w:rsid w:val="00E763F9"/>
    <w:rsid w:val="00E76617"/>
    <w:rsid w:val="00E8027A"/>
    <w:rsid w:val="00E803D8"/>
    <w:rsid w:val="00E81087"/>
    <w:rsid w:val="00E81B01"/>
    <w:rsid w:val="00E835E4"/>
    <w:rsid w:val="00E8468D"/>
    <w:rsid w:val="00E84D15"/>
    <w:rsid w:val="00E864DA"/>
    <w:rsid w:val="00E868EC"/>
    <w:rsid w:val="00E86FED"/>
    <w:rsid w:val="00E87020"/>
    <w:rsid w:val="00E91591"/>
    <w:rsid w:val="00E921CA"/>
    <w:rsid w:val="00E9224D"/>
    <w:rsid w:val="00E93C3D"/>
    <w:rsid w:val="00E9538E"/>
    <w:rsid w:val="00E955E5"/>
    <w:rsid w:val="00E96920"/>
    <w:rsid w:val="00E96975"/>
    <w:rsid w:val="00E96C0D"/>
    <w:rsid w:val="00E96FF6"/>
    <w:rsid w:val="00E972C3"/>
    <w:rsid w:val="00E978C2"/>
    <w:rsid w:val="00E97C9E"/>
    <w:rsid w:val="00EA02CF"/>
    <w:rsid w:val="00EA02D2"/>
    <w:rsid w:val="00EA1112"/>
    <w:rsid w:val="00EA1503"/>
    <w:rsid w:val="00EA18F7"/>
    <w:rsid w:val="00EA20E1"/>
    <w:rsid w:val="00EA210D"/>
    <w:rsid w:val="00EA3F96"/>
    <w:rsid w:val="00EA4652"/>
    <w:rsid w:val="00EA4E7B"/>
    <w:rsid w:val="00EA532D"/>
    <w:rsid w:val="00EA5645"/>
    <w:rsid w:val="00EA5826"/>
    <w:rsid w:val="00EA5B66"/>
    <w:rsid w:val="00EA78A7"/>
    <w:rsid w:val="00EA7A5F"/>
    <w:rsid w:val="00EB0E91"/>
    <w:rsid w:val="00EB0EEE"/>
    <w:rsid w:val="00EB142C"/>
    <w:rsid w:val="00EB2592"/>
    <w:rsid w:val="00EB3227"/>
    <w:rsid w:val="00EB37D1"/>
    <w:rsid w:val="00EB37E7"/>
    <w:rsid w:val="00EB3B65"/>
    <w:rsid w:val="00EB3B9C"/>
    <w:rsid w:val="00EB44C5"/>
    <w:rsid w:val="00EB4752"/>
    <w:rsid w:val="00EB4B8D"/>
    <w:rsid w:val="00EB4DF8"/>
    <w:rsid w:val="00EB5AFC"/>
    <w:rsid w:val="00EB5B32"/>
    <w:rsid w:val="00EB6034"/>
    <w:rsid w:val="00EB6728"/>
    <w:rsid w:val="00EB6931"/>
    <w:rsid w:val="00EB6DDC"/>
    <w:rsid w:val="00EC053F"/>
    <w:rsid w:val="00EC194C"/>
    <w:rsid w:val="00EC1AC4"/>
    <w:rsid w:val="00EC2141"/>
    <w:rsid w:val="00EC22BF"/>
    <w:rsid w:val="00EC22D7"/>
    <w:rsid w:val="00EC2F98"/>
    <w:rsid w:val="00EC31A2"/>
    <w:rsid w:val="00EC48B8"/>
    <w:rsid w:val="00EC4939"/>
    <w:rsid w:val="00EC5712"/>
    <w:rsid w:val="00EC5997"/>
    <w:rsid w:val="00EC5D82"/>
    <w:rsid w:val="00EC5F4E"/>
    <w:rsid w:val="00ED0F1B"/>
    <w:rsid w:val="00ED1428"/>
    <w:rsid w:val="00ED192D"/>
    <w:rsid w:val="00ED237E"/>
    <w:rsid w:val="00ED2F7C"/>
    <w:rsid w:val="00ED3FBB"/>
    <w:rsid w:val="00ED4208"/>
    <w:rsid w:val="00ED51FD"/>
    <w:rsid w:val="00ED5848"/>
    <w:rsid w:val="00ED5DDD"/>
    <w:rsid w:val="00ED64EC"/>
    <w:rsid w:val="00ED7138"/>
    <w:rsid w:val="00ED79B1"/>
    <w:rsid w:val="00EE056E"/>
    <w:rsid w:val="00EE08E1"/>
    <w:rsid w:val="00EE113E"/>
    <w:rsid w:val="00EE1487"/>
    <w:rsid w:val="00EE1ACE"/>
    <w:rsid w:val="00EE1FD9"/>
    <w:rsid w:val="00EE34F1"/>
    <w:rsid w:val="00EE3C1C"/>
    <w:rsid w:val="00EE466B"/>
    <w:rsid w:val="00EE4748"/>
    <w:rsid w:val="00EE4EB9"/>
    <w:rsid w:val="00EE4EEE"/>
    <w:rsid w:val="00EE534F"/>
    <w:rsid w:val="00EE5F0E"/>
    <w:rsid w:val="00EE6164"/>
    <w:rsid w:val="00EE7476"/>
    <w:rsid w:val="00EF082A"/>
    <w:rsid w:val="00EF10C1"/>
    <w:rsid w:val="00EF126E"/>
    <w:rsid w:val="00EF16B1"/>
    <w:rsid w:val="00EF212D"/>
    <w:rsid w:val="00EF2918"/>
    <w:rsid w:val="00EF3C89"/>
    <w:rsid w:val="00EF4F14"/>
    <w:rsid w:val="00EF610C"/>
    <w:rsid w:val="00EF62A7"/>
    <w:rsid w:val="00EF6406"/>
    <w:rsid w:val="00EF6ACD"/>
    <w:rsid w:val="00EF6B4F"/>
    <w:rsid w:val="00EF7161"/>
    <w:rsid w:val="00F02160"/>
    <w:rsid w:val="00F02430"/>
    <w:rsid w:val="00F024E9"/>
    <w:rsid w:val="00F02B3B"/>
    <w:rsid w:val="00F0321E"/>
    <w:rsid w:val="00F03B04"/>
    <w:rsid w:val="00F04367"/>
    <w:rsid w:val="00F045CA"/>
    <w:rsid w:val="00F04722"/>
    <w:rsid w:val="00F051FC"/>
    <w:rsid w:val="00F05BC6"/>
    <w:rsid w:val="00F07C57"/>
    <w:rsid w:val="00F100C0"/>
    <w:rsid w:val="00F10130"/>
    <w:rsid w:val="00F1097A"/>
    <w:rsid w:val="00F11443"/>
    <w:rsid w:val="00F11EAC"/>
    <w:rsid w:val="00F1209A"/>
    <w:rsid w:val="00F12C35"/>
    <w:rsid w:val="00F1398B"/>
    <w:rsid w:val="00F1483F"/>
    <w:rsid w:val="00F148A4"/>
    <w:rsid w:val="00F14B0B"/>
    <w:rsid w:val="00F15127"/>
    <w:rsid w:val="00F16343"/>
    <w:rsid w:val="00F16B00"/>
    <w:rsid w:val="00F1725E"/>
    <w:rsid w:val="00F21B68"/>
    <w:rsid w:val="00F21F28"/>
    <w:rsid w:val="00F222F0"/>
    <w:rsid w:val="00F22D84"/>
    <w:rsid w:val="00F22E7D"/>
    <w:rsid w:val="00F22FB2"/>
    <w:rsid w:val="00F23871"/>
    <w:rsid w:val="00F25440"/>
    <w:rsid w:val="00F26EA7"/>
    <w:rsid w:val="00F27471"/>
    <w:rsid w:val="00F27558"/>
    <w:rsid w:val="00F277D6"/>
    <w:rsid w:val="00F27A10"/>
    <w:rsid w:val="00F27CF1"/>
    <w:rsid w:val="00F30FA1"/>
    <w:rsid w:val="00F310F3"/>
    <w:rsid w:val="00F31BB4"/>
    <w:rsid w:val="00F326C3"/>
    <w:rsid w:val="00F3284B"/>
    <w:rsid w:val="00F32B8A"/>
    <w:rsid w:val="00F3396F"/>
    <w:rsid w:val="00F340E5"/>
    <w:rsid w:val="00F348F2"/>
    <w:rsid w:val="00F357AD"/>
    <w:rsid w:val="00F40218"/>
    <w:rsid w:val="00F4077E"/>
    <w:rsid w:val="00F40A5F"/>
    <w:rsid w:val="00F41F71"/>
    <w:rsid w:val="00F42B39"/>
    <w:rsid w:val="00F42D3A"/>
    <w:rsid w:val="00F433E1"/>
    <w:rsid w:val="00F43561"/>
    <w:rsid w:val="00F43BE3"/>
    <w:rsid w:val="00F45B13"/>
    <w:rsid w:val="00F46729"/>
    <w:rsid w:val="00F46F38"/>
    <w:rsid w:val="00F47617"/>
    <w:rsid w:val="00F5016D"/>
    <w:rsid w:val="00F507DC"/>
    <w:rsid w:val="00F508F7"/>
    <w:rsid w:val="00F534B0"/>
    <w:rsid w:val="00F537B4"/>
    <w:rsid w:val="00F54203"/>
    <w:rsid w:val="00F5448C"/>
    <w:rsid w:val="00F54CF1"/>
    <w:rsid w:val="00F54F98"/>
    <w:rsid w:val="00F555C9"/>
    <w:rsid w:val="00F55992"/>
    <w:rsid w:val="00F575FD"/>
    <w:rsid w:val="00F6182E"/>
    <w:rsid w:val="00F6231E"/>
    <w:rsid w:val="00F6334E"/>
    <w:rsid w:val="00F63798"/>
    <w:rsid w:val="00F6390C"/>
    <w:rsid w:val="00F63BDC"/>
    <w:rsid w:val="00F655D0"/>
    <w:rsid w:val="00F656C6"/>
    <w:rsid w:val="00F65B72"/>
    <w:rsid w:val="00F66088"/>
    <w:rsid w:val="00F661F9"/>
    <w:rsid w:val="00F66E21"/>
    <w:rsid w:val="00F6792B"/>
    <w:rsid w:val="00F701CE"/>
    <w:rsid w:val="00F71D69"/>
    <w:rsid w:val="00F720F8"/>
    <w:rsid w:val="00F72283"/>
    <w:rsid w:val="00F72670"/>
    <w:rsid w:val="00F72F65"/>
    <w:rsid w:val="00F73A61"/>
    <w:rsid w:val="00F74F65"/>
    <w:rsid w:val="00F75D24"/>
    <w:rsid w:val="00F76204"/>
    <w:rsid w:val="00F76469"/>
    <w:rsid w:val="00F76AC2"/>
    <w:rsid w:val="00F76CC0"/>
    <w:rsid w:val="00F76CFC"/>
    <w:rsid w:val="00F7771D"/>
    <w:rsid w:val="00F77C44"/>
    <w:rsid w:val="00F80227"/>
    <w:rsid w:val="00F82331"/>
    <w:rsid w:val="00F82664"/>
    <w:rsid w:val="00F82FD9"/>
    <w:rsid w:val="00F84C95"/>
    <w:rsid w:val="00F86488"/>
    <w:rsid w:val="00F87968"/>
    <w:rsid w:val="00F87D25"/>
    <w:rsid w:val="00F87E39"/>
    <w:rsid w:val="00F90897"/>
    <w:rsid w:val="00F909BD"/>
    <w:rsid w:val="00F91074"/>
    <w:rsid w:val="00F91253"/>
    <w:rsid w:val="00F913DD"/>
    <w:rsid w:val="00F915ED"/>
    <w:rsid w:val="00F91E35"/>
    <w:rsid w:val="00F925FD"/>
    <w:rsid w:val="00F92B40"/>
    <w:rsid w:val="00F92BFB"/>
    <w:rsid w:val="00F92F00"/>
    <w:rsid w:val="00F94623"/>
    <w:rsid w:val="00F9498C"/>
    <w:rsid w:val="00F94AF9"/>
    <w:rsid w:val="00F95AC8"/>
    <w:rsid w:val="00F95FB3"/>
    <w:rsid w:val="00F9737E"/>
    <w:rsid w:val="00F97612"/>
    <w:rsid w:val="00F977F1"/>
    <w:rsid w:val="00FA01D5"/>
    <w:rsid w:val="00FA0296"/>
    <w:rsid w:val="00FA034C"/>
    <w:rsid w:val="00FA1056"/>
    <w:rsid w:val="00FA1C32"/>
    <w:rsid w:val="00FA1DEA"/>
    <w:rsid w:val="00FA2ADC"/>
    <w:rsid w:val="00FA3065"/>
    <w:rsid w:val="00FA3827"/>
    <w:rsid w:val="00FA4F1C"/>
    <w:rsid w:val="00FA7F68"/>
    <w:rsid w:val="00FB1657"/>
    <w:rsid w:val="00FB2DB9"/>
    <w:rsid w:val="00FB30E9"/>
    <w:rsid w:val="00FB378E"/>
    <w:rsid w:val="00FB38BB"/>
    <w:rsid w:val="00FB4194"/>
    <w:rsid w:val="00FB5263"/>
    <w:rsid w:val="00FB5589"/>
    <w:rsid w:val="00FB5621"/>
    <w:rsid w:val="00FB6307"/>
    <w:rsid w:val="00FB6AC0"/>
    <w:rsid w:val="00FB6B13"/>
    <w:rsid w:val="00FB7576"/>
    <w:rsid w:val="00FB76D3"/>
    <w:rsid w:val="00FC097E"/>
    <w:rsid w:val="00FC0ECF"/>
    <w:rsid w:val="00FC10E0"/>
    <w:rsid w:val="00FC1E94"/>
    <w:rsid w:val="00FC2804"/>
    <w:rsid w:val="00FC3C6B"/>
    <w:rsid w:val="00FC3E07"/>
    <w:rsid w:val="00FC59DC"/>
    <w:rsid w:val="00FC6175"/>
    <w:rsid w:val="00FD0C09"/>
    <w:rsid w:val="00FD1460"/>
    <w:rsid w:val="00FD17DC"/>
    <w:rsid w:val="00FD1FAC"/>
    <w:rsid w:val="00FD2909"/>
    <w:rsid w:val="00FD2BC9"/>
    <w:rsid w:val="00FD3191"/>
    <w:rsid w:val="00FD4802"/>
    <w:rsid w:val="00FD5568"/>
    <w:rsid w:val="00FD70C8"/>
    <w:rsid w:val="00FD7D51"/>
    <w:rsid w:val="00FD7EF7"/>
    <w:rsid w:val="00FE0E98"/>
    <w:rsid w:val="00FE1086"/>
    <w:rsid w:val="00FE1EE9"/>
    <w:rsid w:val="00FE2222"/>
    <w:rsid w:val="00FE2A6D"/>
    <w:rsid w:val="00FE344B"/>
    <w:rsid w:val="00FE369B"/>
    <w:rsid w:val="00FE43BD"/>
    <w:rsid w:val="00FE7AB1"/>
    <w:rsid w:val="00FF1B91"/>
    <w:rsid w:val="00FF2E89"/>
    <w:rsid w:val="00FF3277"/>
    <w:rsid w:val="00FF4023"/>
    <w:rsid w:val="00FF41F4"/>
    <w:rsid w:val="00FF44D5"/>
    <w:rsid w:val="00FF4785"/>
    <w:rsid w:val="00FF4868"/>
    <w:rsid w:val="00FF4A1E"/>
    <w:rsid w:val="00FF4E6C"/>
    <w:rsid w:val="00FF5FE4"/>
    <w:rsid w:val="00FF6B97"/>
    <w:rsid w:val="00FF7113"/>
    <w:rsid w:val="00FF72AF"/>
    <w:rsid w:val="00FF7A62"/>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0AA705"/>
  <w15:docId w15:val="{214AA290-604A-40B2-B326-E8209826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8F7"/>
  </w:style>
  <w:style w:type="paragraph" w:styleId="Heading1">
    <w:name w:val="heading 1"/>
    <w:aliases w:val="Section Header"/>
    <w:basedOn w:val="Normal"/>
    <w:next w:val="Normal"/>
    <w:link w:val="Heading1Char"/>
    <w:uiPriority w:val="9"/>
    <w:qFormat/>
    <w:rsid w:val="008F38DE"/>
    <w:pPr>
      <w:numPr>
        <w:numId w:val="1"/>
      </w:numPr>
      <w:spacing w:line="480" w:lineRule="auto"/>
      <w:jc w:val="center"/>
      <w:outlineLvl w:val="0"/>
    </w:pPr>
    <w:rPr>
      <w:rFonts w:eastAsia="Times New Roman"/>
      <w:b/>
    </w:rPr>
  </w:style>
  <w:style w:type="paragraph" w:styleId="Heading2">
    <w:name w:val="heading 2"/>
    <w:basedOn w:val="Normal"/>
    <w:next w:val="Normal"/>
    <w:link w:val="Heading2Char"/>
    <w:uiPriority w:val="9"/>
    <w:unhideWhenUsed/>
    <w:qFormat/>
    <w:rsid w:val="00513F2D"/>
    <w:pPr>
      <w:numPr>
        <w:numId w:val="3"/>
      </w:numPr>
      <w:spacing w:line="480" w:lineRule="auto"/>
      <w:outlineLvl w:val="1"/>
    </w:pPr>
    <w:rPr>
      <w:rFonts w:eastAsia="Times New Roman"/>
      <w:b/>
    </w:rPr>
  </w:style>
  <w:style w:type="paragraph" w:styleId="Heading3">
    <w:name w:val="heading 3"/>
    <w:basedOn w:val="Heading1"/>
    <w:next w:val="Normal"/>
    <w:link w:val="Heading3Char"/>
    <w:uiPriority w:val="9"/>
    <w:unhideWhenUsed/>
    <w:rsid w:val="00C36D7B"/>
    <w:pPr>
      <w:keepNext/>
      <w:keepLines/>
      <w:numPr>
        <w:numId w:val="2"/>
      </w:numPr>
      <w:spacing w:before="40"/>
      <w:jc w:val="left"/>
      <w:outlineLvl w:val="2"/>
    </w:pPr>
    <w:rPr>
      <w:rFonts w:eastAsiaTheme="majorEastAsia" w:cstheme="majorBidi"/>
    </w:rPr>
  </w:style>
  <w:style w:type="paragraph" w:styleId="Heading4">
    <w:name w:val="heading 4"/>
    <w:basedOn w:val="Normal"/>
    <w:next w:val="Normal"/>
    <w:link w:val="Heading4Char"/>
    <w:uiPriority w:val="9"/>
    <w:unhideWhenUsed/>
    <w:rsid w:val="006547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A16864"/>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unhideWhenUsed/>
    <w:rsid w:val="0054068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Question"/>
    <w:basedOn w:val="Heading2"/>
    <w:next w:val="Normal"/>
    <w:link w:val="Heading8Char"/>
    <w:uiPriority w:val="9"/>
    <w:unhideWhenUsed/>
    <w:qFormat/>
    <w:rsid w:val="008F38DE"/>
    <w:pPr>
      <w:numPr>
        <w:numId w:val="0"/>
      </w:numPr>
      <w:ind w:left="720" w:hanging="720"/>
      <w:outlineLvl w:val="7"/>
    </w:pPr>
  </w:style>
  <w:style w:type="paragraph" w:styleId="Heading9">
    <w:name w:val="heading 9"/>
    <w:basedOn w:val="Normal"/>
    <w:next w:val="Normal"/>
    <w:link w:val="Heading9Char"/>
    <w:uiPriority w:val="9"/>
    <w:unhideWhenUsed/>
    <w:rsid w:val="005406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8F38DE"/>
    <w:rPr>
      <w:rFonts w:eastAsia="Times New Roman"/>
      <w:b/>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nhideWhenUsed/>
    <w:rsid w:val="00CC09B5"/>
    <w:pPr>
      <w:tabs>
        <w:tab w:val="center" w:pos="4680"/>
        <w:tab w:val="right" w:pos="9360"/>
      </w:tabs>
    </w:pPr>
  </w:style>
  <w:style w:type="character" w:customStyle="1" w:styleId="HeaderChar">
    <w:name w:val="Header Char"/>
    <w:basedOn w:val="DefaultParagraphFont"/>
    <w:link w:val="Header"/>
    <w:rsid w:val="00CC09B5"/>
  </w:style>
  <w:style w:type="paragraph" w:styleId="NoSpacing">
    <w:name w:val="No Spacing"/>
    <w:aliases w:val="Answer"/>
    <w:basedOn w:val="Normal"/>
    <w:uiPriority w:val="1"/>
    <w:qFormat/>
    <w:rsid w:val="00713027"/>
    <w:pPr>
      <w:spacing w:line="480" w:lineRule="auto"/>
      <w:ind w:left="720" w:hanging="720"/>
    </w:pPr>
    <w:rPr>
      <w:rFonts w:eastAsia="Times New Roman"/>
    </w:rPr>
  </w:style>
  <w:style w:type="character" w:customStyle="1" w:styleId="Heading2Char">
    <w:name w:val="Heading 2 Char"/>
    <w:basedOn w:val="DefaultParagraphFont"/>
    <w:link w:val="Heading2"/>
    <w:uiPriority w:val="9"/>
    <w:rsid w:val="00513F2D"/>
    <w:rPr>
      <w:rFonts w:eastAsia="Times New Roman"/>
      <w:b/>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6D70FC"/>
    <w:pPr>
      <w:tabs>
        <w:tab w:val="left" w:pos="1440"/>
        <w:tab w:val="right" w:leader="dot" w:pos="9350"/>
      </w:tabs>
      <w:spacing w:after="100" w:line="276" w:lineRule="auto"/>
      <w:ind w:left="720"/>
    </w:pPr>
    <w:rPr>
      <w:rFonts w:eastAsiaTheme="minorEastAsia"/>
      <w:lang w:eastAsia="ja-JP"/>
    </w:rPr>
  </w:style>
  <w:style w:type="paragraph" w:styleId="TOC1">
    <w:name w:val="toc 1"/>
    <w:basedOn w:val="Normal"/>
    <w:next w:val="Normal"/>
    <w:autoRedefine/>
    <w:uiPriority w:val="39"/>
    <w:unhideWhenUsed/>
    <w:qFormat/>
    <w:rsid w:val="006D70FC"/>
    <w:pPr>
      <w:tabs>
        <w:tab w:val="left" w:pos="720"/>
        <w:tab w:val="left" w:pos="1440"/>
        <w:tab w:val="right" w:leader="dot" w:pos="9350"/>
      </w:tabs>
      <w:spacing w:after="100" w:line="276" w:lineRule="auto"/>
    </w:pPr>
    <w:rPr>
      <w:rFonts w:ascii="Times New Roman Bold" w:eastAsiaTheme="minorEastAsia" w:hAnsi="Times New Roman Bold"/>
      <w:b/>
      <w:caps/>
      <w:noProof/>
      <w:lang w:eastAsia="ja-JP"/>
    </w:rPr>
  </w:style>
  <w:style w:type="paragraph" w:styleId="TOC3">
    <w:name w:val="toc 3"/>
    <w:basedOn w:val="Normal"/>
    <w:next w:val="Normal"/>
    <w:autoRedefine/>
    <w:uiPriority w:val="39"/>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363F28"/>
    <w:rPr>
      <w:b w:val="0"/>
      <w:bCs/>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
    <w:basedOn w:val="Normal"/>
    <w:link w:val="FootnoteTextChar"/>
    <w:uiPriority w:val="99"/>
    <w:unhideWhenUsed/>
    <w:qFormat/>
    <w:rsid w:val="006B3F01"/>
    <w:rPr>
      <w:sz w:val="20"/>
      <w:szCs w:val="20"/>
    </w:rPr>
  </w:style>
  <w:style w:type="character" w:customStyle="1" w:styleId="FootnoteTextChar">
    <w:name w:val="Footnote Text Char"/>
    <w:aliases w:val="ALTS FOOTNOTE Char,Footnote Text Char1 Char Char1,Footnote Text Char Char Char Char1,Footnote Text Char1 Char Char Char Char1,Footnote Text Char Char Char Char Char Char1,Footnote Text Char Char1 Char Char1,fn Char1"/>
    <w:basedOn w:val="DefaultParagraphFont"/>
    <w:link w:val="FootnoteText"/>
    <w:uiPriority w:val="99"/>
    <w:rsid w:val="006B3F0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table" w:styleId="TableGrid">
    <w:name w:val="Table Grid"/>
    <w:basedOn w:val="TableNormal"/>
    <w:uiPriority w:val="59"/>
    <w:rsid w:val="0043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D7B"/>
    <w:rPr>
      <w:rFonts w:eastAsiaTheme="majorEastAsia" w:cstheme="majorBidi"/>
      <w:b/>
    </w:rPr>
  </w:style>
  <w:style w:type="character" w:customStyle="1" w:styleId="Heading4Char">
    <w:name w:val="Heading 4 Char"/>
    <w:basedOn w:val="DefaultParagraphFont"/>
    <w:link w:val="Heading4"/>
    <w:uiPriority w:val="9"/>
    <w:rsid w:val="006547C5"/>
    <w:rPr>
      <w:rFonts w:asciiTheme="majorHAnsi" w:eastAsiaTheme="majorEastAsia" w:hAnsiTheme="majorHAnsi" w:cstheme="majorBidi"/>
      <w:i/>
      <w:iCs/>
      <w:color w:val="365F91" w:themeColor="accent1" w:themeShade="BF"/>
    </w:rPr>
  </w:style>
  <w:style w:type="character" w:customStyle="1" w:styleId="Heading8Char">
    <w:name w:val="Heading 8 Char"/>
    <w:aliases w:val="Question Char"/>
    <w:basedOn w:val="DefaultParagraphFont"/>
    <w:link w:val="Heading8"/>
    <w:uiPriority w:val="9"/>
    <w:rsid w:val="008F38DE"/>
    <w:rPr>
      <w:rFonts w:eastAsia="Times New Roman"/>
      <w:b/>
    </w:rPr>
  </w:style>
  <w:style w:type="character" w:customStyle="1" w:styleId="Heading9Char">
    <w:name w:val="Heading 9 Char"/>
    <w:basedOn w:val="DefaultParagraphFont"/>
    <w:link w:val="Heading9"/>
    <w:uiPriority w:val="9"/>
    <w:rsid w:val="00540687"/>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540687"/>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rsid w:val="00090908"/>
    <w:pPr>
      <w:spacing w:line="480" w:lineRule="auto"/>
      <w:ind w:left="720" w:hanging="360"/>
    </w:pPr>
    <w:rPr>
      <w:rFonts w:eastAsia="Times New Roman"/>
    </w:rPr>
  </w:style>
  <w:style w:type="character" w:customStyle="1" w:styleId="BodyTextIndent2Char">
    <w:name w:val="Body Text Indent 2 Char"/>
    <w:basedOn w:val="DefaultParagraphFont"/>
    <w:link w:val="BodyTextIndent2"/>
    <w:rsid w:val="00090908"/>
    <w:rPr>
      <w:rFonts w:eastAsia="Times New Roman"/>
    </w:rPr>
  </w:style>
  <w:style w:type="paragraph" w:customStyle="1" w:styleId="Default">
    <w:name w:val="Default"/>
    <w:rsid w:val="00F91074"/>
    <w:pPr>
      <w:autoSpaceDE w:val="0"/>
      <w:autoSpaceDN w:val="0"/>
      <w:adjustRightInd w:val="0"/>
    </w:pPr>
    <w:rPr>
      <w:color w:val="00000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uiPriority w:val="99"/>
    <w:locked/>
    <w:rsid w:val="00B25158"/>
    <w:rPr>
      <w:sz w:val="22"/>
    </w:rPr>
  </w:style>
  <w:style w:type="paragraph" w:customStyle="1" w:styleId="Heading1a">
    <w:name w:val="Heading 1a"/>
    <w:basedOn w:val="Heading3"/>
    <w:link w:val="Heading1aChar"/>
    <w:qFormat/>
    <w:rsid w:val="001F5258"/>
    <w:rPr>
      <w:i/>
    </w:rPr>
  </w:style>
  <w:style w:type="character" w:customStyle="1" w:styleId="Heading1aChar">
    <w:name w:val="Heading 1a Char"/>
    <w:basedOn w:val="Heading3Char"/>
    <w:link w:val="Heading1a"/>
    <w:rsid w:val="001F5258"/>
    <w:rPr>
      <w:rFonts w:eastAsiaTheme="majorEastAsia" w:cstheme="majorBidi"/>
      <w:b/>
      <w:i/>
    </w:rPr>
  </w:style>
  <w:style w:type="character" w:customStyle="1" w:styleId="Heading5Char">
    <w:name w:val="Heading 5 Char"/>
    <w:basedOn w:val="DefaultParagraphFont"/>
    <w:link w:val="Heading5"/>
    <w:uiPriority w:val="9"/>
    <w:rsid w:val="00A1686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70">
      <w:bodyDiv w:val="1"/>
      <w:marLeft w:val="0"/>
      <w:marRight w:val="0"/>
      <w:marTop w:val="0"/>
      <w:marBottom w:val="0"/>
      <w:divBdr>
        <w:top w:val="none" w:sz="0" w:space="0" w:color="auto"/>
        <w:left w:val="none" w:sz="0" w:space="0" w:color="auto"/>
        <w:bottom w:val="none" w:sz="0" w:space="0" w:color="auto"/>
        <w:right w:val="none" w:sz="0" w:space="0" w:color="auto"/>
      </w:divBdr>
    </w:div>
    <w:div w:id="144785909">
      <w:bodyDiv w:val="1"/>
      <w:marLeft w:val="0"/>
      <w:marRight w:val="0"/>
      <w:marTop w:val="0"/>
      <w:marBottom w:val="0"/>
      <w:divBdr>
        <w:top w:val="none" w:sz="0" w:space="0" w:color="auto"/>
        <w:left w:val="none" w:sz="0" w:space="0" w:color="auto"/>
        <w:bottom w:val="none" w:sz="0" w:space="0" w:color="auto"/>
        <w:right w:val="none" w:sz="0" w:space="0" w:color="auto"/>
      </w:divBdr>
    </w:div>
    <w:div w:id="179468018">
      <w:bodyDiv w:val="1"/>
      <w:marLeft w:val="0"/>
      <w:marRight w:val="0"/>
      <w:marTop w:val="0"/>
      <w:marBottom w:val="0"/>
      <w:divBdr>
        <w:top w:val="none" w:sz="0" w:space="0" w:color="auto"/>
        <w:left w:val="none" w:sz="0" w:space="0" w:color="auto"/>
        <w:bottom w:val="none" w:sz="0" w:space="0" w:color="auto"/>
        <w:right w:val="none" w:sz="0" w:space="0" w:color="auto"/>
      </w:divBdr>
    </w:div>
    <w:div w:id="203251515">
      <w:bodyDiv w:val="1"/>
      <w:marLeft w:val="0"/>
      <w:marRight w:val="0"/>
      <w:marTop w:val="0"/>
      <w:marBottom w:val="0"/>
      <w:divBdr>
        <w:top w:val="none" w:sz="0" w:space="0" w:color="auto"/>
        <w:left w:val="none" w:sz="0" w:space="0" w:color="auto"/>
        <w:bottom w:val="none" w:sz="0" w:space="0" w:color="auto"/>
        <w:right w:val="none" w:sz="0" w:space="0" w:color="auto"/>
      </w:divBdr>
    </w:div>
    <w:div w:id="272329427">
      <w:bodyDiv w:val="1"/>
      <w:marLeft w:val="0"/>
      <w:marRight w:val="0"/>
      <w:marTop w:val="0"/>
      <w:marBottom w:val="0"/>
      <w:divBdr>
        <w:top w:val="none" w:sz="0" w:space="0" w:color="auto"/>
        <w:left w:val="none" w:sz="0" w:space="0" w:color="auto"/>
        <w:bottom w:val="none" w:sz="0" w:space="0" w:color="auto"/>
        <w:right w:val="none" w:sz="0" w:space="0" w:color="auto"/>
      </w:divBdr>
    </w:div>
    <w:div w:id="358554388">
      <w:bodyDiv w:val="1"/>
      <w:marLeft w:val="0"/>
      <w:marRight w:val="0"/>
      <w:marTop w:val="0"/>
      <w:marBottom w:val="0"/>
      <w:divBdr>
        <w:top w:val="none" w:sz="0" w:space="0" w:color="auto"/>
        <w:left w:val="none" w:sz="0" w:space="0" w:color="auto"/>
        <w:bottom w:val="none" w:sz="0" w:space="0" w:color="auto"/>
        <w:right w:val="none" w:sz="0" w:space="0" w:color="auto"/>
      </w:divBdr>
    </w:div>
    <w:div w:id="381825703">
      <w:bodyDiv w:val="1"/>
      <w:marLeft w:val="0"/>
      <w:marRight w:val="0"/>
      <w:marTop w:val="0"/>
      <w:marBottom w:val="0"/>
      <w:divBdr>
        <w:top w:val="none" w:sz="0" w:space="0" w:color="auto"/>
        <w:left w:val="none" w:sz="0" w:space="0" w:color="auto"/>
        <w:bottom w:val="none" w:sz="0" w:space="0" w:color="auto"/>
        <w:right w:val="none" w:sz="0" w:space="0" w:color="auto"/>
      </w:divBdr>
    </w:div>
    <w:div w:id="386075804">
      <w:bodyDiv w:val="1"/>
      <w:marLeft w:val="0"/>
      <w:marRight w:val="0"/>
      <w:marTop w:val="0"/>
      <w:marBottom w:val="0"/>
      <w:divBdr>
        <w:top w:val="none" w:sz="0" w:space="0" w:color="auto"/>
        <w:left w:val="none" w:sz="0" w:space="0" w:color="auto"/>
        <w:bottom w:val="none" w:sz="0" w:space="0" w:color="auto"/>
        <w:right w:val="none" w:sz="0" w:space="0" w:color="auto"/>
      </w:divBdr>
    </w:div>
    <w:div w:id="412624103">
      <w:bodyDiv w:val="1"/>
      <w:marLeft w:val="0"/>
      <w:marRight w:val="0"/>
      <w:marTop w:val="0"/>
      <w:marBottom w:val="0"/>
      <w:divBdr>
        <w:top w:val="none" w:sz="0" w:space="0" w:color="auto"/>
        <w:left w:val="none" w:sz="0" w:space="0" w:color="auto"/>
        <w:bottom w:val="none" w:sz="0" w:space="0" w:color="auto"/>
        <w:right w:val="none" w:sz="0" w:space="0" w:color="auto"/>
      </w:divBdr>
    </w:div>
    <w:div w:id="423693588">
      <w:bodyDiv w:val="1"/>
      <w:marLeft w:val="0"/>
      <w:marRight w:val="0"/>
      <w:marTop w:val="0"/>
      <w:marBottom w:val="0"/>
      <w:divBdr>
        <w:top w:val="none" w:sz="0" w:space="0" w:color="auto"/>
        <w:left w:val="none" w:sz="0" w:space="0" w:color="auto"/>
        <w:bottom w:val="none" w:sz="0" w:space="0" w:color="auto"/>
        <w:right w:val="none" w:sz="0" w:space="0" w:color="auto"/>
      </w:divBdr>
    </w:div>
    <w:div w:id="430782466">
      <w:bodyDiv w:val="1"/>
      <w:marLeft w:val="0"/>
      <w:marRight w:val="0"/>
      <w:marTop w:val="0"/>
      <w:marBottom w:val="0"/>
      <w:divBdr>
        <w:top w:val="none" w:sz="0" w:space="0" w:color="auto"/>
        <w:left w:val="none" w:sz="0" w:space="0" w:color="auto"/>
        <w:bottom w:val="none" w:sz="0" w:space="0" w:color="auto"/>
        <w:right w:val="none" w:sz="0" w:space="0" w:color="auto"/>
      </w:divBdr>
    </w:div>
    <w:div w:id="453595402">
      <w:bodyDiv w:val="1"/>
      <w:marLeft w:val="0"/>
      <w:marRight w:val="0"/>
      <w:marTop w:val="0"/>
      <w:marBottom w:val="0"/>
      <w:divBdr>
        <w:top w:val="none" w:sz="0" w:space="0" w:color="auto"/>
        <w:left w:val="none" w:sz="0" w:space="0" w:color="auto"/>
        <w:bottom w:val="none" w:sz="0" w:space="0" w:color="auto"/>
        <w:right w:val="none" w:sz="0" w:space="0" w:color="auto"/>
      </w:divBdr>
    </w:div>
    <w:div w:id="457727915">
      <w:bodyDiv w:val="1"/>
      <w:marLeft w:val="0"/>
      <w:marRight w:val="0"/>
      <w:marTop w:val="0"/>
      <w:marBottom w:val="0"/>
      <w:divBdr>
        <w:top w:val="none" w:sz="0" w:space="0" w:color="auto"/>
        <w:left w:val="none" w:sz="0" w:space="0" w:color="auto"/>
        <w:bottom w:val="none" w:sz="0" w:space="0" w:color="auto"/>
        <w:right w:val="none" w:sz="0" w:space="0" w:color="auto"/>
      </w:divBdr>
    </w:div>
    <w:div w:id="516626037">
      <w:bodyDiv w:val="1"/>
      <w:marLeft w:val="0"/>
      <w:marRight w:val="0"/>
      <w:marTop w:val="0"/>
      <w:marBottom w:val="0"/>
      <w:divBdr>
        <w:top w:val="none" w:sz="0" w:space="0" w:color="auto"/>
        <w:left w:val="none" w:sz="0" w:space="0" w:color="auto"/>
        <w:bottom w:val="none" w:sz="0" w:space="0" w:color="auto"/>
        <w:right w:val="none" w:sz="0" w:space="0" w:color="auto"/>
      </w:divBdr>
    </w:div>
    <w:div w:id="561333161">
      <w:bodyDiv w:val="1"/>
      <w:marLeft w:val="0"/>
      <w:marRight w:val="0"/>
      <w:marTop w:val="0"/>
      <w:marBottom w:val="0"/>
      <w:divBdr>
        <w:top w:val="none" w:sz="0" w:space="0" w:color="auto"/>
        <w:left w:val="none" w:sz="0" w:space="0" w:color="auto"/>
        <w:bottom w:val="none" w:sz="0" w:space="0" w:color="auto"/>
        <w:right w:val="none" w:sz="0" w:space="0" w:color="auto"/>
      </w:divBdr>
    </w:div>
    <w:div w:id="615136759">
      <w:bodyDiv w:val="1"/>
      <w:marLeft w:val="0"/>
      <w:marRight w:val="0"/>
      <w:marTop w:val="0"/>
      <w:marBottom w:val="0"/>
      <w:divBdr>
        <w:top w:val="none" w:sz="0" w:space="0" w:color="auto"/>
        <w:left w:val="none" w:sz="0" w:space="0" w:color="auto"/>
        <w:bottom w:val="none" w:sz="0" w:space="0" w:color="auto"/>
        <w:right w:val="none" w:sz="0" w:space="0" w:color="auto"/>
      </w:divBdr>
    </w:div>
    <w:div w:id="694617545">
      <w:bodyDiv w:val="1"/>
      <w:marLeft w:val="0"/>
      <w:marRight w:val="0"/>
      <w:marTop w:val="0"/>
      <w:marBottom w:val="0"/>
      <w:divBdr>
        <w:top w:val="none" w:sz="0" w:space="0" w:color="auto"/>
        <w:left w:val="none" w:sz="0" w:space="0" w:color="auto"/>
        <w:bottom w:val="none" w:sz="0" w:space="0" w:color="auto"/>
        <w:right w:val="none" w:sz="0" w:space="0" w:color="auto"/>
      </w:divBdr>
    </w:div>
    <w:div w:id="718282522">
      <w:bodyDiv w:val="1"/>
      <w:marLeft w:val="0"/>
      <w:marRight w:val="0"/>
      <w:marTop w:val="0"/>
      <w:marBottom w:val="0"/>
      <w:divBdr>
        <w:top w:val="none" w:sz="0" w:space="0" w:color="auto"/>
        <w:left w:val="none" w:sz="0" w:space="0" w:color="auto"/>
        <w:bottom w:val="none" w:sz="0" w:space="0" w:color="auto"/>
        <w:right w:val="none" w:sz="0" w:space="0" w:color="auto"/>
      </w:divBdr>
    </w:div>
    <w:div w:id="729888111">
      <w:bodyDiv w:val="1"/>
      <w:marLeft w:val="0"/>
      <w:marRight w:val="0"/>
      <w:marTop w:val="0"/>
      <w:marBottom w:val="0"/>
      <w:divBdr>
        <w:top w:val="none" w:sz="0" w:space="0" w:color="auto"/>
        <w:left w:val="none" w:sz="0" w:space="0" w:color="auto"/>
        <w:bottom w:val="none" w:sz="0" w:space="0" w:color="auto"/>
        <w:right w:val="none" w:sz="0" w:space="0" w:color="auto"/>
      </w:divBdr>
    </w:div>
    <w:div w:id="754088742">
      <w:bodyDiv w:val="1"/>
      <w:marLeft w:val="0"/>
      <w:marRight w:val="0"/>
      <w:marTop w:val="0"/>
      <w:marBottom w:val="0"/>
      <w:divBdr>
        <w:top w:val="none" w:sz="0" w:space="0" w:color="auto"/>
        <w:left w:val="none" w:sz="0" w:space="0" w:color="auto"/>
        <w:bottom w:val="none" w:sz="0" w:space="0" w:color="auto"/>
        <w:right w:val="none" w:sz="0" w:space="0" w:color="auto"/>
      </w:divBdr>
    </w:div>
    <w:div w:id="772749545">
      <w:bodyDiv w:val="1"/>
      <w:marLeft w:val="0"/>
      <w:marRight w:val="0"/>
      <w:marTop w:val="0"/>
      <w:marBottom w:val="0"/>
      <w:divBdr>
        <w:top w:val="none" w:sz="0" w:space="0" w:color="auto"/>
        <w:left w:val="none" w:sz="0" w:space="0" w:color="auto"/>
        <w:bottom w:val="none" w:sz="0" w:space="0" w:color="auto"/>
        <w:right w:val="none" w:sz="0" w:space="0" w:color="auto"/>
      </w:divBdr>
    </w:div>
    <w:div w:id="904528395">
      <w:bodyDiv w:val="1"/>
      <w:marLeft w:val="0"/>
      <w:marRight w:val="0"/>
      <w:marTop w:val="0"/>
      <w:marBottom w:val="0"/>
      <w:divBdr>
        <w:top w:val="none" w:sz="0" w:space="0" w:color="auto"/>
        <w:left w:val="none" w:sz="0" w:space="0" w:color="auto"/>
        <w:bottom w:val="none" w:sz="0" w:space="0" w:color="auto"/>
        <w:right w:val="none" w:sz="0" w:space="0" w:color="auto"/>
      </w:divBdr>
    </w:div>
    <w:div w:id="949507351">
      <w:bodyDiv w:val="1"/>
      <w:marLeft w:val="0"/>
      <w:marRight w:val="0"/>
      <w:marTop w:val="0"/>
      <w:marBottom w:val="0"/>
      <w:divBdr>
        <w:top w:val="none" w:sz="0" w:space="0" w:color="auto"/>
        <w:left w:val="none" w:sz="0" w:space="0" w:color="auto"/>
        <w:bottom w:val="none" w:sz="0" w:space="0" w:color="auto"/>
        <w:right w:val="none" w:sz="0" w:space="0" w:color="auto"/>
      </w:divBdr>
    </w:div>
    <w:div w:id="1025601100">
      <w:bodyDiv w:val="1"/>
      <w:marLeft w:val="0"/>
      <w:marRight w:val="0"/>
      <w:marTop w:val="0"/>
      <w:marBottom w:val="0"/>
      <w:divBdr>
        <w:top w:val="none" w:sz="0" w:space="0" w:color="auto"/>
        <w:left w:val="none" w:sz="0" w:space="0" w:color="auto"/>
        <w:bottom w:val="none" w:sz="0" w:space="0" w:color="auto"/>
        <w:right w:val="none" w:sz="0" w:space="0" w:color="auto"/>
      </w:divBdr>
    </w:div>
    <w:div w:id="1037194893">
      <w:bodyDiv w:val="1"/>
      <w:marLeft w:val="0"/>
      <w:marRight w:val="0"/>
      <w:marTop w:val="0"/>
      <w:marBottom w:val="0"/>
      <w:divBdr>
        <w:top w:val="none" w:sz="0" w:space="0" w:color="auto"/>
        <w:left w:val="none" w:sz="0" w:space="0" w:color="auto"/>
        <w:bottom w:val="none" w:sz="0" w:space="0" w:color="auto"/>
        <w:right w:val="none" w:sz="0" w:space="0" w:color="auto"/>
      </w:divBdr>
    </w:div>
    <w:div w:id="1054164036">
      <w:bodyDiv w:val="1"/>
      <w:marLeft w:val="0"/>
      <w:marRight w:val="0"/>
      <w:marTop w:val="0"/>
      <w:marBottom w:val="0"/>
      <w:divBdr>
        <w:top w:val="none" w:sz="0" w:space="0" w:color="auto"/>
        <w:left w:val="none" w:sz="0" w:space="0" w:color="auto"/>
        <w:bottom w:val="none" w:sz="0" w:space="0" w:color="auto"/>
        <w:right w:val="none" w:sz="0" w:space="0" w:color="auto"/>
      </w:divBdr>
    </w:div>
    <w:div w:id="1373966020">
      <w:bodyDiv w:val="1"/>
      <w:marLeft w:val="0"/>
      <w:marRight w:val="0"/>
      <w:marTop w:val="0"/>
      <w:marBottom w:val="0"/>
      <w:divBdr>
        <w:top w:val="none" w:sz="0" w:space="0" w:color="auto"/>
        <w:left w:val="none" w:sz="0" w:space="0" w:color="auto"/>
        <w:bottom w:val="none" w:sz="0" w:space="0" w:color="auto"/>
        <w:right w:val="none" w:sz="0" w:space="0" w:color="auto"/>
      </w:divBdr>
    </w:div>
    <w:div w:id="1504470851">
      <w:bodyDiv w:val="1"/>
      <w:marLeft w:val="0"/>
      <w:marRight w:val="0"/>
      <w:marTop w:val="0"/>
      <w:marBottom w:val="0"/>
      <w:divBdr>
        <w:top w:val="none" w:sz="0" w:space="0" w:color="auto"/>
        <w:left w:val="none" w:sz="0" w:space="0" w:color="auto"/>
        <w:bottom w:val="none" w:sz="0" w:space="0" w:color="auto"/>
        <w:right w:val="none" w:sz="0" w:space="0" w:color="auto"/>
      </w:divBdr>
    </w:div>
    <w:div w:id="1528787856">
      <w:bodyDiv w:val="1"/>
      <w:marLeft w:val="0"/>
      <w:marRight w:val="0"/>
      <w:marTop w:val="0"/>
      <w:marBottom w:val="0"/>
      <w:divBdr>
        <w:top w:val="none" w:sz="0" w:space="0" w:color="auto"/>
        <w:left w:val="none" w:sz="0" w:space="0" w:color="auto"/>
        <w:bottom w:val="none" w:sz="0" w:space="0" w:color="auto"/>
        <w:right w:val="none" w:sz="0" w:space="0" w:color="auto"/>
      </w:divBdr>
    </w:div>
    <w:div w:id="1582829312">
      <w:bodyDiv w:val="1"/>
      <w:marLeft w:val="0"/>
      <w:marRight w:val="0"/>
      <w:marTop w:val="0"/>
      <w:marBottom w:val="0"/>
      <w:divBdr>
        <w:top w:val="none" w:sz="0" w:space="0" w:color="auto"/>
        <w:left w:val="none" w:sz="0" w:space="0" w:color="auto"/>
        <w:bottom w:val="none" w:sz="0" w:space="0" w:color="auto"/>
        <w:right w:val="none" w:sz="0" w:space="0" w:color="auto"/>
      </w:divBdr>
    </w:div>
    <w:div w:id="1667584907">
      <w:bodyDiv w:val="1"/>
      <w:marLeft w:val="0"/>
      <w:marRight w:val="0"/>
      <w:marTop w:val="0"/>
      <w:marBottom w:val="0"/>
      <w:divBdr>
        <w:top w:val="none" w:sz="0" w:space="0" w:color="auto"/>
        <w:left w:val="none" w:sz="0" w:space="0" w:color="auto"/>
        <w:bottom w:val="none" w:sz="0" w:space="0" w:color="auto"/>
        <w:right w:val="none" w:sz="0" w:space="0" w:color="auto"/>
      </w:divBdr>
    </w:div>
    <w:div w:id="1687486757">
      <w:bodyDiv w:val="1"/>
      <w:marLeft w:val="0"/>
      <w:marRight w:val="0"/>
      <w:marTop w:val="0"/>
      <w:marBottom w:val="0"/>
      <w:divBdr>
        <w:top w:val="none" w:sz="0" w:space="0" w:color="auto"/>
        <w:left w:val="none" w:sz="0" w:space="0" w:color="auto"/>
        <w:bottom w:val="none" w:sz="0" w:space="0" w:color="auto"/>
        <w:right w:val="none" w:sz="0" w:space="0" w:color="auto"/>
      </w:divBdr>
    </w:div>
    <w:div w:id="1717968995">
      <w:bodyDiv w:val="1"/>
      <w:marLeft w:val="0"/>
      <w:marRight w:val="0"/>
      <w:marTop w:val="0"/>
      <w:marBottom w:val="0"/>
      <w:divBdr>
        <w:top w:val="none" w:sz="0" w:space="0" w:color="auto"/>
        <w:left w:val="none" w:sz="0" w:space="0" w:color="auto"/>
        <w:bottom w:val="none" w:sz="0" w:space="0" w:color="auto"/>
        <w:right w:val="none" w:sz="0" w:space="0" w:color="auto"/>
      </w:divBdr>
    </w:div>
    <w:div w:id="1748265950">
      <w:bodyDiv w:val="1"/>
      <w:marLeft w:val="0"/>
      <w:marRight w:val="0"/>
      <w:marTop w:val="0"/>
      <w:marBottom w:val="0"/>
      <w:divBdr>
        <w:top w:val="none" w:sz="0" w:space="0" w:color="auto"/>
        <w:left w:val="none" w:sz="0" w:space="0" w:color="auto"/>
        <w:bottom w:val="none" w:sz="0" w:space="0" w:color="auto"/>
        <w:right w:val="none" w:sz="0" w:space="0" w:color="auto"/>
      </w:divBdr>
    </w:div>
    <w:div w:id="1755660755">
      <w:bodyDiv w:val="1"/>
      <w:marLeft w:val="0"/>
      <w:marRight w:val="0"/>
      <w:marTop w:val="0"/>
      <w:marBottom w:val="0"/>
      <w:divBdr>
        <w:top w:val="none" w:sz="0" w:space="0" w:color="auto"/>
        <w:left w:val="none" w:sz="0" w:space="0" w:color="auto"/>
        <w:bottom w:val="none" w:sz="0" w:space="0" w:color="auto"/>
        <w:right w:val="none" w:sz="0" w:space="0" w:color="auto"/>
      </w:divBdr>
    </w:div>
    <w:div w:id="1766874882">
      <w:bodyDiv w:val="1"/>
      <w:marLeft w:val="0"/>
      <w:marRight w:val="0"/>
      <w:marTop w:val="0"/>
      <w:marBottom w:val="0"/>
      <w:divBdr>
        <w:top w:val="none" w:sz="0" w:space="0" w:color="auto"/>
        <w:left w:val="none" w:sz="0" w:space="0" w:color="auto"/>
        <w:bottom w:val="none" w:sz="0" w:space="0" w:color="auto"/>
        <w:right w:val="none" w:sz="0" w:space="0" w:color="auto"/>
      </w:divBdr>
    </w:div>
    <w:div w:id="1859002375">
      <w:bodyDiv w:val="1"/>
      <w:marLeft w:val="0"/>
      <w:marRight w:val="0"/>
      <w:marTop w:val="0"/>
      <w:marBottom w:val="0"/>
      <w:divBdr>
        <w:top w:val="none" w:sz="0" w:space="0" w:color="auto"/>
        <w:left w:val="none" w:sz="0" w:space="0" w:color="auto"/>
        <w:bottom w:val="none" w:sz="0" w:space="0" w:color="auto"/>
        <w:right w:val="none" w:sz="0" w:space="0" w:color="auto"/>
      </w:divBdr>
    </w:div>
    <w:div w:id="1961255561">
      <w:bodyDiv w:val="1"/>
      <w:marLeft w:val="0"/>
      <w:marRight w:val="0"/>
      <w:marTop w:val="0"/>
      <w:marBottom w:val="0"/>
      <w:divBdr>
        <w:top w:val="none" w:sz="0" w:space="0" w:color="auto"/>
        <w:left w:val="none" w:sz="0" w:space="0" w:color="auto"/>
        <w:bottom w:val="none" w:sz="0" w:space="0" w:color="auto"/>
        <w:right w:val="none" w:sz="0" w:space="0" w:color="auto"/>
      </w:divBdr>
    </w:div>
    <w:div w:id="2001225664">
      <w:bodyDiv w:val="1"/>
      <w:marLeft w:val="0"/>
      <w:marRight w:val="0"/>
      <w:marTop w:val="0"/>
      <w:marBottom w:val="0"/>
      <w:divBdr>
        <w:top w:val="none" w:sz="0" w:space="0" w:color="auto"/>
        <w:left w:val="none" w:sz="0" w:space="0" w:color="auto"/>
        <w:bottom w:val="none" w:sz="0" w:space="0" w:color="auto"/>
        <w:right w:val="none" w:sz="0" w:space="0" w:color="auto"/>
      </w:divBdr>
    </w:div>
    <w:div w:id="2077241700">
      <w:bodyDiv w:val="1"/>
      <w:marLeft w:val="0"/>
      <w:marRight w:val="0"/>
      <w:marTop w:val="0"/>
      <w:marBottom w:val="0"/>
      <w:divBdr>
        <w:top w:val="none" w:sz="0" w:space="0" w:color="auto"/>
        <w:left w:val="none" w:sz="0" w:space="0" w:color="auto"/>
        <w:bottom w:val="none" w:sz="0" w:space="0" w:color="auto"/>
        <w:right w:val="none" w:sz="0" w:space="0" w:color="auto"/>
      </w:divBdr>
    </w:div>
    <w:div w:id="2077968394">
      <w:bodyDiv w:val="1"/>
      <w:marLeft w:val="0"/>
      <w:marRight w:val="0"/>
      <w:marTop w:val="0"/>
      <w:marBottom w:val="0"/>
      <w:divBdr>
        <w:top w:val="none" w:sz="0" w:space="0" w:color="auto"/>
        <w:left w:val="none" w:sz="0" w:space="0" w:color="auto"/>
        <w:bottom w:val="none" w:sz="0" w:space="0" w:color="auto"/>
        <w:right w:val="none" w:sz="0" w:space="0" w:color="auto"/>
      </w:divBdr>
    </w:div>
    <w:div w:id="2079791001">
      <w:bodyDiv w:val="1"/>
      <w:marLeft w:val="0"/>
      <w:marRight w:val="0"/>
      <w:marTop w:val="0"/>
      <w:marBottom w:val="0"/>
      <w:divBdr>
        <w:top w:val="none" w:sz="0" w:space="0" w:color="auto"/>
        <w:left w:val="none" w:sz="0" w:space="0" w:color="auto"/>
        <w:bottom w:val="none" w:sz="0" w:space="0" w:color="auto"/>
        <w:right w:val="none" w:sz="0" w:space="0" w:color="auto"/>
      </w:divBdr>
    </w:div>
    <w:div w:id="21404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a:t>
            </a:r>
            <a:r>
              <a:rPr lang="en-US" baseline="0"/>
              <a:t> wages of Avista's Employees Directly-Allocated to WA vs. Employment Cost Index</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'ECI Simple'!$I$5</c:f>
              <c:strCache>
                <c:ptCount val="1"/>
                <c:pt idx="0">
                  <c:v>ECI - Utils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'ECI Simple'!$H$6:$H$14</c:f>
              <c:numCache>
                <c:formatCode>General</c:formatCode>
                <c:ptCount val="9"/>
                <c:pt idx="0">
                  <c:v>2007</c:v>
                </c:pt>
                <c:pt idx="1">
                  <c:v>2008</c:v>
                </c:pt>
                <c:pt idx="2">
                  <c:v>2009</c:v>
                </c:pt>
                <c:pt idx="3">
                  <c:v>2010</c:v>
                </c:pt>
                <c:pt idx="4">
                  <c:v>2011</c:v>
                </c:pt>
                <c:pt idx="5">
                  <c:v>2012</c:v>
                </c:pt>
                <c:pt idx="6">
                  <c:v>2013</c:v>
                </c:pt>
                <c:pt idx="7">
                  <c:v>2014</c:v>
                </c:pt>
                <c:pt idx="8">
                  <c:v>2015</c:v>
                </c:pt>
              </c:numCache>
            </c:numRef>
          </c:xVal>
          <c:yVal>
            <c:numRef>
              <c:f>'ECI Simple'!$I$6:$I$14</c:f>
              <c:numCache>
                <c:formatCode>0.00%</c:formatCode>
                <c:ptCount val="9"/>
                <c:pt idx="0">
                  <c:v>0</c:v>
                </c:pt>
                <c:pt idx="1">
                  <c:v>3.2288926094235969E-2</c:v>
                </c:pt>
                <c:pt idx="2">
                  <c:v>6.1229370963884297E-2</c:v>
                </c:pt>
                <c:pt idx="3">
                  <c:v>0.11863190624252577</c:v>
                </c:pt>
                <c:pt idx="4">
                  <c:v>0.15642190863429811</c:v>
                </c:pt>
                <c:pt idx="5">
                  <c:v>0.19421191102607044</c:v>
                </c:pt>
                <c:pt idx="6">
                  <c:v>0.21310691222195655</c:v>
                </c:pt>
                <c:pt idx="7">
                  <c:v>0.23774216694570688</c:v>
                </c:pt>
                <c:pt idx="8">
                  <c:v>0.27720640994977286</c:v>
                </c:pt>
              </c:numCache>
            </c:numRef>
          </c:yVal>
          <c:smooth val="0"/>
        </c:ser>
        <c:ser>
          <c:idx val="1"/>
          <c:order val="1"/>
          <c:tx>
            <c:strRef>
              <c:f>'ECI Simple'!$J$5</c:f>
              <c:strCache>
                <c:ptCount val="1"/>
                <c:pt idx="0">
                  <c:v>Avista Gas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'ECI Simple'!$H$6:$H$14</c:f>
              <c:numCache>
                <c:formatCode>General</c:formatCode>
                <c:ptCount val="9"/>
                <c:pt idx="0">
                  <c:v>2007</c:v>
                </c:pt>
                <c:pt idx="1">
                  <c:v>2008</c:v>
                </c:pt>
                <c:pt idx="2">
                  <c:v>2009</c:v>
                </c:pt>
                <c:pt idx="3">
                  <c:v>2010</c:v>
                </c:pt>
                <c:pt idx="4">
                  <c:v>2011</c:v>
                </c:pt>
                <c:pt idx="5">
                  <c:v>2012</c:v>
                </c:pt>
                <c:pt idx="6">
                  <c:v>2013</c:v>
                </c:pt>
                <c:pt idx="7">
                  <c:v>2014</c:v>
                </c:pt>
                <c:pt idx="8">
                  <c:v>2015</c:v>
                </c:pt>
              </c:numCache>
            </c:numRef>
          </c:xVal>
          <c:yVal>
            <c:numRef>
              <c:f>'ECI Simple'!$J$6:$J$14</c:f>
              <c:numCache>
                <c:formatCode>0.00%</c:formatCode>
                <c:ptCount val="9"/>
                <c:pt idx="0">
                  <c:v>0</c:v>
                </c:pt>
                <c:pt idx="1">
                  <c:v>1.5530560781331306E-2</c:v>
                </c:pt>
                <c:pt idx="2">
                  <c:v>2.8339270704078774E-2</c:v>
                </c:pt>
                <c:pt idx="3">
                  <c:v>0.10465116279069768</c:v>
                </c:pt>
                <c:pt idx="4">
                  <c:v>0.11453788576231838</c:v>
                </c:pt>
                <c:pt idx="5">
                  <c:v>0.1308689909138214</c:v>
                </c:pt>
                <c:pt idx="6">
                  <c:v>0.2489893127326582</c:v>
                </c:pt>
                <c:pt idx="7">
                  <c:v>0.36074530680862987</c:v>
                </c:pt>
                <c:pt idx="8">
                  <c:v>0.35410078853620464</c:v>
                </c:pt>
              </c:numCache>
            </c:numRef>
          </c:yVal>
          <c:smooth val="0"/>
        </c:ser>
        <c:ser>
          <c:idx val="2"/>
          <c:order val="2"/>
          <c:tx>
            <c:strRef>
              <c:f>'ECI Simple'!$K$5</c:f>
              <c:strCache>
                <c:ptCount val="1"/>
                <c:pt idx="0">
                  <c:v>Avista Elec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'ECI Simple'!$H$6:$H$14</c:f>
              <c:numCache>
                <c:formatCode>General</c:formatCode>
                <c:ptCount val="9"/>
                <c:pt idx="0">
                  <c:v>2007</c:v>
                </c:pt>
                <c:pt idx="1">
                  <c:v>2008</c:v>
                </c:pt>
                <c:pt idx="2">
                  <c:v>2009</c:v>
                </c:pt>
                <c:pt idx="3">
                  <c:v>2010</c:v>
                </c:pt>
                <c:pt idx="4">
                  <c:v>2011</c:v>
                </c:pt>
                <c:pt idx="5">
                  <c:v>2012</c:v>
                </c:pt>
                <c:pt idx="6">
                  <c:v>2013</c:v>
                </c:pt>
                <c:pt idx="7">
                  <c:v>2014</c:v>
                </c:pt>
                <c:pt idx="8">
                  <c:v>2015</c:v>
                </c:pt>
              </c:numCache>
            </c:numRef>
          </c:xVal>
          <c:yVal>
            <c:numRef>
              <c:f>'ECI Simple'!$K$6:$K$14</c:f>
              <c:numCache>
                <c:formatCode>0.00%</c:formatCode>
                <c:ptCount val="9"/>
                <c:pt idx="0">
                  <c:v>0</c:v>
                </c:pt>
                <c:pt idx="1">
                  <c:v>3.0127789218313633E-2</c:v>
                </c:pt>
                <c:pt idx="2">
                  <c:v>5.1200315946853224E-2</c:v>
                </c:pt>
                <c:pt idx="3">
                  <c:v>0.10478433806313295</c:v>
                </c:pt>
                <c:pt idx="4">
                  <c:v>0.14501114276848431</c:v>
                </c:pt>
                <c:pt idx="5">
                  <c:v>0.17145758695590849</c:v>
                </c:pt>
                <c:pt idx="6">
                  <c:v>0.19671923044373607</c:v>
                </c:pt>
                <c:pt idx="7">
                  <c:v>0.22688933397274957</c:v>
                </c:pt>
                <c:pt idx="8">
                  <c:v>0.35771107788654122</c:v>
                </c:pt>
              </c:numCache>
            </c:numRef>
          </c:yVal>
          <c:smooth val="0"/>
        </c:ser>
        <c:dLbls>
          <c:showLegendKey val="0"/>
          <c:showVal val="0"/>
          <c:showCatName val="0"/>
          <c:showSerName val="0"/>
          <c:showPercent val="0"/>
          <c:showBubbleSize val="0"/>
        </c:dLbls>
        <c:axId val="260827928"/>
        <c:axId val="253920536"/>
      </c:scatterChart>
      <c:valAx>
        <c:axId val="260827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920536"/>
        <c:crosses val="autoZero"/>
        <c:crossBetween val="midCat"/>
      </c:valAx>
      <c:valAx>
        <c:axId val="253920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82792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2016-09-19T23:32:53+00:00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3C657-81D6-425B-935B-26728012413A}"/>
</file>

<file path=customXml/itemProps2.xml><?xml version="1.0" encoding="utf-8"?>
<ds:datastoreItem xmlns:ds="http://schemas.openxmlformats.org/officeDocument/2006/customXml" ds:itemID="{A99CC9C6-BB73-4DB8-B2F3-A2C534969D98}">
  <ds:schemaRefs>
    <ds:schemaRef ds:uri="http://schemas.microsoft.com/sharepoint/v3/contenttype/forms"/>
  </ds:schemaRefs>
</ds:datastoreItem>
</file>

<file path=customXml/itemProps3.xml><?xml version="1.0" encoding="utf-8"?>
<ds:datastoreItem xmlns:ds="http://schemas.openxmlformats.org/officeDocument/2006/customXml" ds:itemID="{FE071C75-7D90-41E4-91D3-C93606751324}">
  <ds:schemaRefs>
    <ds:schemaRef ds:uri="http://schemas.openxmlformats.org/package/2006/metadata/core-properties"/>
    <ds:schemaRef ds:uri="24f70c62-691b-492e-ba59-9d389529a97e"/>
    <ds:schemaRef ds:uri="http://www.w3.org/XML/1998/namespace"/>
    <ds:schemaRef ds:uri="http://purl.org/dc/elements/1.1/"/>
    <ds:schemaRef ds:uri="http://schemas.microsoft.com/sharepoint/v3/field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B6CA32F-ECB2-43BB-8B44-D28298609E54}">
  <ds:schemaRefs>
    <ds:schemaRef ds:uri="http://schemas.openxmlformats.org/officeDocument/2006/bibliography"/>
  </ds:schemaRefs>
</ds:datastoreItem>
</file>

<file path=customXml/itemProps5.xml><?xml version="1.0" encoding="utf-8"?>
<ds:datastoreItem xmlns:ds="http://schemas.openxmlformats.org/officeDocument/2006/customXml" ds:itemID="{4A380821-881D-4D5A-BE9C-3065EF0740EE}"/>
</file>

<file path=docProps/app.xml><?xml version="1.0" encoding="utf-8"?>
<Properties xmlns="http://schemas.openxmlformats.org/officeDocument/2006/extended-properties" xmlns:vt="http://schemas.openxmlformats.org/officeDocument/2006/docPropsVTypes">
  <Template>Normal.dotm</Template>
  <TotalTime>5454</TotalTime>
  <Pages>12</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Hancock Cross-Answering Testimony</vt:lpstr>
    </vt:vector>
  </TitlesOfParts>
  <Company>Washington Utilities and Transportation Commission</Company>
  <LinksUpToDate>false</LinksUpToDate>
  <CharactersWithSpaces>12971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Hancock Cross-Answering Testimony</dc:title>
  <dc:subject/>
  <dc:creator>chancock@utc.wa.gov</dc:creator>
  <cp:keywords/>
  <dc:description/>
  <cp:lastModifiedBy>DeMarco, Betsy (UTC)</cp:lastModifiedBy>
  <cp:revision>237</cp:revision>
  <cp:lastPrinted>2016-08-10T15:08:00Z</cp:lastPrinted>
  <dcterms:created xsi:type="dcterms:W3CDTF">2016-08-04T01:28:00Z</dcterms:created>
  <dcterms:modified xsi:type="dcterms:W3CDTF">2016-09-19T20:56:00Z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