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18" w:rsidRDefault="00114D18" w:rsidP="00671131">
      <w:pPr>
        <w:pStyle w:val="CourtName"/>
        <w:rPr>
          <w:b/>
          <w:caps/>
        </w:rPr>
      </w:pPr>
    </w:p>
    <w:p w:rsidR="00114D18" w:rsidRDefault="00114D18" w:rsidP="00671131">
      <w:pPr>
        <w:pStyle w:val="CourtName"/>
        <w:rPr>
          <w:b/>
          <w:caps/>
        </w:rPr>
      </w:pPr>
    </w:p>
    <w:p w:rsidR="00671131" w:rsidRPr="00F649C2" w:rsidRDefault="00671131" w:rsidP="00F649C2">
      <w:pPr>
        <w:pStyle w:val="CourtName"/>
        <w:ind w:left="-360" w:right="-432"/>
        <w:rPr>
          <w:caps/>
        </w:rPr>
      </w:pPr>
      <w:r w:rsidRPr="00F649C2">
        <w:rPr>
          <w:caps/>
        </w:rPr>
        <w:t>BEFORE THE WASHINGTON STATE UTILITIES AND TRANSPORTATION COMMISSION</w:t>
      </w:r>
    </w:p>
    <w:p w:rsidR="00671131" w:rsidRDefault="00671131" w:rsidP="00671131">
      <w:pPr>
        <w:pStyle w:val="CourtName"/>
        <w:rPr>
          <w:b/>
          <w:caps/>
        </w:rPr>
      </w:pPr>
    </w:p>
    <w:p w:rsidR="00671131" w:rsidRDefault="00671131" w:rsidP="00671131">
      <w:pPr>
        <w:jc w:val="center"/>
      </w:pPr>
    </w:p>
    <w:tbl>
      <w:tblPr>
        <w:tblW w:w="0" w:type="auto"/>
        <w:tblInd w:w="360" w:type="dxa"/>
        <w:tblBorders>
          <w:bottom w:val="single" w:sz="6" w:space="0" w:color="auto"/>
        </w:tblBorders>
        <w:tblLayout w:type="fixed"/>
        <w:tblCellMar>
          <w:left w:w="360" w:type="dxa"/>
          <w:right w:w="360" w:type="dxa"/>
        </w:tblCellMar>
        <w:tblLook w:val="0000"/>
      </w:tblPr>
      <w:tblGrid>
        <w:gridCol w:w="4500"/>
        <w:gridCol w:w="4500"/>
      </w:tblGrid>
      <w:tr w:rsidR="00671131" w:rsidTr="00FE1095">
        <w:tc>
          <w:tcPr>
            <w:tcW w:w="4500" w:type="dxa"/>
            <w:tcBorders>
              <w:bottom w:val="single" w:sz="6" w:space="0" w:color="auto"/>
              <w:right w:val="single" w:sz="6" w:space="0" w:color="auto"/>
            </w:tcBorders>
          </w:tcPr>
          <w:p w:rsidR="008753E8" w:rsidRDefault="008753E8" w:rsidP="00114D18">
            <w:pPr>
              <w:tabs>
                <w:tab w:val="left" w:pos="2160"/>
              </w:tabs>
              <w:spacing w:line="240" w:lineRule="auto"/>
              <w:rPr>
                <w:bCs/>
                <w:sz w:val="25"/>
                <w:szCs w:val="25"/>
              </w:rPr>
            </w:pPr>
            <w:r w:rsidRPr="006D4414">
              <w:rPr>
                <w:bCs/>
                <w:sz w:val="25"/>
                <w:szCs w:val="25"/>
              </w:rPr>
              <w:t>WASHINGTON U</w:t>
            </w:r>
            <w:r>
              <w:rPr>
                <w:bCs/>
                <w:sz w:val="25"/>
                <w:szCs w:val="25"/>
              </w:rPr>
              <w:t>TILITIES AND TRANSPORTATION COMMISSION,</w:t>
            </w:r>
          </w:p>
          <w:p w:rsidR="008753E8" w:rsidRDefault="008753E8" w:rsidP="00114D18">
            <w:pPr>
              <w:tabs>
                <w:tab w:val="left" w:pos="2160"/>
              </w:tabs>
              <w:spacing w:line="240" w:lineRule="auto"/>
              <w:rPr>
                <w:bCs/>
                <w:sz w:val="25"/>
                <w:szCs w:val="25"/>
              </w:rPr>
            </w:pPr>
          </w:p>
          <w:p w:rsidR="008753E8" w:rsidRDefault="00114D18" w:rsidP="00114D18">
            <w:pPr>
              <w:spacing w:line="240" w:lineRule="auto"/>
              <w:rPr>
                <w:bCs/>
                <w:sz w:val="25"/>
                <w:szCs w:val="25"/>
              </w:rPr>
            </w:pPr>
            <w:r>
              <w:rPr>
                <w:bCs/>
                <w:sz w:val="25"/>
                <w:szCs w:val="25"/>
              </w:rPr>
              <w:tab/>
            </w:r>
            <w:r w:rsidR="008753E8">
              <w:rPr>
                <w:bCs/>
                <w:sz w:val="25"/>
                <w:szCs w:val="25"/>
              </w:rPr>
              <w:t>Complainant,</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v.</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PUGET SOUND ENERGY, INC.,</w:t>
            </w:r>
          </w:p>
          <w:p w:rsidR="008753E8" w:rsidRDefault="008753E8" w:rsidP="00114D18">
            <w:pPr>
              <w:tabs>
                <w:tab w:val="left" w:pos="2160"/>
              </w:tabs>
              <w:spacing w:line="240" w:lineRule="auto"/>
              <w:rPr>
                <w:bCs/>
                <w:sz w:val="25"/>
                <w:szCs w:val="25"/>
              </w:rPr>
            </w:pPr>
          </w:p>
          <w:p w:rsidR="008753E8" w:rsidRPr="006D4414" w:rsidRDefault="00114D18" w:rsidP="00114D18">
            <w:pPr>
              <w:spacing w:line="240" w:lineRule="auto"/>
              <w:rPr>
                <w:bCs/>
                <w:sz w:val="25"/>
                <w:szCs w:val="25"/>
              </w:rPr>
            </w:pPr>
            <w:r>
              <w:rPr>
                <w:bCs/>
                <w:sz w:val="25"/>
                <w:szCs w:val="25"/>
              </w:rPr>
              <w:tab/>
            </w:r>
            <w:r w:rsidR="008753E8">
              <w:rPr>
                <w:bCs/>
                <w:sz w:val="25"/>
                <w:szCs w:val="25"/>
              </w:rPr>
              <w:t>Respondent.</w:t>
            </w:r>
          </w:p>
          <w:p w:rsidR="00671131" w:rsidRDefault="00671131" w:rsidP="00114D18">
            <w:pPr>
              <w:spacing w:line="240" w:lineRule="auto"/>
              <w:ind w:left="-360"/>
            </w:pPr>
          </w:p>
        </w:tc>
        <w:tc>
          <w:tcPr>
            <w:tcW w:w="4500" w:type="dxa"/>
            <w:tcBorders>
              <w:left w:val="nil"/>
              <w:bottom w:val="nil"/>
            </w:tcBorders>
          </w:tcPr>
          <w:p w:rsidR="002E57EF" w:rsidRDefault="002E57EF" w:rsidP="00114D18">
            <w:pPr>
              <w:spacing w:line="240" w:lineRule="auto"/>
            </w:pPr>
            <w:bookmarkStart w:id="0" w:name="Court_Doc_Number"/>
            <w:bookmarkEnd w:id="0"/>
          </w:p>
          <w:p w:rsidR="003E3E96" w:rsidRDefault="00671131" w:rsidP="00114D18">
            <w:pPr>
              <w:spacing w:line="240" w:lineRule="auto"/>
            </w:pPr>
            <w:r>
              <w:t>DOCKET</w:t>
            </w:r>
            <w:r w:rsidR="003E3E96">
              <w:t>S</w:t>
            </w:r>
            <w:r>
              <w:t xml:space="preserve"> </w:t>
            </w:r>
            <w:r w:rsidR="00DB450D">
              <w:t>UE-130137</w:t>
            </w:r>
            <w:r w:rsidR="003E3E96">
              <w:t xml:space="preserve"> </w:t>
            </w:r>
          </w:p>
          <w:p w:rsidR="00671131" w:rsidRDefault="003E3E96" w:rsidP="00114D18">
            <w:pPr>
              <w:spacing w:line="240" w:lineRule="auto"/>
            </w:pPr>
            <w:r>
              <w:t>and UG-130138</w:t>
            </w:r>
          </w:p>
          <w:p w:rsidR="00671131" w:rsidRDefault="00671131" w:rsidP="00114D18">
            <w:pPr>
              <w:spacing w:line="240" w:lineRule="auto"/>
            </w:pPr>
          </w:p>
          <w:p w:rsidR="00671131" w:rsidRDefault="00671131" w:rsidP="00114D18">
            <w:pPr>
              <w:spacing w:line="240" w:lineRule="auto"/>
            </w:pPr>
          </w:p>
          <w:p w:rsidR="00671131" w:rsidRDefault="00671131" w:rsidP="00114D18">
            <w:pPr>
              <w:spacing w:line="240" w:lineRule="auto"/>
            </w:pPr>
          </w:p>
        </w:tc>
      </w:tr>
      <w:tr w:rsidR="0073711B" w:rsidTr="00E5759D">
        <w:tc>
          <w:tcPr>
            <w:tcW w:w="4500" w:type="dxa"/>
            <w:tcBorders>
              <w:bottom w:val="single" w:sz="6" w:space="0" w:color="auto"/>
              <w:right w:val="single" w:sz="6" w:space="0" w:color="auto"/>
            </w:tcBorders>
          </w:tcPr>
          <w:p w:rsidR="00F035FF" w:rsidRPr="00F035FF" w:rsidRDefault="00F035FF" w:rsidP="00F035FF">
            <w:pPr>
              <w:spacing w:line="240" w:lineRule="auto"/>
              <w:rPr>
                <w:sz w:val="25"/>
                <w:szCs w:val="25"/>
              </w:rPr>
            </w:pPr>
            <w:r w:rsidRPr="00F035FF">
              <w:rPr>
                <w:sz w:val="25"/>
                <w:szCs w:val="25"/>
              </w:rPr>
              <w:t>In the Matter of the Petition of</w:t>
            </w:r>
          </w:p>
          <w:p w:rsidR="00F035FF" w:rsidRPr="00F035FF" w:rsidRDefault="00F035FF" w:rsidP="00F035FF">
            <w:pPr>
              <w:spacing w:line="240" w:lineRule="auto"/>
              <w:rPr>
                <w:sz w:val="25"/>
                <w:szCs w:val="25"/>
              </w:rPr>
            </w:pPr>
          </w:p>
          <w:p w:rsidR="00F035FF" w:rsidRDefault="00F035FF" w:rsidP="00F035FF">
            <w:pPr>
              <w:spacing w:line="240" w:lineRule="auto"/>
              <w:rPr>
                <w:sz w:val="25"/>
                <w:szCs w:val="25"/>
              </w:rPr>
            </w:pPr>
            <w:r w:rsidRPr="00F035FF">
              <w:rPr>
                <w:sz w:val="25"/>
                <w:szCs w:val="25"/>
              </w:rPr>
              <w:t>PUGET SOUND ENERGY, INC., and</w:t>
            </w:r>
          </w:p>
          <w:p w:rsidR="00F035FF" w:rsidRPr="00F035FF" w:rsidRDefault="00F035FF" w:rsidP="00F035FF">
            <w:pPr>
              <w:spacing w:line="240" w:lineRule="auto"/>
              <w:rPr>
                <w:sz w:val="25"/>
                <w:szCs w:val="25"/>
              </w:rPr>
            </w:pPr>
            <w:r w:rsidRPr="00F035FF">
              <w:rPr>
                <w:sz w:val="25"/>
                <w:szCs w:val="25"/>
              </w:rPr>
              <w:t>NW ENERGY COALITION</w:t>
            </w:r>
          </w:p>
          <w:p w:rsidR="00F035FF" w:rsidRPr="00F035FF" w:rsidRDefault="00F035FF" w:rsidP="00F035FF">
            <w:pPr>
              <w:spacing w:line="240" w:lineRule="auto"/>
              <w:rPr>
                <w:sz w:val="25"/>
                <w:szCs w:val="25"/>
              </w:rPr>
            </w:pPr>
          </w:p>
          <w:p w:rsidR="0073711B" w:rsidRDefault="00F035FF" w:rsidP="00F035FF">
            <w:pPr>
              <w:tabs>
                <w:tab w:val="left" w:pos="2160"/>
                <w:tab w:val="left" w:pos="2520"/>
              </w:tabs>
              <w:spacing w:line="240" w:lineRule="auto"/>
            </w:pPr>
            <w:r w:rsidRPr="00F035FF">
              <w:rPr>
                <w:sz w:val="25"/>
                <w:szCs w:val="25"/>
              </w:rPr>
              <w:t>For an Order Authorizing PSE to Implement Electric and Natural Gas Decoupling Mechanisms and to Record Accounting Entries Associated with the Mechanisms</w:t>
            </w:r>
          </w:p>
        </w:tc>
        <w:tc>
          <w:tcPr>
            <w:tcW w:w="4500" w:type="dxa"/>
            <w:tcBorders>
              <w:left w:val="nil"/>
              <w:bottom w:val="nil"/>
            </w:tcBorders>
          </w:tcPr>
          <w:p w:rsidR="003610D2" w:rsidRPr="00DA5DBB" w:rsidRDefault="003610D2" w:rsidP="00D41EC2">
            <w:pPr>
              <w:spacing w:line="240" w:lineRule="auto"/>
              <w:rPr>
                <w:sz w:val="25"/>
                <w:szCs w:val="25"/>
              </w:rPr>
            </w:pPr>
            <w:r w:rsidRPr="00DA5DBB">
              <w:rPr>
                <w:sz w:val="25"/>
                <w:szCs w:val="25"/>
              </w:rPr>
              <w:t>DOCKETS UE-</w:t>
            </w:r>
            <w:r w:rsidR="00DB450D">
              <w:rPr>
                <w:sz w:val="25"/>
                <w:szCs w:val="25"/>
              </w:rPr>
              <w:t>121697</w:t>
            </w:r>
          </w:p>
          <w:p w:rsidR="003610D2" w:rsidRDefault="003610D2" w:rsidP="00D41EC2">
            <w:pPr>
              <w:spacing w:line="240" w:lineRule="auto"/>
              <w:rPr>
                <w:i/>
                <w:sz w:val="25"/>
                <w:szCs w:val="25"/>
              </w:rPr>
            </w:pPr>
            <w:r>
              <w:rPr>
                <w:bCs/>
                <w:sz w:val="25"/>
                <w:szCs w:val="25"/>
              </w:rPr>
              <w:t>and</w:t>
            </w:r>
            <w:r w:rsidRPr="00DA5DBB">
              <w:rPr>
                <w:bCs/>
                <w:sz w:val="25"/>
                <w:szCs w:val="25"/>
              </w:rPr>
              <w:t xml:space="preserve"> </w:t>
            </w:r>
            <w:r w:rsidRPr="00DA5DBB">
              <w:rPr>
                <w:sz w:val="25"/>
                <w:szCs w:val="25"/>
              </w:rPr>
              <w:t>UG-</w:t>
            </w:r>
            <w:r w:rsidR="00DB450D">
              <w:rPr>
                <w:sz w:val="25"/>
                <w:szCs w:val="25"/>
              </w:rPr>
              <w:t>121705</w:t>
            </w:r>
            <w:r w:rsidRPr="00DA5DBB">
              <w:rPr>
                <w:sz w:val="25"/>
                <w:szCs w:val="25"/>
              </w:rPr>
              <w:t xml:space="preserve"> </w:t>
            </w:r>
          </w:p>
          <w:p w:rsidR="001D60D7" w:rsidRDefault="001D60D7" w:rsidP="00D41EC2">
            <w:pPr>
              <w:spacing w:line="240" w:lineRule="auto"/>
              <w:rPr>
                <w:i/>
                <w:sz w:val="25"/>
                <w:szCs w:val="25"/>
              </w:rPr>
            </w:pPr>
          </w:p>
          <w:p w:rsidR="001D60D7" w:rsidRPr="001D60D7" w:rsidRDefault="004633D9" w:rsidP="00D41EC2">
            <w:pPr>
              <w:spacing w:line="240" w:lineRule="auto"/>
              <w:rPr>
                <w:sz w:val="25"/>
                <w:szCs w:val="25"/>
              </w:rPr>
            </w:pPr>
            <w:r>
              <w:rPr>
                <w:sz w:val="25"/>
                <w:szCs w:val="25"/>
              </w:rPr>
              <w:t xml:space="preserve">EXPEDITED </w:t>
            </w:r>
            <w:r w:rsidR="001D60D7">
              <w:rPr>
                <w:sz w:val="25"/>
                <w:szCs w:val="25"/>
              </w:rPr>
              <w:t>JOINT MOTI</w:t>
            </w:r>
            <w:r w:rsidR="00DB450D">
              <w:rPr>
                <w:sz w:val="25"/>
                <w:szCs w:val="25"/>
              </w:rPr>
              <w:t>ON TO CONSOLIDATE OF INDUSTRIAL CUSTOMERS OF NORTHWEST UTILITIES</w:t>
            </w:r>
            <w:r w:rsidR="001D60D7">
              <w:rPr>
                <w:sz w:val="25"/>
                <w:szCs w:val="25"/>
              </w:rPr>
              <w:t>, PUBLIC COUNSEL</w:t>
            </w:r>
            <w:r w:rsidR="00A44F27">
              <w:rPr>
                <w:sz w:val="25"/>
                <w:szCs w:val="25"/>
              </w:rPr>
              <w:t>,</w:t>
            </w:r>
            <w:r w:rsidR="001D60D7">
              <w:rPr>
                <w:sz w:val="25"/>
                <w:szCs w:val="25"/>
              </w:rPr>
              <w:t xml:space="preserve"> AND </w:t>
            </w:r>
            <w:r w:rsidR="003F6DBC">
              <w:rPr>
                <w:sz w:val="25"/>
                <w:szCs w:val="25"/>
              </w:rPr>
              <w:t xml:space="preserve">THE </w:t>
            </w:r>
            <w:r w:rsidR="001D60D7">
              <w:rPr>
                <w:sz w:val="25"/>
                <w:szCs w:val="25"/>
              </w:rPr>
              <w:t>NORTHWEST INDUSTRIAL GAS USERS</w:t>
            </w:r>
          </w:p>
          <w:p w:rsidR="0073711B" w:rsidRDefault="0073711B" w:rsidP="00114D18">
            <w:pPr>
              <w:spacing w:line="240" w:lineRule="auto"/>
            </w:pPr>
          </w:p>
        </w:tc>
      </w:tr>
    </w:tbl>
    <w:p w:rsidR="0075174F" w:rsidRDefault="0075174F" w:rsidP="0075174F">
      <w:pPr>
        <w:pStyle w:val="Heading1"/>
        <w:numPr>
          <w:ilvl w:val="0"/>
          <w:numId w:val="0"/>
        </w:numPr>
        <w:spacing w:before="0" w:line="480" w:lineRule="auto"/>
        <w:ind w:left="720" w:hanging="720"/>
        <w:jc w:val="left"/>
      </w:pPr>
    </w:p>
    <w:p w:rsidR="001D60D7" w:rsidRDefault="004B0379" w:rsidP="0075174F">
      <w:pPr>
        <w:pStyle w:val="Heading1"/>
        <w:numPr>
          <w:ilvl w:val="0"/>
          <w:numId w:val="1"/>
        </w:numPr>
        <w:spacing w:before="0" w:line="480" w:lineRule="auto"/>
      </w:pPr>
      <w:r>
        <w:t>INTRODUCTION</w:t>
      </w:r>
    </w:p>
    <w:p w:rsidR="001D60D7" w:rsidRDefault="00354FFC" w:rsidP="00354FFC">
      <w:pPr>
        <w:numPr>
          <w:ilvl w:val="0"/>
          <w:numId w:val="22"/>
        </w:numPr>
        <w:spacing w:line="480" w:lineRule="auto"/>
      </w:pPr>
      <w:r>
        <w:tab/>
      </w:r>
      <w:r w:rsidR="000F389E">
        <w:tab/>
      </w:r>
      <w:r w:rsidR="001D60D7">
        <w:t xml:space="preserve">The </w:t>
      </w:r>
      <w:r w:rsidR="00DB450D">
        <w:t>Industrial Customers of Northwest Utilities (“ICNU”</w:t>
      </w:r>
      <w:r w:rsidR="001D60D7">
        <w:t xml:space="preserve">), the Public Counsel </w:t>
      </w:r>
      <w:r w:rsidR="000068D4">
        <w:t>Division</w:t>
      </w:r>
      <w:r w:rsidR="001D60D7">
        <w:t xml:space="preserve"> of the Washington Attorney General’s Office (</w:t>
      </w:r>
      <w:r w:rsidR="00DB450D">
        <w:t>“</w:t>
      </w:r>
      <w:r w:rsidR="001D60D7">
        <w:t>Public Counsel</w:t>
      </w:r>
      <w:r w:rsidR="00DB450D">
        <w:t>”</w:t>
      </w:r>
      <w:r w:rsidR="001D60D7">
        <w:t xml:space="preserve">), and </w:t>
      </w:r>
      <w:r w:rsidR="003F6DBC">
        <w:t xml:space="preserve">the </w:t>
      </w:r>
      <w:r w:rsidR="001D60D7">
        <w:t>Northwest Industrial Gas Users (</w:t>
      </w:r>
      <w:r w:rsidR="00DB450D">
        <w:t>“</w:t>
      </w:r>
      <w:r w:rsidR="001D60D7">
        <w:t>NWIGU</w:t>
      </w:r>
      <w:r w:rsidR="00DB450D">
        <w:t>”</w:t>
      </w:r>
      <w:r w:rsidR="001D60D7">
        <w:t>) (collectively</w:t>
      </w:r>
      <w:r w:rsidR="003E3E96">
        <w:t>,</w:t>
      </w:r>
      <w:r w:rsidR="001D60D7">
        <w:t xml:space="preserve"> </w:t>
      </w:r>
      <w:r w:rsidR="003E3E96">
        <w:t>“</w:t>
      </w:r>
      <w:r w:rsidR="001D60D7">
        <w:t>Joint Movants</w:t>
      </w:r>
      <w:r w:rsidR="003E3E96">
        <w:t>”</w:t>
      </w:r>
      <w:r w:rsidR="001D60D7">
        <w:t>) jointly move to consolidate Puget Sound Energy, Inc.</w:t>
      </w:r>
      <w:r w:rsidR="007B5E66">
        <w:t>’s</w:t>
      </w:r>
      <w:r w:rsidR="001D60D7">
        <w:t xml:space="preserve"> (</w:t>
      </w:r>
      <w:r w:rsidR="003E3E96">
        <w:t>“</w:t>
      </w:r>
      <w:r w:rsidR="001D60D7">
        <w:t>PSE</w:t>
      </w:r>
      <w:r w:rsidR="003E3E96">
        <w:t>”) 2013</w:t>
      </w:r>
      <w:r w:rsidR="001D60D7">
        <w:t xml:space="preserve"> </w:t>
      </w:r>
      <w:r w:rsidR="003E3E96">
        <w:t>expedited</w:t>
      </w:r>
      <w:r w:rsidR="001D60D7">
        <w:t xml:space="preserve"> rate </w:t>
      </w:r>
      <w:r w:rsidR="003E3E96">
        <w:t>filing</w:t>
      </w:r>
      <w:r w:rsidR="001D60D7">
        <w:t xml:space="preserve"> (</w:t>
      </w:r>
      <w:r w:rsidR="003E3E96">
        <w:t>“ERF”</w:t>
      </w:r>
      <w:r w:rsidR="001D60D7">
        <w:t>)</w:t>
      </w:r>
      <w:r w:rsidR="001D60D7" w:rsidRPr="007076A7">
        <w:rPr>
          <w:rStyle w:val="FootnoteReference"/>
          <w:u w:val="single"/>
        </w:rPr>
        <w:footnoteReference w:id="1"/>
      </w:r>
      <w:r w:rsidR="007076A7" w:rsidRPr="007076A7">
        <w:rPr>
          <w:vertAlign w:val="superscript"/>
        </w:rPr>
        <w:t>/</w:t>
      </w:r>
      <w:r w:rsidR="001D60D7">
        <w:t xml:space="preserve"> </w:t>
      </w:r>
      <w:r w:rsidR="000D272D">
        <w:t xml:space="preserve">and </w:t>
      </w:r>
      <w:r w:rsidR="001D60D7">
        <w:t xml:space="preserve">its </w:t>
      </w:r>
      <w:r w:rsidR="00346464">
        <w:lastRenderedPageBreak/>
        <w:t>A</w:t>
      </w:r>
      <w:r w:rsidR="001E0145">
        <w:t xml:space="preserve">mended </w:t>
      </w:r>
      <w:r w:rsidR="00346464">
        <w:t>P</w:t>
      </w:r>
      <w:r w:rsidR="008D6603">
        <w:t>etition</w:t>
      </w:r>
      <w:r w:rsidR="00346464">
        <w:t xml:space="preserve"> for</w:t>
      </w:r>
      <w:r w:rsidR="008D6603">
        <w:t xml:space="preserve"> </w:t>
      </w:r>
      <w:r w:rsidR="00346464">
        <w:t>D</w:t>
      </w:r>
      <w:r w:rsidR="008D6603">
        <w:t xml:space="preserve">ecoupling </w:t>
      </w:r>
      <w:r w:rsidR="00346464">
        <w:t>M</w:t>
      </w:r>
      <w:r w:rsidR="003E3E96">
        <w:t xml:space="preserve">echanisms </w:t>
      </w:r>
      <w:r w:rsidR="001D60D7">
        <w:t>(</w:t>
      </w:r>
      <w:r w:rsidR="003E3E96">
        <w:t>“Decoupling Petition”</w:t>
      </w:r>
      <w:r w:rsidR="001D60D7">
        <w:t>)</w:t>
      </w:r>
      <w:r w:rsidR="000D272D">
        <w:t>.</w:t>
      </w:r>
      <w:r w:rsidR="001D60D7" w:rsidRPr="007076A7">
        <w:rPr>
          <w:rStyle w:val="FootnoteReference"/>
          <w:u w:val="single"/>
        </w:rPr>
        <w:footnoteReference w:id="2"/>
      </w:r>
      <w:r w:rsidR="007076A7" w:rsidRPr="007076A7">
        <w:rPr>
          <w:vertAlign w:val="superscript"/>
        </w:rPr>
        <w:t>/</w:t>
      </w:r>
      <w:r w:rsidR="003E3E96">
        <w:t xml:space="preserve"> </w:t>
      </w:r>
      <w:r w:rsidR="004633D9">
        <w:t xml:space="preserve">Due to the apparent expedited nature of this proceeding, </w:t>
      </w:r>
      <w:r w:rsidR="004D45D0">
        <w:t xml:space="preserve">the Joint Movants </w:t>
      </w:r>
      <w:r w:rsidR="004633D9">
        <w:t>ask that the Commission consider this motion on an expedited basis.</w:t>
      </w:r>
    </w:p>
    <w:p w:rsidR="00354FFC" w:rsidRDefault="00354FFC" w:rsidP="00354FFC">
      <w:pPr>
        <w:pStyle w:val="Heading1"/>
        <w:numPr>
          <w:ilvl w:val="0"/>
          <w:numId w:val="1"/>
        </w:numPr>
        <w:spacing w:before="0" w:line="480" w:lineRule="auto"/>
      </w:pPr>
      <w:r>
        <w:t>memorandum</w:t>
      </w:r>
    </w:p>
    <w:p w:rsidR="00354FFC" w:rsidRDefault="00354FFC" w:rsidP="00354FFC">
      <w:pPr>
        <w:pStyle w:val="Heading2"/>
        <w:numPr>
          <w:ilvl w:val="1"/>
          <w:numId w:val="1"/>
        </w:numPr>
        <w:spacing w:before="0" w:line="480" w:lineRule="auto"/>
      </w:pPr>
      <w:r>
        <w:t>Legal Standard for Consolidation</w:t>
      </w:r>
    </w:p>
    <w:p w:rsidR="001D60D7" w:rsidRDefault="00354FFC" w:rsidP="00506912">
      <w:pPr>
        <w:numPr>
          <w:ilvl w:val="0"/>
          <w:numId w:val="22"/>
        </w:numPr>
        <w:spacing w:line="480" w:lineRule="auto"/>
      </w:pPr>
      <w:r>
        <w:tab/>
      </w:r>
      <w:r w:rsidR="000F389E">
        <w:tab/>
      </w:r>
      <w:r w:rsidR="001D60D7">
        <w:t>The Commission has discretion to consolidate two or more proceedings “in which the facts or principles of law are related.”</w:t>
      </w:r>
      <w:r w:rsidR="001D60D7" w:rsidRPr="007076A7">
        <w:rPr>
          <w:rStyle w:val="FootnoteReference"/>
          <w:u w:val="single"/>
        </w:rPr>
        <w:footnoteReference w:id="3"/>
      </w:r>
      <w:r w:rsidR="007076A7" w:rsidRPr="007076A7">
        <w:rPr>
          <w:vertAlign w:val="superscript"/>
        </w:rPr>
        <w:t>/</w:t>
      </w:r>
      <w:r w:rsidR="00AD76AB">
        <w:t xml:space="preserve">  As explained below, t</w:t>
      </w:r>
      <w:r w:rsidR="008D6603">
        <w:t xml:space="preserve">he interrelation of </w:t>
      </w:r>
      <w:r w:rsidR="001D60D7">
        <w:t xml:space="preserve">issues in the </w:t>
      </w:r>
      <w:r w:rsidR="000D272D">
        <w:t xml:space="preserve">ERF and </w:t>
      </w:r>
      <w:r w:rsidR="008D6603">
        <w:t xml:space="preserve">the </w:t>
      </w:r>
      <w:r w:rsidR="001E0145">
        <w:t xml:space="preserve">Amended </w:t>
      </w:r>
      <w:r w:rsidR="008D6603">
        <w:t>Decoupling Petition satisfies</w:t>
      </w:r>
      <w:r w:rsidR="001D60D7">
        <w:t xml:space="preserve"> the standard fo</w:t>
      </w:r>
      <w:r w:rsidR="008D6603">
        <w:t>r consolidation.  Further, c</w:t>
      </w:r>
      <w:r w:rsidR="001D60D7">
        <w:t xml:space="preserve">onsolidation </w:t>
      </w:r>
      <w:r w:rsidR="006A5B1A">
        <w:t>will</w:t>
      </w:r>
      <w:r w:rsidR="001D60D7">
        <w:t xml:space="preserve"> ensure PSE’s rates are fair, just,</w:t>
      </w:r>
      <w:r w:rsidR="00AD76AB">
        <w:t xml:space="preserve"> reasonable, and sufficient, </w:t>
      </w:r>
      <w:r w:rsidR="00B107E9">
        <w:t xml:space="preserve">and will promote </w:t>
      </w:r>
      <w:r w:rsidR="001D60D7">
        <w:t xml:space="preserve">judicial </w:t>
      </w:r>
      <w:r w:rsidR="001E0145">
        <w:t xml:space="preserve">economy and administrative </w:t>
      </w:r>
      <w:r w:rsidR="001D60D7">
        <w:t>efficiency.</w:t>
      </w:r>
      <w:r w:rsidR="006A5B1A" w:rsidRPr="007076A7">
        <w:rPr>
          <w:rStyle w:val="FootnoteReference"/>
          <w:u w:val="single"/>
        </w:rPr>
        <w:footnoteReference w:id="4"/>
      </w:r>
      <w:r w:rsidR="007076A7" w:rsidRPr="007076A7">
        <w:rPr>
          <w:vertAlign w:val="superscript"/>
        </w:rPr>
        <w:t>/</w:t>
      </w:r>
      <w:r>
        <w:t xml:space="preserve">  </w:t>
      </w:r>
    </w:p>
    <w:p w:rsidR="00354FFC" w:rsidRDefault="00354FFC" w:rsidP="00506912">
      <w:pPr>
        <w:pStyle w:val="Heading2"/>
        <w:numPr>
          <w:ilvl w:val="1"/>
          <w:numId w:val="1"/>
        </w:numPr>
        <w:spacing w:before="0" w:line="240" w:lineRule="auto"/>
        <w:jc w:val="left"/>
      </w:pPr>
      <w:r>
        <w:t>The</w:t>
      </w:r>
      <w:r w:rsidR="008330F6">
        <w:t xml:space="preserve"> </w:t>
      </w:r>
      <w:r>
        <w:t>Case</w:t>
      </w:r>
      <w:r w:rsidR="008330F6">
        <w:t>s</w:t>
      </w:r>
      <w:r>
        <w:t xml:space="preserve"> Present </w:t>
      </w:r>
      <w:r w:rsidR="008330F6">
        <w:t xml:space="preserve">Common and </w:t>
      </w:r>
      <w:r>
        <w:t>Related Issues</w:t>
      </w:r>
    </w:p>
    <w:p w:rsidR="00354FFC" w:rsidRDefault="00354FFC" w:rsidP="00354FFC">
      <w:pPr>
        <w:spacing w:line="240" w:lineRule="auto"/>
      </w:pPr>
    </w:p>
    <w:p w:rsidR="00354FFC" w:rsidRDefault="005930D1" w:rsidP="00354FFC">
      <w:pPr>
        <w:pStyle w:val="Heading3"/>
        <w:numPr>
          <w:ilvl w:val="2"/>
          <w:numId w:val="1"/>
        </w:numPr>
        <w:spacing w:before="0" w:line="480" w:lineRule="auto"/>
      </w:pPr>
      <w:r>
        <w:t>Alleged “Attrition” and "Regulatory Lag”</w:t>
      </w:r>
    </w:p>
    <w:p w:rsidR="0014428A" w:rsidRDefault="00354FFC" w:rsidP="00354FFC">
      <w:pPr>
        <w:numPr>
          <w:ilvl w:val="0"/>
          <w:numId w:val="22"/>
        </w:numPr>
        <w:spacing w:line="480" w:lineRule="auto"/>
      </w:pPr>
      <w:r>
        <w:tab/>
      </w:r>
      <w:r w:rsidR="000F389E">
        <w:tab/>
      </w:r>
      <w:r w:rsidR="001F3027">
        <w:t>Consolidation is appropriate because PSE is attempting to address</w:t>
      </w:r>
      <w:r w:rsidR="006A5A0B">
        <w:t xml:space="preserve"> many of </w:t>
      </w:r>
      <w:r w:rsidR="009A7E21">
        <w:t>the same issue</w:t>
      </w:r>
      <w:r w:rsidR="006A5A0B">
        <w:t>s</w:t>
      </w:r>
      <w:r w:rsidR="00B107E9">
        <w:t xml:space="preserve"> </w:t>
      </w:r>
      <w:r w:rsidR="001F3027">
        <w:t>in both the E</w:t>
      </w:r>
      <w:r w:rsidR="009A7E21">
        <w:t>RF and the Decoupling Petition.</w:t>
      </w:r>
      <w:r w:rsidR="001F3027">
        <w:t xml:space="preserve"> </w:t>
      </w:r>
      <w:r w:rsidR="00E33924">
        <w:t xml:space="preserve"> In its </w:t>
      </w:r>
      <w:r w:rsidR="001E0145">
        <w:t>Initial</w:t>
      </w:r>
      <w:r w:rsidR="00E33924">
        <w:t xml:space="preserve"> Petition for Decoupling Mechanisms, </w:t>
      </w:r>
      <w:r w:rsidR="00346464">
        <w:t>PSE explained</w:t>
      </w:r>
      <w:r w:rsidR="009A7E21">
        <w:t xml:space="preserve"> </w:t>
      </w:r>
      <w:r w:rsidR="006D576F">
        <w:t xml:space="preserve">that </w:t>
      </w:r>
      <w:r w:rsidR="009A7E21">
        <w:t>the purpose, in part,</w:t>
      </w:r>
      <w:r w:rsidR="005930D1">
        <w:t xml:space="preserve"> of its proposal is to deal with “part” of an alleged “attrition problem” and the Company’s claim of regulatory lag </w:t>
      </w:r>
      <w:r w:rsidR="009A7E21">
        <w:t>between rate cases</w:t>
      </w:r>
      <w:r w:rsidR="000068D4">
        <w:t>.</w:t>
      </w:r>
      <w:r w:rsidR="009A7E21" w:rsidRPr="007076A7">
        <w:rPr>
          <w:rStyle w:val="FootnoteReference"/>
          <w:u w:val="single"/>
        </w:rPr>
        <w:footnoteReference w:id="5"/>
      </w:r>
      <w:r w:rsidR="007076A7" w:rsidRPr="007076A7">
        <w:rPr>
          <w:vertAlign w:val="superscript"/>
        </w:rPr>
        <w:t>/</w:t>
      </w:r>
      <w:r w:rsidR="009A7E21">
        <w:t xml:space="preserve">  </w:t>
      </w:r>
      <w:r w:rsidR="001E0145">
        <w:t>The Company reaffirms this</w:t>
      </w:r>
      <w:r w:rsidR="006A5A0B">
        <w:t xml:space="preserve"> statement</w:t>
      </w:r>
      <w:r w:rsidR="001E0145">
        <w:t xml:space="preserve"> in its Amended Petition for De</w:t>
      </w:r>
      <w:r w:rsidR="00346464">
        <w:t>coupling Mechanisms, stating, “[t]</w:t>
      </w:r>
      <w:r w:rsidR="001E0145">
        <w:t xml:space="preserve">he decoupling mechanism with a K-factor adjustment </w:t>
      </w:r>
      <w:r w:rsidR="001E0145">
        <w:lastRenderedPageBreak/>
        <w:t>also addresses the revenue shortfall between rate cases that the decoupling mechanism on its own doesn’t resolve.”</w:t>
      </w:r>
      <w:r w:rsidR="001E0145" w:rsidRPr="001E0145">
        <w:rPr>
          <w:rStyle w:val="FootnoteReference"/>
          <w:u w:val="single"/>
        </w:rPr>
        <w:footnoteReference w:id="6"/>
      </w:r>
      <w:r w:rsidR="001E0145" w:rsidRPr="001E0145">
        <w:rPr>
          <w:vertAlign w:val="superscript"/>
        </w:rPr>
        <w:t>/</w:t>
      </w:r>
      <w:r w:rsidR="001E0145">
        <w:t xml:space="preserve"> </w:t>
      </w:r>
      <w:r w:rsidR="009A7E21">
        <w:t xml:space="preserve">Similarly, PSE explains that the </w:t>
      </w:r>
      <w:r w:rsidR="005930D1">
        <w:t>purpose</w:t>
      </w:r>
      <w:r w:rsidR="009A7E21">
        <w:t xml:space="preserve"> of the E</w:t>
      </w:r>
      <w:r w:rsidR="007076A7">
        <w:t>R</w:t>
      </w:r>
      <w:r w:rsidR="009A7E21">
        <w:t>F is to address</w:t>
      </w:r>
      <w:r w:rsidR="005930D1">
        <w:t xml:space="preserve"> its alleged</w:t>
      </w:r>
      <w:r w:rsidR="009A7E21">
        <w:t xml:space="preserve"> “regulatory </w:t>
      </w:r>
      <w:r w:rsidR="000068D4">
        <w:t>lag.</w:t>
      </w:r>
      <w:r w:rsidR="009A7E21">
        <w:t>”</w:t>
      </w:r>
      <w:r w:rsidR="009A7E21" w:rsidRPr="007076A7">
        <w:rPr>
          <w:rStyle w:val="FootnoteReference"/>
          <w:u w:val="single"/>
        </w:rPr>
        <w:footnoteReference w:id="7"/>
      </w:r>
      <w:r w:rsidR="007076A7" w:rsidRPr="007076A7">
        <w:rPr>
          <w:vertAlign w:val="superscript"/>
        </w:rPr>
        <w:t>/</w:t>
      </w:r>
      <w:r w:rsidR="00D861AD">
        <w:t xml:space="preserve">  Plainly,</w:t>
      </w:r>
      <w:r w:rsidR="000F389E">
        <w:t xml:space="preserve"> factual and legal issues concerning</w:t>
      </w:r>
      <w:r w:rsidR="006A5A0B">
        <w:t xml:space="preserve"> PSE’s</w:t>
      </w:r>
      <w:r w:rsidR="000F389E">
        <w:t xml:space="preserve"> </w:t>
      </w:r>
      <w:r w:rsidR="005930D1">
        <w:t>alleged attrition and regulatory lag</w:t>
      </w:r>
      <w:r w:rsidR="000F389E">
        <w:t xml:space="preserve"> are central to</w:t>
      </w:r>
      <w:r w:rsidR="005930D1">
        <w:t xml:space="preserve"> both</w:t>
      </w:r>
      <w:r w:rsidR="000F389E">
        <w:t xml:space="preserve"> the E</w:t>
      </w:r>
      <w:r w:rsidR="005C01A5">
        <w:t>R</w:t>
      </w:r>
      <w:r w:rsidR="000F389E">
        <w:t xml:space="preserve">F and </w:t>
      </w:r>
      <w:r w:rsidR="0014428A">
        <w:t xml:space="preserve">the </w:t>
      </w:r>
      <w:r w:rsidR="000F389E">
        <w:t xml:space="preserve">Decoupling Petition.  </w:t>
      </w:r>
    </w:p>
    <w:p w:rsidR="009C0941" w:rsidRDefault="009C0941" w:rsidP="009C0941">
      <w:pPr>
        <w:numPr>
          <w:ilvl w:val="0"/>
          <w:numId w:val="22"/>
        </w:numPr>
        <w:spacing w:line="480" w:lineRule="auto"/>
      </w:pPr>
      <w:r>
        <w:tab/>
      </w:r>
      <w:r>
        <w:tab/>
        <w:t>In addition, the Commission has noted the importance of having rate case information available to allow a fully informed decision regarding decoupling.</w:t>
      </w:r>
      <w:r w:rsidRPr="00416664">
        <w:rPr>
          <w:rStyle w:val="FootnoteReference"/>
          <w:u w:val="single"/>
        </w:rPr>
        <w:footnoteReference w:id="8"/>
      </w:r>
      <w:r w:rsidRPr="00416664">
        <w:rPr>
          <w:vertAlign w:val="superscript"/>
        </w:rPr>
        <w:t>/</w:t>
      </w:r>
      <w:r>
        <w:t xml:space="preserve">  While Joint Movants believe that decoupling should preferably be considered in the context of a general rate case, at a minimum it should be considered in conjunction with the rate information provided by the ERF filing.</w:t>
      </w:r>
    </w:p>
    <w:p w:rsidR="00354FFC" w:rsidRDefault="00BF084B" w:rsidP="00354FFC">
      <w:pPr>
        <w:pStyle w:val="Heading3"/>
        <w:numPr>
          <w:ilvl w:val="2"/>
          <w:numId w:val="1"/>
        </w:numPr>
        <w:spacing w:before="0" w:line="480" w:lineRule="auto"/>
      </w:pPr>
      <w:r>
        <w:t>Interdependent</w:t>
      </w:r>
      <w:r w:rsidR="00237E77">
        <w:t xml:space="preserve"> Adjustment Mechanism</w:t>
      </w:r>
      <w:r>
        <w:t>s</w:t>
      </w:r>
    </w:p>
    <w:p w:rsidR="00237E77" w:rsidRDefault="00354FFC" w:rsidP="009C0941">
      <w:pPr>
        <w:numPr>
          <w:ilvl w:val="0"/>
          <w:numId w:val="22"/>
        </w:numPr>
        <w:spacing w:line="480" w:lineRule="auto"/>
      </w:pPr>
      <w:r>
        <w:tab/>
      </w:r>
      <w:r w:rsidR="00237E77">
        <w:tab/>
      </w:r>
      <w:r w:rsidR="009C0941">
        <w:t xml:space="preserve">Beyond the interrelation of purpose in addressing alleged revenue attrition since the last general rate case, the ERF and the </w:t>
      </w:r>
      <w:r w:rsidR="00D861AD">
        <w:t>Decoupling Petition</w:t>
      </w:r>
      <w:r w:rsidR="009C0941">
        <w:t xml:space="preserve"> actually propose interdependent mechanisms.  In testimony supporting the Decoupling Petition, the Company squarely points to the interrelation of the ERF and amended decoupling </w:t>
      </w:r>
      <w:r w:rsidR="00D861AD">
        <w:t>mechanism</w:t>
      </w:r>
      <w:r w:rsidR="009C0941">
        <w:t>, stating, “</w:t>
      </w:r>
      <w:r w:rsidR="00432A41">
        <w:t>[</w:t>
      </w:r>
      <w:r w:rsidR="009C0941">
        <w:t>t</w:t>
      </w:r>
      <w:r w:rsidR="00432A41">
        <w:t>]</w:t>
      </w:r>
      <w:r w:rsidR="009C0941">
        <w:t>he baseline for determining the allowed delivery revenue per customer will be based on rates approved in the Company’s Expedited Rate Filing in Docket Nos. UE-130137 and UG-130138 (the “ERF”).</w:t>
      </w:r>
      <w:r w:rsidR="009C0941" w:rsidRPr="009C0941">
        <w:rPr>
          <w:rStyle w:val="FootnoteReference"/>
          <w:u w:val="single"/>
        </w:rPr>
        <w:footnoteReference w:id="9"/>
      </w:r>
      <w:r w:rsidR="009C0941" w:rsidRPr="009C0941">
        <w:rPr>
          <w:vertAlign w:val="superscript"/>
        </w:rPr>
        <w:t>/</w:t>
      </w:r>
      <w:r w:rsidR="009C0941">
        <w:t xml:space="preserve"> </w:t>
      </w:r>
      <w:r w:rsidR="006A5A0B">
        <w:t xml:space="preserve"> </w:t>
      </w:r>
      <w:r w:rsidR="009C0941">
        <w:t>The Company makes similar statements in the ERF docket.</w:t>
      </w:r>
      <w:r w:rsidR="009C0941" w:rsidRPr="009C0941">
        <w:rPr>
          <w:rStyle w:val="FootnoteReference"/>
          <w:u w:val="single"/>
        </w:rPr>
        <w:footnoteReference w:id="10"/>
      </w:r>
      <w:r w:rsidR="009C0941" w:rsidRPr="009C0941">
        <w:rPr>
          <w:vertAlign w:val="superscript"/>
        </w:rPr>
        <w:t>/</w:t>
      </w:r>
      <w:r w:rsidR="009C0941">
        <w:t xml:space="preserve">  Since PSE affirms that newly proposed decoupling revenues would be dependent upon figures approved in the ERF, a fully informed decision on decoupling logically requires consideration of the ERF</w:t>
      </w:r>
      <w:r w:rsidR="006A5A0B">
        <w:t xml:space="preserve"> data</w:t>
      </w:r>
      <w:r w:rsidR="009C0941">
        <w:t xml:space="preserve">.  In short, there is not only a commonality of purpose between </w:t>
      </w:r>
      <w:r w:rsidR="009C0941">
        <w:lastRenderedPageBreak/>
        <w:t>these two cases, but there is</w:t>
      </w:r>
      <w:r w:rsidR="00E20895">
        <w:t xml:space="preserve"> also</w:t>
      </w:r>
      <w:r w:rsidR="009C0941">
        <w:t xml:space="preserve"> a commonality of means, thereby further satisfying the Commission’s relation standard on consolidation.  </w:t>
      </w:r>
    </w:p>
    <w:p w:rsidR="00354FFC" w:rsidRDefault="00354FFC" w:rsidP="00354FFC">
      <w:pPr>
        <w:pStyle w:val="Heading2"/>
        <w:numPr>
          <w:ilvl w:val="1"/>
          <w:numId w:val="1"/>
        </w:numPr>
        <w:spacing w:before="0" w:line="480" w:lineRule="auto"/>
      </w:pPr>
      <w:r>
        <w:t>Consolidation</w:t>
      </w:r>
      <w:r w:rsidR="00A159AC">
        <w:t xml:space="preserve"> Promotes Procedural and Administrative Efficiency</w:t>
      </w:r>
    </w:p>
    <w:p w:rsidR="00A159AC" w:rsidRPr="009C0941" w:rsidRDefault="00354FFC" w:rsidP="00A159AC">
      <w:pPr>
        <w:numPr>
          <w:ilvl w:val="0"/>
          <w:numId w:val="22"/>
        </w:numPr>
        <w:spacing w:line="480" w:lineRule="auto"/>
      </w:pPr>
      <w:r>
        <w:tab/>
      </w:r>
      <w:r w:rsidR="00A159AC">
        <w:tab/>
      </w:r>
      <w:r w:rsidR="009C0941">
        <w:t xml:space="preserve">Consolidation not only affords the Commission the best means to reach a fully informed decision on the merits of interrelated issues common to these cases, but </w:t>
      </w:r>
      <w:r w:rsidR="00D861AD">
        <w:t xml:space="preserve">it </w:t>
      </w:r>
      <w:r w:rsidR="009C0941">
        <w:t xml:space="preserve">will also </w:t>
      </w:r>
      <w:r w:rsidR="00D861AD">
        <w:t>promote</w:t>
      </w:r>
      <w:r w:rsidR="009C0941">
        <w:t xml:space="preserve"> administrative efficiency.  Based on current participation in these dockets, t</w:t>
      </w:r>
      <w:r w:rsidR="009C0941">
        <w:rPr>
          <w:szCs w:val="24"/>
        </w:rPr>
        <w:t>he cases will probably involve nearly identical parties.  Discovery, h</w:t>
      </w:r>
      <w:r w:rsidR="009C0941" w:rsidRPr="009C6C01">
        <w:rPr>
          <w:szCs w:val="24"/>
        </w:rPr>
        <w:t xml:space="preserve">earings, conferences, and deadlines </w:t>
      </w:r>
      <w:r w:rsidR="009C0941">
        <w:rPr>
          <w:szCs w:val="24"/>
        </w:rPr>
        <w:t>are likely to fall close to one another if scheduled separately</w:t>
      </w:r>
      <w:r w:rsidR="009C0941" w:rsidRPr="009C6C01">
        <w:rPr>
          <w:szCs w:val="24"/>
        </w:rPr>
        <w:t>.</w:t>
      </w:r>
      <w:r w:rsidR="009C0941" w:rsidRPr="00EE2D9A">
        <w:rPr>
          <w:rStyle w:val="FootnoteReference"/>
          <w:szCs w:val="24"/>
          <w:u w:val="single"/>
        </w:rPr>
        <w:footnoteReference w:id="11"/>
      </w:r>
      <w:r w:rsidR="009C0941" w:rsidRPr="00EE2D9A">
        <w:rPr>
          <w:szCs w:val="24"/>
          <w:vertAlign w:val="superscript"/>
        </w:rPr>
        <w:t>/</w:t>
      </w:r>
      <w:r w:rsidR="009C0941" w:rsidRPr="009C6C01">
        <w:rPr>
          <w:szCs w:val="24"/>
        </w:rPr>
        <w:t xml:space="preserve">  </w:t>
      </w:r>
      <w:r w:rsidR="009C0941">
        <w:rPr>
          <w:szCs w:val="24"/>
        </w:rPr>
        <w:t>Juggling two sets of overlapping procedural schedules and duplicative filing and case preparation would be taxing to the Commission and its Staff, as well as to all other parties.  Consolidation eliminat</w:t>
      </w:r>
      <w:r w:rsidR="00E20895">
        <w:rPr>
          <w:szCs w:val="24"/>
        </w:rPr>
        <w:t>es such needless duplication of</w:t>
      </w:r>
      <w:r w:rsidR="009C0941">
        <w:rPr>
          <w:szCs w:val="24"/>
        </w:rPr>
        <w:t xml:space="preserve"> resources.</w:t>
      </w:r>
    </w:p>
    <w:p w:rsidR="009C0941" w:rsidRPr="00F16B2A" w:rsidRDefault="009C0941" w:rsidP="00A159AC">
      <w:pPr>
        <w:numPr>
          <w:ilvl w:val="0"/>
          <w:numId w:val="22"/>
        </w:numPr>
        <w:spacing w:line="480" w:lineRule="auto"/>
      </w:pPr>
      <w:r>
        <w:rPr>
          <w:szCs w:val="24"/>
        </w:rPr>
        <w:tab/>
      </w:r>
      <w:r>
        <w:rPr>
          <w:szCs w:val="24"/>
        </w:rPr>
        <w:tab/>
        <w:t>Furth</w:t>
      </w:r>
      <w:r w:rsidR="00E20895">
        <w:rPr>
          <w:szCs w:val="24"/>
        </w:rPr>
        <w:t>ermore, the Company requests that</w:t>
      </w:r>
      <w:r>
        <w:rPr>
          <w:szCs w:val="24"/>
        </w:rPr>
        <w:t xml:space="preserve"> rates associated with its Decoupling Petition go into effect by May 1, 2013, and </w:t>
      </w:r>
      <w:r w:rsidR="00E20895">
        <w:rPr>
          <w:szCs w:val="24"/>
        </w:rPr>
        <w:t xml:space="preserve">it </w:t>
      </w:r>
      <w:r>
        <w:rPr>
          <w:szCs w:val="24"/>
        </w:rPr>
        <w:t>has recently stated its intent to revise its proposed rate effective date in the ERF dockets to May 1, 2013.</w:t>
      </w:r>
      <w:r w:rsidRPr="009C0941">
        <w:rPr>
          <w:rStyle w:val="FootnoteReference"/>
          <w:szCs w:val="24"/>
          <w:u w:val="single"/>
        </w:rPr>
        <w:footnoteReference w:id="12"/>
      </w:r>
      <w:r w:rsidRPr="009C0941">
        <w:rPr>
          <w:szCs w:val="24"/>
          <w:vertAlign w:val="superscript"/>
        </w:rPr>
        <w:t>/</w:t>
      </w:r>
      <w:r>
        <w:rPr>
          <w:szCs w:val="24"/>
        </w:rPr>
        <w:t xml:space="preserve">  This demonstrates that there is no practical reason why rates for </w:t>
      </w:r>
      <w:r w:rsidR="00D861AD">
        <w:rPr>
          <w:szCs w:val="24"/>
        </w:rPr>
        <w:t xml:space="preserve">the </w:t>
      </w:r>
      <w:r>
        <w:rPr>
          <w:szCs w:val="24"/>
        </w:rPr>
        <w:t xml:space="preserve">ERF or </w:t>
      </w:r>
      <w:r w:rsidR="006A5A0B">
        <w:rPr>
          <w:szCs w:val="24"/>
        </w:rPr>
        <w:t>D</w:t>
      </w:r>
      <w:r>
        <w:rPr>
          <w:szCs w:val="24"/>
        </w:rPr>
        <w:t xml:space="preserve">ecoupling </w:t>
      </w:r>
      <w:r w:rsidR="006A5A0B">
        <w:rPr>
          <w:szCs w:val="24"/>
        </w:rPr>
        <w:t xml:space="preserve">Petition </w:t>
      </w:r>
      <w:r>
        <w:rPr>
          <w:szCs w:val="24"/>
        </w:rPr>
        <w:t xml:space="preserve">would need to be </w:t>
      </w:r>
      <w:r w:rsidR="006A5A0B">
        <w:rPr>
          <w:szCs w:val="24"/>
        </w:rPr>
        <w:t xml:space="preserve">considered </w:t>
      </w:r>
      <w:r>
        <w:rPr>
          <w:szCs w:val="24"/>
        </w:rPr>
        <w:t>separately and further supports consolidation.</w:t>
      </w:r>
    </w:p>
    <w:p w:rsidR="00331536" w:rsidRDefault="00F16B2A" w:rsidP="00C97E5E">
      <w:pPr>
        <w:numPr>
          <w:ilvl w:val="0"/>
          <w:numId w:val="22"/>
        </w:numPr>
        <w:spacing w:line="480" w:lineRule="auto"/>
      </w:pPr>
      <w:r>
        <w:tab/>
      </w:r>
      <w:r>
        <w:tab/>
      </w:r>
      <w:r w:rsidR="00EC633B">
        <w:t xml:space="preserve">Conversely, there are </w:t>
      </w:r>
      <w:r w:rsidR="00FC0142">
        <w:t>no significant</w:t>
      </w:r>
      <w:r w:rsidR="00EC633B">
        <w:t xml:space="preserve"> drawbacks to consolidating these cases</w:t>
      </w:r>
      <w:r w:rsidR="00EC633B">
        <w:rPr>
          <w:szCs w:val="24"/>
        </w:rPr>
        <w:t xml:space="preserve">.  Consolidation </w:t>
      </w:r>
      <w:r w:rsidR="00FC0142">
        <w:rPr>
          <w:szCs w:val="24"/>
        </w:rPr>
        <w:t>would</w:t>
      </w:r>
      <w:r w:rsidR="00EC633B">
        <w:rPr>
          <w:szCs w:val="24"/>
        </w:rPr>
        <w:t xml:space="preserve"> not preclude the Commission from issuing separate orders </w:t>
      </w:r>
      <w:r w:rsidR="00E20895">
        <w:rPr>
          <w:szCs w:val="24"/>
        </w:rPr>
        <w:t>regarding</w:t>
      </w:r>
      <w:r w:rsidR="007B58C4">
        <w:rPr>
          <w:szCs w:val="24"/>
        </w:rPr>
        <w:t xml:space="preserve"> </w:t>
      </w:r>
      <w:r w:rsidR="00EC633B">
        <w:rPr>
          <w:szCs w:val="24"/>
        </w:rPr>
        <w:t xml:space="preserve">the </w:t>
      </w:r>
      <w:r w:rsidR="00FC0142">
        <w:rPr>
          <w:szCs w:val="24"/>
        </w:rPr>
        <w:t>ERF</w:t>
      </w:r>
      <w:r w:rsidR="00E20895">
        <w:rPr>
          <w:szCs w:val="24"/>
        </w:rPr>
        <w:t xml:space="preserve"> and</w:t>
      </w:r>
      <w:r w:rsidR="00EC633B">
        <w:rPr>
          <w:szCs w:val="24"/>
        </w:rPr>
        <w:t xml:space="preserve"> </w:t>
      </w:r>
      <w:r w:rsidR="00E20895">
        <w:rPr>
          <w:szCs w:val="24"/>
        </w:rPr>
        <w:t>decoupling</w:t>
      </w:r>
      <w:r w:rsidR="00EC633B">
        <w:rPr>
          <w:szCs w:val="24"/>
        </w:rPr>
        <w:t xml:space="preserve">.  Likewise, parties </w:t>
      </w:r>
      <w:r w:rsidR="00FC0142">
        <w:rPr>
          <w:szCs w:val="24"/>
        </w:rPr>
        <w:t>would still be free to</w:t>
      </w:r>
      <w:r w:rsidR="00EC633B">
        <w:rPr>
          <w:szCs w:val="24"/>
        </w:rPr>
        <w:t xml:space="preserve"> resolve matters separately</w:t>
      </w:r>
      <w:r w:rsidR="001B6603">
        <w:rPr>
          <w:szCs w:val="24"/>
        </w:rPr>
        <w:t xml:space="preserve"> through partial settlements</w:t>
      </w:r>
      <w:r w:rsidR="00FC0142">
        <w:rPr>
          <w:szCs w:val="24"/>
        </w:rPr>
        <w:t xml:space="preserve">.  In </w:t>
      </w:r>
      <w:r w:rsidR="00563AC6">
        <w:rPr>
          <w:szCs w:val="24"/>
        </w:rPr>
        <w:t>any</w:t>
      </w:r>
      <w:r w:rsidR="00FC0142">
        <w:rPr>
          <w:szCs w:val="24"/>
        </w:rPr>
        <w:t xml:space="preserve"> event</w:t>
      </w:r>
      <w:r w:rsidR="00EC633B" w:rsidRPr="00FF27CD">
        <w:t>,</w:t>
      </w:r>
      <w:r w:rsidR="00FC0142">
        <w:t xml:space="preserve"> there is </w:t>
      </w:r>
      <w:r w:rsidR="001B6603">
        <w:t>no</w:t>
      </w:r>
      <w:r w:rsidR="00FC0142">
        <w:t xml:space="preserve"> risk to the Commission in </w:t>
      </w:r>
      <w:r w:rsidR="00FC0142">
        <w:lastRenderedPageBreak/>
        <w:t xml:space="preserve">consolidation—the </w:t>
      </w:r>
      <w:r w:rsidR="00EC633B">
        <w:t xml:space="preserve">rules provide that </w:t>
      </w:r>
      <w:r w:rsidR="00FC0142">
        <w:t>the WUTC</w:t>
      </w:r>
      <w:r w:rsidR="00EC633B">
        <w:t xml:space="preserve"> can </w:t>
      </w:r>
      <w:r w:rsidR="00FC0142">
        <w:t xml:space="preserve">always </w:t>
      </w:r>
      <w:r w:rsidR="00EC633B">
        <w:t>sever consolidated matters</w:t>
      </w:r>
      <w:r w:rsidR="00FC0142">
        <w:t>, simply upon its own motion</w:t>
      </w:r>
      <w:r w:rsidR="00EC633B">
        <w:t>.</w:t>
      </w:r>
      <w:r w:rsidR="00EC633B" w:rsidRPr="009C6C01">
        <w:rPr>
          <w:rStyle w:val="FootnoteReference"/>
          <w:szCs w:val="24"/>
        </w:rPr>
        <w:t xml:space="preserve"> </w:t>
      </w:r>
      <w:r w:rsidR="00EC633B" w:rsidRPr="00EE2D9A">
        <w:rPr>
          <w:rStyle w:val="FootnoteReference"/>
          <w:szCs w:val="24"/>
          <w:u w:val="single"/>
        </w:rPr>
        <w:footnoteReference w:id="13"/>
      </w:r>
      <w:r w:rsidR="00EE2D9A">
        <w:rPr>
          <w:rStyle w:val="FootnoteReference"/>
          <w:szCs w:val="24"/>
        </w:rPr>
        <w:t>/</w:t>
      </w:r>
    </w:p>
    <w:p w:rsidR="00C97E5E" w:rsidRDefault="00C97E5E" w:rsidP="009C0941">
      <w:pPr>
        <w:pStyle w:val="Heading3"/>
        <w:keepLines/>
        <w:numPr>
          <w:ilvl w:val="0"/>
          <w:numId w:val="0"/>
        </w:numPr>
        <w:spacing w:before="0" w:after="240" w:line="240" w:lineRule="auto"/>
        <w:ind w:left="720" w:hanging="720"/>
        <w:jc w:val="left"/>
      </w:pPr>
      <w:r>
        <w:t>D.</w:t>
      </w:r>
      <w:r>
        <w:tab/>
      </w:r>
      <w:r w:rsidR="00995818">
        <w:t>If Approved,</w:t>
      </w:r>
      <w:r w:rsidR="00690493">
        <w:t xml:space="preserve"> the ERF and the Decoupling Proposal Could</w:t>
      </w:r>
      <w:r>
        <w:t xml:space="preserve"> </w:t>
      </w:r>
      <w:r w:rsidR="00690493">
        <w:t>Establish Important P</w:t>
      </w:r>
      <w:r>
        <w:t>r</w:t>
      </w:r>
      <w:r w:rsidR="00690493">
        <w:t xml:space="preserve">ecedent </w:t>
      </w:r>
      <w:r w:rsidR="006C0D2B">
        <w:t>and Policy</w:t>
      </w:r>
    </w:p>
    <w:p w:rsidR="00AD2693" w:rsidRDefault="00C97E5E" w:rsidP="00C97E5E">
      <w:pPr>
        <w:numPr>
          <w:ilvl w:val="0"/>
          <w:numId w:val="22"/>
        </w:numPr>
        <w:spacing w:line="480" w:lineRule="auto"/>
      </w:pPr>
      <w:r>
        <w:tab/>
      </w:r>
      <w:r w:rsidR="006405CC">
        <w:tab/>
      </w:r>
      <w:r w:rsidR="006405CC" w:rsidRPr="006405CC">
        <w:t xml:space="preserve">The ERF dockets represent a new approach to ratemaking, </w:t>
      </w:r>
      <w:r w:rsidR="00E20895">
        <w:t>and</w:t>
      </w:r>
      <w:r w:rsidR="006405CC">
        <w:t xml:space="preserve"> the Commission would also be breaking new ground in approving PSE’s Decoupling Petition.  </w:t>
      </w:r>
      <w:r w:rsidR="001B6603">
        <w:t>T</w:t>
      </w:r>
      <w:r w:rsidR="006405CC">
        <w:t>he Joint Movants believe</w:t>
      </w:r>
      <w:r w:rsidR="006405CC" w:rsidRPr="006405CC">
        <w:t xml:space="preserve"> that </w:t>
      </w:r>
      <w:r w:rsidR="006405CC">
        <w:t xml:space="preserve">careful consideration and </w:t>
      </w:r>
      <w:r w:rsidR="006405CC" w:rsidRPr="006405CC">
        <w:t xml:space="preserve">a full and complete record is essential to ensure that any </w:t>
      </w:r>
      <w:r w:rsidR="00E20895">
        <w:t>precedent</w:t>
      </w:r>
      <w:r w:rsidR="006C0D2B">
        <w:t xml:space="preserve"> or policy </w:t>
      </w:r>
      <w:r w:rsidR="006405CC" w:rsidRPr="006405CC">
        <w:t>outcome</w:t>
      </w:r>
      <w:r w:rsidR="006A5A0B">
        <w:t>s</w:t>
      </w:r>
      <w:r w:rsidR="00824A4F">
        <w:t xml:space="preserve"> from these dockets are</w:t>
      </w:r>
      <w:r w:rsidR="006405CC" w:rsidRPr="006405CC">
        <w:t xml:space="preserve"> in the public interest. </w:t>
      </w:r>
      <w:r w:rsidR="006405CC">
        <w:t xml:space="preserve"> </w:t>
      </w:r>
      <w:r w:rsidR="009C0941">
        <w:t>G</w:t>
      </w:r>
      <w:r w:rsidR="006405CC">
        <w:t>ive</w:t>
      </w:r>
      <w:r w:rsidR="00E20895">
        <w:t>n the precedential value of these</w:t>
      </w:r>
      <w:r w:rsidR="006405CC">
        <w:t xml:space="preserve"> docket</w:t>
      </w:r>
      <w:r w:rsidR="00E20895">
        <w:t>s</w:t>
      </w:r>
      <w:r w:rsidR="006405CC">
        <w:t xml:space="preserve"> and PSE’s own </w:t>
      </w:r>
      <w:r w:rsidR="001B6603">
        <w:t>acknowledgment of</w:t>
      </w:r>
      <w:r w:rsidR="006405CC">
        <w:t xml:space="preserve"> the interrelation of </w:t>
      </w:r>
      <w:r w:rsidR="001B6603">
        <w:t xml:space="preserve">the </w:t>
      </w:r>
      <w:r w:rsidR="006405CC">
        <w:t xml:space="preserve">proposed attrition recovery mechanisms, consolidation </w:t>
      </w:r>
      <w:r w:rsidR="00A6017E">
        <w:t xml:space="preserve">is essential to </w:t>
      </w:r>
      <w:r w:rsidR="001B6603">
        <w:t xml:space="preserve">coherently address </w:t>
      </w:r>
      <w:r w:rsidR="003265A4">
        <w:t>all related issues of fact</w:t>
      </w:r>
      <w:r w:rsidR="000C709D">
        <w:t>, law</w:t>
      </w:r>
      <w:r w:rsidR="00A6017E">
        <w:t>,</w:t>
      </w:r>
      <w:r w:rsidR="003265A4">
        <w:t xml:space="preserve"> and policy</w:t>
      </w:r>
      <w:r w:rsidR="00B613E4">
        <w:t xml:space="preserve"> without </w:t>
      </w:r>
      <w:r w:rsidR="00E53CD9">
        <w:t>prejudice to any party.</w:t>
      </w:r>
      <w:r w:rsidR="000A2D38" w:rsidRPr="00EE2D9A">
        <w:rPr>
          <w:rStyle w:val="FootnoteReference"/>
          <w:szCs w:val="24"/>
          <w:u w:val="single"/>
        </w:rPr>
        <w:footnoteReference w:id="14"/>
      </w:r>
      <w:r w:rsidR="000A2D38" w:rsidRPr="00EE2D9A">
        <w:rPr>
          <w:vertAlign w:val="superscript"/>
        </w:rPr>
        <w:t>/</w:t>
      </w:r>
      <w:r w:rsidR="00390CB1">
        <w:t xml:space="preserve">  </w:t>
      </w:r>
      <w:r w:rsidR="006A5A0B">
        <w:t>The Commission must have a sufficient record to conclude any rate increase produces fair, just and reasonable rates.</w:t>
      </w:r>
    </w:p>
    <w:p w:rsidR="00C115CF" w:rsidRDefault="00C115CF" w:rsidP="00C115CF">
      <w:pPr>
        <w:pStyle w:val="Heading1"/>
        <w:numPr>
          <w:ilvl w:val="0"/>
          <w:numId w:val="1"/>
        </w:numPr>
        <w:spacing w:before="0" w:line="480" w:lineRule="auto"/>
      </w:pPr>
      <w:r>
        <w:t>conclusion</w:t>
      </w:r>
    </w:p>
    <w:p w:rsidR="006A5A0B" w:rsidRDefault="006C0D2B">
      <w:pPr>
        <w:numPr>
          <w:ilvl w:val="0"/>
          <w:numId w:val="22"/>
        </w:numPr>
        <w:spacing w:line="480" w:lineRule="auto"/>
      </w:pPr>
      <w:r>
        <w:tab/>
      </w:r>
      <w:r>
        <w:tab/>
        <w:t xml:space="preserve">For the foregoing reasons, in accord with Commission precedent, </w:t>
      </w:r>
      <w:r w:rsidR="001D60D7">
        <w:t xml:space="preserve">the Joint Movants respectfully request that the </w:t>
      </w:r>
      <w:r>
        <w:t>WUTC</w:t>
      </w:r>
      <w:r w:rsidR="001D60D7">
        <w:t xml:space="preserve"> </w:t>
      </w:r>
      <w:r w:rsidR="003855C4">
        <w:t xml:space="preserve">exercise its discretion </w:t>
      </w:r>
      <w:r w:rsidR="006A5A0B">
        <w:t xml:space="preserve">and </w:t>
      </w:r>
      <w:r w:rsidR="001D60D7">
        <w:t xml:space="preserve">consolidate PSE’s </w:t>
      </w:r>
      <w:r>
        <w:t>ERF</w:t>
      </w:r>
      <w:r w:rsidR="001D60D7">
        <w:t xml:space="preserve"> and </w:t>
      </w:r>
      <w:r>
        <w:t>Decoupling Petition.</w:t>
      </w:r>
      <w:r w:rsidR="001D60D7">
        <w:t xml:space="preserve">  The cases share </w:t>
      </w:r>
      <w:r w:rsidR="003855C4">
        <w:t xml:space="preserve">related </w:t>
      </w:r>
      <w:r w:rsidR="001D60D7">
        <w:t>issues of fact, law, and</w:t>
      </w:r>
      <w:r>
        <w:t xml:space="preserve"> policy.  Consolidation would</w:t>
      </w:r>
      <w:r w:rsidR="001D60D7">
        <w:t xml:space="preserve"> also</w:t>
      </w:r>
      <w:r>
        <w:t xml:space="preserve"> be</w:t>
      </w:r>
      <w:r w:rsidR="001D60D7">
        <w:t xml:space="preserve"> beneficial in terms of </w:t>
      </w:r>
      <w:r w:rsidR="008C2BC7">
        <w:t>judicial</w:t>
      </w:r>
      <w:r>
        <w:t xml:space="preserve"> </w:t>
      </w:r>
      <w:r w:rsidR="001D60D7">
        <w:t>and administrative efficiency.</w:t>
      </w:r>
    </w:p>
    <w:p w:rsidR="000A2D38" w:rsidRDefault="00106F50" w:rsidP="009C5E56">
      <w:pPr>
        <w:pStyle w:val="ParNumber"/>
        <w:numPr>
          <w:ilvl w:val="0"/>
          <w:numId w:val="0"/>
        </w:numPr>
        <w:spacing w:line="480" w:lineRule="auto"/>
      </w:pPr>
      <w:r>
        <w:tab/>
      </w:r>
      <w:r w:rsidR="006C0D2B">
        <w:tab/>
      </w:r>
      <w:proofErr w:type="gramStart"/>
      <w:r w:rsidR="00F51328">
        <w:t>DATED</w:t>
      </w:r>
      <w:r w:rsidR="008753E8">
        <w:t xml:space="preserve"> this </w:t>
      </w:r>
      <w:r w:rsidR="00995818">
        <w:t>8</w:t>
      </w:r>
      <w:r w:rsidR="00EE2D9A">
        <w:t>th</w:t>
      </w:r>
      <w:r w:rsidR="009C5E56">
        <w:t xml:space="preserve"> </w:t>
      </w:r>
      <w:r w:rsidR="006C0D2B">
        <w:t>day of March</w:t>
      </w:r>
      <w:r w:rsidR="00F51328">
        <w:t>,</w:t>
      </w:r>
      <w:r w:rsidR="006C0D2B">
        <w:t xml:space="preserve"> 2013</w:t>
      </w:r>
      <w:r w:rsidR="00671131">
        <w:t>.</w:t>
      </w:r>
      <w:proofErr w:type="gramEnd"/>
      <w:r w:rsidR="000A2D38">
        <w:br w:type="page"/>
      </w:r>
    </w:p>
    <w:p w:rsidR="00671131" w:rsidRDefault="00E66D9E" w:rsidP="009C5E56">
      <w:pPr>
        <w:pStyle w:val="ParNumber"/>
        <w:numPr>
          <w:ilvl w:val="0"/>
          <w:numId w:val="0"/>
        </w:numPr>
        <w:spacing w:line="480" w:lineRule="auto"/>
      </w:pPr>
      <w:r>
        <w:lastRenderedPageBreak/>
        <w:t>Respectfully submitted,</w:t>
      </w:r>
    </w:p>
    <w:p w:rsidR="00E66D9E" w:rsidRDefault="00E66D9E" w:rsidP="009C5E56">
      <w:pPr>
        <w:pStyle w:val="ParNumber"/>
        <w:numPr>
          <w:ilvl w:val="0"/>
          <w:numId w:val="0"/>
        </w:numPr>
        <w:spacing w:line="480" w:lineRule="auto"/>
      </w:pPr>
    </w:p>
    <w:tbl>
      <w:tblPr>
        <w:tblW w:w="0" w:type="auto"/>
        <w:tblLook w:val="01E0"/>
      </w:tblPr>
      <w:tblGrid>
        <w:gridCol w:w="4572"/>
        <w:gridCol w:w="4572"/>
      </w:tblGrid>
      <w:tr w:rsidR="008753E8" w:rsidTr="001B6603">
        <w:tc>
          <w:tcPr>
            <w:tcW w:w="4572" w:type="dxa"/>
          </w:tcPr>
          <w:p w:rsidR="001B6603" w:rsidRPr="007111C7" w:rsidRDefault="001B6603" w:rsidP="001B6603">
            <w:pPr>
              <w:rPr>
                <w:b/>
              </w:rPr>
            </w:pPr>
            <w:r w:rsidRPr="007111C7">
              <w:rPr>
                <w:b/>
              </w:rPr>
              <w:t>INDUSTRIAL CUSTOMERS OF NORTHWEST UTILITIES</w:t>
            </w:r>
          </w:p>
          <w:p w:rsidR="001B6603" w:rsidRPr="007111C7" w:rsidRDefault="001B6603" w:rsidP="001B6603">
            <w:pPr>
              <w:jc w:val="both"/>
              <w:rPr>
                <w:b/>
              </w:rPr>
            </w:pPr>
          </w:p>
          <w:p w:rsidR="001B6603" w:rsidRPr="007111C7" w:rsidRDefault="001B6603" w:rsidP="001B6603">
            <w:pPr>
              <w:jc w:val="both"/>
              <w:rPr>
                <w:b/>
              </w:rPr>
            </w:pPr>
          </w:p>
          <w:p w:rsidR="001B6603" w:rsidRPr="007111C7" w:rsidRDefault="001B6603" w:rsidP="001B6603">
            <w:pPr>
              <w:jc w:val="both"/>
              <w:rPr>
                <w:b/>
              </w:rPr>
            </w:pPr>
          </w:p>
          <w:p w:rsidR="001B6603" w:rsidRPr="00193310" w:rsidRDefault="00193310" w:rsidP="001B6603">
            <w:pPr>
              <w:jc w:val="both"/>
              <w:rPr>
                <w:i/>
                <w:u w:val="single"/>
              </w:rPr>
            </w:pPr>
            <w:r>
              <w:rPr>
                <w:i/>
                <w:u w:val="single"/>
              </w:rPr>
              <w:t>/s/ Joshua D. Weber</w:t>
            </w:r>
          </w:p>
          <w:p w:rsidR="001B6603" w:rsidRDefault="001B6603" w:rsidP="001B6603">
            <w:pPr>
              <w:jc w:val="both"/>
            </w:pPr>
            <w:r>
              <w:t>Melinda J. Davison</w:t>
            </w:r>
          </w:p>
          <w:p w:rsidR="001B6603" w:rsidRPr="007111C7" w:rsidRDefault="001B6603" w:rsidP="001B6603">
            <w:pPr>
              <w:jc w:val="both"/>
            </w:pPr>
            <w:r>
              <w:t>Joshua D. Weber</w:t>
            </w:r>
          </w:p>
          <w:p w:rsidR="008753E8" w:rsidRDefault="001B6603" w:rsidP="001B6603">
            <w:r>
              <w:t>Of Attorneys for the Industrial Customers of Northwest Utilities</w:t>
            </w:r>
          </w:p>
          <w:p w:rsidR="008753E8" w:rsidRDefault="008753E8" w:rsidP="008753E8"/>
        </w:tc>
        <w:tc>
          <w:tcPr>
            <w:tcW w:w="4572" w:type="dxa"/>
          </w:tcPr>
          <w:p w:rsidR="001B6603" w:rsidRPr="007111C7" w:rsidRDefault="001B6603" w:rsidP="001B6603">
            <w:pPr>
              <w:jc w:val="both"/>
              <w:rPr>
                <w:b/>
              </w:rPr>
            </w:pPr>
            <w:r w:rsidRPr="007111C7">
              <w:rPr>
                <w:b/>
              </w:rPr>
              <w:t xml:space="preserve">ROBERT </w:t>
            </w:r>
            <w:r w:rsidR="00C128CE">
              <w:rPr>
                <w:b/>
              </w:rPr>
              <w:t>W</w:t>
            </w:r>
            <w:r w:rsidRPr="007111C7">
              <w:rPr>
                <w:b/>
              </w:rPr>
              <w:t xml:space="preserve">. </w:t>
            </w:r>
            <w:r w:rsidR="00C128CE">
              <w:rPr>
                <w:b/>
              </w:rPr>
              <w:t>FERGUSON</w:t>
            </w:r>
            <w:r w:rsidRPr="007111C7">
              <w:rPr>
                <w:b/>
              </w:rPr>
              <w:t xml:space="preserve"> </w:t>
            </w:r>
          </w:p>
          <w:p w:rsidR="001B6603" w:rsidRPr="007111C7" w:rsidRDefault="001B6603" w:rsidP="001B6603">
            <w:pPr>
              <w:jc w:val="both"/>
              <w:rPr>
                <w:b/>
              </w:rPr>
            </w:pPr>
            <w:r w:rsidRPr="007111C7">
              <w:rPr>
                <w:b/>
              </w:rPr>
              <w:t>Attorney General</w:t>
            </w:r>
          </w:p>
          <w:p w:rsidR="001B6603" w:rsidRPr="007111C7" w:rsidRDefault="001B6603" w:rsidP="001B6603">
            <w:pPr>
              <w:jc w:val="both"/>
              <w:rPr>
                <w:b/>
              </w:rPr>
            </w:pPr>
          </w:p>
          <w:p w:rsidR="001B6603" w:rsidRPr="007111C7" w:rsidRDefault="001B6603" w:rsidP="001B6603">
            <w:pPr>
              <w:jc w:val="both"/>
              <w:rPr>
                <w:b/>
              </w:rPr>
            </w:pPr>
          </w:p>
          <w:p w:rsidR="001B6603" w:rsidRPr="007111C7" w:rsidRDefault="001B6603" w:rsidP="001B6603">
            <w:pPr>
              <w:jc w:val="both"/>
              <w:rPr>
                <w:b/>
              </w:rPr>
            </w:pPr>
          </w:p>
          <w:p w:rsidR="001B6603" w:rsidRPr="00A317CB" w:rsidRDefault="00A317CB" w:rsidP="001B6603">
            <w:pPr>
              <w:jc w:val="both"/>
              <w:rPr>
                <w:i/>
                <w:u w:val="single"/>
              </w:rPr>
            </w:pPr>
            <w:r>
              <w:rPr>
                <w:i/>
                <w:u w:val="single"/>
              </w:rPr>
              <w:t xml:space="preserve">/s/ Simon J. </w:t>
            </w:r>
            <w:proofErr w:type="spellStart"/>
            <w:r>
              <w:rPr>
                <w:i/>
                <w:u w:val="single"/>
              </w:rPr>
              <w:t>ffitch</w:t>
            </w:r>
            <w:proofErr w:type="spellEnd"/>
          </w:p>
          <w:p w:rsidR="001B6603" w:rsidRPr="007111C7" w:rsidRDefault="001B6603" w:rsidP="001B6603">
            <w:pPr>
              <w:jc w:val="both"/>
            </w:pPr>
            <w:r w:rsidRPr="007111C7">
              <w:t xml:space="preserve">Simon J. </w:t>
            </w:r>
            <w:proofErr w:type="spellStart"/>
            <w:r w:rsidRPr="007111C7">
              <w:t>ffitch</w:t>
            </w:r>
            <w:proofErr w:type="spellEnd"/>
          </w:p>
          <w:p w:rsidR="001B6603" w:rsidRPr="007111C7" w:rsidRDefault="001B6603" w:rsidP="001B6603">
            <w:pPr>
              <w:jc w:val="both"/>
            </w:pPr>
            <w:r w:rsidRPr="007111C7">
              <w:t xml:space="preserve">Senior Assistant Attorney General </w:t>
            </w:r>
          </w:p>
          <w:p w:rsidR="008753E8" w:rsidRDefault="001B6603" w:rsidP="001B6603">
            <w:r w:rsidRPr="007111C7">
              <w:t xml:space="preserve">Public Counsel </w:t>
            </w:r>
            <w:r w:rsidR="00C128CE">
              <w:t>Division</w:t>
            </w:r>
          </w:p>
          <w:p w:rsidR="008753E8" w:rsidRPr="008753E8" w:rsidRDefault="008753E8" w:rsidP="008753E8">
            <w:pPr>
              <w:jc w:val="both"/>
              <w:rPr>
                <w:b/>
              </w:rPr>
            </w:pPr>
          </w:p>
        </w:tc>
      </w:tr>
      <w:tr w:rsidR="008753E8" w:rsidTr="001B6603">
        <w:tc>
          <w:tcPr>
            <w:tcW w:w="4572" w:type="dxa"/>
          </w:tcPr>
          <w:p w:rsidR="007D3B3A" w:rsidRDefault="007D3B3A" w:rsidP="001B6603">
            <w:pPr>
              <w:rPr>
                <w:b/>
              </w:rPr>
            </w:pPr>
          </w:p>
          <w:p w:rsidR="001B6603" w:rsidRPr="008753E8" w:rsidRDefault="001B6603" w:rsidP="001B6603">
            <w:pPr>
              <w:rPr>
                <w:b/>
              </w:rPr>
            </w:pPr>
            <w:r>
              <w:rPr>
                <w:b/>
              </w:rPr>
              <w:t>NORTHWEST INDUSTRIAL GAS USERS</w:t>
            </w:r>
          </w:p>
          <w:p w:rsidR="001B6603" w:rsidRDefault="001B6603" w:rsidP="001B6603">
            <w:pPr>
              <w:jc w:val="both"/>
            </w:pPr>
          </w:p>
          <w:p w:rsidR="001B6603" w:rsidRDefault="001B6603" w:rsidP="001B6603">
            <w:pPr>
              <w:jc w:val="both"/>
            </w:pPr>
          </w:p>
          <w:p w:rsidR="001B6603" w:rsidRDefault="001B6603" w:rsidP="001B6603">
            <w:pPr>
              <w:jc w:val="both"/>
            </w:pPr>
          </w:p>
          <w:p w:rsidR="001B6603" w:rsidRDefault="001B6603" w:rsidP="001B6603">
            <w:pPr>
              <w:jc w:val="both"/>
            </w:pPr>
          </w:p>
          <w:p w:rsidR="001B6603" w:rsidRPr="004F5973" w:rsidRDefault="004F5973" w:rsidP="001B6603">
            <w:pPr>
              <w:jc w:val="both"/>
              <w:rPr>
                <w:i/>
                <w:u w:val="single"/>
              </w:rPr>
            </w:pPr>
            <w:r>
              <w:rPr>
                <w:i/>
                <w:u w:val="single"/>
              </w:rPr>
              <w:t>/s/ Chad Stokes</w:t>
            </w:r>
          </w:p>
          <w:p w:rsidR="001B6603" w:rsidRDefault="007D3B3A" w:rsidP="001B6603">
            <w:pPr>
              <w:jc w:val="both"/>
            </w:pPr>
            <w:r>
              <w:t>Chad</w:t>
            </w:r>
            <w:r w:rsidR="001B6603">
              <w:t xml:space="preserve"> S</w:t>
            </w:r>
            <w:r>
              <w:t>tokes</w:t>
            </w:r>
          </w:p>
          <w:p w:rsidR="008753E8" w:rsidRPr="007111C7" w:rsidRDefault="001B6603" w:rsidP="001B6603">
            <w:r>
              <w:t>Counsel for NWIGU</w:t>
            </w:r>
          </w:p>
          <w:p w:rsidR="008753E8" w:rsidRPr="007111C7" w:rsidRDefault="008753E8" w:rsidP="008753E8">
            <w:pPr>
              <w:rPr>
                <w:b/>
              </w:rPr>
            </w:pPr>
          </w:p>
        </w:tc>
        <w:tc>
          <w:tcPr>
            <w:tcW w:w="4572" w:type="dxa"/>
          </w:tcPr>
          <w:p w:rsidR="007111C7" w:rsidRPr="007111C7" w:rsidRDefault="007111C7" w:rsidP="007111C7"/>
          <w:p w:rsidR="007111C7" w:rsidRPr="007111C7" w:rsidRDefault="007111C7" w:rsidP="008753E8">
            <w:pPr>
              <w:rPr>
                <w:b/>
              </w:rPr>
            </w:pPr>
          </w:p>
        </w:tc>
      </w:tr>
    </w:tbl>
    <w:p w:rsidR="00671131" w:rsidRDefault="00671131" w:rsidP="00671131"/>
    <w:sectPr w:rsidR="00671131" w:rsidSect="00114D18">
      <w:footerReference w:type="default" r:id="rId8"/>
      <w:pgSz w:w="12240" w:h="15840" w:code="1"/>
      <w:pgMar w:top="1440" w:right="1440" w:bottom="1440" w:left="187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916" w:rsidRDefault="00AB5916">
      <w:pPr>
        <w:spacing w:line="240" w:lineRule="auto"/>
      </w:pPr>
      <w:r>
        <w:separator/>
      </w:r>
    </w:p>
  </w:endnote>
  <w:endnote w:type="continuationSeparator" w:id="0">
    <w:p w:rsidR="00AB5916" w:rsidRDefault="00AB59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Pr="00EE2D9A" w:rsidRDefault="00AB5916">
    <w:pPr>
      <w:pStyle w:val="Footer"/>
      <w:rPr>
        <w:sz w:val="24"/>
        <w:szCs w:val="24"/>
      </w:rPr>
    </w:pPr>
    <w:r>
      <w:rPr>
        <w:sz w:val="24"/>
        <w:szCs w:val="24"/>
      </w:rPr>
      <w:t xml:space="preserve">EXPEDITED </w:t>
    </w:r>
    <w:r w:rsidRPr="00EE2D9A">
      <w:rPr>
        <w:sz w:val="24"/>
        <w:szCs w:val="24"/>
      </w:rPr>
      <w:t xml:space="preserve">JOINT MOTION TO CONSOLIDATE - </w:t>
    </w:r>
    <w:r w:rsidRPr="00EE2D9A">
      <w:rPr>
        <w:sz w:val="24"/>
        <w:szCs w:val="24"/>
      </w:rPr>
      <w:fldChar w:fldCharType="begin"/>
    </w:r>
    <w:r w:rsidRPr="00EE2D9A">
      <w:rPr>
        <w:sz w:val="24"/>
        <w:szCs w:val="24"/>
      </w:rPr>
      <w:instrText xml:space="preserve"> PAGE   \* MERGEFORMAT </w:instrText>
    </w:r>
    <w:r w:rsidRPr="00EE2D9A">
      <w:rPr>
        <w:sz w:val="24"/>
        <w:szCs w:val="24"/>
      </w:rPr>
      <w:fldChar w:fldCharType="separate"/>
    </w:r>
    <w:r w:rsidR="00E66D9E">
      <w:rPr>
        <w:noProof/>
        <w:sz w:val="24"/>
        <w:szCs w:val="24"/>
      </w:rPr>
      <w:t>5</w:t>
    </w:r>
    <w:r w:rsidRPr="00EE2D9A">
      <w:rPr>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916" w:rsidRDefault="00AB5916">
      <w:pPr>
        <w:spacing w:line="240" w:lineRule="auto"/>
      </w:pPr>
      <w:r>
        <w:separator/>
      </w:r>
    </w:p>
  </w:footnote>
  <w:footnote w:type="continuationSeparator" w:id="0">
    <w:p w:rsidR="00AB5916" w:rsidRDefault="00AB5916">
      <w:pPr>
        <w:ind w:right="5760"/>
      </w:pPr>
      <w:r>
        <w:continuationSeparator/>
      </w:r>
    </w:p>
  </w:footnote>
  <w:footnote w:id="1">
    <w:p w:rsidR="00AB5916" w:rsidRDefault="00AB5916" w:rsidP="0032387D">
      <w:pPr>
        <w:pStyle w:val="FootnoteText"/>
        <w:ind w:left="720" w:hanging="720"/>
      </w:pPr>
      <w:r w:rsidRPr="007076A7">
        <w:rPr>
          <w:rStyle w:val="FootnoteReference"/>
          <w:u w:val="single"/>
        </w:rPr>
        <w:footnoteRef/>
      </w:r>
      <w:r w:rsidRPr="007076A7">
        <w:rPr>
          <w:vertAlign w:val="superscript"/>
        </w:rPr>
        <w:t>/</w:t>
      </w:r>
      <w:r>
        <w:t xml:space="preserve"> </w:t>
      </w:r>
      <w:r>
        <w:tab/>
      </w:r>
      <w:r>
        <w:rPr>
          <w:u w:val="single"/>
        </w:rPr>
        <w:t xml:space="preserve">In the Matter of the Petition of Puget Sound Energy, Inc. Expedited </w:t>
      </w:r>
      <w:r w:rsidRPr="0001583A">
        <w:rPr>
          <w:u w:val="single"/>
        </w:rPr>
        <w:t>Rate Filing</w:t>
      </w:r>
      <w:r>
        <w:t xml:space="preserve">, WUTC Docket Nos. </w:t>
      </w:r>
      <w:r>
        <w:br/>
        <w:t>UE-130137 and UG-130138 (Feb. 1, 2013).</w:t>
      </w:r>
    </w:p>
  </w:footnote>
  <w:footnote w:id="2">
    <w:p w:rsidR="00AB5916" w:rsidRDefault="00AB5916" w:rsidP="00DF5A51">
      <w:pPr>
        <w:pStyle w:val="FootnoteText"/>
        <w:keepNext/>
        <w:keepLines/>
        <w:ind w:left="720" w:hanging="720"/>
      </w:pPr>
      <w:r w:rsidRPr="007076A7">
        <w:rPr>
          <w:rStyle w:val="FootnoteReference"/>
          <w:u w:val="single"/>
        </w:rPr>
        <w:footnoteRef/>
      </w:r>
      <w:r w:rsidRPr="007076A7">
        <w:rPr>
          <w:vertAlign w:val="superscript"/>
        </w:rPr>
        <w:t>/</w:t>
      </w:r>
      <w:r>
        <w:t xml:space="preserve"> </w:t>
      </w:r>
      <w:r>
        <w:tab/>
      </w:r>
      <w:r>
        <w:rPr>
          <w:u w:val="single"/>
        </w:rPr>
        <w:t xml:space="preserve">In the Matter of the Petition of Puget Sound Energy, Inc., and NW Energy Coalition for an Order </w:t>
      </w:r>
      <w:r>
        <w:rPr>
          <w:u w:val="single"/>
        </w:rPr>
        <w:br/>
        <w:t>Authorizing PSE to Implement Electric and Natural Gas Decoupling Mechanisms and to Record Accounting Entries Associated with the Mechanisms</w:t>
      </w:r>
      <w:r>
        <w:t>, WUTC Docket Nos. UE-121697 and UG-121705 (Oct. 25, 2012).</w:t>
      </w:r>
    </w:p>
  </w:footnote>
  <w:footnote w:id="3">
    <w:p w:rsidR="00AB5916" w:rsidRDefault="00AB5916" w:rsidP="008330F6">
      <w:pPr>
        <w:pStyle w:val="FootnoteText"/>
        <w:ind w:firstLine="0"/>
      </w:pPr>
      <w:r w:rsidRPr="007076A7">
        <w:rPr>
          <w:rStyle w:val="FootnoteReference"/>
          <w:u w:val="single"/>
        </w:rPr>
        <w:footnoteRef/>
      </w:r>
      <w:r w:rsidRPr="007076A7">
        <w:rPr>
          <w:vertAlign w:val="superscript"/>
        </w:rPr>
        <w:t>/</w:t>
      </w:r>
      <w:r>
        <w:t xml:space="preserve"> </w:t>
      </w:r>
      <w:r>
        <w:tab/>
        <w:t>WAC § 480-07-320.</w:t>
      </w:r>
    </w:p>
  </w:footnote>
  <w:footnote w:id="4">
    <w:p w:rsidR="00AB5916" w:rsidRDefault="00AB5916" w:rsidP="007076A7">
      <w:pPr>
        <w:pStyle w:val="FootnoteText"/>
        <w:ind w:left="720" w:hanging="720"/>
      </w:pPr>
      <w:r w:rsidRPr="007076A7">
        <w:rPr>
          <w:rStyle w:val="FootnoteReference"/>
          <w:u w:val="single"/>
        </w:rPr>
        <w:footnoteRef/>
      </w:r>
      <w:r w:rsidRPr="007076A7">
        <w:rPr>
          <w:vertAlign w:val="superscript"/>
        </w:rPr>
        <w:t>/</w:t>
      </w:r>
      <w:r>
        <w:t xml:space="preserve"> </w:t>
      </w:r>
      <w:r>
        <w:tab/>
      </w:r>
      <w:r w:rsidRPr="000D272D">
        <w:rPr>
          <w:u w:val="single"/>
        </w:rPr>
        <w:t>See</w:t>
      </w:r>
      <w:r>
        <w:rPr>
          <w:i/>
        </w:rPr>
        <w:t xml:space="preserve">, </w:t>
      </w:r>
      <w:r w:rsidRPr="00AD76AB">
        <w:rPr>
          <w:u w:val="single"/>
        </w:rPr>
        <w:t>e.g.</w:t>
      </w:r>
      <w:r>
        <w:t xml:space="preserve">, </w:t>
      </w:r>
      <w:r w:rsidRPr="000D272D">
        <w:rPr>
          <w:u w:val="single"/>
        </w:rPr>
        <w:t>WUTC v. Pacific Power and Light</w:t>
      </w:r>
      <w:r>
        <w:rPr>
          <w:i/>
        </w:rPr>
        <w:t xml:space="preserve">, </w:t>
      </w:r>
      <w:r w:rsidRPr="009C6C01">
        <w:t xml:space="preserve">Docket No. </w:t>
      </w:r>
      <w:r>
        <w:t>UE-</w:t>
      </w:r>
      <w:r w:rsidRPr="009C6C01">
        <w:t>050684</w:t>
      </w:r>
      <w:r>
        <w:t>, Order 05 at ¶ 5 (June 28, 2006)  (finding, in addition to promoting “judicial economy and administrative efficiency,” that consolidation was proper where the Commission could not otherwise “determine that the requested . . . rate increase would result in fair, just, reasonable and sufficient rates”).</w:t>
      </w:r>
    </w:p>
  </w:footnote>
  <w:footnote w:id="5">
    <w:p w:rsidR="00AB5916" w:rsidRPr="009A7E21" w:rsidRDefault="00AB5916" w:rsidP="0032387D">
      <w:pPr>
        <w:pStyle w:val="FootnoteText"/>
        <w:ind w:left="720" w:hanging="720"/>
      </w:pPr>
      <w:r w:rsidRPr="007076A7">
        <w:rPr>
          <w:rStyle w:val="FootnoteReference"/>
          <w:u w:val="single"/>
        </w:rPr>
        <w:footnoteRef/>
      </w:r>
      <w:r w:rsidRPr="007076A7">
        <w:rPr>
          <w:vertAlign w:val="superscript"/>
        </w:rPr>
        <w:t>/</w:t>
      </w:r>
      <w:r>
        <w:t xml:space="preserve"> </w:t>
      </w:r>
      <w:r>
        <w:tab/>
      </w:r>
      <w:r w:rsidRPr="002107A0">
        <w:rPr>
          <w:u w:val="single"/>
        </w:rPr>
        <w:t>WUTC v. PSE</w:t>
      </w:r>
      <w:r>
        <w:t xml:space="preserve">, Docket Nos. </w:t>
      </w:r>
      <w:proofErr w:type="gramStart"/>
      <w:r>
        <w:t>UE-121697 and UG-121705,  Prefiled Direct Testimony of Jon A. Piliaris, JAP-1T at 18, 25 (Oct. 25, 2012).</w:t>
      </w:r>
      <w:proofErr w:type="gramEnd"/>
    </w:p>
  </w:footnote>
  <w:footnote w:id="6">
    <w:p w:rsidR="00AB5916" w:rsidRPr="001E0145" w:rsidRDefault="00AB5916" w:rsidP="001E0145">
      <w:pPr>
        <w:pStyle w:val="FootnoteText"/>
        <w:ind w:firstLine="0"/>
        <w:rPr>
          <w:u w:val="single"/>
        </w:rPr>
      </w:pPr>
      <w:r w:rsidRPr="001E0145">
        <w:rPr>
          <w:rStyle w:val="FootnoteReference"/>
          <w:u w:val="single"/>
        </w:rPr>
        <w:footnoteRef/>
      </w:r>
      <w:r w:rsidRPr="001E0145">
        <w:rPr>
          <w:vertAlign w:val="superscript"/>
        </w:rPr>
        <w:t>/</w:t>
      </w:r>
      <w:r w:rsidRPr="001E0145">
        <w:t xml:space="preserve"> </w:t>
      </w:r>
      <w:r w:rsidRPr="001E0145">
        <w:tab/>
      </w:r>
      <w:r>
        <w:t>Amended Petition at ¶ 5.</w:t>
      </w:r>
    </w:p>
  </w:footnote>
  <w:footnote w:id="7">
    <w:p w:rsidR="00AB5916" w:rsidRPr="009A7E21" w:rsidRDefault="00AB5916" w:rsidP="002107A0">
      <w:pPr>
        <w:pStyle w:val="FootnoteText"/>
        <w:ind w:left="720" w:hanging="720"/>
      </w:pPr>
      <w:r w:rsidRPr="007076A7">
        <w:rPr>
          <w:rStyle w:val="FootnoteReference"/>
          <w:u w:val="single"/>
        </w:rPr>
        <w:footnoteRef/>
      </w:r>
      <w:r w:rsidRPr="007076A7">
        <w:rPr>
          <w:vertAlign w:val="superscript"/>
        </w:rPr>
        <w:t>/</w:t>
      </w:r>
      <w:r>
        <w:t xml:space="preserve"> </w:t>
      </w:r>
      <w:r>
        <w:tab/>
        <w:t xml:space="preserve">Docket Nos. UE-121697 and UG-121705, Prefiled Direct Testimony of Katherine J. Barnard, </w:t>
      </w:r>
      <w:r>
        <w:br/>
        <w:t>KJB-1T at 2 (Feb. 1, 2013).</w:t>
      </w:r>
    </w:p>
  </w:footnote>
  <w:footnote w:id="8">
    <w:p w:rsidR="00AB5916" w:rsidRPr="009A7E21" w:rsidRDefault="00AB5916" w:rsidP="006B7241">
      <w:pPr>
        <w:pStyle w:val="FootnoteText"/>
        <w:ind w:left="720" w:hanging="720"/>
      </w:pPr>
      <w:r w:rsidRPr="007076A7">
        <w:rPr>
          <w:rStyle w:val="FootnoteReference"/>
          <w:u w:val="single"/>
        </w:rPr>
        <w:footnoteRef/>
      </w:r>
      <w:r w:rsidRPr="007076A7">
        <w:rPr>
          <w:vertAlign w:val="superscript"/>
        </w:rPr>
        <w:t>/</w:t>
      </w:r>
      <w:r>
        <w:t xml:space="preserve"> </w:t>
      </w:r>
      <w:r>
        <w:tab/>
      </w:r>
      <w:r>
        <w:rPr>
          <w:u w:val="single"/>
        </w:rPr>
        <w:t xml:space="preserve">Re WUTC’s Investigation </w:t>
      </w:r>
      <w:proofErr w:type="gramStart"/>
      <w:r>
        <w:rPr>
          <w:u w:val="single"/>
        </w:rPr>
        <w:t>Into</w:t>
      </w:r>
      <w:proofErr w:type="gramEnd"/>
      <w:r>
        <w:rPr>
          <w:u w:val="single"/>
        </w:rPr>
        <w:t xml:space="preserve"> Energy Conservation Incentives</w:t>
      </w:r>
      <w:r>
        <w:t xml:space="preserve">, Docket No. </w:t>
      </w:r>
      <w:proofErr w:type="gramStart"/>
      <w:r w:rsidR="00104703">
        <w:t>U-</w:t>
      </w:r>
      <w:r>
        <w:t>100522, Report &amp; Policy Statement, at ¶ 28 (Nov. 4, 2010); Amended Petition at ¶ 17.</w:t>
      </w:r>
      <w:proofErr w:type="gramEnd"/>
    </w:p>
  </w:footnote>
  <w:footnote w:id="9">
    <w:p w:rsidR="00AB5916"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r>
      <w:r w:rsidRPr="002107A0">
        <w:rPr>
          <w:u w:val="single"/>
        </w:rPr>
        <w:t>WUTC v. PSE</w:t>
      </w:r>
      <w:r>
        <w:t xml:space="preserve">, Docket Nos. UE-121697 and UG-121705, Prefiled Supplemental Direct Testimony </w:t>
      </w:r>
      <w:r>
        <w:tab/>
        <w:t>of Jon A. Piliaris, JAP-8T at 6 (Mar. 1, 2013).</w:t>
      </w:r>
    </w:p>
  </w:footnote>
  <w:footnote w:id="10">
    <w:p w:rsidR="00AB5916" w:rsidRPr="00DD0C50"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r>
      <w:r w:rsidRPr="009C0941">
        <w:rPr>
          <w:u w:val="single"/>
        </w:rPr>
        <w:t>See</w:t>
      </w:r>
      <w:r>
        <w:rPr>
          <w:i/>
        </w:rPr>
        <w:t xml:space="preserve"> </w:t>
      </w:r>
      <w:r>
        <w:t>KJB-1T at 6.</w:t>
      </w:r>
    </w:p>
  </w:footnote>
  <w:footnote w:id="11">
    <w:p w:rsidR="00AB5916" w:rsidRPr="00DD7C40" w:rsidRDefault="00AB5916" w:rsidP="009C0941">
      <w:pPr>
        <w:pStyle w:val="FootnoteText"/>
        <w:spacing w:before="100" w:after="100"/>
        <w:ind w:firstLine="0"/>
        <w:contextualSpacing/>
      </w:pPr>
      <w:r w:rsidRPr="00EE2D9A">
        <w:rPr>
          <w:rStyle w:val="FootnoteReference"/>
          <w:u w:val="single"/>
        </w:rPr>
        <w:footnoteRef/>
      </w:r>
      <w:r w:rsidRPr="00EE2D9A">
        <w:rPr>
          <w:vertAlign w:val="superscript"/>
        </w:rPr>
        <w:t>/</w:t>
      </w:r>
      <w:r w:rsidRPr="00DD7C40">
        <w:t xml:space="preserve"> </w:t>
      </w:r>
      <w:r>
        <w:tab/>
      </w:r>
      <w:r w:rsidRPr="00DD7C40">
        <w:t xml:space="preserve">PSE filed </w:t>
      </w:r>
      <w:r>
        <w:t xml:space="preserve">the ERF </w:t>
      </w:r>
      <w:r w:rsidRPr="00DD7C40">
        <w:t xml:space="preserve">on </w:t>
      </w:r>
      <w:r>
        <w:t xml:space="preserve">February 1, 2013, </w:t>
      </w:r>
      <w:r w:rsidRPr="00DD7C40">
        <w:t xml:space="preserve">and </w:t>
      </w:r>
      <w:r>
        <w:t xml:space="preserve">the Amended Petition for Decoupling Mechanisms </w:t>
      </w:r>
      <w:r w:rsidRPr="00DD7C40">
        <w:t xml:space="preserve">on </w:t>
      </w:r>
      <w:r>
        <w:tab/>
        <w:t>March 1, 2013</w:t>
      </w:r>
      <w:r w:rsidRPr="00DD7C40">
        <w:t xml:space="preserve">.  </w:t>
      </w:r>
    </w:p>
  </w:footnote>
  <w:footnote w:id="12">
    <w:p w:rsidR="00AB5916"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t xml:space="preserve">Statement of </w:t>
      </w:r>
      <w:proofErr w:type="spellStart"/>
      <w:r>
        <w:t>Sheree</w:t>
      </w:r>
      <w:proofErr w:type="spellEnd"/>
      <w:r>
        <w:t xml:space="preserve"> </w:t>
      </w:r>
      <w:r w:rsidRPr="00214C22">
        <w:t>C</w:t>
      </w:r>
      <w:r>
        <w:t>arson</w:t>
      </w:r>
      <w:r w:rsidRPr="00214C22">
        <w:t xml:space="preserve"> </w:t>
      </w:r>
      <w:r>
        <w:t>at WUTC open meeting (Mar.</w:t>
      </w:r>
      <w:r w:rsidRPr="00214C22">
        <w:t xml:space="preserve"> 5, 2013</w:t>
      </w:r>
      <w:r>
        <w:t>)</w:t>
      </w:r>
      <w:r w:rsidRPr="00214C22">
        <w:t>.</w:t>
      </w:r>
    </w:p>
  </w:footnote>
  <w:footnote w:id="13">
    <w:p w:rsidR="00AB5916" w:rsidRDefault="00AB5916" w:rsidP="00EC633B">
      <w:pPr>
        <w:pStyle w:val="FootnoteText"/>
        <w:spacing w:before="100" w:after="100"/>
        <w:ind w:firstLine="0"/>
        <w:contextualSpacing/>
      </w:pPr>
      <w:r w:rsidRPr="00EE2D9A">
        <w:rPr>
          <w:rStyle w:val="FootnoteReference"/>
          <w:u w:val="single"/>
        </w:rPr>
        <w:footnoteRef/>
      </w:r>
      <w:r w:rsidRPr="00EE2D9A">
        <w:rPr>
          <w:vertAlign w:val="superscript"/>
        </w:rPr>
        <w:t>/</w:t>
      </w:r>
      <w:r>
        <w:t xml:space="preserve">  </w:t>
      </w:r>
      <w:r>
        <w:tab/>
      </w:r>
      <w:r w:rsidRPr="00781530">
        <w:t>WAC</w:t>
      </w:r>
      <w:r>
        <w:t xml:space="preserve"> §</w:t>
      </w:r>
      <w:r w:rsidRPr="00781530">
        <w:t xml:space="preserve"> 480-07-320.</w:t>
      </w:r>
    </w:p>
  </w:footnote>
  <w:footnote w:id="14">
    <w:p w:rsidR="00AB5916" w:rsidRDefault="00AB5916" w:rsidP="000A2D38">
      <w:pPr>
        <w:pStyle w:val="FootnoteText"/>
        <w:spacing w:before="100" w:after="100"/>
        <w:ind w:left="720" w:hanging="720"/>
        <w:contextualSpacing/>
      </w:pPr>
      <w:r w:rsidRPr="00EE2D9A">
        <w:rPr>
          <w:rStyle w:val="FootnoteReference"/>
          <w:u w:val="single"/>
        </w:rPr>
        <w:footnoteRef/>
      </w:r>
      <w:r w:rsidRPr="00EE2D9A">
        <w:rPr>
          <w:vertAlign w:val="superscript"/>
        </w:rPr>
        <w:t>/</w:t>
      </w:r>
      <w:r>
        <w:t xml:space="preserve">  </w:t>
      </w:r>
      <w:r>
        <w:tab/>
        <w:t xml:space="preserve">The Commission is aware that PSE has engaged in private settlement negotiations with Staff in which an agreement in principle was reached concerning ERF and decoupling issues.  </w:t>
      </w:r>
      <w:proofErr w:type="gramStart"/>
      <w:r w:rsidRPr="00D6281F">
        <w:rPr>
          <w:u w:val="single"/>
        </w:rPr>
        <w:t>See</w:t>
      </w:r>
      <w:r>
        <w:t xml:space="preserve">, </w:t>
      </w:r>
      <w:r>
        <w:rPr>
          <w:u w:val="single"/>
        </w:rPr>
        <w:t>e</w:t>
      </w:r>
      <w:r w:rsidRPr="00D6281F">
        <w:rPr>
          <w:u w:val="single"/>
        </w:rPr>
        <w:t>.g.</w:t>
      </w:r>
      <w:r>
        <w:t>, Letter from ICNU to the WUTC (Feb. 25, 2013) (regarding PSE e</w:t>
      </w:r>
      <w:r w:rsidRPr="00D6281F">
        <w:t>xpedite</w:t>
      </w:r>
      <w:r>
        <w:t>d rate case f</w:t>
      </w:r>
      <w:r w:rsidRPr="00D6281F">
        <w:t>iling</w:t>
      </w:r>
      <w:r>
        <w:t>); and Letter from Public Counsel to WUTC (Feb. 26, 2013) (regarding support for the ICNU filing to suspend the expedited rate c</w:t>
      </w:r>
      <w:r w:rsidRPr="005311E2">
        <w:t>ase</w:t>
      </w:r>
      <w:r>
        <w:t xml:space="preserve"> filing submitted by PSE).</w:t>
      </w:r>
      <w:proofErr w:type="gramEnd"/>
      <w:r>
        <w:t xml:space="preserve">  PSE and Staff have already deemed a unified settlement on these cases appropriate.  Thus, consolidation of these cases by the Commission, allowing a </w:t>
      </w:r>
      <w:r w:rsidRPr="006C0D2B">
        <w:rPr>
          <w:i/>
        </w:rPr>
        <w:t>public</w:t>
      </w:r>
      <w:r>
        <w:t xml:space="preserve"> forum for discussion and exploration of common issues, would be fair and just.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E369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2">
    <w:nsid w:val="4A2F3923"/>
    <w:multiLevelType w:val="hybridMultilevel"/>
    <w:tmpl w:val="7814086C"/>
    <w:lvl w:ilvl="0" w:tplc="4B020D72">
      <w:start w:val="1"/>
      <w:numFmt w:val="decimal"/>
      <w:lvlText w:val="%1"/>
      <w:lvlJc w:val="left"/>
      <w:pPr>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B001003"/>
    <w:multiLevelType w:val="singleLevel"/>
    <w:tmpl w:val="FC222806"/>
    <w:lvl w:ilvl="0">
      <w:start w:val="1"/>
      <w:numFmt w:val="decimal"/>
      <w:pStyle w:val="ParNumber"/>
      <w:lvlText w:val="%1."/>
      <w:lvlJc w:val="left"/>
      <w:pPr>
        <w:tabs>
          <w:tab w:val="num" w:pos="360"/>
        </w:tabs>
        <w:ind w:left="360" w:hanging="360"/>
      </w:pPr>
      <w:rPr>
        <w:i/>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4"/>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530CD"/>
    <w:rsid w:val="000068D4"/>
    <w:rsid w:val="00025DE2"/>
    <w:rsid w:val="00065340"/>
    <w:rsid w:val="00066DF3"/>
    <w:rsid w:val="00071573"/>
    <w:rsid w:val="00076BE5"/>
    <w:rsid w:val="00084515"/>
    <w:rsid w:val="00084D45"/>
    <w:rsid w:val="000A2D38"/>
    <w:rsid w:val="000C3BA4"/>
    <w:rsid w:val="000C709D"/>
    <w:rsid w:val="000D1944"/>
    <w:rsid w:val="000D1FBA"/>
    <w:rsid w:val="000D272D"/>
    <w:rsid w:val="000F389E"/>
    <w:rsid w:val="00103904"/>
    <w:rsid w:val="00104703"/>
    <w:rsid w:val="00106F50"/>
    <w:rsid w:val="00114D18"/>
    <w:rsid w:val="0014428A"/>
    <w:rsid w:val="001530CD"/>
    <w:rsid w:val="00165913"/>
    <w:rsid w:val="0017276C"/>
    <w:rsid w:val="00173DAB"/>
    <w:rsid w:val="001761A4"/>
    <w:rsid w:val="00182C50"/>
    <w:rsid w:val="00193310"/>
    <w:rsid w:val="001A1A08"/>
    <w:rsid w:val="001A38FD"/>
    <w:rsid w:val="001B6603"/>
    <w:rsid w:val="001D60D7"/>
    <w:rsid w:val="001E0145"/>
    <w:rsid w:val="001F3027"/>
    <w:rsid w:val="002107A0"/>
    <w:rsid w:val="00214C22"/>
    <w:rsid w:val="0021677D"/>
    <w:rsid w:val="00226F00"/>
    <w:rsid w:val="00227793"/>
    <w:rsid w:val="00237E77"/>
    <w:rsid w:val="00272B2D"/>
    <w:rsid w:val="002C2843"/>
    <w:rsid w:val="002E1E10"/>
    <w:rsid w:val="002E23DA"/>
    <w:rsid w:val="002E57EF"/>
    <w:rsid w:val="00302804"/>
    <w:rsid w:val="003151B5"/>
    <w:rsid w:val="0032387D"/>
    <w:rsid w:val="003265A4"/>
    <w:rsid w:val="00331536"/>
    <w:rsid w:val="00336CF7"/>
    <w:rsid w:val="00346464"/>
    <w:rsid w:val="00347050"/>
    <w:rsid w:val="00354FFC"/>
    <w:rsid w:val="003610D2"/>
    <w:rsid w:val="00363059"/>
    <w:rsid w:val="003855C4"/>
    <w:rsid w:val="00390CB1"/>
    <w:rsid w:val="00393E73"/>
    <w:rsid w:val="003B18AE"/>
    <w:rsid w:val="003B683F"/>
    <w:rsid w:val="003E0DB9"/>
    <w:rsid w:val="003E3E96"/>
    <w:rsid w:val="003E4D84"/>
    <w:rsid w:val="003F6DBC"/>
    <w:rsid w:val="00403B5E"/>
    <w:rsid w:val="004115A8"/>
    <w:rsid w:val="0041256B"/>
    <w:rsid w:val="00415370"/>
    <w:rsid w:val="00416664"/>
    <w:rsid w:val="00432A41"/>
    <w:rsid w:val="00460E08"/>
    <w:rsid w:val="004633D9"/>
    <w:rsid w:val="004B0379"/>
    <w:rsid w:val="004D45D0"/>
    <w:rsid w:val="004F3439"/>
    <w:rsid w:val="004F5973"/>
    <w:rsid w:val="004F6A19"/>
    <w:rsid w:val="005048A2"/>
    <w:rsid w:val="00506912"/>
    <w:rsid w:val="0050746A"/>
    <w:rsid w:val="0052469F"/>
    <w:rsid w:val="00534BD1"/>
    <w:rsid w:val="00543D36"/>
    <w:rsid w:val="00563AC6"/>
    <w:rsid w:val="005864A1"/>
    <w:rsid w:val="005930D1"/>
    <w:rsid w:val="0059359C"/>
    <w:rsid w:val="005C01A5"/>
    <w:rsid w:val="005C046A"/>
    <w:rsid w:val="005C091A"/>
    <w:rsid w:val="005E3C6D"/>
    <w:rsid w:val="005E7CD3"/>
    <w:rsid w:val="0061295F"/>
    <w:rsid w:val="006213EA"/>
    <w:rsid w:val="00621FA9"/>
    <w:rsid w:val="006329FE"/>
    <w:rsid w:val="006405CC"/>
    <w:rsid w:val="00657FDA"/>
    <w:rsid w:val="00665D83"/>
    <w:rsid w:val="006664EF"/>
    <w:rsid w:val="00671131"/>
    <w:rsid w:val="00690493"/>
    <w:rsid w:val="006A5A0B"/>
    <w:rsid w:val="006A5B1A"/>
    <w:rsid w:val="006A77A2"/>
    <w:rsid w:val="006B7241"/>
    <w:rsid w:val="006C0D2B"/>
    <w:rsid w:val="006D576F"/>
    <w:rsid w:val="006F3F35"/>
    <w:rsid w:val="00702D6F"/>
    <w:rsid w:val="00705646"/>
    <w:rsid w:val="007076A7"/>
    <w:rsid w:val="00710314"/>
    <w:rsid w:val="007111C7"/>
    <w:rsid w:val="00713412"/>
    <w:rsid w:val="00714625"/>
    <w:rsid w:val="00717A10"/>
    <w:rsid w:val="00735AD9"/>
    <w:rsid w:val="0073711B"/>
    <w:rsid w:val="00740AA7"/>
    <w:rsid w:val="0075174F"/>
    <w:rsid w:val="007636A3"/>
    <w:rsid w:val="00773EBC"/>
    <w:rsid w:val="0077614C"/>
    <w:rsid w:val="007B2CB1"/>
    <w:rsid w:val="007B58C4"/>
    <w:rsid w:val="007B5E66"/>
    <w:rsid w:val="007D3B3A"/>
    <w:rsid w:val="007D4D1B"/>
    <w:rsid w:val="007E57B5"/>
    <w:rsid w:val="00812BFE"/>
    <w:rsid w:val="00814F86"/>
    <w:rsid w:val="00824A4F"/>
    <w:rsid w:val="008330F6"/>
    <w:rsid w:val="00843EE7"/>
    <w:rsid w:val="00854638"/>
    <w:rsid w:val="008753E8"/>
    <w:rsid w:val="008C2BC7"/>
    <w:rsid w:val="008C7762"/>
    <w:rsid w:val="008D6603"/>
    <w:rsid w:val="008E7660"/>
    <w:rsid w:val="00936FD0"/>
    <w:rsid w:val="00943A52"/>
    <w:rsid w:val="009630B5"/>
    <w:rsid w:val="00965618"/>
    <w:rsid w:val="00975CE9"/>
    <w:rsid w:val="009913A0"/>
    <w:rsid w:val="00995818"/>
    <w:rsid w:val="009A7E21"/>
    <w:rsid w:val="009C0941"/>
    <w:rsid w:val="009C5E56"/>
    <w:rsid w:val="009D113B"/>
    <w:rsid w:val="009F02DB"/>
    <w:rsid w:val="00A02AA7"/>
    <w:rsid w:val="00A15362"/>
    <w:rsid w:val="00A159AC"/>
    <w:rsid w:val="00A317CB"/>
    <w:rsid w:val="00A44F27"/>
    <w:rsid w:val="00A56CC7"/>
    <w:rsid w:val="00A6017E"/>
    <w:rsid w:val="00A853AA"/>
    <w:rsid w:val="00A97A26"/>
    <w:rsid w:val="00AA0DE8"/>
    <w:rsid w:val="00AA5CAB"/>
    <w:rsid w:val="00AB5916"/>
    <w:rsid w:val="00AD2693"/>
    <w:rsid w:val="00AD76AB"/>
    <w:rsid w:val="00AF099A"/>
    <w:rsid w:val="00AF4DE0"/>
    <w:rsid w:val="00B107E9"/>
    <w:rsid w:val="00B17BD5"/>
    <w:rsid w:val="00B26400"/>
    <w:rsid w:val="00B35241"/>
    <w:rsid w:val="00B613E4"/>
    <w:rsid w:val="00B83749"/>
    <w:rsid w:val="00BD7006"/>
    <w:rsid w:val="00BF084B"/>
    <w:rsid w:val="00C0216C"/>
    <w:rsid w:val="00C115CF"/>
    <w:rsid w:val="00C128CE"/>
    <w:rsid w:val="00C23973"/>
    <w:rsid w:val="00C3585E"/>
    <w:rsid w:val="00C46EFD"/>
    <w:rsid w:val="00C870DA"/>
    <w:rsid w:val="00C91A71"/>
    <w:rsid w:val="00C97E5E"/>
    <w:rsid w:val="00CA66D7"/>
    <w:rsid w:val="00CD6A86"/>
    <w:rsid w:val="00CE6954"/>
    <w:rsid w:val="00CF39A7"/>
    <w:rsid w:val="00CF5F86"/>
    <w:rsid w:val="00D062EA"/>
    <w:rsid w:val="00D11AC0"/>
    <w:rsid w:val="00D41EC2"/>
    <w:rsid w:val="00D57972"/>
    <w:rsid w:val="00D84E28"/>
    <w:rsid w:val="00D861AD"/>
    <w:rsid w:val="00D861BB"/>
    <w:rsid w:val="00DA02A8"/>
    <w:rsid w:val="00DA4618"/>
    <w:rsid w:val="00DA5340"/>
    <w:rsid w:val="00DB3FBE"/>
    <w:rsid w:val="00DB450D"/>
    <w:rsid w:val="00DC42AA"/>
    <w:rsid w:val="00DE5F30"/>
    <w:rsid w:val="00DF5A51"/>
    <w:rsid w:val="00E20895"/>
    <w:rsid w:val="00E33924"/>
    <w:rsid w:val="00E52E52"/>
    <w:rsid w:val="00E53CD9"/>
    <w:rsid w:val="00E5759D"/>
    <w:rsid w:val="00E66D9E"/>
    <w:rsid w:val="00E712A4"/>
    <w:rsid w:val="00E800EA"/>
    <w:rsid w:val="00EB56F0"/>
    <w:rsid w:val="00EC2153"/>
    <w:rsid w:val="00EC633B"/>
    <w:rsid w:val="00EC66B6"/>
    <w:rsid w:val="00EE2D9A"/>
    <w:rsid w:val="00F035FF"/>
    <w:rsid w:val="00F16B2A"/>
    <w:rsid w:val="00F51328"/>
    <w:rsid w:val="00F649C2"/>
    <w:rsid w:val="00FA5E1E"/>
    <w:rsid w:val="00FC0142"/>
    <w:rsid w:val="00FC7B27"/>
    <w:rsid w:val="00FE1095"/>
    <w:rsid w:val="00FE22DF"/>
    <w:rsid w:val="00FE720D"/>
    <w:rsid w:val="00FF4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rsid w:val="004F3439"/>
    <w:pPr>
      <w:keepNext/>
      <w:numPr>
        <w:numId w:val="21"/>
      </w:numPr>
      <w:spacing w:before="240"/>
      <w:jc w:val="center"/>
      <w:outlineLvl w:val="0"/>
    </w:pPr>
    <w:rPr>
      <w:b/>
      <w:caps/>
      <w:kern w:val="28"/>
    </w:rPr>
  </w:style>
  <w:style w:type="paragraph" w:styleId="Heading2">
    <w:name w:val="heading 2"/>
    <w:basedOn w:val="Normal"/>
    <w:next w:val="Normal"/>
    <w:link w:val="Heading2Char"/>
    <w:qFormat/>
    <w:rsid w:val="004F3439"/>
    <w:pPr>
      <w:keepNext/>
      <w:numPr>
        <w:ilvl w:val="1"/>
        <w:numId w:val="21"/>
      </w:numPr>
      <w:spacing w:before="240"/>
      <w:jc w:val="both"/>
      <w:outlineLvl w:val="1"/>
    </w:pPr>
    <w:rPr>
      <w:b/>
      <w:lang/>
    </w:rPr>
  </w:style>
  <w:style w:type="paragraph" w:styleId="Heading3">
    <w:name w:val="heading 3"/>
    <w:basedOn w:val="Normal"/>
    <w:next w:val="Normal"/>
    <w:link w:val="Heading3Char"/>
    <w:qFormat/>
    <w:rsid w:val="004F3439"/>
    <w:pPr>
      <w:keepNext/>
      <w:numPr>
        <w:ilvl w:val="2"/>
        <w:numId w:val="21"/>
      </w:numPr>
      <w:spacing w:before="240"/>
      <w:jc w:val="both"/>
      <w:outlineLvl w:val="2"/>
    </w:pPr>
    <w:rPr>
      <w:b/>
      <w:lang/>
    </w:rPr>
  </w:style>
  <w:style w:type="paragraph" w:styleId="Heading4">
    <w:name w:val="heading 4"/>
    <w:basedOn w:val="Normal"/>
    <w:next w:val="Normal"/>
    <w:qFormat/>
    <w:rsid w:val="004F3439"/>
    <w:pPr>
      <w:keepNext/>
      <w:numPr>
        <w:ilvl w:val="3"/>
        <w:numId w:val="21"/>
      </w:numPr>
      <w:spacing w:before="240"/>
      <w:jc w:val="both"/>
      <w:outlineLvl w:val="3"/>
    </w:pPr>
    <w:rPr>
      <w:b/>
    </w:rPr>
  </w:style>
  <w:style w:type="paragraph" w:styleId="Heading5">
    <w:name w:val="heading 5"/>
    <w:basedOn w:val="Normal"/>
    <w:next w:val="Normal"/>
    <w:qFormat/>
    <w:rsid w:val="004F3439"/>
    <w:pPr>
      <w:keepNext/>
      <w:numPr>
        <w:ilvl w:val="4"/>
        <w:numId w:val="21"/>
      </w:numPr>
      <w:spacing w:before="240"/>
      <w:jc w:val="both"/>
      <w:outlineLvl w:val="4"/>
    </w:pPr>
    <w:rPr>
      <w:b/>
    </w:rPr>
  </w:style>
  <w:style w:type="paragraph" w:styleId="Heading6">
    <w:name w:val="heading 6"/>
    <w:basedOn w:val="Normal"/>
    <w:next w:val="Normal"/>
    <w:link w:val="Heading6Char"/>
    <w:qFormat/>
    <w:rsid w:val="004F3439"/>
    <w:pPr>
      <w:keepNext/>
      <w:numPr>
        <w:ilvl w:val="5"/>
        <w:numId w:val="21"/>
      </w:numPr>
      <w:spacing w:before="240"/>
      <w:jc w:val="both"/>
      <w:outlineLvl w:val="5"/>
    </w:pPr>
    <w:rPr>
      <w:b/>
    </w:rPr>
  </w:style>
  <w:style w:type="paragraph" w:styleId="Heading7">
    <w:name w:val="heading 7"/>
    <w:basedOn w:val="Normal"/>
    <w:next w:val="Normal"/>
    <w:qFormat/>
    <w:rsid w:val="004F3439"/>
    <w:pPr>
      <w:keepNext/>
      <w:numPr>
        <w:ilvl w:val="6"/>
        <w:numId w:val="21"/>
      </w:numPr>
      <w:spacing w:before="240"/>
      <w:jc w:val="both"/>
      <w:outlineLvl w:val="6"/>
    </w:pPr>
    <w:rPr>
      <w:b/>
    </w:rPr>
  </w:style>
  <w:style w:type="paragraph" w:styleId="Heading8">
    <w:name w:val="heading 8"/>
    <w:basedOn w:val="Normal"/>
    <w:next w:val="Normal"/>
    <w:qFormat/>
    <w:rsid w:val="004F3439"/>
    <w:pPr>
      <w:keepNext/>
      <w:numPr>
        <w:ilvl w:val="7"/>
        <w:numId w:val="21"/>
      </w:numPr>
      <w:spacing w:before="240"/>
      <w:jc w:val="both"/>
      <w:outlineLvl w:val="7"/>
    </w:pPr>
    <w:rPr>
      <w:b/>
    </w:rPr>
  </w:style>
  <w:style w:type="paragraph" w:styleId="Heading9">
    <w:name w:val="heading 9"/>
    <w:basedOn w:val="Normal"/>
    <w:next w:val="Normal"/>
    <w:qFormat/>
    <w:rsid w:val="004F3439"/>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3439"/>
    <w:pPr>
      <w:tabs>
        <w:tab w:val="center" w:pos="4320"/>
        <w:tab w:val="right" w:pos="8640"/>
      </w:tabs>
      <w:spacing w:line="240" w:lineRule="auto"/>
    </w:pPr>
  </w:style>
  <w:style w:type="paragraph" w:styleId="Footer">
    <w:name w:val="footer"/>
    <w:basedOn w:val="Normal"/>
    <w:rsid w:val="004F3439"/>
    <w:pPr>
      <w:tabs>
        <w:tab w:val="center" w:pos="4320"/>
        <w:tab w:val="right" w:pos="8640"/>
      </w:tabs>
      <w:spacing w:line="240" w:lineRule="auto"/>
    </w:pPr>
    <w:rPr>
      <w:sz w:val="20"/>
    </w:rPr>
  </w:style>
  <w:style w:type="paragraph" w:customStyle="1" w:styleId="LineNumbers">
    <w:name w:val="LineNumbers"/>
    <w:basedOn w:val="Normal"/>
    <w:rsid w:val="004F3439"/>
    <w:pPr>
      <w:jc w:val="right"/>
    </w:pPr>
  </w:style>
  <w:style w:type="paragraph" w:customStyle="1" w:styleId="SingleSpacing">
    <w:name w:val="Single Spacing"/>
    <w:basedOn w:val="Normal"/>
    <w:rsid w:val="004F3439"/>
    <w:pPr>
      <w:spacing w:line="186" w:lineRule="exact"/>
    </w:pPr>
  </w:style>
  <w:style w:type="paragraph" w:customStyle="1" w:styleId="15Spacing">
    <w:name w:val="1.5 Spacing"/>
    <w:basedOn w:val="Normal"/>
    <w:rsid w:val="004F3439"/>
    <w:pPr>
      <w:spacing w:line="279" w:lineRule="exact"/>
    </w:pPr>
  </w:style>
  <w:style w:type="paragraph" w:customStyle="1" w:styleId="DoubleSpacing">
    <w:name w:val="Double Spacing"/>
    <w:basedOn w:val="Normal"/>
    <w:rsid w:val="004F3439"/>
  </w:style>
  <w:style w:type="character" w:styleId="PageNumber">
    <w:name w:val="page number"/>
    <w:basedOn w:val="DefaultParagraphFont"/>
    <w:rsid w:val="004F3439"/>
  </w:style>
  <w:style w:type="paragraph" w:customStyle="1" w:styleId="Address">
    <w:name w:val="Address"/>
    <w:basedOn w:val="SingleSpacing"/>
    <w:rsid w:val="004F3439"/>
    <w:pPr>
      <w:ind w:left="4680"/>
    </w:pPr>
  </w:style>
  <w:style w:type="paragraph" w:customStyle="1" w:styleId="CourtName">
    <w:name w:val="CourtName"/>
    <w:basedOn w:val="Normal"/>
    <w:rsid w:val="004F3439"/>
    <w:pPr>
      <w:jc w:val="center"/>
    </w:pPr>
  </w:style>
  <w:style w:type="character" w:styleId="FootnoteReference">
    <w:name w:val="footnote reference"/>
    <w:uiPriority w:val="99"/>
    <w:semiHidden/>
    <w:rsid w:val="004F3439"/>
    <w:rPr>
      <w:vertAlign w:val="superscript"/>
    </w:rPr>
  </w:style>
  <w:style w:type="paragraph" w:styleId="TOAHeading">
    <w:name w:val="toa heading"/>
    <w:basedOn w:val="Normal"/>
    <w:next w:val="Normal"/>
    <w:semiHidden/>
    <w:rsid w:val="004F3439"/>
    <w:pPr>
      <w:spacing w:before="120" w:after="240"/>
      <w:jc w:val="center"/>
    </w:pPr>
    <w:rPr>
      <w:b/>
      <w:u w:val="single"/>
    </w:rPr>
  </w:style>
  <w:style w:type="paragraph" w:styleId="FootnoteText">
    <w:name w:val="footnote text"/>
    <w:basedOn w:val="Normal"/>
    <w:link w:val="FootnoteTextChar"/>
    <w:uiPriority w:val="99"/>
    <w:semiHidden/>
    <w:rsid w:val="004F3439"/>
    <w:pPr>
      <w:spacing w:line="240" w:lineRule="auto"/>
      <w:ind w:firstLine="720"/>
    </w:pPr>
    <w:rPr>
      <w:sz w:val="20"/>
    </w:rPr>
  </w:style>
  <w:style w:type="paragraph" w:styleId="TOC1">
    <w:name w:val="toc 1"/>
    <w:basedOn w:val="Normal"/>
    <w:next w:val="Normal"/>
    <w:semiHidden/>
    <w:rsid w:val="004F3439"/>
    <w:pPr>
      <w:tabs>
        <w:tab w:val="right" w:leader="dot" w:pos="9158"/>
      </w:tabs>
      <w:spacing w:after="240"/>
      <w:ind w:left="630" w:right="547" w:hanging="630"/>
    </w:pPr>
    <w:rPr>
      <w:caps/>
      <w:noProof/>
    </w:rPr>
  </w:style>
  <w:style w:type="paragraph" w:styleId="TOC2">
    <w:name w:val="toc 2"/>
    <w:basedOn w:val="Normal"/>
    <w:next w:val="Normal"/>
    <w:semiHidden/>
    <w:rsid w:val="004F3439"/>
    <w:pPr>
      <w:tabs>
        <w:tab w:val="right" w:leader="dot" w:pos="9158"/>
      </w:tabs>
      <w:spacing w:after="240"/>
      <w:ind w:left="1080" w:right="547" w:hanging="450"/>
    </w:pPr>
    <w:rPr>
      <w:noProof/>
    </w:rPr>
  </w:style>
  <w:style w:type="paragraph" w:styleId="TOC3">
    <w:name w:val="toc 3"/>
    <w:basedOn w:val="Normal"/>
    <w:next w:val="Normal"/>
    <w:semiHidden/>
    <w:rsid w:val="004F3439"/>
    <w:pPr>
      <w:tabs>
        <w:tab w:val="right" w:leader="dot" w:pos="9158"/>
      </w:tabs>
      <w:spacing w:after="240"/>
      <w:ind w:left="1530" w:right="547" w:hanging="450"/>
    </w:pPr>
    <w:rPr>
      <w:noProof/>
    </w:rPr>
  </w:style>
  <w:style w:type="paragraph" w:styleId="TOC4">
    <w:name w:val="toc 4"/>
    <w:basedOn w:val="Normal"/>
    <w:next w:val="Normal"/>
    <w:semiHidden/>
    <w:rsid w:val="004F3439"/>
    <w:pPr>
      <w:tabs>
        <w:tab w:val="right" w:leader="dot" w:pos="9158"/>
      </w:tabs>
      <w:spacing w:after="240"/>
      <w:ind w:left="1980" w:right="547" w:hanging="450"/>
    </w:pPr>
    <w:rPr>
      <w:noProof/>
    </w:rPr>
  </w:style>
  <w:style w:type="paragraph" w:styleId="TOC5">
    <w:name w:val="toc 5"/>
    <w:basedOn w:val="Normal"/>
    <w:next w:val="Normal"/>
    <w:semiHidden/>
    <w:rsid w:val="004F3439"/>
    <w:pPr>
      <w:tabs>
        <w:tab w:val="right" w:leader="dot" w:pos="9158"/>
      </w:tabs>
      <w:spacing w:after="240"/>
      <w:ind w:left="2610" w:right="547" w:hanging="630"/>
    </w:pPr>
    <w:rPr>
      <w:noProof/>
    </w:rPr>
  </w:style>
  <w:style w:type="paragraph" w:styleId="TOC6">
    <w:name w:val="toc 6"/>
    <w:basedOn w:val="Normal"/>
    <w:next w:val="Normal"/>
    <w:semiHidden/>
    <w:rsid w:val="004F3439"/>
    <w:pPr>
      <w:tabs>
        <w:tab w:val="right" w:pos="9158"/>
      </w:tabs>
      <w:spacing w:after="240"/>
      <w:ind w:left="3150" w:right="547" w:hanging="540"/>
    </w:pPr>
    <w:rPr>
      <w:noProof/>
    </w:rPr>
  </w:style>
  <w:style w:type="paragraph" w:styleId="TOC7">
    <w:name w:val="toc 7"/>
    <w:basedOn w:val="Normal"/>
    <w:next w:val="Normal"/>
    <w:semiHidden/>
    <w:rsid w:val="004F3439"/>
    <w:pPr>
      <w:tabs>
        <w:tab w:val="right" w:leader="dot" w:pos="9158"/>
      </w:tabs>
      <w:spacing w:after="240"/>
      <w:ind w:left="3600" w:right="547" w:hanging="450"/>
    </w:pPr>
    <w:rPr>
      <w:noProof/>
    </w:rPr>
  </w:style>
  <w:style w:type="paragraph" w:styleId="TOC8">
    <w:name w:val="toc 8"/>
    <w:basedOn w:val="Normal"/>
    <w:next w:val="Normal"/>
    <w:semiHidden/>
    <w:rsid w:val="004F3439"/>
    <w:pPr>
      <w:tabs>
        <w:tab w:val="right" w:leader="dot" w:pos="9158"/>
      </w:tabs>
      <w:spacing w:after="240"/>
      <w:ind w:left="4050" w:right="547" w:hanging="450"/>
    </w:pPr>
    <w:rPr>
      <w:noProof/>
    </w:rPr>
  </w:style>
  <w:style w:type="paragraph" w:styleId="BodyText">
    <w:name w:val="Body Text"/>
    <w:basedOn w:val="Normal"/>
    <w:rsid w:val="004F3439"/>
    <w:pPr>
      <w:spacing w:after="120" w:line="480" w:lineRule="auto"/>
      <w:ind w:firstLine="720"/>
    </w:pPr>
  </w:style>
  <w:style w:type="paragraph" w:styleId="TableofAuthorities">
    <w:name w:val="table of authorities"/>
    <w:basedOn w:val="Normal"/>
    <w:next w:val="Normal"/>
    <w:semiHidden/>
    <w:rsid w:val="004F3439"/>
    <w:pPr>
      <w:tabs>
        <w:tab w:val="right" w:pos="9360"/>
      </w:tabs>
      <w:spacing w:after="240"/>
      <w:ind w:left="245" w:right="720" w:hanging="245"/>
    </w:pPr>
  </w:style>
  <w:style w:type="paragraph" w:customStyle="1" w:styleId="ParNumber">
    <w:name w:val="ParNumber"/>
    <w:basedOn w:val="Normal"/>
    <w:rsid w:val="004F3439"/>
    <w:pPr>
      <w:numPr>
        <w:numId w:val="12"/>
      </w:numPr>
      <w:tabs>
        <w:tab w:val="clear" w:pos="360"/>
        <w:tab w:val="left" w:pos="720"/>
      </w:tabs>
      <w:ind w:left="0" w:hanging="720"/>
    </w:pPr>
  </w:style>
  <w:style w:type="character" w:customStyle="1" w:styleId="Heading6Char">
    <w:name w:val="Heading 6 Char"/>
    <w:link w:val="Heading6"/>
    <w:rsid w:val="004F3439"/>
    <w:rPr>
      <w:b/>
      <w:sz w:val="24"/>
      <w:lang w:val="en-US" w:eastAsia="en-US" w:bidi="ar-SA"/>
    </w:rPr>
  </w:style>
  <w:style w:type="paragraph" w:styleId="BalloonText">
    <w:name w:val="Balloon Text"/>
    <w:basedOn w:val="Normal"/>
    <w:semiHidden/>
    <w:rsid w:val="004F3439"/>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lang/>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link w:val="Heading2Char"/>
    <w:qFormat/>
    <w:pPr>
      <w:keepNext/>
      <w:numPr>
        <w:ilvl w:val="1"/>
        <w:numId w:val="21"/>
      </w:numPr>
      <w:spacing w:before="240"/>
      <w:jc w:val="both"/>
      <w:outlineLvl w:val="1"/>
    </w:pPr>
    <w:rPr>
      <w:b/>
      <w:lang w:val="x-none" w:eastAsia="x-none"/>
    </w:rPr>
  </w:style>
  <w:style w:type="paragraph" w:styleId="Heading3">
    <w:name w:val="heading 3"/>
    <w:basedOn w:val="Normal"/>
    <w:next w:val="Normal"/>
    <w:link w:val="Heading3Char"/>
    <w:qFormat/>
    <w:pPr>
      <w:keepNext/>
      <w:numPr>
        <w:ilvl w:val="2"/>
        <w:numId w:val="21"/>
      </w:numPr>
      <w:spacing w:before="240"/>
      <w:jc w:val="both"/>
      <w:outlineLvl w:val="2"/>
    </w:pPr>
    <w:rPr>
      <w:b/>
      <w:lang w:val="x-none" w:eastAsia="x-none"/>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40" w:lineRule="auto"/>
    </w:pPr>
  </w:style>
  <w:style w:type="paragraph" w:styleId="Footer">
    <w:name w:val="footer"/>
    <w:basedOn w:val="Normal"/>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semiHidden/>
    <w:pPr>
      <w:spacing w:line="240" w:lineRule="auto"/>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lang w:val="x-none" w:eastAsia="x-none"/>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Public%20Counsel\U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2013-03-08T08:00:00+00:00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9403F-F878-4090-87BA-14FCCF051EF0}"/>
</file>

<file path=customXml/itemProps2.xml><?xml version="1.0" encoding="utf-8"?>
<ds:datastoreItem xmlns:ds="http://schemas.openxmlformats.org/officeDocument/2006/customXml" ds:itemID="{366CAD74-039D-4F13-9844-BC0BA4F7261D}"/>
</file>

<file path=customXml/itemProps3.xml><?xml version="1.0" encoding="utf-8"?>
<ds:datastoreItem xmlns:ds="http://schemas.openxmlformats.org/officeDocument/2006/customXml" ds:itemID="{E8F85278-E1CA-4053-B3DF-987E8A1B145B}"/>
</file>

<file path=customXml/itemProps4.xml><?xml version="1.0" encoding="utf-8"?>
<ds:datastoreItem xmlns:ds="http://schemas.openxmlformats.org/officeDocument/2006/customXml" ds:itemID="{5F042195-1B9A-4C8B-9A5F-3FEB42025B8B}"/>
</file>

<file path=customXml/itemProps5.xml><?xml version="1.0" encoding="utf-8"?>
<ds:datastoreItem xmlns:ds="http://schemas.openxmlformats.org/officeDocument/2006/customXml" ds:itemID="{E97977EB-74EF-421F-99A2-D4AFD2765094}"/>
</file>

<file path=docProps/app.xml><?xml version="1.0" encoding="utf-8"?>
<Properties xmlns="http://schemas.openxmlformats.org/officeDocument/2006/extended-properties" xmlns:vt="http://schemas.openxmlformats.org/officeDocument/2006/docPropsVTypes">
  <Template>UTC</Template>
  <TotalTime>18</TotalTime>
  <Pages>6</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Plain Pleading</vt:lpstr>
    </vt:vector>
  </TitlesOfParts>
  <Company>Microsoft</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Sarah A. Kohler</cp:lastModifiedBy>
  <cp:revision>18</cp:revision>
  <cp:lastPrinted>2013-03-09T00:47:00Z</cp:lastPrinted>
  <dcterms:created xsi:type="dcterms:W3CDTF">2013-03-09T00:17:00Z</dcterms:created>
  <dcterms:modified xsi:type="dcterms:W3CDTF">2013-03-09T00:52:00Z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