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98" w:rsidRPr="009D1941" w:rsidRDefault="00436B60" w:rsidP="00D706C2">
      <w:pPr>
        <w:jc w:val="center"/>
        <w:rPr>
          <w:rFonts w:ascii="Times New Roman" w:hAnsi="Times New Roman"/>
          <w:b/>
          <w:szCs w:val="24"/>
        </w:rPr>
      </w:pPr>
      <w:r w:rsidRPr="009D1941">
        <w:rPr>
          <w:rFonts w:ascii="Times New Roman" w:hAnsi="Times New Roman"/>
          <w:b/>
          <w:szCs w:val="24"/>
        </w:rPr>
        <w:t>BEFORE THE</w:t>
      </w:r>
      <w:r w:rsidRPr="009D1941">
        <w:rPr>
          <w:rFonts w:ascii="Times New Roman" w:hAnsi="Times New Roman"/>
          <w:b/>
          <w:szCs w:val="24"/>
        </w:rPr>
        <w:br w:type="textWrapping" w:clear="all"/>
        <w:t xml:space="preserve">WASHINGTON UTILITIES </w:t>
      </w:r>
      <w:smartTag w:uri="urn:schemas-microsoft-com:office:smarttags" w:element="stockticker">
        <w:r w:rsidRPr="009D1941">
          <w:rPr>
            <w:rFonts w:ascii="Times New Roman" w:hAnsi="Times New Roman"/>
            <w:b/>
            <w:szCs w:val="24"/>
          </w:rPr>
          <w:t>AND</w:t>
        </w:r>
      </w:smartTag>
      <w:r w:rsidRPr="009D1941">
        <w:rPr>
          <w:rFonts w:ascii="Times New Roman" w:hAnsi="Times New Roman"/>
          <w:b/>
          <w:szCs w:val="24"/>
        </w:rPr>
        <w:t xml:space="preserve"> TRANSPORTATION COMMISSION</w:t>
      </w:r>
    </w:p>
    <w:p w:rsidR="00973298" w:rsidRPr="009D1941" w:rsidRDefault="00973298" w:rsidP="00D706C2">
      <w:pPr>
        <w:jc w:val="center"/>
        <w:rPr>
          <w:rFonts w:ascii="Times New Roman" w:hAnsi="Times New Roman"/>
          <w:b/>
          <w:szCs w:val="24"/>
        </w:rPr>
      </w:pPr>
    </w:p>
    <w:p w:rsidR="00973298" w:rsidRPr="009D1941" w:rsidRDefault="00973298" w:rsidP="00D706C2">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888"/>
      </w:tblGrid>
      <w:tr w:rsidR="00436B60" w:rsidRPr="009D1941" w:rsidTr="00436B60">
        <w:tc>
          <w:tcPr>
            <w:tcW w:w="4968" w:type="dxa"/>
            <w:tcBorders>
              <w:top w:val="nil"/>
              <w:left w:val="nil"/>
              <w:bottom w:val="nil"/>
              <w:right w:val="single" w:sz="4" w:space="0" w:color="auto"/>
            </w:tcBorders>
          </w:tcPr>
          <w:p w:rsidR="00973298" w:rsidRPr="009D1941" w:rsidRDefault="00436B60" w:rsidP="00D706C2">
            <w:pPr>
              <w:rPr>
                <w:rFonts w:ascii="Times New Roman" w:hAnsi="Times New Roman"/>
                <w:szCs w:val="24"/>
              </w:rPr>
            </w:pPr>
            <w:r w:rsidRPr="009D1941">
              <w:rPr>
                <w:rFonts w:ascii="Times New Roman" w:hAnsi="Times New Roman"/>
                <w:szCs w:val="24"/>
              </w:rPr>
              <w:t xml:space="preserve">WASHINGTON UTILITIES </w:t>
            </w:r>
            <w:smartTag w:uri="urn:schemas-microsoft-com:office:smarttags" w:element="stockticker">
              <w:r w:rsidRPr="009D1941">
                <w:rPr>
                  <w:rFonts w:ascii="Times New Roman" w:hAnsi="Times New Roman"/>
                  <w:szCs w:val="24"/>
                </w:rPr>
                <w:t>AND</w:t>
              </w:r>
            </w:smartTag>
          </w:p>
          <w:p w:rsidR="00973298" w:rsidRPr="009D1941" w:rsidRDefault="00436B60" w:rsidP="00D706C2">
            <w:pPr>
              <w:rPr>
                <w:rFonts w:ascii="Times New Roman" w:hAnsi="Times New Roman"/>
                <w:szCs w:val="24"/>
              </w:rPr>
            </w:pPr>
            <w:r w:rsidRPr="009D1941">
              <w:rPr>
                <w:rFonts w:ascii="Times New Roman" w:hAnsi="Times New Roman"/>
                <w:szCs w:val="24"/>
              </w:rPr>
              <w:t>TRANSPORATION COMMISSION</w:t>
            </w:r>
          </w:p>
          <w:p w:rsidR="00973298" w:rsidRPr="009D1941" w:rsidRDefault="00973298" w:rsidP="00D706C2">
            <w:pPr>
              <w:rPr>
                <w:rFonts w:ascii="Times New Roman" w:hAnsi="Times New Roman"/>
                <w:szCs w:val="24"/>
              </w:rPr>
            </w:pPr>
          </w:p>
          <w:p w:rsidR="00973298" w:rsidRPr="009D1941" w:rsidRDefault="00436B60" w:rsidP="00D706C2">
            <w:pPr>
              <w:rPr>
                <w:rFonts w:ascii="Times New Roman" w:hAnsi="Times New Roman"/>
                <w:szCs w:val="24"/>
              </w:rPr>
            </w:pPr>
            <w:r w:rsidRPr="009D1941">
              <w:rPr>
                <w:rFonts w:ascii="Times New Roman" w:hAnsi="Times New Roman"/>
                <w:szCs w:val="24"/>
              </w:rPr>
              <w:t xml:space="preserve">                              Complainant,</w:t>
            </w:r>
          </w:p>
          <w:p w:rsidR="00973298" w:rsidRPr="009D1941" w:rsidRDefault="00973298" w:rsidP="00D706C2">
            <w:pPr>
              <w:rPr>
                <w:rFonts w:ascii="Times New Roman" w:hAnsi="Times New Roman"/>
                <w:szCs w:val="24"/>
              </w:rPr>
            </w:pPr>
          </w:p>
          <w:p w:rsidR="00973298" w:rsidRPr="009D1941" w:rsidRDefault="00436B60" w:rsidP="00D706C2">
            <w:pPr>
              <w:rPr>
                <w:rFonts w:ascii="Times New Roman" w:hAnsi="Times New Roman"/>
                <w:szCs w:val="24"/>
              </w:rPr>
            </w:pPr>
            <w:r w:rsidRPr="009D1941">
              <w:rPr>
                <w:rFonts w:ascii="Times New Roman" w:hAnsi="Times New Roman"/>
                <w:szCs w:val="24"/>
              </w:rPr>
              <w:t xml:space="preserve">           vs.</w:t>
            </w:r>
          </w:p>
          <w:p w:rsidR="00973298" w:rsidRPr="009D1941" w:rsidRDefault="00973298" w:rsidP="00D706C2">
            <w:pPr>
              <w:rPr>
                <w:rFonts w:ascii="Times New Roman" w:hAnsi="Times New Roman"/>
                <w:szCs w:val="24"/>
              </w:rPr>
            </w:pPr>
          </w:p>
          <w:p w:rsidR="00973298" w:rsidRPr="009D1941" w:rsidRDefault="00436B60" w:rsidP="00D706C2">
            <w:pPr>
              <w:rPr>
                <w:rFonts w:ascii="Times New Roman" w:hAnsi="Times New Roman"/>
                <w:szCs w:val="24"/>
              </w:rPr>
            </w:pPr>
            <w:r w:rsidRPr="009D1941">
              <w:rPr>
                <w:rFonts w:ascii="Times New Roman" w:hAnsi="Times New Roman"/>
                <w:szCs w:val="24"/>
              </w:rPr>
              <w:t>PACIFICORP d.b.a. PACIFIC POWER,</w:t>
            </w:r>
          </w:p>
          <w:p w:rsidR="00973298" w:rsidRPr="009D1941" w:rsidRDefault="00973298" w:rsidP="00D706C2">
            <w:pPr>
              <w:rPr>
                <w:rFonts w:ascii="Times New Roman" w:hAnsi="Times New Roman"/>
                <w:szCs w:val="24"/>
              </w:rPr>
            </w:pPr>
          </w:p>
          <w:p w:rsidR="00973298" w:rsidRPr="009D1941" w:rsidRDefault="00436B60" w:rsidP="00D706C2">
            <w:pPr>
              <w:rPr>
                <w:rFonts w:ascii="Times New Roman" w:hAnsi="Times New Roman"/>
                <w:szCs w:val="24"/>
              </w:rPr>
            </w:pPr>
            <w:r w:rsidRPr="009D1941">
              <w:rPr>
                <w:rFonts w:ascii="Times New Roman" w:hAnsi="Times New Roman"/>
                <w:szCs w:val="24"/>
              </w:rPr>
              <w:t xml:space="preserve">                              Respondent.</w:t>
            </w:r>
          </w:p>
          <w:p w:rsidR="00973298" w:rsidRPr="009D1941" w:rsidRDefault="00973298" w:rsidP="00D706C2">
            <w:pPr>
              <w:rPr>
                <w:rFonts w:ascii="Times New Roman" w:hAnsi="Times New Roman"/>
                <w:szCs w:val="24"/>
              </w:rPr>
            </w:pPr>
          </w:p>
        </w:tc>
        <w:tc>
          <w:tcPr>
            <w:tcW w:w="3888" w:type="dxa"/>
            <w:tcBorders>
              <w:top w:val="nil"/>
              <w:left w:val="single" w:sz="4" w:space="0" w:color="auto"/>
              <w:bottom w:val="nil"/>
              <w:right w:val="nil"/>
            </w:tcBorders>
          </w:tcPr>
          <w:p w:rsidR="00973298" w:rsidRPr="009D1941" w:rsidRDefault="00973298" w:rsidP="00D706C2">
            <w:pPr>
              <w:rPr>
                <w:rFonts w:ascii="Times New Roman" w:hAnsi="Times New Roman"/>
                <w:szCs w:val="24"/>
              </w:rPr>
            </w:pPr>
          </w:p>
          <w:p w:rsidR="00973298" w:rsidRPr="009D1941" w:rsidRDefault="00973298" w:rsidP="00D706C2">
            <w:pPr>
              <w:rPr>
                <w:rFonts w:ascii="Times New Roman" w:hAnsi="Times New Roman"/>
                <w:b/>
                <w:szCs w:val="24"/>
              </w:rPr>
            </w:pPr>
          </w:p>
          <w:p w:rsidR="00973298" w:rsidRPr="009D1941" w:rsidRDefault="00973298" w:rsidP="00D706C2">
            <w:pPr>
              <w:rPr>
                <w:rFonts w:ascii="Times New Roman" w:hAnsi="Times New Roman"/>
                <w:b/>
                <w:szCs w:val="24"/>
              </w:rPr>
            </w:pPr>
          </w:p>
          <w:p w:rsidR="00973298" w:rsidRPr="009D1941" w:rsidRDefault="00973298" w:rsidP="00D706C2">
            <w:pPr>
              <w:rPr>
                <w:rFonts w:ascii="Times New Roman" w:hAnsi="Times New Roman"/>
                <w:b/>
                <w:szCs w:val="24"/>
              </w:rPr>
            </w:pPr>
          </w:p>
          <w:p w:rsidR="00973298" w:rsidRPr="009D1941" w:rsidRDefault="00973298" w:rsidP="00D706C2">
            <w:pPr>
              <w:rPr>
                <w:rFonts w:ascii="Times New Roman" w:hAnsi="Times New Roman"/>
                <w:b/>
                <w:szCs w:val="24"/>
              </w:rPr>
            </w:pPr>
          </w:p>
          <w:p w:rsidR="00973298" w:rsidRPr="009D1941" w:rsidRDefault="00436B60" w:rsidP="00D706C2">
            <w:pPr>
              <w:rPr>
                <w:rFonts w:ascii="Times New Roman" w:hAnsi="Times New Roman"/>
                <w:b/>
                <w:szCs w:val="24"/>
              </w:rPr>
            </w:pPr>
            <w:r w:rsidRPr="009D1941">
              <w:rPr>
                <w:rFonts w:ascii="Times New Roman" w:hAnsi="Times New Roman"/>
                <w:b/>
                <w:szCs w:val="24"/>
              </w:rPr>
              <w:t>DOCKET UE-100749</w:t>
            </w:r>
          </w:p>
          <w:p w:rsidR="00973298" w:rsidRPr="009D1941" w:rsidRDefault="00973298" w:rsidP="00D706C2">
            <w:pPr>
              <w:rPr>
                <w:rFonts w:ascii="Times New Roman" w:hAnsi="Times New Roman"/>
                <w:b/>
                <w:szCs w:val="24"/>
              </w:rPr>
            </w:pPr>
          </w:p>
          <w:p w:rsidR="00973298" w:rsidRPr="009D1941" w:rsidRDefault="00973298" w:rsidP="00D706C2">
            <w:pPr>
              <w:rPr>
                <w:rFonts w:ascii="Times New Roman" w:hAnsi="Times New Roman"/>
                <w:szCs w:val="24"/>
              </w:rPr>
            </w:pPr>
          </w:p>
        </w:tc>
      </w:tr>
      <w:tr w:rsidR="00436B60" w:rsidRPr="009D1941" w:rsidTr="00436B60">
        <w:tc>
          <w:tcPr>
            <w:tcW w:w="4968" w:type="dxa"/>
            <w:tcBorders>
              <w:top w:val="nil"/>
              <w:left w:val="nil"/>
              <w:bottom w:val="single" w:sz="4" w:space="0" w:color="auto"/>
              <w:right w:val="single" w:sz="4" w:space="0" w:color="auto"/>
            </w:tcBorders>
          </w:tcPr>
          <w:p w:rsidR="00973298" w:rsidRPr="009D1941" w:rsidRDefault="00973298" w:rsidP="00D706C2">
            <w:pPr>
              <w:rPr>
                <w:rFonts w:ascii="Times New Roman" w:hAnsi="Times New Roman"/>
                <w:szCs w:val="24"/>
              </w:rPr>
            </w:pPr>
          </w:p>
        </w:tc>
        <w:tc>
          <w:tcPr>
            <w:tcW w:w="3888" w:type="dxa"/>
            <w:tcBorders>
              <w:top w:val="nil"/>
              <w:left w:val="single" w:sz="4" w:space="0" w:color="auto"/>
              <w:bottom w:val="nil"/>
              <w:right w:val="nil"/>
            </w:tcBorders>
          </w:tcPr>
          <w:p w:rsidR="00973298" w:rsidRPr="009D1941" w:rsidRDefault="00973298" w:rsidP="00D706C2">
            <w:pPr>
              <w:rPr>
                <w:rFonts w:ascii="Times New Roman" w:hAnsi="Times New Roman"/>
                <w:szCs w:val="24"/>
              </w:rPr>
            </w:pPr>
          </w:p>
        </w:tc>
      </w:tr>
    </w:tbl>
    <w:p w:rsidR="00973298" w:rsidRPr="009D1941" w:rsidRDefault="00973298" w:rsidP="00D706C2">
      <w:pPr>
        <w:rPr>
          <w:rFonts w:ascii="Times New Roman" w:hAnsi="Times New Roman"/>
          <w:szCs w:val="24"/>
        </w:rPr>
      </w:pPr>
    </w:p>
    <w:p w:rsidR="00973298" w:rsidRPr="009D1941" w:rsidRDefault="00973298" w:rsidP="00D706C2">
      <w:pPr>
        <w:rPr>
          <w:rFonts w:ascii="Times New Roman" w:hAnsi="Times New Roman"/>
          <w:szCs w:val="24"/>
        </w:rPr>
      </w:pPr>
    </w:p>
    <w:p w:rsidR="00973298" w:rsidRPr="009D1941" w:rsidRDefault="00973298" w:rsidP="00D706C2">
      <w:pPr>
        <w:rPr>
          <w:rFonts w:ascii="Times New Roman" w:hAnsi="Times New Roman"/>
          <w:szCs w:val="24"/>
        </w:rPr>
      </w:pPr>
    </w:p>
    <w:p w:rsidR="00973298" w:rsidRPr="009D1941" w:rsidRDefault="00973298" w:rsidP="00D706C2">
      <w:pPr>
        <w:rPr>
          <w:rFonts w:ascii="Times New Roman" w:hAnsi="Times New Roman"/>
          <w:szCs w:val="24"/>
        </w:rPr>
      </w:pPr>
    </w:p>
    <w:p w:rsidR="00973298" w:rsidRPr="009D1941" w:rsidRDefault="00973298" w:rsidP="00D706C2">
      <w:pPr>
        <w:rPr>
          <w:rFonts w:ascii="Times New Roman" w:hAnsi="Times New Roman"/>
          <w:szCs w:val="24"/>
        </w:rPr>
      </w:pPr>
    </w:p>
    <w:p w:rsidR="00973298" w:rsidRPr="009D1941" w:rsidRDefault="00436B60" w:rsidP="00D706C2">
      <w:pPr>
        <w:jc w:val="center"/>
        <w:rPr>
          <w:rFonts w:ascii="Times New Roman" w:hAnsi="Times New Roman"/>
          <w:b/>
          <w:szCs w:val="24"/>
        </w:rPr>
      </w:pPr>
      <w:r w:rsidRPr="009D1941">
        <w:rPr>
          <w:rFonts w:ascii="Times New Roman" w:hAnsi="Times New Roman"/>
          <w:b/>
          <w:szCs w:val="24"/>
        </w:rPr>
        <w:t>PACIFICORP’S</w:t>
      </w:r>
    </w:p>
    <w:p w:rsidR="00973298" w:rsidRPr="009D1941" w:rsidRDefault="00BA64F2" w:rsidP="00D706C2">
      <w:pPr>
        <w:jc w:val="center"/>
        <w:rPr>
          <w:rFonts w:ascii="Times New Roman" w:hAnsi="Times New Roman"/>
          <w:b/>
          <w:szCs w:val="24"/>
        </w:rPr>
      </w:pPr>
      <w:r w:rsidRPr="009D1941">
        <w:rPr>
          <w:rFonts w:ascii="Times New Roman" w:hAnsi="Times New Roman"/>
          <w:b/>
          <w:szCs w:val="24"/>
        </w:rPr>
        <w:t>P</w:t>
      </w:r>
      <w:r w:rsidR="00436B60" w:rsidRPr="009D1941">
        <w:rPr>
          <w:rFonts w:ascii="Times New Roman" w:hAnsi="Times New Roman"/>
          <w:b/>
          <w:szCs w:val="24"/>
        </w:rPr>
        <w:t xml:space="preserve">OST-HEARING </w:t>
      </w:r>
      <w:r w:rsidRPr="009D1941">
        <w:rPr>
          <w:rFonts w:ascii="Times New Roman" w:hAnsi="Times New Roman"/>
          <w:b/>
          <w:szCs w:val="24"/>
        </w:rPr>
        <w:t xml:space="preserve">REPLY </w:t>
      </w:r>
      <w:r w:rsidR="00436B60" w:rsidRPr="009D1941">
        <w:rPr>
          <w:rFonts w:ascii="Times New Roman" w:hAnsi="Times New Roman"/>
          <w:b/>
          <w:szCs w:val="24"/>
        </w:rPr>
        <w:t>BRIEF</w:t>
      </w:r>
    </w:p>
    <w:p w:rsidR="00973298" w:rsidRPr="009D1941" w:rsidRDefault="00973298" w:rsidP="00D706C2">
      <w:pPr>
        <w:jc w:val="center"/>
        <w:rPr>
          <w:rFonts w:ascii="Times New Roman" w:hAnsi="Times New Roman"/>
          <w:b/>
          <w:szCs w:val="24"/>
        </w:rPr>
      </w:pPr>
    </w:p>
    <w:p w:rsidR="00973298" w:rsidRPr="009D1941" w:rsidRDefault="00973298" w:rsidP="00D706C2">
      <w:pPr>
        <w:jc w:val="center"/>
        <w:rPr>
          <w:rFonts w:ascii="Times New Roman" w:hAnsi="Times New Roman"/>
          <w:b/>
          <w:szCs w:val="24"/>
        </w:rPr>
      </w:pPr>
    </w:p>
    <w:p w:rsidR="00973298" w:rsidRPr="009D1941" w:rsidRDefault="00973298" w:rsidP="00D706C2">
      <w:pPr>
        <w:jc w:val="center"/>
        <w:rPr>
          <w:rFonts w:ascii="Times New Roman" w:hAnsi="Times New Roman"/>
          <w:b/>
          <w:szCs w:val="24"/>
        </w:rPr>
      </w:pPr>
    </w:p>
    <w:p w:rsidR="00973298" w:rsidRPr="009D1941" w:rsidRDefault="00973298" w:rsidP="00D706C2">
      <w:pPr>
        <w:jc w:val="center"/>
        <w:rPr>
          <w:rFonts w:ascii="Times New Roman" w:hAnsi="Times New Roman"/>
          <w:b/>
          <w:szCs w:val="24"/>
        </w:rPr>
      </w:pPr>
    </w:p>
    <w:p w:rsidR="00973298" w:rsidRPr="009D1941" w:rsidRDefault="00973298" w:rsidP="00D706C2">
      <w:pPr>
        <w:jc w:val="center"/>
        <w:rPr>
          <w:rFonts w:ascii="Times New Roman" w:hAnsi="Times New Roman"/>
          <w:b/>
          <w:szCs w:val="24"/>
        </w:rPr>
      </w:pPr>
    </w:p>
    <w:p w:rsidR="00973298" w:rsidRPr="009D1941" w:rsidRDefault="00436B60" w:rsidP="00D706C2">
      <w:pPr>
        <w:jc w:val="center"/>
        <w:rPr>
          <w:rFonts w:ascii="Times New Roman" w:hAnsi="Times New Roman"/>
          <w:szCs w:val="24"/>
        </w:rPr>
      </w:pPr>
      <w:r w:rsidRPr="009D1941">
        <w:rPr>
          <w:rFonts w:ascii="Times New Roman" w:hAnsi="Times New Roman"/>
          <w:b/>
          <w:szCs w:val="24"/>
        </w:rPr>
        <w:t>February 1</w:t>
      </w:r>
      <w:r w:rsidR="00BA64F2" w:rsidRPr="009D1941">
        <w:rPr>
          <w:rFonts w:ascii="Times New Roman" w:hAnsi="Times New Roman"/>
          <w:b/>
          <w:szCs w:val="24"/>
        </w:rPr>
        <w:t>8</w:t>
      </w:r>
      <w:r w:rsidRPr="009D1941">
        <w:rPr>
          <w:rFonts w:ascii="Times New Roman" w:hAnsi="Times New Roman"/>
          <w:b/>
          <w:szCs w:val="24"/>
        </w:rPr>
        <w:t>, 2011</w:t>
      </w:r>
    </w:p>
    <w:p w:rsidR="00211FD1" w:rsidRPr="009D1941" w:rsidRDefault="00211FD1" w:rsidP="00D706C2">
      <w:pPr>
        <w:jc w:val="center"/>
        <w:rPr>
          <w:rFonts w:ascii="Times New Roman" w:hAnsi="Times New Roman"/>
          <w:szCs w:val="24"/>
        </w:rPr>
        <w:sectPr w:rsidR="00211FD1" w:rsidRPr="009D1941" w:rsidSect="005C105C">
          <w:headerReference w:type="default" r:id="rId9"/>
          <w:footerReference w:type="default" r:id="rId10"/>
          <w:pgSz w:w="12240" w:h="15840"/>
          <w:pgMar w:top="1440" w:right="1440" w:bottom="1440" w:left="1440" w:header="720" w:footer="720" w:gutter="0"/>
          <w:cols w:space="720"/>
          <w:docGrid w:linePitch="360"/>
        </w:sectPr>
      </w:pPr>
    </w:p>
    <w:p w:rsidR="00973298" w:rsidRPr="009D1941" w:rsidRDefault="00436B60" w:rsidP="00D706C2">
      <w:pPr>
        <w:jc w:val="center"/>
        <w:rPr>
          <w:rFonts w:ascii="Times New Roman" w:hAnsi="Times New Roman"/>
          <w:b/>
          <w:szCs w:val="24"/>
        </w:rPr>
      </w:pPr>
      <w:r w:rsidRPr="009D1941">
        <w:rPr>
          <w:rFonts w:ascii="Times New Roman" w:hAnsi="Times New Roman"/>
          <w:b/>
          <w:szCs w:val="24"/>
        </w:rPr>
        <w:lastRenderedPageBreak/>
        <w:t>TABLE OF CONTENTS</w:t>
      </w:r>
    </w:p>
    <w:p w:rsidR="00973298" w:rsidRPr="009D1941" w:rsidRDefault="00973298" w:rsidP="00D706C2">
      <w:pPr>
        <w:jc w:val="center"/>
        <w:rPr>
          <w:rFonts w:ascii="Times New Roman" w:hAnsi="Times New Roman"/>
          <w:b/>
          <w:szCs w:val="24"/>
        </w:rPr>
      </w:pPr>
    </w:p>
    <w:p w:rsidR="00032E83" w:rsidRPr="00C5759A" w:rsidRDefault="00032E83" w:rsidP="00C5759A">
      <w:pPr>
        <w:keepLines/>
        <w:tabs>
          <w:tab w:val="left" w:pos="720"/>
          <w:tab w:val="left" w:pos="1440"/>
          <w:tab w:val="left" w:pos="2160"/>
          <w:tab w:val="right" w:leader="dot" w:pos="9360"/>
        </w:tabs>
        <w:spacing w:after="240"/>
        <w:ind w:left="720" w:hanging="720"/>
        <w:rPr>
          <w:rFonts w:ascii="Times New Roman" w:hAnsi="Times New Roman"/>
          <w:szCs w:val="24"/>
        </w:rPr>
      </w:pPr>
      <w:r w:rsidRPr="00C5759A">
        <w:rPr>
          <w:rFonts w:ascii="Times New Roman" w:hAnsi="Times New Roman"/>
          <w:szCs w:val="24"/>
        </w:rPr>
        <w:t>I.</w:t>
      </w:r>
      <w:r w:rsidRPr="00C5759A">
        <w:rPr>
          <w:rFonts w:ascii="Times New Roman" w:hAnsi="Times New Roman"/>
          <w:szCs w:val="24"/>
        </w:rPr>
        <w:tab/>
        <w:t>COST OF EQUITY AND CAPITAL STRUCTURE</w:t>
      </w:r>
      <w:r w:rsidR="00B53D8F">
        <w:rPr>
          <w:rFonts w:ascii="Times New Roman" w:hAnsi="Times New Roman"/>
          <w:szCs w:val="24"/>
        </w:rPr>
        <w:tab/>
      </w:r>
      <w:r w:rsidR="00F61DB3">
        <w:rPr>
          <w:rFonts w:ascii="Times New Roman" w:hAnsi="Times New Roman"/>
          <w:szCs w:val="24"/>
        </w:rPr>
        <w:t>2</w:t>
      </w:r>
    </w:p>
    <w:p w:rsidR="00032E83" w:rsidRPr="00C5759A" w:rsidRDefault="00032E83"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A.</w:t>
      </w:r>
      <w:r w:rsidRPr="00C5759A">
        <w:rPr>
          <w:rFonts w:ascii="Times New Roman" w:hAnsi="Times New Roman"/>
          <w:szCs w:val="24"/>
        </w:rPr>
        <w:tab/>
        <w:t>Return on Equity</w:t>
      </w:r>
      <w:r w:rsidR="00B53D8F">
        <w:rPr>
          <w:rFonts w:ascii="Times New Roman" w:hAnsi="Times New Roman"/>
          <w:szCs w:val="24"/>
        </w:rPr>
        <w:tab/>
      </w:r>
      <w:r w:rsidR="00F61DB3">
        <w:rPr>
          <w:rFonts w:ascii="Times New Roman" w:hAnsi="Times New Roman"/>
          <w:szCs w:val="24"/>
        </w:rPr>
        <w:t>2</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rPr>
        <w:t>1.</w:t>
      </w:r>
      <w:r w:rsidRPr="00C5759A">
        <w:rPr>
          <w:rFonts w:ascii="Times New Roman" w:hAnsi="Times New Roman"/>
        </w:rPr>
        <w:tab/>
        <w:t>ICNU Urges Considerati</w:t>
      </w:r>
      <w:r w:rsidR="00CF756B">
        <w:rPr>
          <w:rFonts w:ascii="Times New Roman" w:hAnsi="Times New Roman"/>
        </w:rPr>
        <w:t xml:space="preserve">on of a Broad Range of Factors in Setting PacifiCorp’s ROE, </w:t>
      </w:r>
      <w:r w:rsidR="00A36515">
        <w:rPr>
          <w:rFonts w:ascii="Times New Roman" w:hAnsi="Times New Roman"/>
        </w:rPr>
        <w:t>b</w:t>
      </w:r>
      <w:r w:rsidRPr="00C5759A">
        <w:rPr>
          <w:rFonts w:ascii="Times New Roman" w:hAnsi="Times New Roman"/>
        </w:rPr>
        <w:t xml:space="preserve">ut Fails to </w:t>
      </w:r>
      <w:proofErr w:type="gramStart"/>
      <w:r w:rsidRPr="00C5759A">
        <w:rPr>
          <w:rFonts w:ascii="Times New Roman" w:hAnsi="Times New Roman"/>
        </w:rPr>
        <w:t>Reconcile</w:t>
      </w:r>
      <w:proofErr w:type="gramEnd"/>
      <w:r w:rsidRPr="00C5759A">
        <w:rPr>
          <w:rFonts w:ascii="Times New Roman" w:hAnsi="Times New Roman"/>
        </w:rPr>
        <w:t xml:space="preserve"> </w:t>
      </w:r>
      <w:r w:rsidR="00CF756B">
        <w:rPr>
          <w:rFonts w:ascii="Times New Roman" w:hAnsi="Times New Roman"/>
        </w:rPr>
        <w:t>i</w:t>
      </w:r>
      <w:r w:rsidR="00A36515">
        <w:rPr>
          <w:rFonts w:ascii="Times New Roman" w:hAnsi="Times New Roman"/>
        </w:rPr>
        <w:t>ts Low Proposed ROE w</w:t>
      </w:r>
      <w:r w:rsidRPr="00C5759A">
        <w:rPr>
          <w:rFonts w:ascii="Times New Roman" w:hAnsi="Times New Roman"/>
        </w:rPr>
        <w:t>ith These Factors.</w:t>
      </w:r>
      <w:r w:rsidR="00B53D8F">
        <w:rPr>
          <w:rFonts w:ascii="Times New Roman" w:hAnsi="Times New Roman"/>
          <w:szCs w:val="24"/>
        </w:rPr>
        <w:tab/>
      </w:r>
      <w:r w:rsidR="00F61DB3">
        <w:rPr>
          <w:rFonts w:ascii="Times New Roman" w:hAnsi="Times New Roman"/>
          <w:szCs w:val="24"/>
        </w:rPr>
        <w:t>2</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2.</w:t>
      </w:r>
      <w:r w:rsidRPr="00C5759A">
        <w:rPr>
          <w:rFonts w:ascii="Times New Roman" w:hAnsi="Times New Roman"/>
          <w:szCs w:val="24"/>
        </w:rPr>
        <w:tab/>
        <w:t>Staff’s Proxy Group i</w:t>
      </w:r>
      <w:r w:rsidR="00B53D8F">
        <w:rPr>
          <w:rFonts w:ascii="Times New Roman" w:hAnsi="Times New Roman"/>
          <w:szCs w:val="24"/>
        </w:rPr>
        <w:t>s Not Superior to PacifiCorp’s.</w:t>
      </w:r>
      <w:r w:rsidR="00B53D8F">
        <w:rPr>
          <w:rFonts w:ascii="Times New Roman" w:hAnsi="Times New Roman"/>
          <w:szCs w:val="24"/>
        </w:rPr>
        <w:tab/>
      </w:r>
      <w:r w:rsidR="00F61DB3">
        <w:rPr>
          <w:rFonts w:ascii="Times New Roman" w:hAnsi="Times New Roman"/>
          <w:szCs w:val="24"/>
        </w:rPr>
        <w:t>3</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3.</w:t>
      </w:r>
      <w:r w:rsidRPr="00C5759A">
        <w:rPr>
          <w:rFonts w:ascii="Times New Roman" w:hAnsi="Times New Roman"/>
          <w:szCs w:val="24"/>
        </w:rPr>
        <w:tab/>
        <w:t xml:space="preserve">Staff’s DCF Analysis Is Not Transparent, </w:t>
      </w:r>
      <w:r w:rsidR="00A36515">
        <w:rPr>
          <w:rFonts w:ascii="Times New Roman" w:hAnsi="Times New Roman"/>
          <w:szCs w:val="24"/>
        </w:rPr>
        <w:t>n</w:t>
      </w:r>
      <w:r w:rsidRPr="00C5759A">
        <w:rPr>
          <w:rFonts w:ascii="Times New Roman" w:hAnsi="Times New Roman"/>
          <w:szCs w:val="24"/>
        </w:rPr>
        <w:t>or Does it</w:t>
      </w:r>
      <w:r w:rsidR="00B53D8F">
        <w:rPr>
          <w:rFonts w:ascii="Times New Roman" w:hAnsi="Times New Roman"/>
          <w:szCs w:val="24"/>
        </w:rPr>
        <w:t xml:space="preserve"> Capture Investor Expectations.</w:t>
      </w:r>
      <w:r w:rsidR="00B53D8F">
        <w:rPr>
          <w:rFonts w:ascii="Times New Roman" w:hAnsi="Times New Roman"/>
          <w:szCs w:val="24"/>
        </w:rPr>
        <w:tab/>
      </w:r>
      <w:r w:rsidR="00F61DB3">
        <w:rPr>
          <w:rFonts w:ascii="Times New Roman" w:hAnsi="Times New Roman"/>
          <w:szCs w:val="24"/>
        </w:rPr>
        <w:t>4</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4.</w:t>
      </w:r>
      <w:r w:rsidRPr="00C5759A">
        <w:rPr>
          <w:rFonts w:ascii="Times New Roman" w:hAnsi="Times New Roman"/>
          <w:szCs w:val="24"/>
        </w:rPr>
        <w:tab/>
      </w:r>
      <w:r w:rsidR="0097679A">
        <w:rPr>
          <w:rFonts w:ascii="Times New Roman" w:hAnsi="Times New Roman"/>
          <w:szCs w:val="24"/>
        </w:rPr>
        <w:t>Dr. </w:t>
      </w:r>
      <w:proofErr w:type="spellStart"/>
      <w:r w:rsidRPr="00C5759A">
        <w:rPr>
          <w:rFonts w:ascii="Times New Roman" w:hAnsi="Times New Roman"/>
          <w:szCs w:val="24"/>
        </w:rPr>
        <w:t>Hadaway’s</w:t>
      </w:r>
      <w:proofErr w:type="spellEnd"/>
      <w:r w:rsidRPr="00C5759A">
        <w:rPr>
          <w:rFonts w:ascii="Times New Roman" w:hAnsi="Times New Roman"/>
          <w:szCs w:val="24"/>
        </w:rPr>
        <w:t xml:space="preserve"> Reliance on Long-term GDP Growth is Appropriate.</w:t>
      </w:r>
      <w:r w:rsidRPr="00C5759A">
        <w:rPr>
          <w:rFonts w:ascii="Times New Roman" w:hAnsi="Times New Roman"/>
          <w:szCs w:val="24"/>
        </w:rPr>
        <w:tab/>
      </w:r>
      <w:r w:rsidR="00F61DB3">
        <w:rPr>
          <w:rFonts w:ascii="Times New Roman" w:hAnsi="Times New Roman"/>
          <w:szCs w:val="24"/>
        </w:rPr>
        <w:t>5</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5.</w:t>
      </w:r>
      <w:r w:rsidRPr="00C5759A">
        <w:rPr>
          <w:rFonts w:ascii="Times New Roman" w:hAnsi="Times New Roman"/>
          <w:szCs w:val="24"/>
        </w:rPr>
        <w:tab/>
        <w:t xml:space="preserve">ICNU Fails to </w:t>
      </w:r>
      <w:r w:rsidR="00F61DB3">
        <w:rPr>
          <w:rFonts w:ascii="Times New Roman" w:hAnsi="Times New Roman"/>
          <w:szCs w:val="24"/>
        </w:rPr>
        <w:t>Reconcile</w:t>
      </w:r>
      <w:r w:rsidRPr="00C5759A">
        <w:rPr>
          <w:rFonts w:ascii="Times New Roman" w:hAnsi="Times New Roman"/>
          <w:szCs w:val="24"/>
        </w:rPr>
        <w:t xml:space="preserve"> its Reliance </w:t>
      </w:r>
      <w:r w:rsidR="00F61DB3">
        <w:rPr>
          <w:rFonts w:ascii="Times New Roman" w:hAnsi="Times New Roman"/>
          <w:szCs w:val="24"/>
        </w:rPr>
        <w:t>on Forecast GDP Growth Rates With</w:t>
      </w:r>
      <w:r w:rsidRPr="00C5759A">
        <w:rPr>
          <w:rFonts w:ascii="Times New Roman" w:hAnsi="Times New Roman"/>
          <w:szCs w:val="24"/>
        </w:rPr>
        <w:t xml:space="preserve"> Its Rejection of Forecast Analysts’ Growth Rates.</w:t>
      </w:r>
      <w:r w:rsidR="00B53D8F">
        <w:rPr>
          <w:rFonts w:ascii="Times New Roman" w:hAnsi="Times New Roman"/>
          <w:szCs w:val="24"/>
        </w:rPr>
        <w:tab/>
      </w:r>
      <w:r w:rsidR="00F61DB3">
        <w:rPr>
          <w:rFonts w:ascii="Times New Roman" w:hAnsi="Times New Roman"/>
          <w:szCs w:val="24"/>
        </w:rPr>
        <w:t>6</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 xml:space="preserve">6. </w:t>
      </w:r>
      <w:r w:rsidRPr="00C5759A">
        <w:rPr>
          <w:rFonts w:ascii="Times New Roman" w:hAnsi="Times New Roman"/>
          <w:szCs w:val="24"/>
        </w:rPr>
        <w:tab/>
        <w:t xml:space="preserve">ICNU’s Criticism of </w:t>
      </w:r>
      <w:r w:rsidR="0097679A">
        <w:rPr>
          <w:rFonts w:ascii="Times New Roman" w:hAnsi="Times New Roman"/>
          <w:szCs w:val="24"/>
        </w:rPr>
        <w:t>Dr. </w:t>
      </w:r>
      <w:proofErr w:type="spellStart"/>
      <w:r w:rsidRPr="00C5759A">
        <w:rPr>
          <w:rFonts w:ascii="Times New Roman" w:hAnsi="Times New Roman"/>
          <w:szCs w:val="24"/>
        </w:rPr>
        <w:t>Hadaway’s</w:t>
      </w:r>
      <w:proofErr w:type="spellEnd"/>
      <w:r w:rsidRPr="00C5759A">
        <w:rPr>
          <w:rFonts w:ascii="Times New Roman" w:hAnsi="Times New Roman"/>
          <w:szCs w:val="24"/>
        </w:rPr>
        <w:t xml:space="preserve"> Risk Premium Analysis is </w:t>
      </w:r>
      <w:proofErr w:type="gramStart"/>
      <w:r w:rsidRPr="00C5759A">
        <w:rPr>
          <w:rFonts w:ascii="Times New Roman" w:hAnsi="Times New Roman"/>
          <w:szCs w:val="24"/>
        </w:rPr>
        <w:t>Flawed</w:t>
      </w:r>
      <w:proofErr w:type="gramEnd"/>
      <w:r w:rsidRPr="00C5759A">
        <w:rPr>
          <w:rFonts w:ascii="Times New Roman" w:hAnsi="Times New Roman"/>
          <w:szCs w:val="24"/>
        </w:rPr>
        <w:t>.</w:t>
      </w:r>
      <w:r w:rsidR="00B53D8F">
        <w:rPr>
          <w:rFonts w:ascii="Times New Roman" w:hAnsi="Times New Roman"/>
          <w:szCs w:val="24"/>
        </w:rPr>
        <w:tab/>
      </w:r>
      <w:r w:rsidR="00F61DB3">
        <w:rPr>
          <w:rFonts w:ascii="Times New Roman" w:hAnsi="Times New Roman"/>
          <w:szCs w:val="24"/>
        </w:rPr>
        <w:t>7</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7.</w:t>
      </w:r>
      <w:r w:rsidRPr="00C5759A">
        <w:rPr>
          <w:rFonts w:ascii="Times New Roman" w:hAnsi="Times New Roman"/>
          <w:szCs w:val="24"/>
        </w:rPr>
        <w:tab/>
      </w:r>
      <w:r w:rsidR="0097679A">
        <w:rPr>
          <w:rFonts w:ascii="Times New Roman" w:hAnsi="Times New Roman"/>
          <w:szCs w:val="24"/>
        </w:rPr>
        <w:t>Dr. </w:t>
      </w:r>
      <w:proofErr w:type="spellStart"/>
      <w:r w:rsidRPr="00C5759A">
        <w:rPr>
          <w:rFonts w:ascii="Times New Roman" w:hAnsi="Times New Roman"/>
          <w:szCs w:val="24"/>
        </w:rPr>
        <w:t>Hadaway’s</w:t>
      </w:r>
      <w:proofErr w:type="spellEnd"/>
      <w:r w:rsidRPr="00C5759A">
        <w:rPr>
          <w:rFonts w:ascii="Times New Roman" w:hAnsi="Times New Roman"/>
          <w:szCs w:val="24"/>
        </w:rPr>
        <w:t xml:space="preserve"> Decision to Not Rely </w:t>
      </w:r>
      <w:proofErr w:type="gramStart"/>
      <w:r w:rsidRPr="00C5759A">
        <w:rPr>
          <w:rFonts w:ascii="Times New Roman" w:hAnsi="Times New Roman"/>
          <w:szCs w:val="24"/>
        </w:rPr>
        <w:t>Upon</w:t>
      </w:r>
      <w:proofErr w:type="gramEnd"/>
      <w:r w:rsidRPr="00C5759A">
        <w:rPr>
          <w:rFonts w:ascii="Times New Roman" w:hAnsi="Times New Roman"/>
          <w:szCs w:val="24"/>
        </w:rPr>
        <w:t xml:space="preserve"> CAPM is Not Arbitrary.</w:t>
      </w:r>
      <w:r w:rsidR="00B53D8F">
        <w:rPr>
          <w:rFonts w:ascii="Times New Roman" w:hAnsi="Times New Roman"/>
          <w:szCs w:val="24"/>
        </w:rPr>
        <w:tab/>
      </w:r>
      <w:r w:rsidR="00F61DB3">
        <w:rPr>
          <w:rFonts w:ascii="Times New Roman" w:hAnsi="Times New Roman"/>
          <w:szCs w:val="24"/>
        </w:rPr>
        <w:t>8</w:t>
      </w:r>
    </w:p>
    <w:p w:rsidR="00032E83" w:rsidRPr="00C5759A" w:rsidRDefault="00032E83"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B.</w:t>
      </w:r>
      <w:r w:rsidRPr="00C5759A">
        <w:rPr>
          <w:rFonts w:ascii="Times New Roman" w:hAnsi="Times New Roman"/>
          <w:szCs w:val="24"/>
        </w:rPr>
        <w:tab/>
        <w:t>Capital Structure</w:t>
      </w:r>
      <w:r w:rsidR="00B53D8F">
        <w:rPr>
          <w:rFonts w:ascii="Times New Roman" w:hAnsi="Times New Roman"/>
          <w:szCs w:val="24"/>
        </w:rPr>
        <w:tab/>
      </w:r>
      <w:r w:rsidR="00343AF3">
        <w:rPr>
          <w:rFonts w:ascii="Times New Roman" w:hAnsi="Times New Roman"/>
          <w:szCs w:val="24"/>
        </w:rPr>
        <w:t>9</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1.</w:t>
      </w:r>
      <w:r w:rsidRPr="00C5759A">
        <w:rPr>
          <w:rFonts w:ascii="Times New Roman" w:hAnsi="Times New Roman"/>
          <w:szCs w:val="24"/>
        </w:rPr>
        <w:tab/>
        <w:t>Under Any Legal Standard, Staff’s Capital Structure is Unsafe and Uneconomic.</w:t>
      </w:r>
      <w:r w:rsidR="00B53D8F">
        <w:rPr>
          <w:rFonts w:ascii="Times New Roman" w:hAnsi="Times New Roman"/>
          <w:szCs w:val="24"/>
        </w:rPr>
        <w:tab/>
      </w:r>
      <w:r w:rsidR="00343AF3">
        <w:rPr>
          <w:rFonts w:ascii="Times New Roman" w:hAnsi="Times New Roman"/>
          <w:szCs w:val="24"/>
        </w:rPr>
        <w:t>8</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rPr>
        <w:t>2.</w:t>
      </w:r>
      <w:r w:rsidRPr="00C5759A">
        <w:rPr>
          <w:rFonts w:ascii="Times New Roman" w:hAnsi="Times New Roman"/>
        </w:rPr>
        <w:tab/>
        <w:t xml:space="preserve">There is No Evidence that the Company’s Actual Capital Structure is </w:t>
      </w:r>
      <w:proofErr w:type="gramStart"/>
      <w:r w:rsidRPr="00C5759A">
        <w:rPr>
          <w:rFonts w:ascii="Times New Roman" w:hAnsi="Times New Roman"/>
        </w:rPr>
        <w:t>Driven</w:t>
      </w:r>
      <w:proofErr w:type="gramEnd"/>
      <w:r w:rsidRPr="00C5759A">
        <w:rPr>
          <w:rFonts w:ascii="Times New Roman" w:hAnsi="Times New Roman"/>
        </w:rPr>
        <w:t xml:space="preserve"> by MEHC’s Financial Motives.</w:t>
      </w:r>
      <w:r w:rsidR="00B53D8F">
        <w:rPr>
          <w:rFonts w:ascii="Times New Roman" w:hAnsi="Times New Roman"/>
          <w:szCs w:val="24"/>
        </w:rPr>
        <w:tab/>
      </w:r>
      <w:r w:rsidR="00F61DB3">
        <w:rPr>
          <w:rFonts w:ascii="Times New Roman" w:hAnsi="Times New Roman"/>
          <w:szCs w:val="24"/>
        </w:rPr>
        <w:t>10</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3.</w:t>
      </w:r>
      <w:r w:rsidRPr="00C5759A">
        <w:rPr>
          <w:rFonts w:ascii="Times New Roman" w:hAnsi="Times New Roman"/>
          <w:szCs w:val="24"/>
        </w:rPr>
        <w:tab/>
        <w:t>The Commission Sho</w:t>
      </w:r>
      <w:r w:rsidR="00B53D8F">
        <w:rPr>
          <w:rFonts w:ascii="Times New Roman" w:hAnsi="Times New Roman"/>
          <w:szCs w:val="24"/>
        </w:rPr>
        <w:t>uld Not Impute Short-Term Debt.</w:t>
      </w:r>
      <w:r w:rsidR="00B53D8F">
        <w:rPr>
          <w:rFonts w:ascii="Times New Roman" w:hAnsi="Times New Roman"/>
          <w:szCs w:val="24"/>
        </w:rPr>
        <w:tab/>
      </w:r>
      <w:r w:rsidR="00343AF3">
        <w:rPr>
          <w:rFonts w:ascii="Times New Roman" w:hAnsi="Times New Roman"/>
          <w:szCs w:val="24"/>
        </w:rPr>
        <w:t>11</w:t>
      </w:r>
    </w:p>
    <w:p w:rsidR="00032E83" w:rsidRPr="00C5759A" w:rsidRDefault="00032E83"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C.</w:t>
      </w:r>
      <w:r w:rsidRPr="00C5759A">
        <w:rPr>
          <w:rFonts w:ascii="Times New Roman" w:hAnsi="Times New Roman"/>
          <w:szCs w:val="24"/>
        </w:rPr>
        <w:tab/>
        <w:t xml:space="preserve">Credit Metrics </w:t>
      </w:r>
      <w:proofErr w:type="gramStart"/>
      <w:r w:rsidRPr="00C5759A">
        <w:rPr>
          <w:rFonts w:ascii="Times New Roman" w:hAnsi="Times New Roman"/>
          <w:szCs w:val="24"/>
        </w:rPr>
        <w:t>Under</w:t>
      </w:r>
      <w:proofErr w:type="gramEnd"/>
      <w:r w:rsidRPr="00C5759A">
        <w:rPr>
          <w:rFonts w:ascii="Times New Roman" w:hAnsi="Times New Roman"/>
          <w:szCs w:val="24"/>
        </w:rPr>
        <w:t xml:space="preserve"> Staff’s and ICNU’s Cost of Capital Proposals.</w:t>
      </w:r>
      <w:r w:rsidR="00B53D8F">
        <w:rPr>
          <w:rFonts w:ascii="Times New Roman" w:hAnsi="Times New Roman"/>
          <w:szCs w:val="24"/>
        </w:rPr>
        <w:tab/>
      </w:r>
      <w:r w:rsidR="00343AF3">
        <w:rPr>
          <w:rFonts w:ascii="Times New Roman" w:hAnsi="Times New Roman"/>
          <w:szCs w:val="24"/>
        </w:rPr>
        <w:t>12</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1.</w:t>
      </w:r>
      <w:r w:rsidRPr="00C5759A">
        <w:rPr>
          <w:rFonts w:ascii="Times New Roman" w:hAnsi="Times New Roman"/>
          <w:szCs w:val="24"/>
        </w:rPr>
        <w:tab/>
        <w:t xml:space="preserve">ICNU Fails to Support its Contention that Its </w:t>
      </w:r>
      <w:r w:rsidR="00A63CEE">
        <w:rPr>
          <w:rFonts w:ascii="Times New Roman" w:hAnsi="Times New Roman"/>
          <w:szCs w:val="24"/>
        </w:rPr>
        <w:t>Recommendation3</w:t>
      </w:r>
      <w:r w:rsidR="0034402A">
        <w:rPr>
          <w:rFonts w:ascii="Times New Roman" w:hAnsi="Times New Roman"/>
          <w:szCs w:val="24"/>
        </w:rPr>
        <w:br w:type="textWrapping" w:clear="all"/>
      </w:r>
      <w:r w:rsidRPr="00C5759A">
        <w:rPr>
          <w:rFonts w:ascii="Times New Roman" w:hAnsi="Times New Roman"/>
          <w:szCs w:val="24"/>
        </w:rPr>
        <w:t>Are Safe.</w:t>
      </w:r>
      <w:r w:rsidR="00B53D8F">
        <w:rPr>
          <w:rFonts w:ascii="Times New Roman" w:hAnsi="Times New Roman"/>
          <w:szCs w:val="24"/>
        </w:rPr>
        <w:tab/>
      </w:r>
      <w:r w:rsidR="00343AF3">
        <w:rPr>
          <w:rFonts w:ascii="Times New Roman" w:hAnsi="Times New Roman"/>
          <w:szCs w:val="24"/>
        </w:rPr>
        <w:t>12</w:t>
      </w:r>
    </w:p>
    <w:p w:rsidR="00032E83" w:rsidRPr="00C5759A" w:rsidRDefault="00032E83"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2.</w:t>
      </w:r>
      <w:r w:rsidRPr="00C5759A">
        <w:rPr>
          <w:rFonts w:ascii="Times New Roman" w:hAnsi="Times New Roman"/>
          <w:szCs w:val="24"/>
        </w:rPr>
        <w:tab/>
        <w:t xml:space="preserve">Staff’s Safety Analysis is </w:t>
      </w:r>
      <w:proofErr w:type="gramStart"/>
      <w:r w:rsidRPr="00C5759A">
        <w:rPr>
          <w:rFonts w:ascii="Times New Roman" w:hAnsi="Times New Roman"/>
          <w:szCs w:val="24"/>
        </w:rPr>
        <w:t>Flawed</w:t>
      </w:r>
      <w:proofErr w:type="gramEnd"/>
      <w:r w:rsidRPr="00C5759A">
        <w:rPr>
          <w:rFonts w:ascii="Times New Roman" w:hAnsi="Times New Roman"/>
          <w:szCs w:val="24"/>
        </w:rPr>
        <w:t>.</w:t>
      </w:r>
      <w:r w:rsidR="00B53D8F">
        <w:rPr>
          <w:rFonts w:ascii="Times New Roman" w:hAnsi="Times New Roman"/>
          <w:szCs w:val="24"/>
        </w:rPr>
        <w:tab/>
      </w:r>
      <w:r w:rsidR="00F61DB3">
        <w:rPr>
          <w:rFonts w:ascii="Times New Roman" w:hAnsi="Times New Roman"/>
          <w:szCs w:val="24"/>
        </w:rPr>
        <w:t>13</w:t>
      </w:r>
    </w:p>
    <w:p w:rsidR="00C47F75" w:rsidRPr="00C5759A" w:rsidRDefault="00C47F75" w:rsidP="00C5759A">
      <w:pPr>
        <w:keepLines/>
        <w:tabs>
          <w:tab w:val="left" w:pos="720"/>
          <w:tab w:val="left" w:pos="1440"/>
          <w:tab w:val="left" w:pos="2160"/>
          <w:tab w:val="right" w:leader="dot" w:pos="9360"/>
        </w:tabs>
        <w:spacing w:after="240"/>
        <w:ind w:left="720" w:hanging="720"/>
        <w:rPr>
          <w:rFonts w:ascii="Times New Roman" w:hAnsi="Times New Roman"/>
          <w:szCs w:val="24"/>
        </w:rPr>
      </w:pPr>
      <w:r w:rsidRPr="00C5759A">
        <w:rPr>
          <w:rFonts w:ascii="Times New Roman" w:hAnsi="Times New Roman"/>
          <w:szCs w:val="24"/>
        </w:rPr>
        <w:t>II.</w:t>
      </w:r>
      <w:r w:rsidRPr="00C5759A">
        <w:rPr>
          <w:rFonts w:ascii="Times New Roman" w:hAnsi="Times New Roman"/>
          <w:szCs w:val="24"/>
        </w:rPr>
        <w:tab/>
        <w:t>REVENUE ADJUSTMENTS</w:t>
      </w:r>
      <w:r w:rsidR="00B53D8F">
        <w:rPr>
          <w:rFonts w:ascii="Times New Roman" w:hAnsi="Times New Roman"/>
          <w:szCs w:val="24"/>
        </w:rPr>
        <w:tab/>
      </w:r>
      <w:r w:rsidR="00343AF3">
        <w:rPr>
          <w:rFonts w:ascii="Times New Roman" w:hAnsi="Times New Roman"/>
          <w:szCs w:val="24"/>
        </w:rPr>
        <w:t>13</w:t>
      </w:r>
    </w:p>
    <w:p w:rsidR="00C47F75" w:rsidRPr="00C5759A" w:rsidRDefault="00C47F75"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A.</w:t>
      </w:r>
      <w:r w:rsidRPr="00C5759A">
        <w:rPr>
          <w:rFonts w:ascii="Times New Roman" w:hAnsi="Times New Roman"/>
          <w:szCs w:val="24"/>
        </w:rPr>
        <w:tab/>
        <w:t>Public Counsel/ICNU Provide No Basis for Rejecting Temperature Normalizat</w:t>
      </w:r>
      <w:r w:rsidR="00B53D8F">
        <w:rPr>
          <w:rFonts w:ascii="Times New Roman" w:hAnsi="Times New Roman"/>
          <w:szCs w:val="24"/>
        </w:rPr>
        <w:t>ion for the Residential Class.</w:t>
      </w:r>
      <w:r w:rsidR="00B53D8F">
        <w:rPr>
          <w:rFonts w:ascii="Times New Roman" w:hAnsi="Times New Roman"/>
          <w:szCs w:val="24"/>
        </w:rPr>
        <w:tab/>
      </w:r>
      <w:r w:rsidR="00343AF3">
        <w:rPr>
          <w:rFonts w:ascii="Times New Roman" w:hAnsi="Times New Roman"/>
          <w:szCs w:val="24"/>
        </w:rPr>
        <w:t>13</w:t>
      </w:r>
    </w:p>
    <w:p w:rsidR="00C47F75" w:rsidRPr="00C5759A" w:rsidRDefault="00C47F75" w:rsidP="00666FE8">
      <w:pPr>
        <w:keepLines/>
        <w:tabs>
          <w:tab w:val="left" w:pos="720"/>
          <w:tab w:val="left" w:pos="1440"/>
          <w:tab w:val="left" w:pos="2160"/>
          <w:tab w:val="right" w:leader="dot" w:pos="9360"/>
        </w:tabs>
        <w:spacing w:after="240"/>
        <w:ind w:left="1440" w:hanging="720"/>
      </w:pPr>
      <w:r w:rsidRPr="00C5759A">
        <w:rPr>
          <w:rFonts w:ascii="Times New Roman" w:hAnsi="Times New Roman"/>
          <w:szCs w:val="24"/>
        </w:rPr>
        <w:t>B.</w:t>
      </w:r>
      <w:r w:rsidRPr="00C5759A">
        <w:rPr>
          <w:rFonts w:ascii="Times New Roman" w:hAnsi="Times New Roman"/>
          <w:szCs w:val="24"/>
        </w:rPr>
        <w:tab/>
        <w:t>Staff’s Proposal to Remove Temperature Normalization of Commercial Class Reduces the Accuracy of the Forecast.</w:t>
      </w:r>
      <w:r w:rsidR="00B53D8F">
        <w:rPr>
          <w:rFonts w:ascii="Times New Roman" w:hAnsi="Times New Roman"/>
          <w:szCs w:val="24"/>
        </w:rPr>
        <w:tab/>
      </w:r>
      <w:r w:rsidR="00F61DB3">
        <w:rPr>
          <w:rFonts w:ascii="Times New Roman" w:hAnsi="Times New Roman"/>
          <w:szCs w:val="24"/>
        </w:rPr>
        <w:t>14</w:t>
      </w:r>
    </w:p>
    <w:p w:rsidR="00C47F75" w:rsidRPr="00C5759A" w:rsidRDefault="00C47F75" w:rsidP="00666FE8">
      <w:pPr>
        <w:keepLines/>
        <w:tabs>
          <w:tab w:val="left" w:pos="720"/>
          <w:tab w:val="left" w:pos="1440"/>
          <w:tab w:val="left" w:pos="2160"/>
          <w:tab w:val="right" w:leader="dot" w:pos="9360"/>
        </w:tabs>
        <w:spacing w:after="240"/>
        <w:ind w:left="1440" w:hanging="720"/>
      </w:pPr>
      <w:r w:rsidRPr="00C5759A">
        <w:rPr>
          <w:rFonts w:ascii="Times New Roman" w:hAnsi="Times New Roman"/>
          <w:szCs w:val="24"/>
        </w:rPr>
        <w:lastRenderedPageBreak/>
        <w:t>C.</w:t>
      </w:r>
      <w:r w:rsidRPr="00C5759A">
        <w:rPr>
          <w:rFonts w:ascii="Times New Roman" w:hAnsi="Times New Roman"/>
          <w:szCs w:val="24"/>
        </w:rPr>
        <w:tab/>
        <w:t xml:space="preserve">The Parties’ REC Revenue Proposals Should Be Rejected Because the Company has Already Reflected </w:t>
      </w:r>
      <w:proofErr w:type="gramStart"/>
      <w:r w:rsidRPr="00C5759A">
        <w:rPr>
          <w:rFonts w:ascii="Times New Roman" w:hAnsi="Times New Roman"/>
          <w:szCs w:val="24"/>
        </w:rPr>
        <w:t>a Reasonable</w:t>
      </w:r>
      <w:proofErr w:type="gramEnd"/>
      <w:r w:rsidRPr="00C5759A">
        <w:rPr>
          <w:rFonts w:ascii="Times New Roman" w:hAnsi="Times New Roman"/>
          <w:szCs w:val="24"/>
        </w:rPr>
        <w:t xml:space="preserve"> Level of REC Revenue in its Revenue Requirement.</w:t>
      </w:r>
      <w:r w:rsidR="00B53D8F">
        <w:rPr>
          <w:rFonts w:ascii="Times New Roman" w:hAnsi="Times New Roman"/>
          <w:szCs w:val="24"/>
        </w:rPr>
        <w:tab/>
      </w:r>
      <w:r w:rsidR="007B1BB7">
        <w:rPr>
          <w:rFonts w:ascii="Times New Roman" w:hAnsi="Times New Roman"/>
          <w:szCs w:val="24"/>
        </w:rPr>
        <w:t>1</w:t>
      </w:r>
      <w:r w:rsidR="00343AF3">
        <w:rPr>
          <w:rFonts w:ascii="Times New Roman" w:hAnsi="Times New Roman"/>
          <w:szCs w:val="24"/>
        </w:rPr>
        <w:t>4</w:t>
      </w:r>
    </w:p>
    <w:p w:rsidR="00C47F75" w:rsidRPr="00C5759A" w:rsidRDefault="00C47F75"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1.</w:t>
      </w:r>
      <w:r w:rsidRPr="00C5759A">
        <w:rPr>
          <w:rFonts w:ascii="Times New Roman" w:hAnsi="Times New Roman"/>
          <w:szCs w:val="24"/>
        </w:rPr>
        <w:tab/>
        <w:t>The Parties’ REC Revenue Proposals Should Be Rejected Because They Constit</w:t>
      </w:r>
      <w:r w:rsidR="00FA1AFA">
        <w:rPr>
          <w:rFonts w:ascii="Times New Roman" w:hAnsi="Times New Roman"/>
          <w:szCs w:val="24"/>
        </w:rPr>
        <w:t>ute Retroactive Ratemaking and N</w:t>
      </w:r>
      <w:r w:rsidRPr="00C5759A">
        <w:rPr>
          <w:rFonts w:ascii="Times New Roman" w:hAnsi="Times New Roman"/>
          <w:szCs w:val="24"/>
        </w:rPr>
        <w:t>o Exception to the Rule Against Retroactive Ratemaking Applies.</w:t>
      </w:r>
      <w:r w:rsidR="00B53D8F">
        <w:rPr>
          <w:rFonts w:ascii="Times New Roman" w:hAnsi="Times New Roman"/>
          <w:szCs w:val="24"/>
        </w:rPr>
        <w:tab/>
      </w:r>
      <w:r w:rsidR="007B1BB7">
        <w:rPr>
          <w:rFonts w:ascii="Times New Roman" w:hAnsi="Times New Roman"/>
          <w:szCs w:val="24"/>
        </w:rPr>
        <w:t>15</w:t>
      </w:r>
    </w:p>
    <w:p w:rsidR="00C47F75" w:rsidRPr="00C5759A" w:rsidRDefault="00C47F75"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2.</w:t>
      </w:r>
      <w:r w:rsidRPr="00C5759A">
        <w:rPr>
          <w:rFonts w:ascii="Times New Roman" w:hAnsi="Times New Roman"/>
          <w:szCs w:val="24"/>
        </w:rPr>
        <w:tab/>
        <w:t>The Parties Present No Basis for Treating REC Revenues Different from NPC in Violation of the Matching Principle.</w:t>
      </w:r>
      <w:r w:rsidR="00B53D8F">
        <w:rPr>
          <w:rFonts w:ascii="Times New Roman" w:hAnsi="Times New Roman"/>
          <w:szCs w:val="24"/>
        </w:rPr>
        <w:tab/>
      </w:r>
      <w:r w:rsidR="00343AF3">
        <w:rPr>
          <w:rFonts w:ascii="Times New Roman" w:hAnsi="Times New Roman"/>
          <w:szCs w:val="24"/>
        </w:rPr>
        <w:t>19</w:t>
      </w:r>
    </w:p>
    <w:p w:rsidR="00C47F75" w:rsidRPr="00C5759A" w:rsidRDefault="00C47F75"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3.</w:t>
      </w:r>
      <w:r w:rsidRPr="00C5759A">
        <w:rPr>
          <w:rFonts w:ascii="Times New Roman" w:hAnsi="Times New Roman"/>
          <w:szCs w:val="24"/>
        </w:rPr>
        <w:tab/>
        <w:t>Public Counsel’s and ICNU’s Adjustments are Based on Incorrect Calculations.</w:t>
      </w:r>
      <w:r w:rsidR="00B53D8F">
        <w:rPr>
          <w:rFonts w:ascii="Times New Roman" w:hAnsi="Times New Roman"/>
          <w:szCs w:val="24"/>
        </w:rPr>
        <w:tab/>
      </w:r>
      <w:r w:rsidR="00343AF3">
        <w:rPr>
          <w:rFonts w:ascii="Times New Roman" w:hAnsi="Times New Roman"/>
          <w:szCs w:val="24"/>
        </w:rPr>
        <w:t>21</w:t>
      </w:r>
    </w:p>
    <w:p w:rsidR="00C47F75" w:rsidRPr="00C5759A" w:rsidRDefault="00C47F75"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4.</w:t>
      </w:r>
      <w:r w:rsidRPr="00C5759A">
        <w:rPr>
          <w:rFonts w:ascii="Times New Roman" w:hAnsi="Times New Roman"/>
          <w:szCs w:val="24"/>
        </w:rPr>
        <w:tab/>
        <w:t>Staff’s Approach Will Result in Double-Counting REC Revenues.</w:t>
      </w:r>
      <w:r w:rsidR="00B53D8F">
        <w:rPr>
          <w:rFonts w:ascii="Times New Roman" w:hAnsi="Times New Roman"/>
          <w:szCs w:val="24"/>
        </w:rPr>
        <w:tab/>
      </w:r>
      <w:r w:rsidR="00343AF3">
        <w:rPr>
          <w:rFonts w:ascii="Times New Roman" w:hAnsi="Times New Roman"/>
          <w:szCs w:val="24"/>
        </w:rPr>
        <w:t>21</w:t>
      </w:r>
    </w:p>
    <w:p w:rsidR="00C47F75" w:rsidRPr="00C5759A" w:rsidRDefault="00C47F75"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5.</w:t>
      </w:r>
      <w:r w:rsidRPr="00C5759A">
        <w:rPr>
          <w:rFonts w:ascii="Times New Roman" w:hAnsi="Times New Roman"/>
          <w:szCs w:val="24"/>
        </w:rPr>
        <w:tab/>
        <w:t>Public Counsel’s and ICNU’s Claim that the Company Should Have Included REC Revenues in the Initial Filing is Unreasonable and Irrelevant.</w:t>
      </w:r>
      <w:r w:rsidR="00B53D8F">
        <w:rPr>
          <w:rFonts w:ascii="Times New Roman" w:hAnsi="Times New Roman"/>
          <w:szCs w:val="24"/>
        </w:rPr>
        <w:tab/>
      </w:r>
      <w:r w:rsidR="00343AF3">
        <w:rPr>
          <w:rFonts w:ascii="Times New Roman" w:hAnsi="Times New Roman"/>
          <w:szCs w:val="24"/>
        </w:rPr>
        <w:t>22</w:t>
      </w:r>
    </w:p>
    <w:p w:rsidR="00B3732E" w:rsidRPr="00C5759A" w:rsidRDefault="00B3732E" w:rsidP="00C5759A">
      <w:pPr>
        <w:pStyle w:val="ListParagraph"/>
        <w:keepLines/>
        <w:tabs>
          <w:tab w:val="left" w:pos="720"/>
          <w:tab w:val="left" w:pos="1440"/>
          <w:tab w:val="left" w:pos="2160"/>
          <w:tab w:val="right" w:leader="dot" w:pos="9360"/>
        </w:tabs>
        <w:spacing w:after="240"/>
        <w:ind w:hanging="720"/>
        <w:contextualSpacing w:val="0"/>
        <w:rPr>
          <w:rFonts w:ascii="Times New Roman" w:hAnsi="Times New Roman"/>
        </w:rPr>
      </w:pPr>
      <w:r w:rsidRPr="00C5759A">
        <w:rPr>
          <w:rFonts w:ascii="Times New Roman" w:hAnsi="Times New Roman"/>
        </w:rPr>
        <w:t>V.</w:t>
      </w:r>
      <w:r w:rsidRPr="00C5759A">
        <w:rPr>
          <w:rFonts w:ascii="Times New Roman" w:hAnsi="Times New Roman"/>
        </w:rPr>
        <w:tab/>
        <w:t>NET POWER COST ISSUES</w:t>
      </w:r>
      <w:r w:rsidR="00343AF3">
        <w:rPr>
          <w:rFonts w:ascii="Times New Roman" w:hAnsi="Times New Roman"/>
        </w:rPr>
        <w:tab/>
        <w:t>22</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rPr>
        <w:t>A.</w:t>
      </w:r>
      <w:r w:rsidRPr="00C5759A">
        <w:rPr>
          <w:rFonts w:ascii="Times New Roman" w:hAnsi="Times New Roman"/>
        </w:rPr>
        <w:tab/>
        <w:t>Staff</w:t>
      </w:r>
      <w:r w:rsidR="00FA1AFA">
        <w:rPr>
          <w:rFonts w:ascii="Times New Roman" w:hAnsi="Times New Roman"/>
        </w:rPr>
        <w:t>’s</w:t>
      </w:r>
      <w:r w:rsidRPr="00C5759A">
        <w:rPr>
          <w:rFonts w:ascii="Times New Roman" w:hAnsi="Times New Roman"/>
        </w:rPr>
        <w:t xml:space="preserve"> and ICNU’s Adjustmen</w:t>
      </w:r>
      <w:r w:rsidR="00CF756B">
        <w:rPr>
          <w:rFonts w:ascii="Times New Roman" w:hAnsi="Times New Roman"/>
        </w:rPr>
        <w:t>ts for Arbitrage Sales Margins A</w:t>
      </w:r>
      <w:r w:rsidRPr="00C5759A">
        <w:rPr>
          <w:rFonts w:ascii="Times New Roman" w:hAnsi="Times New Roman"/>
        </w:rPr>
        <w:t>re Unnecessary.</w:t>
      </w:r>
      <w:r w:rsidR="00B53D8F">
        <w:rPr>
          <w:rFonts w:ascii="Times New Roman" w:hAnsi="Times New Roman"/>
          <w:szCs w:val="24"/>
        </w:rPr>
        <w:tab/>
      </w:r>
      <w:r w:rsidR="00343AF3">
        <w:rPr>
          <w:rFonts w:ascii="Times New Roman" w:hAnsi="Times New Roman"/>
          <w:szCs w:val="24"/>
        </w:rPr>
        <w:t>22</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B.</w:t>
      </w:r>
      <w:r w:rsidRPr="00C5759A">
        <w:rPr>
          <w:rFonts w:ascii="Times New Roman" w:hAnsi="Times New Roman"/>
          <w:szCs w:val="24"/>
        </w:rPr>
        <w:tab/>
        <w:t>Staff’s</w:t>
      </w:r>
      <w:r w:rsidR="00CF756B">
        <w:rPr>
          <w:rFonts w:ascii="Times New Roman" w:hAnsi="Times New Roman"/>
          <w:szCs w:val="24"/>
        </w:rPr>
        <w:t xml:space="preserve"> and ICNU’s Changes to the WCA A</w:t>
      </w:r>
      <w:r w:rsidRPr="00C5759A">
        <w:rPr>
          <w:rFonts w:ascii="Times New Roman" w:hAnsi="Times New Roman"/>
          <w:szCs w:val="24"/>
        </w:rPr>
        <w:t>re Unsupported and Inappropriate.</w:t>
      </w:r>
      <w:r w:rsidR="00B53D8F">
        <w:rPr>
          <w:rFonts w:ascii="Times New Roman" w:hAnsi="Times New Roman"/>
          <w:szCs w:val="24"/>
        </w:rPr>
        <w:tab/>
      </w:r>
      <w:r w:rsidR="00343AF3">
        <w:rPr>
          <w:rFonts w:ascii="Times New Roman" w:hAnsi="Times New Roman"/>
          <w:szCs w:val="24"/>
        </w:rPr>
        <w:t>23</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C.</w:t>
      </w:r>
      <w:r w:rsidRPr="00C5759A">
        <w:rPr>
          <w:rFonts w:ascii="Times New Roman" w:hAnsi="Times New Roman"/>
          <w:szCs w:val="24"/>
        </w:rPr>
        <w:tab/>
        <w:t>The DC Intertie Agreement Provides Value to Customers and Will be Used in the Test Year.</w:t>
      </w:r>
      <w:r w:rsidR="00B53D8F">
        <w:rPr>
          <w:rFonts w:ascii="Times New Roman" w:hAnsi="Times New Roman"/>
          <w:szCs w:val="24"/>
        </w:rPr>
        <w:tab/>
      </w:r>
      <w:r w:rsidR="00343AF3">
        <w:rPr>
          <w:rFonts w:ascii="Times New Roman" w:hAnsi="Times New Roman"/>
          <w:szCs w:val="24"/>
        </w:rPr>
        <w:t>25</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D.</w:t>
      </w:r>
      <w:r w:rsidRPr="00C5759A">
        <w:rPr>
          <w:rFonts w:ascii="Times New Roman" w:hAnsi="Times New Roman"/>
          <w:szCs w:val="24"/>
        </w:rPr>
        <w:tab/>
        <w:t>The Company</w:t>
      </w:r>
      <w:r w:rsidR="00CF756B">
        <w:rPr>
          <w:rFonts w:ascii="Times New Roman" w:hAnsi="Times New Roman"/>
          <w:szCs w:val="24"/>
        </w:rPr>
        <w:t>’s OATT Wind Integration Costs A</w:t>
      </w:r>
      <w:r w:rsidRPr="00C5759A">
        <w:rPr>
          <w:rFonts w:ascii="Times New Roman" w:hAnsi="Times New Roman"/>
          <w:szCs w:val="24"/>
        </w:rPr>
        <w:t xml:space="preserve">re Reasonable and Required </w:t>
      </w:r>
      <w:proofErr w:type="gramStart"/>
      <w:r w:rsidRPr="00C5759A">
        <w:rPr>
          <w:rFonts w:ascii="Times New Roman" w:hAnsi="Times New Roman"/>
          <w:szCs w:val="24"/>
        </w:rPr>
        <w:t>Under</w:t>
      </w:r>
      <w:proofErr w:type="gramEnd"/>
      <w:r w:rsidRPr="00C5759A">
        <w:rPr>
          <w:rFonts w:ascii="Times New Roman" w:hAnsi="Times New Roman"/>
          <w:szCs w:val="24"/>
        </w:rPr>
        <w:t xml:space="preserve"> the Company’s OATT.</w:t>
      </w:r>
      <w:r w:rsidR="00B53D8F">
        <w:rPr>
          <w:rFonts w:ascii="Times New Roman" w:hAnsi="Times New Roman"/>
          <w:szCs w:val="24"/>
        </w:rPr>
        <w:tab/>
      </w:r>
      <w:r w:rsidR="00343AF3">
        <w:rPr>
          <w:rFonts w:ascii="Times New Roman" w:hAnsi="Times New Roman"/>
          <w:szCs w:val="24"/>
        </w:rPr>
        <w:t>25</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E.</w:t>
      </w:r>
      <w:r w:rsidRPr="00C5759A">
        <w:rPr>
          <w:rFonts w:ascii="Times New Roman" w:hAnsi="Times New Roman"/>
          <w:szCs w:val="24"/>
        </w:rPr>
        <w:tab/>
        <w:t>ICNU’s Planned Outage Schedule is Unreasonable.</w:t>
      </w:r>
      <w:r w:rsidR="00B53D8F">
        <w:rPr>
          <w:rFonts w:ascii="Times New Roman" w:hAnsi="Times New Roman"/>
          <w:szCs w:val="24"/>
        </w:rPr>
        <w:tab/>
      </w:r>
      <w:r w:rsidR="00343AF3">
        <w:rPr>
          <w:rFonts w:ascii="Times New Roman" w:hAnsi="Times New Roman"/>
          <w:szCs w:val="24"/>
        </w:rPr>
        <w:t>27</w:t>
      </w:r>
    </w:p>
    <w:p w:rsidR="00B3732E" w:rsidRPr="00C5759A" w:rsidRDefault="00B3732E" w:rsidP="00B53D8F">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rPr>
        <w:t>F.</w:t>
      </w:r>
      <w:r w:rsidRPr="00C5759A">
        <w:rPr>
          <w:rFonts w:ascii="Times New Roman" w:hAnsi="Times New Roman"/>
        </w:rPr>
        <w:tab/>
      </w:r>
      <w:proofErr w:type="spellStart"/>
      <w:r w:rsidRPr="00C5759A">
        <w:rPr>
          <w:rFonts w:ascii="Times New Roman" w:hAnsi="Times New Roman"/>
        </w:rPr>
        <w:t>Deoptimizing</w:t>
      </w:r>
      <w:proofErr w:type="spellEnd"/>
      <w:r w:rsidRPr="00C5759A">
        <w:rPr>
          <w:rFonts w:ascii="Times New Roman" w:hAnsi="Times New Roman"/>
        </w:rPr>
        <w:t xml:space="preserve"> SMUD Would Be Inconsistent with the Broader Optimization Methodology that Reduces NPC.</w:t>
      </w:r>
      <w:r w:rsidR="00B53D8F">
        <w:rPr>
          <w:rFonts w:ascii="Times New Roman" w:hAnsi="Times New Roman"/>
          <w:szCs w:val="24"/>
        </w:rPr>
        <w:tab/>
      </w:r>
      <w:r w:rsidR="00343AF3">
        <w:rPr>
          <w:rFonts w:ascii="Times New Roman" w:hAnsi="Times New Roman"/>
          <w:szCs w:val="24"/>
        </w:rPr>
        <w:t>27</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G.</w:t>
      </w:r>
      <w:r w:rsidRPr="00C5759A">
        <w:rPr>
          <w:rFonts w:ascii="Times New Roman" w:hAnsi="Times New Roman"/>
          <w:szCs w:val="24"/>
        </w:rPr>
        <w:tab/>
        <w:t xml:space="preserve">ICNU’s Minimum Loading and </w:t>
      </w:r>
      <w:proofErr w:type="spellStart"/>
      <w:r w:rsidRPr="00C5759A">
        <w:rPr>
          <w:rFonts w:ascii="Times New Roman" w:hAnsi="Times New Roman"/>
          <w:szCs w:val="24"/>
        </w:rPr>
        <w:t>Deration</w:t>
      </w:r>
      <w:proofErr w:type="spellEnd"/>
      <w:r w:rsidRPr="00C5759A">
        <w:rPr>
          <w:rFonts w:ascii="Times New Roman" w:hAnsi="Times New Roman"/>
          <w:szCs w:val="24"/>
        </w:rPr>
        <w:t xml:space="preserve"> Methodology is Not the Industry Standard.</w:t>
      </w:r>
      <w:r w:rsidR="00B53D8F">
        <w:rPr>
          <w:rFonts w:ascii="Times New Roman" w:hAnsi="Times New Roman"/>
          <w:szCs w:val="24"/>
        </w:rPr>
        <w:tab/>
      </w:r>
      <w:r w:rsidR="00343AF3">
        <w:rPr>
          <w:rFonts w:ascii="Times New Roman" w:hAnsi="Times New Roman"/>
          <w:szCs w:val="24"/>
        </w:rPr>
        <w:t>28</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H.</w:t>
      </w:r>
      <w:r w:rsidRPr="00C5759A">
        <w:rPr>
          <w:rFonts w:ascii="Times New Roman" w:hAnsi="Times New Roman"/>
          <w:szCs w:val="24"/>
        </w:rPr>
        <w:tab/>
        <w:t xml:space="preserve">Non-Firm Transmission </w:t>
      </w:r>
      <w:proofErr w:type="gramStart"/>
      <w:r w:rsidRPr="00C5759A">
        <w:rPr>
          <w:rFonts w:ascii="Times New Roman" w:hAnsi="Times New Roman"/>
          <w:szCs w:val="24"/>
        </w:rPr>
        <w:t>Should</w:t>
      </w:r>
      <w:proofErr w:type="gramEnd"/>
      <w:r w:rsidRPr="00C5759A">
        <w:rPr>
          <w:rFonts w:ascii="Times New Roman" w:hAnsi="Times New Roman"/>
          <w:szCs w:val="24"/>
        </w:rPr>
        <w:t xml:space="preserve"> be Modeled in the Same Manner as Short-Term Firm Transmission.</w:t>
      </w:r>
      <w:r w:rsidR="00343AF3">
        <w:rPr>
          <w:rFonts w:ascii="Times New Roman" w:hAnsi="Times New Roman"/>
          <w:szCs w:val="24"/>
        </w:rPr>
        <w:tab/>
        <w:t>28</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I.</w:t>
      </w:r>
      <w:r w:rsidRPr="00C5759A">
        <w:rPr>
          <w:rFonts w:ascii="Times New Roman" w:hAnsi="Times New Roman"/>
          <w:szCs w:val="24"/>
        </w:rPr>
        <w:tab/>
        <w:t>ICNU’s New O&amp;M Start</w:t>
      </w:r>
      <w:r w:rsidR="00CF756B">
        <w:rPr>
          <w:rFonts w:ascii="Times New Roman" w:hAnsi="Times New Roman"/>
          <w:szCs w:val="24"/>
        </w:rPr>
        <w:t>-</w:t>
      </w:r>
      <w:r w:rsidRPr="00C5759A">
        <w:rPr>
          <w:rFonts w:ascii="Times New Roman" w:hAnsi="Times New Roman"/>
          <w:szCs w:val="24"/>
        </w:rPr>
        <w:t xml:space="preserve">Up </w:t>
      </w:r>
      <w:r w:rsidR="00B53D8F">
        <w:rPr>
          <w:rFonts w:ascii="Times New Roman" w:hAnsi="Times New Roman"/>
          <w:szCs w:val="24"/>
        </w:rPr>
        <w:t xml:space="preserve">Cost Adjustment is </w:t>
      </w:r>
      <w:r w:rsidR="00FA1AFA">
        <w:rPr>
          <w:rFonts w:ascii="Times New Roman" w:hAnsi="Times New Roman"/>
          <w:szCs w:val="24"/>
        </w:rPr>
        <w:t>Unsupported</w:t>
      </w:r>
      <w:r w:rsidR="00B53D8F">
        <w:rPr>
          <w:rFonts w:ascii="Times New Roman" w:hAnsi="Times New Roman"/>
          <w:szCs w:val="24"/>
        </w:rPr>
        <w:t>.</w:t>
      </w:r>
      <w:r w:rsidR="00B53D8F">
        <w:rPr>
          <w:rFonts w:ascii="Times New Roman" w:hAnsi="Times New Roman"/>
          <w:szCs w:val="24"/>
        </w:rPr>
        <w:tab/>
      </w:r>
      <w:r w:rsidR="00343AF3">
        <w:rPr>
          <w:rFonts w:ascii="Times New Roman" w:hAnsi="Times New Roman"/>
          <w:szCs w:val="24"/>
        </w:rPr>
        <w:t>29</w:t>
      </w:r>
    </w:p>
    <w:p w:rsidR="00B3732E" w:rsidRPr="00C5759A" w:rsidRDefault="00B3732E" w:rsidP="00B53D8F">
      <w:pPr>
        <w:keepLines/>
        <w:tabs>
          <w:tab w:val="left" w:pos="720"/>
          <w:tab w:val="left" w:pos="1440"/>
          <w:tab w:val="right" w:leader="dot" w:pos="9360"/>
        </w:tabs>
        <w:spacing w:after="240"/>
        <w:ind w:left="720" w:hanging="720"/>
        <w:rPr>
          <w:rFonts w:ascii="Times New Roman" w:hAnsi="Times New Roman"/>
          <w:szCs w:val="24"/>
        </w:rPr>
      </w:pPr>
      <w:r w:rsidRPr="00C5759A">
        <w:rPr>
          <w:rFonts w:ascii="Times New Roman" w:hAnsi="Times New Roman"/>
          <w:szCs w:val="24"/>
        </w:rPr>
        <w:t>IV.</w:t>
      </w:r>
      <w:r w:rsidRPr="00C5759A">
        <w:rPr>
          <w:rFonts w:ascii="Times New Roman" w:hAnsi="Times New Roman"/>
          <w:szCs w:val="24"/>
        </w:rPr>
        <w:tab/>
        <w:t>TAX ISSUES</w:t>
      </w:r>
      <w:r w:rsidR="00B53D8F">
        <w:rPr>
          <w:rFonts w:ascii="Times New Roman" w:hAnsi="Times New Roman"/>
          <w:szCs w:val="24"/>
        </w:rPr>
        <w:tab/>
      </w:r>
      <w:r w:rsidR="00343AF3">
        <w:rPr>
          <w:rFonts w:ascii="Times New Roman" w:hAnsi="Times New Roman"/>
          <w:szCs w:val="24"/>
        </w:rPr>
        <w:t>30</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A.</w:t>
      </w:r>
      <w:r w:rsidRPr="00C5759A">
        <w:rPr>
          <w:rFonts w:ascii="Times New Roman" w:hAnsi="Times New Roman"/>
          <w:szCs w:val="24"/>
        </w:rPr>
        <w:tab/>
        <w:t xml:space="preserve">Customers Will Benefit </w:t>
      </w:r>
      <w:r w:rsidR="00CF756B">
        <w:rPr>
          <w:rFonts w:ascii="Times New Roman" w:hAnsi="Times New Roman"/>
          <w:szCs w:val="24"/>
        </w:rPr>
        <w:t>f</w:t>
      </w:r>
      <w:r w:rsidRPr="00C5759A">
        <w:rPr>
          <w:rFonts w:ascii="Times New Roman" w:hAnsi="Times New Roman"/>
          <w:szCs w:val="24"/>
        </w:rPr>
        <w:t>rom Full Normalization.</w:t>
      </w:r>
      <w:r w:rsidR="00B53D8F">
        <w:rPr>
          <w:rFonts w:ascii="Times New Roman" w:hAnsi="Times New Roman"/>
          <w:szCs w:val="24"/>
        </w:rPr>
        <w:tab/>
      </w:r>
      <w:r w:rsidR="00343AF3">
        <w:rPr>
          <w:rFonts w:ascii="Times New Roman" w:hAnsi="Times New Roman"/>
          <w:szCs w:val="24"/>
        </w:rPr>
        <w:t>30</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B.</w:t>
      </w:r>
      <w:r w:rsidRPr="00C5759A">
        <w:rPr>
          <w:rFonts w:ascii="Times New Roman" w:hAnsi="Times New Roman"/>
          <w:szCs w:val="24"/>
        </w:rPr>
        <w:tab/>
        <w:t xml:space="preserve">PacifiCorp Has Properly Reflected the Impact </w:t>
      </w:r>
      <w:r w:rsidR="00B53D8F">
        <w:rPr>
          <w:rFonts w:ascii="Times New Roman" w:hAnsi="Times New Roman"/>
          <w:szCs w:val="24"/>
        </w:rPr>
        <w:t>of the Change to Normalization.</w:t>
      </w:r>
      <w:r w:rsidR="00B53D8F">
        <w:rPr>
          <w:rFonts w:ascii="Times New Roman" w:hAnsi="Times New Roman"/>
          <w:szCs w:val="24"/>
        </w:rPr>
        <w:tab/>
      </w:r>
      <w:r w:rsidR="00343AF3">
        <w:rPr>
          <w:rFonts w:ascii="Times New Roman" w:hAnsi="Times New Roman"/>
          <w:szCs w:val="24"/>
        </w:rPr>
        <w:t>31</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C.</w:t>
      </w:r>
      <w:r w:rsidRPr="00C5759A">
        <w:rPr>
          <w:rFonts w:ascii="Times New Roman" w:hAnsi="Times New Roman"/>
          <w:szCs w:val="24"/>
        </w:rPr>
        <w:tab/>
        <w:t>PacifiCorp Has Addressed the Transitional Regulatory Asset/Liability.</w:t>
      </w:r>
      <w:r w:rsidR="00B53D8F">
        <w:rPr>
          <w:rFonts w:ascii="Times New Roman" w:hAnsi="Times New Roman"/>
          <w:szCs w:val="24"/>
        </w:rPr>
        <w:tab/>
      </w:r>
      <w:r w:rsidR="00343AF3">
        <w:rPr>
          <w:rFonts w:ascii="Times New Roman" w:hAnsi="Times New Roman"/>
          <w:szCs w:val="24"/>
        </w:rPr>
        <w:t>32</w:t>
      </w:r>
    </w:p>
    <w:p w:rsidR="00B3732E" w:rsidRPr="00C5759A" w:rsidRDefault="00B3732E" w:rsidP="00666FE8">
      <w:pPr>
        <w:keepLines/>
        <w:tabs>
          <w:tab w:val="left" w:pos="720"/>
          <w:tab w:val="left" w:pos="1440"/>
          <w:tab w:val="left" w:pos="2160"/>
          <w:tab w:val="right" w:leader="dot" w:pos="9360"/>
        </w:tabs>
        <w:spacing w:after="240"/>
        <w:ind w:left="1440" w:hanging="720"/>
      </w:pPr>
      <w:r w:rsidRPr="00C5759A">
        <w:t>D.</w:t>
      </w:r>
      <w:r w:rsidRPr="00C5759A">
        <w:tab/>
        <w:t>It is Unfair to Annualize the Tax Benefits of the Repairs Deduction.</w:t>
      </w:r>
      <w:r w:rsidR="00B53D8F">
        <w:tab/>
      </w:r>
      <w:r w:rsidR="00343AF3">
        <w:t>33</w:t>
      </w:r>
    </w:p>
    <w:p w:rsidR="00B3732E" w:rsidRPr="00C5759A" w:rsidRDefault="00B3732E" w:rsidP="00C5759A">
      <w:pPr>
        <w:keepLines/>
        <w:tabs>
          <w:tab w:val="left" w:pos="720"/>
          <w:tab w:val="left" w:pos="1440"/>
          <w:tab w:val="left" w:pos="2160"/>
          <w:tab w:val="right" w:leader="dot" w:pos="9360"/>
        </w:tabs>
        <w:spacing w:after="240"/>
        <w:ind w:left="720" w:hanging="720"/>
        <w:rPr>
          <w:rFonts w:ascii="Times New Roman" w:hAnsi="Times New Roman"/>
          <w:szCs w:val="24"/>
        </w:rPr>
      </w:pPr>
      <w:r w:rsidRPr="00C5759A">
        <w:rPr>
          <w:rFonts w:ascii="Times New Roman" w:hAnsi="Times New Roman"/>
          <w:szCs w:val="24"/>
        </w:rPr>
        <w:t>V.</w:t>
      </w:r>
      <w:r w:rsidRPr="00C5759A">
        <w:rPr>
          <w:rFonts w:ascii="Times New Roman" w:hAnsi="Times New Roman"/>
          <w:szCs w:val="24"/>
        </w:rPr>
        <w:tab/>
        <w:t>OTHER REVENUE REQUIREMENT ADJUSTMENTS</w:t>
      </w:r>
      <w:r w:rsidR="00B53D8F">
        <w:rPr>
          <w:rFonts w:ascii="Times New Roman" w:hAnsi="Times New Roman"/>
          <w:szCs w:val="24"/>
        </w:rPr>
        <w:tab/>
      </w:r>
      <w:r w:rsidR="00343AF3">
        <w:rPr>
          <w:rFonts w:ascii="Times New Roman" w:hAnsi="Times New Roman"/>
          <w:szCs w:val="24"/>
        </w:rPr>
        <w:t>33</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A.</w:t>
      </w:r>
      <w:r w:rsidRPr="00C5759A">
        <w:rPr>
          <w:rFonts w:ascii="Times New Roman" w:hAnsi="Times New Roman"/>
          <w:szCs w:val="24"/>
        </w:rPr>
        <w:tab/>
        <w:t>Cash Working Capital</w:t>
      </w:r>
      <w:r w:rsidR="00B53D8F">
        <w:rPr>
          <w:rFonts w:ascii="Times New Roman" w:hAnsi="Times New Roman"/>
          <w:szCs w:val="24"/>
        </w:rPr>
        <w:tab/>
      </w:r>
      <w:r w:rsidR="00343AF3">
        <w:rPr>
          <w:rFonts w:ascii="Times New Roman" w:hAnsi="Times New Roman"/>
          <w:szCs w:val="24"/>
        </w:rPr>
        <w:t>33</w:t>
      </w:r>
    </w:p>
    <w:p w:rsidR="00B3732E" w:rsidRPr="00C5759A" w:rsidRDefault="00B3732E"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1.</w:t>
      </w:r>
      <w:r w:rsidRPr="00C5759A">
        <w:rPr>
          <w:rFonts w:ascii="Times New Roman" w:hAnsi="Times New Roman"/>
          <w:szCs w:val="24"/>
        </w:rPr>
        <w:tab/>
        <w:t>Staff’s ISWC Method is Inconsistent with Commission Precedent.</w:t>
      </w:r>
      <w:r w:rsidR="00B53D8F">
        <w:rPr>
          <w:rFonts w:ascii="Times New Roman" w:hAnsi="Times New Roman"/>
          <w:szCs w:val="24"/>
        </w:rPr>
        <w:tab/>
      </w:r>
      <w:r w:rsidR="00343AF3">
        <w:rPr>
          <w:rFonts w:ascii="Times New Roman" w:hAnsi="Times New Roman"/>
          <w:szCs w:val="24"/>
        </w:rPr>
        <w:t>33</w:t>
      </w:r>
    </w:p>
    <w:p w:rsidR="00B3732E" w:rsidRPr="00C5759A" w:rsidRDefault="00B3732E"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2.</w:t>
      </w:r>
      <w:r w:rsidRPr="00C5759A">
        <w:rPr>
          <w:rFonts w:ascii="Times New Roman" w:hAnsi="Times New Roman"/>
          <w:szCs w:val="24"/>
        </w:rPr>
        <w:tab/>
        <w:t>The Company’s CWC Method is Consistent with the WCA Allocation Methodology.</w:t>
      </w:r>
      <w:r w:rsidR="00B53D8F">
        <w:rPr>
          <w:rFonts w:ascii="Times New Roman" w:hAnsi="Times New Roman"/>
          <w:szCs w:val="24"/>
        </w:rPr>
        <w:tab/>
      </w:r>
      <w:r w:rsidR="00343AF3">
        <w:rPr>
          <w:rFonts w:ascii="Times New Roman" w:hAnsi="Times New Roman"/>
          <w:szCs w:val="24"/>
        </w:rPr>
        <w:t>34</w:t>
      </w:r>
    </w:p>
    <w:p w:rsidR="00B3732E" w:rsidRPr="00C5759A" w:rsidRDefault="00B3732E"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3.</w:t>
      </w:r>
      <w:r w:rsidRPr="00C5759A">
        <w:rPr>
          <w:rFonts w:ascii="Times New Roman" w:hAnsi="Times New Roman"/>
          <w:szCs w:val="24"/>
        </w:rPr>
        <w:tab/>
        <w:t xml:space="preserve">Fuel Stock and Materials and Supplies Should Be Included in Rate </w:t>
      </w:r>
      <w:r w:rsidR="00745CC5">
        <w:rPr>
          <w:rFonts w:ascii="Times New Roman" w:hAnsi="Times New Roman"/>
          <w:szCs w:val="24"/>
        </w:rPr>
        <w:br w:type="textWrapping" w:clear="all"/>
      </w:r>
      <w:r w:rsidRPr="00C5759A">
        <w:rPr>
          <w:rFonts w:ascii="Times New Roman" w:hAnsi="Times New Roman"/>
          <w:szCs w:val="24"/>
        </w:rPr>
        <w:t>Base.</w:t>
      </w:r>
      <w:r w:rsidR="00B53D8F">
        <w:rPr>
          <w:rFonts w:ascii="Times New Roman" w:hAnsi="Times New Roman"/>
          <w:szCs w:val="24"/>
        </w:rPr>
        <w:tab/>
      </w:r>
      <w:r w:rsidR="00343AF3">
        <w:rPr>
          <w:rFonts w:ascii="Times New Roman" w:hAnsi="Times New Roman"/>
          <w:szCs w:val="24"/>
        </w:rPr>
        <w:t>35</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B.</w:t>
      </w:r>
      <w:r w:rsidRPr="00C5759A">
        <w:rPr>
          <w:rFonts w:ascii="Times New Roman" w:hAnsi="Times New Roman"/>
          <w:szCs w:val="24"/>
        </w:rPr>
        <w:tab/>
        <w:t>Wage and Salary Adjustments</w:t>
      </w:r>
      <w:r w:rsidR="00B53D8F">
        <w:rPr>
          <w:rFonts w:ascii="Times New Roman" w:hAnsi="Times New Roman"/>
          <w:szCs w:val="24"/>
        </w:rPr>
        <w:tab/>
      </w:r>
      <w:r w:rsidR="00343AF3">
        <w:rPr>
          <w:rFonts w:ascii="Times New Roman" w:hAnsi="Times New Roman"/>
          <w:szCs w:val="24"/>
        </w:rPr>
        <w:t>35</w:t>
      </w:r>
    </w:p>
    <w:p w:rsidR="00B3732E" w:rsidRPr="00C5759A" w:rsidRDefault="00B3732E"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1.</w:t>
      </w:r>
      <w:r w:rsidRPr="00C5759A">
        <w:rPr>
          <w:rFonts w:ascii="Times New Roman" w:hAnsi="Times New Roman"/>
          <w:szCs w:val="24"/>
        </w:rPr>
        <w:tab/>
        <w:t xml:space="preserve">PacifiCorp has </w:t>
      </w:r>
      <w:proofErr w:type="gramStart"/>
      <w:r w:rsidRPr="00C5759A">
        <w:rPr>
          <w:rFonts w:ascii="Times New Roman" w:hAnsi="Times New Roman"/>
          <w:szCs w:val="24"/>
        </w:rPr>
        <w:t>Demonstrated</w:t>
      </w:r>
      <w:proofErr w:type="gramEnd"/>
      <w:r w:rsidRPr="00C5759A">
        <w:rPr>
          <w:rFonts w:ascii="Times New Roman" w:hAnsi="Times New Roman"/>
          <w:szCs w:val="24"/>
        </w:rPr>
        <w:t xml:space="preserve"> the Reasonableness of its Incentive Compensation.</w:t>
      </w:r>
      <w:r w:rsidR="00B53D8F">
        <w:rPr>
          <w:rFonts w:ascii="Times New Roman" w:hAnsi="Times New Roman"/>
          <w:szCs w:val="24"/>
        </w:rPr>
        <w:tab/>
      </w:r>
      <w:r w:rsidR="00343AF3">
        <w:rPr>
          <w:rFonts w:ascii="Times New Roman" w:hAnsi="Times New Roman"/>
          <w:szCs w:val="24"/>
        </w:rPr>
        <w:t>35</w:t>
      </w:r>
    </w:p>
    <w:p w:rsidR="00B3732E" w:rsidRPr="00C5759A" w:rsidRDefault="00B3732E"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2.</w:t>
      </w:r>
      <w:r w:rsidRPr="00C5759A">
        <w:rPr>
          <w:rFonts w:ascii="Times New Roman" w:hAnsi="Times New Roman"/>
          <w:szCs w:val="24"/>
        </w:rPr>
        <w:tab/>
        <w:t>Public Counsel</w:t>
      </w:r>
      <w:r w:rsidR="00980C9F">
        <w:rPr>
          <w:rFonts w:ascii="Times New Roman" w:hAnsi="Times New Roman"/>
          <w:szCs w:val="24"/>
        </w:rPr>
        <w:t>/ICNU</w:t>
      </w:r>
      <w:r w:rsidRPr="00C5759A">
        <w:rPr>
          <w:rFonts w:ascii="Times New Roman" w:hAnsi="Times New Roman"/>
          <w:szCs w:val="24"/>
        </w:rPr>
        <w:t>’s Objections to the 2009 Wage Adjustment Are Not Relevant to the Entire Officer/Exempt Group and Are Unfounded.</w:t>
      </w:r>
      <w:r w:rsidR="00B53D8F">
        <w:rPr>
          <w:rFonts w:ascii="Times New Roman" w:hAnsi="Times New Roman"/>
          <w:szCs w:val="24"/>
        </w:rPr>
        <w:tab/>
      </w:r>
      <w:r w:rsidR="00343AF3">
        <w:rPr>
          <w:rFonts w:ascii="Times New Roman" w:hAnsi="Times New Roman"/>
          <w:szCs w:val="24"/>
        </w:rPr>
        <w:t>36</w:t>
      </w:r>
    </w:p>
    <w:p w:rsidR="00B3732E" w:rsidRPr="00C5759A" w:rsidRDefault="00B3732E" w:rsidP="00B53D8F">
      <w:pPr>
        <w:keepLines/>
        <w:tabs>
          <w:tab w:val="left" w:pos="720"/>
          <w:tab w:val="left" w:pos="1440"/>
          <w:tab w:val="left" w:pos="2160"/>
          <w:tab w:val="right" w:leader="dot" w:pos="9360"/>
        </w:tabs>
        <w:spacing w:after="240"/>
        <w:ind w:left="2160" w:hanging="720"/>
        <w:rPr>
          <w:rFonts w:ascii="Times New Roman" w:hAnsi="Times New Roman"/>
          <w:szCs w:val="24"/>
        </w:rPr>
      </w:pPr>
      <w:r w:rsidRPr="00C5759A">
        <w:rPr>
          <w:rFonts w:ascii="Times New Roman" w:hAnsi="Times New Roman"/>
          <w:szCs w:val="24"/>
        </w:rPr>
        <w:t>3.</w:t>
      </w:r>
      <w:r w:rsidRPr="00C5759A">
        <w:rPr>
          <w:rFonts w:ascii="Times New Roman" w:hAnsi="Times New Roman"/>
          <w:szCs w:val="24"/>
        </w:rPr>
        <w:tab/>
        <w:t>Public Counsel</w:t>
      </w:r>
      <w:r w:rsidR="00980C9F">
        <w:rPr>
          <w:rFonts w:ascii="Times New Roman" w:hAnsi="Times New Roman"/>
          <w:szCs w:val="24"/>
        </w:rPr>
        <w:t>/ICNU</w:t>
      </w:r>
      <w:r w:rsidRPr="00C5759A">
        <w:rPr>
          <w:rFonts w:ascii="Times New Roman" w:hAnsi="Times New Roman"/>
          <w:szCs w:val="24"/>
        </w:rPr>
        <w:t xml:space="preserve">’s Claims Regarding Workforce Levels Do Not Justify </w:t>
      </w:r>
      <w:r w:rsidR="006D6994">
        <w:rPr>
          <w:rFonts w:ascii="Times New Roman" w:hAnsi="Times New Roman"/>
          <w:szCs w:val="24"/>
        </w:rPr>
        <w:t>Their</w:t>
      </w:r>
      <w:r w:rsidRPr="00C5759A">
        <w:rPr>
          <w:rFonts w:ascii="Times New Roman" w:hAnsi="Times New Roman"/>
          <w:szCs w:val="24"/>
        </w:rPr>
        <w:t xml:space="preserve"> 2010 Wage Adjustment</w:t>
      </w:r>
      <w:r w:rsidR="00B53D8F">
        <w:rPr>
          <w:rFonts w:ascii="Times New Roman" w:hAnsi="Times New Roman"/>
          <w:szCs w:val="24"/>
        </w:rPr>
        <w:t>.</w:t>
      </w:r>
      <w:r w:rsidR="00B53D8F">
        <w:rPr>
          <w:rFonts w:ascii="Times New Roman" w:hAnsi="Times New Roman"/>
          <w:szCs w:val="24"/>
        </w:rPr>
        <w:tab/>
      </w:r>
      <w:r w:rsidR="00343AF3">
        <w:rPr>
          <w:rFonts w:ascii="Times New Roman" w:hAnsi="Times New Roman"/>
          <w:szCs w:val="24"/>
        </w:rPr>
        <w:t>37</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C.</w:t>
      </w:r>
      <w:r w:rsidRPr="00C5759A">
        <w:rPr>
          <w:rFonts w:ascii="Times New Roman" w:hAnsi="Times New Roman"/>
          <w:szCs w:val="24"/>
        </w:rPr>
        <w:tab/>
        <w:t>PacifiCorp Has Presented a Reasonable Level of MEHC Management Fee that is Consistent with its MEHC Acquisition Commitment.</w:t>
      </w:r>
      <w:r w:rsidR="00B53D8F">
        <w:rPr>
          <w:rFonts w:ascii="Times New Roman" w:hAnsi="Times New Roman"/>
          <w:szCs w:val="24"/>
        </w:rPr>
        <w:tab/>
      </w:r>
      <w:r w:rsidR="00343AF3">
        <w:rPr>
          <w:rFonts w:ascii="Times New Roman" w:hAnsi="Times New Roman"/>
          <w:szCs w:val="24"/>
        </w:rPr>
        <w:t>38</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D.</w:t>
      </w:r>
      <w:r w:rsidRPr="00C5759A">
        <w:rPr>
          <w:rFonts w:ascii="Times New Roman" w:hAnsi="Times New Roman"/>
          <w:szCs w:val="24"/>
        </w:rPr>
        <w:tab/>
        <w:t>Public Counsel</w:t>
      </w:r>
      <w:r w:rsidR="00980C9F">
        <w:rPr>
          <w:rFonts w:ascii="Times New Roman" w:hAnsi="Times New Roman"/>
          <w:szCs w:val="24"/>
        </w:rPr>
        <w:t>/ICNU Present</w:t>
      </w:r>
      <w:r w:rsidRPr="00C5759A">
        <w:rPr>
          <w:rFonts w:ascii="Times New Roman" w:hAnsi="Times New Roman"/>
          <w:szCs w:val="24"/>
        </w:rPr>
        <w:t xml:space="preserve"> No Basis for Ad Hoc Changes to the Assignment of Expenses under the WCA Methodology.</w:t>
      </w:r>
      <w:r w:rsidR="00B53D8F">
        <w:rPr>
          <w:rFonts w:ascii="Times New Roman" w:hAnsi="Times New Roman"/>
          <w:szCs w:val="24"/>
        </w:rPr>
        <w:tab/>
      </w:r>
      <w:r w:rsidR="00343AF3">
        <w:rPr>
          <w:rFonts w:ascii="Times New Roman" w:hAnsi="Times New Roman"/>
          <w:szCs w:val="24"/>
        </w:rPr>
        <w:t>38</w:t>
      </w:r>
    </w:p>
    <w:p w:rsidR="00B3732E" w:rsidRPr="00C5759A" w:rsidRDefault="00B3732E" w:rsidP="00C5759A">
      <w:pPr>
        <w:keepLines/>
        <w:tabs>
          <w:tab w:val="left" w:pos="720"/>
          <w:tab w:val="left" w:pos="1440"/>
          <w:tab w:val="left" w:pos="2160"/>
          <w:tab w:val="right" w:leader="dot" w:pos="9360"/>
        </w:tabs>
        <w:spacing w:after="240"/>
        <w:ind w:left="720" w:hanging="720"/>
        <w:rPr>
          <w:rFonts w:ascii="Times New Roman" w:hAnsi="Times New Roman"/>
          <w:szCs w:val="24"/>
        </w:rPr>
      </w:pPr>
      <w:r w:rsidRPr="00C5759A">
        <w:rPr>
          <w:rFonts w:ascii="Times New Roman" w:hAnsi="Times New Roman"/>
          <w:szCs w:val="24"/>
        </w:rPr>
        <w:t>VI.</w:t>
      </w:r>
      <w:r w:rsidRPr="00C5759A">
        <w:rPr>
          <w:rFonts w:ascii="Times New Roman" w:hAnsi="Times New Roman"/>
          <w:szCs w:val="24"/>
        </w:rPr>
        <w:tab/>
        <w:t>RATE SPREAD AND RATE DESIGN</w:t>
      </w:r>
      <w:r w:rsidR="00B53D8F">
        <w:rPr>
          <w:rFonts w:ascii="Times New Roman" w:hAnsi="Times New Roman"/>
          <w:szCs w:val="24"/>
        </w:rPr>
        <w:tab/>
      </w:r>
      <w:r w:rsidR="00343AF3">
        <w:rPr>
          <w:rFonts w:ascii="Times New Roman" w:hAnsi="Times New Roman"/>
          <w:szCs w:val="24"/>
        </w:rPr>
        <w:t>39</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A.</w:t>
      </w:r>
      <w:r w:rsidRPr="00C5759A">
        <w:rPr>
          <w:rFonts w:ascii="Times New Roman" w:hAnsi="Times New Roman"/>
          <w:szCs w:val="24"/>
        </w:rPr>
        <w:tab/>
        <w:t xml:space="preserve">ICNU’s and Public Counsel’s Arguments </w:t>
      </w:r>
      <w:proofErr w:type="gramStart"/>
      <w:r w:rsidRPr="00C5759A">
        <w:rPr>
          <w:rFonts w:ascii="Times New Roman" w:hAnsi="Times New Roman"/>
          <w:szCs w:val="24"/>
        </w:rPr>
        <w:t>Against</w:t>
      </w:r>
      <w:proofErr w:type="gramEnd"/>
      <w:r w:rsidRPr="00C5759A">
        <w:rPr>
          <w:rFonts w:ascii="Times New Roman" w:hAnsi="Times New Roman"/>
          <w:szCs w:val="24"/>
        </w:rPr>
        <w:t xml:space="preserve"> Staff’s and the Company’s Rate Spread are Groundless.</w:t>
      </w:r>
      <w:r w:rsidR="00B53D8F">
        <w:rPr>
          <w:rFonts w:ascii="Times New Roman" w:hAnsi="Times New Roman"/>
          <w:szCs w:val="24"/>
        </w:rPr>
        <w:tab/>
      </w:r>
      <w:r w:rsidR="00343AF3">
        <w:rPr>
          <w:rFonts w:ascii="Times New Roman" w:hAnsi="Times New Roman"/>
          <w:szCs w:val="24"/>
        </w:rPr>
        <w:t>39</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B.</w:t>
      </w:r>
      <w:r w:rsidRPr="00C5759A">
        <w:rPr>
          <w:rFonts w:ascii="Times New Roman" w:hAnsi="Times New Roman"/>
          <w:szCs w:val="24"/>
        </w:rPr>
        <w:tab/>
        <w:t>Public Counsel Claims No Reasonable Basis for Rejecting the Company’s Proposed Customer Charge.</w:t>
      </w:r>
      <w:r w:rsidR="00B53D8F">
        <w:rPr>
          <w:rFonts w:ascii="Times New Roman" w:hAnsi="Times New Roman"/>
          <w:szCs w:val="24"/>
        </w:rPr>
        <w:tab/>
      </w:r>
      <w:r w:rsidR="00343AF3">
        <w:rPr>
          <w:rFonts w:ascii="Times New Roman" w:hAnsi="Times New Roman"/>
          <w:szCs w:val="24"/>
        </w:rPr>
        <w:t>40</w:t>
      </w:r>
    </w:p>
    <w:p w:rsidR="00B3732E" w:rsidRPr="00C5759A" w:rsidRDefault="00B3732E" w:rsidP="00C5759A">
      <w:pPr>
        <w:keepLines/>
        <w:tabs>
          <w:tab w:val="left" w:pos="720"/>
          <w:tab w:val="left" w:pos="1440"/>
          <w:tab w:val="left" w:pos="2160"/>
          <w:tab w:val="right" w:leader="dot" w:pos="9360"/>
        </w:tabs>
        <w:spacing w:after="240"/>
        <w:ind w:left="720" w:hanging="720"/>
        <w:rPr>
          <w:rFonts w:ascii="Times New Roman" w:hAnsi="Times New Roman"/>
          <w:szCs w:val="24"/>
        </w:rPr>
      </w:pPr>
      <w:r w:rsidRPr="00C5759A">
        <w:rPr>
          <w:rFonts w:ascii="Times New Roman" w:hAnsi="Times New Roman"/>
          <w:szCs w:val="24"/>
        </w:rPr>
        <w:t>VII.</w:t>
      </w:r>
      <w:r w:rsidRPr="00C5759A">
        <w:rPr>
          <w:rFonts w:ascii="Times New Roman" w:hAnsi="Times New Roman"/>
          <w:szCs w:val="24"/>
        </w:rPr>
        <w:tab/>
        <w:t>LOW INCOME FUNDING</w:t>
      </w:r>
      <w:r w:rsidR="00343AF3">
        <w:rPr>
          <w:rFonts w:ascii="Times New Roman" w:hAnsi="Times New Roman"/>
          <w:szCs w:val="24"/>
        </w:rPr>
        <w:tab/>
        <w:t>41</w:t>
      </w:r>
    </w:p>
    <w:p w:rsidR="00B3732E" w:rsidRPr="00C5759A"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r w:rsidRPr="00C5759A">
        <w:rPr>
          <w:rFonts w:ascii="Times New Roman" w:hAnsi="Times New Roman"/>
          <w:szCs w:val="24"/>
        </w:rPr>
        <w:t>A.</w:t>
      </w:r>
      <w:r w:rsidRPr="00C5759A">
        <w:rPr>
          <w:rFonts w:ascii="Times New Roman" w:hAnsi="Times New Roman"/>
          <w:szCs w:val="24"/>
        </w:rPr>
        <w:tab/>
        <w:t>PacifiCorp Continues to Support Increasing the Level of Participation in the LIBA Program.</w:t>
      </w:r>
      <w:r w:rsidRPr="00C5759A">
        <w:rPr>
          <w:rFonts w:ascii="Times New Roman" w:hAnsi="Times New Roman"/>
          <w:szCs w:val="24"/>
        </w:rPr>
        <w:tab/>
      </w:r>
      <w:r w:rsidR="00343AF3">
        <w:rPr>
          <w:rFonts w:ascii="Times New Roman" w:hAnsi="Times New Roman"/>
          <w:szCs w:val="24"/>
        </w:rPr>
        <w:t>41</w:t>
      </w:r>
    </w:p>
    <w:p w:rsidR="00B3732E" w:rsidRDefault="00B3732E" w:rsidP="00666FE8">
      <w:pPr>
        <w:keepLines/>
        <w:tabs>
          <w:tab w:val="left" w:pos="720"/>
          <w:tab w:val="left" w:pos="1440"/>
          <w:tab w:val="left" w:pos="2160"/>
          <w:tab w:val="right" w:leader="dot" w:pos="9360"/>
        </w:tabs>
        <w:spacing w:after="240"/>
        <w:ind w:left="1440" w:hanging="720"/>
        <w:rPr>
          <w:rFonts w:ascii="Times New Roman" w:hAnsi="Times New Roman"/>
          <w:szCs w:val="24"/>
        </w:rPr>
      </w:pPr>
      <w:proofErr w:type="gramStart"/>
      <w:r w:rsidRPr="00C5759A">
        <w:rPr>
          <w:rFonts w:ascii="Times New Roman" w:hAnsi="Times New Roman"/>
          <w:szCs w:val="24"/>
        </w:rPr>
        <w:t>B.</w:t>
      </w:r>
      <w:r w:rsidRPr="00C5759A">
        <w:rPr>
          <w:rFonts w:ascii="Times New Roman" w:hAnsi="Times New Roman"/>
          <w:szCs w:val="24"/>
        </w:rPr>
        <w:tab/>
        <w:t>PacifiCorp Does Not Support The Energy Project</w:t>
      </w:r>
      <w:proofErr w:type="gramEnd"/>
      <w:r w:rsidRPr="00C5759A">
        <w:rPr>
          <w:rFonts w:ascii="Times New Roman" w:hAnsi="Times New Roman"/>
          <w:szCs w:val="24"/>
        </w:rPr>
        <w:t>’s Increased Certification Fee, and the Company’s Biennial Certification is Reasonable.</w:t>
      </w:r>
      <w:r w:rsidR="00B53D8F">
        <w:rPr>
          <w:rFonts w:ascii="Times New Roman" w:hAnsi="Times New Roman"/>
          <w:szCs w:val="24"/>
        </w:rPr>
        <w:tab/>
      </w:r>
      <w:r w:rsidR="00343AF3">
        <w:rPr>
          <w:rFonts w:ascii="Times New Roman" w:hAnsi="Times New Roman"/>
          <w:szCs w:val="24"/>
        </w:rPr>
        <w:t>42</w:t>
      </w:r>
    </w:p>
    <w:p w:rsidR="00083253" w:rsidRPr="00C5759A" w:rsidRDefault="00980C9F" w:rsidP="00666FE8">
      <w:pPr>
        <w:keepLines/>
        <w:tabs>
          <w:tab w:val="left" w:pos="720"/>
          <w:tab w:val="left" w:pos="1440"/>
          <w:tab w:val="left" w:pos="2160"/>
          <w:tab w:val="right" w:leader="dot" w:pos="9360"/>
        </w:tabs>
        <w:spacing w:after="240"/>
        <w:ind w:left="1440" w:hanging="720"/>
        <w:rPr>
          <w:rFonts w:ascii="Times New Roman" w:hAnsi="Times New Roman"/>
          <w:szCs w:val="24"/>
        </w:rPr>
      </w:pPr>
      <w:r>
        <w:rPr>
          <w:rFonts w:ascii="Times New Roman" w:hAnsi="Times New Roman"/>
          <w:szCs w:val="24"/>
        </w:rPr>
        <w:t>C.</w:t>
      </w:r>
      <w:r>
        <w:rPr>
          <w:rFonts w:ascii="Times New Roman" w:hAnsi="Times New Roman"/>
          <w:szCs w:val="24"/>
        </w:rPr>
        <w:tab/>
        <w:t>There is N</w:t>
      </w:r>
      <w:r w:rsidR="00083253" w:rsidRPr="00083253">
        <w:rPr>
          <w:rFonts w:ascii="Times New Roman" w:hAnsi="Times New Roman"/>
          <w:szCs w:val="24"/>
        </w:rPr>
        <w:t>o Reasonable Policy Basis for The Energy Project’s Proposed Increase to Low Income Weatherization.</w:t>
      </w:r>
      <w:r w:rsidR="00A7641B">
        <w:rPr>
          <w:rFonts w:ascii="Times New Roman" w:hAnsi="Times New Roman"/>
          <w:szCs w:val="24"/>
        </w:rPr>
        <w:tab/>
      </w:r>
      <w:r w:rsidR="00343AF3">
        <w:rPr>
          <w:rFonts w:ascii="Times New Roman" w:hAnsi="Times New Roman"/>
          <w:szCs w:val="24"/>
        </w:rPr>
        <w:t>43</w:t>
      </w:r>
    </w:p>
    <w:p w:rsidR="00B3732E" w:rsidRPr="00C5759A" w:rsidRDefault="00B3732E" w:rsidP="00C5759A">
      <w:pPr>
        <w:keepLines/>
        <w:tabs>
          <w:tab w:val="left" w:pos="720"/>
          <w:tab w:val="left" w:pos="1440"/>
          <w:tab w:val="left" w:pos="2160"/>
          <w:tab w:val="right" w:leader="dot" w:pos="9360"/>
        </w:tabs>
        <w:spacing w:after="240"/>
        <w:ind w:left="720" w:hanging="720"/>
        <w:rPr>
          <w:rFonts w:ascii="Times New Roman" w:hAnsi="Times New Roman"/>
          <w:szCs w:val="24"/>
        </w:rPr>
      </w:pPr>
      <w:r w:rsidRPr="00C5759A">
        <w:rPr>
          <w:rFonts w:ascii="Times New Roman" w:hAnsi="Times New Roman"/>
          <w:szCs w:val="24"/>
        </w:rPr>
        <w:t>VIII.</w:t>
      </w:r>
      <w:r w:rsidRPr="00C5759A">
        <w:rPr>
          <w:rFonts w:ascii="Times New Roman" w:hAnsi="Times New Roman"/>
          <w:szCs w:val="24"/>
        </w:rPr>
        <w:tab/>
        <w:t>CONCLUSION</w:t>
      </w:r>
      <w:r w:rsidR="00B53D8F">
        <w:rPr>
          <w:rFonts w:ascii="Times New Roman" w:hAnsi="Times New Roman"/>
          <w:szCs w:val="24"/>
        </w:rPr>
        <w:tab/>
      </w:r>
      <w:r w:rsidR="00343AF3">
        <w:rPr>
          <w:rFonts w:ascii="Times New Roman" w:hAnsi="Times New Roman"/>
          <w:szCs w:val="24"/>
        </w:rPr>
        <w:t>43</w:t>
      </w:r>
    </w:p>
    <w:p w:rsidR="00973298" w:rsidRPr="009D1941" w:rsidRDefault="00973298" w:rsidP="00D706C2">
      <w:pPr>
        <w:tabs>
          <w:tab w:val="left" w:pos="720"/>
          <w:tab w:val="left" w:pos="1440"/>
          <w:tab w:val="right" w:leader="dot" w:pos="9360"/>
        </w:tabs>
        <w:spacing w:after="240"/>
        <w:ind w:left="720" w:hanging="720"/>
        <w:rPr>
          <w:rFonts w:ascii="Times New Roman" w:hAnsi="Times New Roman"/>
          <w:szCs w:val="24"/>
        </w:rPr>
      </w:pPr>
    </w:p>
    <w:p w:rsidR="00613674" w:rsidRPr="009D1941" w:rsidRDefault="00613674" w:rsidP="00D706C2">
      <w:pPr>
        <w:jc w:val="center"/>
        <w:rPr>
          <w:rFonts w:ascii="Times New Roman" w:hAnsi="Times New Roman"/>
          <w:b/>
          <w:szCs w:val="24"/>
        </w:rPr>
      </w:pPr>
      <w:r w:rsidRPr="009D1941">
        <w:rPr>
          <w:rFonts w:ascii="Times New Roman" w:hAnsi="Times New Roman"/>
          <w:b/>
          <w:szCs w:val="24"/>
        </w:rPr>
        <w:br w:type="page"/>
      </w:r>
    </w:p>
    <w:p w:rsidR="000D0590" w:rsidRPr="000D0590" w:rsidRDefault="000D0590" w:rsidP="000D0590">
      <w:pPr>
        <w:pStyle w:val="TOAHeading"/>
        <w:tabs>
          <w:tab w:val="right" w:leader="underscore" w:pos="9350"/>
        </w:tabs>
        <w:jc w:val="center"/>
        <w:rPr>
          <w:rFonts w:ascii="Times New Roman" w:hAnsi="Times New Roman"/>
          <w:i w:val="0"/>
        </w:rPr>
      </w:pPr>
      <w:r w:rsidRPr="000D0590">
        <w:rPr>
          <w:rFonts w:ascii="Times New Roman" w:hAnsi="Times New Roman"/>
          <w:i w:val="0"/>
        </w:rPr>
        <w:t>TABLE OF AUTHORITIES</w:t>
      </w:r>
    </w:p>
    <w:p w:rsidR="0043076D" w:rsidRDefault="0043076D">
      <w:pPr>
        <w:pStyle w:val="TOAHeading"/>
        <w:tabs>
          <w:tab w:val="right" w:leader="dot" w:pos="9350"/>
        </w:tabs>
        <w:rPr>
          <w:rFonts w:eastAsiaTheme="minorEastAsia" w:cstheme="minorBidi"/>
          <w:b w:val="0"/>
          <w:bCs w:val="0"/>
          <w:noProof/>
          <w:sz w:val="22"/>
          <w:szCs w:val="22"/>
        </w:rPr>
      </w:pPr>
      <w:r>
        <w:rPr>
          <w:rFonts w:ascii="Times New Roman" w:hAnsi="Times New Roman"/>
          <w:b w:val="0"/>
        </w:rPr>
        <w:fldChar w:fldCharType="begin"/>
      </w:r>
      <w:r>
        <w:rPr>
          <w:rFonts w:ascii="Times New Roman" w:hAnsi="Times New Roman"/>
          <w:b w:val="0"/>
        </w:rPr>
        <w:instrText xml:space="preserve"> TOA \h \c "1" \p </w:instrText>
      </w:r>
      <w:r>
        <w:rPr>
          <w:rFonts w:ascii="Times New Roman" w:hAnsi="Times New Roman"/>
          <w:b w:val="0"/>
        </w:rPr>
        <w:fldChar w:fldCharType="separate"/>
      </w:r>
      <w:r>
        <w:rPr>
          <w:noProof/>
        </w:rPr>
        <w:t>Cases</w:t>
      </w:r>
    </w:p>
    <w:p w:rsidR="0043076D" w:rsidRDefault="0043076D">
      <w:pPr>
        <w:pStyle w:val="TableofAuthorities"/>
        <w:tabs>
          <w:tab w:val="right" w:leader="dot" w:pos="9350"/>
        </w:tabs>
        <w:rPr>
          <w:noProof/>
        </w:rPr>
      </w:pPr>
      <w:r w:rsidRPr="00A53B07">
        <w:rPr>
          <w:i/>
          <w:noProof/>
        </w:rPr>
        <w:t>Chesapeake &amp; Potomac Tel. Co. v. Pub. Serv. Comm’n of D.C.</w:t>
      </w:r>
      <w:r w:rsidRPr="00A53B07">
        <w:rPr>
          <w:noProof/>
        </w:rPr>
        <w:t>, 514 A.2d 1159 (DC 1989)</w:t>
      </w:r>
      <w:r>
        <w:rPr>
          <w:noProof/>
        </w:rPr>
        <w:tab/>
        <w:t>18</w:t>
      </w:r>
    </w:p>
    <w:p w:rsidR="0043076D" w:rsidRDefault="0043076D">
      <w:pPr>
        <w:pStyle w:val="TableofAuthorities"/>
        <w:tabs>
          <w:tab w:val="right" w:leader="dot" w:pos="9350"/>
        </w:tabs>
        <w:rPr>
          <w:noProof/>
        </w:rPr>
      </w:pPr>
      <w:r w:rsidRPr="00A53B07">
        <w:rPr>
          <w:i/>
          <w:noProof/>
        </w:rPr>
        <w:t>Citizens of the State of Fla. v. Fla. Pub. Serv. Comm’n</w:t>
      </w:r>
      <w:r w:rsidRPr="00A53B07">
        <w:rPr>
          <w:noProof/>
        </w:rPr>
        <w:t>, 415 So.2d 1268 (Fla. 1982)</w:t>
      </w:r>
      <w:r>
        <w:rPr>
          <w:noProof/>
        </w:rPr>
        <w:tab/>
        <w:t>18</w:t>
      </w:r>
    </w:p>
    <w:p w:rsidR="0043076D" w:rsidRDefault="0043076D">
      <w:pPr>
        <w:pStyle w:val="TableofAuthorities"/>
        <w:tabs>
          <w:tab w:val="right" w:leader="dot" w:pos="9350"/>
        </w:tabs>
        <w:rPr>
          <w:noProof/>
        </w:rPr>
      </w:pPr>
      <w:r w:rsidRPr="00A53B07">
        <w:rPr>
          <w:i/>
          <w:noProof/>
        </w:rPr>
        <w:t>Pike Ct. Power Co. v. Penn. Pub. Utils. Comm’n</w:t>
      </w:r>
      <w:r w:rsidRPr="00A53B07">
        <w:rPr>
          <w:noProof/>
        </w:rPr>
        <w:t>, 487 A.2d 118 (Penn. 1985)</w:t>
      </w:r>
      <w:r>
        <w:rPr>
          <w:noProof/>
        </w:rPr>
        <w:tab/>
        <w:t>18</w:t>
      </w:r>
    </w:p>
    <w:p w:rsidR="0043076D" w:rsidRDefault="0043076D">
      <w:pPr>
        <w:pStyle w:val="TableofAuthorities"/>
        <w:tabs>
          <w:tab w:val="right" w:leader="dot" w:pos="9350"/>
        </w:tabs>
        <w:rPr>
          <w:noProof/>
        </w:rPr>
      </w:pPr>
      <w:r w:rsidRPr="00A53B07">
        <w:rPr>
          <w:i/>
          <w:noProof/>
        </w:rPr>
        <w:t>Richter v. Fla. Power Corp</w:t>
      </w:r>
      <w:r w:rsidRPr="00A53B07">
        <w:rPr>
          <w:noProof/>
        </w:rPr>
        <w:t>., 366 So.2d 798 (Fla. App. 1979)</w:t>
      </w:r>
      <w:r>
        <w:rPr>
          <w:noProof/>
        </w:rPr>
        <w:tab/>
        <w:t>18</w:t>
      </w:r>
    </w:p>
    <w:p w:rsidR="0043076D" w:rsidRDefault="0043076D">
      <w:pPr>
        <w:pStyle w:val="TableofAuthorities"/>
        <w:tabs>
          <w:tab w:val="right" w:leader="dot" w:pos="9350"/>
        </w:tabs>
        <w:rPr>
          <w:noProof/>
        </w:rPr>
      </w:pPr>
      <w:r w:rsidRPr="00A53B07">
        <w:rPr>
          <w:i/>
          <w:noProof/>
        </w:rPr>
        <w:t>S. Union Gas Co. v. RR Comm’n</w:t>
      </w:r>
      <w:r w:rsidRPr="00A53B07">
        <w:rPr>
          <w:noProof/>
        </w:rPr>
        <w:t>, 701 S.W.2d 277 (Tex. Ct. App. 1985)</w:t>
      </w:r>
      <w:r>
        <w:rPr>
          <w:noProof/>
        </w:rPr>
        <w:tab/>
        <w:t>17</w:t>
      </w:r>
    </w:p>
    <w:p w:rsidR="0043076D" w:rsidRDefault="0043076D">
      <w:pPr>
        <w:pStyle w:val="TableofAuthorities"/>
        <w:tabs>
          <w:tab w:val="right" w:leader="dot" w:pos="9350"/>
        </w:tabs>
        <w:rPr>
          <w:noProof/>
        </w:rPr>
      </w:pPr>
      <w:r w:rsidRPr="00A53B07">
        <w:rPr>
          <w:i/>
          <w:noProof/>
        </w:rPr>
        <w:t>Turpen v. Okla. Corp. Comm’n</w:t>
      </w:r>
      <w:r w:rsidRPr="00A53B07">
        <w:rPr>
          <w:noProof/>
        </w:rPr>
        <w:t>, 769 P.2d 1309 (Okla. 1988)</w:t>
      </w:r>
      <w:r>
        <w:rPr>
          <w:noProof/>
        </w:rPr>
        <w:tab/>
        <w:t>18</w:t>
      </w:r>
    </w:p>
    <w:p w:rsidR="0043076D" w:rsidRDefault="0043076D">
      <w:pPr>
        <w:pStyle w:val="TableofAuthorities"/>
        <w:tabs>
          <w:tab w:val="right" w:leader="dot" w:pos="9350"/>
        </w:tabs>
        <w:rPr>
          <w:noProof/>
        </w:rPr>
      </w:pPr>
      <w:r w:rsidRPr="00A53B07">
        <w:rPr>
          <w:i/>
          <w:noProof/>
        </w:rPr>
        <w:t>Wash. Gas Light Co. v. Pub. Serv. Comm’n</w:t>
      </w:r>
      <w:r w:rsidRPr="00A53B07">
        <w:rPr>
          <w:noProof/>
        </w:rPr>
        <w:t>, 450 A.2d 1187 (DC 1982)</w:t>
      </w:r>
      <w:r>
        <w:rPr>
          <w:noProof/>
        </w:rPr>
        <w:tab/>
        <w:t>18</w:t>
      </w:r>
    </w:p>
    <w:p w:rsidR="0043076D" w:rsidRDefault="0043076D">
      <w:pPr>
        <w:pStyle w:val="TOAHeading"/>
        <w:tabs>
          <w:tab w:val="right" w:leader="dot" w:pos="9350"/>
        </w:tabs>
        <w:rPr>
          <w:rFonts w:eastAsiaTheme="minorEastAsia" w:cstheme="minorBidi"/>
          <w:b w:val="0"/>
          <w:bCs w:val="0"/>
          <w:noProof/>
          <w:sz w:val="22"/>
          <w:szCs w:val="22"/>
        </w:rPr>
      </w:pPr>
      <w:r>
        <w:rPr>
          <w:rFonts w:ascii="Times New Roman" w:hAnsi="Times New Roman"/>
          <w:b w:val="0"/>
        </w:rPr>
        <w:fldChar w:fldCharType="end"/>
      </w:r>
      <w:r>
        <w:rPr>
          <w:rFonts w:ascii="Times New Roman" w:hAnsi="Times New Roman"/>
          <w:b w:val="0"/>
        </w:rPr>
        <w:fldChar w:fldCharType="begin"/>
      </w:r>
      <w:r>
        <w:rPr>
          <w:rFonts w:ascii="Times New Roman" w:hAnsi="Times New Roman"/>
          <w:b w:val="0"/>
        </w:rPr>
        <w:instrText xml:space="preserve"> TOA \h \c "4" \p </w:instrText>
      </w:r>
      <w:r>
        <w:rPr>
          <w:rFonts w:ascii="Times New Roman" w:hAnsi="Times New Roman"/>
          <w:b w:val="0"/>
        </w:rPr>
        <w:fldChar w:fldCharType="separate"/>
      </w:r>
      <w:r>
        <w:rPr>
          <w:noProof/>
        </w:rPr>
        <w:t>Rules</w:t>
      </w:r>
    </w:p>
    <w:p w:rsidR="0043076D" w:rsidRDefault="0043076D">
      <w:pPr>
        <w:pStyle w:val="TableofAuthorities"/>
        <w:tabs>
          <w:tab w:val="right" w:leader="dot" w:pos="9350"/>
        </w:tabs>
        <w:rPr>
          <w:noProof/>
        </w:rPr>
      </w:pPr>
      <w:r w:rsidRPr="00487221">
        <w:rPr>
          <w:noProof/>
        </w:rPr>
        <w:t>WAC 480-07-495</w:t>
      </w:r>
      <w:r>
        <w:rPr>
          <w:noProof/>
        </w:rPr>
        <w:tab/>
        <w:t>10, 29</w:t>
      </w:r>
    </w:p>
    <w:p w:rsidR="0043076D" w:rsidRDefault="0043076D">
      <w:pPr>
        <w:pStyle w:val="TableofAuthorities"/>
        <w:tabs>
          <w:tab w:val="right" w:leader="dot" w:pos="9350"/>
        </w:tabs>
        <w:rPr>
          <w:noProof/>
        </w:rPr>
      </w:pPr>
      <w:r w:rsidRPr="00487221">
        <w:rPr>
          <w:noProof/>
        </w:rPr>
        <w:t>WAC 480-07-510(3)(e)</w:t>
      </w:r>
      <w:r>
        <w:rPr>
          <w:noProof/>
        </w:rPr>
        <w:tab/>
        <w:t>16</w:t>
      </w:r>
    </w:p>
    <w:p w:rsidR="0043076D" w:rsidRDefault="0043076D">
      <w:pPr>
        <w:pStyle w:val="TOAHeading"/>
        <w:tabs>
          <w:tab w:val="right" w:leader="dot" w:pos="9350"/>
        </w:tabs>
        <w:rPr>
          <w:rFonts w:eastAsiaTheme="minorEastAsia" w:cstheme="minorBidi"/>
          <w:b w:val="0"/>
          <w:bCs w:val="0"/>
          <w:noProof/>
          <w:sz w:val="22"/>
          <w:szCs w:val="22"/>
        </w:rPr>
      </w:pPr>
      <w:r>
        <w:rPr>
          <w:rFonts w:ascii="Times New Roman" w:hAnsi="Times New Roman"/>
          <w:b w:val="0"/>
        </w:rPr>
        <w:fldChar w:fldCharType="end"/>
      </w:r>
      <w:r>
        <w:rPr>
          <w:rFonts w:ascii="Times New Roman" w:hAnsi="Times New Roman"/>
          <w:b w:val="0"/>
        </w:rPr>
        <w:fldChar w:fldCharType="begin"/>
      </w:r>
      <w:r>
        <w:rPr>
          <w:rFonts w:ascii="Times New Roman" w:hAnsi="Times New Roman"/>
          <w:b w:val="0"/>
        </w:rPr>
        <w:instrText xml:space="preserve"> TOA \h \c "8" \p </w:instrText>
      </w:r>
      <w:r>
        <w:rPr>
          <w:rFonts w:ascii="Times New Roman" w:hAnsi="Times New Roman"/>
          <w:b w:val="0"/>
        </w:rPr>
        <w:fldChar w:fldCharType="separate"/>
      </w:r>
      <w:r>
        <w:rPr>
          <w:noProof/>
        </w:rPr>
        <w:t>Washington Utilities and Transportation Commission Orders</w:t>
      </w:r>
    </w:p>
    <w:p w:rsidR="0043076D" w:rsidRDefault="0043076D">
      <w:pPr>
        <w:pStyle w:val="TableofAuthorities"/>
        <w:tabs>
          <w:tab w:val="right" w:leader="dot" w:pos="9350"/>
        </w:tabs>
        <w:rPr>
          <w:noProof/>
        </w:rPr>
      </w:pPr>
      <w:r w:rsidRPr="00F662A0">
        <w:rPr>
          <w:i/>
          <w:noProof/>
        </w:rPr>
        <w:t>PacifiCorp</w:t>
      </w:r>
      <w:r w:rsidRPr="00F662A0">
        <w:rPr>
          <w:noProof/>
        </w:rPr>
        <w:t>,</w:t>
      </w:r>
      <w:r w:rsidRPr="00F662A0">
        <w:rPr>
          <w:i/>
          <w:noProof/>
        </w:rPr>
        <w:t xml:space="preserve"> </w:t>
      </w:r>
      <w:r w:rsidRPr="00F662A0">
        <w:rPr>
          <w:noProof/>
        </w:rPr>
        <w:t>Docket No. UE-100712, Commission Basis Report (Apr. 30, 2010)</w:t>
      </w:r>
      <w:r>
        <w:rPr>
          <w:noProof/>
        </w:rPr>
        <w:tab/>
        <w:t>18</w:t>
      </w:r>
    </w:p>
    <w:p w:rsidR="0043076D" w:rsidRDefault="0043076D">
      <w:pPr>
        <w:pStyle w:val="TableofAuthorities"/>
        <w:tabs>
          <w:tab w:val="right" w:leader="dot" w:pos="9350"/>
        </w:tabs>
        <w:rPr>
          <w:noProof/>
        </w:rPr>
      </w:pPr>
      <w:r w:rsidRPr="00F662A0">
        <w:rPr>
          <w:i/>
          <w:noProof/>
        </w:rPr>
        <w:t>Petition of Avista Corp. for an Order Authorizing Implementation of a Natural Gas Decoupling Mechanism and to Record Accounting Entries Associated With the Mechanism</w:t>
      </w:r>
      <w:r>
        <w:rPr>
          <w:noProof/>
        </w:rPr>
        <w:t>, Docket UG-060518, Order 4 (Feb. 1, 2007)</w:t>
      </w:r>
      <w:r>
        <w:rPr>
          <w:noProof/>
        </w:rPr>
        <w:tab/>
        <w:t>20</w:t>
      </w:r>
    </w:p>
    <w:p w:rsidR="0043076D" w:rsidRDefault="0043076D">
      <w:pPr>
        <w:pStyle w:val="TableofAuthorities"/>
        <w:tabs>
          <w:tab w:val="right" w:leader="dot" w:pos="9350"/>
        </w:tabs>
        <w:rPr>
          <w:noProof/>
        </w:rPr>
      </w:pPr>
      <w:r w:rsidRPr="00F662A0">
        <w:rPr>
          <w:i/>
          <w:noProof/>
        </w:rPr>
        <w:t>Petition of PacifiCorp for an Accounting Order Authorizing Deferral of Excess Net Power Costs</w:t>
      </w:r>
      <w:r w:rsidRPr="00F662A0">
        <w:rPr>
          <w:noProof/>
        </w:rPr>
        <w:t>, Docket No. UE-020417, 3</w:t>
      </w:r>
      <w:r w:rsidRPr="00F662A0">
        <w:rPr>
          <w:noProof/>
          <w:vertAlign w:val="superscript"/>
        </w:rPr>
        <w:t>rd</w:t>
      </w:r>
      <w:r w:rsidRPr="00F662A0">
        <w:rPr>
          <w:noProof/>
        </w:rPr>
        <w:t xml:space="preserve"> Supp. Order (Sept. 27, 2002)</w:t>
      </w:r>
      <w:r>
        <w:rPr>
          <w:noProof/>
        </w:rPr>
        <w:tab/>
        <w:t>18</w:t>
      </w:r>
    </w:p>
    <w:p w:rsidR="0043076D" w:rsidRDefault="0043076D">
      <w:pPr>
        <w:pStyle w:val="TableofAuthorities"/>
        <w:tabs>
          <w:tab w:val="right" w:leader="dot" w:pos="9350"/>
        </w:tabs>
        <w:rPr>
          <w:noProof/>
        </w:rPr>
      </w:pPr>
      <w:r w:rsidRPr="00F662A0">
        <w:rPr>
          <w:i/>
          <w:noProof/>
        </w:rPr>
        <w:t>Petition of PacifiCorp Seeking an Accounting Order</w:t>
      </w:r>
      <w:r w:rsidRPr="00F662A0">
        <w:rPr>
          <w:noProof/>
        </w:rPr>
        <w:t>, Docket UE-940947, Order (Sept. 14, 1994)</w:t>
      </w:r>
      <w:r>
        <w:rPr>
          <w:noProof/>
        </w:rPr>
        <w:tab/>
        <w:t>17</w:t>
      </w:r>
    </w:p>
    <w:p w:rsidR="0043076D" w:rsidRDefault="0043076D">
      <w:pPr>
        <w:pStyle w:val="TableofAuthorities"/>
        <w:tabs>
          <w:tab w:val="right" w:leader="dot" w:pos="9350"/>
        </w:tabs>
        <w:rPr>
          <w:noProof/>
        </w:rPr>
      </w:pPr>
      <w:r w:rsidRPr="00F662A0">
        <w:rPr>
          <w:i/>
          <w:iCs/>
          <w:noProof/>
        </w:rPr>
        <w:t>Puget Sound Energy, Inc.</w:t>
      </w:r>
      <w:r w:rsidRPr="00F662A0">
        <w:rPr>
          <w:noProof/>
        </w:rPr>
        <w:t>, Docket UE-090004, Securities Issuance Filing (Jan. 26, 2009)</w:t>
      </w:r>
      <w:r>
        <w:rPr>
          <w:noProof/>
        </w:rPr>
        <w:tab/>
        <w:t>10</w:t>
      </w:r>
    </w:p>
    <w:p w:rsidR="0043076D" w:rsidRDefault="0043076D">
      <w:pPr>
        <w:pStyle w:val="TableofAuthorities"/>
        <w:tabs>
          <w:tab w:val="right" w:leader="dot" w:pos="9350"/>
        </w:tabs>
        <w:rPr>
          <w:noProof/>
        </w:rPr>
      </w:pPr>
      <w:r w:rsidRPr="00F662A0">
        <w:rPr>
          <w:i/>
          <w:noProof/>
        </w:rPr>
        <w:t>Wash. Utils. &amp; Transp. Comm’n v. Avista Corp</w:t>
      </w:r>
      <w:r w:rsidRPr="00F662A0">
        <w:rPr>
          <w:noProof/>
        </w:rPr>
        <w:t>, Docket No. UE-991606, 3</w:t>
      </w:r>
      <w:r w:rsidRPr="00F662A0">
        <w:rPr>
          <w:noProof/>
          <w:vertAlign w:val="superscript"/>
        </w:rPr>
        <w:t>rd</w:t>
      </w:r>
      <w:r w:rsidRPr="00F662A0">
        <w:rPr>
          <w:noProof/>
        </w:rPr>
        <w:t xml:space="preserve"> Supp. Order (Sept. 29, 2009)</w:t>
      </w:r>
      <w:r>
        <w:rPr>
          <w:noProof/>
        </w:rPr>
        <w:tab/>
        <w:t>17</w:t>
      </w:r>
    </w:p>
    <w:p w:rsidR="0043076D" w:rsidRDefault="0043076D">
      <w:pPr>
        <w:pStyle w:val="TableofAuthorities"/>
        <w:tabs>
          <w:tab w:val="right" w:leader="dot" w:pos="9350"/>
        </w:tabs>
        <w:rPr>
          <w:noProof/>
        </w:rPr>
      </w:pPr>
      <w:r w:rsidRPr="00F662A0">
        <w:rPr>
          <w:i/>
          <w:noProof/>
        </w:rPr>
        <w:t>Wash. Utils. &amp; Transp. Comm’n v. Avista Corp.</w:t>
      </w:r>
      <w:r w:rsidRPr="00F662A0">
        <w:rPr>
          <w:noProof/>
        </w:rPr>
        <w:t>, Docket UE-080416, Order 08 (Dec. 29, 2008)</w:t>
      </w:r>
      <w:r>
        <w:rPr>
          <w:noProof/>
        </w:rPr>
        <w:tab/>
        <w:t>15</w:t>
      </w:r>
    </w:p>
    <w:p w:rsidR="0043076D" w:rsidRDefault="0043076D">
      <w:pPr>
        <w:pStyle w:val="TableofAuthorities"/>
        <w:tabs>
          <w:tab w:val="right" w:leader="dot" w:pos="9350"/>
        </w:tabs>
        <w:rPr>
          <w:noProof/>
        </w:rPr>
      </w:pPr>
      <w:r w:rsidRPr="00F662A0">
        <w:rPr>
          <w:i/>
          <w:noProof/>
        </w:rPr>
        <w:t>Wash. Utils. &amp; Transp. Comm’n v. Olympic Pipe Line Co.</w:t>
      </w:r>
      <w:r w:rsidRPr="00F662A0">
        <w:rPr>
          <w:noProof/>
        </w:rPr>
        <w:t>, Docket TO-011472, 20</w:t>
      </w:r>
      <w:r w:rsidRPr="00F662A0">
        <w:rPr>
          <w:noProof/>
          <w:vertAlign w:val="superscript"/>
        </w:rPr>
        <w:t>th</w:t>
      </w:r>
      <w:r w:rsidRPr="00F662A0">
        <w:rPr>
          <w:noProof/>
        </w:rPr>
        <w:t xml:space="preserve"> Supp. Order (Sept. 27, 2002)</w:t>
      </w:r>
      <w:r>
        <w:rPr>
          <w:noProof/>
        </w:rPr>
        <w:tab/>
        <w:t>16</w:t>
      </w:r>
    </w:p>
    <w:p w:rsidR="0043076D" w:rsidRDefault="0043076D">
      <w:pPr>
        <w:pStyle w:val="TableofAuthorities"/>
        <w:tabs>
          <w:tab w:val="right" w:leader="dot" w:pos="9350"/>
        </w:tabs>
        <w:rPr>
          <w:noProof/>
        </w:rPr>
      </w:pPr>
      <w:r w:rsidRPr="00F662A0">
        <w:rPr>
          <w:i/>
          <w:noProof/>
        </w:rPr>
        <w:t>Wash. Utils. &amp; Transp. Comm’n v. PacifiCorp</w:t>
      </w:r>
      <w:r w:rsidRPr="00F662A0">
        <w:rPr>
          <w:noProof/>
        </w:rPr>
        <w:t>, Docket UE-090205 Order 09  (Dec. 16, 2009)</w:t>
      </w:r>
      <w:r>
        <w:rPr>
          <w:noProof/>
        </w:rPr>
        <w:tab/>
        <w:t>13, 16, 41</w:t>
      </w:r>
    </w:p>
    <w:p w:rsidR="0043076D" w:rsidRDefault="0043076D">
      <w:pPr>
        <w:pStyle w:val="TableofAuthorities"/>
        <w:tabs>
          <w:tab w:val="right" w:leader="dot" w:pos="9350"/>
        </w:tabs>
        <w:rPr>
          <w:noProof/>
        </w:rPr>
      </w:pPr>
      <w:r w:rsidRPr="00F662A0">
        <w:rPr>
          <w:i/>
          <w:noProof/>
        </w:rPr>
        <w:t>Wash. Utils. &amp; Transp. Comm’n v. Puget Sound Energy, Inc.</w:t>
      </w:r>
      <w:r w:rsidRPr="00F662A0">
        <w:rPr>
          <w:noProof/>
        </w:rPr>
        <w:t>, Docket UE-090704, Order 10 (Jan. 8, 2010)</w:t>
      </w:r>
      <w:r>
        <w:rPr>
          <w:noProof/>
        </w:rPr>
        <w:tab/>
        <w:t>20</w:t>
      </w:r>
    </w:p>
    <w:p w:rsidR="0043076D" w:rsidRDefault="0043076D">
      <w:pPr>
        <w:pStyle w:val="TableofAuthorities"/>
        <w:tabs>
          <w:tab w:val="right" w:leader="dot" w:pos="9350"/>
        </w:tabs>
        <w:rPr>
          <w:noProof/>
        </w:rPr>
      </w:pPr>
      <w:r w:rsidRPr="00F662A0">
        <w:rPr>
          <w:i/>
          <w:iCs/>
          <w:noProof/>
        </w:rPr>
        <w:t>Wash. Utils. &amp; Transp. Comm'n</w:t>
      </w:r>
      <w:r w:rsidRPr="00F662A0">
        <w:rPr>
          <w:i/>
          <w:noProof/>
        </w:rPr>
        <w:t xml:space="preserve"> v. Avista Corp.</w:t>
      </w:r>
      <w:r w:rsidRPr="00F662A0">
        <w:rPr>
          <w:noProof/>
        </w:rPr>
        <w:t>, Docket UE-100467, Order 07 (Nov. 19, 2010)</w:t>
      </w:r>
      <w:r>
        <w:rPr>
          <w:noProof/>
        </w:rPr>
        <w:tab/>
        <w:t>3, 11</w:t>
      </w:r>
    </w:p>
    <w:p w:rsidR="0043076D" w:rsidRDefault="0043076D">
      <w:pPr>
        <w:pStyle w:val="TableofAuthorities"/>
        <w:tabs>
          <w:tab w:val="right" w:leader="dot" w:pos="9350"/>
        </w:tabs>
        <w:rPr>
          <w:noProof/>
        </w:rPr>
      </w:pPr>
      <w:r w:rsidRPr="00F662A0">
        <w:rPr>
          <w:i/>
          <w:iCs/>
          <w:noProof/>
        </w:rPr>
        <w:t>Wash. Utils. &amp; Transp. Comm'n</w:t>
      </w:r>
      <w:r w:rsidRPr="00F662A0">
        <w:rPr>
          <w:i/>
          <w:noProof/>
        </w:rPr>
        <w:t xml:space="preserve"> v. PacifiCorp</w:t>
      </w:r>
      <w:r w:rsidRPr="00F662A0">
        <w:rPr>
          <w:noProof/>
        </w:rPr>
        <w:t>, Docket No. UE-080220, Order 5 (Oct. 8, 2008)</w:t>
      </w:r>
      <w:r>
        <w:rPr>
          <w:noProof/>
        </w:rPr>
        <w:tab/>
        <w:t>39</w:t>
      </w:r>
    </w:p>
    <w:p w:rsidR="0043076D" w:rsidRDefault="0043076D">
      <w:pPr>
        <w:pStyle w:val="TableofAuthorities"/>
        <w:tabs>
          <w:tab w:val="right" w:leader="dot" w:pos="9350"/>
        </w:tabs>
        <w:rPr>
          <w:noProof/>
        </w:rPr>
      </w:pPr>
      <w:r w:rsidRPr="00F662A0">
        <w:rPr>
          <w:i/>
          <w:iCs/>
          <w:noProof/>
        </w:rPr>
        <w:t>Wash. Utils. &amp; Transp. Comm'n</w:t>
      </w:r>
      <w:r w:rsidRPr="00F662A0">
        <w:rPr>
          <w:i/>
          <w:noProof/>
        </w:rPr>
        <w:t xml:space="preserve"> v. PacifiCorp</w:t>
      </w:r>
      <w:r w:rsidRPr="00F662A0">
        <w:rPr>
          <w:noProof/>
        </w:rPr>
        <w:t>, Docket UE-050684, Order 04 (Apr. 17, 2006)</w:t>
      </w:r>
      <w:r>
        <w:rPr>
          <w:noProof/>
        </w:rPr>
        <w:tab/>
        <w:t>12</w:t>
      </w:r>
    </w:p>
    <w:p w:rsidR="0043076D" w:rsidRDefault="0043076D">
      <w:pPr>
        <w:pStyle w:val="TableofAuthorities"/>
        <w:tabs>
          <w:tab w:val="right" w:leader="dot" w:pos="9350"/>
        </w:tabs>
        <w:rPr>
          <w:noProof/>
        </w:rPr>
      </w:pPr>
      <w:r w:rsidRPr="00F662A0">
        <w:rPr>
          <w:i/>
          <w:iCs/>
          <w:noProof/>
        </w:rPr>
        <w:t>Wash. Utils. &amp; Transp. Comm'n</w:t>
      </w:r>
      <w:r w:rsidRPr="00F662A0">
        <w:rPr>
          <w:i/>
          <w:noProof/>
        </w:rPr>
        <w:t xml:space="preserve"> v. PacifiCorp</w:t>
      </w:r>
      <w:r w:rsidRPr="00F662A0">
        <w:rPr>
          <w:noProof/>
        </w:rPr>
        <w:t>, Docket UE-061546, Order 08 (June 21, 2007)</w:t>
      </w:r>
      <w:r>
        <w:rPr>
          <w:noProof/>
        </w:rPr>
        <w:tab/>
        <w:t>24, 34</w:t>
      </w:r>
    </w:p>
    <w:p w:rsidR="0043076D" w:rsidRDefault="0043076D">
      <w:pPr>
        <w:pStyle w:val="TableofAuthorities"/>
        <w:tabs>
          <w:tab w:val="right" w:leader="dot" w:pos="9350"/>
        </w:tabs>
        <w:rPr>
          <w:noProof/>
        </w:rPr>
      </w:pPr>
      <w:r w:rsidRPr="00F662A0">
        <w:rPr>
          <w:i/>
          <w:iCs/>
          <w:noProof/>
        </w:rPr>
        <w:t>Wash. Utils. &amp; Transp. Comm'n</w:t>
      </w:r>
      <w:r w:rsidRPr="00F662A0">
        <w:rPr>
          <w:i/>
          <w:noProof/>
        </w:rPr>
        <w:t xml:space="preserve"> v. Puget Sound Energy</w:t>
      </w:r>
      <w:r w:rsidRPr="00F662A0">
        <w:rPr>
          <w:noProof/>
        </w:rPr>
        <w:t>,</w:t>
      </w:r>
      <w:r w:rsidRPr="00F662A0">
        <w:rPr>
          <w:i/>
          <w:noProof/>
        </w:rPr>
        <w:t xml:space="preserve"> Inc</w:t>
      </w:r>
      <w:r w:rsidRPr="00F662A0">
        <w:rPr>
          <w:noProof/>
        </w:rPr>
        <w:t>.,</w:t>
      </w:r>
      <w:r w:rsidRPr="00F662A0">
        <w:rPr>
          <w:i/>
          <w:noProof/>
        </w:rPr>
        <w:t xml:space="preserve"> </w:t>
      </w:r>
      <w:r w:rsidRPr="00F662A0">
        <w:rPr>
          <w:noProof/>
        </w:rPr>
        <w:t>Docket UE-060266, Order 08 (Jan. 5, 2007)</w:t>
      </w:r>
      <w:r>
        <w:rPr>
          <w:noProof/>
        </w:rPr>
        <w:tab/>
        <w:t>9</w:t>
      </w:r>
    </w:p>
    <w:p w:rsidR="0043076D" w:rsidRDefault="0043076D">
      <w:pPr>
        <w:pStyle w:val="TableofAuthorities"/>
        <w:tabs>
          <w:tab w:val="right" w:leader="dot" w:pos="9350"/>
        </w:tabs>
        <w:rPr>
          <w:noProof/>
        </w:rPr>
      </w:pPr>
      <w:r w:rsidRPr="00F662A0">
        <w:rPr>
          <w:i/>
          <w:iCs/>
          <w:noProof/>
        </w:rPr>
        <w:t>Wash. Utils. &amp; Transp. Comm'n</w:t>
      </w:r>
      <w:r w:rsidRPr="00F662A0">
        <w:rPr>
          <w:i/>
          <w:noProof/>
        </w:rPr>
        <w:t xml:space="preserve"> v. Puget Sound Energy</w:t>
      </w:r>
      <w:r w:rsidRPr="00F662A0">
        <w:rPr>
          <w:noProof/>
        </w:rPr>
        <w:t>,</w:t>
      </w:r>
      <w:r w:rsidRPr="00F662A0">
        <w:rPr>
          <w:i/>
          <w:noProof/>
        </w:rPr>
        <w:t xml:space="preserve"> Inc</w:t>
      </w:r>
      <w:r w:rsidRPr="00F662A0">
        <w:rPr>
          <w:noProof/>
        </w:rPr>
        <w:t>.,</w:t>
      </w:r>
      <w:r w:rsidRPr="00F662A0">
        <w:rPr>
          <w:i/>
          <w:noProof/>
        </w:rPr>
        <w:t xml:space="preserve"> </w:t>
      </w:r>
      <w:r w:rsidRPr="00F662A0">
        <w:rPr>
          <w:noProof/>
        </w:rPr>
        <w:t>Docket UE-090704, Order 11 (Apr. 2, 2010)</w:t>
      </w:r>
      <w:r>
        <w:rPr>
          <w:noProof/>
        </w:rPr>
        <w:tab/>
        <w:t>3, 4, 8, 9</w:t>
      </w:r>
    </w:p>
    <w:p w:rsidR="0043076D" w:rsidRDefault="0043076D">
      <w:pPr>
        <w:pStyle w:val="TOAHeading"/>
        <w:tabs>
          <w:tab w:val="right" w:leader="dot" w:pos="9350"/>
        </w:tabs>
        <w:rPr>
          <w:rFonts w:eastAsiaTheme="minorEastAsia" w:cstheme="minorBidi"/>
          <w:b w:val="0"/>
          <w:bCs w:val="0"/>
          <w:noProof/>
          <w:sz w:val="22"/>
          <w:szCs w:val="22"/>
        </w:rPr>
      </w:pPr>
      <w:r>
        <w:rPr>
          <w:rFonts w:ascii="Times New Roman" w:hAnsi="Times New Roman"/>
          <w:b w:val="0"/>
        </w:rPr>
        <w:fldChar w:fldCharType="end"/>
      </w:r>
      <w:r>
        <w:rPr>
          <w:rFonts w:ascii="Times New Roman" w:hAnsi="Times New Roman"/>
          <w:b w:val="0"/>
        </w:rPr>
        <w:fldChar w:fldCharType="begin"/>
      </w:r>
      <w:r>
        <w:rPr>
          <w:rFonts w:ascii="Times New Roman" w:hAnsi="Times New Roman"/>
          <w:b w:val="0"/>
        </w:rPr>
        <w:instrText xml:space="preserve"> TOA \h \c "9" \p </w:instrText>
      </w:r>
      <w:r>
        <w:rPr>
          <w:rFonts w:ascii="Times New Roman" w:hAnsi="Times New Roman"/>
          <w:b w:val="0"/>
        </w:rPr>
        <w:fldChar w:fldCharType="separate"/>
      </w:r>
      <w:r>
        <w:rPr>
          <w:noProof/>
        </w:rPr>
        <w:t>Other Orders</w:t>
      </w:r>
    </w:p>
    <w:p w:rsidR="0043076D" w:rsidRDefault="0043076D">
      <w:pPr>
        <w:pStyle w:val="TableofAuthorities"/>
        <w:tabs>
          <w:tab w:val="right" w:leader="dot" w:pos="9350"/>
        </w:tabs>
        <w:rPr>
          <w:noProof/>
        </w:rPr>
      </w:pPr>
      <w:r w:rsidRPr="00E24A72">
        <w:rPr>
          <w:i/>
          <w:noProof/>
        </w:rPr>
        <w:t>PacifiCorp</w:t>
      </w:r>
      <w:r w:rsidRPr="00E24A72">
        <w:rPr>
          <w:noProof/>
        </w:rPr>
        <w:t>, Application 09-11-015, Decision 10-09-010 (C.P.U.C. Sept. 3, 2010)</w:t>
      </w:r>
      <w:r>
        <w:rPr>
          <w:noProof/>
        </w:rPr>
        <w:tab/>
        <w:t>3</w:t>
      </w:r>
    </w:p>
    <w:p w:rsidR="0043076D" w:rsidRDefault="0043076D">
      <w:pPr>
        <w:pStyle w:val="TableofAuthorities"/>
        <w:tabs>
          <w:tab w:val="right" w:leader="dot" w:pos="9350"/>
        </w:tabs>
        <w:rPr>
          <w:noProof/>
        </w:rPr>
      </w:pPr>
      <w:r w:rsidRPr="00E24A72">
        <w:rPr>
          <w:i/>
          <w:noProof/>
        </w:rPr>
        <w:t>PacifiCorp</w:t>
      </w:r>
      <w:r w:rsidRPr="00E24A72">
        <w:rPr>
          <w:noProof/>
        </w:rPr>
        <w:t>, Docket UE 210, Order No. 10-022 (O.P.U.C. Jan. 26, 2010)</w:t>
      </w:r>
      <w:r>
        <w:rPr>
          <w:noProof/>
        </w:rPr>
        <w:tab/>
        <w:t>3</w:t>
      </w:r>
    </w:p>
    <w:p w:rsidR="0043076D" w:rsidRDefault="0043076D">
      <w:pPr>
        <w:pStyle w:val="TableofAuthorities"/>
        <w:tabs>
          <w:tab w:val="right" w:leader="dot" w:pos="9350"/>
        </w:tabs>
        <w:rPr>
          <w:noProof/>
        </w:rPr>
      </w:pPr>
      <w:r w:rsidRPr="00E24A72">
        <w:rPr>
          <w:i/>
          <w:noProof/>
        </w:rPr>
        <w:t>Rocky Mountain Power</w:t>
      </w:r>
      <w:r w:rsidRPr="00E24A72">
        <w:rPr>
          <w:noProof/>
        </w:rPr>
        <w:t>, Case No. PAC-E-10-07, Interlocutory Order No. 32151 (I.P.U.C. Dec. 27, 2010)</w:t>
      </w:r>
      <w:r>
        <w:rPr>
          <w:noProof/>
        </w:rPr>
        <w:tab/>
        <w:t>3</w:t>
      </w:r>
    </w:p>
    <w:p w:rsidR="0043076D" w:rsidRDefault="0043076D">
      <w:pPr>
        <w:pStyle w:val="TableofAuthorities"/>
        <w:tabs>
          <w:tab w:val="right" w:leader="dot" w:pos="9350"/>
        </w:tabs>
        <w:rPr>
          <w:noProof/>
        </w:rPr>
      </w:pPr>
      <w:r w:rsidRPr="00E24A72">
        <w:rPr>
          <w:i/>
          <w:noProof/>
        </w:rPr>
        <w:t>Rocky Mountain Power</w:t>
      </w:r>
      <w:r w:rsidRPr="00E24A72">
        <w:rPr>
          <w:noProof/>
        </w:rPr>
        <w:t>, Docket No. 09-035-023, Report and Order (U.P.S.C. Feb. 18, 2010)</w:t>
      </w:r>
      <w:r>
        <w:rPr>
          <w:noProof/>
        </w:rPr>
        <w:tab/>
        <w:t>3</w:t>
      </w:r>
    </w:p>
    <w:p w:rsidR="00973298" w:rsidRPr="009D1941" w:rsidRDefault="0043076D" w:rsidP="00D706C2">
      <w:pPr>
        <w:pStyle w:val="ListParagraph"/>
        <w:spacing w:after="240"/>
        <w:ind w:left="0"/>
        <w:jc w:val="center"/>
        <w:rPr>
          <w:rFonts w:ascii="Times New Roman" w:hAnsi="Times New Roman"/>
          <w:b/>
          <w:szCs w:val="24"/>
        </w:rPr>
      </w:pPr>
      <w:r>
        <w:rPr>
          <w:rFonts w:ascii="Times New Roman" w:hAnsi="Times New Roman"/>
          <w:b/>
          <w:szCs w:val="24"/>
        </w:rPr>
        <w:fldChar w:fldCharType="end"/>
      </w:r>
    </w:p>
    <w:p w:rsidR="00211FD1" w:rsidRPr="00E77E0F" w:rsidRDefault="00211FD1" w:rsidP="00D706C2">
      <w:pPr>
        <w:spacing w:after="240"/>
        <w:rPr>
          <w:rFonts w:ascii="Times New Roman" w:hAnsi="Times New Roman"/>
          <w:b/>
          <w:szCs w:val="24"/>
        </w:rPr>
        <w:sectPr w:rsidR="00211FD1" w:rsidRPr="00E77E0F" w:rsidSect="00235F14">
          <w:footerReference w:type="default" r:id="rId11"/>
          <w:pgSz w:w="12240" w:h="15840"/>
          <w:pgMar w:top="1440" w:right="1440" w:bottom="1440" w:left="1440" w:header="720" w:footer="720" w:gutter="0"/>
          <w:pgNumType w:fmt="lowerRoman" w:start="1"/>
          <w:cols w:space="720"/>
          <w:docGrid w:linePitch="360"/>
        </w:sectPr>
      </w:pPr>
    </w:p>
    <w:p w:rsidR="00961BA7" w:rsidRDefault="002E098B" w:rsidP="00D706C2">
      <w:pPr>
        <w:pStyle w:val="ListParagraph"/>
        <w:numPr>
          <w:ilvl w:val="0"/>
          <w:numId w:val="12"/>
        </w:numPr>
        <w:tabs>
          <w:tab w:val="clear" w:pos="1440"/>
          <w:tab w:val="num" w:pos="720"/>
        </w:tabs>
        <w:spacing w:line="480" w:lineRule="auto"/>
        <w:ind w:left="0"/>
        <w:rPr>
          <w:rFonts w:ascii="Times New Roman" w:hAnsi="Times New Roman"/>
          <w:szCs w:val="24"/>
        </w:rPr>
      </w:pPr>
      <w:r w:rsidRPr="00FA67B7">
        <w:rPr>
          <w:rFonts w:ascii="Times New Roman" w:hAnsi="Times New Roman"/>
          <w:szCs w:val="24"/>
        </w:rPr>
        <w:tab/>
      </w:r>
      <w:r w:rsidR="000A5280" w:rsidRPr="00FA67B7">
        <w:rPr>
          <w:rFonts w:ascii="Times New Roman" w:hAnsi="Times New Roman"/>
          <w:szCs w:val="24"/>
        </w:rPr>
        <w:t>Th</w:t>
      </w:r>
      <w:r w:rsidR="0007513A" w:rsidRPr="00FA67B7">
        <w:rPr>
          <w:rFonts w:ascii="Times New Roman" w:hAnsi="Times New Roman"/>
          <w:szCs w:val="24"/>
        </w:rPr>
        <w:t xml:space="preserve">e initial briefs filed by </w:t>
      </w:r>
      <w:r w:rsidR="00BB6A56">
        <w:rPr>
          <w:rFonts w:ascii="Times New Roman" w:hAnsi="Times New Roman"/>
          <w:szCs w:val="24"/>
        </w:rPr>
        <w:t xml:space="preserve">Commission </w:t>
      </w:r>
      <w:r w:rsidR="0007513A" w:rsidRPr="00FA67B7">
        <w:rPr>
          <w:rFonts w:ascii="Times New Roman" w:hAnsi="Times New Roman"/>
          <w:szCs w:val="24"/>
        </w:rPr>
        <w:t xml:space="preserve">Staff, Public Counsel, and </w:t>
      </w:r>
      <w:r w:rsidR="00BB6A56">
        <w:rPr>
          <w:rFonts w:ascii="Times New Roman" w:hAnsi="Times New Roman"/>
          <w:szCs w:val="24"/>
        </w:rPr>
        <w:t>the Industrial Customers of Northwest Utilities (</w:t>
      </w:r>
      <w:r w:rsidR="0007513A" w:rsidRPr="00FA67B7">
        <w:rPr>
          <w:rFonts w:ascii="Times New Roman" w:hAnsi="Times New Roman"/>
          <w:szCs w:val="24"/>
        </w:rPr>
        <w:t>ICNU</w:t>
      </w:r>
      <w:r w:rsidR="00BB6A56">
        <w:rPr>
          <w:rFonts w:ascii="Times New Roman" w:hAnsi="Times New Roman"/>
          <w:szCs w:val="24"/>
        </w:rPr>
        <w:t>)</w:t>
      </w:r>
      <w:r w:rsidR="0007513A" w:rsidRPr="00FA67B7">
        <w:rPr>
          <w:rFonts w:ascii="Times New Roman" w:hAnsi="Times New Roman"/>
          <w:szCs w:val="24"/>
        </w:rPr>
        <w:t xml:space="preserve"> in this proceeding </w:t>
      </w:r>
      <w:r w:rsidR="00453D58" w:rsidRPr="00FA67B7">
        <w:rPr>
          <w:rFonts w:ascii="Times New Roman" w:hAnsi="Times New Roman"/>
          <w:szCs w:val="24"/>
        </w:rPr>
        <w:t xml:space="preserve">criticize the Company’s </w:t>
      </w:r>
      <w:r w:rsidR="009E0A45" w:rsidRPr="00FA67B7">
        <w:rPr>
          <w:rFonts w:ascii="Times New Roman" w:hAnsi="Times New Roman"/>
          <w:szCs w:val="24"/>
        </w:rPr>
        <w:t>requested rate increase</w:t>
      </w:r>
      <w:r w:rsidR="00E95A63" w:rsidRPr="00FA67B7">
        <w:rPr>
          <w:rFonts w:ascii="Times New Roman" w:hAnsi="Times New Roman"/>
          <w:szCs w:val="24"/>
        </w:rPr>
        <w:t xml:space="preserve"> as too large.</w:t>
      </w:r>
      <w:r w:rsidR="00FA67B7">
        <w:rPr>
          <w:rFonts w:ascii="Times New Roman" w:hAnsi="Times New Roman"/>
          <w:szCs w:val="24"/>
        </w:rPr>
        <w:t xml:space="preserve"> </w:t>
      </w:r>
      <w:r w:rsidR="00FA67B7" w:rsidRPr="00FA67B7">
        <w:rPr>
          <w:rFonts w:ascii="Times New Roman" w:hAnsi="Times New Roman"/>
          <w:szCs w:val="24"/>
        </w:rPr>
        <w:t>The</w:t>
      </w:r>
      <w:r w:rsidR="00FA67B7">
        <w:rPr>
          <w:rFonts w:ascii="Times New Roman" w:hAnsi="Times New Roman"/>
          <w:szCs w:val="24"/>
        </w:rPr>
        <w:t xml:space="preserve">se complaints </w:t>
      </w:r>
      <w:r w:rsidR="00FA67B7" w:rsidRPr="00FA67B7">
        <w:rPr>
          <w:rFonts w:ascii="Times New Roman" w:hAnsi="Times New Roman"/>
          <w:szCs w:val="24"/>
        </w:rPr>
        <w:t xml:space="preserve">do not match their actual proposals </w:t>
      </w:r>
      <w:r w:rsidR="00FA67B7">
        <w:rPr>
          <w:rFonts w:ascii="Times New Roman" w:hAnsi="Times New Roman"/>
          <w:szCs w:val="24"/>
        </w:rPr>
        <w:t xml:space="preserve">and the relatively small number of contested adjustments in this case. </w:t>
      </w:r>
      <w:r w:rsidR="00FA67B7" w:rsidRPr="00FA67B7">
        <w:rPr>
          <w:rFonts w:ascii="Times New Roman" w:hAnsi="Times New Roman"/>
          <w:szCs w:val="24"/>
        </w:rPr>
        <w:t xml:space="preserve"> </w:t>
      </w:r>
    </w:p>
    <w:p w:rsidR="00CE21FA" w:rsidRDefault="00961BA7" w:rsidP="00D706C2">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FA67B7" w:rsidRPr="00FA67B7">
        <w:rPr>
          <w:rFonts w:ascii="Times New Roman" w:hAnsi="Times New Roman"/>
          <w:szCs w:val="24"/>
        </w:rPr>
        <w:t xml:space="preserve">The need for a significant rate increase is evident based on Staff’s own proposal </w:t>
      </w:r>
      <w:r w:rsidR="00FA67B7">
        <w:rPr>
          <w:rFonts w:ascii="Times New Roman" w:hAnsi="Times New Roman"/>
          <w:szCs w:val="24"/>
        </w:rPr>
        <w:t>for</w:t>
      </w:r>
      <w:r w:rsidR="00FA67B7" w:rsidRPr="00FA67B7">
        <w:rPr>
          <w:rFonts w:ascii="Times New Roman" w:hAnsi="Times New Roman"/>
          <w:szCs w:val="24"/>
        </w:rPr>
        <w:t xml:space="preserve"> a 9.5%</w:t>
      </w:r>
      <w:r w:rsidR="00BC4594">
        <w:rPr>
          <w:rFonts w:ascii="Times New Roman" w:hAnsi="Times New Roman"/>
          <w:szCs w:val="24"/>
        </w:rPr>
        <w:t xml:space="preserve"> </w:t>
      </w:r>
      <w:r w:rsidR="00FA67B7" w:rsidRPr="00FA67B7">
        <w:rPr>
          <w:rFonts w:ascii="Times New Roman" w:hAnsi="Times New Roman"/>
          <w:szCs w:val="24"/>
        </w:rPr>
        <w:t xml:space="preserve"> rate increase</w:t>
      </w:r>
      <w:r w:rsidR="00FA67B7">
        <w:rPr>
          <w:rFonts w:ascii="Times New Roman" w:hAnsi="Times New Roman"/>
          <w:szCs w:val="24"/>
        </w:rPr>
        <w:t xml:space="preserve">, and </w:t>
      </w:r>
      <w:r w:rsidR="00FA67B7" w:rsidRPr="00FA67B7">
        <w:rPr>
          <w:rFonts w:ascii="Times New Roman" w:hAnsi="Times New Roman"/>
          <w:szCs w:val="24"/>
        </w:rPr>
        <w:t>Public Counsel’s proposed adj</w:t>
      </w:r>
      <w:r w:rsidR="00FA67B7">
        <w:rPr>
          <w:rFonts w:ascii="Times New Roman" w:hAnsi="Times New Roman"/>
          <w:szCs w:val="24"/>
        </w:rPr>
        <w:t xml:space="preserve">ustments </w:t>
      </w:r>
      <w:r w:rsidR="00FA67B7" w:rsidRPr="00FA67B7">
        <w:rPr>
          <w:rFonts w:ascii="Times New Roman" w:hAnsi="Times New Roman"/>
          <w:szCs w:val="24"/>
        </w:rPr>
        <w:t xml:space="preserve">amount to </w:t>
      </w:r>
      <w:r w:rsidR="00FA67B7">
        <w:rPr>
          <w:rFonts w:ascii="Times New Roman" w:hAnsi="Times New Roman"/>
          <w:szCs w:val="24"/>
        </w:rPr>
        <w:t xml:space="preserve">just </w:t>
      </w:r>
      <w:r w:rsidR="00FA67B7" w:rsidRPr="00FA67B7">
        <w:rPr>
          <w:rFonts w:ascii="Times New Roman" w:hAnsi="Times New Roman"/>
          <w:szCs w:val="24"/>
        </w:rPr>
        <w:t xml:space="preserve">$4.9 million out of </w:t>
      </w:r>
      <w:r w:rsidR="00FA1AFA">
        <w:rPr>
          <w:rFonts w:ascii="Times New Roman" w:hAnsi="Times New Roman"/>
          <w:szCs w:val="24"/>
        </w:rPr>
        <w:t>the proposed</w:t>
      </w:r>
      <w:r w:rsidR="005055FC">
        <w:rPr>
          <w:rFonts w:ascii="Times New Roman" w:hAnsi="Times New Roman"/>
          <w:szCs w:val="24"/>
        </w:rPr>
        <w:t xml:space="preserve"> </w:t>
      </w:r>
      <w:r w:rsidR="00FA67B7" w:rsidRPr="00FA67B7">
        <w:rPr>
          <w:rFonts w:ascii="Times New Roman" w:hAnsi="Times New Roman"/>
          <w:szCs w:val="24"/>
        </w:rPr>
        <w:t xml:space="preserve">$47.7 million revenue requirement increase. </w:t>
      </w:r>
      <w:r w:rsidR="00E95A63" w:rsidRPr="00FA67B7">
        <w:rPr>
          <w:rFonts w:ascii="Times New Roman" w:hAnsi="Times New Roman"/>
          <w:szCs w:val="24"/>
        </w:rPr>
        <w:t xml:space="preserve"> </w:t>
      </w:r>
      <w:r w:rsidR="00FA67B7">
        <w:rPr>
          <w:rFonts w:ascii="Times New Roman" w:hAnsi="Times New Roman"/>
          <w:szCs w:val="24"/>
        </w:rPr>
        <w:t xml:space="preserve">While </w:t>
      </w:r>
      <w:r w:rsidR="00E95A63" w:rsidRPr="00FA67B7">
        <w:rPr>
          <w:rFonts w:ascii="Times New Roman" w:hAnsi="Times New Roman"/>
          <w:szCs w:val="24"/>
        </w:rPr>
        <w:t>both Public Counsel and ICNU claim that the Company presented no evidence that it has deferred any capital projects</w:t>
      </w:r>
      <w:r w:rsidR="00FA67B7">
        <w:rPr>
          <w:rFonts w:ascii="Times New Roman" w:hAnsi="Times New Roman"/>
          <w:szCs w:val="24"/>
        </w:rPr>
        <w:t>,</w:t>
      </w:r>
      <w:r w:rsidR="00E95A63" w:rsidRPr="009D1941">
        <w:rPr>
          <w:rStyle w:val="FootnoteReference"/>
          <w:rFonts w:ascii="Times New Roman" w:hAnsi="Times New Roman"/>
          <w:szCs w:val="24"/>
        </w:rPr>
        <w:footnoteReference w:id="1"/>
      </w:r>
      <w:r w:rsidR="00032E83">
        <w:rPr>
          <w:rFonts w:ascii="Times New Roman" w:hAnsi="Times New Roman"/>
          <w:szCs w:val="24"/>
        </w:rPr>
        <w:t xml:space="preserve"> </w:t>
      </w:r>
      <w:r w:rsidR="00E95A63" w:rsidRPr="00FA67B7">
        <w:rPr>
          <w:rFonts w:ascii="Times New Roman" w:hAnsi="Times New Roman"/>
          <w:szCs w:val="24"/>
        </w:rPr>
        <w:t>rates from this proceeding will not include any capital additions that already occurred in 2010 and 2011</w:t>
      </w:r>
      <w:r w:rsidR="00032E83">
        <w:rPr>
          <w:rFonts w:ascii="Times New Roman" w:hAnsi="Times New Roman"/>
          <w:szCs w:val="24"/>
        </w:rPr>
        <w:t>,</w:t>
      </w:r>
      <w:r w:rsidR="00E95A63" w:rsidRPr="009D1941">
        <w:rPr>
          <w:rStyle w:val="FootnoteReference"/>
          <w:rFonts w:ascii="Times New Roman" w:hAnsi="Times New Roman"/>
          <w:szCs w:val="24"/>
        </w:rPr>
        <w:footnoteReference w:id="2"/>
      </w:r>
      <w:r w:rsidR="00FE39C7" w:rsidRPr="00FA67B7">
        <w:rPr>
          <w:rFonts w:ascii="Times New Roman" w:hAnsi="Times New Roman"/>
          <w:szCs w:val="24"/>
        </w:rPr>
        <w:t xml:space="preserve"> and</w:t>
      </w:r>
      <w:r w:rsidR="00E95A63" w:rsidRPr="00FA67B7">
        <w:rPr>
          <w:rFonts w:ascii="Times New Roman" w:hAnsi="Times New Roman"/>
          <w:szCs w:val="24"/>
        </w:rPr>
        <w:t xml:space="preserve"> no party has challenged the prudence of capital investments included in the filing.  </w:t>
      </w:r>
      <w:r w:rsidR="00FA67B7">
        <w:rPr>
          <w:rFonts w:ascii="Times New Roman" w:hAnsi="Times New Roman"/>
          <w:szCs w:val="24"/>
        </w:rPr>
        <w:t xml:space="preserve">Similarly, </w:t>
      </w:r>
      <w:r w:rsidR="00E95A63" w:rsidRPr="00FA67B7">
        <w:rPr>
          <w:rFonts w:ascii="Times New Roman" w:hAnsi="Times New Roman"/>
          <w:szCs w:val="24"/>
        </w:rPr>
        <w:t>Public Counsel complains that PacifiCorp has not put any travel restrictions in place,</w:t>
      </w:r>
      <w:r w:rsidR="00E95A63" w:rsidRPr="009D1941">
        <w:rPr>
          <w:rStyle w:val="FootnoteReference"/>
          <w:rFonts w:ascii="Times New Roman" w:hAnsi="Times New Roman"/>
          <w:szCs w:val="24"/>
        </w:rPr>
        <w:footnoteReference w:id="3"/>
      </w:r>
      <w:r w:rsidR="00E95A63" w:rsidRPr="00FA67B7">
        <w:rPr>
          <w:rFonts w:ascii="Times New Roman" w:hAnsi="Times New Roman"/>
          <w:szCs w:val="24"/>
        </w:rPr>
        <w:t xml:space="preserve"> but did not propose any disallowances of travel costs.</w:t>
      </w:r>
      <w:r w:rsidR="00884B0F" w:rsidRPr="00FA67B7">
        <w:rPr>
          <w:rFonts w:ascii="Times New Roman" w:hAnsi="Times New Roman"/>
          <w:szCs w:val="24"/>
        </w:rPr>
        <w:t xml:space="preserve">  </w:t>
      </w:r>
      <w:r w:rsidR="00CE21FA" w:rsidRPr="00345AB1">
        <w:rPr>
          <w:rFonts w:ascii="Times New Roman" w:hAnsi="Times New Roman"/>
          <w:szCs w:val="24"/>
        </w:rPr>
        <w:tab/>
      </w:r>
    </w:p>
    <w:p w:rsidR="00FA67B7" w:rsidRDefault="00CE21FA" w:rsidP="00D706C2">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Pr="00345AB1">
        <w:rPr>
          <w:rFonts w:ascii="Times New Roman" w:hAnsi="Times New Roman"/>
          <w:szCs w:val="24"/>
        </w:rPr>
        <w:t>ICNU recommends that the Commission “utilize its discretion and further reduce [the Company’s] proposed increase.</w:t>
      </w:r>
      <w:r>
        <w:rPr>
          <w:rFonts w:ascii="Times New Roman" w:hAnsi="Times New Roman"/>
          <w:szCs w:val="24"/>
        </w:rPr>
        <w:t>”</w:t>
      </w:r>
      <w:r w:rsidRPr="00345AB1">
        <w:rPr>
          <w:rStyle w:val="FootnoteReference"/>
          <w:rFonts w:ascii="Times New Roman" w:hAnsi="Times New Roman"/>
          <w:szCs w:val="24"/>
        </w:rPr>
        <w:footnoteReference w:id="4"/>
      </w:r>
      <w:r w:rsidRPr="00345AB1">
        <w:rPr>
          <w:rFonts w:ascii="Times New Roman" w:hAnsi="Times New Roman"/>
          <w:szCs w:val="24"/>
        </w:rPr>
        <w:t xml:space="preserve">  The Commission’s ratemaking authority and policies preclude th</w:t>
      </w:r>
      <w:r>
        <w:rPr>
          <w:rFonts w:ascii="Times New Roman" w:hAnsi="Times New Roman"/>
          <w:szCs w:val="24"/>
        </w:rPr>
        <w:t xml:space="preserve">is </w:t>
      </w:r>
      <w:r w:rsidRPr="00345AB1">
        <w:rPr>
          <w:rFonts w:ascii="Times New Roman" w:hAnsi="Times New Roman"/>
          <w:szCs w:val="24"/>
        </w:rPr>
        <w:t xml:space="preserve">kind of </w:t>
      </w:r>
      <w:r>
        <w:rPr>
          <w:rFonts w:ascii="Times New Roman" w:hAnsi="Times New Roman"/>
          <w:szCs w:val="24"/>
        </w:rPr>
        <w:t xml:space="preserve">subjective, non-cost based adjustment to the Company’s filing. </w:t>
      </w:r>
    </w:p>
    <w:p w:rsidR="00E95A63" w:rsidRPr="00345AB1" w:rsidRDefault="00FA67B7" w:rsidP="00D706C2">
      <w:pPr>
        <w:pStyle w:val="ListParagraph"/>
        <w:numPr>
          <w:ilvl w:val="0"/>
          <w:numId w:val="12"/>
        </w:numPr>
        <w:tabs>
          <w:tab w:val="clear" w:pos="1440"/>
          <w:tab w:val="num" w:pos="720"/>
        </w:tabs>
        <w:spacing w:line="480" w:lineRule="auto"/>
        <w:ind w:left="0"/>
        <w:rPr>
          <w:rFonts w:ascii="Times New Roman" w:hAnsi="Times New Roman"/>
          <w:szCs w:val="24"/>
        </w:rPr>
      </w:pPr>
      <w:r w:rsidRPr="00345AB1">
        <w:rPr>
          <w:rFonts w:ascii="Times New Roman" w:hAnsi="Times New Roman"/>
          <w:szCs w:val="24"/>
        </w:rPr>
        <w:tab/>
        <w:t>T</w:t>
      </w:r>
      <w:r w:rsidR="000A5280" w:rsidRPr="00345AB1">
        <w:rPr>
          <w:rFonts w:ascii="Times New Roman" w:hAnsi="Times New Roman"/>
          <w:szCs w:val="24"/>
        </w:rPr>
        <w:t>he Company has cut costs and limited its requested increase in this case in response to challenging economic conditions</w:t>
      </w:r>
      <w:r w:rsidR="00345AB1" w:rsidRPr="00345AB1">
        <w:rPr>
          <w:rFonts w:ascii="Times New Roman" w:hAnsi="Times New Roman"/>
          <w:szCs w:val="24"/>
        </w:rPr>
        <w:t xml:space="preserve">.  </w:t>
      </w:r>
      <w:r w:rsidR="00CE21FA">
        <w:rPr>
          <w:rFonts w:ascii="Times New Roman" w:hAnsi="Times New Roman"/>
          <w:szCs w:val="24"/>
        </w:rPr>
        <w:t xml:space="preserve">But the </w:t>
      </w:r>
      <w:r w:rsidR="00961BA7">
        <w:rPr>
          <w:rFonts w:ascii="Times New Roman" w:hAnsi="Times New Roman"/>
          <w:szCs w:val="24"/>
        </w:rPr>
        <w:t xml:space="preserve">undisputed </w:t>
      </w:r>
      <w:r w:rsidR="00CE21FA">
        <w:rPr>
          <w:rFonts w:ascii="Times New Roman" w:hAnsi="Times New Roman"/>
          <w:szCs w:val="24"/>
        </w:rPr>
        <w:t xml:space="preserve">fact remains </w:t>
      </w:r>
      <w:r w:rsidR="00032E83">
        <w:rPr>
          <w:rFonts w:ascii="Times New Roman" w:hAnsi="Times New Roman"/>
          <w:szCs w:val="24"/>
        </w:rPr>
        <w:t>that PacifiCorp is now under-</w:t>
      </w:r>
      <w:r w:rsidR="00CE21FA">
        <w:rPr>
          <w:rFonts w:ascii="Times New Roman" w:hAnsi="Times New Roman"/>
          <w:szCs w:val="24"/>
        </w:rPr>
        <w:t>recovering its costs and under</w:t>
      </w:r>
      <w:r w:rsidR="00032E83">
        <w:rPr>
          <w:rFonts w:ascii="Times New Roman" w:hAnsi="Times New Roman"/>
          <w:szCs w:val="24"/>
        </w:rPr>
        <w:t>-</w:t>
      </w:r>
      <w:r w:rsidR="00CE21FA">
        <w:rPr>
          <w:rFonts w:ascii="Times New Roman" w:hAnsi="Times New Roman"/>
          <w:szCs w:val="24"/>
        </w:rPr>
        <w:t xml:space="preserve">earning </w:t>
      </w:r>
      <w:proofErr w:type="gramStart"/>
      <w:r w:rsidR="00CE21FA">
        <w:rPr>
          <w:rFonts w:ascii="Times New Roman" w:hAnsi="Times New Roman"/>
          <w:szCs w:val="24"/>
        </w:rPr>
        <w:t>its</w:t>
      </w:r>
      <w:proofErr w:type="gramEnd"/>
      <w:r w:rsidR="00CE21FA">
        <w:rPr>
          <w:rFonts w:ascii="Times New Roman" w:hAnsi="Times New Roman"/>
          <w:szCs w:val="24"/>
        </w:rPr>
        <w:t xml:space="preserve"> allowed return.  Th</w:t>
      </w:r>
      <w:r w:rsidR="00345AB1">
        <w:rPr>
          <w:rFonts w:ascii="Times New Roman" w:hAnsi="Times New Roman"/>
          <w:szCs w:val="24"/>
        </w:rPr>
        <w:t xml:space="preserve">e </w:t>
      </w:r>
      <w:r w:rsidR="00CE21FA">
        <w:rPr>
          <w:rFonts w:ascii="Times New Roman" w:hAnsi="Times New Roman"/>
          <w:szCs w:val="24"/>
        </w:rPr>
        <w:t xml:space="preserve">$47.7 million </w:t>
      </w:r>
      <w:r w:rsidR="00345AB1">
        <w:rPr>
          <w:rFonts w:ascii="Times New Roman" w:hAnsi="Times New Roman"/>
          <w:szCs w:val="24"/>
        </w:rPr>
        <w:t>increase P</w:t>
      </w:r>
      <w:r w:rsidR="000A5280" w:rsidRPr="00345AB1">
        <w:rPr>
          <w:rFonts w:ascii="Times New Roman" w:hAnsi="Times New Roman"/>
          <w:szCs w:val="24"/>
        </w:rPr>
        <w:t xml:space="preserve">acifiCorp </w:t>
      </w:r>
      <w:r w:rsidR="00345AB1">
        <w:rPr>
          <w:rFonts w:ascii="Times New Roman" w:hAnsi="Times New Roman"/>
          <w:szCs w:val="24"/>
        </w:rPr>
        <w:t xml:space="preserve">is seeking </w:t>
      </w:r>
      <w:r w:rsidR="00CE21FA">
        <w:rPr>
          <w:rFonts w:ascii="Times New Roman" w:hAnsi="Times New Roman"/>
          <w:szCs w:val="24"/>
        </w:rPr>
        <w:t xml:space="preserve">is </w:t>
      </w:r>
      <w:r w:rsidR="00345AB1">
        <w:rPr>
          <w:rFonts w:ascii="Times New Roman" w:hAnsi="Times New Roman"/>
          <w:szCs w:val="24"/>
        </w:rPr>
        <w:t xml:space="preserve">necessary </w:t>
      </w:r>
      <w:r w:rsidR="00345AB1" w:rsidRPr="00345AB1">
        <w:rPr>
          <w:rFonts w:ascii="Times New Roman" w:hAnsi="Times New Roman"/>
          <w:szCs w:val="24"/>
        </w:rPr>
        <w:t>for the Company to meet its service obligations and maintain its current financial integrity</w:t>
      </w:r>
      <w:r w:rsidR="00345AB1">
        <w:rPr>
          <w:rFonts w:ascii="Times New Roman" w:hAnsi="Times New Roman"/>
          <w:szCs w:val="24"/>
        </w:rPr>
        <w:t xml:space="preserve">. </w:t>
      </w:r>
    </w:p>
    <w:p w:rsidR="00973298" w:rsidRPr="009D1941" w:rsidRDefault="002E098B" w:rsidP="00032E83">
      <w:pPr>
        <w:keepNext/>
        <w:spacing w:line="480" w:lineRule="auto"/>
        <w:ind w:left="-720"/>
        <w:jc w:val="center"/>
        <w:rPr>
          <w:rFonts w:ascii="Times New Roman" w:hAnsi="Times New Roman"/>
          <w:b/>
          <w:szCs w:val="24"/>
        </w:rPr>
      </w:pPr>
      <w:r w:rsidRPr="009D1941">
        <w:rPr>
          <w:rFonts w:ascii="Times New Roman" w:hAnsi="Times New Roman"/>
          <w:b/>
          <w:szCs w:val="24"/>
        </w:rPr>
        <w:t>I.</w:t>
      </w:r>
      <w:r w:rsidRPr="009D1941">
        <w:rPr>
          <w:rFonts w:ascii="Times New Roman" w:hAnsi="Times New Roman"/>
          <w:b/>
          <w:szCs w:val="24"/>
        </w:rPr>
        <w:tab/>
        <w:t>COST OF EQUITY AND CAPITAL STRUCTURE</w:t>
      </w:r>
    </w:p>
    <w:p w:rsidR="00BC4594" w:rsidRPr="00845C6E" w:rsidRDefault="00BC4594" w:rsidP="00032E83">
      <w:pPr>
        <w:keepNext/>
        <w:spacing w:line="480" w:lineRule="auto"/>
        <w:rPr>
          <w:rFonts w:ascii="Times New Roman" w:hAnsi="Times New Roman"/>
          <w:b/>
          <w:szCs w:val="24"/>
        </w:rPr>
      </w:pPr>
      <w:r>
        <w:rPr>
          <w:rFonts w:ascii="Times New Roman" w:hAnsi="Times New Roman"/>
          <w:b/>
          <w:szCs w:val="24"/>
        </w:rPr>
        <w:t>A.</w:t>
      </w:r>
      <w:r>
        <w:rPr>
          <w:rFonts w:ascii="Times New Roman" w:hAnsi="Times New Roman"/>
          <w:b/>
          <w:szCs w:val="24"/>
        </w:rPr>
        <w:tab/>
        <w:t>Return on Equity</w:t>
      </w:r>
    </w:p>
    <w:p w:rsidR="00BC4594" w:rsidRDefault="00BC4594" w:rsidP="003A270F">
      <w:pPr>
        <w:keepNext/>
        <w:spacing w:after="240"/>
        <w:ind w:left="1440" w:hanging="720"/>
        <w:rPr>
          <w:rFonts w:ascii="Times New Roman" w:hAnsi="Times New Roman"/>
          <w:b/>
          <w:szCs w:val="24"/>
        </w:rPr>
      </w:pPr>
      <w:r w:rsidRPr="00845C6E">
        <w:rPr>
          <w:rFonts w:ascii="Times New Roman" w:hAnsi="Times New Roman"/>
          <w:b/>
          <w:szCs w:val="24"/>
        </w:rPr>
        <w:t>1.</w:t>
      </w:r>
      <w:r w:rsidRPr="00845C6E">
        <w:rPr>
          <w:rFonts w:ascii="Times New Roman" w:hAnsi="Times New Roman"/>
          <w:b/>
          <w:szCs w:val="24"/>
        </w:rPr>
        <w:tab/>
      </w:r>
      <w:r>
        <w:rPr>
          <w:rFonts w:ascii="Times New Roman" w:hAnsi="Times New Roman"/>
          <w:b/>
          <w:szCs w:val="24"/>
        </w:rPr>
        <w:t>ICNU Urges Consideration of a Broad Rang</w:t>
      </w:r>
      <w:r w:rsidR="00980C9F">
        <w:rPr>
          <w:rFonts w:ascii="Times New Roman" w:hAnsi="Times New Roman"/>
          <w:b/>
          <w:szCs w:val="24"/>
        </w:rPr>
        <w:t>e of Factors i</w:t>
      </w:r>
      <w:r>
        <w:rPr>
          <w:rFonts w:ascii="Times New Roman" w:hAnsi="Times New Roman"/>
          <w:b/>
          <w:szCs w:val="24"/>
        </w:rPr>
        <w:t xml:space="preserve">n Setting PacifiCorp’s ROE, But Fails to Reconcile Its Low Proposed ROE </w:t>
      </w:r>
      <w:r w:rsidR="00980C9F">
        <w:rPr>
          <w:rFonts w:ascii="Times New Roman" w:hAnsi="Times New Roman"/>
          <w:b/>
          <w:szCs w:val="24"/>
        </w:rPr>
        <w:t>w</w:t>
      </w:r>
      <w:r>
        <w:rPr>
          <w:rFonts w:ascii="Times New Roman" w:hAnsi="Times New Roman"/>
          <w:b/>
          <w:szCs w:val="24"/>
        </w:rPr>
        <w:t>ith These Factors.</w:t>
      </w:r>
    </w:p>
    <w:p w:rsidR="00BC4594" w:rsidRDefault="003A270F"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sidRPr="00845C6E">
        <w:rPr>
          <w:rFonts w:ascii="Times New Roman" w:hAnsi="Times New Roman"/>
          <w:szCs w:val="24"/>
        </w:rPr>
        <w:t xml:space="preserve">ICNU </w:t>
      </w:r>
      <w:r w:rsidR="00BC4594">
        <w:rPr>
          <w:rFonts w:ascii="Times New Roman" w:hAnsi="Times New Roman"/>
          <w:szCs w:val="24"/>
        </w:rPr>
        <w:t>contends that “the broad array of analytical and non-analytical evidence strongly supports lowering ROE.”</w:t>
      </w:r>
      <w:r w:rsidR="00BC4594">
        <w:rPr>
          <w:rStyle w:val="FootnoteReference"/>
          <w:rFonts w:ascii="Times New Roman" w:hAnsi="Times New Roman"/>
          <w:szCs w:val="24"/>
        </w:rPr>
        <w:footnoteReference w:id="5"/>
      </w:r>
      <w:r w:rsidR="00BC4594">
        <w:rPr>
          <w:rFonts w:ascii="Times New Roman" w:hAnsi="Times New Roman"/>
          <w:szCs w:val="24"/>
        </w:rPr>
        <w:t xml:space="preserve">  Specifically, ICNU a</w:t>
      </w:r>
      <w:r w:rsidR="00BC4594" w:rsidRPr="00845C6E">
        <w:rPr>
          <w:rFonts w:ascii="Times New Roman" w:hAnsi="Times New Roman"/>
          <w:szCs w:val="24"/>
        </w:rPr>
        <w:t xml:space="preserve">rgues </w:t>
      </w:r>
      <w:r w:rsidR="00BC4594">
        <w:rPr>
          <w:rFonts w:ascii="Times New Roman" w:hAnsi="Times New Roman"/>
          <w:szCs w:val="24"/>
        </w:rPr>
        <w:t>“</w:t>
      </w:r>
      <w:r w:rsidR="00BC4594" w:rsidRPr="00845C6E">
        <w:rPr>
          <w:rFonts w:ascii="Times New Roman" w:hAnsi="Times New Roman"/>
          <w:szCs w:val="24"/>
        </w:rPr>
        <w:t>that capital costs have declined and that utilities are viewed as favorable investment opportunities in the current economy.”</w:t>
      </w:r>
      <w:r w:rsidR="00BC4594" w:rsidRPr="00845C6E">
        <w:rPr>
          <w:rStyle w:val="FootnoteReference"/>
          <w:rFonts w:ascii="Times New Roman" w:hAnsi="Times New Roman"/>
          <w:szCs w:val="24"/>
        </w:rPr>
        <w:footnoteReference w:id="6"/>
      </w:r>
      <w:r w:rsidR="00BC4594" w:rsidRPr="00845C6E">
        <w:rPr>
          <w:rFonts w:ascii="Times New Roman" w:hAnsi="Times New Roman"/>
          <w:szCs w:val="24"/>
        </w:rPr>
        <w:t xml:space="preserve">  </w:t>
      </w:r>
      <w:r w:rsidR="00BC4594">
        <w:rPr>
          <w:rFonts w:ascii="Times New Roman" w:hAnsi="Times New Roman"/>
          <w:szCs w:val="24"/>
        </w:rPr>
        <w:t>T</w:t>
      </w:r>
      <w:r w:rsidR="00BC4594" w:rsidRPr="00845C6E">
        <w:rPr>
          <w:rFonts w:ascii="Times New Roman" w:hAnsi="Times New Roman"/>
          <w:szCs w:val="24"/>
        </w:rPr>
        <w:t>h</w:t>
      </w:r>
      <w:r w:rsidR="00BC4594">
        <w:rPr>
          <w:rFonts w:ascii="Times New Roman" w:hAnsi="Times New Roman"/>
          <w:szCs w:val="24"/>
        </w:rPr>
        <w:t xml:space="preserve">is position is directly contradicted by </w:t>
      </w:r>
      <w:r w:rsidR="0097679A">
        <w:rPr>
          <w:rFonts w:ascii="Times New Roman" w:hAnsi="Times New Roman"/>
          <w:szCs w:val="24"/>
        </w:rPr>
        <w:t>Mr. </w:t>
      </w:r>
      <w:r w:rsidR="00BC4594" w:rsidRPr="00845C6E">
        <w:rPr>
          <w:rFonts w:ascii="Times New Roman" w:hAnsi="Times New Roman"/>
          <w:szCs w:val="24"/>
        </w:rPr>
        <w:t>Gorman’s</w:t>
      </w:r>
      <w:r w:rsidR="00BC4594">
        <w:rPr>
          <w:rFonts w:ascii="Times New Roman" w:hAnsi="Times New Roman"/>
          <w:szCs w:val="24"/>
        </w:rPr>
        <w:t xml:space="preserve"> </w:t>
      </w:r>
      <w:r w:rsidR="00BC4594" w:rsidRPr="00845C6E">
        <w:rPr>
          <w:rFonts w:ascii="Times New Roman" w:hAnsi="Times New Roman"/>
          <w:szCs w:val="24"/>
        </w:rPr>
        <w:t>testimony</w:t>
      </w:r>
      <w:r w:rsidR="00BC4594">
        <w:rPr>
          <w:rFonts w:ascii="Times New Roman" w:hAnsi="Times New Roman"/>
          <w:szCs w:val="24"/>
        </w:rPr>
        <w:t xml:space="preserve"> </w:t>
      </w:r>
      <w:r w:rsidR="00BC4594" w:rsidRPr="008C4621">
        <w:rPr>
          <w:rFonts w:ascii="Times New Roman" w:hAnsi="Times New Roman"/>
          <w:szCs w:val="24"/>
        </w:rPr>
        <w:t>at hearing that</w:t>
      </w:r>
      <w:r w:rsidR="00BC4594">
        <w:rPr>
          <w:rFonts w:ascii="Times New Roman" w:hAnsi="Times New Roman"/>
          <w:szCs w:val="24"/>
        </w:rPr>
        <w:t xml:space="preserve">, </w:t>
      </w:r>
      <w:r w:rsidR="00BC4594" w:rsidRPr="008C4621">
        <w:rPr>
          <w:rFonts w:ascii="Times New Roman" w:hAnsi="Times New Roman"/>
          <w:szCs w:val="24"/>
        </w:rPr>
        <w:t>through the second quarter of 2010</w:t>
      </w:r>
      <w:r w:rsidR="00BC4594">
        <w:rPr>
          <w:rFonts w:ascii="Times New Roman" w:hAnsi="Times New Roman"/>
          <w:szCs w:val="24"/>
        </w:rPr>
        <w:t>,</w:t>
      </w:r>
      <w:r w:rsidR="00BC4594" w:rsidRPr="008C4621">
        <w:rPr>
          <w:rFonts w:ascii="Times New Roman" w:hAnsi="Times New Roman"/>
          <w:szCs w:val="24"/>
        </w:rPr>
        <w:t xml:space="preserve"> the utility stock index reflected a negative return of approximately 8%.</w:t>
      </w:r>
      <w:r w:rsidR="00BC4594" w:rsidRPr="008C4621">
        <w:rPr>
          <w:rStyle w:val="FootnoteReference"/>
          <w:rFonts w:ascii="Times New Roman" w:hAnsi="Times New Roman"/>
          <w:szCs w:val="24"/>
        </w:rPr>
        <w:footnoteReference w:id="7"/>
      </w:r>
      <w:r w:rsidR="00BC4594" w:rsidRPr="008C4621">
        <w:rPr>
          <w:rFonts w:ascii="Times New Roman" w:hAnsi="Times New Roman"/>
          <w:szCs w:val="24"/>
        </w:rPr>
        <w:t xml:space="preserve">  And </w:t>
      </w:r>
      <w:r w:rsidR="0097679A">
        <w:rPr>
          <w:rFonts w:ascii="Times New Roman" w:hAnsi="Times New Roman"/>
          <w:szCs w:val="24"/>
        </w:rPr>
        <w:t>Mr. </w:t>
      </w:r>
      <w:r w:rsidR="00BC4594" w:rsidRPr="008C4621">
        <w:rPr>
          <w:rFonts w:ascii="Times New Roman" w:hAnsi="Times New Roman"/>
          <w:szCs w:val="24"/>
        </w:rPr>
        <w:t>Gorman admitted that utility stocks “did not outperform the market in 2009 and 2010.”</w:t>
      </w:r>
      <w:r w:rsidR="00BC4594" w:rsidRPr="008C4621">
        <w:rPr>
          <w:rStyle w:val="FootnoteReference"/>
          <w:rFonts w:ascii="Times New Roman" w:hAnsi="Times New Roman"/>
          <w:szCs w:val="24"/>
        </w:rPr>
        <w:footnoteReference w:id="8"/>
      </w:r>
      <w:r w:rsidR="00BC4594">
        <w:rPr>
          <w:rFonts w:ascii="Times New Roman" w:hAnsi="Times New Roman"/>
          <w:szCs w:val="24"/>
        </w:rPr>
        <w:t xml:space="preserve">   </w:t>
      </w:r>
      <w:r w:rsidR="0097679A">
        <w:rPr>
          <w:rFonts w:ascii="Times New Roman" w:hAnsi="Times New Roman"/>
          <w:szCs w:val="24"/>
        </w:rPr>
        <w:t>Dr. </w:t>
      </w:r>
      <w:proofErr w:type="spellStart"/>
      <w:r w:rsidR="00BC4594">
        <w:rPr>
          <w:rFonts w:ascii="Times New Roman" w:hAnsi="Times New Roman"/>
          <w:szCs w:val="24"/>
        </w:rPr>
        <w:t>Hadaway’s</w:t>
      </w:r>
      <w:proofErr w:type="spellEnd"/>
      <w:r w:rsidR="00BC4594">
        <w:rPr>
          <w:rFonts w:ascii="Times New Roman" w:hAnsi="Times New Roman"/>
          <w:szCs w:val="24"/>
        </w:rPr>
        <w:t xml:space="preserve"> testimony likewise shows that while the S&amp;P 500 has recovered over 55% from its March 2009 lows, utility stock prices have increased by only 23%.</w:t>
      </w:r>
      <w:r w:rsidR="00BC4594">
        <w:rPr>
          <w:rStyle w:val="FootnoteReference"/>
          <w:rFonts w:ascii="Times New Roman" w:hAnsi="Times New Roman"/>
          <w:szCs w:val="24"/>
        </w:rPr>
        <w:footnoteReference w:id="9"/>
      </w:r>
      <w:r w:rsidR="00BC4594">
        <w:rPr>
          <w:rFonts w:ascii="Times New Roman" w:hAnsi="Times New Roman"/>
          <w:szCs w:val="24"/>
        </w:rPr>
        <w:t xml:space="preserve">  This evidence demonstrates the reality that utilities are not currently viewed as “favorable investment opportunities,” especially when compared to the time of the decision in PacifiCorp’s 2005 GRC, when an investment in utility stocks outperformed the market and provided 20% returns.</w:t>
      </w:r>
      <w:r w:rsidR="00BC4594">
        <w:rPr>
          <w:rStyle w:val="FootnoteReference"/>
          <w:rFonts w:ascii="Times New Roman" w:hAnsi="Times New Roman"/>
          <w:szCs w:val="24"/>
        </w:rPr>
        <w:footnoteReference w:id="10"/>
      </w:r>
      <w:r w:rsidR="00BC4594">
        <w:rPr>
          <w:rFonts w:ascii="Times New Roman" w:hAnsi="Times New Roman"/>
          <w:szCs w:val="24"/>
        </w:rPr>
        <w:t xml:space="preserve">   </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 xml:space="preserve">Arguing that decisions of other utility commissions are another relevant factor, ICNU cites a single case in support of its 9.5% ROE—PacifiCorp’s Idaho </w:t>
      </w:r>
      <w:r w:rsidR="00980C9F">
        <w:rPr>
          <w:rFonts w:ascii="Times New Roman" w:hAnsi="Times New Roman"/>
          <w:szCs w:val="24"/>
        </w:rPr>
        <w:t>Commission</w:t>
      </w:r>
      <w:r w:rsidR="00BC4594">
        <w:rPr>
          <w:rFonts w:ascii="Times New Roman" w:hAnsi="Times New Roman"/>
          <w:szCs w:val="24"/>
        </w:rPr>
        <w:t xml:space="preserve"> </w:t>
      </w:r>
      <w:r w:rsidR="005055FC">
        <w:rPr>
          <w:rFonts w:ascii="Times New Roman" w:hAnsi="Times New Roman"/>
          <w:szCs w:val="24"/>
        </w:rPr>
        <w:t xml:space="preserve">interlocutory </w:t>
      </w:r>
      <w:r w:rsidR="00BC4594">
        <w:rPr>
          <w:rFonts w:ascii="Times New Roman" w:hAnsi="Times New Roman"/>
          <w:szCs w:val="24"/>
        </w:rPr>
        <w:t>order setting an ROE of 9.9%.</w:t>
      </w:r>
      <w:r w:rsidR="00BC4594">
        <w:rPr>
          <w:rStyle w:val="FootnoteReference"/>
          <w:rFonts w:ascii="Times New Roman" w:hAnsi="Times New Roman"/>
          <w:szCs w:val="24"/>
        </w:rPr>
        <w:footnoteReference w:id="11"/>
      </w:r>
      <w:r w:rsidR="00BC4594">
        <w:rPr>
          <w:rFonts w:ascii="Times New Roman" w:hAnsi="Times New Roman"/>
          <w:szCs w:val="24"/>
        </w:rPr>
        <w:t xml:space="preserve">  ICNU omits to mention that this decision also set PacifiCorp’s common equity ratio at </w:t>
      </w:r>
      <w:r w:rsidR="00BC4594" w:rsidRPr="000E262D">
        <w:rPr>
          <w:rFonts w:ascii="Times New Roman" w:hAnsi="Times New Roman"/>
          <w:szCs w:val="24"/>
        </w:rPr>
        <w:t>52.</w:t>
      </w:r>
      <w:r w:rsidR="00BC4594">
        <w:rPr>
          <w:rFonts w:ascii="Times New Roman" w:hAnsi="Times New Roman"/>
          <w:szCs w:val="24"/>
        </w:rPr>
        <w:t>1</w:t>
      </w:r>
      <w:r w:rsidR="00BC4594" w:rsidRPr="000E262D">
        <w:rPr>
          <w:rFonts w:ascii="Times New Roman" w:hAnsi="Times New Roman"/>
          <w:szCs w:val="24"/>
        </w:rPr>
        <w:t>%,</w:t>
      </w:r>
      <w:r w:rsidR="00BC4594">
        <w:rPr>
          <w:rStyle w:val="FootnoteReference"/>
          <w:rFonts w:ascii="Times New Roman" w:hAnsi="Times New Roman"/>
          <w:szCs w:val="24"/>
        </w:rPr>
        <w:footnoteReference w:id="12"/>
      </w:r>
      <w:r w:rsidR="00BC4594">
        <w:rPr>
          <w:rFonts w:ascii="Times New Roman" w:hAnsi="Times New Roman"/>
          <w:szCs w:val="24"/>
        </w:rPr>
        <w:t xml:space="preserve"> and came at the very bottom of the interest rate trough in 2010.</w:t>
      </w:r>
      <w:r w:rsidR="00BC4594">
        <w:rPr>
          <w:rStyle w:val="FootnoteReference"/>
          <w:rFonts w:ascii="Times New Roman" w:hAnsi="Times New Roman"/>
          <w:szCs w:val="24"/>
        </w:rPr>
        <w:footnoteReference w:id="13"/>
      </w:r>
      <w:r w:rsidR="00BC4594">
        <w:rPr>
          <w:rFonts w:ascii="Times New Roman" w:hAnsi="Times New Roman"/>
          <w:szCs w:val="24"/>
        </w:rPr>
        <w:t xml:space="preserve">  ICNU ignores all other 2010 ROE outcomes for PacifiCorp (which ranged from 10.1% to 10.6%),</w:t>
      </w:r>
      <w:r w:rsidR="00BC4594">
        <w:rPr>
          <w:rStyle w:val="FootnoteReference"/>
          <w:rFonts w:ascii="Times New Roman" w:hAnsi="Times New Roman"/>
          <w:szCs w:val="24"/>
        </w:rPr>
        <w:footnoteReference w:id="14"/>
      </w:r>
      <w:r w:rsidR="00BC4594">
        <w:rPr>
          <w:rFonts w:ascii="Times New Roman" w:hAnsi="Times New Roman"/>
          <w:szCs w:val="24"/>
        </w:rPr>
        <w:t xml:space="preserve"> other 2010 ROE outcomes in Washington (which included a litigated result of 10.1% and a settlement of 10.2%),</w:t>
      </w:r>
      <w:r w:rsidR="00BC4594">
        <w:rPr>
          <w:rStyle w:val="FootnoteReference"/>
          <w:rFonts w:ascii="Times New Roman" w:hAnsi="Times New Roman"/>
          <w:szCs w:val="24"/>
        </w:rPr>
        <w:footnoteReference w:id="15"/>
      </w:r>
      <w:r w:rsidR="00BC4594">
        <w:rPr>
          <w:rFonts w:ascii="Times New Roman" w:hAnsi="Times New Roman"/>
          <w:szCs w:val="24"/>
        </w:rPr>
        <w:t xml:space="preserve"> and the 2010 ROE national average of 10.36%.</w:t>
      </w:r>
      <w:r w:rsidR="00BC4594">
        <w:rPr>
          <w:rStyle w:val="FootnoteReference"/>
          <w:rFonts w:ascii="Times New Roman" w:hAnsi="Times New Roman"/>
          <w:szCs w:val="24"/>
        </w:rPr>
        <w:footnoteReference w:id="16"/>
      </w:r>
      <w:r w:rsidR="00BC4594">
        <w:rPr>
          <w:rFonts w:ascii="Times New Roman" w:hAnsi="Times New Roman"/>
          <w:szCs w:val="24"/>
        </w:rPr>
        <w:t xml:space="preserve">  </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Lastly, ICNU argues for a reduction in PacifiCorp’s ROE on the basis that PacifiCorp has been able to attract capital at its current rates.</w:t>
      </w:r>
      <w:r w:rsidR="00BC4594">
        <w:rPr>
          <w:rStyle w:val="FootnoteReference"/>
          <w:rFonts w:ascii="Times New Roman" w:hAnsi="Times New Roman"/>
          <w:szCs w:val="24"/>
        </w:rPr>
        <w:footnoteReference w:id="17"/>
      </w:r>
      <w:r w:rsidR="00980C9F">
        <w:rPr>
          <w:rFonts w:ascii="Times New Roman" w:hAnsi="Times New Roman"/>
          <w:szCs w:val="24"/>
        </w:rPr>
        <w:t xml:space="preserve">  </w:t>
      </w:r>
      <w:r w:rsidR="0097679A">
        <w:rPr>
          <w:rFonts w:ascii="Times New Roman" w:hAnsi="Times New Roman"/>
          <w:szCs w:val="24"/>
        </w:rPr>
        <w:t>Mr. </w:t>
      </w:r>
      <w:proofErr w:type="spellStart"/>
      <w:r w:rsidR="00980C9F">
        <w:rPr>
          <w:rFonts w:ascii="Times New Roman" w:hAnsi="Times New Roman"/>
          <w:szCs w:val="24"/>
        </w:rPr>
        <w:t>William</w:t>
      </w:r>
      <w:r w:rsidR="00B53C20">
        <w:rPr>
          <w:rFonts w:ascii="Times New Roman" w:hAnsi="Times New Roman"/>
          <w:szCs w:val="24"/>
        </w:rPr>
        <w:t>s</w:t>
      </w:r>
      <w:r w:rsidR="00980C9F">
        <w:rPr>
          <w:rFonts w:ascii="Times New Roman" w:hAnsi="Times New Roman"/>
          <w:szCs w:val="24"/>
        </w:rPr>
        <w:t>’s</w:t>
      </w:r>
      <w:proofErr w:type="spellEnd"/>
      <w:r w:rsidR="00BC4594">
        <w:rPr>
          <w:rFonts w:ascii="Times New Roman" w:hAnsi="Times New Roman"/>
          <w:szCs w:val="24"/>
        </w:rPr>
        <w:t xml:space="preserve"> </w:t>
      </w:r>
      <w:proofErr w:type="spellStart"/>
      <w:r w:rsidR="00BC4594">
        <w:rPr>
          <w:rFonts w:ascii="Times New Roman" w:hAnsi="Times New Roman"/>
          <w:szCs w:val="24"/>
        </w:rPr>
        <w:t>unrefuted</w:t>
      </w:r>
      <w:proofErr w:type="spellEnd"/>
      <w:r w:rsidR="00BC4594">
        <w:rPr>
          <w:rFonts w:ascii="Times New Roman" w:hAnsi="Times New Roman"/>
          <w:szCs w:val="24"/>
        </w:rPr>
        <w:t xml:space="preserve"> testimony is that PacifiCorp’s credit metrics are now </w:t>
      </w:r>
      <w:proofErr w:type="gramStart"/>
      <w:r w:rsidR="00BC4594">
        <w:rPr>
          <w:rFonts w:ascii="Times New Roman" w:hAnsi="Times New Roman"/>
          <w:szCs w:val="24"/>
        </w:rPr>
        <w:t>borderline</w:t>
      </w:r>
      <w:proofErr w:type="gramEnd"/>
      <w:r w:rsidR="00BC4594">
        <w:rPr>
          <w:rFonts w:ascii="Times New Roman" w:hAnsi="Times New Roman"/>
          <w:szCs w:val="24"/>
        </w:rPr>
        <w:t xml:space="preserve"> for a single “A” utility, and that rating agencies are becoming ever more stringent in their ratings expectations.</w:t>
      </w:r>
      <w:r w:rsidR="00BC4594" w:rsidRPr="00845C6E">
        <w:rPr>
          <w:rStyle w:val="FootnoteReference"/>
          <w:rFonts w:ascii="Times New Roman" w:hAnsi="Times New Roman"/>
          <w:szCs w:val="24"/>
        </w:rPr>
        <w:footnoteReference w:id="18"/>
      </w:r>
      <w:r w:rsidR="00BC4594">
        <w:rPr>
          <w:rFonts w:ascii="Times New Roman" w:hAnsi="Times New Roman"/>
          <w:szCs w:val="24"/>
        </w:rPr>
        <w:t xml:space="preserve">  This evidence shows that PacifiCorp has no headroom to absorb ICNU’s and Staff’s proposed ROE reduction of 70 basis points and maintain its current debt rating and access to capital markets.   </w:t>
      </w:r>
      <w:r w:rsidR="00BC4594">
        <w:rPr>
          <w:rFonts w:ascii="Times New Roman" w:hAnsi="Times New Roman"/>
          <w:szCs w:val="24"/>
        </w:rPr>
        <w:tab/>
      </w:r>
    </w:p>
    <w:p w:rsidR="00BC4594" w:rsidRDefault="00BC4594" w:rsidP="003A270F">
      <w:pPr>
        <w:keepNext/>
        <w:spacing w:after="240"/>
        <w:ind w:left="1440" w:hanging="720"/>
        <w:rPr>
          <w:rFonts w:ascii="Times New Roman" w:hAnsi="Times New Roman"/>
          <w:b/>
          <w:szCs w:val="24"/>
        </w:rPr>
      </w:pPr>
      <w:r>
        <w:rPr>
          <w:rFonts w:ascii="Times New Roman" w:hAnsi="Times New Roman"/>
          <w:b/>
          <w:szCs w:val="24"/>
        </w:rPr>
        <w:t>2</w:t>
      </w:r>
      <w:r w:rsidRPr="00845C6E">
        <w:rPr>
          <w:rFonts w:ascii="Times New Roman" w:hAnsi="Times New Roman"/>
          <w:b/>
          <w:szCs w:val="24"/>
        </w:rPr>
        <w:t>.</w:t>
      </w:r>
      <w:r w:rsidRPr="00845C6E">
        <w:rPr>
          <w:rFonts w:ascii="Times New Roman" w:hAnsi="Times New Roman"/>
          <w:b/>
          <w:szCs w:val="24"/>
        </w:rPr>
        <w:tab/>
        <w:t xml:space="preserve">Staff’s </w:t>
      </w:r>
      <w:r>
        <w:rPr>
          <w:rFonts w:ascii="Times New Roman" w:hAnsi="Times New Roman"/>
          <w:b/>
          <w:szCs w:val="24"/>
        </w:rPr>
        <w:t xml:space="preserve">Proxy Group is </w:t>
      </w:r>
      <w:proofErr w:type="gramStart"/>
      <w:r>
        <w:rPr>
          <w:rFonts w:ascii="Times New Roman" w:hAnsi="Times New Roman"/>
          <w:b/>
          <w:szCs w:val="24"/>
        </w:rPr>
        <w:t>Not</w:t>
      </w:r>
      <w:proofErr w:type="gramEnd"/>
      <w:r>
        <w:rPr>
          <w:rFonts w:ascii="Times New Roman" w:hAnsi="Times New Roman"/>
          <w:b/>
          <w:szCs w:val="24"/>
        </w:rPr>
        <w:t xml:space="preserve"> Superior to PacifiCorp’s. </w:t>
      </w:r>
    </w:p>
    <w:p w:rsidR="00FA1AFA" w:rsidRPr="00FA1AFA" w:rsidRDefault="00C47F75" w:rsidP="00FF4B31">
      <w:pPr>
        <w:pStyle w:val="ListParagraph"/>
        <w:numPr>
          <w:ilvl w:val="0"/>
          <w:numId w:val="12"/>
        </w:numPr>
        <w:tabs>
          <w:tab w:val="clear" w:pos="1440"/>
          <w:tab w:val="num" w:pos="720"/>
        </w:tabs>
        <w:spacing w:line="480" w:lineRule="auto"/>
        <w:ind w:left="0"/>
        <w:rPr>
          <w:rFonts w:ascii="Times New Roman" w:hAnsi="Times New Roman"/>
          <w:b/>
        </w:rPr>
      </w:pPr>
      <w:r w:rsidRPr="00FF4B31">
        <w:rPr>
          <w:rFonts w:ascii="Times New Roman" w:hAnsi="Times New Roman"/>
          <w:szCs w:val="24"/>
        </w:rPr>
        <w:tab/>
      </w:r>
      <w:r w:rsidR="00FF4B31" w:rsidRPr="00FF4B31">
        <w:rPr>
          <w:rFonts w:ascii="Times New Roman" w:hAnsi="Times New Roman"/>
          <w:szCs w:val="24"/>
        </w:rPr>
        <w:t xml:space="preserve">Staff advocates for its proposed ROE claiming that it is the result of a more focused proxy group of comparable utilities than the group utilized by </w:t>
      </w:r>
      <w:r w:rsidR="0097679A">
        <w:rPr>
          <w:rFonts w:ascii="Times New Roman" w:hAnsi="Times New Roman"/>
          <w:szCs w:val="24"/>
        </w:rPr>
        <w:t>Dr. </w:t>
      </w:r>
      <w:proofErr w:type="spellStart"/>
      <w:r w:rsidR="00FF4B31" w:rsidRPr="00FF4B31">
        <w:rPr>
          <w:rFonts w:ascii="Times New Roman" w:hAnsi="Times New Roman"/>
          <w:szCs w:val="24"/>
        </w:rPr>
        <w:t>Hadaway</w:t>
      </w:r>
      <w:proofErr w:type="spellEnd"/>
      <w:r w:rsidR="00FF4B31" w:rsidRPr="00FF4B31">
        <w:rPr>
          <w:rFonts w:ascii="Times New Roman" w:hAnsi="Times New Roman"/>
          <w:szCs w:val="24"/>
        </w:rPr>
        <w:t xml:space="preserve"> and </w:t>
      </w:r>
      <w:r w:rsidR="0097679A">
        <w:rPr>
          <w:rFonts w:ascii="Times New Roman" w:hAnsi="Times New Roman"/>
          <w:szCs w:val="24"/>
        </w:rPr>
        <w:t>Mr. </w:t>
      </w:r>
      <w:r w:rsidR="00FF4B31" w:rsidRPr="00FF4B31">
        <w:rPr>
          <w:rFonts w:ascii="Times New Roman" w:hAnsi="Times New Roman"/>
          <w:szCs w:val="24"/>
        </w:rPr>
        <w:t xml:space="preserve">Gorman.  </w:t>
      </w:r>
      <w:r w:rsidR="0097679A">
        <w:rPr>
          <w:rFonts w:ascii="Times New Roman" w:hAnsi="Times New Roman"/>
          <w:szCs w:val="24"/>
        </w:rPr>
        <w:t>Dr. </w:t>
      </w:r>
      <w:proofErr w:type="spellStart"/>
      <w:r w:rsidR="00FF4B31" w:rsidRPr="00FF4B31">
        <w:rPr>
          <w:rFonts w:ascii="Times New Roman" w:hAnsi="Times New Roman"/>
          <w:szCs w:val="24"/>
        </w:rPr>
        <w:t>Hadaway’s</w:t>
      </w:r>
      <w:proofErr w:type="spellEnd"/>
      <w:r w:rsidR="00FF4B31" w:rsidRPr="00FF4B31">
        <w:rPr>
          <w:rFonts w:ascii="Times New Roman" w:hAnsi="Times New Roman"/>
          <w:szCs w:val="24"/>
        </w:rPr>
        <w:t xml:space="preserve"> selection criteria are designed to create a proxy group that includes a broad group of utilities with comparable risks.  A key criteria used by </w:t>
      </w:r>
      <w:r w:rsidR="0097679A">
        <w:rPr>
          <w:rFonts w:ascii="Times New Roman" w:hAnsi="Times New Roman"/>
          <w:szCs w:val="24"/>
        </w:rPr>
        <w:t>Dr. </w:t>
      </w:r>
      <w:proofErr w:type="spellStart"/>
      <w:r w:rsidR="00FF4B31" w:rsidRPr="00FF4B31">
        <w:rPr>
          <w:rFonts w:ascii="Times New Roman" w:hAnsi="Times New Roman"/>
          <w:szCs w:val="24"/>
        </w:rPr>
        <w:t>Hadaway</w:t>
      </w:r>
      <w:proofErr w:type="spellEnd"/>
      <w:r w:rsidR="00FF4B31" w:rsidRPr="00FF4B31">
        <w:rPr>
          <w:rFonts w:ascii="Times New Roman" w:hAnsi="Times New Roman"/>
          <w:szCs w:val="24"/>
        </w:rPr>
        <w:t xml:space="preserve"> requires all utilities in the proxy group to have a comparable credit rating because this is strong evidence that financial markets and investors will view the risk faced by these utilities as relatively comparable.   </w:t>
      </w:r>
    </w:p>
    <w:p w:rsidR="00FF4B31" w:rsidRPr="00FF4B31" w:rsidRDefault="00FA1AFA" w:rsidP="00FF4B31">
      <w:pPr>
        <w:pStyle w:val="ListParagraph"/>
        <w:numPr>
          <w:ilvl w:val="0"/>
          <w:numId w:val="12"/>
        </w:numPr>
        <w:tabs>
          <w:tab w:val="clear" w:pos="1440"/>
          <w:tab w:val="num" w:pos="720"/>
        </w:tabs>
        <w:spacing w:line="480" w:lineRule="auto"/>
        <w:ind w:left="0"/>
        <w:rPr>
          <w:rFonts w:ascii="Times New Roman" w:hAnsi="Times New Roman"/>
          <w:b/>
        </w:rPr>
      </w:pPr>
      <w:r>
        <w:rPr>
          <w:rFonts w:ascii="Times New Roman" w:hAnsi="Times New Roman"/>
          <w:szCs w:val="24"/>
        </w:rPr>
        <w:tab/>
      </w:r>
      <w:r w:rsidR="0097679A">
        <w:rPr>
          <w:rFonts w:ascii="Times New Roman" w:hAnsi="Times New Roman"/>
          <w:szCs w:val="24"/>
        </w:rPr>
        <w:t>Mr. </w:t>
      </w:r>
      <w:r w:rsidR="00FF4B31" w:rsidRPr="00FF4B31">
        <w:rPr>
          <w:rFonts w:ascii="Times New Roman" w:hAnsi="Times New Roman"/>
          <w:szCs w:val="24"/>
        </w:rPr>
        <w:t xml:space="preserve">Elgin, on the other hand, judgmentally removed 16 of the selected companies within </w:t>
      </w:r>
      <w:r w:rsidR="0097679A">
        <w:rPr>
          <w:rFonts w:ascii="Times New Roman" w:hAnsi="Times New Roman"/>
          <w:szCs w:val="24"/>
        </w:rPr>
        <w:t>Dr. </w:t>
      </w:r>
      <w:proofErr w:type="spellStart"/>
      <w:r w:rsidR="00FF4B31" w:rsidRPr="00FF4B31">
        <w:rPr>
          <w:rFonts w:ascii="Times New Roman" w:hAnsi="Times New Roman"/>
          <w:szCs w:val="24"/>
        </w:rPr>
        <w:t>Hadaway’s</w:t>
      </w:r>
      <w:proofErr w:type="spellEnd"/>
      <w:r w:rsidR="00FF4B31" w:rsidRPr="00FF4B31">
        <w:rPr>
          <w:rFonts w:ascii="Times New Roman" w:hAnsi="Times New Roman"/>
          <w:szCs w:val="24"/>
        </w:rPr>
        <w:t xml:space="preserve"> proxy group on the basis that they reflected dissimilar business risks as PacifiCorp, and inserted </w:t>
      </w:r>
      <w:proofErr w:type="spellStart"/>
      <w:r w:rsidR="00FF4B31" w:rsidRPr="00FF4B31">
        <w:rPr>
          <w:rFonts w:ascii="Times New Roman" w:hAnsi="Times New Roman"/>
          <w:szCs w:val="24"/>
        </w:rPr>
        <w:t>Avista</w:t>
      </w:r>
      <w:proofErr w:type="spellEnd"/>
      <w:r w:rsidR="00E117C6">
        <w:rPr>
          <w:rFonts w:ascii="Times New Roman" w:hAnsi="Times New Roman"/>
          <w:szCs w:val="24"/>
        </w:rPr>
        <w:t xml:space="preserve"> Corporation (</w:t>
      </w:r>
      <w:proofErr w:type="spellStart"/>
      <w:r w:rsidR="00E117C6">
        <w:rPr>
          <w:rFonts w:ascii="Times New Roman" w:hAnsi="Times New Roman"/>
          <w:szCs w:val="24"/>
        </w:rPr>
        <w:t>Avista</w:t>
      </w:r>
      <w:proofErr w:type="spellEnd"/>
      <w:r w:rsidR="00E117C6">
        <w:rPr>
          <w:rFonts w:ascii="Times New Roman" w:hAnsi="Times New Roman"/>
          <w:szCs w:val="24"/>
        </w:rPr>
        <w:t>)</w:t>
      </w:r>
      <w:r w:rsidR="00FF4B31" w:rsidRPr="00FF4B31">
        <w:rPr>
          <w:rFonts w:ascii="Times New Roman" w:hAnsi="Times New Roman"/>
          <w:szCs w:val="24"/>
        </w:rPr>
        <w:t xml:space="preserve">.  </w:t>
      </w:r>
      <w:r w:rsidR="0097679A">
        <w:rPr>
          <w:rFonts w:ascii="Times New Roman" w:hAnsi="Times New Roman"/>
          <w:szCs w:val="24"/>
        </w:rPr>
        <w:t>Mr. </w:t>
      </w:r>
      <w:r w:rsidR="00FF4B31" w:rsidRPr="00FF4B31">
        <w:rPr>
          <w:rFonts w:ascii="Times New Roman" w:hAnsi="Times New Roman"/>
          <w:szCs w:val="24"/>
        </w:rPr>
        <w:t xml:space="preserve">Elgin’s methods completely ignore the financial risk of a company which, along with business risk, are the two core elements used by rating agencies in determining a company’s credit rating and by the financial markets and investors to evaluate investment risk. </w:t>
      </w:r>
      <w:r w:rsidR="0097679A">
        <w:rPr>
          <w:rFonts w:ascii="Times New Roman" w:hAnsi="Times New Roman"/>
          <w:szCs w:val="24"/>
        </w:rPr>
        <w:t xml:space="preserve"> </w:t>
      </w:r>
      <w:r w:rsidR="00FF4B31" w:rsidRPr="00FF4B31">
        <w:rPr>
          <w:rFonts w:ascii="Times New Roman" w:hAnsi="Times New Roman"/>
          <w:szCs w:val="24"/>
        </w:rPr>
        <w:t xml:space="preserve">Ultimately, </w:t>
      </w:r>
      <w:r w:rsidR="0097679A">
        <w:rPr>
          <w:rFonts w:ascii="Times New Roman" w:hAnsi="Times New Roman"/>
          <w:szCs w:val="24"/>
        </w:rPr>
        <w:t>Dr. </w:t>
      </w:r>
      <w:proofErr w:type="spellStart"/>
      <w:r w:rsidR="00FF4B31" w:rsidRPr="00FF4B31">
        <w:rPr>
          <w:rFonts w:ascii="Times New Roman" w:hAnsi="Times New Roman"/>
          <w:szCs w:val="24"/>
        </w:rPr>
        <w:t>Hadaway’s</w:t>
      </w:r>
      <w:proofErr w:type="spellEnd"/>
      <w:r w:rsidR="00FF4B31" w:rsidRPr="00FF4B31">
        <w:rPr>
          <w:rFonts w:ascii="Times New Roman" w:hAnsi="Times New Roman"/>
          <w:szCs w:val="24"/>
        </w:rPr>
        <w:t xml:space="preserve"> selection criteria are very similar to the selection criteria used by Staff witness David C. </w:t>
      </w:r>
      <w:proofErr w:type="spellStart"/>
      <w:r w:rsidR="00FF4B31" w:rsidRPr="00FF4B31">
        <w:rPr>
          <w:rFonts w:ascii="Times New Roman" w:hAnsi="Times New Roman"/>
          <w:szCs w:val="24"/>
        </w:rPr>
        <w:t>Parcell</w:t>
      </w:r>
      <w:proofErr w:type="spellEnd"/>
      <w:r w:rsidR="00FF4B31" w:rsidRPr="00FF4B31">
        <w:rPr>
          <w:rFonts w:ascii="Times New Roman" w:hAnsi="Times New Roman"/>
          <w:szCs w:val="24"/>
        </w:rPr>
        <w:t xml:space="preserve"> in the Puget </w:t>
      </w:r>
      <w:r w:rsidR="00E117C6">
        <w:rPr>
          <w:rFonts w:ascii="Times New Roman" w:hAnsi="Times New Roman"/>
          <w:szCs w:val="24"/>
        </w:rPr>
        <w:t xml:space="preserve">Sound Energy, Inc. (Puget) </w:t>
      </w:r>
      <w:r w:rsidR="00096DE9">
        <w:rPr>
          <w:rFonts w:ascii="Times New Roman" w:hAnsi="Times New Roman"/>
          <w:szCs w:val="24"/>
        </w:rPr>
        <w:t xml:space="preserve">2009 </w:t>
      </w:r>
      <w:r w:rsidR="00E117C6">
        <w:rPr>
          <w:rFonts w:ascii="Times New Roman" w:hAnsi="Times New Roman"/>
          <w:szCs w:val="24"/>
        </w:rPr>
        <w:t>general rate case</w:t>
      </w:r>
      <w:r w:rsidR="0097679A">
        <w:rPr>
          <w:rFonts w:ascii="Times New Roman" w:hAnsi="Times New Roman"/>
          <w:szCs w:val="24"/>
        </w:rPr>
        <w:t xml:space="preserve"> (</w:t>
      </w:r>
      <w:r w:rsidR="00096DE9">
        <w:rPr>
          <w:rFonts w:ascii="Times New Roman" w:hAnsi="Times New Roman"/>
          <w:szCs w:val="24"/>
        </w:rPr>
        <w:t xml:space="preserve">Puget </w:t>
      </w:r>
      <w:r w:rsidR="0097679A">
        <w:rPr>
          <w:rFonts w:ascii="Times New Roman" w:hAnsi="Times New Roman"/>
          <w:szCs w:val="24"/>
        </w:rPr>
        <w:t>GRC)</w:t>
      </w:r>
      <w:r w:rsidR="00FF4B31" w:rsidRPr="00FF4B31">
        <w:rPr>
          <w:rFonts w:ascii="Times New Roman" w:hAnsi="Times New Roman"/>
          <w:szCs w:val="24"/>
        </w:rPr>
        <w:t>.</w:t>
      </w:r>
      <w:r w:rsidR="00096DE9">
        <w:rPr>
          <w:rStyle w:val="FootnoteReference"/>
          <w:rFonts w:ascii="Times New Roman" w:hAnsi="Times New Roman"/>
          <w:szCs w:val="24"/>
        </w:rPr>
        <w:footnoteReference w:id="19"/>
      </w:r>
      <w:r w:rsidR="00FF4B31" w:rsidRPr="00FF4B31">
        <w:rPr>
          <w:rFonts w:ascii="Times New Roman" w:hAnsi="Times New Roman"/>
          <w:szCs w:val="24"/>
        </w:rPr>
        <w:t xml:space="preserve">   In contrast, </w:t>
      </w:r>
      <w:r w:rsidR="0097679A">
        <w:rPr>
          <w:rFonts w:ascii="Times New Roman" w:hAnsi="Times New Roman"/>
          <w:szCs w:val="24"/>
        </w:rPr>
        <w:t>Mr. </w:t>
      </w:r>
      <w:r w:rsidR="00FF4B31" w:rsidRPr="00FF4B31">
        <w:rPr>
          <w:rFonts w:ascii="Times New Roman" w:hAnsi="Times New Roman"/>
          <w:szCs w:val="24"/>
        </w:rPr>
        <w:t>Elgin’s selection criteria are completely different</w:t>
      </w:r>
      <w:r w:rsidR="0097679A">
        <w:rPr>
          <w:rFonts w:ascii="Times New Roman" w:hAnsi="Times New Roman"/>
          <w:szCs w:val="24"/>
        </w:rPr>
        <w:t xml:space="preserve"> from Mr. </w:t>
      </w:r>
      <w:proofErr w:type="spellStart"/>
      <w:r w:rsidR="00FF4B31" w:rsidRPr="00FF4B31">
        <w:rPr>
          <w:rFonts w:ascii="Times New Roman" w:hAnsi="Times New Roman"/>
          <w:szCs w:val="24"/>
        </w:rPr>
        <w:t>Parcell’s</w:t>
      </w:r>
      <w:proofErr w:type="spellEnd"/>
      <w:r w:rsidR="00FF4B31" w:rsidRPr="00FF4B31">
        <w:rPr>
          <w:rFonts w:ascii="Times New Roman" w:hAnsi="Times New Roman"/>
          <w:szCs w:val="24"/>
        </w:rPr>
        <w:t xml:space="preserve">.   </w:t>
      </w:r>
    </w:p>
    <w:p w:rsidR="00BC4594" w:rsidRDefault="00BC4594" w:rsidP="00FF4B31">
      <w:pPr>
        <w:keepNext/>
        <w:spacing w:after="240"/>
        <w:ind w:left="1440" w:hanging="720"/>
        <w:rPr>
          <w:rFonts w:ascii="Times New Roman" w:hAnsi="Times New Roman"/>
          <w:b/>
          <w:szCs w:val="24"/>
        </w:rPr>
      </w:pPr>
      <w:proofErr w:type="gramStart"/>
      <w:r>
        <w:rPr>
          <w:rFonts w:ascii="Times New Roman" w:hAnsi="Times New Roman"/>
          <w:b/>
          <w:szCs w:val="24"/>
        </w:rPr>
        <w:t>3</w:t>
      </w:r>
      <w:r w:rsidRPr="00845C6E">
        <w:rPr>
          <w:rFonts w:ascii="Times New Roman" w:hAnsi="Times New Roman"/>
          <w:b/>
          <w:szCs w:val="24"/>
        </w:rPr>
        <w:t>.</w:t>
      </w:r>
      <w:proofErr w:type="gramEnd"/>
      <w:r>
        <w:rPr>
          <w:rFonts w:ascii="Times New Roman" w:hAnsi="Times New Roman"/>
          <w:b/>
          <w:szCs w:val="24"/>
        </w:rPr>
        <w:tab/>
        <w:t xml:space="preserve">Staff’s DCF Analysis Is Not Transparent, Nor Does it Capture Investor Expectations. </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rPr>
        <w:tab/>
      </w:r>
      <w:r w:rsidR="00BC4594" w:rsidRPr="00DB2D4C">
        <w:rPr>
          <w:rFonts w:ascii="Times New Roman" w:hAnsi="Times New Roman"/>
          <w:szCs w:val="24"/>
        </w:rPr>
        <w:t xml:space="preserve">Staff </w:t>
      </w:r>
      <w:r w:rsidR="00BC4594">
        <w:rPr>
          <w:rFonts w:ascii="Times New Roman" w:hAnsi="Times New Roman"/>
          <w:szCs w:val="24"/>
        </w:rPr>
        <w:t>claims that it approached its DCF analysis like a prudent investor, evaluating and applying the data in a careful and transparent manner.</w:t>
      </w:r>
      <w:r w:rsidR="00BC4594">
        <w:rPr>
          <w:rStyle w:val="FootnoteReference"/>
          <w:rFonts w:ascii="Times New Roman" w:hAnsi="Times New Roman"/>
          <w:szCs w:val="24"/>
        </w:rPr>
        <w:footnoteReference w:id="20"/>
      </w:r>
      <w:r w:rsidR="00BC4594">
        <w:rPr>
          <w:rFonts w:ascii="Times New Roman" w:hAnsi="Times New Roman"/>
          <w:szCs w:val="24"/>
        </w:rPr>
        <w:t xml:space="preserve">  The record demonstrates that </w:t>
      </w:r>
      <w:r w:rsidR="0097679A">
        <w:rPr>
          <w:rFonts w:ascii="Times New Roman" w:hAnsi="Times New Roman"/>
          <w:szCs w:val="24"/>
        </w:rPr>
        <w:t>Mr. </w:t>
      </w:r>
      <w:r w:rsidR="00BC4594">
        <w:rPr>
          <w:rFonts w:ascii="Times New Roman" w:hAnsi="Times New Roman"/>
          <w:szCs w:val="24"/>
        </w:rPr>
        <w:t xml:space="preserve">Elgin made ad hoc adjustments to every growth rate he considered, many of which were not transparent or in any way tied to verifiable investor expectations.  For example, </w:t>
      </w:r>
      <w:r w:rsidR="0097679A">
        <w:rPr>
          <w:rFonts w:ascii="Times New Roman" w:hAnsi="Times New Roman"/>
          <w:szCs w:val="24"/>
        </w:rPr>
        <w:t>Mr. </w:t>
      </w:r>
      <w:r w:rsidR="00BC4594">
        <w:rPr>
          <w:rFonts w:ascii="Times New Roman" w:hAnsi="Times New Roman"/>
          <w:szCs w:val="24"/>
        </w:rPr>
        <w:t>Elgin gave significant weight to growth in retained earnings, which he measured using “b times r” data.</w:t>
      </w:r>
      <w:r w:rsidR="00BC4594">
        <w:rPr>
          <w:rStyle w:val="FootnoteReference"/>
          <w:rFonts w:ascii="Times New Roman" w:hAnsi="Times New Roman"/>
          <w:szCs w:val="24"/>
        </w:rPr>
        <w:footnoteReference w:id="21"/>
      </w:r>
      <w:r w:rsidR="00BC4594">
        <w:rPr>
          <w:rFonts w:ascii="Times New Roman" w:hAnsi="Times New Roman"/>
          <w:szCs w:val="24"/>
        </w:rPr>
        <w:t xml:space="preserve">  </w:t>
      </w:r>
      <w:r w:rsidR="0097679A">
        <w:rPr>
          <w:rFonts w:ascii="Times New Roman" w:hAnsi="Times New Roman"/>
          <w:szCs w:val="24"/>
        </w:rPr>
        <w:t>Mr. </w:t>
      </w:r>
      <w:r w:rsidR="00BC4594">
        <w:rPr>
          <w:rFonts w:ascii="Times New Roman" w:hAnsi="Times New Roman"/>
          <w:szCs w:val="24"/>
        </w:rPr>
        <w:t xml:space="preserve">Elgin’s testimony explains that, in this analysis, he adjusted the earned returns of </w:t>
      </w:r>
      <w:proofErr w:type="spellStart"/>
      <w:r w:rsidR="00BC4594">
        <w:rPr>
          <w:rFonts w:ascii="Times New Roman" w:hAnsi="Times New Roman"/>
          <w:szCs w:val="24"/>
        </w:rPr>
        <w:t>IdaCorp</w:t>
      </w:r>
      <w:proofErr w:type="spellEnd"/>
      <w:r w:rsidR="00BC4594">
        <w:rPr>
          <w:rFonts w:ascii="Times New Roman" w:hAnsi="Times New Roman"/>
          <w:szCs w:val="24"/>
        </w:rPr>
        <w:t xml:space="preserve"> and DPL, and excluded </w:t>
      </w:r>
      <w:proofErr w:type="spellStart"/>
      <w:r w:rsidR="00BC4594">
        <w:rPr>
          <w:rFonts w:ascii="Times New Roman" w:hAnsi="Times New Roman"/>
          <w:szCs w:val="24"/>
        </w:rPr>
        <w:t>Avista</w:t>
      </w:r>
      <w:proofErr w:type="spellEnd"/>
      <w:r w:rsidR="00BC4594">
        <w:rPr>
          <w:rFonts w:ascii="Times New Roman" w:hAnsi="Times New Roman"/>
          <w:szCs w:val="24"/>
        </w:rPr>
        <w:t>.</w:t>
      </w:r>
      <w:r w:rsidR="00BC4594">
        <w:rPr>
          <w:rStyle w:val="FootnoteReference"/>
          <w:rFonts w:ascii="Times New Roman" w:hAnsi="Times New Roman"/>
          <w:szCs w:val="24"/>
        </w:rPr>
        <w:footnoteReference w:id="22"/>
      </w:r>
      <w:r w:rsidR="00BC4594">
        <w:rPr>
          <w:rFonts w:ascii="Times New Roman" w:hAnsi="Times New Roman"/>
          <w:szCs w:val="24"/>
        </w:rPr>
        <w:t xml:space="preserve">  His handwritten work papers, however, suggest additional adjustments to other companies not referenced in the testimony.</w:t>
      </w:r>
      <w:r w:rsidR="00BC4594">
        <w:rPr>
          <w:rStyle w:val="FootnoteReference"/>
          <w:rFonts w:ascii="Times New Roman" w:hAnsi="Times New Roman"/>
          <w:szCs w:val="24"/>
        </w:rPr>
        <w:footnoteReference w:id="23"/>
      </w:r>
      <w:r w:rsidR="00BC4594">
        <w:rPr>
          <w:rFonts w:ascii="Times New Roman" w:hAnsi="Times New Roman"/>
          <w:szCs w:val="24"/>
        </w:rPr>
        <w:t xml:space="preserve">  Confirming this, </w:t>
      </w:r>
      <w:r w:rsidR="0097679A">
        <w:rPr>
          <w:rFonts w:ascii="Times New Roman" w:hAnsi="Times New Roman"/>
          <w:szCs w:val="24"/>
        </w:rPr>
        <w:t>Dr. </w:t>
      </w:r>
      <w:proofErr w:type="spellStart"/>
      <w:r w:rsidR="00BC4594">
        <w:rPr>
          <w:rFonts w:ascii="Times New Roman" w:hAnsi="Times New Roman"/>
          <w:szCs w:val="24"/>
        </w:rPr>
        <w:t>Hadaway’s</w:t>
      </w:r>
      <w:proofErr w:type="spellEnd"/>
      <w:r w:rsidR="00BC4594">
        <w:rPr>
          <w:rFonts w:ascii="Times New Roman" w:hAnsi="Times New Roman"/>
          <w:szCs w:val="24"/>
        </w:rPr>
        <w:t xml:space="preserve"> restatement of </w:t>
      </w:r>
      <w:r w:rsidR="0097679A">
        <w:rPr>
          <w:rFonts w:ascii="Times New Roman" w:hAnsi="Times New Roman"/>
          <w:szCs w:val="24"/>
        </w:rPr>
        <w:t>Mr. </w:t>
      </w:r>
      <w:r w:rsidR="00BC4594">
        <w:rPr>
          <w:rFonts w:ascii="Times New Roman" w:hAnsi="Times New Roman"/>
          <w:szCs w:val="24"/>
        </w:rPr>
        <w:t xml:space="preserve">Elgin’s analysis from unadjusted Value Line data for </w:t>
      </w:r>
      <w:r w:rsidR="0097679A">
        <w:rPr>
          <w:rFonts w:ascii="Times New Roman" w:hAnsi="Times New Roman"/>
          <w:szCs w:val="24"/>
        </w:rPr>
        <w:t>Mr. </w:t>
      </w:r>
      <w:r w:rsidR="00BC4594">
        <w:rPr>
          <w:rFonts w:ascii="Times New Roman" w:hAnsi="Times New Roman"/>
          <w:szCs w:val="24"/>
        </w:rPr>
        <w:t xml:space="preserve">Elgin’s proxy group shows a different “b times r” result for every single company—producing a growth rate of 5.61% instead of </w:t>
      </w:r>
      <w:r w:rsidR="0097679A">
        <w:rPr>
          <w:rFonts w:ascii="Times New Roman" w:hAnsi="Times New Roman"/>
          <w:szCs w:val="24"/>
        </w:rPr>
        <w:t>Mr. </w:t>
      </w:r>
      <w:r w:rsidR="00BC4594">
        <w:rPr>
          <w:rFonts w:ascii="Times New Roman" w:hAnsi="Times New Roman"/>
          <w:szCs w:val="24"/>
        </w:rPr>
        <w:t>Elgin’s 5.0% result.</w:t>
      </w:r>
      <w:r w:rsidR="00BC4594">
        <w:rPr>
          <w:rStyle w:val="FootnoteReference"/>
          <w:rFonts w:ascii="Times New Roman" w:hAnsi="Times New Roman"/>
          <w:szCs w:val="24"/>
        </w:rPr>
        <w:footnoteReference w:id="24"/>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 xml:space="preserve">One of the adjustments </w:t>
      </w:r>
      <w:r w:rsidR="0097679A">
        <w:rPr>
          <w:rFonts w:ascii="Times New Roman" w:hAnsi="Times New Roman"/>
          <w:szCs w:val="24"/>
        </w:rPr>
        <w:t>Mr. </w:t>
      </w:r>
      <w:r w:rsidR="00BC4594">
        <w:rPr>
          <w:rFonts w:ascii="Times New Roman" w:hAnsi="Times New Roman"/>
          <w:szCs w:val="24"/>
        </w:rPr>
        <w:t xml:space="preserve">Elgin makes to his “b </w:t>
      </w:r>
      <w:proofErr w:type="gramStart"/>
      <w:r w:rsidR="00BC4594">
        <w:rPr>
          <w:rFonts w:ascii="Times New Roman" w:hAnsi="Times New Roman"/>
          <w:szCs w:val="24"/>
        </w:rPr>
        <w:t>times</w:t>
      </w:r>
      <w:proofErr w:type="gramEnd"/>
      <w:r w:rsidR="00BC4594">
        <w:rPr>
          <w:rFonts w:ascii="Times New Roman" w:hAnsi="Times New Roman"/>
          <w:szCs w:val="24"/>
        </w:rPr>
        <w:t xml:space="preserve"> r” results is to increase any earned return on book equity up or down to 10% as a reasonable approximation of a utility’s expected earnings.</w:t>
      </w:r>
      <w:r w:rsidR="00BC4594">
        <w:rPr>
          <w:rStyle w:val="FootnoteReference"/>
          <w:rFonts w:ascii="Times New Roman" w:hAnsi="Times New Roman"/>
          <w:szCs w:val="24"/>
        </w:rPr>
        <w:footnoteReference w:id="25"/>
      </w:r>
      <w:r w:rsidR="00BC4594">
        <w:rPr>
          <w:rFonts w:ascii="Times New Roman" w:hAnsi="Times New Roman"/>
          <w:szCs w:val="24"/>
        </w:rPr>
        <w:t xml:space="preserve">  Tellingly, </w:t>
      </w:r>
      <w:r w:rsidR="0097679A">
        <w:rPr>
          <w:rFonts w:ascii="Times New Roman" w:hAnsi="Times New Roman"/>
          <w:szCs w:val="24"/>
        </w:rPr>
        <w:t>Mr. </w:t>
      </w:r>
      <w:r w:rsidR="00BC4594">
        <w:rPr>
          <w:rFonts w:ascii="Times New Roman" w:hAnsi="Times New Roman"/>
          <w:szCs w:val="24"/>
        </w:rPr>
        <w:t xml:space="preserve">Elgin’s proposed “floor” is not his 9.5% ROE recommendation in this case, a tacit acknowledgement that an ROE at this level does not comport with his own reasonable approximation of a utility’s expected earnings or utility investor expectations.  </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 xml:space="preserve">Staff’s brief contrasts </w:t>
      </w:r>
      <w:r w:rsidR="0097679A">
        <w:rPr>
          <w:rFonts w:ascii="Times New Roman" w:hAnsi="Times New Roman"/>
          <w:szCs w:val="24"/>
        </w:rPr>
        <w:t>Mr. </w:t>
      </w:r>
      <w:r w:rsidR="00BC4594">
        <w:rPr>
          <w:rFonts w:ascii="Times New Roman" w:hAnsi="Times New Roman"/>
          <w:szCs w:val="24"/>
        </w:rPr>
        <w:t xml:space="preserve">Elgin’s approach with </w:t>
      </w:r>
      <w:r w:rsidR="0097679A">
        <w:rPr>
          <w:rFonts w:ascii="Times New Roman" w:hAnsi="Times New Roman"/>
          <w:szCs w:val="24"/>
        </w:rPr>
        <w:t>Dr. </w:t>
      </w:r>
      <w:proofErr w:type="spellStart"/>
      <w:r w:rsidR="00BC4594">
        <w:rPr>
          <w:rFonts w:ascii="Times New Roman" w:hAnsi="Times New Roman"/>
          <w:szCs w:val="24"/>
        </w:rPr>
        <w:t>Hadaway’s</w:t>
      </w:r>
      <w:proofErr w:type="spellEnd"/>
      <w:r w:rsidR="00BC4594">
        <w:rPr>
          <w:rFonts w:ascii="Times New Roman" w:hAnsi="Times New Roman"/>
          <w:szCs w:val="24"/>
        </w:rPr>
        <w:t>, which it claims was to take “highly dispersed data and ‘just average everything.’”</w:t>
      </w:r>
      <w:r w:rsidR="00BC4594">
        <w:rPr>
          <w:rStyle w:val="FootnoteReference"/>
          <w:rFonts w:ascii="Times New Roman" w:hAnsi="Times New Roman"/>
          <w:szCs w:val="24"/>
        </w:rPr>
        <w:footnoteReference w:id="26"/>
      </w:r>
      <w:r w:rsidR="00BC4594">
        <w:rPr>
          <w:rFonts w:ascii="Times New Roman" w:hAnsi="Times New Roman"/>
          <w:szCs w:val="24"/>
        </w:rPr>
        <w:t xml:space="preserve"> </w:t>
      </w:r>
      <w:r w:rsidR="0097679A">
        <w:rPr>
          <w:rFonts w:ascii="Times New Roman" w:hAnsi="Times New Roman"/>
          <w:szCs w:val="24"/>
        </w:rPr>
        <w:t xml:space="preserve"> </w:t>
      </w:r>
      <w:r w:rsidR="00BC4594">
        <w:rPr>
          <w:rFonts w:ascii="Times New Roman" w:hAnsi="Times New Roman"/>
          <w:szCs w:val="24"/>
        </w:rPr>
        <w:t xml:space="preserve">Correctly characterized, </w:t>
      </w:r>
      <w:r w:rsidR="0097679A">
        <w:rPr>
          <w:rFonts w:ascii="Times New Roman" w:hAnsi="Times New Roman"/>
          <w:szCs w:val="24"/>
        </w:rPr>
        <w:t>Dr. </w:t>
      </w:r>
      <w:proofErr w:type="spellStart"/>
      <w:r w:rsidR="00BC4594">
        <w:rPr>
          <w:rFonts w:ascii="Times New Roman" w:hAnsi="Times New Roman"/>
          <w:szCs w:val="24"/>
        </w:rPr>
        <w:t>Hadaway’s</w:t>
      </w:r>
      <w:proofErr w:type="spellEnd"/>
      <w:r w:rsidR="00BC4594">
        <w:rPr>
          <w:rFonts w:ascii="Times New Roman" w:hAnsi="Times New Roman"/>
          <w:szCs w:val="24"/>
        </w:rPr>
        <w:t xml:space="preserve"> approach was to analyze a reasonable amount of data (tested to assure comparability with unbiased and verifiable third party opinions (</w:t>
      </w:r>
      <w:r w:rsidR="00BC4594" w:rsidRPr="003D5A60">
        <w:rPr>
          <w:rFonts w:ascii="Times New Roman" w:hAnsi="Times New Roman"/>
          <w:i/>
          <w:szCs w:val="24"/>
        </w:rPr>
        <w:t>i.e.</w:t>
      </w:r>
      <w:r w:rsidR="00BC4594">
        <w:rPr>
          <w:rFonts w:ascii="Times New Roman" w:hAnsi="Times New Roman"/>
          <w:szCs w:val="24"/>
        </w:rPr>
        <w:t xml:space="preserve"> credit ratings)), compile and report the data without ad hoc adjustments, and then apply professional judgment as to the weight to be accorded to the range of results.</w:t>
      </w:r>
      <w:r w:rsidR="0097679A">
        <w:rPr>
          <w:rFonts w:ascii="Times New Roman" w:hAnsi="Times New Roman"/>
          <w:szCs w:val="24"/>
        </w:rPr>
        <w:t xml:space="preserve"> </w:t>
      </w:r>
      <w:r w:rsidR="00BC4594">
        <w:rPr>
          <w:rFonts w:ascii="Times New Roman" w:hAnsi="Times New Roman"/>
          <w:szCs w:val="24"/>
        </w:rPr>
        <w:t xml:space="preserve"> This is the same approach applied by most cost of capital witnesses, including Staff witness </w:t>
      </w:r>
      <w:r w:rsidR="0097679A">
        <w:rPr>
          <w:rFonts w:ascii="Times New Roman" w:hAnsi="Times New Roman"/>
          <w:szCs w:val="24"/>
        </w:rPr>
        <w:t>Mr. </w:t>
      </w:r>
      <w:proofErr w:type="spellStart"/>
      <w:r w:rsidR="00BC4594">
        <w:rPr>
          <w:rFonts w:ascii="Times New Roman" w:hAnsi="Times New Roman"/>
          <w:szCs w:val="24"/>
        </w:rPr>
        <w:t>Parcell</w:t>
      </w:r>
      <w:proofErr w:type="spellEnd"/>
      <w:r w:rsidR="00BC4594">
        <w:rPr>
          <w:rFonts w:ascii="Times New Roman" w:hAnsi="Times New Roman"/>
          <w:szCs w:val="24"/>
        </w:rPr>
        <w:t xml:space="preserve"> in the Puget GRC.</w:t>
      </w:r>
    </w:p>
    <w:p w:rsidR="00BC4594" w:rsidRPr="00845C6E" w:rsidRDefault="00BC4594" w:rsidP="003A270F">
      <w:pPr>
        <w:keepNext/>
        <w:spacing w:after="240"/>
        <w:ind w:left="1440" w:hanging="720"/>
        <w:rPr>
          <w:rFonts w:ascii="Times New Roman" w:hAnsi="Times New Roman"/>
          <w:szCs w:val="24"/>
        </w:rPr>
      </w:pPr>
      <w:r>
        <w:rPr>
          <w:rFonts w:ascii="Times New Roman" w:hAnsi="Times New Roman"/>
          <w:b/>
          <w:szCs w:val="24"/>
        </w:rPr>
        <w:t>4</w:t>
      </w:r>
      <w:r w:rsidRPr="00845C6E">
        <w:rPr>
          <w:rFonts w:ascii="Times New Roman" w:hAnsi="Times New Roman"/>
          <w:b/>
          <w:szCs w:val="24"/>
        </w:rPr>
        <w:t>.</w:t>
      </w:r>
      <w:r w:rsidRPr="00845C6E">
        <w:rPr>
          <w:rFonts w:ascii="Times New Roman" w:hAnsi="Times New Roman"/>
          <w:b/>
          <w:szCs w:val="24"/>
        </w:rPr>
        <w:tab/>
      </w:r>
      <w:r w:rsidR="0097679A">
        <w:rPr>
          <w:rFonts w:ascii="Times New Roman" w:hAnsi="Times New Roman"/>
          <w:b/>
          <w:szCs w:val="24"/>
        </w:rPr>
        <w:t>Dr. </w:t>
      </w:r>
      <w:proofErr w:type="spellStart"/>
      <w:r w:rsidRPr="00845C6E">
        <w:rPr>
          <w:rFonts w:ascii="Times New Roman" w:hAnsi="Times New Roman"/>
          <w:b/>
          <w:szCs w:val="24"/>
        </w:rPr>
        <w:t>Hadaway’s</w:t>
      </w:r>
      <w:proofErr w:type="spellEnd"/>
      <w:r w:rsidRPr="00845C6E">
        <w:rPr>
          <w:rFonts w:ascii="Times New Roman" w:hAnsi="Times New Roman"/>
          <w:b/>
          <w:szCs w:val="24"/>
        </w:rPr>
        <w:t xml:space="preserve"> Reliance on Long-term GDP Growth is Appropriate.</w:t>
      </w:r>
      <w:r w:rsidRPr="00845C6E">
        <w:rPr>
          <w:rFonts w:ascii="Times New Roman" w:hAnsi="Times New Roman"/>
          <w:b/>
          <w:szCs w:val="24"/>
        </w:rPr>
        <w:tab/>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sidRPr="00845C6E">
        <w:rPr>
          <w:rFonts w:ascii="Times New Roman" w:hAnsi="Times New Roman"/>
          <w:szCs w:val="24"/>
        </w:rPr>
        <w:t xml:space="preserve">Staff criticizes </w:t>
      </w:r>
      <w:r w:rsidR="0097679A">
        <w:rPr>
          <w:rFonts w:ascii="Times New Roman" w:hAnsi="Times New Roman"/>
          <w:szCs w:val="24"/>
        </w:rPr>
        <w:t>Dr. </w:t>
      </w:r>
      <w:proofErr w:type="spellStart"/>
      <w:r w:rsidR="00BC4594" w:rsidRPr="00845C6E">
        <w:rPr>
          <w:rFonts w:ascii="Times New Roman" w:hAnsi="Times New Roman"/>
          <w:szCs w:val="24"/>
        </w:rPr>
        <w:t>Hadaway’s</w:t>
      </w:r>
      <w:proofErr w:type="spellEnd"/>
      <w:r w:rsidR="00BC4594" w:rsidRPr="00845C6E">
        <w:rPr>
          <w:rFonts w:ascii="Times New Roman" w:hAnsi="Times New Roman"/>
          <w:szCs w:val="24"/>
        </w:rPr>
        <w:t xml:space="preserve"> use of a </w:t>
      </w:r>
      <w:r w:rsidR="00BC4594">
        <w:rPr>
          <w:rFonts w:ascii="Times New Roman" w:hAnsi="Times New Roman"/>
          <w:szCs w:val="24"/>
        </w:rPr>
        <w:t xml:space="preserve">long-term </w:t>
      </w:r>
      <w:r w:rsidR="00BC4594" w:rsidRPr="00845C6E">
        <w:rPr>
          <w:rFonts w:ascii="Times New Roman" w:hAnsi="Times New Roman"/>
          <w:szCs w:val="24"/>
        </w:rPr>
        <w:t xml:space="preserve">GDP growth rate </w:t>
      </w:r>
      <w:r w:rsidR="00BC4594">
        <w:rPr>
          <w:rFonts w:ascii="Times New Roman" w:hAnsi="Times New Roman"/>
          <w:szCs w:val="24"/>
        </w:rPr>
        <w:t>forecast, developed with historic GDP data.</w:t>
      </w:r>
      <w:r w:rsidR="00BC4594" w:rsidRPr="00845C6E">
        <w:rPr>
          <w:rStyle w:val="FootnoteReference"/>
          <w:rFonts w:ascii="Times New Roman" w:hAnsi="Times New Roman"/>
          <w:szCs w:val="24"/>
        </w:rPr>
        <w:footnoteReference w:id="27"/>
      </w:r>
      <w:r w:rsidR="00BC4594" w:rsidRPr="00845C6E">
        <w:rPr>
          <w:rFonts w:ascii="Times New Roman" w:hAnsi="Times New Roman"/>
          <w:szCs w:val="24"/>
        </w:rPr>
        <w:t xml:space="preserve"> </w:t>
      </w:r>
      <w:r w:rsidR="00BC4594">
        <w:rPr>
          <w:rFonts w:ascii="Times New Roman" w:hAnsi="Times New Roman"/>
          <w:szCs w:val="24"/>
        </w:rPr>
        <w:t xml:space="preserve"> Staff claims that </w:t>
      </w:r>
      <w:r w:rsidR="0097679A">
        <w:rPr>
          <w:rFonts w:ascii="Times New Roman" w:hAnsi="Times New Roman"/>
          <w:szCs w:val="24"/>
        </w:rPr>
        <w:t>Dr. </w:t>
      </w:r>
      <w:proofErr w:type="spellStart"/>
      <w:r w:rsidR="00BC4594">
        <w:rPr>
          <w:rFonts w:ascii="Times New Roman" w:hAnsi="Times New Roman"/>
          <w:szCs w:val="24"/>
        </w:rPr>
        <w:t>Hadaway</w:t>
      </w:r>
      <w:proofErr w:type="spellEnd"/>
      <w:r w:rsidR="00BC4594">
        <w:rPr>
          <w:rFonts w:ascii="Times New Roman" w:hAnsi="Times New Roman"/>
          <w:szCs w:val="24"/>
        </w:rPr>
        <w:t xml:space="preserve"> should have used one of the available “long-term” forecasts similar to those cited by Staff and ICNU.  Staff is incorrect to refer to Staff’s and ICNU’s GDP forecasts as “long-term.”</w:t>
      </w:r>
      <w:r w:rsidR="00BC4594">
        <w:rPr>
          <w:rStyle w:val="FootnoteReference"/>
          <w:rFonts w:ascii="Times New Roman" w:hAnsi="Times New Roman"/>
          <w:szCs w:val="24"/>
        </w:rPr>
        <w:footnoteReference w:id="28"/>
      </w:r>
      <w:r w:rsidR="00BC4594">
        <w:rPr>
          <w:rFonts w:ascii="Times New Roman" w:hAnsi="Times New Roman"/>
          <w:szCs w:val="24"/>
        </w:rPr>
        <w:t xml:space="preserve"> The longest range forecast used by Staff or ICNU is ten years (</w:t>
      </w:r>
      <w:r w:rsidR="0097679A">
        <w:rPr>
          <w:rFonts w:ascii="Times New Roman" w:hAnsi="Times New Roman"/>
          <w:szCs w:val="24"/>
        </w:rPr>
        <w:t>Mr. </w:t>
      </w:r>
      <w:r w:rsidR="00BC4594">
        <w:rPr>
          <w:rFonts w:ascii="Times New Roman" w:hAnsi="Times New Roman"/>
          <w:szCs w:val="24"/>
        </w:rPr>
        <w:t>Gorman’s 10-year Blue Chip forecast).</w:t>
      </w:r>
      <w:r w:rsidR="00BC4594">
        <w:rPr>
          <w:rStyle w:val="FootnoteReference"/>
          <w:rFonts w:ascii="Times New Roman" w:hAnsi="Times New Roman"/>
          <w:szCs w:val="24"/>
        </w:rPr>
        <w:footnoteReference w:id="29"/>
      </w:r>
      <w:r w:rsidR="00BC4594">
        <w:rPr>
          <w:rFonts w:ascii="Times New Roman" w:hAnsi="Times New Roman"/>
          <w:szCs w:val="24"/>
        </w:rPr>
        <w:t xml:space="preserve">  While </w:t>
      </w:r>
      <w:r w:rsidR="0097679A">
        <w:rPr>
          <w:rFonts w:ascii="Times New Roman" w:hAnsi="Times New Roman"/>
          <w:szCs w:val="24"/>
        </w:rPr>
        <w:t>Mr. </w:t>
      </w:r>
      <w:r w:rsidR="00BC4594">
        <w:rPr>
          <w:rFonts w:ascii="Times New Roman" w:hAnsi="Times New Roman"/>
          <w:szCs w:val="24"/>
        </w:rPr>
        <w:t>Elgin points to the “long run” Federal Reserve forecast,</w:t>
      </w:r>
      <w:r w:rsidR="00BC4594">
        <w:rPr>
          <w:rStyle w:val="FootnoteReference"/>
          <w:rFonts w:ascii="Times New Roman" w:hAnsi="Times New Roman"/>
          <w:szCs w:val="24"/>
        </w:rPr>
        <w:footnoteReference w:id="30"/>
      </w:r>
      <w:r w:rsidR="00BC4594">
        <w:rPr>
          <w:rFonts w:ascii="Times New Roman" w:hAnsi="Times New Roman"/>
          <w:szCs w:val="24"/>
        </w:rPr>
        <w:t xml:space="preserve"> the term “long run” projects to a point of economic stability, not a specific long-term time horizon.</w:t>
      </w:r>
      <w:r w:rsidR="00BC4594">
        <w:rPr>
          <w:rStyle w:val="FootnoteReference"/>
          <w:rFonts w:ascii="Times New Roman" w:hAnsi="Times New Roman"/>
          <w:szCs w:val="24"/>
        </w:rPr>
        <w:footnoteReference w:id="31"/>
      </w:r>
      <w:r w:rsidR="00BC4594">
        <w:rPr>
          <w:rFonts w:ascii="Times New Roman" w:hAnsi="Times New Roman"/>
          <w:szCs w:val="24"/>
        </w:rPr>
        <w:t xml:space="preserve">  Unlike the GDP forecasts cited by Staff and ICNU, </w:t>
      </w:r>
      <w:r w:rsidR="0097679A">
        <w:rPr>
          <w:rFonts w:ascii="Times New Roman" w:hAnsi="Times New Roman"/>
          <w:szCs w:val="24"/>
        </w:rPr>
        <w:t>Dr. </w:t>
      </w:r>
      <w:proofErr w:type="spellStart"/>
      <w:r w:rsidR="00BC4594">
        <w:rPr>
          <w:rFonts w:ascii="Times New Roman" w:hAnsi="Times New Roman"/>
          <w:szCs w:val="24"/>
        </w:rPr>
        <w:t>Hadaway’s</w:t>
      </w:r>
      <w:proofErr w:type="spellEnd"/>
      <w:r w:rsidR="00BC4594">
        <w:rPr>
          <w:rFonts w:ascii="Times New Roman" w:hAnsi="Times New Roman"/>
          <w:szCs w:val="24"/>
        </w:rPr>
        <w:t xml:space="preserve"> GDP forecast is developed specifically to project long-term GDP growth to meet the requirements of the DCF model.    </w:t>
      </w:r>
    </w:p>
    <w:p w:rsidR="00BC4594" w:rsidRDefault="00BC4594" w:rsidP="003A270F">
      <w:pPr>
        <w:keepNext/>
        <w:spacing w:after="240"/>
        <w:ind w:left="1440" w:hanging="720"/>
        <w:rPr>
          <w:rFonts w:ascii="Times New Roman" w:hAnsi="Times New Roman"/>
          <w:b/>
          <w:szCs w:val="24"/>
        </w:rPr>
      </w:pPr>
      <w:r>
        <w:rPr>
          <w:rFonts w:ascii="Times New Roman" w:hAnsi="Times New Roman"/>
          <w:b/>
          <w:szCs w:val="24"/>
        </w:rPr>
        <w:t>5</w:t>
      </w:r>
      <w:r w:rsidRPr="00845C6E">
        <w:rPr>
          <w:rFonts w:ascii="Times New Roman" w:hAnsi="Times New Roman"/>
          <w:b/>
          <w:szCs w:val="24"/>
        </w:rPr>
        <w:t>.</w:t>
      </w:r>
      <w:r w:rsidRPr="00845C6E">
        <w:rPr>
          <w:rFonts w:ascii="Times New Roman" w:hAnsi="Times New Roman"/>
          <w:b/>
          <w:szCs w:val="24"/>
        </w:rPr>
        <w:tab/>
        <w:t xml:space="preserve">ICNU Fails to </w:t>
      </w:r>
      <w:r w:rsidR="00F61DB3">
        <w:rPr>
          <w:rFonts w:ascii="Times New Roman" w:hAnsi="Times New Roman"/>
          <w:b/>
          <w:szCs w:val="24"/>
        </w:rPr>
        <w:t>Reconcile</w:t>
      </w:r>
      <w:r w:rsidRPr="00845C6E">
        <w:rPr>
          <w:rFonts w:ascii="Times New Roman" w:hAnsi="Times New Roman"/>
          <w:b/>
          <w:szCs w:val="24"/>
        </w:rPr>
        <w:t xml:space="preserve"> its Reliance </w:t>
      </w:r>
      <w:r w:rsidR="00F61DB3">
        <w:rPr>
          <w:rFonts w:ascii="Times New Roman" w:hAnsi="Times New Roman"/>
          <w:b/>
          <w:szCs w:val="24"/>
        </w:rPr>
        <w:t>on Forecast GDP Growth Rates With</w:t>
      </w:r>
      <w:r w:rsidRPr="00845C6E">
        <w:rPr>
          <w:rFonts w:ascii="Times New Roman" w:hAnsi="Times New Roman"/>
          <w:b/>
          <w:szCs w:val="24"/>
        </w:rPr>
        <w:t xml:space="preserve"> </w:t>
      </w:r>
      <w:r>
        <w:rPr>
          <w:rFonts w:ascii="Times New Roman" w:hAnsi="Times New Roman"/>
          <w:b/>
          <w:szCs w:val="24"/>
        </w:rPr>
        <w:t xml:space="preserve">Its Rejection of Forecast </w:t>
      </w:r>
      <w:r w:rsidRPr="00845C6E">
        <w:rPr>
          <w:rFonts w:ascii="Times New Roman" w:hAnsi="Times New Roman"/>
          <w:b/>
          <w:szCs w:val="24"/>
        </w:rPr>
        <w:t>Analysts’ Growth Rates.</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 xml:space="preserve">ICNU offers no criticism of </w:t>
      </w:r>
      <w:r w:rsidR="0097679A">
        <w:rPr>
          <w:rFonts w:ascii="Times New Roman" w:hAnsi="Times New Roman"/>
          <w:szCs w:val="24"/>
        </w:rPr>
        <w:t>Dr. </w:t>
      </w:r>
      <w:proofErr w:type="spellStart"/>
      <w:r w:rsidR="00BC4594">
        <w:rPr>
          <w:rFonts w:ascii="Times New Roman" w:hAnsi="Times New Roman"/>
          <w:szCs w:val="24"/>
        </w:rPr>
        <w:t>Hadaway’s</w:t>
      </w:r>
      <w:proofErr w:type="spellEnd"/>
      <w:r w:rsidR="00BC4594">
        <w:rPr>
          <w:rFonts w:ascii="Times New Roman" w:hAnsi="Times New Roman"/>
          <w:szCs w:val="24"/>
        </w:rPr>
        <w:t xml:space="preserve"> DCF analysis, instead extolling the virtues of </w:t>
      </w:r>
      <w:r w:rsidR="0097679A">
        <w:rPr>
          <w:rFonts w:ascii="Times New Roman" w:hAnsi="Times New Roman"/>
          <w:szCs w:val="24"/>
        </w:rPr>
        <w:t>Mr. </w:t>
      </w:r>
      <w:r w:rsidR="00BC4594">
        <w:rPr>
          <w:rFonts w:ascii="Times New Roman" w:hAnsi="Times New Roman"/>
          <w:szCs w:val="24"/>
        </w:rPr>
        <w:t xml:space="preserve">Gorman’s DCF analysis because he used “forecasted growth rates,” not historical averages.  But ICNU fails to reconcile or even acknowledge </w:t>
      </w:r>
      <w:r w:rsidR="0097679A">
        <w:rPr>
          <w:rFonts w:ascii="Times New Roman" w:hAnsi="Times New Roman"/>
          <w:szCs w:val="24"/>
        </w:rPr>
        <w:t>Mr. </w:t>
      </w:r>
      <w:r w:rsidR="00BC4594">
        <w:rPr>
          <w:rFonts w:ascii="Times New Roman" w:hAnsi="Times New Roman"/>
          <w:szCs w:val="24"/>
        </w:rPr>
        <w:t>Gorman’s inconsistent embrace of short-term GDP growth forecasts and his rejection of short-term security analysts’ growth rate forecasts.</w:t>
      </w:r>
      <w:r w:rsidR="00BC4594" w:rsidRPr="00845C6E">
        <w:rPr>
          <w:rStyle w:val="FootnoteReference"/>
          <w:rFonts w:ascii="Times New Roman" w:hAnsi="Times New Roman"/>
          <w:szCs w:val="24"/>
        </w:rPr>
        <w:footnoteReference w:id="32"/>
      </w:r>
      <w:r w:rsidR="00BC4594">
        <w:rPr>
          <w:rFonts w:ascii="Times New Roman" w:hAnsi="Times New Roman"/>
          <w:szCs w:val="24"/>
        </w:rPr>
        <w:t xml:space="preserve">  </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 xml:space="preserve">With respect to </w:t>
      </w:r>
      <w:r w:rsidR="00BC4594" w:rsidRPr="00845C6E">
        <w:rPr>
          <w:rFonts w:ascii="Times New Roman" w:hAnsi="Times New Roman"/>
          <w:szCs w:val="24"/>
        </w:rPr>
        <w:t xml:space="preserve">forecast GDP growth rates, at hearing </w:t>
      </w:r>
      <w:r w:rsidR="0097679A">
        <w:rPr>
          <w:rFonts w:ascii="Times New Roman" w:hAnsi="Times New Roman"/>
          <w:szCs w:val="24"/>
        </w:rPr>
        <w:t>Mr. </w:t>
      </w:r>
      <w:r w:rsidR="00BC4594" w:rsidRPr="00845C6E">
        <w:rPr>
          <w:rFonts w:ascii="Times New Roman" w:hAnsi="Times New Roman"/>
          <w:szCs w:val="24"/>
        </w:rPr>
        <w:t>Gorman testified that, “analysts’ projections in general are a good basis to assess what investors’ outlooks are,” and a “consensus of all analysts’ projections is” reliable.</w:t>
      </w:r>
      <w:r w:rsidR="00BC4594" w:rsidRPr="00845C6E">
        <w:rPr>
          <w:rStyle w:val="FootnoteReference"/>
          <w:rFonts w:ascii="Times New Roman" w:hAnsi="Times New Roman"/>
          <w:szCs w:val="24"/>
        </w:rPr>
        <w:footnoteReference w:id="33"/>
      </w:r>
      <w:r w:rsidR="00BC4594" w:rsidRPr="00845C6E">
        <w:rPr>
          <w:rFonts w:ascii="Times New Roman" w:hAnsi="Times New Roman"/>
          <w:szCs w:val="24"/>
        </w:rPr>
        <w:t xml:space="preserve">  </w:t>
      </w:r>
      <w:r w:rsidR="0097679A">
        <w:rPr>
          <w:rFonts w:ascii="Times New Roman" w:hAnsi="Times New Roman"/>
          <w:szCs w:val="24"/>
        </w:rPr>
        <w:t>Mr. </w:t>
      </w:r>
      <w:r w:rsidR="00BC4594" w:rsidRPr="00845C6E">
        <w:rPr>
          <w:rFonts w:ascii="Times New Roman" w:hAnsi="Times New Roman"/>
          <w:szCs w:val="24"/>
        </w:rPr>
        <w:t>Gorman argued that because these analysts are in the business of providing forecasts, they must be reliable because otherwise investors would not look to them for information.</w:t>
      </w:r>
      <w:r w:rsidR="00BC4594" w:rsidRPr="00845C6E">
        <w:rPr>
          <w:rStyle w:val="FootnoteReference"/>
          <w:rFonts w:ascii="Times New Roman" w:hAnsi="Times New Roman"/>
          <w:szCs w:val="24"/>
        </w:rPr>
        <w:footnoteReference w:id="34"/>
      </w:r>
      <w:r w:rsidR="00BC4594" w:rsidRPr="00845C6E">
        <w:rPr>
          <w:rFonts w:ascii="Times New Roman" w:hAnsi="Times New Roman"/>
          <w:szCs w:val="24"/>
        </w:rPr>
        <w:t xml:space="preserve">  </w:t>
      </w:r>
      <w:r w:rsidR="00BC4594">
        <w:rPr>
          <w:rFonts w:ascii="Times New Roman" w:hAnsi="Times New Roman"/>
          <w:szCs w:val="24"/>
        </w:rPr>
        <w:t xml:space="preserve">While </w:t>
      </w:r>
      <w:r w:rsidR="0097679A">
        <w:rPr>
          <w:rFonts w:ascii="Times New Roman" w:hAnsi="Times New Roman"/>
          <w:szCs w:val="24"/>
        </w:rPr>
        <w:t>Mr. </w:t>
      </w:r>
      <w:r w:rsidR="00BC4594">
        <w:rPr>
          <w:rFonts w:ascii="Times New Roman" w:hAnsi="Times New Roman"/>
          <w:szCs w:val="24"/>
        </w:rPr>
        <w:t>Gorman discounts the</w:t>
      </w:r>
      <w:r w:rsidR="00BC4594" w:rsidRPr="00845C6E">
        <w:rPr>
          <w:rFonts w:ascii="Times New Roman" w:hAnsi="Times New Roman"/>
          <w:szCs w:val="24"/>
        </w:rPr>
        <w:t xml:space="preserve"> </w:t>
      </w:r>
      <w:r w:rsidR="00BC4594">
        <w:rPr>
          <w:rFonts w:ascii="Times New Roman" w:hAnsi="Times New Roman"/>
          <w:szCs w:val="24"/>
        </w:rPr>
        <w:t xml:space="preserve">security </w:t>
      </w:r>
      <w:r w:rsidR="00BC4594" w:rsidRPr="00845C6E">
        <w:rPr>
          <w:rFonts w:ascii="Times New Roman" w:hAnsi="Times New Roman"/>
          <w:szCs w:val="24"/>
        </w:rPr>
        <w:t>analysts’ forecasts used in his constant growth DCF method as “abnormally high</w:t>
      </w:r>
      <w:r w:rsidR="00BC4594">
        <w:rPr>
          <w:rFonts w:ascii="Times New Roman" w:hAnsi="Times New Roman"/>
          <w:szCs w:val="24"/>
        </w:rPr>
        <w:t>,</w:t>
      </w:r>
      <w:r w:rsidR="00BC4594" w:rsidRPr="00845C6E">
        <w:rPr>
          <w:rFonts w:ascii="Times New Roman" w:hAnsi="Times New Roman"/>
          <w:szCs w:val="24"/>
        </w:rPr>
        <w:t>”</w:t>
      </w:r>
      <w:r w:rsidR="00BC4594" w:rsidRPr="00845C6E">
        <w:rPr>
          <w:rStyle w:val="FootnoteReference"/>
          <w:rFonts w:ascii="Times New Roman" w:hAnsi="Times New Roman"/>
          <w:szCs w:val="24"/>
        </w:rPr>
        <w:footnoteReference w:id="35"/>
      </w:r>
      <w:r w:rsidR="00BC4594" w:rsidRPr="00845C6E">
        <w:rPr>
          <w:rFonts w:ascii="Times New Roman" w:hAnsi="Times New Roman"/>
          <w:szCs w:val="24"/>
        </w:rPr>
        <w:t xml:space="preserve"> </w:t>
      </w:r>
      <w:r w:rsidR="00BC4594">
        <w:rPr>
          <w:rFonts w:ascii="Times New Roman" w:hAnsi="Times New Roman"/>
          <w:szCs w:val="24"/>
        </w:rPr>
        <w:t>th</w:t>
      </w:r>
      <w:r w:rsidR="00BC4594" w:rsidRPr="00845C6E">
        <w:rPr>
          <w:rFonts w:ascii="Times New Roman" w:hAnsi="Times New Roman"/>
          <w:szCs w:val="24"/>
        </w:rPr>
        <w:t xml:space="preserve">e same arguments </w:t>
      </w:r>
      <w:r w:rsidR="0097679A">
        <w:rPr>
          <w:rFonts w:ascii="Times New Roman" w:hAnsi="Times New Roman"/>
          <w:szCs w:val="24"/>
        </w:rPr>
        <w:t>Mr. </w:t>
      </w:r>
      <w:r w:rsidR="00BC4594" w:rsidRPr="00845C6E">
        <w:rPr>
          <w:rFonts w:ascii="Times New Roman" w:hAnsi="Times New Roman"/>
          <w:szCs w:val="24"/>
        </w:rPr>
        <w:t xml:space="preserve">Gorman makes in support of his reliance on analysts’ forecasts of GDP growth rates apply equally to analysts’ </w:t>
      </w:r>
      <w:r w:rsidR="00BC4594">
        <w:rPr>
          <w:rFonts w:ascii="Times New Roman" w:hAnsi="Times New Roman"/>
          <w:szCs w:val="24"/>
        </w:rPr>
        <w:t xml:space="preserve">growth rate </w:t>
      </w:r>
      <w:r w:rsidR="00BC4594" w:rsidRPr="00845C6E">
        <w:rPr>
          <w:rFonts w:ascii="Times New Roman" w:hAnsi="Times New Roman"/>
          <w:szCs w:val="24"/>
        </w:rPr>
        <w:t xml:space="preserve">forecasts.  </w:t>
      </w:r>
      <w:r w:rsidR="0097679A">
        <w:rPr>
          <w:rFonts w:ascii="Times New Roman" w:hAnsi="Times New Roman"/>
          <w:szCs w:val="24"/>
        </w:rPr>
        <w:t>Mr. </w:t>
      </w:r>
      <w:r w:rsidR="00BC4594" w:rsidRPr="00845C6E">
        <w:rPr>
          <w:rFonts w:ascii="Times New Roman" w:hAnsi="Times New Roman"/>
          <w:szCs w:val="24"/>
        </w:rPr>
        <w:t>Gorman’s constant growth method using analysts’ growth rates resulted in an ROE of 10.5%</w:t>
      </w:r>
      <w:r w:rsidR="00BC4594">
        <w:rPr>
          <w:rFonts w:ascii="Times New Roman" w:hAnsi="Times New Roman"/>
          <w:szCs w:val="24"/>
        </w:rPr>
        <w:t>;</w:t>
      </w:r>
      <w:r w:rsidR="00BC4594" w:rsidRPr="00845C6E">
        <w:rPr>
          <w:rStyle w:val="FootnoteReference"/>
          <w:rFonts w:ascii="Times New Roman" w:hAnsi="Times New Roman"/>
          <w:szCs w:val="24"/>
        </w:rPr>
        <w:footnoteReference w:id="36"/>
      </w:r>
      <w:r w:rsidR="00BC4594">
        <w:rPr>
          <w:rFonts w:ascii="Times New Roman" w:hAnsi="Times New Roman"/>
          <w:szCs w:val="24"/>
        </w:rPr>
        <w:t xml:space="preserve"> this result and </w:t>
      </w:r>
      <w:r w:rsidR="0097679A">
        <w:rPr>
          <w:rFonts w:ascii="Times New Roman" w:hAnsi="Times New Roman"/>
          <w:szCs w:val="24"/>
        </w:rPr>
        <w:t>Mr. </w:t>
      </w:r>
      <w:r w:rsidR="00BC4594">
        <w:rPr>
          <w:rFonts w:ascii="Times New Roman" w:hAnsi="Times New Roman"/>
          <w:szCs w:val="24"/>
        </w:rPr>
        <w:t>Gorman’s testimony endorsing security analysts’ forecasts “as the most likely growth estimates that are built into stock prices,”</w:t>
      </w:r>
      <w:r w:rsidR="00BC4594">
        <w:rPr>
          <w:rStyle w:val="FootnoteReference"/>
          <w:rFonts w:ascii="Times New Roman" w:hAnsi="Times New Roman"/>
          <w:szCs w:val="24"/>
        </w:rPr>
        <w:footnoteReference w:id="37"/>
      </w:r>
      <w:r w:rsidR="00BC4594">
        <w:rPr>
          <w:rFonts w:ascii="Times New Roman" w:hAnsi="Times New Roman"/>
          <w:szCs w:val="24"/>
        </w:rPr>
        <w:t xml:space="preserve"> demonstrate that his 9.5% ROE is out of step with investor expectations.  </w:t>
      </w:r>
    </w:p>
    <w:p w:rsidR="00BC4594" w:rsidRPr="00845C6E" w:rsidRDefault="00BC4594" w:rsidP="003A270F">
      <w:pPr>
        <w:keepNext/>
        <w:spacing w:after="240"/>
        <w:ind w:left="1440" w:hanging="720"/>
        <w:rPr>
          <w:rFonts w:ascii="Times New Roman" w:hAnsi="Times New Roman"/>
          <w:szCs w:val="24"/>
        </w:rPr>
      </w:pPr>
      <w:r>
        <w:rPr>
          <w:rFonts w:ascii="Times New Roman" w:hAnsi="Times New Roman"/>
          <w:b/>
          <w:szCs w:val="24"/>
        </w:rPr>
        <w:t>6</w:t>
      </w:r>
      <w:r w:rsidRPr="00845C6E">
        <w:rPr>
          <w:rFonts w:ascii="Times New Roman" w:hAnsi="Times New Roman"/>
          <w:b/>
          <w:szCs w:val="24"/>
        </w:rPr>
        <w:t xml:space="preserve">. </w:t>
      </w:r>
      <w:r w:rsidRPr="00845C6E">
        <w:rPr>
          <w:rFonts w:ascii="Times New Roman" w:hAnsi="Times New Roman"/>
          <w:b/>
          <w:szCs w:val="24"/>
        </w:rPr>
        <w:tab/>
        <w:t xml:space="preserve">ICNU’s Criticism of </w:t>
      </w:r>
      <w:r w:rsidR="0097679A">
        <w:rPr>
          <w:rFonts w:ascii="Times New Roman" w:hAnsi="Times New Roman"/>
          <w:b/>
          <w:szCs w:val="24"/>
        </w:rPr>
        <w:t>Dr. </w:t>
      </w:r>
      <w:proofErr w:type="spellStart"/>
      <w:r w:rsidRPr="00845C6E">
        <w:rPr>
          <w:rFonts w:ascii="Times New Roman" w:hAnsi="Times New Roman"/>
          <w:b/>
          <w:szCs w:val="24"/>
        </w:rPr>
        <w:t>Hadaway’s</w:t>
      </w:r>
      <w:proofErr w:type="spellEnd"/>
      <w:r w:rsidRPr="00845C6E">
        <w:rPr>
          <w:rFonts w:ascii="Times New Roman" w:hAnsi="Times New Roman"/>
          <w:b/>
          <w:szCs w:val="24"/>
        </w:rPr>
        <w:t xml:space="preserve"> Risk Premium Analysis is </w:t>
      </w:r>
      <w:proofErr w:type="gramStart"/>
      <w:r w:rsidRPr="00845C6E">
        <w:rPr>
          <w:rFonts w:ascii="Times New Roman" w:hAnsi="Times New Roman"/>
          <w:b/>
          <w:szCs w:val="24"/>
        </w:rPr>
        <w:t>Flawed</w:t>
      </w:r>
      <w:proofErr w:type="gramEnd"/>
      <w:r w:rsidRPr="00845C6E">
        <w:rPr>
          <w:rFonts w:ascii="Times New Roman" w:hAnsi="Times New Roman"/>
          <w:b/>
          <w:szCs w:val="24"/>
        </w:rPr>
        <w:t>.</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sidRPr="00845C6E">
        <w:rPr>
          <w:rFonts w:ascii="Times New Roman" w:hAnsi="Times New Roman"/>
          <w:szCs w:val="24"/>
        </w:rPr>
        <w:t xml:space="preserve">ICNU criticizes </w:t>
      </w:r>
      <w:r w:rsidR="0097679A">
        <w:rPr>
          <w:rFonts w:ascii="Times New Roman" w:hAnsi="Times New Roman"/>
          <w:szCs w:val="24"/>
        </w:rPr>
        <w:t>Dr. </w:t>
      </w:r>
      <w:proofErr w:type="spellStart"/>
      <w:r w:rsidR="00BC4594" w:rsidRPr="00845C6E">
        <w:rPr>
          <w:rFonts w:ascii="Times New Roman" w:hAnsi="Times New Roman"/>
          <w:szCs w:val="24"/>
        </w:rPr>
        <w:t>Hadaway</w:t>
      </w:r>
      <w:r w:rsidR="00BC4594">
        <w:rPr>
          <w:rFonts w:ascii="Times New Roman" w:hAnsi="Times New Roman"/>
          <w:szCs w:val="24"/>
        </w:rPr>
        <w:t>’</w:t>
      </w:r>
      <w:r w:rsidR="00BC4594" w:rsidRPr="00845C6E">
        <w:rPr>
          <w:rFonts w:ascii="Times New Roman" w:hAnsi="Times New Roman"/>
          <w:szCs w:val="24"/>
        </w:rPr>
        <w:t>s</w:t>
      </w:r>
      <w:proofErr w:type="spellEnd"/>
      <w:r w:rsidR="00BC4594" w:rsidRPr="00845C6E">
        <w:rPr>
          <w:rFonts w:ascii="Times New Roman" w:hAnsi="Times New Roman"/>
          <w:szCs w:val="24"/>
        </w:rPr>
        <w:t xml:space="preserve"> risk premium analysis</w:t>
      </w:r>
      <w:r w:rsidR="00BC4594">
        <w:rPr>
          <w:rFonts w:ascii="Times New Roman" w:hAnsi="Times New Roman"/>
          <w:szCs w:val="24"/>
        </w:rPr>
        <w:t xml:space="preserve"> because</w:t>
      </w:r>
      <w:r w:rsidR="00BC4594" w:rsidRPr="00845C6E">
        <w:rPr>
          <w:rFonts w:ascii="Times New Roman" w:hAnsi="Times New Roman"/>
          <w:szCs w:val="24"/>
        </w:rPr>
        <w:t xml:space="preserve"> </w:t>
      </w:r>
      <w:r w:rsidR="00BC4594">
        <w:rPr>
          <w:rFonts w:ascii="Times New Roman" w:hAnsi="Times New Roman"/>
          <w:szCs w:val="24"/>
        </w:rPr>
        <w:t xml:space="preserve">it claims that </w:t>
      </w:r>
      <w:r w:rsidR="00BC4594" w:rsidRPr="00845C6E">
        <w:rPr>
          <w:rFonts w:ascii="Times New Roman" w:hAnsi="Times New Roman"/>
          <w:szCs w:val="24"/>
        </w:rPr>
        <w:t xml:space="preserve">the Commission rejected </w:t>
      </w:r>
      <w:r w:rsidR="00BC4594">
        <w:rPr>
          <w:rFonts w:ascii="Times New Roman" w:hAnsi="Times New Roman"/>
          <w:szCs w:val="24"/>
        </w:rPr>
        <w:t xml:space="preserve">the use of </w:t>
      </w:r>
      <w:r w:rsidR="00BC4594" w:rsidRPr="00845C6E">
        <w:rPr>
          <w:rFonts w:ascii="Times New Roman" w:hAnsi="Times New Roman"/>
          <w:szCs w:val="24"/>
        </w:rPr>
        <w:t>forecasted interest rates in the Company’s 200</w:t>
      </w:r>
      <w:r w:rsidR="00BC4594">
        <w:rPr>
          <w:rFonts w:ascii="Times New Roman" w:hAnsi="Times New Roman"/>
          <w:szCs w:val="24"/>
        </w:rPr>
        <w:t>5 GRC.</w:t>
      </w:r>
      <w:r w:rsidR="00BC4594" w:rsidRPr="00845C6E">
        <w:rPr>
          <w:rStyle w:val="FootnoteReference"/>
          <w:rFonts w:ascii="Times New Roman" w:hAnsi="Times New Roman"/>
          <w:szCs w:val="24"/>
        </w:rPr>
        <w:footnoteReference w:id="38"/>
      </w:r>
      <w:r w:rsidR="00BC4594">
        <w:rPr>
          <w:rFonts w:ascii="Times New Roman" w:hAnsi="Times New Roman"/>
          <w:szCs w:val="24"/>
        </w:rPr>
        <w:t xml:space="preserve"> </w:t>
      </w:r>
      <w:r w:rsidR="00BC4594" w:rsidRPr="00845C6E">
        <w:rPr>
          <w:rFonts w:ascii="Times New Roman" w:hAnsi="Times New Roman"/>
          <w:szCs w:val="24"/>
        </w:rPr>
        <w:t xml:space="preserve"> </w:t>
      </w:r>
      <w:r w:rsidR="00BC4594">
        <w:rPr>
          <w:rFonts w:ascii="Times New Roman" w:hAnsi="Times New Roman"/>
          <w:szCs w:val="24"/>
        </w:rPr>
        <w:t xml:space="preserve">ICNU overlooks the fact that </w:t>
      </w:r>
      <w:r w:rsidR="0097679A">
        <w:rPr>
          <w:rFonts w:ascii="Times New Roman" w:hAnsi="Times New Roman"/>
          <w:szCs w:val="24"/>
        </w:rPr>
        <w:t>Dr. </w:t>
      </w:r>
      <w:proofErr w:type="spellStart"/>
      <w:r w:rsidR="00BC4594" w:rsidRPr="00845C6E">
        <w:rPr>
          <w:rFonts w:ascii="Times New Roman" w:hAnsi="Times New Roman"/>
          <w:szCs w:val="24"/>
        </w:rPr>
        <w:t>Hadaway</w:t>
      </w:r>
      <w:proofErr w:type="spellEnd"/>
      <w:r w:rsidR="00BC4594">
        <w:rPr>
          <w:rFonts w:ascii="Times New Roman" w:hAnsi="Times New Roman"/>
          <w:szCs w:val="24"/>
        </w:rPr>
        <w:t xml:space="preserve"> used </w:t>
      </w:r>
      <w:r w:rsidR="00BC4594" w:rsidRPr="00845C6E">
        <w:rPr>
          <w:rFonts w:ascii="Times New Roman" w:hAnsi="Times New Roman"/>
          <w:szCs w:val="24"/>
        </w:rPr>
        <w:t>current interest rates</w:t>
      </w:r>
      <w:r w:rsidR="00BC4594">
        <w:rPr>
          <w:rFonts w:ascii="Times New Roman" w:hAnsi="Times New Roman"/>
          <w:szCs w:val="24"/>
        </w:rPr>
        <w:t>, as well as forecasted rates in his risk premium analysis</w:t>
      </w:r>
      <w:r w:rsidR="00BC4594" w:rsidRPr="00845C6E">
        <w:rPr>
          <w:rFonts w:ascii="Times New Roman" w:hAnsi="Times New Roman"/>
          <w:szCs w:val="24"/>
        </w:rPr>
        <w:t>.</w:t>
      </w:r>
      <w:r w:rsidR="00BC4594" w:rsidRPr="00845C6E">
        <w:rPr>
          <w:rStyle w:val="FootnoteReference"/>
          <w:rFonts w:ascii="Times New Roman" w:hAnsi="Times New Roman"/>
          <w:szCs w:val="24"/>
        </w:rPr>
        <w:footnoteReference w:id="39"/>
      </w:r>
      <w:r w:rsidR="00BC4594" w:rsidRPr="00845C6E">
        <w:rPr>
          <w:rFonts w:ascii="Times New Roman" w:hAnsi="Times New Roman"/>
          <w:szCs w:val="24"/>
        </w:rPr>
        <w:t xml:space="preserve">  </w:t>
      </w:r>
      <w:r w:rsidR="0097679A">
        <w:rPr>
          <w:rFonts w:ascii="Times New Roman" w:hAnsi="Times New Roman"/>
          <w:szCs w:val="24"/>
        </w:rPr>
        <w:t>Dr. </w:t>
      </w:r>
      <w:proofErr w:type="spellStart"/>
      <w:r w:rsidR="00BC4594" w:rsidRPr="00845C6E">
        <w:rPr>
          <w:rFonts w:ascii="Times New Roman" w:hAnsi="Times New Roman"/>
          <w:szCs w:val="24"/>
        </w:rPr>
        <w:t>Hadaway’s</w:t>
      </w:r>
      <w:proofErr w:type="spellEnd"/>
      <w:r w:rsidR="00BC4594" w:rsidRPr="00845C6E">
        <w:rPr>
          <w:rFonts w:ascii="Times New Roman" w:hAnsi="Times New Roman"/>
          <w:szCs w:val="24"/>
        </w:rPr>
        <w:t xml:space="preserve"> risk premium </w:t>
      </w:r>
      <w:r w:rsidR="006D1F05">
        <w:rPr>
          <w:rFonts w:ascii="Times New Roman" w:hAnsi="Times New Roman"/>
          <w:szCs w:val="24"/>
        </w:rPr>
        <w:t>with</w:t>
      </w:r>
      <w:r w:rsidR="00BC4594" w:rsidRPr="00845C6E">
        <w:rPr>
          <w:rFonts w:ascii="Times New Roman" w:hAnsi="Times New Roman"/>
          <w:szCs w:val="24"/>
        </w:rPr>
        <w:t xml:space="preserve"> interest rates</w:t>
      </w:r>
      <w:r w:rsidR="00BC4594">
        <w:rPr>
          <w:rFonts w:ascii="Times New Roman" w:hAnsi="Times New Roman"/>
          <w:szCs w:val="24"/>
        </w:rPr>
        <w:t xml:space="preserve"> that approximate current rates (based upon a 5.83% interest rate)</w:t>
      </w:r>
      <w:r w:rsidR="00BC4594" w:rsidRPr="00845C6E">
        <w:rPr>
          <w:rFonts w:ascii="Times New Roman" w:hAnsi="Times New Roman"/>
          <w:szCs w:val="24"/>
        </w:rPr>
        <w:t>, indicate an ROE of 10.38%.</w:t>
      </w:r>
      <w:r w:rsidR="00BC4594" w:rsidRPr="00845C6E">
        <w:rPr>
          <w:rStyle w:val="FootnoteReference"/>
          <w:rFonts w:ascii="Times New Roman" w:hAnsi="Times New Roman"/>
          <w:szCs w:val="24"/>
        </w:rPr>
        <w:footnoteReference w:id="40"/>
      </w:r>
      <w:r w:rsidR="00BC4594" w:rsidRPr="00845C6E">
        <w:rPr>
          <w:rFonts w:ascii="Times New Roman" w:hAnsi="Times New Roman"/>
          <w:szCs w:val="24"/>
        </w:rPr>
        <w:t xml:space="preserve">  </w:t>
      </w:r>
    </w:p>
    <w:p w:rsidR="00BC4594" w:rsidRPr="00845C6E"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 xml:space="preserve">ICNU also claims that </w:t>
      </w:r>
      <w:r w:rsidR="0097679A">
        <w:rPr>
          <w:rFonts w:ascii="Times New Roman" w:hAnsi="Times New Roman"/>
          <w:szCs w:val="24"/>
        </w:rPr>
        <w:t>Dr. </w:t>
      </w:r>
      <w:proofErr w:type="spellStart"/>
      <w:r w:rsidR="00BC4594">
        <w:rPr>
          <w:rFonts w:ascii="Times New Roman" w:hAnsi="Times New Roman"/>
          <w:szCs w:val="24"/>
        </w:rPr>
        <w:t>Hadaway</w:t>
      </w:r>
      <w:proofErr w:type="spellEnd"/>
      <w:r w:rsidR="00BC4594">
        <w:rPr>
          <w:rFonts w:ascii="Times New Roman" w:hAnsi="Times New Roman"/>
          <w:szCs w:val="24"/>
        </w:rPr>
        <w:t xml:space="preserve"> </w:t>
      </w:r>
      <w:r w:rsidR="00BC4594" w:rsidRPr="00845C6E">
        <w:rPr>
          <w:rFonts w:ascii="Times New Roman" w:hAnsi="Times New Roman"/>
          <w:szCs w:val="24"/>
        </w:rPr>
        <w:t>relies upon a “simplistic inverse relationship between equity risk premiums and interest rates . . . that is not supported by academic research.”</w:t>
      </w:r>
      <w:r w:rsidR="00BC4594">
        <w:rPr>
          <w:rFonts w:ascii="Times New Roman" w:hAnsi="Times New Roman"/>
          <w:szCs w:val="24"/>
        </w:rPr>
        <w:t xml:space="preserve"> ICNU ignores the fact that </w:t>
      </w:r>
      <w:r w:rsidR="0097679A">
        <w:rPr>
          <w:rFonts w:ascii="Times New Roman" w:hAnsi="Times New Roman"/>
          <w:szCs w:val="24"/>
        </w:rPr>
        <w:t>Dr. </w:t>
      </w:r>
      <w:proofErr w:type="spellStart"/>
      <w:r w:rsidR="00BC4594" w:rsidRPr="00845C6E">
        <w:rPr>
          <w:rFonts w:ascii="Times New Roman" w:hAnsi="Times New Roman"/>
          <w:szCs w:val="24"/>
        </w:rPr>
        <w:t>Hadaway’s</w:t>
      </w:r>
      <w:proofErr w:type="spellEnd"/>
      <w:r w:rsidR="00BC4594" w:rsidRPr="00845C6E">
        <w:rPr>
          <w:rFonts w:ascii="Times New Roman" w:hAnsi="Times New Roman"/>
          <w:szCs w:val="24"/>
        </w:rPr>
        <w:t xml:space="preserve"> analysis of the inverse relationship between equity risk premiums and interest rates is demonstrated empirically by his own testimony.</w:t>
      </w:r>
      <w:r w:rsidR="00BC4594" w:rsidRPr="00845C6E">
        <w:rPr>
          <w:rStyle w:val="FootnoteReference"/>
          <w:rFonts w:ascii="Times New Roman" w:hAnsi="Times New Roman"/>
          <w:szCs w:val="24"/>
        </w:rPr>
        <w:footnoteReference w:id="41"/>
      </w:r>
      <w:r w:rsidR="00BC4594" w:rsidRPr="00845C6E">
        <w:rPr>
          <w:rFonts w:ascii="Times New Roman" w:hAnsi="Times New Roman"/>
          <w:szCs w:val="24"/>
        </w:rPr>
        <w:t xml:space="preserve">  ICNU does not challenge </w:t>
      </w:r>
      <w:r w:rsidR="0097679A">
        <w:rPr>
          <w:rFonts w:ascii="Times New Roman" w:hAnsi="Times New Roman"/>
          <w:szCs w:val="24"/>
        </w:rPr>
        <w:t>Dr. </w:t>
      </w:r>
      <w:proofErr w:type="spellStart"/>
      <w:r w:rsidR="00BC4594" w:rsidRPr="00845C6E">
        <w:rPr>
          <w:rFonts w:ascii="Times New Roman" w:hAnsi="Times New Roman"/>
          <w:szCs w:val="24"/>
        </w:rPr>
        <w:t>Hadaway’s</w:t>
      </w:r>
      <w:proofErr w:type="spellEnd"/>
      <w:r w:rsidR="00BC4594" w:rsidRPr="00845C6E">
        <w:rPr>
          <w:rFonts w:ascii="Times New Roman" w:hAnsi="Times New Roman"/>
          <w:szCs w:val="24"/>
        </w:rPr>
        <w:t xml:space="preserve"> empirical analysis but rather cites two academic articles from 1985 and 2001 to argue that </w:t>
      </w:r>
      <w:r w:rsidR="00BC4594" w:rsidRPr="00D64B75">
        <w:rPr>
          <w:rFonts w:ascii="Times New Roman" w:hAnsi="Times New Roman"/>
          <w:i/>
          <w:szCs w:val="24"/>
        </w:rPr>
        <w:t>although this inverse relationship exists</w:t>
      </w:r>
      <w:r w:rsidR="00BC4594" w:rsidRPr="00845C6E">
        <w:rPr>
          <w:rFonts w:ascii="Times New Roman" w:hAnsi="Times New Roman"/>
          <w:szCs w:val="24"/>
        </w:rPr>
        <w:t>, it should be ignored because it “is not expected to exist in the current marketplace.”</w:t>
      </w:r>
      <w:r w:rsidR="00BC4594" w:rsidRPr="00845C6E">
        <w:rPr>
          <w:rStyle w:val="FootnoteReference"/>
          <w:rFonts w:ascii="Times New Roman" w:hAnsi="Times New Roman"/>
          <w:szCs w:val="24"/>
        </w:rPr>
        <w:footnoteReference w:id="42"/>
      </w:r>
      <w:r w:rsidR="00BC4594" w:rsidRPr="00845C6E">
        <w:rPr>
          <w:rFonts w:ascii="Times New Roman" w:hAnsi="Times New Roman"/>
          <w:szCs w:val="24"/>
        </w:rPr>
        <w:t xml:space="preserve">  </w:t>
      </w:r>
      <w:r w:rsidR="00BC4594">
        <w:rPr>
          <w:rFonts w:ascii="Times New Roman" w:hAnsi="Times New Roman"/>
          <w:szCs w:val="24"/>
        </w:rPr>
        <w:t xml:space="preserve">ICNU thus acknowledges the existence of the relationship, and </w:t>
      </w:r>
      <w:r w:rsidR="0097679A">
        <w:rPr>
          <w:rFonts w:ascii="Times New Roman" w:hAnsi="Times New Roman"/>
          <w:szCs w:val="24"/>
        </w:rPr>
        <w:t>Dr. </w:t>
      </w:r>
      <w:proofErr w:type="spellStart"/>
      <w:r w:rsidR="00BC4594">
        <w:rPr>
          <w:rFonts w:ascii="Times New Roman" w:hAnsi="Times New Roman"/>
          <w:szCs w:val="24"/>
        </w:rPr>
        <w:t>Hadaway’s</w:t>
      </w:r>
      <w:proofErr w:type="spellEnd"/>
      <w:r w:rsidR="00BC4594">
        <w:rPr>
          <w:rFonts w:ascii="Times New Roman" w:hAnsi="Times New Roman"/>
          <w:szCs w:val="24"/>
        </w:rPr>
        <w:t xml:space="preserve"> unchallenged </w:t>
      </w:r>
      <w:r w:rsidR="00BC4594" w:rsidRPr="00845C6E">
        <w:rPr>
          <w:rFonts w:ascii="Times New Roman" w:hAnsi="Times New Roman"/>
          <w:szCs w:val="24"/>
        </w:rPr>
        <w:t xml:space="preserve">empirical evidence </w:t>
      </w:r>
      <w:r w:rsidR="00BC4594">
        <w:rPr>
          <w:rFonts w:ascii="Times New Roman" w:hAnsi="Times New Roman"/>
          <w:szCs w:val="24"/>
        </w:rPr>
        <w:t>demonstrates that the relationship does indeed persist in the current marketplace</w:t>
      </w:r>
      <w:r w:rsidR="00BC4594" w:rsidRPr="00845C6E">
        <w:rPr>
          <w:rFonts w:ascii="Times New Roman" w:hAnsi="Times New Roman"/>
          <w:szCs w:val="24"/>
        </w:rPr>
        <w:t xml:space="preserve">.  </w:t>
      </w:r>
      <w:r w:rsidR="00BC4594">
        <w:rPr>
          <w:rFonts w:ascii="Times New Roman" w:hAnsi="Times New Roman"/>
          <w:szCs w:val="24"/>
        </w:rPr>
        <w:t xml:space="preserve">As noted in PacifiCorp’s Initial </w:t>
      </w:r>
      <w:r w:rsidR="00A74E2A">
        <w:rPr>
          <w:rFonts w:ascii="Times New Roman" w:hAnsi="Times New Roman"/>
          <w:szCs w:val="24"/>
        </w:rPr>
        <w:t xml:space="preserve">Post-Hearing </w:t>
      </w:r>
      <w:r w:rsidR="00BC4594">
        <w:rPr>
          <w:rFonts w:ascii="Times New Roman" w:hAnsi="Times New Roman"/>
          <w:szCs w:val="24"/>
        </w:rPr>
        <w:t xml:space="preserve">Brief, when </w:t>
      </w:r>
      <w:r w:rsidR="0097679A">
        <w:rPr>
          <w:rFonts w:ascii="Times New Roman" w:hAnsi="Times New Roman"/>
          <w:szCs w:val="24"/>
        </w:rPr>
        <w:t>Mr. </w:t>
      </w:r>
      <w:r w:rsidR="00BC4594">
        <w:rPr>
          <w:rFonts w:ascii="Times New Roman" w:hAnsi="Times New Roman"/>
          <w:szCs w:val="24"/>
        </w:rPr>
        <w:t>Gorman’s risk premium analysis is corrected to include the inverse relationship between equity risk premiums and interest rates, his results produce a midpoint ROE of 10.23%.</w:t>
      </w:r>
      <w:r w:rsidR="00BC4594">
        <w:rPr>
          <w:rStyle w:val="FootnoteReference"/>
          <w:rFonts w:ascii="Times New Roman" w:hAnsi="Times New Roman"/>
          <w:szCs w:val="24"/>
        </w:rPr>
        <w:footnoteReference w:id="43"/>
      </w:r>
      <w:r w:rsidR="00BC4594">
        <w:rPr>
          <w:rFonts w:ascii="Times New Roman" w:hAnsi="Times New Roman"/>
          <w:szCs w:val="24"/>
        </w:rPr>
        <w:t xml:space="preserve"> </w:t>
      </w:r>
    </w:p>
    <w:p w:rsidR="00BC4594" w:rsidRPr="00845C6E" w:rsidRDefault="00BC4594" w:rsidP="003A270F">
      <w:pPr>
        <w:keepNext/>
        <w:spacing w:after="240"/>
        <w:ind w:left="1440" w:hanging="720"/>
        <w:rPr>
          <w:rFonts w:ascii="Times New Roman" w:hAnsi="Times New Roman"/>
          <w:szCs w:val="24"/>
        </w:rPr>
      </w:pPr>
      <w:r>
        <w:rPr>
          <w:rFonts w:ascii="Times New Roman" w:hAnsi="Times New Roman"/>
          <w:b/>
          <w:szCs w:val="24"/>
        </w:rPr>
        <w:t>7</w:t>
      </w:r>
      <w:r w:rsidRPr="00845C6E">
        <w:rPr>
          <w:rFonts w:ascii="Times New Roman" w:hAnsi="Times New Roman"/>
          <w:b/>
          <w:szCs w:val="24"/>
        </w:rPr>
        <w:t>.</w:t>
      </w:r>
      <w:r w:rsidRPr="00845C6E">
        <w:rPr>
          <w:rFonts w:ascii="Times New Roman" w:hAnsi="Times New Roman"/>
          <w:b/>
          <w:szCs w:val="24"/>
        </w:rPr>
        <w:tab/>
      </w:r>
      <w:r w:rsidR="0097679A">
        <w:rPr>
          <w:rFonts w:ascii="Times New Roman" w:hAnsi="Times New Roman"/>
          <w:b/>
          <w:szCs w:val="24"/>
        </w:rPr>
        <w:t>Dr. </w:t>
      </w:r>
      <w:proofErr w:type="spellStart"/>
      <w:r w:rsidRPr="00845C6E">
        <w:rPr>
          <w:rFonts w:ascii="Times New Roman" w:hAnsi="Times New Roman"/>
          <w:b/>
          <w:szCs w:val="24"/>
        </w:rPr>
        <w:t>Hadaway’s</w:t>
      </w:r>
      <w:proofErr w:type="spellEnd"/>
      <w:r w:rsidRPr="00845C6E">
        <w:rPr>
          <w:rFonts w:ascii="Times New Roman" w:hAnsi="Times New Roman"/>
          <w:b/>
          <w:szCs w:val="24"/>
        </w:rPr>
        <w:t xml:space="preserve"> Decision to Not Rely Upon CAPM is Not Arbitrary.</w:t>
      </w:r>
    </w:p>
    <w:p w:rsidR="00BC4594" w:rsidRPr="00845C6E"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sidRPr="00845C6E">
        <w:rPr>
          <w:rFonts w:ascii="Times New Roman" w:hAnsi="Times New Roman"/>
          <w:szCs w:val="24"/>
        </w:rPr>
        <w:t xml:space="preserve">ICNU argues that </w:t>
      </w:r>
      <w:r w:rsidR="0097679A">
        <w:rPr>
          <w:rFonts w:ascii="Times New Roman" w:hAnsi="Times New Roman"/>
          <w:szCs w:val="24"/>
        </w:rPr>
        <w:t>Dr. </w:t>
      </w:r>
      <w:proofErr w:type="spellStart"/>
      <w:r w:rsidR="00BC4594" w:rsidRPr="00845C6E">
        <w:rPr>
          <w:rFonts w:ascii="Times New Roman" w:hAnsi="Times New Roman"/>
          <w:szCs w:val="24"/>
        </w:rPr>
        <w:t>Hadaway</w:t>
      </w:r>
      <w:proofErr w:type="spellEnd"/>
      <w:r w:rsidR="00BC4594" w:rsidRPr="00845C6E">
        <w:rPr>
          <w:rFonts w:ascii="Times New Roman" w:hAnsi="Times New Roman"/>
          <w:szCs w:val="24"/>
        </w:rPr>
        <w:t xml:space="preserve"> acted arbitrarily when he decided not to perform a CAPM analysis in this case</w:t>
      </w:r>
      <w:r w:rsidR="00BC4594">
        <w:rPr>
          <w:rFonts w:ascii="Times New Roman" w:hAnsi="Times New Roman"/>
          <w:szCs w:val="24"/>
        </w:rPr>
        <w:t>,</w:t>
      </w:r>
      <w:r w:rsidR="00BC4594" w:rsidRPr="00845C6E">
        <w:rPr>
          <w:rFonts w:ascii="Times New Roman" w:hAnsi="Times New Roman"/>
          <w:szCs w:val="24"/>
        </w:rPr>
        <w:t xml:space="preserve"> </w:t>
      </w:r>
      <w:r w:rsidR="00BC4594">
        <w:rPr>
          <w:rFonts w:ascii="Times New Roman" w:hAnsi="Times New Roman"/>
          <w:szCs w:val="24"/>
        </w:rPr>
        <w:t xml:space="preserve">and </w:t>
      </w:r>
      <w:r w:rsidR="00BC4594" w:rsidRPr="00845C6E">
        <w:rPr>
          <w:rFonts w:ascii="Times New Roman" w:hAnsi="Times New Roman"/>
          <w:szCs w:val="24"/>
        </w:rPr>
        <w:t>failed to provide an explanation for depart</w:t>
      </w:r>
      <w:r w:rsidR="00BC4594">
        <w:rPr>
          <w:rFonts w:ascii="Times New Roman" w:hAnsi="Times New Roman"/>
          <w:szCs w:val="24"/>
        </w:rPr>
        <w:t>ing</w:t>
      </w:r>
      <w:r w:rsidR="00BC4594" w:rsidRPr="00845C6E">
        <w:rPr>
          <w:rFonts w:ascii="Times New Roman" w:hAnsi="Times New Roman"/>
          <w:szCs w:val="24"/>
        </w:rPr>
        <w:t xml:space="preserve"> from the Commission precedent set in </w:t>
      </w:r>
      <w:r w:rsidR="00096DE9">
        <w:rPr>
          <w:rFonts w:ascii="Times New Roman" w:hAnsi="Times New Roman"/>
          <w:szCs w:val="24"/>
        </w:rPr>
        <w:t xml:space="preserve">the </w:t>
      </w:r>
      <w:r w:rsidR="00BC4594">
        <w:rPr>
          <w:rFonts w:ascii="Times New Roman" w:hAnsi="Times New Roman"/>
          <w:szCs w:val="24"/>
        </w:rPr>
        <w:t>Puget GRC</w:t>
      </w:r>
      <w:r w:rsidR="00BC4594" w:rsidRPr="00845C6E">
        <w:rPr>
          <w:rFonts w:ascii="Times New Roman" w:hAnsi="Times New Roman"/>
          <w:szCs w:val="24"/>
        </w:rPr>
        <w:t>.</w:t>
      </w:r>
      <w:r w:rsidR="00BC4594" w:rsidRPr="00845C6E">
        <w:rPr>
          <w:rStyle w:val="FootnoteReference"/>
          <w:rFonts w:ascii="Times New Roman" w:hAnsi="Times New Roman"/>
          <w:szCs w:val="24"/>
        </w:rPr>
        <w:footnoteReference w:id="44"/>
      </w:r>
      <w:r w:rsidR="00BC4594" w:rsidRPr="00845C6E">
        <w:rPr>
          <w:rFonts w:ascii="Times New Roman" w:hAnsi="Times New Roman"/>
          <w:szCs w:val="24"/>
        </w:rPr>
        <w:t xml:space="preserve">  ICNU argues that the Commission relied on CAPM in that case and therefore </w:t>
      </w:r>
      <w:r w:rsidR="0097679A">
        <w:rPr>
          <w:rFonts w:ascii="Times New Roman" w:hAnsi="Times New Roman"/>
          <w:szCs w:val="24"/>
        </w:rPr>
        <w:t>Dr. </w:t>
      </w:r>
      <w:proofErr w:type="spellStart"/>
      <w:r w:rsidR="00BC4594" w:rsidRPr="00845C6E">
        <w:rPr>
          <w:rFonts w:ascii="Times New Roman" w:hAnsi="Times New Roman"/>
          <w:szCs w:val="24"/>
        </w:rPr>
        <w:t>Hadaway</w:t>
      </w:r>
      <w:proofErr w:type="spellEnd"/>
      <w:r w:rsidR="00BC4594" w:rsidRPr="00845C6E">
        <w:rPr>
          <w:rFonts w:ascii="Times New Roman" w:hAnsi="Times New Roman"/>
          <w:szCs w:val="24"/>
        </w:rPr>
        <w:t xml:space="preserve"> should have included it here.  In that case, the Commission also relied upon the MEPR, MTB, and Comparable Earnings methods—none of which were used by any witness in this docket.</w:t>
      </w:r>
      <w:r w:rsidR="00BC4594" w:rsidRPr="00845C6E">
        <w:rPr>
          <w:rStyle w:val="FootnoteReference"/>
          <w:rFonts w:ascii="Times New Roman" w:hAnsi="Times New Roman"/>
          <w:szCs w:val="24"/>
        </w:rPr>
        <w:footnoteReference w:id="45"/>
      </w:r>
      <w:r w:rsidR="00BC4594" w:rsidRPr="00845C6E">
        <w:rPr>
          <w:rFonts w:ascii="Times New Roman" w:hAnsi="Times New Roman"/>
          <w:szCs w:val="24"/>
        </w:rPr>
        <w:t xml:space="preserve">  </w:t>
      </w:r>
      <w:r w:rsidR="00BC4594">
        <w:rPr>
          <w:rFonts w:ascii="Times New Roman" w:hAnsi="Times New Roman"/>
          <w:szCs w:val="24"/>
        </w:rPr>
        <w:t>If</w:t>
      </w:r>
      <w:r w:rsidR="00BC4594" w:rsidRPr="00845C6E">
        <w:rPr>
          <w:rFonts w:ascii="Times New Roman" w:hAnsi="Times New Roman"/>
          <w:szCs w:val="24"/>
        </w:rPr>
        <w:t xml:space="preserve"> </w:t>
      </w:r>
      <w:r w:rsidR="0097679A">
        <w:rPr>
          <w:rFonts w:ascii="Times New Roman" w:hAnsi="Times New Roman"/>
          <w:szCs w:val="24"/>
        </w:rPr>
        <w:t>Dr. </w:t>
      </w:r>
      <w:proofErr w:type="spellStart"/>
      <w:r w:rsidR="00BC4594" w:rsidRPr="00845C6E">
        <w:rPr>
          <w:rFonts w:ascii="Times New Roman" w:hAnsi="Times New Roman"/>
          <w:szCs w:val="24"/>
        </w:rPr>
        <w:t>Hadaway’s</w:t>
      </w:r>
      <w:proofErr w:type="spellEnd"/>
      <w:r w:rsidR="00BC4594" w:rsidRPr="00845C6E">
        <w:rPr>
          <w:rFonts w:ascii="Times New Roman" w:hAnsi="Times New Roman"/>
          <w:szCs w:val="24"/>
        </w:rPr>
        <w:t xml:space="preserve"> analysis was deficient </w:t>
      </w:r>
      <w:r w:rsidR="00BC4594">
        <w:rPr>
          <w:rFonts w:ascii="Times New Roman" w:hAnsi="Times New Roman"/>
          <w:szCs w:val="24"/>
        </w:rPr>
        <w:t xml:space="preserve">in this manner, </w:t>
      </w:r>
      <w:r w:rsidR="00BC4594" w:rsidRPr="00845C6E">
        <w:rPr>
          <w:rFonts w:ascii="Times New Roman" w:hAnsi="Times New Roman"/>
          <w:szCs w:val="24"/>
        </w:rPr>
        <w:t xml:space="preserve">then likewise </w:t>
      </w:r>
      <w:r w:rsidR="0097679A">
        <w:rPr>
          <w:rFonts w:ascii="Times New Roman" w:hAnsi="Times New Roman"/>
          <w:szCs w:val="24"/>
        </w:rPr>
        <w:t>Mr. </w:t>
      </w:r>
      <w:r w:rsidR="00BC4594" w:rsidRPr="00845C6E">
        <w:rPr>
          <w:rFonts w:ascii="Times New Roman" w:hAnsi="Times New Roman"/>
          <w:szCs w:val="24"/>
        </w:rPr>
        <w:t>Gorman’s testimony was deficient for his failure to explain why he did not rely upon the MEPR, MTB, or Comparable Earnings method</w:t>
      </w:r>
      <w:r w:rsidR="00A74E2A">
        <w:rPr>
          <w:rFonts w:ascii="Times New Roman" w:hAnsi="Times New Roman"/>
          <w:szCs w:val="24"/>
        </w:rPr>
        <w:t>s</w:t>
      </w:r>
      <w:r w:rsidR="00BC4594" w:rsidRPr="00845C6E">
        <w:rPr>
          <w:rFonts w:ascii="Times New Roman" w:hAnsi="Times New Roman"/>
          <w:szCs w:val="24"/>
        </w:rPr>
        <w:t xml:space="preserve">.  </w:t>
      </w:r>
      <w:r w:rsidR="00BC4594">
        <w:rPr>
          <w:rFonts w:ascii="Times New Roman" w:hAnsi="Times New Roman"/>
          <w:szCs w:val="24"/>
        </w:rPr>
        <w:t>Additionally, ICNU fails to acknowledge the Commission’s statement in the Puget GRC that given market conditions, it would accord CAPM diminished weight.</w:t>
      </w:r>
      <w:r w:rsidR="00BC4594">
        <w:rPr>
          <w:rStyle w:val="FootnoteReference"/>
          <w:rFonts w:ascii="Times New Roman" w:hAnsi="Times New Roman"/>
          <w:szCs w:val="24"/>
        </w:rPr>
        <w:footnoteReference w:id="46"/>
      </w:r>
    </w:p>
    <w:p w:rsidR="00BC4594" w:rsidRDefault="00BC4594" w:rsidP="0097679A">
      <w:pPr>
        <w:keepNext/>
        <w:spacing w:line="480" w:lineRule="auto"/>
        <w:rPr>
          <w:rFonts w:ascii="Times New Roman" w:hAnsi="Times New Roman"/>
          <w:szCs w:val="24"/>
        </w:rPr>
      </w:pPr>
      <w:r>
        <w:rPr>
          <w:rFonts w:ascii="Times New Roman" w:hAnsi="Times New Roman"/>
          <w:b/>
          <w:szCs w:val="24"/>
        </w:rPr>
        <w:t>B.</w:t>
      </w:r>
      <w:r>
        <w:rPr>
          <w:rFonts w:ascii="Times New Roman" w:hAnsi="Times New Roman"/>
          <w:b/>
          <w:szCs w:val="24"/>
        </w:rPr>
        <w:tab/>
        <w:t>Capital Structure</w:t>
      </w:r>
    </w:p>
    <w:p w:rsidR="00BC4594" w:rsidRDefault="00BC4594" w:rsidP="003A270F">
      <w:pPr>
        <w:keepNext/>
        <w:spacing w:after="240"/>
        <w:ind w:left="1440" w:hanging="720"/>
        <w:rPr>
          <w:rFonts w:ascii="Times New Roman" w:hAnsi="Times New Roman"/>
          <w:b/>
          <w:szCs w:val="24"/>
        </w:rPr>
      </w:pPr>
      <w:r w:rsidRPr="00230668">
        <w:rPr>
          <w:rFonts w:ascii="Times New Roman" w:hAnsi="Times New Roman"/>
          <w:b/>
          <w:szCs w:val="24"/>
        </w:rPr>
        <w:t>1.</w:t>
      </w:r>
      <w:r>
        <w:rPr>
          <w:rFonts w:ascii="Times New Roman" w:hAnsi="Times New Roman"/>
          <w:szCs w:val="24"/>
        </w:rPr>
        <w:tab/>
      </w:r>
      <w:proofErr w:type="gramStart"/>
      <w:r w:rsidRPr="00845C6E">
        <w:rPr>
          <w:rFonts w:ascii="Times New Roman" w:hAnsi="Times New Roman"/>
          <w:b/>
          <w:szCs w:val="24"/>
        </w:rPr>
        <w:t>Under</w:t>
      </w:r>
      <w:proofErr w:type="gramEnd"/>
      <w:r w:rsidRPr="00845C6E">
        <w:rPr>
          <w:rFonts w:ascii="Times New Roman" w:hAnsi="Times New Roman"/>
          <w:b/>
          <w:szCs w:val="24"/>
        </w:rPr>
        <w:t xml:space="preserve"> Any </w:t>
      </w:r>
      <w:r>
        <w:rPr>
          <w:rFonts w:ascii="Times New Roman" w:hAnsi="Times New Roman"/>
          <w:b/>
          <w:szCs w:val="24"/>
        </w:rPr>
        <w:t xml:space="preserve">Legal </w:t>
      </w:r>
      <w:r w:rsidRPr="00845C6E">
        <w:rPr>
          <w:rFonts w:ascii="Times New Roman" w:hAnsi="Times New Roman"/>
          <w:b/>
          <w:szCs w:val="24"/>
        </w:rPr>
        <w:t>Standard</w:t>
      </w:r>
      <w:r>
        <w:rPr>
          <w:rFonts w:ascii="Times New Roman" w:hAnsi="Times New Roman"/>
          <w:b/>
          <w:szCs w:val="24"/>
        </w:rPr>
        <w:t>, Staff’s</w:t>
      </w:r>
      <w:r w:rsidRPr="00845C6E">
        <w:rPr>
          <w:rFonts w:ascii="Times New Roman" w:hAnsi="Times New Roman"/>
          <w:b/>
          <w:szCs w:val="24"/>
        </w:rPr>
        <w:t xml:space="preserve"> </w:t>
      </w:r>
      <w:r>
        <w:rPr>
          <w:rFonts w:ascii="Times New Roman" w:hAnsi="Times New Roman"/>
          <w:b/>
          <w:szCs w:val="24"/>
        </w:rPr>
        <w:t>Capital Structure is Unsafe and Uneconomic.</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sidRPr="00845C6E">
        <w:rPr>
          <w:rFonts w:ascii="Times New Roman" w:hAnsi="Times New Roman"/>
          <w:szCs w:val="24"/>
        </w:rPr>
        <w:t>Staff argue</w:t>
      </w:r>
      <w:r w:rsidR="00BC4594">
        <w:rPr>
          <w:rFonts w:ascii="Times New Roman" w:hAnsi="Times New Roman"/>
          <w:szCs w:val="24"/>
        </w:rPr>
        <w:t>s</w:t>
      </w:r>
      <w:r w:rsidR="00BC4594" w:rsidRPr="00845C6E">
        <w:rPr>
          <w:rFonts w:ascii="Times New Roman" w:hAnsi="Times New Roman"/>
          <w:szCs w:val="24"/>
        </w:rPr>
        <w:t xml:space="preserve"> that the Company’s analysis is flawed because it used the standard announced in the Commission’s most recently litigated capital structure case, which Staff claims is different from the standard used in PacifiCorp’s 2005 </w:t>
      </w:r>
      <w:r w:rsidR="00BC4594">
        <w:rPr>
          <w:rFonts w:ascii="Times New Roman" w:hAnsi="Times New Roman"/>
          <w:szCs w:val="24"/>
        </w:rPr>
        <w:t>GRC</w:t>
      </w:r>
      <w:r w:rsidR="00BC4594" w:rsidRPr="00845C6E">
        <w:rPr>
          <w:rFonts w:ascii="Times New Roman" w:hAnsi="Times New Roman"/>
          <w:szCs w:val="24"/>
        </w:rPr>
        <w:t>.</w:t>
      </w:r>
      <w:r w:rsidR="00BC4594" w:rsidRPr="00845C6E">
        <w:rPr>
          <w:rStyle w:val="FootnoteReference"/>
          <w:rFonts w:ascii="Times New Roman" w:hAnsi="Times New Roman"/>
          <w:szCs w:val="24"/>
        </w:rPr>
        <w:footnoteReference w:id="47"/>
      </w:r>
      <w:r w:rsidR="00BC4594" w:rsidRPr="00845C6E">
        <w:rPr>
          <w:rFonts w:ascii="Times New Roman" w:hAnsi="Times New Roman"/>
          <w:szCs w:val="24"/>
        </w:rPr>
        <w:t xml:space="preserve">  Staff argues that order</w:t>
      </w:r>
      <w:r w:rsidR="00BC4594">
        <w:rPr>
          <w:rFonts w:ascii="Times New Roman" w:hAnsi="Times New Roman"/>
          <w:szCs w:val="24"/>
        </w:rPr>
        <w:t xml:space="preserve">s in recent cases involving Puget </w:t>
      </w:r>
      <w:r w:rsidR="00BC4594" w:rsidRPr="00845C6E">
        <w:rPr>
          <w:rFonts w:ascii="Times New Roman" w:hAnsi="Times New Roman"/>
          <w:szCs w:val="24"/>
        </w:rPr>
        <w:t>do not apply to PacifiCorp.  This is wrong for two reasons.  First, nothing in the</w:t>
      </w:r>
      <w:r w:rsidR="00BC4594">
        <w:rPr>
          <w:rFonts w:ascii="Times New Roman" w:hAnsi="Times New Roman"/>
          <w:szCs w:val="24"/>
        </w:rPr>
        <w:t>se orders</w:t>
      </w:r>
      <w:r w:rsidR="00BC4594" w:rsidRPr="00845C6E">
        <w:rPr>
          <w:rFonts w:ascii="Times New Roman" w:hAnsi="Times New Roman"/>
          <w:szCs w:val="24"/>
        </w:rPr>
        <w:t xml:space="preserve"> suggest that the analysis </w:t>
      </w:r>
      <w:r w:rsidR="00BC4594">
        <w:rPr>
          <w:rFonts w:ascii="Times New Roman" w:hAnsi="Times New Roman"/>
          <w:szCs w:val="24"/>
        </w:rPr>
        <w:t>is limited to Puget</w:t>
      </w:r>
      <w:r w:rsidR="00BC4594" w:rsidRPr="00845C6E">
        <w:rPr>
          <w:rFonts w:ascii="Times New Roman" w:hAnsi="Times New Roman"/>
          <w:szCs w:val="24"/>
        </w:rPr>
        <w:t xml:space="preserve">—the order </w:t>
      </w:r>
      <w:r w:rsidR="00BC4594">
        <w:rPr>
          <w:rFonts w:ascii="Times New Roman" w:hAnsi="Times New Roman"/>
          <w:szCs w:val="24"/>
        </w:rPr>
        <w:t xml:space="preserve">in the Puget GRC </w:t>
      </w:r>
      <w:r w:rsidR="00BC4594" w:rsidRPr="00845C6E">
        <w:rPr>
          <w:rFonts w:ascii="Times New Roman" w:hAnsi="Times New Roman"/>
          <w:szCs w:val="24"/>
        </w:rPr>
        <w:t>states clearly:  “The Commission has approved hypothetical capital structures when there was a clear and compelling reason to do so.”</w:t>
      </w:r>
      <w:r w:rsidR="00BC4594" w:rsidRPr="00845C6E">
        <w:rPr>
          <w:rStyle w:val="FootnoteReference"/>
          <w:rFonts w:ascii="Times New Roman" w:hAnsi="Times New Roman"/>
          <w:szCs w:val="24"/>
        </w:rPr>
        <w:footnoteReference w:id="48"/>
      </w:r>
      <w:r w:rsidR="00BC4594" w:rsidRPr="00845C6E">
        <w:rPr>
          <w:rFonts w:ascii="Times New Roman" w:hAnsi="Times New Roman"/>
          <w:szCs w:val="24"/>
        </w:rPr>
        <w:t xml:space="preserve">  </w:t>
      </w:r>
    </w:p>
    <w:p w:rsidR="00BC4594" w:rsidRPr="00845C6E"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sidRPr="00845C6E">
        <w:rPr>
          <w:rFonts w:ascii="Times New Roman" w:hAnsi="Times New Roman"/>
          <w:szCs w:val="24"/>
        </w:rPr>
        <w:t xml:space="preserve">Second, </w:t>
      </w:r>
      <w:r w:rsidR="0097679A">
        <w:rPr>
          <w:rFonts w:ascii="Times New Roman" w:hAnsi="Times New Roman"/>
          <w:szCs w:val="24"/>
        </w:rPr>
        <w:t>Mr. </w:t>
      </w:r>
      <w:r w:rsidR="00BC4594" w:rsidRPr="00845C6E">
        <w:rPr>
          <w:rFonts w:ascii="Times New Roman" w:hAnsi="Times New Roman"/>
          <w:szCs w:val="24"/>
        </w:rPr>
        <w:t>Elgin recommends his 46</w:t>
      </w:r>
      <w:r w:rsidR="00BC4594">
        <w:rPr>
          <w:rFonts w:ascii="Times New Roman" w:hAnsi="Times New Roman"/>
          <w:szCs w:val="24"/>
        </w:rPr>
        <w:t>.5</w:t>
      </w:r>
      <w:r w:rsidR="00BC4594" w:rsidRPr="00845C6E">
        <w:rPr>
          <w:rFonts w:ascii="Times New Roman" w:hAnsi="Times New Roman"/>
          <w:szCs w:val="24"/>
        </w:rPr>
        <w:t>% equity ratio because that “is consistent with the capital structure used by the Commission in recent contested proceedings for energy companies.”</w:t>
      </w:r>
      <w:r w:rsidR="00BC4594" w:rsidRPr="00845C6E">
        <w:rPr>
          <w:rStyle w:val="FootnoteReference"/>
          <w:rFonts w:ascii="Times New Roman" w:hAnsi="Times New Roman"/>
          <w:szCs w:val="24"/>
        </w:rPr>
        <w:footnoteReference w:id="49"/>
      </w:r>
      <w:r w:rsidR="00BC4594" w:rsidRPr="00845C6E">
        <w:rPr>
          <w:rFonts w:ascii="Times New Roman" w:hAnsi="Times New Roman"/>
          <w:szCs w:val="24"/>
        </w:rPr>
        <w:t xml:space="preserve"> </w:t>
      </w:r>
      <w:r w:rsidR="00A74E2A">
        <w:rPr>
          <w:rFonts w:ascii="Times New Roman" w:hAnsi="Times New Roman"/>
          <w:szCs w:val="24"/>
        </w:rPr>
        <w:t xml:space="preserve"> </w:t>
      </w:r>
      <w:r w:rsidR="00BC4594" w:rsidRPr="00845C6E">
        <w:rPr>
          <w:rFonts w:ascii="Times New Roman" w:hAnsi="Times New Roman"/>
          <w:szCs w:val="24"/>
        </w:rPr>
        <w:t xml:space="preserve">Staff cannot argue that the equity ratio adopted in the Puget </w:t>
      </w:r>
      <w:r w:rsidR="00BC4594">
        <w:rPr>
          <w:rFonts w:ascii="Times New Roman" w:hAnsi="Times New Roman"/>
          <w:szCs w:val="24"/>
        </w:rPr>
        <w:t>GRC</w:t>
      </w:r>
      <w:r w:rsidR="00BC4594" w:rsidRPr="00845C6E">
        <w:rPr>
          <w:rFonts w:ascii="Times New Roman" w:hAnsi="Times New Roman"/>
          <w:szCs w:val="24"/>
        </w:rPr>
        <w:t xml:space="preserve"> supports its proposed ratio while also arguing that the analysis and standards used by the Commission to arrive at its result do not apply here.  </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 xml:space="preserve">In any event, under any legal standard, </w:t>
      </w:r>
      <w:r w:rsidR="0097679A">
        <w:rPr>
          <w:rFonts w:ascii="Times New Roman" w:hAnsi="Times New Roman"/>
          <w:szCs w:val="24"/>
        </w:rPr>
        <w:t>Mr. </w:t>
      </w:r>
      <w:r w:rsidR="00BC4594" w:rsidRPr="00845C6E">
        <w:rPr>
          <w:rFonts w:ascii="Times New Roman" w:hAnsi="Times New Roman"/>
          <w:szCs w:val="24"/>
        </w:rPr>
        <w:t>Elgin failed to demonstrate that his proposed capital structure is safe.  Staff</w:t>
      </w:r>
      <w:r w:rsidR="00BC4594">
        <w:rPr>
          <w:rFonts w:ascii="Times New Roman" w:hAnsi="Times New Roman"/>
          <w:szCs w:val="24"/>
        </w:rPr>
        <w:t xml:space="preserve"> admits that its capital structure</w:t>
      </w:r>
      <w:r w:rsidR="00BC4594" w:rsidRPr="00845C6E">
        <w:rPr>
          <w:rFonts w:ascii="Times New Roman" w:hAnsi="Times New Roman"/>
          <w:szCs w:val="24"/>
        </w:rPr>
        <w:t xml:space="preserve"> result</w:t>
      </w:r>
      <w:r w:rsidR="00BC4594">
        <w:rPr>
          <w:rFonts w:ascii="Times New Roman" w:hAnsi="Times New Roman"/>
          <w:szCs w:val="24"/>
        </w:rPr>
        <w:t>s</w:t>
      </w:r>
      <w:r w:rsidR="00BC4594" w:rsidRPr="00845C6E">
        <w:rPr>
          <w:rFonts w:ascii="Times New Roman" w:hAnsi="Times New Roman"/>
          <w:szCs w:val="24"/>
        </w:rPr>
        <w:t xml:space="preserve"> in financial metrics for PacifiCorp that align with a “BBB” credit rating.</w:t>
      </w:r>
      <w:r w:rsidR="00BC4594" w:rsidRPr="00845C6E">
        <w:rPr>
          <w:rStyle w:val="FootnoteReference"/>
          <w:rFonts w:ascii="Times New Roman" w:hAnsi="Times New Roman"/>
          <w:szCs w:val="24"/>
        </w:rPr>
        <w:footnoteReference w:id="50"/>
      </w:r>
      <w:r w:rsidR="00BC4594" w:rsidRPr="00845C6E">
        <w:rPr>
          <w:rFonts w:ascii="Times New Roman" w:hAnsi="Times New Roman"/>
          <w:szCs w:val="24"/>
        </w:rPr>
        <w:t xml:space="preserve">  </w:t>
      </w:r>
      <w:r w:rsidR="00BC4594">
        <w:rPr>
          <w:rFonts w:ascii="Times New Roman" w:hAnsi="Times New Roman"/>
          <w:szCs w:val="24"/>
        </w:rPr>
        <w:t>A</w:t>
      </w:r>
      <w:r w:rsidR="00BC4594" w:rsidRPr="00845C6E">
        <w:rPr>
          <w:rFonts w:ascii="Times New Roman" w:hAnsi="Times New Roman"/>
          <w:szCs w:val="24"/>
        </w:rPr>
        <w:t xml:space="preserve"> credit downgrade, which is already a risk because of the Company’s stand-alone </w:t>
      </w:r>
      <w:r w:rsidR="00BC4594">
        <w:rPr>
          <w:rFonts w:ascii="Times New Roman" w:hAnsi="Times New Roman"/>
          <w:szCs w:val="24"/>
        </w:rPr>
        <w:t>credit metrics</w:t>
      </w:r>
      <w:r w:rsidR="00BC4594" w:rsidRPr="00845C6E">
        <w:rPr>
          <w:rFonts w:ascii="Times New Roman" w:hAnsi="Times New Roman"/>
          <w:szCs w:val="24"/>
        </w:rPr>
        <w:t xml:space="preserve">, will harm customers in the form of increased borrowing costs and potentially limited access to debt markets.  </w:t>
      </w:r>
      <w:r w:rsidR="00BC4594">
        <w:rPr>
          <w:rFonts w:ascii="Times New Roman" w:hAnsi="Times New Roman"/>
          <w:szCs w:val="24"/>
        </w:rPr>
        <w:t>For example, Puget is rated “BBB,” and its long-term debt costs are n</w:t>
      </w:r>
      <w:r w:rsidR="00BC4594" w:rsidRPr="00971E37">
        <w:rPr>
          <w:rFonts w:ascii="Times New Roman" w:hAnsi="Times New Roman"/>
          <w:szCs w:val="24"/>
        </w:rPr>
        <w:t>early 100 basis points higher than PacifiCorp’s.</w:t>
      </w:r>
      <w:r w:rsidR="00BC4594" w:rsidRPr="00971E37">
        <w:rPr>
          <w:rFonts w:ascii="Times New Roman" w:hAnsi="Times New Roman"/>
          <w:szCs w:val="24"/>
          <w:vertAlign w:val="superscript"/>
        </w:rPr>
        <w:footnoteReference w:id="51"/>
      </w:r>
      <w:r w:rsidR="00BC4594" w:rsidRPr="00971E37">
        <w:rPr>
          <w:rFonts w:ascii="Times New Roman" w:hAnsi="Times New Roman"/>
          <w:szCs w:val="24"/>
        </w:rPr>
        <w:t xml:space="preserve">  </w:t>
      </w:r>
    </w:p>
    <w:p w:rsidR="00BC4594" w:rsidRPr="00C86942"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S</w:t>
      </w:r>
      <w:r w:rsidR="00BC4594" w:rsidRPr="00230668">
        <w:rPr>
          <w:rFonts w:ascii="Times New Roman" w:hAnsi="Times New Roman"/>
          <w:szCs w:val="24"/>
        </w:rPr>
        <w:t xml:space="preserve">taff </w:t>
      </w:r>
      <w:r w:rsidR="00BC4594">
        <w:rPr>
          <w:rFonts w:ascii="Times New Roman" w:hAnsi="Times New Roman"/>
          <w:szCs w:val="24"/>
        </w:rPr>
        <w:t xml:space="preserve">downplays this issue, </w:t>
      </w:r>
      <w:r w:rsidR="00BC4594" w:rsidRPr="00230668">
        <w:rPr>
          <w:rFonts w:ascii="Times New Roman" w:hAnsi="Times New Roman"/>
          <w:szCs w:val="24"/>
        </w:rPr>
        <w:t>argu</w:t>
      </w:r>
      <w:r w:rsidR="00BC4594">
        <w:rPr>
          <w:rFonts w:ascii="Times New Roman" w:hAnsi="Times New Roman"/>
          <w:szCs w:val="24"/>
        </w:rPr>
        <w:t>ing</w:t>
      </w:r>
      <w:r w:rsidR="00BC4594" w:rsidRPr="00230668">
        <w:rPr>
          <w:rFonts w:ascii="Times New Roman" w:hAnsi="Times New Roman"/>
          <w:szCs w:val="24"/>
        </w:rPr>
        <w:t xml:space="preserve"> that Puget and </w:t>
      </w:r>
      <w:proofErr w:type="spellStart"/>
      <w:r w:rsidR="00BC4594" w:rsidRPr="00230668">
        <w:rPr>
          <w:rFonts w:ascii="Times New Roman" w:hAnsi="Times New Roman"/>
          <w:szCs w:val="24"/>
        </w:rPr>
        <w:t>Avista</w:t>
      </w:r>
      <w:proofErr w:type="spellEnd"/>
      <w:r w:rsidR="00BC4594" w:rsidRPr="00230668">
        <w:rPr>
          <w:rFonts w:ascii="Times New Roman" w:hAnsi="Times New Roman"/>
          <w:szCs w:val="24"/>
        </w:rPr>
        <w:t xml:space="preserve"> issued debt </w:t>
      </w:r>
      <w:r w:rsidR="00BC4594">
        <w:rPr>
          <w:rFonts w:ascii="Times New Roman" w:hAnsi="Times New Roman"/>
          <w:szCs w:val="24"/>
        </w:rPr>
        <w:t xml:space="preserve">later </w:t>
      </w:r>
      <w:r w:rsidR="00BC4594" w:rsidRPr="00230668">
        <w:rPr>
          <w:rFonts w:ascii="Times New Roman" w:hAnsi="Times New Roman"/>
          <w:szCs w:val="24"/>
        </w:rPr>
        <w:t>in 2009 at lower costs than PacifiCorp.</w:t>
      </w:r>
      <w:r w:rsidR="00BC4594">
        <w:rPr>
          <w:rStyle w:val="FootnoteReference"/>
          <w:rFonts w:ascii="Times New Roman" w:hAnsi="Times New Roman"/>
          <w:szCs w:val="24"/>
        </w:rPr>
        <w:footnoteReference w:id="52"/>
      </w:r>
      <w:r w:rsidR="00BC4594" w:rsidRPr="00230668">
        <w:rPr>
          <w:rFonts w:ascii="Times New Roman" w:hAnsi="Times New Roman"/>
          <w:szCs w:val="24"/>
        </w:rPr>
        <w:t xml:space="preserve">  This is an inapt comparison because market conditions changed dramatically throughout </w:t>
      </w:r>
      <w:r w:rsidR="00BC4594" w:rsidRPr="00C86942">
        <w:rPr>
          <w:rFonts w:ascii="Times New Roman" w:hAnsi="Times New Roman"/>
          <w:szCs w:val="24"/>
        </w:rPr>
        <w:t xml:space="preserve">2009.  A more informative comparison is the Puget debt issuance on January 20, 2009, 15 days after PacifiCorp’s January 2009 issuance.  Puget paid 6.75% for seven year debt, a spread of 480.3 basis </w:t>
      </w:r>
      <w:r w:rsidR="00A74E2A">
        <w:rPr>
          <w:rFonts w:ascii="Times New Roman" w:hAnsi="Times New Roman"/>
          <w:szCs w:val="24"/>
        </w:rPr>
        <w:t>points over the corresponding 7-</w:t>
      </w:r>
      <w:r w:rsidR="00BC4594" w:rsidRPr="00C86942">
        <w:rPr>
          <w:rFonts w:ascii="Times New Roman" w:hAnsi="Times New Roman"/>
          <w:szCs w:val="24"/>
        </w:rPr>
        <w:t>year Treasury rate at the time of their issuance.</w:t>
      </w:r>
      <w:r w:rsidR="00BC4594" w:rsidRPr="00C86942">
        <w:rPr>
          <w:rStyle w:val="FootnoteReference"/>
          <w:rFonts w:ascii="Times New Roman" w:hAnsi="Times New Roman"/>
          <w:szCs w:val="24"/>
        </w:rPr>
        <w:footnoteReference w:id="53"/>
      </w:r>
      <w:r w:rsidR="002E51C6">
        <w:rPr>
          <w:rFonts w:ascii="Times New Roman" w:hAnsi="Times New Roman"/>
          <w:szCs w:val="24"/>
        </w:rPr>
        <w:t xml:space="preserve">  </w:t>
      </w:r>
      <w:r w:rsidR="00BC4594" w:rsidRPr="00C86942">
        <w:rPr>
          <w:rFonts w:ascii="Times New Roman" w:hAnsi="Times New Roman"/>
          <w:szCs w:val="24"/>
        </w:rPr>
        <w:t>By comparison, PacifiCorp obtained 10 year debt at 5.50% and 30 year at 6.00%, a 310 basis point spread over the corresponding Treasury rate when issued.</w:t>
      </w:r>
      <w:r w:rsidR="00BC4594" w:rsidRPr="00C86942">
        <w:rPr>
          <w:rStyle w:val="FootnoteReference"/>
          <w:rFonts w:ascii="Times New Roman" w:hAnsi="Times New Roman"/>
          <w:szCs w:val="24"/>
        </w:rPr>
        <w:footnoteReference w:id="54"/>
      </w:r>
      <w:r w:rsidR="002E51C6">
        <w:rPr>
          <w:rFonts w:ascii="Times New Roman" w:hAnsi="Times New Roman"/>
          <w:szCs w:val="24"/>
        </w:rPr>
        <w:t xml:space="preserve">  </w:t>
      </w:r>
      <w:r w:rsidR="00BC4594" w:rsidRPr="00C86942">
        <w:rPr>
          <w:rFonts w:ascii="Times New Roman" w:hAnsi="Times New Roman"/>
          <w:szCs w:val="24"/>
        </w:rPr>
        <w:t>PacifiCorp’s single “A” rating allowed it to achieve a longer maturity at less cost to cu</w:t>
      </w:r>
      <w:r w:rsidR="002E51C6">
        <w:rPr>
          <w:rFonts w:ascii="Times New Roman" w:hAnsi="Times New Roman"/>
          <w:szCs w:val="24"/>
        </w:rPr>
        <w:t>stomers than Puget obtained.</w:t>
      </w:r>
    </w:p>
    <w:p w:rsidR="00BC4594" w:rsidRPr="00C86942" w:rsidRDefault="00C47F75" w:rsidP="003A270F">
      <w:pPr>
        <w:pStyle w:val="ListParagraph"/>
        <w:numPr>
          <w:ilvl w:val="0"/>
          <w:numId w:val="12"/>
        </w:numPr>
        <w:tabs>
          <w:tab w:val="clear" w:pos="1440"/>
          <w:tab w:val="num" w:pos="720"/>
        </w:tabs>
        <w:spacing w:line="480" w:lineRule="auto"/>
        <w:ind w:left="0"/>
        <w:rPr>
          <w:rFonts w:ascii="Times New Roman" w:hAnsi="Times New Roman"/>
          <w:color w:val="1F497D"/>
          <w:szCs w:val="24"/>
        </w:rPr>
      </w:pPr>
      <w:r>
        <w:rPr>
          <w:rFonts w:ascii="Times New Roman" w:hAnsi="Times New Roman"/>
          <w:szCs w:val="24"/>
        </w:rPr>
        <w:tab/>
      </w:r>
      <w:r w:rsidR="00BC4594" w:rsidRPr="00C86942">
        <w:rPr>
          <w:rFonts w:ascii="Times New Roman" w:hAnsi="Times New Roman"/>
          <w:szCs w:val="24"/>
        </w:rPr>
        <w:t>Staff also implies that a downgrade is unlikely because PacifiCorp’s equity ratio temporarily decreased to 46.5% after the January 2009 debt issuance without a downgrade.</w:t>
      </w:r>
      <w:r w:rsidR="00BC4594" w:rsidRPr="00C86942">
        <w:rPr>
          <w:rStyle w:val="FootnoteReference"/>
          <w:rFonts w:ascii="Times New Roman" w:hAnsi="Times New Roman"/>
          <w:szCs w:val="24"/>
        </w:rPr>
        <w:footnoteReference w:id="55"/>
      </w:r>
      <w:r w:rsidR="00BC4594" w:rsidRPr="00C86942">
        <w:rPr>
          <w:rFonts w:ascii="Times New Roman" w:hAnsi="Times New Roman"/>
          <w:szCs w:val="24"/>
        </w:rPr>
        <w:t>  The credit agencies did not react because this capital structure was for a single, short-lived point in time and it was clear that PacifiCorp was not permanently “re-setting” its capital structure with a 46.5% common equity level—in contrast to Staff’s recommendation in this case.</w:t>
      </w:r>
    </w:p>
    <w:p w:rsidR="00BC4594" w:rsidRDefault="00BC4594" w:rsidP="003A270F">
      <w:pPr>
        <w:keepNext/>
        <w:spacing w:after="240"/>
        <w:ind w:left="1440" w:hanging="720"/>
        <w:rPr>
          <w:rFonts w:ascii="Times New Roman" w:hAnsi="Times New Roman"/>
          <w:b/>
          <w:szCs w:val="24"/>
        </w:rPr>
      </w:pPr>
      <w:r>
        <w:rPr>
          <w:rFonts w:ascii="Times New Roman" w:hAnsi="Times New Roman"/>
          <w:b/>
          <w:szCs w:val="24"/>
        </w:rPr>
        <w:t>2</w:t>
      </w:r>
      <w:r w:rsidRPr="00845C6E">
        <w:rPr>
          <w:rFonts w:ascii="Times New Roman" w:hAnsi="Times New Roman"/>
          <w:b/>
          <w:szCs w:val="24"/>
        </w:rPr>
        <w:t>.</w:t>
      </w:r>
      <w:r w:rsidRPr="00845C6E">
        <w:rPr>
          <w:rFonts w:ascii="Times New Roman" w:hAnsi="Times New Roman"/>
          <w:b/>
          <w:szCs w:val="24"/>
        </w:rPr>
        <w:tab/>
        <w:t xml:space="preserve">There is No Evidence that the Company’s Actual Capital Structure is </w:t>
      </w:r>
      <w:proofErr w:type="gramStart"/>
      <w:r w:rsidRPr="00845C6E">
        <w:rPr>
          <w:rFonts w:ascii="Times New Roman" w:hAnsi="Times New Roman"/>
          <w:b/>
          <w:szCs w:val="24"/>
        </w:rPr>
        <w:t>Driven</w:t>
      </w:r>
      <w:proofErr w:type="gramEnd"/>
      <w:r>
        <w:rPr>
          <w:rFonts w:ascii="Times New Roman" w:hAnsi="Times New Roman"/>
          <w:b/>
          <w:szCs w:val="24"/>
        </w:rPr>
        <w:t xml:space="preserve"> </w:t>
      </w:r>
      <w:r w:rsidRPr="00845C6E">
        <w:rPr>
          <w:rFonts w:ascii="Times New Roman" w:hAnsi="Times New Roman"/>
          <w:b/>
          <w:szCs w:val="24"/>
        </w:rPr>
        <w:t>by MEHC’s Financial Motives.</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Both Staff and ICNU urge the Commission to reject the Company’s actual equity ratio because of their unfounded allegation that PacifiCorp’s parent company, MEHC, unnecessarily drove up the equity ratio in pursuit of profits.</w:t>
      </w:r>
      <w:r w:rsidR="00BC4594">
        <w:rPr>
          <w:rStyle w:val="FootnoteReference"/>
          <w:rFonts w:ascii="Times New Roman" w:hAnsi="Times New Roman"/>
          <w:szCs w:val="24"/>
        </w:rPr>
        <w:footnoteReference w:id="56"/>
      </w:r>
      <w:r w:rsidR="00BC4594">
        <w:rPr>
          <w:rFonts w:ascii="Times New Roman" w:hAnsi="Times New Roman"/>
          <w:szCs w:val="24"/>
        </w:rPr>
        <w:t xml:space="preserve">  This argument </w:t>
      </w:r>
      <w:r w:rsidR="00BC4594" w:rsidRPr="00845C6E">
        <w:rPr>
          <w:rFonts w:ascii="Times New Roman" w:hAnsi="Times New Roman"/>
          <w:szCs w:val="24"/>
        </w:rPr>
        <w:t xml:space="preserve">ignores the testimony of </w:t>
      </w:r>
      <w:r w:rsidR="00BC4594">
        <w:rPr>
          <w:rFonts w:ascii="Times New Roman" w:hAnsi="Times New Roman"/>
          <w:szCs w:val="24"/>
        </w:rPr>
        <w:t xml:space="preserve">both </w:t>
      </w:r>
      <w:r w:rsidR="0097679A">
        <w:rPr>
          <w:rFonts w:ascii="Times New Roman" w:hAnsi="Times New Roman"/>
          <w:szCs w:val="24"/>
        </w:rPr>
        <w:t>Mr. </w:t>
      </w:r>
      <w:r w:rsidR="00BC4594" w:rsidRPr="00845C6E">
        <w:rPr>
          <w:rFonts w:ascii="Times New Roman" w:hAnsi="Times New Roman"/>
          <w:szCs w:val="24"/>
        </w:rPr>
        <w:t xml:space="preserve">Williams </w:t>
      </w:r>
      <w:r w:rsidR="00BC4594">
        <w:rPr>
          <w:rFonts w:ascii="Times New Roman" w:hAnsi="Times New Roman"/>
          <w:szCs w:val="24"/>
        </w:rPr>
        <w:t xml:space="preserve">and </w:t>
      </w:r>
      <w:r w:rsidR="0097679A">
        <w:rPr>
          <w:rFonts w:ascii="Times New Roman" w:hAnsi="Times New Roman"/>
          <w:szCs w:val="24"/>
        </w:rPr>
        <w:t>Mr. </w:t>
      </w:r>
      <w:r w:rsidR="00BC4594">
        <w:rPr>
          <w:rFonts w:ascii="Times New Roman" w:hAnsi="Times New Roman"/>
          <w:szCs w:val="24"/>
        </w:rPr>
        <w:t>Gorman</w:t>
      </w:r>
      <w:r w:rsidR="00BC4594" w:rsidRPr="00845C6E">
        <w:rPr>
          <w:rFonts w:ascii="Times New Roman" w:hAnsi="Times New Roman"/>
          <w:szCs w:val="24"/>
        </w:rPr>
        <w:t xml:space="preserve"> </w:t>
      </w:r>
      <w:r w:rsidR="00BC4594">
        <w:rPr>
          <w:rFonts w:ascii="Times New Roman" w:hAnsi="Times New Roman"/>
          <w:szCs w:val="24"/>
        </w:rPr>
        <w:t xml:space="preserve">explaining </w:t>
      </w:r>
      <w:r w:rsidR="00BC4594" w:rsidRPr="00845C6E">
        <w:rPr>
          <w:rFonts w:ascii="Times New Roman" w:hAnsi="Times New Roman"/>
          <w:szCs w:val="24"/>
        </w:rPr>
        <w:t xml:space="preserve">why the Company’s equity ratio </w:t>
      </w:r>
      <w:r w:rsidR="00BC4594">
        <w:rPr>
          <w:rFonts w:ascii="Times New Roman" w:hAnsi="Times New Roman"/>
          <w:szCs w:val="24"/>
        </w:rPr>
        <w:t xml:space="preserve">has </w:t>
      </w:r>
      <w:r w:rsidR="00BC4594" w:rsidRPr="00845C6E">
        <w:rPr>
          <w:rFonts w:ascii="Times New Roman" w:hAnsi="Times New Roman"/>
          <w:szCs w:val="24"/>
        </w:rPr>
        <w:t>increas</w:t>
      </w:r>
      <w:r w:rsidR="00BC4594">
        <w:rPr>
          <w:rFonts w:ascii="Times New Roman" w:hAnsi="Times New Roman"/>
          <w:szCs w:val="24"/>
        </w:rPr>
        <w:t>ed.</w:t>
      </w:r>
    </w:p>
    <w:p w:rsidR="00BC4594" w:rsidRPr="00845C6E"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97679A">
        <w:rPr>
          <w:rFonts w:ascii="Times New Roman" w:hAnsi="Times New Roman"/>
          <w:szCs w:val="24"/>
        </w:rPr>
        <w:t>Mr. </w:t>
      </w:r>
      <w:r w:rsidR="00BC4594">
        <w:rPr>
          <w:rFonts w:ascii="Times New Roman" w:hAnsi="Times New Roman"/>
          <w:szCs w:val="24"/>
        </w:rPr>
        <w:t xml:space="preserve">Williams testified </w:t>
      </w:r>
      <w:r w:rsidR="00BC4594" w:rsidRPr="00845C6E">
        <w:rPr>
          <w:rFonts w:ascii="Times New Roman" w:hAnsi="Times New Roman"/>
          <w:szCs w:val="24"/>
        </w:rPr>
        <w:t>that the current equity ratio is vital to the Company because of its increasing capital expenditures</w:t>
      </w:r>
      <w:r w:rsidR="00BC4594" w:rsidRPr="00845C6E">
        <w:rPr>
          <w:rStyle w:val="FootnoteReference"/>
          <w:rFonts w:ascii="Times New Roman" w:hAnsi="Times New Roman"/>
          <w:szCs w:val="24"/>
        </w:rPr>
        <w:footnoteReference w:id="57"/>
      </w:r>
      <w:r w:rsidR="00BC4594" w:rsidRPr="00845C6E">
        <w:rPr>
          <w:rFonts w:ascii="Times New Roman" w:hAnsi="Times New Roman"/>
          <w:szCs w:val="24"/>
        </w:rPr>
        <w:t xml:space="preserve"> </w:t>
      </w:r>
      <w:r w:rsidR="00BC4594">
        <w:rPr>
          <w:rFonts w:ascii="Times New Roman" w:hAnsi="Times New Roman"/>
          <w:szCs w:val="24"/>
        </w:rPr>
        <w:t>and</w:t>
      </w:r>
      <w:r w:rsidR="00BC4594" w:rsidRPr="00845C6E">
        <w:rPr>
          <w:rFonts w:ascii="Times New Roman" w:hAnsi="Times New Roman"/>
          <w:szCs w:val="24"/>
        </w:rPr>
        <w:t xml:space="preserve"> </w:t>
      </w:r>
      <w:r w:rsidR="00BC4594">
        <w:rPr>
          <w:rFonts w:ascii="Times New Roman" w:hAnsi="Times New Roman"/>
          <w:szCs w:val="24"/>
        </w:rPr>
        <w:t xml:space="preserve">credit rating agencies’ </w:t>
      </w:r>
      <w:r w:rsidR="00BC4594" w:rsidRPr="00845C6E">
        <w:rPr>
          <w:rFonts w:ascii="Times New Roman" w:hAnsi="Times New Roman"/>
          <w:szCs w:val="24"/>
        </w:rPr>
        <w:t xml:space="preserve">more stringent </w:t>
      </w:r>
      <w:r w:rsidR="00BC4594">
        <w:rPr>
          <w:rFonts w:ascii="Times New Roman" w:hAnsi="Times New Roman"/>
          <w:szCs w:val="24"/>
        </w:rPr>
        <w:t>r</w:t>
      </w:r>
      <w:r w:rsidR="00BC4594" w:rsidRPr="00845C6E">
        <w:rPr>
          <w:rFonts w:ascii="Times New Roman" w:hAnsi="Times New Roman"/>
          <w:szCs w:val="24"/>
        </w:rPr>
        <w:t>equirements for maintenance of the Company’s sing</w:t>
      </w:r>
      <w:r w:rsidR="00BC4594">
        <w:rPr>
          <w:rFonts w:ascii="Times New Roman" w:hAnsi="Times New Roman"/>
          <w:szCs w:val="24"/>
        </w:rPr>
        <w:t>l</w:t>
      </w:r>
      <w:r w:rsidR="00BC4594" w:rsidRPr="00845C6E">
        <w:rPr>
          <w:rFonts w:ascii="Times New Roman" w:hAnsi="Times New Roman"/>
          <w:szCs w:val="24"/>
        </w:rPr>
        <w:t>e “A” credit rating.</w:t>
      </w:r>
      <w:r w:rsidR="00BC4594" w:rsidRPr="00845C6E">
        <w:rPr>
          <w:rStyle w:val="FootnoteReference"/>
          <w:rFonts w:ascii="Times New Roman" w:hAnsi="Times New Roman"/>
          <w:szCs w:val="24"/>
        </w:rPr>
        <w:footnoteReference w:id="58"/>
      </w:r>
      <w:r w:rsidR="00BC4594" w:rsidRPr="00845C6E">
        <w:rPr>
          <w:rFonts w:ascii="Times New Roman" w:hAnsi="Times New Roman"/>
          <w:szCs w:val="24"/>
        </w:rPr>
        <w:t xml:space="preserve"> </w:t>
      </w:r>
      <w:r w:rsidR="0097679A">
        <w:rPr>
          <w:rFonts w:ascii="Times New Roman" w:hAnsi="Times New Roman"/>
          <w:szCs w:val="24"/>
        </w:rPr>
        <w:t>Mr. </w:t>
      </w:r>
      <w:r w:rsidR="00BC4594" w:rsidRPr="00845C6E">
        <w:rPr>
          <w:rFonts w:ascii="Times New Roman" w:hAnsi="Times New Roman"/>
          <w:szCs w:val="24"/>
        </w:rPr>
        <w:t>Gorman acknowledged the value</w:t>
      </w:r>
      <w:r w:rsidR="00BC4594">
        <w:rPr>
          <w:rFonts w:ascii="Times New Roman" w:hAnsi="Times New Roman"/>
          <w:szCs w:val="24"/>
        </w:rPr>
        <w:t xml:space="preserve"> to customers in the </w:t>
      </w:r>
      <w:r w:rsidR="00BC4594" w:rsidRPr="00845C6E">
        <w:rPr>
          <w:rFonts w:ascii="Times New Roman" w:hAnsi="Times New Roman"/>
          <w:szCs w:val="24"/>
        </w:rPr>
        <w:t xml:space="preserve">Company’s current </w:t>
      </w:r>
      <w:r w:rsidR="00BC4594">
        <w:rPr>
          <w:rFonts w:ascii="Times New Roman" w:hAnsi="Times New Roman"/>
          <w:szCs w:val="24"/>
        </w:rPr>
        <w:t xml:space="preserve">single “A” </w:t>
      </w:r>
      <w:r w:rsidR="00BC4594" w:rsidRPr="00845C6E">
        <w:rPr>
          <w:rFonts w:ascii="Times New Roman" w:hAnsi="Times New Roman"/>
          <w:szCs w:val="24"/>
        </w:rPr>
        <w:t>credit rating</w:t>
      </w:r>
      <w:r w:rsidR="00BC4594">
        <w:rPr>
          <w:rFonts w:ascii="Times New Roman" w:hAnsi="Times New Roman"/>
          <w:szCs w:val="24"/>
        </w:rPr>
        <w:t xml:space="preserve"> in this case,</w:t>
      </w:r>
      <w:r w:rsidR="00BC4594" w:rsidRPr="00845C6E">
        <w:rPr>
          <w:rStyle w:val="FootnoteReference"/>
          <w:rFonts w:ascii="Times New Roman" w:hAnsi="Times New Roman"/>
          <w:szCs w:val="24"/>
        </w:rPr>
        <w:footnoteReference w:id="59"/>
      </w:r>
      <w:r w:rsidR="00BC4594" w:rsidRPr="00845C6E">
        <w:rPr>
          <w:rFonts w:ascii="Times New Roman" w:hAnsi="Times New Roman"/>
          <w:szCs w:val="24"/>
        </w:rPr>
        <w:t xml:space="preserve"> testified before the Wyoming </w:t>
      </w:r>
      <w:r w:rsidR="00BC4594">
        <w:rPr>
          <w:rFonts w:ascii="Times New Roman" w:hAnsi="Times New Roman"/>
          <w:szCs w:val="24"/>
        </w:rPr>
        <w:t>C</w:t>
      </w:r>
      <w:r w:rsidR="00BC4594" w:rsidRPr="00845C6E">
        <w:rPr>
          <w:rFonts w:ascii="Times New Roman" w:hAnsi="Times New Roman"/>
          <w:szCs w:val="24"/>
        </w:rPr>
        <w:t xml:space="preserve">ommission </w:t>
      </w:r>
      <w:r w:rsidR="00BC4594">
        <w:rPr>
          <w:rFonts w:ascii="Times New Roman" w:hAnsi="Times New Roman"/>
          <w:szCs w:val="24"/>
        </w:rPr>
        <w:t xml:space="preserve">in the fall of 2010 </w:t>
      </w:r>
      <w:r w:rsidR="00BC4594" w:rsidRPr="00845C6E">
        <w:rPr>
          <w:rFonts w:ascii="Times New Roman" w:hAnsi="Times New Roman"/>
          <w:szCs w:val="24"/>
        </w:rPr>
        <w:t xml:space="preserve">that an equity ratio greater than 50% would balance total investment risk because </w:t>
      </w:r>
      <w:r w:rsidR="00BC4594">
        <w:rPr>
          <w:rFonts w:ascii="Times New Roman" w:hAnsi="Times New Roman"/>
          <w:szCs w:val="24"/>
        </w:rPr>
        <w:t>PacifiCorp</w:t>
      </w:r>
      <w:r w:rsidR="00BC4594" w:rsidRPr="00845C6E">
        <w:rPr>
          <w:rFonts w:ascii="Times New Roman" w:hAnsi="Times New Roman"/>
          <w:szCs w:val="24"/>
        </w:rPr>
        <w:t xml:space="preserve"> has no </w:t>
      </w:r>
      <w:r w:rsidR="00BC4594">
        <w:rPr>
          <w:rFonts w:ascii="Times New Roman" w:hAnsi="Times New Roman"/>
          <w:szCs w:val="24"/>
        </w:rPr>
        <w:t xml:space="preserve">power </w:t>
      </w:r>
      <w:r w:rsidR="00BC4594" w:rsidRPr="00845C6E">
        <w:rPr>
          <w:rFonts w:ascii="Times New Roman" w:hAnsi="Times New Roman"/>
          <w:szCs w:val="24"/>
        </w:rPr>
        <w:t>cost recovery mechanism</w:t>
      </w:r>
      <w:r w:rsidR="00BC4594">
        <w:rPr>
          <w:rFonts w:ascii="Times New Roman" w:hAnsi="Times New Roman"/>
          <w:szCs w:val="24"/>
        </w:rPr>
        <w:t>,</w:t>
      </w:r>
      <w:r w:rsidR="00BC4594" w:rsidRPr="00845C6E">
        <w:rPr>
          <w:rStyle w:val="FootnoteReference"/>
          <w:rFonts w:ascii="Times New Roman" w:hAnsi="Times New Roman"/>
          <w:szCs w:val="24"/>
        </w:rPr>
        <w:footnoteReference w:id="60"/>
      </w:r>
      <w:r w:rsidR="00BC4594" w:rsidRPr="005E6291">
        <w:rPr>
          <w:rFonts w:ascii="Times New Roman" w:hAnsi="Times New Roman"/>
          <w:szCs w:val="24"/>
        </w:rPr>
        <w:t xml:space="preserve"> </w:t>
      </w:r>
      <w:r w:rsidR="00BC4594">
        <w:rPr>
          <w:rFonts w:ascii="Times New Roman" w:hAnsi="Times New Roman"/>
          <w:szCs w:val="24"/>
        </w:rPr>
        <w:t xml:space="preserve">and </w:t>
      </w:r>
      <w:r w:rsidR="00BC4594" w:rsidRPr="00845C6E">
        <w:rPr>
          <w:rFonts w:ascii="Times New Roman" w:hAnsi="Times New Roman"/>
          <w:szCs w:val="24"/>
        </w:rPr>
        <w:t>testi</w:t>
      </w:r>
      <w:r w:rsidR="00BC4594">
        <w:rPr>
          <w:rFonts w:ascii="Times New Roman" w:hAnsi="Times New Roman"/>
          <w:szCs w:val="24"/>
        </w:rPr>
        <w:t xml:space="preserve">fied </w:t>
      </w:r>
      <w:r w:rsidR="00BC4594" w:rsidRPr="00845C6E">
        <w:rPr>
          <w:rFonts w:ascii="Times New Roman" w:hAnsi="Times New Roman"/>
          <w:szCs w:val="24"/>
        </w:rPr>
        <w:t>before the Iowa Utilities Board</w:t>
      </w:r>
      <w:r w:rsidR="00BC4594">
        <w:rPr>
          <w:rFonts w:ascii="Times New Roman" w:hAnsi="Times New Roman"/>
          <w:szCs w:val="24"/>
        </w:rPr>
        <w:t xml:space="preserve"> (also</w:t>
      </w:r>
      <w:r w:rsidR="00BC4594" w:rsidRPr="00845C6E">
        <w:rPr>
          <w:rFonts w:ascii="Times New Roman" w:hAnsi="Times New Roman"/>
          <w:szCs w:val="24"/>
        </w:rPr>
        <w:t xml:space="preserve"> </w:t>
      </w:r>
      <w:r w:rsidR="00BC4594">
        <w:rPr>
          <w:rFonts w:ascii="Times New Roman" w:hAnsi="Times New Roman"/>
          <w:szCs w:val="24"/>
        </w:rPr>
        <w:t xml:space="preserve">in the fall of 2010) that </w:t>
      </w:r>
      <w:r w:rsidR="00BC4594" w:rsidRPr="00845C6E">
        <w:rPr>
          <w:rFonts w:ascii="Times New Roman" w:hAnsi="Times New Roman"/>
          <w:szCs w:val="24"/>
        </w:rPr>
        <w:t xml:space="preserve">a single “A” rating </w:t>
      </w:r>
      <w:r w:rsidR="00BC4594">
        <w:rPr>
          <w:rFonts w:ascii="Times New Roman" w:hAnsi="Times New Roman"/>
          <w:szCs w:val="24"/>
        </w:rPr>
        <w:t xml:space="preserve">for a utility </w:t>
      </w:r>
      <w:r w:rsidR="00BC4594" w:rsidRPr="00845C6E">
        <w:rPr>
          <w:rFonts w:ascii="Times New Roman" w:hAnsi="Times New Roman"/>
          <w:szCs w:val="24"/>
        </w:rPr>
        <w:t>is optimal</w:t>
      </w:r>
      <w:r w:rsidR="00BC4594">
        <w:rPr>
          <w:rFonts w:ascii="Times New Roman" w:hAnsi="Times New Roman"/>
          <w:szCs w:val="24"/>
        </w:rPr>
        <w:t>,</w:t>
      </w:r>
      <w:r w:rsidR="00BC4594" w:rsidRPr="00845C6E">
        <w:rPr>
          <w:rFonts w:ascii="Times New Roman" w:hAnsi="Times New Roman"/>
          <w:szCs w:val="24"/>
        </w:rPr>
        <w:t xml:space="preserve"> helps minimize the overall cost of capital</w:t>
      </w:r>
      <w:r w:rsidR="00BC4594">
        <w:rPr>
          <w:rFonts w:ascii="Times New Roman" w:hAnsi="Times New Roman"/>
          <w:szCs w:val="24"/>
        </w:rPr>
        <w:t xml:space="preserve"> and an equity ratio exceeding 50% is important to support that rating.</w:t>
      </w:r>
      <w:r w:rsidR="00BC4594" w:rsidRPr="00845C6E">
        <w:rPr>
          <w:rStyle w:val="FootnoteReference"/>
          <w:rFonts w:ascii="Times New Roman" w:hAnsi="Times New Roman"/>
          <w:szCs w:val="24"/>
        </w:rPr>
        <w:footnoteReference w:id="61"/>
      </w:r>
      <w:r w:rsidR="00BC4594">
        <w:rPr>
          <w:rFonts w:ascii="Times New Roman" w:hAnsi="Times New Roman"/>
          <w:szCs w:val="24"/>
        </w:rPr>
        <w:t xml:space="preserve">  </w:t>
      </w:r>
    </w:p>
    <w:p w:rsidR="00BC4594" w:rsidRPr="00845C6E"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T</w:t>
      </w:r>
      <w:r w:rsidR="00BC4594" w:rsidRPr="00845C6E">
        <w:rPr>
          <w:rFonts w:ascii="Times New Roman" w:hAnsi="Times New Roman"/>
          <w:szCs w:val="24"/>
        </w:rPr>
        <w:t>he Company’s actual ROE during the test period was 3.15%.</w:t>
      </w:r>
      <w:r w:rsidR="00BC4594" w:rsidRPr="00845C6E">
        <w:rPr>
          <w:rStyle w:val="FootnoteReference"/>
          <w:rFonts w:ascii="Times New Roman" w:hAnsi="Times New Roman"/>
          <w:szCs w:val="24"/>
        </w:rPr>
        <w:footnoteReference w:id="62"/>
      </w:r>
      <w:r w:rsidR="00BC4594" w:rsidRPr="00845C6E">
        <w:rPr>
          <w:rFonts w:ascii="Times New Roman" w:hAnsi="Times New Roman"/>
          <w:szCs w:val="24"/>
        </w:rPr>
        <w:t xml:space="preserve">  </w:t>
      </w:r>
      <w:r w:rsidR="00BC4594">
        <w:rPr>
          <w:rFonts w:ascii="Times New Roman" w:hAnsi="Times New Roman"/>
          <w:szCs w:val="24"/>
        </w:rPr>
        <w:t>Notwithstanding such returns</w:t>
      </w:r>
      <w:r w:rsidR="00BC4594" w:rsidRPr="00845C6E">
        <w:rPr>
          <w:rFonts w:ascii="Times New Roman" w:hAnsi="Times New Roman"/>
          <w:szCs w:val="24"/>
        </w:rPr>
        <w:t>, MEHC has infused over $900 million of equity into PacifiCorp.</w:t>
      </w:r>
      <w:r w:rsidR="00BC4594" w:rsidRPr="00845C6E">
        <w:rPr>
          <w:rStyle w:val="FootnoteReference"/>
          <w:rFonts w:ascii="Times New Roman" w:hAnsi="Times New Roman"/>
          <w:szCs w:val="24"/>
        </w:rPr>
        <w:footnoteReference w:id="63"/>
      </w:r>
      <w:r w:rsidR="00BC4594" w:rsidRPr="00845C6E">
        <w:rPr>
          <w:rFonts w:ascii="Times New Roman" w:hAnsi="Times New Roman"/>
          <w:szCs w:val="24"/>
        </w:rPr>
        <w:t xml:space="preserve"> </w:t>
      </w:r>
      <w:r w:rsidR="00BC4594">
        <w:rPr>
          <w:rFonts w:ascii="Times New Roman" w:hAnsi="Times New Roman"/>
          <w:szCs w:val="24"/>
        </w:rPr>
        <w:t>Du</w:t>
      </w:r>
      <w:r w:rsidR="00BC4594" w:rsidRPr="00845C6E">
        <w:rPr>
          <w:rFonts w:ascii="Times New Roman" w:hAnsi="Times New Roman"/>
          <w:szCs w:val="24"/>
        </w:rPr>
        <w:t xml:space="preserve">ring the worst economic downturn since the 1930’s, the Company </w:t>
      </w:r>
      <w:r w:rsidR="00BC4594">
        <w:rPr>
          <w:rFonts w:ascii="Times New Roman" w:hAnsi="Times New Roman"/>
          <w:szCs w:val="24"/>
        </w:rPr>
        <w:t>worked</w:t>
      </w:r>
      <w:r w:rsidR="00BC4594" w:rsidRPr="00845C6E">
        <w:rPr>
          <w:rFonts w:ascii="Times New Roman" w:hAnsi="Times New Roman"/>
          <w:szCs w:val="24"/>
        </w:rPr>
        <w:t xml:space="preserve"> hard to maintain </w:t>
      </w:r>
      <w:r w:rsidR="00BC4594">
        <w:rPr>
          <w:rFonts w:ascii="Times New Roman" w:hAnsi="Times New Roman"/>
          <w:szCs w:val="24"/>
        </w:rPr>
        <w:t>a strong</w:t>
      </w:r>
      <w:r w:rsidR="00BC4594" w:rsidRPr="00845C6E">
        <w:rPr>
          <w:rFonts w:ascii="Times New Roman" w:hAnsi="Times New Roman"/>
          <w:szCs w:val="24"/>
        </w:rPr>
        <w:t xml:space="preserve"> credit rating </w:t>
      </w:r>
      <w:r w:rsidR="00BC4594">
        <w:rPr>
          <w:rFonts w:ascii="Times New Roman" w:hAnsi="Times New Roman"/>
          <w:szCs w:val="24"/>
        </w:rPr>
        <w:t>which,</w:t>
      </w:r>
      <w:r w:rsidR="00BC4594" w:rsidRPr="00845C6E">
        <w:rPr>
          <w:rFonts w:ascii="Times New Roman" w:hAnsi="Times New Roman"/>
          <w:szCs w:val="24"/>
        </w:rPr>
        <w:t xml:space="preserve"> as </w:t>
      </w:r>
      <w:r w:rsidR="00BC4594">
        <w:rPr>
          <w:rFonts w:ascii="Times New Roman" w:hAnsi="Times New Roman"/>
          <w:szCs w:val="24"/>
        </w:rPr>
        <w:t xml:space="preserve">expressly </w:t>
      </w:r>
      <w:r w:rsidR="00BC4594" w:rsidRPr="00845C6E">
        <w:rPr>
          <w:rFonts w:ascii="Times New Roman" w:hAnsi="Times New Roman"/>
          <w:szCs w:val="24"/>
        </w:rPr>
        <w:t xml:space="preserve">recognized by the Commission in </w:t>
      </w:r>
      <w:r w:rsidR="00BC4594">
        <w:rPr>
          <w:rFonts w:ascii="Times New Roman" w:hAnsi="Times New Roman"/>
          <w:szCs w:val="24"/>
        </w:rPr>
        <w:t xml:space="preserve">approving </w:t>
      </w:r>
      <w:r w:rsidR="00BC4594" w:rsidRPr="00845C6E">
        <w:rPr>
          <w:rFonts w:ascii="Times New Roman" w:hAnsi="Times New Roman"/>
          <w:szCs w:val="24"/>
        </w:rPr>
        <w:t xml:space="preserve">the recent </w:t>
      </w:r>
      <w:proofErr w:type="spellStart"/>
      <w:r w:rsidR="00BC4594" w:rsidRPr="00845C6E">
        <w:rPr>
          <w:rFonts w:ascii="Times New Roman" w:hAnsi="Times New Roman"/>
          <w:szCs w:val="24"/>
        </w:rPr>
        <w:t>Avista</w:t>
      </w:r>
      <w:proofErr w:type="spellEnd"/>
      <w:r w:rsidR="00BC4594" w:rsidRPr="00845C6E">
        <w:rPr>
          <w:rFonts w:ascii="Times New Roman" w:hAnsi="Times New Roman"/>
          <w:szCs w:val="24"/>
        </w:rPr>
        <w:t xml:space="preserve"> settlement</w:t>
      </w:r>
      <w:r w:rsidR="00BC4594">
        <w:rPr>
          <w:rFonts w:ascii="Times New Roman" w:hAnsi="Times New Roman"/>
          <w:szCs w:val="24"/>
        </w:rPr>
        <w:t>,</w:t>
      </w:r>
      <w:r w:rsidR="00BC4594" w:rsidRPr="00845C6E">
        <w:rPr>
          <w:rFonts w:ascii="Times New Roman" w:hAnsi="Times New Roman"/>
          <w:szCs w:val="24"/>
        </w:rPr>
        <w:t xml:space="preserve"> </w:t>
      </w:r>
      <w:r w:rsidR="00BC4594">
        <w:rPr>
          <w:rFonts w:ascii="Times New Roman" w:hAnsi="Times New Roman"/>
          <w:szCs w:val="24"/>
        </w:rPr>
        <w:t>will result in lower long-term costs to</w:t>
      </w:r>
      <w:r w:rsidR="00BC4594" w:rsidRPr="00845C6E">
        <w:rPr>
          <w:rFonts w:ascii="Times New Roman" w:hAnsi="Times New Roman"/>
          <w:szCs w:val="24"/>
        </w:rPr>
        <w:t xml:space="preserve"> customers</w:t>
      </w:r>
      <w:r w:rsidR="00BC4594">
        <w:rPr>
          <w:rFonts w:ascii="Times New Roman" w:hAnsi="Times New Roman"/>
          <w:szCs w:val="24"/>
        </w:rPr>
        <w:t>.</w:t>
      </w:r>
      <w:r w:rsidR="00BC4594" w:rsidRPr="00845C6E">
        <w:rPr>
          <w:rStyle w:val="FootnoteReference"/>
          <w:rFonts w:ascii="Times New Roman" w:hAnsi="Times New Roman"/>
          <w:szCs w:val="24"/>
        </w:rPr>
        <w:footnoteReference w:id="64"/>
      </w:r>
      <w:r w:rsidR="00BC4594" w:rsidRPr="00845C6E">
        <w:rPr>
          <w:rFonts w:ascii="Times New Roman" w:hAnsi="Times New Roman"/>
          <w:szCs w:val="24"/>
        </w:rPr>
        <w:t xml:space="preserve"> </w:t>
      </w:r>
      <w:r w:rsidR="00BC4594">
        <w:rPr>
          <w:rFonts w:ascii="Times New Roman" w:hAnsi="Times New Roman"/>
          <w:szCs w:val="24"/>
        </w:rPr>
        <w:t xml:space="preserve"> These facts do not describe a</w:t>
      </w:r>
      <w:r w:rsidR="00BC4594" w:rsidRPr="00845C6E">
        <w:rPr>
          <w:rFonts w:ascii="Times New Roman" w:hAnsi="Times New Roman"/>
          <w:szCs w:val="24"/>
        </w:rPr>
        <w:t xml:space="preserve"> parent company unnecessarily driving up </w:t>
      </w:r>
      <w:r w:rsidR="00BC4594">
        <w:rPr>
          <w:rFonts w:ascii="Times New Roman" w:hAnsi="Times New Roman"/>
          <w:szCs w:val="24"/>
        </w:rPr>
        <w:t xml:space="preserve">capital </w:t>
      </w:r>
      <w:r w:rsidR="00BC4594" w:rsidRPr="00845C6E">
        <w:rPr>
          <w:rFonts w:ascii="Times New Roman" w:hAnsi="Times New Roman"/>
          <w:szCs w:val="24"/>
        </w:rPr>
        <w:t>costs to line its own pockets.</w:t>
      </w:r>
    </w:p>
    <w:p w:rsidR="00BC4594" w:rsidRPr="00845C6E" w:rsidRDefault="00BC4594" w:rsidP="003A270F">
      <w:pPr>
        <w:keepNext/>
        <w:spacing w:after="240"/>
        <w:ind w:left="1440" w:hanging="720"/>
        <w:rPr>
          <w:rFonts w:ascii="Times New Roman" w:hAnsi="Times New Roman"/>
          <w:szCs w:val="24"/>
        </w:rPr>
      </w:pPr>
      <w:r>
        <w:rPr>
          <w:rFonts w:ascii="Times New Roman" w:hAnsi="Times New Roman"/>
          <w:b/>
          <w:szCs w:val="24"/>
        </w:rPr>
        <w:t>3</w:t>
      </w:r>
      <w:r w:rsidRPr="00845C6E">
        <w:rPr>
          <w:rFonts w:ascii="Times New Roman" w:hAnsi="Times New Roman"/>
          <w:b/>
          <w:szCs w:val="24"/>
        </w:rPr>
        <w:t>.</w:t>
      </w:r>
      <w:r w:rsidRPr="00845C6E">
        <w:rPr>
          <w:rFonts w:ascii="Times New Roman" w:hAnsi="Times New Roman"/>
          <w:b/>
          <w:szCs w:val="24"/>
        </w:rPr>
        <w:tab/>
      </w:r>
      <w:r>
        <w:rPr>
          <w:rFonts w:ascii="Times New Roman" w:hAnsi="Times New Roman"/>
          <w:b/>
          <w:szCs w:val="24"/>
        </w:rPr>
        <w:t xml:space="preserve">The Commission Should Not Impute Short-Term Debt. </w:t>
      </w:r>
    </w:p>
    <w:p w:rsidR="00BC4594" w:rsidRPr="00845C6E" w:rsidRDefault="00BC4594" w:rsidP="003A270F">
      <w:pPr>
        <w:pStyle w:val="ListParagraph"/>
        <w:numPr>
          <w:ilvl w:val="0"/>
          <w:numId w:val="12"/>
        </w:numPr>
        <w:tabs>
          <w:tab w:val="clear" w:pos="1440"/>
          <w:tab w:val="num" w:pos="720"/>
        </w:tabs>
        <w:spacing w:line="480" w:lineRule="auto"/>
        <w:ind w:left="0"/>
        <w:rPr>
          <w:rFonts w:ascii="Times New Roman" w:hAnsi="Times New Roman"/>
          <w:szCs w:val="24"/>
        </w:rPr>
      </w:pPr>
      <w:r w:rsidRPr="00845C6E">
        <w:rPr>
          <w:rFonts w:ascii="Times New Roman" w:hAnsi="Times New Roman"/>
          <w:szCs w:val="24"/>
        </w:rPr>
        <w:tab/>
        <w:t>Staff argues that the Commission should impute 3% of short-term debt because</w:t>
      </w:r>
      <w:r>
        <w:rPr>
          <w:rFonts w:ascii="Times New Roman" w:hAnsi="Times New Roman"/>
          <w:szCs w:val="24"/>
        </w:rPr>
        <w:t xml:space="preserve">, in </w:t>
      </w:r>
      <w:r w:rsidR="0097679A">
        <w:rPr>
          <w:rFonts w:ascii="Times New Roman" w:hAnsi="Times New Roman"/>
          <w:szCs w:val="24"/>
        </w:rPr>
        <w:t>Mr. </w:t>
      </w:r>
      <w:r>
        <w:rPr>
          <w:rFonts w:ascii="Times New Roman" w:hAnsi="Times New Roman"/>
          <w:szCs w:val="24"/>
        </w:rPr>
        <w:t>Elgin’s opinion, that is the level a prudent utility would have in its capital structure for</w:t>
      </w:r>
      <w:r w:rsidRPr="00845C6E">
        <w:rPr>
          <w:rFonts w:ascii="Times New Roman" w:hAnsi="Times New Roman"/>
          <w:szCs w:val="24"/>
        </w:rPr>
        <w:t xml:space="preserve"> a low-cost </w:t>
      </w:r>
      <w:r>
        <w:rPr>
          <w:rFonts w:ascii="Times New Roman" w:hAnsi="Times New Roman"/>
          <w:szCs w:val="24"/>
        </w:rPr>
        <w:t xml:space="preserve">and flexible </w:t>
      </w:r>
      <w:r w:rsidRPr="00845C6E">
        <w:rPr>
          <w:rFonts w:ascii="Times New Roman" w:hAnsi="Times New Roman"/>
          <w:szCs w:val="24"/>
        </w:rPr>
        <w:t>source of funds.</w:t>
      </w:r>
      <w:r w:rsidRPr="00845C6E">
        <w:rPr>
          <w:rStyle w:val="FootnoteReference"/>
          <w:rFonts w:ascii="Times New Roman" w:hAnsi="Times New Roman"/>
          <w:szCs w:val="24"/>
        </w:rPr>
        <w:footnoteReference w:id="65"/>
      </w:r>
      <w:r w:rsidRPr="00845C6E">
        <w:rPr>
          <w:rFonts w:ascii="Times New Roman" w:hAnsi="Times New Roman"/>
          <w:szCs w:val="24"/>
        </w:rPr>
        <w:t xml:space="preserve">  These arguments are unpersuasive</w:t>
      </w:r>
      <w:r w:rsidR="00A74E2A">
        <w:rPr>
          <w:rFonts w:ascii="Times New Roman" w:hAnsi="Times New Roman"/>
          <w:szCs w:val="24"/>
        </w:rPr>
        <w:t>,</w:t>
      </w:r>
      <w:r w:rsidRPr="00845C6E">
        <w:rPr>
          <w:rFonts w:ascii="Times New Roman" w:hAnsi="Times New Roman"/>
          <w:szCs w:val="24"/>
        </w:rPr>
        <w:t xml:space="preserve"> as none address PacifiCorp specifically or the impact that the current financial crisis has had on short-term debt markets.</w:t>
      </w:r>
      <w:r w:rsidRPr="00845C6E">
        <w:rPr>
          <w:rStyle w:val="FootnoteReference"/>
          <w:rFonts w:ascii="Times New Roman" w:hAnsi="Times New Roman"/>
          <w:szCs w:val="24"/>
        </w:rPr>
        <w:footnoteReference w:id="66"/>
      </w:r>
      <w:r w:rsidRPr="00845C6E">
        <w:rPr>
          <w:rFonts w:ascii="Times New Roman" w:hAnsi="Times New Roman"/>
          <w:szCs w:val="24"/>
        </w:rPr>
        <w:t xml:space="preserve">  </w:t>
      </w:r>
      <w:r w:rsidR="0097679A">
        <w:rPr>
          <w:rFonts w:ascii="Times New Roman" w:hAnsi="Times New Roman"/>
          <w:szCs w:val="24"/>
        </w:rPr>
        <w:t>Mr. </w:t>
      </w:r>
      <w:r>
        <w:rPr>
          <w:rFonts w:ascii="Times New Roman" w:hAnsi="Times New Roman"/>
          <w:szCs w:val="24"/>
        </w:rPr>
        <w:t xml:space="preserve">Williams testified </w:t>
      </w:r>
      <w:r w:rsidRPr="00845C6E">
        <w:rPr>
          <w:rFonts w:ascii="Times New Roman" w:hAnsi="Times New Roman"/>
          <w:szCs w:val="24"/>
        </w:rPr>
        <w:t xml:space="preserve">that the turmoil in the short-term debt markets </w:t>
      </w:r>
      <w:r>
        <w:rPr>
          <w:rFonts w:ascii="Times New Roman" w:hAnsi="Times New Roman"/>
          <w:szCs w:val="24"/>
        </w:rPr>
        <w:t>has been</w:t>
      </w:r>
      <w:r w:rsidRPr="00845C6E">
        <w:rPr>
          <w:rFonts w:ascii="Times New Roman" w:hAnsi="Times New Roman"/>
          <w:szCs w:val="24"/>
        </w:rPr>
        <w:t xml:space="preserve"> substantial and supports the Company’s decision to maintain a capital structure with short-term debt</w:t>
      </w:r>
      <w:r>
        <w:rPr>
          <w:rFonts w:ascii="Times New Roman" w:hAnsi="Times New Roman"/>
          <w:szCs w:val="24"/>
        </w:rPr>
        <w:t xml:space="preserve"> not</w:t>
      </w:r>
      <w:r w:rsidRPr="00845C6E">
        <w:rPr>
          <w:rFonts w:ascii="Times New Roman" w:hAnsi="Times New Roman"/>
          <w:szCs w:val="24"/>
        </w:rPr>
        <w:t xml:space="preserve"> in excess of CWIP.  </w:t>
      </w:r>
    </w:p>
    <w:p w:rsidR="00BC4594" w:rsidRPr="00845C6E" w:rsidRDefault="00BC4594" w:rsidP="003A270F">
      <w:pPr>
        <w:pStyle w:val="ListParagraph"/>
        <w:numPr>
          <w:ilvl w:val="0"/>
          <w:numId w:val="12"/>
        </w:numPr>
        <w:tabs>
          <w:tab w:val="clear" w:pos="1440"/>
          <w:tab w:val="num" w:pos="720"/>
        </w:tabs>
        <w:spacing w:line="480" w:lineRule="auto"/>
        <w:ind w:left="0"/>
        <w:rPr>
          <w:rFonts w:ascii="Times New Roman" w:hAnsi="Times New Roman"/>
          <w:szCs w:val="24"/>
        </w:rPr>
      </w:pPr>
      <w:r w:rsidRPr="00845C6E">
        <w:rPr>
          <w:rFonts w:ascii="Times New Roman" w:hAnsi="Times New Roman"/>
          <w:szCs w:val="24"/>
        </w:rPr>
        <w:tab/>
      </w:r>
      <w:r>
        <w:rPr>
          <w:rFonts w:ascii="Times New Roman" w:hAnsi="Times New Roman"/>
          <w:szCs w:val="24"/>
        </w:rPr>
        <w:t>S</w:t>
      </w:r>
      <w:r w:rsidRPr="00845C6E">
        <w:rPr>
          <w:rFonts w:ascii="Times New Roman" w:hAnsi="Times New Roman"/>
          <w:szCs w:val="24"/>
        </w:rPr>
        <w:t>ta</w:t>
      </w:r>
      <w:r>
        <w:rPr>
          <w:rFonts w:ascii="Times New Roman" w:hAnsi="Times New Roman"/>
          <w:szCs w:val="24"/>
        </w:rPr>
        <w:t xml:space="preserve">ff argues that the Commission’s </w:t>
      </w:r>
      <w:r w:rsidRPr="00845C6E">
        <w:rPr>
          <w:rFonts w:ascii="Times New Roman" w:hAnsi="Times New Roman"/>
          <w:szCs w:val="24"/>
        </w:rPr>
        <w:t xml:space="preserve">order in </w:t>
      </w:r>
      <w:r>
        <w:rPr>
          <w:rFonts w:ascii="Times New Roman" w:hAnsi="Times New Roman"/>
          <w:szCs w:val="24"/>
        </w:rPr>
        <w:t>PacifiCorp’s 2005 GRC</w:t>
      </w:r>
      <w:r w:rsidRPr="00845C6E">
        <w:rPr>
          <w:rFonts w:ascii="Times New Roman" w:hAnsi="Times New Roman"/>
          <w:szCs w:val="24"/>
        </w:rPr>
        <w:t xml:space="preserve"> stands for the proposition that all available sources of capital should be included in the capital structure</w:t>
      </w:r>
      <w:r>
        <w:rPr>
          <w:rFonts w:ascii="Times New Roman" w:hAnsi="Times New Roman"/>
          <w:szCs w:val="24"/>
        </w:rPr>
        <w:t>. But that order</w:t>
      </w:r>
      <w:r w:rsidRPr="00845C6E">
        <w:rPr>
          <w:rFonts w:ascii="Times New Roman" w:hAnsi="Times New Roman"/>
          <w:szCs w:val="24"/>
        </w:rPr>
        <w:t xml:space="preserve"> </w:t>
      </w:r>
      <w:r>
        <w:rPr>
          <w:rFonts w:ascii="Times New Roman" w:hAnsi="Times New Roman"/>
          <w:szCs w:val="24"/>
        </w:rPr>
        <w:t xml:space="preserve">held </w:t>
      </w:r>
      <w:r w:rsidRPr="00845C6E">
        <w:rPr>
          <w:rFonts w:ascii="Times New Roman" w:hAnsi="Times New Roman"/>
          <w:szCs w:val="24"/>
        </w:rPr>
        <w:t xml:space="preserve">that the Company’s </w:t>
      </w:r>
      <w:r w:rsidRPr="00845C6E">
        <w:rPr>
          <w:rFonts w:ascii="Times New Roman" w:hAnsi="Times New Roman"/>
          <w:i/>
          <w:szCs w:val="24"/>
        </w:rPr>
        <w:t>actual</w:t>
      </w:r>
      <w:r w:rsidRPr="00845C6E">
        <w:rPr>
          <w:rFonts w:ascii="Times New Roman" w:hAnsi="Times New Roman"/>
          <w:szCs w:val="24"/>
        </w:rPr>
        <w:t xml:space="preserve"> capitalization, which included short-term debt, should be used.</w:t>
      </w:r>
      <w:r w:rsidRPr="00845C6E">
        <w:rPr>
          <w:rStyle w:val="FootnoteReference"/>
          <w:rFonts w:ascii="Times New Roman" w:hAnsi="Times New Roman"/>
          <w:szCs w:val="24"/>
        </w:rPr>
        <w:footnoteReference w:id="67"/>
      </w:r>
      <w:r w:rsidRPr="00845C6E">
        <w:rPr>
          <w:rFonts w:ascii="Times New Roman" w:hAnsi="Times New Roman"/>
          <w:szCs w:val="24"/>
        </w:rPr>
        <w:t xml:space="preserve"> </w:t>
      </w:r>
      <w:r>
        <w:rPr>
          <w:rFonts w:ascii="Times New Roman" w:hAnsi="Times New Roman"/>
          <w:szCs w:val="24"/>
        </w:rPr>
        <w:t xml:space="preserve"> </w:t>
      </w:r>
      <w:r w:rsidRPr="00845C6E">
        <w:rPr>
          <w:rFonts w:ascii="Times New Roman" w:hAnsi="Times New Roman"/>
          <w:szCs w:val="24"/>
        </w:rPr>
        <w:t>Here the actual capitalization does not include short-term debt.</w:t>
      </w:r>
    </w:p>
    <w:p w:rsidR="00BC4594" w:rsidRDefault="00BC4594" w:rsidP="003A270F">
      <w:pPr>
        <w:pStyle w:val="ListParagraph"/>
        <w:numPr>
          <w:ilvl w:val="0"/>
          <w:numId w:val="12"/>
        </w:numPr>
        <w:tabs>
          <w:tab w:val="clear" w:pos="1440"/>
          <w:tab w:val="num" w:pos="720"/>
        </w:tabs>
        <w:spacing w:line="480" w:lineRule="auto"/>
        <w:ind w:left="0"/>
        <w:rPr>
          <w:rFonts w:ascii="Times New Roman" w:hAnsi="Times New Roman"/>
          <w:szCs w:val="24"/>
        </w:rPr>
      </w:pPr>
      <w:r w:rsidRPr="00845C6E">
        <w:rPr>
          <w:rFonts w:ascii="Times New Roman" w:hAnsi="Times New Roman"/>
          <w:szCs w:val="24"/>
        </w:rPr>
        <w:tab/>
        <w:t>Staff also argues that because capital is fungible, even if short-term debt is used exclusively to fund CWIP, it should nonetheless be included in the capital structure.</w:t>
      </w:r>
      <w:r w:rsidRPr="00845C6E">
        <w:rPr>
          <w:rStyle w:val="FootnoteReference"/>
          <w:rFonts w:ascii="Times New Roman" w:hAnsi="Times New Roman"/>
          <w:szCs w:val="24"/>
        </w:rPr>
        <w:footnoteReference w:id="68"/>
      </w:r>
      <w:r w:rsidRPr="00845C6E">
        <w:rPr>
          <w:rFonts w:ascii="Times New Roman" w:hAnsi="Times New Roman"/>
          <w:szCs w:val="24"/>
        </w:rPr>
        <w:t xml:space="preserve">  However, this argument fails if CWIP consistently exceeds the balance of short-term debt.  Otherwise, it is unreasonable to assume that the Company is using short-term debt to finance long-term assets.  Construction projects are not included in rate base and therefore to the extent that short-term debt funds these projects (and is funding CWIP), it should not be included in the capital structure used to finance rate base </w:t>
      </w:r>
      <w:r>
        <w:rPr>
          <w:rFonts w:ascii="Times New Roman" w:hAnsi="Times New Roman"/>
          <w:szCs w:val="24"/>
        </w:rPr>
        <w:t>(</w:t>
      </w:r>
      <w:r w:rsidRPr="00845C6E">
        <w:rPr>
          <w:rFonts w:ascii="Times New Roman" w:hAnsi="Times New Roman"/>
          <w:szCs w:val="24"/>
        </w:rPr>
        <w:t>because it is not</w:t>
      </w:r>
      <w:r>
        <w:rPr>
          <w:rFonts w:ascii="Times New Roman" w:hAnsi="Times New Roman"/>
          <w:szCs w:val="24"/>
        </w:rPr>
        <w:t xml:space="preserve"> </w:t>
      </w:r>
      <w:r w:rsidRPr="00845C6E">
        <w:rPr>
          <w:rFonts w:ascii="Times New Roman" w:hAnsi="Times New Roman"/>
          <w:szCs w:val="24"/>
        </w:rPr>
        <w:t>financing rate base</w:t>
      </w:r>
      <w:r>
        <w:rPr>
          <w:rFonts w:ascii="Times New Roman" w:hAnsi="Times New Roman"/>
          <w:szCs w:val="24"/>
        </w:rPr>
        <w:t>)</w:t>
      </w:r>
      <w:r w:rsidRPr="00845C6E">
        <w:rPr>
          <w:rFonts w:ascii="Times New Roman" w:hAnsi="Times New Roman"/>
          <w:szCs w:val="24"/>
        </w:rPr>
        <w:t>.</w:t>
      </w:r>
      <w:r w:rsidRPr="00845C6E">
        <w:rPr>
          <w:rStyle w:val="FootnoteReference"/>
          <w:rFonts w:ascii="Times New Roman" w:hAnsi="Times New Roman"/>
          <w:szCs w:val="24"/>
        </w:rPr>
        <w:footnoteReference w:id="69"/>
      </w:r>
      <w:r w:rsidRPr="00845C6E">
        <w:rPr>
          <w:rFonts w:ascii="Times New Roman" w:hAnsi="Times New Roman"/>
          <w:szCs w:val="24"/>
        </w:rPr>
        <w:t xml:space="preserve">    </w:t>
      </w:r>
    </w:p>
    <w:p w:rsidR="00BC4594" w:rsidRDefault="00BC4594" w:rsidP="00A74E2A">
      <w:pPr>
        <w:keepNext/>
        <w:spacing w:line="480" w:lineRule="auto"/>
        <w:rPr>
          <w:rFonts w:ascii="Times New Roman" w:hAnsi="Times New Roman"/>
          <w:szCs w:val="24"/>
        </w:rPr>
      </w:pPr>
      <w:r>
        <w:rPr>
          <w:rFonts w:ascii="Times New Roman" w:hAnsi="Times New Roman"/>
          <w:b/>
          <w:szCs w:val="24"/>
        </w:rPr>
        <w:t>C.</w:t>
      </w:r>
      <w:r>
        <w:rPr>
          <w:rFonts w:ascii="Times New Roman" w:hAnsi="Times New Roman"/>
          <w:b/>
          <w:szCs w:val="24"/>
        </w:rPr>
        <w:tab/>
        <w:t xml:space="preserve">Credit Metrics </w:t>
      </w:r>
      <w:proofErr w:type="gramStart"/>
      <w:r>
        <w:rPr>
          <w:rFonts w:ascii="Times New Roman" w:hAnsi="Times New Roman"/>
          <w:b/>
          <w:szCs w:val="24"/>
        </w:rPr>
        <w:t>Under</w:t>
      </w:r>
      <w:proofErr w:type="gramEnd"/>
      <w:r>
        <w:rPr>
          <w:rFonts w:ascii="Times New Roman" w:hAnsi="Times New Roman"/>
          <w:b/>
          <w:szCs w:val="24"/>
        </w:rPr>
        <w:t xml:space="preserve"> Staff’s and ICNU’s Cost of Capital Proposals.</w:t>
      </w:r>
    </w:p>
    <w:p w:rsidR="00BC4594" w:rsidRPr="00845C6E" w:rsidRDefault="00BC4594" w:rsidP="003A270F">
      <w:pPr>
        <w:keepNext/>
        <w:spacing w:after="240"/>
        <w:ind w:left="1440" w:hanging="720"/>
        <w:rPr>
          <w:rFonts w:ascii="Times New Roman" w:hAnsi="Times New Roman"/>
          <w:szCs w:val="24"/>
        </w:rPr>
      </w:pPr>
      <w:r>
        <w:rPr>
          <w:rFonts w:ascii="Times New Roman" w:hAnsi="Times New Roman"/>
          <w:b/>
          <w:szCs w:val="24"/>
        </w:rPr>
        <w:t>1</w:t>
      </w:r>
      <w:r w:rsidRPr="00845C6E">
        <w:rPr>
          <w:rFonts w:ascii="Times New Roman" w:hAnsi="Times New Roman"/>
          <w:b/>
          <w:szCs w:val="24"/>
        </w:rPr>
        <w:t>.</w:t>
      </w:r>
      <w:r w:rsidRPr="00845C6E">
        <w:rPr>
          <w:rFonts w:ascii="Times New Roman" w:hAnsi="Times New Roman"/>
          <w:b/>
          <w:szCs w:val="24"/>
        </w:rPr>
        <w:tab/>
        <w:t xml:space="preserve">ICNU Fails to Support its Contention </w:t>
      </w:r>
      <w:r w:rsidRPr="00895A16">
        <w:rPr>
          <w:rFonts w:ascii="Times New Roman" w:hAnsi="Times New Roman"/>
          <w:b/>
        </w:rPr>
        <w:t>that</w:t>
      </w:r>
      <w:r w:rsidRPr="00895A16">
        <w:rPr>
          <w:rFonts w:ascii="Times New Roman" w:hAnsi="Times New Roman"/>
          <w:b/>
          <w:szCs w:val="24"/>
        </w:rPr>
        <w:t xml:space="preserve"> </w:t>
      </w:r>
      <w:r w:rsidRPr="00845C6E">
        <w:rPr>
          <w:rFonts w:ascii="Times New Roman" w:hAnsi="Times New Roman"/>
          <w:b/>
          <w:szCs w:val="24"/>
        </w:rPr>
        <w:t>Its Recommendations Are Safe.</w:t>
      </w:r>
    </w:p>
    <w:p w:rsidR="00BC4594"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Pr>
          <w:rFonts w:ascii="Times New Roman" w:hAnsi="Times New Roman"/>
          <w:szCs w:val="24"/>
        </w:rPr>
        <w:t xml:space="preserve">ICNU argues that adoption of </w:t>
      </w:r>
      <w:r w:rsidR="00BC4594" w:rsidRPr="00845C6E">
        <w:rPr>
          <w:rFonts w:ascii="Times New Roman" w:hAnsi="Times New Roman"/>
          <w:szCs w:val="24"/>
        </w:rPr>
        <w:t xml:space="preserve">its cost of capital proposals will not result in a downgrade because </w:t>
      </w:r>
      <w:r w:rsidR="0097679A">
        <w:rPr>
          <w:rFonts w:ascii="Times New Roman" w:hAnsi="Times New Roman"/>
          <w:szCs w:val="24"/>
        </w:rPr>
        <w:t>Mr. </w:t>
      </w:r>
      <w:r w:rsidR="00BC4594" w:rsidRPr="00845C6E">
        <w:rPr>
          <w:rFonts w:ascii="Times New Roman" w:hAnsi="Times New Roman"/>
          <w:szCs w:val="24"/>
        </w:rPr>
        <w:t>Gorman performed an analysis based upon “S&amp;P’s own credit rating metrics” to determine that his proposal is adequate to maintain the current credit rating.</w:t>
      </w:r>
      <w:r w:rsidR="00BC4594" w:rsidRPr="00845C6E">
        <w:rPr>
          <w:rStyle w:val="FootnoteReference"/>
          <w:rFonts w:ascii="Times New Roman" w:hAnsi="Times New Roman"/>
          <w:szCs w:val="24"/>
        </w:rPr>
        <w:footnoteReference w:id="70"/>
      </w:r>
      <w:r w:rsidR="00BC4594" w:rsidRPr="00845C6E">
        <w:rPr>
          <w:rFonts w:ascii="Times New Roman" w:hAnsi="Times New Roman"/>
          <w:szCs w:val="24"/>
        </w:rPr>
        <w:t xml:space="preserve">  </w:t>
      </w:r>
      <w:r w:rsidR="00BC4594">
        <w:rPr>
          <w:rFonts w:ascii="Times New Roman" w:hAnsi="Times New Roman"/>
          <w:szCs w:val="24"/>
        </w:rPr>
        <w:t xml:space="preserve">But </w:t>
      </w:r>
      <w:r w:rsidR="00BC4594" w:rsidRPr="00845C6E">
        <w:rPr>
          <w:rFonts w:ascii="Times New Roman" w:hAnsi="Times New Roman"/>
          <w:szCs w:val="24"/>
        </w:rPr>
        <w:t xml:space="preserve">ICNU </w:t>
      </w:r>
      <w:r w:rsidR="00BC4594">
        <w:rPr>
          <w:rFonts w:ascii="Times New Roman" w:hAnsi="Times New Roman"/>
          <w:szCs w:val="24"/>
        </w:rPr>
        <w:t xml:space="preserve">omits key </w:t>
      </w:r>
      <w:r w:rsidR="00BC4594" w:rsidRPr="00845C6E">
        <w:rPr>
          <w:rFonts w:ascii="Times New Roman" w:hAnsi="Times New Roman"/>
          <w:szCs w:val="24"/>
        </w:rPr>
        <w:t>fact</w:t>
      </w:r>
      <w:r w:rsidR="00BC4594">
        <w:rPr>
          <w:rFonts w:ascii="Times New Roman" w:hAnsi="Times New Roman"/>
          <w:szCs w:val="24"/>
        </w:rPr>
        <w:t>s: (1)</w:t>
      </w:r>
      <w:r w:rsidR="00BC4594" w:rsidRPr="00845C6E">
        <w:rPr>
          <w:rFonts w:ascii="Times New Roman" w:hAnsi="Times New Roman"/>
          <w:szCs w:val="24"/>
        </w:rPr>
        <w:t xml:space="preserve"> </w:t>
      </w:r>
      <w:r w:rsidR="0097679A">
        <w:rPr>
          <w:rFonts w:ascii="Times New Roman" w:hAnsi="Times New Roman"/>
          <w:szCs w:val="24"/>
        </w:rPr>
        <w:t>Mr. </w:t>
      </w:r>
      <w:r w:rsidR="00BC4594" w:rsidRPr="00845C6E">
        <w:rPr>
          <w:rFonts w:ascii="Times New Roman" w:hAnsi="Times New Roman"/>
          <w:szCs w:val="24"/>
        </w:rPr>
        <w:t>Gorman’s analysis did not account for S&amp;P’s PacifiCorp-specific metrics</w:t>
      </w:r>
      <w:r w:rsidR="00BC4594" w:rsidRPr="00845C6E">
        <w:rPr>
          <w:rStyle w:val="FootnoteReference"/>
          <w:rFonts w:ascii="Times New Roman" w:hAnsi="Times New Roman"/>
          <w:szCs w:val="24"/>
        </w:rPr>
        <w:footnoteReference w:id="71"/>
      </w:r>
      <w:r w:rsidR="00BC4594" w:rsidRPr="00845C6E">
        <w:rPr>
          <w:rFonts w:ascii="Times New Roman" w:hAnsi="Times New Roman"/>
          <w:szCs w:val="24"/>
        </w:rPr>
        <w:t xml:space="preserve"> and he </w:t>
      </w:r>
      <w:r w:rsidR="00BC4594">
        <w:rPr>
          <w:rFonts w:ascii="Times New Roman" w:hAnsi="Times New Roman"/>
          <w:szCs w:val="24"/>
        </w:rPr>
        <w:t xml:space="preserve">admitted </w:t>
      </w:r>
      <w:r w:rsidR="00BC4594" w:rsidRPr="00845C6E">
        <w:rPr>
          <w:rFonts w:ascii="Times New Roman" w:hAnsi="Times New Roman"/>
          <w:szCs w:val="24"/>
        </w:rPr>
        <w:t>at hearing that his analysis did not “duplicate Standard &amp; Poor’s methodology</w:t>
      </w:r>
      <w:r w:rsidR="00EB110B">
        <w:rPr>
          <w:rFonts w:ascii="Times New Roman" w:hAnsi="Times New Roman"/>
          <w:szCs w:val="24"/>
        </w:rPr>
        <w:t>;</w:t>
      </w:r>
      <w:r w:rsidR="002D32F9">
        <w:rPr>
          <w:rFonts w:ascii="Times New Roman" w:hAnsi="Times New Roman"/>
          <w:szCs w:val="24"/>
        </w:rPr>
        <w:t>”</w:t>
      </w:r>
      <w:r w:rsidR="00BC4594" w:rsidRPr="00845C6E">
        <w:rPr>
          <w:rStyle w:val="FootnoteReference"/>
          <w:rFonts w:ascii="Times New Roman" w:hAnsi="Times New Roman"/>
          <w:szCs w:val="24"/>
        </w:rPr>
        <w:footnoteReference w:id="72"/>
      </w:r>
      <w:r w:rsidR="00BC4594">
        <w:rPr>
          <w:rFonts w:ascii="Times New Roman" w:hAnsi="Times New Roman"/>
          <w:szCs w:val="24"/>
        </w:rPr>
        <w:t xml:space="preserve"> (2) </w:t>
      </w:r>
      <w:r w:rsidR="0097679A">
        <w:rPr>
          <w:rFonts w:ascii="Times New Roman" w:hAnsi="Times New Roman"/>
          <w:szCs w:val="24"/>
        </w:rPr>
        <w:t>Mr. </w:t>
      </w:r>
      <w:r w:rsidR="00BC4594">
        <w:rPr>
          <w:rFonts w:ascii="Times New Roman" w:hAnsi="Times New Roman"/>
          <w:szCs w:val="24"/>
        </w:rPr>
        <w:t xml:space="preserve">Gorman’s </w:t>
      </w:r>
      <w:r w:rsidR="00BC4594" w:rsidRPr="00845C6E">
        <w:rPr>
          <w:rFonts w:ascii="Times New Roman" w:hAnsi="Times New Roman"/>
          <w:szCs w:val="24"/>
        </w:rPr>
        <w:t>analysis removed approxima</w:t>
      </w:r>
      <w:r w:rsidR="00BC4594">
        <w:rPr>
          <w:rFonts w:ascii="Times New Roman" w:hAnsi="Times New Roman"/>
          <w:szCs w:val="24"/>
        </w:rPr>
        <w:t xml:space="preserve">tely one-half, or $500 million, </w:t>
      </w:r>
      <w:r w:rsidR="00BC4594" w:rsidRPr="00845C6E">
        <w:rPr>
          <w:rFonts w:ascii="Times New Roman" w:hAnsi="Times New Roman"/>
          <w:szCs w:val="24"/>
        </w:rPr>
        <w:t>of off-balance sheet debt that S&amp;P imputes when determining the Company’s credit metrics</w:t>
      </w:r>
      <w:r w:rsidR="00BC4594">
        <w:rPr>
          <w:rFonts w:ascii="Times New Roman" w:hAnsi="Times New Roman"/>
          <w:szCs w:val="24"/>
        </w:rPr>
        <w:t>;</w:t>
      </w:r>
      <w:r w:rsidR="00BC4594" w:rsidRPr="00845C6E">
        <w:rPr>
          <w:rStyle w:val="FootnoteReference"/>
          <w:rFonts w:ascii="Times New Roman" w:hAnsi="Times New Roman"/>
          <w:szCs w:val="24"/>
        </w:rPr>
        <w:footnoteReference w:id="73"/>
      </w:r>
      <w:r w:rsidR="00BC4594">
        <w:rPr>
          <w:rFonts w:ascii="Times New Roman" w:hAnsi="Times New Roman"/>
          <w:szCs w:val="24"/>
        </w:rPr>
        <w:t xml:space="preserve">and (3) </w:t>
      </w:r>
      <w:r w:rsidR="0097679A">
        <w:rPr>
          <w:rFonts w:ascii="Times New Roman" w:hAnsi="Times New Roman"/>
          <w:szCs w:val="24"/>
        </w:rPr>
        <w:t>Mr. </w:t>
      </w:r>
      <w:r w:rsidR="00BC4594">
        <w:rPr>
          <w:rFonts w:ascii="Times New Roman" w:hAnsi="Times New Roman"/>
          <w:szCs w:val="24"/>
        </w:rPr>
        <w:t>Gorman acknowledges that his proposed debt ratio “might deteriorate [PacifiCorp’s] credit rating.”</w:t>
      </w:r>
      <w:r w:rsidR="00BC4594">
        <w:rPr>
          <w:rStyle w:val="FootnoteReference"/>
          <w:rFonts w:ascii="Times New Roman" w:hAnsi="Times New Roman"/>
          <w:szCs w:val="24"/>
        </w:rPr>
        <w:footnoteReference w:id="74"/>
      </w:r>
      <w:r w:rsidR="00BC4594">
        <w:rPr>
          <w:rFonts w:ascii="Times New Roman" w:hAnsi="Times New Roman"/>
          <w:szCs w:val="24"/>
        </w:rPr>
        <w:t xml:space="preserve">  </w:t>
      </w:r>
      <w:r w:rsidR="00BC4594" w:rsidRPr="00845C6E">
        <w:rPr>
          <w:rFonts w:ascii="Times New Roman" w:hAnsi="Times New Roman"/>
          <w:szCs w:val="24"/>
        </w:rPr>
        <w:t xml:space="preserve">    </w:t>
      </w:r>
    </w:p>
    <w:p w:rsidR="00BC4594" w:rsidRPr="00845C6E" w:rsidRDefault="00BC4594" w:rsidP="003A270F">
      <w:pPr>
        <w:keepNext/>
        <w:spacing w:after="240"/>
        <w:ind w:left="1440" w:hanging="720"/>
        <w:rPr>
          <w:rFonts w:ascii="Times New Roman" w:hAnsi="Times New Roman"/>
          <w:szCs w:val="24"/>
        </w:rPr>
      </w:pPr>
      <w:r>
        <w:rPr>
          <w:rFonts w:ascii="Times New Roman" w:hAnsi="Times New Roman"/>
          <w:b/>
          <w:szCs w:val="24"/>
        </w:rPr>
        <w:t>2</w:t>
      </w:r>
      <w:r w:rsidRPr="00845C6E">
        <w:rPr>
          <w:rFonts w:ascii="Times New Roman" w:hAnsi="Times New Roman"/>
          <w:b/>
          <w:szCs w:val="24"/>
        </w:rPr>
        <w:t>.</w:t>
      </w:r>
      <w:r w:rsidRPr="00845C6E">
        <w:rPr>
          <w:rFonts w:ascii="Times New Roman" w:hAnsi="Times New Roman"/>
          <w:b/>
          <w:szCs w:val="24"/>
        </w:rPr>
        <w:tab/>
        <w:t xml:space="preserve">Staff’s Safety Analysis is </w:t>
      </w:r>
      <w:proofErr w:type="gramStart"/>
      <w:r w:rsidRPr="00845C6E">
        <w:rPr>
          <w:rFonts w:ascii="Times New Roman" w:hAnsi="Times New Roman"/>
          <w:b/>
          <w:szCs w:val="24"/>
        </w:rPr>
        <w:t>Flawed</w:t>
      </w:r>
      <w:proofErr w:type="gramEnd"/>
      <w:r w:rsidRPr="00845C6E">
        <w:rPr>
          <w:rFonts w:ascii="Times New Roman" w:hAnsi="Times New Roman"/>
          <w:b/>
          <w:szCs w:val="24"/>
        </w:rPr>
        <w:t>.</w:t>
      </w:r>
    </w:p>
    <w:p w:rsidR="00BC4594" w:rsidRPr="00117642" w:rsidRDefault="00C47F75" w:rsidP="003A270F">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BC4594" w:rsidRPr="00845C6E">
        <w:rPr>
          <w:rFonts w:ascii="Times New Roman" w:hAnsi="Times New Roman"/>
          <w:szCs w:val="24"/>
        </w:rPr>
        <w:t>Staff argues that it was the only party to provide a “measurable test of its proposed 46.5 percent equity ratio for safety and economy.”</w:t>
      </w:r>
      <w:r w:rsidR="00BC4594" w:rsidRPr="00845C6E">
        <w:rPr>
          <w:rStyle w:val="FootnoteReference"/>
          <w:rFonts w:ascii="Times New Roman" w:hAnsi="Times New Roman"/>
          <w:szCs w:val="24"/>
        </w:rPr>
        <w:footnoteReference w:id="75"/>
      </w:r>
      <w:r w:rsidR="00BC4594" w:rsidRPr="00845C6E">
        <w:rPr>
          <w:rFonts w:ascii="Times New Roman" w:hAnsi="Times New Roman"/>
          <w:szCs w:val="24"/>
        </w:rPr>
        <w:t xml:space="preserve">  That “measurable test” is </w:t>
      </w:r>
      <w:r w:rsidR="0097679A">
        <w:rPr>
          <w:rFonts w:ascii="Times New Roman" w:hAnsi="Times New Roman"/>
          <w:szCs w:val="24"/>
        </w:rPr>
        <w:t>Mr. </w:t>
      </w:r>
      <w:r w:rsidR="00BC4594" w:rsidRPr="00845C6E">
        <w:rPr>
          <w:rFonts w:ascii="Times New Roman" w:hAnsi="Times New Roman"/>
          <w:szCs w:val="24"/>
        </w:rPr>
        <w:t>Elgin</w:t>
      </w:r>
      <w:r w:rsidR="00BC4594">
        <w:rPr>
          <w:rFonts w:ascii="Times New Roman" w:hAnsi="Times New Roman"/>
          <w:szCs w:val="24"/>
        </w:rPr>
        <w:t>’s</w:t>
      </w:r>
      <w:r w:rsidR="00BC4594" w:rsidRPr="00845C6E">
        <w:rPr>
          <w:rFonts w:ascii="Times New Roman" w:hAnsi="Times New Roman"/>
          <w:szCs w:val="24"/>
        </w:rPr>
        <w:t xml:space="preserve"> pretax interest coverage ratio</w:t>
      </w:r>
      <w:r w:rsidR="00BC4594">
        <w:rPr>
          <w:rFonts w:ascii="Times New Roman" w:hAnsi="Times New Roman"/>
          <w:szCs w:val="24"/>
        </w:rPr>
        <w:t xml:space="preserve">, a metric </w:t>
      </w:r>
      <w:r w:rsidR="00BC4594" w:rsidRPr="00845C6E">
        <w:rPr>
          <w:rFonts w:ascii="Times New Roman" w:hAnsi="Times New Roman"/>
          <w:szCs w:val="24"/>
        </w:rPr>
        <w:t>that has not been used by ratings agencies for over 10 years</w:t>
      </w:r>
      <w:r w:rsidR="00BC4594">
        <w:rPr>
          <w:rFonts w:ascii="Times New Roman" w:hAnsi="Times New Roman"/>
          <w:szCs w:val="24"/>
        </w:rPr>
        <w:t>.</w:t>
      </w:r>
      <w:r w:rsidR="00BC4594" w:rsidRPr="00845C6E">
        <w:rPr>
          <w:rStyle w:val="FootnoteReference"/>
          <w:rFonts w:ascii="Times New Roman" w:hAnsi="Times New Roman"/>
          <w:szCs w:val="24"/>
        </w:rPr>
        <w:footnoteReference w:id="76"/>
      </w:r>
      <w:r w:rsidR="00BC4594" w:rsidRPr="00845C6E">
        <w:rPr>
          <w:rFonts w:ascii="Times New Roman" w:hAnsi="Times New Roman"/>
          <w:szCs w:val="24"/>
        </w:rPr>
        <w:t xml:space="preserve"> </w:t>
      </w:r>
      <w:r w:rsidR="00BC4594">
        <w:rPr>
          <w:rFonts w:ascii="Times New Roman" w:hAnsi="Times New Roman"/>
          <w:szCs w:val="24"/>
        </w:rPr>
        <w:t xml:space="preserve">This </w:t>
      </w:r>
      <w:r w:rsidR="00BC4594" w:rsidRPr="00845C6E">
        <w:rPr>
          <w:rFonts w:ascii="Times New Roman" w:hAnsi="Times New Roman"/>
          <w:szCs w:val="24"/>
        </w:rPr>
        <w:t xml:space="preserve">analysis </w:t>
      </w:r>
      <w:r w:rsidR="00BC4594">
        <w:rPr>
          <w:rFonts w:ascii="Times New Roman" w:hAnsi="Times New Roman"/>
          <w:szCs w:val="24"/>
        </w:rPr>
        <w:t xml:space="preserve">demonstrated that </w:t>
      </w:r>
      <w:r w:rsidR="0097679A">
        <w:rPr>
          <w:rFonts w:ascii="Times New Roman" w:hAnsi="Times New Roman"/>
          <w:szCs w:val="24"/>
        </w:rPr>
        <w:t>Mr. </w:t>
      </w:r>
      <w:r w:rsidR="00BC4594">
        <w:rPr>
          <w:rFonts w:ascii="Times New Roman" w:hAnsi="Times New Roman"/>
          <w:szCs w:val="24"/>
        </w:rPr>
        <w:t>Elgin’s capital structure would not be safe if the Company’s earnings in the future fall even a few percentage points below its authorized ROE</w:t>
      </w:r>
      <w:r w:rsidR="00BC4594" w:rsidRPr="00845C6E">
        <w:rPr>
          <w:rFonts w:ascii="Times New Roman" w:hAnsi="Times New Roman"/>
          <w:szCs w:val="24"/>
        </w:rPr>
        <w:t>.</w:t>
      </w:r>
      <w:r w:rsidR="00BC4594" w:rsidRPr="00845C6E">
        <w:rPr>
          <w:rStyle w:val="FootnoteReference"/>
          <w:rFonts w:ascii="Times New Roman" w:hAnsi="Times New Roman"/>
          <w:szCs w:val="24"/>
        </w:rPr>
        <w:footnoteReference w:id="77"/>
      </w:r>
      <w:r w:rsidR="00BC4594" w:rsidRPr="00845C6E">
        <w:rPr>
          <w:rFonts w:ascii="Times New Roman" w:hAnsi="Times New Roman"/>
          <w:szCs w:val="24"/>
        </w:rPr>
        <w:t xml:space="preserve"> </w:t>
      </w:r>
    </w:p>
    <w:p w:rsidR="00973298" w:rsidRPr="009D1941" w:rsidRDefault="0007513A" w:rsidP="003A270F">
      <w:pPr>
        <w:keepNext/>
        <w:spacing w:line="480" w:lineRule="auto"/>
        <w:ind w:left="-720"/>
        <w:jc w:val="center"/>
        <w:rPr>
          <w:rFonts w:ascii="Times New Roman" w:hAnsi="Times New Roman"/>
          <w:b/>
          <w:szCs w:val="24"/>
        </w:rPr>
      </w:pPr>
      <w:r>
        <w:rPr>
          <w:rFonts w:ascii="Times New Roman" w:hAnsi="Times New Roman"/>
          <w:b/>
          <w:szCs w:val="24"/>
        </w:rPr>
        <w:t>II</w:t>
      </w:r>
      <w:r w:rsidR="007F494E" w:rsidRPr="009D1941">
        <w:rPr>
          <w:rFonts w:ascii="Times New Roman" w:hAnsi="Times New Roman"/>
          <w:b/>
          <w:szCs w:val="24"/>
        </w:rPr>
        <w:t>.</w:t>
      </w:r>
      <w:r w:rsidR="007F494E" w:rsidRPr="009D1941">
        <w:rPr>
          <w:rFonts w:ascii="Times New Roman" w:hAnsi="Times New Roman"/>
          <w:b/>
          <w:szCs w:val="24"/>
        </w:rPr>
        <w:tab/>
        <w:t>REVENUE ADJUSTMENTS</w:t>
      </w:r>
    </w:p>
    <w:p w:rsidR="00973298" w:rsidRPr="009D1941" w:rsidRDefault="007F494E" w:rsidP="00D706C2">
      <w:pPr>
        <w:keepNext/>
        <w:keepLines/>
        <w:spacing w:after="240"/>
        <w:ind w:left="720" w:hanging="720"/>
        <w:rPr>
          <w:rFonts w:ascii="Times New Roman" w:hAnsi="Times New Roman"/>
          <w:b/>
          <w:szCs w:val="24"/>
        </w:rPr>
      </w:pPr>
      <w:r w:rsidRPr="009D1941">
        <w:rPr>
          <w:rFonts w:ascii="Times New Roman" w:hAnsi="Times New Roman"/>
          <w:b/>
          <w:szCs w:val="24"/>
        </w:rPr>
        <w:t>A.</w:t>
      </w:r>
      <w:r w:rsidRPr="009D1941">
        <w:rPr>
          <w:rFonts w:ascii="Times New Roman" w:hAnsi="Times New Roman"/>
          <w:b/>
          <w:szCs w:val="24"/>
        </w:rPr>
        <w:tab/>
      </w:r>
      <w:r w:rsidR="000F6325">
        <w:rPr>
          <w:rFonts w:ascii="Times New Roman" w:hAnsi="Times New Roman"/>
          <w:b/>
          <w:szCs w:val="24"/>
        </w:rPr>
        <w:t>Public Counsel</w:t>
      </w:r>
      <w:r w:rsidR="003B2BD2">
        <w:rPr>
          <w:rFonts w:ascii="Times New Roman" w:hAnsi="Times New Roman"/>
          <w:b/>
          <w:szCs w:val="24"/>
        </w:rPr>
        <w:t>/ICNU</w:t>
      </w:r>
      <w:r w:rsidR="000F6325">
        <w:rPr>
          <w:rFonts w:ascii="Times New Roman" w:hAnsi="Times New Roman"/>
          <w:b/>
          <w:szCs w:val="24"/>
        </w:rPr>
        <w:t xml:space="preserve"> Provide No Basis for Rejecting Temperature Normalization</w:t>
      </w:r>
      <w:r w:rsidR="003B2BD2">
        <w:rPr>
          <w:rFonts w:ascii="Times New Roman" w:hAnsi="Times New Roman"/>
          <w:b/>
          <w:szCs w:val="24"/>
        </w:rPr>
        <w:t xml:space="preserve"> for the Residential Class</w:t>
      </w:r>
      <w:r w:rsidR="000F6325">
        <w:rPr>
          <w:rFonts w:ascii="Times New Roman" w:hAnsi="Times New Roman"/>
          <w:b/>
          <w:szCs w:val="24"/>
        </w:rPr>
        <w:t xml:space="preserve">.  </w:t>
      </w:r>
    </w:p>
    <w:p w:rsidR="0050442A" w:rsidRPr="002B0EBF" w:rsidRDefault="00E24277" w:rsidP="00D706C2">
      <w:pPr>
        <w:pStyle w:val="ListParagraph"/>
        <w:numPr>
          <w:ilvl w:val="0"/>
          <w:numId w:val="12"/>
        </w:numPr>
        <w:tabs>
          <w:tab w:val="clear" w:pos="1440"/>
          <w:tab w:val="num" w:pos="720"/>
        </w:tabs>
        <w:spacing w:line="480" w:lineRule="auto"/>
        <w:ind w:left="0"/>
        <w:rPr>
          <w:rFonts w:ascii="Times New Roman" w:hAnsi="Times New Roman"/>
          <w:b/>
          <w:szCs w:val="24"/>
        </w:rPr>
      </w:pPr>
      <w:r w:rsidRPr="002B0EBF">
        <w:rPr>
          <w:rFonts w:ascii="Times New Roman" w:hAnsi="Times New Roman"/>
          <w:szCs w:val="24"/>
        </w:rPr>
        <w:tab/>
        <w:t>Public Counsel</w:t>
      </w:r>
      <w:r w:rsidR="003B2BD2">
        <w:rPr>
          <w:rFonts w:ascii="Times New Roman" w:hAnsi="Times New Roman"/>
          <w:szCs w:val="24"/>
        </w:rPr>
        <w:t>/ICNU</w:t>
      </w:r>
      <w:r w:rsidRPr="002B0EBF">
        <w:rPr>
          <w:rFonts w:ascii="Times New Roman" w:hAnsi="Times New Roman"/>
          <w:szCs w:val="24"/>
        </w:rPr>
        <w:t xml:space="preserve"> claim that </w:t>
      </w:r>
      <w:r w:rsidR="0097679A">
        <w:rPr>
          <w:rFonts w:ascii="Times New Roman" w:hAnsi="Times New Roman"/>
          <w:szCs w:val="24"/>
        </w:rPr>
        <w:t>Mr. </w:t>
      </w:r>
      <w:r w:rsidRPr="002B0EBF">
        <w:rPr>
          <w:rFonts w:ascii="Times New Roman" w:hAnsi="Times New Roman"/>
          <w:szCs w:val="24"/>
        </w:rPr>
        <w:t>Meyer’s proposed five-year average “is a more accurate reflection of likely residential usage during the rate effective period.”</w:t>
      </w:r>
      <w:r w:rsidRPr="009D1941">
        <w:rPr>
          <w:rStyle w:val="FootnoteReference"/>
          <w:rFonts w:ascii="Times New Roman" w:hAnsi="Times New Roman"/>
          <w:szCs w:val="24"/>
        </w:rPr>
        <w:footnoteReference w:id="78"/>
      </w:r>
      <w:r w:rsidRPr="002B0EBF">
        <w:rPr>
          <w:rFonts w:ascii="Times New Roman" w:hAnsi="Times New Roman"/>
          <w:szCs w:val="24"/>
        </w:rPr>
        <w:t xml:space="preserve">  </w:t>
      </w:r>
      <w:r w:rsidR="002B0EBF" w:rsidRPr="002B0EBF">
        <w:rPr>
          <w:rFonts w:ascii="Times New Roman" w:hAnsi="Times New Roman"/>
          <w:szCs w:val="24"/>
        </w:rPr>
        <w:t xml:space="preserve">Without explanation, </w:t>
      </w:r>
      <w:r w:rsidRPr="002B0EBF">
        <w:rPr>
          <w:rFonts w:ascii="Times New Roman" w:hAnsi="Times New Roman"/>
          <w:szCs w:val="24"/>
        </w:rPr>
        <w:t>Public Counsel</w:t>
      </w:r>
      <w:r w:rsidR="003B2BD2">
        <w:rPr>
          <w:rFonts w:ascii="Times New Roman" w:hAnsi="Times New Roman"/>
          <w:szCs w:val="24"/>
        </w:rPr>
        <w:t>/ICNU</w:t>
      </w:r>
      <w:r w:rsidRPr="002B0EBF">
        <w:rPr>
          <w:rFonts w:ascii="Times New Roman" w:hAnsi="Times New Roman"/>
          <w:szCs w:val="24"/>
        </w:rPr>
        <w:t xml:space="preserve"> reject the concept of temperature normalization entirely—a position directly at odds with</w:t>
      </w:r>
      <w:r w:rsidR="003B2BD2">
        <w:rPr>
          <w:rFonts w:ascii="Times New Roman" w:hAnsi="Times New Roman"/>
          <w:szCs w:val="24"/>
        </w:rPr>
        <w:t xml:space="preserve"> their</w:t>
      </w:r>
      <w:r w:rsidRPr="002B0EBF">
        <w:rPr>
          <w:rFonts w:ascii="Times New Roman" w:hAnsi="Times New Roman"/>
          <w:szCs w:val="24"/>
        </w:rPr>
        <w:t xml:space="preserve"> position in </w:t>
      </w:r>
      <w:r w:rsidR="003B2BD2">
        <w:rPr>
          <w:rFonts w:ascii="Times New Roman" w:hAnsi="Times New Roman"/>
          <w:szCs w:val="24"/>
        </w:rPr>
        <w:t>PacifiCorp’s last general rate case (2009 GRC)</w:t>
      </w:r>
      <w:r w:rsidRPr="002B0EBF">
        <w:rPr>
          <w:rFonts w:ascii="Times New Roman" w:hAnsi="Times New Roman"/>
          <w:szCs w:val="24"/>
        </w:rPr>
        <w:t xml:space="preserve"> that normalizing loads based on temperature is appropriate</w:t>
      </w:r>
      <w:r w:rsidRPr="009D1941">
        <w:rPr>
          <w:rStyle w:val="FootnoteReference"/>
          <w:rFonts w:ascii="Times New Roman" w:hAnsi="Times New Roman"/>
          <w:szCs w:val="24"/>
        </w:rPr>
        <w:footnoteReference w:id="79"/>
      </w:r>
      <w:r w:rsidR="00B203AF" w:rsidRPr="002B0EBF">
        <w:rPr>
          <w:rFonts w:ascii="Times New Roman" w:hAnsi="Times New Roman"/>
          <w:szCs w:val="24"/>
        </w:rPr>
        <w:t xml:space="preserve"> and one that neither Public Counsel nor ICNU has advocated in the past.</w:t>
      </w:r>
      <w:r w:rsidRPr="002B0EBF">
        <w:rPr>
          <w:rFonts w:ascii="Times New Roman" w:hAnsi="Times New Roman"/>
          <w:szCs w:val="24"/>
        </w:rPr>
        <w:t xml:space="preserve">  Unlike Public Counsel</w:t>
      </w:r>
      <w:r w:rsidR="003B2BD2">
        <w:rPr>
          <w:rFonts w:ascii="Times New Roman" w:hAnsi="Times New Roman"/>
          <w:szCs w:val="24"/>
        </w:rPr>
        <w:t>/</w:t>
      </w:r>
      <w:r w:rsidRPr="002B0EBF">
        <w:rPr>
          <w:rFonts w:ascii="Times New Roman" w:hAnsi="Times New Roman"/>
          <w:szCs w:val="24"/>
        </w:rPr>
        <w:t xml:space="preserve">ICNU, Staff evaluated the Company’s methodology and found </w:t>
      </w:r>
      <w:r w:rsidR="003B2BD2">
        <w:rPr>
          <w:rFonts w:ascii="Times New Roman" w:hAnsi="Times New Roman"/>
          <w:szCs w:val="24"/>
        </w:rPr>
        <w:t>it “</w:t>
      </w:r>
      <w:r w:rsidRPr="002B0EBF">
        <w:rPr>
          <w:rFonts w:ascii="Times New Roman" w:hAnsi="Times New Roman"/>
          <w:szCs w:val="24"/>
        </w:rPr>
        <w:t xml:space="preserve">to be appropriate for purposes of Residential class </w:t>
      </w:r>
      <w:r w:rsidR="00F409E4" w:rsidRPr="002B0EBF">
        <w:rPr>
          <w:rFonts w:ascii="Times New Roman" w:hAnsi="Times New Roman"/>
          <w:szCs w:val="24"/>
        </w:rPr>
        <w:t>temperature</w:t>
      </w:r>
      <w:r w:rsidRPr="002B0EBF">
        <w:rPr>
          <w:rFonts w:ascii="Times New Roman" w:hAnsi="Times New Roman"/>
          <w:szCs w:val="24"/>
        </w:rPr>
        <w:t xml:space="preserve"> normalization.”</w:t>
      </w:r>
      <w:r w:rsidRPr="009D1941">
        <w:rPr>
          <w:rStyle w:val="FootnoteReference"/>
          <w:rFonts w:ascii="Times New Roman" w:hAnsi="Times New Roman"/>
          <w:szCs w:val="24"/>
        </w:rPr>
        <w:footnoteReference w:id="80"/>
      </w:r>
      <w:r w:rsidR="00F409E4" w:rsidRPr="002B0EBF">
        <w:rPr>
          <w:rFonts w:ascii="Times New Roman" w:hAnsi="Times New Roman"/>
          <w:szCs w:val="24"/>
        </w:rPr>
        <w:t xml:space="preserve"> </w:t>
      </w:r>
      <w:r w:rsidR="002B0EBF">
        <w:rPr>
          <w:rFonts w:ascii="Times New Roman" w:hAnsi="Times New Roman"/>
          <w:szCs w:val="24"/>
        </w:rPr>
        <w:t>A</w:t>
      </w:r>
      <w:r w:rsidR="0050442A" w:rsidRPr="002B0EBF">
        <w:rPr>
          <w:rFonts w:ascii="Times New Roman" w:hAnsi="Times New Roman"/>
          <w:szCs w:val="24"/>
        </w:rPr>
        <w:t xml:space="preserve">dditionally, </w:t>
      </w:r>
      <w:r w:rsidR="002B0EBF">
        <w:rPr>
          <w:rFonts w:ascii="Times New Roman" w:hAnsi="Times New Roman"/>
          <w:szCs w:val="24"/>
        </w:rPr>
        <w:t xml:space="preserve">under </w:t>
      </w:r>
      <w:r w:rsidR="0050442A" w:rsidRPr="002B0EBF">
        <w:rPr>
          <w:rFonts w:ascii="Times New Roman" w:hAnsi="Times New Roman"/>
          <w:szCs w:val="24"/>
        </w:rPr>
        <w:t>Public Counsel</w:t>
      </w:r>
      <w:r w:rsidR="003B2BD2">
        <w:rPr>
          <w:rFonts w:ascii="Times New Roman" w:hAnsi="Times New Roman"/>
          <w:szCs w:val="24"/>
        </w:rPr>
        <w:t>/ICNU</w:t>
      </w:r>
      <w:r w:rsidR="0050442A" w:rsidRPr="002B0EBF">
        <w:rPr>
          <w:rFonts w:ascii="Times New Roman" w:hAnsi="Times New Roman"/>
          <w:szCs w:val="24"/>
        </w:rPr>
        <w:t>’s five-year average in usage</w:t>
      </w:r>
      <w:r w:rsidR="002B0EBF">
        <w:rPr>
          <w:rFonts w:ascii="Times New Roman" w:hAnsi="Times New Roman"/>
          <w:szCs w:val="24"/>
        </w:rPr>
        <w:t xml:space="preserve">, </w:t>
      </w:r>
      <w:r w:rsidR="0050442A" w:rsidRPr="002B0EBF">
        <w:rPr>
          <w:rFonts w:ascii="Times New Roman" w:hAnsi="Times New Roman"/>
          <w:szCs w:val="24"/>
        </w:rPr>
        <w:t xml:space="preserve">aberrant weather conditions in one year would wield significant influence on the revenues included in rates.  </w:t>
      </w:r>
    </w:p>
    <w:p w:rsidR="00973298" w:rsidRPr="00B203AF" w:rsidRDefault="007F494E" w:rsidP="00D706C2">
      <w:pPr>
        <w:keepNext/>
        <w:keepLines/>
        <w:spacing w:after="240"/>
        <w:ind w:left="720" w:hanging="720"/>
        <w:rPr>
          <w:rFonts w:ascii="Times New Roman" w:hAnsi="Times New Roman"/>
          <w:b/>
          <w:szCs w:val="24"/>
        </w:rPr>
      </w:pPr>
      <w:r w:rsidRPr="00B203AF">
        <w:rPr>
          <w:rFonts w:ascii="Times New Roman" w:hAnsi="Times New Roman"/>
          <w:b/>
          <w:szCs w:val="24"/>
        </w:rPr>
        <w:t>B.</w:t>
      </w:r>
      <w:r w:rsidRPr="00B203AF">
        <w:rPr>
          <w:rFonts w:ascii="Times New Roman" w:hAnsi="Times New Roman"/>
          <w:b/>
          <w:szCs w:val="24"/>
        </w:rPr>
        <w:tab/>
      </w:r>
      <w:r w:rsidR="000F6325">
        <w:rPr>
          <w:rFonts w:ascii="Times New Roman" w:hAnsi="Times New Roman"/>
          <w:b/>
          <w:szCs w:val="24"/>
        </w:rPr>
        <w:t xml:space="preserve">Staff’s Proposal to Remove </w:t>
      </w:r>
      <w:r w:rsidR="00EA57AC" w:rsidRPr="00B203AF">
        <w:rPr>
          <w:rFonts w:ascii="Times New Roman" w:hAnsi="Times New Roman"/>
          <w:b/>
          <w:szCs w:val="24"/>
        </w:rPr>
        <w:t>Temperature Normalization of Commercial Class</w:t>
      </w:r>
      <w:r w:rsidR="000F6325">
        <w:rPr>
          <w:rFonts w:ascii="Times New Roman" w:hAnsi="Times New Roman"/>
          <w:b/>
          <w:szCs w:val="24"/>
        </w:rPr>
        <w:t xml:space="preserve"> Reduces the Accuracy of the Forecast.</w:t>
      </w:r>
    </w:p>
    <w:p w:rsidR="00973298" w:rsidRDefault="007F494E" w:rsidP="00D706C2">
      <w:pPr>
        <w:pStyle w:val="ListParagraph"/>
        <w:numPr>
          <w:ilvl w:val="0"/>
          <w:numId w:val="12"/>
        </w:numPr>
        <w:tabs>
          <w:tab w:val="clear" w:pos="1440"/>
          <w:tab w:val="num" w:pos="720"/>
        </w:tabs>
        <w:spacing w:line="480" w:lineRule="auto"/>
        <w:ind w:left="0"/>
        <w:rPr>
          <w:rFonts w:ascii="Times New Roman" w:hAnsi="Times New Roman"/>
          <w:szCs w:val="24"/>
        </w:rPr>
      </w:pPr>
      <w:r w:rsidRPr="009D1941">
        <w:rPr>
          <w:rFonts w:ascii="Times New Roman" w:hAnsi="Times New Roman"/>
          <w:szCs w:val="24"/>
        </w:rPr>
        <w:tab/>
      </w:r>
      <w:r w:rsidR="002B0EBF">
        <w:rPr>
          <w:rFonts w:ascii="Times New Roman" w:hAnsi="Times New Roman"/>
          <w:szCs w:val="24"/>
        </w:rPr>
        <w:t xml:space="preserve">The Company objected to Staff’s adjustment to remove temperature normalization of the commercial class on the basis that it would </w:t>
      </w:r>
      <w:r w:rsidR="00F5290C">
        <w:rPr>
          <w:rFonts w:ascii="Times New Roman" w:hAnsi="Times New Roman"/>
          <w:szCs w:val="24"/>
        </w:rPr>
        <w:t>reduce the accuracy of the load forecast</w:t>
      </w:r>
      <w:r w:rsidR="002B0EBF">
        <w:rPr>
          <w:rFonts w:ascii="Times New Roman" w:hAnsi="Times New Roman"/>
          <w:szCs w:val="24"/>
        </w:rPr>
        <w:t xml:space="preserve">.  Staff </w:t>
      </w:r>
      <w:r w:rsidR="003B2BD2">
        <w:rPr>
          <w:rFonts w:ascii="Times New Roman" w:hAnsi="Times New Roman"/>
          <w:szCs w:val="24"/>
        </w:rPr>
        <w:t xml:space="preserve">incorrectly </w:t>
      </w:r>
      <w:r w:rsidR="002B0EBF">
        <w:rPr>
          <w:rFonts w:ascii="Times New Roman" w:hAnsi="Times New Roman"/>
          <w:szCs w:val="24"/>
        </w:rPr>
        <w:t>claims that this argument</w:t>
      </w:r>
      <w:r w:rsidR="00F5290C">
        <w:rPr>
          <w:rFonts w:ascii="Times New Roman" w:hAnsi="Times New Roman"/>
          <w:szCs w:val="24"/>
        </w:rPr>
        <w:t xml:space="preserve"> is circular.</w:t>
      </w:r>
      <w:r w:rsidR="00F5290C">
        <w:rPr>
          <w:rStyle w:val="FootnoteReference"/>
          <w:rFonts w:ascii="Times New Roman" w:hAnsi="Times New Roman"/>
          <w:szCs w:val="24"/>
        </w:rPr>
        <w:footnoteReference w:id="81"/>
      </w:r>
      <w:r w:rsidR="005F7F5A">
        <w:rPr>
          <w:rFonts w:ascii="Times New Roman" w:hAnsi="Times New Roman"/>
          <w:szCs w:val="24"/>
        </w:rPr>
        <w:t xml:space="preserve">  </w:t>
      </w:r>
      <w:r w:rsidR="00F7358B">
        <w:rPr>
          <w:rFonts w:ascii="Times New Roman" w:hAnsi="Times New Roman"/>
          <w:szCs w:val="24"/>
        </w:rPr>
        <w:t xml:space="preserve">Staff’s entire argument rests on Staff’s belief that the R-squared is too low.  If removing the adjustment entirely would </w:t>
      </w:r>
      <w:r w:rsidR="00774645">
        <w:rPr>
          <w:rFonts w:ascii="Times New Roman" w:hAnsi="Times New Roman"/>
          <w:szCs w:val="24"/>
        </w:rPr>
        <w:t>not explain the variation in loads at all, but applying the Company’s adjustment would explain 64.4% of the variation, it is clear that the Company’s methodology would produce a more accurate forecast</w:t>
      </w:r>
      <w:r w:rsidR="0084699F">
        <w:rPr>
          <w:rFonts w:ascii="Times New Roman" w:hAnsi="Times New Roman"/>
          <w:szCs w:val="24"/>
        </w:rPr>
        <w:t xml:space="preserve"> than Staff’s</w:t>
      </w:r>
      <w:r w:rsidR="00774645" w:rsidRPr="0084699F">
        <w:rPr>
          <w:rFonts w:ascii="Times New Roman" w:hAnsi="Times New Roman"/>
          <w:szCs w:val="24"/>
        </w:rPr>
        <w:t>.</w:t>
      </w:r>
      <w:r w:rsidR="000F6325">
        <w:rPr>
          <w:rFonts w:ascii="Times New Roman" w:hAnsi="Times New Roman"/>
          <w:szCs w:val="24"/>
        </w:rPr>
        <w:t xml:space="preserve">  While the parties may be able to develop modifications to the methodology in the future to further increase accuracy, the Company’s proposal is </w:t>
      </w:r>
      <w:r w:rsidR="003B2BD2">
        <w:rPr>
          <w:rFonts w:ascii="Times New Roman" w:hAnsi="Times New Roman"/>
          <w:szCs w:val="24"/>
        </w:rPr>
        <w:t xml:space="preserve">a </w:t>
      </w:r>
      <w:r w:rsidR="000F6325">
        <w:rPr>
          <w:rFonts w:ascii="Times New Roman" w:hAnsi="Times New Roman"/>
          <w:szCs w:val="24"/>
        </w:rPr>
        <w:t xml:space="preserve">reasonable </w:t>
      </w:r>
      <w:r w:rsidR="003B2BD2">
        <w:rPr>
          <w:rFonts w:ascii="Times New Roman" w:hAnsi="Times New Roman"/>
          <w:szCs w:val="24"/>
        </w:rPr>
        <w:t xml:space="preserve">interim approach </w:t>
      </w:r>
      <w:r w:rsidR="000F6325">
        <w:rPr>
          <w:rFonts w:ascii="Times New Roman" w:hAnsi="Times New Roman"/>
          <w:szCs w:val="24"/>
        </w:rPr>
        <w:t xml:space="preserve">and is superior to </w:t>
      </w:r>
      <w:r w:rsidR="003B2BD2">
        <w:rPr>
          <w:rFonts w:ascii="Times New Roman" w:hAnsi="Times New Roman"/>
          <w:szCs w:val="24"/>
        </w:rPr>
        <w:t>the elimination of temperature normalization for the commercial class</w:t>
      </w:r>
      <w:r w:rsidR="000F6325">
        <w:rPr>
          <w:rFonts w:ascii="Times New Roman" w:hAnsi="Times New Roman"/>
          <w:szCs w:val="24"/>
        </w:rPr>
        <w:t>.</w:t>
      </w:r>
    </w:p>
    <w:p w:rsidR="00973298" w:rsidRPr="009D1941" w:rsidRDefault="007F494E" w:rsidP="00D706C2">
      <w:pPr>
        <w:keepNext/>
        <w:spacing w:after="240"/>
        <w:ind w:left="720" w:hanging="720"/>
        <w:rPr>
          <w:rFonts w:ascii="Times New Roman" w:hAnsi="Times New Roman"/>
          <w:b/>
          <w:szCs w:val="24"/>
        </w:rPr>
      </w:pPr>
      <w:r w:rsidRPr="009D1941">
        <w:rPr>
          <w:rFonts w:ascii="Times New Roman" w:hAnsi="Times New Roman"/>
          <w:b/>
          <w:szCs w:val="24"/>
        </w:rPr>
        <w:t>C.</w:t>
      </w:r>
      <w:r w:rsidRPr="009D1941">
        <w:rPr>
          <w:rFonts w:ascii="Times New Roman" w:hAnsi="Times New Roman"/>
          <w:b/>
          <w:szCs w:val="24"/>
        </w:rPr>
        <w:tab/>
      </w:r>
      <w:r w:rsidR="00656AD8">
        <w:rPr>
          <w:rFonts w:ascii="Times New Roman" w:hAnsi="Times New Roman"/>
          <w:b/>
          <w:szCs w:val="24"/>
        </w:rPr>
        <w:t xml:space="preserve">The Parties’ REC Revenue Proposals Should Be Rejected </w:t>
      </w:r>
      <w:r w:rsidR="008B38E9">
        <w:rPr>
          <w:rFonts w:ascii="Times New Roman" w:hAnsi="Times New Roman"/>
          <w:b/>
          <w:szCs w:val="24"/>
        </w:rPr>
        <w:t>B</w:t>
      </w:r>
      <w:r w:rsidR="00656AD8">
        <w:rPr>
          <w:rFonts w:ascii="Times New Roman" w:hAnsi="Times New Roman"/>
          <w:b/>
          <w:szCs w:val="24"/>
        </w:rPr>
        <w:t>ecause the Company has Already Reflected a Reasonable Level of REC Revenue in its Revenue Requirement.</w:t>
      </w:r>
    </w:p>
    <w:p w:rsidR="00C603D9" w:rsidRPr="004408B0" w:rsidRDefault="00656AD8" w:rsidP="00D706C2">
      <w:pPr>
        <w:pStyle w:val="ListParagraph"/>
        <w:numPr>
          <w:ilvl w:val="0"/>
          <w:numId w:val="12"/>
        </w:numPr>
        <w:tabs>
          <w:tab w:val="left" w:pos="720"/>
        </w:tabs>
        <w:spacing w:line="480" w:lineRule="auto"/>
        <w:ind w:left="0"/>
        <w:rPr>
          <w:rFonts w:ascii="Times New Roman" w:hAnsi="Times New Roman"/>
          <w:szCs w:val="24"/>
        </w:rPr>
      </w:pPr>
      <w:r w:rsidRPr="004408B0">
        <w:rPr>
          <w:rFonts w:ascii="Times New Roman" w:hAnsi="Times New Roman"/>
          <w:szCs w:val="24"/>
        </w:rPr>
        <w:tab/>
        <w:t>Staff agrees with the Company’s proposed adjustment of $4.8 million for 2009 REC revenues, but proposes to also establish a regulatory liability account in which REC revenues accru</w:t>
      </w:r>
      <w:r w:rsidR="005055FC">
        <w:rPr>
          <w:rFonts w:ascii="Times New Roman" w:hAnsi="Times New Roman"/>
          <w:szCs w:val="24"/>
        </w:rPr>
        <w:t>als</w:t>
      </w:r>
      <w:r w:rsidRPr="004408B0">
        <w:rPr>
          <w:rFonts w:ascii="Times New Roman" w:hAnsi="Times New Roman"/>
          <w:szCs w:val="24"/>
        </w:rPr>
        <w:t xml:space="preserve"> from January 1, 2010 forward will be booked.</w:t>
      </w:r>
      <w:r>
        <w:rPr>
          <w:rStyle w:val="FootnoteReference"/>
          <w:rFonts w:ascii="Times New Roman" w:hAnsi="Times New Roman"/>
          <w:szCs w:val="24"/>
        </w:rPr>
        <w:footnoteReference w:id="82"/>
      </w:r>
      <w:r w:rsidRPr="004408B0">
        <w:rPr>
          <w:rFonts w:ascii="Times New Roman" w:hAnsi="Times New Roman"/>
          <w:szCs w:val="24"/>
        </w:rPr>
        <w:t xml:space="preserve">  </w:t>
      </w:r>
      <w:r w:rsidR="00C603D9" w:rsidRPr="004408B0">
        <w:rPr>
          <w:rFonts w:ascii="Times New Roman" w:hAnsi="Times New Roman"/>
          <w:szCs w:val="24"/>
        </w:rPr>
        <w:t>Public Counsel did not sponsor a witness on REC revenues, but now states that it supports Staff’s</w:t>
      </w:r>
      <w:r w:rsidR="004408B0" w:rsidRPr="004408B0">
        <w:rPr>
          <w:rFonts w:ascii="Times New Roman" w:hAnsi="Times New Roman"/>
          <w:szCs w:val="24"/>
        </w:rPr>
        <w:t xml:space="preserve"> alternative</w:t>
      </w:r>
      <w:r w:rsidR="00C603D9" w:rsidRPr="004408B0">
        <w:rPr>
          <w:rFonts w:ascii="Times New Roman" w:hAnsi="Times New Roman"/>
          <w:szCs w:val="24"/>
        </w:rPr>
        <w:t xml:space="preserve"> recommendation</w:t>
      </w:r>
      <w:r w:rsidR="004408B0" w:rsidRPr="004408B0">
        <w:rPr>
          <w:rFonts w:ascii="Times New Roman" w:hAnsi="Times New Roman"/>
          <w:szCs w:val="24"/>
        </w:rPr>
        <w:t xml:space="preserve"> of crediting customers for actual 2009 REC revenues over one year and establish</w:t>
      </w:r>
      <w:r w:rsidR="00F214FD">
        <w:rPr>
          <w:rFonts w:ascii="Times New Roman" w:hAnsi="Times New Roman"/>
          <w:szCs w:val="24"/>
        </w:rPr>
        <w:t>ing</w:t>
      </w:r>
      <w:r w:rsidR="004408B0" w:rsidRPr="004408B0">
        <w:rPr>
          <w:rFonts w:ascii="Times New Roman" w:hAnsi="Times New Roman"/>
          <w:szCs w:val="24"/>
        </w:rPr>
        <w:t xml:space="preserve"> a regulatory liability account to track actual revenues from January 2010 forward</w:t>
      </w:r>
      <w:r w:rsidR="00C603D9" w:rsidRPr="004408B0">
        <w:rPr>
          <w:rFonts w:ascii="Times New Roman" w:hAnsi="Times New Roman"/>
          <w:szCs w:val="24"/>
        </w:rPr>
        <w:t>.</w:t>
      </w:r>
      <w:r w:rsidR="00C603D9" w:rsidRPr="009D1941">
        <w:rPr>
          <w:rStyle w:val="FootnoteReference"/>
          <w:rFonts w:ascii="Times New Roman" w:hAnsi="Times New Roman"/>
          <w:szCs w:val="24"/>
        </w:rPr>
        <w:footnoteReference w:id="83"/>
      </w:r>
      <w:r w:rsidR="00C603D9" w:rsidRPr="004408B0">
        <w:rPr>
          <w:rFonts w:ascii="Times New Roman" w:hAnsi="Times New Roman"/>
          <w:szCs w:val="24"/>
        </w:rPr>
        <w:t xml:space="preserve">  </w:t>
      </w:r>
    </w:p>
    <w:p w:rsidR="00656AD8" w:rsidRDefault="00C603D9" w:rsidP="00D706C2">
      <w:pPr>
        <w:pStyle w:val="ListParagraph"/>
        <w:numPr>
          <w:ilvl w:val="0"/>
          <w:numId w:val="12"/>
        </w:numPr>
        <w:tabs>
          <w:tab w:val="left" w:pos="720"/>
        </w:tabs>
        <w:spacing w:line="480" w:lineRule="auto"/>
        <w:ind w:left="0"/>
        <w:rPr>
          <w:rFonts w:ascii="Times New Roman" w:hAnsi="Times New Roman"/>
          <w:szCs w:val="24"/>
        </w:rPr>
      </w:pPr>
      <w:r w:rsidRPr="004408B0">
        <w:rPr>
          <w:rFonts w:ascii="Times New Roman" w:hAnsi="Times New Roman"/>
          <w:szCs w:val="24"/>
        </w:rPr>
        <w:tab/>
      </w:r>
      <w:r w:rsidR="00656AD8" w:rsidRPr="004408B0">
        <w:rPr>
          <w:rFonts w:ascii="Times New Roman" w:hAnsi="Times New Roman"/>
          <w:szCs w:val="24"/>
        </w:rPr>
        <w:t>In its brief, ICNU changes course and now proposes a $10 million adjustment to account for REC revenues, as opposed to the $4.9 million it proposed</w:t>
      </w:r>
      <w:r w:rsidR="00FA1AFA">
        <w:rPr>
          <w:rFonts w:ascii="Times New Roman" w:hAnsi="Times New Roman"/>
          <w:szCs w:val="24"/>
        </w:rPr>
        <w:t xml:space="preserve"> in its testimony</w:t>
      </w:r>
      <w:r w:rsidR="00656AD8">
        <w:rPr>
          <w:rFonts w:ascii="Times New Roman" w:hAnsi="Times New Roman"/>
          <w:szCs w:val="24"/>
        </w:rPr>
        <w:t>.</w:t>
      </w:r>
      <w:r w:rsidR="00656AD8" w:rsidRPr="004408B0">
        <w:rPr>
          <w:rStyle w:val="FootnoteReference"/>
          <w:rFonts w:ascii="Times New Roman" w:hAnsi="Times New Roman"/>
          <w:szCs w:val="24"/>
        </w:rPr>
        <w:footnoteReference w:id="84"/>
      </w:r>
      <w:r w:rsidR="00656AD8" w:rsidRPr="004408B0">
        <w:rPr>
          <w:rFonts w:ascii="Times New Roman" w:hAnsi="Times New Roman"/>
          <w:szCs w:val="24"/>
        </w:rPr>
        <w:t xml:space="preserve">  ICNU had the opportunity to propose a $10 million adjustment in both its responsive testimony and its cross-answering </w:t>
      </w:r>
      <w:r w:rsidR="00E1726C">
        <w:rPr>
          <w:rFonts w:ascii="Times New Roman" w:hAnsi="Times New Roman"/>
          <w:szCs w:val="24"/>
        </w:rPr>
        <w:t xml:space="preserve">testimony </w:t>
      </w:r>
      <w:r w:rsidR="00656AD8" w:rsidRPr="004408B0">
        <w:rPr>
          <w:rFonts w:ascii="Times New Roman" w:hAnsi="Times New Roman"/>
          <w:szCs w:val="24"/>
        </w:rPr>
        <w:t>and did not do so</w:t>
      </w:r>
      <w:r w:rsidR="00656AD8">
        <w:rPr>
          <w:rFonts w:ascii="Times New Roman" w:hAnsi="Times New Roman"/>
          <w:szCs w:val="24"/>
        </w:rPr>
        <w:t>.</w:t>
      </w:r>
      <w:r w:rsidR="00656AD8" w:rsidRPr="004408B0">
        <w:rPr>
          <w:rStyle w:val="FootnoteReference"/>
          <w:rFonts w:ascii="Times New Roman" w:hAnsi="Times New Roman"/>
          <w:szCs w:val="24"/>
        </w:rPr>
        <w:footnoteReference w:id="85"/>
      </w:r>
      <w:r w:rsidR="00656AD8" w:rsidRPr="004408B0">
        <w:rPr>
          <w:rFonts w:ascii="Times New Roman" w:hAnsi="Times New Roman"/>
          <w:szCs w:val="24"/>
        </w:rPr>
        <w:t xml:space="preserve">  By proposing the $10 million adjustment for the first time in brief, ICNU deprived the Company of the opportunity to</w:t>
      </w:r>
      <w:r w:rsidR="00E1726C">
        <w:rPr>
          <w:rFonts w:ascii="Times New Roman" w:hAnsi="Times New Roman"/>
          <w:szCs w:val="24"/>
        </w:rPr>
        <w:t xml:space="preserve"> respond in rebuttal or</w:t>
      </w:r>
      <w:r w:rsidR="00A74E2A">
        <w:rPr>
          <w:rFonts w:ascii="Times New Roman" w:hAnsi="Times New Roman"/>
          <w:szCs w:val="24"/>
        </w:rPr>
        <w:t xml:space="preserve"> cross-</w:t>
      </w:r>
      <w:r w:rsidR="00656AD8" w:rsidRPr="004408B0">
        <w:rPr>
          <w:rFonts w:ascii="Times New Roman" w:hAnsi="Times New Roman"/>
          <w:szCs w:val="24"/>
        </w:rPr>
        <w:t xml:space="preserve">examine </w:t>
      </w:r>
      <w:r w:rsidR="0097679A">
        <w:rPr>
          <w:rFonts w:ascii="Times New Roman" w:hAnsi="Times New Roman"/>
          <w:szCs w:val="24"/>
        </w:rPr>
        <w:t>Mr. </w:t>
      </w:r>
      <w:proofErr w:type="spellStart"/>
      <w:r w:rsidR="00656AD8" w:rsidRPr="004408B0">
        <w:rPr>
          <w:rFonts w:ascii="Times New Roman" w:hAnsi="Times New Roman"/>
          <w:szCs w:val="24"/>
        </w:rPr>
        <w:t>Falkenberg</w:t>
      </w:r>
      <w:proofErr w:type="spellEnd"/>
      <w:r w:rsidR="00656AD8" w:rsidRPr="004408B0">
        <w:rPr>
          <w:rFonts w:ascii="Times New Roman" w:hAnsi="Times New Roman"/>
          <w:szCs w:val="24"/>
        </w:rPr>
        <w:t xml:space="preserve"> on </w:t>
      </w:r>
      <w:r w:rsidR="00E1726C">
        <w:rPr>
          <w:rFonts w:ascii="Times New Roman" w:hAnsi="Times New Roman"/>
          <w:szCs w:val="24"/>
        </w:rPr>
        <w:t>this</w:t>
      </w:r>
      <w:r w:rsidR="00656AD8" w:rsidRPr="004408B0">
        <w:rPr>
          <w:rFonts w:ascii="Times New Roman" w:hAnsi="Times New Roman"/>
          <w:szCs w:val="24"/>
        </w:rPr>
        <w:t xml:space="preserve"> proposal.  ICNU’s new adjustment should be rejected on this basis.</w:t>
      </w:r>
    </w:p>
    <w:p w:rsidR="00656AD8" w:rsidRPr="00C603D9" w:rsidRDefault="00AA749C" w:rsidP="00D706C2">
      <w:pPr>
        <w:keepNext/>
        <w:keepLines/>
        <w:spacing w:after="240"/>
        <w:ind w:left="1440" w:hanging="720"/>
        <w:rPr>
          <w:rFonts w:ascii="Times New Roman" w:hAnsi="Times New Roman"/>
          <w:szCs w:val="24"/>
        </w:rPr>
      </w:pPr>
      <w:r>
        <w:rPr>
          <w:rFonts w:ascii="Times New Roman" w:hAnsi="Times New Roman"/>
          <w:b/>
          <w:szCs w:val="24"/>
        </w:rPr>
        <w:t>1</w:t>
      </w:r>
      <w:r w:rsidR="00656AD8" w:rsidRPr="00C603D9">
        <w:rPr>
          <w:rFonts w:ascii="Times New Roman" w:hAnsi="Times New Roman"/>
          <w:b/>
          <w:szCs w:val="24"/>
        </w:rPr>
        <w:t>.</w:t>
      </w:r>
      <w:r w:rsidR="00656AD8" w:rsidRPr="00C603D9">
        <w:rPr>
          <w:rFonts w:ascii="Times New Roman" w:hAnsi="Times New Roman"/>
          <w:b/>
          <w:szCs w:val="24"/>
        </w:rPr>
        <w:tab/>
        <w:t>The Parties’ REC Revenue Proposals Should Be Rejected Because They Constit</w:t>
      </w:r>
      <w:r w:rsidR="00FA1AFA">
        <w:rPr>
          <w:rFonts w:ascii="Times New Roman" w:hAnsi="Times New Roman"/>
          <w:b/>
          <w:szCs w:val="24"/>
        </w:rPr>
        <w:t>ute Retroactive Ratemaking and N</w:t>
      </w:r>
      <w:r w:rsidR="00656AD8" w:rsidRPr="00C603D9">
        <w:rPr>
          <w:rFonts w:ascii="Times New Roman" w:hAnsi="Times New Roman"/>
          <w:b/>
          <w:szCs w:val="24"/>
        </w:rPr>
        <w:t>o Exception to the Rule Against Retroactive Ratemaking Applies.</w:t>
      </w:r>
    </w:p>
    <w:p w:rsidR="00F7746E" w:rsidRDefault="00656AD8"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661E8E">
        <w:rPr>
          <w:rFonts w:ascii="Times New Roman" w:hAnsi="Times New Roman"/>
          <w:szCs w:val="24"/>
        </w:rPr>
        <w:t>Staff claims that its proposal to book revenues prior to the Commission’s order in this proceeding is not retroactive ratemaking because “[t]his is not a case where a party seeks regulatory treatment of costs incurred prior to a test period.”</w:t>
      </w:r>
      <w:r w:rsidR="00661E8E">
        <w:rPr>
          <w:rStyle w:val="FootnoteReference"/>
          <w:rFonts w:ascii="Times New Roman" w:hAnsi="Times New Roman"/>
          <w:szCs w:val="24"/>
        </w:rPr>
        <w:footnoteReference w:id="86"/>
      </w:r>
      <w:r w:rsidR="00661E8E">
        <w:rPr>
          <w:rFonts w:ascii="Times New Roman" w:hAnsi="Times New Roman"/>
          <w:szCs w:val="24"/>
        </w:rPr>
        <w:t xml:space="preserve">  </w:t>
      </w:r>
      <w:r w:rsidR="00B8306F">
        <w:rPr>
          <w:rFonts w:ascii="Times New Roman" w:hAnsi="Times New Roman"/>
          <w:szCs w:val="24"/>
        </w:rPr>
        <w:t>But r</w:t>
      </w:r>
      <w:r w:rsidR="00F556C0">
        <w:rPr>
          <w:rFonts w:ascii="Times New Roman" w:hAnsi="Times New Roman"/>
          <w:szCs w:val="24"/>
        </w:rPr>
        <w:t>etroactive ratemaking</w:t>
      </w:r>
      <w:r w:rsidR="00B8306F">
        <w:rPr>
          <w:rFonts w:ascii="Times New Roman" w:hAnsi="Times New Roman"/>
          <w:szCs w:val="24"/>
        </w:rPr>
        <w:t xml:space="preserve"> more generally bars</w:t>
      </w:r>
      <w:r w:rsidR="00F556C0">
        <w:rPr>
          <w:rFonts w:ascii="Times New Roman" w:hAnsi="Times New Roman"/>
          <w:szCs w:val="24"/>
        </w:rPr>
        <w:t xml:space="preserve"> “</w:t>
      </w:r>
      <w:r w:rsidR="00F556C0" w:rsidRPr="00F556C0">
        <w:rPr>
          <w:rFonts w:ascii="Times New Roman" w:hAnsi="Times New Roman"/>
          <w:szCs w:val="24"/>
        </w:rPr>
        <w:t xml:space="preserve">the </w:t>
      </w:r>
      <w:r w:rsidR="00F556C0" w:rsidRPr="00F556C0">
        <w:rPr>
          <w:rFonts w:ascii="Times New Roman" w:hAnsi="Times New Roman"/>
          <w:i/>
          <w:szCs w:val="24"/>
        </w:rPr>
        <w:t>current</w:t>
      </w:r>
      <w:r w:rsidR="00F556C0" w:rsidRPr="00F556C0">
        <w:rPr>
          <w:rFonts w:ascii="Times New Roman" w:hAnsi="Times New Roman"/>
          <w:szCs w:val="24"/>
        </w:rPr>
        <w:t xml:space="preserve"> collection, through rates, of </w:t>
      </w:r>
      <w:r w:rsidR="00F556C0" w:rsidRPr="00F556C0">
        <w:rPr>
          <w:rFonts w:ascii="Times New Roman" w:hAnsi="Times New Roman"/>
          <w:i/>
          <w:szCs w:val="24"/>
        </w:rPr>
        <w:t xml:space="preserve">past </w:t>
      </w:r>
      <w:r w:rsidR="00F556C0" w:rsidRPr="00F556C0">
        <w:rPr>
          <w:rFonts w:ascii="Times New Roman" w:hAnsi="Times New Roman"/>
          <w:szCs w:val="24"/>
        </w:rPr>
        <w:t>obligations</w:t>
      </w:r>
      <w:r w:rsidR="00F556C0">
        <w:rPr>
          <w:rFonts w:ascii="Times New Roman" w:hAnsi="Times New Roman"/>
          <w:szCs w:val="24"/>
        </w:rPr>
        <w:t>.”</w:t>
      </w:r>
      <w:r w:rsidR="00F556C0">
        <w:rPr>
          <w:rStyle w:val="FootnoteReference"/>
          <w:rFonts w:ascii="Times New Roman" w:hAnsi="Times New Roman"/>
          <w:szCs w:val="24"/>
        </w:rPr>
        <w:footnoteReference w:id="87"/>
      </w:r>
      <w:r w:rsidR="000D5FBE">
        <w:rPr>
          <w:rFonts w:ascii="Times New Roman" w:hAnsi="Times New Roman"/>
          <w:szCs w:val="24"/>
        </w:rPr>
        <w:t xml:space="preserve">  Staff’s </w:t>
      </w:r>
      <w:r w:rsidR="00FA03CE">
        <w:rPr>
          <w:rFonts w:ascii="Times New Roman" w:hAnsi="Times New Roman"/>
          <w:szCs w:val="24"/>
        </w:rPr>
        <w:t xml:space="preserve">regulatory liability account proposal </w:t>
      </w:r>
      <w:r w:rsidR="000D5FBE">
        <w:rPr>
          <w:rFonts w:ascii="Times New Roman" w:hAnsi="Times New Roman"/>
          <w:szCs w:val="24"/>
        </w:rPr>
        <w:t xml:space="preserve">would result in the Company </w:t>
      </w:r>
      <w:r w:rsidR="00B8306F">
        <w:rPr>
          <w:rFonts w:ascii="Times New Roman" w:hAnsi="Times New Roman"/>
          <w:szCs w:val="24"/>
        </w:rPr>
        <w:t>reflecting</w:t>
      </w:r>
      <w:r w:rsidR="000D5FBE">
        <w:rPr>
          <w:rFonts w:ascii="Times New Roman" w:hAnsi="Times New Roman"/>
          <w:szCs w:val="24"/>
        </w:rPr>
        <w:t xml:space="preserve"> in future rates</w:t>
      </w:r>
      <w:r w:rsidR="00F214FD">
        <w:rPr>
          <w:rFonts w:ascii="Times New Roman" w:hAnsi="Times New Roman"/>
          <w:szCs w:val="24"/>
        </w:rPr>
        <w:t xml:space="preserve"> actual</w:t>
      </w:r>
      <w:r w:rsidR="000D5FBE">
        <w:rPr>
          <w:rFonts w:ascii="Times New Roman" w:hAnsi="Times New Roman"/>
          <w:szCs w:val="24"/>
        </w:rPr>
        <w:t xml:space="preserve"> revenues that occurred </w:t>
      </w:r>
      <w:r w:rsidR="00FA03CE">
        <w:rPr>
          <w:rFonts w:ascii="Times New Roman" w:hAnsi="Times New Roman"/>
          <w:szCs w:val="24"/>
        </w:rPr>
        <w:t>in the past.  This is fundamentally different from using past revenues to predict</w:t>
      </w:r>
      <w:r w:rsidR="00B8306F">
        <w:rPr>
          <w:rFonts w:ascii="Times New Roman" w:hAnsi="Times New Roman"/>
          <w:szCs w:val="24"/>
        </w:rPr>
        <w:t xml:space="preserve"> or forecast</w:t>
      </w:r>
      <w:r w:rsidR="00FA03CE">
        <w:rPr>
          <w:rFonts w:ascii="Times New Roman" w:hAnsi="Times New Roman"/>
          <w:szCs w:val="24"/>
        </w:rPr>
        <w:t xml:space="preserve"> future revenues. </w:t>
      </w:r>
    </w:p>
    <w:p w:rsidR="00E1726C" w:rsidRDefault="00E1726C"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Staff states that “no party to this case is required to file an accounting petition if it finds an extraordinary item on PacifiCorp’s books.”</w:t>
      </w:r>
      <w:r>
        <w:rPr>
          <w:rStyle w:val="FootnoteReference"/>
          <w:rFonts w:ascii="Times New Roman" w:hAnsi="Times New Roman"/>
          <w:szCs w:val="24"/>
        </w:rPr>
        <w:footnoteReference w:id="88"/>
      </w:r>
      <w:r>
        <w:rPr>
          <w:rFonts w:ascii="Times New Roman" w:hAnsi="Times New Roman"/>
          <w:szCs w:val="24"/>
        </w:rPr>
        <w:t xml:space="preserve">  In this case, however, </w:t>
      </w:r>
      <w:r w:rsidR="000E20AE">
        <w:rPr>
          <w:rFonts w:ascii="Times New Roman" w:hAnsi="Times New Roman"/>
          <w:szCs w:val="24"/>
        </w:rPr>
        <w:t xml:space="preserve">an accounting petition </w:t>
      </w:r>
      <w:r w:rsidR="008B38E9">
        <w:rPr>
          <w:rFonts w:ascii="Times New Roman" w:hAnsi="Times New Roman"/>
          <w:szCs w:val="24"/>
        </w:rPr>
        <w:t>wa</w:t>
      </w:r>
      <w:r w:rsidR="000E20AE">
        <w:rPr>
          <w:rFonts w:ascii="Times New Roman" w:hAnsi="Times New Roman"/>
          <w:szCs w:val="24"/>
        </w:rPr>
        <w:t xml:space="preserve">s necessary </w:t>
      </w:r>
      <w:r>
        <w:rPr>
          <w:rFonts w:ascii="Times New Roman" w:hAnsi="Times New Roman"/>
          <w:szCs w:val="24"/>
        </w:rPr>
        <w:t>to avoid implicating the rule a</w:t>
      </w:r>
      <w:r w:rsidR="00563A16">
        <w:rPr>
          <w:rFonts w:ascii="Times New Roman" w:hAnsi="Times New Roman"/>
          <w:szCs w:val="24"/>
        </w:rPr>
        <w:t>gainst retroactive ratemaking</w:t>
      </w:r>
      <w:r w:rsidR="00682884">
        <w:rPr>
          <w:rFonts w:ascii="Times New Roman" w:hAnsi="Times New Roman"/>
          <w:szCs w:val="24"/>
        </w:rPr>
        <w:t xml:space="preserve">.  The fact that </w:t>
      </w:r>
      <w:r w:rsidR="00563A16">
        <w:rPr>
          <w:rFonts w:ascii="Times New Roman" w:hAnsi="Times New Roman"/>
          <w:szCs w:val="24"/>
        </w:rPr>
        <w:t xml:space="preserve">the parties to the 2009 </w:t>
      </w:r>
      <w:r w:rsidR="008B38E9">
        <w:rPr>
          <w:rFonts w:ascii="Times New Roman" w:hAnsi="Times New Roman"/>
          <w:szCs w:val="24"/>
        </w:rPr>
        <w:t>GRC</w:t>
      </w:r>
      <w:r w:rsidR="00563A16">
        <w:rPr>
          <w:rFonts w:ascii="Times New Roman" w:hAnsi="Times New Roman"/>
          <w:szCs w:val="24"/>
        </w:rPr>
        <w:t xml:space="preserve"> </w:t>
      </w:r>
      <w:r w:rsidR="00F214FD">
        <w:rPr>
          <w:rFonts w:ascii="Times New Roman" w:hAnsi="Times New Roman"/>
          <w:szCs w:val="24"/>
        </w:rPr>
        <w:t xml:space="preserve">stipulation </w:t>
      </w:r>
      <w:r w:rsidR="00563A16">
        <w:rPr>
          <w:rFonts w:ascii="Times New Roman" w:hAnsi="Times New Roman"/>
          <w:szCs w:val="24"/>
        </w:rPr>
        <w:t>reserved the right to file for deferred accounting relating to REC revenue</w:t>
      </w:r>
      <w:r w:rsidR="00682884">
        <w:rPr>
          <w:rFonts w:ascii="Times New Roman" w:hAnsi="Times New Roman"/>
          <w:szCs w:val="24"/>
        </w:rPr>
        <w:t xml:space="preserve">s indicates that the parties understood that deferred accounting would be required to recover </w:t>
      </w:r>
      <w:r w:rsidR="008B38E9">
        <w:rPr>
          <w:rFonts w:ascii="Times New Roman" w:hAnsi="Times New Roman"/>
          <w:szCs w:val="24"/>
        </w:rPr>
        <w:t xml:space="preserve">2010 </w:t>
      </w:r>
      <w:r w:rsidR="00682884">
        <w:rPr>
          <w:rFonts w:ascii="Times New Roman" w:hAnsi="Times New Roman"/>
          <w:szCs w:val="24"/>
        </w:rPr>
        <w:t>REC revenues</w:t>
      </w:r>
      <w:r w:rsidR="008B38E9">
        <w:rPr>
          <w:rFonts w:ascii="Times New Roman" w:hAnsi="Times New Roman"/>
          <w:szCs w:val="24"/>
        </w:rPr>
        <w:t xml:space="preserve"> in excess of the </w:t>
      </w:r>
      <w:r w:rsidR="00B8306F">
        <w:rPr>
          <w:rFonts w:ascii="Times New Roman" w:hAnsi="Times New Roman"/>
          <w:szCs w:val="24"/>
        </w:rPr>
        <w:t xml:space="preserve">stipulated </w:t>
      </w:r>
      <w:r w:rsidR="0025319D">
        <w:rPr>
          <w:rFonts w:ascii="Times New Roman" w:hAnsi="Times New Roman"/>
          <w:szCs w:val="24"/>
        </w:rPr>
        <w:t>revenues</w:t>
      </w:r>
      <w:r w:rsidR="008B38E9">
        <w:rPr>
          <w:rFonts w:ascii="Times New Roman" w:hAnsi="Times New Roman"/>
          <w:szCs w:val="24"/>
        </w:rPr>
        <w:t xml:space="preserve"> </w:t>
      </w:r>
      <w:r w:rsidR="0025319D">
        <w:rPr>
          <w:rFonts w:ascii="Times New Roman" w:hAnsi="Times New Roman"/>
          <w:szCs w:val="24"/>
        </w:rPr>
        <w:t>included</w:t>
      </w:r>
      <w:r w:rsidR="008B38E9">
        <w:rPr>
          <w:rFonts w:ascii="Times New Roman" w:hAnsi="Times New Roman"/>
          <w:szCs w:val="24"/>
        </w:rPr>
        <w:t xml:space="preserve"> </w:t>
      </w:r>
      <w:r w:rsidR="00FA1AFA">
        <w:rPr>
          <w:rFonts w:ascii="Times New Roman" w:hAnsi="Times New Roman"/>
          <w:szCs w:val="24"/>
        </w:rPr>
        <w:t xml:space="preserve">in </w:t>
      </w:r>
      <w:r w:rsidR="008B38E9">
        <w:rPr>
          <w:rFonts w:ascii="Times New Roman" w:hAnsi="Times New Roman"/>
          <w:szCs w:val="24"/>
        </w:rPr>
        <w:t>base rates</w:t>
      </w:r>
      <w:r w:rsidR="00563A16">
        <w:rPr>
          <w:rFonts w:ascii="Times New Roman" w:hAnsi="Times New Roman"/>
          <w:szCs w:val="24"/>
        </w:rPr>
        <w:t>.</w:t>
      </w:r>
      <w:r w:rsidR="00563A16">
        <w:rPr>
          <w:rStyle w:val="FootnoteReference"/>
          <w:rFonts w:ascii="Times New Roman" w:hAnsi="Times New Roman"/>
          <w:szCs w:val="24"/>
        </w:rPr>
        <w:footnoteReference w:id="89"/>
      </w:r>
      <w:r w:rsidR="00563A16">
        <w:rPr>
          <w:rFonts w:ascii="Times New Roman" w:hAnsi="Times New Roman"/>
          <w:szCs w:val="24"/>
        </w:rPr>
        <w:t xml:space="preserve">  </w:t>
      </w:r>
      <w:r w:rsidRPr="009D1941">
        <w:rPr>
          <w:rFonts w:ascii="Times New Roman" w:hAnsi="Times New Roman"/>
          <w:szCs w:val="24"/>
        </w:rPr>
        <w:t>The Commission has previously found that it cannot retroactively create an accounting order to recognize “a deferral that was neither authorized nor recorded, and impose that deferral now to make up for [the utility] not collecting [the deferral] in the past.”</w:t>
      </w:r>
      <w:r w:rsidRPr="009D1941">
        <w:rPr>
          <w:rStyle w:val="FootnoteReference"/>
          <w:rFonts w:ascii="Times New Roman" w:hAnsi="Times New Roman"/>
          <w:szCs w:val="24"/>
        </w:rPr>
        <w:footnoteReference w:id="90"/>
      </w:r>
      <w:r>
        <w:rPr>
          <w:rFonts w:ascii="Times New Roman" w:hAnsi="Times New Roman"/>
          <w:szCs w:val="24"/>
        </w:rPr>
        <w:t xml:space="preserve">  That is exactly what Staff, Public Counsel, and ICNU propose the Commission do in this case.  The Company requests that the Commission </w:t>
      </w:r>
      <w:r w:rsidR="00FA1AFA">
        <w:rPr>
          <w:rFonts w:ascii="Times New Roman" w:hAnsi="Times New Roman"/>
          <w:szCs w:val="24"/>
        </w:rPr>
        <w:t>similarly</w:t>
      </w:r>
      <w:r>
        <w:rPr>
          <w:rFonts w:ascii="Times New Roman" w:hAnsi="Times New Roman"/>
          <w:szCs w:val="24"/>
        </w:rPr>
        <w:t xml:space="preserve"> find that retroactively creating a deferral would be “improper and illegal.”</w:t>
      </w:r>
      <w:r>
        <w:rPr>
          <w:rStyle w:val="FootnoteReference"/>
          <w:rFonts w:ascii="Times New Roman" w:hAnsi="Times New Roman"/>
          <w:szCs w:val="24"/>
        </w:rPr>
        <w:footnoteReference w:id="91"/>
      </w:r>
    </w:p>
    <w:p w:rsidR="00E1726C" w:rsidRPr="00217DE5" w:rsidRDefault="00D95698" w:rsidP="00D706C2">
      <w:pPr>
        <w:pStyle w:val="ListParagraph"/>
        <w:numPr>
          <w:ilvl w:val="0"/>
          <w:numId w:val="12"/>
        </w:numPr>
        <w:tabs>
          <w:tab w:val="left" w:pos="720"/>
        </w:tabs>
        <w:spacing w:line="480" w:lineRule="auto"/>
        <w:ind w:left="0"/>
        <w:rPr>
          <w:rFonts w:ascii="Times New Roman" w:hAnsi="Times New Roman"/>
          <w:szCs w:val="24"/>
        </w:rPr>
      </w:pPr>
      <w:r w:rsidRPr="00217DE5">
        <w:rPr>
          <w:rFonts w:ascii="Times New Roman" w:hAnsi="Times New Roman"/>
          <w:szCs w:val="24"/>
        </w:rPr>
        <w:tab/>
      </w:r>
      <w:r w:rsidR="00217DE5" w:rsidRPr="00217DE5">
        <w:rPr>
          <w:rFonts w:ascii="Times New Roman" w:hAnsi="Times New Roman"/>
          <w:szCs w:val="24"/>
        </w:rPr>
        <w:t xml:space="preserve">Both </w:t>
      </w:r>
      <w:r w:rsidR="00E1726C" w:rsidRPr="00217DE5">
        <w:rPr>
          <w:rFonts w:ascii="Times New Roman" w:hAnsi="Times New Roman"/>
          <w:szCs w:val="24"/>
        </w:rPr>
        <w:t>Staff</w:t>
      </w:r>
      <w:r w:rsidR="00217DE5" w:rsidRPr="00217DE5">
        <w:rPr>
          <w:rFonts w:ascii="Times New Roman" w:hAnsi="Times New Roman"/>
          <w:szCs w:val="24"/>
        </w:rPr>
        <w:t xml:space="preserve"> and Public Counsel contend </w:t>
      </w:r>
      <w:r w:rsidR="00E1726C" w:rsidRPr="00217DE5">
        <w:rPr>
          <w:rFonts w:ascii="Times New Roman" w:hAnsi="Times New Roman"/>
          <w:szCs w:val="24"/>
        </w:rPr>
        <w:t>that parties can request an after-the-fact</w:t>
      </w:r>
      <w:r w:rsidR="00217DE5" w:rsidRPr="00217DE5">
        <w:rPr>
          <w:rFonts w:ascii="Times New Roman" w:hAnsi="Times New Roman"/>
          <w:szCs w:val="24"/>
        </w:rPr>
        <w:t xml:space="preserve"> defe</w:t>
      </w:r>
      <w:r w:rsidR="00E1726C" w:rsidRPr="00217DE5">
        <w:rPr>
          <w:rFonts w:ascii="Times New Roman" w:hAnsi="Times New Roman"/>
          <w:szCs w:val="24"/>
        </w:rPr>
        <w:t>rral of expenses</w:t>
      </w:r>
      <w:r w:rsidR="00ED4948" w:rsidRPr="00217DE5">
        <w:rPr>
          <w:rFonts w:ascii="Times New Roman" w:hAnsi="Times New Roman"/>
          <w:szCs w:val="24"/>
        </w:rPr>
        <w:t xml:space="preserve"> or revenues</w:t>
      </w:r>
      <w:r w:rsidR="00E1726C" w:rsidRPr="00217DE5">
        <w:rPr>
          <w:rFonts w:ascii="Times New Roman" w:hAnsi="Times New Roman"/>
          <w:szCs w:val="24"/>
        </w:rPr>
        <w:t xml:space="preserve"> for the period between the end of the test year and the beginning of the rate year</w:t>
      </w:r>
      <w:r w:rsidR="00217DE5" w:rsidRPr="00217DE5">
        <w:rPr>
          <w:rFonts w:ascii="Times New Roman" w:hAnsi="Times New Roman"/>
          <w:szCs w:val="24"/>
        </w:rPr>
        <w:t>.</w:t>
      </w:r>
      <w:r w:rsidR="00E1726C">
        <w:rPr>
          <w:rStyle w:val="FootnoteReference"/>
          <w:rFonts w:ascii="Times New Roman" w:hAnsi="Times New Roman"/>
          <w:szCs w:val="24"/>
        </w:rPr>
        <w:footnoteReference w:id="92"/>
      </w:r>
      <w:r w:rsidR="00E1726C" w:rsidRPr="00217DE5">
        <w:rPr>
          <w:rFonts w:ascii="Times New Roman" w:hAnsi="Times New Roman"/>
          <w:szCs w:val="24"/>
        </w:rPr>
        <w:t xml:space="preserve"> </w:t>
      </w:r>
      <w:r w:rsidR="00217DE5">
        <w:rPr>
          <w:rFonts w:ascii="Times New Roman" w:hAnsi="Times New Roman"/>
          <w:szCs w:val="24"/>
        </w:rPr>
        <w:t xml:space="preserve">This position proposes a major change to Washington’s current </w:t>
      </w:r>
      <w:r w:rsidR="00E1726C" w:rsidRPr="00217DE5">
        <w:rPr>
          <w:rFonts w:ascii="Times New Roman" w:hAnsi="Times New Roman"/>
          <w:szCs w:val="24"/>
        </w:rPr>
        <w:t>ratemaking framework</w:t>
      </w:r>
      <w:r w:rsidR="00217DE5">
        <w:rPr>
          <w:rFonts w:ascii="Times New Roman" w:hAnsi="Times New Roman"/>
          <w:szCs w:val="24"/>
        </w:rPr>
        <w:t>.</w:t>
      </w:r>
      <w:r w:rsidR="00E1726C" w:rsidRPr="00217DE5">
        <w:rPr>
          <w:rFonts w:ascii="Times New Roman" w:hAnsi="Times New Roman"/>
          <w:szCs w:val="24"/>
        </w:rPr>
        <w:t xml:space="preserve">  Currently, parties propose known and measurable adjustments to the test year to reflect costs and revenues expected</w:t>
      </w:r>
      <w:r w:rsidR="00F214FD" w:rsidRPr="00217DE5">
        <w:rPr>
          <w:rFonts w:ascii="Times New Roman" w:hAnsi="Times New Roman"/>
          <w:szCs w:val="24"/>
        </w:rPr>
        <w:t xml:space="preserve"> to occur</w:t>
      </w:r>
      <w:r w:rsidR="00E1726C" w:rsidRPr="00217DE5">
        <w:rPr>
          <w:rFonts w:ascii="Times New Roman" w:hAnsi="Times New Roman"/>
          <w:szCs w:val="24"/>
        </w:rPr>
        <w:t xml:space="preserve"> during the rate effective period.</w:t>
      </w:r>
      <w:r w:rsidR="00E1726C">
        <w:rPr>
          <w:rStyle w:val="FootnoteReference"/>
          <w:rFonts w:ascii="Times New Roman" w:hAnsi="Times New Roman"/>
          <w:szCs w:val="24"/>
        </w:rPr>
        <w:footnoteReference w:id="93"/>
      </w:r>
      <w:r w:rsidR="00E1726C" w:rsidRPr="00217DE5">
        <w:rPr>
          <w:rFonts w:ascii="Times New Roman" w:hAnsi="Times New Roman"/>
          <w:szCs w:val="24"/>
        </w:rPr>
        <w:t xml:space="preserve">  </w:t>
      </w:r>
      <w:r w:rsidR="008B38E9" w:rsidRPr="00217DE5">
        <w:rPr>
          <w:rFonts w:ascii="Times New Roman" w:hAnsi="Times New Roman"/>
          <w:szCs w:val="24"/>
        </w:rPr>
        <w:t>This is the basis for the $</w:t>
      </w:r>
      <w:r w:rsidR="0025319D" w:rsidRPr="00217DE5">
        <w:rPr>
          <w:rFonts w:ascii="Times New Roman" w:hAnsi="Times New Roman"/>
          <w:szCs w:val="24"/>
        </w:rPr>
        <w:t>4.8</w:t>
      </w:r>
      <w:r w:rsidR="008B38E9" w:rsidRPr="00217DE5">
        <w:rPr>
          <w:rFonts w:ascii="Times New Roman" w:hAnsi="Times New Roman"/>
          <w:szCs w:val="24"/>
        </w:rPr>
        <w:t xml:space="preserve"> million base rate REC </w:t>
      </w:r>
      <w:r w:rsidR="00B8306F" w:rsidRPr="00217DE5">
        <w:rPr>
          <w:rFonts w:ascii="Times New Roman" w:hAnsi="Times New Roman"/>
          <w:szCs w:val="24"/>
        </w:rPr>
        <w:t xml:space="preserve">revenue </w:t>
      </w:r>
      <w:r w:rsidR="008B38E9" w:rsidRPr="00217DE5">
        <w:rPr>
          <w:rFonts w:ascii="Times New Roman" w:hAnsi="Times New Roman"/>
          <w:szCs w:val="24"/>
        </w:rPr>
        <w:t>adjustment accepted by the Company.</w:t>
      </w:r>
      <w:r w:rsidR="00B8306F" w:rsidRPr="00217DE5">
        <w:rPr>
          <w:rFonts w:ascii="Times New Roman" w:hAnsi="Times New Roman"/>
          <w:szCs w:val="24"/>
        </w:rPr>
        <w:t xml:space="preserve">  There is no authority or </w:t>
      </w:r>
      <w:r w:rsidR="00441310" w:rsidRPr="00217DE5">
        <w:rPr>
          <w:rFonts w:ascii="Times New Roman" w:hAnsi="Times New Roman"/>
          <w:szCs w:val="24"/>
        </w:rPr>
        <w:t xml:space="preserve">ratemaking </w:t>
      </w:r>
      <w:r w:rsidR="00B8306F" w:rsidRPr="00217DE5">
        <w:rPr>
          <w:rFonts w:ascii="Times New Roman" w:hAnsi="Times New Roman"/>
          <w:szCs w:val="24"/>
        </w:rPr>
        <w:t xml:space="preserve">policy </w:t>
      </w:r>
      <w:r w:rsidR="00441310" w:rsidRPr="00217DE5">
        <w:rPr>
          <w:rFonts w:ascii="Times New Roman" w:hAnsi="Times New Roman"/>
          <w:szCs w:val="24"/>
        </w:rPr>
        <w:t>that supports</w:t>
      </w:r>
      <w:r w:rsidR="00B8306F" w:rsidRPr="00217DE5">
        <w:rPr>
          <w:rFonts w:ascii="Times New Roman" w:hAnsi="Times New Roman"/>
          <w:szCs w:val="24"/>
        </w:rPr>
        <w:t xml:space="preserve"> </w:t>
      </w:r>
      <w:r w:rsidR="00441310" w:rsidRPr="00217DE5">
        <w:rPr>
          <w:rFonts w:ascii="Times New Roman" w:hAnsi="Times New Roman"/>
          <w:szCs w:val="24"/>
        </w:rPr>
        <w:t xml:space="preserve">combining </w:t>
      </w:r>
      <w:r w:rsidR="00ED4948" w:rsidRPr="00217DE5">
        <w:rPr>
          <w:rFonts w:ascii="Times New Roman" w:hAnsi="Times New Roman"/>
          <w:szCs w:val="24"/>
        </w:rPr>
        <w:t>such a</w:t>
      </w:r>
      <w:r w:rsidR="00DF206D" w:rsidRPr="00217DE5">
        <w:rPr>
          <w:rFonts w:ascii="Times New Roman" w:hAnsi="Times New Roman"/>
          <w:szCs w:val="24"/>
        </w:rPr>
        <w:t xml:space="preserve"> base rate adjustment</w:t>
      </w:r>
      <w:r w:rsidR="00441310" w:rsidRPr="00217DE5">
        <w:rPr>
          <w:rFonts w:ascii="Times New Roman" w:hAnsi="Times New Roman"/>
          <w:szCs w:val="24"/>
        </w:rPr>
        <w:t xml:space="preserve"> with </w:t>
      </w:r>
      <w:r w:rsidR="00ED4948" w:rsidRPr="00217DE5">
        <w:rPr>
          <w:rFonts w:ascii="Times New Roman" w:hAnsi="Times New Roman"/>
          <w:szCs w:val="24"/>
        </w:rPr>
        <w:t xml:space="preserve">actual </w:t>
      </w:r>
      <w:r w:rsidR="00441310" w:rsidRPr="00217DE5">
        <w:rPr>
          <w:rFonts w:ascii="Times New Roman" w:hAnsi="Times New Roman"/>
          <w:szCs w:val="24"/>
        </w:rPr>
        <w:t xml:space="preserve">revenues </w:t>
      </w:r>
      <w:r w:rsidR="00ED4948" w:rsidRPr="00217DE5">
        <w:rPr>
          <w:rFonts w:ascii="Times New Roman" w:hAnsi="Times New Roman"/>
          <w:szCs w:val="24"/>
        </w:rPr>
        <w:t xml:space="preserve">or costs </w:t>
      </w:r>
      <w:r w:rsidR="00441310" w:rsidRPr="00217DE5">
        <w:rPr>
          <w:rFonts w:ascii="Times New Roman" w:hAnsi="Times New Roman"/>
          <w:szCs w:val="24"/>
        </w:rPr>
        <w:t xml:space="preserve">tracked in the interim period between the historic base period and the rate effective period, especially if the revenues </w:t>
      </w:r>
      <w:r w:rsidR="00ED4948" w:rsidRPr="00217DE5">
        <w:rPr>
          <w:rFonts w:ascii="Times New Roman" w:hAnsi="Times New Roman"/>
          <w:szCs w:val="24"/>
        </w:rPr>
        <w:t xml:space="preserve">or costs </w:t>
      </w:r>
      <w:r w:rsidR="00441310" w:rsidRPr="00217DE5">
        <w:rPr>
          <w:rFonts w:ascii="Times New Roman" w:hAnsi="Times New Roman"/>
          <w:szCs w:val="24"/>
        </w:rPr>
        <w:t xml:space="preserve">are being tracked retroactively without </w:t>
      </w:r>
      <w:r w:rsidR="00ED4948" w:rsidRPr="00217DE5">
        <w:rPr>
          <w:rFonts w:ascii="Times New Roman" w:hAnsi="Times New Roman"/>
          <w:szCs w:val="24"/>
        </w:rPr>
        <w:t>a deferral</w:t>
      </w:r>
      <w:r w:rsidR="00441310" w:rsidRPr="00217DE5">
        <w:rPr>
          <w:rFonts w:ascii="Times New Roman" w:hAnsi="Times New Roman"/>
          <w:szCs w:val="24"/>
        </w:rPr>
        <w:t xml:space="preserve">. </w:t>
      </w:r>
      <w:r w:rsidR="00E1726C" w:rsidRPr="00217DE5">
        <w:rPr>
          <w:rFonts w:ascii="Times New Roman" w:hAnsi="Times New Roman"/>
          <w:szCs w:val="24"/>
        </w:rPr>
        <w:t xml:space="preserve"> The Company requests that if the Commission </w:t>
      </w:r>
      <w:r w:rsidR="00ED4948" w:rsidRPr="00217DE5">
        <w:rPr>
          <w:rFonts w:ascii="Times New Roman" w:hAnsi="Times New Roman"/>
          <w:szCs w:val="24"/>
        </w:rPr>
        <w:t xml:space="preserve">allows this approach, it define the new policy in a clear manner and </w:t>
      </w:r>
      <w:r w:rsidR="00FA1AFA">
        <w:rPr>
          <w:rFonts w:ascii="Times New Roman" w:hAnsi="Times New Roman"/>
          <w:szCs w:val="24"/>
        </w:rPr>
        <w:t>specify</w:t>
      </w:r>
      <w:r w:rsidR="00ED4948" w:rsidRPr="00217DE5">
        <w:rPr>
          <w:rFonts w:ascii="Times New Roman" w:hAnsi="Times New Roman"/>
          <w:szCs w:val="24"/>
        </w:rPr>
        <w:t xml:space="preserve"> that it may apply to both costs incurred and revenues</w:t>
      </w:r>
      <w:r w:rsidR="00E1726C" w:rsidRPr="00217DE5">
        <w:rPr>
          <w:rFonts w:ascii="Times New Roman" w:hAnsi="Times New Roman"/>
          <w:szCs w:val="24"/>
        </w:rPr>
        <w:t xml:space="preserve"> received during the </w:t>
      </w:r>
      <w:r w:rsidR="00ED4948" w:rsidRPr="00217DE5">
        <w:rPr>
          <w:rFonts w:ascii="Times New Roman" w:hAnsi="Times New Roman"/>
          <w:szCs w:val="24"/>
        </w:rPr>
        <w:t xml:space="preserve">interim </w:t>
      </w:r>
      <w:r w:rsidR="00E1726C" w:rsidRPr="00217DE5">
        <w:rPr>
          <w:rFonts w:ascii="Times New Roman" w:hAnsi="Times New Roman"/>
          <w:szCs w:val="24"/>
        </w:rPr>
        <w:t>period</w:t>
      </w:r>
      <w:r w:rsidR="00ED4948" w:rsidRPr="00217DE5">
        <w:rPr>
          <w:rFonts w:ascii="Times New Roman" w:hAnsi="Times New Roman"/>
          <w:szCs w:val="24"/>
        </w:rPr>
        <w:t>.</w:t>
      </w:r>
    </w:p>
    <w:p w:rsidR="00DA08FD" w:rsidRPr="002D002C" w:rsidRDefault="00E1726C"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DA08FD" w:rsidRPr="002D002C">
        <w:rPr>
          <w:rFonts w:ascii="Times New Roman" w:hAnsi="Times New Roman"/>
          <w:szCs w:val="24"/>
        </w:rPr>
        <w:t xml:space="preserve">Staff </w:t>
      </w:r>
      <w:r w:rsidR="00217DE5">
        <w:rPr>
          <w:rFonts w:ascii="Times New Roman" w:hAnsi="Times New Roman"/>
          <w:szCs w:val="24"/>
        </w:rPr>
        <w:t xml:space="preserve">and Public Counsel </w:t>
      </w:r>
      <w:r w:rsidR="00F041DF">
        <w:rPr>
          <w:rFonts w:ascii="Times New Roman" w:hAnsi="Times New Roman"/>
          <w:szCs w:val="24"/>
        </w:rPr>
        <w:t>rel</w:t>
      </w:r>
      <w:r w:rsidR="00217DE5">
        <w:rPr>
          <w:rFonts w:ascii="Times New Roman" w:hAnsi="Times New Roman"/>
          <w:szCs w:val="24"/>
        </w:rPr>
        <w:t>y</w:t>
      </w:r>
      <w:r w:rsidR="00F041DF">
        <w:rPr>
          <w:rFonts w:ascii="Times New Roman" w:hAnsi="Times New Roman"/>
          <w:szCs w:val="24"/>
        </w:rPr>
        <w:t xml:space="preserve"> upon</w:t>
      </w:r>
      <w:r w:rsidR="00ED4948">
        <w:rPr>
          <w:rFonts w:ascii="Times New Roman" w:hAnsi="Times New Roman"/>
          <w:szCs w:val="24"/>
        </w:rPr>
        <w:t xml:space="preserve"> a </w:t>
      </w:r>
      <w:r w:rsidR="00ED4948" w:rsidRPr="002D002C">
        <w:rPr>
          <w:rFonts w:ascii="Times New Roman" w:hAnsi="Times New Roman"/>
          <w:szCs w:val="24"/>
        </w:rPr>
        <w:t xml:space="preserve">1999 </w:t>
      </w:r>
      <w:proofErr w:type="spellStart"/>
      <w:r w:rsidR="00ED4948" w:rsidRPr="002D002C">
        <w:rPr>
          <w:rFonts w:ascii="Times New Roman" w:hAnsi="Times New Roman"/>
          <w:szCs w:val="24"/>
        </w:rPr>
        <w:t>Avista</w:t>
      </w:r>
      <w:proofErr w:type="spellEnd"/>
      <w:r w:rsidR="00ED4948" w:rsidRPr="002D002C">
        <w:rPr>
          <w:rFonts w:ascii="Times New Roman" w:hAnsi="Times New Roman"/>
          <w:szCs w:val="24"/>
        </w:rPr>
        <w:t xml:space="preserve"> rate case order</w:t>
      </w:r>
      <w:r w:rsidR="00ED4948">
        <w:rPr>
          <w:rFonts w:ascii="Times New Roman" w:hAnsi="Times New Roman"/>
          <w:szCs w:val="24"/>
        </w:rPr>
        <w:t xml:space="preserve"> </w:t>
      </w:r>
      <w:r w:rsidR="00217DE5">
        <w:rPr>
          <w:rFonts w:ascii="Times New Roman" w:hAnsi="Times New Roman"/>
          <w:szCs w:val="24"/>
        </w:rPr>
        <w:t>as</w:t>
      </w:r>
      <w:r w:rsidR="00C2550F">
        <w:rPr>
          <w:rFonts w:ascii="Times New Roman" w:hAnsi="Times New Roman"/>
          <w:szCs w:val="24"/>
        </w:rPr>
        <w:t xml:space="preserve"> support </w:t>
      </w:r>
      <w:r w:rsidR="00217DE5">
        <w:rPr>
          <w:rFonts w:ascii="Times New Roman" w:hAnsi="Times New Roman"/>
          <w:szCs w:val="24"/>
        </w:rPr>
        <w:t>for their</w:t>
      </w:r>
      <w:r w:rsidR="00C2550F">
        <w:rPr>
          <w:rFonts w:ascii="Times New Roman" w:hAnsi="Times New Roman"/>
          <w:szCs w:val="24"/>
        </w:rPr>
        <w:t xml:space="preserve"> position</w:t>
      </w:r>
      <w:r w:rsidR="00F214FD">
        <w:rPr>
          <w:rFonts w:ascii="Times New Roman" w:hAnsi="Times New Roman"/>
          <w:szCs w:val="24"/>
        </w:rPr>
        <w:t xml:space="preserve"> on retroactive ratemaking</w:t>
      </w:r>
      <w:r w:rsidR="00DA08FD" w:rsidRPr="002D002C">
        <w:rPr>
          <w:rFonts w:ascii="Times New Roman" w:hAnsi="Times New Roman"/>
          <w:szCs w:val="24"/>
        </w:rPr>
        <w:t xml:space="preserve">.  </w:t>
      </w:r>
      <w:r w:rsidR="00F041DF">
        <w:rPr>
          <w:rFonts w:ascii="Times New Roman" w:hAnsi="Times New Roman"/>
          <w:szCs w:val="24"/>
        </w:rPr>
        <w:t>That case does not</w:t>
      </w:r>
      <w:r w:rsidR="00F87601">
        <w:rPr>
          <w:rFonts w:ascii="Times New Roman" w:hAnsi="Times New Roman"/>
          <w:szCs w:val="24"/>
        </w:rPr>
        <w:t xml:space="preserve"> referenc</w:t>
      </w:r>
      <w:r w:rsidR="004441B9">
        <w:rPr>
          <w:rFonts w:ascii="Times New Roman" w:hAnsi="Times New Roman"/>
          <w:szCs w:val="24"/>
        </w:rPr>
        <w:t xml:space="preserve">e </w:t>
      </w:r>
      <w:r w:rsidR="00F041DF">
        <w:rPr>
          <w:rFonts w:ascii="Times New Roman" w:hAnsi="Times New Roman"/>
          <w:szCs w:val="24"/>
        </w:rPr>
        <w:t xml:space="preserve">or involve </w:t>
      </w:r>
      <w:r w:rsidR="004441B9">
        <w:rPr>
          <w:rFonts w:ascii="Times New Roman" w:hAnsi="Times New Roman"/>
          <w:szCs w:val="24"/>
        </w:rPr>
        <w:t>retroactive ratemaking at all.</w:t>
      </w:r>
      <w:r w:rsidR="004441B9">
        <w:rPr>
          <w:rStyle w:val="FootnoteReference"/>
          <w:rFonts w:ascii="Times New Roman" w:hAnsi="Times New Roman"/>
          <w:szCs w:val="24"/>
        </w:rPr>
        <w:footnoteReference w:id="94"/>
      </w:r>
      <w:r w:rsidR="00F87601">
        <w:rPr>
          <w:rFonts w:ascii="Times New Roman" w:hAnsi="Times New Roman"/>
          <w:szCs w:val="24"/>
        </w:rPr>
        <w:t xml:space="preserve">  </w:t>
      </w:r>
      <w:r w:rsidR="00F041DF">
        <w:rPr>
          <w:rFonts w:ascii="Times New Roman" w:hAnsi="Times New Roman"/>
          <w:szCs w:val="24"/>
        </w:rPr>
        <w:t xml:space="preserve">The relevant issue in that case, the </w:t>
      </w:r>
      <w:r w:rsidR="004441B9">
        <w:rPr>
          <w:rFonts w:ascii="Times New Roman" w:hAnsi="Times New Roman"/>
          <w:szCs w:val="24"/>
        </w:rPr>
        <w:t xml:space="preserve">assignment of </w:t>
      </w:r>
      <w:r w:rsidR="00F041DF">
        <w:rPr>
          <w:rFonts w:ascii="Times New Roman" w:hAnsi="Times New Roman"/>
          <w:szCs w:val="24"/>
        </w:rPr>
        <w:t>a</w:t>
      </w:r>
      <w:r w:rsidR="004441B9">
        <w:rPr>
          <w:rFonts w:ascii="Times New Roman" w:hAnsi="Times New Roman"/>
          <w:szCs w:val="24"/>
        </w:rPr>
        <w:t xml:space="preserve"> contract</w:t>
      </w:r>
      <w:r w:rsidR="00F041DF">
        <w:rPr>
          <w:rFonts w:ascii="Times New Roman" w:hAnsi="Times New Roman"/>
          <w:szCs w:val="24"/>
        </w:rPr>
        <w:t xml:space="preserve">, </w:t>
      </w:r>
      <w:r w:rsidR="004441B9">
        <w:rPr>
          <w:rFonts w:ascii="Times New Roman" w:hAnsi="Times New Roman"/>
          <w:szCs w:val="24"/>
        </w:rPr>
        <w:t>took place in the test year</w:t>
      </w:r>
      <w:r w:rsidR="00F041DF">
        <w:rPr>
          <w:rFonts w:ascii="Times New Roman" w:hAnsi="Times New Roman"/>
          <w:szCs w:val="24"/>
        </w:rPr>
        <w:t xml:space="preserve">.  The </w:t>
      </w:r>
      <w:r w:rsidR="004441B9">
        <w:rPr>
          <w:rFonts w:ascii="Times New Roman" w:hAnsi="Times New Roman"/>
          <w:szCs w:val="24"/>
        </w:rPr>
        <w:t xml:space="preserve">Commission found that “a pro forma adjustment to </w:t>
      </w:r>
      <w:proofErr w:type="spellStart"/>
      <w:r w:rsidR="004441B9">
        <w:rPr>
          <w:rFonts w:ascii="Times New Roman" w:hAnsi="Times New Roman"/>
          <w:szCs w:val="24"/>
        </w:rPr>
        <w:t>Avista’s</w:t>
      </w:r>
      <w:proofErr w:type="spellEnd"/>
      <w:r w:rsidR="004441B9">
        <w:rPr>
          <w:rFonts w:ascii="Times New Roman" w:hAnsi="Times New Roman"/>
          <w:szCs w:val="24"/>
        </w:rPr>
        <w:t xml:space="preserve"> 1998 results of operations should be made to reflect the new PGE contract terms.”</w:t>
      </w:r>
      <w:r w:rsidR="004441B9">
        <w:rPr>
          <w:rStyle w:val="FootnoteReference"/>
          <w:rFonts w:ascii="Times New Roman" w:hAnsi="Times New Roman"/>
          <w:szCs w:val="24"/>
        </w:rPr>
        <w:footnoteReference w:id="95"/>
      </w:r>
      <w:r w:rsidR="004441B9">
        <w:rPr>
          <w:rFonts w:ascii="Times New Roman" w:hAnsi="Times New Roman"/>
          <w:szCs w:val="24"/>
        </w:rPr>
        <w:t xml:space="preserve">  What occurred in the </w:t>
      </w:r>
      <w:proofErr w:type="spellStart"/>
      <w:r w:rsidR="004441B9">
        <w:rPr>
          <w:rFonts w:ascii="Times New Roman" w:hAnsi="Times New Roman"/>
          <w:szCs w:val="24"/>
        </w:rPr>
        <w:t>Avista</w:t>
      </w:r>
      <w:proofErr w:type="spellEnd"/>
      <w:r w:rsidR="004441B9">
        <w:rPr>
          <w:rFonts w:ascii="Times New Roman" w:hAnsi="Times New Roman"/>
          <w:szCs w:val="24"/>
        </w:rPr>
        <w:t xml:space="preserve"> case was a known and measurable adjustment to test year results</w:t>
      </w:r>
      <w:r w:rsidR="00F041DF">
        <w:rPr>
          <w:rFonts w:ascii="Times New Roman" w:hAnsi="Times New Roman"/>
          <w:szCs w:val="24"/>
        </w:rPr>
        <w:t xml:space="preserve"> to calculate a base rate adjustment.  That case did not involve </w:t>
      </w:r>
      <w:r w:rsidR="00217DE5">
        <w:rPr>
          <w:rFonts w:ascii="Times New Roman" w:hAnsi="Times New Roman"/>
          <w:szCs w:val="24"/>
        </w:rPr>
        <w:t xml:space="preserve">what Staff and Public Counsel are proposing here: </w:t>
      </w:r>
      <w:r w:rsidR="00F041DF">
        <w:rPr>
          <w:rFonts w:ascii="Times New Roman" w:hAnsi="Times New Roman"/>
          <w:szCs w:val="24"/>
        </w:rPr>
        <w:t xml:space="preserve">a </w:t>
      </w:r>
      <w:r w:rsidR="00B97FB2">
        <w:rPr>
          <w:rFonts w:ascii="Times New Roman" w:hAnsi="Times New Roman"/>
          <w:szCs w:val="24"/>
        </w:rPr>
        <w:t xml:space="preserve">retroactive </w:t>
      </w:r>
      <w:r w:rsidR="00F041DF">
        <w:rPr>
          <w:rFonts w:ascii="Times New Roman" w:hAnsi="Times New Roman"/>
          <w:szCs w:val="24"/>
        </w:rPr>
        <w:t>tracking of actual costs without a deferral</w:t>
      </w:r>
      <w:r w:rsidR="00FA1AFA">
        <w:rPr>
          <w:rFonts w:ascii="Times New Roman" w:hAnsi="Times New Roman"/>
          <w:szCs w:val="24"/>
        </w:rPr>
        <w:t>,</w:t>
      </w:r>
      <w:r w:rsidR="00F041DF">
        <w:rPr>
          <w:rFonts w:ascii="Times New Roman" w:hAnsi="Times New Roman"/>
          <w:szCs w:val="24"/>
        </w:rPr>
        <w:t xml:space="preserve"> </w:t>
      </w:r>
      <w:r w:rsidR="00217DE5">
        <w:rPr>
          <w:rFonts w:ascii="Times New Roman" w:hAnsi="Times New Roman"/>
          <w:szCs w:val="24"/>
        </w:rPr>
        <w:t>on top of</w:t>
      </w:r>
      <w:r w:rsidR="00F041DF">
        <w:rPr>
          <w:rFonts w:ascii="Times New Roman" w:hAnsi="Times New Roman"/>
          <w:szCs w:val="24"/>
        </w:rPr>
        <w:t xml:space="preserve"> a base rate adjustment</w:t>
      </w:r>
      <w:r w:rsidR="00217DE5">
        <w:rPr>
          <w:rFonts w:ascii="Times New Roman" w:hAnsi="Times New Roman"/>
          <w:szCs w:val="24"/>
        </w:rPr>
        <w:t>.</w:t>
      </w:r>
    </w:p>
    <w:p w:rsidR="003E04C7" w:rsidRPr="003E04C7" w:rsidRDefault="00E84633" w:rsidP="00D706C2">
      <w:pPr>
        <w:pStyle w:val="ListParagraph"/>
        <w:numPr>
          <w:ilvl w:val="0"/>
          <w:numId w:val="12"/>
        </w:numPr>
        <w:tabs>
          <w:tab w:val="left" w:pos="720"/>
        </w:tabs>
        <w:spacing w:line="480" w:lineRule="auto"/>
        <w:ind w:left="0"/>
        <w:rPr>
          <w:rFonts w:ascii="Times New Roman" w:hAnsi="Times New Roman"/>
          <w:b/>
          <w:szCs w:val="24"/>
        </w:rPr>
      </w:pPr>
      <w:r>
        <w:rPr>
          <w:rFonts w:ascii="Times New Roman" w:hAnsi="Times New Roman"/>
          <w:szCs w:val="24"/>
        </w:rPr>
        <w:tab/>
      </w:r>
      <w:r w:rsidR="003E04C7" w:rsidRPr="003E04C7">
        <w:rPr>
          <w:rFonts w:ascii="Times New Roman" w:hAnsi="Times New Roman"/>
          <w:szCs w:val="24"/>
        </w:rPr>
        <w:t>Staff claims</w:t>
      </w:r>
      <w:r w:rsidR="00F214FD">
        <w:rPr>
          <w:rFonts w:ascii="Times New Roman" w:hAnsi="Times New Roman"/>
          <w:szCs w:val="24"/>
        </w:rPr>
        <w:t xml:space="preserve"> the fact</w:t>
      </w:r>
      <w:r w:rsidR="003E04C7" w:rsidRPr="003E04C7">
        <w:rPr>
          <w:rFonts w:ascii="Times New Roman" w:hAnsi="Times New Roman"/>
          <w:szCs w:val="24"/>
        </w:rPr>
        <w:t xml:space="preserve"> that the parties agreed to shorten the amortization period for SO2 allowances in this case without the necessity of an accounting petition</w:t>
      </w:r>
      <w:r w:rsidR="00F214FD">
        <w:rPr>
          <w:rFonts w:ascii="Times New Roman" w:hAnsi="Times New Roman"/>
          <w:szCs w:val="24"/>
        </w:rPr>
        <w:t xml:space="preserve"> indicates that </w:t>
      </w:r>
      <w:r w:rsidR="003E04C7" w:rsidRPr="003E04C7">
        <w:rPr>
          <w:rFonts w:ascii="Times New Roman" w:hAnsi="Times New Roman"/>
          <w:szCs w:val="24"/>
        </w:rPr>
        <w:t>Staff’s REC revenue proposal</w:t>
      </w:r>
      <w:r w:rsidR="00F214FD">
        <w:rPr>
          <w:rFonts w:ascii="Times New Roman" w:hAnsi="Times New Roman"/>
          <w:szCs w:val="24"/>
        </w:rPr>
        <w:t xml:space="preserve"> is proper without a deferral</w:t>
      </w:r>
      <w:r w:rsidR="003E04C7" w:rsidRPr="003E04C7">
        <w:rPr>
          <w:rFonts w:ascii="Times New Roman" w:hAnsi="Times New Roman"/>
          <w:szCs w:val="24"/>
        </w:rPr>
        <w:t>.</w:t>
      </w:r>
      <w:r w:rsidR="003E04C7">
        <w:rPr>
          <w:rStyle w:val="FootnoteReference"/>
          <w:rFonts w:ascii="Times New Roman" w:hAnsi="Times New Roman"/>
          <w:szCs w:val="24"/>
        </w:rPr>
        <w:footnoteReference w:id="96"/>
      </w:r>
      <w:r w:rsidR="003E04C7" w:rsidRPr="003E04C7">
        <w:rPr>
          <w:rFonts w:ascii="Times New Roman" w:hAnsi="Times New Roman"/>
          <w:szCs w:val="24"/>
        </w:rPr>
        <w:t xml:space="preserve">  As Staff notes, the Commission entered an accounting order that required the Company to record gains of SO2 sales to be amortized in rates.</w:t>
      </w:r>
      <w:r w:rsidR="003E04C7">
        <w:rPr>
          <w:rStyle w:val="FootnoteReference"/>
          <w:rFonts w:ascii="Times New Roman" w:hAnsi="Times New Roman"/>
          <w:szCs w:val="24"/>
        </w:rPr>
        <w:footnoteReference w:id="97"/>
      </w:r>
      <w:r w:rsidR="003E04C7" w:rsidRPr="003E04C7">
        <w:rPr>
          <w:rFonts w:ascii="Times New Roman" w:hAnsi="Times New Roman"/>
          <w:szCs w:val="24"/>
        </w:rPr>
        <w:t xml:space="preserve">  </w:t>
      </w:r>
      <w:r w:rsidR="00F214FD">
        <w:rPr>
          <w:rFonts w:ascii="Times New Roman" w:hAnsi="Times New Roman"/>
          <w:szCs w:val="24"/>
        </w:rPr>
        <w:t>That case has no bearing on this one, where no party filed for an accounting order relating to REC revenues.</w:t>
      </w:r>
    </w:p>
    <w:p w:rsidR="00656AD8" w:rsidRPr="00217DE5" w:rsidRDefault="003E04C7" w:rsidP="00D706C2">
      <w:pPr>
        <w:pStyle w:val="ListParagraph"/>
        <w:numPr>
          <w:ilvl w:val="0"/>
          <w:numId w:val="12"/>
        </w:numPr>
        <w:tabs>
          <w:tab w:val="left" w:pos="720"/>
        </w:tabs>
        <w:spacing w:line="480" w:lineRule="auto"/>
        <w:ind w:left="0"/>
        <w:rPr>
          <w:rFonts w:ascii="Times New Roman" w:hAnsi="Times New Roman"/>
          <w:szCs w:val="24"/>
        </w:rPr>
      </w:pPr>
      <w:r w:rsidRPr="00217DE5">
        <w:rPr>
          <w:rFonts w:ascii="Times New Roman" w:hAnsi="Times New Roman"/>
          <w:szCs w:val="24"/>
        </w:rPr>
        <w:tab/>
      </w:r>
      <w:r w:rsidR="00347EFA">
        <w:rPr>
          <w:rFonts w:ascii="Times New Roman" w:hAnsi="Times New Roman"/>
          <w:szCs w:val="24"/>
        </w:rPr>
        <w:t>Public Counsel cites</w:t>
      </w:r>
      <w:r w:rsidR="00574123" w:rsidRPr="00217DE5">
        <w:rPr>
          <w:rFonts w:ascii="Times New Roman" w:hAnsi="Times New Roman"/>
          <w:szCs w:val="24"/>
        </w:rPr>
        <w:t xml:space="preserve"> a number of court cases in other jurisdictions that purportedly support Public Counsel’s argument that it is not retroactive ratemaking to include in future rates past revenues to account for higher-than-forecast revenues.</w:t>
      </w:r>
      <w:r w:rsidR="00574123">
        <w:rPr>
          <w:rStyle w:val="FootnoteReference"/>
          <w:rFonts w:ascii="Times New Roman" w:hAnsi="Times New Roman"/>
          <w:szCs w:val="24"/>
        </w:rPr>
        <w:footnoteReference w:id="98"/>
      </w:r>
      <w:r w:rsidR="00574123" w:rsidRPr="00217DE5">
        <w:rPr>
          <w:rFonts w:ascii="Times New Roman" w:hAnsi="Times New Roman"/>
          <w:szCs w:val="24"/>
        </w:rPr>
        <w:t xml:space="preserve">  None of those cases support Public Counsel’s argume</w:t>
      </w:r>
      <w:r w:rsidR="00707B38" w:rsidRPr="00217DE5">
        <w:rPr>
          <w:rFonts w:ascii="Times New Roman" w:hAnsi="Times New Roman"/>
          <w:szCs w:val="24"/>
        </w:rPr>
        <w:t>nt.  The cases find that retroactive ratemaking did not occur because</w:t>
      </w:r>
      <w:r w:rsidR="007E4ACE" w:rsidRPr="00217DE5">
        <w:rPr>
          <w:rFonts w:ascii="Times New Roman" w:hAnsi="Times New Roman"/>
          <w:szCs w:val="24"/>
        </w:rPr>
        <w:t xml:space="preserve"> the ratemaking action in question was due to</w:t>
      </w:r>
      <w:r w:rsidR="00707B38" w:rsidRPr="00217DE5">
        <w:rPr>
          <w:rFonts w:ascii="Times New Roman" w:hAnsi="Times New Roman"/>
          <w:szCs w:val="24"/>
        </w:rPr>
        <w:t xml:space="preserve"> a legislative mandate </w:t>
      </w:r>
      <w:r w:rsidR="00511131" w:rsidRPr="00217DE5">
        <w:rPr>
          <w:rFonts w:ascii="Times New Roman" w:hAnsi="Times New Roman"/>
          <w:szCs w:val="24"/>
        </w:rPr>
        <w:t xml:space="preserve">that </w:t>
      </w:r>
      <w:r w:rsidR="00707B38" w:rsidRPr="00217DE5">
        <w:rPr>
          <w:rFonts w:ascii="Times New Roman" w:hAnsi="Times New Roman"/>
          <w:szCs w:val="24"/>
        </w:rPr>
        <w:t>required the utility share a tax credit with customers,</w:t>
      </w:r>
      <w:r w:rsidR="00707B38">
        <w:rPr>
          <w:rStyle w:val="FootnoteReference"/>
          <w:rFonts w:ascii="Times New Roman" w:hAnsi="Times New Roman"/>
          <w:szCs w:val="24"/>
        </w:rPr>
        <w:footnoteReference w:id="99"/>
      </w:r>
      <w:r w:rsidR="00707B38" w:rsidRPr="00217DE5">
        <w:rPr>
          <w:rFonts w:ascii="Times New Roman" w:hAnsi="Times New Roman"/>
          <w:szCs w:val="24"/>
        </w:rPr>
        <w:t xml:space="preserve"> </w:t>
      </w:r>
      <w:r w:rsidR="00953EDB" w:rsidRPr="00217DE5">
        <w:rPr>
          <w:rFonts w:ascii="Times New Roman" w:hAnsi="Times New Roman"/>
          <w:szCs w:val="24"/>
        </w:rPr>
        <w:t>a refund of a capital investment,</w:t>
      </w:r>
      <w:r w:rsidR="00953EDB">
        <w:rPr>
          <w:rStyle w:val="FootnoteReference"/>
          <w:rFonts w:ascii="Times New Roman" w:hAnsi="Times New Roman"/>
          <w:szCs w:val="24"/>
        </w:rPr>
        <w:footnoteReference w:id="100"/>
      </w:r>
      <w:r w:rsidR="00953EDB" w:rsidRPr="00217DE5">
        <w:rPr>
          <w:rFonts w:ascii="Times New Roman" w:hAnsi="Times New Roman"/>
          <w:szCs w:val="24"/>
        </w:rPr>
        <w:t xml:space="preserve"> </w:t>
      </w:r>
      <w:r w:rsidR="00181A3F" w:rsidRPr="00217DE5">
        <w:rPr>
          <w:rFonts w:ascii="Times New Roman" w:hAnsi="Times New Roman"/>
          <w:szCs w:val="24"/>
        </w:rPr>
        <w:t>related to an unexpected windfall and not an inaccuracy in past ratemaking,</w:t>
      </w:r>
      <w:r w:rsidR="00181A3F">
        <w:rPr>
          <w:rStyle w:val="FootnoteReference"/>
          <w:rFonts w:ascii="Times New Roman" w:hAnsi="Times New Roman"/>
          <w:szCs w:val="24"/>
        </w:rPr>
        <w:footnoteReference w:id="101"/>
      </w:r>
      <w:r w:rsidR="00181A3F" w:rsidRPr="00217DE5">
        <w:rPr>
          <w:rFonts w:ascii="Times New Roman" w:hAnsi="Times New Roman"/>
          <w:szCs w:val="24"/>
        </w:rPr>
        <w:t xml:space="preserve"> related to the proper accounting of gains on the reacquisition of long-term debt,</w:t>
      </w:r>
      <w:r w:rsidR="00181A3F">
        <w:rPr>
          <w:rStyle w:val="FootnoteReference"/>
          <w:rFonts w:ascii="Times New Roman" w:hAnsi="Times New Roman"/>
          <w:szCs w:val="24"/>
        </w:rPr>
        <w:footnoteReference w:id="102"/>
      </w:r>
      <w:r w:rsidR="00181A3F" w:rsidRPr="00217DE5">
        <w:rPr>
          <w:rFonts w:ascii="Times New Roman" w:hAnsi="Times New Roman"/>
          <w:szCs w:val="24"/>
        </w:rPr>
        <w:t xml:space="preserve"> a change in depreciation rates,</w:t>
      </w:r>
      <w:r w:rsidR="00181A3F">
        <w:rPr>
          <w:rStyle w:val="FootnoteReference"/>
          <w:rFonts w:ascii="Times New Roman" w:hAnsi="Times New Roman"/>
          <w:szCs w:val="24"/>
        </w:rPr>
        <w:footnoteReference w:id="103"/>
      </w:r>
      <w:r w:rsidR="007E4ACE" w:rsidRPr="00217DE5">
        <w:rPr>
          <w:rFonts w:ascii="Times New Roman" w:hAnsi="Times New Roman"/>
          <w:szCs w:val="24"/>
        </w:rPr>
        <w:t xml:space="preserve"> or returned excessive fuel costs that were due to an illegal scheme.</w:t>
      </w:r>
      <w:r w:rsidR="007E4ACE">
        <w:rPr>
          <w:rStyle w:val="FootnoteReference"/>
          <w:rFonts w:ascii="Times New Roman" w:hAnsi="Times New Roman"/>
          <w:szCs w:val="24"/>
        </w:rPr>
        <w:footnoteReference w:id="104"/>
      </w:r>
      <w:r w:rsidR="007E4ACE" w:rsidRPr="00217DE5">
        <w:rPr>
          <w:rFonts w:ascii="Times New Roman" w:hAnsi="Times New Roman"/>
          <w:szCs w:val="24"/>
        </w:rPr>
        <w:t xml:space="preserve">  None of these cases held that it is not retroactive ratemaking to </w:t>
      </w:r>
      <w:r w:rsidR="007A1FBE" w:rsidRPr="00217DE5">
        <w:rPr>
          <w:rFonts w:ascii="Times New Roman" w:hAnsi="Times New Roman"/>
          <w:szCs w:val="24"/>
        </w:rPr>
        <w:t xml:space="preserve">credit customers for revenues that were higher than forecast.  Moreover, </w:t>
      </w:r>
      <w:r w:rsidR="00656AD8" w:rsidRPr="00217DE5">
        <w:rPr>
          <w:rFonts w:ascii="Times New Roman" w:hAnsi="Times New Roman"/>
          <w:szCs w:val="24"/>
        </w:rPr>
        <w:t>Public Counsel cites no precedent</w:t>
      </w:r>
      <w:r w:rsidR="00F21091" w:rsidRPr="00217DE5">
        <w:rPr>
          <w:rFonts w:ascii="Times New Roman" w:hAnsi="Times New Roman"/>
          <w:szCs w:val="24"/>
        </w:rPr>
        <w:t>—in Washington or otherwise—</w:t>
      </w:r>
      <w:r w:rsidR="00656AD8" w:rsidRPr="00217DE5">
        <w:rPr>
          <w:rFonts w:ascii="Times New Roman" w:hAnsi="Times New Roman"/>
          <w:szCs w:val="24"/>
        </w:rPr>
        <w:t>supporting its argument that the rule against retroactive ratemaking is a one-way street that only bars a utility from recovering excess costs.</w:t>
      </w:r>
      <w:r w:rsidR="007A1FBE">
        <w:rPr>
          <w:rStyle w:val="FootnoteReference"/>
          <w:rFonts w:ascii="Times New Roman" w:hAnsi="Times New Roman"/>
          <w:szCs w:val="24"/>
        </w:rPr>
        <w:footnoteReference w:id="105"/>
      </w:r>
      <w:r w:rsidR="00AA65E8" w:rsidRPr="00217DE5">
        <w:rPr>
          <w:rFonts w:ascii="Times New Roman" w:hAnsi="Times New Roman"/>
          <w:szCs w:val="24"/>
        </w:rPr>
        <w:t xml:space="preserve">  In fact, the Commission has noted that retroactive ratemaking may be implicated </w:t>
      </w:r>
      <w:proofErr w:type="gramStart"/>
      <w:r w:rsidR="001127D6" w:rsidRPr="00217DE5">
        <w:rPr>
          <w:rFonts w:ascii="Times New Roman" w:hAnsi="Times New Roman"/>
          <w:szCs w:val="24"/>
        </w:rPr>
        <w:t xml:space="preserve">both </w:t>
      </w:r>
      <w:r w:rsidR="00AA65E8" w:rsidRPr="00217DE5">
        <w:rPr>
          <w:rFonts w:ascii="Times New Roman" w:hAnsi="Times New Roman"/>
          <w:szCs w:val="24"/>
        </w:rPr>
        <w:t>when excess costs</w:t>
      </w:r>
      <w:r w:rsidR="001127D6" w:rsidRPr="00217DE5">
        <w:rPr>
          <w:rFonts w:ascii="Times New Roman" w:hAnsi="Times New Roman"/>
          <w:szCs w:val="24"/>
        </w:rPr>
        <w:t xml:space="preserve"> incurred </w:t>
      </w:r>
      <w:r w:rsidR="004A54EA">
        <w:rPr>
          <w:rFonts w:ascii="Times New Roman" w:hAnsi="Times New Roman"/>
          <w:szCs w:val="24"/>
        </w:rPr>
        <w:t>or</w:t>
      </w:r>
      <w:proofErr w:type="gramEnd"/>
      <w:r w:rsidR="004A54EA">
        <w:rPr>
          <w:rFonts w:ascii="Times New Roman" w:hAnsi="Times New Roman"/>
          <w:szCs w:val="24"/>
        </w:rPr>
        <w:t xml:space="preserve"> </w:t>
      </w:r>
      <w:r w:rsidR="001127D6" w:rsidRPr="00217DE5">
        <w:rPr>
          <w:rFonts w:ascii="Times New Roman" w:hAnsi="Times New Roman"/>
          <w:szCs w:val="24"/>
        </w:rPr>
        <w:t>costs avoided</w:t>
      </w:r>
      <w:r w:rsidR="00AA65E8" w:rsidRPr="00217DE5">
        <w:rPr>
          <w:rFonts w:ascii="Times New Roman" w:hAnsi="Times New Roman"/>
          <w:szCs w:val="24"/>
        </w:rPr>
        <w:t xml:space="preserve"> are applied in rates prospectively.</w:t>
      </w:r>
      <w:r w:rsidR="00AA65E8">
        <w:rPr>
          <w:rStyle w:val="FootnoteReference"/>
          <w:rFonts w:ascii="Times New Roman" w:hAnsi="Times New Roman"/>
          <w:szCs w:val="24"/>
        </w:rPr>
        <w:footnoteReference w:id="106"/>
      </w:r>
      <w:r w:rsidR="00D06A33" w:rsidRPr="00217DE5">
        <w:rPr>
          <w:rFonts w:ascii="Times New Roman" w:hAnsi="Times New Roman"/>
          <w:szCs w:val="24"/>
        </w:rPr>
        <w:t xml:space="preserve">  </w:t>
      </w:r>
    </w:p>
    <w:p w:rsidR="002D002C" w:rsidRDefault="0053439B"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2D002C">
        <w:rPr>
          <w:rFonts w:ascii="Times New Roman" w:hAnsi="Times New Roman"/>
          <w:szCs w:val="24"/>
        </w:rPr>
        <w:t>Public Counsel’s argument</w:t>
      </w:r>
      <w:r w:rsidR="002D002C" w:rsidRPr="005B54F9">
        <w:rPr>
          <w:rFonts w:ascii="Times New Roman" w:hAnsi="Times New Roman"/>
          <w:szCs w:val="24"/>
        </w:rPr>
        <w:t xml:space="preserve"> that</w:t>
      </w:r>
      <w:r w:rsidR="0060672F">
        <w:rPr>
          <w:rFonts w:ascii="Times New Roman" w:hAnsi="Times New Roman"/>
          <w:szCs w:val="24"/>
        </w:rPr>
        <w:t xml:space="preserve"> it</w:t>
      </w:r>
      <w:r w:rsidR="002D002C" w:rsidRPr="005B54F9">
        <w:rPr>
          <w:rFonts w:ascii="Times New Roman" w:hAnsi="Times New Roman"/>
          <w:szCs w:val="24"/>
        </w:rPr>
        <w:t xml:space="preserve"> </w:t>
      </w:r>
      <w:r w:rsidR="002D002C">
        <w:rPr>
          <w:rFonts w:ascii="Times New Roman" w:hAnsi="Times New Roman"/>
          <w:szCs w:val="24"/>
        </w:rPr>
        <w:t xml:space="preserve">could not have taken action because </w:t>
      </w:r>
      <w:r w:rsidR="002D002C" w:rsidRPr="005B54F9">
        <w:rPr>
          <w:rFonts w:ascii="Times New Roman" w:hAnsi="Times New Roman"/>
          <w:szCs w:val="24"/>
        </w:rPr>
        <w:t>it had no knowledge of REC revenues</w:t>
      </w:r>
      <w:r w:rsidR="002D002C">
        <w:rPr>
          <w:rFonts w:ascii="Times New Roman" w:hAnsi="Times New Roman"/>
          <w:szCs w:val="24"/>
        </w:rPr>
        <w:t xml:space="preserve"> is wrong</w:t>
      </w:r>
      <w:r w:rsidR="002D002C" w:rsidRPr="005B54F9">
        <w:rPr>
          <w:rFonts w:ascii="Times New Roman" w:hAnsi="Times New Roman"/>
          <w:szCs w:val="24"/>
        </w:rPr>
        <w:t>.  In its brief, Public Counsel claims that the Company’s results of operations reports do not clearly identify REC revenues.</w:t>
      </w:r>
      <w:r w:rsidR="00A119D2">
        <w:rPr>
          <w:rStyle w:val="FootnoteReference"/>
          <w:rFonts w:ascii="Times New Roman" w:hAnsi="Times New Roman"/>
          <w:szCs w:val="24"/>
        </w:rPr>
        <w:footnoteReference w:id="107"/>
      </w:r>
      <w:r w:rsidR="002D002C" w:rsidRPr="005B54F9">
        <w:rPr>
          <w:rFonts w:ascii="Times New Roman" w:hAnsi="Times New Roman"/>
          <w:szCs w:val="24"/>
        </w:rPr>
        <w:t xml:space="preserve">  </w:t>
      </w:r>
      <w:r w:rsidR="005461A2" w:rsidRPr="005B54F9">
        <w:rPr>
          <w:rFonts w:ascii="Times New Roman" w:hAnsi="Times New Roman"/>
          <w:szCs w:val="24"/>
        </w:rPr>
        <w:t>Public Counsel’s footnote 174 incorrectly refers to the quarterly reports</w:t>
      </w:r>
      <w:r w:rsidR="005461A2">
        <w:rPr>
          <w:rFonts w:ascii="Times New Roman" w:hAnsi="Times New Roman"/>
          <w:szCs w:val="24"/>
        </w:rPr>
        <w:t xml:space="preserve"> filed with the Commission</w:t>
      </w:r>
      <w:r w:rsidR="005461A2" w:rsidRPr="005B54F9">
        <w:rPr>
          <w:rFonts w:ascii="Times New Roman" w:hAnsi="Times New Roman"/>
          <w:szCs w:val="24"/>
        </w:rPr>
        <w:t>, not the</w:t>
      </w:r>
      <w:r w:rsidR="0060672F">
        <w:rPr>
          <w:rFonts w:ascii="Times New Roman" w:hAnsi="Times New Roman"/>
          <w:szCs w:val="24"/>
        </w:rPr>
        <w:t xml:space="preserve"> annual</w:t>
      </w:r>
      <w:r w:rsidR="005461A2" w:rsidRPr="005B54F9">
        <w:rPr>
          <w:rFonts w:ascii="Times New Roman" w:hAnsi="Times New Roman"/>
          <w:szCs w:val="24"/>
        </w:rPr>
        <w:t xml:space="preserve"> </w:t>
      </w:r>
      <w:r w:rsidR="005461A2">
        <w:rPr>
          <w:rFonts w:ascii="Times New Roman" w:hAnsi="Times New Roman"/>
          <w:szCs w:val="24"/>
        </w:rPr>
        <w:t xml:space="preserve">Commission Basis Report to which </w:t>
      </w:r>
      <w:r w:rsidR="0097679A">
        <w:rPr>
          <w:rFonts w:ascii="Times New Roman" w:hAnsi="Times New Roman"/>
          <w:szCs w:val="24"/>
        </w:rPr>
        <w:t>Mr. </w:t>
      </w:r>
      <w:r w:rsidR="005461A2">
        <w:rPr>
          <w:rFonts w:ascii="Times New Roman" w:hAnsi="Times New Roman"/>
          <w:szCs w:val="24"/>
        </w:rPr>
        <w:t>Duvall referred at hearing.</w:t>
      </w:r>
      <w:r w:rsidR="005461A2">
        <w:rPr>
          <w:rStyle w:val="FootnoteReference"/>
          <w:rFonts w:ascii="Times New Roman" w:hAnsi="Times New Roman"/>
          <w:szCs w:val="24"/>
        </w:rPr>
        <w:footnoteReference w:id="108"/>
      </w:r>
      <w:r w:rsidR="005461A2">
        <w:rPr>
          <w:rFonts w:ascii="Times New Roman" w:hAnsi="Times New Roman"/>
          <w:szCs w:val="24"/>
        </w:rPr>
        <w:t xml:space="preserve">  The Company filed its 2009 Commission Basis Report on April 30, 2009.  </w:t>
      </w:r>
      <w:r w:rsidR="002D002C" w:rsidRPr="005B54F9">
        <w:rPr>
          <w:rFonts w:ascii="Times New Roman" w:hAnsi="Times New Roman"/>
          <w:szCs w:val="24"/>
        </w:rPr>
        <w:t xml:space="preserve">Page 3.5 of the report </w:t>
      </w:r>
      <w:r w:rsidR="00BC7C4F">
        <w:rPr>
          <w:rFonts w:ascii="Times New Roman" w:hAnsi="Times New Roman"/>
          <w:szCs w:val="24"/>
        </w:rPr>
        <w:t xml:space="preserve">clearly identifies </w:t>
      </w:r>
      <w:r w:rsidR="005461A2">
        <w:rPr>
          <w:rFonts w:ascii="Times New Roman" w:hAnsi="Times New Roman"/>
          <w:szCs w:val="24"/>
        </w:rPr>
        <w:t xml:space="preserve">total-Company, </w:t>
      </w:r>
      <w:r w:rsidR="002D002C" w:rsidRPr="005B54F9">
        <w:rPr>
          <w:rFonts w:ascii="Times New Roman" w:hAnsi="Times New Roman"/>
          <w:szCs w:val="24"/>
        </w:rPr>
        <w:t>east and west control area</w:t>
      </w:r>
      <w:r w:rsidR="005461A2">
        <w:rPr>
          <w:rFonts w:ascii="Times New Roman" w:hAnsi="Times New Roman"/>
          <w:szCs w:val="24"/>
        </w:rPr>
        <w:t xml:space="preserve">, and </w:t>
      </w:r>
      <w:r w:rsidR="002D002C" w:rsidRPr="005B54F9">
        <w:rPr>
          <w:rFonts w:ascii="Times New Roman" w:hAnsi="Times New Roman"/>
          <w:szCs w:val="24"/>
        </w:rPr>
        <w:t>Washington</w:t>
      </w:r>
      <w:r w:rsidR="00BC7C4F">
        <w:rPr>
          <w:rFonts w:ascii="Times New Roman" w:hAnsi="Times New Roman"/>
          <w:szCs w:val="24"/>
        </w:rPr>
        <w:t xml:space="preserve">-allocated </w:t>
      </w:r>
      <w:r w:rsidR="005461A2">
        <w:rPr>
          <w:rFonts w:ascii="Times New Roman" w:hAnsi="Times New Roman"/>
          <w:szCs w:val="24"/>
        </w:rPr>
        <w:t xml:space="preserve">REC </w:t>
      </w:r>
      <w:r w:rsidR="00BC7C4F">
        <w:rPr>
          <w:rFonts w:ascii="Times New Roman" w:hAnsi="Times New Roman"/>
          <w:szCs w:val="24"/>
        </w:rPr>
        <w:t>revenues</w:t>
      </w:r>
      <w:r w:rsidR="002D002C" w:rsidRPr="005B54F9">
        <w:rPr>
          <w:rFonts w:ascii="Times New Roman" w:hAnsi="Times New Roman"/>
          <w:szCs w:val="24"/>
        </w:rPr>
        <w:t>.</w:t>
      </w:r>
      <w:r w:rsidR="002D002C">
        <w:rPr>
          <w:rStyle w:val="FootnoteReference"/>
          <w:rFonts w:ascii="Times New Roman" w:hAnsi="Times New Roman"/>
          <w:szCs w:val="24"/>
        </w:rPr>
        <w:footnoteReference w:id="109"/>
      </w:r>
      <w:r w:rsidR="002D002C" w:rsidRPr="005B54F9">
        <w:rPr>
          <w:rFonts w:ascii="Times New Roman" w:hAnsi="Times New Roman"/>
          <w:szCs w:val="24"/>
        </w:rPr>
        <w:t xml:space="preserve">  </w:t>
      </w:r>
      <w:r w:rsidR="00217DE5">
        <w:rPr>
          <w:rFonts w:ascii="Times New Roman" w:hAnsi="Times New Roman"/>
          <w:szCs w:val="24"/>
        </w:rPr>
        <w:t>G</w:t>
      </w:r>
      <w:r w:rsidR="00F21091">
        <w:rPr>
          <w:rFonts w:ascii="Times New Roman" w:hAnsi="Times New Roman"/>
          <w:szCs w:val="24"/>
        </w:rPr>
        <w:t xml:space="preserve">iven that even by its own determination Public Counsel has been aware of recent levels of REC revenues for many months and never filed </w:t>
      </w:r>
      <w:r w:rsidR="0060672F">
        <w:rPr>
          <w:rFonts w:ascii="Times New Roman" w:hAnsi="Times New Roman"/>
          <w:szCs w:val="24"/>
        </w:rPr>
        <w:t xml:space="preserve">for </w:t>
      </w:r>
      <w:r w:rsidR="00F21091">
        <w:rPr>
          <w:rFonts w:ascii="Times New Roman" w:hAnsi="Times New Roman"/>
          <w:szCs w:val="24"/>
        </w:rPr>
        <w:t>a deferral, its arguments regarding the timing of its knowledge of REC revenues are irrelevant.</w:t>
      </w:r>
    </w:p>
    <w:p w:rsidR="00224C98" w:rsidRDefault="00224C98"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 xml:space="preserve">Finally, </w:t>
      </w:r>
      <w:r w:rsidR="002D002C">
        <w:rPr>
          <w:rFonts w:ascii="Times New Roman" w:hAnsi="Times New Roman"/>
          <w:szCs w:val="24"/>
        </w:rPr>
        <w:t>ICNU’s proposal to include in rates a level of REC revenues equal to those that occurred in 2010 is a backdoor attempt at retroactive ratemaking.  T</w:t>
      </w:r>
      <w:r>
        <w:rPr>
          <w:rFonts w:ascii="Times New Roman" w:hAnsi="Times New Roman"/>
          <w:szCs w:val="24"/>
        </w:rPr>
        <w:t xml:space="preserve">he test period in this case is 2009 and the rate effective period begins on April 3, 2011.  ICNU’s proposal claims to represent REC revenues for 2010, which are neither relevant to the test period nor the rate effective period. </w:t>
      </w:r>
      <w:r w:rsidR="002D002C">
        <w:rPr>
          <w:rFonts w:ascii="Times New Roman" w:hAnsi="Times New Roman"/>
          <w:szCs w:val="24"/>
        </w:rPr>
        <w:t xml:space="preserve"> The only basis for including the level of 2010 REC revenues in rates would be to reach back to 2010 and capture those actual revenues</w:t>
      </w:r>
      <w:r w:rsidR="002112E2">
        <w:rPr>
          <w:rFonts w:ascii="Times New Roman" w:hAnsi="Times New Roman"/>
          <w:szCs w:val="24"/>
        </w:rPr>
        <w:t>—a clear violation of the doctrine against retroactive ratemaking</w:t>
      </w:r>
      <w:r w:rsidR="002D002C">
        <w:rPr>
          <w:rFonts w:ascii="Times New Roman" w:hAnsi="Times New Roman"/>
          <w:szCs w:val="24"/>
        </w:rPr>
        <w:t>.</w:t>
      </w:r>
      <w:r w:rsidR="00FC7C13">
        <w:rPr>
          <w:rFonts w:ascii="Times New Roman" w:hAnsi="Times New Roman"/>
          <w:szCs w:val="24"/>
        </w:rPr>
        <w:t xml:space="preserve">  </w:t>
      </w:r>
    </w:p>
    <w:p w:rsidR="00FA17AE" w:rsidRPr="009D1941" w:rsidRDefault="00FA17AE"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Pr="00FA17AE">
        <w:rPr>
          <w:rFonts w:ascii="Times New Roman" w:hAnsi="Times New Roman"/>
          <w:szCs w:val="24"/>
        </w:rPr>
        <w:t xml:space="preserve">Indeed, Mr. </w:t>
      </w:r>
      <w:proofErr w:type="spellStart"/>
      <w:r w:rsidRPr="00FA17AE">
        <w:rPr>
          <w:rFonts w:ascii="Times New Roman" w:hAnsi="Times New Roman"/>
          <w:szCs w:val="24"/>
        </w:rPr>
        <w:t>Falkenberg’s</w:t>
      </w:r>
      <w:proofErr w:type="spellEnd"/>
      <w:r w:rsidRPr="00FA17AE">
        <w:rPr>
          <w:rFonts w:ascii="Times New Roman" w:hAnsi="Times New Roman"/>
          <w:szCs w:val="24"/>
        </w:rPr>
        <w:t xml:space="preserve"> cross-answering testimony indicates that ICNU understands that under the Commission’s ratemaking policies, 2010 REC revenues cannot be included in rates as ICNU now proposes.  Mr. </w:t>
      </w:r>
      <w:proofErr w:type="spellStart"/>
      <w:r w:rsidRPr="00FA17AE">
        <w:rPr>
          <w:rFonts w:ascii="Times New Roman" w:hAnsi="Times New Roman"/>
          <w:szCs w:val="24"/>
        </w:rPr>
        <w:t>Falkenberg</w:t>
      </w:r>
      <w:proofErr w:type="spellEnd"/>
      <w:r w:rsidRPr="00FA17AE">
        <w:rPr>
          <w:rFonts w:ascii="Times New Roman" w:hAnsi="Times New Roman"/>
          <w:szCs w:val="24"/>
        </w:rPr>
        <w:t xml:space="preserve"> testified that Staff’s approach of reflecting the 2009 actual REC revenues in the test year “does not a</w:t>
      </w:r>
      <w:r>
        <w:rPr>
          <w:rFonts w:ascii="Times New Roman" w:hAnsi="Times New Roman"/>
          <w:szCs w:val="24"/>
        </w:rPr>
        <w:t xml:space="preserve">ccount for [2010 REC revenues] </w:t>
      </w:r>
      <w:r w:rsidRPr="00FA17AE">
        <w:rPr>
          <w:rFonts w:ascii="Times New Roman" w:hAnsi="Times New Roman"/>
          <w:i/>
          <w:szCs w:val="24"/>
        </w:rPr>
        <w:t>that may not be passed back to ratepayers, especially if PacifiCorp does not file a new general rate case using a 2010 test period</w:t>
      </w:r>
      <w:r w:rsidRPr="00FA17AE">
        <w:rPr>
          <w:rFonts w:ascii="Times New Roman" w:hAnsi="Times New Roman"/>
          <w:szCs w:val="24"/>
        </w:rPr>
        <w:t>.”</w:t>
      </w:r>
      <w:r w:rsidRPr="00FA17AE">
        <w:rPr>
          <w:rStyle w:val="FootnoteReference"/>
          <w:rFonts w:ascii="Times New Roman" w:hAnsi="Times New Roman"/>
          <w:szCs w:val="24"/>
        </w:rPr>
        <w:t xml:space="preserve"> </w:t>
      </w:r>
      <w:r>
        <w:rPr>
          <w:rStyle w:val="FootnoteReference"/>
          <w:rFonts w:ascii="Times New Roman" w:hAnsi="Times New Roman"/>
          <w:szCs w:val="24"/>
        </w:rPr>
        <w:footnoteReference w:id="110"/>
      </w:r>
      <w:r w:rsidRPr="00FA17AE">
        <w:rPr>
          <w:rFonts w:ascii="Times New Roman" w:hAnsi="Times New Roman"/>
          <w:szCs w:val="24"/>
        </w:rPr>
        <w:t xml:space="preserve">  Mr. </w:t>
      </w:r>
      <w:proofErr w:type="spellStart"/>
      <w:r w:rsidRPr="00FA17AE">
        <w:rPr>
          <w:rFonts w:ascii="Times New Roman" w:hAnsi="Times New Roman"/>
          <w:szCs w:val="24"/>
        </w:rPr>
        <w:t>Falkenberg</w:t>
      </w:r>
      <w:proofErr w:type="spellEnd"/>
      <w:r w:rsidRPr="00FA17AE">
        <w:rPr>
          <w:rFonts w:ascii="Times New Roman" w:hAnsi="Times New Roman"/>
          <w:szCs w:val="24"/>
        </w:rPr>
        <w:t xml:space="preserve"> similarly observed that </w:t>
      </w:r>
      <w:r w:rsidR="00FC643A">
        <w:rPr>
          <w:rFonts w:ascii="Times New Roman" w:hAnsi="Times New Roman"/>
          <w:szCs w:val="24"/>
        </w:rPr>
        <w:t xml:space="preserve">an advantage of </w:t>
      </w:r>
      <w:r w:rsidRPr="00FA17AE">
        <w:rPr>
          <w:rFonts w:ascii="Times New Roman" w:hAnsi="Times New Roman"/>
          <w:szCs w:val="24"/>
        </w:rPr>
        <w:t xml:space="preserve">Staff’s approach </w:t>
      </w:r>
      <w:r w:rsidR="00FC643A">
        <w:rPr>
          <w:rFonts w:ascii="Times New Roman" w:hAnsi="Times New Roman"/>
          <w:szCs w:val="24"/>
        </w:rPr>
        <w:t xml:space="preserve">is that it </w:t>
      </w:r>
      <w:r w:rsidRPr="00FA17AE">
        <w:rPr>
          <w:rFonts w:ascii="Times New Roman" w:hAnsi="Times New Roman"/>
          <w:szCs w:val="24"/>
        </w:rPr>
        <w:t xml:space="preserve">would allow </w:t>
      </w:r>
      <w:r w:rsidR="00FC643A">
        <w:rPr>
          <w:rFonts w:ascii="Times New Roman" w:hAnsi="Times New Roman"/>
          <w:szCs w:val="24"/>
        </w:rPr>
        <w:t xml:space="preserve">customers to </w:t>
      </w:r>
      <w:r w:rsidR="008D0604">
        <w:rPr>
          <w:rFonts w:ascii="Times New Roman" w:hAnsi="Times New Roman"/>
          <w:szCs w:val="24"/>
        </w:rPr>
        <w:t xml:space="preserve">obtain the benefits of </w:t>
      </w:r>
      <w:r w:rsidRPr="00FA17AE">
        <w:rPr>
          <w:rFonts w:ascii="Times New Roman" w:hAnsi="Times New Roman"/>
          <w:szCs w:val="24"/>
        </w:rPr>
        <w:t xml:space="preserve">2010 REC revenues </w:t>
      </w:r>
      <w:r w:rsidR="00621D3B">
        <w:rPr>
          <w:rFonts w:ascii="Times New Roman" w:hAnsi="Times New Roman"/>
          <w:szCs w:val="24"/>
        </w:rPr>
        <w:t>through the use of a 2010 base period in a future rate case</w:t>
      </w:r>
      <w:r w:rsidRPr="00FA17AE">
        <w:rPr>
          <w:rFonts w:ascii="Times New Roman" w:hAnsi="Times New Roman"/>
          <w:szCs w:val="24"/>
        </w:rPr>
        <w:t>.</w:t>
      </w:r>
      <w:r w:rsidR="00FC643A">
        <w:rPr>
          <w:rStyle w:val="FootnoteReference"/>
          <w:rFonts w:ascii="Times New Roman" w:hAnsi="Times New Roman"/>
          <w:szCs w:val="24"/>
        </w:rPr>
        <w:footnoteReference w:id="111"/>
      </w:r>
      <w:r w:rsidRPr="00FA17AE">
        <w:rPr>
          <w:rFonts w:ascii="Times New Roman" w:hAnsi="Times New Roman"/>
          <w:szCs w:val="24"/>
        </w:rPr>
        <w:t xml:space="preserve">  ICNU’s new proposal to include actual 2010 REC revenues in rates is directly at odds with </w:t>
      </w:r>
      <w:r w:rsidR="00BB4149">
        <w:rPr>
          <w:rFonts w:ascii="Times New Roman" w:hAnsi="Times New Roman"/>
          <w:szCs w:val="24"/>
        </w:rPr>
        <w:t>this</w:t>
      </w:r>
      <w:r w:rsidRPr="00FA17AE">
        <w:rPr>
          <w:rFonts w:ascii="Times New Roman" w:hAnsi="Times New Roman"/>
          <w:szCs w:val="24"/>
        </w:rPr>
        <w:t xml:space="preserve"> tes</w:t>
      </w:r>
      <w:r w:rsidR="00540E27">
        <w:rPr>
          <w:rFonts w:ascii="Times New Roman" w:hAnsi="Times New Roman"/>
          <w:szCs w:val="24"/>
        </w:rPr>
        <w:t>timony</w:t>
      </w:r>
      <w:r w:rsidRPr="00FA17AE">
        <w:rPr>
          <w:rFonts w:ascii="Times New Roman" w:hAnsi="Times New Roman"/>
          <w:szCs w:val="24"/>
        </w:rPr>
        <w:t>.</w:t>
      </w:r>
    </w:p>
    <w:p w:rsidR="00DA6D43" w:rsidRPr="00224C98" w:rsidRDefault="00224C98" w:rsidP="00D706C2">
      <w:pPr>
        <w:keepNext/>
        <w:keepLines/>
        <w:spacing w:after="240"/>
        <w:ind w:left="1440" w:hanging="720"/>
        <w:rPr>
          <w:rFonts w:ascii="Times New Roman" w:hAnsi="Times New Roman"/>
          <w:b/>
          <w:szCs w:val="24"/>
        </w:rPr>
      </w:pPr>
      <w:r>
        <w:rPr>
          <w:rFonts w:ascii="Times New Roman" w:hAnsi="Times New Roman"/>
          <w:b/>
          <w:szCs w:val="24"/>
        </w:rPr>
        <w:t>2.</w:t>
      </w:r>
      <w:r>
        <w:rPr>
          <w:rFonts w:ascii="Times New Roman" w:hAnsi="Times New Roman"/>
          <w:b/>
          <w:szCs w:val="24"/>
        </w:rPr>
        <w:tab/>
        <w:t>The Parties Present No Basis for Treating REC Revenues Different from NPC</w:t>
      </w:r>
      <w:r w:rsidR="002112E2">
        <w:rPr>
          <w:rFonts w:ascii="Times New Roman" w:hAnsi="Times New Roman"/>
          <w:b/>
          <w:szCs w:val="24"/>
        </w:rPr>
        <w:t xml:space="preserve"> in Violation of the Matching Principle</w:t>
      </w:r>
      <w:r>
        <w:rPr>
          <w:rFonts w:ascii="Times New Roman" w:hAnsi="Times New Roman"/>
          <w:b/>
          <w:szCs w:val="24"/>
        </w:rPr>
        <w:t>.</w:t>
      </w:r>
    </w:p>
    <w:p w:rsidR="00C57892" w:rsidRPr="00FC7C13" w:rsidRDefault="00FC495A" w:rsidP="00D706C2">
      <w:pPr>
        <w:pStyle w:val="ListParagraph"/>
        <w:numPr>
          <w:ilvl w:val="0"/>
          <w:numId w:val="12"/>
        </w:numPr>
        <w:tabs>
          <w:tab w:val="left" w:pos="720"/>
        </w:tabs>
        <w:spacing w:line="480" w:lineRule="auto"/>
        <w:ind w:left="0"/>
        <w:rPr>
          <w:rFonts w:ascii="Times New Roman" w:hAnsi="Times New Roman"/>
          <w:szCs w:val="24"/>
        </w:rPr>
      </w:pPr>
      <w:r w:rsidRPr="00FC7C13">
        <w:rPr>
          <w:rFonts w:ascii="Times New Roman" w:hAnsi="Times New Roman"/>
          <w:szCs w:val="24"/>
        </w:rPr>
        <w:tab/>
      </w:r>
      <w:r w:rsidR="00721CFE" w:rsidRPr="00FC7C13">
        <w:rPr>
          <w:rFonts w:ascii="Times New Roman" w:hAnsi="Times New Roman"/>
          <w:szCs w:val="24"/>
        </w:rPr>
        <w:t xml:space="preserve">The parties’ arguments in favor of accounting for actual REC revenues in rates all suffer from the flaw of </w:t>
      </w:r>
      <w:r w:rsidR="00D542A1" w:rsidRPr="00FC7C13">
        <w:rPr>
          <w:rFonts w:ascii="Times New Roman" w:hAnsi="Times New Roman"/>
          <w:szCs w:val="24"/>
        </w:rPr>
        <w:t xml:space="preserve">failing to match the treatment of </w:t>
      </w:r>
      <w:r w:rsidR="00721CFE" w:rsidRPr="00FC7C13">
        <w:rPr>
          <w:rFonts w:ascii="Times New Roman" w:hAnsi="Times New Roman"/>
          <w:szCs w:val="24"/>
        </w:rPr>
        <w:t xml:space="preserve">REC revenues </w:t>
      </w:r>
      <w:r w:rsidR="00D542A1" w:rsidRPr="00FC7C13">
        <w:rPr>
          <w:rFonts w:ascii="Times New Roman" w:hAnsi="Times New Roman"/>
          <w:szCs w:val="24"/>
        </w:rPr>
        <w:t xml:space="preserve">to the treatment of </w:t>
      </w:r>
      <w:r w:rsidR="00FA1AFA">
        <w:rPr>
          <w:rFonts w:ascii="Times New Roman" w:hAnsi="Times New Roman"/>
          <w:szCs w:val="24"/>
        </w:rPr>
        <w:t>net power costs (</w:t>
      </w:r>
      <w:r w:rsidR="00D542A1" w:rsidRPr="00FC7C13">
        <w:rPr>
          <w:rFonts w:ascii="Times New Roman" w:hAnsi="Times New Roman"/>
          <w:szCs w:val="24"/>
        </w:rPr>
        <w:t>NPC</w:t>
      </w:r>
      <w:r w:rsidR="00FA1AFA">
        <w:rPr>
          <w:rFonts w:ascii="Times New Roman" w:hAnsi="Times New Roman"/>
          <w:szCs w:val="24"/>
        </w:rPr>
        <w:t>)</w:t>
      </w:r>
      <w:r w:rsidR="00D542A1" w:rsidRPr="00FC7C13">
        <w:rPr>
          <w:rFonts w:ascii="Times New Roman" w:hAnsi="Times New Roman"/>
          <w:szCs w:val="24"/>
        </w:rPr>
        <w:t xml:space="preserve">.  </w:t>
      </w:r>
      <w:r w:rsidR="00D95698" w:rsidRPr="00FC7C13">
        <w:rPr>
          <w:rFonts w:ascii="Times New Roman" w:hAnsi="Times New Roman"/>
          <w:szCs w:val="24"/>
        </w:rPr>
        <w:t xml:space="preserve">No party to this proceeding disputes that the Commission </w:t>
      </w:r>
      <w:r w:rsidR="00D60186" w:rsidRPr="00FC7C13">
        <w:rPr>
          <w:rFonts w:ascii="Times New Roman" w:hAnsi="Times New Roman"/>
          <w:szCs w:val="24"/>
        </w:rPr>
        <w:t>adheres to the matching principle, under which “revenues and costs are balanced at a common point in time, i.e., a rate case, to determine fair, just, reasonable and sufficient rates.”</w:t>
      </w:r>
      <w:r w:rsidR="00D60186">
        <w:rPr>
          <w:rStyle w:val="FootnoteReference"/>
          <w:rFonts w:ascii="Times New Roman" w:hAnsi="Times New Roman"/>
          <w:szCs w:val="24"/>
        </w:rPr>
        <w:footnoteReference w:id="112"/>
      </w:r>
      <w:r w:rsidR="00D60186" w:rsidRPr="00FC7C13">
        <w:rPr>
          <w:rFonts w:ascii="Times New Roman" w:hAnsi="Times New Roman"/>
          <w:szCs w:val="24"/>
        </w:rPr>
        <w:t xml:space="preserve">  Public Counsel itself has argued that “REC revenues are directly related to the proper analysis of power costs </w:t>
      </w:r>
      <w:proofErr w:type="gramStart"/>
      <w:r w:rsidR="00D60186" w:rsidRPr="00FC7C13">
        <w:rPr>
          <w:rFonts w:ascii="Times New Roman" w:hAnsi="Times New Roman"/>
          <w:szCs w:val="24"/>
        </w:rPr>
        <w:t>. . ..</w:t>
      </w:r>
      <w:proofErr w:type="gramEnd"/>
      <w:r w:rsidR="00D60186" w:rsidRPr="00FC7C13">
        <w:rPr>
          <w:rFonts w:ascii="Times New Roman" w:hAnsi="Times New Roman"/>
          <w:szCs w:val="24"/>
        </w:rPr>
        <w:t xml:space="preserve">  Joint </w:t>
      </w:r>
      <w:proofErr w:type="spellStart"/>
      <w:r w:rsidR="00D60186" w:rsidRPr="00FC7C13">
        <w:rPr>
          <w:rFonts w:ascii="Times New Roman" w:hAnsi="Times New Roman"/>
          <w:szCs w:val="24"/>
        </w:rPr>
        <w:t>Movants</w:t>
      </w:r>
      <w:proofErr w:type="spellEnd"/>
      <w:r w:rsidR="00D60186" w:rsidRPr="00FC7C13">
        <w:rPr>
          <w:rFonts w:ascii="Times New Roman" w:hAnsi="Times New Roman"/>
          <w:szCs w:val="24"/>
        </w:rPr>
        <w:t xml:space="preserve"> do not explain why it is appropriate to update PSE power costs as was done in the most recent supplemental filing, without updating related revenues.”</w:t>
      </w:r>
      <w:r w:rsidR="00D60186">
        <w:rPr>
          <w:rStyle w:val="FootnoteReference"/>
          <w:rFonts w:ascii="Times New Roman" w:hAnsi="Times New Roman"/>
          <w:szCs w:val="24"/>
        </w:rPr>
        <w:footnoteReference w:id="113"/>
      </w:r>
      <w:r w:rsidR="004765B3" w:rsidRPr="00FC7C13">
        <w:rPr>
          <w:rFonts w:ascii="Times New Roman" w:hAnsi="Times New Roman"/>
          <w:szCs w:val="24"/>
        </w:rPr>
        <w:t xml:space="preserve">  Similarly, the parties in this case have not explained why it is appropriate to retroactively account for REC revenues but not do so for the NPC associated with generating those revenues.</w:t>
      </w:r>
      <w:r w:rsidR="008930EE" w:rsidRPr="00FC7C13">
        <w:rPr>
          <w:rFonts w:ascii="Times New Roman" w:hAnsi="Times New Roman"/>
          <w:szCs w:val="24"/>
        </w:rPr>
        <w:t xml:space="preserve">  The Commission should disregard Public Counsel’s assertions that its proposed treatment of REC revenues does not implicate concerns regarding the matching of NPC, as Public Counsel’s current position is directly at odds with its prior statements on the issue.</w:t>
      </w:r>
    </w:p>
    <w:p w:rsidR="00C57892" w:rsidRPr="00FC7C13" w:rsidRDefault="005055FC" w:rsidP="00C57892">
      <w:pPr>
        <w:pStyle w:val="ListParagraph"/>
        <w:widowControl w:val="0"/>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850348">
        <w:rPr>
          <w:rFonts w:ascii="Times New Roman" w:hAnsi="Times New Roman"/>
          <w:szCs w:val="24"/>
        </w:rPr>
        <w:t>Staff attempts to draw a comparison between the costs of Chehalis and RECs</w:t>
      </w:r>
      <w:r w:rsidR="00A66DE9">
        <w:rPr>
          <w:rFonts w:ascii="Times New Roman" w:hAnsi="Times New Roman"/>
          <w:szCs w:val="24"/>
        </w:rPr>
        <w:t>,</w:t>
      </w:r>
      <w:r w:rsidR="00850348">
        <w:rPr>
          <w:rStyle w:val="FootnoteReference"/>
          <w:rFonts w:ascii="Times New Roman" w:hAnsi="Times New Roman"/>
          <w:szCs w:val="24"/>
        </w:rPr>
        <w:footnoteReference w:id="114"/>
      </w:r>
      <w:r w:rsidR="00850348">
        <w:rPr>
          <w:rFonts w:ascii="Times New Roman" w:hAnsi="Times New Roman"/>
          <w:szCs w:val="24"/>
        </w:rPr>
        <w:t xml:space="preserve"> but the comparison ignores the fact that there are no legal prohibitions on the Company related to the over-allocation of Chehalis costs.  There are, however, legal prohibitions that preclude </w:t>
      </w:r>
      <w:r w:rsidR="00A66DE9">
        <w:rPr>
          <w:rFonts w:ascii="Times New Roman" w:hAnsi="Times New Roman"/>
          <w:szCs w:val="24"/>
        </w:rPr>
        <w:t xml:space="preserve">the Company from </w:t>
      </w:r>
      <w:r w:rsidR="00850348">
        <w:rPr>
          <w:rFonts w:ascii="Times New Roman" w:hAnsi="Times New Roman"/>
          <w:szCs w:val="24"/>
        </w:rPr>
        <w:t>over-</w:t>
      </w:r>
      <w:r w:rsidR="00A66DE9">
        <w:rPr>
          <w:rFonts w:ascii="Times New Roman" w:hAnsi="Times New Roman"/>
          <w:szCs w:val="24"/>
        </w:rPr>
        <w:t xml:space="preserve">allocating </w:t>
      </w:r>
      <w:proofErr w:type="spellStart"/>
      <w:r w:rsidR="00850348">
        <w:rPr>
          <w:rFonts w:ascii="Times New Roman" w:hAnsi="Times New Roman"/>
          <w:szCs w:val="24"/>
        </w:rPr>
        <w:t>RECs.</w:t>
      </w:r>
      <w:proofErr w:type="spellEnd"/>
      <w:r w:rsidR="00850348">
        <w:rPr>
          <w:rFonts w:ascii="Times New Roman" w:hAnsi="Times New Roman"/>
          <w:szCs w:val="24"/>
        </w:rPr>
        <w:t xml:space="preserve">  RECs can only be used once, for a single state.</w:t>
      </w:r>
      <w:r w:rsidR="00850348">
        <w:rPr>
          <w:rStyle w:val="FootnoteReference"/>
          <w:rFonts w:ascii="Times New Roman" w:hAnsi="Times New Roman"/>
          <w:szCs w:val="24"/>
        </w:rPr>
        <w:footnoteReference w:id="115"/>
      </w:r>
      <w:r w:rsidR="00850348">
        <w:rPr>
          <w:rFonts w:ascii="Times New Roman" w:hAnsi="Times New Roman"/>
          <w:szCs w:val="24"/>
        </w:rPr>
        <w:t xml:space="preserve"> </w:t>
      </w:r>
      <w:r w:rsidR="00866688">
        <w:rPr>
          <w:rFonts w:ascii="Times New Roman" w:hAnsi="Times New Roman"/>
          <w:szCs w:val="24"/>
        </w:rPr>
        <w:t xml:space="preserve"> </w:t>
      </w:r>
      <w:r w:rsidR="00850348">
        <w:rPr>
          <w:rFonts w:ascii="Times New Roman" w:hAnsi="Times New Roman"/>
          <w:szCs w:val="24"/>
        </w:rPr>
        <w:t>Due to the inconsistent inter-jurisdictional allocation methods, the Company does not have actual RECs to sell on Washington customers’ behalf.  This raises the same issues t</w:t>
      </w:r>
      <w:r w:rsidR="00FA1AFA">
        <w:rPr>
          <w:rFonts w:ascii="Times New Roman" w:hAnsi="Times New Roman"/>
          <w:szCs w:val="24"/>
        </w:rPr>
        <w:t>hat were raised in opposition to</w:t>
      </w:r>
      <w:r w:rsidR="00850348">
        <w:rPr>
          <w:rFonts w:ascii="Times New Roman" w:hAnsi="Times New Roman"/>
          <w:szCs w:val="24"/>
        </w:rPr>
        <w:t xml:space="preserve"> the Company’s p</w:t>
      </w:r>
      <w:r w:rsidR="0037204F">
        <w:rPr>
          <w:rFonts w:ascii="Times New Roman" w:hAnsi="Times New Roman"/>
          <w:szCs w:val="24"/>
        </w:rPr>
        <w:t>ower cost adjustment proposal—</w:t>
      </w:r>
      <w:r w:rsidR="00850348">
        <w:rPr>
          <w:rFonts w:ascii="Times New Roman" w:hAnsi="Times New Roman"/>
          <w:szCs w:val="24"/>
        </w:rPr>
        <w:t xml:space="preserve">if there are no actual sales that are recorded in the Company’s FERC accounts, what amount should be booked to a regulatory liability account?  A regulatory liability account cannot reflect actual REC sales for Washington customers, just like a power cost adjustment mechanism cannot </w:t>
      </w:r>
      <w:r w:rsidR="005C7147">
        <w:rPr>
          <w:rFonts w:ascii="Times New Roman" w:hAnsi="Times New Roman"/>
          <w:szCs w:val="24"/>
        </w:rPr>
        <w:t xml:space="preserve">reflect actual west control area </w:t>
      </w:r>
      <w:r w:rsidR="00FA1AFA">
        <w:rPr>
          <w:rFonts w:ascii="Times New Roman" w:hAnsi="Times New Roman"/>
          <w:szCs w:val="24"/>
        </w:rPr>
        <w:t>NPC</w:t>
      </w:r>
      <w:r w:rsidR="005C7147">
        <w:rPr>
          <w:rFonts w:ascii="Times New Roman" w:hAnsi="Times New Roman"/>
          <w:szCs w:val="24"/>
        </w:rPr>
        <w:t xml:space="preserve"> as allocated to Washington.  Some type of “pseudo” actual accounting is required.</w:t>
      </w:r>
      <w:r w:rsidR="00850348">
        <w:rPr>
          <w:rFonts w:ascii="Times New Roman" w:hAnsi="Times New Roman"/>
          <w:szCs w:val="24"/>
        </w:rPr>
        <w:t xml:space="preserve"> </w:t>
      </w:r>
      <w:r w:rsidR="008930EE" w:rsidRPr="00FC7C13">
        <w:rPr>
          <w:rFonts w:ascii="Times New Roman" w:hAnsi="Times New Roman"/>
          <w:szCs w:val="24"/>
        </w:rPr>
        <w:t xml:space="preserve"> </w:t>
      </w:r>
    </w:p>
    <w:p w:rsidR="00224C98" w:rsidRPr="00224C98" w:rsidRDefault="00224C98" w:rsidP="00D706C2">
      <w:pPr>
        <w:keepNext/>
        <w:keepLines/>
        <w:spacing w:after="240"/>
        <w:ind w:left="1440" w:hanging="720"/>
        <w:rPr>
          <w:rFonts w:ascii="Times New Roman" w:hAnsi="Times New Roman"/>
          <w:b/>
          <w:szCs w:val="24"/>
        </w:rPr>
      </w:pPr>
      <w:r>
        <w:rPr>
          <w:rFonts w:ascii="Times New Roman" w:hAnsi="Times New Roman"/>
          <w:b/>
          <w:szCs w:val="24"/>
        </w:rPr>
        <w:t>3.</w:t>
      </w:r>
      <w:r>
        <w:rPr>
          <w:rFonts w:ascii="Times New Roman" w:hAnsi="Times New Roman"/>
          <w:b/>
          <w:szCs w:val="24"/>
        </w:rPr>
        <w:tab/>
        <w:t xml:space="preserve">Public Counsel’s </w:t>
      </w:r>
      <w:r w:rsidR="00300C44">
        <w:rPr>
          <w:rFonts w:ascii="Times New Roman" w:hAnsi="Times New Roman"/>
          <w:b/>
          <w:szCs w:val="24"/>
        </w:rPr>
        <w:t xml:space="preserve">and ICNU’s </w:t>
      </w:r>
      <w:r>
        <w:rPr>
          <w:rFonts w:ascii="Times New Roman" w:hAnsi="Times New Roman"/>
          <w:b/>
          <w:szCs w:val="24"/>
        </w:rPr>
        <w:t xml:space="preserve">Adjustments are </w:t>
      </w:r>
      <w:r w:rsidR="00300C44">
        <w:rPr>
          <w:rFonts w:ascii="Times New Roman" w:hAnsi="Times New Roman"/>
          <w:b/>
          <w:szCs w:val="24"/>
        </w:rPr>
        <w:t>Based on Incorrect Calculations</w:t>
      </w:r>
      <w:r>
        <w:rPr>
          <w:rFonts w:ascii="Times New Roman" w:hAnsi="Times New Roman"/>
          <w:b/>
          <w:szCs w:val="24"/>
        </w:rPr>
        <w:t>.</w:t>
      </w:r>
    </w:p>
    <w:p w:rsidR="00300C44" w:rsidRPr="009D1941" w:rsidRDefault="00224C98"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300C44">
        <w:rPr>
          <w:rFonts w:ascii="Times New Roman" w:hAnsi="Times New Roman"/>
          <w:szCs w:val="24"/>
        </w:rPr>
        <w:t xml:space="preserve">Public Counsel and ICNU propose REC </w:t>
      </w:r>
      <w:r w:rsidR="00B53C20">
        <w:rPr>
          <w:rFonts w:ascii="Times New Roman" w:hAnsi="Times New Roman"/>
          <w:szCs w:val="24"/>
        </w:rPr>
        <w:t xml:space="preserve">revenue </w:t>
      </w:r>
      <w:r w:rsidR="00300C44">
        <w:rPr>
          <w:rFonts w:ascii="Times New Roman" w:hAnsi="Times New Roman"/>
          <w:szCs w:val="24"/>
        </w:rPr>
        <w:t>adjustments based on incorrect calculations.</w:t>
      </w:r>
      <w:r w:rsidR="00FC495A">
        <w:rPr>
          <w:rFonts w:ascii="Times New Roman" w:hAnsi="Times New Roman"/>
          <w:szCs w:val="24"/>
        </w:rPr>
        <w:t xml:space="preserve"> </w:t>
      </w:r>
      <w:r w:rsidR="00300C44" w:rsidRPr="009D1941">
        <w:rPr>
          <w:rFonts w:ascii="Times New Roman" w:hAnsi="Times New Roman"/>
          <w:szCs w:val="24"/>
        </w:rPr>
        <w:t xml:space="preserve">Public Counsel claims that the Company received $21.7 million in </w:t>
      </w:r>
      <w:r w:rsidR="00C81B80">
        <w:rPr>
          <w:rFonts w:ascii="Times New Roman" w:hAnsi="Times New Roman"/>
          <w:szCs w:val="24"/>
        </w:rPr>
        <w:t xml:space="preserve">Washington-allocated </w:t>
      </w:r>
      <w:r w:rsidR="00300C44" w:rsidRPr="009D1941">
        <w:rPr>
          <w:rFonts w:ascii="Times New Roman" w:hAnsi="Times New Roman"/>
          <w:szCs w:val="24"/>
        </w:rPr>
        <w:t>REC revenues in 2010.</w:t>
      </w:r>
      <w:r w:rsidR="00300C44" w:rsidRPr="009D1941">
        <w:rPr>
          <w:rStyle w:val="FootnoteReference"/>
          <w:rFonts w:ascii="Times New Roman" w:hAnsi="Times New Roman"/>
          <w:szCs w:val="24"/>
        </w:rPr>
        <w:footnoteReference w:id="116"/>
      </w:r>
      <w:r w:rsidR="00300C44" w:rsidRPr="009D1941">
        <w:rPr>
          <w:rFonts w:ascii="Times New Roman" w:hAnsi="Times New Roman"/>
          <w:szCs w:val="24"/>
        </w:rPr>
        <w:t xml:space="preserve">   Public Counsel appears to have </w:t>
      </w:r>
      <w:r w:rsidR="005C7147">
        <w:rPr>
          <w:rFonts w:ascii="Times New Roman" w:hAnsi="Times New Roman"/>
          <w:szCs w:val="24"/>
        </w:rPr>
        <w:t xml:space="preserve">erroneously </w:t>
      </w:r>
      <w:r w:rsidR="00300C44" w:rsidRPr="009D1941">
        <w:rPr>
          <w:rFonts w:ascii="Times New Roman" w:hAnsi="Times New Roman"/>
          <w:szCs w:val="24"/>
        </w:rPr>
        <w:t xml:space="preserve">calculated this figure </w:t>
      </w:r>
      <w:r w:rsidR="00C81B80">
        <w:rPr>
          <w:rFonts w:ascii="Times New Roman" w:hAnsi="Times New Roman"/>
          <w:szCs w:val="24"/>
        </w:rPr>
        <w:t>by applying Washington</w:t>
      </w:r>
      <w:r w:rsidR="00BC5749">
        <w:rPr>
          <w:rFonts w:ascii="Times New Roman" w:hAnsi="Times New Roman"/>
          <w:szCs w:val="24"/>
        </w:rPr>
        <w:t>’s</w:t>
      </w:r>
      <w:r w:rsidR="00C81B80">
        <w:rPr>
          <w:rFonts w:ascii="Times New Roman" w:hAnsi="Times New Roman"/>
          <w:szCs w:val="24"/>
        </w:rPr>
        <w:t xml:space="preserve"> </w:t>
      </w:r>
      <w:r w:rsidR="000A299A">
        <w:rPr>
          <w:rFonts w:ascii="Times New Roman" w:hAnsi="Times New Roman"/>
          <w:szCs w:val="24"/>
        </w:rPr>
        <w:t xml:space="preserve">west control area factor percentage to </w:t>
      </w:r>
      <w:r w:rsidR="00300C44" w:rsidRPr="009D1941">
        <w:rPr>
          <w:rFonts w:ascii="Times New Roman" w:hAnsi="Times New Roman"/>
          <w:szCs w:val="24"/>
        </w:rPr>
        <w:t>total Company</w:t>
      </w:r>
      <w:r w:rsidR="004A54EA">
        <w:rPr>
          <w:rFonts w:ascii="Times New Roman" w:hAnsi="Times New Roman"/>
          <w:szCs w:val="24"/>
        </w:rPr>
        <w:t xml:space="preserve"> </w:t>
      </w:r>
      <w:r w:rsidR="00B53C20">
        <w:rPr>
          <w:rFonts w:ascii="Times New Roman" w:hAnsi="Times New Roman"/>
          <w:szCs w:val="24"/>
        </w:rPr>
        <w:t>REC</w:t>
      </w:r>
      <w:r w:rsidR="00300C44" w:rsidRPr="009D1941">
        <w:rPr>
          <w:rFonts w:ascii="Times New Roman" w:hAnsi="Times New Roman"/>
          <w:szCs w:val="24"/>
        </w:rPr>
        <w:t xml:space="preserve"> revenues</w:t>
      </w:r>
      <w:r w:rsidR="00AC034E">
        <w:rPr>
          <w:rFonts w:ascii="Times New Roman" w:hAnsi="Times New Roman"/>
          <w:szCs w:val="24"/>
        </w:rPr>
        <w:t xml:space="preserve">, </w:t>
      </w:r>
      <w:r w:rsidR="000A299A">
        <w:rPr>
          <w:rFonts w:ascii="Times New Roman" w:hAnsi="Times New Roman"/>
          <w:szCs w:val="24"/>
        </w:rPr>
        <w:t>which include</w:t>
      </w:r>
      <w:r w:rsidR="00347EFA">
        <w:rPr>
          <w:rFonts w:ascii="Times New Roman" w:hAnsi="Times New Roman"/>
          <w:szCs w:val="24"/>
        </w:rPr>
        <w:t xml:space="preserve"> REC</w:t>
      </w:r>
      <w:r w:rsidR="000A299A">
        <w:rPr>
          <w:rFonts w:ascii="Times New Roman" w:hAnsi="Times New Roman"/>
          <w:szCs w:val="24"/>
        </w:rPr>
        <w:t xml:space="preserve"> revenues from the Company’s generating facilities located outside of the west control area</w:t>
      </w:r>
      <w:r w:rsidR="00181347">
        <w:rPr>
          <w:rFonts w:ascii="Times New Roman" w:hAnsi="Times New Roman"/>
          <w:szCs w:val="24"/>
        </w:rPr>
        <w:t>—</w:t>
      </w:r>
      <w:r w:rsidR="005C7147">
        <w:rPr>
          <w:rFonts w:ascii="Times New Roman" w:hAnsi="Times New Roman"/>
          <w:szCs w:val="24"/>
        </w:rPr>
        <w:t>revenues to which Washington customers are not entitled</w:t>
      </w:r>
      <w:r w:rsidR="000A299A">
        <w:rPr>
          <w:rFonts w:ascii="Times New Roman" w:hAnsi="Times New Roman"/>
          <w:szCs w:val="24"/>
        </w:rPr>
        <w:t>.</w:t>
      </w:r>
      <w:r w:rsidR="00300C44" w:rsidRPr="009D1941">
        <w:rPr>
          <w:rStyle w:val="FootnoteReference"/>
          <w:rFonts w:ascii="Times New Roman" w:hAnsi="Times New Roman"/>
          <w:szCs w:val="24"/>
        </w:rPr>
        <w:footnoteReference w:id="117"/>
      </w:r>
      <w:r w:rsidR="00300C44" w:rsidRPr="009D1941">
        <w:rPr>
          <w:rFonts w:ascii="Times New Roman" w:hAnsi="Times New Roman"/>
          <w:szCs w:val="24"/>
        </w:rPr>
        <w:t xml:space="preserve">  </w:t>
      </w:r>
      <w:r w:rsidR="0097679A">
        <w:rPr>
          <w:rFonts w:ascii="Times New Roman" w:hAnsi="Times New Roman"/>
          <w:szCs w:val="24"/>
        </w:rPr>
        <w:t>Mr. </w:t>
      </w:r>
      <w:r w:rsidR="00EE748F">
        <w:rPr>
          <w:rFonts w:ascii="Times New Roman" w:hAnsi="Times New Roman"/>
          <w:szCs w:val="24"/>
        </w:rPr>
        <w:t>Duvall testified that for the first five months of 2010, the Company received $3.47 million in REC revenue on a Washington basis, which on an annual basis would equal approximately $8.3 million.</w:t>
      </w:r>
      <w:r w:rsidR="004B0F6E">
        <w:rPr>
          <w:rStyle w:val="FootnoteReference"/>
          <w:rFonts w:ascii="Times New Roman" w:hAnsi="Times New Roman"/>
          <w:szCs w:val="24"/>
        </w:rPr>
        <w:footnoteReference w:id="118"/>
      </w:r>
      <w:r w:rsidR="00300C44">
        <w:rPr>
          <w:rFonts w:ascii="Times New Roman" w:hAnsi="Times New Roman"/>
          <w:szCs w:val="24"/>
        </w:rPr>
        <w:t xml:space="preserve">  </w:t>
      </w:r>
      <w:r w:rsidR="00300C44" w:rsidRPr="00B97FB2">
        <w:rPr>
          <w:rFonts w:ascii="Times New Roman" w:hAnsi="Times New Roman"/>
          <w:szCs w:val="24"/>
        </w:rPr>
        <w:t xml:space="preserve">Moreover, this amount does not reflect the retirement of RECs </w:t>
      </w:r>
      <w:r w:rsidR="00B97FB2">
        <w:rPr>
          <w:rFonts w:ascii="Times New Roman" w:hAnsi="Times New Roman"/>
          <w:szCs w:val="24"/>
        </w:rPr>
        <w:t>for purpose</w:t>
      </w:r>
      <w:r w:rsidR="00F64F0C">
        <w:rPr>
          <w:rFonts w:ascii="Times New Roman" w:hAnsi="Times New Roman"/>
          <w:szCs w:val="24"/>
        </w:rPr>
        <w:t xml:space="preserve">s of meeting the Washington RPS, a requirement </w:t>
      </w:r>
      <w:r w:rsidR="00FC7C13">
        <w:rPr>
          <w:rFonts w:ascii="Times New Roman" w:hAnsi="Times New Roman"/>
          <w:szCs w:val="24"/>
        </w:rPr>
        <w:t xml:space="preserve">applicable to the 2011 </w:t>
      </w:r>
      <w:r w:rsidR="00F64F0C">
        <w:rPr>
          <w:rFonts w:ascii="Times New Roman" w:hAnsi="Times New Roman"/>
          <w:szCs w:val="24"/>
        </w:rPr>
        <w:t>rate effective period</w:t>
      </w:r>
      <w:r w:rsidR="00300C44" w:rsidRPr="00B97FB2">
        <w:rPr>
          <w:rFonts w:ascii="Times New Roman" w:hAnsi="Times New Roman"/>
          <w:szCs w:val="24"/>
        </w:rPr>
        <w:t>.</w:t>
      </w:r>
      <w:r w:rsidR="00E8551F" w:rsidRPr="00B97FB2">
        <w:rPr>
          <w:rStyle w:val="FootnoteReference"/>
          <w:rFonts w:ascii="Times New Roman" w:hAnsi="Times New Roman"/>
          <w:szCs w:val="24"/>
        </w:rPr>
        <w:footnoteReference w:id="119"/>
      </w:r>
    </w:p>
    <w:p w:rsidR="00DA6D43" w:rsidRPr="00B15A07" w:rsidRDefault="00AA749C" w:rsidP="00D706C2">
      <w:pPr>
        <w:pStyle w:val="ListParagraph"/>
        <w:numPr>
          <w:ilvl w:val="0"/>
          <w:numId w:val="12"/>
        </w:numPr>
        <w:tabs>
          <w:tab w:val="left" w:pos="720"/>
        </w:tabs>
        <w:spacing w:line="480" w:lineRule="auto"/>
        <w:ind w:left="0"/>
        <w:rPr>
          <w:rFonts w:ascii="Times New Roman" w:hAnsi="Times New Roman"/>
          <w:szCs w:val="24"/>
        </w:rPr>
      </w:pPr>
      <w:r w:rsidRPr="00AA749C">
        <w:rPr>
          <w:rFonts w:ascii="Times New Roman" w:hAnsi="Times New Roman"/>
          <w:szCs w:val="24"/>
        </w:rPr>
        <w:tab/>
        <w:t>ICNU claims that its adjustment of $10 million is intended to reflect REC revenues “actually earn[</w:t>
      </w:r>
      <w:proofErr w:type="spellStart"/>
      <w:r w:rsidRPr="00AA749C">
        <w:rPr>
          <w:rFonts w:ascii="Times New Roman" w:hAnsi="Times New Roman"/>
          <w:szCs w:val="24"/>
        </w:rPr>
        <w:t>ed</w:t>
      </w:r>
      <w:proofErr w:type="spellEnd"/>
      <w:r w:rsidRPr="00AA749C">
        <w:rPr>
          <w:rFonts w:ascii="Times New Roman" w:hAnsi="Times New Roman"/>
          <w:szCs w:val="24"/>
        </w:rPr>
        <w:t>]” by the Company in 2010.</w:t>
      </w:r>
      <w:r>
        <w:rPr>
          <w:rStyle w:val="FootnoteReference"/>
          <w:rFonts w:ascii="Times New Roman" w:hAnsi="Times New Roman"/>
          <w:szCs w:val="24"/>
        </w:rPr>
        <w:footnoteReference w:id="120"/>
      </w:r>
      <w:r w:rsidRPr="00AA749C">
        <w:rPr>
          <w:rFonts w:ascii="Times New Roman" w:hAnsi="Times New Roman"/>
          <w:szCs w:val="24"/>
        </w:rPr>
        <w:t xml:space="preserve">  </w:t>
      </w:r>
      <w:r>
        <w:rPr>
          <w:rFonts w:ascii="Times New Roman" w:hAnsi="Times New Roman"/>
          <w:szCs w:val="24"/>
        </w:rPr>
        <w:t xml:space="preserve">ICNU’s </w:t>
      </w:r>
      <w:r w:rsidR="00EE748F">
        <w:rPr>
          <w:rFonts w:ascii="Times New Roman" w:hAnsi="Times New Roman"/>
          <w:szCs w:val="24"/>
        </w:rPr>
        <w:t xml:space="preserve">figure </w:t>
      </w:r>
      <w:r>
        <w:rPr>
          <w:rFonts w:ascii="Times New Roman" w:hAnsi="Times New Roman"/>
          <w:szCs w:val="24"/>
        </w:rPr>
        <w:t>was calculated incorrectly based o</w:t>
      </w:r>
      <w:r w:rsidR="00E532AC">
        <w:rPr>
          <w:rFonts w:ascii="Times New Roman" w:hAnsi="Times New Roman"/>
          <w:szCs w:val="24"/>
        </w:rPr>
        <w:t>n December 2009 through May 2010</w:t>
      </w:r>
      <w:r>
        <w:rPr>
          <w:rFonts w:ascii="Times New Roman" w:hAnsi="Times New Roman"/>
          <w:szCs w:val="24"/>
        </w:rPr>
        <w:t xml:space="preserve"> data and should be disregarded.</w:t>
      </w:r>
      <w:r>
        <w:rPr>
          <w:rStyle w:val="FootnoteReference"/>
          <w:rFonts w:ascii="Times New Roman" w:hAnsi="Times New Roman"/>
          <w:szCs w:val="24"/>
        </w:rPr>
        <w:footnoteReference w:id="121"/>
      </w:r>
      <w:r w:rsidR="004B0F6E">
        <w:rPr>
          <w:rFonts w:ascii="Times New Roman" w:hAnsi="Times New Roman"/>
          <w:szCs w:val="24"/>
        </w:rPr>
        <w:t xml:space="preserve">  ICNU’s calculation also does not reflect </w:t>
      </w:r>
      <w:r w:rsidR="00DA6D43" w:rsidRPr="00B15A07">
        <w:rPr>
          <w:rFonts w:ascii="Times New Roman" w:hAnsi="Times New Roman"/>
          <w:szCs w:val="24"/>
        </w:rPr>
        <w:t xml:space="preserve">the need to retire RECs during the </w:t>
      </w:r>
      <w:r w:rsidR="00F64F0C">
        <w:rPr>
          <w:rFonts w:ascii="Times New Roman" w:hAnsi="Times New Roman"/>
          <w:szCs w:val="24"/>
        </w:rPr>
        <w:t>rate effective period</w:t>
      </w:r>
      <w:r w:rsidR="00DA6D43" w:rsidRPr="00B15A07">
        <w:rPr>
          <w:rFonts w:ascii="Times New Roman" w:hAnsi="Times New Roman"/>
          <w:szCs w:val="24"/>
        </w:rPr>
        <w:t xml:space="preserve"> under </w:t>
      </w:r>
      <w:r w:rsidR="00F64F0C">
        <w:rPr>
          <w:rFonts w:ascii="Times New Roman" w:hAnsi="Times New Roman"/>
          <w:szCs w:val="24"/>
        </w:rPr>
        <w:t xml:space="preserve">the </w:t>
      </w:r>
      <w:r w:rsidR="00DA6D43" w:rsidRPr="00B15A07">
        <w:rPr>
          <w:rFonts w:ascii="Times New Roman" w:hAnsi="Times New Roman"/>
          <w:szCs w:val="24"/>
        </w:rPr>
        <w:t xml:space="preserve">Washington </w:t>
      </w:r>
      <w:r w:rsidR="00F64F0C">
        <w:rPr>
          <w:rFonts w:ascii="Times New Roman" w:hAnsi="Times New Roman"/>
          <w:szCs w:val="24"/>
        </w:rPr>
        <w:t>RPS</w:t>
      </w:r>
      <w:r w:rsidR="004B0F6E">
        <w:rPr>
          <w:rFonts w:ascii="Times New Roman" w:hAnsi="Times New Roman"/>
          <w:szCs w:val="24"/>
        </w:rPr>
        <w:t>.</w:t>
      </w:r>
    </w:p>
    <w:p w:rsidR="00C57892" w:rsidRPr="00224C98" w:rsidRDefault="00C57892" w:rsidP="00D706C2">
      <w:pPr>
        <w:keepNext/>
        <w:keepLines/>
        <w:spacing w:after="240"/>
        <w:ind w:left="1440" w:hanging="720"/>
        <w:rPr>
          <w:rFonts w:ascii="Times New Roman" w:hAnsi="Times New Roman"/>
          <w:b/>
          <w:szCs w:val="24"/>
        </w:rPr>
      </w:pPr>
      <w:r>
        <w:rPr>
          <w:rFonts w:ascii="Times New Roman" w:hAnsi="Times New Roman"/>
          <w:b/>
          <w:szCs w:val="24"/>
        </w:rPr>
        <w:t>4.</w:t>
      </w:r>
      <w:r>
        <w:rPr>
          <w:rFonts w:ascii="Times New Roman" w:hAnsi="Times New Roman"/>
          <w:b/>
          <w:szCs w:val="24"/>
        </w:rPr>
        <w:tab/>
      </w:r>
      <w:r w:rsidR="00712621">
        <w:rPr>
          <w:rFonts w:ascii="Times New Roman" w:hAnsi="Times New Roman"/>
          <w:b/>
          <w:szCs w:val="24"/>
        </w:rPr>
        <w:t>Staff’s Approach Will Result in Double-Counting REC Revenues.</w:t>
      </w:r>
    </w:p>
    <w:p w:rsidR="00F87601" w:rsidRDefault="00712621"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0F5101">
        <w:rPr>
          <w:rFonts w:ascii="Times New Roman" w:hAnsi="Times New Roman"/>
          <w:szCs w:val="24"/>
        </w:rPr>
        <w:t xml:space="preserve">Staff claims that PacifiCorp’s concern </w:t>
      </w:r>
      <w:r w:rsidR="00F64F0C">
        <w:rPr>
          <w:rFonts w:ascii="Times New Roman" w:hAnsi="Times New Roman"/>
          <w:szCs w:val="24"/>
        </w:rPr>
        <w:t xml:space="preserve">about </w:t>
      </w:r>
      <w:r w:rsidR="000F5101">
        <w:rPr>
          <w:rFonts w:ascii="Times New Roman" w:hAnsi="Times New Roman"/>
          <w:szCs w:val="24"/>
        </w:rPr>
        <w:t>double-counting REC revenues is “premature.”</w:t>
      </w:r>
      <w:r w:rsidR="000F5101">
        <w:rPr>
          <w:rStyle w:val="FootnoteReference"/>
          <w:rFonts w:ascii="Times New Roman" w:hAnsi="Times New Roman"/>
          <w:szCs w:val="24"/>
        </w:rPr>
        <w:footnoteReference w:id="122"/>
      </w:r>
      <w:r w:rsidR="00F64F0C">
        <w:rPr>
          <w:rFonts w:ascii="Times New Roman" w:hAnsi="Times New Roman"/>
          <w:szCs w:val="24"/>
        </w:rPr>
        <w:t xml:space="preserve"> </w:t>
      </w:r>
      <w:r w:rsidR="000F5101">
        <w:rPr>
          <w:rFonts w:ascii="Times New Roman" w:hAnsi="Times New Roman"/>
          <w:szCs w:val="24"/>
        </w:rPr>
        <w:t>As presented</w:t>
      </w:r>
      <w:r w:rsidR="00216488">
        <w:rPr>
          <w:rFonts w:ascii="Times New Roman" w:hAnsi="Times New Roman"/>
          <w:szCs w:val="24"/>
        </w:rPr>
        <w:t xml:space="preserve">, Staff’s proposal will </w:t>
      </w:r>
      <w:r w:rsidR="000F5101">
        <w:rPr>
          <w:rFonts w:ascii="Times New Roman" w:hAnsi="Times New Roman"/>
          <w:szCs w:val="24"/>
        </w:rPr>
        <w:t>certainly result in a double count of REC revenues</w:t>
      </w:r>
      <w:r w:rsidR="0007513A">
        <w:rPr>
          <w:rFonts w:ascii="Times New Roman" w:hAnsi="Times New Roman"/>
          <w:szCs w:val="24"/>
        </w:rPr>
        <w:t>,</w:t>
      </w:r>
      <w:r w:rsidR="00216488">
        <w:rPr>
          <w:rFonts w:ascii="Times New Roman" w:hAnsi="Times New Roman"/>
          <w:szCs w:val="24"/>
        </w:rPr>
        <w:t xml:space="preserve"> because there is no offset for the amount of REC revenues</w:t>
      </w:r>
      <w:r w:rsidR="002112E2">
        <w:rPr>
          <w:rFonts w:ascii="Times New Roman" w:hAnsi="Times New Roman"/>
          <w:szCs w:val="24"/>
        </w:rPr>
        <w:t xml:space="preserve"> that will be</w:t>
      </w:r>
      <w:r w:rsidR="00216488">
        <w:rPr>
          <w:rFonts w:ascii="Times New Roman" w:hAnsi="Times New Roman"/>
          <w:szCs w:val="24"/>
        </w:rPr>
        <w:t xml:space="preserve"> included in base rates</w:t>
      </w:r>
      <w:r w:rsidR="00C716F3">
        <w:rPr>
          <w:rFonts w:ascii="Times New Roman" w:hAnsi="Times New Roman"/>
          <w:szCs w:val="24"/>
        </w:rPr>
        <w:t xml:space="preserve">.  Moreover, </w:t>
      </w:r>
      <w:r w:rsidR="00F87601">
        <w:rPr>
          <w:rFonts w:ascii="Times New Roman" w:hAnsi="Times New Roman"/>
          <w:szCs w:val="24"/>
        </w:rPr>
        <w:t xml:space="preserve">such an offset would need to be calculated based on REC revenues reflected in base rates beginning in the rate effective period, or the $4.8 million proposed by the Company.  Calculating the offset based on </w:t>
      </w:r>
      <w:r w:rsidR="0007513A">
        <w:rPr>
          <w:rFonts w:ascii="Times New Roman" w:hAnsi="Times New Roman"/>
          <w:szCs w:val="24"/>
        </w:rPr>
        <w:t xml:space="preserve">the level of </w:t>
      </w:r>
      <w:r w:rsidR="00F87601">
        <w:rPr>
          <w:rFonts w:ascii="Times New Roman" w:hAnsi="Times New Roman"/>
          <w:szCs w:val="24"/>
        </w:rPr>
        <w:t xml:space="preserve">REC revenues </w:t>
      </w:r>
      <w:r w:rsidR="0007513A">
        <w:rPr>
          <w:rFonts w:ascii="Times New Roman" w:hAnsi="Times New Roman"/>
          <w:szCs w:val="24"/>
        </w:rPr>
        <w:t xml:space="preserve">included in past rates </w:t>
      </w:r>
      <w:r w:rsidR="00F87601">
        <w:rPr>
          <w:rFonts w:ascii="Times New Roman" w:hAnsi="Times New Roman"/>
          <w:szCs w:val="24"/>
        </w:rPr>
        <w:t>would violate the rule against retroactive ratemaking.</w:t>
      </w:r>
    </w:p>
    <w:p w:rsidR="007F7623" w:rsidRPr="003E04C7" w:rsidRDefault="007F7623" w:rsidP="00D706C2">
      <w:pPr>
        <w:keepNext/>
        <w:keepLines/>
        <w:spacing w:after="240"/>
        <w:ind w:left="1440" w:hanging="720"/>
        <w:rPr>
          <w:rFonts w:ascii="Times New Roman" w:hAnsi="Times New Roman"/>
          <w:b/>
          <w:szCs w:val="24"/>
        </w:rPr>
      </w:pPr>
      <w:r w:rsidRPr="002112E2">
        <w:rPr>
          <w:rFonts w:ascii="Times New Roman" w:hAnsi="Times New Roman"/>
          <w:b/>
          <w:szCs w:val="24"/>
        </w:rPr>
        <w:t>5.</w:t>
      </w:r>
      <w:r w:rsidRPr="002112E2">
        <w:rPr>
          <w:rFonts w:ascii="Times New Roman" w:hAnsi="Times New Roman"/>
          <w:b/>
          <w:szCs w:val="24"/>
        </w:rPr>
        <w:tab/>
      </w:r>
      <w:r w:rsidRPr="003E04C7">
        <w:rPr>
          <w:rFonts w:ascii="Times New Roman" w:hAnsi="Times New Roman"/>
          <w:b/>
          <w:szCs w:val="24"/>
        </w:rPr>
        <w:t xml:space="preserve">Public Counsel’s and ICNU’s Claim that the Company </w:t>
      </w:r>
      <w:r w:rsidR="00E8551F" w:rsidRPr="003E04C7">
        <w:rPr>
          <w:rFonts w:ascii="Times New Roman" w:hAnsi="Times New Roman"/>
          <w:b/>
          <w:szCs w:val="24"/>
        </w:rPr>
        <w:t>Should Have Included REC Revenues in the Initial Filing is Unreasonable</w:t>
      </w:r>
      <w:r w:rsidR="00F64F0C">
        <w:rPr>
          <w:rFonts w:ascii="Times New Roman" w:hAnsi="Times New Roman"/>
          <w:b/>
          <w:szCs w:val="24"/>
        </w:rPr>
        <w:t xml:space="preserve"> and Irrelevant</w:t>
      </w:r>
      <w:r w:rsidRPr="003E04C7">
        <w:rPr>
          <w:rFonts w:ascii="Times New Roman" w:hAnsi="Times New Roman"/>
          <w:b/>
          <w:szCs w:val="24"/>
        </w:rPr>
        <w:t>.</w:t>
      </w:r>
    </w:p>
    <w:p w:rsidR="007F7623" w:rsidRPr="00127051" w:rsidRDefault="00E8551F"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7F7623" w:rsidRPr="00127051">
        <w:rPr>
          <w:rFonts w:ascii="Times New Roman" w:hAnsi="Times New Roman"/>
          <w:szCs w:val="24"/>
        </w:rPr>
        <w:t xml:space="preserve">Public </w:t>
      </w:r>
      <w:r w:rsidR="007F7623">
        <w:rPr>
          <w:rFonts w:ascii="Times New Roman" w:hAnsi="Times New Roman"/>
          <w:szCs w:val="24"/>
        </w:rPr>
        <w:t>Counsel claims that the Company should have reflected REC revenue</w:t>
      </w:r>
      <w:r w:rsidR="00B53C20">
        <w:rPr>
          <w:rFonts w:ascii="Times New Roman" w:hAnsi="Times New Roman"/>
          <w:szCs w:val="24"/>
        </w:rPr>
        <w:t>s</w:t>
      </w:r>
      <w:r w:rsidR="007F7623">
        <w:rPr>
          <w:rFonts w:ascii="Times New Roman" w:hAnsi="Times New Roman"/>
          <w:szCs w:val="24"/>
        </w:rPr>
        <w:t xml:space="preserve"> in its initial case because PacifiCorp knew that legislative changes to Washington’s RPS that would allow longer-term banking would not occur prior to the filing.</w:t>
      </w:r>
      <w:r w:rsidR="007F7623">
        <w:rPr>
          <w:rStyle w:val="FootnoteReference"/>
          <w:rFonts w:ascii="Times New Roman" w:hAnsi="Times New Roman"/>
          <w:szCs w:val="24"/>
        </w:rPr>
        <w:footnoteReference w:id="123"/>
      </w:r>
      <w:r w:rsidR="007F7623">
        <w:rPr>
          <w:rFonts w:ascii="Times New Roman" w:hAnsi="Times New Roman"/>
          <w:szCs w:val="24"/>
        </w:rPr>
        <w:t xml:space="preserve">  As </w:t>
      </w:r>
      <w:r w:rsidR="0097679A">
        <w:rPr>
          <w:rFonts w:ascii="Times New Roman" w:hAnsi="Times New Roman"/>
          <w:szCs w:val="24"/>
        </w:rPr>
        <w:t>Mr. </w:t>
      </w:r>
      <w:r w:rsidR="007F7623">
        <w:rPr>
          <w:rFonts w:ascii="Times New Roman" w:hAnsi="Times New Roman"/>
          <w:szCs w:val="24"/>
        </w:rPr>
        <w:t xml:space="preserve">Duvall testified, the Company’s actual practice </w:t>
      </w:r>
      <w:r w:rsidR="00347EFA">
        <w:rPr>
          <w:rFonts w:ascii="Times New Roman" w:hAnsi="Times New Roman"/>
          <w:szCs w:val="24"/>
        </w:rPr>
        <w:t>has been</w:t>
      </w:r>
      <w:r w:rsidR="007F7623">
        <w:rPr>
          <w:rFonts w:ascii="Times New Roman" w:hAnsi="Times New Roman"/>
          <w:szCs w:val="24"/>
        </w:rPr>
        <w:t xml:space="preserve"> to bank all Washington-allocated </w:t>
      </w:r>
      <w:proofErr w:type="spellStart"/>
      <w:r w:rsidR="007F7623">
        <w:rPr>
          <w:rFonts w:ascii="Times New Roman" w:hAnsi="Times New Roman"/>
          <w:szCs w:val="24"/>
        </w:rPr>
        <w:t>RECs.</w:t>
      </w:r>
      <w:proofErr w:type="spellEnd"/>
      <w:r w:rsidR="007F7623">
        <w:rPr>
          <w:rStyle w:val="FootnoteReference"/>
          <w:rFonts w:ascii="Times New Roman" w:hAnsi="Times New Roman"/>
          <w:szCs w:val="24"/>
        </w:rPr>
        <w:footnoteReference w:id="124"/>
      </w:r>
      <w:r w:rsidR="007F7623">
        <w:rPr>
          <w:rFonts w:ascii="Times New Roman" w:hAnsi="Times New Roman"/>
          <w:szCs w:val="24"/>
        </w:rPr>
        <w:t xml:space="preserve">  Public Counsel correctly notes that the Company filed this case less than a month after the end of the April 12, 2010 Special Session.</w:t>
      </w:r>
      <w:r w:rsidR="007F7623">
        <w:rPr>
          <w:rStyle w:val="FootnoteReference"/>
          <w:rFonts w:ascii="Times New Roman" w:hAnsi="Times New Roman"/>
          <w:szCs w:val="24"/>
        </w:rPr>
        <w:footnoteReference w:id="125"/>
      </w:r>
      <w:r w:rsidR="007F7623">
        <w:rPr>
          <w:rFonts w:ascii="Times New Roman" w:hAnsi="Times New Roman"/>
          <w:szCs w:val="24"/>
        </w:rPr>
        <w:t xml:space="preserve">  Given that the Company’s practice </w:t>
      </w:r>
      <w:r w:rsidR="00347EFA">
        <w:rPr>
          <w:rFonts w:ascii="Times New Roman" w:hAnsi="Times New Roman"/>
          <w:szCs w:val="24"/>
        </w:rPr>
        <w:t>is</w:t>
      </w:r>
      <w:r w:rsidR="007F7623">
        <w:rPr>
          <w:rFonts w:ascii="Times New Roman" w:hAnsi="Times New Roman"/>
          <w:szCs w:val="24"/>
        </w:rPr>
        <w:t xml:space="preserve"> to bank all </w:t>
      </w:r>
      <w:r w:rsidR="00347EFA">
        <w:rPr>
          <w:rFonts w:ascii="Times New Roman" w:hAnsi="Times New Roman"/>
          <w:szCs w:val="24"/>
        </w:rPr>
        <w:t xml:space="preserve">Washington-allocated </w:t>
      </w:r>
      <w:r w:rsidR="007F7623">
        <w:rPr>
          <w:rFonts w:ascii="Times New Roman" w:hAnsi="Times New Roman"/>
          <w:szCs w:val="24"/>
        </w:rPr>
        <w:t>RECs, the rapidity of changes in the area of RECs</w:t>
      </w:r>
      <w:r w:rsidR="00E44D6E">
        <w:rPr>
          <w:rFonts w:ascii="Times New Roman" w:hAnsi="Times New Roman"/>
          <w:szCs w:val="24"/>
        </w:rPr>
        <w:t>,</w:t>
      </w:r>
      <w:r w:rsidR="007F7623">
        <w:rPr>
          <w:rFonts w:ascii="Times New Roman" w:hAnsi="Times New Roman"/>
          <w:szCs w:val="24"/>
        </w:rPr>
        <w:t xml:space="preserve"> and the lead time required to prepare a general rate case, Public Counsel’s </w:t>
      </w:r>
      <w:r>
        <w:rPr>
          <w:rFonts w:ascii="Times New Roman" w:hAnsi="Times New Roman"/>
          <w:szCs w:val="24"/>
        </w:rPr>
        <w:t xml:space="preserve">and ICNU’s </w:t>
      </w:r>
      <w:r w:rsidR="007F7623">
        <w:rPr>
          <w:rFonts w:ascii="Times New Roman" w:hAnsi="Times New Roman"/>
          <w:szCs w:val="24"/>
        </w:rPr>
        <w:t>position that the Company should have changed its policy on banking RECs in the initial filing is unreasonable</w:t>
      </w:r>
      <w:r w:rsidR="005C7147">
        <w:rPr>
          <w:rFonts w:ascii="Times New Roman" w:hAnsi="Times New Roman"/>
          <w:szCs w:val="24"/>
        </w:rPr>
        <w:t xml:space="preserve"> and irrelevant</w:t>
      </w:r>
      <w:r w:rsidR="007F7623">
        <w:rPr>
          <w:rFonts w:ascii="Times New Roman" w:hAnsi="Times New Roman"/>
          <w:szCs w:val="24"/>
        </w:rPr>
        <w:t>.</w:t>
      </w:r>
    </w:p>
    <w:p w:rsidR="00973298" w:rsidRPr="009D1941" w:rsidRDefault="00AC625D" w:rsidP="00D706C2">
      <w:pPr>
        <w:pStyle w:val="ListParagraph"/>
        <w:keepNext/>
        <w:spacing w:line="480" w:lineRule="auto"/>
        <w:ind w:left="0"/>
        <w:jc w:val="center"/>
        <w:rPr>
          <w:rFonts w:ascii="Times New Roman" w:hAnsi="Times New Roman"/>
          <w:b/>
          <w:szCs w:val="24"/>
        </w:rPr>
      </w:pPr>
      <w:r w:rsidRPr="009D1941">
        <w:rPr>
          <w:rFonts w:ascii="Times New Roman" w:hAnsi="Times New Roman"/>
          <w:b/>
          <w:szCs w:val="24"/>
        </w:rPr>
        <w:t>V.</w:t>
      </w:r>
      <w:r w:rsidRPr="009D1941">
        <w:rPr>
          <w:rFonts w:ascii="Times New Roman" w:hAnsi="Times New Roman"/>
          <w:b/>
          <w:szCs w:val="24"/>
        </w:rPr>
        <w:tab/>
        <w:t>NET POWER COST ISSUES</w:t>
      </w:r>
    </w:p>
    <w:p w:rsidR="00973298" w:rsidRPr="009D1941" w:rsidRDefault="00AC625D" w:rsidP="00D706C2">
      <w:pPr>
        <w:keepNext/>
        <w:spacing w:after="240"/>
        <w:ind w:left="720" w:hanging="720"/>
        <w:rPr>
          <w:rFonts w:ascii="Times New Roman" w:hAnsi="Times New Roman"/>
          <w:b/>
          <w:szCs w:val="24"/>
        </w:rPr>
      </w:pPr>
      <w:r w:rsidRPr="009D1941">
        <w:rPr>
          <w:rFonts w:ascii="Times New Roman" w:hAnsi="Times New Roman"/>
          <w:b/>
          <w:szCs w:val="24"/>
        </w:rPr>
        <w:t>A.</w:t>
      </w:r>
      <w:r w:rsidRPr="009D1941">
        <w:rPr>
          <w:rFonts w:ascii="Times New Roman" w:hAnsi="Times New Roman"/>
          <w:b/>
          <w:szCs w:val="24"/>
        </w:rPr>
        <w:tab/>
      </w:r>
      <w:r w:rsidR="009D3B99">
        <w:rPr>
          <w:rFonts w:ascii="Times New Roman" w:hAnsi="Times New Roman"/>
          <w:b/>
          <w:szCs w:val="24"/>
        </w:rPr>
        <w:t>Staff</w:t>
      </w:r>
      <w:r w:rsidR="00FA1AFA">
        <w:rPr>
          <w:rFonts w:ascii="Times New Roman" w:hAnsi="Times New Roman"/>
          <w:b/>
          <w:szCs w:val="24"/>
        </w:rPr>
        <w:t>’s</w:t>
      </w:r>
      <w:r w:rsidR="009D3B99">
        <w:rPr>
          <w:rFonts w:ascii="Times New Roman" w:hAnsi="Times New Roman"/>
          <w:b/>
          <w:szCs w:val="24"/>
        </w:rPr>
        <w:t xml:space="preserve"> and ICNU’s Adjustments for Arbitrage Sales Margins are Unnecessary.</w:t>
      </w:r>
    </w:p>
    <w:p w:rsidR="00FA41DD" w:rsidRPr="00DA23BE" w:rsidRDefault="00AC625D" w:rsidP="00D706C2">
      <w:pPr>
        <w:pStyle w:val="ListParagraph"/>
        <w:numPr>
          <w:ilvl w:val="0"/>
          <w:numId w:val="12"/>
        </w:numPr>
        <w:tabs>
          <w:tab w:val="left" w:pos="720"/>
        </w:tabs>
        <w:spacing w:line="480" w:lineRule="auto"/>
        <w:ind w:left="0"/>
        <w:rPr>
          <w:rFonts w:ascii="Times New Roman" w:hAnsi="Times New Roman"/>
          <w:szCs w:val="24"/>
        </w:rPr>
      </w:pPr>
      <w:r w:rsidRPr="00DA23BE">
        <w:rPr>
          <w:rFonts w:ascii="Times New Roman" w:hAnsi="Times New Roman"/>
          <w:szCs w:val="24"/>
        </w:rPr>
        <w:tab/>
      </w:r>
      <w:r w:rsidR="00B6389A" w:rsidRPr="00DA23BE">
        <w:rPr>
          <w:rFonts w:ascii="Times New Roman" w:hAnsi="Times New Roman"/>
          <w:szCs w:val="24"/>
        </w:rPr>
        <w:t>ICNU relies heavily on the Oregon Commission’s order adjusting NPC to include arbitrage margins for support of its adjustment.</w:t>
      </w:r>
      <w:r w:rsidR="00B6389A">
        <w:rPr>
          <w:rStyle w:val="FootnoteReference"/>
          <w:rFonts w:ascii="Times New Roman" w:hAnsi="Times New Roman"/>
          <w:szCs w:val="24"/>
        </w:rPr>
        <w:footnoteReference w:id="126"/>
      </w:r>
      <w:r w:rsidR="00B6389A" w:rsidRPr="00DA23BE">
        <w:rPr>
          <w:rFonts w:ascii="Times New Roman" w:hAnsi="Times New Roman"/>
          <w:szCs w:val="24"/>
        </w:rPr>
        <w:t xml:space="preserve">  ICNU’s reliance is misplaced, because the Oregon adjustment also includes short-term trading revenues.</w:t>
      </w:r>
      <w:r w:rsidR="00B6389A">
        <w:rPr>
          <w:rStyle w:val="FootnoteReference"/>
          <w:rFonts w:ascii="Times New Roman" w:hAnsi="Times New Roman"/>
          <w:szCs w:val="24"/>
        </w:rPr>
        <w:footnoteReference w:id="127"/>
      </w:r>
      <w:r w:rsidR="00B6389A" w:rsidRPr="00DA23BE">
        <w:rPr>
          <w:rFonts w:ascii="Times New Roman" w:hAnsi="Times New Roman"/>
          <w:szCs w:val="24"/>
        </w:rPr>
        <w:t xml:space="preserve">  Staff and ICNU have provided no basis for distinguishing between arbitrage margins and short-term trading margins. </w:t>
      </w:r>
      <w:r w:rsidR="00F64F0C" w:rsidRPr="00DA23BE">
        <w:rPr>
          <w:rFonts w:ascii="Times New Roman" w:hAnsi="Times New Roman"/>
          <w:szCs w:val="24"/>
        </w:rPr>
        <w:t xml:space="preserve"> Using the most recent annual data (instead of four years of </w:t>
      </w:r>
      <w:r w:rsidR="00A3120E" w:rsidRPr="00DA23BE">
        <w:rPr>
          <w:rFonts w:ascii="Times New Roman" w:hAnsi="Times New Roman"/>
          <w:szCs w:val="24"/>
        </w:rPr>
        <w:t>historic</w:t>
      </w:r>
      <w:r w:rsidR="00F64F0C" w:rsidRPr="00DA23BE">
        <w:rPr>
          <w:rFonts w:ascii="Times New Roman" w:hAnsi="Times New Roman"/>
          <w:szCs w:val="24"/>
        </w:rPr>
        <w:t xml:space="preserve"> data)</w:t>
      </w:r>
      <w:r w:rsidR="00B6389A" w:rsidRPr="00DA23BE">
        <w:rPr>
          <w:rFonts w:ascii="Times New Roman" w:hAnsi="Times New Roman"/>
          <w:szCs w:val="24"/>
        </w:rPr>
        <w:t xml:space="preserve"> </w:t>
      </w:r>
      <w:r w:rsidR="00F64F0C" w:rsidRPr="00DA23BE">
        <w:rPr>
          <w:rFonts w:ascii="Times New Roman" w:hAnsi="Times New Roman"/>
          <w:szCs w:val="24"/>
        </w:rPr>
        <w:t xml:space="preserve">and including short-term trading margins effectively zeros out this adjustment, demonstrating that it is unwarranted.  </w:t>
      </w:r>
      <w:r w:rsidR="00B6389A" w:rsidRPr="00DA23BE">
        <w:rPr>
          <w:rFonts w:ascii="Times New Roman" w:hAnsi="Times New Roman"/>
          <w:szCs w:val="24"/>
        </w:rPr>
        <w:t xml:space="preserve">The Company requests that the Commission reject this adjustment as it did a similar adjustment for short-term margins in the Company’s 2006 </w:t>
      </w:r>
      <w:r w:rsidR="00347EFA">
        <w:rPr>
          <w:rFonts w:ascii="Times New Roman" w:hAnsi="Times New Roman"/>
          <w:szCs w:val="24"/>
        </w:rPr>
        <w:t>GRC</w:t>
      </w:r>
      <w:r w:rsidR="00B6389A" w:rsidRPr="00DA23BE">
        <w:rPr>
          <w:rFonts w:ascii="Times New Roman" w:hAnsi="Times New Roman"/>
          <w:szCs w:val="24"/>
        </w:rPr>
        <w:t>.</w:t>
      </w:r>
    </w:p>
    <w:p w:rsidR="00973298" w:rsidRPr="009D1941" w:rsidRDefault="00AC625D" w:rsidP="00D706C2">
      <w:pPr>
        <w:keepNext/>
        <w:spacing w:line="480" w:lineRule="auto"/>
        <w:rPr>
          <w:rFonts w:ascii="Times New Roman" w:hAnsi="Times New Roman"/>
          <w:b/>
          <w:szCs w:val="24"/>
        </w:rPr>
      </w:pPr>
      <w:r w:rsidRPr="009D1941">
        <w:rPr>
          <w:rFonts w:ascii="Times New Roman" w:hAnsi="Times New Roman"/>
          <w:b/>
          <w:szCs w:val="24"/>
        </w:rPr>
        <w:t>B.</w:t>
      </w:r>
      <w:r w:rsidRPr="009D1941">
        <w:rPr>
          <w:rFonts w:ascii="Times New Roman" w:hAnsi="Times New Roman"/>
          <w:b/>
          <w:szCs w:val="24"/>
        </w:rPr>
        <w:tab/>
      </w:r>
      <w:r w:rsidR="006F41D4">
        <w:rPr>
          <w:rFonts w:ascii="Times New Roman" w:hAnsi="Times New Roman"/>
          <w:b/>
          <w:szCs w:val="24"/>
        </w:rPr>
        <w:t xml:space="preserve">Staff’s and ICNU’s Changes to the </w:t>
      </w:r>
      <w:r w:rsidR="00EA57AC" w:rsidRPr="009D1941">
        <w:rPr>
          <w:rFonts w:ascii="Times New Roman" w:hAnsi="Times New Roman"/>
          <w:b/>
          <w:szCs w:val="24"/>
        </w:rPr>
        <w:t xml:space="preserve">WCA </w:t>
      </w:r>
      <w:r w:rsidR="006F41D4">
        <w:rPr>
          <w:rFonts w:ascii="Times New Roman" w:hAnsi="Times New Roman"/>
          <w:b/>
          <w:szCs w:val="24"/>
        </w:rPr>
        <w:t>are Unsupported and Inappropriate.</w:t>
      </w:r>
    </w:p>
    <w:p w:rsidR="00415D26" w:rsidRDefault="00AC625D" w:rsidP="00D706C2">
      <w:pPr>
        <w:pStyle w:val="ListParagraph"/>
        <w:numPr>
          <w:ilvl w:val="0"/>
          <w:numId w:val="12"/>
        </w:numPr>
        <w:tabs>
          <w:tab w:val="left" w:pos="720"/>
        </w:tabs>
        <w:spacing w:line="480" w:lineRule="auto"/>
        <w:ind w:left="0"/>
        <w:rPr>
          <w:rFonts w:ascii="Times New Roman" w:hAnsi="Times New Roman"/>
          <w:szCs w:val="24"/>
        </w:rPr>
      </w:pPr>
      <w:r w:rsidRPr="0049485C">
        <w:rPr>
          <w:rFonts w:ascii="Times New Roman" w:hAnsi="Times New Roman"/>
          <w:szCs w:val="24"/>
        </w:rPr>
        <w:tab/>
      </w:r>
      <w:r w:rsidR="00D228F7" w:rsidRPr="0049485C">
        <w:rPr>
          <w:rFonts w:ascii="Times New Roman" w:hAnsi="Times New Roman"/>
          <w:szCs w:val="24"/>
        </w:rPr>
        <w:t>ICNU claims that the current WCA methodology is inequitable, and that ICNU has proposed changes to make it more equitable.</w:t>
      </w:r>
      <w:r w:rsidR="00D228F7">
        <w:rPr>
          <w:rStyle w:val="FootnoteReference"/>
          <w:rFonts w:ascii="Times New Roman" w:hAnsi="Times New Roman"/>
          <w:szCs w:val="24"/>
        </w:rPr>
        <w:footnoteReference w:id="128"/>
      </w:r>
      <w:r w:rsidR="00D228F7" w:rsidRPr="0049485C">
        <w:rPr>
          <w:rFonts w:ascii="Times New Roman" w:hAnsi="Times New Roman"/>
          <w:szCs w:val="24"/>
        </w:rPr>
        <w:t xml:space="preserve">  </w:t>
      </w:r>
      <w:r w:rsidR="00102C63" w:rsidRPr="0049485C">
        <w:rPr>
          <w:rFonts w:ascii="Times New Roman" w:hAnsi="Times New Roman"/>
          <w:szCs w:val="24"/>
        </w:rPr>
        <w:t>ICNU claims that the WCA methodology is inequitable because there is evidence of cost shifting from Utah to Washington, citing the average industrial rates in each state.</w:t>
      </w:r>
      <w:r w:rsidR="00102C63">
        <w:rPr>
          <w:rStyle w:val="FootnoteReference"/>
          <w:rFonts w:ascii="Times New Roman" w:hAnsi="Times New Roman"/>
          <w:szCs w:val="24"/>
        </w:rPr>
        <w:footnoteReference w:id="129"/>
      </w:r>
      <w:r w:rsidR="00102C63" w:rsidRPr="0049485C">
        <w:rPr>
          <w:rFonts w:ascii="Times New Roman" w:hAnsi="Times New Roman"/>
          <w:szCs w:val="24"/>
        </w:rPr>
        <w:t xml:space="preserve">  ICNU’s claim </w:t>
      </w:r>
      <w:r w:rsidR="0049485C" w:rsidRPr="0049485C">
        <w:rPr>
          <w:rFonts w:ascii="Times New Roman" w:hAnsi="Times New Roman"/>
          <w:szCs w:val="24"/>
        </w:rPr>
        <w:t>ignores</w:t>
      </w:r>
      <w:r w:rsidR="00102C63" w:rsidRPr="0049485C">
        <w:rPr>
          <w:rFonts w:ascii="Times New Roman" w:hAnsi="Times New Roman"/>
          <w:szCs w:val="24"/>
        </w:rPr>
        <w:t xml:space="preserve"> the differences in service characteristics of industrial customers </w:t>
      </w:r>
      <w:r w:rsidR="0049485C" w:rsidRPr="0049485C">
        <w:rPr>
          <w:rFonts w:ascii="Times New Roman" w:hAnsi="Times New Roman"/>
          <w:szCs w:val="24"/>
        </w:rPr>
        <w:t xml:space="preserve">in </w:t>
      </w:r>
      <w:r w:rsidR="00102C63" w:rsidRPr="0049485C">
        <w:rPr>
          <w:rFonts w:ascii="Times New Roman" w:hAnsi="Times New Roman"/>
          <w:szCs w:val="24"/>
        </w:rPr>
        <w:t xml:space="preserve">Washington and Utah that are important drivers of average price differences </w:t>
      </w:r>
      <w:r w:rsidR="0049485C" w:rsidRPr="0049485C">
        <w:rPr>
          <w:rFonts w:ascii="Times New Roman" w:hAnsi="Times New Roman"/>
          <w:szCs w:val="24"/>
        </w:rPr>
        <w:t>between the two groups.  Exhibit WRG-19, referenced by ICNU in support of its claim, states that</w:t>
      </w:r>
      <w:r w:rsidR="00415D26">
        <w:rPr>
          <w:rFonts w:ascii="Times New Roman" w:hAnsi="Times New Roman"/>
          <w:szCs w:val="24"/>
        </w:rPr>
        <w:t>:</w:t>
      </w:r>
    </w:p>
    <w:p w:rsidR="00415D26" w:rsidRPr="00415D26" w:rsidRDefault="00102C63" w:rsidP="00D706C2">
      <w:pPr>
        <w:tabs>
          <w:tab w:val="left" w:pos="720"/>
        </w:tabs>
        <w:spacing w:after="240"/>
        <w:ind w:left="720" w:right="720"/>
        <w:rPr>
          <w:rFonts w:ascii="Times New Roman" w:hAnsi="Times New Roman"/>
          <w:szCs w:val="24"/>
        </w:rPr>
      </w:pPr>
      <w:r w:rsidRPr="00415D26">
        <w:rPr>
          <w:rFonts w:ascii="Times New Roman" w:hAnsi="Times New Roman"/>
          <w:szCs w:val="24"/>
        </w:rPr>
        <w:t>Industrial rate differences are influenced by the composition of customer differences in levels of service (distribution delivery and transmission delivery) across the states.  Customers receiving service at transmission voltage are charged lower rates because they have purchased their own substations and therefore do not receive service from the Company’s distribution system.</w:t>
      </w:r>
      <w:r w:rsidR="0049485C">
        <w:rPr>
          <w:rStyle w:val="FootnoteReference"/>
          <w:rFonts w:ascii="Times New Roman" w:hAnsi="Times New Roman"/>
          <w:szCs w:val="24"/>
        </w:rPr>
        <w:footnoteReference w:id="130"/>
      </w:r>
      <w:r w:rsidRPr="00415D26">
        <w:rPr>
          <w:rFonts w:ascii="Times New Roman" w:hAnsi="Times New Roman"/>
          <w:szCs w:val="24"/>
        </w:rPr>
        <w:t xml:space="preserve">  </w:t>
      </w:r>
    </w:p>
    <w:p w:rsidR="00D228F7" w:rsidRPr="0049485C" w:rsidRDefault="00077651" w:rsidP="00D706C2">
      <w:pPr>
        <w:pStyle w:val="ListParagraph"/>
        <w:numPr>
          <w:ilvl w:val="0"/>
          <w:numId w:val="12"/>
        </w:numPr>
        <w:tabs>
          <w:tab w:val="left" w:pos="720"/>
        </w:tabs>
        <w:spacing w:line="480" w:lineRule="auto"/>
        <w:ind w:left="0"/>
        <w:rPr>
          <w:rFonts w:ascii="Times New Roman" w:hAnsi="Times New Roman"/>
          <w:szCs w:val="24"/>
        </w:rPr>
      </w:pPr>
      <w:r w:rsidRPr="0049485C">
        <w:rPr>
          <w:rFonts w:ascii="Times New Roman" w:hAnsi="Times New Roman"/>
          <w:szCs w:val="24"/>
        </w:rPr>
        <w:t xml:space="preserve">Exhibit WRG-19 shows that none of Washington’s industrial customers </w:t>
      </w:r>
      <w:r>
        <w:rPr>
          <w:rFonts w:ascii="Times New Roman" w:hAnsi="Times New Roman"/>
          <w:szCs w:val="24"/>
        </w:rPr>
        <w:t>are</w:t>
      </w:r>
      <w:r w:rsidRPr="0049485C">
        <w:rPr>
          <w:rFonts w:ascii="Times New Roman" w:hAnsi="Times New Roman"/>
          <w:szCs w:val="24"/>
        </w:rPr>
        <w:t xml:space="preserve"> served at transmission voltage.  All Washington industrial customers receive service from the Company’s distribution system and appropriately pay the costs of the distribution system in their rates.  In Utah, </w:t>
      </w:r>
      <w:r>
        <w:rPr>
          <w:rFonts w:ascii="Times New Roman" w:hAnsi="Times New Roman"/>
          <w:szCs w:val="24"/>
        </w:rPr>
        <w:t xml:space="preserve">76.3% </w:t>
      </w:r>
      <w:r w:rsidRPr="0049485C">
        <w:rPr>
          <w:rFonts w:ascii="Times New Roman" w:hAnsi="Times New Roman"/>
          <w:szCs w:val="24"/>
        </w:rPr>
        <w:t xml:space="preserve">of Utah’s industrial </w:t>
      </w:r>
      <w:proofErr w:type="spellStart"/>
      <w:r>
        <w:rPr>
          <w:rFonts w:ascii="Times New Roman" w:hAnsi="Times New Roman"/>
          <w:szCs w:val="24"/>
        </w:rPr>
        <w:t>MWh</w:t>
      </w:r>
      <w:proofErr w:type="spellEnd"/>
      <w:r>
        <w:rPr>
          <w:rFonts w:ascii="Times New Roman" w:hAnsi="Times New Roman"/>
          <w:szCs w:val="24"/>
        </w:rPr>
        <w:t xml:space="preserve"> sales </w:t>
      </w:r>
      <w:r w:rsidRPr="0049485C">
        <w:rPr>
          <w:rFonts w:ascii="Times New Roman" w:hAnsi="Times New Roman"/>
          <w:szCs w:val="24"/>
        </w:rPr>
        <w:t xml:space="preserve">are </w:t>
      </w:r>
      <w:r>
        <w:rPr>
          <w:rFonts w:ascii="Times New Roman" w:hAnsi="Times New Roman"/>
          <w:szCs w:val="24"/>
        </w:rPr>
        <w:t xml:space="preserve">provided </w:t>
      </w:r>
      <w:bookmarkStart w:id="0" w:name="_GoBack"/>
      <w:bookmarkEnd w:id="0"/>
      <w:r>
        <w:rPr>
          <w:rFonts w:ascii="Times New Roman" w:hAnsi="Times New Roman"/>
          <w:szCs w:val="24"/>
        </w:rPr>
        <w:t xml:space="preserve">to </w:t>
      </w:r>
      <w:r w:rsidRPr="0049485C">
        <w:rPr>
          <w:rFonts w:ascii="Times New Roman" w:hAnsi="Times New Roman"/>
          <w:szCs w:val="24"/>
        </w:rPr>
        <w:t>transmission voltage</w:t>
      </w:r>
      <w:r>
        <w:rPr>
          <w:rFonts w:ascii="Times New Roman" w:hAnsi="Times New Roman"/>
          <w:szCs w:val="24"/>
        </w:rPr>
        <w:t xml:space="preserve"> customers.</w:t>
      </w:r>
      <w:r>
        <w:rPr>
          <w:rStyle w:val="FootnoteReference"/>
          <w:rFonts w:ascii="Times New Roman" w:hAnsi="Times New Roman"/>
          <w:szCs w:val="24"/>
        </w:rPr>
        <w:footnoteReference w:id="131"/>
      </w:r>
      <w:r>
        <w:rPr>
          <w:rFonts w:ascii="Times New Roman" w:hAnsi="Times New Roman"/>
          <w:szCs w:val="24"/>
        </w:rPr>
        <w:t xml:space="preserve">  This means that </w:t>
      </w:r>
      <w:r w:rsidRPr="0049485C">
        <w:rPr>
          <w:rFonts w:ascii="Times New Roman" w:hAnsi="Times New Roman"/>
          <w:szCs w:val="24"/>
        </w:rPr>
        <w:t xml:space="preserve">over three quarters of Utah’s industrial </w:t>
      </w:r>
      <w:r>
        <w:rPr>
          <w:rFonts w:ascii="Times New Roman" w:hAnsi="Times New Roman"/>
          <w:szCs w:val="24"/>
        </w:rPr>
        <w:t xml:space="preserve">load </w:t>
      </w:r>
      <w:r w:rsidRPr="0049485C">
        <w:rPr>
          <w:rFonts w:ascii="Times New Roman" w:hAnsi="Times New Roman"/>
          <w:szCs w:val="24"/>
        </w:rPr>
        <w:t>do</w:t>
      </w:r>
      <w:r>
        <w:rPr>
          <w:rFonts w:ascii="Times New Roman" w:hAnsi="Times New Roman"/>
          <w:szCs w:val="24"/>
        </w:rPr>
        <w:t>es</w:t>
      </w:r>
      <w:r w:rsidRPr="0049485C">
        <w:rPr>
          <w:rFonts w:ascii="Times New Roman" w:hAnsi="Times New Roman"/>
          <w:szCs w:val="24"/>
        </w:rPr>
        <w:t xml:space="preserve"> not receive service from the distribution system</w:t>
      </w:r>
      <w:r w:rsidR="00430FAD">
        <w:rPr>
          <w:rFonts w:ascii="Times New Roman" w:hAnsi="Times New Roman"/>
          <w:szCs w:val="24"/>
        </w:rPr>
        <w:t>,</w:t>
      </w:r>
      <w:r w:rsidRPr="0049485C">
        <w:rPr>
          <w:rFonts w:ascii="Times New Roman" w:hAnsi="Times New Roman"/>
          <w:szCs w:val="24"/>
        </w:rPr>
        <w:t xml:space="preserve"> and </w:t>
      </w:r>
      <w:r>
        <w:rPr>
          <w:rFonts w:ascii="Times New Roman" w:hAnsi="Times New Roman"/>
          <w:szCs w:val="24"/>
        </w:rPr>
        <w:t xml:space="preserve">those customers </w:t>
      </w:r>
      <w:r w:rsidRPr="0049485C">
        <w:rPr>
          <w:rFonts w:ascii="Times New Roman" w:hAnsi="Times New Roman"/>
          <w:szCs w:val="24"/>
        </w:rPr>
        <w:t>do not pay costs of the distrib</w:t>
      </w:r>
      <w:r>
        <w:rPr>
          <w:rFonts w:ascii="Times New Roman" w:hAnsi="Times New Roman"/>
          <w:szCs w:val="24"/>
        </w:rPr>
        <w:t>ution system in their rates.  Accordingly</w:t>
      </w:r>
      <w:r w:rsidRPr="0049485C">
        <w:rPr>
          <w:rFonts w:ascii="Times New Roman" w:hAnsi="Times New Roman"/>
          <w:szCs w:val="24"/>
        </w:rPr>
        <w:t>, Utah industrial rates are lower.</w:t>
      </w:r>
      <w:r>
        <w:rPr>
          <w:rFonts w:ascii="Times New Roman" w:hAnsi="Times New Roman"/>
          <w:szCs w:val="24"/>
        </w:rPr>
        <w:t xml:space="preserve">  ICNU has therefore provided no credible evidence that the WCA methodology is inequitable and requires modification.</w:t>
      </w:r>
    </w:p>
    <w:p w:rsidR="003410B7" w:rsidRDefault="0049485C"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6E32CC" w:rsidRPr="003410B7">
        <w:rPr>
          <w:rFonts w:ascii="Times New Roman" w:hAnsi="Times New Roman"/>
          <w:szCs w:val="24"/>
        </w:rPr>
        <w:t>ICNU claims that “this is the first fully litigated proceeding in which the Company’s actual implementation of the WCA is being reviewed.”</w:t>
      </w:r>
      <w:r w:rsidR="006E32CC">
        <w:rPr>
          <w:rStyle w:val="FootnoteReference"/>
          <w:rFonts w:ascii="Times New Roman" w:hAnsi="Times New Roman"/>
          <w:szCs w:val="24"/>
        </w:rPr>
        <w:footnoteReference w:id="132"/>
      </w:r>
      <w:r w:rsidR="006E32CC" w:rsidRPr="003410B7">
        <w:rPr>
          <w:rFonts w:ascii="Times New Roman" w:hAnsi="Times New Roman"/>
          <w:szCs w:val="24"/>
        </w:rPr>
        <w:t xml:space="preserve">  This is not correct.  </w:t>
      </w:r>
      <w:r w:rsidR="00DA6D43" w:rsidRPr="003410B7">
        <w:rPr>
          <w:rFonts w:ascii="Times New Roman" w:hAnsi="Times New Roman"/>
          <w:szCs w:val="24"/>
        </w:rPr>
        <w:t xml:space="preserve">The </w:t>
      </w:r>
      <w:r w:rsidR="006E32CC" w:rsidRPr="003410B7">
        <w:rPr>
          <w:rFonts w:ascii="Times New Roman" w:hAnsi="Times New Roman"/>
          <w:szCs w:val="24"/>
        </w:rPr>
        <w:t xml:space="preserve">parties and the Commission thoroughly evaluated the </w:t>
      </w:r>
      <w:r w:rsidR="00BB126A">
        <w:rPr>
          <w:rFonts w:ascii="Times New Roman" w:hAnsi="Times New Roman"/>
          <w:szCs w:val="24"/>
        </w:rPr>
        <w:t>C</w:t>
      </w:r>
      <w:r w:rsidR="006E32CC" w:rsidRPr="003410B7">
        <w:rPr>
          <w:rFonts w:ascii="Times New Roman" w:hAnsi="Times New Roman"/>
          <w:szCs w:val="24"/>
        </w:rPr>
        <w:t>ompany’s actual implementation of the WCA in the 2006</w:t>
      </w:r>
      <w:r w:rsidR="00BB126A">
        <w:rPr>
          <w:rFonts w:ascii="Times New Roman" w:hAnsi="Times New Roman"/>
          <w:szCs w:val="24"/>
        </w:rPr>
        <w:t xml:space="preserve"> GRC</w:t>
      </w:r>
      <w:r w:rsidR="006E32CC" w:rsidRPr="003410B7">
        <w:rPr>
          <w:rFonts w:ascii="Times New Roman" w:hAnsi="Times New Roman"/>
          <w:szCs w:val="24"/>
        </w:rPr>
        <w:t xml:space="preserve">, including the issues that </w:t>
      </w:r>
      <w:r w:rsidR="00DA6D43" w:rsidRPr="003410B7">
        <w:rPr>
          <w:rFonts w:ascii="Times New Roman" w:hAnsi="Times New Roman"/>
          <w:szCs w:val="24"/>
        </w:rPr>
        <w:t>ICNU is attempting to re-litigate in this case</w:t>
      </w:r>
      <w:r w:rsidR="006E32CC" w:rsidRPr="003410B7">
        <w:rPr>
          <w:rFonts w:ascii="Times New Roman" w:hAnsi="Times New Roman"/>
          <w:szCs w:val="24"/>
        </w:rPr>
        <w:t>.  ICNU claims that “[t]</w:t>
      </w:r>
      <w:proofErr w:type="gramStart"/>
      <w:r w:rsidR="006E32CC" w:rsidRPr="003410B7">
        <w:rPr>
          <w:rFonts w:ascii="Times New Roman" w:hAnsi="Times New Roman"/>
          <w:szCs w:val="24"/>
        </w:rPr>
        <w:t>he</w:t>
      </w:r>
      <w:proofErr w:type="gramEnd"/>
      <w:r w:rsidR="006E32CC" w:rsidRPr="003410B7">
        <w:rPr>
          <w:rFonts w:ascii="Times New Roman" w:hAnsi="Times New Roman"/>
          <w:szCs w:val="24"/>
        </w:rPr>
        <w:t xml:space="preserve"> manner in which PacifiCorp has implemented the WCA does not pass on to Washington customers the full benefits of system operations.”</w:t>
      </w:r>
      <w:r w:rsidR="006E32CC">
        <w:rPr>
          <w:rStyle w:val="FootnoteReference"/>
          <w:rFonts w:ascii="Times New Roman" w:hAnsi="Times New Roman"/>
          <w:szCs w:val="24"/>
        </w:rPr>
        <w:footnoteReference w:id="133"/>
      </w:r>
      <w:r w:rsidR="006E32CC" w:rsidRPr="003410B7">
        <w:rPr>
          <w:rFonts w:ascii="Times New Roman" w:hAnsi="Times New Roman"/>
          <w:szCs w:val="24"/>
        </w:rPr>
        <w:t xml:space="preserve">  The evidence shows that the Company </w:t>
      </w:r>
      <w:r w:rsidR="00BB126A">
        <w:rPr>
          <w:rFonts w:ascii="Times New Roman" w:hAnsi="Times New Roman"/>
          <w:szCs w:val="24"/>
        </w:rPr>
        <w:t xml:space="preserve">has </w:t>
      </w:r>
      <w:r w:rsidR="006E32CC" w:rsidRPr="003410B7">
        <w:rPr>
          <w:rFonts w:ascii="Times New Roman" w:hAnsi="Times New Roman"/>
          <w:szCs w:val="24"/>
        </w:rPr>
        <w:t xml:space="preserve">implemented the WCA in the same manner ordered by the Commission in the 2006 </w:t>
      </w:r>
      <w:r w:rsidR="00BB126A">
        <w:rPr>
          <w:rFonts w:ascii="Times New Roman" w:hAnsi="Times New Roman"/>
          <w:szCs w:val="24"/>
        </w:rPr>
        <w:t>GRC</w:t>
      </w:r>
      <w:r w:rsidR="006E32CC" w:rsidRPr="003410B7">
        <w:rPr>
          <w:rFonts w:ascii="Times New Roman" w:hAnsi="Times New Roman"/>
          <w:szCs w:val="24"/>
        </w:rPr>
        <w:t>.  ICNU’s proposed adjustments are unsupported and inappropriate outside of a larger WCA evaluation.</w:t>
      </w:r>
      <w:r w:rsidR="00F64F0C">
        <w:rPr>
          <w:rStyle w:val="FootnoteReference"/>
          <w:rFonts w:ascii="Times New Roman" w:hAnsi="Times New Roman"/>
          <w:szCs w:val="24"/>
        </w:rPr>
        <w:footnoteReference w:id="134"/>
      </w:r>
      <w:r w:rsidR="003410B7" w:rsidRPr="003410B7">
        <w:rPr>
          <w:rFonts w:ascii="Times New Roman" w:hAnsi="Times New Roman"/>
          <w:szCs w:val="24"/>
        </w:rPr>
        <w:t xml:space="preserve"> </w:t>
      </w:r>
    </w:p>
    <w:p w:rsidR="00E950B6" w:rsidRPr="003410B7" w:rsidRDefault="003410B7" w:rsidP="00D706C2">
      <w:pPr>
        <w:pStyle w:val="ListParagraph"/>
        <w:numPr>
          <w:ilvl w:val="0"/>
          <w:numId w:val="12"/>
        </w:numPr>
        <w:tabs>
          <w:tab w:val="left" w:pos="720"/>
        </w:tabs>
        <w:spacing w:line="480" w:lineRule="auto"/>
        <w:ind w:left="0"/>
        <w:rPr>
          <w:rFonts w:ascii="Times New Roman" w:hAnsi="Times New Roman"/>
          <w:szCs w:val="24"/>
        </w:rPr>
      </w:pPr>
      <w:r w:rsidRPr="003410B7">
        <w:rPr>
          <w:rFonts w:ascii="Times New Roman" w:hAnsi="Times New Roman"/>
          <w:szCs w:val="24"/>
        </w:rPr>
        <w:tab/>
      </w:r>
      <w:r w:rsidR="00FB24E2">
        <w:rPr>
          <w:rFonts w:ascii="Times New Roman" w:hAnsi="Times New Roman"/>
          <w:szCs w:val="24"/>
        </w:rPr>
        <w:t>With respect to the Idaho Point-to-</w:t>
      </w:r>
      <w:r>
        <w:rPr>
          <w:rFonts w:ascii="Times New Roman" w:hAnsi="Times New Roman"/>
          <w:szCs w:val="24"/>
        </w:rPr>
        <w:t xml:space="preserve">Point </w:t>
      </w:r>
      <w:r w:rsidR="00FB24E2">
        <w:rPr>
          <w:rFonts w:ascii="Times New Roman" w:hAnsi="Times New Roman"/>
          <w:szCs w:val="24"/>
        </w:rPr>
        <w:t xml:space="preserve">transmission </w:t>
      </w:r>
      <w:r>
        <w:rPr>
          <w:rFonts w:ascii="Times New Roman" w:hAnsi="Times New Roman"/>
          <w:szCs w:val="24"/>
        </w:rPr>
        <w:t>contract, Staff claims that the Company has not offered quantification of the benefits the contract provides to the east control area, so the contract should be split evenly.</w:t>
      </w:r>
      <w:r>
        <w:rPr>
          <w:rStyle w:val="FootnoteReference"/>
          <w:rFonts w:ascii="Times New Roman" w:hAnsi="Times New Roman"/>
          <w:szCs w:val="24"/>
        </w:rPr>
        <w:footnoteReference w:id="135"/>
      </w:r>
      <w:r>
        <w:rPr>
          <w:rFonts w:ascii="Times New Roman" w:hAnsi="Times New Roman"/>
          <w:szCs w:val="24"/>
        </w:rPr>
        <w:t xml:space="preserve">  But the quantification of these benefits was litigated in 2006 and the Commission found them to be speculative</w:t>
      </w:r>
      <w:r w:rsidR="00E950B6" w:rsidRPr="003410B7">
        <w:rPr>
          <w:rFonts w:ascii="Times New Roman" w:hAnsi="Times New Roman"/>
          <w:szCs w:val="24"/>
        </w:rPr>
        <w:t>.</w:t>
      </w:r>
      <w:r>
        <w:rPr>
          <w:rStyle w:val="FootnoteReference"/>
          <w:rFonts w:ascii="Times New Roman" w:hAnsi="Times New Roman"/>
          <w:szCs w:val="24"/>
        </w:rPr>
        <w:footnoteReference w:id="136"/>
      </w:r>
      <w:r>
        <w:rPr>
          <w:rFonts w:ascii="Times New Roman" w:hAnsi="Times New Roman"/>
          <w:szCs w:val="24"/>
        </w:rPr>
        <w:t xml:space="preserve">  </w:t>
      </w:r>
      <w:r w:rsidR="00347EFA">
        <w:rPr>
          <w:rFonts w:ascii="Times New Roman" w:hAnsi="Times New Roman"/>
          <w:szCs w:val="24"/>
        </w:rPr>
        <w:t>Neither ICNU nor Staff has</w:t>
      </w:r>
      <w:r w:rsidR="00FB24E2">
        <w:rPr>
          <w:rFonts w:ascii="Times New Roman" w:hAnsi="Times New Roman"/>
          <w:szCs w:val="24"/>
        </w:rPr>
        <w:t xml:space="preserve"> presented new evidence that would justify a change in position on this issue.  </w:t>
      </w:r>
    </w:p>
    <w:p w:rsidR="00973298" w:rsidRPr="009D1941" w:rsidRDefault="00AC625D" w:rsidP="00D706C2">
      <w:pPr>
        <w:keepNext/>
        <w:spacing w:after="240"/>
        <w:ind w:left="720" w:hanging="720"/>
        <w:rPr>
          <w:rFonts w:ascii="Times New Roman" w:hAnsi="Times New Roman"/>
          <w:b/>
          <w:szCs w:val="24"/>
        </w:rPr>
      </w:pPr>
      <w:r w:rsidRPr="009D1941">
        <w:rPr>
          <w:rFonts w:ascii="Times New Roman" w:hAnsi="Times New Roman"/>
          <w:b/>
          <w:szCs w:val="24"/>
        </w:rPr>
        <w:t>C.</w:t>
      </w:r>
      <w:r w:rsidRPr="009D1941">
        <w:rPr>
          <w:rFonts w:ascii="Times New Roman" w:hAnsi="Times New Roman"/>
          <w:b/>
          <w:szCs w:val="24"/>
        </w:rPr>
        <w:tab/>
      </w:r>
      <w:r w:rsidR="006F41D4">
        <w:rPr>
          <w:rFonts w:ascii="Times New Roman" w:hAnsi="Times New Roman"/>
          <w:b/>
          <w:szCs w:val="24"/>
        </w:rPr>
        <w:t xml:space="preserve">The </w:t>
      </w:r>
      <w:r w:rsidR="00EA57AC" w:rsidRPr="009D1941">
        <w:rPr>
          <w:rFonts w:ascii="Times New Roman" w:hAnsi="Times New Roman"/>
          <w:b/>
          <w:szCs w:val="24"/>
        </w:rPr>
        <w:t>DC Intertie</w:t>
      </w:r>
      <w:r w:rsidR="006F41D4">
        <w:rPr>
          <w:rFonts w:ascii="Times New Roman" w:hAnsi="Times New Roman"/>
          <w:b/>
          <w:szCs w:val="24"/>
        </w:rPr>
        <w:t xml:space="preserve"> Agreement Provides Value to Customers and Will be Used in the Test Year.</w:t>
      </w:r>
    </w:p>
    <w:p w:rsidR="00A175B5" w:rsidRDefault="00572BB5" w:rsidP="00D706C2">
      <w:pPr>
        <w:pStyle w:val="ListParagraph"/>
        <w:numPr>
          <w:ilvl w:val="0"/>
          <w:numId w:val="12"/>
        </w:numPr>
        <w:tabs>
          <w:tab w:val="left" w:pos="720"/>
        </w:tabs>
        <w:spacing w:line="480" w:lineRule="auto"/>
        <w:ind w:left="0"/>
        <w:rPr>
          <w:rFonts w:ascii="Times New Roman" w:hAnsi="Times New Roman"/>
          <w:szCs w:val="24"/>
        </w:rPr>
      </w:pPr>
      <w:r w:rsidRPr="00895EC6">
        <w:rPr>
          <w:rFonts w:ascii="Times New Roman" w:hAnsi="Times New Roman"/>
          <w:szCs w:val="24"/>
        </w:rPr>
        <w:tab/>
        <w:t>Both Staff and ICNU question the value of the DC Intertie agreement on the</w:t>
      </w:r>
      <w:r w:rsidR="00895EC6" w:rsidRPr="00895EC6">
        <w:rPr>
          <w:rFonts w:ascii="Times New Roman" w:hAnsi="Times New Roman"/>
          <w:szCs w:val="24"/>
        </w:rPr>
        <w:t xml:space="preserve"> apparent</w:t>
      </w:r>
      <w:r w:rsidRPr="00895EC6">
        <w:rPr>
          <w:rFonts w:ascii="Times New Roman" w:hAnsi="Times New Roman"/>
          <w:szCs w:val="24"/>
        </w:rPr>
        <w:t xml:space="preserve"> basis that </w:t>
      </w:r>
      <w:r w:rsidR="00895EC6" w:rsidRPr="00895EC6">
        <w:rPr>
          <w:rFonts w:ascii="Times New Roman" w:hAnsi="Times New Roman"/>
          <w:szCs w:val="24"/>
        </w:rPr>
        <w:t>it does not provide enough revenue to justify the cost.</w:t>
      </w:r>
      <w:r w:rsidR="00895EC6">
        <w:rPr>
          <w:rStyle w:val="FootnoteReference"/>
          <w:rFonts w:ascii="Times New Roman" w:hAnsi="Times New Roman"/>
          <w:szCs w:val="24"/>
        </w:rPr>
        <w:footnoteReference w:id="137"/>
      </w:r>
      <w:r w:rsidR="00895EC6" w:rsidRPr="00895EC6">
        <w:rPr>
          <w:rFonts w:ascii="Times New Roman" w:hAnsi="Times New Roman"/>
          <w:szCs w:val="24"/>
        </w:rPr>
        <w:t xml:space="preserve">  Staff and ICNU appear to have lost sight of the fact that the </w:t>
      </w:r>
      <w:r w:rsidR="00D344FD">
        <w:rPr>
          <w:rFonts w:ascii="Times New Roman" w:hAnsi="Times New Roman"/>
          <w:szCs w:val="24"/>
        </w:rPr>
        <w:t>central</w:t>
      </w:r>
      <w:r w:rsidR="00895EC6" w:rsidRPr="00895EC6">
        <w:rPr>
          <w:rFonts w:ascii="Times New Roman" w:hAnsi="Times New Roman"/>
          <w:szCs w:val="24"/>
        </w:rPr>
        <w:t xml:space="preserve"> benefit of </w:t>
      </w:r>
      <w:r w:rsidR="00BB126A">
        <w:rPr>
          <w:rFonts w:ascii="Times New Roman" w:hAnsi="Times New Roman"/>
          <w:szCs w:val="24"/>
        </w:rPr>
        <w:t>NPC</w:t>
      </w:r>
      <w:r w:rsidR="00895EC6" w:rsidRPr="00895EC6">
        <w:rPr>
          <w:rFonts w:ascii="Times New Roman" w:hAnsi="Times New Roman"/>
          <w:szCs w:val="24"/>
        </w:rPr>
        <w:t xml:space="preserve"> is to serve load.  </w:t>
      </w:r>
      <w:r w:rsidR="00895EC6">
        <w:rPr>
          <w:rFonts w:ascii="Times New Roman" w:hAnsi="Times New Roman"/>
          <w:szCs w:val="24"/>
        </w:rPr>
        <w:t>The value of a transmission resource cannot be evaluated exclusively on the amount of revenue it generates</w:t>
      </w:r>
      <w:r w:rsidR="00D344FD">
        <w:rPr>
          <w:rFonts w:ascii="Times New Roman" w:hAnsi="Times New Roman"/>
          <w:szCs w:val="24"/>
        </w:rPr>
        <w:t xml:space="preserve"> through energy purchases</w:t>
      </w:r>
      <w:r w:rsidR="00895EC6">
        <w:rPr>
          <w:rFonts w:ascii="Times New Roman" w:hAnsi="Times New Roman"/>
          <w:szCs w:val="24"/>
        </w:rPr>
        <w:t>.</w:t>
      </w:r>
    </w:p>
    <w:p w:rsidR="0011781D" w:rsidRDefault="00895EC6"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D344FD">
        <w:rPr>
          <w:rFonts w:ascii="Times New Roman" w:hAnsi="Times New Roman"/>
          <w:szCs w:val="24"/>
        </w:rPr>
        <w:t>Staff alleges that the Company “recently chose to extend 200MW of DC Intertie rights.”</w:t>
      </w:r>
      <w:r w:rsidR="00D344FD">
        <w:rPr>
          <w:rStyle w:val="FootnoteReference"/>
          <w:rFonts w:ascii="Times New Roman" w:hAnsi="Times New Roman"/>
          <w:szCs w:val="24"/>
        </w:rPr>
        <w:footnoteReference w:id="138"/>
      </w:r>
      <w:r w:rsidR="00D344FD">
        <w:rPr>
          <w:rFonts w:ascii="Times New Roman" w:hAnsi="Times New Roman"/>
          <w:szCs w:val="24"/>
        </w:rPr>
        <w:t xml:space="preserve">  </w:t>
      </w:r>
      <w:r w:rsidR="0097679A">
        <w:rPr>
          <w:rFonts w:ascii="Times New Roman" w:hAnsi="Times New Roman"/>
          <w:szCs w:val="24"/>
        </w:rPr>
        <w:t>Mr. </w:t>
      </w:r>
      <w:r w:rsidR="0011781D">
        <w:rPr>
          <w:rFonts w:ascii="Times New Roman" w:hAnsi="Times New Roman"/>
          <w:szCs w:val="24"/>
        </w:rPr>
        <w:t>Duvall did not testify that the Company made a decision to retain the rights to the DC Intertie agreement in 2002.</w:t>
      </w:r>
      <w:r w:rsidR="0011781D">
        <w:rPr>
          <w:rStyle w:val="FootnoteReference"/>
          <w:rFonts w:ascii="Times New Roman" w:hAnsi="Times New Roman"/>
          <w:szCs w:val="24"/>
        </w:rPr>
        <w:footnoteReference w:id="139"/>
      </w:r>
      <w:r w:rsidR="0011781D">
        <w:rPr>
          <w:rFonts w:ascii="Times New Roman" w:hAnsi="Times New Roman"/>
          <w:szCs w:val="24"/>
        </w:rPr>
        <w:t xml:space="preserve">  The Company had a right to, and did, terminate the Winter Power Sales Agreement with Southern California Edison in 2002, but the DC Intertie rights did not expire at that time.</w:t>
      </w:r>
    </w:p>
    <w:p w:rsidR="00895EC6" w:rsidRDefault="0011781D"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895EC6">
        <w:rPr>
          <w:rFonts w:ascii="Times New Roman" w:hAnsi="Times New Roman"/>
          <w:szCs w:val="24"/>
        </w:rPr>
        <w:t xml:space="preserve">Contrary to ICNU’s incorrect statement, the Company provided evidence that the contract </w:t>
      </w:r>
      <w:r w:rsidR="00895EC6">
        <w:rPr>
          <w:rFonts w:ascii="Times New Roman" w:hAnsi="Times New Roman"/>
          <w:i/>
          <w:szCs w:val="24"/>
        </w:rPr>
        <w:t xml:space="preserve">is </w:t>
      </w:r>
      <w:r w:rsidR="00895EC6">
        <w:rPr>
          <w:rFonts w:ascii="Times New Roman" w:hAnsi="Times New Roman"/>
          <w:szCs w:val="24"/>
        </w:rPr>
        <w:t>likely to be used in the test period, even if GRID does not model purchases using the contract.</w:t>
      </w:r>
      <w:r w:rsidR="00895EC6">
        <w:rPr>
          <w:rStyle w:val="FootnoteReference"/>
          <w:rFonts w:ascii="Times New Roman" w:hAnsi="Times New Roman"/>
          <w:szCs w:val="24"/>
        </w:rPr>
        <w:footnoteReference w:id="140"/>
      </w:r>
      <w:r w:rsidR="00D344FD">
        <w:rPr>
          <w:rFonts w:ascii="Times New Roman" w:hAnsi="Times New Roman"/>
          <w:szCs w:val="24"/>
        </w:rPr>
        <w:t xml:space="preserve">  The Company has demonstrated that this agreement provides benefits to customers and Staff and ICNU have provided no substantial evidence warranting disallowance of the contract.</w:t>
      </w:r>
    </w:p>
    <w:p w:rsidR="00973298" w:rsidRPr="006F41D4" w:rsidRDefault="00AC625D" w:rsidP="00861252">
      <w:pPr>
        <w:keepNext/>
        <w:tabs>
          <w:tab w:val="left" w:pos="720"/>
        </w:tabs>
        <w:spacing w:after="240"/>
        <w:ind w:left="720" w:hanging="720"/>
        <w:rPr>
          <w:rFonts w:ascii="Times New Roman" w:hAnsi="Times New Roman"/>
          <w:b/>
          <w:szCs w:val="24"/>
        </w:rPr>
      </w:pPr>
      <w:proofErr w:type="gramStart"/>
      <w:r w:rsidRPr="006F41D4">
        <w:rPr>
          <w:rFonts w:ascii="Times New Roman" w:hAnsi="Times New Roman"/>
          <w:b/>
          <w:szCs w:val="24"/>
        </w:rPr>
        <w:t>D.</w:t>
      </w:r>
      <w:r w:rsidRPr="006F41D4">
        <w:rPr>
          <w:rFonts w:ascii="Times New Roman" w:hAnsi="Times New Roman"/>
          <w:b/>
          <w:szCs w:val="24"/>
        </w:rPr>
        <w:tab/>
      </w:r>
      <w:r w:rsidR="006F41D4" w:rsidRPr="006F41D4">
        <w:rPr>
          <w:rFonts w:ascii="Times New Roman" w:hAnsi="Times New Roman"/>
          <w:b/>
          <w:szCs w:val="24"/>
        </w:rPr>
        <w:t>The Company’s OATT Wind Integration Costs are Reasonable and Required Under the Company’s OATT.</w:t>
      </w:r>
      <w:proofErr w:type="gramEnd"/>
    </w:p>
    <w:p w:rsidR="00682041" w:rsidRDefault="00AC625D" w:rsidP="00D706C2">
      <w:pPr>
        <w:pStyle w:val="ListParagraph"/>
        <w:numPr>
          <w:ilvl w:val="0"/>
          <w:numId w:val="12"/>
        </w:numPr>
        <w:tabs>
          <w:tab w:val="left" w:pos="720"/>
        </w:tabs>
        <w:spacing w:line="480" w:lineRule="auto"/>
        <w:ind w:left="0"/>
        <w:rPr>
          <w:rFonts w:ascii="Times New Roman" w:hAnsi="Times New Roman"/>
          <w:szCs w:val="24"/>
        </w:rPr>
      </w:pPr>
      <w:r w:rsidRPr="00B60F9B">
        <w:rPr>
          <w:rFonts w:ascii="Times New Roman" w:hAnsi="Times New Roman"/>
          <w:szCs w:val="24"/>
        </w:rPr>
        <w:tab/>
      </w:r>
      <w:r w:rsidR="00682041" w:rsidRPr="00B60F9B">
        <w:rPr>
          <w:rFonts w:ascii="Times New Roman" w:hAnsi="Times New Roman"/>
          <w:szCs w:val="24"/>
        </w:rPr>
        <w:t xml:space="preserve">Staff attempts to widen the scope of its wind integration adjustment by </w:t>
      </w:r>
      <w:r w:rsidR="00AE44B5" w:rsidRPr="00B60F9B">
        <w:rPr>
          <w:rFonts w:ascii="Times New Roman" w:hAnsi="Times New Roman"/>
          <w:szCs w:val="24"/>
        </w:rPr>
        <w:t>arguing that if the Commission does not accept Staff’s OATT adjustments, it should accept Staff’s proposed disallowance on the basis of the reliability of the Company’s wind integration data.</w:t>
      </w:r>
      <w:r w:rsidR="00AE44B5">
        <w:rPr>
          <w:rStyle w:val="FootnoteReference"/>
          <w:rFonts w:ascii="Times New Roman" w:hAnsi="Times New Roman"/>
          <w:szCs w:val="24"/>
        </w:rPr>
        <w:footnoteReference w:id="141"/>
      </w:r>
      <w:r w:rsidR="00AE44B5" w:rsidRPr="00B60F9B">
        <w:rPr>
          <w:rFonts w:ascii="Times New Roman" w:hAnsi="Times New Roman"/>
          <w:szCs w:val="24"/>
        </w:rPr>
        <w:t xml:space="preserve">  Staff, however, rejected such an adjustment in testimony.  In his testimony, </w:t>
      </w:r>
      <w:r w:rsidR="0097679A">
        <w:rPr>
          <w:rFonts w:ascii="Times New Roman" w:hAnsi="Times New Roman"/>
          <w:szCs w:val="24"/>
        </w:rPr>
        <w:t>Mr. </w:t>
      </w:r>
      <w:r w:rsidR="00AE44B5" w:rsidRPr="00B60F9B">
        <w:rPr>
          <w:rFonts w:ascii="Times New Roman" w:hAnsi="Times New Roman"/>
          <w:szCs w:val="24"/>
        </w:rPr>
        <w:t xml:space="preserve">Buckley outlined three alternative adjustments to wind integration costs based on </w:t>
      </w:r>
      <w:r w:rsidR="0062701D" w:rsidRPr="00B60F9B">
        <w:rPr>
          <w:rFonts w:ascii="Times New Roman" w:hAnsi="Times New Roman"/>
          <w:szCs w:val="24"/>
        </w:rPr>
        <w:t>his concerns with the reliability of wind integration data.</w:t>
      </w:r>
      <w:r w:rsidR="0062701D">
        <w:rPr>
          <w:rStyle w:val="FootnoteReference"/>
          <w:rFonts w:ascii="Times New Roman" w:hAnsi="Times New Roman"/>
          <w:szCs w:val="24"/>
        </w:rPr>
        <w:footnoteReference w:id="142"/>
      </w:r>
      <w:r w:rsidR="0062701D" w:rsidRPr="00B60F9B">
        <w:rPr>
          <w:rFonts w:ascii="Times New Roman" w:hAnsi="Times New Roman"/>
          <w:szCs w:val="24"/>
        </w:rPr>
        <w:t xml:space="preserve">  When asked whether he recommended any of these alternatives, he stated “No.”</w:t>
      </w:r>
      <w:r w:rsidR="0062701D">
        <w:rPr>
          <w:rStyle w:val="FootnoteReference"/>
          <w:rFonts w:ascii="Times New Roman" w:hAnsi="Times New Roman"/>
          <w:szCs w:val="24"/>
        </w:rPr>
        <w:footnoteReference w:id="143"/>
      </w:r>
      <w:r w:rsidR="0062701D" w:rsidRPr="00B60F9B">
        <w:rPr>
          <w:rFonts w:ascii="Times New Roman" w:hAnsi="Times New Roman"/>
          <w:szCs w:val="24"/>
        </w:rPr>
        <w:t xml:space="preserve">  </w:t>
      </w:r>
      <w:r w:rsidR="00015838" w:rsidRPr="00B60F9B">
        <w:rPr>
          <w:rFonts w:ascii="Times New Roman" w:hAnsi="Times New Roman"/>
          <w:szCs w:val="24"/>
        </w:rPr>
        <w:t xml:space="preserve">The only wind integration adjustment proposed by Staff that is now before the Commission is the adjustment related to intra-hour, non-owned wind projects.  Staff’s proposal </w:t>
      </w:r>
      <w:r w:rsidR="00843D03" w:rsidRPr="00B60F9B">
        <w:rPr>
          <w:rFonts w:ascii="Times New Roman" w:hAnsi="Times New Roman"/>
          <w:szCs w:val="24"/>
        </w:rPr>
        <w:t xml:space="preserve">to expand the scope of </w:t>
      </w:r>
      <w:r w:rsidR="00B60F9B" w:rsidRPr="00B60F9B">
        <w:rPr>
          <w:rFonts w:ascii="Times New Roman" w:hAnsi="Times New Roman"/>
          <w:szCs w:val="24"/>
        </w:rPr>
        <w:t>its proposed adjustment at this stage of the proceeding is improper, as the Company was unable to respond to an adjustment on the basis asserted by Staff in rebuttal testimony or cross</w:t>
      </w:r>
      <w:r w:rsidR="008A38CA">
        <w:rPr>
          <w:rFonts w:ascii="Times New Roman" w:hAnsi="Times New Roman"/>
          <w:szCs w:val="24"/>
        </w:rPr>
        <w:t>-</w:t>
      </w:r>
      <w:r w:rsidR="00B60F9B" w:rsidRPr="00B60F9B">
        <w:rPr>
          <w:rFonts w:ascii="Times New Roman" w:hAnsi="Times New Roman"/>
          <w:szCs w:val="24"/>
        </w:rPr>
        <w:t xml:space="preserve">examine </w:t>
      </w:r>
      <w:r w:rsidR="0097679A">
        <w:rPr>
          <w:rFonts w:ascii="Times New Roman" w:hAnsi="Times New Roman"/>
          <w:szCs w:val="24"/>
        </w:rPr>
        <w:t>Mr. </w:t>
      </w:r>
      <w:r w:rsidR="00B60F9B" w:rsidRPr="00B60F9B">
        <w:rPr>
          <w:rFonts w:ascii="Times New Roman" w:hAnsi="Times New Roman"/>
          <w:szCs w:val="24"/>
        </w:rPr>
        <w:t xml:space="preserve">Buckley on such an adjustment at hearing.  </w:t>
      </w:r>
    </w:p>
    <w:p w:rsidR="00682041" w:rsidRPr="009D1941" w:rsidRDefault="00682041" w:rsidP="00D706C2">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t xml:space="preserve">Staff </w:t>
      </w:r>
      <w:r w:rsidRPr="009D1941">
        <w:rPr>
          <w:rFonts w:ascii="Times New Roman" w:hAnsi="Times New Roman"/>
          <w:szCs w:val="24"/>
        </w:rPr>
        <w:t xml:space="preserve">asserts that if the </w:t>
      </w:r>
      <w:r>
        <w:rPr>
          <w:rFonts w:ascii="Times New Roman" w:hAnsi="Times New Roman"/>
          <w:szCs w:val="24"/>
        </w:rPr>
        <w:t>C</w:t>
      </w:r>
      <w:r w:rsidRPr="009D1941">
        <w:rPr>
          <w:rFonts w:ascii="Times New Roman" w:hAnsi="Times New Roman"/>
          <w:szCs w:val="24"/>
        </w:rPr>
        <w:t xml:space="preserve">ompany </w:t>
      </w:r>
      <w:r>
        <w:rPr>
          <w:rFonts w:ascii="Times New Roman" w:hAnsi="Times New Roman"/>
          <w:szCs w:val="24"/>
        </w:rPr>
        <w:t xml:space="preserve">is </w:t>
      </w:r>
      <w:r w:rsidRPr="009D1941">
        <w:rPr>
          <w:rFonts w:ascii="Times New Roman" w:hAnsi="Times New Roman"/>
          <w:szCs w:val="24"/>
        </w:rPr>
        <w:t>able to charge wholesale customers for wind integration cost</w:t>
      </w:r>
      <w:r>
        <w:rPr>
          <w:rFonts w:ascii="Times New Roman" w:hAnsi="Times New Roman"/>
          <w:szCs w:val="24"/>
        </w:rPr>
        <w:t>s in the future</w:t>
      </w:r>
      <w:r w:rsidRPr="009D1941">
        <w:rPr>
          <w:rFonts w:ascii="Times New Roman" w:hAnsi="Times New Roman"/>
          <w:szCs w:val="24"/>
        </w:rPr>
        <w:t>, it would be “double recovering</w:t>
      </w:r>
      <w:r>
        <w:rPr>
          <w:rFonts w:ascii="Times New Roman" w:hAnsi="Times New Roman"/>
          <w:szCs w:val="24"/>
        </w:rPr>
        <w:t>,</w:t>
      </w:r>
      <w:r w:rsidRPr="009D1941">
        <w:rPr>
          <w:rFonts w:ascii="Times New Roman" w:hAnsi="Times New Roman"/>
          <w:szCs w:val="24"/>
        </w:rPr>
        <w:t xml:space="preserve">” </w:t>
      </w:r>
      <w:r>
        <w:rPr>
          <w:rFonts w:ascii="Times New Roman" w:hAnsi="Times New Roman"/>
          <w:szCs w:val="24"/>
        </w:rPr>
        <w:t xml:space="preserve">because the Company will </w:t>
      </w:r>
      <w:r w:rsidRPr="009D1941">
        <w:rPr>
          <w:rFonts w:ascii="Times New Roman" w:hAnsi="Times New Roman"/>
          <w:szCs w:val="24"/>
        </w:rPr>
        <w:t xml:space="preserve">already </w:t>
      </w:r>
      <w:r>
        <w:rPr>
          <w:rFonts w:ascii="Times New Roman" w:hAnsi="Times New Roman"/>
          <w:szCs w:val="24"/>
        </w:rPr>
        <w:t xml:space="preserve">be collecting </w:t>
      </w:r>
      <w:r w:rsidRPr="009D1941">
        <w:rPr>
          <w:rFonts w:ascii="Times New Roman" w:hAnsi="Times New Roman"/>
          <w:szCs w:val="24"/>
        </w:rPr>
        <w:t>these costs from retail customers.</w:t>
      </w:r>
      <w:r>
        <w:rPr>
          <w:rStyle w:val="FootnoteReference"/>
          <w:rFonts w:ascii="Times New Roman" w:hAnsi="Times New Roman"/>
          <w:szCs w:val="24"/>
        </w:rPr>
        <w:footnoteReference w:id="144"/>
      </w:r>
      <w:r w:rsidRPr="009D1941">
        <w:rPr>
          <w:rFonts w:ascii="Times New Roman" w:hAnsi="Times New Roman"/>
          <w:szCs w:val="24"/>
        </w:rPr>
        <w:t xml:space="preserve">  </w:t>
      </w:r>
      <w:r>
        <w:rPr>
          <w:rFonts w:ascii="Times New Roman" w:hAnsi="Times New Roman"/>
          <w:szCs w:val="24"/>
        </w:rPr>
        <w:t>Staff is incorrect—</w:t>
      </w:r>
      <w:r w:rsidRPr="009D1941">
        <w:rPr>
          <w:rFonts w:ascii="Times New Roman" w:hAnsi="Times New Roman"/>
          <w:szCs w:val="24"/>
        </w:rPr>
        <w:t>any charges collected from third party wholesale customers for wind integration costs would be credited back to retail jurisdictions as an offset to retail rates precisely to avoid any double recovery issues.</w:t>
      </w:r>
      <w:r>
        <w:rPr>
          <w:rFonts w:ascii="Times New Roman" w:hAnsi="Times New Roman"/>
          <w:szCs w:val="24"/>
        </w:rPr>
        <w:t xml:space="preserve">  </w:t>
      </w:r>
    </w:p>
    <w:p w:rsidR="008A38CA" w:rsidRDefault="007874D0" w:rsidP="00D706C2">
      <w:pPr>
        <w:pStyle w:val="ListParagraph"/>
        <w:numPr>
          <w:ilvl w:val="0"/>
          <w:numId w:val="12"/>
        </w:numPr>
        <w:tabs>
          <w:tab w:val="clear" w:pos="1440"/>
          <w:tab w:val="num" w:pos="720"/>
        </w:tabs>
        <w:spacing w:line="480" w:lineRule="auto"/>
        <w:ind w:left="0"/>
        <w:rPr>
          <w:rFonts w:ascii="Times New Roman" w:hAnsi="Times New Roman"/>
          <w:szCs w:val="24"/>
        </w:rPr>
      </w:pPr>
      <w:r w:rsidRPr="00F77D8F">
        <w:rPr>
          <w:rFonts w:ascii="Times New Roman" w:hAnsi="Times New Roman"/>
          <w:szCs w:val="24"/>
        </w:rPr>
        <w:tab/>
        <w:t>ICNU argu</w:t>
      </w:r>
      <w:r w:rsidR="00BB126A" w:rsidRPr="00F77D8F">
        <w:rPr>
          <w:rFonts w:ascii="Times New Roman" w:hAnsi="Times New Roman"/>
          <w:szCs w:val="24"/>
        </w:rPr>
        <w:t>es</w:t>
      </w:r>
      <w:r w:rsidRPr="00F77D8F">
        <w:rPr>
          <w:rFonts w:ascii="Times New Roman" w:hAnsi="Times New Roman"/>
          <w:szCs w:val="24"/>
        </w:rPr>
        <w:t xml:space="preserve"> that PacifiCorp’s “only excuse” for not seeking a FERC-approved wind integration charge is that FERC has provided little regulatory guidance on the issue.  ICNU ignores the impact of the recent </w:t>
      </w:r>
      <w:r w:rsidR="007C477C" w:rsidRPr="00F77D8F">
        <w:rPr>
          <w:rFonts w:ascii="Times New Roman" w:hAnsi="Times New Roman"/>
          <w:szCs w:val="24"/>
        </w:rPr>
        <w:t>NOPR on wind integration</w:t>
      </w:r>
      <w:r w:rsidR="00BB126A" w:rsidRPr="00F77D8F">
        <w:rPr>
          <w:rFonts w:ascii="Times New Roman" w:hAnsi="Times New Roman"/>
          <w:szCs w:val="24"/>
        </w:rPr>
        <w:t xml:space="preserve">, which effectively imposes a moratorium on new OATT filings on this issue, pending additional </w:t>
      </w:r>
      <w:r w:rsidR="00F77D8F" w:rsidRPr="00F77D8F">
        <w:rPr>
          <w:rFonts w:ascii="Times New Roman" w:hAnsi="Times New Roman"/>
          <w:szCs w:val="24"/>
        </w:rPr>
        <w:t>FERC guidance</w:t>
      </w:r>
      <w:r w:rsidR="007C477C" w:rsidRPr="00F77D8F">
        <w:rPr>
          <w:rFonts w:ascii="Times New Roman" w:hAnsi="Times New Roman"/>
          <w:szCs w:val="24"/>
        </w:rPr>
        <w:t xml:space="preserve">.  </w:t>
      </w:r>
      <w:r w:rsidR="008A38CA">
        <w:rPr>
          <w:rFonts w:ascii="Times New Roman" w:hAnsi="Times New Roman"/>
          <w:szCs w:val="24"/>
        </w:rPr>
        <w:t xml:space="preserve">Combined with the rejection of other utilities’ requests to implement a wind integration charge and the interim nature of the one wind integration charge that FERC did approve, the NOPR indicates that the Company could not have reasonably been expected </w:t>
      </w:r>
      <w:r w:rsidR="001821C8">
        <w:rPr>
          <w:rFonts w:ascii="Times New Roman" w:hAnsi="Times New Roman"/>
          <w:szCs w:val="24"/>
        </w:rPr>
        <w:t>to have received approval to implement a wind integration charge.</w:t>
      </w:r>
    </w:p>
    <w:p w:rsidR="00832ACB" w:rsidRPr="00F77D8F" w:rsidRDefault="008A38CA" w:rsidP="00D706C2">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r>
      <w:r w:rsidR="00832ACB" w:rsidRPr="00F77D8F">
        <w:rPr>
          <w:rFonts w:ascii="Times New Roman" w:hAnsi="Times New Roman"/>
          <w:szCs w:val="24"/>
        </w:rPr>
        <w:t>ICNU’s footnote 208 states that the Company accepted ICNU’s Adjustment 11 to model wind integration costs in GRID.</w:t>
      </w:r>
      <w:r w:rsidR="00832ACB">
        <w:rPr>
          <w:rStyle w:val="FootnoteReference"/>
          <w:rFonts w:ascii="Times New Roman" w:hAnsi="Times New Roman"/>
          <w:szCs w:val="24"/>
        </w:rPr>
        <w:footnoteReference w:id="145"/>
      </w:r>
      <w:r w:rsidR="00832ACB" w:rsidRPr="00F77D8F">
        <w:rPr>
          <w:rFonts w:ascii="Times New Roman" w:hAnsi="Times New Roman"/>
          <w:szCs w:val="24"/>
        </w:rPr>
        <w:t xml:space="preserve">  To clarify, the Company agreed to reflect the cost of modeling wind integration costs in GRID, as calculated by ICNU, but proposed to model intra-hour wind integration in GRID in future proceedings where all parties would have the opportunity to evaluate modeling proposals.</w:t>
      </w:r>
      <w:r w:rsidR="00832ACB">
        <w:rPr>
          <w:rStyle w:val="FootnoteReference"/>
          <w:rFonts w:ascii="Times New Roman" w:hAnsi="Times New Roman"/>
          <w:szCs w:val="24"/>
        </w:rPr>
        <w:footnoteReference w:id="146"/>
      </w:r>
    </w:p>
    <w:p w:rsidR="00EA57AC" w:rsidRPr="009D1941" w:rsidRDefault="00E04627" w:rsidP="00D706C2">
      <w:pPr>
        <w:keepNext/>
        <w:spacing w:after="240"/>
        <w:ind w:left="720" w:hanging="720"/>
        <w:rPr>
          <w:rFonts w:ascii="Times New Roman" w:hAnsi="Times New Roman"/>
          <w:b/>
          <w:szCs w:val="24"/>
        </w:rPr>
      </w:pPr>
      <w:r>
        <w:rPr>
          <w:rFonts w:ascii="Times New Roman" w:hAnsi="Times New Roman"/>
          <w:b/>
          <w:szCs w:val="24"/>
        </w:rPr>
        <w:t>E</w:t>
      </w:r>
      <w:r w:rsidR="00EA57AC" w:rsidRPr="009D1941">
        <w:rPr>
          <w:rFonts w:ascii="Times New Roman" w:hAnsi="Times New Roman"/>
          <w:b/>
          <w:szCs w:val="24"/>
        </w:rPr>
        <w:t>.</w:t>
      </w:r>
      <w:r w:rsidR="00EA57AC" w:rsidRPr="009D1941">
        <w:rPr>
          <w:rFonts w:ascii="Times New Roman" w:hAnsi="Times New Roman"/>
          <w:b/>
          <w:szCs w:val="24"/>
        </w:rPr>
        <w:tab/>
      </w:r>
      <w:r w:rsidR="0008354B">
        <w:rPr>
          <w:rFonts w:ascii="Times New Roman" w:hAnsi="Times New Roman"/>
          <w:b/>
          <w:szCs w:val="24"/>
        </w:rPr>
        <w:t xml:space="preserve">ICNU’s </w:t>
      </w:r>
      <w:r w:rsidR="00EA57AC" w:rsidRPr="009D1941">
        <w:rPr>
          <w:rFonts w:ascii="Times New Roman" w:hAnsi="Times New Roman"/>
          <w:b/>
          <w:szCs w:val="24"/>
        </w:rPr>
        <w:t>Planned Outage Schedule</w:t>
      </w:r>
      <w:r w:rsidR="0008354B">
        <w:rPr>
          <w:rFonts w:ascii="Times New Roman" w:hAnsi="Times New Roman"/>
          <w:b/>
          <w:szCs w:val="24"/>
        </w:rPr>
        <w:t xml:space="preserve"> is Unreasonable.</w:t>
      </w:r>
    </w:p>
    <w:p w:rsidR="00EA57AC" w:rsidRDefault="00DA2560" w:rsidP="00D706C2">
      <w:pPr>
        <w:pStyle w:val="ListParagraph"/>
        <w:numPr>
          <w:ilvl w:val="0"/>
          <w:numId w:val="12"/>
        </w:numPr>
        <w:tabs>
          <w:tab w:val="clear" w:pos="1440"/>
          <w:tab w:val="num" w:pos="720"/>
        </w:tabs>
        <w:spacing w:line="480" w:lineRule="auto"/>
        <w:ind w:left="0"/>
        <w:rPr>
          <w:rFonts w:ascii="Times New Roman" w:hAnsi="Times New Roman"/>
          <w:szCs w:val="24"/>
        </w:rPr>
      </w:pPr>
      <w:r>
        <w:rPr>
          <w:rFonts w:ascii="Times New Roman" w:hAnsi="Times New Roman"/>
          <w:szCs w:val="24"/>
        </w:rPr>
        <w:tab/>
        <w:t xml:space="preserve">ICNU claims that </w:t>
      </w:r>
      <w:r w:rsidR="003062A2">
        <w:rPr>
          <w:rFonts w:ascii="Times New Roman" w:hAnsi="Times New Roman"/>
          <w:szCs w:val="24"/>
        </w:rPr>
        <w:t>in its proposal,</w:t>
      </w:r>
      <w:r w:rsidR="001D0FF2">
        <w:rPr>
          <w:rFonts w:ascii="Times New Roman" w:hAnsi="Times New Roman"/>
          <w:szCs w:val="24"/>
        </w:rPr>
        <w:t xml:space="preserve"> Hermiston </w:t>
      </w:r>
      <w:r w:rsidR="003062A2">
        <w:rPr>
          <w:rFonts w:ascii="Times New Roman" w:hAnsi="Times New Roman"/>
          <w:szCs w:val="24"/>
        </w:rPr>
        <w:t xml:space="preserve">will </w:t>
      </w:r>
      <w:r w:rsidR="001D0FF2">
        <w:rPr>
          <w:rFonts w:ascii="Times New Roman" w:hAnsi="Times New Roman"/>
          <w:szCs w:val="24"/>
        </w:rPr>
        <w:t xml:space="preserve">experience an outage in 2011, but would have the outage start before </w:t>
      </w:r>
      <w:r w:rsidR="0048188D">
        <w:rPr>
          <w:rFonts w:ascii="Times New Roman" w:hAnsi="Times New Roman"/>
          <w:szCs w:val="24"/>
        </w:rPr>
        <w:t>the beginning of the test period.</w:t>
      </w:r>
      <w:r w:rsidR="0048188D">
        <w:rPr>
          <w:rStyle w:val="FootnoteReference"/>
          <w:rFonts w:ascii="Times New Roman" w:hAnsi="Times New Roman"/>
          <w:szCs w:val="24"/>
        </w:rPr>
        <w:footnoteReference w:id="147"/>
      </w:r>
      <w:r w:rsidR="0048188D">
        <w:rPr>
          <w:rFonts w:ascii="Times New Roman" w:hAnsi="Times New Roman"/>
          <w:szCs w:val="24"/>
        </w:rPr>
        <w:t xml:space="preserve">  </w:t>
      </w:r>
      <w:r w:rsidR="00D22C43" w:rsidRPr="00D22C43">
        <w:rPr>
          <w:rFonts w:ascii="Times New Roman" w:hAnsi="Times New Roman"/>
          <w:szCs w:val="24"/>
        </w:rPr>
        <w:t xml:space="preserve">This </w:t>
      </w:r>
      <w:r w:rsidR="00D22C43">
        <w:rPr>
          <w:rFonts w:ascii="Times New Roman" w:hAnsi="Times New Roman"/>
          <w:szCs w:val="24"/>
        </w:rPr>
        <w:t>proposal is</w:t>
      </w:r>
      <w:r w:rsidR="00D22C43" w:rsidRPr="00D22C43">
        <w:rPr>
          <w:rFonts w:ascii="Times New Roman" w:hAnsi="Times New Roman"/>
          <w:szCs w:val="24"/>
        </w:rPr>
        <w:t xml:space="preserve"> inconsistent with ICNU’s </w:t>
      </w:r>
      <w:r w:rsidR="00D22C43">
        <w:rPr>
          <w:rFonts w:ascii="Times New Roman" w:hAnsi="Times New Roman"/>
          <w:szCs w:val="24"/>
        </w:rPr>
        <w:t xml:space="preserve">purported goal of scheduling </w:t>
      </w:r>
      <w:r w:rsidR="00D22C43" w:rsidRPr="00D22C43">
        <w:rPr>
          <w:rFonts w:ascii="Times New Roman" w:hAnsi="Times New Roman"/>
          <w:szCs w:val="24"/>
        </w:rPr>
        <w:t>planned outages</w:t>
      </w:r>
      <w:r w:rsidR="00D22C43">
        <w:rPr>
          <w:rFonts w:ascii="Times New Roman" w:hAnsi="Times New Roman"/>
          <w:szCs w:val="24"/>
        </w:rPr>
        <w:t xml:space="preserve"> during a </w:t>
      </w:r>
      <w:r w:rsidR="00D22C43" w:rsidRPr="00D22C43">
        <w:rPr>
          <w:rFonts w:ascii="Times New Roman" w:hAnsi="Times New Roman"/>
          <w:szCs w:val="24"/>
        </w:rPr>
        <w:t xml:space="preserve">more economic period of time, because the period before April 2011 would be less economic </w:t>
      </w:r>
      <w:r w:rsidR="00D22C43">
        <w:rPr>
          <w:rFonts w:ascii="Times New Roman" w:hAnsi="Times New Roman"/>
          <w:szCs w:val="24"/>
        </w:rPr>
        <w:t>f</w:t>
      </w:r>
      <w:r w:rsidR="00D22C43" w:rsidRPr="00D22C43">
        <w:rPr>
          <w:rFonts w:ascii="Times New Roman" w:hAnsi="Times New Roman"/>
          <w:szCs w:val="24"/>
        </w:rPr>
        <w:t xml:space="preserve">or Hermiston </w:t>
      </w:r>
      <w:r w:rsidR="00D22C43">
        <w:rPr>
          <w:rFonts w:ascii="Times New Roman" w:hAnsi="Times New Roman"/>
          <w:szCs w:val="24"/>
        </w:rPr>
        <w:t xml:space="preserve">maintenance </w:t>
      </w:r>
      <w:r w:rsidR="00D22C43" w:rsidRPr="00D22C43">
        <w:rPr>
          <w:rFonts w:ascii="Times New Roman" w:hAnsi="Times New Roman"/>
          <w:szCs w:val="24"/>
        </w:rPr>
        <w:t>than what the Company has scheduled for in spring of 2011.</w:t>
      </w:r>
      <w:r w:rsidR="006227AC">
        <w:rPr>
          <w:rStyle w:val="FootnoteReference"/>
          <w:rFonts w:ascii="Times New Roman" w:hAnsi="Times New Roman"/>
          <w:szCs w:val="24"/>
        </w:rPr>
        <w:footnoteReference w:id="148"/>
      </w:r>
      <w:r w:rsidR="00D22C43" w:rsidRPr="00D22C43">
        <w:rPr>
          <w:rFonts w:ascii="Times New Roman" w:hAnsi="Times New Roman"/>
          <w:szCs w:val="24"/>
        </w:rPr>
        <w:t xml:space="preserve">  ICNU’s proposal is unreasonable and fails to reflect an appropriate planned outage length in the test period.</w:t>
      </w:r>
    </w:p>
    <w:p w:rsidR="00EA57AC" w:rsidRPr="009D1941" w:rsidRDefault="00E04627" w:rsidP="00D706C2">
      <w:pPr>
        <w:keepNext/>
        <w:spacing w:after="240"/>
        <w:ind w:left="720" w:hanging="720"/>
        <w:rPr>
          <w:rFonts w:ascii="Times New Roman" w:hAnsi="Times New Roman"/>
          <w:b/>
          <w:szCs w:val="24"/>
        </w:rPr>
      </w:pPr>
      <w:r>
        <w:rPr>
          <w:rFonts w:ascii="Times New Roman" w:hAnsi="Times New Roman"/>
          <w:b/>
          <w:szCs w:val="24"/>
        </w:rPr>
        <w:t>F</w:t>
      </w:r>
      <w:r w:rsidR="00EA57AC" w:rsidRPr="009D1941">
        <w:rPr>
          <w:rFonts w:ascii="Times New Roman" w:hAnsi="Times New Roman"/>
          <w:b/>
          <w:szCs w:val="24"/>
        </w:rPr>
        <w:t>.</w:t>
      </w:r>
      <w:r w:rsidR="00EA57AC" w:rsidRPr="009D1941">
        <w:rPr>
          <w:rFonts w:ascii="Times New Roman" w:hAnsi="Times New Roman"/>
          <w:b/>
          <w:szCs w:val="24"/>
        </w:rPr>
        <w:tab/>
      </w:r>
      <w:proofErr w:type="spellStart"/>
      <w:r w:rsidR="0008354B">
        <w:rPr>
          <w:rFonts w:ascii="Times New Roman" w:hAnsi="Times New Roman"/>
          <w:b/>
          <w:szCs w:val="24"/>
        </w:rPr>
        <w:t>Deoptimizing</w:t>
      </w:r>
      <w:proofErr w:type="spellEnd"/>
      <w:r w:rsidR="0008354B">
        <w:rPr>
          <w:rFonts w:ascii="Times New Roman" w:hAnsi="Times New Roman"/>
          <w:b/>
          <w:szCs w:val="24"/>
        </w:rPr>
        <w:t xml:space="preserve"> SMUD Would Be Inconsistent with </w:t>
      </w:r>
      <w:r w:rsidR="001D0028">
        <w:rPr>
          <w:rFonts w:ascii="Times New Roman" w:hAnsi="Times New Roman"/>
          <w:b/>
          <w:szCs w:val="24"/>
        </w:rPr>
        <w:t>the Broader Optimization Methodology that Reduces NPC.</w:t>
      </w:r>
    </w:p>
    <w:p w:rsidR="00D502D5" w:rsidRDefault="00A57C72" w:rsidP="00D706C2">
      <w:pPr>
        <w:pStyle w:val="ListParagraph"/>
        <w:numPr>
          <w:ilvl w:val="0"/>
          <w:numId w:val="12"/>
        </w:numPr>
        <w:tabs>
          <w:tab w:val="left" w:pos="720"/>
        </w:tabs>
        <w:spacing w:line="480" w:lineRule="auto"/>
        <w:ind w:left="0"/>
        <w:rPr>
          <w:rFonts w:ascii="Times New Roman" w:hAnsi="Times New Roman"/>
          <w:szCs w:val="24"/>
        </w:rPr>
      </w:pPr>
      <w:r w:rsidRPr="00DD1D28">
        <w:rPr>
          <w:rFonts w:ascii="Times New Roman" w:hAnsi="Times New Roman"/>
          <w:szCs w:val="24"/>
        </w:rPr>
        <w:tab/>
        <w:t xml:space="preserve">Staff argues that the Company should </w:t>
      </w:r>
      <w:proofErr w:type="spellStart"/>
      <w:r w:rsidRPr="00DD1D28">
        <w:rPr>
          <w:rFonts w:ascii="Times New Roman" w:hAnsi="Times New Roman"/>
          <w:szCs w:val="24"/>
        </w:rPr>
        <w:t>deoptimize</w:t>
      </w:r>
      <w:proofErr w:type="spellEnd"/>
      <w:r w:rsidRPr="00DD1D28">
        <w:rPr>
          <w:rFonts w:ascii="Times New Roman" w:hAnsi="Times New Roman"/>
          <w:szCs w:val="24"/>
        </w:rPr>
        <w:t xml:space="preserve"> the SMUD contract because </w:t>
      </w:r>
      <w:proofErr w:type="gramStart"/>
      <w:r w:rsidRPr="00DD1D28">
        <w:rPr>
          <w:rFonts w:ascii="Times New Roman" w:hAnsi="Times New Roman"/>
          <w:szCs w:val="24"/>
        </w:rPr>
        <w:t>“[t]he Company should use all available information to carry out modeling,”</w:t>
      </w:r>
      <w:proofErr w:type="gramEnd"/>
      <w:r w:rsidRPr="00DD1D28">
        <w:rPr>
          <w:rFonts w:ascii="Times New Roman" w:hAnsi="Times New Roman"/>
          <w:szCs w:val="24"/>
        </w:rPr>
        <w:t xml:space="preserve"> and because “[</w:t>
      </w:r>
      <w:proofErr w:type="spellStart"/>
      <w:r w:rsidRPr="00DD1D28">
        <w:rPr>
          <w:rFonts w:ascii="Times New Roman" w:hAnsi="Times New Roman"/>
          <w:szCs w:val="24"/>
        </w:rPr>
        <w:t>i</w:t>
      </w:r>
      <w:proofErr w:type="spellEnd"/>
      <w:r w:rsidRPr="00DD1D28">
        <w:rPr>
          <w:rFonts w:ascii="Times New Roman" w:hAnsi="Times New Roman"/>
          <w:szCs w:val="24"/>
        </w:rPr>
        <w:t>]f a particular contract has a definable shape . . . that information should be used.”</w:t>
      </w:r>
      <w:r>
        <w:rPr>
          <w:rStyle w:val="FootnoteReference"/>
          <w:rFonts w:ascii="Times New Roman" w:hAnsi="Times New Roman"/>
          <w:szCs w:val="24"/>
        </w:rPr>
        <w:footnoteReference w:id="149"/>
      </w:r>
      <w:r w:rsidRPr="00DD1D28">
        <w:rPr>
          <w:rFonts w:ascii="Times New Roman" w:hAnsi="Times New Roman"/>
          <w:szCs w:val="24"/>
        </w:rPr>
        <w:t xml:space="preserve">  But Staff has not advocated </w:t>
      </w:r>
      <w:proofErr w:type="spellStart"/>
      <w:r w:rsidRPr="00DD1D28">
        <w:rPr>
          <w:rFonts w:ascii="Times New Roman" w:hAnsi="Times New Roman"/>
          <w:szCs w:val="24"/>
        </w:rPr>
        <w:t>deoptimizing</w:t>
      </w:r>
      <w:proofErr w:type="spellEnd"/>
      <w:r w:rsidRPr="00DD1D28">
        <w:rPr>
          <w:rFonts w:ascii="Times New Roman" w:hAnsi="Times New Roman"/>
          <w:szCs w:val="24"/>
        </w:rPr>
        <w:t xml:space="preserve"> other contracts.  Overall, optimizing the Company’s system operations decreases NPC.</w:t>
      </w:r>
      <w:r>
        <w:rPr>
          <w:rStyle w:val="FootnoteReference"/>
          <w:rFonts w:ascii="Times New Roman" w:hAnsi="Times New Roman"/>
          <w:szCs w:val="24"/>
        </w:rPr>
        <w:footnoteReference w:id="150"/>
      </w:r>
      <w:r w:rsidRPr="00DD1D28">
        <w:rPr>
          <w:rFonts w:ascii="Times New Roman" w:hAnsi="Times New Roman"/>
          <w:szCs w:val="24"/>
        </w:rPr>
        <w:t xml:space="preserve">  </w:t>
      </w:r>
      <w:r w:rsidR="00D00CC0">
        <w:rPr>
          <w:rFonts w:ascii="Times New Roman" w:hAnsi="Times New Roman"/>
          <w:szCs w:val="24"/>
        </w:rPr>
        <w:t xml:space="preserve">The Company requests that the Commission reject ICNU’s and Staff’s proposal to single out for </w:t>
      </w:r>
      <w:proofErr w:type="spellStart"/>
      <w:r w:rsidR="00D00CC0">
        <w:rPr>
          <w:rFonts w:ascii="Times New Roman" w:hAnsi="Times New Roman"/>
          <w:szCs w:val="24"/>
        </w:rPr>
        <w:t>deoptimization</w:t>
      </w:r>
      <w:proofErr w:type="spellEnd"/>
      <w:r w:rsidR="00D00CC0">
        <w:rPr>
          <w:rFonts w:ascii="Times New Roman" w:hAnsi="Times New Roman"/>
          <w:szCs w:val="24"/>
        </w:rPr>
        <w:t xml:space="preserve"> one contract while accepting the overall reduction to NPC provided by optimization.</w:t>
      </w:r>
    </w:p>
    <w:p w:rsidR="00942272" w:rsidRPr="00DD1D28" w:rsidRDefault="00942272"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ICNU also claims that if the modeling of the SMUD contract is based on actual historic deliveries the Commission should ignore energy under the provisional clause of the contract on the basis that the Company has never sought</w:t>
      </w:r>
      <w:r w:rsidR="00347EFA">
        <w:rPr>
          <w:rFonts w:ascii="Times New Roman" w:hAnsi="Times New Roman"/>
          <w:szCs w:val="24"/>
        </w:rPr>
        <w:t xml:space="preserve"> to</w:t>
      </w:r>
      <w:r>
        <w:rPr>
          <w:rFonts w:ascii="Times New Roman" w:hAnsi="Times New Roman"/>
          <w:szCs w:val="24"/>
        </w:rPr>
        <w:t xml:space="preserve"> recover </w:t>
      </w:r>
      <w:r w:rsidR="001A02B4">
        <w:rPr>
          <w:rFonts w:ascii="Times New Roman" w:hAnsi="Times New Roman"/>
          <w:szCs w:val="24"/>
        </w:rPr>
        <w:t>this part</w:t>
      </w:r>
      <w:r w:rsidR="00347EFA">
        <w:rPr>
          <w:rFonts w:ascii="Times New Roman" w:hAnsi="Times New Roman"/>
          <w:szCs w:val="24"/>
        </w:rPr>
        <w:t xml:space="preserve"> of</w:t>
      </w:r>
      <w:r>
        <w:rPr>
          <w:rFonts w:ascii="Times New Roman" w:hAnsi="Times New Roman"/>
          <w:szCs w:val="24"/>
        </w:rPr>
        <w:t xml:space="preserve"> the contract or demonstrated its prudence.</w:t>
      </w:r>
      <w:r>
        <w:rPr>
          <w:rStyle w:val="FootnoteReference"/>
          <w:rFonts w:ascii="Times New Roman" w:hAnsi="Times New Roman"/>
          <w:szCs w:val="24"/>
        </w:rPr>
        <w:footnoteReference w:id="151"/>
      </w:r>
      <w:r>
        <w:rPr>
          <w:rFonts w:ascii="Times New Roman" w:hAnsi="Times New Roman"/>
          <w:szCs w:val="24"/>
        </w:rPr>
        <w:t xml:space="preserve">  ICNU’s argument is beside the point.  If actual historic information should be used to model the SMUD contract, </w:t>
      </w:r>
      <w:r>
        <w:rPr>
          <w:rFonts w:ascii="Times New Roman" w:hAnsi="Times New Roman"/>
          <w:i/>
          <w:szCs w:val="24"/>
        </w:rPr>
        <w:t xml:space="preserve">all </w:t>
      </w:r>
      <w:r>
        <w:rPr>
          <w:rFonts w:ascii="Times New Roman" w:hAnsi="Times New Roman"/>
          <w:szCs w:val="24"/>
        </w:rPr>
        <w:t>available</w:t>
      </w:r>
      <w:r w:rsidR="00BE30BE">
        <w:rPr>
          <w:rFonts w:ascii="Times New Roman" w:hAnsi="Times New Roman"/>
          <w:szCs w:val="24"/>
        </w:rPr>
        <w:t xml:space="preserve"> actual</w:t>
      </w:r>
      <w:r>
        <w:rPr>
          <w:rFonts w:ascii="Times New Roman" w:hAnsi="Times New Roman"/>
          <w:szCs w:val="24"/>
        </w:rPr>
        <w:t xml:space="preserve"> information should be used, not</w:t>
      </w:r>
      <w:r w:rsidR="00233F70">
        <w:rPr>
          <w:rFonts w:ascii="Times New Roman" w:hAnsi="Times New Roman"/>
          <w:szCs w:val="24"/>
        </w:rPr>
        <w:t xml:space="preserve"> just</w:t>
      </w:r>
      <w:r>
        <w:rPr>
          <w:rFonts w:ascii="Times New Roman" w:hAnsi="Times New Roman"/>
          <w:szCs w:val="24"/>
        </w:rPr>
        <w:t xml:space="preserve"> </w:t>
      </w:r>
      <w:r w:rsidR="00475F32">
        <w:rPr>
          <w:rFonts w:ascii="Times New Roman" w:hAnsi="Times New Roman"/>
          <w:szCs w:val="24"/>
        </w:rPr>
        <w:t xml:space="preserve">selective </w:t>
      </w:r>
      <w:r>
        <w:rPr>
          <w:rFonts w:ascii="Times New Roman" w:hAnsi="Times New Roman"/>
          <w:szCs w:val="24"/>
        </w:rPr>
        <w:t xml:space="preserve">information that </w:t>
      </w:r>
      <w:r w:rsidR="004A3EE8">
        <w:rPr>
          <w:rFonts w:ascii="Times New Roman" w:hAnsi="Times New Roman"/>
          <w:szCs w:val="24"/>
        </w:rPr>
        <w:t>reduces NPC</w:t>
      </w:r>
      <w:r>
        <w:rPr>
          <w:rFonts w:ascii="Times New Roman" w:hAnsi="Times New Roman"/>
          <w:szCs w:val="24"/>
        </w:rPr>
        <w:t>.</w:t>
      </w:r>
      <w:r w:rsidR="004A3EE8">
        <w:rPr>
          <w:rStyle w:val="FootnoteReference"/>
          <w:rFonts w:ascii="Times New Roman" w:hAnsi="Times New Roman"/>
          <w:szCs w:val="24"/>
        </w:rPr>
        <w:footnoteReference w:id="152"/>
      </w:r>
      <w:r w:rsidR="001A02B4">
        <w:rPr>
          <w:rFonts w:ascii="Times New Roman" w:hAnsi="Times New Roman"/>
          <w:szCs w:val="24"/>
        </w:rPr>
        <w:t xml:space="preserve">  </w:t>
      </w:r>
    </w:p>
    <w:p w:rsidR="00EA57AC" w:rsidRPr="009D1941" w:rsidRDefault="00B14599" w:rsidP="00D706C2">
      <w:pPr>
        <w:keepNext/>
        <w:spacing w:after="240"/>
        <w:ind w:left="720" w:hanging="720"/>
        <w:rPr>
          <w:rFonts w:ascii="Times New Roman" w:hAnsi="Times New Roman"/>
          <w:b/>
          <w:szCs w:val="24"/>
        </w:rPr>
      </w:pPr>
      <w:r>
        <w:rPr>
          <w:rFonts w:ascii="Times New Roman" w:hAnsi="Times New Roman"/>
          <w:b/>
          <w:szCs w:val="24"/>
        </w:rPr>
        <w:t>G</w:t>
      </w:r>
      <w:r w:rsidR="00EA57AC" w:rsidRPr="009D1941">
        <w:rPr>
          <w:rFonts w:ascii="Times New Roman" w:hAnsi="Times New Roman"/>
          <w:b/>
          <w:szCs w:val="24"/>
        </w:rPr>
        <w:t>.</w:t>
      </w:r>
      <w:r w:rsidR="00EA57AC" w:rsidRPr="009D1941">
        <w:rPr>
          <w:rFonts w:ascii="Times New Roman" w:hAnsi="Times New Roman"/>
          <w:b/>
          <w:szCs w:val="24"/>
        </w:rPr>
        <w:tab/>
      </w:r>
      <w:r w:rsidR="001D0028">
        <w:rPr>
          <w:rFonts w:ascii="Times New Roman" w:hAnsi="Times New Roman"/>
          <w:b/>
          <w:szCs w:val="24"/>
        </w:rPr>
        <w:t xml:space="preserve">ICNU’s </w:t>
      </w:r>
      <w:r w:rsidR="00EA57AC" w:rsidRPr="009D1941">
        <w:rPr>
          <w:rFonts w:ascii="Times New Roman" w:hAnsi="Times New Roman"/>
          <w:b/>
          <w:szCs w:val="24"/>
        </w:rPr>
        <w:t xml:space="preserve">Minimum Loading and </w:t>
      </w:r>
      <w:proofErr w:type="spellStart"/>
      <w:r w:rsidR="00EA57AC" w:rsidRPr="009D1941">
        <w:rPr>
          <w:rFonts w:ascii="Times New Roman" w:hAnsi="Times New Roman"/>
          <w:b/>
          <w:szCs w:val="24"/>
        </w:rPr>
        <w:t>Deration</w:t>
      </w:r>
      <w:proofErr w:type="spellEnd"/>
      <w:r w:rsidR="001D0028">
        <w:rPr>
          <w:rFonts w:ascii="Times New Roman" w:hAnsi="Times New Roman"/>
          <w:b/>
          <w:szCs w:val="24"/>
        </w:rPr>
        <w:t xml:space="preserve"> Methodology is Not the Industry Standard.</w:t>
      </w:r>
    </w:p>
    <w:p w:rsidR="00CF0EAF" w:rsidRPr="009D1941" w:rsidRDefault="00D00CC0"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ICNU falsely claims that its proposal for modeling therma</w:t>
      </w:r>
      <w:r w:rsidR="00B14599">
        <w:rPr>
          <w:rFonts w:ascii="Times New Roman" w:hAnsi="Times New Roman"/>
          <w:szCs w:val="24"/>
        </w:rPr>
        <w:t>l</w:t>
      </w:r>
      <w:r>
        <w:rPr>
          <w:rFonts w:ascii="Times New Roman" w:hAnsi="Times New Roman"/>
          <w:szCs w:val="24"/>
        </w:rPr>
        <w:t xml:space="preserve"> units’ minimum capacities and heat rates is standard industry practice.</w:t>
      </w:r>
      <w:r>
        <w:rPr>
          <w:rStyle w:val="FootnoteReference"/>
          <w:rFonts w:ascii="Times New Roman" w:hAnsi="Times New Roman"/>
          <w:szCs w:val="24"/>
        </w:rPr>
        <w:footnoteReference w:id="153"/>
      </w:r>
      <w:r>
        <w:rPr>
          <w:rFonts w:ascii="Times New Roman" w:hAnsi="Times New Roman"/>
          <w:szCs w:val="24"/>
        </w:rPr>
        <w:t xml:space="preserve">  </w:t>
      </w:r>
      <w:r w:rsidR="0097679A">
        <w:rPr>
          <w:rFonts w:ascii="Times New Roman" w:hAnsi="Times New Roman"/>
          <w:szCs w:val="24"/>
        </w:rPr>
        <w:t>Mr. </w:t>
      </w:r>
      <w:proofErr w:type="spellStart"/>
      <w:r w:rsidR="00B14599">
        <w:rPr>
          <w:rFonts w:ascii="Times New Roman" w:hAnsi="Times New Roman"/>
          <w:szCs w:val="24"/>
        </w:rPr>
        <w:t>Falkenberg</w:t>
      </w:r>
      <w:proofErr w:type="spellEnd"/>
      <w:r w:rsidR="00B14599">
        <w:rPr>
          <w:rFonts w:ascii="Times New Roman" w:hAnsi="Times New Roman"/>
          <w:szCs w:val="24"/>
        </w:rPr>
        <w:t xml:space="preserve"> cites </w:t>
      </w:r>
      <w:r w:rsidR="000E5B9D">
        <w:rPr>
          <w:rFonts w:ascii="Times New Roman" w:hAnsi="Times New Roman"/>
          <w:szCs w:val="24"/>
        </w:rPr>
        <w:t xml:space="preserve">only </w:t>
      </w:r>
      <w:r w:rsidR="00B14599">
        <w:rPr>
          <w:rFonts w:ascii="Times New Roman" w:hAnsi="Times New Roman"/>
          <w:szCs w:val="24"/>
        </w:rPr>
        <w:t xml:space="preserve">one other regional utility that </w:t>
      </w:r>
      <w:r w:rsidR="000E5B9D">
        <w:rPr>
          <w:rFonts w:ascii="Times New Roman" w:hAnsi="Times New Roman"/>
          <w:szCs w:val="24"/>
        </w:rPr>
        <w:t xml:space="preserve">currently </w:t>
      </w:r>
      <w:r w:rsidR="00B14599">
        <w:rPr>
          <w:rFonts w:ascii="Times New Roman" w:hAnsi="Times New Roman"/>
          <w:szCs w:val="24"/>
        </w:rPr>
        <w:t>uses the approach.</w:t>
      </w:r>
      <w:r w:rsidR="00B14599">
        <w:rPr>
          <w:rStyle w:val="FootnoteReference"/>
          <w:rFonts w:ascii="Times New Roman" w:hAnsi="Times New Roman"/>
          <w:szCs w:val="24"/>
        </w:rPr>
        <w:footnoteReference w:id="154"/>
      </w:r>
    </w:p>
    <w:p w:rsidR="00D45647" w:rsidRPr="009D1941" w:rsidRDefault="006B7506" w:rsidP="00D706C2">
      <w:pPr>
        <w:keepNext/>
        <w:spacing w:after="240"/>
        <w:ind w:left="720" w:hanging="720"/>
        <w:rPr>
          <w:rFonts w:ascii="Times New Roman" w:hAnsi="Times New Roman"/>
          <w:b/>
          <w:szCs w:val="24"/>
        </w:rPr>
      </w:pPr>
      <w:r>
        <w:rPr>
          <w:rFonts w:ascii="Times New Roman" w:hAnsi="Times New Roman"/>
          <w:b/>
          <w:szCs w:val="24"/>
        </w:rPr>
        <w:t>H</w:t>
      </w:r>
      <w:r w:rsidR="00D45647" w:rsidRPr="009D1941">
        <w:rPr>
          <w:rFonts w:ascii="Times New Roman" w:hAnsi="Times New Roman"/>
          <w:b/>
          <w:szCs w:val="24"/>
        </w:rPr>
        <w:t>.</w:t>
      </w:r>
      <w:r w:rsidR="00D45647" w:rsidRPr="009D1941">
        <w:rPr>
          <w:rFonts w:ascii="Times New Roman" w:hAnsi="Times New Roman"/>
          <w:b/>
          <w:szCs w:val="24"/>
        </w:rPr>
        <w:tab/>
        <w:t>Non-Firm Transmission</w:t>
      </w:r>
      <w:r w:rsidR="003B57CE">
        <w:rPr>
          <w:rFonts w:ascii="Times New Roman" w:hAnsi="Times New Roman"/>
          <w:b/>
          <w:szCs w:val="24"/>
        </w:rPr>
        <w:t xml:space="preserve"> </w:t>
      </w:r>
      <w:proofErr w:type="gramStart"/>
      <w:r w:rsidR="003B57CE">
        <w:rPr>
          <w:rFonts w:ascii="Times New Roman" w:hAnsi="Times New Roman"/>
          <w:b/>
          <w:szCs w:val="24"/>
        </w:rPr>
        <w:t>Should</w:t>
      </w:r>
      <w:proofErr w:type="gramEnd"/>
      <w:r w:rsidR="003B57CE">
        <w:rPr>
          <w:rFonts w:ascii="Times New Roman" w:hAnsi="Times New Roman"/>
          <w:b/>
          <w:szCs w:val="24"/>
        </w:rPr>
        <w:t xml:space="preserve"> be Modeled in the Same Manner as Short-Term Firm Transmission.</w:t>
      </w:r>
    </w:p>
    <w:p w:rsidR="00B6389A" w:rsidRDefault="00D45647" w:rsidP="00D706C2">
      <w:pPr>
        <w:pStyle w:val="ListParagraph"/>
        <w:numPr>
          <w:ilvl w:val="0"/>
          <w:numId w:val="12"/>
        </w:numPr>
        <w:tabs>
          <w:tab w:val="left" w:pos="720"/>
        </w:tabs>
        <w:spacing w:line="480" w:lineRule="auto"/>
        <w:ind w:left="0"/>
        <w:rPr>
          <w:rFonts w:ascii="Times New Roman" w:hAnsi="Times New Roman"/>
          <w:szCs w:val="24"/>
        </w:rPr>
      </w:pPr>
      <w:r w:rsidRPr="009D1941">
        <w:rPr>
          <w:rFonts w:ascii="Times New Roman" w:hAnsi="Times New Roman"/>
          <w:szCs w:val="24"/>
        </w:rPr>
        <w:tab/>
      </w:r>
      <w:r w:rsidR="00B6389A">
        <w:rPr>
          <w:rFonts w:ascii="Times New Roman" w:hAnsi="Times New Roman"/>
          <w:szCs w:val="24"/>
        </w:rPr>
        <w:t xml:space="preserve">ICNU </w:t>
      </w:r>
      <w:r w:rsidR="006B7506">
        <w:rPr>
          <w:rFonts w:ascii="Times New Roman" w:hAnsi="Times New Roman"/>
          <w:szCs w:val="24"/>
        </w:rPr>
        <w:t xml:space="preserve">disagrees with the </w:t>
      </w:r>
      <w:r w:rsidR="00B6389A">
        <w:rPr>
          <w:rFonts w:ascii="Times New Roman" w:hAnsi="Times New Roman"/>
          <w:szCs w:val="24"/>
        </w:rPr>
        <w:t xml:space="preserve">Company’s modeling of non-firm transmission </w:t>
      </w:r>
      <w:r w:rsidR="00A75AAA">
        <w:rPr>
          <w:rFonts w:ascii="Times New Roman" w:hAnsi="Times New Roman"/>
          <w:szCs w:val="24"/>
        </w:rPr>
        <w:t>using a four-year average to compute the non-firm transmission capacity and the most recent year to compute costs.</w:t>
      </w:r>
      <w:r w:rsidR="00A75AAA">
        <w:rPr>
          <w:rStyle w:val="FootnoteReference"/>
          <w:rFonts w:ascii="Times New Roman" w:hAnsi="Times New Roman"/>
          <w:szCs w:val="24"/>
        </w:rPr>
        <w:footnoteReference w:id="155"/>
      </w:r>
      <w:r w:rsidR="00A75AAA">
        <w:rPr>
          <w:rFonts w:ascii="Times New Roman" w:hAnsi="Times New Roman"/>
          <w:szCs w:val="24"/>
        </w:rPr>
        <w:t xml:space="preserve">  This is the method used by the Company to model short-term firm transmission;</w:t>
      </w:r>
      <w:r w:rsidR="00A75AAA">
        <w:rPr>
          <w:rStyle w:val="FootnoteReference"/>
          <w:rFonts w:ascii="Times New Roman" w:hAnsi="Times New Roman"/>
          <w:szCs w:val="24"/>
        </w:rPr>
        <w:footnoteReference w:id="156"/>
      </w:r>
      <w:r w:rsidR="00A75AAA">
        <w:rPr>
          <w:rFonts w:ascii="Times New Roman" w:hAnsi="Times New Roman"/>
          <w:szCs w:val="24"/>
        </w:rPr>
        <w:t xml:space="preserve"> ICNU does not object to the Company’s modeling in that context.  ICNU has not explained</w:t>
      </w:r>
      <w:r w:rsidR="005329F5">
        <w:rPr>
          <w:rFonts w:ascii="Times New Roman" w:hAnsi="Times New Roman"/>
          <w:szCs w:val="24"/>
        </w:rPr>
        <w:t xml:space="preserve"> why</w:t>
      </w:r>
      <w:r w:rsidR="00A75AAA">
        <w:rPr>
          <w:rFonts w:ascii="Times New Roman" w:hAnsi="Times New Roman"/>
          <w:szCs w:val="24"/>
        </w:rPr>
        <w:t xml:space="preserve"> non-firm and short-term firm transmission should be modeled differently.</w:t>
      </w:r>
    </w:p>
    <w:p w:rsidR="00D45647" w:rsidRPr="009D1941" w:rsidRDefault="00A75AAA" w:rsidP="00D706C2">
      <w:pPr>
        <w:pStyle w:val="ListParagraph"/>
        <w:numPr>
          <w:ilvl w:val="0"/>
          <w:numId w:val="12"/>
        </w:numPr>
        <w:tabs>
          <w:tab w:val="left" w:pos="720"/>
        </w:tabs>
        <w:spacing w:line="480" w:lineRule="auto"/>
        <w:ind w:left="0"/>
        <w:rPr>
          <w:rFonts w:ascii="Times New Roman" w:hAnsi="Times New Roman"/>
          <w:szCs w:val="24"/>
        </w:rPr>
      </w:pPr>
      <w:r w:rsidRPr="00A75AAA">
        <w:rPr>
          <w:rFonts w:ascii="Times New Roman" w:hAnsi="Times New Roman"/>
          <w:szCs w:val="24"/>
        </w:rPr>
        <w:tab/>
        <w:t xml:space="preserve">ICNU claims that its proposal is </w:t>
      </w:r>
      <w:r w:rsidR="00D45647" w:rsidRPr="00A75AAA">
        <w:rPr>
          <w:rFonts w:ascii="Times New Roman" w:hAnsi="Times New Roman"/>
          <w:szCs w:val="24"/>
        </w:rPr>
        <w:t xml:space="preserve">consistent with how </w:t>
      </w:r>
      <w:r>
        <w:rPr>
          <w:rFonts w:ascii="Times New Roman" w:hAnsi="Times New Roman"/>
          <w:szCs w:val="24"/>
        </w:rPr>
        <w:t xml:space="preserve">the Company </w:t>
      </w:r>
      <w:r w:rsidR="00D45647" w:rsidRPr="00A75AAA">
        <w:rPr>
          <w:rFonts w:ascii="Times New Roman" w:hAnsi="Times New Roman"/>
          <w:szCs w:val="24"/>
        </w:rPr>
        <w:t>model</w:t>
      </w:r>
      <w:r>
        <w:rPr>
          <w:rFonts w:ascii="Times New Roman" w:hAnsi="Times New Roman"/>
          <w:szCs w:val="24"/>
        </w:rPr>
        <w:t>s</w:t>
      </w:r>
      <w:r w:rsidR="00D45647" w:rsidRPr="00A75AAA">
        <w:rPr>
          <w:rFonts w:ascii="Times New Roman" w:hAnsi="Times New Roman"/>
          <w:szCs w:val="24"/>
        </w:rPr>
        <w:t xml:space="preserve"> non-firm transmission in both Utah and Oregon</w:t>
      </w:r>
      <w:r>
        <w:rPr>
          <w:rFonts w:ascii="Times New Roman" w:hAnsi="Times New Roman"/>
          <w:szCs w:val="24"/>
        </w:rPr>
        <w:t>.</w:t>
      </w:r>
      <w:r>
        <w:rPr>
          <w:rStyle w:val="FootnoteReference"/>
          <w:rFonts w:ascii="Times New Roman" w:hAnsi="Times New Roman"/>
          <w:szCs w:val="24"/>
        </w:rPr>
        <w:footnoteReference w:id="157"/>
      </w:r>
      <w:r w:rsidR="00854557">
        <w:rPr>
          <w:rFonts w:ascii="Times New Roman" w:hAnsi="Times New Roman"/>
          <w:szCs w:val="24"/>
        </w:rPr>
        <w:t xml:space="preserve">  In fact, the Company’s current filing </w:t>
      </w:r>
      <w:r w:rsidR="00D45647" w:rsidRPr="009D1941">
        <w:rPr>
          <w:rFonts w:ascii="Times New Roman" w:hAnsi="Times New Roman"/>
          <w:szCs w:val="24"/>
        </w:rPr>
        <w:t>in Utah is proposing to change the modeling of non-firm transmission to match</w:t>
      </w:r>
      <w:r w:rsidR="001E0B28">
        <w:rPr>
          <w:rFonts w:ascii="Times New Roman" w:hAnsi="Times New Roman"/>
          <w:szCs w:val="24"/>
        </w:rPr>
        <w:t xml:space="preserve"> the</w:t>
      </w:r>
      <w:r w:rsidR="00D45647" w:rsidRPr="009D1941">
        <w:rPr>
          <w:rFonts w:ascii="Times New Roman" w:hAnsi="Times New Roman"/>
          <w:szCs w:val="24"/>
        </w:rPr>
        <w:t xml:space="preserve"> Company’s proposal </w:t>
      </w:r>
      <w:r w:rsidR="00426917">
        <w:rPr>
          <w:rFonts w:ascii="Times New Roman" w:hAnsi="Times New Roman"/>
          <w:szCs w:val="24"/>
        </w:rPr>
        <w:t xml:space="preserve">in this case because </w:t>
      </w:r>
      <w:r w:rsidR="00426917" w:rsidRPr="00636755">
        <w:t xml:space="preserve">the Company </w:t>
      </w:r>
      <w:r w:rsidR="00426917">
        <w:t xml:space="preserve">has determined that how it </w:t>
      </w:r>
      <w:r w:rsidR="00426917" w:rsidRPr="00636755">
        <w:t xml:space="preserve">purchases and uses </w:t>
      </w:r>
      <w:r w:rsidR="00426917">
        <w:t xml:space="preserve">short-term firm </w:t>
      </w:r>
      <w:r w:rsidR="00426917" w:rsidRPr="00636755">
        <w:t xml:space="preserve">and </w:t>
      </w:r>
      <w:r w:rsidR="00426917">
        <w:t xml:space="preserve">non-firm </w:t>
      </w:r>
      <w:r w:rsidR="00426917" w:rsidRPr="00636755">
        <w:t xml:space="preserve">transmission </w:t>
      </w:r>
      <w:r w:rsidR="00426917">
        <w:t>is the same.</w:t>
      </w:r>
      <w:r w:rsidR="00426917">
        <w:rPr>
          <w:rStyle w:val="FootnoteReference"/>
          <w:rFonts w:ascii="Times New Roman" w:hAnsi="Times New Roman"/>
          <w:szCs w:val="24"/>
        </w:rPr>
        <w:footnoteReference w:id="158"/>
      </w:r>
      <w:r w:rsidR="00426917">
        <w:t xml:space="preserve">  </w:t>
      </w:r>
    </w:p>
    <w:p w:rsidR="0069589C" w:rsidRDefault="0069589C"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ICNU inaccurately characterizes the Company’s incentive for entering into non-firm transmission as economic.</w:t>
      </w:r>
      <w:r>
        <w:rPr>
          <w:rStyle w:val="FootnoteReference"/>
          <w:rFonts w:ascii="Times New Roman" w:hAnsi="Times New Roman"/>
          <w:szCs w:val="24"/>
        </w:rPr>
        <w:footnoteReference w:id="159"/>
      </w:r>
      <w:r>
        <w:rPr>
          <w:rFonts w:ascii="Times New Roman" w:hAnsi="Times New Roman"/>
          <w:szCs w:val="24"/>
        </w:rPr>
        <w:t xml:space="preserve">  </w:t>
      </w:r>
      <w:r w:rsidR="00260208">
        <w:rPr>
          <w:rFonts w:ascii="Times New Roman" w:hAnsi="Times New Roman"/>
          <w:szCs w:val="24"/>
        </w:rPr>
        <w:t>In fact, the data response quoted by ICNU for support on this point stated “the primary reason [the Company] should enter into non-firm transmission purchases is to serve load.  The Company does attempt to serve load on firm transmission when possible, but firm transmission is not always available.”</w:t>
      </w:r>
      <w:r w:rsidR="00260208">
        <w:rPr>
          <w:rStyle w:val="FootnoteReference"/>
          <w:rFonts w:ascii="Times New Roman" w:hAnsi="Times New Roman"/>
          <w:szCs w:val="24"/>
        </w:rPr>
        <w:footnoteReference w:id="160"/>
      </w:r>
      <w:r w:rsidR="00260208">
        <w:rPr>
          <w:rFonts w:ascii="Times New Roman" w:hAnsi="Times New Roman"/>
          <w:szCs w:val="24"/>
        </w:rPr>
        <w:t xml:space="preserve">  Therefore, ICNU’s claim that non-firm transmission should necessarily decrease NPC is not accurate.</w:t>
      </w:r>
    </w:p>
    <w:p w:rsidR="00E950B6" w:rsidRPr="009D1941" w:rsidRDefault="002D4FD4"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E950B6" w:rsidRPr="009D1941">
        <w:rPr>
          <w:rFonts w:ascii="Times New Roman" w:hAnsi="Times New Roman"/>
          <w:szCs w:val="24"/>
        </w:rPr>
        <w:t>Staff</w:t>
      </w:r>
      <w:r>
        <w:rPr>
          <w:rFonts w:ascii="Times New Roman" w:hAnsi="Times New Roman"/>
          <w:szCs w:val="24"/>
        </w:rPr>
        <w:t xml:space="preserve"> rejects both the Company’s and ICNU’s proposed adjustments on the basis that the issues require further investigation.</w:t>
      </w:r>
      <w:r>
        <w:rPr>
          <w:rStyle w:val="FootnoteReference"/>
          <w:rFonts w:ascii="Times New Roman" w:hAnsi="Times New Roman"/>
          <w:szCs w:val="24"/>
        </w:rPr>
        <w:footnoteReference w:id="161"/>
      </w:r>
      <w:r w:rsidR="0069589C">
        <w:rPr>
          <w:rFonts w:ascii="Times New Roman" w:hAnsi="Times New Roman"/>
          <w:szCs w:val="24"/>
        </w:rPr>
        <w:t xml:space="preserve">  While the Company believes it has correctly modeled short-term firm and non-firm transmission, Staff’s approach is superior to ICNU’s inconsistent modeling of short-term and non-term firm transmission.</w:t>
      </w:r>
    </w:p>
    <w:p w:rsidR="00CF0EAF" w:rsidRPr="009D1941" w:rsidRDefault="00854557" w:rsidP="00D706C2">
      <w:pPr>
        <w:keepNext/>
        <w:spacing w:after="240"/>
        <w:ind w:left="720" w:hanging="720"/>
        <w:rPr>
          <w:rFonts w:ascii="Times New Roman" w:hAnsi="Times New Roman"/>
          <w:szCs w:val="24"/>
        </w:rPr>
      </w:pPr>
      <w:r>
        <w:rPr>
          <w:rFonts w:ascii="Times New Roman" w:hAnsi="Times New Roman"/>
          <w:b/>
          <w:szCs w:val="24"/>
        </w:rPr>
        <w:t>I</w:t>
      </w:r>
      <w:r w:rsidR="00CF0EAF" w:rsidRPr="009D1941">
        <w:rPr>
          <w:rFonts w:ascii="Times New Roman" w:hAnsi="Times New Roman"/>
          <w:b/>
          <w:szCs w:val="24"/>
        </w:rPr>
        <w:t>.</w:t>
      </w:r>
      <w:r w:rsidR="00CF0EAF" w:rsidRPr="009D1941">
        <w:rPr>
          <w:rFonts w:ascii="Times New Roman" w:hAnsi="Times New Roman"/>
          <w:b/>
          <w:szCs w:val="24"/>
        </w:rPr>
        <w:tab/>
      </w:r>
      <w:r w:rsidR="007C3759">
        <w:rPr>
          <w:rFonts w:ascii="Times New Roman" w:hAnsi="Times New Roman"/>
          <w:b/>
          <w:szCs w:val="24"/>
        </w:rPr>
        <w:t xml:space="preserve">ICNU’s New O&amp;M Start Up Cost Adjustment is </w:t>
      </w:r>
      <w:r w:rsidR="00FA1AFA">
        <w:rPr>
          <w:rFonts w:ascii="Times New Roman" w:hAnsi="Times New Roman"/>
          <w:b/>
          <w:szCs w:val="24"/>
        </w:rPr>
        <w:t>Unsupported</w:t>
      </w:r>
      <w:r w:rsidR="00307AC7">
        <w:rPr>
          <w:rFonts w:ascii="Times New Roman" w:hAnsi="Times New Roman"/>
          <w:b/>
          <w:szCs w:val="24"/>
        </w:rPr>
        <w:t xml:space="preserve">.  </w:t>
      </w:r>
      <w:r w:rsidR="007C3759">
        <w:rPr>
          <w:rFonts w:ascii="Times New Roman" w:hAnsi="Times New Roman"/>
          <w:b/>
          <w:szCs w:val="24"/>
        </w:rPr>
        <w:t xml:space="preserve"> </w:t>
      </w:r>
    </w:p>
    <w:p w:rsidR="000D45C0" w:rsidRPr="000D45C0" w:rsidRDefault="000D45C0" w:rsidP="00D706C2">
      <w:pPr>
        <w:pStyle w:val="ListParagraph"/>
        <w:numPr>
          <w:ilvl w:val="0"/>
          <w:numId w:val="12"/>
        </w:numPr>
        <w:tabs>
          <w:tab w:val="left" w:pos="720"/>
        </w:tabs>
        <w:spacing w:line="480" w:lineRule="auto"/>
        <w:ind w:left="0"/>
        <w:rPr>
          <w:rFonts w:ascii="Times New Roman" w:eastAsiaTheme="minorHAnsi" w:hAnsi="Times New Roman"/>
          <w:szCs w:val="24"/>
        </w:rPr>
      </w:pPr>
      <w:r>
        <w:tab/>
        <w:t>Although ICNU admits that the Company did not include incremental O&amp;M start up costs in its filing, ICNU</w:t>
      </w:r>
      <w:r w:rsidR="00233F70">
        <w:t xml:space="preserve"> now</w:t>
      </w:r>
      <w:r>
        <w:t xml:space="preserve"> proposes to </w:t>
      </w:r>
      <w:r>
        <w:rPr>
          <w:rFonts w:ascii="Times New Roman" w:eastAsiaTheme="minorHAnsi" w:hAnsi="Times New Roman"/>
          <w:szCs w:val="24"/>
        </w:rPr>
        <w:t>adjust the screening methodology to exclude start-up O&amp;M costs.</w:t>
      </w:r>
      <w:r>
        <w:rPr>
          <w:rStyle w:val="FootnoteReference"/>
          <w:rFonts w:ascii="Times New Roman" w:eastAsiaTheme="minorHAnsi" w:hAnsi="Times New Roman"/>
          <w:szCs w:val="24"/>
        </w:rPr>
        <w:footnoteReference w:id="162"/>
      </w:r>
      <w:r>
        <w:rPr>
          <w:rFonts w:ascii="Times New Roman" w:eastAsiaTheme="minorHAnsi" w:hAnsi="Times New Roman"/>
          <w:szCs w:val="24"/>
        </w:rPr>
        <w:t xml:space="preserve">  </w:t>
      </w:r>
      <w:r w:rsidR="007C3759">
        <w:rPr>
          <w:rFonts w:ascii="Times New Roman" w:eastAsiaTheme="minorHAnsi" w:hAnsi="Times New Roman"/>
          <w:szCs w:val="24"/>
        </w:rPr>
        <w:t>ICNU states that “[n]</w:t>
      </w:r>
      <w:proofErr w:type="spellStart"/>
      <w:r w:rsidR="007C3759">
        <w:rPr>
          <w:rFonts w:ascii="Times New Roman" w:eastAsiaTheme="minorHAnsi" w:hAnsi="Times New Roman"/>
          <w:szCs w:val="24"/>
        </w:rPr>
        <w:t>onexistent</w:t>
      </w:r>
      <w:proofErr w:type="spellEnd"/>
      <w:r w:rsidR="007C3759">
        <w:rPr>
          <w:rFonts w:ascii="Times New Roman" w:eastAsiaTheme="minorHAnsi" w:hAnsi="Times New Roman"/>
          <w:szCs w:val="24"/>
        </w:rPr>
        <w:t xml:space="preserve"> start up O&amp;M costs should not be considered in the screens.”</w:t>
      </w:r>
      <w:r w:rsidR="007C3759">
        <w:rPr>
          <w:rStyle w:val="FootnoteReference"/>
          <w:rFonts w:ascii="Times New Roman" w:eastAsiaTheme="minorHAnsi" w:hAnsi="Times New Roman"/>
          <w:szCs w:val="24"/>
        </w:rPr>
        <w:footnoteReference w:id="163"/>
      </w:r>
      <w:r w:rsidR="007C3759">
        <w:rPr>
          <w:rFonts w:ascii="Times New Roman" w:eastAsiaTheme="minorHAnsi" w:hAnsi="Times New Roman"/>
          <w:szCs w:val="24"/>
        </w:rPr>
        <w:t xml:space="preserve">  As </w:t>
      </w:r>
      <w:r w:rsidR="0097679A">
        <w:rPr>
          <w:rFonts w:ascii="Times New Roman" w:eastAsiaTheme="minorHAnsi" w:hAnsi="Times New Roman"/>
          <w:szCs w:val="24"/>
        </w:rPr>
        <w:t>Mr. </w:t>
      </w:r>
      <w:r w:rsidR="007C3759">
        <w:rPr>
          <w:rFonts w:ascii="Times New Roman" w:eastAsiaTheme="minorHAnsi" w:hAnsi="Times New Roman"/>
          <w:szCs w:val="24"/>
        </w:rPr>
        <w:t xml:space="preserve">Duvall explained in his testimony, ICNU did not explain its adjustment in </w:t>
      </w:r>
      <w:r w:rsidR="0097679A">
        <w:rPr>
          <w:rFonts w:ascii="Times New Roman" w:eastAsiaTheme="minorHAnsi" w:hAnsi="Times New Roman"/>
          <w:szCs w:val="24"/>
        </w:rPr>
        <w:t>Mr. </w:t>
      </w:r>
      <w:proofErr w:type="spellStart"/>
      <w:r w:rsidR="007C3759">
        <w:rPr>
          <w:rFonts w:ascii="Times New Roman" w:eastAsiaTheme="minorHAnsi" w:hAnsi="Times New Roman"/>
          <w:szCs w:val="24"/>
        </w:rPr>
        <w:t>Falkenberg’s</w:t>
      </w:r>
      <w:proofErr w:type="spellEnd"/>
      <w:r w:rsidR="007C3759">
        <w:rPr>
          <w:rFonts w:ascii="Times New Roman" w:eastAsiaTheme="minorHAnsi" w:hAnsi="Times New Roman"/>
          <w:szCs w:val="24"/>
        </w:rPr>
        <w:t xml:space="preserve"> testimony</w:t>
      </w:r>
      <w:r w:rsidR="00D76B27">
        <w:rPr>
          <w:rFonts w:ascii="Times New Roman" w:eastAsiaTheme="minorHAnsi" w:hAnsi="Times New Roman"/>
          <w:szCs w:val="24"/>
        </w:rPr>
        <w:t>,</w:t>
      </w:r>
      <w:r w:rsidR="00D76B27">
        <w:rPr>
          <w:rStyle w:val="FootnoteReference"/>
          <w:rFonts w:ascii="Times New Roman" w:eastAsiaTheme="minorHAnsi" w:hAnsi="Times New Roman"/>
          <w:szCs w:val="24"/>
        </w:rPr>
        <w:footnoteReference w:id="164"/>
      </w:r>
      <w:r w:rsidR="00D76B27">
        <w:rPr>
          <w:rFonts w:ascii="Times New Roman" w:eastAsiaTheme="minorHAnsi" w:hAnsi="Times New Roman"/>
          <w:szCs w:val="24"/>
        </w:rPr>
        <w:t xml:space="preserve"> and ICNU’s brief sheds no light on the nature of the adjustment</w:t>
      </w:r>
      <w:r w:rsidR="00233F70">
        <w:rPr>
          <w:rFonts w:ascii="Times New Roman" w:eastAsiaTheme="minorHAnsi" w:hAnsi="Times New Roman"/>
          <w:szCs w:val="24"/>
        </w:rPr>
        <w:t xml:space="preserve"> or its proper quantification</w:t>
      </w:r>
      <w:r w:rsidR="00D76B27">
        <w:rPr>
          <w:rFonts w:ascii="Times New Roman" w:eastAsiaTheme="minorHAnsi" w:hAnsi="Times New Roman"/>
          <w:szCs w:val="24"/>
        </w:rPr>
        <w:t xml:space="preserve">.  </w:t>
      </w:r>
      <w:r w:rsidR="00242FAF">
        <w:rPr>
          <w:rFonts w:ascii="Times New Roman" w:eastAsiaTheme="minorHAnsi" w:hAnsi="Times New Roman"/>
          <w:szCs w:val="24"/>
        </w:rPr>
        <w:t xml:space="preserve">ICNU’s adjustment unreasonably implies the Company should not take into consideration the effect of wear and tear that each start-up contributes to the unit when making the decision to start a unit up.  </w:t>
      </w:r>
      <w:r w:rsidR="00D76B27">
        <w:rPr>
          <w:rFonts w:ascii="Times New Roman" w:eastAsiaTheme="minorHAnsi" w:hAnsi="Times New Roman"/>
          <w:szCs w:val="24"/>
        </w:rPr>
        <w:t>Because ICNU has not articulated the basis for its adjustment or provided coherent support for it, the Company requests that the Commission reject the adjustment.</w:t>
      </w:r>
    </w:p>
    <w:p w:rsidR="009B143E" w:rsidRPr="009D1941" w:rsidRDefault="009B143E" w:rsidP="00D706C2">
      <w:pPr>
        <w:keepNext/>
        <w:spacing w:line="480" w:lineRule="auto"/>
        <w:jc w:val="center"/>
        <w:rPr>
          <w:rFonts w:ascii="Times New Roman" w:hAnsi="Times New Roman"/>
          <w:b/>
          <w:szCs w:val="24"/>
        </w:rPr>
      </w:pPr>
      <w:r w:rsidRPr="009D1941">
        <w:rPr>
          <w:rFonts w:ascii="Times New Roman" w:hAnsi="Times New Roman"/>
          <w:b/>
          <w:szCs w:val="24"/>
        </w:rPr>
        <w:t>I</w:t>
      </w:r>
      <w:r>
        <w:rPr>
          <w:rFonts w:ascii="Times New Roman" w:hAnsi="Times New Roman"/>
          <w:b/>
          <w:szCs w:val="24"/>
        </w:rPr>
        <w:t>V</w:t>
      </w:r>
      <w:r w:rsidRPr="009D1941">
        <w:rPr>
          <w:rFonts w:ascii="Times New Roman" w:hAnsi="Times New Roman"/>
          <w:b/>
          <w:szCs w:val="24"/>
        </w:rPr>
        <w:t>.</w:t>
      </w:r>
      <w:r w:rsidRPr="009D1941">
        <w:rPr>
          <w:rFonts w:ascii="Times New Roman" w:hAnsi="Times New Roman"/>
          <w:b/>
          <w:szCs w:val="24"/>
        </w:rPr>
        <w:tab/>
        <w:t>TAX ISSUES</w:t>
      </w:r>
    </w:p>
    <w:p w:rsidR="009B143E" w:rsidRDefault="009B143E" w:rsidP="00D706C2">
      <w:pPr>
        <w:keepNext/>
        <w:spacing w:line="480" w:lineRule="auto"/>
        <w:rPr>
          <w:rFonts w:ascii="Times New Roman" w:hAnsi="Times New Roman"/>
          <w:b/>
          <w:szCs w:val="24"/>
        </w:rPr>
      </w:pPr>
      <w:r w:rsidRPr="009D1941">
        <w:rPr>
          <w:rFonts w:ascii="Times New Roman" w:hAnsi="Times New Roman"/>
          <w:b/>
          <w:szCs w:val="24"/>
        </w:rPr>
        <w:t>A.</w:t>
      </w:r>
      <w:r w:rsidRPr="009D1941">
        <w:rPr>
          <w:rFonts w:ascii="Times New Roman" w:hAnsi="Times New Roman"/>
          <w:b/>
          <w:szCs w:val="24"/>
        </w:rPr>
        <w:tab/>
      </w:r>
      <w:r>
        <w:rPr>
          <w:rFonts w:ascii="Times New Roman" w:hAnsi="Times New Roman"/>
          <w:b/>
          <w:szCs w:val="24"/>
        </w:rPr>
        <w:t>Customers Will Benefit From Full Normalization.</w:t>
      </w:r>
    </w:p>
    <w:p w:rsidR="009B143E" w:rsidRPr="00572D75" w:rsidRDefault="00F77D8F" w:rsidP="00D706C2">
      <w:pPr>
        <w:pStyle w:val="ListParagraph"/>
        <w:numPr>
          <w:ilvl w:val="0"/>
          <w:numId w:val="12"/>
        </w:numPr>
        <w:tabs>
          <w:tab w:val="clear" w:pos="1440"/>
          <w:tab w:val="num" w:pos="720"/>
          <w:tab w:val="num" w:pos="3600"/>
        </w:tabs>
        <w:spacing w:line="480" w:lineRule="auto"/>
        <w:ind w:left="0"/>
        <w:rPr>
          <w:rFonts w:ascii="Times New Roman" w:hAnsi="Times New Roman"/>
          <w:szCs w:val="24"/>
        </w:rPr>
      </w:pPr>
      <w:r>
        <w:rPr>
          <w:rFonts w:ascii="Times New Roman" w:hAnsi="Times New Roman"/>
          <w:szCs w:val="24"/>
        </w:rPr>
        <w:tab/>
      </w:r>
      <w:r w:rsidR="009B143E" w:rsidRPr="00572D75">
        <w:rPr>
          <w:rFonts w:ascii="Times New Roman" w:hAnsi="Times New Roman"/>
          <w:szCs w:val="24"/>
        </w:rPr>
        <w:t>Staff objects to the Company’s proposal for full normalization on the basis that the Company has not demonstrated how customers would benefit from the change.</w:t>
      </w:r>
      <w:r w:rsidR="009B143E">
        <w:rPr>
          <w:rStyle w:val="FootnoteReference"/>
          <w:rFonts w:ascii="Times New Roman" w:hAnsi="Times New Roman"/>
          <w:szCs w:val="24"/>
        </w:rPr>
        <w:footnoteReference w:id="165"/>
      </w:r>
      <w:r w:rsidR="009B143E" w:rsidRPr="00572D75">
        <w:rPr>
          <w:rFonts w:ascii="Times New Roman" w:hAnsi="Times New Roman"/>
          <w:szCs w:val="24"/>
        </w:rPr>
        <w:t xml:space="preserve">  But Staff has previously acknowledged multiple benefits associated with full normalization, including upholding the matching principle,</w:t>
      </w:r>
      <w:r w:rsidR="009B143E">
        <w:rPr>
          <w:rStyle w:val="FootnoteReference"/>
          <w:rFonts w:ascii="Times New Roman" w:hAnsi="Times New Roman"/>
          <w:szCs w:val="24"/>
        </w:rPr>
        <w:footnoteReference w:id="166"/>
      </w:r>
      <w:r w:rsidR="009B143E" w:rsidRPr="00572D75">
        <w:rPr>
          <w:rFonts w:ascii="Times New Roman" w:hAnsi="Times New Roman"/>
          <w:szCs w:val="24"/>
        </w:rPr>
        <w:t xml:space="preserve"> avoiding fluctuations in taxes reflected in cost of service for ratemaking purposes</w:t>
      </w:r>
      <w:r w:rsidR="00AC50B1">
        <w:rPr>
          <w:rFonts w:ascii="Times New Roman" w:hAnsi="Times New Roman"/>
          <w:szCs w:val="24"/>
        </w:rPr>
        <w:t>,</w:t>
      </w:r>
      <w:r w:rsidR="009B143E">
        <w:rPr>
          <w:rStyle w:val="FootnoteReference"/>
          <w:rFonts w:ascii="Times New Roman" w:hAnsi="Times New Roman"/>
          <w:szCs w:val="24"/>
        </w:rPr>
        <w:footnoteReference w:id="167"/>
      </w:r>
      <w:r w:rsidR="009B143E" w:rsidRPr="00572D75">
        <w:rPr>
          <w:rFonts w:ascii="Times New Roman" w:hAnsi="Times New Roman"/>
          <w:szCs w:val="24"/>
        </w:rPr>
        <w:t xml:space="preserve"> and avoiding the loss of tax benefits that are out of period.</w:t>
      </w:r>
      <w:r w:rsidR="009B143E">
        <w:rPr>
          <w:rStyle w:val="FootnoteReference"/>
          <w:rFonts w:ascii="Times New Roman" w:hAnsi="Times New Roman"/>
          <w:szCs w:val="24"/>
        </w:rPr>
        <w:footnoteReference w:id="168"/>
      </w:r>
      <w:r w:rsidR="009B143E" w:rsidRPr="00572D75">
        <w:rPr>
          <w:rFonts w:ascii="Times New Roman" w:hAnsi="Times New Roman"/>
          <w:szCs w:val="24"/>
        </w:rPr>
        <w:t xml:space="preserve">  The repairs deduction illustrates the benefits of normalization as compared to flow-through accounting.  If PacifiCorp had not sought fully normalized accounting, the repairs deduction </w:t>
      </w:r>
      <w:r w:rsidR="009B143E">
        <w:rPr>
          <w:rFonts w:ascii="Times New Roman" w:hAnsi="Times New Roman"/>
          <w:szCs w:val="24"/>
        </w:rPr>
        <w:t>would</w:t>
      </w:r>
      <w:r w:rsidR="009B143E" w:rsidRPr="00572D75">
        <w:rPr>
          <w:rFonts w:ascii="Times New Roman" w:hAnsi="Times New Roman"/>
          <w:szCs w:val="24"/>
        </w:rPr>
        <w:t xml:space="preserve"> have been subject to flow-though accounting, at a cost to customers of $25.3 million in tax benefits.</w:t>
      </w:r>
      <w:r w:rsidR="009B143E">
        <w:rPr>
          <w:rStyle w:val="FootnoteReference"/>
          <w:rFonts w:ascii="Times New Roman" w:hAnsi="Times New Roman"/>
          <w:szCs w:val="24"/>
        </w:rPr>
        <w:footnoteReference w:id="169"/>
      </w:r>
      <w:r w:rsidR="009B143E" w:rsidRPr="00572D75">
        <w:rPr>
          <w:rFonts w:ascii="Times New Roman" w:hAnsi="Times New Roman"/>
          <w:szCs w:val="24"/>
        </w:rPr>
        <w:t xml:space="preserve">  </w:t>
      </w:r>
    </w:p>
    <w:p w:rsidR="00F77D8F" w:rsidRDefault="00F77D8F" w:rsidP="00D706C2">
      <w:pPr>
        <w:pStyle w:val="ListParagraph"/>
        <w:numPr>
          <w:ilvl w:val="0"/>
          <w:numId w:val="12"/>
        </w:numPr>
        <w:tabs>
          <w:tab w:val="clear" w:pos="1440"/>
          <w:tab w:val="num" w:pos="720"/>
          <w:tab w:val="num" w:pos="3600"/>
        </w:tabs>
        <w:spacing w:line="480" w:lineRule="auto"/>
        <w:ind w:left="0"/>
        <w:rPr>
          <w:rFonts w:ascii="Times New Roman" w:hAnsi="Times New Roman"/>
          <w:szCs w:val="24"/>
        </w:rPr>
      </w:pPr>
      <w:r>
        <w:rPr>
          <w:rFonts w:ascii="Times New Roman" w:hAnsi="Times New Roman"/>
          <w:szCs w:val="24"/>
        </w:rPr>
        <w:tab/>
      </w:r>
      <w:r w:rsidR="009B143E" w:rsidRPr="002332CC">
        <w:rPr>
          <w:rFonts w:ascii="Times New Roman" w:hAnsi="Times New Roman"/>
          <w:szCs w:val="24"/>
        </w:rPr>
        <w:t>Throughout the course of this case, another major benefit of a change to full normalization has become clear:  full normalization will eliminate the significant confusion and ambiguity that now exists with respect to the Commission’s policy for the regulatory treatment of the Company’s income taxes.</w:t>
      </w:r>
      <w:r w:rsidR="009B143E">
        <w:rPr>
          <w:rStyle w:val="FootnoteReference"/>
          <w:rFonts w:ascii="Times New Roman" w:hAnsi="Times New Roman"/>
          <w:szCs w:val="24"/>
        </w:rPr>
        <w:footnoteReference w:id="170"/>
      </w:r>
      <w:r w:rsidR="009B143E" w:rsidRPr="002332CC">
        <w:rPr>
          <w:rFonts w:ascii="Times New Roman" w:hAnsi="Times New Roman"/>
          <w:szCs w:val="24"/>
        </w:rPr>
        <w:t xml:space="preserve">  Ambiguity was first created in response to the Company’s </w:t>
      </w:r>
      <w:r w:rsidR="00652BCF">
        <w:rPr>
          <w:rFonts w:ascii="Times New Roman" w:hAnsi="Times New Roman"/>
          <w:szCs w:val="24"/>
        </w:rPr>
        <w:t>D</w:t>
      </w:r>
      <w:r w:rsidR="009B143E" w:rsidRPr="002332CC">
        <w:rPr>
          <w:rFonts w:ascii="Times New Roman" w:hAnsi="Times New Roman"/>
          <w:szCs w:val="24"/>
        </w:rPr>
        <w:t xml:space="preserve">ata </w:t>
      </w:r>
      <w:r w:rsidR="00652BCF">
        <w:rPr>
          <w:rFonts w:ascii="Times New Roman" w:hAnsi="Times New Roman"/>
          <w:szCs w:val="24"/>
        </w:rPr>
        <w:t>R</w:t>
      </w:r>
      <w:r w:rsidR="009B143E" w:rsidRPr="002332CC">
        <w:rPr>
          <w:rFonts w:ascii="Times New Roman" w:hAnsi="Times New Roman"/>
          <w:szCs w:val="24"/>
        </w:rPr>
        <w:t>equest 1.27, when Staff acknowledged that it could not provide a comprehensive list of items for which the Commission had previously allowed full normalization</w:t>
      </w:r>
      <w:r w:rsidR="009B143E">
        <w:rPr>
          <w:rFonts w:ascii="Times New Roman" w:hAnsi="Times New Roman"/>
          <w:szCs w:val="24"/>
        </w:rPr>
        <w:t>.</w:t>
      </w:r>
      <w:r w:rsidR="009B143E">
        <w:rPr>
          <w:rStyle w:val="FootnoteReference"/>
          <w:rFonts w:ascii="Times New Roman" w:hAnsi="Times New Roman"/>
          <w:szCs w:val="24"/>
        </w:rPr>
        <w:footnoteReference w:id="171"/>
      </w:r>
      <w:r w:rsidR="009B143E" w:rsidRPr="002332CC">
        <w:rPr>
          <w:rFonts w:ascii="Times New Roman" w:hAnsi="Times New Roman"/>
          <w:szCs w:val="24"/>
        </w:rPr>
        <w:t xml:space="preserve"> </w:t>
      </w:r>
      <w:r w:rsidR="009B143E">
        <w:rPr>
          <w:rFonts w:ascii="Times New Roman" w:hAnsi="Times New Roman"/>
          <w:szCs w:val="24"/>
        </w:rPr>
        <w:t xml:space="preserve">It </w:t>
      </w:r>
      <w:r w:rsidR="009B143E" w:rsidRPr="002332CC">
        <w:rPr>
          <w:rFonts w:ascii="Times New Roman" w:hAnsi="Times New Roman"/>
          <w:szCs w:val="24"/>
        </w:rPr>
        <w:t xml:space="preserve">was further compounded when Staff took the position for the first time in its Revised and Supplemental Testimony that </w:t>
      </w:r>
      <w:r w:rsidR="009B143E">
        <w:rPr>
          <w:rFonts w:ascii="Times New Roman" w:hAnsi="Times New Roman"/>
          <w:szCs w:val="24"/>
        </w:rPr>
        <w:t>some temporary book-tax differences receive implicit authorization from the Commission to be normalized</w:t>
      </w:r>
      <w:r w:rsidR="009B143E" w:rsidRPr="002332CC">
        <w:rPr>
          <w:rFonts w:ascii="Times New Roman" w:hAnsi="Times New Roman"/>
          <w:szCs w:val="24"/>
        </w:rPr>
        <w:t>.</w:t>
      </w:r>
      <w:r w:rsidR="009B143E">
        <w:rPr>
          <w:rStyle w:val="FootnoteReference"/>
          <w:rFonts w:ascii="Times New Roman" w:hAnsi="Times New Roman"/>
          <w:szCs w:val="24"/>
        </w:rPr>
        <w:footnoteReference w:id="172"/>
      </w:r>
      <w:r w:rsidR="009B143E" w:rsidRPr="002332CC">
        <w:rPr>
          <w:rFonts w:ascii="Times New Roman" w:hAnsi="Times New Roman"/>
          <w:szCs w:val="24"/>
        </w:rPr>
        <w:t xml:space="preserve">  Staff’s Brief</w:t>
      </w:r>
      <w:r w:rsidR="009B143E">
        <w:rPr>
          <w:rFonts w:ascii="Times New Roman" w:hAnsi="Times New Roman"/>
          <w:szCs w:val="24"/>
        </w:rPr>
        <w:t xml:space="preserve"> then</w:t>
      </w:r>
      <w:r w:rsidR="009B143E" w:rsidRPr="002332CC">
        <w:rPr>
          <w:rFonts w:ascii="Times New Roman" w:hAnsi="Times New Roman"/>
          <w:szCs w:val="24"/>
        </w:rPr>
        <w:t xml:space="preserve"> </w:t>
      </w:r>
      <w:r w:rsidR="009B143E">
        <w:rPr>
          <w:rFonts w:ascii="Times New Roman" w:hAnsi="Times New Roman"/>
          <w:szCs w:val="24"/>
        </w:rPr>
        <w:t xml:space="preserve">continues to confuse the </w:t>
      </w:r>
      <w:r w:rsidR="00233F70">
        <w:rPr>
          <w:rFonts w:ascii="Times New Roman" w:hAnsi="Times New Roman"/>
          <w:szCs w:val="24"/>
        </w:rPr>
        <w:t>issue</w:t>
      </w:r>
      <w:r w:rsidR="009B143E">
        <w:rPr>
          <w:rFonts w:ascii="Times New Roman" w:hAnsi="Times New Roman"/>
          <w:szCs w:val="24"/>
        </w:rPr>
        <w:t xml:space="preserve"> by </w:t>
      </w:r>
      <w:r w:rsidR="009B143E" w:rsidRPr="002332CC">
        <w:rPr>
          <w:rFonts w:ascii="Times New Roman" w:hAnsi="Times New Roman"/>
          <w:szCs w:val="24"/>
        </w:rPr>
        <w:t>articulating a new Staff position that, depending on rate base treatment, certain types of items are more appropriately treated unde</w:t>
      </w:r>
      <w:r w:rsidR="009B143E">
        <w:rPr>
          <w:rFonts w:ascii="Times New Roman" w:hAnsi="Times New Roman"/>
          <w:szCs w:val="24"/>
        </w:rPr>
        <w:t xml:space="preserve">r flow-through accounting than </w:t>
      </w:r>
      <w:r w:rsidR="009B143E" w:rsidRPr="002332CC">
        <w:rPr>
          <w:rFonts w:ascii="Times New Roman" w:hAnsi="Times New Roman"/>
          <w:szCs w:val="24"/>
        </w:rPr>
        <w:t>normaliz</w:t>
      </w:r>
      <w:r w:rsidR="009B143E">
        <w:rPr>
          <w:rFonts w:ascii="Times New Roman" w:hAnsi="Times New Roman"/>
          <w:szCs w:val="24"/>
        </w:rPr>
        <w:t>ed accounting</w:t>
      </w:r>
      <w:r w:rsidR="009B143E" w:rsidRPr="002332CC">
        <w:rPr>
          <w:rFonts w:ascii="Times New Roman" w:hAnsi="Times New Roman"/>
          <w:szCs w:val="24"/>
        </w:rPr>
        <w:t>.</w:t>
      </w:r>
      <w:r w:rsidR="009B143E">
        <w:rPr>
          <w:rStyle w:val="FootnoteReference"/>
          <w:rFonts w:ascii="Times New Roman" w:hAnsi="Times New Roman"/>
          <w:szCs w:val="24"/>
        </w:rPr>
        <w:footnoteReference w:id="173"/>
      </w:r>
      <w:r w:rsidR="009B143E" w:rsidRPr="002332CC">
        <w:rPr>
          <w:rFonts w:ascii="Times New Roman" w:hAnsi="Times New Roman"/>
          <w:szCs w:val="24"/>
        </w:rPr>
        <w:t xml:space="preserve">  </w:t>
      </w:r>
      <w:r w:rsidR="009B143E">
        <w:rPr>
          <w:rFonts w:ascii="Times New Roman" w:hAnsi="Times New Roman"/>
          <w:szCs w:val="24"/>
        </w:rPr>
        <w:t xml:space="preserve">In taking these positions, </w:t>
      </w:r>
      <w:r w:rsidR="009B143E" w:rsidRPr="002332CC">
        <w:rPr>
          <w:rFonts w:ascii="Times New Roman" w:hAnsi="Times New Roman"/>
          <w:szCs w:val="24"/>
        </w:rPr>
        <w:t>Staff cites no Commission precedent, policy</w:t>
      </w:r>
      <w:r w:rsidR="009B143E">
        <w:rPr>
          <w:rFonts w:ascii="Times New Roman" w:hAnsi="Times New Roman"/>
          <w:szCs w:val="24"/>
        </w:rPr>
        <w:t>,</w:t>
      </w:r>
      <w:r w:rsidR="009B143E" w:rsidRPr="002332CC">
        <w:rPr>
          <w:rFonts w:ascii="Times New Roman" w:hAnsi="Times New Roman"/>
          <w:szCs w:val="24"/>
        </w:rPr>
        <w:t xml:space="preserve"> or </w:t>
      </w:r>
      <w:r w:rsidR="009B143E">
        <w:rPr>
          <w:rFonts w:ascii="Times New Roman" w:hAnsi="Times New Roman"/>
          <w:szCs w:val="24"/>
        </w:rPr>
        <w:t xml:space="preserve">independent </w:t>
      </w:r>
      <w:r w:rsidR="009B143E" w:rsidRPr="002332CC">
        <w:rPr>
          <w:rFonts w:ascii="Times New Roman" w:hAnsi="Times New Roman"/>
          <w:szCs w:val="24"/>
        </w:rPr>
        <w:t xml:space="preserve">accounting guidance.  </w:t>
      </w:r>
    </w:p>
    <w:p w:rsidR="009B143E" w:rsidRPr="00F77D8F" w:rsidRDefault="00F77D8F" w:rsidP="00D706C2">
      <w:pPr>
        <w:pStyle w:val="ListParagraph"/>
        <w:numPr>
          <w:ilvl w:val="0"/>
          <w:numId w:val="12"/>
        </w:numPr>
        <w:tabs>
          <w:tab w:val="clear" w:pos="1440"/>
          <w:tab w:val="num" w:pos="720"/>
          <w:tab w:val="num" w:pos="3600"/>
        </w:tabs>
        <w:spacing w:line="480" w:lineRule="auto"/>
        <w:ind w:left="0"/>
        <w:rPr>
          <w:rFonts w:ascii="Times New Roman" w:hAnsi="Times New Roman"/>
          <w:szCs w:val="24"/>
        </w:rPr>
      </w:pPr>
      <w:r w:rsidRPr="00F77D8F">
        <w:rPr>
          <w:rFonts w:ascii="Times New Roman" w:hAnsi="Times New Roman"/>
          <w:szCs w:val="24"/>
        </w:rPr>
        <w:tab/>
      </w:r>
      <w:r w:rsidR="009B143E" w:rsidRPr="00F77D8F">
        <w:rPr>
          <w:rFonts w:ascii="Times New Roman" w:hAnsi="Times New Roman"/>
          <w:szCs w:val="24"/>
        </w:rPr>
        <w:t>Based on this record, it is unclear how any party to this proceeding can apply Staff’s approach and accurately determine what constitutes an exception to the general rule applying flow-through accounting for income taxes.</w:t>
      </w:r>
      <w:r w:rsidR="009B143E">
        <w:rPr>
          <w:rStyle w:val="FootnoteReference"/>
          <w:rFonts w:ascii="Times New Roman" w:hAnsi="Times New Roman"/>
          <w:szCs w:val="24"/>
        </w:rPr>
        <w:footnoteReference w:id="174"/>
      </w:r>
      <w:r w:rsidRPr="00F77D8F">
        <w:rPr>
          <w:rFonts w:ascii="Times New Roman" w:hAnsi="Times New Roman"/>
          <w:szCs w:val="24"/>
        </w:rPr>
        <w:t xml:space="preserve"> </w:t>
      </w:r>
      <w:r w:rsidR="009B143E" w:rsidRPr="00F77D8F">
        <w:rPr>
          <w:rFonts w:ascii="Times New Roman" w:hAnsi="Times New Roman"/>
          <w:szCs w:val="24"/>
        </w:rPr>
        <w:t xml:space="preserve">This case presents an opportunity for the Commission to resolve these ambiguities and access the multiple benefits of full normalization at zero cost to customers.     </w:t>
      </w:r>
    </w:p>
    <w:p w:rsidR="009B143E" w:rsidRDefault="009B143E" w:rsidP="00D706C2">
      <w:pPr>
        <w:pStyle w:val="ListParagraph"/>
        <w:spacing w:line="480" w:lineRule="auto"/>
        <w:ind w:left="0"/>
        <w:rPr>
          <w:rFonts w:ascii="Times New Roman" w:hAnsi="Times New Roman"/>
          <w:b/>
          <w:szCs w:val="24"/>
        </w:rPr>
      </w:pPr>
      <w:r>
        <w:rPr>
          <w:rFonts w:ascii="Times New Roman" w:hAnsi="Times New Roman"/>
          <w:b/>
          <w:szCs w:val="24"/>
        </w:rPr>
        <w:t>B</w:t>
      </w:r>
      <w:r w:rsidRPr="009D1941">
        <w:rPr>
          <w:rFonts w:ascii="Times New Roman" w:hAnsi="Times New Roman"/>
          <w:b/>
          <w:szCs w:val="24"/>
        </w:rPr>
        <w:t>.</w:t>
      </w:r>
      <w:r>
        <w:rPr>
          <w:rFonts w:ascii="Times New Roman" w:hAnsi="Times New Roman"/>
          <w:b/>
          <w:szCs w:val="24"/>
        </w:rPr>
        <w:tab/>
        <w:t xml:space="preserve">PacifiCorp Has Properly Reflected the Impact of the Change to Normalization. </w:t>
      </w:r>
    </w:p>
    <w:p w:rsidR="009B143E" w:rsidRPr="009E1C1A" w:rsidRDefault="00F77D8F" w:rsidP="00D706C2">
      <w:pPr>
        <w:pStyle w:val="ListParagraph"/>
        <w:numPr>
          <w:ilvl w:val="0"/>
          <w:numId w:val="12"/>
        </w:numPr>
        <w:tabs>
          <w:tab w:val="clear" w:pos="1440"/>
          <w:tab w:val="num" w:pos="720"/>
          <w:tab w:val="num" w:pos="3600"/>
        </w:tabs>
        <w:spacing w:line="480" w:lineRule="auto"/>
        <w:ind w:left="0"/>
        <w:rPr>
          <w:rFonts w:ascii="Times New Roman" w:hAnsi="Times New Roman"/>
          <w:b/>
          <w:szCs w:val="24"/>
        </w:rPr>
      </w:pPr>
      <w:r>
        <w:rPr>
          <w:rFonts w:ascii="Times New Roman" w:hAnsi="Times New Roman"/>
          <w:szCs w:val="24"/>
        </w:rPr>
        <w:tab/>
      </w:r>
      <w:r w:rsidR="009B143E">
        <w:rPr>
          <w:rFonts w:ascii="Times New Roman" w:hAnsi="Times New Roman"/>
          <w:szCs w:val="24"/>
        </w:rPr>
        <w:t>Staff argues that PacifiCorp has “masked” the impact of full normalization by claiming, ironically, that PacifiCorp has incorrectly accorded flow-through treatment to certain items for which Staff claims the Commission has impli</w:t>
      </w:r>
      <w:r w:rsidR="002D32F9">
        <w:rPr>
          <w:rFonts w:ascii="Times New Roman" w:hAnsi="Times New Roman"/>
          <w:szCs w:val="24"/>
        </w:rPr>
        <w:t>cit</w:t>
      </w:r>
      <w:r w:rsidR="009B143E">
        <w:rPr>
          <w:rFonts w:ascii="Times New Roman" w:hAnsi="Times New Roman"/>
          <w:szCs w:val="24"/>
        </w:rPr>
        <w:t>ly authorized full normalization.</w:t>
      </w:r>
      <w:r w:rsidR="009B143E">
        <w:rPr>
          <w:rStyle w:val="FootnoteReference"/>
          <w:rFonts w:ascii="Times New Roman" w:hAnsi="Times New Roman"/>
          <w:szCs w:val="24"/>
        </w:rPr>
        <w:footnoteReference w:id="175"/>
      </w:r>
      <w:r w:rsidR="009B143E">
        <w:rPr>
          <w:rFonts w:ascii="Times New Roman" w:hAnsi="Times New Roman"/>
          <w:szCs w:val="24"/>
        </w:rPr>
        <w:t xml:space="preserve"> </w:t>
      </w:r>
      <w:r w:rsidR="00652BCF">
        <w:rPr>
          <w:rFonts w:ascii="Times New Roman" w:hAnsi="Times New Roman"/>
          <w:szCs w:val="24"/>
        </w:rPr>
        <w:t xml:space="preserve"> </w:t>
      </w:r>
      <w:r w:rsidR="009B143E">
        <w:rPr>
          <w:rFonts w:ascii="Times New Roman" w:hAnsi="Times New Roman"/>
          <w:szCs w:val="24"/>
        </w:rPr>
        <w:t>Staff argues that when taxes are authorized to be deferred, then this automatically results in normalization of the book-tax difference associated with the creation of the deferred account.</w:t>
      </w:r>
      <w:r w:rsidR="009B143E">
        <w:rPr>
          <w:rStyle w:val="FootnoteReference"/>
          <w:rFonts w:ascii="Times New Roman" w:hAnsi="Times New Roman"/>
          <w:szCs w:val="24"/>
        </w:rPr>
        <w:footnoteReference w:id="176"/>
      </w:r>
      <w:r w:rsidR="009B143E">
        <w:rPr>
          <w:rFonts w:ascii="Times New Roman" w:hAnsi="Times New Roman"/>
          <w:szCs w:val="24"/>
        </w:rPr>
        <w:t xml:space="preserve">  </w:t>
      </w:r>
      <w:r w:rsidR="009B143E" w:rsidRPr="00572D75">
        <w:rPr>
          <w:rFonts w:ascii="Times New Roman" w:hAnsi="Times New Roman"/>
          <w:szCs w:val="24"/>
        </w:rPr>
        <w:t>Staff cites no Commission precedent, policy</w:t>
      </w:r>
      <w:r w:rsidR="009B143E">
        <w:rPr>
          <w:rFonts w:ascii="Times New Roman" w:hAnsi="Times New Roman"/>
          <w:szCs w:val="24"/>
        </w:rPr>
        <w:t>,</w:t>
      </w:r>
      <w:r w:rsidR="009B143E" w:rsidRPr="00572D75">
        <w:rPr>
          <w:rFonts w:ascii="Times New Roman" w:hAnsi="Times New Roman"/>
          <w:szCs w:val="24"/>
        </w:rPr>
        <w:t xml:space="preserve"> or </w:t>
      </w:r>
      <w:r w:rsidR="009B143E">
        <w:rPr>
          <w:rFonts w:ascii="Times New Roman" w:hAnsi="Times New Roman"/>
          <w:szCs w:val="24"/>
        </w:rPr>
        <w:t xml:space="preserve">independent </w:t>
      </w:r>
      <w:r w:rsidR="009B143E" w:rsidRPr="00572D75">
        <w:rPr>
          <w:rFonts w:ascii="Times New Roman" w:hAnsi="Times New Roman"/>
          <w:szCs w:val="24"/>
        </w:rPr>
        <w:t xml:space="preserve">accounting guidance in support of this </w:t>
      </w:r>
      <w:r w:rsidR="009B143E">
        <w:rPr>
          <w:rFonts w:ascii="Times New Roman" w:hAnsi="Times New Roman"/>
          <w:szCs w:val="24"/>
        </w:rPr>
        <w:t xml:space="preserve">approach, nor does it cite any order specifically authorizing normalization of the contested items. </w:t>
      </w:r>
      <w:r w:rsidR="00652BCF">
        <w:rPr>
          <w:rFonts w:ascii="Times New Roman" w:hAnsi="Times New Roman"/>
          <w:szCs w:val="24"/>
        </w:rPr>
        <w:t xml:space="preserve"> </w:t>
      </w:r>
      <w:r w:rsidR="009B143E">
        <w:rPr>
          <w:rFonts w:ascii="Times New Roman" w:hAnsi="Times New Roman"/>
          <w:szCs w:val="24"/>
        </w:rPr>
        <w:t>The position is at odds with Staff’s overall position in the case</w:t>
      </w:r>
      <w:r w:rsidR="00652BCF">
        <w:rPr>
          <w:rFonts w:ascii="Times New Roman" w:hAnsi="Times New Roman"/>
          <w:szCs w:val="24"/>
        </w:rPr>
        <w:t>,</w:t>
      </w:r>
      <w:r w:rsidR="009B143E">
        <w:rPr>
          <w:rFonts w:ascii="Times New Roman" w:hAnsi="Times New Roman"/>
          <w:szCs w:val="24"/>
        </w:rPr>
        <w:t xml:space="preserve"> which is that the Company should use flow-though accounting unless the Commission has authorized an exception to this policy.</w:t>
      </w:r>
      <w:r w:rsidR="009B143E">
        <w:rPr>
          <w:rStyle w:val="FootnoteReference"/>
          <w:rFonts w:ascii="Times New Roman" w:hAnsi="Times New Roman"/>
          <w:szCs w:val="24"/>
        </w:rPr>
        <w:footnoteReference w:id="177"/>
      </w:r>
      <w:r w:rsidR="009B143E">
        <w:rPr>
          <w:rFonts w:ascii="Times New Roman" w:hAnsi="Times New Roman"/>
          <w:szCs w:val="24"/>
        </w:rPr>
        <w:t xml:space="preserve">   </w:t>
      </w:r>
    </w:p>
    <w:p w:rsidR="009B143E" w:rsidRDefault="009B143E" w:rsidP="00D706C2">
      <w:pPr>
        <w:pStyle w:val="ListParagraph"/>
        <w:spacing w:line="480" w:lineRule="auto"/>
        <w:ind w:left="0"/>
        <w:rPr>
          <w:rFonts w:ascii="Times New Roman" w:hAnsi="Times New Roman"/>
          <w:b/>
          <w:szCs w:val="24"/>
        </w:rPr>
      </w:pPr>
      <w:r w:rsidRPr="009E1C1A">
        <w:rPr>
          <w:rFonts w:ascii="Times New Roman" w:hAnsi="Times New Roman"/>
          <w:b/>
          <w:szCs w:val="24"/>
        </w:rPr>
        <w:t>C.</w:t>
      </w:r>
      <w:r>
        <w:rPr>
          <w:rFonts w:ascii="Times New Roman" w:hAnsi="Times New Roman"/>
          <w:b/>
          <w:szCs w:val="24"/>
        </w:rPr>
        <w:tab/>
        <w:t>PacifiCorp Has Addressed the Transitional Regulatory Asset/Liability.</w:t>
      </w:r>
    </w:p>
    <w:p w:rsidR="009B143E" w:rsidRPr="006B3811" w:rsidRDefault="00F77D8F" w:rsidP="00D706C2">
      <w:pPr>
        <w:pStyle w:val="ListParagraph"/>
        <w:numPr>
          <w:ilvl w:val="0"/>
          <w:numId w:val="12"/>
        </w:numPr>
        <w:tabs>
          <w:tab w:val="clear" w:pos="1440"/>
          <w:tab w:val="num" w:pos="720"/>
          <w:tab w:val="num" w:pos="3600"/>
        </w:tabs>
        <w:spacing w:line="480" w:lineRule="auto"/>
        <w:ind w:left="0"/>
        <w:rPr>
          <w:rFonts w:ascii="Times New Roman" w:hAnsi="Times New Roman"/>
          <w:szCs w:val="24"/>
        </w:rPr>
      </w:pPr>
      <w:r>
        <w:rPr>
          <w:rFonts w:ascii="Times New Roman" w:hAnsi="Times New Roman"/>
          <w:szCs w:val="24"/>
        </w:rPr>
        <w:tab/>
      </w:r>
      <w:r w:rsidR="009B143E" w:rsidRPr="006B3811">
        <w:rPr>
          <w:rFonts w:ascii="Times New Roman" w:hAnsi="Times New Roman"/>
          <w:szCs w:val="24"/>
        </w:rPr>
        <w:t>Staff contends that PacifiCorp has failed to address the transitional regulatory asset/liability PacifiCorp has proposed for recovery of flow-though effects from past periods.</w:t>
      </w:r>
      <w:r w:rsidR="009B143E">
        <w:rPr>
          <w:rStyle w:val="FootnoteReference"/>
          <w:rFonts w:ascii="Times New Roman" w:hAnsi="Times New Roman"/>
          <w:szCs w:val="24"/>
        </w:rPr>
        <w:footnoteReference w:id="178"/>
      </w:r>
      <w:r w:rsidR="009B143E" w:rsidRPr="006B3811">
        <w:rPr>
          <w:rFonts w:ascii="Times New Roman" w:hAnsi="Times New Roman"/>
          <w:szCs w:val="24"/>
        </w:rPr>
        <w:t xml:space="preserve">  This is incorrect.  Because PacifiCorp proposes to move to full normalization on a prospective basis, the Commission must establish a period for recovery of the effects of flow-through accounting from past periods.</w:t>
      </w:r>
      <w:r w:rsidR="009B143E">
        <w:rPr>
          <w:rStyle w:val="FootnoteReference"/>
          <w:rFonts w:ascii="Times New Roman" w:hAnsi="Times New Roman"/>
          <w:szCs w:val="24"/>
        </w:rPr>
        <w:footnoteReference w:id="179"/>
      </w:r>
      <w:r w:rsidR="009B143E" w:rsidRPr="006B3811">
        <w:rPr>
          <w:rFonts w:ascii="Times New Roman" w:hAnsi="Times New Roman"/>
          <w:szCs w:val="24"/>
        </w:rPr>
        <w:t xml:space="preserve">  PacifiCorp proposes to allow flow-through effects from past periods to reverse over the same timing as would have occurred under the continuation of flow-through accounting.</w:t>
      </w:r>
      <w:r w:rsidR="009B143E">
        <w:rPr>
          <w:rStyle w:val="FootnoteReference"/>
          <w:rFonts w:ascii="Times New Roman" w:hAnsi="Times New Roman"/>
          <w:szCs w:val="24"/>
        </w:rPr>
        <w:footnoteReference w:id="180"/>
      </w:r>
      <w:r w:rsidR="009B143E" w:rsidRPr="006B3811">
        <w:rPr>
          <w:rFonts w:ascii="Times New Roman" w:hAnsi="Times New Roman"/>
          <w:szCs w:val="24"/>
        </w:rPr>
        <w:t xml:space="preserve">  Because PacifiCorp does not have a system that tracks the natural reversal of the flow-through on </w:t>
      </w:r>
      <w:bookmarkStart w:id="1" w:name="OLE_LINK1"/>
      <w:bookmarkStart w:id="2" w:name="OLE_LINK2"/>
      <w:r w:rsidR="009B143E" w:rsidRPr="006B3811">
        <w:rPr>
          <w:rFonts w:ascii="Times New Roman" w:hAnsi="Times New Roman"/>
          <w:szCs w:val="24"/>
        </w:rPr>
        <w:t>temporary book-tax differences tracked outside of its fixed asset system</w:t>
      </w:r>
      <w:bookmarkEnd w:id="1"/>
      <w:bookmarkEnd w:id="2"/>
      <w:r w:rsidR="009B143E" w:rsidRPr="006B3811">
        <w:rPr>
          <w:rFonts w:ascii="Times New Roman" w:hAnsi="Times New Roman"/>
          <w:szCs w:val="24"/>
        </w:rPr>
        <w:t>, PacifiCorp requested that the Commission establish a reasonable proxy in the form of a fixed amortization period in the Company’s next general rate case.</w:t>
      </w:r>
      <w:r w:rsidR="009B143E">
        <w:rPr>
          <w:rStyle w:val="FootnoteReference"/>
          <w:rFonts w:ascii="Times New Roman" w:hAnsi="Times New Roman"/>
          <w:szCs w:val="24"/>
        </w:rPr>
        <w:footnoteReference w:id="181"/>
      </w:r>
    </w:p>
    <w:p w:rsidR="009B143E" w:rsidRDefault="00652BCF" w:rsidP="00D706C2">
      <w:pPr>
        <w:pStyle w:val="ListParagraph"/>
        <w:numPr>
          <w:ilvl w:val="0"/>
          <w:numId w:val="12"/>
        </w:numPr>
        <w:tabs>
          <w:tab w:val="clear" w:pos="1440"/>
          <w:tab w:val="num" w:pos="720"/>
          <w:tab w:val="num" w:pos="3600"/>
        </w:tabs>
        <w:spacing w:line="480" w:lineRule="auto"/>
        <w:ind w:left="0"/>
        <w:rPr>
          <w:rFonts w:ascii="Times New Roman" w:hAnsi="Times New Roman"/>
          <w:szCs w:val="24"/>
        </w:rPr>
      </w:pPr>
      <w:r>
        <w:rPr>
          <w:rFonts w:ascii="Times New Roman" w:hAnsi="Times New Roman"/>
          <w:szCs w:val="24"/>
        </w:rPr>
        <w:tab/>
      </w:r>
      <w:r w:rsidR="009B143E">
        <w:rPr>
          <w:rFonts w:ascii="Times New Roman" w:hAnsi="Times New Roman"/>
          <w:szCs w:val="24"/>
        </w:rPr>
        <w:t>Staff argues that this proposal shows that PacifiCorp has not fully demonstrated and quantified the impacts of moving to full normalization.</w:t>
      </w:r>
      <w:r w:rsidR="009B143E">
        <w:rPr>
          <w:rStyle w:val="FootnoteReference"/>
          <w:rFonts w:ascii="Times New Roman" w:hAnsi="Times New Roman"/>
          <w:szCs w:val="24"/>
        </w:rPr>
        <w:footnoteReference w:id="182"/>
      </w:r>
      <w:r w:rsidR="009B143E">
        <w:rPr>
          <w:rFonts w:ascii="Times New Roman" w:hAnsi="Times New Roman"/>
          <w:szCs w:val="24"/>
        </w:rPr>
        <w:t xml:space="preserve">  This argument fails to recognize that PacifiCorp is currently entitled to recover these past flow-through amounts and has merely designed a proposal that implements its intention of allowing current recovery to continue in the same manner as would have occurred under the continuation of flow-through accounting, and therefore without any net effect on customers.</w:t>
      </w:r>
      <w:r w:rsidR="009B143E">
        <w:rPr>
          <w:rStyle w:val="FootnoteReference"/>
          <w:rFonts w:ascii="Times New Roman" w:hAnsi="Times New Roman"/>
          <w:szCs w:val="24"/>
        </w:rPr>
        <w:footnoteReference w:id="183"/>
      </w:r>
      <w:r w:rsidR="009B143E">
        <w:rPr>
          <w:rFonts w:ascii="Times New Roman" w:hAnsi="Times New Roman"/>
          <w:szCs w:val="24"/>
        </w:rPr>
        <w:t xml:space="preserve">  </w:t>
      </w:r>
    </w:p>
    <w:p w:rsidR="009B143E" w:rsidRDefault="009B143E" w:rsidP="00F61DB3">
      <w:pPr>
        <w:pStyle w:val="ListParagraph"/>
        <w:keepNext/>
        <w:tabs>
          <w:tab w:val="num" w:pos="720"/>
        </w:tabs>
        <w:spacing w:line="480" w:lineRule="auto"/>
        <w:ind w:left="0"/>
        <w:rPr>
          <w:b/>
        </w:rPr>
      </w:pPr>
      <w:r>
        <w:rPr>
          <w:b/>
        </w:rPr>
        <w:t>D.</w:t>
      </w:r>
      <w:r>
        <w:rPr>
          <w:b/>
        </w:rPr>
        <w:tab/>
        <w:t>It is Unfair to Annualize the Tax Benefits of the Repairs Deduction.</w:t>
      </w:r>
    </w:p>
    <w:p w:rsidR="009B143E" w:rsidRDefault="00F77D8F" w:rsidP="00D706C2">
      <w:pPr>
        <w:pStyle w:val="ListParagraph"/>
        <w:numPr>
          <w:ilvl w:val="0"/>
          <w:numId w:val="12"/>
        </w:numPr>
        <w:tabs>
          <w:tab w:val="clear" w:pos="1440"/>
          <w:tab w:val="num" w:pos="720"/>
          <w:tab w:val="num" w:pos="3600"/>
        </w:tabs>
        <w:spacing w:line="480" w:lineRule="auto"/>
        <w:ind w:left="0"/>
      </w:pPr>
      <w:r>
        <w:tab/>
      </w:r>
      <w:r w:rsidR="009B143E">
        <w:t>It is undisputed that PacifiCorp did not reflect the tax benefit of the repairs deduction in its accumulated deferred income taxes (ADIT) until September 2009, when the tax benefit occurred.</w:t>
      </w:r>
      <w:r w:rsidR="009B143E">
        <w:rPr>
          <w:rStyle w:val="FootnoteReference"/>
        </w:rPr>
        <w:footnoteReference w:id="184"/>
      </w:r>
      <w:r w:rsidR="009B143E">
        <w:t xml:space="preserve">  While PacifiCorp reflects the benefit of the repairs deduction on a partial year basis, Staff has proposed an adjustment to annualize the repairs deduction, so that it is reflected in rate base on a full year basis.</w:t>
      </w:r>
      <w:r w:rsidR="009B143E">
        <w:rPr>
          <w:rStyle w:val="FootnoteReference"/>
        </w:rPr>
        <w:footnoteReference w:id="185"/>
      </w:r>
      <w:r w:rsidR="009B143E">
        <w:t xml:space="preserve">  Staff claims this is appropriate because the repairs deduction is an ongoing, known and measurable change.</w:t>
      </w:r>
      <w:r w:rsidR="009B143E">
        <w:rPr>
          <w:rStyle w:val="FootnoteReference"/>
        </w:rPr>
        <w:footnoteReference w:id="186"/>
      </w:r>
      <w:r w:rsidR="009B143E">
        <w:t xml:space="preserve">  However, the same could be said for all other rate base changes in the case.  While all are known and measurable and all are ongoing, Staff has not proposed to annualize any other rate base adjustment in this case.</w:t>
      </w:r>
      <w:r w:rsidR="009B143E">
        <w:rPr>
          <w:rStyle w:val="FootnoteReference"/>
        </w:rPr>
        <w:footnoteReference w:id="187"/>
      </w:r>
      <w:r w:rsidR="009B143E">
        <w:t xml:space="preserve">  Staff argues that PacifiCorp’s “average of ADIT” approach gives it a windfall because PacifiCorp has already received the full tax benefit.</w:t>
      </w:r>
      <w:r w:rsidR="009B143E">
        <w:rPr>
          <w:rStyle w:val="FootnoteReference"/>
        </w:rPr>
        <w:footnoteReference w:id="188"/>
      </w:r>
      <w:r w:rsidR="009B143E">
        <w:t xml:space="preserve">  There is no windfall in reflecting the repairs deduction in the test period in the same manner as it actually occurred.   </w:t>
      </w:r>
    </w:p>
    <w:p w:rsidR="00973298" w:rsidRPr="009D1941" w:rsidRDefault="00171471" w:rsidP="00D706C2">
      <w:pPr>
        <w:spacing w:line="480" w:lineRule="auto"/>
        <w:jc w:val="center"/>
        <w:rPr>
          <w:rFonts w:ascii="Times New Roman" w:hAnsi="Times New Roman"/>
          <w:b/>
          <w:szCs w:val="24"/>
        </w:rPr>
      </w:pPr>
      <w:r>
        <w:rPr>
          <w:rFonts w:ascii="Times New Roman" w:hAnsi="Times New Roman"/>
          <w:b/>
          <w:szCs w:val="24"/>
        </w:rPr>
        <w:t>V</w:t>
      </w:r>
      <w:r w:rsidR="005C76B4" w:rsidRPr="009D1941">
        <w:rPr>
          <w:rFonts w:ascii="Times New Roman" w:hAnsi="Times New Roman"/>
          <w:b/>
          <w:szCs w:val="24"/>
        </w:rPr>
        <w:t>.</w:t>
      </w:r>
      <w:r w:rsidR="005C76B4" w:rsidRPr="009D1941">
        <w:rPr>
          <w:rFonts w:ascii="Times New Roman" w:hAnsi="Times New Roman"/>
          <w:b/>
          <w:szCs w:val="24"/>
        </w:rPr>
        <w:tab/>
        <w:t>OTHER REVENUE REQUIREMENT ADJUSTMENTS</w:t>
      </w:r>
    </w:p>
    <w:p w:rsidR="00973298" w:rsidRPr="009D1941" w:rsidRDefault="005C76B4" w:rsidP="00D706C2">
      <w:pPr>
        <w:spacing w:line="480" w:lineRule="auto"/>
        <w:rPr>
          <w:rFonts w:ascii="Times New Roman" w:hAnsi="Times New Roman"/>
          <w:b/>
          <w:szCs w:val="24"/>
        </w:rPr>
      </w:pPr>
      <w:r w:rsidRPr="009D1941">
        <w:rPr>
          <w:rFonts w:ascii="Times New Roman" w:hAnsi="Times New Roman"/>
          <w:b/>
          <w:szCs w:val="24"/>
        </w:rPr>
        <w:t>A.</w:t>
      </w:r>
      <w:r w:rsidRPr="009D1941">
        <w:rPr>
          <w:rFonts w:ascii="Times New Roman" w:hAnsi="Times New Roman"/>
          <w:b/>
          <w:szCs w:val="24"/>
        </w:rPr>
        <w:tab/>
        <w:t>Cash Working Capital</w:t>
      </w:r>
    </w:p>
    <w:p w:rsidR="001979C5" w:rsidRDefault="001979C5" w:rsidP="00D706C2">
      <w:pPr>
        <w:keepNext/>
        <w:tabs>
          <w:tab w:val="left" w:pos="720"/>
        </w:tabs>
        <w:spacing w:line="480" w:lineRule="auto"/>
        <w:ind w:left="720"/>
        <w:rPr>
          <w:rFonts w:ascii="Times New Roman" w:hAnsi="Times New Roman"/>
          <w:szCs w:val="24"/>
        </w:rPr>
      </w:pPr>
      <w:r>
        <w:rPr>
          <w:rFonts w:ascii="Times New Roman" w:hAnsi="Times New Roman"/>
          <w:b/>
          <w:szCs w:val="24"/>
        </w:rPr>
        <w:t>1.</w:t>
      </w:r>
      <w:r>
        <w:rPr>
          <w:rFonts w:ascii="Times New Roman" w:hAnsi="Times New Roman"/>
          <w:b/>
          <w:szCs w:val="24"/>
        </w:rPr>
        <w:tab/>
        <w:t>Staff’s ISWC Method is Inconsistent with Commission Precedent.</w:t>
      </w:r>
    </w:p>
    <w:p w:rsidR="001979C5" w:rsidRDefault="001979C5"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 xml:space="preserve">Staff argues that its </w:t>
      </w:r>
      <w:r w:rsidR="00B47F15" w:rsidRPr="00F96B3C">
        <w:rPr>
          <w:rFonts w:ascii="Times New Roman" w:hAnsi="Times New Roman"/>
          <w:szCs w:val="24"/>
        </w:rPr>
        <w:t xml:space="preserve">Investor Supplied Working Capital </w:t>
      </w:r>
      <w:r w:rsidR="00B47F15">
        <w:rPr>
          <w:rFonts w:ascii="Times New Roman" w:hAnsi="Times New Roman"/>
          <w:szCs w:val="24"/>
        </w:rPr>
        <w:t>(</w:t>
      </w:r>
      <w:r>
        <w:rPr>
          <w:rFonts w:ascii="Times New Roman" w:hAnsi="Times New Roman"/>
          <w:szCs w:val="24"/>
        </w:rPr>
        <w:t>ISWC</w:t>
      </w:r>
      <w:r w:rsidR="00B47F15">
        <w:rPr>
          <w:rFonts w:ascii="Times New Roman" w:hAnsi="Times New Roman"/>
          <w:szCs w:val="24"/>
        </w:rPr>
        <w:t>)</w:t>
      </w:r>
      <w:r>
        <w:rPr>
          <w:rFonts w:ascii="Times New Roman" w:hAnsi="Times New Roman"/>
          <w:szCs w:val="24"/>
        </w:rPr>
        <w:t xml:space="preserve"> method is consistent with the Commission’s decision in PacifiCorp’s 2006 </w:t>
      </w:r>
      <w:r w:rsidR="00233F70">
        <w:rPr>
          <w:rFonts w:ascii="Times New Roman" w:hAnsi="Times New Roman"/>
          <w:szCs w:val="24"/>
        </w:rPr>
        <w:t>GRC</w:t>
      </w:r>
      <w:r w:rsidR="006B7506">
        <w:rPr>
          <w:rFonts w:ascii="Times New Roman" w:hAnsi="Times New Roman"/>
          <w:szCs w:val="24"/>
        </w:rPr>
        <w:t>,</w:t>
      </w:r>
      <w:r>
        <w:rPr>
          <w:rFonts w:ascii="Times New Roman" w:hAnsi="Times New Roman"/>
          <w:szCs w:val="24"/>
        </w:rPr>
        <w:t xml:space="preserve"> because all that order required was the creation of “Washington-specific allocation factors based on the WCA allocation method.”</w:t>
      </w:r>
      <w:r>
        <w:rPr>
          <w:rStyle w:val="FootnoteReference"/>
          <w:rFonts w:ascii="Times New Roman" w:hAnsi="Times New Roman"/>
          <w:szCs w:val="24"/>
        </w:rPr>
        <w:footnoteReference w:id="189"/>
      </w:r>
      <w:r>
        <w:rPr>
          <w:rFonts w:ascii="Times New Roman" w:hAnsi="Times New Roman"/>
          <w:szCs w:val="24"/>
        </w:rPr>
        <w:t xml:space="preserve">  Based on the dialogue between </w:t>
      </w:r>
      <w:r w:rsidR="0097679A">
        <w:rPr>
          <w:rFonts w:ascii="Times New Roman" w:hAnsi="Times New Roman"/>
          <w:szCs w:val="24"/>
        </w:rPr>
        <w:t>Mr. </w:t>
      </w:r>
      <w:proofErr w:type="spellStart"/>
      <w:r>
        <w:rPr>
          <w:rFonts w:ascii="Times New Roman" w:hAnsi="Times New Roman"/>
          <w:szCs w:val="24"/>
        </w:rPr>
        <w:t>Schooley</w:t>
      </w:r>
      <w:proofErr w:type="spellEnd"/>
      <w:r>
        <w:rPr>
          <w:rFonts w:ascii="Times New Roman" w:hAnsi="Times New Roman"/>
          <w:szCs w:val="24"/>
        </w:rPr>
        <w:t xml:space="preserve"> and Commissioner </w:t>
      </w:r>
      <w:proofErr w:type="spellStart"/>
      <w:r>
        <w:rPr>
          <w:rFonts w:ascii="Times New Roman" w:hAnsi="Times New Roman"/>
          <w:szCs w:val="24"/>
        </w:rPr>
        <w:t>Oshie</w:t>
      </w:r>
      <w:proofErr w:type="spellEnd"/>
      <w:r>
        <w:rPr>
          <w:rFonts w:ascii="Times New Roman" w:hAnsi="Times New Roman"/>
          <w:szCs w:val="24"/>
        </w:rPr>
        <w:t xml:space="preserve"> at the hearing in </w:t>
      </w:r>
      <w:r w:rsidR="00FA17AE">
        <w:rPr>
          <w:rFonts w:ascii="Times New Roman" w:hAnsi="Times New Roman"/>
          <w:szCs w:val="24"/>
        </w:rPr>
        <w:t xml:space="preserve">the </w:t>
      </w:r>
      <w:r>
        <w:rPr>
          <w:rFonts w:ascii="Times New Roman" w:hAnsi="Times New Roman"/>
          <w:szCs w:val="24"/>
        </w:rPr>
        <w:t>2006</w:t>
      </w:r>
      <w:r w:rsidR="00FA17AE">
        <w:rPr>
          <w:rFonts w:ascii="Times New Roman" w:hAnsi="Times New Roman"/>
          <w:szCs w:val="24"/>
        </w:rPr>
        <w:t xml:space="preserve"> GRC</w:t>
      </w:r>
      <w:r>
        <w:rPr>
          <w:rStyle w:val="FootnoteReference"/>
          <w:rFonts w:ascii="Times New Roman" w:hAnsi="Times New Roman"/>
          <w:szCs w:val="24"/>
        </w:rPr>
        <w:footnoteReference w:id="190"/>
      </w:r>
      <w:r>
        <w:rPr>
          <w:rFonts w:ascii="Times New Roman" w:hAnsi="Times New Roman"/>
          <w:szCs w:val="24"/>
        </w:rPr>
        <w:t xml:space="preserve"> and the Commission’s order,</w:t>
      </w:r>
      <w:r>
        <w:rPr>
          <w:rStyle w:val="FootnoteReference"/>
          <w:rFonts w:ascii="Times New Roman" w:hAnsi="Times New Roman"/>
          <w:szCs w:val="24"/>
        </w:rPr>
        <w:footnoteReference w:id="191"/>
      </w:r>
      <w:r>
        <w:rPr>
          <w:rFonts w:ascii="Times New Roman" w:hAnsi="Times New Roman"/>
          <w:szCs w:val="24"/>
        </w:rPr>
        <w:t xml:space="preserve"> it appears clear that the Commission’s criticism of the </w:t>
      </w:r>
      <w:r w:rsidR="006B7506">
        <w:rPr>
          <w:rFonts w:ascii="Times New Roman" w:hAnsi="Times New Roman"/>
          <w:szCs w:val="24"/>
        </w:rPr>
        <w:t xml:space="preserve">use of </w:t>
      </w:r>
      <w:r>
        <w:rPr>
          <w:rFonts w:ascii="Times New Roman" w:hAnsi="Times New Roman"/>
          <w:szCs w:val="24"/>
        </w:rPr>
        <w:t>allocation factors</w:t>
      </w:r>
      <w:r w:rsidR="006B7506">
        <w:rPr>
          <w:rFonts w:ascii="Times New Roman" w:hAnsi="Times New Roman"/>
          <w:szCs w:val="24"/>
        </w:rPr>
        <w:t xml:space="preserve"> in Staff’s method was not the only concern</w:t>
      </w:r>
      <w:r>
        <w:rPr>
          <w:rFonts w:ascii="Times New Roman" w:hAnsi="Times New Roman"/>
          <w:szCs w:val="24"/>
        </w:rPr>
        <w:t>.  The Commission also c</w:t>
      </w:r>
      <w:r w:rsidR="006B7506">
        <w:rPr>
          <w:rFonts w:ascii="Times New Roman" w:hAnsi="Times New Roman"/>
          <w:szCs w:val="24"/>
        </w:rPr>
        <w:t>riticized the use of the total C</w:t>
      </w:r>
      <w:r>
        <w:rPr>
          <w:rFonts w:ascii="Times New Roman" w:hAnsi="Times New Roman"/>
          <w:szCs w:val="24"/>
        </w:rPr>
        <w:t xml:space="preserve">ompany balance sheet to determine the amount of </w:t>
      </w:r>
      <w:r w:rsidR="00B47F15">
        <w:rPr>
          <w:rFonts w:ascii="Times New Roman" w:hAnsi="Times New Roman"/>
          <w:szCs w:val="24"/>
        </w:rPr>
        <w:t>cash working capital (</w:t>
      </w:r>
      <w:r>
        <w:rPr>
          <w:rFonts w:ascii="Times New Roman" w:hAnsi="Times New Roman"/>
          <w:szCs w:val="24"/>
        </w:rPr>
        <w:t>CWC</w:t>
      </w:r>
      <w:r w:rsidR="00B47F15">
        <w:rPr>
          <w:rFonts w:ascii="Times New Roman" w:hAnsi="Times New Roman"/>
          <w:szCs w:val="24"/>
        </w:rPr>
        <w:t>)</w:t>
      </w:r>
      <w:r>
        <w:rPr>
          <w:rFonts w:ascii="Times New Roman" w:hAnsi="Times New Roman"/>
          <w:szCs w:val="24"/>
        </w:rPr>
        <w:t xml:space="preserve"> to be allocated.</w:t>
      </w:r>
      <w:r>
        <w:rPr>
          <w:rStyle w:val="FootnoteReference"/>
          <w:rFonts w:ascii="Times New Roman" w:hAnsi="Times New Roman"/>
          <w:szCs w:val="24"/>
        </w:rPr>
        <w:footnoteReference w:id="192"/>
      </w:r>
      <w:r>
        <w:rPr>
          <w:rFonts w:ascii="Times New Roman" w:hAnsi="Times New Roman"/>
          <w:szCs w:val="24"/>
        </w:rPr>
        <w:t xml:space="preserve">  Staff’s analysis here does not remedy this deficiency.  </w:t>
      </w:r>
    </w:p>
    <w:p w:rsidR="001979C5" w:rsidRPr="000C66D7" w:rsidRDefault="001979C5" w:rsidP="00D706C2">
      <w:pPr>
        <w:keepNext/>
        <w:tabs>
          <w:tab w:val="left" w:pos="720"/>
        </w:tabs>
        <w:spacing w:after="240"/>
        <w:ind w:left="1440" w:hanging="720"/>
        <w:rPr>
          <w:rFonts w:ascii="Times New Roman" w:hAnsi="Times New Roman"/>
          <w:b/>
          <w:szCs w:val="24"/>
        </w:rPr>
      </w:pPr>
      <w:r w:rsidRPr="000C66D7">
        <w:rPr>
          <w:rFonts w:ascii="Times New Roman" w:hAnsi="Times New Roman"/>
          <w:b/>
          <w:szCs w:val="24"/>
        </w:rPr>
        <w:t>2.</w:t>
      </w:r>
      <w:r w:rsidRPr="000C66D7">
        <w:rPr>
          <w:rFonts w:ascii="Times New Roman" w:hAnsi="Times New Roman"/>
          <w:b/>
          <w:szCs w:val="24"/>
        </w:rPr>
        <w:tab/>
        <w:t>The Company’s CWC Method is Consistent with the WCA Allocation Methodology.</w:t>
      </w:r>
    </w:p>
    <w:p w:rsidR="001979C5" w:rsidRDefault="001979C5"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 xml:space="preserve">Staff argues that because the Company’s working capital adjustment includes an allocation of total </w:t>
      </w:r>
      <w:r w:rsidR="006B7506">
        <w:rPr>
          <w:rFonts w:ascii="Times New Roman" w:hAnsi="Times New Roman"/>
          <w:szCs w:val="24"/>
        </w:rPr>
        <w:t>C</w:t>
      </w:r>
      <w:r>
        <w:rPr>
          <w:rFonts w:ascii="Times New Roman" w:hAnsi="Times New Roman"/>
          <w:szCs w:val="24"/>
        </w:rPr>
        <w:t>ompany amounts, it used the same basic method as Staff.</w:t>
      </w:r>
      <w:r>
        <w:rPr>
          <w:rStyle w:val="FootnoteReference"/>
          <w:rFonts w:ascii="Times New Roman" w:hAnsi="Times New Roman"/>
          <w:szCs w:val="24"/>
        </w:rPr>
        <w:footnoteReference w:id="193"/>
      </w:r>
      <w:r>
        <w:rPr>
          <w:rFonts w:ascii="Times New Roman" w:hAnsi="Times New Roman"/>
          <w:szCs w:val="24"/>
        </w:rPr>
        <w:t xml:space="preserve">  Therefore, Staff reasons, if its method is inconsistent with the WCA method, so is the Company’s.  Staff’s analysis is wrong</w:t>
      </w:r>
      <w:r w:rsidR="006B7506">
        <w:rPr>
          <w:rFonts w:ascii="Times New Roman" w:hAnsi="Times New Roman"/>
          <w:szCs w:val="24"/>
        </w:rPr>
        <w:t>,</w:t>
      </w:r>
      <w:r>
        <w:rPr>
          <w:rFonts w:ascii="Times New Roman" w:hAnsi="Times New Roman"/>
          <w:szCs w:val="24"/>
        </w:rPr>
        <w:t xml:space="preserve"> because it incorrectly conflates the use of a </w:t>
      </w:r>
      <w:r w:rsidR="006B7506">
        <w:rPr>
          <w:rFonts w:ascii="Times New Roman" w:hAnsi="Times New Roman"/>
          <w:szCs w:val="24"/>
        </w:rPr>
        <w:t>total C</w:t>
      </w:r>
      <w:r>
        <w:rPr>
          <w:rFonts w:ascii="Times New Roman" w:hAnsi="Times New Roman"/>
          <w:szCs w:val="24"/>
        </w:rPr>
        <w:t xml:space="preserve">ompany balance sheet and the use of total </w:t>
      </w:r>
      <w:r w:rsidR="00B47F15">
        <w:rPr>
          <w:rFonts w:ascii="Times New Roman" w:hAnsi="Times New Roman"/>
          <w:szCs w:val="24"/>
        </w:rPr>
        <w:t>C</w:t>
      </w:r>
      <w:r>
        <w:rPr>
          <w:rFonts w:ascii="Times New Roman" w:hAnsi="Times New Roman"/>
          <w:szCs w:val="24"/>
        </w:rPr>
        <w:t xml:space="preserve">ompany O&amp;M costs.  Staff’s method relied upon the total </w:t>
      </w:r>
      <w:r w:rsidR="006B7506">
        <w:rPr>
          <w:rFonts w:ascii="Times New Roman" w:hAnsi="Times New Roman"/>
          <w:szCs w:val="24"/>
        </w:rPr>
        <w:t>C</w:t>
      </w:r>
      <w:r>
        <w:rPr>
          <w:rFonts w:ascii="Times New Roman" w:hAnsi="Times New Roman"/>
          <w:szCs w:val="24"/>
        </w:rPr>
        <w:t xml:space="preserve">ompany balance sheet to determine the amount, if any, of CWC.  That is fundamentally different </w:t>
      </w:r>
      <w:r w:rsidR="00B47F15">
        <w:rPr>
          <w:rFonts w:ascii="Times New Roman" w:hAnsi="Times New Roman"/>
          <w:szCs w:val="24"/>
        </w:rPr>
        <w:t>from</w:t>
      </w:r>
      <w:r w:rsidR="006B7506">
        <w:rPr>
          <w:rFonts w:ascii="Times New Roman" w:hAnsi="Times New Roman"/>
          <w:szCs w:val="24"/>
        </w:rPr>
        <w:t xml:space="preserve"> the Company’s use of total C</w:t>
      </w:r>
      <w:r>
        <w:rPr>
          <w:rFonts w:ascii="Times New Roman" w:hAnsi="Times New Roman"/>
          <w:szCs w:val="24"/>
        </w:rPr>
        <w:t>ompany O&amp;M costs to determine CWC</w:t>
      </w:r>
      <w:r w:rsidR="006B7506">
        <w:rPr>
          <w:rFonts w:ascii="Times New Roman" w:hAnsi="Times New Roman"/>
          <w:szCs w:val="24"/>
        </w:rPr>
        <w:t>,</w:t>
      </w:r>
      <w:r>
        <w:rPr>
          <w:rFonts w:ascii="Times New Roman" w:hAnsi="Times New Roman"/>
          <w:szCs w:val="24"/>
        </w:rPr>
        <w:t xml:space="preserve"> because these O&amp;M costs can be properly allocated to Washington consistent with the WCA methodology.</w:t>
      </w:r>
      <w:r>
        <w:rPr>
          <w:rStyle w:val="FootnoteReference"/>
          <w:rFonts w:ascii="Times New Roman" w:hAnsi="Times New Roman"/>
          <w:szCs w:val="24"/>
        </w:rPr>
        <w:footnoteReference w:id="194"/>
      </w:r>
      <w:r>
        <w:rPr>
          <w:rFonts w:ascii="Times New Roman" w:hAnsi="Times New Roman"/>
          <w:szCs w:val="24"/>
        </w:rPr>
        <w:t xml:space="preserve">  Staff has not challenged this fact.  Rather, Staff ar</w:t>
      </w:r>
      <w:r w:rsidR="006B7506">
        <w:rPr>
          <w:rFonts w:ascii="Times New Roman" w:hAnsi="Times New Roman"/>
          <w:szCs w:val="24"/>
        </w:rPr>
        <w:t>gues that allocating the total C</w:t>
      </w:r>
      <w:r>
        <w:rPr>
          <w:rFonts w:ascii="Times New Roman" w:hAnsi="Times New Roman"/>
          <w:szCs w:val="24"/>
        </w:rPr>
        <w:t>ompany balance sheet to Washington is the same as allocating O&amp;M costs.  The Company’s balance sheet cannot</w:t>
      </w:r>
      <w:r w:rsidR="00B47F15">
        <w:rPr>
          <w:rFonts w:ascii="Times New Roman" w:hAnsi="Times New Roman"/>
          <w:szCs w:val="24"/>
        </w:rPr>
        <w:t>, however,</w:t>
      </w:r>
      <w:r>
        <w:rPr>
          <w:rFonts w:ascii="Times New Roman" w:hAnsi="Times New Roman"/>
          <w:szCs w:val="24"/>
        </w:rPr>
        <w:t xml:space="preserve"> be </w:t>
      </w:r>
      <w:r w:rsidR="004717B6">
        <w:rPr>
          <w:rFonts w:ascii="Times New Roman" w:hAnsi="Times New Roman"/>
          <w:szCs w:val="24"/>
        </w:rPr>
        <w:t xml:space="preserve">accurately </w:t>
      </w:r>
      <w:r>
        <w:rPr>
          <w:rFonts w:ascii="Times New Roman" w:hAnsi="Times New Roman"/>
          <w:szCs w:val="24"/>
        </w:rPr>
        <w:t>allocated to Washington</w:t>
      </w:r>
      <w:r w:rsidR="004717B6">
        <w:rPr>
          <w:rFonts w:ascii="Times New Roman" w:hAnsi="Times New Roman"/>
          <w:szCs w:val="24"/>
        </w:rPr>
        <w:t xml:space="preserve"> because it includes numerous items that are not </w:t>
      </w:r>
      <w:r w:rsidR="00B47F15">
        <w:rPr>
          <w:rFonts w:ascii="Times New Roman" w:hAnsi="Times New Roman"/>
          <w:szCs w:val="24"/>
        </w:rPr>
        <w:t>included in rates</w:t>
      </w:r>
      <w:r w:rsidR="004717B6">
        <w:rPr>
          <w:rFonts w:ascii="Times New Roman" w:hAnsi="Times New Roman"/>
          <w:szCs w:val="24"/>
        </w:rPr>
        <w:t>.</w:t>
      </w:r>
      <w:r w:rsidR="00D706C2">
        <w:rPr>
          <w:rFonts w:ascii="Times New Roman" w:hAnsi="Times New Roman"/>
          <w:szCs w:val="24"/>
        </w:rPr>
        <w:t xml:space="preserve"> </w:t>
      </w:r>
      <w:r w:rsidR="004717B6">
        <w:rPr>
          <w:rFonts w:ascii="Times New Roman" w:hAnsi="Times New Roman"/>
          <w:szCs w:val="24"/>
        </w:rPr>
        <w:t xml:space="preserve"> The WCA</w:t>
      </w:r>
      <w:r w:rsidR="00C81B80">
        <w:rPr>
          <w:rFonts w:ascii="Times New Roman" w:hAnsi="Times New Roman"/>
          <w:szCs w:val="24"/>
        </w:rPr>
        <w:t xml:space="preserve"> methodology only prescribes allocation treatment for utility items included in rate</w:t>
      </w:r>
      <w:r w:rsidR="00B47F15">
        <w:rPr>
          <w:rFonts w:ascii="Times New Roman" w:hAnsi="Times New Roman"/>
          <w:szCs w:val="24"/>
        </w:rPr>
        <w:t>s</w:t>
      </w:r>
      <w:r w:rsidR="00C81B80">
        <w:rPr>
          <w:rFonts w:ascii="Times New Roman" w:hAnsi="Times New Roman"/>
          <w:szCs w:val="24"/>
        </w:rPr>
        <w:t>;</w:t>
      </w:r>
      <w:r w:rsidR="006B7506">
        <w:rPr>
          <w:rFonts w:ascii="Times New Roman" w:hAnsi="Times New Roman"/>
          <w:szCs w:val="24"/>
        </w:rPr>
        <w:t xml:space="preserve"> </w:t>
      </w:r>
      <w:r>
        <w:rPr>
          <w:rFonts w:ascii="Times New Roman" w:hAnsi="Times New Roman"/>
          <w:szCs w:val="24"/>
        </w:rPr>
        <w:t>therefore Staff</w:t>
      </w:r>
      <w:r w:rsidR="006B7506">
        <w:rPr>
          <w:rFonts w:ascii="Times New Roman" w:hAnsi="Times New Roman"/>
          <w:szCs w:val="24"/>
        </w:rPr>
        <w:t>’s method</w:t>
      </w:r>
      <w:r>
        <w:rPr>
          <w:rFonts w:ascii="Times New Roman" w:hAnsi="Times New Roman"/>
          <w:szCs w:val="24"/>
        </w:rPr>
        <w:t xml:space="preserve"> is inconsistent with the WCA methodology.</w:t>
      </w:r>
    </w:p>
    <w:p w:rsidR="001979C5" w:rsidRDefault="001979C5" w:rsidP="00D706C2">
      <w:pPr>
        <w:keepNext/>
        <w:tabs>
          <w:tab w:val="left" w:pos="720"/>
        </w:tabs>
        <w:spacing w:line="480" w:lineRule="auto"/>
        <w:ind w:left="720"/>
        <w:rPr>
          <w:rFonts w:ascii="Times New Roman" w:hAnsi="Times New Roman"/>
          <w:szCs w:val="24"/>
        </w:rPr>
      </w:pPr>
      <w:r>
        <w:rPr>
          <w:rFonts w:ascii="Times New Roman" w:hAnsi="Times New Roman"/>
          <w:b/>
          <w:szCs w:val="24"/>
        </w:rPr>
        <w:t>3.</w:t>
      </w:r>
      <w:r>
        <w:rPr>
          <w:rFonts w:ascii="Times New Roman" w:hAnsi="Times New Roman"/>
          <w:b/>
          <w:szCs w:val="24"/>
        </w:rPr>
        <w:tab/>
        <w:t>Fuel Stock and Materials and Supplies Should Be Included in Rate Base.</w:t>
      </w:r>
    </w:p>
    <w:p w:rsidR="001979C5" w:rsidRPr="00343C19" w:rsidRDefault="001979C5"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Staff argues that these assets should be excluded from rate base because they are consumed in the course of a year and their inclusion in rate base constitutes a double recovery.</w:t>
      </w:r>
      <w:r>
        <w:rPr>
          <w:rStyle w:val="FootnoteReference"/>
          <w:rFonts w:ascii="Times New Roman" w:hAnsi="Times New Roman"/>
          <w:szCs w:val="24"/>
        </w:rPr>
        <w:footnoteReference w:id="195"/>
      </w:r>
      <w:r>
        <w:rPr>
          <w:rFonts w:ascii="Times New Roman" w:hAnsi="Times New Roman"/>
          <w:szCs w:val="24"/>
        </w:rPr>
        <w:t xml:space="preserve">  This is wrong for two reasons.  First, as </w:t>
      </w:r>
      <w:r w:rsidR="0097679A">
        <w:rPr>
          <w:rFonts w:ascii="Times New Roman" w:hAnsi="Times New Roman"/>
          <w:szCs w:val="24"/>
        </w:rPr>
        <w:t>Mr. </w:t>
      </w:r>
      <w:r>
        <w:rPr>
          <w:rFonts w:ascii="Times New Roman" w:hAnsi="Times New Roman"/>
          <w:szCs w:val="24"/>
        </w:rPr>
        <w:t>Dalley testified at hearing, although these assets are consumed within a year, the inventories are constantly replenished and the balances never reach zero.</w:t>
      </w:r>
      <w:r>
        <w:rPr>
          <w:rStyle w:val="FootnoteReference"/>
          <w:rFonts w:ascii="Times New Roman" w:hAnsi="Times New Roman"/>
          <w:szCs w:val="24"/>
        </w:rPr>
        <w:footnoteReference w:id="196"/>
      </w:r>
      <w:r>
        <w:rPr>
          <w:rFonts w:ascii="Times New Roman" w:hAnsi="Times New Roman"/>
          <w:szCs w:val="24"/>
        </w:rPr>
        <w:t xml:space="preserve">  Therefore, the Company has a steady and consistent amount of these assets even as the specific assets are consumed and replaced.  Second, there is no double recovery because </w:t>
      </w:r>
      <w:r w:rsidR="006E2BE6">
        <w:rPr>
          <w:rFonts w:ascii="Times New Roman" w:hAnsi="Times New Roman"/>
          <w:szCs w:val="24"/>
        </w:rPr>
        <w:t>by including these balances in rate base</w:t>
      </w:r>
      <w:r w:rsidR="00B47F15">
        <w:rPr>
          <w:rFonts w:ascii="Times New Roman" w:hAnsi="Times New Roman"/>
          <w:szCs w:val="24"/>
        </w:rPr>
        <w:t>,</w:t>
      </w:r>
      <w:r w:rsidR="006E2BE6">
        <w:rPr>
          <w:rFonts w:ascii="Times New Roman" w:hAnsi="Times New Roman"/>
          <w:szCs w:val="24"/>
        </w:rPr>
        <w:t xml:space="preserve"> the Company only earn</w:t>
      </w:r>
      <w:r w:rsidR="00AC034E">
        <w:rPr>
          <w:rFonts w:ascii="Times New Roman" w:hAnsi="Times New Roman"/>
          <w:szCs w:val="24"/>
        </w:rPr>
        <w:t>s</w:t>
      </w:r>
      <w:r w:rsidR="006E2BE6">
        <w:rPr>
          <w:rFonts w:ascii="Times New Roman" w:hAnsi="Times New Roman"/>
          <w:szCs w:val="24"/>
        </w:rPr>
        <w:t xml:space="preserve"> a carrying charge for these items </w:t>
      </w:r>
      <w:r>
        <w:rPr>
          <w:rFonts w:ascii="Times New Roman" w:hAnsi="Times New Roman"/>
          <w:szCs w:val="24"/>
        </w:rPr>
        <w:t xml:space="preserve">while they remain in inventory.  </w:t>
      </w:r>
    </w:p>
    <w:p w:rsidR="00973298" w:rsidRPr="009D1941" w:rsidRDefault="00A26E08" w:rsidP="00D706C2">
      <w:pPr>
        <w:keepNext/>
        <w:spacing w:line="480" w:lineRule="auto"/>
        <w:rPr>
          <w:rFonts w:ascii="Times New Roman" w:hAnsi="Times New Roman"/>
          <w:b/>
          <w:szCs w:val="24"/>
        </w:rPr>
      </w:pPr>
      <w:r w:rsidRPr="009D1941">
        <w:rPr>
          <w:rFonts w:ascii="Times New Roman" w:hAnsi="Times New Roman"/>
          <w:b/>
          <w:szCs w:val="24"/>
        </w:rPr>
        <w:t>B</w:t>
      </w:r>
      <w:r w:rsidR="00DA4DF1" w:rsidRPr="009D1941">
        <w:rPr>
          <w:rFonts w:ascii="Times New Roman" w:hAnsi="Times New Roman"/>
          <w:b/>
          <w:szCs w:val="24"/>
        </w:rPr>
        <w:t>.</w:t>
      </w:r>
      <w:r w:rsidR="00DA4DF1" w:rsidRPr="009D1941">
        <w:rPr>
          <w:rFonts w:ascii="Times New Roman" w:hAnsi="Times New Roman"/>
          <w:b/>
          <w:szCs w:val="24"/>
        </w:rPr>
        <w:tab/>
      </w:r>
      <w:r w:rsidR="00CF2769" w:rsidRPr="009D1941">
        <w:rPr>
          <w:rFonts w:ascii="Times New Roman" w:hAnsi="Times New Roman"/>
          <w:b/>
          <w:szCs w:val="24"/>
        </w:rPr>
        <w:t>Wage and Salary Adjustments</w:t>
      </w:r>
    </w:p>
    <w:p w:rsidR="00973298" w:rsidRPr="009D1941" w:rsidRDefault="00FE5B6A" w:rsidP="00E31B3E">
      <w:pPr>
        <w:pStyle w:val="ListParagraph"/>
        <w:keepNext/>
        <w:tabs>
          <w:tab w:val="left" w:pos="720"/>
        </w:tabs>
        <w:spacing w:after="240"/>
        <w:ind w:left="1440" w:hanging="720"/>
        <w:contextualSpacing w:val="0"/>
        <w:rPr>
          <w:rFonts w:ascii="Times New Roman" w:hAnsi="Times New Roman"/>
          <w:b/>
          <w:szCs w:val="24"/>
        </w:rPr>
      </w:pPr>
      <w:r w:rsidRPr="009D1941">
        <w:rPr>
          <w:rFonts w:ascii="Times New Roman" w:hAnsi="Times New Roman"/>
          <w:b/>
          <w:szCs w:val="24"/>
        </w:rPr>
        <w:t>1</w:t>
      </w:r>
      <w:r w:rsidR="00235F14" w:rsidRPr="009D1941">
        <w:rPr>
          <w:rFonts w:ascii="Times New Roman" w:hAnsi="Times New Roman"/>
          <w:b/>
          <w:szCs w:val="24"/>
        </w:rPr>
        <w:t>.</w:t>
      </w:r>
      <w:r w:rsidR="00235F14" w:rsidRPr="009D1941">
        <w:rPr>
          <w:rFonts w:ascii="Times New Roman" w:hAnsi="Times New Roman"/>
          <w:b/>
          <w:szCs w:val="24"/>
        </w:rPr>
        <w:tab/>
      </w:r>
      <w:r w:rsidR="00A57C0F">
        <w:rPr>
          <w:rFonts w:ascii="Times New Roman" w:hAnsi="Times New Roman"/>
          <w:b/>
          <w:szCs w:val="24"/>
        </w:rPr>
        <w:t xml:space="preserve">PacifiCorp has </w:t>
      </w:r>
      <w:proofErr w:type="gramStart"/>
      <w:r w:rsidR="00A57C0F">
        <w:rPr>
          <w:rFonts w:ascii="Times New Roman" w:hAnsi="Times New Roman"/>
          <w:b/>
          <w:szCs w:val="24"/>
        </w:rPr>
        <w:t>Demonstrated</w:t>
      </w:r>
      <w:proofErr w:type="gramEnd"/>
      <w:r w:rsidR="00A57C0F">
        <w:rPr>
          <w:rFonts w:ascii="Times New Roman" w:hAnsi="Times New Roman"/>
          <w:b/>
          <w:szCs w:val="24"/>
        </w:rPr>
        <w:t xml:space="preserve"> the Reasonableness of its </w:t>
      </w:r>
      <w:r w:rsidR="00EA57AC" w:rsidRPr="009D1941">
        <w:rPr>
          <w:rFonts w:ascii="Times New Roman" w:hAnsi="Times New Roman"/>
          <w:b/>
          <w:szCs w:val="24"/>
        </w:rPr>
        <w:t>Incentive Comp</w:t>
      </w:r>
      <w:r w:rsidR="00A57C0F">
        <w:rPr>
          <w:rFonts w:ascii="Times New Roman" w:hAnsi="Times New Roman"/>
          <w:b/>
          <w:szCs w:val="24"/>
        </w:rPr>
        <w:t>ensation.</w:t>
      </w:r>
    </w:p>
    <w:p w:rsidR="00D81E34" w:rsidRPr="009D1941" w:rsidRDefault="00AC3F5A" w:rsidP="00D706C2">
      <w:pPr>
        <w:pStyle w:val="ListParagraph"/>
        <w:numPr>
          <w:ilvl w:val="0"/>
          <w:numId w:val="12"/>
        </w:numPr>
        <w:tabs>
          <w:tab w:val="left" w:pos="720"/>
        </w:tabs>
        <w:spacing w:line="480" w:lineRule="auto"/>
        <w:ind w:left="0"/>
        <w:rPr>
          <w:rFonts w:ascii="Times New Roman" w:hAnsi="Times New Roman"/>
          <w:szCs w:val="24"/>
        </w:rPr>
      </w:pPr>
      <w:r w:rsidRPr="009D1941">
        <w:rPr>
          <w:rFonts w:ascii="Times New Roman" w:hAnsi="Times New Roman"/>
          <w:szCs w:val="24"/>
        </w:rPr>
        <w:tab/>
      </w:r>
      <w:r w:rsidR="00D81E34" w:rsidRPr="009D1941">
        <w:rPr>
          <w:rFonts w:ascii="Times New Roman" w:hAnsi="Times New Roman"/>
          <w:szCs w:val="24"/>
        </w:rPr>
        <w:t>Public Counsel</w:t>
      </w:r>
      <w:r w:rsidR="00B47F15">
        <w:rPr>
          <w:rFonts w:ascii="Times New Roman" w:hAnsi="Times New Roman"/>
          <w:szCs w:val="24"/>
        </w:rPr>
        <w:t>/ICNU</w:t>
      </w:r>
      <w:r w:rsidR="00D81E34" w:rsidRPr="009D1941">
        <w:rPr>
          <w:rFonts w:ascii="Times New Roman" w:hAnsi="Times New Roman"/>
          <w:szCs w:val="24"/>
        </w:rPr>
        <w:t xml:space="preserve"> claim that the Company’s incentive program provides “unreasonably high payments to the Company’s top executives.”</w:t>
      </w:r>
      <w:r w:rsidR="00D81E34" w:rsidRPr="009D1941">
        <w:rPr>
          <w:rStyle w:val="FootnoteReference"/>
          <w:rFonts w:ascii="Times New Roman" w:hAnsi="Times New Roman"/>
          <w:szCs w:val="24"/>
        </w:rPr>
        <w:footnoteReference w:id="197"/>
      </w:r>
      <w:r w:rsidR="00D81E34" w:rsidRPr="009D1941">
        <w:rPr>
          <w:rFonts w:ascii="Times New Roman" w:hAnsi="Times New Roman"/>
          <w:szCs w:val="24"/>
        </w:rPr>
        <w:t xml:space="preserve">  </w:t>
      </w:r>
      <w:r w:rsidR="00B47F15" w:rsidRPr="009D1941">
        <w:rPr>
          <w:rFonts w:ascii="Times New Roman" w:hAnsi="Times New Roman"/>
          <w:szCs w:val="24"/>
        </w:rPr>
        <w:t>Public Counsel</w:t>
      </w:r>
      <w:r w:rsidR="00B47F15">
        <w:rPr>
          <w:rFonts w:ascii="Times New Roman" w:hAnsi="Times New Roman"/>
          <w:szCs w:val="24"/>
        </w:rPr>
        <w:t>/ICNU</w:t>
      </w:r>
      <w:r w:rsidR="00D81E34" w:rsidRPr="009D1941">
        <w:rPr>
          <w:rFonts w:ascii="Times New Roman" w:hAnsi="Times New Roman"/>
          <w:szCs w:val="24"/>
        </w:rPr>
        <w:t xml:space="preserve">’s claim is baseless, as </w:t>
      </w:r>
      <w:r w:rsidR="00B47F15" w:rsidRPr="009D1941">
        <w:rPr>
          <w:rFonts w:ascii="Times New Roman" w:hAnsi="Times New Roman"/>
          <w:szCs w:val="24"/>
        </w:rPr>
        <w:t>Public Counsel</w:t>
      </w:r>
      <w:r w:rsidR="00B47F15">
        <w:rPr>
          <w:rFonts w:ascii="Times New Roman" w:hAnsi="Times New Roman"/>
          <w:szCs w:val="24"/>
        </w:rPr>
        <w:t>/ICNU</w:t>
      </w:r>
      <w:r w:rsidR="00B47F15" w:rsidRPr="009D1941">
        <w:rPr>
          <w:rFonts w:ascii="Times New Roman" w:hAnsi="Times New Roman"/>
          <w:szCs w:val="24"/>
        </w:rPr>
        <w:t xml:space="preserve"> </w:t>
      </w:r>
      <w:r w:rsidR="00D81E34" w:rsidRPr="009D1941">
        <w:rPr>
          <w:rFonts w:ascii="Times New Roman" w:hAnsi="Times New Roman"/>
          <w:szCs w:val="24"/>
        </w:rPr>
        <w:t>ha</w:t>
      </w:r>
      <w:r w:rsidR="00B47F15">
        <w:rPr>
          <w:rFonts w:ascii="Times New Roman" w:hAnsi="Times New Roman"/>
          <w:szCs w:val="24"/>
        </w:rPr>
        <w:t>ve</w:t>
      </w:r>
      <w:r w:rsidR="00D81E34" w:rsidRPr="009D1941">
        <w:rPr>
          <w:rFonts w:ascii="Times New Roman" w:hAnsi="Times New Roman"/>
          <w:szCs w:val="24"/>
        </w:rPr>
        <w:t xml:space="preserve"> prese</w:t>
      </w:r>
      <w:r w:rsidR="00621663">
        <w:rPr>
          <w:rFonts w:ascii="Times New Roman" w:hAnsi="Times New Roman"/>
          <w:szCs w:val="24"/>
        </w:rPr>
        <w:t>nted no evidence, and indeed have</w:t>
      </w:r>
      <w:r w:rsidR="00D81E34" w:rsidRPr="009D1941">
        <w:rPr>
          <w:rFonts w:ascii="Times New Roman" w:hAnsi="Times New Roman"/>
          <w:szCs w:val="24"/>
        </w:rPr>
        <w:t xml:space="preserve"> not claimed, that PacifiCorp’s overall compensation is higher than market average.  </w:t>
      </w:r>
    </w:p>
    <w:p w:rsidR="00D81E34" w:rsidRPr="009D1941" w:rsidRDefault="00D81E34" w:rsidP="00D706C2">
      <w:pPr>
        <w:pStyle w:val="ListParagraph"/>
        <w:numPr>
          <w:ilvl w:val="0"/>
          <w:numId w:val="12"/>
        </w:numPr>
        <w:tabs>
          <w:tab w:val="left" w:pos="720"/>
        </w:tabs>
        <w:spacing w:line="480" w:lineRule="auto"/>
        <w:ind w:left="0"/>
        <w:rPr>
          <w:rFonts w:ascii="Times New Roman" w:hAnsi="Times New Roman"/>
          <w:szCs w:val="24"/>
        </w:rPr>
      </w:pPr>
      <w:r w:rsidRPr="009D1941">
        <w:rPr>
          <w:rFonts w:ascii="Times New Roman" w:hAnsi="Times New Roman"/>
          <w:szCs w:val="24"/>
        </w:rPr>
        <w:tab/>
      </w:r>
      <w:r w:rsidR="00B47F15" w:rsidRPr="009D1941">
        <w:rPr>
          <w:rFonts w:ascii="Times New Roman" w:hAnsi="Times New Roman"/>
          <w:szCs w:val="24"/>
        </w:rPr>
        <w:t>Public Counsel</w:t>
      </w:r>
      <w:r w:rsidR="00B47F15">
        <w:rPr>
          <w:rFonts w:ascii="Times New Roman" w:hAnsi="Times New Roman"/>
          <w:szCs w:val="24"/>
        </w:rPr>
        <w:t>/ICNU</w:t>
      </w:r>
      <w:r w:rsidR="00F77D8F">
        <w:rPr>
          <w:rFonts w:ascii="Times New Roman" w:hAnsi="Times New Roman"/>
          <w:szCs w:val="24"/>
        </w:rPr>
        <w:t>’s</w:t>
      </w:r>
      <w:r w:rsidRPr="009D1941">
        <w:rPr>
          <w:rFonts w:ascii="Times New Roman" w:hAnsi="Times New Roman"/>
          <w:szCs w:val="24"/>
        </w:rPr>
        <w:t xml:space="preserve"> </w:t>
      </w:r>
      <w:r w:rsidR="00A57C0F">
        <w:rPr>
          <w:rFonts w:ascii="Times New Roman" w:hAnsi="Times New Roman"/>
          <w:szCs w:val="24"/>
        </w:rPr>
        <w:t>statements</w:t>
      </w:r>
      <w:r w:rsidRPr="009D1941">
        <w:rPr>
          <w:rFonts w:ascii="Times New Roman" w:hAnsi="Times New Roman"/>
          <w:szCs w:val="24"/>
        </w:rPr>
        <w:t xml:space="preserve"> </w:t>
      </w:r>
      <w:r w:rsidR="003950CD" w:rsidRPr="009D1941">
        <w:rPr>
          <w:rFonts w:ascii="Times New Roman" w:hAnsi="Times New Roman"/>
          <w:szCs w:val="24"/>
        </w:rPr>
        <w:t xml:space="preserve">regarding the </w:t>
      </w:r>
      <w:r w:rsidR="00256773" w:rsidRPr="009D1941">
        <w:rPr>
          <w:rFonts w:ascii="Times New Roman" w:hAnsi="Times New Roman"/>
          <w:szCs w:val="24"/>
        </w:rPr>
        <w:t xml:space="preserve">incentive </w:t>
      </w:r>
      <w:r w:rsidR="003950CD" w:rsidRPr="009D1941">
        <w:rPr>
          <w:rFonts w:ascii="Times New Roman" w:hAnsi="Times New Roman"/>
          <w:szCs w:val="24"/>
        </w:rPr>
        <w:t xml:space="preserve">compensation of Pacific Power President Pat </w:t>
      </w:r>
      <w:proofErr w:type="spellStart"/>
      <w:r w:rsidR="003950CD" w:rsidRPr="009D1941">
        <w:rPr>
          <w:rFonts w:ascii="Times New Roman" w:hAnsi="Times New Roman"/>
          <w:szCs w:val="24"/>
        </w:rPr>
        <w:t>Reiten</w:t>
      </w:r>
      <w:proofErr w:type="spellEnd"/>
      <w:r w:rsidRPr="009D1941">
        <w:rPr>
          <w:rFonts w:ascii="Times New Roman" w:hAnsi="Times New Roman"/>
          <w:szCs w:val="24"/>
        </w:rPr>
        <w:t xml:space="preserve"> </w:t>
      </w:r>
      <w:r w:rsidR="00A57C0F">
        <w:rPr>
          <w:rFonts w:ascii="Times New Roman" w:hAnsi="Times New Roman"/>
          <w:szCs w:val="24"/>
        </w:rPr>
        <w:t xml:space="preserve">appear </w:t>
      </w:r>
      <w:r w:rsidR="009A7D4B">
        <w:rPr>
          <w:rFonts w:ascii="Times New Roman" w:hAnsi="Times New Roman"/>
          <w:szCs w:val="24"/>
        </w:rPr>
        <w:t xml:space="preserve">to be </w:t>
      </w:r>
      <w:r w:rsidR="00A57C0F">
        <w:rPr>
          <w:rFonts w:ascii="Times New Roman" w:hAnsi="Times New Roman"/>
          <w:szCs w:val="24"/>
        </w:rPr>
        <w:t xml:space="preserve">intended to </w:t>
      </w:r>
      <w:r w:rsidR="00C0005A">
        <w:rPr>
          <w:rFonts w:ascii="Times New Roman" w:hAnsi="Times New Roman"/>
          <w:szCs w:val="24"/>
        </w:rPr>
        <w:t xml:space="preserve">make his compensation appear unreasonable, even when </w:t>
      </w:r>
      <w:r w:rsidR="00B47F15" w:rsidRPr="009D1941">
        <w:rPr>
          <w:rFonts w:ascii="Times New Roman" w:hAnsi="Times New Roman"/>
          <w:szCs w:val="24"/>
        </w:rPr>
        <w:t>Public Counsel</w:t>
      </w:r>
      <w:r w:rsidR="00B47F15">
        <w:rPr>
          <w:rFonts w:ascii="Times New Roman" w:hAnsi="Times New Roman"/>
          <w:szCs w:val="24"/>
        </w:rPr>
        <w:t>/ICNU</w:t>
      </w:r>
      <w:r w:rsidR="00C0005A">
        <w:rPr>
          <w:rFonts w:ascii="Times New Roman" w:hAnsi="Times New Roman"/>
          <w:szCs w:val="24"/>
        </w:rPr>
        <w:t xml:space="preserve"> present no factual basis for such a finding</w:t>
      </w:r>
      <w:r w:rsidR="003950CD" w:rsidRPr="009D1941">
        <w:rPr>
          <w:rFonts w:ascii="Times New Roman" w:hAnsi="Times New Roman"/>
          <w:szCs w:val="24"/>
        </w:rPr>
        <w:t>.</w:t>
      </w:r>
      <w:r w:rsidRPr="009D1941">
        <w:rPr>
          <w:rStyle w:val="FootnoteReference"/>
          <w:rFonts w:ascii="Times New Roman" w:hAnsi="Times New Roman"/>
          <w:szCs w:val="24"/>
        </w:rPr>
        <w:footnoteReference w:id="198"/>
      </w:r>
      <w:r w:rsidRPr="009D1941">
        <w:rPr>
          <w:rFonts w:ascii="Times New Roman" w:hAnsi="Times New Roman"/>
          <w:szCs w:val="24"/>
        </w:rPr>
        <w:t xml:space="preserve">  </w:t>
      </w:r>
      <w:r w:rsidR="003950CD" w:rsidRPr="009D1941">
        <w:rPr>
          <w:rFonts w:ascii="Times New Roman" w:hAnsi="Times New Roman"/>
          <w:szCs w:val="24"/>
        </w:rPr>
        <w:t xml:space="preserve">On a Washington-allocated basis, </w:t>
      </w:r>
      <w:r w:rsidR="0097679A">
        <w:rPr>
          <w:rFonts w:ascii="Times New Roman" w:hAnsi="Times New Roman"/>
          <w:szCs w:val="24"/>
        </w:rPr>
        <w:t>Mr. </w:t>
      </w:r>
      <w:proofErr w:type="spellStart"/>
      <w:r w:rsidR="003950CD" w:rsidRPr="009D1941">
        <w:rPr>
          <w:rFonts w:ascii="Times New Roman" w:hAnsi="Times New Roman"/>
          <w:szCs w:val="24"/>
        </w:rPr>
        <w:t>Reiten’s</w:t>
      </w:r>
      <w:proofErr w:type="spellEnd"/>
      <w:r w:rsidR="003950CD" w:rsidRPr="009D1941">
        <w:rPr>
          <w:rFonts w:ascii="Times New Roman" w:hAnsi="Times New Roman"/>
          <w:szCs w:val="24"/>
        </w:rPr>
        <w:t xml:space="preserve"> </w:t>
      </w:r>
      <w:r w:rsidR="00256773" w:rsidRPr="009D1941">
        <w:rPr>
          <w:rFonts w:ascii="Times New Roman" w:hAnsi="Times New Roman"/>
          <w:szCs w:val="24"/>
        </w:rPr>
        <w:t xml:space="preserve">incentive </w:t>
      </w:r>
      <w:r w:rsidR="003950CD" w:rsidRPr="009D1941">
        <w:rPr>
          <w:rFonts w:ascii="Times New Roman" w:hAnsi="Times New Roman"/>
          <w:szCs w:val="24"/>
        </w:rPr>
        <w:t xml:space="preserve">compensation is </w:t>
      </w:r>
      <w:r w:rsidR="00A57C0F">
        <w:t>$15,928</w:t>
      </w:r>
      <w:r w:rsidR="003950CD" w:rsidRPr="009D1941">
        <w:rPr>
          <w:rFonts w:ascii="Times New Roman" w:hAnsi="Times New Roman"/>
          <w:szCs w:val="24"/>
        </w:rPr>
        <w:t>.</w:t>
      </w:r>
      <w:r w:rsidR="00A57C0F">
        <w:rPr>
          <w:rStyle w:val="FootnoteReference"/>
          <w:rFonts w:ascii="Times New Roman" w:hAnsi="Times New Roman"/>
          <w:szCs w:val="24"/>
        </w:rPr>
        <w:footnoteReference w:id="199"/>
      </w:r>
      <w:r w:rsidR="003950CD" w:rsidRPr="009D1941">
        <w:rPr>
          <w:rFonts w:ascii="Times New Roman" w:hAnsi="Times New Roman"/>
          <w:szCs w:val="24"/>
        </w:rPr>
        <w:t xml:space="preserve">  </w:t>
      </w:r>
      <w:r w:rsidR="00B47F15" w:rsidRPr="009D1941">
        <w:rPr>
          <w:rFonts w:ascii="Times New Roman" w:hAnsi="Times New Roman"/>
          <w:szCs w:val="24"/>
        </w:rPr>
        <w:t>Public Counsel</w:t>
      </w:r>
      <w:r w:rsidR="00B47F15">
        <w:rPr>
          <w:rFonts w:ascii="Times New Roman" w:hAnsi="Times New Roman"/>
          <w:szCs w:val="24"/>
        </w:rPr>
        <w:t>/ICNU</w:t>
      </w:r>
      <w:r w:rsidR="00562136" w:rsidRPr="009D1941">
        <w:rPr>
          <w:rFonts w:ascii="Times New Roman" w:hAnsi="Times New Roman"/>
          <w:szCs w:val="24"/>
        </w:rPr>
        <w:t>’s rhetoric does not provide a justification for removing from rates incentive compensation that provides a level of compensation that is reasonable overall.</w:t>
      </w:r>
    </w:p>
    <w:p w:rsidR="00973298" w:rsidRPr="00F77D8F" w:rsidRDefault="00C370CE" w:rsidP="00E31B3E">
      <w:pPr>
        <w:pStyle w:val="ListParagraph"/>
        <w:keepNext/>
        <w:tabs>
          <w:tab w:val="left" w:pos="720"/>
        </w:tabs>
        <w:spacing w:after="240"/>
        <w:ind w:left="1440" w:hanging="720"/>
        <w:contextualSpacing w:val="0"/>
        <w:rPr>
          <w:rFonts w:ascii="Times New Roman" w:hAnsi="Times New Roman"/>
          <w:b/>
          <w:szCs w:val="24"/>
        </w:rPr>
      </w:pPr>
      <w:r w:rsidRPr="00F77D8F">
        <w:rPr>
          <w:rFonts w:ascii="Times New Roman" w:hAnsi="Times New Roman"/>
          <w:b/>
          <w:szCs w:val="24"/>
        </w:rPr>
        <w:t>2</w:t>
      </w:r>
      <w:r w:rsidR="00235F14" w:rsidRPr="00F77D8F">
        <w:rPr>
          <w:rFonts w:ascii="Times New Roman" w:hAnsi="Times New Roman"/>
          <w:b/>
          <w:szCs w:val="24"/>
        </w:rPr>
        <w:t>.</w:t>
      </w:r>
      <w:r w:rsidR="00235F14" w:rsidRPr="00F77D8F">
        <w:rPr>
          <w:rFonts w:ascii="Times New Roman" w:hAnsi="Times New Roman"/>
          <w:b/>
          <w:szCs w:val="24"/>
        </w:rPr>
        <w:tab/>
      </w:r>
      <w:r w:rsidR="00B47F15" w:rsidRPr="00B47F15">
        <w:rPr>
          <w:rFonts w:ascii="Times New Roman" w:hAnsi="Times New Roman"/>
          <w:b/>
          <w:szCs w:val="24"/>
        </w:rPr>
        <w:t>Public Counsel/ICNU</w:t>
      </w:r>
      <w:r w:rsidR="00E31B3E" w:rsidRPr="00B47F15">
        <w:rPr>
          <w:rFonts w:ascii="Times New Roman" w:hAnsi="Times New Roman"/>
          <w:b/>
          <w:szCs w:val="24"/>
        </w:rPr>
        <w:t>’s Objections</w:t>
      </w:r>
      <w:r w:rsidR="00E31B3E">
        <w:rPr>
          <w:rFonts w:ascii="Times New Roman" w:hAnsi="Times New Roman"/>
          <w:b/>
          <w:szCs w:val="24"/>
        </w:rPr>
        <w:t xml:space="preserve"> to the </w:t>
      </w:r>
      <w:r w:rsidR="00EA57AC" w:rsidRPr="00F77D8F">
        <w:rPr>
          <w:rFonts w:ascii="Times New Roman" w:hAnsi="Times New Roman"/>
          <w:b/>
          <w:szCs w:val="24"/>
        </w:rPr>
        <w:t>2009 Wage Adjustment</w:t>
      </w:r>
      <w:r w:rsidR="00E31B3E">
        <w:rPr>
          <w:rFonts w:ascii="Times New Roman" w:hAnsi="Times New Roman"/>
          <w:b/>
          <w:szCs w:val="24"/>
        </w:rPr>
        <w:t xml:space="preserve"> Are Not Relevant to the Entire Officer/Exempt Group and Are Unfounded.</w:t>
      </w:r>
    </w:p>
    <w:p w:rsidR="00973298" w:rsidRPr="009D1941" w:rsidRDefault="00AC3F5A" w:rsidP="00D706C2">
      <w:pPr>
        <w:pStyle w:val="ListParagraph"/>
        <w:numPr>
          <w:ilvl w:val="0"/>
          <w:numId w:val="12"/>
        </w:numPr>
        <w:tabs>
          <w:tab w:val="left" w:pos="720"/>
        </w:tabs>
        <w:spacing w:line="480" w:lineRule="auto"/>
        <w:ind w:left="0"/>
        <w:rPr>
          <w:rFonts w:ascii="Times New Roman" w:hAnsi="Times New Roman"/>
          <w:szCs w:val="24"/>
        </w:rPr>
      </w:pPr>
      <w:r w:rsidRPr="009D1941">
        <w:rPr>
          <w:rFonts w:ascii="Times New Roman" w:hAnsi="Times New Roman"/>
          <w:szCs w:val="24"/>
        </w:rPr>
        <w:tab/>
      </w:r>
      <w:r w:rsidR="00B47F15" w:rsidRPr="009D1941">
        <w:rPr>
          <w:rFonts w:ascii="Times New Roman" w:hAnsi="Times New Roman"/>
          <w:szCs w:val="24"/>
        </w:rPr>
        <w:t>Public Counsel</w:t>
      </w:r>
      <w:r w:rsidR="00B47F15">
        <w:rPr>
          <w:rFonts w:ascii="Times New Roman" w:hAnsi="Times New Roman"/>
          <w:szCs w:val="24"/>
        </w:rPr>
        <w:t>/ICNU</w:t>
      </w:r>
      <w:r w:rsidR="00B71B77" w:rsidRPr="009D1941">
        <w:rPr>
          <w:rFonts w:ascii="Times New Roman" w:hAnsi="Times New Roman"/>
          <w:szCs w:val="24"/>
        </w:rPr>
        <w:t xml:space="preserve"> </w:t>
      </w:r>
      <w:r w:rsidR="00B04D98" w:rsidRPr="009D1941">
        <w:rPr>
          <w:rFonts w:ascii="Times New Roman" w:hAnsi="Times New Roman"/>
          <w:szCs w:val="24"/>
        </w:rPr>
        <w:t xml:space="preserve">appear to argue that </w:t>
      </w:r>
      <w:r w:rsidR="00B47F15">
        <w:rPr>
          <w:rFonts w:ascii="Times New Roman" w:hAnsi="Times New Roman"/>
          <w:szCs w:val="24"/>
        </w:rPr>
        <w:t xml:space="preserve">they </w:t>
      </w:r>
      <w:r w:rsidR="00B04D98" w:rsidRPr="009D1941">
        <w:rPr>
          <w:rFonts w:ascii="Times New Roman" w:hAnsi="Times New Roman"/>
          <w:szCs w:val="24"/>
        </w:rPr>
        <w:t>would have proposed an adjustment to the 2009 wage increase only for the Company’s “highest-paid” employees, if only the Company had provided “detailed information regarding employee salaries.”</w:t>
      </w:r>
      <w:r w:rsidR="00B04D98" w:rsidRPr="009D1941">
        <w:rPr>
          <w:rStyle w:val="FootnoteReference"/>
          <w:rFonts w:ascii="Times New Roman" w:hAnsi="Times New Roman"/>
          <w:szCs w:val="24"/>
        </w:rPr>
        <w:footnoteReference w:id="200"/>
      </w:r>
      <w:r w:rsidR="00B04D98" w:rsidRPr="009D1941">
        <w:rPr>
          <w:rFonts w:ascii="Times New Roman" w:hAnsi="Times New Roman"/>
          <w:szCs w:val="24"/>
        </w:rPr>
        <w:t xml:space="preserve">  </w:t>
      </w:r>
      <w:r w:rsidR="00AF2C97">
        <w:rPr>
          <w:rFonts w:ascii="Times New Roman" w:hAnsi="Times New Roman"/>
          <w:szCs w:val="24"/>
        </w:rPr>
        <w:t>T</w:t>
      </w:r>
      <w:r w:rsidR="00B04D98" w:rsidRPr="009D1941">
        <w:rPr>
          <w:rFonts w:ascii="Times New Roman" w:hAnsi="Times New Roman"/>
          <w:szCs w:val="24"/>
        </w:rPr>
        <w:t>he Company</w:t>
      </w:r>
      <w:r w:rsidR="00AF2C97">
        <w:rPr>
          <w:rFonts w:ascii="Times New Roman" w:hAnsi="Times New Roman"/>
          <w:szCs w:val="24"/>
        </w:rPr>
        <w:t xml:space="preserve"> did in fact</w:t>
      </w:r>
      <w:r w:rsidR="00B04D98" w:rsidRPr="009D1941">
        <w:rPr>
          <w:rFonts w:ascii="Times New Roman" w:hAnsi="Times New Roman"/>
          <w:szCs w:val="24"/>
        </w:rPr>
        <w:t xml:space="preserve"> prov</w:t>
      </w:r>
      <w:r w:rsidR="00AF2C97">
        <w:rPr>
          <w:rFonts w:ascii="Times New Roman" w:hAnsi="Times New Roman"/>
          <w:szCs w:val="24"/>
        </w:rPr>
        <w:t>ide</w:t>
      </w:r>
      <w:r w:rsidR="00B04D98" w:rsidRPr="009D1941">
        <w:rPr>
          <w:rFonts w:ascii="Times New Roman" w:hAnsi="Times New Roman"/>
          <w:szCs w:val="24"/>
        </w:rPr>
        <w:t xml:space="preserve"> </w:t>
      </w:r>
      <w:r w:rsidR="00B417B0" w:rsidRPr="009D1941">
        <w:rPr>
          <w:rFonts w:ascii="Times New Roman" w:hAnsi="Times New Roman"/>
          <w:szCs w:val="24"/>
        </w:rPr>
        <w:t>such detailed information, including the salaries for the top twenty highest paid employees.</w:t>
      </w:r>
      <w:r w:rsidR="00B417B0" w:rsidRPr="009D1941">
        <w:rPr>
          <w:rStyle w:val="FootnoteReference"/>
          <w:rFonts w:ascii="Times New Roman" w:hAnsi="Times New Roman"/>
          <w:szCs w:val="24"/>
        </w:rPr>
        <w:footnoteReference w:id="201"/>
      </w:r>
      <w:r w:rsidR="00AF2C97">
        <w:rPr>
          <w:rFonts w:ascii="Times New Roman" w:hAnsi="Times New Roman"/>
          <w:szCs w:val="24"/>
        </w:rPr>
        <w:t xml:space="preserve"> </w:t>
      </w:r>
      <w:r w:rsidR="00184AF0">
        <w:rPr>
          <w:rFonts w:ascii="Times New Roman" w:hAnsi="Times New Roman"/>
          <w:szCs w:val="24"/>
        </w:rPr>
        <w:t xml:space="preserve"> </w:t>
      </w:r>
      <w:r w:rsidR="00D279F6" w:rsidRPr="009D1941">
        <w:rPr>
          <w:rFonts w:ascii="Times New Roman" w:hAnsi="Times New Roman"/>
          <w:szCs w:val="24"/>
        </w:rPr>
        <w:t>Public Counsel</w:t>
      </w:r>
      <w:r w:rsidR="00D279F6">
        <w:rPr>
          <w:rFonts w:ascii="Times New Roman" w:hAnsi="Times New Roman"/>
          <w:szCs w:val="24"/>
        </w:rPr>
        <w:t>/ICNU</w:t>
      </w:r>
      <w:r w:rsidR="00184AF0">
        <w:rPr>
          <w:rFonts w:ascii="Times New Roman" w:hAnsi="Times New Roman"/>
          <w:szCs w:val="24"/>
        </w:rPr>
        <w:t>’s undefined complaints of the salaries of the Company’s “highest-paid” employees cannot be used as a basis for reducing the actual 2009 wage increase for</w:t>
      </w:r>
      <w:r w:rsidR="00AC034E">
        <w:rPr>
          <w:rFonts w:ascii="Times New Roman" w:hAnsi="Times New Roman"/>
          <w:szCs w:val="24"/>
        </w:rPr>
        <w:t xml:space="preserve"> </w:t>
      </w:r>
      <w:r w:rsidR="00D279F6">
        <w:rPr>
          <w:rFonts w:ascii="Times New Roman" w:hAnsi="Times New Roman"/>
          <w:szCs w:val="24"/>
        </w:rPr>
        <w:t>nearly</w:t>
      </w:r>
      <w:r w:rsidR="00AC034E">
        <w:rPr>
          <w:rFonts w:ascii="Times New Roman" w:hAnsi="Times New Roman"/>
          <w:szCs w:val="24"/>
        </w:rPr>
        <w:t xml:space="preserve"> 2,000 employees in</w:t>
      </w:r>
      <w:r w:rsidR="00184AF0">
        <w:rPr>
          <w:rFonts w:ascii="Times New Roman" w:hAnsi="Times New Roman"/>
          <w:szCs w:val="24"/>
        </w:rPr>
        <w:t xml:space="preserve"> the Officer/Exempt group.</w:t>
      </w:r>
      <w:r w:rsidR="00D279F6">
        <w:rPr>
          <w:rStyle w:val="FootnoteReference"/>
          <w:rFonts w:ascii="Times New Roman" w:hAnsi="Times New Roman"/>
          <w:szCs w:val="24"/>
        </w:rPr>
        <w:footnoteReference w:id="202"/>
      </w:r>
      <w:r w:rsidR="00184AF0">
        <w:rPr>
          <w:rFonts w:ascii="Times New Roman" w:hAnsi="Times New Roman"/>
          <w:szCs w:val="24"/>
        </w:rPr>
        <w:t xml:space="preserve"> </w:t>
      </w:r>
    </w:p>
    <w:p w:rsidR="00EB7B10" w:rsidRPr="009D1941" w:rsidRDefault="00EB7B10" w:rsidP="00D706C2">
      <w:pPr>
        <w:pStyle w:val="ListParagraph"/>
        <w:numPr>
          <w:ilvl w:val="0"/>
          <w:numId w:val="12"/>
        </w:numPr>
        <w:tabs>
          <w:tab w:val="left" w:pos="720"/>
        </w:tabs>
        <w:spacing w:line="480" w:lineRule="auto"/>
        <w:ind w:left="0"/>
        <w:rPr>
          <w:rFonts w:ascii="Times New Roman" w:hAnsi="Times New Roman"/>
          <w:szCs w:val="24"/>
        </w:rPr>
      </w:pPr>
      <w:r w:rsidRPr="009D1941">
        <w:rPr>
          <w:rFonts w:ascii="Times New Roman" w:hAnsi="Times New Roman"/>
          <w:szCs w:val="24"/>
        </w:rPr>
        <w:tab/>
      </w:r>
      <w:r w:rsidRPr="00AF2C97">
        <w:rPr>
          <w:rFonts w:ascii="Times New Roman" w:hAnsi="Times New Roman"/>
          <w:szCs w:val="24"/>
        </w:rPr>
        <w:t>Public Counsel</w:t>
      </w:r>
      <w:r w:rsidR="00D279F6">
        <w:rPr>
          <w:rFonts w:ascii="Times New Roman" w:hAnsi="Times New Roman"/>
          <w:szCs w:val="24"/>
        </w:rPr>
        <w:t>/ICNU</w:t>
      </w:r>
      <w:r w:rsidRPr="00AF2C97">
        <w:rPr>
          <w:rFonts w:ascii="Times New Roman" w:hAnsi="Times New Roman"/>
          <w:szCs w:val="24"/>
        </w:rPr>
        <w:t xml:space="preserve"> complain that the Company’s assessment of market compensation is flawed because it includes no Pacific Northwest utilities, public utility districts, municipal utilities, or the Bonneville Power Administration.</w:t>
      </w:r>
      <w:r w:rsidRPr="00AF2C97">
        <w:rPr>
          <w:rStyle w:val="FootnoteReference"/>
          <w:rFonts w:ascii="Times New Roman" w:hAnsi="Times New Roman"/>
          <w:szCs w:val="24"/>
        </w:rPr>
        <w:footnoteReference w:id="203"/>
      </w:r>
      <w:r w:rsidR="00AF2C97">
        <w:rPr>
          <w:rFonts w:ascii="Times New Roman" w:hAnsi="Times New Roman"/>
          <w:szCs w:val="24"/>
        </w:rPr>
        <w:t xml:space="preserve">  </w:t>
      </w:r>
      <w:r w:rsidR="00184AF0">
        <w:rPr>
          <w:rFonts w:ascii="Times New Roman" w:hAnsi="Times New Roman"/>
          <w:szCs w:val="24"/>
        </w:rPr>
        <w:t xml:space="preserve">The Company has, however, used the same methodology for evaluating market compensation in prior cases in which the Commission found the Company’s compensation to be reasonable.  Moreover, </w:t>
      </w:r>
      <w:r w:rsidR="00D279F6" w:rsidRPr="00AF2C97">
        <w:rPr>
          <w:rFonts w:ascii="Times New Roman" w:hAnsi="Times New Roman"/>
          <w:szCs w:val="24"/>
        </w:rPr>
        <w:t>Public Counsel</w:t>
      </w:r>
      <w:r w:rsidR="00D279F6">
        <w:rPr>
          <w:rFonts w:ascii="Times New Roman" w:hAnsi="Times New Roman"/>
          <w:szCs w:val="24"/>
        </w:rPr>
        <w:t>/ICNU</w:t>
      </w:r>
      <w:r w:rsidR="00D279F6" w:rsidRPr="00AF2C97">
        <w:rPr>
          <w:rFonts w:ascii="Times New Roman" w:hAnsi="Times New Roman"/>
          <w:szCs w:val="24"/>
        </w:rPr>
        <w:t xml:space="preserve"> </w:t>
      </w:r>
      <w:r w:rsidR="00184AF0">
        <w:rPr>
          <w:rFonts w:ascii="Times New Roman" w:hAnsi="Times New Roman"/>
          <w:szCs w:val="24"/>
        </w:rPr>
        <w:t xml:space="preserve">raised this issue for the first time in brief, depriving the Company of the opportunity to provide evidence related to this issue in rebuttal testimony.  Thus, it would be unreasonable to adopt </w:t>
      </w:r>
      <w:r w:rsidR="00D279F6" w:rsidRPr="00AF2C97">
        <w:rPr>
          <w:rFonts w:ascii="Times New Roman" w:hAnsi="Times New Roman"/>
          <w:szCs w:val="24"/>
        </w:rPr>
        <w:t>Public Counsel</w:t>
      </w:r>
      <w:r w:rsidR="00D279F6">
        <w:rPr>
          <w:rFonts w:ascii="Times New Roman" w:hAnsi="Times New Roman"/>
          <w:szCs w:val="24"/>
        </w:rPr>
        <w:t>/ICNU</w:t>
      </w:r>
      <w:r w:rsidR="00184AF0">
        <w:rPr>
          <w:rFonts w:ascii="Times New Roman" w:hAnsi="Times New Roman"/>
          <w:szCs w:val="24"/>
        </w:rPr>
        <w:t>’s 2009 wage adjustment on this basis.</w:t>
      </w:r>
    </w:p>
    <w:p w:rsidR="007B4A45" w:rsidRPr="009D1941" w:rsidRDefault="00184AF0"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D279F6" w:rsidRPr="00AF2C97">
        <w:rPr>
          <w:rFonts w:ascii="Times New Roman" w:hAnsi="Times New Roman"/>
          <w:szCs w:val="24"/>
        </w:rPr>
        <w:t>Public Counsel</w:t>
      </w:r>
      <w:r w:rsidR="00D279F6">
        <w:rPr>
          <w:rFonts w:ascii="Times New Roman" w:hAnsi="Times New Roman"/>
          <w:szCs w:val="24"/>
        </w:rPr>
        <w:t>/ICNU</w:t>
      </w:r>
      <w:r w:rsidR="00D279F6" w:rsidRPr="00AF2C97">
        <w:rPr>
          <w:rFonts w:ascii="Times New Roman" w:hAnsi="Times New Roman"/>
          <w:szCs w:val="24"/>
        </w:rPr>
        <w:t xml:space="preserve"> </w:t>
      </w:r>
      <w:r w:rsidR="00D279F6">
        <w:rPr>
          <w:rFonts w:ascii="Times New Roman" w:hAnsi="Times New Roman"/>
          <w:szCs w:val="24"/>
        </w:rPr>
        <w:t>also rely</w:t>
      </w:r>
      <w:r>
        <w:rPr>
          <w:rFonts w:ascii="Times New Roman" w:hAnsi="Times New Roman"/>
          <w:szCs w:val="24"/>
        </w:rPr>
        <w:t xml:space="preserve"> </w:t>
      </w:r>
      <w:r w:rsidR="007B4A45" w:rsidRPr="009D1941">
        <w:rPr>
          <w:rFonts w:ascii="Times New Roman" w:hAnsi="Times New Roman"/>
          <w:szCs w:val="24"/>
        </w:rPr>
        <w:t>on newspaper articles to argue that PacifiCorp’s 2009 wage increases were unreasonably high compared with executives nationally.</w:t>
      </w:r>
      <w:r w:rsidR="007B4A45" w:rsidRPr="009D1941">
        <w:rPr>
          <w:rStyle w:val="FootnoteReference"/>
          <w:rFonts w:ascii="Times New Roman" w:hAnsi="Times New Roman"/>
          <w:szCs w:val="24"/>
        </w:rPr>
        <w:footnoteReference w:id="204"/>
      </w:r>
      <w:r w:rsidR="007B4A45" w:rsidRPr="009D1941">
        <w:rPr>
          <w:rFonts w:ascii="Times New Roman" w:hAnsi="Times New Roman"/>
          <w:szCs w:val="24"/>
        </w:rPr>
        <w:t xml:space="preserve">  </w:t>
      </w:r>
      <w:r w:rsidR="00725499" w:rsidRPr="009D1941">
        <w:rPr>
          <w:rFonts w:ascii="Times New Roman" w:hAnsi="Times New Roman"/>
          <w:szCs w:val="24"/>
        </w:rPr>
        <w:t xml:space="preserve">The articles cited by </w:t>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00851A45" w:rsidRPr="009D1941">
        <w:rPr>
          <w:rFonts w:ascii="Times New Roman" w:hAnsi="Times New Roman"/>
          <w:szCs w:val="24"/>
        </w:rPr>
        <w:t>should not be used as a basis for disallowance</w:t>
      </w:r>
      <w:r w:rsidR="00CE2E67" w:rsidRPr="009D1941">
        <w:rPr>
          <w:rFonts w:ascii="Times New Roman" w:hAnsi="Times New Roman"/>
          <w:szCs w:val="24"/>
        </w:rPr>
        <w:t xml:space="preserve"> because they are irrelevant to determining market</w:t>
      </w:r>
      <w:r w:rsidR="00851A45" w:rsidRPr="009D1941">
        <w:rPr>
          <w:rFonts w:ascii="Times New Roman" w:hAnsi="Times New Roman"/>
          <w:szCs w:val="24"/>
        </w:rPr>
        <w:t xml:space="preserve"> compensation</w:t>
      </w:r>
      <w:r w:rsidR="00CE2E67" w:rsidRPr="009D1941">
        <w:rPr>
          <w:rFonts w:ascii="Times New Roman" w:hAnsi="Times New Roman"/>
          <w:szCs w:val="24"/>
        </w:rPr>
        <w:t xml:space="preserve"> in the utility industry.  Moreover, the levels of executive compensation cited in the articles—a median $5 million</w:t>
      </w:r>
      <w:r w:rsidR="00C56EC7" w:rsidRPr="009D1941">
        <w:rPr>
          <w:rFonts w:ascii="Times New Roman" w:hAnsi="Times New Roman"/>
          <w:szCs w:val="24"/>
        </w:rPr>
        <w:t xml:space="preserve"> in one article</w:t>
      </w:r>
      <w:r w:rsidR="00CE2E67" w:rsidRPr="009D1941">
        <w:rPr>
          <w:rStyle w:val="FootnoteReference"/>
          <w:rFonts w:ascii="Times New Roman" w:hAnsi="Times New Roman"/>
          <w:szCs w:val="24"/>
        </w:rPr>
        <w:footnoteReference w:id="205"/>
      </w:r>
      <w:r w:rsidR="00CE2E67" w:rsidRPr="009D1941">
        <w:rPr>
          <w:rFonts w:ascii="Times New Roman" w:hAnsi="Times New Roman"/>
          <w:szCs w:val="24"/>
        </w:rPr>
        <w:t xml:space="preserve"> and a median $</w:t>
      </w:r>
      <w:r w:rsidR="00C56EC7" w:rsidRPr="009D1941">
        <w:rPr>
          <w:rFonts w:ascii="Times New Roman" w:hAnsi="Times New Roman"/>
          <w:szCs w:val="24"/>
        </w:rPr>
        <w:t>6.6 million in the other article</w:t>
      </w:r>
      <w:r w:rsidR="00C56EC7" w:rsidRPr="009D1941">
        <w:rPr>
          <w:rStyle w:val="FootnoteReference"/>
          <w:rFonts w:ascii="Times New Roman" w:hAnsi="Times New Roman"/>
          <w:szCs w:val="24"/>
        </w:rPr>
        <w:footnoteReference w:id="206"/>
      </w:r>
      <w:r w:rsidR="00C56EC7" w:rsidRPr="009D1941">
        <w:rPr>
          <w:rFonts w:ascii="Times New Roman" w:hAnsi="Times New Roman"/>
          <w:szCs w:val="24"/>
        </w:rPr>
        <w:t>—</w:t>
      </w:r>
      <w:r w:rsidR="00E66EC3" w:rsidRPr="009D1941">
        <w:rPr>
          <w:rFonts w:ascii="Times New Roman" w:hAnsi="Times New Roman"/>
          <w:szCs w:val="24"/>
        </w:rPr>
        <w:t>are significantly higher than the compensation for any PacifiCorp executive.  It would be unreasonable to rely on these articles to disallow PacifiCorp’s 2009 wage increase</w:t>
      </w:r>
      <w:r w:rsidR="007E31F2" w:rsidRPr="009D1941">
        <w:rPr>
          <w:rFonts w:ascii="Times New Roman" w:hAnsi="Times New Roman"/>
          <w:szCs w:val="24"/>
        </w:rPr>
        <w:t xml:space="preserve">, </w:t>
      </w:r>
      <w:r w:rsidR="00A14471" w:rsidRPr="009D1941">
        <w:rPr>
          <w:rFonts w:ascii="Times New Roman" w:hAnsi="Times New Roman"/>
          <w:szCs w:val="24"/>
        </w:rPr>
        <w:t>which</w:t>
      </w:r>
      <w:r w:rsidR="007E31F2" w:rsidRPr="009D1941">
        <w:rPr>
          <w:rFonts w:ascii="Times New Roman" w:hAnsi="Times New Roman"/>
          <w:szCs w:val="24"/>
        </w:rPr>
        <w:t xml:space="preserve"> is applicable to all Officer/Exempt employees, when the data in the articles are so clearly inapplicable to PacifiCorp’s compensation.</w:t>
      </w:r>
    </w:p>
    <w:p w:rsidR="00A14471" w:rsidRPr="00A25FBD" w:rsidRDefault="00A14471" w:rsidP="00D706C2">
      <w:pPr>
        <w:pStyle w:val="ListParagraph"/>
        <w:numPr>
          <w:ilvl w:val="0"/>
          <w:numId w:val="12"/>
        </w:numPr>
        <w:tabs>
          <w:tab w:val="left" w:pos="720"/>
        </w:tabs>
        <w:spacing w:line="480" w:lineRule="auto"/>
        <w:ind w:left="0"/>
        <w:rPr>
          <w:rFonts w:ascii="Times New Roman" w:hAnsi="Times New Roman"/>
          <w:szCs w:val="24"/>
        </w:rPr>
      </w:pPr>
      <w:r w:rsidRPr="009D1941">
        <w:rPr>
          <w:rFonts w:ascii="Times New Roman" w:hAnsi="Times New Roman"/>
          <w:szCs w:val="24"/>
        </w:rPr>
        <w:tab/>
        <w:t xml:space="preserve">Finally, </w:t>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Pr="009D1941">
        <w:rPr>
          <w:rFonts w:ascii="Times New Roman" w:hAnsi="Times New Roman"/>
          <w:szCs w:val="24"/>
        </w:rPr>
        <w:t>cite to “[u]</w:t>
      </w:r>
      <w:proofErr w:type="spellStart"/>
      <w:r w:rsidRPr="009D1941">
        <w:rPr>
          <w:rFonts w:ascii="Times New Roman" w:hAnsi="Times New Roman"/>
          <w:szCs w:val="24"/>
        </w:rPr>
        <w:t>tilities</w:t>
      </w:r>
      <w:proofErr w:type="spellEnd"/>
      <w:r w:rsidRPr="009D1941">
        <w:rPr>
          <w:rFonts w:ascii="Times New Roman" w:hAnsi="Times New Roman"/>
          <w:szCs w:val="24"/>
        </w:rPr>
        <w:t xml:space="preserve"> and commissions across the country” that have disallowed executive salary increases.</w:t>
      </w:r>
      <w:r w:rsidRPr="009D1941">
        <w:rPr>
          <w:rStyle w:val="FootnoteReference"/>
          <w:rFonts w:ascii="Times New Roman" w:hAnsi="Times New Roman"/>
          <w:szCs w:val="24"/>
        </w:rPr>
        <w:footnoteReference w:id="207"/>
      </w:r>
      <w:r w:rsidRPr="009D1941">
        <w:rPr>
          <w:rFonts w:ascii="Times New Roman" w:hAnsi="Times New Roman"/>
          <w:szCs w:val="24"/>
        </w:rPr>
        <w:t xml:space="preserve">  </w:t>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Pr="009D1941">
        <w:rPr>
          <w:rFonts w:ascii="Times New Roman" w:hAnsi="Times New Roman"/>
          <w:szCs w:val="24"/>
        </w:rPr>
        <w:t>cite only two commissions—Connecticut a</w:t>
      </w:r>
      <w:r w:rsidR="00FB6B3F" w:rsidRPr="009D1941">
        <w:rPr>
          <w:rFonts w:ascii="Times New Roman" w:hAnsi="Times New Roman"/>
          <w:szCs w:val="24"/>
        </w:rPr>
        <w:t>nd New York—that have done so and provide no basis upon which the Commission can find that the decisions in those cases were based on similar facts or that the policies of those commissions are comparable to those of this Commission.</w:t>
      </w:r>
      <w:r w:rsidR="00FB6B3F" w:rsidRPr="00A25FBD">
        <w:rPr>
          <w:rFonts w:ascii="Times New Roman" w:hAnsi="Times New Roman"/>
          <w:szCs w:val="24"/>
        </w:rPr>
        <w:t xml:space="preserve"> </w:t>
      </w:r>
    </w:p>
    <w:p w:rsidR="00AC3F5A" w:rsidRPr="009D1941" w:rsidRDefault="00C370CE" w:rsidP="009328A8">
      <w:pPr>
        <w:pStyle w:val="ListParagraph"/>
        <w:keepNext/>
        <w:tabs>
          <w:tab w:val="left" w:pos="720"/>
        </w:tabs>
        <w:spacing w:after="240"/>
        <w:ind w:left="1440" w:hanging="720"/>
        <w:contextualSpacing w:val="0"/>
        <w:rPr>
          <w:rFonts w:ascii="Times New Roman" w:hAnsi="Times New Roman"/>
          <w:b/>
          <w:szCs w:val="24"/>
        </w:rPr>
      </w:pPr>
      <w:r w:rsidRPr="009D1941">
        <w:rPr>
          <w:rFonts w:ascii="Times New Roman" w:hAnsi="Times New Roman"/>
          <w:b/>
          <w:szCs w:val="24"/>
        </w:rPr>
        <w:t>3</w:t>
      </w:r>
      <w:r w:rsidR="00235F14" w:rsidRPr="009D1941">
        <w:rPr>
          <w:rFonts w:ascii="Times New Roman" w:hAnsi="Times New Roman"/>
          <w:b/>
          <w:szCs w:val="24"/>
        </w:rPr>
        <w:t>.</w:t>
      </w:r>
      <w:r w:rsidR="00235F14" w:rsidRPr="009D1941">
        <w:rPr>
          <w:rFonts w:ascii="Times New Roman" w:hAnsi="Times New Roman"/>
          <w:b/>
          <w:szCs w:val="24"/>
        </w:rPr>
        <w:tab/>
      </w:r>
      <w:r w:rsidR="00315123" w:rsidRPr="00315123">
        <w:rPr>
          <w:rFonts w:ascii="Times New Roman" w:hAnsi="Times New Roman"/>
          <w:b/>
          <w:szCs w:val="24"/>
        </w:rPr>
        <w:t>Public Counsel/ICNU</w:t>
      </w:r>
      <w:r w:rsidR="009328A8">
        <w:rPr>
          <w:rFonts w:ascii="Times New Roman" w:hAnsi="Times New Roman"/>
          <w:b/>
          <w:szCs w:val="24"/>
        </w:rPr>
        <w:t>’s Claims Regarding Wor</w:t>
      </w:r>
      <w:r w:rsidR="006D6994">
        <w:rPr>
          <w:rFonts w:ascii="Times New Roman" w:hAnsi="Times New Roman"/>
          <w:b/>
          <w:szCs w:val="24"/>
        </w:rPr>
        <w:t>kforce Levels Do Not Justify Their</w:t>
      </w:r>
      <w:r w:rsidR="00E31B3E">
        <w:rPr>
          <w:rFonts w:ascii="Times New Roman" w:hAnsi="Times New Roman"/>
          <w:b/>
          <w:szCs w:val="24"/>
        </w:rPr>
        <w:t xml:space="preserve"> </w:t>
      </w:r>
      <w:r w:rsidR="00EA57AC" w:rsidRPr="009D1941">
        <w:rPr>
          <w:rFonts w:ascii="Times New Roman" w:hAnsi="Times New Roman"/>
          <w:b/>
          <w:szCs w:val="24"/>
        </w:rPr>
        <w:t>2010 Wage Adjustment</w:t>
      </w:r>
    </w:p>
    <w:p w:rsidR="00BA64F2" w:rsidRPr="009D1941" w:rsidRDefault="00AC3F5A" w:rsidP="00D706C2">
      <w:pPr>
        <w:pStyle w:val="ListParagraph"/>
        <w:numPr>
          <w:ilvl w:val="0"/>
          <w:numId w:val="12"/>
        </w:numPr>
        <w:tabs>
          <w:tab w:val="left" w:pos="720"/>
        </w:tabs>
        <w:spacing w:line="480" w:lineRule="auto"/>
        <w:ind w:left="0"/>
        <w:rPr>
          <w:rFonts w:ascii="Times New Roman" w:hAnsi="Times New Roman"/>
          <w:szCs w:val="24"/>
        </w:rPr>
      </w:pPr>
      <w:r w:rsidRPr="009D1941">
        <w:rPr>
          <w:rFonts w:ascii="Times New Roman" w:hAnsi="Times New Roman"/>
          <w:b/>
          <w:szCs w:val="24"/>
        </w:rPr>
        <w:tab/>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00E279C1" w:rsidRPr="009D1941">
        <w:rPr>
          <w:rFonts w:ascii="Times New Roman" w:hAnsi="Times New Roman"/>
          <w:szCs w:val="24"/>
        </w:rPr>
        <w:t>also propose to remove the wage increases that occurred in 2010</w:t>
      </w:r>
      <w:r w:rsidR="00653485" w:rsidRPr="009D1941">
        <w:rPr>
          <w:rFonts w:ascii="Times New Roman" w:hAnsi="Times New Roman"/>
          <w:szCs w:val="24"/>
        </w:rPr>
        <w:t xml:space="preserve"> because workforce levels have declined</w:t>
      </w:r>
      <w:r w:rsidR="00E279C1" w:rsidRPr="009D1941">
        <w:rPr>
          <w:rFonts w:ascii="Times New Roman" w:hAnsi="Times New Roman"/>
          <w:szCs w:val="24"/>
        </w:rPr>
        <w:t>.</w:t>
      </w:r>
      <w:r w:rsidR="00653485" w:rsidRPr="009D1941">
        <w:rPr>
          <w:rStyle w:val="FootnoteReference"/>
          <w:rFonts w:ascii="Times New Roman" w:hAnsi="Times New Roman"/>
          <w:szCs w:val="24"/>
        </w:rPr>
        <w:footnoteReference w:id="208"/>
      </w:r>
      <w:r w:rsidR="00E279C1" w:rsidRPr="009D1941">
        <w:rPr>
          <w:rFonts w:ascii="Times New Roman" w:hAnsi="Times New Roman"/>
          <w:szCs w:val="24"/>
        </w:rPr>
        <w:t xml:space="preserve">  </w:t>
      </w:r>
      <w:r w:rsidR="00653485" w:rsidRPr="009D1941">
        <w:rPr>
          <w:rFonts w:ascii="Times New Roman" w:hAnsi="Times New Roman"/>
          <w:szCs w:val="24"/>
        </w:rPr>
        <w:t xml:space="preserve">As </w:t>
      </w:r>
      <w:r w:rsidR="0097679A">
        <w:rPr>
          <w:rFonts w:ascii="Times New Roman" w:hAnsi="Times New Roman"/>
          <w:szCs w:val="24"/>
        </w:rPr>
        <w:t>Mr. </w:t>
      </w:r>
      <w:r w:rsidR="00653485" w:rsidRPr="009D1941">
        <w:rPr>
          <w:rFonts w:ascii="Times New Roman" w:hAnsi="Times New Roman"/>
          <w:szCs w:val="24"/>
        </w:rPr>
        <w:t xml:space="preserve">Wilson testified, the decline in positions referenced by </w:t>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00653485" w:rsidRPr="009D1941">
        <w:rPr>
          <w:rFonts w:ascii="Times New Roman" w:hAnsi="Times New Roman"/>
          <w:szCs w:val="24"/>
        </w:rPr>
        <w:t>represents positions that the Company is attempting to fill and does not represent permanent reductions.</w:t>
      </w:r>
      <w:r w:rsidR="00653485" w:rsidRPr="009D1941">
        <w:rPr>
          <w:rStyle w:val="FootnoteReference"/>
          <w:rFonts w:ascii="Times New Roman" w:hAnsi="Times New Roman"/>
          <w:szCs w:val="24"/>
        </w:rPr>
        <w:footnoteReference w:id="209"/>
      </w:r>
      <w:r w:rsidR="0026578B" w:rsidRPr="009D1941">
        <w:rPr>
          <w:rFonts w:ascii="Times New Roman" w:hAnsi="Times New Roman"/>
          <w:szCs w:val="24"/>
        </w:rPr>
        <w:t xml:space="preserve">  </w:t>
      </w:r>
      <w:r w:rsidR="00315123" w:rsidRPr="00AF2C97">
        <w:rPr>
          <w:rFonts w:ascii="Times New Roman" w:hAnsi="Times New Roman"/>
          <w:szCs w:val="24"/>
        </w:rPr>
        <w:t>Public Counsel</w:t>
      </w:r>
      <w:r w:rsidR="00315123">
        <w:rPr>
          <w:rFonts w:ascii="Times New Roman" w:hAnsi="Times New Roman"/>
          <w:szCs w:val="24"/>
        </w:rPr>
        <w:t>/ICNU</w:t>
      </w:r>
      <w:r w:rsidR="0026578B" w:rsidRPr="009D1941">
        <w:rPr>
          <w:rFonts w:ascii="Times New Roman" w:hAnsi="Times New Roman"/>
          <w:szCs w:val="24"/>
        </w:rPr>
        <w:t>’s statements in briefing regarding “additional lay-offs in the future”</w:t>
      </w:r>
      <w:r w:rsidR="009A23C3" w:rsidRPr="009D1941">
        <w:rPr>
          <w:rStyle w:val="FootnoteReference"/>
          <w:rFonts w:ascii="Times New Roman" w:hAnsi="Times New Roman"/>
          <w:szCs w:val="24"/>
        </w:rPr>
        <w:footnoteReference w:id="210"/>
      </w:r>
      <w:r w:rsidR="0026578B" w:rsidRPr="009D1941">
        <w:rPr>
          <w:rFonts w:ascii="Times New Roman" w:hAnsi="Times New Roman"/>
          <w:szCs w:val="24"/>
        </w:rPr>
        <w:t xml:space="preserve"> should be </w:t>
      </w:r>
      <w:r w:rsidR="009A23C3" w:rsidRPr="009D1941">
        <w:rPr>
          <w:rFonts w:ascii="Times New Roman" w:hAnsi="Times New Roman"/>
          <w:szCs w:val="24"/>
        </w:rPr>
        <w:t>di</w:t>
      </w:r>
      <w:r w:rsidR="00A25FBD">
        <w:rPr>
          <w:rFonts w:ascii="Times New Roman" w:hAnsi="Times New Roman"/>
          <w:szCs w:val="24"/>
        </w:rPr>
        <w:t>sregarded as unsupported hearsay</w:t>
      </w:r>
      <w:r w:rsidR="009A23C3" w:rsidRPr="009D1941">
        <w:rPr>
          <w:rFonts w:ascii="Times New Roman" w:hAnsi="Times New Roman"/>
          <w:szCs w:val="24"/>
        </w:rPr>
        <w:t>.</w:t>
      </w:r>
    </w:p>
    <w:p w:rsidR="00973298" w:rsidRPr="009D1941" w:rsidRDefault="003825DF" w:rsidP="00315123">
      <w:pPr>
        <w:keepNext/>
        <w:spacing w:after="240"/>
        <w:ind w:left="720" w:hanging="720"/>
        <w:rPr>
          <w:rFonts w:ascii="Times New Roman" w:hAnsi="Times New Roman"/>
          <w:b/>
          <w:szCs w:val="24"/>
        </w:rPr>
      </w:pPr>
      <w:r w:rsidRPr="009D1941">
        <w:rPr>
          <w:rFonts w:ascii="Times New Roman" w:hAnsi="Times New Roman"/>
          <w:b/>
          <w:szCs w:val="24"/>
        </w:rPr>
        <w:t>C</w:t>
      </w:r>
      <w:r w:rsidR="00235F14" w:rsidRPr="009D1941">
        <w:rPr>
          <w:rFonts w:ascii="Times New Roman" w:hAnsi="Times New Roman"/>
          <w:b/>
          <w:szCs w:val="24"/>
        </w:rPr>
        <w:t>.</w:t>
      </w:r>
      <w:r w:rsidR="00235F14" w:rsidRPr="009D1941">
        <w:rPr>
          <w:rFonts w:ascii="Times New Roman" w:hAnsi="Times New Roman"/>
          <w:b/>
          <w:szCs w:val="24"/>
        </w:rPr>
        <w:tab/>
      </w:r>
      <w:r w:rsidR="009328A8">
        <w:rPr>
          <w:rFonts w:ascii="Times New Roman" w:hAnsi="Times New Roman"/>
          <w:b/>
          <w:szCs w:val="24"/>
        </w:rPr>
        <w:t>PacifiCorp Has Presented a Reasonable Level of MEHC Management Fee that is Consistent with its MEHC Acquisition Commitment.</w:t>
      </w:r>
    </w:p>
    <w:p w:rsidR="00AC3F5A" w:rsidRPr="009D1941" w:rsidRDefault="00AC3F5A" w:rsidP="00D706C2">
      <w:pPr>
        <w:pStyle w:val="ListParagraph"/>
        <w:numPr>
          <w:ilvl w:val="0"/>
          <w:numId w:val="12"/>
        </w:numPr>
        <w:tabs>
          <w:tab w:val="left" w:pos="720"/>
        </w:tabs>
        <w:spacing w:line="480" w:lineRule="auto"/>
        <w:ind w:left="0"/>
        <w:rPr>
          <w:rFonts w:ascii="Times New Roman" w:hAnsi="Times New Roman"/>
          <w:szCs w:val="24"/>
        </w:rPr>
      </w:pPr>
      <w:r w:rsidRPr="009D1941">
        <w:rPr>
          <w:rFonts w:ascii="Times New Roman" w:hAnsi="Times New Roman"/>
          <w:szCs w:val="24"/>
        </w:rPr>
        <w:tab/>
      </w:r>
      <w:r w:rsidR="00AA7961" w:rsidRPr="009D1941">
        <w:rPr>
          <w:rFonts w:ascii="Times New Roman" w:hAnsi="Times New Roman"/>
          <w:szCs w:val="24"/>
        </w:rPr>
        <w:t xml:space="preserve">As in the case of </w:t>
      </w:r>
      <w:r w:rsidR="00151CBA" w:rsidRPr="009D1941">
        <w:rPr>
          <w:rFonts w:ascii="Times New Roman" w:hAnsi="Times New Roman"/>
          <w:szCs w:val="24"/>
        </w:rPr>
        <w:t xml:space="preserve">PacifiCorp executive compensation, </w:t>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00151CBA" w:rsidRPr="009D1941">
        <w:rPr>
          <w:rFonts w:ascii="Times New Roman" w:hAnsi="Times New Roman"/>
          <w:szCs w:val="24"/>
        </w:rPr>
        <w:t>ha</w:t>
      </w:r>
      <w:r w:rsidR="00315123">
        <w:rPr>
          <w:rFonts w:ascii="Times New Roman" w:hAnsi="Times New Roman"/>
          <w:szCs w:val="24"/>
        </w:rPr>
        <w:t>ve</w:t>
      </w:r>
      <w:r w:rsidR="00151CBA" w:rsidRPr="009D1941">
        <w:rPr>
          <w:rFonts w:ascii="Times New Roman" w:hAnsi="Times New Roman"/>
          <w:szCs w:val="24"/>
        </w:rPr>
        <w:t xml:space="preserve"> the facts wrong and provide no basis to disallow costs associated with MEHC </w:t>
      </w:r>
      <w:r w:rsidR="00AC034E">
        <w:rPr>
          <w:rFonts w:ascii="Times New Roman" w:hAnsi="Times New Roman"/>
          <w:szCs w:val="24"/>
        </w:rPr>
        <w:t>incentives</w:t>
      </w:r>
      <w:r w:rsidR="00151CBA" w:rsidRPr="009D1941">
        <w:rPr>
          <w:rFonts w:ascii="Times New Roman" w:hAnsi="Times New Roman"/>
          <w:szCs w:val="24"/>
        </w:rPr>
        <w:t xml:space="preserve">.  </w:t>
      </w:r>
      <w:r w:rsidR="00315123" w:rsidRPr="00AF2C97">
        <w:rPr>
          <w:rFonts w:ascii="Times New Roman" w:hAnsi="Times New Roman"/>
          <w:szCs w:val="24"/>
        </w:rPr>
        <w:t>Public Counsel</w:t>
      </w:r>
      <w:r w:rsidR="00315123">
        <w:rPr>
          <w:rFonts w:ascii="Times New Roman" w:hAnsi="Times New Roman"/>
          <w:szCs w:val="24"/>
        </w:rPr>
        <w:t>/ICNU claim</w:t>
      </w:r>
      <w:r w:rsidR="00151CBA" w:rsidRPr="009D1941">
        <w:rPr>
          <w:rFonts w:ascii="Times New Roman" w:hAnsi="Times New Roman"/>
          <w:szCs w:val="24"/>
        </w:rPr>
        <w:t xml:space="preserve"> that the Company is attempting recover a $1.1 million incentive payment to PacifiCorp’s CEO Greg Abel.</w:t>
      </w:r>
      <w:r w:rsidR="00151CBA" w:rsidRPr="009D1941">
        <w:rPr>
          <w:rStyle w:val="FootnoteReference"/>
          <w:rFonts w:ascii="Times New Roman" w:hAnsi="Times New Roman"/>
          <w:szCs w:val="24"/>
        </w:rPr>
        <w:footnoteReference w:id="211"/>
      </w:r>
      <w:r w:rsidR="00151CBA" w:rsidRPr="009D1941">
        <w:rPr>
          <w:rFonts w:ascii="Times New Roman" w:hAnsi="Times New Roman"/>
          <w:szCs w:val="24"/>
        </w:rPr>
        <w:t xml:space="preserve">  As </w:t>
      </w:r>
      <w:r w:rsidR="0097679A">
        <w:rPr>
          <w:rFonts w:ascii="Times New Roman" w:hAnsi="Times New Roman"/>
          <w:szCs w:val="24"/>
        </w:rPr>
        <w:t>Mr. </w:t>
      </w:r>
      <w:r w:rsidR="00C24F87">
        <w:rPr>
          <w:rFonts w:ascii="Times New Roman" w:hAnsi="Times New Roman"/>
          <w:szCs w:val="24"/>
        </w:rPr>
        <w:t>St</w:t>
      </w:r>
      <w:r w:rsidR="00151CBA" w:rsidRPr="009D1941">
        <w:rPr>
          <w:rFonts w:ascii="Times New Roman" w:hAnsi="Times New Roman"/>
          <w:szCs w:val="24"/>
        </w:rPr>
        <w:t xml:space="preserve">uver testified, </w:t>
      </w:r>
      <w:r w:rsidR="00BC02DD" w:rsidRPr="009D1941">
        <w:rPr>
          <w:rFonts w:ascii="Times New Roman" w:hAnsi="Times New Roman"/>
          <w:szCs w:val="24"/>
        </w:rPr>
        <w:t xml:space="preserve">the </w:t>
      </w:r>
      <w:r w:rsidR="009A7D4B">
        <w:rPr>
          <w:rFonts w:ascii="Times New Roman" w:hAnsi="Times New Roman"/>
          <w:szCs w:val="24"/>
        </w:rPr>
        <w:t xml:space="preserve">total </w:t>
      </w:r>
      <w:r w:rsidR="00360F60" w:rsidRPr="009D1941">
        <w:rPr>
          <w:rFonts w:ascii="Times New Roman" w:hAnsi="Times New Roman"/>
          <w:szCs w:val="24"/>
        </w:rPr>
        <w:t xml:space="preserve">cost of </w:t>
      </w:r>
      <w:r w:rsidR="0097679A">
        <w:rPr>
          <w:rFonts w:ascii="Times New Roman" w:hAnsi="Times New Roman"/>
          <w:szCs w:val="24"/>
        </w:rPr>
        <w:t>Mr. </w:t>
      </w:r>
      <w:r w:rsidR="00360F60" w:rsidRPr="009D1941">
        <w:rPr>
          <w:rFonts w:ascii="Times New Roman" w:hAnsi="Times New Roman"/>
          <w:szCs w:val="24"/>
        </w:rPr>
        <w:t>Abel to Washington customers is $102,000</w:t>
      </w:r>
      <w:r w:rsidR="006B64FA" w:rsidRPr="009D1941">
        <w:rPr>
          <w:rFonts w:ascii="Times New Roman" w:hAnsi="Times New Roman"/>
          <w:szCs w:val="24"/>
        </w:rPr>
        <w:t xml:space="preserve">, not </w:t>
      </w:r>
      <w:r w:rsidR="009A7D4B">
        <w:rPr>
          <w:rFonts w:ascii="Times New Roman" w:hAnsi="Times New Roman"/>
          <w:szCs w:val="24"/>
        </w:rPr>
        <w:t>in excess of</w:t>
      </w:r>
      <w:r w:rsidR="006B64FA" w:rsidRPr="009D1941">
        <w:rPr>
          <w:rFonts w:ascii="Times New Roman" w:hAnsi="Times New Roman"/>
          <w:szCs w:val="24"/>
        </w:rPr>
        <w:t xml:space="preserve"> $1.1 million as </w:t>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00315123">
        <w:rPr>
          <w:rFonts w:ascii="Times New Roman" w:hAnsi="Times New Roman"/>
          <w:szCs w:val="24"/>
        </w:rPr>
        <w:t>imp</w:t>
      </w:r>
      <w:r w:rsidR="0006237A">
        <w:rPr>
          <w:rFonts w:ascii="Times New Roman" w:hAnsi="Times New Roman"/>
          <w:szCs w:val="24"/>
        </w:rPr>
        <w:t>l</w:t>
      </w:r>
      <w:r w:rsidR="00315123">
        <w:rPr>
          <w:rFonts w:ascii="Times New Roman" w:hAnsi="Times New Roman"/>
          <w:szCs w:val="24"/>
        </w:rPr>
        <w:t>y</w:t>
      </w:r>
      <w:r w:rsidR="00360F60" w:rsidRPr="009D1941">
        <w:rPr>
          <w:rFonts w:ascii="Times New Roman" w:hAnsi="Times New Roman"/>
          <w:szCs w:val="24"/>
        </w:rPr>
        <w:t>.</w:t>
      </w:r>
      <w:r w:rsidR="00360F60" w:rsidRPr="009D1941">
        <w:rPr>
          <w:rStyle w:val="FootnoteReference"/>
          <w:rFonts w:ascii="Times New Roman" w:hAnsi="Times New Roman"/>
          <w:szCs w:val="24"/>
        </w:rPr>
        <w:footnoteReference w:id="212"/>
      </w:r>
      <w:r w:rsidR="00160B67" w:rsidRPr="009D1941">
        <w:rPr>
          <w:rFonts w:ascii="Times New Roman" w:hAnsi="Times New Roman"/>
          <w:szCs w:val="24"/>
        </w:rPr>
        <w:t xml:space="preserve">  Further, in support of </w:t>
      </w:r>
      <w:r w:rsidR="00315123">
        <w:rPr>
          <w:rFonts w:ascii="Times New Roman" w:hAnsi="Times New Roman"/>
          <w:szCs w:val="24"/>
        </w:rPr>
        <w:t>their</w:t>
      </w:r>
      <w:r w:rsidR="00160B67" w:rsidRPr="009D1941">
        <w:rPr>
          <w:rFonts w:ascii="Times New Roman" w:hAnsi="Times New Roman"/>
          <w:szCs w:val="24"/>
        </w:rPr>
        <w:t xml:space="preserve"> argument</w:t>
      </w:r>
      <w:r w:rsidR="0006237A">
        <w:rPr>
          <w:rFonts w:ascii="Times New Roman" w:hAnsi="Times New Roman"/>
          <w:szCs w:val="24"/>
        </w:rPr>
        <w:t>,</w:t>
      </w:r>
      <w:r w:rsidR="00160B67" w:rsidRPr="009D1941">
        <w:rPr>
          <w:rFonts w:ascii="Times New Roman" w:hAnsi="Times New Roman"/>
          <w:szCs w:val="24"/>
        </w:rPr>
        <w:t xml:space="preserve"> </w:t>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008E638E" w:rsidRPr="009D1941">
        <w:rPr>
          <w:rFonts w:ascii="Times New Roman" w:hAnsi="Times New Roman"/>
          <w:szCs w:val="24"/>
        </w:rPr>
        <w:t>cite</w:t>
      </w:r>
      <w:r w:rsidR="00D7439F" w:rsidRPr="009D1941">
        <w:rPr>
          <w:rFonts w:ascii="Times New Roman" w:hAnsi="Times New Roman"/>
          <w:szCs w:val="24"/>
        </w:rPr>
        <w:t xml:space="preserve"> to expenses </w:t>
      </w:r>
      <w:r w:rsidR="008E638E" w:rsidRPr="009D1941">
        <w:rPr>
          <w:rFonts w:ascii="Times New Roman" w:hAnsi="Times New Roman"/>
          <w:szCs w:val="24"/>
        </w:rPr>
        <w:t>that</w:t>
      </w:r>
      <w:r w:rsidR="00D7439F" w:rsidRPr="009D1941">
        <w:rPr>
          <w:rFonts w:ascii="Times New Roman" w:hAnsi="Times New Roman"/>
          <w:szCs w:val="24"/>
        </w:rPr>
        <w:t xml:space="preserve"> are </w:t>
      </w:r>
      <w:r w:rsidR="008E638E" w:rsidRPr="009D1941">
        <w:rPr>
          <w:rFonts w:ascii="Times New Roman" w:hAnsi="Times New Roman"/>
          <w:szCs w:val="24"/>
        </w:rPr>
        <w:t>not included in rates</w:t>
      </w:r>
      <w:r w:rsidR="00D7439F" w:rsidRPr="009D1941">
        <w:rPr>
          <w:rFonts w:ascii="Times New Roman" w:hAnsi="Times New Roman"/>
          <w:szCs w:val="24"/>
        </w:rPr>
        <w:t xml:space="preserve">, such as </w:t>
      </w:r>
      <w:r w:rsidR="008E638E" w:rsidRPr="009D1941">
        <w:rPr>
          <w:rFonts w:ascii="Times New Roman" w:hAnsi="Times New Roman"/>
          <w:szCs w:val="24"/>
        </w:rPr>
        <w:t xml:space="preserve">the long term incentive plan and stock options which </w:t>
      </w:r>
      <w:r w:rsidR="00315123" w:rsidRPr="00AF2C97">
        <w:rPr>
          <w:rFonts w:ascii="Times New Roman" w:hAnsi="Times New Roman"/>
          <w:szCs w:val="24"/>
        </w:rPr>
        <w:t>Public Counsel</w:t>
      </w:r>
      <w:r w:rsidR="00315123">
        <w:rPr>
          <w:rFonts w:ascii="Times New Roman" w:hAnsi="Times New Roman"/>
          <w:szCs w:val="24"/>
        </w:rPr>
        <w:t>/ICNU</w:t>
      </w:r>
      <w:r w:rsidR="008E638E" w:rsidRPr="009D1941">
        <w:rPr>
          <w:rFonts w:ascii="Times New Roman" w:hAnsi="Times New Roman"/>
          <w:szCs w:val="24"/>
        </w:rPr>
        <w:t xml:space="preserve"> concede are not included in rates and MEHC has not issued since March 2000</w:t>
      </w:r>
      <w:r w:rsidR="00037F1F" w:rsidRPr="009D1941">
        <w:rPr>
          <w:rFonts w:ascii="Times New Roman" w:hAnsi="Times New Roman"/>
          <w:szCs w:val="24"/>
        </w:rPr>
        <w:t>.</w:t>
      </w:r>
      <w:r w:rsidR="007E422F" w:rsidRPr="009D1941">
        <w:rPr>
          <w:rStyle w:val="FootnoteReference"/>
          <w:rFonts w:ascii="Times New Roman" w:hAnsi="Times New Roman"/>
          <w:szCs w:val="24"/>
        </w:rPr>
        <w:footnoteReference w:id="213"/>
      </w:r>
      <w:r w:rsidR="006B64FA" w:rsidRPr="009D1941">
        <w:rPr>
          <w:rFonts w:ascii="Times New Roman" w:hAnsi="Times New Roman"/>
          <w:szCs w:val="24"/>
        </w:rPr>
        <w:t xml:space="preserve">  </w:t>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006B64FA" w:rsidRPr="009D1941">
        <w:rPr>
          <w:rFonts w:ascii="Times New Roman" w:hAnsi="Times New Roman"/>
          <w:szCs w:val="24"/>
        </w:rPr>
        <w:t xml:space="preserve">provide no basis for finding that the incentive compensation portion of MEHC </w:t>
      </w:r>
      <w:r w:rsidR="00347EFA">
        <w:rPr>
          <w:rFonts w:ascii="Times New Roman" w:hAnsi="Times New Roman"/>
          <w:szCs w:val="24"/>
        </w:rPr>
        <w:t>management fees is</w:t>
      </w:r>
      <w:r w:rsidR="006B64FA" w:rsidRPr="009D1941">
        <w:rPr>
          <w:rFonts w:ascii="Times New Roman" w:hAnsi="Times New Roman"/>
          <w:szCs w:val="24"/>
        </w:rPr>
        <w:t xml:space="preserve"> unreasonable.  As Staff notes, the affiliate management fee of $7.1 million included in this case is reasonable and consistent with the Stipulation in the MEHC acquisition docket.</w:t>
      </w:r>
      <w:r w:rsidR="006B64FA" w:rsidRPr="009D1941">
        <w:rPr>
          <w:rStyle w:val="FootnoteReference"/>
          <w:rFonts w:ascii="Times New Roman" w:hAnsi="Times New Roman"/>
          <w:szCs w:val="24"/>
        </w:rPr>
        <w:footnoteReference w:id="214"/>
      </w:r>
    </w:p>
    <w:p w:rsidR="00F1709E" w:rsidRPr="009D1941" w:rsidRDefault="00F1709E" w:rsidP="00D706C2">
      <w:pPr>
        <w:spacing w:after="240"/>
        <w:ind w:left="720" w:hanging="720"/>
        <w:rPr>
          <w:rFonts w:ascii="Times New Roman" w:hAnsi="Times New Roman"/>
          <w:b/>
          <w:szCs w:val="24"/>
        </w:rPr>
      </w:pPr>
      <w:r w:rsidRPr="00315123">
        <w:rPr>
          <w:rFonts w:ascii="Times New Roman" w:hAnsi="Times New Roman"/>
          <w:b/>
          <w:szCs w:val="24"/>
        </w:rPr>
        <w:t>D.</w:t>
      </w:r>
      <w:r w:rsidRPr="00315123">
        <w:rPr>
          <w:rFonts w:ascii="Times New Roman" w:hAnsi="Times New Roman"/>
          <w:b/>
          <w:szCs w:val="24"/>
        </w:rPr>
        <w:tab/>
      </w:r>
      <w:r w:rsidR="00315123" w:rsidRPr="00315123">
        <w:rPr>
          <w:rFonts w:ascii="Times New Roman" w:hAnsi="Times New Roman"/>
          <w:b/>
          <w:szCs w:val="24"/>
        </w:rPr>
        <w:t xml:space="preserve">Public Counsel/ICNU </w:t>
      </w:r>
      <w:r w:rsidR="00C735A9">
        <w:rPr>
          <w:rFonts w:ascii="Times New Roman" w:hAnsi="Times New Roman"/>
          <w:b/>
          <w:szCs w:val="24"/>
        </w:rPr>
        <w:t>Present No Basis for Ad Hoc Changes to the Assignment of Expenses under the WCA Methodology.</w:t>
      </w:r>
    </w:p>
    <w:p w:rsidR="00F1709E" w:rsidRPr="009D1941" w:rsidRDefault="00F1709E" w:rsidP="00D706C2">
      <w:pPr>
        <w:pStyle w:val="ListParagraph"/>
        <w:numPr>
          <w:ilvl w:val="0"/>
          <w:numId w:val="12"/>
        </w:numPr>
        <w:tabs>
          <w:tab w:val="left" w:pos="720"/>
        </w:tabs>
        <w:spacing w:line="480" w:lineRule="auto"/>
        <w:ind w:left="0"/>
        <w:rPr>
          <w:rFonts w:ascii="Times New Roman" w:hAnsi="Times New Roman"/>
          <w:szCs w:val="24"/>
        </w:rPr>
      </w:pPr>
      <w:r w:rsidRPr="009D1941">
        <w:rPr>
          <w:rFonts w:ascii="Times New Roman" w:hAnsi="Times New Roman"/>
          <w:szCs w:val="24"/>
        </w:rPr>
        <w:tab/>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00B74ED2" w:rsidRPr="009D1941">
        <w:rPr>
          <w:rFonts w:ascii="Times New Roman" w:hAnsi="Times New Roman"/>
          <w:szCs w:val="24"/>
        </w:rPr>
        <w:t xml:space="preserve">allege that PacifiCorp has “misallocated” outside legal expenses by not allocating some expenses </w:t>
      </w:r>
      <w:proofErr w:type="spellStart"/>
      <w:r w:rsidR="00B74ED2" w:rsidRPr="009D1941">
        <w:rPr>
          <w:rFonts w:ascii="Times New Roman" w:hAnsi="Times New Roman"/>
          <w:szCs w:val="24"/>
        </w:rPr>
        <w:t>situs</w:t>
      </w:r>
      <w:proofErr w:type="spellEnd"/>
      <w:r w:rsidR="00B74ED2" w:rsidRPr="009D1941">
        <w:rPr>
          <w:rFonts w:ascii="Times New Roman" w:hAnsi="Times New Roman"/>
          <w:szCs w:val="24"/>
        </w:rPr>
        <w:t>.</w:t>
      </w:r>
      <w:r w:rsidR="00B74ED2" w:rsidRPr="009D1941">
        <w:rPr>
          <w:rStyle w:val="FootnoteReference"/>
          <w:rFonts w:ascii="Times New Roman" w:hAnsi="Times New Roman"/>
          <w:szCs w:val="24"/>
        </w:rPr>
        <w:footnoteReference w:id="215"/>
      </w:r>
      <w:r w:rsidR="00AE049E" w:rsidRPr="009D1941">
        <w:rPr>
          <w:rFonts w:ascii="Times New Roman" w:hAnsi="Times New Roman"/>
          <w:szCs w:val="24"/>
        </w:rPr>
        <w:t xml:space="preserve">  </w:t>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00315123">
        <w:rPr>
          <w:rFonts w:ascii="Times New Roman" w:hAnsi="Times New Roman"/>
          <w:szCs w:val="24"/>
        </w:rPr>
        <w:t>are</w:t>
      </w:r>
      <w:r w:rsidR="00AE049E" w:rsidRPr="009D1941">
        <w:rPr>
          <w:rFonts w:ascii="Times New Roman" w:hAnsi="Times New Roman"/>
          <w:szCs w:val="24"/>
        </w:rPr>
        <w:t xml:space="preserve"> incorrect.  PacifiCorp allocated legal expenses in the same manner as it has previously</w:t>
      </w:r>
      <w:r w:rsidR="003310D3" w:rsidRPr="009D1941">
        <w:rPr>
          <w:rFonts w:ascii="Times New Roman" w:hAnsi="Times New Roman"/>
          <w:szCs w:val="24"/>
        </w:rPr>
        <w:t>; it is</w:t>
      </w:r>
      <w:r w:rsidR="00AE049E" w:rsidRPr="009D1941">
        <w:rPr>
          <w:rFonts w:ascii="Times New Roman" w:hAnsi="Times New Roman"/>
          <w:szCs w:val="24"/>
        </w:rPr>
        <w:t xml:space="preserve"> </w:t>
      </w:r>
      <w:r w:rsidR="00315123" w:rsidRPr="00AF2C97">
        <w:rPr>
          <w:rFonts w:ascii="Times New Roman" w:hAnsi="Times New Roman"/>
          <w:szCs w:val="24"/>
        </w:rPr>
        <w:t>Public Counsel</w:t>
      </w:r>
      <w:r w:rsidR="00315123">
        <w:rPr>
          <w:rFonts w:ascii="Times New Roman" w:hAnsi="Times New Roman"/>
          <w:szCs w:val="24"/>
        </w:rPr>
        <w:t>/ICNU</w:t>
      </w:r>
      <w:r w:rsidR="00315123" w:rsidRPr="00AF2C97">
        <w:rPr>
          <w:rFonts w:ascii="Times New Roman" w:hAnsi="Times New Roman"/>
          <w:szCs w:val="24"/>
        </w:rPr>
        <w:t xml:space="preserve"> </w:t>
      </w:r>
      <w:r w:rsidR="003310D3" w:rsidRPr="009D1941">
        <w:rPr>
          <w:rFonts w:ascii="Times New Roman" w:hAnsi="Times New Roman"/>
          <w:szCs w:val="24"/>
        </w:rPr>
        <w:t xml:space="preserve">who </w:t>
      </w:r>
      <w:proofErr w:type="gramStart"/>
      <w:r w:rsidR="00315123">
        <w:rPr>
          <w:rFonts w:ascii="Times New Roman" w:hAnsi="Times New Roman"/>
          <w:szCs w:val="24"/>
        </w:rPr>
        <w:t>are</w:t>
      </w:r>
      <w:proofErr w:type="gramEnd"/>
      <w:r w:rsidR="00AE049E" w:rsidRPr="009D1941">
        <w:rPr>
          <w:rFonts w:ascii="Times New Roman" w:hAnsi="Times New Roman"/>
          <w:szCs w:val="24"/>
        </w:rPr>
        <w:t xml:space="preserve"> now proposing to change the allocation of </w:t>
      </w:r>
      <w:r w:rsidR="003310D3" w:rsidRPr="009D1941">
        <w:rPr>
          <w:rFonts w:ascii="Times New Roman" w:hAnsi="Times New Roman"/>
          <w:szCs w:val="24"/>
        </w:rPr>
        <w:t xml:space="preserve">only those </w:t>
      </w:r>
      <w:r w:rsidR="009D4001" w:rsidRPr="009D1941">
        <w:rPr>
          <w:rFonts w:ascii="Times New Roman" w:hAnsi="Times New Roman"/>
          <w:szCs w:val="24"/>
        </w:rPr>
        <w:t>cost categories that reduce revenue requirement</w:t>
      </w:r>
      <w:r w:rsidR="00AE049E" w:rsidRPr="009D1941">
        <w:rPr>
          <w:rFonts w:ascii="Times New Roman" w:hAnsi="Times New Roman"/>
          <w:szCs w:val="24"/>
        </w:rPr>
        <w:t xml:space="preserve">.  </w:t>
      </w:r>
      <w:r w:rsidR="003310D3" w:rsidRPr="009D1941">
        <w:rPr>
          <w:rFonts w:ascii="Times New Roman" w:hAnsi="Times New Roman"/>
          <w:szCs w:val="24"/>
        </w:rPr>
        <w:t xml:space="preserve">Staff’s proposal to have parties work together to refine the allocation of accounts and determine whether it is cost effective to </w:t>
      </w:r>
      <w:proofErr w:type="spellStart"/>
      <w:r w:rsidR="003310D3" w:rsidRPr="009D1941">
        <w:rPr>
          <w:rFonts w:ascii="Times New Roman" w:hAnsi="Times New Roman"/>
          <w:szCs w:val="24"/>
        </w:rPr>
        <w:t>situs</w:t>
      </w:r>
      <w:proofErr w:type="spellEnd"/>
      <w:r w:rsidR="003310D3" w:rsidRPr="009D1941">
        <w:rPr>
          <w:rFonts w:ascii="Times New Roman" w:hAnsi="Times New Roman"/>
          <w:szCs w:val="24"/>
        </w:rPr>
        <w:t xml:space="preserve">-assign certain accounts is more reasonable than </w:t>
      </w:r>
      <w:r w:rsidR="00315123" w:rsidRPr="00AF2C97">
        <w:rPr>
          <w:rFonts w:ascii="Times New Roman" w:hAnsi="Times New Roman"/>
          <w:szCs w:val="24"/>
        </w:rPr>
        <w:t>Public Counsel</w:t>
      </w:r>
      <w:r w:rsidR="00315123">
        <w:rPr>
          <w:rFonts w:ascii="Times New Roman" w:hAnsi="Times New Roman"/>
          <w:szCs w:val="24"/>
        </w:rPr>
        <w:t>/ICNU</w:t>
      </w:r>
      <w:r w:rsidR="003310D3" w:rsidRPr="009D1941">
        <w:rPr>
          <w:rFonts w:ascii="Times New Roman" w:hAnsi="Times New Roman"/>
          <w:szCs w:val="24"/>
        </w:rPr>
        <w:t>’s cherry-picking approach.</w:t>
      </w:r>
    </w:p>
    <w:p w:rsidR="00973298" w:rsidRPr="009D1941" w:rsidRDefault="006621D1" w:rsidP="00C735A9">
      <w:pPr>
        <w:keepNext/>
        <w:spacing w:line="480" w:lineRule="auto"/>
        <w:jc w:val="center"/>
        <w:rPr>
          <w:rFonts w:ascii="Times New Roman" w:hAnsi="Times New Roman"/>
          <w:b/>
          <w:szCs w:val="24"/>
        </w:rPr>
      </w:pPr>
      <w:r>
        <w:rPr>
          <w:rFonts w:ascii="Times New Roman" w:hAnsi="Times New Roman"/>
          <w:b/>
          <w:szCs w:val="24"/>
        </w:rPr>
        <w:t>VI</w:t>
      </w:r>
      <w:r w:rsidR="00235F14" w:rsidRPr="009D1941">
        <w:rPr>
          <w:rFonts w:ascii="Times New Roman" w:hAnsi="Times New Roman"/>
          <w:b/>
          <w:szCs w:val="24"/>
        </w:rPr>
        <w:t>.</w:t>
      </w:r>
      <w:r w:rsidR="00235F14" w:rsidRPr="009D1941">
        <w:rPr>
          <w:rFonts w:ascii="Times New Roman" w:hAnsi="Times New Roman"/>
          <w:b/>
          <w:szCs w:val="24"/>
        </w:rPr>
        <w:tab/>
        <w:t>RATE SPREAD AND RATE DESIGN</w:t>
      </w:r>
    </w:p>
    <w:p w:rsidR="005E2830" w:rsidRPr="005E2830" w:rsidRDefault="005E2830" w:rsidP="00C735A9">
      <w:pPr>
        <w:keepNext/>
        <w:tabs>
          <w:tab w:val="left" w:pos="720"/>
        </w:tabs>
        <w:spacing w:after="240"/>
        <w:ind w:left="720" w:hanging="720"/>
        <w:rPr>
          <w:rFonts w:ascii="Times New Roman" w:hAnsi="Times New Roman"/>
          <w:b/>
          <w:szCs w:val="24"/>
        </w:rPr>
      </w:pPr>
      <w:r>
        <w:rPr>
          <w:rFonts w:ascii="Times New Roman" w:hAnsi="Times New Roman"/>
          <w:b/>
          <w:szCs w:val="24"/>
        </w:rPr>
        <w:t>A.</w:t>
      </w:r>
      <w:r>
        <w:rPr>
          <w:rFonts w:ascii="Times New Roman" w:hAnsi="Times New Roman"/>
          <w:b/>
          <w:szCs w:val="24"/>
        </w:rPr>
        <w:tab/>
      </w:r>
      <w:r w:rsidR="00C735A9">
        <w:rPr>
          <w:rFonts w:ascii="Times New Roman" w:hAnsi="Times New Roman"/>
          <w:b/>
          <w:szCs w:val="24"/>
        </w:rPr>
        <w:t xml:space="preserve">ICNU’s and Public Counsel’s Arguments Against Staff’s and the Company’s </w:t>
      </w:r>
      <w:r>
        <w:rPr>
          <w:rFonts w:ascii="Times New Roman" w:hAnsi="Times New Roman"/>
          <w:b/>
          <w:szCs w:val="24"/>
        </w:rPr>
        <w:t xml:space="preserve">Rate Spread </w:t>
      </w:r>
      <w:proofErr w:type="gramStart"/>
      <w:r w:rsidR="00C735A9">
        <w:rPr>
          <w:rFonts w:ascii="Times New Roman" w:hAnsi="Times New Roman"/>
          <w:b/>
          <w:szCs w:val="24"/>
        </w:rPr>
        <w:t>are</w:t>
      </w:r>
      <w:proofErr w:type="gramEnd"/>
      <w:r w:rsidR="00C735A9">
        <w:rPr>
          <w:rFonts w:ascii="Times New Roman" w:hAnsi="Times New Roman"/>
          <w:b/>
          <w:szCs w:val="24"/>
        </w:rPr>
        <w:t xml:space="preserve"> Groundless.</w:t>
      </w:r>
    </w:p>
    <w:p w:rsidR="00F27EBF" w:rsidRDefault="005E2830"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3E76C4">
        <w:rPr>
          <w:rFonts w:ascii="Times New Roman" w:hAnsi="Times New Roman"/>
          <w:szCs w:val="24"/>
        </w:rPr>
        <w:t xml:space="preserve">ICNU argues against Staff’s and the Company’s proposed rate spread because it </w:t>
      </w:r>
      <w:r w:rsidR="00686CBB">
        <w:rPr>
          <w:rFonts w:ascii="Times New Roman" w:hAnsi="Times New Roman"/>
          <w:szCs w:val="24"/>
        </w:rPr>
        <w:t>deviates from Commission policy of applying an equal percentage</w:t>
      </w:r>
      <w:r w:rsidR="00B363EC">
        <w:rPr>
          <w:rFonts w:ascii="Times New Roman" w:hAnsi="Times New Roman"/>
          <w:szCs w:val="24"/>
        </w:rPr>
        <w:t xml:space="preserve"> rate spread</w:t>
      </w:r>
      <w:r w:rsidR="00686CBB">
        <w:rPr>
          <w:rFonts w:ascii="Times New Roman" w:hAnsi="Times New Roman"/>
          <w:szCs w:val="24"/>
        </w:rPr>
        <w:t>.</w:t>
      </w:r>
      <w:r w:rsidR="00686CBB">
        <w:rPr>
          <w:rStyle w:val="FootnoteReference"/>
          <w:rFonts w:ascii="Times New Roman" w:hAnsi="Times New Roman"/>
          <w:szCs w:val="24"/>
        </w:rPr>
        <w:footnoteReference w:id="216"/>
      </w:r>
      <w:r w:rsidR="00686CBB">
        <w:rPr>
          <w:rFonts w:ascii="Times New Roman" w:hAnsi="Times New Roman"/>
          <w:szCs w:val="24"/>
        </w:rPr>
        <w:t xml:space="preserve">  </w:t>
      </w:r>
      <w:r w:rsidRPr="009F3137">
        <w:rPr>
          <w:rFonts w:ascii="Times New Roman" w:hAnsi="Times New Roman"/>
          <w:szCs w:val="24"/>
        </w:rPr>
        <w:t xml:space="preserve">ICNU </w:t>
      </w:r>
      <w:r w:rsidR="00F27EBF">
        <w:rPr>
          <w:rFonts w:ascii="Times New Roman" w:hAnsi="Times New Roman"/>
          <w:szCs w:val="24"/>
        </w:rPr>
        <w:t xml:space="preserve">states that it </w:t>
      </w:r>
      <w:r w:rsidRPr="009F3137">
        <w:rPr>
          <w:rFonts w:ascii="Times New Roman" w:hAnsi="Times New Roman"/>
          <w:szCs w:val="24"/>
        </w:rPr>
        <w:t xml:space="preserve">would have done “a more thorough review” if it had known </w:t>
      </w:r>
      <w:r w:rsidR="00B363EC">
        <w:rPr>
          <w:rFonts w:ascii="Times New Roman" w:hAnsi="Times New Roman"/>
          <w:szCs w:val="24"/>
        </w:rPr>
        <w:t>the parties would propose deviating from an equal percentage rate spread</w:t>
      </w:r>
      <w:r w:rsidRPr="009F3137">
        <w:rPr>
          <w:rFonts w:ascii="Times New Roman" w:hAnsi="Times New Roman"/>
          <w:szCs w:val="24"/>
        </w:rPr>
        <w:t>.</w:t>
      </w:r>
      <w:r w:rsidR="00F27EBF">
        <w:rPr>
          <w:rStyle w:val="FootnoteReference"/>
          <w:rFonts w:ascii="Times New Roman" w:hAnsi="Times New Roman"/>
          <w:szCs w:val="24"/>
        </w:rPr>
        <w:footnoteReference w:id="217"/>
      </w:r>
      <w:r w:rsidRPr="009F3137">
        <w:rPr>
          <w:rFonts w:ascii="Times New Roman" w:hAnsi="Times New Roman"/>
          <w:szCs w:val="24"/>
        </w:rPr>
        <w:t xml:space="preserve">  </w:t>
      </w:r>
      <w:r w:rsidR="00F27EBF">
        <w:rPr>
          <w:rFonts w:ascii="Times New Roman" w:hAnsi="Times New Roman"/>
          <w:szCs w:val="24"/>
        </w:rPr>
        <w:t xml:space="preserve">ICNU had the opportunity to investigate and </w:t>
      </w:r>
      <w:r w:rsidR="00B363EC">
        <w:rPr>
          <w:rFonts w:ascii="Times New Roman" w:hAnsi="Times New Roman"/>
          <w:szCs w:val="24"/>
        </w:rPr>
        <w:t xml:space="preserve">thoroughly </w:t>
      </w:r>
      <w:r w:rsidR="00F27EBF">
        <w:rPr>
          <w:rFonts w:ascii="Times New Roman" w:hAnsi="Times New Roman"/>
          <w:szCs w:val="24"/>
        </w:rPr>
        <w:t>comment on Staff’s proposal in</w:t>
      </w:r>
      <w:r w:rsidR="00B363EC">
        <w:rPr>
          <w:rFonts w:ascii="Times New Roman" w:hAnsi="Times New Roman"/>
          <w:szCs w:val="24"/>
        </w:rPr>
        <w:t xml:space="preserve"> its</w:t>
      </w:r>
      <w:r w:rsidR="00F27EBF">
        <w:rPr>
          <w:rFonts w:ascii="Times New Roman" w:hAnsi="Times New Roman"/>
          <w:szCs w:val="24"/>
        </w:rPr>
        <w:t xml:space="preserve"> cross-answering testimony.  ICNU</w:t>
      </w:r>
      <w:r w:rsidR="00B363EC">
        <w:rPr>
          <w:rFonts w:ascii="Times New Roman" w:hAnsi="Times New Roman"/>
          <w:szCs w:val="24"/>
        </w:rPr>
        <w:t>’s decision not to do so does not limit the Commission’s ability to adopt Staff’s and the Company’s proposal</w:t>
      </w:r>
      <w:r w:rsidR="00F27EBF">
        <w:rPr>
          <w:rFonts w:ascii="Times New Roman" w:hAnsi="Times New Roman"/>
          <w:szCs w:val="24"/>
        </w:rPr>
        <w:t xml:space="preserve">.  </w:t>
      </w:r>
    </w:p>
    <w:p w:rsidR="00B363EC" w:rsidRDefault="00C06DF9"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B363EC">
        <w:rPr>
          <w:rFonts w:ascii="Times New Roman" w:hAnsi="Times New Roman"/>
          <w:szCs w:val="24"/>
        </w:rPr>
        <w:t xml:space="preserve">Additionally, ICNU should have been aware that the Commission </w:t>
      </w:r>
      <w:r w:rsidR="005058F1">
        <w:rPr>
          <w:rFonts w:ascii="Times New Roman" w:hAnsi="Times New Roman"/>
          <w:szCs w:val="24"/>
        </w:rPr>
        <w:t>may</w:t>
      </w:r>
      <w:r w:rsidR="00B363EC">
        <w:rPr>
          <w:rFonts w:ascii="Times New Roman" w:hAnsi="Times New Roman"/>
          <w:szCs w:val="24"/>
        </w:rPr>
        <w:t xml:space="preserve"> consider a</w:t>
      </w:r>
      <w:r w:rsidR="005058F1">
        <w:rPr>
          <w:rFonts w:ascii="Times New Roman" w:hAnsi="Times New Roman"/>
          <w:szCs w:val="24"/>
        </w:rPr>
        <w:t>pplying a rate spread other than an equal percentage.  In the Company’s 2008 rate case, ICNU entered into a settlement with other parties agreeing to apply no increase to lighting schedules, 85</w:t>
      </w:r>
      <w:r w:rsidR="00A2610E">
        <w:rPr>
          <w:rFonts w:ascii="Times New Roman" w:hAnsi="Times New Roman"/>
          <w:szCs w:val="24"/>
        </w:rPr>
        <w:t xml:space="preserve">% </w:t>
      </w:r>
      <w:r w:rsidR="005058F1">
        <w:rPr>
          <w:rFonts w:ascii="Times New Roman" w:hAnsi="Times New Roman"/>
          <w:szCs w:val="24"/>
        </w:rPr>
        <w:t>of the overall average percentage increase for small general service, and the balance of the increase equally among all other classes.</w:t>
      </w:r>
      <w:r w:rsidR="005058F1">
        <w:rPr>
          <w:rStyle w:val="FootnoteReference"/>
          <w:rFonts w:ascii="Times New Roman" w:hAnsi="Times New Roman"/>
          <w:szCs w:val="24"/>
        </w:rPr>
        <w:footnoteReference w:id="218"/>
      </w:r>
      <w:r w:rsidR="00A2610E">
        <w:rPr>
          <w:rFonts w:ascii="Times New Roman" w:hAnsi="Times New Roman"/>
          <w:szCs w:val="24"/>
        </w:rPr>
        <w:t xml:space="preserve">  Given the Commission’s recent adoption of, and ICNU’s agreement with, a rate spread other than equal percentage, ICNU’s arguments regarding its understanding of Commission policy should be discounted.</w:t>
      </w:r>
    </w:p>
    <w:p w:rsidR="00C06DF9" w:rsidRDefault="00B363EC"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C06DF9">
        <w:rPr>
          <w:rFonts w:ascii="Times New Roman" w:hAnsi="Times New Roman"/>
          <w:szCs w:val="24"/>
        </w:rPr>
        <w:t xml:space="preserve">The Company agrees that cost of service studies should not be mechanically applied, and indeed the Company has not done so in this case.  As explained in the Company’s and Staff’s testimony, the evidence shows that the rate spread supported by the Company and Staff is appropriate because it moves rate schedules closer to cost </w:t>
      </w:r>
      <w:r w:rsidR="00C87C63">
        <w:rPr>
          <w:rFonts w:ascii="Times New Roman" w:hAnsi="Times New Roman"/>
          <w:szCs w:val="24"/>
        </w:rPr>
        <w:t xml:space="preserve">and </w:t>
      </w:r>
      <w:r w:rsidR="00D228F7">
        <w:rPr>
          <w:rFonts w:ascii="Times New Roman" w:hAnsi="Times New Roman"/>
          <w:szCs w:val="24"/>
        </w:rPr>
        <w:t>gives effect to the peak credit method.</w:t>
      </w:r>
    </w:p>
    <w:p w:rsidR="009F3137" w:rsidRDefault="005E2830"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Public Counsel incorrectly claims that the Company did not perform a new cost study in response to Staff’s rate spread recommendations.</w:t>
      </w:r>
      <w:r>
        <w:rPr>
          <w:rStyle w:val="FootnoteReference"/>
          <w:rFonts w:ascii="Times New Roman" w:hAnsi="Times New Roman"/>
          <w:szCs w:val="24"/>
        </w:rPr>
        <w:footnoteReference w:id="219"/>
      </w:r>
      <w:r>
        <w:rPr>
          <w:rFonts w:ascii="Times New Roman" w:hAnsi="Times New Roman"/>
          <w:szCs w:val="24"/>
        </w:rPr>
        <w:t xml:space="preserve">  The Company did in fact </w:t>
      </w:r>
      <w:r w:rsidR="009F3137" w:rsidRPr="009F3137">
        <w:rPr>
          <w:rFonts w:ascii="Times New Roman" w:hAnsi="Times New Roman"/>
          <w:szCs w:val="24"/>
        </w:rPr>
        <w:t>perform a new cost of service study for its rebuttal case supporting its revised rate spread proposal.</w:t>
      </w:r>
      <w:r>
        <w:rPr>
          <w:rStyle w:val="FootnoteReference"/>
          <w:rFonts w:ascii="Times New Roman" w:hAnsi="Times New Roman"/>
          <w:szCs w:val="24"/>
        </w:rPr>
        <w:footnoteReference w:id="220"/>
      </w:r>
      <w:r w:rsidR="009F3137" w:rsidRPr="009F3137">
        <w:rPr>
          <w:rFonts w:ascii="Times New Roman" w:hAnsi="Times New Roman"/>
          <w:szCs w:val="24"/>
        </w:rPr>
        <w:t xml:space="preserve">  </w:t>
      </w:r>
      <w:r>
        <w:rPr>
          <w:rFonts w:ascii="Times New Roman" w:hAnsi="Times New Roman"/>
          <w:szCs w:val="24"/>
        </w:rPr>
        <w:t>In contrast,</w:t>
      </w:r>
      <w:r w:rsidR="00C87C63">
        <w:rPr>
          <w:rFonts w:ascii="Times New Roman" w:hAnsi="Times New Roman"/>
          <w:szCs w:val="24"/>
        </w:rPr>
        <w:t xml:space="preserve"> Public Counsel </w:t>
      </w:r>
      <w:r>
        <w:rPr>
          <w:rFonts w:ascii="Times New Roman" w:hAnsi="Times New Roman"/>
          <w:szCs w:val="24"/>
        </w:rPr>
        <w:t>prepared no such study</w:t>
      </w:r>
      <w:r w:rsidR="009F3137" w:rsidRPr="009F3137">
        <w:rPr>
          <w:rFonts w:ascii="Times New Roman" w:hAnsi="Times New Roman"/>
          <w:szCs w:val="24"/>
        </w:rPr>
        <w:t>.</w:t>
      </w:r>
    </w:p>
    <w:p w:rsidR="005E2830" w:rsidRPr="005E2830" w:rsidRDefault="005E2830" w:rsidP="003C2003">
      <w:pPr>
        <w:keepNext/>
        <w:tabs>
          <w:tab w:val="left" w:pos="720"/>
        </w:tabs>
        <w:spacing w:after="240"/>
        <w:ind w:left="720" w:hanging="720"/>
        <w:rPr>
          <w:rFonts w:ascii="Times New Roman" w:hAnsi="Times New Roman"/>
          <w:b/>
          <w:szCs w:val="24"/>
        </w:rPr>
      </w:pPr>
      <w:proofErr w:type="gramStart"/>
      <w:r>
        <w:rPr>
          <w:rFonts w:ascii="Times New Roman" w:hAnsi="Times New Roman"/>
          <w:b/>
          <w:szCs w:val="24"/>
        </w:rPr>
        <w:t>B.</w:t>
      </w:r>
      <w:r>
        <w:rPr>
          <w:rFonts w:ascii="Times New Roman" w:hAnsi="Times New Roman"/>
          <w:b/>
          <w:szCs w:val="24"/>
        </w:rPr>
        <w:tab/>
      </w:r>
      <w:r w:rsidR="003C2003">
        <w:rPr>
          <w:rFonts w:ascii="Times New Roman" w:hAnsi="Times New Roman"/>
          <w:b/>
          <w:szCs w:val="24"/>
        </w:rPr>
        <w:t xml:space="preserve">Public Counsel Claims No Reasonable Basis for Rejecting the Company’s Proposed </w:t>
      </w:r>
      <w:r>
        <w:rPr>
          <w:rFonts w:ascii="Times New Roman" w:hAnsi="Times New Roman"/>
          <w:b/>
          <w:szCs w:val="24"/>
        </w:rPr>
        <w:t>Customer Charge</w:t>
      </w:r>
      <w:r w:rsidR="003C2003">
        <w:rPr>
          <w:rFonts w:ascii="Times New Roman" w:hAnsi="Times New Roman"/>
          <w:b/>
          <w:szCs w:val="24"/>
        </w:rPr>
        <w:t>.</w:t>
      </w:r>
      <w:proofErr w:type="gramEnd"/>
    </w:p>
    <w:p w:rsidR="00973298" w:rsidRDefault="0053439B"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r>
      <w:r w:rsidR="00670355" w:rsidRPr="00670355">
        <w:rPr>
          <w:rFonts w:ascii="Times New Roman" w:hAnsi="Times New Roman"/>
          <w:szCs w:val="24"/>
        </w:rPr>
        <w:t xml:space="preserve">Public </w:t>
      </w:r>
      <w:r w:rsidR="00670355">
        <w:rPr>
          <w:rFonts w:ascii="Times New Roman" w:hAnsi="Times New Roman"/>
          <w:szCs w:val="24"/>
        </w:rPr>
        <w:t>Counsel proposes that the Company’s current residential fixed charge should remain $6.00</w:t>
      </w:r>
      <w:r w:rsidR="00F26967">
        <w:rPr>
          <w:rFonts w:ascii="Times New Roman" w:hAnsi="Times New Roman"/>
          <w:szCs w:val="24"/>
        </w:rPr>
        <w:t>, arguing that increasing the customer charge will unfairly burden low-income customers because they are more likely to be low-use customers.</w:t>
      </w:r>
      <w:r w:rsidR="00F26967">
        <w:rPr>
          <w:rStyle w:val="FootnoteReference"/>
          <w:rFonts w:ascii="Times New Roman" w:hAnsi="Times New Roman"/>
          <w:szCs w:val="24"/>
        </w:rPr>
        <w:footnoteReference w:id="221"/>
      </w:r>
      <w:r w:rsidR="00F26967">
        <w:rPr>
          <w:rFonts w:ascii="Times New Roman" w:hAnsi="Times New Roman"/>
          <w:szCs w:val="24"/>
        </w:rPr>
        <w:t xml:space="preserve">  </w:t>
      </w:r>
      <w:r w:rsidR="006C5D49">
        <w:rPr>
          <w:rFonts w:ascii="Times New Roman" w:hAnsi="Times New Roman"/>
          <w:szCs w:val="24"/>
        </w:rPr>
        <w:t xml:space="preserve">As </w:t>
      </w:r>
      <w:r w:rsidR="0097679A">
        <w:rPr>
          <w:rFonts w:ascii="Times New Roman" w:hAnsi="Times New Roman"/>
          <w:szCs w:val="24"/>
        </w:rPr>
        <w:t>Mr. </w:t>
      </w:r>
      <w:proofErr w:type="spellStart"/>
      <w:r w:rsidR="006C5D49">
        <w:rPr>
          <w:rFonts w:ascii="Times New Roman" w:hAnsi="Times New Roman"/>
          <w:szCs w:val="24"/>
        </w:rPr>
        <w:t>Schooley</w:t>
      </w:r>
      <w:proofErr w:type="spellEnd"/>
      <w:r w:rsidR="006C5D49">
        <w:rPr>
          <w:rFonts w:ascii="Times New Roman" w:hAnsi="Times New Roman"/>
          <w:szCs w:val="24"/>
        </w:rPr>
        <w:t xml:space="preserve"> </w:t>
      </w:r>
      <w:r w:rsidR="00A2610E">
        <w:rPr>
          <w:rFonts w:ascii="Times New Roman" w:hAnsi="Times New Roman"/>
          <w:szCs w:val="24"/>
        </w:rPr>
        <w:t>testified</w:t>
      </w:r>
      <w:r w:rsidR="006C5D49">
        <w:rPr>
          <w:rFonts w:ascii="Times New Roman" w:hAnsi="Times New Roman"/>
          <w:szCs w:val="24"/>
        </w:rPr>
        <w:t>, t</w:t>
      </w:r>
      <w:r w:rsidR="00F26967">
        <w:rPr>
          <w:rFonts w:ascii="Times New Roman" w:hAnsi="Times New Roman"/>
          <w:szCs w:val="24"/>
        </w:rPr>
        <w:t>he evidence in this case shows that low-income customers are not the same as low-use customers.</w:t>
      </w:r>
      <w:r w:rsidR="00F26967">
        <w:rPr>
          <w:rStyle w:val="FootnoteReference"/>
          <w:rFonts w:ascii="Times New Roman" w:hAnsi="Times New Roman"/>
          <w:szCs w:val="24"/>
        </w:rPr>
        <w:footnoteReference w:id="222"/>
      </w:r>
      <w:r w:rsidR="00F26967">
        <w:rPr>
          <w:rFonts w:ascii="Times New Roman" w:hAnsi="Times New Roman"/>
          <w:szCs w:val="24"/>
        </w:rPr>
        <w:t xml:space="preserve">  </w:t>
      </w:r>
    </w:p>
    <w:p w:rsidR="005B7068" w:rsidRPr="00670355" w:rsidRDefault="005B7068" w:rsidP="00D706C2">
      <w:pPr>
        <w:pStyle w:val="ListParagraph"/>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Public Counsel also claims</w:t>
      </w:r>
      <w:r w:rsidR="00E27331">
        <w:rPr>
          <w:rFonts w:ascii="Times New Roman" w:hAnsi="Times New Roman"/>
          <w:szCs w:val="24"/>
        </w:rPr>
        <w:t>, without any support in the record,</w:t>
      </w:r>
      <w:r>
        <w:rPr>
          <w:rFonts w:ascii="Times New Roman" w:hAnsi="Times New Roman"/>
          <w:szCs w:val="24"/>
        </w:rPr>
        <w:t xml:space="preserve"> that increasing the fixed charge will discourage conservation.</w:t>
      </w:r>
      <w:r w:rsidR="00E27331">
        <w:rPr>
          <w:rStyle w:val="FootnoteReference"/>
          <w:rFonts w:ascii="Times New Roman" w:hAnsi="Times New Roman"/>
          <w:szCs w:val="24"/>
        </w:rPr>
        <w:footnoteReference w:id="223"/>
      </w:r>
      <w:r>
        <w:rPr>
          <w:rFonts w:ascii="Times New Roman" w:hAnsi="Times New Roman"/>
          <w:szCs w:val="24"/>
        </w:rPr>
        <w:t xml:space="preserve">  </w:t>
      </w:r>
      <w:r w:rsidR="00E27331">
        <w:rPr>
          <w:rFonts w:ascii="Times New Roman" w:hAnsi="Times New Roman"/>
          <w:szCs w:val="24"/>
        </w:rPr>
        <w:t>Public Counsel cites to a Commission order that found “that disproportionate increases to customer charges discourage conservation.”</w:t>
      </w:r>
      <w:r w:rsidR="00E27331">
        <w:rPr>
          <w:rStyle w:val="FootnoteReference"/>
          <w:rFonts w:ascii="Times New Roman" w:hAnsi="Times New Roman"/>
          <w:szCs w:val="24"/>
        </w:rPr>
        <w:footnoteReference w:id="224"/>
      </w:r>
      <w:r w:rsidR="00E27331">
        <w:rPr>
          <w:rFonts w:ascii="Times New Roman" w:hAnsi="Times New Roman"/>
          <w:szCs w:val="24"/>
        </w:rPr>
        <w:t xml:space="preserve">  The evidence in this case shows that the customer charge proposed by the Company is significantly lower than the fixed cost of providing service.</w:t>
      </w:r>
      <w:r w:rsidR="00E27331">
        <w:rPr>
          <w:rStyle w:val="FootnoteReference"/>
          <w:rFonts w:ascii="Times New Roman" w:hAnsi="Times New Roman"/>
          <w:szCs w:val="24"/>
        </w:rPr>
        <w:footnoteReference w:id="225"/>
      </w:r>
      <w:r w:rsidR="00E27331">
        <w:rPr>
          <w:rFonts w:ascii="Times New Roman" w:hAnsi="Times New Roman"/>
          <w:szCs w:val="24"/>
        </w:rPr>
        <w:t xml:space="preserve">  There is therefore no basis to find that the Company’s proposed customer charge is “disproportionate,” especially considering that the Company has proposed to increase the energy </w:t>
      </w:r>
      <w:proofErr w:type="gramStart"/>
      <w:r w:rsidR="00E27331">
        <w:rPr>
          <w:rFonts w:ascii="Times New Roman" w:hAnsi="Times New Roman"/>
          <w:szCs w:val="24"/>
        </w:rPr>
        <w:t>charge</w:t>
      </w:r>
      <w:proofErr w:type="gramEnd"/>
      <w:r w:rsidR="00A2610E">
        <w:rPr>
          <w:rFonts w:ascii="Times New Roman" w:hAnsi="Times New Roman"/>
          <w:szCs w:val="24"/>
        </w:rPr>
        <w:t xml:space="preserve"> as well</w:t>
      </w:r>
      <w:r w:rsidR="00E27331">
        <w:rPr>
          <w:rFonts w:ascii="Times New Roman" w:hAnsi="Times New Roman"/>
          <w:szCs w:val="24"/>
        </w:rPr>
        <w:t xml:space="preserve">.  </w:t>
      </w:r>
      <w:r w:rsidR="00675EB4">
        <w:rPr>
          <w:rFonts w:ascii="Times New Roman" w:hAnsi="Times New Roman"/>
          <w:szCs w:val="24"/>
        </w:rPr>
        <w:t>Finally, while there may be more than one way to calculate fixed charges, Public Counsel has presented no evidence that the Company’s calculation of fixed charges is inaccurate.</w:t>
      </w:r>
      <w:r w:rsidR="00CB3F2B">
        <w:rPr>
          <w:rStyle w:val="FootnoteReference"/>
          <w:rFonts w:ascii="Times New Roman" w:hAnsi="Times New Roman"/>
          <w:szCs w:val="24"/>
        </w:rPr>
        <w:footnoteReference w:id="226"/>
      </w:r>
      <w:r w:rsidR="00675EB4">
        <w:rPr>
          <w:rFonts w:ascii="Times New Roman" w:hAnsi="Times New Roman"/>
          <w:szCs w:val="24"/>
        </w:rPr>
        <w:t xml:space="preserve">  </w:t>
      </w:r>
      <w:r w:rsidR="00E27331">
        <w:rPr>
          <w:rFonts w:ascii="Times New Roman" w:hAnsi="Times New Roman"/>
          <w:szCs w:val="24"/>
        </w:rPr>
        <w:t>The Company requests that the Commission reject Public Counsel’s arguments as unsupported.</w:t>
      </w:r>
    </w:p>
    <w:p w:rsidR="00973298" w:rsidRPr="009D1941" w:rsidRDefault="006621D1" w:rsidP="00D706C2">
      <w:pPr>
        <w:keepNext/>
        <w:spacing w:line="480" w:lineRule="auto"/>
        <w:jc w:val="center"/>
        <w:rPr>
          <w:rFonts w:ascii="Times New Roman" w:hAnsi="Times New Roman"/>
          <w:b/>
          <w:szCs w:val="24"/>
        </w:rPr>
      </w:pPr>
      <w:r>
        <w:rPr>
          <w:rFonts w:ascii="Times New Roman" w:hAnsi="Times New Roman"/>
          <w:b/>
          <w:szCs w:val="24"/>
        </w:rPr>
        <w:t>VII</w:t>
      </w:r>
      <w:r w:rsidR="00235F14" w:rsidRPr="009D1941">
        <w:rPr>
          <w:rFonts w:ascii="Times New Roman" w:hAnsi="Times New Roman"/>
          <w:b/>
          <w:szCs w:val="24"/>
        </w:rPr>
        <w:t>.</w:t>
      </w:r>
      <w:r w:rsidR="00235F14" w:rsidRPr="009D1941">
        <w:rPr>
          <w:rFonts w:ascii="Times New Roman" w:hAnsi="Times New Roman"/>
          <w:b/>
          <w:szCs w:val="24"/>
        </w:rPr>
        <w:tab/>
        <w:t>LOW INCOME FUNDING</w:t>
      </w:r>
    </w:p>
    <w:p w:rsidR="00C17C81" w:rsidRPr="003E76C4" w:rsidRDefault="00C17C81" w:rsidP="00D706C2">
      <w:pPr>
        <w:keepNext/>
        <w:tabs>
          <w:tab w:val="left" w:pos="720"/>
        </w:tabs>
        <w:spacing w:after="240"/>
        <w:ind w:left="720" w:hanging="720"/>
        <w:rPr>
          <w:rFonts w:ascii="Times New Roman" w:hAnsi="Times New Roman"/>
          <w:szCs w:val="24"/>
        </w:rPr>
      </w:pPr>
      <w:r w:rsidRPr="003E76C4">
        <w:rPr>
          <w:rFonts w:ascii="Times New Roman" w:hAnsi="Times New Roman"/>
          <w:b/>
          <w:szCs w:val="24"/>
        </w:rPr>
        <w:t>A.</w:t>
      </w:r>
      <w:r w:rsidRPr="003E76C4">
        <w:rPr>
          <w:rFonts w:ascii="Times New Roman" w:hAnsi="Times New Roman"/>
          <w:b/>
          <w:szCs w:val="24"/>
        </w:rPr>
        <w:tab/>
        <w:t>PacifiCorp Continues to Support Increasing the Level of Participation</w:t>
      </w:r>
      <w:r w:rsidR="001D0FF2" w:rsidRPr="003E76C4">
        <w:rPr>
          <w:rFonts w:ascii="Times New Roman" w:hAnsi="Times New Roman"/>
          <w:b/>
          <w:szCs w:val="24"/>
        </w:rPr>
        <w:t xml:space="preserve"> in the LIBA Program</w:t>
      </w:r>
      <w:r w:rsidRPr="003E76C4">
        <w:rPr>
          <w:rFonts w:ascii="Times New Roman" w:hAnsi="Times New Roman"/>
          <w:b/>
          <w:szCs w:val="24"/>
        </w:rPr>
        <w:t>.</w:t>
      </w:r>
      <w:r w:rsidRPr="003E76C4">
        <w:rPr>
          <w:rFonts w:ascii="Times New Roman" w:hAnsi="Times New Roman"/>
          <w:szCs w:val="24"/>
        </w:rPr>
        <w:tab/>
      </w:r>
    </w:p>
    <w:p w:rsidR="00896585" w:rsidRDefault="00896585" w:rsidP="00896585">
      <w:pPr>
        <w:pStyle w:val="ListParagraph"/>
        <w:widowControl w:val="0"/>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 xml:space="preserve">The Energy Project argues against using a portion of the increased LIBA funding to allow more customers to </w:t>
      </w:r>
      <w:proofErr w:type="spellStart"/>
      <w:r>
        <w:rPr>
          <w:rFonts w:ascii="Times New Roman" w:hAnsi="Times New Roman"/>
          <w:szCs w:val="24"/>
        </w:rPr>
        <w:t>to</w:t>
      </w:r>
      <w:proofErr w:type="spellEnd"/>
      <w:r>
        <w:rPr>
          <w:rFonts w:ascii="Times New Roman" w:hAnsi="Times New Roman"/>
          <w:szCs w:val="24"/>
        </w:rPr>
        <w:t xml:space="preserve"> participate in the program, despite pointing out that not all income eligible customers receive the LIBA discount due to the participation cap.</w:t>
      </w:r>
      <w:r>
        <w:rPr>
          <w:rStyle w:val="FootnoteReference"/>
          <w:rFonts w:ascii="Times New Roman" w:hAnsi="Times New Roman"/>
          <w:szCs w:val="24"/>
        </w:rPr>
        <w:footnoteReference w:id="227"/>
      </w:r>
      <w:r>
        <w:rPr>
          <w:rFonts w:ascii="Times New Roman" w:hAnsi="Times New Roman"/>
          <w:szCs w:val="24"/>
        </w:rPr>
        <w:t xml:space="preserve">  Pursuant to its commitment made in its last rate case, the Company developed its proposal after consultation with the agencies responsible for implementing the LIBA program.</w:t>
      </w:r>
      <w:r>
        <w:rPr>
          <w:rStyle w:val="FootnoteReference"/>
          <w:rFonts w:ascii="Times New Roman" w:hAnsi="Times New Roman"/>
          <w:szCs w:val="24"/>
        </w:rPr>
        <w:footnoteReference w:id="228"/>
      </w:r>
      <w:r>
        <w:rPr>
          <w:rFonts w:ascii="Times New Roman" w:hAnsi="Times New Roman"/>
          <w:szCs w:val="24"/>
        </w:rPr>
        <w:t xml:space="preserve">  </w:t>
      </w:r>
    </w:p>
    <w:p w:rsidR="00896585" w:rsidRPr="006D3581" w:rsidRDefault="00896585" w:rsidP="00896585">
      <w:pPr>
        <w:pStyle w:val="ListParagraph"/>
        <w:widowControl w:val="0"/>
        <w:numPr>
          <w:ilvl w:val="0"/>
          <w:numId w:val="12"/>
        </w:numPr>
        <w:tabs>
          <w:tab w:val="left" w:pos="720"/>
        </w:tabs>
        <w:spacing w:line="480" w:lineRule="auto"/>
        <w:ind w:left="0"/>
        <w:rPr>
          <w:rFonts w:ascii="Times New Roman" w:hAnsi="Times New Roman"/>
          <w:szCs w:val="24"/>
        </w:rPr>
      </w:pPr>
      <w:r w:rsidRPr="006D3581">
        <w:rPr>
          <w:rFonts w:ascii="Times New Roman" w:hAnsi="Times New Roman"/>
          <w:szCs w:val="24"/>
        </w:rPr>
        <w:tab/>
        <w:t xml:space="preserve">The Energy Project disputes this testimony but provides no evidence to support its contention that the Company misinterpreted the agencies’ desires.  The Energy Project misrepresents Ms. </w:t>
      </w:r>
      <w:proofErr w:type="spellStart"/>
      <w:r w:rsidRPr="006D3581">
        <w:rPr>
          <w:rFonts w:ascii="Times New Roman" w:hAnsi="Times New Roman"/>
          <w:szCs w:val="24"/>
        </w:rPr>
        <w:t>Eberle’s</w:t>
      </w:r>
      <w:proofErr w:type="spellEnd"/>
      <w:r w:rsidRPr="006D3581">
        <w:rPr>
          <w:rFonts w:ascii="Times New Roman" w:hAnsi="Times New Roman"/>
          <w:szCs w:val="24"/>
        </w:rPr>
        <w:t xml:space="preserve"> testimony.  For example, Ms. </w:t>
      </w:r>
      <w:proofErr w:type="spellStart"/>
      <w:r w:rsidRPr="006D3581">
        <w:rPr>
          <w:rFonts w:ascii="Times New Roman" w:hAnsi="Times New Roman"/>
          <w:szCs w:val="24"/>
        </w:rPr>
        <w:t>Eberle</w:t>
      </w:r>
      <w:proofErr w:type="spellEnd"/>
      <w:r w:rsidRPr="006D3581">
        <w:rPr>
          <w:rFonts w:ascii="Times New Roman" w:hAnsi="Times New Roman"/>
          <w:szCs w:val="24"/>
        </w:rPr>
        <w:t xml:space="preserve"> did not testify that she spoke “privately” with each agency’s representative at the Toppenish meeting,</w:t>
      </w:r>
      <w:r>
        <w:rPr>
          <w:rStyle w:val="FootnoteReference"/>
          <w:rFonts w:ascii="Times New Roman" w:hAnsi="Times New Roman"/>
          <w:szCs w:val="24"/>
        </w:rPr>
        <w:footnoteReference w:id="229"/>
      </w:r>
      <w:r w:rsidRPr="006D3581">
        <w:rPr>
          <w:rFonts w:ascii="Times New Roman" w:hAnsi="Times New Roman"/>
          <w:szCs w:val="24"/>
        </w:rPr>
        <w:t xml:space="preserve"> or that PacifiCorp already decided to increase the number of customers served through LIBA before the meeting.</w:t>
      </w:r>
      <w:r>
        <w:rPr>
          <w:rStyle w:val="FootnoteReference"/>
          <w:rFonts w:ascii="Times New Roman" w:hAnsi="Times New Roman"/>
          <w:szCs w:val="24"/>
        </w:rPr>
        <w:footnoteReference w:id="230"/>
      </w:r>
      <w:r w:rsidRPr="006D3581">
        <w:rPr>
          <w:rFonts w:ascii="Times New Roman" w:hAnsi="Times New Roman"/>
          <w:szCs w:val="24"/>
        </w:rPr>
        <w:t xml:space="preserve">  The Energy Project also includes in its brief a number</w:t>
      </w:r>
      <w:r>
        <w:rPr>
          <w:rFonts w:ascii="Times New Roman" w:hAnsi="Times New Roman"/>
          <w:szCs w:val="24"/>
        </w:rPr>
        <w:t xml:space="preserve"> of objectionable, </w:t>
      </w:r>
      <w:r w:rsidRPr="006D3581">
        <w:rPr>
          <w:rFonts w:ascii="Times New Roman" w:hAnsi="Times New Roman"/>
          <w:szCs w:val="24"/>
        </w:rPr>
        <w:t xml:space="preserve">rhetorical questions </w:t>
      </w:r>
      <w:r>
        <w:rPr>
          <w:rFonts w:ascii="Times New Roman" w:hAnsi="Times New Roman"/>
          <w:szCs w:val="24"/>
        </w:rPr>
        <w:t xml:space="preserve">attacking </w:t>
      </w:r>
      <w:r w:rsidRPr="006D3581">
        <w:rPr>
          <w:rFonts w:ascii="Times New Roman" w:hAnsi="Times New Roman"/>
          <w:szCs w:val="24"/>
        </w:rPr>
        <w:t xml:space="preserve">Ms. </w:t>
      </w:r>
      <w:proofErr w:type="spellStart"/>
      <w:r w:rsidRPr="006D3581">
        <w:rPr>
          <w:rFonts w:ascii="Times New Roman" w:hAnsi="Times New Roman"/>
          <w:szCs w:val="24"/>
        </w:rPr>
        <w:t>Eberle’s</w:t>
      </w:r>
      <w:proofErr w:type="spellEnd"/>
      <w:r w:rsidRPr="006D3581">
        <w:rPr>
          <w:rFonts w:ascii="Times New Roman" w:hAnsi="Times New Roman"/>
          <w:szCs w:val="24"/>
        </w:rPr>
        <w:t xml:space="preserve"> testimony.</w:t>
      </w:r>
      <w:r>
        <w:rPr>
          <w:rStyle w:val="FootnoteReference"/>
          <w:rFonts w:ascii="Times New Roman" w:hAnsi="Times New Roman"/>
          <w:szCs w:val="24"/>
        </w:rPr>
        <w:footnoteReference w:id="231"/>
      </w:r>
      <w:r w:rsidRPr="006D3581">
        <w:rPr>
          <w:rFonts w:ascii="Times New Roman" w:hAnsi="Times New Roman"/>
          <w:szCs w:val="24"/>
        </w:rPr>
        <w:t xml:space="preserve">  The Company requests that the Commission disregard </w:t>
      </w:r>
      <w:r>
        <w:rPr>
          <w:rFonts w:ascii="Times New Roman" w:hAnsi="Times New Roman"/>
          <w:szCs w:val="24"/>
        </w:rPr>
        <w:t xml:space="preserve">such tactics. </w:t>
      </w:r>
      <w:r w:rsidRPr="006D3581">
        <w:rPr>
          <w:rFonts w:ascii="Times New Roman" w:hAnsi="Times New Roman"/>
          <w:szCs w:val="24"/>
        </w:rPr>
        <w:t xml:space="preserve"> The Energy Project </w:t>
      </w:r>
      <w:r>
        <w:rPr>
          <w:rFonts w:ascii="Times New Roman" w:hAnsi="Times New Roman"/>
          <w:szCs w:val="24"/>
        </w:rPr>
        <w:t xml:space="preserve">should have raised its </w:t>
      </w:r>
      <w:r w:rsidRPr="006D3581">
        <w:rPr>
          <w:rFonts w:ascii="Times New Roman" w:hAnsi="Times New Roman"/>
          <w:szCs w:val="24"/>
        </w:rPr>
        <w:t xml:space="preserve">questions </w:t>
      </w:r>
      <w:r>
        <w:rPr>
          <w:rFonts w:ascii="Times New Roman" w:hAnsi="Times New Roman"/>
          <w:szCs w:val="24"/>
        </w:rPr>
        <w:t xml:space="preserve">at the hearing, where PacifiCorp could have responded either with an objection or a direct answer from </w:t>
      </w:r>
      <w:r w:rsidRPr="006D3581">
        <w:rPr>
          <w:rFonts w:ascii="Times New Roman" w:hAnsi="Times New Roman"/>
          <w:szCs w:val="24"/>
        </w:rPr>
        <w:t xml:space="preserve">Ms. </w:t>
      </w:r>
      <w:proofErr w:type="spellStart"/>
      <w:r w:rsidRPr="006D3581">
        <w:rPr>
          <w:rFonts w:ascii="Times New Roman" w:hAnsi="Times New Roman"/>
          <w:szCs w:val="24"/>
        </w:rPr>
        <w:t>Eberle</w:t>
      </w:r>
      <w:proofErr w:type="spellEnd"/>
      <w:r w:rsidRPr="006D3581">
        <w:rPr>
          <w:rFonts w:ascii="Times New Roman" w:hAnsi="Times New Roman"/>
          <w:szCs w:val="24"/>
        </w:rPr>
        <w:t xml:space="preserve">.  </w:t>
      </w:r>
    </w:p>
    <w:p w:rsidR="00896585" w:rsidRDefault="00896585" w:rsidP="00896585">
      <w:pPr>
        <w:keepNext/>
        <w:spacing w:after="240"/>
        <w:ind w:left="720" w:hanging="720"/>
        <w:rPr>
          <w:rFonts w:ascii="Times New Roman" w:hAnsi="Times New Roman"/>
          <w:szCs w:val="24"/>
        </w:rPr>
      </w:pPr>
      <w:r>
        <w:rPr>
          <w:rFonts w:ascii="Times New Roman" w:hAnsi="Times New Roman"/>
          <w:b/>
          <w:szCs w:val="24"/>
        </w:rPr>
        <w:t>B.</w:t>
      </w:r>
      <w:r>
        <w:rPr>
          <w:rFonts w:ascii="Times New Roman" w:hAnsi="Times New Roman"/>
          <w:b/>
          <w:szCs w:val="24"/>
        </w:rPr>
        <w:tab/>
        <w:t>PacifiCorp Does Not Support The Energy Project’s Increased Certification Fee, and the Company’s Biennial Certification is Reasonable.</w:t>
      </w:r>
    </w:p>
    <w:p w:rsidR="00896585" w:rsidRDefault="00896585" w:rsidP="00896585">
      <w:pPr>
        <w:pStyle w:val="ListParagraph"/>
        <w:widowControl w:val="0"/>
        <w:numPr>
          <w:ilvl w:val="0"/>
          <w:numId w:val="12"/>
        </w:numPr>
        <w:tabs>
          <w:tab w:val="left" w:pos="720"/>
        </w:tabs>
        <w:spacing w:line="480" w:lineRule="auto"/>
        <w:ind w:left="0"/>
        <w:rPr>
          <w:rFonts w:ascii="Times New Roman" w:hAnsi="Times New Roman"/>
          <w:szCs w:val="24"/>
        </w:rPr>
      </w:pPr>
      <w:r>
        <w:rPr>
          <w:rFonts w:ascii="Times New Roman" w:hAnsi="Times New Roman"/>
          <w:szCs w:val="24"/>
        </w:rPr>
        <w:tab/>
        <w:t>The Energy Project argues for an increase in the certification fee paid to the local agencies from the current $48 to $65.</w:t>
      </w:r>
      <w:r>
        <w:rPr>
          <w:rStyle w:val="FootnoteReference"/>
          <w:rFonts w:ascii="Times New Roman" w:hAnsi="Times New Roman"/>
          <w:szCs w:val="24"/>
        </w:rPr>
        <w:footnoteReference w:id="232"/>
      </w:r>
      <w:r>
        <w:rPr>
          <w:rFonts w:ascii="Times New Roman" w:hAnsi="Times New Roman"/>
          <w:szCs w:val="24"/>
        </w:rPr>
        <w:t xml:space="preserve">  While the Company does not support this increase, it has proposed the initiation of a collaborative process to work with these agencies with the goal of developing a more streamlined process that will both lower agency costs and increase the benefits available to customers.</w:t>
      </w:r>
      <w:r>
        <w:rPr>
          <w:rStyle w:val="FootnoteReference"/>
          <w:rFonts w:ascii="Times New Roman" w:hAnsi="Times New Roman"/>
          <w:szCs w:val="24"/>
        </w:rPr>
        <w:footnoteReference w:id="233"/>
      </w:r>
      <w:r>
        <w:rPr>
          <w:rFonts w:ascii="Times New Roman" w:hAnsi="Times New Roman"/>
          <w:szCs w:val="24"/>
        </w:rPr>
        <w:t xml:space="preserve">  Notably, in Washington the local </w:t>
      </w:r>
      <w:r w:rsidR="00C17C81">
        <w:rPr>
          <w:rFonts w:ascii="Times New Roman" w:hAnsi="Times New Roman"/>
          <w:szCs w:val="24"/>
        </w:rPr>
        <w:t>a</w:t>
      </w:r>
      <w:r w:rsidR="00671E03">
        <w:rPr>
          <w:rFonts w:ascii="Times New Roman" w:hAnsi="Times New Roman"/>
          <w:szCs w:val="24"/>
        </w:rPr>
        <w:t>gencie</w:t>
      </w:r>
      <w:r w:rsidR="00C17C81">
        <w:rPr>
          <w:rFonts w:ascii="Times New Roman" w:hAnsi="Times New Roman"/>
          <w:szCs w:val="24"/>
        </w:rPr>
        <w:t>s</w:t>
      </w:r>
      <w:r w:rsidR="008136A7">
        <w:rPr>
          <w:rFonts w:ascii="Times New Roman" w:hAnsi="Times New Roman"/>
          <w:szCs w:val="24"/>
        </w:rPr>
        <w:t>’</w:t>
      </w:r>
      <w:r>
        <w:rPr>
          <w:rFonts w:ascii="Times New Roman" w:hAnsi="Times New Roman"/>
          <w:szCs w:val="24"/>
        </w:rPr>
        <w:t xml:space="preserve"> administrative costs account for 21% of total program costs.</w:t>
      </w:r>
      <w:r>
        <w:rPr>
          <w:rStyle w:val="FootnoteReference"/>
          <w:rFonts w:ascii="Times New Roman" w:hAnsi="Times New Roman"/>
          <w:szCs w:val="24"/>
        </w:rPr>
        <w:footnoteReference w:id="234"/>
      </w:r>
      <w:r>
        <w:rPr>
          <w:rFonts w:ascii="Times New Roman" w:hAnsi="Times New Roman"/>
          <w:szCs w:val="24"/>
        </w:rPr>
        <w:t xml:space="preserve">  The administrative costs for the Company’s bill discount program in Utah, by contrast, constitute a mere 0.5% of total program costs.</w:t>
      </w:r>
      <w:r>
        <w:rPr>
          <w:rStyle w:val="FootnoteReference"/>
          <w:rFonts w:ascii="Times New Roman" w:hAnsi="Times New Roman"/>
          <w:szCs w:val="24"/>
        </w:rPr>
        <w:footnoteReference w:id="235"/>
      </w:r>
      <w:r>
        <w:rPr>
          <w:rFonts w:ascii="Times New Roman" w:hAnsi="Times New Roman"/>
          <w:szCs w:val="24"/>
        </w:rPr>
        <w:t xml:space="preserve">  While these two programs are not identical, the substantial discrepancy in administrative costs is cause for further inquiry.  </w:t>
      </w:r>
    </w:p>
    <w:p w:rsidR="00896585" w:rsidRDefault="00896585" w:rsidP="00896585">
      <w:pPr>
        <w:pStyle w:val="ListParagraph"/>
        <w:widowControl w:val="0"/>
        <w:numPr>
          <w:ilvl w:val="0"/>
          <w:numId w:val="12"/>
        </w:numPr>
        <w:tabs>
          <w:tab w:val="left" w:pos="720"/>
        </w:tabs>
        <w:spacing w:line="480" w:lineRule="auto"/>
        <w:ind w:left="0"/>
        <w:rPr>
          <w:rFonts w:ascii="Times New Roman" w:hAnsi="Times New Roman"/>
          <w:szCs w:val="24"/>
        </w:rPr>
      </w:pPr>
      <w:r w:rsidRPr="0056012E">
        <w:rPr>
          <w:rFonts w:ascii="Times New Roman" w:hAnsi="Times New Roman"/>
          <w:szCs w:val="24"/>
        </w:rPr>
        <w:tab/>
        <w:t>Moreover, the Company’s biennial certification proposal will also likely go a long way towards reducing the overhead costs so as to provide more support for the Company’s low-income customers.</w:t>
      </w:r>
      <w:r>
        <w:rPr>
          <w:rStyle w:val="FootnoteReference"/>
          <w:rFonts w:ascii="Times New Roman" w:hAnsi="Times New Roman"/>
          <w:szCs w:val="24"/>
        </w:rPr>
        <w:footnoteReference w:id="236"/>
      </w:r>
      <w:r w:rsidRPr="0056012E">
        <w:rPr>
          <w:rFonts w:ascii="Times New Roman" w:hAnsi="Times New Roman"/>
          <w:szCs w:val="24"/>
        </w:rPr>
        <w:t xml:space="preserve">  </w:t>
      </w:r>
      <w:r w:rsidRPr="0056012E">
        <w:rPr>
          <w:rFonts w:ascii="Times New Roman" w:hAnsi="Times New Roman"/>
          <w:szCs w:val="24"/>
        </w:rPr>
        <w:tab/>
        <w:t xml:space="preserve">The Company requests that the Commission reject The Energy Project’s unsupported allegation that the “sole goal” of the </w:t>
      </w:r>
      <w:r>
        <w:rPr>
          <w:rFonts w:ascii="Times New Roman" w:hAnsi="Times New Roman"/>
          <w:szCs w:val="24"/>
        </w:rPr>
        <w:t>biennial certification proposal is to shift funding from program implementation to program benefits with no regard to the agencies who implement the programs.</w:t>
      </w:r>
      <w:r>
        <w:rPr>
          <w:rStyle w:val="FootnoteReference"/>
          <w:rFonts w:ascii="Times New Roman" w:hAnsi="Times New Roman"/>
          <w:szCs w:val="24"/>
        </w:rPr>
        <w:footnoteReference w:id="237"/>
      </w:r>
      <w:r>
        <w:rPr>
          <w:rFonts w:ascii="Times New Roman" w:hAnsi="Times New Roman"/>
          <w:szCs w:val="24"/>
        </w:rPr>
        <w:t xml:space="preserve">  Ms. </w:t>
      </w:r>
      <w:proofErr w:type="spellStart"/>
      <w:r>
        <w:rPr>
          <w:rFonts w:ascii="Times New Roman" w:hAnsi="Times New Roman"/>
          <w:szCs w:val="24"/>
        </w:rPr>
        <w:t>Eberle</w:t>
      </w:r>
      <w:proofErr w:type="spellEnd"/>
      <w:r>
        <w:rPr>
          <w:rFonts w:ascii="Times New Roman" w:hAnsi="Times New Roman"/>
          <w:szCs w:val="24"/>
        </w:rPr>
        <w:t xml:space="preserve"> emphasized that the Company values the agencies’ services, and the goal of the biennial certification proposal is to reduce administrative costs.</w:t>
      </w:r>
      <w:r>
        <w:rPr>
          <w:rStyle w:val="FootnoteReference"/>
          <w:rFonts w:ascii="Times New Roman" w:hAnsi="Times New Roman"/>
          <w:szCs w:val="24"/>
        </w:rPr>
        <w:footnoteReference w:id="238"/>
      </w:r>
      <w:r>
        <w:rPr>
          <w:rFonts w:ascii="Times New Roman" w:hAnsi="Times New Roman"/>
          <w:szCs w:val="24"/>
        </w:rPr>
        <w:t xml:space="preserve">  </w:t>
      </w:r>
    </w:p>
    <w:p w:rsidR="00CC0AA5" w:rsidRPr="00CC0AA5" w:rsidRDefault="00CC0AA5" w:rsidP="00CC0AA5">
      <w:pPr>
        <w:keepNext/>
        <w:spacing w:after="240"/>
        <w:ind w:left="720" w:hanging="720"/>
        <w:rPr>
          <w:rFonts w:ascii="Times New Roman" w:hAnsi="Times New Roman"/>
          <w:b/>
          <w:szCs w:val="24"/>
        </w:rPr>
      </w:pPr>
      <w:r>
        <w:rPr>
          <w:rFonts w:ascii="Times New Roman" w:hAnsi="Times New Roman"/>
          <w:b/>
          <w:szCs w:val="24"/>
        </w:rPr>
        <w:t>C.</w:t>
      </w:r>
      <w:r>
        <w:rPr>
          <w:rFonts w:ascii="Times New Roman" w:hAnsi="Times New Roman"/>
          <w:b/>
          <w:szCs w:val="24"/>
        </w:rPr>
        <w:tab/>
        <w:t>The</w:t>
      </w:r>
      <w:r w:rsidR="00D7544C">
        <w:rPr>
          <w:rFonts w:ascii="Times New Roman" w:hAnsi="Times New Roman"/>
          <w:b/>
          <w:szCs w:val="24"/>
        </w:rPr>
        <w:t>re is N</w:t>
      </w:r>
      <w:r w:rsidR="00A47DAD">
        <w:rPr>
          <w:rFonts w:ascii="Times New Roman" w:hAnsi="Times New Roman"/>
          <w:b/>
          <w:szCs w:val="24"/>
        </w:rPr>
        <w:t xml:space="preserve">o Reasonable Policy Basis for </w:t>
      </w:r>
      <w:proofErr w:type="gramStart"/>
      <w:r w:rsidR="00A47DAD">
        <w:rPr>
          <w:rFonts w:ascii="Times New Roman" w:hAnsi="Times New Roman"/>
          <w:b/>
          <w:szCs w:val="24"/>
        </w:rPr>
        <w:t>The</w:t>
      </w:r>
      <w:proofErr w:type="gramEnd"/>
      <w:r>
        <w:rPr>
          <w:rFonts w:ascii="Times New Roman" w:hAnsi="Times New Roman"/>
          <w:b/>
          <w:szCs w:val="24"/>
        </w:rPr>
        <w:t xml:space="preserve"> Energy Project’s Proposed Increase to Low Income Weatherization.</w:t>
      </w:r>
    </w:p>
    <w:p w:rsidR="00CC0AA5" w:rsidRPr="0056012E" w:rsidRDefault="00724642" w:rsidP="00896585">
      <w:pPr>
        <w:pStyle w:val="ListParagraph"/>
        <w:widowControl w:val="0"/>
        <w:numPr>
          <w:ilvl w:val="0"/>
          <w:numId w:val="12"/>
        </w:numPr>
        <w:tabs>
          <w:tab w:val="left" w:pos="720"/>
        </w:tabs>
        <w:spacing w:line="480" w:lineRule="auto"/>
        <w:ind w:left="0"/>
        <w:rPr>
          <w:rFonts w:ascii="Times New Roman" w:hAnsi="Times New Roman"/>
          <w:szCs w:val="24"/>
        </w:rPr>
      </w:pPr>
      <w:r>
        <w:tab/>
        <w:t xml:space="preserve">Staff explains </w:t>
      </w:r>
      <w:r w:rsidR="0030653A">
        <w:t>the</w:t>
      </w:r>
      <w:r>
        <w:t xml:space="preserve"> proposed legal basis for finding that the funding of the low-income weatherization program is not properly before the Commission in this proceeding.</w:t>
      </w:r>
      <w:r w:rsidR="00404BEB">
        <w:rPr>
          <w:rStyle w:val="FootnoteReference"/>
        </w:rPr>
        <w:footnoteReference w:id="239"/>
      </w:r>
      <w:r>
        <w:t xml:space="preserve">  </w:t>
      </w:r>
      <w:r w:rsidR="00404BEB">
        <w:t xml:space="preserve">While the Company does not disagree with Staff’s analysis, it believes that the Commission does not need to reach this issue to reject The Energy Project’s proposed increase.  As explained in the Company’s Initial Post-Hearing Brief, the current level of funding is not fully used, so there is no </w:t>
      </w:r>
      <w:r w:rsidR="0030653A">
        <w:t xml:space="preserve">reasonable </w:t>
      </w:r>
      <w:r w:rsidR="00404BEB">
        <w:t>policy basis for increasing funding.</w:t>
      </w:r>
    </w:p>
    <w:p w:rsidR="00973298" w:rsidRPr="009D1941" w:rsidRDefault="00B3732E" w:rsidP="00D706C2">
      <w:pPr>
        <w:keepNext/>
        <w:spacing w:line="480" w:lineRule="auto"/>
        <w:jc w:val="center"/>
        <w:rPr>
          <w:rFonts w:ascii="Times New Roman" w:hAnsi="Times New Roman"/>
          <w:b/>
          <w:szCs w:val="24"/>
        </w:rPr>
      </w:pPr>
      <w:r>
        <w:rPr>
          <w:rFonts w:ascii="Times New Roman" w:hAnsi="Times New Roman"/>
          <w:b/>
          <w:szCs w:val="24"/>
        </w:rPr>
        <w:t>VIII</w:t>
      </w:r>
      <w:r w:rsidR="00235F14" w:rsidRPr="009D1941">
        <w:rPr>
          <w:rFonts w:ascii="Times New Roman" w:hAnsi="Times New Roman"/>
          <w:b/>
          <w:szCs w:val="24"/>
        </w:rPr>
        <w:t>.</w:t>
      </w:r>
      <w:r w:rsidR="00235F14" w:rsidRPr="009D1941">
        <w:rPr>
          <w:rFonts w:ascii="Times New Roman" w:hAnsi="Times New Roman"/>
          <w:b/>
          <w:szCs w:val="24"/>
        </w:rPr>
        <w:tab/>
        <w:t>CONCLUSION</w:t>
      </w:r>
    </w:p>
    <w:p w:rsidR="000B054D" w:rsidRPr="003C2003" w:rsidRDefault="00A3120E" w:rsidP="00D706C2">
      <w:pPr>
        <w:pStyle w:val="ListParagraph"/>
        <w:numPr>
          <w:ilvl w:val="0"/>
          <w:numId w:val="12"/>
        </w:numPr>
        <w:tabs>
          <w:tab w:val="left" w:pos="720"/>
        </w:tabs>
        <w:spacing w:line="480" w:lineRule="auto"/>
        <w:ind w:left="0"/>
        <w:rPr>
          <w:rFonts w:ascii="Times New Roman" w:hAnsi="Times New Roman"/>
          <w:szCs w:val="24"/>
        </w:rPr>
      </w:pPr>
      <w:r>
        <w:tab/>
        <w:t>For the reasons discussed above, and in the Company’s Initial Post-Hearing Brief, the Company respectfully requests that the Commission issue an order approving the Company’s revenue requirement increase of $47.7 million to be effective April 3, 2011, together with the Company’s proposed rate spread and recommendations related to low income programs.</w:t>
      </w:r>
    </w:p>
    <w:p w:rsidR="00343AF3" w:rsidRDefault="00343AF3" w:rsidP="00D706C2">
      <w:pPr>
        <w:tabs>
          <w:tab w:val="left" w:pos="720"/>
          <w:tab w:val="left" w:pos="1800"/>
          <w:tab w:val="left" w:pos="4320"/>
        </w:tabs>
        <w:spacing w:line="480" w:lineRule="auto"/>
        <w:jc w:val="both"/>
        <w:rPr>
          <w:rFonts w:ascii="Times New Roman" w:hAnsi="Times New Roman"/>
          <w:szCs w:val="24"/>
        </w:rPr>
      </w:pPr>
    </w:p>
    <w:p w:rsidR="00343AF3" w:rsidRDefault="00343AF3" w:rsidP="00D706C2">
      <w:pPr>
        <w:tabs>
          <w:tab w:val="left" w:pos="720"/>
          <w:tab w:val="left" w:pos="1800"/>
          <w:tab w:val="left" w:pos="4320"/>
        </w:tabs>
        <w:spacing w:line="480" w:lineRule="auto"/>
        <w:jc w:val="both"/>
        <w:rPr>
          <w:rFonts w:ascii="Times New Roman" w:hAnsi="Times New Roman"/>
          <w:szCs w:val="24"/>
        </w:rPr>
      </w:pPr>
    </w:p>
    <w:p w:rsidR="00343AF3" w:rsidRDefault="00343AF3" w:rsidP="00D706C2">
      <w:pPr>
        <w:tabs>
          <w:tab w:val="left" w:pos="720"/>
          <w:tab w:val="left" w:pos="1800"/>
          <w:tab w:val="left" w:pos="4320"/>
        </w:tabs>
        <w:spacing w:line="480" w:lineRule="auto"/>
        <w:jc w:val="both"/>
        <w:rPr>
          <w:rFonts w:ascii="Times New Roman" w:hAnsi="Times New Roman"/>
          <w:szCs w:val="24"/>
        </w:rPr>
      </w:pPr>
    </w:p>
    <w:p w:rsidR="00343AF3" w:rsidRDefault="00343AF3" w:rsidP="00D706C2">
      <w:pPr>
        <w:tabs>
          <w:tab w:val="left" w:pos="720"/>
          <w:tab w:val="left" w:pos="1800"/>
          <w:tab w:val="left" w:pos="4320"/>
        </w:tabs>
        <w:spacing w:line="480" w:lineRule="auto"/>
        <w:jc w:val="both"/>
        <w:rPr>
          <w:rFonts w:ascii="Times New Roman" w:hAnsi="Times New Roman"/>
          <w:szCs w:val="24"/>
        </w:rPr>
      </w:pPr>
    </w:p>
    <w:p w:rsidR="00343AF3" w:rsidRDefault="00343AF3" w:rsidP="00D706C2">
      <w:pPr>
        <w:tabs>
          <w:tab w:val="left" w:pos="720"/>
          <w:tab w:val="left" w:pos="1800"/>
          <w:tab w:val="left" w:pos="4320"/>
        </w:tabs>
        <w:spacing w:line="480" w:lineRule="auto"/>
        <w:jc w:val="both"/>
        <w:rPr>
          <w:rFonts w:ascii="Times New Roman" w:hAnsi="Times New Roman"/>
          <w:szCs w:val="24"/>
        </w:rPr>
      </w:pPr>
    </w:p>
    <w:p w:rsidR="00343AF3" w:rsidRDefault="00343AF3" w:rsidP="00D706C2">
      <w:pPr>
        <w:tabs>
          <w:tab w:val="left" w:pos="720"/>
          <w:tab w:val="left" w:pos="1800"/>
          <w:tab w:val="left" w:pos="4320"/>
        </w:tabs>
        <w:spacing w:line="480" w:lineRule="auto"/>
        <w:jc w:val="both"/>
        <w:rPr>
          <w:rFonts w:ascii="Times New Roman" w:hAnsi="Times New Roman"/>
          <w:szCs w:val="24"/>
        </w:rPr>
      </w:pPr>
    </w:p>
    <w:p w:rsidR="00343AF3" w:rsidRDefault="00343AF3" w:rsidP="00D706C2">
      <w:pPr>
        <w:tabs>
          <w:tab w:val="left" w:pos="720"/>
          <w:tab w:val="left" w:pos="1800"/>
          <w:tab w:val="left" w:pos="4320"/>
        </w:tabs>
        <w:spacing w:line="480" w:lineRule="auto"/>
        <w:jc w:val="both"/>
        <w:rPr>
          <w:rFonts w:ascii="Times New Roman" w:hAnsi="Times New Roman"/>
          <w:szCs w:val="24"/>
        </w:rPr>
      </w:pPr>
    </w:p>
    <w:p w:rsidR="00343AF3" w:rsidRDefault="00343AF3" w:rsidP="00D706C2">
      <w:pPr>
        <w:tabs>
          <w:tab w:val="left" w:pos="720"/>
          <w:tab w:val="left" w:pos="1800"/>
          <w:tab w:val="left" w:pos="4320"/>
        </w:tabs>
        <w:spacing w:line="480" w:lineRule="auto"/>
        <w:jc w:val="both"/>
        <w:rPr>
          <w:rFonts w:ascii="Times New Roman" w:hAnsi="Times New Roman"/>
          <w:szCs w:val="24"/>
        </w:rPr>
      </w:pPr>
    </w:p>
    <w:p w:rsidR="00343AF3" w:rsidRDefault="00343AF3" w:rsidP="00D706C2">
      <w:pPr>
        <w:tabs>
          <w:tab w:val="left" w:pos="720"/>
          <w:tab w:val="left" w:pos="1800"/>
          <w:tab w:val="left" w:pos="4320"/>
        </w:tabs>
        <w:spacing w:line="480" w:lineRule="auto"/>
        <w:jc w:val="both"/>
        <w:rPr>
          <w:rFonts w:ascii="Times New Roman" w:hAnsi="Times New Roman"/>
          <w:szCs w:val="24"/>
        </w:rPr>
      </w:pPr>
    </w:p>
    <w:p w:rsidR="00343AF3" w:rsidRDefault="00343AF3" w:rsidP="00D706C2">
      <w:pPr>
        <w:tabs>
          <w:tab w:val="left" w:pos="720"/>
          <w:tab w:val="left" w:pos="1800"/>
          <w:tab w:val="left" w:pos="4320"/>
        </w:tabs>
        <w:spacing w:line="480" w:lineRule="auto"/>
        <w:jc w:val="both"/>
        <w:rPr>
          <w:rFonts w:ascii="Times New Roman" w:hAnsi="Times New Roman"/>
          <w:szCs w:val="24"/>
        </w:rPr>
      </w:pPr>
    </w:p>
    <w:p w:rsidR="00156702" w:rsidRPr="009D1941" w:rsidRDefault="00156702" w:rsidP="00D706C2">
      <w:pPr>
        <w:tabs>
          <w:tab w:val="left" w:pos="720"/>
          <w:tab w:val="left" w:pos="1800"/>
          <w:tab w:val="left" w:pos="4320"/>
        </w:tabs>
        <w:spacing w:line="480" w:lineRule="auto"/>
        <w:jc w:val="both"/>
        <w:rPr>
          <w:rFonts w:ascii="Times New Roman" w:hAnsi="Times New Roman"/>
          <w:szCs w:val="24"/>
        </w:rPr>
      </w:pPr>
      <w:r w:rsidRPr="009D1941">
        <w:rPr>
          <w:rFonts w:ascii="Times New Roman" w:hAnsi="Times New Roman"/>
          <w:szCs w:val="24"/>
        </w:rPr>
        <w:tab/>
      </w:r>
      <w:proofErr w:type="gramStart"/>
      <w:r w:rsidRPr="009D1941">
        <w:rPr>
          <w:rFonts w:ascii="Times New Roman" w:hAnsi="Times New Roman"/>
          <w:szCs w:val="24"/>
        </w:rPr>
        <w:t>DATED:</w:t>
      </w:r>
      <w:r w:rsidRPr="009D1941">
        <w:rPr>
          <w:rFonts w:ascii="Times New Roman" w:hAnsi="Times New Roman"/>
          <w:szCs w:val="24"/>
        </w:rPr>
        <w:tab/>
      </w:r>
      <w:r w:rsidR="0019609D" w:rsidRPr="009D1941">
        <w:rPr>
          <w:rFonts w:ascii="Times New Roman" w:hAnsi="Times New Roman"/>
          <w:szCs w:val="24"/>
        </w:rPr>
        <w:t>February 1</w:t>
      </w:r>
      <w:r w:rsidR="00C04AF2">
        <w:rPr>
          <w:rFonts w:ascii="Times New Roman" w:hAnsi="Times New Roman"/>
          <w:szCs w:val="24"/>
        </w:rPr>
        <w:t>8</w:t>
      </w:r>
      <w:r w:rsidR="0019609D" w:rsidRPr="009D1941">
        <w:rPr>
          <w:rFonts w:ascii="Times New Roman" w:hAnsi="Times New Roman"/>
          <w:szCs w:val="24"/>
        </w:rPr>
        <w:t>, 2011</w:t>
      </w:r>
      <w:r w:rsidRPr="009D1941">
        <w:rPr>
          <w:rFonts w:ascii="Times New Roman" w:hAnsi="Times New Roman"/>
          <w:szCs w:val="24"/>
        </w:rPr>
        <w:t>.</w:t>
      </w:r>
      <w:proofErr w:type="gramEnd"/>
      <w:r w:rsidR="00647A27" w:rsidRPr="009D1941">
        <w:rPr>
          <w:rFonts w:ascii="Times New Roman" w:hAnsi="Times New Roman"/>
          <w:szCs w:val="24"/>
        </w:rPr>
        <w:tab/>
        <w:t>Respectfully Submitted,</w:t>
      </w:r>
    </w:p>
    <w:p w:rsidR="00156702" w:rsidRPr="009D1941" w:rsidRDefault="00156702" w:rsidP="00D706C2">
      <w:pPr>
        <w:ind w:left="4320"/>
        <w:jc w:val="right"/>
        <w:rPr>
          <w:rFonts w:ascii="Times New Roman" w:hAnsi="Times New Roman"/>
          <w:szCs w:val="24"/>
        </w:rPr>
      </w:pPr>
    </w:p>
    <w:p w:rsidR="00156702" w:rsidRPr="009D1941" w:rsidRDefault="00156702" w:rsidP="00D706C2">
      <w:pPr>
        <w:ind w:left="4320"/>
        <w:rPr>
          <w:rFonts w:ascii="Times New Roman" w:hAnsi="Times New Roman"/>
          <w:szCs w:val="24"/>
        </w:rPr>
      </w:pPr>
      <w:r w:rsidRPr="009D1941">
        <w:rPr>
          <w:rFonts w:ascii="Times New Roman" w:hAnsi="Times New Roman"/>
          <w:szCs w:val="24"/>
        </w:rPr>
        <w:t>___________________________</w:t>
      </w:r>
    </w:p>
    <w:p w:rsidR="00156702" w:rsidRPr="009D1941" w:rsidRDefault="00156702" w:rsidP="00D706C2">
      <w:pPr>
        <w:ind w:left="4320"/>
        <w:rPr>
          <w:rFonts w:ascii="Times New Roman" w:hAnsi="Times New Roman"/>
          <w:szCs w:val="24"/>
        </w:rPr>
      </w:pPr>
      <w:r w:rsidRPr="009D1941">
        <w:rPr>
          <w:rFonts w:ascii="Times New Roman" w:hAnsi="Times New Roman"/>
          <w:szCs w:val="24"/>
        </w:rPr>
        <w:t>Katherine A. McDowell</w:t>
      </w:r>
      <w:r w:rsidRPr="009D1941">
        <w:rPr>
          <w:rFonts w:ascii="Times New Roman" w:hAnsi="Times New Roman"/>
          <w:szCs w:val="24"/>
        </w:rPr>
        <w:tab/>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McDowell Rackner &amp; Gibson PC</w:t>
      </w:r>
    </w:p>
    <w:p w:rsidR="00156702" w:rsidRPr="009D1941" w:rsidRDefault="005B06D3" w:rsidP="00D706C2">
      <w:pPr>
        <w:ind w:left="4320"/>
        <w:jc w:val="both"/>
        <w:rPr>
          <w:rFonts w:ascii="Times New Roman" w:hAnsi="Times New Roman"/>
          <w:szCs w:val="24"/>
        </w:rPr>
      </w:pPr>
      <w:r w:rsidRPr="009D1941">
        <w:rPr>
          <w:rFonts w:ascii="Times New Roman" w:hAnsi="Times New Roman"/>
          <w:szCs w:val="24"/>
        </w:rPr>
        <w:t>419 SW 11</w:t>
      </w:r>
      <w:r w:rsidRPr="009D1941">
        <w:rPr>
          <w:rFonts w:ascii="Times New Roman" w:hAnsi="Times New Roman"/>
          <w:szCs w:val="24"/>
          <w:vertAlign w:val="superscript"/>
        </w:rPr>
        <w:t>th</w:t>
      </w:r>
      <w:r w:rsidRPr="009D1941">
        <w:rPr>
          <w:rFonts w:ascii="Times New Roman" w:hAnsi="Times New Roman"/>
          <w:szCs w:val="24"/>
        </w:rPr>
        <w:t xml:space="preserve"> Avenue, Suite 400</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Port</w:t>
      </w:r>
      <w:r w:rsidR="005B06D3" w:rsidRPr="009D1941">
        <w:rPr>
          <w:rFonts w:ascii="Times New Roman" w:hAnsi="Times New Roman"/>
          <w:szCs w:val="24"/>
        </w:rPr>
        <w:t>land, OR 97205</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Telephone:  (503) 595-3924</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Facsimile: (503)595-3928</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Email: katherine@mcd-law.com</w:t>
      </w:r>
    </w:p>
    <w:p w:rsidR="00156702" w:rsidRPr="009D1941" w:rsidRDefault="00156702" w:rsidP="00D706C2">
      <w:pPr>
        <w:ind w:left="4320"/>
        <w:jc w:val="right"/>
        <w:rPr>
          <w:rFonts w:ascii="Times New Roman" w:hAnsi="Times New Roman"/>
          <w:szCs w:val="24"/>
        </w:rPr>
      </w:pPr>
    </w:p>
    <w:p w:rsidR="00156702" w:rsidRPr="009D1941" w:rsidRDefault="00156702" w:rsidP="00D706C2">
      <w:pPr>
        <w:ind w:left="4320"/>
        <w:rPr>
          <w:rFonts w:ascii="Times New Roman" w:hAnsi="Times New Roman"/>
          <w:szCs w:val="24"/>
        </w:rPr>
      </w:pPr>
      <w:r w:rsidRPr="009D1941">
        <w:rPr>
          <w:rFonts w:ascii="Times New Roman" w:hAnsi="Times New Roman"/>
          <w:szCs w:val="24"/>
        </w:rPr>
        <w:t>Attorneys for PacifiCorp</w:t>
      </w:r>
      <w:r w:rsidRPr="009D1941">
        <w:rPr>
          <w:rFonts w:ascii="Times New Roman" w:hAnsi="Times New Roman"/>
          <w:szCs w:val="24"/>
        </w:rPr>
        <w:tab/>
      </w:r>
    </w:p>
    <w:p w:rsidR="00156702" w:rsidRPr="009D1941" w:rsidRDefault="00156702" w:rsidP="00D706C2">
      <w:pPr>
        <w:ind w:left="4320"/>
        <w:rPr>
          <w:rFonts w:ascii="Times New Roman" w:hAnsi="Times New Roman"/>
          <w:szCs w:val="24"/>
        </w:rPr>
      </w:pP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Jordan White</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Senior Counsel</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PacifiCorp</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1407 W. North Temple, Suite 320</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Salt Lake City, UT  84116</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Telephone: (801) 220-2279</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 xml:space="preserve">Facsimile: </w:t>
      </w:r>
      <w:r w:rsidR="005B7E42" w:rsidRPr="009D1941">
        <w:rPr>
          <w:rFonts w:ascii="Times New Roman" w:hAnsi="Times New Roman"/>
          <w:szCs w:val="24"/>
        </w:rPr>
        <w:t>(</w:t>
      </w:r>
      <w:r w:rsidR="00B164D9">
        <w:rPr>
          <w:rFonts w:ascii="Times New Roman" w:hAnsi="Times New Roman"/>
          <w:szCs w:val="24"/>
        </w:rPr>
        <w:t>801</w:t>
      </w:r>
      <w:r w:rsidR="005B7E42" w:rsidRPr="009D1941">
        <w:rPr>
          <w:rFonts w:ascii="Times New Roman" w:hAnsi="Times New Roman"/>
          <w:szCs w:val="24"/>
        </w:rPr>
        <w:t xml:space="preserve">) </w:t>
      </w:r>
      <w:r w:rsidR="00B164D9">
        <w:rPr>
          <w:rFonts w:ascii="Times New Roman" w:hAnsi="Times New Roman"/>
          <w:szCs w:val="24"/>
        </w:rPr>
        <w:t>220</w:t>
      </w:r>
      <w:r w:rsidR="005B7E42" w:rsidRPr="009D1941">
        <w:rPr>
          <w:rFonts w:ascii="Times New Roman" w:hAnsi="Times New Roman"/>
          <w:szCs w:val="24"/>
        </w:rPr>
        <w:t>-</w:t>
      </w:r>
      <w:r w:rsidR="00B164D9">
        <w:rPr>
          <w:rFonts w:ascii="Times New Roman" w:hAnsi="Times New Roman"/>
          <w:szCs w:val="24"/>
        </w:rPr>
        <w:t>4615</w:t>
      </w:r>
    </w:p>
    <w:p w:rsidR="00156702" w:rsidRPr="009D1941" w:rsidRDefault="00156702" w:rsidP="00D706C2">
      <w:pPr>
        <w:ind w:left="4320"/>
        <w:jc w:val="both"/>
        <w:rPr>
          <w:rFonts w:ascii="Times New Roman" w:hAnsi="Times New Roman"/>
          <w:szCs w:val="24"/>
        </w:rPr>
      </w:pPr>
      <w:r w:rsidRPr="009D1941">
        <w:rPr>
          <w:rFonts w:ascii="Times New Roman" w:hAnsi="Times New Roman"/>
          <w:szCs w:val="24"/>
        </w:rPr>
        <w:t>Email: jordan.white@pacificorp.com</w:t>
      </w:r>
    </w:p>
    <w:p w:rsidR="00156702" w:rsidRPr="009D1941" w:rsidRDefault="00156702" w:rsidP="00D706C2">
      <w:pPr>
        <w:pStyle w:val="ListParagraph"/>
        <w:tabs>
          <w:tab w:val="left" w:pos="720"/>
        </w:tabs>
        <w:spacing w:line="480" w:lineRule="auto"/>
        <w:ind w:left="4320"/>
        <w:rPr>
          <w:rFonts w:ascii="Times New Roman" w:hAnsi="Times New Roman"/>
          <w:szCs w:val="24"/>
        </w:rPr>
      </w:pPr>
    </w:p>
    <w:sectPr w:rsidR="00156702" w:rsidRPr="009D1941" w:rsidSect="00235F14">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339" w:rsidRDefault="00BF4339" w:rsidP="00235F14">
      <w:r>
        <w:separator/>
      </w:r>
    </w:p>
  </w:endnote>
  <w:endnote w:type="continuationSeparator" w:id="0">
    <w:p w:rsidR="00BF4339" w:rsidRDefault="00BF4339" w:rsidP="00235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0D" w:rsidRDefault="002A1B0D">
    <w:pPr>
      <w:pStyle w:val="Footer"/>
      <w:jc w:val="center"/>
    </w:pPr>
  </w:p>
  <w:p w:rsidR="002A1B0D" w:rsidRDefault="002A1B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9365"/>
      <w:docPartObj>
        <w:docPartGallery w:val="Page Numbers (Bottom of Page)"/>
        <w:docPartUnique/>
      </w:docPartObj>
    </w:sdtPr>
    <w:sdtContent>
      <w:p w:rsidR="002A1B0D" w:rsidRDefault="001C4916">
        <w:pPr>
          <w:pStyle w:val="Footer"/>
          <w:jc w:val="center"/>
        </w:pPr>
        <w:fldSimple w:instr=" PAGE   \* MERGEFORMAT ">
          <w:r w:rsidR="00343AF3">
            <w:rPr>
              <w:noProof/>
            </w:rPr>
            <w:t>vi</w:t>
          </w:r>
        </w:fldSimple>
      </w:p>
    </w:sdtContent>
  </w:sdt>
  <w:p w:rsidR="002A1B0D" w:rsidRDefault="002A1B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9072"/>
      <w:docPartObj>
        <w:docPartGallery w:val="Page Numbers (Bottom of Page)"/>
        <w:docPartUnique/>
      </w:docPartObj>
    </w:sdtPr>
    <w:sdtContent>
      <w:p w:rsidR="002A1B0D" w:rsidRDefault="001C4916">
        <w:pPr>
          <w:pStyle w:val="Footer"/>
          <w:jc w:val="center"/>
        </w:pPr>
        <w:fldSimple w:instr=" PAGE   \* MERGEFORMAT ">
          <w:r w:rsidR="00343AF3">
            <w:rPr>
              <w:noProof/>
            </w:rPr>
            <w:t>44</w:t>
          </w:r>
        </w:fldSimple>
      </w:p>
    </w:sdtContent>
  </w:sdt>
  <w:p w:rsidR="002A1B0D" w:rsidRDefault="002A1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339" w:rsidRDefault="00BF4339" w:rsidP="00235F14">
      <w:r>
        <w:separator/>
      </w:r>
    </w:p>
  </w:footnote>
  <w:footnote w:type="continuationSeparator" w:id="0">
    <w:p w:rsidR="00BF4339" w:rsidRDefault="00BF4339" w:rsidP="00235F14">
      <w:r>
        <w:continuationSeparator/>
      </w:r>
    </w:p>
  </w:footnote>
  <w:footnote w:id="1">
    <w:p w:rsidR="002A1B0D" w:rsidRPr="001E598A" w:rsidRDefault="002A1B0D" w:rsidP="00E95A63">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2; Post-Hearing Brief on Behalf of ICNU ¶ 10.</w:t>
      </w:r>
      <w:proofErr w:type="gramEnd"/>
    </w:p>
  </w:footnote>
  <w:footnote w:id="2">
    <w:p w:rsidR="002A1B0D" w:rsidRPr="001E598A" w:rsidRDefault="002A1B0D" w:rsidP="00E95A63">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PacifiCorp’s Initial Post-Hearing Brief ¶ 4.</w:t>
      </w:r>
      <w:proofErr w:type="gramEnd"/>
    </w:p>
  </w:footnote>
  <w:footnote w:id="3">
    <w:p w:rsidR="002A1B0D" w:rsidRPr="001E598A" w:rsidRDefault="002A1B0D" w:rsidP="00E95A63">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2.</w:t>
      </w:r>
      <w:proofErr w:type="gramEnd"/>
    </w:p>
  </w:footnote>
  <w:footnote w:id="4">
    <w:p w:rsidR="002A1B0D" w:rsidRPr="001E598A" w:rsidRDefault="002A1B0D" w:rsidP="00CE21FA">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11.</w:t>
      </w:r>
      <w:proofErr w:type="gramEnd"/>
    </w:p>
  </w:footnote>
  <w:footnote w:id="5">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17.</w:t>
      </w:r>
      <w:proofErr w:type="gramEnd"/>
    </w:p>
  </w:footnote>
  <w:footnote w:id="6">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EC6DB6">
        <w:rPr>
          <w:rFonts w:ascii="Times New Roman" w:hAnsi="Times New Roman"/>
          <w:i/>
        </w:rPr>
        <w:t>Id.</w:t>
      </w:r>
      <w:r w:rsidRPr="001E598A">
        <w:rPr>
          <w:rFonts w:ascii="Times New Roman" w:hAnsi="Times New Roman"/>
        </w:rPr>
        <w:t xml:space="preserve"> ¶ 14.</w:t>
      </w:r>
      <w:proofErr w:type="gramEnd"/>
      <w:r w:rsidRPr="001E598A">
        <w:rPr>
          <w:rFonts w:ascii="Times New Roman" w:hAnsi="Times New Roman"/>
          <w:sz w:val="24"/>
          <w:szCs w:val="24"/>
        </w:rPr>
        <w:t xml:space="preserve">  </w:t>
      </w:r>
      <w:r w:rsidRPr="001E598A">
        <w:rPr>
          <w:rFonts w:ascii="Times New Roman" w:hAnsi="Times New Roman"/>
        </w:rPr>
        <w:t>Similarly ¶ 17, ICNU claims that “the current economic conditions make utilities like PacifiCorp more attractive investment opportunities because they appeal to investors looking for stable investments during poor economic times.”</w:t>
      </w:r>
    </w:p>
  </w:footnote>
  <w:footnote w:id="7">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TR. 441:22-442:1.</w:t>
      </w:r>
    </w:p>
  </w:footnote>
  <w:footnote w:id="8">
    <w:p w:rsidR="002A1B0D" w:rsidRPr="001E598A" w:rsidRDefault="002A1B0D" w:rsidP="00BC4594">
      <w:pPr>
        <w:pStyle w:val="FootnoteText"/>
        <w:rPr>
          <w:rFonts w:ascii="Times New Roman" w:hAnsi="Times New Roman"/>
          <w:i/>
        </w:rPr>
      </w:pPr>
      <w:r w:rsidRPr="001E598A">
        <w:rPr>
          <w:rStyle w:val="FootnoteReference"/>
          <w:rFonts w:ascii="Times New Roman" w:hAnsi="Times New Roman"/>
        </w:rPr>
        <w:footnoteRef/>
      </w:r>
      <w:r w:rsidRPr="001E598A">
        <w:rPr>
          <w:rFonts w:ascii="Times New Roman" w:hAnsi="Times New Roman"/>
        </w:rPr>
        <w:t xml:space="preserve"> Gorman, TR. 442:2-13; </w:t>
      </w:r>
      <w:r w:rsidRPr="001E598A">
        <w:rPr>
          <w:rFonts w:ascii="Times New Roman" w:hAnsi="Times New Roman"/>
          <w:i/>
        </w:rPr>
        <w:t xml:space="preserve">See also </w:t>
      </w:r>
      <w:r w:rsidRPr="001E598A">
        <w:rPr>
          <w:rFonts w:ascii="Times New Roman" w:hAnsi="Times New Roman"/>
        </w:rPr>
        <w:t xml:space="preserve">Gorman, </w:t>
      </w:r>
      <w:proofErr w:type="spellStart"/>
      <w:r w:rsidRPr="001E598A">
        <w:rPr>
          <w:rFonts w:ascii="Times New Roman" w:hAnsi="Times New Roman"/>
        </w:rPr>
        <w:t>Exh</w:t>
      </w:r>
      <w:proofErr w:type="spellEnd"/>
      <w:r w:rsidRPr="001E598A">
        <w:rPr>
          <w:rFonts w:ascii="Times New Roman" w:hAnsi="Times New Roman"/>
        </w:rPr>
        <w:t xml:space="preserve">. No. MPG-1T 7: Fig. 1; Gorman, </w:t>
      </w:r>
      <w:proofErr w:type="spellStart"/>
      <w:r w:rsidRPr="001E598A">
        <w:rPr>
          <w:rFonts w:ascii="Times New Roman" w:hAnsi="Times New Roman"/>
        </w:rPr>
        <w:t>Exh</w:t>
      </w:r>
      <w:proofErr w:type="spellEnd"/>
      <w:r w:rsidRPr="001E598A">
        <w:rPr>
          <w:rFonts w:ascii="Times New Roman" w:hAnsi="Times New Roman"/>
        </w:rPr>
        <w:t>. No. MPG-1T 7:1 (“[d]</w:t>
      </w:r>
      <w:proofErr w:type="spellStart"/>
      <w:r w:rsidRPr="001E598A">
        <w:rPr>
          <w:rFonts w:ascii="Times New Roman" w:hAnsi="Times New Roman"/>
        </w:rPr>
        <w:t>uring</w:t>
      </w:r>
      <w:proofErr w:type="spellEnd"/>
      <w:r w:rsidRPr="001E598A">
        <w:rPr>
          <w:rFonts w:ascii="Times New Roman" w:hAnsi="Times New Roman"/>
        </w:rPr>
        <w:t xml:space="preserve"> 2009 and the first half of 2010 [utility stocks] </w:t>
      </w:r>
      <w:r w:rsidRPr="001E598A">
        <w:rPr>
          <w:rFonts w:ascii="Times New Roman" w:hAnsi="Times New Roman"/>
          <w:i/>
        </w:rPr>
        <w:t xml:space="preserve">underperformed the </w:t>
      </w:r>
      <w:proofErr w:type="gramStart"/>
      <w:r w:rsidRPr="001E598A">
        <w:rPr>
          <w:rFonts w:ascii="Times New Roman" w:hAnsi="Times New Roman"/>
          <w:i/>
        </w:rPr>
        <w:t>market</w:t>
      </w:r>
      <w:r w:rsidRPr="001E598A">
        <w:rPr>
          <w:rFonts w:ascii="Times New Roman" w:hAnsi="Times New Roman"/>
        </w:rPr>
        <w:t xml:space="preserve"> ”</w:t>
      </w:r>
      <w:proofErr w:type="gramEnd"/>
      <w:r w:rsidRPr="001E598A">
        <w:rPr>
          <w:rFonts w:ascii="Times New Roman" w:hAnsi="Times New Roman"/>
        </w:rPr>
        <w:t xml:space="preserve">) (emphasis added). </w:t>
      </w:r>
    </w:p>
  </w:footnote>
  <w:footnote w:id="9">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Hadaway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SCH-8T 9:1-2.</w:t>
      </w:r>
    </w:p>
  </w:footnote>
  <w:footnote w:id="10">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MPG-1T Fig, 1.</w:t>
      </w:r>
      <w:proofErr w:type="gramEnd"/>
    </w:p>
  </w:footnote>
  <w:footnote w:id="11">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17.</w:t>
      </w:r>
      <w:proofErr w:type="gramEnd"/>
    </w:p>
  </w:footnote>
  <w:footnote w:id="12">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Re Rocky Mountain Power</w:t>
      </w:r>
      <w:r w:rsidRPr="001E598A">
        <w:rPr>
          <w:rFonts w:ascii="Times New Roman" w:hAnsi="Times New Roman"/>
        </w:rPr>
        <w:t>, Case No. PAC-E-10-07, Interlocutory Order No. 32151 at 2 (I.P.U.C. Dec. 27, 2010)</w:t>
      </w:r>
      <w:r w:rsidR="001C4916">
        <w:rPr>
          <w:rFonts w:ascii="Times New Roman" w:hAnsi="Times New Roman"/>
        </w:rPr>
        <w:fldChar w:fldCharType="begin"/>
      </w:r>
      <w:r>
        <w:instrText xml:space="preserve"> TA \l "</w:instrText>
      </w:r>
      <w:r w:rsidRPr="00032AF1">
        <w:rPr>
          <w:rFonts w:ascii="Times New Roman" w:hAnsi="Times New Roman"/>
          <w:i/>
        </w:rPr>
        <w:instrText>Rocky Mountain Power</w:instrText>
      </w:r>
      <w:r w:rsidRPr="00032AF1">
        <w:rPr>
          <w:rFonts w:ascii="Times New Roman" w:hAnsi="Times New Roman"/>
        </w:rPr>
        <w:instrText>, Case No. PAC-E-10-07, Interlocutory Order No. 32151 (I.P.U.C. Dec. 27, 2010)</w:instrText>
      </w:r>
      <w:r>
        <w:instrText xml:space="preserve">" \s "Case No. PAC-E-10-07, Interlocutory Order No. 32151" \c 9 </w:instrText>
      </w:r>
      <w:r w:rsidR="001C4916">
        <w:rPr>
          <w:rFonts w:ascii="Times New Roman" w:hAnsi="Times New Roman"/>
        </w:rPr>
        <w:fldChar w:fldCharType="end"/>
      </w:r>
      <w:r w:rsidRPr="001E598A">
        <w:rPr>
          <w:rFonts w:ascii="Times New Roman" w:hAnsi="Times New Roman"/>
        </w:rPr>
        <w:t>.</w:t>
      </w:r>
      <w:r w:rsidRPr="001E598A" w:rsidDel="0039797E">
        <w:rPr>
          <w:rFonts w:ascii="Times New Roman" w:hAnsi="Times New Roman"/>
        </w:rPr>
        <w:t xml:space="preserve"> </w:t>
      </w:r>
    </w:p>
  </w:footnote>
  <w:footnote w:id="13">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Hadaway, TR. 259:8-18.</w:t>
      </w:r>
    </w:p>
  </w:footnote>
  <w:footnote w:id="14">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PacifiCorp</w:t>
      </w:r>
      <w:r w:rsidRPr="001E598A">
        <w:rPr>
          <w:rFonts w:ascii="Times New Roman" w:hAnsi="Times New Roman"/>
        </w:rPr>
        <w:t>, Docket UE 210, Order No. 10-022 (O.P.U.C. Jan. 26, 2010) (10.125%)</w:t>
      </w:r>
      <w:r w:rsidR="001C4916">
        <w:rPr>
          <w:rFonts w:ascii="Times New Roman" w:hAnsi="Times New Roman"/>
        </w:rPr>
        <w:fldChar w:fldCharType="begin"/>
      </w:r>
      <w:r>
        <w:instrText xml:space="preserve"> TA \l "</w:instrText>
      </w:r>
      <w:r w:rsidRPr="00032AF1">
        <w:rPr>
          <w:rFonts w:ascii="Times New Roman" w:hAnsi="Times New Roman"/>
          <w:i/>
        </w:rPr>
        <w:instrText>PacifiCorp</w:instrText>
      </w:r>
      <w:r w:rsidRPr="00032AF1">
        <w:rPr>
          <w:rFonts w:ascii="Times New Roman" w:hAnsi="Times New Roman"/>
        </w:rPr>
        <w:instrText>, Docket UE 210, Order No. 10-022 (O.P.U.C. Jan. 26, 2010)</w:instrText>
      </w:r>
      <w:r>
        <w:instrText xml:space="preserve">" \s "Docket UE 210, Order No. 10-022" \c 9 </w:instrText>
      </w:r>
      <w:r w:rsidR="001C4916">
        <w:rPr>
          <w:rFonts w:ascii="Times New Roman" w:hAnsi="Times New Roman"/>
        </w:rPr>
        <w:fldChar w:fldCharType="end"/>
      </w:r>
      <w:r w:rsidRPr="001E598A">
        <w:rPr>
          <w:rFonts w:ascii="Times New Roman" w:hAnsi="Times New Roman"/>
        </w:rPr>
        <w:t xml:space="preserve">; </w:t>
      </w:r>
      <w:r w:rsidRPr="001E598A">
        <w:rPr>
          <w:rFonts w:ascii="Times New Roman" w:hAnsi="Times New Roman"/>
          <w:i/>
        </w:rPr>
        <w:t>Rocky Mountain Power</w:t>
      </w:r>
      <w:r w:rsidRPr="001E598A">
        <w:rPr>
          <w:rFonts w:ascii="Times New Roman" w:hAnsi="Times New Roman"/>
        </w:rPr>
        <w:t>, Docket No. 09-035-023, Report and Order (U.P.S.C. Feb. 18, 2010) (10.6%)</w:t>
      </w:r>
      <w:r w:rsidR="001C4916">
        <w:rPr>
          <w:rFonts w:ascii="Times New Roman" w:hAnsi="Times New Roman"/>
        </w:rPr>
        <w:fldChar w:fldCharType="begin"/>
      </w:r>
      <w:r>
        <w:instrText xml:space="preserve"> TA \l "</w:instrText>
      </w:r>
      <w:r w:rsidRPr="00032AF1">
        <w:rPr>
          <w:rFonts w:ascii="Times New Roman" w:hAnsi="Times New Roman"/>
          <w:i/>
        </w:rPr>
        <w:instrText>Rocky Mountain Power</w:instrText>
      </w:r>
      <w:r w:rsidRPr="00032AF1">
        <w:rPr>
          <w:rFonts w:ascii="Times New Roman" w:hAnsi="Times New Roman"/>
        </w:rPr>
        <w:instrText>, Docket No. 09-035-023, Report and Order (U.P.S.C. Feb. 18, 2010)</w:instrText>
      </w:r>
      <w:r>
        <w:instrText xml:space="preserve">" \s "Docket No. 09-035-023, Report and Order (U.P.S.C. Feb. 18, 2010)" \c 9 </w:instrText>
      </w:r>
      <w:r w:rsidR="001C4916">
        <w:rPr>
          <w:rFonts w:ascii="Times New Roman" w:hAnsi="Times New Roman"/>
        </w:rPr>
        <w:fldChar w:fldCharType="end"/>
      </w:r>
      <w:r w:rsidRPr="001E598A">
        <w:rPr>
          <w:rFonts w:ascii="Times New Roman" w:hAnsi="Times New Roman"/>
        </w:rPr>
        <w:t xml:space="preserve">; </w:t>
      </w:r>
      <w:r w:rsidRPr="001E598A">
        <w:rPr>
          <w:rFonts w:ascii="Times New Roman" w:hAnsi="Times New Roman"/>
          <w:i/>
        </w:rPr>
        <w:t>Re PacifiCorp</w:t>
      </w:r>
      <w:r w:rsidRPr="001E598A">
        <w:rPr>
          <w:rFonts w:ascii="Times New Roman" w:hAnsi="Times New Roman"/>
        </w:rPr>
        <w:t>, Application 09-11-015, Decision 10-09-010 (C.P.U.C. Sept. 3, 2010) (10.6%)</w:t>
      </w:r>
      <w:r w:rsidR="001C4916">
        <w:rPr>
          <w:rFonts w:ascii="Times New Roman" w:hAnsi="Times New Roman"/>
        </w:rPr>
        <w:fldChar w:fldCharType="begin"/>
      </w:r>
      <w:r>
        <w:instrText xml:space="preserve"> TA \l "</w:instrText>
      </w:r>
      <w:r w:rsidRPr="00032AF1">
        <w:rPr>
          <w:rFonts w:ascii="Times New Roman" w:hAnsi="Times New Roman"/>
          <w:i/>
        </w:rPr>
        <w:instrText>PacifiCorp</w:instrText>
      </w:r>
      <w:r w:rsidRPr="00032AF1">
        <w:rPr>
          <w:rFonts w:ascii="Times New Roman" w:hAnsi="Times New Roman"/>
        </w:rPr>
        <w:instrText>, Application 09-11-015, Decision 10-09-010 (C.P.U.C. Sept. 3, 2010)</w:instrText>
      </w:r>
      <w:r>
        <w:instrText xml:space="preserve">" \s "Application 09-11-015, Decision 10-09-010" \c 9 </w:instrText>
      </w:r>
      <w:r w:rsidR="001C4916">
        <w:rPr>
          <w:rFonts w:ascii="Times New Roman" w:hAnsi="Times New Roman"/>
        </w:rPr>
        <w:fldChar w:fldCharType="end"/>
      </w:r>
      <w:r w:rsidRPr="001E598A">
        <w:rPr>
          <w:rFonts w:ascii="Times New Roman" w:hAnsi="Times New Roman"/>
        </w:rPr>
        <w:t>.</w:t>
      </w:r>
    </w:p>
  </w:footnote>
  <w:footnote w:id="15">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iCs/>
        </w:rPr>
        <w:t xml:space="preserve">Wash. </w:t>
      </w:r>
      <w:proofErr w:type="spellStart"/>
      <w:r w:rsidRPr="001E598A">
        <w:rPr>
          <w:rFonts w:ascii="Times New Roman" w:hAnsi="Times New Roman"/>
          <w:i/>
          <w:iCs/>
        </w:rPr>
        <w:t>Utils</w:t>
      </w:r>
      <w:proofErr w:type="spellEnd"/>
      <w:r w:rsidRPr="001E598A">
        <w:rPr>
          <w:rFonts w:ascii="Times New Roman" w:hAnsi="Times New Roman"/>
          <w:i/>
          <w:iCs/>
        </w:rPr>
        <w:t>.</w:t>
      </w:r>
      <w:proofErr w:type="gramEnd"/>
      <w:r w:rsidRPr="001E598A">
        <w:rPr>
          <w:rFonts w:ascii="Times New Roman" w:hAnsi="Times New Roman"/>
          <w:i/>
          <w:iCs/>
        </w:rPr>
        <w:t xml:space="preserve"> &amp; Transp. </w:t>
      </w:r>
      <w:proofErr w:type="spellStart"/>
      <w:r w:rsidRPr="001E598A">
        <w:rPr>
          <w:rFonts w:ascii="Times New Roman" w:hAnsi="Times New Roman"/>
          <w:i/>
          <w:iCs/>
        </w:rPr>
        <w:t>Comm'n</w:t>
      </w:r>
      <w:proofErr w:type="spellEnd"/>
      <w:r w:rsidRPr="001E598A">
        <w:rPr>
          <w:rFonts w:ascii="Times New Roman" w:hAnsi="Times New Roman"/>
          <w:i/>
        </w:rPr>
        <w:t xml:space="preserve"> v. </w:t>
      </w:r>
      <w:proofErr w:type="spellStart"/>
      <w:r w:rsidRPr="001E598A">
        <w:rPr>
          <w:rFonts w:ascii="Times New Roman" w:hAnsi="Times New Roman"/>
          <w:i/>
        </w:rPr>
        <w:t>Avista</w:t>
      </w:r>
      <w:proofErr w:type="spellEnd"/>
      <w:r w:rsidRPr="001E598A">
        <w:rPr>
          <w:rFonts w:ascii="Times New Roman" w:hAnsi="Times New Roman"/>
          <w:i/>
        </w:rPr>
        <w:t xml:space="preserve"> Corp.</w:t>
      </w:r>
      <w:r w:rsidRPr="001E598A">
        <w:rPr>
          <w:rFonts w:ascii="Times New Roman" w:hAnsi="Times New Roman"/>
        </w:rPr>
        <w:t>, Docket UE-100467, Order 07 ¶ 8 (Nov. 19, 2010)</w:t>
      </w:r>
      <w:r w:rsidR="001C4916">
        <w:rPr>
          <w:rFonts w:ascii="Times New Roman" w:hAnsi="Times New Roman"/>
        </w:rPr>
        <w:fldChar w:fldCharType="begin"/>
      </w:r>
      <w:r>
        <w:instrText xml:space="preserve"> TA \l "</w:instrText>
      </w:r>
      <w:r w:rsidRPr="00032AF1">
        <w:rPr>
          <w:rFonts w:ascii="Times New Roman" w:hAnsi="Times New Roman"/>
          <w:i/>
          <w:iCs/>
        </w:rPr>
        <w:instrText>Wash. Utils. &amp; Transp. Comm'n</w:instrText>
      </w:r>
      <w:r w:rsidRPr="00032AF1">
        <w:rPr>
          <w:rFonts w:ascii="Times New Roman" w:hAnsi="Times New Roman"/>
          <w:i/>
        </w:rPr>
        <w:instrText xml:space="preserve"> v. Avista Corp.</w:instrText>
      </w:r>
      <w:r w:rsidRPr="00032AF1">
        <w:rPr>
          <w:rFonts w:ascii="Times New Roman" w:hAnsi="Times New Roman"/>
        </w:rPr>
        <w:instrText>, Docket UE-100467, Order 07 (Nov. 19, 2010)</w:instrText>
      </w:r>
      <w:r>
        <w:instrText xml:space="preserve">" \s "Docket UE-100467, Order 07" \c 8 </w:instrText>
      </w:r>
      <w:r w:rsidR="001C4916">
        <w:rPr>
          <w:rFonts w:ascii="Times New Roman" w:hAnsi="Times New Roman"/>
        </w:rPr>
        <w:fldChar w:fldCharType="end"/>
      </w:r>
      <w:r w:rsidRPr="001E598A">
        <w:rPr>
          <w:rFonts w:ascii="Times New Roman" w:hAnsi="Times New Roman"/>
        </w:rPr>
        <w:t xml:space="preserve"> (10.2%); </w:t>
      </w:r>
      <w:r w:rsidRPr="001E598A">
        <w:rPr>
          <w:rFonts w:ascii="Times New Roman" w:hAnsi="Times New Roman"/>
          <w:i/>
          <w:iCs/>
        </w:rPr>
        <w:t xml:space="preserve">Wash. </w:t>
      </w:r>
      <w:proofErr w:type="spellStart"/>
      <w:r w:rsidRPr="001E598A">
        <w:rPr>
          <w:rFonts w:ascii="Times New Roman" w:hAnsi="Times New Roman"/>
          <w:i/>
          <w:iCs/>
        </w:rPr>
        <w:t>Utils</w:t>
      </w:r>
      <w:proofErr w:type="spellEnd"/>
      <w:r w:rsidRPr="001E598A">
        <w:rPr>
          <w:rFonts w:ascii="Times New Roman" w:hAnsi="Times New Roman"/>
          <w:i/>
          <w:iCs/>
        </w:rPr>
        <w:t xml:space="preserve">. &amp; Transp. </w:t>
      </w:r>
      <w:proofErr w:type="spellStart"/>
      <w:r w:rsidRPr="001E598A">
        <w:rPr>
          <w:rFonts w:ascii="Times New Roman" w:hAnsi="Times New Roman"/>
          <w:i/>
          <w:iCs/>
        </w:rPr>
        <w:t>Comm'n</w:t>
      </w:r>
      <w:proofErr w:type="spellEnd"/>
      <w:r w:rsidRPr="001E598A">
        <w:rPr>
          <w:rFonts w:ascii="Times New Roman" w:hAnsi="Times New Roman"/>
          <w:i/>
        </w:rPr>
        <w:t xml:space="preserve"> v. Puget Sound Energy</w:t>
      </w:r>
      <w:r w:rsidR="00503594">
        <w:rPr>
          <w:rFonts w:ascii="Times New Roman" w:hAnsi="Times New Roman"/>
          <w:i/>
        </w:rPr>
        <w:t>, Inc.</w:t>
      </w:r>
      <w:r w:rsidRPr="001E598A">
        <w:rPr>
          <w:rFonts w:ascii="Times New Roman" w:hAnsi="Times New Roman"/>
        </w:rPr>
        <w:t>,</w:t>
      </w:r>
      <w:r w:rsidRPr="001E598A">
        <w:rPr>
          <w:rFonts w:ascii="Times New Roman" w:hAnsi="Times New Roman"/>
          <w:i/>
        </w:rPr>
        <w:t xml:space="preserve"> </w:t>
      </w:r>
      <w:r w:rsidRPr="001E598A">
        <w:rPr>
          <w:rFonts w:ascii="Times New Roman" w:hAnsi="Times New Roman"/>
        </w:rPr>
        <w:t>Docket UE-090704, Order 11 ¶ 301 (Apr. 2, 2010)</w:t>
      </w:r>
      <w:r w:rsidR="001C4916">
        <w:rPr>
          <w:rFonts w:ascii="Times New Roman" w:hAnsi="Times New Roman"/>
        </w:rPr>
        <w:fldChar w:fldCharType="begin"/>
      </w:r>
      <w:r>
        <w:instrText xml:space="preserve"> TA \l "</w:instrText>
      </w:r>
      <w:r w:rsidRPr="00032AF1">
        <w:rPr>
          <w:rFonts w:ascii="Times New Roman" w:hAnsi="Times New Roman"/>
          <w:i/>
          <w:iCs/>
        </w:rPr>
        <w:instrText>Wash. Utils. &amp; Transp. Comm'n</w:instrText>
      </w:r>
      <w:r w:rsidRPr="00032AF1">
        <w:rPr>
          <w:rFonts w:ascii="Times New Roman" w:hAnsi="Times New Roman"/>
          <w:i/>
        </w:rPr>
        <w:instrText xml:space="preserve"> v. Puget Sound Energy</w:instrText>
      </w:r>
      <w:r w:rsidRPr="00032AF1">
        <w:rPr>
          <w:rFonts w:ascii="Times New Roman" w:hAnsi="Times New Roman"/>
        </w:rPr>
        <w:instrText>,</w:instrText>
      </w:r>
      <w:r w:rsidR="00D75AF3" w:rsidRPr="00D75AF3">
        <w:rPr>
          <w:rFonts w:ascii="Times New Roman" w:hAnsi="Times New Roman"/>
          <w:i/>
        </w:rPr>
        <w:instrText xml:space="preserve"> Inc</w:instrText>
      </w:r>
      <w:r w:rsidR="00D75AF3">
        <w:rPr>
          <w:rFonts w:ascii="Times New Roman" w:hAnsi="Times New Roman"/>
        </w:rPr>
        <w:instrText>.,</w:instrText>
      </w:r>
      <w:r w:rsidRPr="00032AF1">
        <w:rPr>
          <w:rFonts w:ascii="Times New Roman" w:hAnsi="Times New Roman"/>
          <w:i/>
        </w:rPr>
        <w:instrText xml:space="preserve"> </w:instrText>
      </w:r>
      <w:r w:rsidRPr="00032AF1">
        <w:rPr>
          <w:rFonts w:ascii="Times New Roman" w:hAnsi="Times New Roman"/>
        </w:rPr>
        <w:instrText>Docket UE-090704, Order 11 (Apr. 2, 2010)</w:instrText>
      </w:r>
      <w:r>
        <w:instrText xml:space="preserve">" \s "Docket UE-090704, Order 11" \c 8 </w:instrText>
      </w:r>
      <w:r w:rsidR="001C4916">
        <w:rPr>
          <w:rFonts w:ascii="Times New Roman" w:hAnsi="Times New Roman"/>
        </w:rPr>
        <w:fldChar w:fldCharType="end"/>
      </w:r>
      <w:r w:rsidRPr="001E598A">
        <w:rPr>
          <w:rFonts w:ascii="Times New Roman" w:hAnsi="Times New Roman"/>
        </w:rPr>
        <w:t xml:space="preserve"> (10.1%).</w:t>
      </w:r>
      <w:r w:rsidRPr="001E598A" w:rsidDel="0039797E">
        <w:rPr>
          <w:rFonts w:ascii="Times New Roman" w:hAnsi="Times New Roman"/>
        </w:rPr>
        <w:t xml:space="preserve"> </w:t>
      </w:r>
    </w:p>
  </w:footnote>
  <w:footnote w:id="16">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Hadaway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SCH-8T 10</w:t>
      </w:r>
      <w:proofErr w:type="gramStart"/>
      <w:r w:rsidRPr="001E598A">
        <w:rPr>
          <w:rFonts w:ascii="Times New Roman" w:hAnsi="Times New Roman"/>
        </w:rPr>
        <w:t>:Table</w:t>
      </w:r>
      <w:proofErr w:type="gramEnd"/>
      <w:r w:rsidRPr="001E598A">
        <w:rPr>
          <w:rFonts w:ascii="Times New Roman" w:hAnsi="Times New Roman"/>
        </w:rPr>
        <w:t xml:space="preserve"> 3.</w:t>
      </w:r>
      <w:r w:rsidRPr="001E598A" w:rsidDel="0039797E">
        <w:rPr>
          <w:rFonts w:ascii="Times New Roman" w:hAnsi="Times New Roman"/>
        </w:rPr>
        <w:t xml:space="preserve"> </w:t>
      </w:r>
    </w:p>
  </w:footnote>
  <w:footnote w:id="17">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17.</w:t>
      </w:r>
      <w:proofErr w:type="gramEnd"/>
    </w:p>
  </w:footnote>
  <w:footnote w:id="18">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Williams, </w:t>
      </w:r>
      <w:proofErr w:type="spellStart"/>
      <w:r w:rsidRPr="001E598A">
        <w:rPr>
          <w:rFonts w:ascii="Times New Roman" w:hAnsi="Times New Roman"/>
        </w:rPr>
        <w:t>Exh</w:t>
      </w:r>
      <w:proofErr w:type="spellEnd"/>
      <w:r w:rsidRPr="001E598A">
        <w:rPr>
          <w:rFonts w:ascii="Times New Roman" w:hAnsi="Times New Roman"/>
        </w:rPr>
        <w:t xml:space="preserve">. No. BNW-1T 11:7-14; Williams, </w:t>
      </w:r>
      <w:proofErr w:type="spellStart"/>
      <w:r w:rsidRPr="001E598A">
        <w:rPr>
          <w:rFonts w:ascii="Times New Roman" w:hAnsi="Times New Roman"/>
        </w:rPr>
        <w:t>Exh</w:t>
      </w:r>
      <w:proofErr w:type="spellEnd"/>
      <w:r w:rsidRPr="001E598A">
        <w:rPr>
          <w:rFonts w:ascii="Times New Roman" w:hAnsi="Times New Roman"/>
        </w:rPr>
        <w:t>. No. BNW-1T 12:9-18.</w:t>
      </w:r>
    </w:p>
  </w:footnote>
  <w:footnote w:id="19">
    <w:p w:rsidR="00096DE9" w:rsidRDefault="00096DE9">
      <w:pPr>
        <w:pStyle w:val="FootnoteText"/>
      </w:pPr>
      <w:r>
        <w:rPr>
          <w:rStyle w:val="FootnoteReference"/>
        </w:rPr>
        <w:footnoteRef/>
      </w:r>
      <w:r>
        <w:t xml:space="preserve"> </w:t>
      </w:r>
      <w:proofErr w:type="gramStart"/>
      <w:r>
        <w:rPr>
          <w:rFonts w:ascii="Times New Roman" w:hAnsi="Times New Roman"/>
          <w:i/>
          <w:iCs/>
        </w:rPr>
        <w:t xml:space="preserve">Wash. </w:t>
      </w:r>
      <w:proofErr w:type="spellStart"/>
      <w:r>
        <w:rPr>
          <w:rFonts w:ascii="Times New Roman" w:hAnsi="Times New Roman"/>
          <w:i/>
          <w:iCs/>
        </w:rPr>
        <w:t>Utils</w:t>
      </w:r>
      <w:proofErr w:type="spellEnd"/>
      <w:r>
        <w:rPr>
          <w:rFonts w:ascii="Times New Roman" w:hAnsi="Times New Roman"/>
          <w:i/>
          <w:iCs/>
        </w:rPr>
        <w:t>.</w:t>
      </w:r>
      <w:proofErr w:type="gramEnd"/>
      <w:r>
        <w:rPr>
          <w:rFonts w:ascii="Times New Roman" w:hAnsi="Times New Roman"/>
          <w:i/>
          <w:iCs/>
        </w:rPr>
        <w:t xml:space="preserve"> </w:t>
      </w:r>
      <w:r w:rsidRPr="001E598A">
        <w:rPr>
          <w:rFonts w:ascii="Times New Roman" w:hAnsi="Times New Roman"/>
          <w:i/>
          <w:iCs/>
        </w:rPr>
        <w:t xml:space="preserve">&amp; Transp. </w:t>
      </w:r>
      <w:proofErr w:type="spellStart"/>
      <w:r w:rsidRPr="001E598A">
        <w:rPr>
          <w:rFonts w:ascii="Times New Roman" w:hAnsi="Times New Roman"/>
          <w:i/>
          <w:iCs/>
        </w:rPr>
        <w:t>Comm'n</w:t>
      </w:r>
      <w:proofErr w:type="spellEnd"/>
      <w:r w:rsidRPr="001E598A">
        <w:rPr>
          <w:rFonts w:ascii="Times New Roman" w:hAnsi="Times New Roman"/>
          <w:i/>
        </w:rPr>
        <w:t xml:space="preserve"> v. Puget Sound Energy</w:t>
      </w:r>
      <w:r w:rsidRPr="001E598A">
        <w:rPr>
          <w:rFonts w:ascii="Times New Roman" w:hAnsi="Times New Roman"/>
        </w:rPr>
        <w:t>,</w:t>
      </w:r>
      <w:r w:rsidRPr="00D75AF3">
        <w:rPr>
          <w:rFonts w:ascii="Times New Roman" w:hAnsi="Times New Roman"/>
          <w:i/>
        </w:rPr>
        <w:t xml:space="preserve"> Inc</w:t>
      </w:r>
      <w:r>
        <w:rPr>
          <w:rFonts w:ascii="Times New Roman" w:hAnsi="Times New Roman"/>
        </w:rPr>
        <w:t>.,</w:t>
      </w:r>
      <w:r w:rsidRPr="001E598A">
        <w:rPr>
          <w:rFonts w:ascii="Times New Roman" w:hAnsi="Times New Roman"/>
        </w:rPr>
        <w:t xml:space="preserve"> Docket UE-090704, Order 11 (April 2, 2010).</w:t>
      </w:r>
      <w:r w:rsidR="001C4916">
        <w:rPr>
          <w:rFonts w:ascii="Times New Roman" w:hAnsi="Times New Roman"/>
        </w:rPr>
        <w:fldChar w:fldCharType="begin"/>
      </w:r>
      <w:r>
        <w:instrText xml:space="preserve"> TA \s "Docket UE-090704, Order 11" </w:instrText>
      </w:r>
      <w:r w:rsidR="001C4916">
        <w:rPr>
          <w:rFonts w:ascii="Times New Roman" w:hAnsi="Times New Roman"/>
        </w:rPr>
        <w:fldChar w:fldCharType="end"/>
      </w:r>
    </w:p>
  </w:footnote>
  <w:footnote w:id="20">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¶180.</w:t>
      </w:r>
      <w:proofErr w:type="gramEnd"/>
    </w:p>
  </w:footnote>
  <w:footnote w:id="21">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EC6DB6">
        <w:rPr>
          <w:rFonts w:ascii="Times New Roman" w:hAnsi="Times New Roman"/>
          <w:i/>
        </w:rPr>
        <w:t xml:space="preserve">Id. </w:t>
      </w:r>
      <w:r w:rsidRPr="001E598A">
        <w:rPr>
          <w:rFonts w:ascii="Times New Roman" w:hAnsi="Times New Roman"/>
        </w:rPr>
        <w:t>¶184.</w:t>
      </w:r>
      <w:proofErr w:type="gramEnd"/>
    </w:p>
  </w:footnote>
  <w:footnote w:id="22">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Elgin, </w:t>
      </w:r>
      <w:proofErr w:type="spellStart"/>
      <w:r w:rsidRPr="001E598A">
        <w:rPr>
          <w:rFonts w:ascii="Times New Roman" w:hAnsi="Times New Roman"/>
        </w:rPr>
        <w:t>Exh</w:t>
      </w:r>
      <w:proofErr w:type="spellEnd"/>
      <w:r w:rsidRPr="001E598A">
        <w:rPr>
          <w:rFonts w:ascii="Times New Roman" w:hAnsi="Times New Roman"/>
        </w:rPr>
        <w:t>. No. KLE-1T 32:17-33:14.</w:t>
      </w:r>
    </w:p>
  </w:footnote>
  <w:footnote w:id="23">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Hadaway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SCH-10 1.</w:t>
      </w:r>
      <w:proofErr w:type="gramEnd"/>
    </w:p>
  </w:footnote>
  <w:footnote w:id="24">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Hadaway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No.SCH-8T 17:14-18:13.</w:t>
      </w:r>
    </w:p>
  </w:footnote>
  <w:footnote w:id="25">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Elgin, </w:t>
      </w:r>
      <w:proofErr w:type="spellStart"/>
      <w:r w:rsidRPr="001E598A">
        <w:rPr>
          <w:rFonts w:ascii="Times New Roman" w:hAnsi="Times New Roman"/>
        </w:rPr>
        <w:t>Exh</w:t>
      </w:r>
      <w:proofErr w:type="spellEnd"/>
      <w:r w:rsidRPr="001E598A">
        <w:rPr>
          <w:rFonts w:ascii="Times New Roman" w:hAnsi="Times New Roman"/>
        </w:rPr>
        <w:t>. No. KLE-1T 32:6-15.</w:t>
      </w:r>
    </w:p>
  </w:footnote>
  <w:footnote w:id="26">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¶186.</w:t>
      </w:r>
      <w:proofErr w:type="gramEnd"/>
    </w:p>
  </w:footnote>
  <w:footnote w:id="27">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EC6DB6">
        <w:rPr>
          <w:rFonts w:ascii="Times New Roman" w:hAnsi="Times New Roman"/>
          <w:i/>
        </w:rPr>
        <w:t xml:space="preserve">Id. </w:t>
      </w:r>
      <w:r w:rsidRPr="001E598A">
        <w:rPr>
          <w:rFonts w:ascii="Times New Roman" w:hAnsi="Times New Roman"/>
        </w:rPr>
        <w:t>¶ 198.</w:t>
      </w:r>
      <w:proofErr w:type="gramEnd"/>
    </w:p>
  </w:footnote>
  <w:footnote w:id="28">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199.</w:t>
      </w:r>
      <w:proofErr w:type="gramEnd"/>
    </w:p>
  </w:footnote>
  <w:footnote w:id="29">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w:t>
      </w:r>
      <w:proofErr w:type="spellStart"/>
      <w:r w:rsidRPr="001E598A">
        <w:rPr>
          <w:rFonts w:ascii="Times New Roman" w:hAnsi="Times New Roman"/>
        </w:rPr>
        <w:t>Exh</w:t>
      </w:r>
      <w:proofErr w:type="spellEnd"/>
      <w:r w:rsidRPr="001E598A">
        <w:rPr>
          <w:rFonts w:ascii="Times New Roman" w:hAnsi="Times New Roman"/>
        </w:rPr>
        <w:t>. No. MPG-1T 45</w:t>
      </w:r>
      <w:proofErr w:type="gramStart"/>
      <w:r w:rsidRPr="001E598A">
        <w:rPr>
          <w:rFonts w:ascii="Times New Roman" w:hAnsi="Times New Roman"/>
        </w:rPr>
        <w:t>:Table</w:t>
      </w:r>
      <w:proofErr w:type="gramEnd"/>
      <w:r w:rsidRPr="001E598A">
        <w:rPr>
          <w:rFonts w:ascii="Times New Roman" w:hAnsi="Times New Roman"/>
        </w:rPr>
        <w:t xml:space="preserve"> 6.</w:t>
      </w:r>
    </w:p>
  </w:footnote>
  <w:footnote w:id="30">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Elgin, </w:t>
      </w:r>
      <w:proofErr w:type="spellStart"/>
      <w:r w:rsidRPr="001E598A">
        <w:rPr>
          <w:rFonts w:ascii="Times New Roman" w:hAnsi="Times New Roman"/>
        </w:rPr>
        <w:t>Exh</w:t>
      </w:r>
      <w:proofErr w:type="spellEnd"/>
      <w:r w:rsidRPr="001E598A">
        <w:rPr>
          <w:rFonts w:ascii="Times New Roman" w:hAnsi="Times New Roman"/>
        </w:rPr>
        <w:t>. No. KLE-1T 55: 21-56: 3.</w:t>
      </w:r>
    </w:p>
  </w:footnote>
  <w:footnote w:id="31">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 xml:space="preserve">See </w:t>
      </w:r>
      <w:r w:rsidRPr="001E598A">
        <w:rPr>
          <w:rFonts w:ascii="Times New Roman" w:hAnsi="Times New Roman"/>
        </w:rPr>
        <w:t xml:space="preserve">Federal Reserve Open Market Committee minutes at www.federalreserve.gov; which project GDP only through 2013 and do not specify a time horizon time-line for “long-run” GDP estimates.  </w:t>
      </w:r>
      <w:r w:rsidRPr="001E598A">
        <w:rPr>
          <w:rFonts w:ascii="Times New Roman" w:hAnsi="Times New Roman"/>
          <w:i/>
        </w:rPr>
        <w:t>See also Money Growth and Inflation: How Long is the Long Run</w:t>
      </w:r>
      <w:r w:rsidRPr="001E598A">
        <w:rPr>
          <w:rFonts w:ascii="Times New Roman" w:hAnsi="Times New Roman"/>
        </w:rPr>
        <w:t xml:space="preserve">? Federal Reserve Bank of Cleveland (1999) (measuring “long-run” over 2, 4 and 8-year periods); www.clevelandfed.org/research/commentary/1999/0801.htm. </w:t>
      </w:r>
    </w:p>
  </w:footnote>
  <w:footnote w:id="32">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23-24.</w:t>
      </w:r>
      <w:proofErr w:type="gramEnd"/>
    </w:p>
  </w:footnote>
  <w:footnote w:id="33">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TR. 472:9-14.</w:t>
      </w:r>
    </w:p>
  </w:footnote>
  <w:footnote w:id="34">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TR. 472:15-23.</w:t>
      </w:r>
    </w:p>
  </w:footnote>
  <w:footnote w:id="35">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24.</w:t>
      </w:r>
      <w:proofErr w:type="gramEnd"/>
    </w:p>
  </w:footnote>
  <w:footnote w:id="36">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EC6DB6">
        <w:rPr>
          <w:rFonts w:ascii="Times New Roman" w:hAnsi="Times New Roman"/>
          <w:i/>
        </w:rPr>
        <w:t>Id.</w:t>
      </w:r>
      <w:r w:rsidRPr="001E598A">
        <w:rPr>
          <w:rFonts w:ascii="Times New Roman" w:hAnsi="Times New Roman"/>
        </w:rPr>
        <w:t xml:space="preserve"> ¶ 24.</w:t>
      </w:r>
      <w:proofErr w:type="gramEnd"/>
    </w:p>
  </w:footnote>
  <w:footnote w:id="37">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w:t>
      </w:r>
      <w:proofErr w:type="spellStart"/>
      <w:r w:rsidRPr="001E598A">
        <w:rPr>
          <w:rFonts w:ascii="Times New Roman" w:hAnsi="Times New Roman"/>
        </w:rPr>
        <w:t>Exh</w:t>
      </w:r>
      <w:proofErr w:type="spellEnd"/>
      <w:r w:rsidRPr="001E598A">
        <w:rPr>
          <w:rFonts w:ascii="Times New Roman" w:hAnsi="Times New Roman"/>
        </w:rPr>
        <w:t>. No. MPG-24 6:18-19.</w:t>
      </w:r>
    </w:p>
  </w:footnote>
  <w:footnote w:id="38">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21.</w:t>
      </w:r>
      <w:proofErr w:type="gramEnd"/>
    </w:p>
  </w:footnote>
  <w:footnote w:id="39">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Hadaway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SCH-1T 39:19-20.</w:t>
      </w:r>
    </w:p>
  </w:footnote>
  <w:footnote w:id="40">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Hadaway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SCH-1T 41</w:t>
      </w:r>
      <w:proofErr w:type="gramStart"/>
      <w:r w:rsidRPr="001E598A">
        <w:rPr>
          <w:rFonts w:ascii="Times New Roman" w:hAnsi="Times New Roman"/>
        </w:rPr>
        <w:t>:Table</w:t>
      </w:r>
      <w:proofErr w:type="gramEnd"/>
      <w:r w:rsidRPr="001E598A">
        <w:rPr>
          <w:rFonts w:ascii="Times New Roman" w:hAnsi="Times New Roman"/>
        </w:rPr>
        <w:t xml:space="preserve"> 5.</w:t>
      </w:r>
    </w:p>
  </w:footnote>
  <w:footnote w:id="41">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Hadaway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xml:space="preserve">. No. SCH-1T 40:1-13; </w:t>
      </w:r>
      <w:proofErr w:type="spellStart"/>
      <w:r w:rsidRPr="001E598A">
        <w:rPr>
          <w:rFonts w:ascii="Times New Roman" w:hAnsi="Times New Roman"/>
        </w:rPr>
        <w:t>Hadaway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SCH-7</w:t>
      </w:r>
    </w:p>
  </w:footnote>
  <w:footnote w:id="42">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 xml:space="preserve">Post-Hearing Brief on Behalf of ICNU ¶ 21; Gorman, </w:t>
      </w:r>
      <w:proofErr w:type="spellStart"/>
      <w:r w:rsidRPr="001E598A">
        <w:rPr>
          <w:rFonts w:ascii="Times New Roman" w:hAnsi="Times New Roman"/>
        </w:rPr>
        <w:t>Exh</w:t>
      </w:r>
      <w:proofErr w:type="spellEnd"/>
      <w:r w:rsidRPr="001E598A">
        <w:rPr>
          <w:rFonts w:ascii="Times New Roman" w:hAnsi="Times New Roman"/>
        </w:rPr>
        <w:t>.</w:t>
      </w:r>
      <w:proofErr w:type="gramEnd"/>
      <w:r w:rsidRPr="001E598A">
        <w:rPr>
          <w:rFonts w:ascii="Times New Roman" w:hAnsi="Times New Roman"/>
        </w:rPr>
        <w:t xml:space="preserve"> No. </w:t>
      </w:r>
      <w:proofErr w:type="gramStart"/>
      <w:r w:rsidRPr="001E598A">
        <w:rPr>
          <w:rFonts w:ascii="Times New Roman" w:hAnsi="Times New Roman"/>
        </w:rPr>
        <w:t>MPG-1T n 29, 30.</w:t>
      </w:r>
      <w:proofErr w:type="gramEnd"/>
    </w:p>
  </w:footnote>
  <w:footnote w:id="43">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Hadaway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SCH-8T 26:23.</w:t>
      </w:r>
    </w:p>
  </w:footnote>
  <w:footnote w:id="44">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29.</w:t>
      </w:r>
      <w:proofErr w:type="gramEnd"/>
      <w:r w:rsidRPr="001E598A">
        <w:rPr>
          <w:rFonts w:ascii="Times New Roman" w:hAnsi="Times New Roman"/>
        </w:rPr>
        <w:t xml:space="preserve"> </w:t>
      </w:r>
    </w:p>
  </w:footnote>
  <w:footnote w:id="45">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Pr>
          <w:rFonts w:ascii="Times New Roman" w:hAnsi="Times New Roman"/>
          <w:i/>
          <w:iCs/>
        </w:rPr>
        <w:t xml:space="preserve">Wash. </w:t>
      </w:r>
      <w:proofErr w:type="spellStart"/>
      <w:r>
        <w:rPr>
          <w:rFonts w:ascii="Times New Roman" w:hAnsi="Times New Roman"/>
          <w:i/>
          <w:iCs/>
        </w:rPr>
        <w:t>Utils</w:t>
      </w:r>
      <w:proofErr w:type="spellEnd"/>
      <w:r>
        <w:rPr>
          <w:rFonts w:ascii="Times New Roman" w:hAnsi="Times New Roman"/>
          <w:i/>
          <w:iCs/>
        </w:rPr>
        <w:t>.</w:t>
      </w:r>
      <w:proofErr w:type="gramEnd"/>
      <w:r>
        <w:rPr>
          <w:rFonts w:ascii="Times New Roman" w:hAnsi="Times New Roman"/>
          <w:i/>
          <w:iCs/>
        </w:rPr>
        <w:t xml:space="preserve"> </w:t>
      </w:r>
      <w:r w:rsidRPr="001E598A">
        <w:rPr>
          <w:rFonts w:ascii="Times New Roman" w:hAnsi="Times New Roman"/>
          <w:i/>
          <w:iCs/>
        </w:rPr>
        <w:t xml:space="preserve">&amp; Transp. </w:t>
      </w:r>
      <w:proofErr w:type="spellStart"/>
      <w:r w:rsidRPr="001E598A">
        <w:rPr>
          <w:rFonts w:ascii="Times New Roman" w:hAnsi="Times New Roman"/>
          <w:i/>
          <w:iCs/>
        </w:rPr>
        <w:t>Comm'n</w:t>
      </w:r>
      <w:proofErr w:type="spellEnd"/>
      <w:r w:rsidRPr="001E598A">
        <w:rPr>
          <w:rFonts w:ascii="Times New Roman" w:hAnsi="Times New Roman"/>
          <w:i/>
        </w:rPr>
        <w:t xml:space="preserve"> v. Puget Sound Energy</w:t>
      </w:r>
      <w:r w:rsidRPr="001E598A">
        <w:rPr>
          <w:rFonts w:ascii="Times New Roman" w:hAnsi="Times New Roman"/>
        </w:rPr>
        <w:t>,</w:t>
      </w:r>
      <w:r w:rsidR="00D75AF3" w:rsidRPr="00D75AF3">
        <w:rPr>
          <w:rFonts w:ascii="Times New Roman" w:hAnsi="Times New Roman"/>
          <w:i/>
        </w:rPr>
        <w:t xml:space="preserve"> Inc</w:t>
      </w:r>
      <w:r w:rsidR="00D75AF3">
        <w:rPr>
          <w:rFonts w:ascii="Times New Roman" w:hAnsi="Times New Roman"/>
        </w:rPr>
        <w:t>.,</w:t>
      </w:r>
      <w:r w:rsidRPr="001E598A">
        <w:rPr>
          <w:rFonts w:ascii="Times New Roman" w:hAnsi="Times New Roman"/>
        </w:rPr>
        <w:t xml:space="preserve"> Docket UE-090704, Order 11 at 103 Table 10 (April 2, 2010).</w:t>
      </w:r>
      <w:r w:rsidR="001C4916">
        <w:rPr>
          <w:rFonts w:ascii="Times New Roman" w:hAnsi="Times New Roman"/>
        </w:rPr>
        <w:fldChar w:fldCharType="begin"/>
      </w:r>
      <w:r>
        <w:instrText xml:space="preserve"> TA \s "Docket UE-090704, Order 11" </w:instrText>
      </w:r>
      <w:r w:rsidR="001C4916">
        <w:rPr>
          <w:rFonts w:ascii="Times New Roman" w:hAnsi="Times New Roman"/>
        </w:rPr>
        <w:fldChar w:fldCharType="end"/>
      </w:r>
    </w:p>
  </w:footnote>
  <w:footnote w:id="46">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rPr>
        <w:t>Id.</w:t>
      </w:r>
      <w:r w:rsidR="00FA1AFA">
        <w:rPr>
          <w:rFonts w:ascii="Times New Roman" w:hAnsi="Times New Roman"/>
          <w:i/>
        </w:rPr>
        <w:t xml:space="preserve"> </w:t>
      </w:r>
      <w:r w:rsidR="00FA1AFA">
        <w:rPr>
          <w:rFonts w:ascii="Times New Roman" w:hAnsi="Times New Roman"/>
        </w:rPr>
        <w:t>at n. 369.</w:t>
      </w:r>
      <w:proofErr w:type="gramEnd"/>
      <w:r w:rsidR="001C4916">
        <w:rPr>
          <w:rFonts w:ascii="Times New Roman" w:hAnsi="Times New Roman"/>
          <w:i/>
        </w:rPr>
        <w:fldChar w:fldCharType="begin"/>
      </w:r>
      <w:r>
        <w:instrText xml:space="preserve"> TA \s "Docket UE-090704, Order 11" </w:instrText>
      </w:r>
      <w:r w:rsidR="001C4916">
        <w:rPr>
          <w:rFonts w:ascii="Times New Roman" w:hAnsi="Times New Roman"/>
          <w:i/>
        </w:rPr>
        <w:fldChar w:fldCharType="end"/>
      </w:r>
      <w:r w:rsidRPr="001E598A">
        <w:rPr>
          <w:rFonts w:ascii="Times New Roman" w:hAnsi="Times New Roman"/>
        </w:rPr>
        <w:t xml:space="preserve"> </w:t>
      </w:r>
    </w:p>
  </w:footnote>
  <w:footnote w:id="47">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See</w:t>
      </w:r>
      <w:r w:rsidRPr="001E598A">
        <w:rPr>
          <w:rFonts w:ascii="Times New Roman" w:hAnsi="Times New Roman"/>
        </w:rPr>
        <w:t xml:space="preserve"> Initial Brief on Behalf of Commission Staff ¶¶ 158, 159-162.</w:t>
      </w:r>
    </w:p>
  </w:footnote>
  <w:footnote w:id="48">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iCs/>
        </w:rPr>
        <w:t xml:space="preserve">Wash. </w:t>
      </w:r>
      <w:proofErr w:type="spellStart"/>
      <w:r w:rsidRPr="001E598A">
        <w:rPr>
          <w:rFonts w:ascii="Times New Roman" w:hAnsi="Times New Roman"/>
          <w:i/>
          <w:iCs/>
        </w:rPr>
        <w:t>Utils</w:t>
      </w:r>
      <w:proofErr w:type="spellEnd"/>
      <w:r w:rsidRPr="001E598A">
        <w:rPr>
          <w:rFonts w:ascii="Times New Roman" w:hAnsi="Times New Roman"/>
          <w:i/>
          <w:iCs/>
        </w:rPr>
        <w:t>.</w:t>
      </w:r>
      <w:proofErr w:type="gramEnd"/>
      <w:r w:rsidRPr="001E598A">
        <w:rPr>
          <w:rFonts w:ascii="Times New Roman" w:hAnsi="Times New Roman"/>
          <w:i/>
          <w:iCs/>
        </w:rPr>
        <w:t xml:space="preserve"> &amp; Transp. </w:t>
      </w:r>
      <w:proofErr w:type="spellStart"/>
      <w:r w:rsidRPr="001E598A">
        <w:rPr>
          <w:rFonts w:ascii="Times New Roman" w:hAnsi="Times New Roman"/>
          <w:i/>
          <w:iCs/>
        </w:rPr>
        <w:t>Comm'n</w:t>
      </w:r>
      <w:proofErr w:type="spellEnd"/>
      <w:r w:rsidRPr="001E598A">
        <w:rPr>
          <w:rFonts w:ascii="Times New Roman" w:hAnsi="Times New Roman"/>
          <w:i/>
        </w:rPr>
        <w:t xml:space="preserve"> v. Puget Sound </w:t>
      </w:r>
      <w:r w:rsidRPr="00D75AF3">
        <w:rPr>
          <w:rFonts w:ascii="Times New Roman" w:hAnsi="Times New Roman"/>
          <w:i/>
        </w:rPr>
        <w:t>Energy,</w:t>
      </w:r>
      <w:r w:rsidR="007B1BB7" w:rsidRPr="00D75AF3">
        <w:rPr>
          <w:rFonts w:ascii="Times New Roman" w:hAnsi="Times New Roman"/>
          <w:i/>
        </w:rPr>
        <w:t xml:space="preserve"> Inc</w:t>
      </w:r>
      <w:r w:rsidR="007B1BB7">
        <w:rPr>
          <w:rFonts w:ascii="Times New Roman" w:hAnsi="Times New Roman"/>
        </w:rPr>
        <w:t>.,</w:t>
      </w:r>
      <w:r w:rsidRPr="001E598A">
        <w:rPr>
          <w:rFonts w:ascii="Times New Roman" w:hAnsi="Times New Roman"/>
          <w:i/>
        </w:rPr>
        <w:t xml:space="preserve"> </w:t>
      </w:r>
      <w:r w:rsidRPr="001E598A">
        <w:rPr>
          <w:rFonts w:ascii="Times New Roman" w:hAnsi="Times New Roman"/>
        </w:rPr>
        <w:t>Docket UE-060266, Order 08 ¶ 76 (Jan. 5, 2007)</w:t>
      </w:r>
      <w:r w:rsidR="001C4916">
        <w:rPr>
          <w:rFonts w:ascii="Times New Roman" w:hAnsi="Times New Roman"/>
        </w:rPr>
        <w:fldChar w:fldCharType="begin"/>
      </w:r>
      <w:r w:rsidR="00AD6037">
        <w:instrText xml:space="preserve"> TA \l "</w:instrText>
      </w:r>
      <w:r w:rsidR="00AD6037" w:rsidRPr="00D161BE">
        <w:rPr>
          <w:rFonts w:ascii="Times New Roman" w:hAnsi="Times New Roman"/>
          <w:i/>
          <w:iCs/>
        </w:rPr>
        <w:instrText>Wash. Utils. &amp; Transp. Comm'n</w:instrText>
      </w:r>
      <w:r w:rsidR="00AD6037" w:rsidRPr="00D161BE">
        <w:rPr>
          <w:rFonts w:ascii="Times New Roman" w:hAnsi="Times New Roman"/>
          <w:i/>
        </w:rPr>
        <w:instrText xml:space="preserve"> v. Puget Sound Energy</w:instrText>
      </w:r>
      <w:r w:rsidR="00AD6037" w:rsidRPr="00D161BE">
        <w:rPr>
          <w:rFonts w:ascii="Times New Roman" w:hAnsi="Times New Roman"/>
        </w:rPr>
        <w:instrText>,</w:instrText>
      </w:r>
      <w:r w:rsidR="007B1BB7" w:rsidRPr="00D75AF3">
        <w:rPr>
          <w:rFonts w:ascii="Times New Roman" w:hAnsi="Times New Roman"/>
          <w:i/>
        </w:rPr>
        <w:instrText xml:space="preserve"> Inc</w:instrText>
      </w:r>
      <w:r w:rsidR="007B1BB7">
        <w:rPr>
          <w:rFonts w:ascii="Times New Roman" w:hAnsi="Times New Roman"/>
        </w:rPr>
        <w:instrText>.,</w:instrText>
      </w:r>
      <w:r w:rsidR="00AD6037" w:rsidRPr="00D161BE">
        <w:rPr>
          <w:rFonts w:ascii="Times New Roman" w:hAnsi="Times New Roman"/>
          <w:i/>
        </w:rPr>
        <w:instrText xml:space="preserve"> </w:instrText>
      </w:r>
      <w:r w:rsidR="00AD6037" w:rsidRPr="00D161BE">
        <w:rPr>
          <w:rFonts w:ascii="Times New Roman" w:hAnsi="Times New Roman"/>
        </w:rPr>
        <w:instrText>Docket UE-060266, Order 08 (Jan. 5, 2007)</w:instrText>
      </w:r>
      <w:r w:rsidR="00AD6037">
        <w:instrText xml:space="preserve">" \s "Docket UE-060266, Order 08" \c 8 </w:instrText>
      </w:r>
      <w:r w:rsidR="001C4916">
        <w:rPr>
          <w:rFonts w:ascii="Times New Roman" w:hAnsi="Times New Roman"/>
        </w:rPr>
        <w:fldChar w:fldCharType="end"/>
      </w:r>
      <w:r w:rsidRPr="001E598A">
        <w:rPr>
          <w:rFonts w:ascii="Times New Roman" w:hAnsi="Times New Roman"/>
        </w:rPr>
        <w:t xml:space="preserve"> (The Commission will use hypothetical capital structures “when there [is] a clear and compelling reason to do so”)  The Commission subsequently confirmed this standard in Puget Sound Energy’s next general rate case.  </w:t>
      </w:r>
      <w:r w:rsidRPr="001E598A">
        <w:rPr>
          <w:rFonts w:ascii="Times New Roman" w:hAnsi="Times New Roman"/>
          <w:i/>
        </w:rPr>
        <w:t>See</w:t>
      </w:r>
      <w:r w:rsidRPr="001E598A">
        <w:rPr>
          <w:rFonts w:ascii="Times New Roman" w:hAnsi="Times New Roman"/>
        </w:rPr>
        <w:t xml:space="preserve"> </w:t>
      </w:r>
      <w:r w:rsidRPr="001E598A">
        <w:rPr>
          <w:rFonts w:ascii="Times New Roman" w:hAnsi="Times New Roman"/>
          <w:i/>
          <w:iCs/>
        </w:rPr>
        <w:t xml:space="preserve">Wash. </w:t>
      </w:r>
      <w:proofErr w:type="spellStart"/>
      <w:r w:rsidRPr="001E598A">
        <w:rPr>
          <w:rFonts w:ascii="Times New Roman" w:hAnsi="Times New Roman"/>
          <w:i/>
          <w:iCs/>
        </w:rPr>
        <w:t>Utils</w:t>
      </w:r>
      <w:proofErr w:type="spellEnd"/>
      <w:r w:rsidRPr="001E598A">
        <w:rPr>
          <w:rFonts w:ascii="Times New Roman" w:hAnsi="Times New Roman"/>
          <w:i/>
          <w:iCs/>
        </w:rPr>
        <w:t xml:space="preserve">. &amp; Transp. </w:t>
      </w:r>
      <w:proofErr w:type="spellStart"/>
      <w:r w:rsidRPr="001E598A">
        <w:rPr>
          <w:rFonts w:ascii="Times New Roman" w:hAnsi="Times New Roman"/>
          <w:i/>
          <w:iCs/>
        </w:rPr>
        <w:t>Comm'n</w:t>
      </w:r>
      <w:proofErr w:type="spellEnd"/>
      <w:r w:rsidRPr="001E598A">
        <w:rPr>
          <w:rFonts w:ascii="Times New Roman" w:hAnsi="Times New Roman"/>
          <w:i/>
        </w:rPr>
        <w:t xml:space="preserve"> v. Puget Sound Energy</w:t>
      </w:r>
      <w:r w:rsidRPr="00D75AF3">
        <w:rPr>
          <w:rFonts w:ascii="Times New Roman" w:hAnsi="Times New Roman"/>
          <w:i/>
        </w:rPr>
        <w:t>,</w:t>
      </w:r>
      <w:r w:rsidR="007B1BB7" w:rsidRPr="00D75AF3">
        <w:rPr>
          <w:rFonts w:ascii="Times New Roman" w:hAnsi="Times New Roman"/>
          <w:i/>
        </w:rPr>
        <w:t xml:space="preserve"> Inc</w:t>
      </w:r>
      <w:r w:rsidR="007B1BB7">
        <w:rPr>
          <w:rFonts w:ascii="Times New Roman" w:hAnsi="Times New Roman"/>
        </w:rPr>
        <w:t>.,</w:t>
      </w:r>
      <w:r w:rsidRPr="001E598A">
        <w:rPr>
          <w:rFonts w:ascii="Times New Roman" w:hAnsi="Times New Roman"/>
        </w:rPr>
        <w:t xml:space="preserve"> Docket UE-090704, Order 11</w:t>
      </w:r>
      <w:r w:rsidR="001C4916">
        <w:rPr>
          <w:rFonts w:ascii="Times New Roman" w:hAnsi="Times New Roman"/>
        </w:rPr>
        <w:fldChar w:fldCharType="begin"/>
      </w:r>
      <w:r>
        <w:rPr>
          <w:rFonts w:ascii="Times New Roman" w:hAnsi="Times New Roman"/>
        </w:rPr>
        <w:instrText xml:space="preserve"> TA \s "Docket UE-090704, Order 11" </w:instrText>
      </w:r>
      <w:r w:rsidR="001C4916">
        <w:rPr>
          <w:rFonts w:ascii="Times New Roman" w:hAnsi="Times New Roman"/>
        </w:rPr>
        <w:fldChar w:fldCharType="end"/>
      </w:r>
      <w:r w:rsidRPr="001E598A">
        <w:rPr>
          <w:rFonts w:ascii="Times New Roman" w:hAnsi="Times New Roman"/>
        </w:rPr>
        <w:t xml:space="preserve"> ¶ 278 (April 2, 2010).</w:t>
      </w:r>
    </w:p>
  </w:footnote>
  <w:footnote w:id="49">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Elgin, </w:t>
      </w:r>
      <w:proofErr w:type="spellStart"/>
      <w:r w:rsidRPr="001E598A">
        <w:rPr>
          <w:rFonts w:ascii="Times New Roman" w:hAnsi="Times New Roman"/>
        </w:rPr>
        <w:t>Exh</w:t>
      </w:r>
      <w:proofErr w:type="spellEnd"/>
      <w:r w:rsidRPr="001E598A">
        <w:rPr>
          <w:rFonts w:ascii="Times New Roman" w:hAnsi="Times New Roman"/>
        </w:rPr>
        <w:t xml:space="preserve">. No. KLE-1T 16:14-15.  The equity ratio in Docket UE-090704 was 46% and the equity ratio in Docket UE-060266 was 44%.  </w:t>
      </w:r>
    </w:p>
  </w:footnote>
  <w:footnote w:id="50">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Elgin, </w:t>
      </w:r>
      <w:proofErr w:type="spellStart"/>
      <w:r w:rsidRPr="001E598A">
        <w:rPr>
          <w:rFonts w:ascii="Times New Roman" w:hAnsi="Times New Roman"/>
        </w:rPr>
        <w:t>Exh</w:t>
      </w:r>
      <w:proofErr w:type="spellEnd"/>
      <w:r w:rsidRPr="001E598A">
        <w:rPr>
          <w:rFonts w:ascii="Times New Roman" w:hAnsi="Times New Roman"/>
        </w:rPr>
        <w:t xml:space="preserve">. No. KLE-1T 15:19-20; Elgin, </w:t>
      </w:r>
      <w:proofErr w:type="spellStart"/>
      <w:r w:rsidRPr="001E598A">
        <w:rPr>
          <w:rFonts w:ascii="Times New Roman" w:hAnsi="Times New Roman"/>
        </w:rPr>
        <w:t>Exh</w:t>
      </w:r>
      <w:proofErr w:type="spellEnd"/>
      <w:r w:rsidRPr="001E598A">
        <w:rPr>
          <w:rFonts w:ascii="Times New Roman" w:hAnsi="Times New Roman"/>
        </w:rPr>
        <w:t>. No. KLE-1T 16:17-19.</w:t>
      </w:r>
    </w:p>
  </w:footnote>
  <w:footnote w:id="51">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Williams, </w:t>
      </w:r>
      <w:proofErr w:type="spellStart"/>
      <w:r w:rsidRPr="001E598A">
        <w:rPr>
          <w:rFonts w:ascii="Times New Roman" w:hAnsi="Times New Roman"/>
        </w:rPr>
        <w:t>Exh</w:t>
      </w:r>
      <w:proofErr w:type="spellEnd"/>
      <w:r w:rsidRPr="001E598A">
        <w:rPr>
          <w:rFonts w:ascii="Times New Roman" w:hAnsi="Times New Roman"/>
        </w:rPr>
        <w:t xml:space="preserve">. No. BNW-7T 11:20-23.  </w:t>
      </w:r>
    </w:p>
  </w:footnote>
  <w:footnote w:id="52">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206.</w:t>
      </w:r>
      <w:proofErr w:type="gramEnd"/>
    </w:p>
  </w:footnote>
  <w:footnote w:id="53">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iCs/>
        </w:rPr>
        <w:t>Re Puget Sound Energy</w:t>
      </w:r>
      <w:r w:rsidR="00503594">
        <w:rPr>
          <w:rFonts w:ascii="Times New Roman" w:hAnsi="Times New Roman"/>
          <w:i/>
          <w:iCs/>
        </w:rPr>
        <w:t>, Inc.</w:t>
      </w:r>
      <w:r w:rsidRPr="001E598A">
        <w:rPr>
          <w:rFonts w:ascii="Times New Roman" w:hAnsi="Times New Roman"/>
        </w:rPr>
        <w:t>, Docket UE-090004, Securities Issuance Filing (Jan. 26, 2009)</w:t>
      </w:r>
      <w:r w:rsidR="001C4916">
        <w:rPr>
          <w:rFonts w:ascii="Times New Roman" w:hAnsi="Times New Roman"/>
        </w:rPr>
        <w:fldChar w:fldCharType="begin"/>
      </w:r>
      <w:r w:rsidR="00AD6037">
        <w:instrText xml:space="preserve"> TA \l "</w:instrText>
      </w:r>
      <w:r w:rsidR="00AD6037" w:rsidRPr="00D161BE">
        <w:rPr>
          <w:rFonts w:ascii="Times New Roman" w:hAnsi="Times New Roman"/>
          <w:i/>
          <w:iCs/>
        </w:rPr>
        <w:instrText>Puget Sound Energy</w:instrText>
      </w:r>
      <w:r w:rsidR="00503594">
        <w:rPr>
          <w:rFonts w:ascii="Times New Roman" w:hAnsi="Times New Roman"/>
          <w:i/>
          <w:iCs/>
        </w:rPr>
        <w:instrText>, Inc.</w:instrText>
      </w:r>
      <w:r w:rsidR="00AD6037" w:rsidRPr="00D161BE">
        <w:rPr>
          <w:rFonts w:ascii="Times New Roman" w:hAnsi="Times New Roman"/>
        </w:rPr>
        <w:instrText>, Docket UE-090004, Securities Issuance Filing (Jan. 26, 2009)</w:instrText>
      </w:r>
      <w:r w:rsidR="00AD6037">
        <w:instrText xml:space="preserve">" \s "Docket UE-090004, Securities Issuance Filing (Jan. 26, 2009)" \c 8 </w:instrText>
      </w:r>
      <w:r w:rsidR="001C4916">
        <w:rPr>
          <w:rFonts w:ascii="Times New Roman" w:hAnsi="Times New Roman"/>
        </w:rPr>
        <w:fldChar w:fldCharType="end"/>
      </w:r>
      <w:r w:rsidRPr="001E598A">
        <w:rPr>
          <w:rFonts w:ascii="Times New Roman" w:hAnsi="Times New Roman"/>
        </w:rPr>
        <w:t>.</w:t>
      </w:r>
      <w:r w:rsidR="00FA1AFA">
        <w:rPr>
          <w:rFonts w:ascii="Times New Roman" w:hAnsi="Times New Roman"/>
        </w:rPr>
        <w:t xml:space="preserve">  </w:t>
      </w:r>
      <w:r w:rsidR="00FA1AFA" w:rsidRPr="001E598A">
        <w:rPr>
          <w:rFonts w:ascii="Times New Roman" w:hAnsi="Times New Roman"/>
        </w:rPr>
        <w:t xml:space="preserve">The Company requests that the Commission take official notice of this document pursuant to </w:t>
      </w:r>
      <w:r w:rsidR="0043076D">
        <w:rPr>
          <w:rFonts w:ascii="Times New Roman" w:hAnsi="Times New Roman"/>
        </w:rPr>
        <w:fldChar w:fldCharType="begin"/>
      </w:r>
      <w:r w:rsidR="0043076D">
        <w:instrText xml:space="preserve"> TA \l "</w:instrText>
      </w:r>
      <w:r w:rsidR="0043076D" w:rsidRPr="005C054A">
        <w:rPr>
          <w:rFonts w:ascii="Times New Roman" w:hAnsi="Times New Roman"/>
        </w:rPr>
        <w:instrText>WAC 480-07-495</w:instrText>
      </w:r>
      <w:r w:rsidR="0043076D">
        <w:instrText xml:space="preserve">" \s "WAC 480-07-495" \c 4 </w:instrText>
      </w:r>
      <w:r w:rsidR="0043076D">
        <w:rPr>
          <w:rFonts w:ascii="Times New Roman" w:hAnsi="Times New Roman"/>
        </w:rPr>
        <w:fldChar w:fldCharType="end"/>
      </w:r>
      <w:r w:rsidR="00FA1AFA" w:rsidRPr="001E598A">
        <w:rPr>
          <w:rFonts w:ascii="Times New Roman" w:hAnsi="Times New Roman"/>
        </w:rPr>
        <w:t>WAC 480-07-495</w:t>
      </w:r>
    </w:p>
  </w:footnote>
  <w:footnote w:id="54">
    <w:p w:rsidR="002A1B0D" w:rsidRPr="001E598A" w:rsidRDefault="002A1B0D" w:rsidP="00AD6037">
      <w:pPr>
        <w:pStyle w:val="FootnoteText"/>
        <w:tabs>
          <w:tab w:val="left" w:pos="3345"/>
        </w:tabs>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Williams,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BNW-19.</w:t>
      </w:r>
      <w:proofErr w:type="gramEnd"/>
      <w:r w:rsidR="00AD6037">
        <w:rPr>
          <w:rFonts w:ascii="Times New Roman" w:hAnsi="Times New Roman"/>
        </w:rPr>
        <w:tab/>
      </w:r>
    </w:p>
  </w:footnote>
  <w:footnote w:id="55">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203.</w:t>
      </w:r>
      <w:proofErr w:type="gramEnd"/>
    </w:p>
  </w:footnote>
  <w:footnote w:id="56">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30; Initial Brief on Behalf of Commission Staff ¶ 164.</w:t>
      </w:r>
      <w:proofErr w:type="gramEnd"/>
    </w:p>
  </w:footnote>
  <w:footnote w:id="57">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Williams, </w:t>
      </w:r>
      <w:proofErr w:type="spellStart"/>
      <w:r w:rsidRPr="001E598A">
        <w:rPr>
          <w:rFonts w:ascii="Times New Roman" w:hAnsi="Times New Roman"/>
        </w:rPr>
        <w:t>Exh</w:t>
      </w:r>
      <w:proofErr w:type="spellEnd"/>
      <w:r w:rsidRPr="001E598A">
        <w:rPr>
          <w:rFonts w:ascii="Times New Roman" w:hAnsi="Times New Roman"/>
        </w:rPr>
        <w:t>. No. BNW-1T 4:19-22; 5:12-17.</w:t>
      </w:r>
    </w:p>
  </w:footnote>
  <w:footnote w:id="58">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Williams, </w:t>
      </w:r>
      <w:proofErr w:type="spellStart"/>
      <w:r w:rsidRPr="001E598A">
        <w:rPr>
          <w:rFonts w:ascii="Times New Roman" w:hAnsi="Times New Roman"/>
        </w:rPr>
        <w:t>Exh</w:t>
      </w:r>
      <w:proofErr w:type="spellEnd"/>
      <w:r w:rsidRPr="001E598A">
        <w:rPr>
          <w:rFonts w:ascii="Times New Roman" w:hAnsi="Times New Roman"/>
        </w:rPr>
        <w:t>. No. BWN-1T 4:19-22.</w:t>
      </w:r>
    </w:p>
  </w:footnote>
  <w:footnote w:id="59">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w:t>
      </w:r>
      <w:proofErr w:type="spellStart"/>
      <w:r w:rsidRPr="001E598A">
        <w:rPr>
          <w:rFonts w:ascii="Times New Roman" w:hAnsi="Times New Roman"/>
        </w:rPr>
        <w:t>Exh</w:t>
      </w:r>
      <w:proofErr w:type="spellEnd"/>
      <w:r w:rsidRPr="001E598A">
        <w:rPr>
          <w:rFonts w:ascii="Times New Roman" w:hAnsi="Times New Roman"/>
        </w:rPr>
        <w:t>. No. MPG-25 9:8-16.</w:t>
      </w:r>
    </w:p>
  </w:footnote>
  <w:footnote w:id="60">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w:t>
      </w:r>
      <w:proofErr w:type="spellStart"/>
      <w:r w:rsidRPr="001E598A">
        <w:rPr>
          <w:rFonts w:ascii="Times New Roman" w:hAnsi="Times New Roman"/>
        </w:rPr>
        <w:t>Exh</w:t>
      </w:r>
      <w:proofErr w:type="spellEnd"/>
      <w:r w:rsidRPr="001E598A">
        <w:rPr>
          <w:rFonts w:ascii="Times New Roman" w:hAnsi="Times New Roman"/>
        </w:rPr>
        <w:t>. No. MPG-26 4:18-25.</w:t>
      </w:r>
    </w:p>
  </w:footnote>
  <w:footnote w:id="61">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w:t>
      </w:r>
      <w:proofErr w:type="spellStart"/>
      <w:r w:rsidRPr="001E598A">
        <w:rPr>
          <w:rFonts w:ascii="Times New Roman" w:hAnsi="Times New Roman"/>
        </w:rPr>
        <w:t>Exh</w:t>
      </w:r>
      <w:proofErr w:type="spellEnd"/>
      <w:r w:rsidRPr="001E598A">
        <w:rPr>
          <w:rFonts w:ascii="Times New Roman" w:hAnsi="Times New Roman"/>
        </w:rPr>
        <w:t>. No. MPG-25 9:8-16.</w:t>
      </w:r>
    </w:p>
  </w:footnote>
  <w:footnote w:id="62">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Dalley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RBD-6T 1.0.</w:t>
      </w:r>
      <w:proofErr w:type="gramEnd"/>
    </w:p>
  </w:footnote>
  <w:footnote w:id="63">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165.</w:t>
      </w:r>
      <w:proofErr w:type="gramEnd"/>
    </w:p>
  </w:footnote>
  <w:footnote w:id="64">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iCs/>
        </w:rPr>
        <w:t xml:space="preserve">Wash. </w:t>
      </w:r>
      <w:proofErr w:type="spellStart"/>
      <w:r w:rsidRPr="001E598A">
        <w:rPr>
          <w:rFonts w:ascii="Times New Roman" w:hAnsi="Times New Roman"/>
          <w:i/>
          <w:iCs/>
        </w:rPr>
        <w:t>Utils</w:t>
      </w:r>
      <w:proofErr w:type="spellEnd"/>
      <w:r w:rsidRPr="001E598A">
        <w:rPr>
          <w:rFonts w:ascii="Times New Roman" w:hAnsi="Times New Roman"/>
          <w:i/>
          <w:iCs/>
        </w:rPr>
        <w:t>.</w:t>
      </w:r>
      <w:proofErr w:type="gramEnd"/>
      <w:r w:rsidRPr="001E598A">
        <w:rPr>
          <w:rFonts w:ascii="Times New Roman" w:hAnsi="Times New Roman"/>
          <w:i/>
          <w:iCs/>
        </w:rPr>
        <w:t xml:space="preserve"> </w:t>
      </w:r>
      <w:proofErr w:type="gramStart"/>
      <w:r w:rsidRPr="001E598A">
        <w:rPr>
          <w:rFonts w:ascii="Times New Roman" w:hAnsi="Times New Roman"/>
          <w:i/>
          <w:iCs/>
        </w:rPr>
        <w:t xml:space="preserve">&amp; Transp. </w:t>
      </w:r>
      <w:proofErr w:type="spellStart"/>
      <w:r w:rsidRPr="001E598A">
        <w:rPr>
          <w:rFonts w:ascii="Times New Roman" w:hAnsi="Times New Roman"/>
          <w:i/>
          <w:iCs/>
        </w:rPr>
        <w:t>Comm'n</w:t>
      </w:r>
      <w:proofErr w:type="spellEnd"/>
      <w:r w:rsidRPr="001E598A">
        <w:rPr>
          <w:rFonts w:ascii="Times New Roman" w:hAnsi="Times New Roman"/>
          <w:i/>
        </w:rPr>
        <w:t xml:space="preserve"> v. </w:t>
      </w:r>
      <w:proofErr w:type="spellStart"/>
      <w:r w:rsidRPr="001E598A">
        <w:rPr>
          <w:rFonts w:ascii="Times New Roman" w:hAnsi="Times New Roman"/>
          <w:i/>
        </w:rPr>
        <w:t>Avista</w:t>
      </w:r>
      <w:proofErr w:type="spellEnd"/>
      <w:r w:rsidRPr="001E598A">
        <w:rPr>
          <w:rFonts w:ascii="Times New Roman" w:hAnsi="Times New Roman"/>
          <w:i/>
        </w:rPr>
        <w:t xml:space="preserve"> Corp. </w:t>
      </w:r>
      <w:r w:rsidRPr="001E598A">
        <w:rPr>
          <w:rFonts w:ascii="Times New Roman" w:hAnsi="Times New Roman"/>
        </w:rPr>
        <w:t>Docket UE-100467, Order 07</w:t>
      </w:r>
      <w:r w:rsidR="001C4916">
        <w:rPr>
          <w:rFonts w:ascii="Times New Roman" w:hAnsi="Times New Roman"/>
        </w:rPr>
        <w:fldChar w:fldCharType="begin"/>
      </w:r>
      <w:r>
        <w:rPr>
          <w:rFonts w:ascii="Times New Roman" w:hAnsi="Times New Roman"/>
        </w:rPr>
        <w:instrText xml:space="preserve"> TA \s "Docket UE-100467, Order 07" </w:instrText>
      </w:r>
      <w:r w:rsidR="001C4916">
        <w:rPr>
          <w:rFonts w:ascii="Times New Roman" w:hAnsi="Times New Roman"/>
        </w:rPr>
        <w:fldChar w:fldCharType="end"/>
      </w:r>
      <w:r w:rsidRPr="001E598A">
        <w:rPr>
          <w:rFonts w:ascii="Times New Roman" w:hAnsi="Times New Roman"/>
        </w:rPr>
        <w:t xml:space="preserve"> at n.37 (Nov. 19, 2010).</w:t>
      </w:r>
      <w:proofErr w:type="gramEnd"/>
      <w:r w:rsidRPr="001E598A">
        <w:rPr>
          <w:rFonts w:ascii="Times New Roman" w:hAnsi="Times New Roman"/>
        </w:rPr>
        <w:t xml:space="preserve">  </w:t>
      </w:r>
    </w:p>
  </w:footnote>
  <w:footnote w:id="65">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168.</w:t>
      </w:r>
      <w:proofErr w:type="gramEnd"/>
    </w:p>
  </w:footnote>
  <w:footnote w:id="66">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Williams, TR. 279:12-25.</w:t>
      </w:r>
    </w:p>
  </w:footnote>
  <w:footnote w:id="67">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iCs/>
        </w:rPr>
        <w:t xml:space="preserve">Wash. </w:t>
      </w:r>
      <w:proofErr w:type="spellStart"/>
      <w:r w:rsidRPr="001E598A">
        <w:rPr>
          <w:rFonts w:ascii="Times New Roman" w:hAnsi="Times New Roman"/>
          <w:i/>
          <w:iCs/>
        </w:rPr>
        <w:t>Utils</w:t>
      </w:r>
      <w:proofErr w:type="spellEnd"/>
      <w:r w:rsidRPr="001E598A">
        <w:rPr>
          <w:rFonts w:ascii="Times New Roman" w:hAnsi="Times New Roman"/>
          <w:i/>
          <w:iCs/>
        </w:rPr>
        <w:t>.</w:t>
      </w:r>
      <w:proofErr w:type="gramEnd"/>
      <w:r w:rsidRPr="001E598A">
        <w:rPr>
          <w:rFonts w:ascii="Times New Roman" w:hAnsi="Times New Roman"/>
          <w:i/>
          <w:iCs/>
        </w:rPr>
        <w:t xml:space="preserve"> &amp; Transp. </w:t>
      </w:r>
      <w:proofErr w:type="spellStart"/>
      <w:r w:rsidRPr="001E598A">
        <w:rPr>
          <w:rFonts w:ascii="Times New Roman" w:hAnsi="Times New Roman"/>
          <w:i/>
          <w:iCs/>
        </w:rPr>
        <w:t>Comm'n</w:t>
      </w:r>
      <w:proofErr w:type="spellEnd"/>
      <w:r w:rsidRPr="001E598A">
        <w:rPr>
          <w:rFonts w:ascii="Times New Roman" w:hAnsi="Times New Roman"/>
          <w:i/>
        </w:rPr>
        <w:t xml:space="preserve"> v. PacifiCorp</w:t>
      </w:r>
      <w:r w:rsidRPr="001E598A">
        <w:rPr>
          <w:rFonts w:ascii="Times New Roman" w:hAnsi="Times New Roman"/>
        </w:rPr>
        <w:t>, Docket UE-050684, Order 04 ¶ 224 (Apr. 17, 2006)</w:t>
      </w:r>
      <w:r w:rsidR="001C4916">
        <w:rPr>
          <w:rFonts w:ascii="Times New Roman" w:hAnsi="Times New Roman"/>
        </w:rPr>
        <w:fldChar w:fldCharType="begin"/>
      </w:r>
      <w:r w:rsidR="00AD6037">
        <w:instrText xml:space="preserve"> TA \l "</w:instrText>
      </w:r>
      <w:r w:rsidR="00AD6037" w:rsidRPr="00D161BE">
        <w:rPr>
          <w:rFonts w:ascii="Times New Roman" w:hAnsi="Times New Roman"/>
          <w:i/>
          <w:iCs/>
        </w:rPr>
        <w:instrText>Wash. Utils. &amp; Transp. Comm'n</w:instrText>
      </w:r>
      <w:r w:rsidR="00AD6037" w:rsidRPr="00D161BE">
        <w:rPr>
          <w:rFonts w:ascii="Times New Roman" w:hAnsi="Times New Roman"/>
          <w:i/>
        </w:rPr>
        <w:instrText xml:space="preserve"> v. PacifiCorp</w:instrText>
      </w:r>
      <w:r w:rsidR="00AD6037" w:rsidRPr="00D161BE">
        <w:rPr>
          <w:rFonts w:ascii="Times New Roman" w:hAnsi="Times New Roman"/>
        </w:rPr>
        <w:instrText>, Docket UE-050684, Order 04 (Apr. 17, 2006)</w:instrText>
      </w:r>
      <w:r w:rsidR="00AD6037">
        <w:instrText xml:space="preserve">" \s "Docket UE-050684, Order 04" \c 8 </w:instrText>
      </w:r>
      <w:r w:rsidR="001C4916">
        <w:rPr>
          <w:rFonts w:ascii="Times New Roman" w:hAnsi="Times New Roman"/>
        </w:rPr>
        <w:fldChar w:fldCharType="end"/>
      </w:r>
      <w:r w:rsidRPr="001E598A">
        <w:rPr>
          <w:rFonts w:ascii="Times New Roman" w:hAnsi="Times New Roman"/>
        </w:rPr>
        <w:t xml:space="preserve"> (“Public Counsel’s recommended 3 percent share for short-term debt is consistent with the Company’s recent capitalization.”).</w:t>
      </w:r>
    </w:p>
  </w:footnote>
  <w:footnote w:id="68">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172.</w:t>
      </w:r>
      <w:proofErr w:type="gramEnd"/>
    </w:p>
  </w:footnote>
  <w:footnote w:id="69">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Williams, </w:t>
      </w:r>
      <w:proofErr w:type="spellStart"/>
      <w:r w:rsidRPr="001E598A">
        <w:rPr>
          <w:rFonts w:ascii="Times New Roman" w:hAnsi="Times New Roman"/>
        </w:rPr>
        <w:t>Exh</w:t>
      </w:r>
      <w:proofErr w:type="spellEnd"/>
      <w:r w:rsidRPr="001E598A">
        <w:rPr>
          <w:rFonts w:ascii="Times New Roman" w:hAnsi="Times New Roman"/>
        </w:rPr>
        <w:t>. No. BNW-7T 7:19-8:5.</w:t>
      </w:r>
    </w:p>
  </w:footnote>
  <w:footnote w:id="70">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33.</w:t>
      </w:r>
      <w:proofErr w:type="gramEnd"/>
    </w:p>
  </w:footnote>
  <w:footnote w:id="71">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Williams, </w:t>
      </w:r>
      <w:proofErr w:type="spellStart"/>
      <w:r w:rsidRPr="001E598A">
        <w:rPr>
          <w:rFonts w:ascii="Times New Roman" w:hAnsi="Times New Roman"/>
        </w:rPr>
        <w:t>Exh</w:t>
      </w:r>
      <w:proofErr w:type="spellEnd"/>
      <w:r w:rsidRPr="001E598A">
        <w:rPr>
          <w:rFonts w:ascii="Times New Roman" w:hAnsi="Times New Roman"/>
        </w:rPr>
        <w:t>. No. BNW-7T 22:2-13.</w:t>
      </w:r>
    </w:p>
  </w:footnote>
  <w:footnote w:id="72">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TR. 462:15-21.</w:t>
      </w:r>
    </w:p>
  </w:footnote>
  <w:footnote w:id="73">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TR. 463:3-7.</w:t>
      </w:r>
    </w:p>
  </w:footnote>
  <w:footnote w:id="74">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Gorman </w:t>
      </w:r>
      <w:proofErr w:type="spellStart"/>
      <w:r w:rsidRPr="001E598A">
        <w:rPr>
          <w:rFonts w:ascii="Times New Roman" w:hAnsi="Times New Roman"/>
        </w:rPr>
        <w:t>Exh</w:t>
      </w:r>
      <w:proofErr w:type="spellEnd"/>
      <w:r w:rsidRPr="001E598A">
        <w:rPr>
          <w:rFonts w:ascii="Times New Roman" w:hAnsi="Times New Roman"/>
        </w:rPr>
        <w:t>. No. MPG-1T 40:20-41:2.</w:t>
      </w:r>
    </w:p>
  </w:footnote>
  <w:footnote w:id="75">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157.</w:t>
      </w:r>
      <w:proofErr w:type="gramEnd"/>
      <w:r w:rsidRPr="001E598A">
        <w:rPr>
          <w:rFonts w:ascii="Times New Roman" w:hAnsi="Times New Roman"/>
        </w:rPr>
        <w:t xml:space="preserve">  </w:t>
      </w:r>
    </w:p>
  </w:footnote>
  <w:footnote w:id="76">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Williams, </w:t>
      </w:r>
      <w:proofErr w:type="spellStart"/>
      <w:r w:rsidRPr="001E598A">
        <w:rPr>
          <w:rFonts w:ascii="Times New Roman" w:hAnsi="Times New Roman"/>
        </w:rPr>
        <w:t>Exh</w:t>
      </w:r>
      <w:proofErr w:type="spellEnd"/>
      <w:r w:rsidRPr="001E598A">
        <w:rPr>
          <w:rFonts w:ascii="Times New Roman" w:hAnsi="Times New Roman"/>
        </w:rPr>
        <w:t xml:space="preserve">. No. BNW-7T 13:9-21; Elgin, </w:t>
      </w:r>
      <w:proofErr w:type="spellStart"/>
      <w:r w:rsidRPr="001E598A">
        <w:rPr>
          <w:rFonts w:ascii="Times New Roman" w:hAnsi="Times New Roman"/>
        </w:rPr>
        <w:t>Exh</w:t>
      </w:r>
      <w:proofErr w:type="spellEnd"/>
      <w:r w:rsidRPr="001E598A">
        <w:rPr>
          <w:rFonts w:ascii="Times New Roman" w:hAnsi="Times New Roman"/>
        </w:rPr>
        <w:t>. No. KLE-5: 17.</w:t>
      </w:r>
    </w:p>
  </w:footnote>
  <w:footnote w:id="77">
    <w:p w:rsidR="002A1B0D" w:rsidRPr="001E598A" w:rsidRDefault="002A1B0D" w:rsidP="00BC459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Elgin, </w:t>
      </w:r>
      <w:proofErr w:type="spellStart"/>
      <w:r w:rsidRPr="001E598A">
        <w:rPr>
          <w:rFonts w:ascii="Times New Roman" w:hAnsi="Times New Roman"/>
        </w:rPr>
        <w:t>Exh</w:t>
      </w:r>
      <w:proofErr w:type="spellEnd"/>
      <w:r w:rsidRPr="001E598A">
        <w:rPr>
          <w:rFonts w:ascii="Times New Roman" w:hAnsi="Times New Roman"/>
        </w:rPr>
        <w:t>. No. KLE-1T 17:21-18:4; Elgin, KLE-4 12-13; Elgin, TR. 715:12-20.</w:t>
      </w:r>
    </w:p>
  </w:footnote>
  <w:footnote w:id="78">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56.</w:t>
      </w:r>
      <w:proofErr w:type="gramEnd"/>
    </w:p>
  </w:footnote>
  <w:footnote w:id="7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 xml:space="preserve">See Wash. </w:t>
      </w:r>
      <w:proofErr w:type="spellStart"/>
      <w:r w:rsidRPr="001E598A">
        <w:rPr>
          <w:rFonts w:ascii="Times New Roman" w:hAnsi="Times New Roman"/>
          <w:i/>
        </w:rPr>
        <w:t>Utils</w:t>
      </w:r>
      <w:proofErr w:type="spellEnd"/>
      <w:r w:rsidRPr="001E598A">
        <w:rPr>
          <w:rFonts w:ascii="Times New Roman" w:hAnsi="Times New Roman"/>
          <w:i/>
        </w:rPr>
        <w:t xml:space="preserve">. &amp; Transp. </w:t>
      </w:r>
      <w:proofErr w:type="spellStart"/>
      <w:r w:rsidRPr="001E598A">
        <w:rPr>
          <w:rFonts w:ascii="Times New Roman" w:hAnsi="Times New Roman"/>
          <w:i/>
        </w:rPr>
        <w:t>Comm’n</w:t>
      </w:r>
      <w:proofErr w:type="spellEnd"/>
      <w:r w:rsidRPr="001E598A">
        <w:rPr>
          <w:rFonts w:ascii="Times New Roman" w:hAnsi="Times New Roman"/>
          <w:i/>
        </w:rPr>
        <w:t xml:space="preserve"> v. PacifiCorp</w:t>
      </w:r>
      <w:r w:rsidRPr="001E598A">
        <w:rPr>
          <w:rFonts w:ascii="Times New Roman" w:hAnsi="Times New Roman"/>
        </w:rPr>
        <w:t>, Docket UE-090205 Order 09, Stipulation ¶ 19 (Dec. 16, 2009)</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Wash. Utils. &amp; Transp. Comm’n v. PacifiCorp</w:instrText>
      </w:r>
      <w:r w:rsidR="00AD6037" w:rsidRPr="00D161BE">
        <w:rPr>
          <w:rFonts w:ascii="Times New Roman" w:hAnsi="Times New Roman"/>
        </w:rPr>
        <w:instrText>, Docket UE-090205 Order 09  (Dec. 16, 2009)</w:instrText>
      </w:r>
      <w:r w:rsidR="00AD6037">
        <w:instrText xml:space="preserve">" \s "Docket UE-090205 Order 09" \c 8 </w:instrText>
      </w:r>
      <w:r w:rsidR="001C4916">
        <w:rPr>
          <w:rFonts w:ascii="Times New Roman" w:hAnsi="Times New Roman"/>
        </w:rPr>
        <w:fldChar w:fldCharType="end"/>
      </w:r>
      <w:r w:rsidRPr="001E598A">
        <w:rPr>
          <w:rFonts w:ascii="Times New Roman" w:hAnsi="Times New Roman"/>
        </w:rPr>
        <w:t>.</w:t>
      </w:r>
    </w:p>
  </w:footnote>
  <w:footnote w:id="80">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20.</w:t>
      </w:r>
      <w:proofErr w:type="gramEnd"/>
    </w:p>
  </w:footnote>
  <w:footnote w:id="81">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F30FC5">
        <w:rPr>
          <w:rFonts w:ascii="Times New Roman" w:hAnsi="Times New Roman"/>
          <w:i/>
        </w:rPr>
        <w:t xml:space="preserve">Id. </w:t>
      </w:r>
      <w:r w:rsidRPr="001E598A">
        <w:rPr>
          <w:rFonts w:ascii="Times New Roman" w:hAnsi="Times New Roman"/>
        </w:rPr>
        <w:t>¶ 12.</w:t>
      </w:r>
      <w:proofErr w:type="gramEnd"/>
    </w:p>
  </w:footnote>
  <w:footnote w:id="82">
    <w:p w:rsidR="002A1B0D" w:rsidRPr="001E598A" w:rsidRDefault="002A1B0D" w:rsidP="00656AD8">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Initial Brief on Behalf of Commission Staff ¶¶ 24-25. </w:t>
      </w:r>
    </w:p>
  </w:footnote>
  <w:footnote w:id="83">
    <w:p w:rsidR="002A1B0D" w:rsidRPr="001E598A" w:rsidRDefault="002A1B0D" w:rsidP="00C603D9">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57.</w:t>
      </w:r>
      <w:proofErr w:type="gramEnd"/>
    </w:p>
  </w:footnote>
  <w:footnote w:id="84">
    <w:p w:rsidR="002A1B0D" w:rsidRPr="001E598A" w:rsidRDefault="002A1B0D" w:rsidP="00656AD8">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Falkenberg</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RJF-1CT 63:14-15; Post-Hearing Brief on Behalf of ICNU ¶ 34.</w:t>
      </w:r>
    </w:p>
  </w:footnote>
  <w:footnote w:id="85">
    <w:p w:rsidR="002A1B0D" w:rsidRPr="001E598A" w:rsidRDefault="002A1B0D" w:rsidP="00656AD8">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Falkenberg</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 xml:space="preserve">RJF-1CT 61:19-64:16; </w:t>
      </w:r>
      <w:proofErr w:type="spellStart"/>
      <w:r w:rsidRPr="001E598A">
        <w:rPr>
          <w:rFonts w:ascii="Times New Roman" w:hAnsi="Times New Roman"/>
        </w:rPr>
        <w:t>Exh</w:t>
      </w:r>
      <w:proofErr w:type="spellEnd"/>
      <w:r w:rsidRPr="001E598A">
        <w:rPr>
          <w:rFonts w:ascii="Times New Roman" w:hAnsi="Times New Roman"/>
        </w:rPr>
        <w:t>.</w:t>
      </w:r>
      <w:proofErr w:type="gramEnd"/>
      <w:r w:rsidRPr="001E598A">
        <w:rPr>
          <w:rFonts w:ascii="Times New Roman" w:hAnsi="Times New Roman"/>
        </w:rPr>
        <w:t xml:space="preserve"> No. RJF-8CT 5:4-7:8.</w:t>
      </w:r>
    </w:p>
  </w:footnote>
  <w:footnote w:id="86">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32.</w:t>
      </w:r>
      <w:proofErr w:type="gramEnd"/>
    </w:p>
  </w:footnote>
  <w:footnote w:id="87">
    <w:p w:rsidR="002A1B0D" w:rsidRPr="001E598A" w:rsidRDefault="002A1B0D" w:rsidP="000D5FB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rPr>
        <w:t xml:space="preserve">Wash. </w:t>
      </w:r>
      <w:proofErr w:type="spellStart"/>
      <w:r w:rsidRPr="001E598A">
        <w:rPr>
          <w:rFonts w:ascii="Times New Roman" w:hAnsi="Times New Roman"/>
          <w:i/>
        </w:rPr>
        <w:t>Utils</w:t>
      </w:r>
      <w:proofErr w:type="spellEnd"/>
      <w:r w:rsidRPr="001E598A">
        <w:rPr>
          <w:rFonts w:ascii="Times New Roman" w:hAnsi="Times New Roman"/>
          <w:i/>
        </w:rPr>
        <w:t>.</w:t>
      </w:r>
      <w:proofErr w:type="gramEnd"/>
      <w:r w:rsidRPr="001E598A">
        <w:rPr>
          <w:rFonts w:ascii="Times New Roman" w:hAnsi="Times New Roman"/>
          <w:i/>
        </w:rPr>
        <w:t xml:space="preserve"> &amp; Transp. </w:t>
      </w:r>
      <w:proofErr w:type="spellStart"/>
      <w:r w:rsidRPr="001E598A">
        <w:rPr>
          <w:rFonts w:ascii="Times New Roman" w:hAnsi="Times New Roman"/>
          <w:i/>
        </w:rPr>
        <w:t>Comm’n</w:t>
      </w:r>
      <w:proofErr w:type="spellEnd"/>
      <w:r w:rsidRPr="001E598A">
        <w:rPr>
          <w:rFonts w:ascii="Times New Roman" w:hAnsi="Times New Roman"/>
          <w:i/>
        </w:rPr>
        <w:t xml:space="preserve"> v. </w:t>
      </w:r>
      <w:proofErr w:type="spellStart"/>
      <w:r w:rsidRPr="001E598A">
        <w:rPr>
          <w:rFonts w:ascii="Times New Roman" w:hAnsi="Times New Roman"/>
          <w:i/>
        </w:rPr>
        <w:t>Avista</w:t>
      </w:r>
      <w:proofErr w:type="spellEnd"/>
      <w:r w:rsidRPr="001E598A">
        <w:rPr>
          <w:rFonts w:ascii="Times New Roman" w:hAnsi="Times New Roman"/>
          <w:i/>
        </w:rPr>
        <w:t xml:space="preserve"> Corp.</w:t>
      </w:r>
      <w:r w:rsidRPr="001E598A">
        <w:rPr>
          <w:rFonts w:ascii="Times New Roman" w:hAnsi="Times New Roman"/>
        </w:rPr>
        <w:t>, Docket UE-080416, Order 08 ¶ 78 (Dec. 29, 2008)</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Wash. Utils. &amp; Transp. Comm’n v. Avista Corp.</w:instrText>
      </w:r>
      <w:r w:rsidR="00AD6037" w:rsidRPr="00D161BE">
        <w:rPr>
          <w:rFonts w:ascii="Times New Roman" w:hAnsi="Times New Roman"/>
        </w:rPr>
        <w:instrText>, Docket UE-080416, Order 08 (Dec. 29, 2008)</w:instrText>
      </w:r>
      <w:r w:rsidR="00AD6037">
        <w:instrText xml:space="preserve">" \s "Docket UE-080416, Order 08" \c 8 </w:instrText>
      </w:r>
      <w:r w:rsidR="001C4916">
        <w:rPr>
          <w:rFonts w:ascii="Times New Roman" w:hAnsi="Times New Roman"/>
        </w:rPr>
        <w:fldChar w:fldCharType="end"/>
      </w:r>
      <w:r w:rsidRPr="001E598A">
        <w:rPr>
          <w:rFonts w:ascii="Times New Roman" w:hAnsi="Times New Roman"/>
        </w:rPr>
        <w:t xml:space="preserve"> (emphasis in original).</w:t>
      </w:r>
    </w:p>
  </w:footnote>
  <w:footnote w:id="88">
    <w:p w:rsidR="002A1B0D" w:rsidRPr="001E598A" w:rsidRDefault="002A1B0D" w:rsidP="00E1726C">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33.</w:t>
      </w:r>
      <w:proofErr w:type="gramEnd"/>
    </w:p>
  </w:footnote>
  <w:footnote w:id="8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rPr>
        <w:t xml:space="preserve">Wash. </w:t>
      </w:r>
      <w:proofErr w:type="spellStart"/>
      <w:r w:rsidRPr="001E598A">
        <w:rPr>
          <w:rFonts w:ascii="Times New Roman" w:hAnsi="Times New Roman"/>
          <w:i/>
        </w:rPr>
        <w:t>Utils</w:t>
      </w:r>
      <w:proofErr w:type="spellEnd"/>
      <w:r w:rsidRPr="001E598A">
        <w:rPr>
          <w:rFonts w:ascii="Times New Roman" w:hAnsi="Times New Roman"/>
          <w:i/>
        </w:rPr>
        <w:t>.</w:t>
      </w:r>
      <w:proofErr w:type="gramEnd"/>
      <w:r w:rsidRPr="001E598A">
        <w:rPr>
          <w:rFonts w:ascii="Times New Roman" w:hAnsi="Times New Roman"/>
          <w:i/>
        </w:rPr>
        <w:t xml:space="preserve"> &amp; Transp. </w:t>
      </w:r>
      <w:proofErr w:type="spellStart"/>
      <w:r w:rsidRPr="001E598A">
        <w:rPr>
          <w:rFonts w:ascii="Times New Roman" w:hAnsi="Times New Roman"/>
          <w:i/>
        </w:rPr>
        <w:t>Comm’n</w:t>
      </w:r>
      <w:proofErr w:type="spellEnd"/>
      <w:r w:rsidRPr="001E598A">
        <w:rPr>
          <w:rFonts w:ascii="Times New Roman" w:hAnsi="Times New Roman"/>
          <w:i/>
        </w:rPr>
        <w:t xml:space="preserve"> v. PacifiCorp</w:t>
      </w:r>
      <w:r w:rsidRPr="001E598A">
        <w:rPr>
          <w:rFonts w:ascii="Times New Roman" w:hAnsi="Times New Roman"/>
        </w:rPr>
        <w:t>, Docket UE-090205 Order 09</w:t>
      </w:r>
      <w:r w:rsidR="001C4916">
        <w:rPr>
          <w:rFonts w:ascii="Times New Roman" w:hAnsi="Times New Roman"/>
        </w:rPr>
        <w:fldChar w:fldCharType="begin"/>
      </w:r>
      <w:r w:rsidR="00AD6037">
        <w:rPr>
          <w:rFonts w:ascii="Times New Roman" w:hAnsi="Times New Roman"/>
        </w:rPr>
        <w:instrText xml:space="preserve"> TA \s "Docket UE-090205 Order 09" </w:instrText>
      </w:r>
      <w:r w:rsidR="001C4916">
        <w:rPr>
          <w:rFonts w:ascii="Times New Roman" w:hAnsi="Times New Roman"/>
        </w:rPr>
        <w:fldChar w:fldCharType="end"/>
      </w:r>
      <w:r w:rsidRPr="001E598A">
        <w:rPr>
          <w:rFonts w:ascii="Times New Roman" w:hAnsi="Times New Roman"/>
        </w:rPr>
        <w:t>, Stipulation ¶ 22 (Dec. 16, 2009).</w:t>
      </w:r>
    </w:p>
  </w:footnote>
  <w:footnote w:id="90">
    <w:p w:rsidR="002A1B0D" w:rsidRPr="001E598A" w:rsidRDefault="002A1B0D" w:rsidP="00E1726C">
      <w:pPr>
        <w:rPr>
          <w:rFonts w:ascii="Times New Roman" w:hAnsi="Times New Roman"/>
          <w:sz w:val="20"/>
        </w:rPr>
      </w:pPr>
      <w:r w:rsidRPr="001E598A">
        <w:rPr>
          <w:rStyle w:val="FootnoteReference"/>
          <w:rFonts w:ascii="Times New Roman" w:hAnsi="Times New Roman"/>
          <w:sz w:val="20"/>
        </w:rPr>
        <w:footnoteRef/>
      </w:r>
      <w:r w:rsidRPr="001E598A">
        <w:rPr>
          <w:rFonts w:ascii="Times New Roman" w:hAnsi="Times New Roman"/>
          <w:sz w:val="20"/>
        </w:rPr>
        <w:t xml:space="preserve"> </w:t>
      </w:r>
      <w:proofErr w:type="gramStart"/>
      <w:r w:rsidRPr="001E598A">
        <w:rPr>
          <w:rFonts w:ascii="Times New Roman" w:hAnsi="Times New Roman"/>
          <w:i/>
          <w:sz w:val="20"/>
        </w:rPr>
        <w:t xml:space="preserve">Wash. </w:t>
      </w:r>
      <w:proofErr w:type="spellStart"/>
      <w:r w:rsidRPr="001E598A">
        <w:rPr>
          <w:rFonts w:ascii="Times New Roman" w:hAnsi="Times New Roman"/>
          <w:i/>
          <w:sz w:val="20"/>
        </w:rPr>
        <w:t>Utils</w:t>
      </w:r>
      <w:proofErr w:type="spellEnd"/>
      <w:r w:rsidRPr="001E598A">
        <w:rPr>
          <w:rFonts w:ascii="Times New Roman" w:hAnsi="Times New Roman"/>
          <w:i/>
          <w:sz w:val="20"/>
        </w:rPr>
        <w:t>.</w:t>
      </w:r>
      <w:proofErr w:type="gramEnd"/>
      <w:r w:rsidRPr="001E598A">
        <w:rPr>
          <w:rFonts w:ascii="Times New Roman" w:hAnsi="Times New Roman"/>
          <w:i/>
          <w:sz w:val="20"/>
        </w:rPr>
        <w:t xml:space="preserve"> &amp; Transp. </w:t>
      </w:r>
      <w:proofErr w:type="spellStart"/>
      <w:r w:rsidRPr="001E598A">
        <w:rPr>
          <w:rFonts w:ascii="Times New Roman" w:hAnsi="Times New Roman"/>
          <w:i/>
          <w:sz w:val="20"/>
        </w:rPr>
        <w:t>Comm’n</w:t>
      </w:r>
      <w:proofErr w:type="spellEnd"/>
      <w:r w:rsidRPr="001E598A">
        <w:rPr>
          <w:rFonts w:ascii="Times New Roman" w:hAnsi="Times New Roman"/>
          <w:i/>
          <w:sz w:val="20"/>
        </w:rPr>
        <w:t xml:space="preserve"> v. Olympic Pipe Line Co.</w:t>
      </w:r>
      <w:r w:rsidRPr="001E598A">
        <w:rPr>
          <w:rFonts w:ascii="Times New Roman" w:hAnsi="Times New Roman"/>
          <w:sz w:val="20"/>
        </w:rPr>
        <w:t>, Docket TO-011472, 20</w:t>
      </w:r>
      <w:r w:rsidRPr="001E598A">
        <w:rPr>
          <w:rFonts w:ascii="Times New Roman" w:hAnsi="Times New Roman"/>
          <w:sz w:val="20"/>
          <w:vertAlign w:val="superscript"/>
        </w:rPr>
        <w:t>th</w:t>
      </w:r>
      <w:r w:rsidRPr="001E598A">
        <w:rPr>
          <w:rFonts w:ascii="Times New Roman" w:hAnsi="Times New Roman"/>
          <w:sz w:val="20"/>
        </w:rPr>
        <w:t xml:space="preserve"> Supp. Order ¶ 119 (Sept. 27, 2002)</w:t>
      </w:r>
      <w:r w:rsidR="001C4916">
        <w:rPr>
          <w:rFonts w:ascii="Times New Roman" w:hAnsi="Times New Roman"/>
          <w:sz w:val="20"/>
        </w:rPr>
        <w:fldChar w:fldCharType="begin"/>
      </w:r>
      <w:r w:rsidR="00AD6037">
        <w:instrText xml:space="preserve"> TA \l "</w:instrText>
      </w:r>
      <w:r w:rsidR="00AD6037" w:rsidRPr="00D161BE">
        <w:rPr>
          <w:rFonts w:ascii="Times New Roman" w:hAnsi="Times New Roman"/>
          <w:i/>
          <w:sz w:val="20"/>
        </w:rPr>
        <w:instrText>Wash. Utils. &amp; Transp. Comm’n v. Olympic Pipe Line Co.</w:instrText>
      </w:r>
      <w:r w:rsidR="00AD6037" w:rsidRPr="00D161BE">
        <w:rPr>
          <w:rFonts w:ascii="Times New Roman" w:hAnsi="Times New Roman"/>
          <w:sz w:val="20"/>
        </w:rPr>
        <w:instrText>, Docket TO-011472, 20</w:instrText>
      </w:r>
      <w:r w:rsidR="00AD6037" w:rsidRPr="00D161BE">
        <w:rPr>
          <w:rFonts w:ascii="Times New Roman" w:hAnsi="Times New Roman"/>
          <w:sz w:val="20"/>
          <w:vertAlign w:val="superscript"/>
        </w:rPr>
        <w:instrText>th</w:instrText>
      </w:r>
      <w:r w:rsidR="00AD6037" w:rsidRPr="00D161BE">
        <w:rPr>
          <w:rFonts w:ascii="Times New Roman" w:hAnsi="Times New Roman"/>
          <w:sz w:val="20"/>
        </w:rPr>
        <w:instrText xml:space="preserve"> Supp. Order (Sept. 27, 2002)</w:instrText>
      </w:r>
      <w:r w:rsidR="00AD6037">
        <w:instrText xml:space="preserve">" \s "Docket TO-011472, 20th Supp. Order" \c 8 </w:instrText>
      </w:r>
      <w:r w:rsidR="001C4916">
        <w:rPr>
          <w:rFonts w:ascii="Times New Roman" w:hAnsi="Times New Roman"/>
          <w:sz w:val="20"/>
        </w:rPr>
        <w:fldChar w:fldCharType="end"/>
      </w:r>
      <w:r w:rsidRPr="001E598A">
        <w:rPr>
          <w:rFonts w:ascii="Times New Roman" w:hAnsi="Times New Roman"/>
          <w:sz w:val="20"/>
        </w:rPr>
        <w:t>.</w:t>
      </w:r>
    </w:p>
  </w:footnote>
  <w:footnote w:id="91">
    <w:p w:rsidR="002A1B0D" w:rsidRPr="001E598A" w:rsidRDefault="002A1B0D" w:rsidP="00E1726C">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Id.</w:t>
      </w:r>
      <w:r w:rsidR="001C4916">
        <w:rPr>
          <w:rFonts w:ascii="Times New Roman" w:hAnsi="Times New Roman"/>
          <w:i/>
        </w:rPr>
        <w:fldChar w:fldCharType="begin"/>
      </w:r>
      <w:r w:rsidR="00AD6037">
        <w:instrText xml:space="preserve"> TA \s "Docket TO-011472, 20th Supp. Order" </w:instrText>
      </w:r>
      <w:r w:rsidR="001C4916">
        <w:rPr>
          <w:rFonts w:ascii="Times New Roman" w:hAnsi="Times New Roman"/>
          <w:i/>
        </w:rPr>
        <w:fldChar w:fldCharType="end"/>
      </w:r>
      <w:r w:rsidRPr="001E598A">
        <w:rPr>
          <w:rFonts w:ascii="Times New Roman" w:hAnsi="Times New Roman"/>
          <w:i/>
        </w:rPr>
        <w:t xml:space="preserve"> </w:t>
      </w:r>
      <w:proofErr w:type="gramStart"/>
      <w:r w:rsidRPr="001E598A">
        <w:rPr>
          <w:rFonts w:ascii="Times New Roman" w:hAnsi="Times New Roman"/>
        </w:rPr>
        <w:t>¶ 120.</w:t>
      </w:r>
      <w:proofErr w:type="gramEnd"/>
    </w:p>
  </w:footnote>
  <w:footnote w:id="92">
    <w:p w:rsidR="002A1B0D" w:rsidRPr="001E598A" w:rsidRDefault="002A1B0D" w:rsidP="00E1726C">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32.</w:t>
      </w:r>
      <w:proofErr w:type="gramEnd"/>
    </w:p>
  </w:footnote>
  <w:footnote w:id="93">
    <w:p w:rsidR="002A1B0D" w:rsidRPr="001E598A" w:rsidRDefault="002A1B0D" w:rsidP="00E1726C">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WAC 480-07-510(3</w:t>
      </w:r>
      <w:proofErr w:type="gramStart"/>
      <w:r w:rsidRPr="001E598A">
        <w:rPr>
          <w:rFonts w:ascii="Times New Roman" w:hAnsi="Times New Roman"/>
        </w:rPr>
        <w:t>)(</w:t>
      </w:r>
      <w:proofErr w:type="gramEnd"/>
      <w:r w:rsidRPr="001E598A">
        <w:rPr>
          <w:rFonts w:ascii="Times New Roman" w:hAnsi="Times New Roman"/>
        </w:rPr>
        <w:t>e)</w:t>
      </w:r>
      <w:r w:rsidR="001C4916">
        <w:rPr>
          <w:rFonts w:ascii="Times New Roman" w:hAnsi="Times New Roman"/>
        </w:rPr>
        <w:fldChar w:fldCharType="begin"/>
      </w:r>
      <w:r w:rsidR="00AD6037">
        <w:instrText xml:space="preserve"> TA \l "</w:instrText>
      </w:r>
      <w:r w:rsidR="00AD6037" w:rsidRPr="00D161BE">
        <w:rPr>
          <w:rFonts w:ascii="Times New Roman" w:hAnsi="Times New Roman"/>
        </w:rPr>
        <w:instrText>WAC 480-07-510(3)(e)</w:instrText>
      </w:r>
      <w:r w:rsidR="00AD6037">
        <w:instrText xml:space="preserve">" \s "WAC 480-07-510(3)(e)" \c 4 </w:instrText>
      </w:r>
      <w:r w:rsidR="001C4916">
        <w:rPr>
          <w:rFonts w:ascii="Times New Roman" w:hAnsi="Times New Roman"/>
        </w:rPr>
        <w:fldChar w:fldCharType="end"/>
      </w:r>
      <w:r w:rsidRPr="001E598A">
        <w:rPr>
          <w:rFonts w:ascii="Times New Roman" w:hAnsi="Times New Roman"/>
        </w:rPr>
        <w:t>.</w:t>
      </w:r>
    </w:p>
  </w:footnote>
  <w:footnote w:id="94">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rPr>
        <w:t xml:space="preserve">Wash. </w:t>
      </w:r>
      <w:proofErr w:type="spellStart"/>
      <w:r w:rsidRPr="001E598A">
        <w:rPr>
          <w:rFonts w:ascii="Times New Roman" w:hAnsi="Times New Roman"/>
          <w:i/>
        </w:rPr>
        <w:t>Utils</w:t>
      </w:r>
      <w:proofErr w:type="spellEnd"/>
      <w:r w:rsidRPr="001E598A">
        <w:rPr>
          <w:rFonts w:ascii="Times New Roman" w:hAnsi="Times New Roman"/>
          <w:i/>
        </w:rPr>
        <w:t>.</w:t>
      </w:r>
      <w:proofErr w:type="gramEnd"/>
      <w:r w:rsidRPr="001E598A">
        <w:rPr>
          <w:rFonts w:ascii="Times New Roman" w:hAnsi="Times New Roman"/>
          <w:i/>
        </w:rPr>
        <w:t xml:space="preserve"> &amp; Transp. </w:t>
      </w:r>
      <w:proofErr w:type="spellStart"/>
      <w:r w:rsidRPr="001E598A">
        <w:rPr>
          <w:rFonts w:ascii="Times New Roman" w:hAnsi="Times New Roman"/>
          <w:i/>
        </w:rPr>
        <w:t>Comm’n</w:t>
      </w:r>
      <w:proofErr w:type="spellEnd"/>
      <w:r w:rsidRPr="001E598A">
        <w:rPr>
          <w:rFonts w:ascii="Times New Roman" w:hAnsi="Times New Roman"/>
          <w:i/>
        </w:rPr>
        <w:t xml:space="preserve"> v. </w:t>
      </w:r>
      <w:proofErr w:type="spellStart"/>
      <w:r w:rsidRPr="001E598A">
        <w:rPr>
          <w:rFonts w:ascii="Times New Roman" w:hAnsi="Times New Roman"/>
          <w:i/>
        </w:rPr>
        <w:t>Avista</w:t>
      </w:r>
      <w:proofErr w:type="spellEnd"/>
      <w:r w:rsidRPr="001E598A">
        <w:rPr>
          <w:rFonts w:ascii="Times New Roman" w:hAnsi="Times New Roman"/>
          <w:i/>
        </w:rPr>
        <w:t xml:space="preserve"> Corp</w:t>
      </w:r>
      <w:r w:rsidRPr="001E598A">
        <w:rPr>
          <w:rFonts w:ascii="Times New Roman" w:hAnsi="Times New Roman"/>
        </w:rPr>
        <w:t>, Docket No. UE-991606, 3</w:t>
      </w:r>
      <w:r w:rsidRPr="001E598A">
        <w:rPr>
          <w:rFonts w:ascii="Times New Roman" w:hAnsi="Times New Roman"/>
          <w:vertAlign w:val="superscript"/>
        </w:rPr>
        <w:t>rd</w:t>
      </w:r>
      <w:r w:rsidRPr="001E598A">
        <w:rPr>
          <w:rFonts w:ascii="Times New Roman" w:hAnsi="Times New Roman"/>
        </w:rPr>
        <w:t xml:space="preserve"> Supp. Order at 19-28 (Sept. 29, 2009)</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Wash. Utils. &amp; Transp. Comm’n v. Avista Corp</w:instrText>
      </w:r>
      <w:r w:rsidR="00AD6037" w:rsidRPr="00D161BE">
        <w:rPr>
          <w:rFonts w:ascii="Times New Roman" w:hAnsi="Times New Roman"/>
        </w:rPr>
        <w:instrText>, Docket No. UE-991606, 3</w:instrText>
      </w:r>
      <w:r w:rsidR="00AD6037" w:rsidRPr="00D161BE">
        <w:rPr>
          <w:rFonts w:ascii="Times New Roman" w:hAnsi="Times New Roman"/>
          <w:vertAlign w:val="superscript"/>
        </w:rPr>
        <w:instrText>rd</w:instrText>
      </w:r>
      <w:r w:rsidR="00AD6037" w:rsidRPr="00D161BE">
        <w:rPr>
          <w:rFonts w:ascii="Times New Roman" w:hAnsi="Times New Roman"/>
        </w:rPr>
        <w:instrText xml:space="preserve"> Supp. Order (Sept. 29, 2009)</w:instrText>
      </w:r>
      <w:r w:rsidR="00AD6037">
        <w:instrText xml:space="preserve">" \s "Docket No. UE-991606, 3rd Supp. Order" \c 8 </w:instrText>
      </w:r>
      <w:r w:rsidR="001C4916">
        <w:rPr>
          <w:rFonts w:ascii="Times New Roman" w:hAnsi="Times New Roman"/>
        </w:rPr>
        <w:fldChar w:fldCharType="end"/>
      </w:r>
      <w:r w:rsidRPr="001E598A">
        <w:rPr>
          <w:rFonts w:ascii="Times New Roman" w:hAnsi="Times New Roman"/>
        </w:rPr>
        <w:t>.</w:t>
      </w:r>
    </w:p>
  </w:footnote>
  <w:footnote w:id="95">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00F30FC5">
        <w:rPr>
          <w:rFonts w:ascii="Times New Roman" w:hAnsi="Times New Roman"/>
          <w:i/>
        </w:rPr>
        <w:t>Id.</w:t>
      </w:r>
      <w:r w:rsidR="001C4916">
        <w:rPr>
          <w:rFonts w:ascii="Times New Roman" w:hAnsi="Times New Roman"/>
        </w:rPr>
        <w:fldChar w:fldCharType="begin"/>
      </w:r>
      <w:r w:rsidR="00AD6037">
        <w:rPr>
          <w:rFonts w:ascii="Times New Roman" w:hAnsi="Times New Roman"/>
        </w:rPr>
        <w:instrText xml:space="preserve"> TA \s "Docket No. UE-991606, 3rd Supp. Order" </w:instrText>
      </w:r>
      <w:r w:rsidR="001C4916">
        <w:rPr>
          <w:rFonts w:ascii="Times New Roman" w:hAnsi="Times New Roman"/>
        </w:rPr>
        <w:fldChar w:fldCharType="end"/>
      </w:r>
      <w:r w:rsidRPr="001E598A">
        <w:rPr>
          <w:rFonts w:ascii="Times New Roman" w:hAnsi="Times New Roman"/>
        </w:rPr>
        <w:t xml:space="preserve"> </w:t>
      </w:r>
    </w:p>
  </w:footnote>
  <w:footnote w:id="96">
    <w:p w:rsidR="002A1B0D" w:rsidRPr="001E598A" w:rsidRDefault="002A1B0D" w:rsidP="003E04C7">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34.</w:t>
      </w:r>
      <w:proofErr w:type="gramEnd"/>
    </w:p>
  </w:footnote>
  <w:footnote w:id="97">
    <w:p w:rsidR="002A1B0D" w:rsidRPr="001E598A" w:rsidRDefault="002A1B0D" w:rsidP="003E04C7">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Re Petition of PacifiCorp Seeking an Accounting Order</w:t>
      </w:r>
      <w:r w:rsidRPr="001E598A">
        <w:rPr>
          <w:rFonts w:ascii="Times New Roman" w:hAnsi="Times New Roman"/>
        </w:rPr>
        <w:t>, Docket UE-940947, Order (Sept. 14, 1994)</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Petition of PacifiCorp Seeking an Accounting Order</w:instrText>
      </w:r>
      <w:r w:rsidR="00AD6037" w:rsidRPr="00D161BE">
        <w:rPr>
          <w:rFonts w:ascii="Times New Roman" w:hAnsi="Times New Roman"/>
        </w:rPr>
        <w:instrText>, Docket UE-940947, Order (Sept. 14, 1994)</w:instrText>
      </w:r>
      <w:r w:rsidR="00AD6037">
        <w:instrText xml:space="preserve">" \s "Docket UE-940947, Order (Sept. 14, 1994)" \c 8 </w:instrText>
      </w:r>
      <w:r w:rsidR="001C4916">
        <w:rPr>
          <w:rFonts w:ascii="Times New Roman" w:hAnsi="Times New Roman"/>
        </w:rPr>
        <w:fldChar w:fldCharType="end"/>
      </w:r>
      <w:r w:rsidRPr="001E598A">
        <w:rPr>
          <w:rFonts w:ascii="Times New Roman" w:hAnsi="Times New Roman"/>
        </w:rPr>
        <w:t>.</w:t>
      </w:r>
    </w:p>
  </w:footnote>
  <w:footnote w:id="98">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69.</w:t>
      </w:r>
      <w:proofErr w:type="gramEnd"/>
    </w:p>
  </w:footnote>
  <w:footnote w:id="9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 xml:space="preserve">S. Union Gas Co. v. RR </w:t>
      </w:r>
      <w:proofErr w:type="spellStart"/>
      <w:r w:rsidRPr="001E598A">
        <w:rPr>
          <w:rFonts w:ascii="Times New Roman" w:hAnsi="Times New Roman"/>
          <w:i/>
        </w:rPr>
        <w:t>Comm’n</w:t>
      </w:r>
      <w:proofErr w:type="spellEnd"/>
      <w:r w:rsidRPr="001E598A">
        <w:rPr>
          <w:rFonts w:ascii="Times New Roman" w:hAnsi="Times New Roman"/>
        </w:rPr>
        <w:t>, 701 S.W.2d 277, 280 (Tex. Ct. App. 1985)</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S. Union Gas Co. v. RR Comm’n</w:instrText>
      </w:r>
      <w:r w:rsidR="00AD6037" w:rsidRPr="00D161BE">
        <w:rPr>
          <w:rFonts w:ascii="Times New Roman" w:hAnsi="Times New Roman"/>
        </w:rPr>
        <w:instrText>, 701 S.W.2d 277 (Tex. Ct. App. 1985)</w:instrText>
      </w:r>
      <w:r w:rsidR="00AD6037">
        <w:instrText xml:space="preserve">" \s "S. Union Gas Co." \c 1 </w:instrText>
      </w:r>
      <w:r w:rsidR="001C4916">
        <w:rPr>
          <w:rFonts w:ascii="Times New Roman" w:hAnsi="Times New Roman"/>
        </w:rPr>
        <w:fldChar w:fldCharType="end"/>
      </w:r>
      <w:r w:rsidRPr="001E598A">
        <w:rPr>
          <w:rFonts w:ascii="Times New Roman" w:hAnsi="Times New Roman"/>
        </w:rPr>
        <w:t>.</w:t>
      </w:r>
    </w:p>
  </w:footnote>
  <w:footnote w:id="100">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rPr>
        <w:t>Chesapeake &amp; Potomac Tel. Co. v. Pub.</w:t>
      </w:r>
      <w:proofErr w:type="gramEnd"/>
      <w:r w:rsidRPr="001E598A">
        <w:rPr>
          <w:rFonts w:ascii="Times New Roman" w:hAnsi="Times New Roman"/>
          <w:i/>
        </w:rPr>
        <w:t xml:space="preserve"> </w:t>
      </w:r>
      <w:proofErr w:type="gramStart"/>
      <w:r w:rsidRPr="001E598A">
        <w:rPr>
          <w:rFonts w:ascii="Times New Roman" w:hAnsi="Times New Roman"/>
          <w:i/>
        </w:rPr>
        <w:t xml:space="preserve">Serv. </w:t>
      </w:r>
      <w:proofErr w:type="spellStart"/>
      <w:r w:rsidRPr="001E598A">
        <w:rPr>
          <w:rFonts w:ascii="Times New Roman" w:hAnsi="Times New Roman"/>
          <w:i/>
        </w:rPr>
        <w:t>Comm’n</w:t>
      </w:r>
      <w:proofErr w:type="spellEnd"/>
      <w:r w:rsidRPr="001E598A">
        <w:rPr>
          <w:rFonts w:ascii="Times New Roman" w:hAnsi="Times New Roman"/>
          <w:i/>
        </w:rPr>
        <w:t xml:space="preserve"> of D.C.</w:t>
      </w:r>
      <w:r w:rsidRPr="001E598A">
        <w:rPr>
          <w:rFonts w:ascii="Times New Roman" w:hAnsi="Times New Roman"/>
        </w:rPr>
        <w:t>, 514 A</w:t>
      </w:r>
      <w:r w:rsidR="007B1BB7">
        <w:rPr>
          <w:rFonts w:ascii="Times New Roman" w:hAnsi="Times New Roman"/>
        </w:rPr>
        <w:t>.</w:t>
      </w:r>
      <w:r w:rsidRPr="001E598A">
        <w:rPr>
          <w:rFonts w:ascii="Times New Roman" w:hAnsi="Times New Roman"/>
        </w:rPr>
        <w:t>2d 1159, 1170 (DC 1989)</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Chesapeake &amp; Potomac Tel. Co. v. Pub. Serv. Comm’n of D.C.</w:instrText>
      </w:r>
      <w:r w:rsidR="00AD6037" w:rsidRPr="00D161BE">
        <w:rPr>
          <w:rFonts w:ascii="Times New Roman" w:hAnsi="Times New Roman"/>
        </w:rPr>
        <w:instrText>, 514 A</w:instrText>
      </w:r>
      <w:r w:rsidR="007B1BB7">
        <w:rPr>
          <w:rFonts w:ascii="Times New Roman" w:hAnsi="Times New Roman"/>
        </w:rPr>
        <w:instrText>.</w:instrText>
      </w:r>
      <w:r w:rsidR="00AD6037" w:rsidRPr="00D161BE">
        <w:rPr>
          <w:rFonts w:ascii="Times New Roman" w:hAnsi="Times New Roman"/>
        </w:rPr>
        <w:instrText>2d 1159 (DC 1989)</w:instrText>
      </w:r>
      <w:r w:rsidR="00AD6037">
        <w:instrText xml:space="preserve">" \s "Chesapeake &amp; Potomac Tel. Co." \c 1 </w:instrText>
      </w:r>
      <w:r w:rsidR="001C4916">
        <w:rPr>
          <w:rFonts w:ascii="Times New Roman" w:hAnsi="Times New Roman"/>
        </w:rPr>
        <w:fldChar w:fldCharType="end"/>
      </w:r>
      <w:r w:rsidRPr="001E598A">
        <w:rPr>
          <w:rFonts w:ascii="Times New Roman" w:hAnsi="Times New Roman"/>
        </w:rPr>
        <w:t>.</w:t>
      </w:r>
      <w:proofErr w:type="gramEnd"/>
    </w:p>
  </w:footnote>
  <w:footnote w:id="101">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proofErr w:type="gramStart"/>
      <w:r w:rsidRPr="001E598A">
        <w:rPr>
          <w:rFonts w:ascii="Times New Roman" w:hAnsi="Times New Roman"/>
          <w:i/>
        </w:rPr>
        <w:t>Turpen</w:t>
      </w:r>
      <w:proofErr w:type="spellEnd"/>
      <w:r w:rsidRPr="001E598A">
        <w:rPr>
          <w:rFonts w:ascii="Times New Roman" w:hAnsi="Times New Roman"/>
          <w:i/>
        </w:rPr>
        <w:t xml:space="preserve"> v. Okla. Corp. </w:t>
      </w:r>
      <w:proofErr w:type="spellStart"/>
      <w:r w:rsidRPr="001E598A">
        <w:rPr>
          <w:rFonts w:ascii="Times New Roman" w:hAnsi="Times New Roman"/>
          <w:i/>
        </w:rPr>
        <w:t>Comm’n</w:t>
      </w:r>
      <w:proofErr w:type="spellEnd"/>
      <w:r w:rsidRPr="001E598A">
        <w:rPr>
          <w:rFonts w:ascii="Times New Roman" w:hAnsi="Times New Roman"/>
        </w:rPr>
        <w:t>, 769 P.2d 1309, 1332 (Okla. 1988)</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Turpen v. Okla. Corp. Comm’n</w:instrText>
      </w:r>
      <w:r w:rsidR="00AD6037" w:rsidRPr="00D161BE">
        <w:rPr>
          <w:rFonts w:ascii="Times New Roman" w:hAnsi="Times New Roman"/>
        </w:rPr>
        <w:instrText>, 769 P.2d 1309 (Okla. 1988)</w:instrText>
      </w:r>
      <w:r w:rsidR="00AD6037">
        <w:instrText xml:space="preserve">" \s "Turpen v. Okla." \c 1 </w:instrText>
      </w:r>
      <w:r w:rsidR="001C4916">
        <w:rPr>
          <w:rFonts w:ascii="Times New Roman" w:hAnsi="Times New Roman"/>
        </w:rPr>
        <w:fldChar w:fldCharType="end"/>
      </w:r>
      <w:r w:rsidRPr="001E598A">
        <w:rPr>
          <w:rFonts w:ascii="Times New Roman" w:hAnsi="Times New Roman"/>
        </w:rPr>
        <w:t xml:space="preserve">; </w:t>
      </w:r>
      <w:r w:rsidRPr="001E598A">
        <w:rPr>
          <w:rFonts w:ascii="Times New Roman" w:hAnsi="Times New Roman"/>
          <w:i/>
        </w:rPr>
        <w:t>Pike Ct. Power Co. v. Penn. Pub.</w:t>
      </w:r>
      <w:proofErr w:type="gramEnd"/>
      <w:r w:rsidRPr="001E598A">
        <w:rPr>
          <w:rFonts w:ascii="Times New Roman" w:hAnsi="Times New Roman"/>
          <w:i/>
        </w:rPr>
        <w:t xml:space="preserve"> </w:t>
      </w:r>
      <w:proofErr w:type="spellStart"/>
      <w:proofErr w:type="gramStart"/>
      <w:r w:rsidRPr="001E598A">
        <w:rPr>
          <w:rFonts w:ascii="Times New Roman" w:hAnsi="Times New Roman"/>
          <w:i/>
        </w:rPr>
        <w:t>Utils</w:t>
      </w:r>
      <w:proofErr w:type="spellEnd"/>
      <w:r w:rsidRPr="001E598A">
        <w:rPr>
          <w:rFonts w:ascii="Times New Roman" w:hAnsi="Times New Roman"/>
          <w:i/>
        </w:rPr>
        <w:t>.</w:t>
      </w:r>
      <w:proofErr w:type="gramEnd"/>
      <w:r w:rsidRPr="001E598A">
        <w:rPr>
          <w:rFonts w:ascii="Times New Roman" w:hAnsi="Times New Roman"/>
          <w:i/>
        </w:rPr>
        <w:t xml:space="preserve"> </w:t>
      </w:r>
      <w:proofErr w:type="spellStart"/>
      <w:r w:rsidRPr="001E598A">
        <w:rPr>
          <w:rFonts w:ascii="Times New Roman" w:hAnsi="Times New Roman"/>
          <w:i/>
        </w:rPr>
        <w:t>Comm’n</w:t>
      </w:r>
      <w:proofErr w:type="spellEnd"/>
      <w:r w:rsidRPr="001E598A">
        <w:rPr>
          <w:rFonts w:ascii="Times New Roman" w:hAnsi="Times New Roman"/>
        </w:rPr>
        <w:t>, 487 A</w:t>
      </w:r>
      <w:r w:rsidR="007B1BB7">
        <w:rPr>
          <w:rFonts w:ascii="Times New Roman" w:hAnsi="Times New Roman"/>
        </w:rPr>
        <w:t>.</w:t>
      </w:r>
      <w:r w:rsidRPr="001E598A">
        <w:rPr>
          <w:rFonts w:ascii="Times New Roman" w:hAnsi="Times New Roman"/>
        </w:rPr>
        <w:t>2d 118, 456 (Penn. 1985)</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Pike Ct. Power Co. v. Penn. Pub. Utils. Comm’n</w:instrText>
      </w:r>
      <w:r w:rsidR="00AD6037" w:rsidRPr="00D161BE">
        <w:rPr>
          <w:rFonts w:ascii="Times New Roman" w:hAnsi="Times New Roman"/>
        </w:rPr>
        <w:instrText>, 487 A</w:instrText>
      </w:r>
      <w:r w:rsidR="007B1BB7">
        <w:rPr>
          <w:rFonts w:ascii="Times New Roman" w:hAnsi="Times New Roman"/>
        </w:rPr>
        <w:instrText>.</w:instrText>
      </w:r>
      <w:r w:rsidR="00AD6037" w:rsidRPr="00D161BE">
        <w:rPr>
          <w:rFonts w:ascii="Times New Roman" w:hAnsi="Times New Roman"/>
        </w:rPr>
        <w:instrText>2d 118 (Penn. 1985)</w:instrText>
      </w:r>
      <w:r w:rsidR="00AD6037">
        <w:instrText xml:space="preserve">" \s "Pike Ct. Power Co." \c 1 </w:instrText>
      </w:r>
      <w:r w:rsidR="001C4916">
        <w:rPr>
          <w:rFonts w:ascii="Times New Roman" w:hAnsi="Times New Roman"/>
        </w:rPr>
        <w:fldChar w:fldCharType="end"/>
      </w:r>
    </w:p>
  </w:footnote>
  <w:footnote w:id="102">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rPr>
        <w:t>Wash. Gas Light Co. v. Pub.</w:t>
      </w:r>
      <w:proofErr w:type="gramEnd"/>
      <w:r w:rsidRPr="001E598A">
        <w:rPr>
          <w:rFonts w:ascii="Times New Roman" w:hAnsi="Times New Roman"/>
          <w:i/>
        </w:rPr>
        <w:t xml:space="preserve"> </w:t>
      </w:r>
      <w:proofErr w:type="gramStart"/>
      <w:r w:rsidRPr="001E598A">
        <w:rPr>
          <w:rFonts w:ascii="Times New Roman" w:hAnsi="Times New Roman"/>
          <w:i/>
        </w:rPr>
        <w:t xml:space="preserve">Serv. </w:t>
      </w:r>
      <w:proofErr w:type="spellStart"/>
      <w:r w:rsidRPr="001E598A">
        <w:rPr>
          <w:rFonts w:ascii="Times New Roman" w:hAnsi="Times New Roman"/>
          <w:i/>
        </w:rPr>
        <w:t>Comm’n</w:t>
      </w:r>
      <w:proofErr w:type="spellEnd"/>
      <w:r w:rsidRPr="001E598A">
        <w:rPr>
          <w:rFonts w:ascii="Times New Roman" w:hAnsi="Times New Roman"/>
        </w:rPr>
        <w:t>, 450 A</w:t>
      </w:r>
      <w:r w:rsidR="007B1BB7">
        <w:rPr>
          <w:rFonts w:ascii="Times New Roman" w:hAnsi="Times New Roman"/>
        </w:rPr>
        <w:t>.</w:t>
      </w:r>
      <w:r w:rsidRPr="001E598A">
        <w:rPr>
          <w:rFonts w:ascii="Times New Roman" w:hAnsi="Times New Roman"/>
        </w:rPr>
        <w:t>2d 1187, 1215 (DC 1982)</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Wash. Gas Light Co. v. Pub. Serv. Comm’n</w:instrText>
      </w:r>
      <w:r w:rsidR="00AD6037" w:rsidRPr="00D161BE">
        <w:rPr>
          <w:rFonts w:ascii="Times New Roman" w:hAnsi="Times New Roman"/>
        </w:rPr>
        <w:instrText>, 450 A</w:instrText>
      </w:r>
      <w:r w:rsidR="007B1BB7">
        <w:rPr>
          <w:rFonts w:ascii="Times New Roman" w:hAnsi="Times New Roman"/>
        </w:rPr>
        <w:instrText>.</w:instrText>
      </w:r>
      <w:r w:rsidR="00AD6037" w:rsidRPr="00D161BE">
        <w:rPr>
          <w:rFonts w:ascii="Times New Roman" w:hAnsi="Times New Roman"/>
        </w:rPr>
        <w:instrText>2d 1187 (DC 1982)</w:instrText>
      </w:r>
      <w:r w:rsidR="00AD6037">
        <w:instrText xml:space="preserve">" \s "Wash. Gas Light Co." \c 1 </w:instrText>
      </w:r>
      <w:r w:rsidR="001C4916">
        <w:rPr>
          <w:rFonts w:ascii="Times New Roman" w:hAnsi="Times New Roman"/>
        </w:rPr>
        <w:fldChar w:fldCharType="end"/>
      </w:r>
      <w:r w:rsidRPr="001E598A">
        <w:rPr>
          <w:rFonts w:ascii="Times New Roman" w:hAnsi="Times New Roman"/>
        </w:rPr>
        <w:t>.</w:t>
      </w:r>
      <w:proofErr w:type="gramEnd"/>
    </w:p>
  </w:footnote>
  <w:footnote w:id="103">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rPr>
        <w:t>Citizens of the State of Fla. v. Fla. Pub.</w:t>
      </w:r>
      <w:proofErr w:type="gramEnd"/>
      <w:r w:rsidRPr="001E598A">
        <w:rPr>
          <w:rFonts w:ascii="Times New Roman" w:hAnsi="Times New Roman"/>
          <w:i/>
        </w:rPr>
        <w:t xml:space="preserve"> </w:t>
      </w:r>
      <w:proofErr w:type="gramStart"/>
      <w:r w:rsidRPr="001E598A">
        <w:rPr>
          <w:rFonts w:ascii="Times New Roman" w:hAnsi="Times New Roman"/>
          <w:i/>
        </w:rPr>
        <w:t xml:space="preserve">Serv. </w:t>
      </w:r>
      <w:proofErr w:type="spellStart"/>
      <w:r w:rsidRPr="001E598A">
        <w:rPr>
          <w:rFonts w:ascii="Times New Roman" w:hAnsi="Times New Roman"/>
          <w:i/>
        </w:rPr>
        <w:t>Comm’n</w:t>
      </w:r>
      <w:proofErr w:type="spellEnd"/>
      <w:r w:rsidRPr="001E598A">
        <w:rPr>
          <w:rFonts w:ascii="Times New Roman" w:hAnsi="Times New Roman"/>
        </w:rPr>
        <w:t>, 415 So.2d 1268, 1270 (Fla. 1982)</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Citizens of the State of Fla. v. Fla. Pub. Serv. Comm’n</w:instrText>
      </w:r>
      <w:r w:rsidR="00AD6037" w:rsidRPr="00D161BE">
        <w:rPr>
          <w:rFonts w:ascii="Times New Roman" w:hAnsi="Times New Roman"/>
        </w:rPr>
        <w:instrText>, 415 So.2d 1268 (Fla. 1982)</w:instrText>
      </w:r>
      <w:r w:rsidR="00AD6037">
        <w:instrText xml:space="preserve">" \s "Citizens of the State of Fla." \c 1 </w:instrText>
      </w:r>
      <w:r w:rsidR="001C4916">
        <w:rPr>
          <w:rFonts w:ascii="Times New Roman" w:hAnsi="Times New Roman"/>
        </w:rPr>
        <w:fldChar w:fldCharType="end"/>
      </w:r>
      <w:r w:rsidRPr="001E598A">
        <w:rPr>
          <w:rFonts w:ascii="Times New Roman" w:hAnsi="Times New Roman"/>
        </w:rPr>
        <w:t>.</w:t>
      </w:r>
      <w:proofErr w:type="gramEnd"/>
    </w:p>
  </w:footnote>
  <w:footnote w:id="104">
    <w:p w:rsidR="002A1B0D" w:rsidRPr="001E598A" w:rsidRDefault="002A1B0D" w:rsidP="00AD6037">
      <w:pPr>
        <w:pStyle w:val="FootnoteText"/>
        <w:tabs>
          <w:tab w:val="left" w:pos="5925"/>
        </w:tabs>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rPr>
        <w:t>Richter v. Fla. Power Corp</w:t>
      </w:r>
      <w:r w:rsidRPr="001E598A">
        <w:rPr>
          <w:rFonts w:ascii="Times New Roman" w:hAnsi="Times New Roman"/>
        </w:rPr>
        <w:t>., 366 So.2d 798, 800 (Fla. App. 1979)</w:t>
      </w:r>
      <w:r w:rsidR="001C4916">
        <w:rPr>
          <w:rFonts w:ascii="Times New Roman" w:hAnsi="Times New Roman"/>
        </w:rPr>
        <w:fldChar w:fldCharType="begin"/>
      </w:r>
      <w:r w:rsidR="00AD6037">
        <w:instrText xml:space="preserve"> TA \l "</w:instrText>
      </w:r>
      <w:r w:rsidR="00AD6037" w:rsidRPr="00D161BE">
        <w:rPr>
          <w:rFonts w:ascii="Times New Roman" w:hAnsi="Times New Roman"/>
          <w:i/>
        </w:rPr>
        <w:instrText>Richter v. Fla. Power Corp</w:instrText>
      </w:r>
      <w:r w:rsidR="00AD6037" w:rsidRPr="00D161BE">
        <w:rPr>
          <w:rFonts w:ascii="Times New Roman" w:hAnsi="Times New Roman"/>
        </w:rPr>
        <w:instrText>., 366 So.2d 798 (Fla. App. 1979)</w:instrText>
      </w:r>
      <w:r w:rsidR="00AD6037">
        <w:instrText xml:space="preserve">" \s "Richter v. Fla. Power Corp." \c 1 </w:instrText>
      </w:r>
      <w:r w:rsidR="001C4916">
        <w:rPr>
          <w:rFonts w:ascii="Times New Roman" w:hAnsi="Times New Roman"/>
        </w:rPr>
        <w:fldChar w:fldCharType="end"/>
      </w:r>
      <w:r w:rsidRPr="001E598A">
        <w:rPr>
          <w:rFonts w:ascii="Times New Roman" w:hAnsi="Times New Roman"/>
        </w:rPr>
        <w:t>.</w:t>
      </w:r>
      <w:proofErr w:type="gramEnd"/>
      <w:r w:rsidR="00AD6037">
        <w:rPr>
          <w:rFonts w:ascii="Times New Roman" w:hAnsi="Times New Roman"/>
        </w:rPr>
        <w:tab/>
      </w:r>
    </w:p>
  </w:footnote>
  <w:footnote w:id="105">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71.</w:t>
      </w:r>
      <w:proofErr w:type="gramEnd"/>
    </w:p>
  </w:footnote>
  <w:footnote w:id="106">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Re Petition of PacifiCorp for an Accounting Order Authorizing Deferral of Excess Net Power Costs</w:t>
      </w:r>
      <w:r w:rsidRPr="001E598A">
        <w:rPr>
          <w:rFonts w:ascii="Times New Roman" w:hAnsi="Times New Roman"/>
        </w:rPr>
        <w:t>, Docket No. UE-020417</w:t>
      </w:r>
      <w:r w:rsidR="001A54E2">
        <w:rPr>
          <w:rFonts w:ascii="Times New Roman" w:hAnsi="Times New Roman"/>
        </w:rPr>
        <w:t>, 3</w:t>
      </w:r>
      <w:r w:rsidR="001A54E2" w:rsidRPr="001A54E2">
        <w:rPr>
          <w:rFonts w:ascii="Times New Roman" w:hAnsi="Times New Roman"/>
          <w:vertAlign w:val="superscript"/>
        </w:rPr>
        <w:t>rd</w:t>
      </w:r>
      <w:r w:rsidR="001A54E2">
        <w:rPr>
          <w:rFonts w:ascii="Times New Roman" w:hAnsi="Times New Roman"/>
        </w:rPr>
        <w:t xml:space="preserve"> Supp. Order</w:t>
      </w:r>
      <w:r w:rsidRPr="001E598A">
        <w:rPr>
          <w:rFonts w:ascii="Times New Roman" w:hAnsi="Times New Roman"/>
        </w:rPr>
        <w:t xml:space="preserve"> ¶ 23 (Sept. 27, 2002)</w:t>
      </w:r>
      <w:r w:rsidR="001C4916">
        <w:rPr>
          <w:rFonts w:ascii="Times New Roman" w:hAnsi="Times New Roman"/>
        </w:rPr>
        <w:fldChar w:fldCharType="begin"/>
      </w:r>
      <w:r w:rsidR="001A54E2">
        <w:instrText xml:space="preserve"> TA \l "</w:instrText>
      </w:r>
      <w:r w:rsidR="001A54E2" w:rsidRPr="001B68F4">
        <w:rPr>
          <w:rFonts w:ascii="Times New Roman" w:hAnsi="Times New Roman"/>
          <w:i/>
        </w:rPr>
        <w:instrText>Petition of PacifiCorp for an Accounting Order Authorizing Deferral of Excess Net Power Costs</w:instrText>
      </w:r>
      <w:r w:rsidR="001A54E2" w:rsidRPr="001B68F4">
        <w:rPr>
          <w:rFonts w:ascii="Times New Roman" w:hAnsi="Times New Roman"/>
        </w:rPr>
        <w:instrText>, Docket No. UE-020417, 3</w:instrText>
      </w:r>
      <w:r w:rsidR="001A54E2" w:rsidRPr="001B68F4">
        <w:rPr>
          <w:rFonts w:ascii="Times New Roman" w:hAnsi="Times New Roman"/>
          <w:vertAlign w:val="superscript"/>
        </w:rPr>
        <w:instrText>rd</w:instrText>
      </w:r>
      <w:r w:rsidR="001A54E2" w:rsidRPr="001B68F4">
        <w:rPr>
          <w:rFonts w:ascii="Times New Roman" w:hAnsi="Times New Roman"/>
        </w:rPr>
        <w:instrText xml:space="preserve"> Supp. Order (Sept. 27, 2002)</w:instrText>
      </w:r>
      <w:r w:rsidR="001A54E2">
        <w:instrText xml:space="preserve">" \s "Docket No. UE-020417, 3rd Supp. Order" \c 8 </w:instrText>
      </w:r>
      <w:r w:rsidR="001C4916">
        <w:rPr>
          <w:rFonts w:ascii="Times New Roman" w:hAnsi="Times New Roman"/>
        </w:rPr>
        <w:fldChar w:fldCharType="end"/>
      </w:r>
      <w:r w:rsidRPr="001E598A">
        <w:rPr>
          <w:rFonts w:ascii="Times New Roman" w:hAnsi="Times New Roman"/>
        </w:rPr>
        <w:t>.</w:t>
      </w:r>
    </w:p>
  </w:footnote>
  <w:footnote w:id="107">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70.</w:t>
      </w:r>
      <w:proofErr w:type="gramEnd"/>
    </w:p>
  </w:footnote>
  <w:footnote w:id="108">
    <w:p w:rsidR="002A1B0D" w:rsidRPr="001E598A" w:rsidRDefault="002A1B0D" w:rsidP="005461A2">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TR. 351:10-16.</w:t>
      </w:r>
    </w:p>
  </w:footnote>
  <w:footnote w:id="109">
    <w:p w:rsidR="002A1B0D" w:rsidRPr="001E598A" w:rsidRDefault="002A1B0D" w:rsidP="002D002C">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Re. PacifiCorp</w:t>
      </w:r>
      <w:r w:rsidRPr="001E598A">
        <w:rPr>
          <w:rFonts w:ascii="Times New Roman" w:hAnsi="Times New Roman"/>
        </w:rPr>
        <w:t>,</w:t>
      </w:r>
      <w:r w:rsidRPr="001E598A">
        <w:rPr>
          <w:rFonts w:ascii="Times New Roman" w:hAnsi="Times New Roman"/>
          <w:i/>
        </w:rPr>
        <w:t xml:space="preserve"> </w:t>
      </w:r>
      <w:r w:rsidRPr="001E598A">
        <w:rPr>
          <w:rFonts w:ascii="Times New Roman" w:hAnsi="Times New Roman"/>
        </w:rPr>
        <w:t>Docket No. UE-100712, Commission Basis Report at Page 3.5 (Apr. 30, 2010)</w:t>
      </w:r>
      <w:r w:rsidR="001C4916">
        <w:rPr>
          <w:rFonts w:ascii="Times New Roman" w:hAnsi="Times New Roman"/>
        </w:rPr>
        <w:fldChar w:fldCharType="begin"/>
      </w:r>
      <w:r w:rsidR="001A54E2">
        <w:instrText xml:space="preserve"> TA \l "</w:instrText>
      </w:r>
      <w:r w:rsidR="001A54E2" w:rsidRPr="001B68F4">
        <w:rPr>
          <w:rFonts w:ascii="Times New Roman" w:hAnsi="Times New Roman"/>
          <w:i/>
        </w:rPr>
        <w:instrText>PacifiCorp</w:instrText>
      </w:r>
      <w:r w:rsidR="001A54E2" w:rsidRPr="001B68F4">
        <w:rPr>
          <w:rFonts w:ascii="Times New Roman" w:hAnsi="Times New Roman"/>
        </w:rPr>
        <w:instrText>,</w:instrText>
      </w:r>
      <w:r w:rsidR="001A54E2" w:rsidRPr="001B68F4">
        <w:rPr>
          <w:rFonts w:ascii="Times New Roman" w:hAnsi="Times New Roman"/>
          <w:i/>
        </w:rPr>
        <w:instrText xml:space="preserve"> </w:instrText>
      </w:r>
      <w:r w:rsidR="001A54E2" w:rsidRPr="001B68F4">
        <w:rPr>
          <w:rFonts w:ascii="Times New Roman" w:hAnsi="Times New Roman"/>
        </w:rPr>
        <w:instrText>Docket No. UE-100712, Commission Basis Report (Apr. 30, 2010)</w:instrText>
      </w:r>
      <w:r w:rsidR="001A54E2">
        <w:instrText xml:space="preserve">" \s "Docket No. UE-100712, Commission Basis Report" \c 8 </w:instrText>
      </w:r>
      <w:r w:rsidR="001C4916">
        <w:rPr>
          <w:rFonts w:ascii="Times New Roman" w:hAnsi="Times New Roman"/>
        </w:rPr>
        <w:fldChar w:fldCharType="end"/>
      </w:r>
      <w:r w:rsidRPr="001E598A">
        <w:rPr>
          <w:rFonts w:ascii="Times New Roman" w:hAnsi="Times New Roman"/>
        </w:rPr>
        <w:t>.</w:t>
      </w:r>
    </w:p>
  </w:footnote>
  <w:footnote w:id="110">
    <w:p w:rsidR="00FA17AE" w:rsidRDefault="00FA17AE" w:rsidP="00FA17AE">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RJF-8CT 5:16-19 (emphasis added).</w:t>
      </w:r>
    </w:p>
  </w:footnote>
  <w:footnote w:id="111">
    <w:p w:rsidR="00FC643A" w:rsidRDefault="00FC643A">
      <w:pPr>
        <w:pStyle w:val="FootnoteText"/>
      </w:pPr>
      <w:r>
        <w:rPr>
          <w:rStyle w:val="FootnoteReference"/>
        </w:rPr>
        <w:footnoteRef/>
      </w:r>
      <w:r>
        <w:t xml:space="preserve"> </w:t>
      </w:r>
      <w:proofErr w:type="spellStart"/>
      <w:r>
        <w:t>Falkenberg</w:t>
      </w:r>
      <w:proofErr w:type="spellEnd"/>
      <w:r>
        <w:t xml:space="preserve">, </w:t>
      </w:r>
      <w:proofErr w:type="spellStart"/>
      <w:r>
        <w:t>Exh</w:t>
      </w:r>
      <w:proofErr w:type="spellEnd"/>
      <w:r>
        <w:t>. No. RJF-8CT 5:11-14.</w:t>
      </w:r>
    </w:p>
  </w:footnote>
  <w:footnote w:id="112">
    <w:p w:rsidR="002A1B0D" w:rsidRPr="001E598A" w:rsidRDefault="002A1B0D" w:rsidP="00D60186">
      <w:pPr>
        <w:pStyle w:val="Default"/>
        <w:rPr>
          <w:sz w:val="20"/>
          <w:szCs w:val="20"/>
        </w:rPr>
      </w:pPr>
      <w:r w:rsidRPr="001E598A">
        <w:rPr>
          <w:rStyle w:val="FootnoteReference"/>
          <w:sz w:val="20"/>
          <w:szCs w:val="20"/>
        </w:rPr>
        <w:footnoteRef/>
      </w:r>
      <w:r w:rsidRPr="001E598A">
        <w:rPr>
          <w:i/>
          <w:sz w:val="20"/>
          <w:szCs w:val="20"/>
        </w:rPr>
        <w:t xml:space="preserve">Re. Petition of </w:t>
      </w:r>
      <w:proofErr w:type="spellStart"/>
      <w:r w:rsidRPr="001E598A">
        <w:rPr>
          <w:i/>
          <w:sz w:val="20"/>
          <w:szCs w:val="20"/>
        </w:rPr>
        <w:t>Avista</w:t>
      </w:r>
      <w:proofErr w:type="spellEnd"/>
      <w:r w:rsidRPr="001E598A">
        <w:rPr>
          <w:i/>
          <w:sz w:val="20"/>
          <w:szCs w:val="20"/>
        </w:rPr>
        <w:t xml:space="preserve"> Corp. for an Order Authorizing Implementation of a Natural Gas Decoupling Mechanism and to Record Accounting Entries Associated With the Mechanism</w:t>
      </w:r>
      <w:r w:rsidRPr="001E598A">
        <w:rPr>
          <w:sz w:val="20"/>
          <w:szCs w:val="20"/>
        </w:rPr>
        <w:t>, Docket UG-060518, Order 4 ¶ 19 (Feb. 1, 2007)</w:t>
      </w:r>
      <w:r w:rsidR="001C4916">
        <w:rPr>
          <w:sz w:val="20"/>
          <w:szCs w:val="20"/>
        </w:rPr>
        <w:fldChar w:fldCharType="begin"/>
      </w:r>
      <w:r w:rsidR="001A54E2">
        <w:instrText xml:space="preserve"> </w:instrText>
      </w:r>
      <w:r w:rsidR="001A54E2" w:rsidRPr="001A54E2">
        <w:rPr>
          <w:sz w:val="20"/>
        </w:rPr>
        <w:instrText>TA \l "</w:instrText>
      </w:r>
      <w:r w:rsidR="001A54E2" w:rsidRPr="001A54E2">
        <w:rPr>
          <w:i/>
          <w:sz w:val="20"/>
          <w:szCs w:val="20"/>
        </w:rPr>
        <w:instrText>Petition of Avista Corp. for an Order Authorizing Implementation of a Natural Gas Decoupling Mechanism and to Record Accounting Entries Associated With the Mechanism</w:instrText>
      </w:r>
      <w:r w:rsidR="001A54E2" w:rsidRPr="001A54E2">
        <w:rPr>
          <w:sz w:val="20"/>
          <w:szCs w:val="20"/>
        </w:rPr>
        <w:instrText>, Docket UG-060518, Order 4 (Feb. 1, 2007)</w:instrText>
      </w:r>
      <w:r w:rsidR="001A54E2" w:rsidRPr="001A54E2">
        <w:rPr>
          <w:sz w:val="20"/>
        </w:rPr>
        <w:instrText>" \s "Docket UG-060518, Order 4" \c 8</w:instrText>
      </w:r>
      <w:r w:rsidR="001A54E2">
        <w:instrText xml:space="preserve"> </w:instrText>
      </w:r>
      <w:r w:rsidR="001C4916">
        <w:rPr>
          <w:sz w:val="20"/>
          <w:szCs w:val="20"/>
        </w:rPr>
        <w:fldChar w:fldCharType="end"/>
      </w:r>
      <w:r w:rsidRPr="001E598A">
        <w:rPr>
          <w:sz w:val="20"/>
          <w:szCs w:val="20"/>
        </w:rPr>
        <w:t>.</w:t>
      </w:r>
    </w:p>
  </w:footnote>
  <w:footnote w:id="113">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rPr>
        <w:t xml:space="preserve">Wash. </w:t>
      </w:r>
      <w:proofErr w:type="spellStart"/>
      <w:r w:rsidRPr="001E598A">
        <w:rPr>
          <w:rFonts w:ascii="Times New Roman" w:hAnsi="Times New Roman"/>
          <w:i/>
        </w:rPr>
        <w:t>Utils</w:t>
      </w:r>
      <w:proofErr w:type="spellEnd"/>
      <w:r w:rsidRPr="001E598A">
        <w:rPr>
          <w:rFonts w:ascii="Times New Roman" w:hAnsi="Times New Roman"/>
          <w:i/>
        </w:rPr>
        <w:t>.</w:t>
      </w:r>
      <w:proofErr w:type="gramEnd"/>
      <w:r w:rsidRPr="001E598A">
        <w:rPr>
          <w:rFonts w:ascii="Times New Roman" w:hAnsi="Times New Roman"/>
          <w:i/>
        </w:rPr>
        <w:t xml:space="preserve"> &amp; Transp. </w:t>
      </w:r>
      <w:proofErr w:type="spellStart"/>
      <w:r w:rsidRPr="001E598A">
        <w:rPr>
          <w:rFonts w:ascii="Times New Roman" w:hAnsi="Times New Roman"/>
          <w:i/>
        </w:rPr>
        <w:t>Comm’n</w:t>
      </w:r>
      <w:proofErr w:type="spellEnd"/>
      <w:r w:rsidRPr="001E598A">
        <w:rPr>
          <w:rFonts w:ascii="Times New Roman" w:hAnsi="Times New Roman"/>
          <w:i/>
        </w:rPr>
        <w:t xml:space="preserve"> v. Puget Sound Energy, Inc.</w:t>
      </w:r>
      <w:r w:rsidRPr="001E598A">
        <w:rPr>
          <w:rFonts w:ascii="Times New Roman" w:hAnsi="Times New Roman"/>
        </w:rPr>
        <w:t>, Docket UE-090704, Order 10 ¶ 7 (Jan. 8, 2010)</w:t>
      </w:r>
      <w:r w:rsidR="001C4916">
        <w:rPr>
          <w:rFonts w:ascii="Times New Roman" w:hAnsi="Times New Roman"/>
        </w:rPr>
        <w:fldChar w:fldCharType="begin"/>
      </w:r>
      <w:r w:rsidR="001A54E2">
        <w:instrText xml:space="preserve"> TA \l "</w:instrText>
      </w:r>
      <w:r w:rsidR="001A54E2" w:rsidRPr="001B68F4">
        <w:rPr>
          <w:rFonts w:ascii="Times New Roman" w:hAnsi="Times New Roman"/>
          <w:i/>
        </w:rPr>
        <w:instrText>Wash. Utils. &amp; Transp. Comm’n v. Puget Sound Energy, Inc.</w:instrText>
      </w:r>
      <w:r w:rsidR="001A54E2" w:rsidRPr="001B68F4">
        <w:rPr>
          <w:rFonts w:ascii="Times New Roman" w:hAnsi="Times New Roman"/>
        </w:rPr>
        <w:instrText>, Docket UE-090704, Order 10 (Jan. 8, 2010)</w:instrText>
      </w:r>
      <w:r w:rsidR="001A54E2">
        <w:instrText xml:space="preserve">" \s "Docket UE-090704, Order 10" \c 8 </w:instrText>
      </w:r>
      <w:r w:rsidR="001C4916">
        <w:rPr>
          <w:rFonts w:ascii="Times New Roman" w:hAnsi="Times New Roman"/>
        </w:rPr>
        <w:fldChar w:fldCharType="end"/>
      </w:r>
      <w:r w:rsidRPr="001E598A">
        <w:rPr>
          <w:rFonts w:ascii="Times New Roman" w:hAnsi="Times New Roman"/>
        </w:rPr>
        <w:t xml:space="preserve"> (quoting Public Counsel’s Motion to Strike).</w:t>
      </w:r>
    </w:p>
  </w:footnote>
  <w:footnote w:id="114">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28.</w:t>
      </w:r>
      <w:proofErr w:type="gramEnd"/>
    </w:p>
  </w:footnote>
  <w:footnote w:id="115">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TR. 299:14-20.</w:t>
      </w:r>
    </w:p>
  </w:footnote>
  <w:footnote w:id="116">
    <w:p w:rsidR="002A1B0D" w:rsidRPr="001E598A" w:rsidRDefault="002A1B0D" w:rsidP="00300C4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Post-Hearing Brief of Public Counsel ¶ 61, Table 1.</w:t>
      </w:r>
    </w:p>
  </w:footnote>
  <w:footnote w:id="117">
    <w:p w:rsidR="002A1B0D" w:rsidRPr="001E598A" w:rsidRDefault="002A1B0D" w:rsidP="00300C44">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0A42B2">
        <w:rPr>
          <w:rFonts w:ascii="Times New Roman" w:hAnsi="Times New Roman"/>
          <w:i/>
        </w:rPr>
        <w:t xml:space="preserve">Id. </w:t>
      </w:r>
      <w:r w:rsidRPr="001E598A">
        <w:rPr>
          <w:rFonts w:ascii="Times New Roman" w:hAnsi="Times New Roman"/>
        </w:rPr>
        <w:t>n.155.</w:t>
      </w:r>
      <w:proofErr w:type="gramEnd"/>
    </w:p>
  </w:footnote>
  <w:footnote w:id="118">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TR. 302:7-17.  </w:t>
      </w:r>
      <w:proofErr w:type="gramStart"/>
      <w:r w:rsidRPr="001E598A">
        <w:rPr>
          <w:rFonts w:ascii="Times New Roman" w:hAnsi="Times New Roman"/>
        </w:rPr>
        <w:t>Calculated by annualizing five months of revenue of $3.47 million.</w:t>
      </w:r>
      <w:proofErr w:type="gramEnd"/>
    </w:p>
  </w:footnote>
  <w:footnote w:id="11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 xml:space="preserve">See </w:t>
      </w:r>
      <w:r w:rsidRPr="001E598A">
        <w:rPr>
          <w:rFonts w:ascii="Times New Roman" w:hAnsi="Times New Roman"/>
        </w:rPr>
        <w:t>Duvall, TR. 299:5-10.</w:t>
      </w:r>
    </w:p>
  </w:footnote>
  <w:footnote w:id="120">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37.</w:t>
      </w:r>
      <w:proofErr w:type="gramEnd"/>
    </w:p>
  </w:footnote>
  <w:footnote w:id="121">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TR. 303:</w:t>
      </w:r>
      <w:r>
        <w:rPr>
          <w:rFonts w:ascii="Times New Roman" w:hAnsi="Times New Roman"/>
        </w:rPr>
        <w:t>3-10</w:t>
      </w:r>
      <w:r w:rsidRPr="001E598A">
        <w:rPr>
          <w:rFonts w:ascii="Times New Roman" w:hAnsi="Times New Roman"/>
        </w:rPr>
        <w:t>.</w:t>
      </w:r>
    </w:p>
  </w:footnote>
  <w:footnote w:id="122">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26.</w:t>
      </w:r>
      <w:proofErr w:type="gramEnd"/>
    </w:p>
  </w:footnote>
  <w:footnote w:id="123">
    <w:p w:rsidR="002A1B0D" w:rsidRPr="001E598A" w:rsidRDefault="002A1B0D" w:rsidP="007F7623">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62.</w:t>
      </w:r>
      <w:proofErr w:type="gramEnd"/>
    </w:p>
  </w:footnote>
  <w:footnote w:id="124">
    <w:p w:rsidR="002A1B0D" w:rsidRPr="001E598A" w:rsidRDefault="002A1B0D" w:rsidP="007F7623">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TR. 298:15-23.</w:t>
      </w:r>
    </w:p>
  </w:footnote>
  <w:footnote w:id="125">
    <w:p w:rsidR="002A1B0D" w:rsidRPr="001E598A" w:rsidRDefault="002A1B0D" w:rsidP="007F7623">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62.</w:t>
      </w:r>
      <w:proofErr w:type="gramEnd"/>
    </w:p>
  </w:footnote>
  <w:footnote w:id="126">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61.</w:t>
      </w:r>
      <w:proofErr w:type="gramEnd"/>
    </w:p>
  </w:footnote>
  <w:footnote w:id="127">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PacifiCorp’s Initial Brief ¶ 70.</w:t>
      </w:r>
      <w:proofErr w:type="gramEnd"/>
    </w:p>
  </w:footnote>
  <w:footnote w:id="128">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38-39.</w:t>
      </w:r>
      <w:proofErr w:type="gramEnd"/>
    </w:p>
  </w:footnote>
  <w:footnote w:id="12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39.</w:t>
      </w:r>
      <w:proofErr w:type="gramEnd"/>
    </w:p>
  </w:footnote>
  <w:footnote w:id="130">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Griffith,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WRG-19 1.</w:t>
      </w:r>
      <w:proofErr w:type="gramEnd"/>
    </w:p>
  </w:footnote>
  <w:footnote w:id="131">
    <w:p w:rsidR="002A1B0D" w:rsidRDefault="002A1B0D" w:rsidP="00077651">
      <w:pPr>
        <w:pStyle w:val="FootnoteText"/>
      </w:pPr>
      <w:r>
        <w:rPr>
          <w:rStyle w:val="FootnoteReference"/>
        </w:rPr>
        <w:footnoteRef/>
      </w:r>
      <w:r>
        <w:t xml:space="preserve"> </w:t>
      </w:r>
      <w:r w:rsidR="000A42B2">
        <w:rPr>
          <w:rFonts w:ascii="Times New Roman" w:hAnsi="Times New Roman"/>
          <w:i/>
        </w:rPr>
        <w:t>Id.</w:t>
      </w:r>
    </w:p>
  </w:footnote>
  <w:footnote w:id="132">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PacifiCorp ¶ 40.</w:t>
      </w:r>
      <w:proofErr w:type="gramEnd"/>
    </w:p>
  </w:footnote>
  <w:footnote w:id="133">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51.</w:t>
      </w:r>
      <w:proofErr w:type="gramEnd"/>
    </w:p>
  </w:footnote>
  <w:footnote w:id="134">
    <w:p w:rsidR="002A1B0D" w:rsidRPr="001E598A" w:rsidRDefault="002A1B0D" w:rsidP="00F64F0C">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In paragraph 51, ICNU proposes that the Commission accept an alternative additional adjustment to assign 100% of the volume of eastern sales to the west. This was not included in </w:t>
      </w:r>
      <w:r w:rsidR="0097679A">
        <w:rPr>
          <w:rFonts w:ascii="Times New Roman" w:hAnsi="Times New Roman"/>
        </w:rPr>
        <w:t>Mr. </w:t>
      </w:r>
      <w:proofErr w:type="spellStart"/>
      <w:r w:rsidRPr="001E598A">
        <w:rPr>
          <w:rFonts w:ascii="Times New Roman" w:hAnsi="Times New Roman"/>
        </w:rPr>
        <w:t>Falkenberg’s</w:t>
      </w:r>
      <w:proofErr w:type="spellEnd"/>
      <w:r w:rsidRPr="001E598A">
        <w:rPr>
          <w:rFonts w:ascii="Times New Roman" w:hAnsi="Times New Roman"/>
        </w:rPr>
        <w:t xml:space="preserve"> table of adjustments and should be rejected as a new proposal unsupported by the record.  In any event, the assignment of 100% of the volume is arbitrary. </w:t>
      </w:r>
      <w:r>
        <w:rPr>
          <w:rFonts w:ascii="Times New Roman" w:hAnsi="Times New Roman"/>
        </w:rPr>
        <w:t xml:space="preserve"> </w:t>
      </w:r>
      <w:r w:rsidRPr="001E598A">
        <w:rPr>
          <w:rFonts w:ascii="Times New Roman" w:hAnsi="Times New Roman"/>
        </w:rPr>
        <w:t xml:space="preserve">The percentages now used for the sale are those used in </w:t>
      </w:r>
      <w:proofErr w:type="gramStart"/>
      <w:r w:rsidRPr="001E598A">
        <w:rPr>
          <w:rFonts w:ascii="Times New Roman" w:hAnsi="Times New Roman"/>
        </w:rPr>
        <w:t>Staff’s  2006</w:t>
      </w:r>
      <w:proofErr w:type="gramEnd"/>
      <w:r w:rsidRPr="001E598A">
        <w:rPr>
          <w:rFonts w:ascii="Times New Roman" w:hAnsi="Times New Roman"/>
        </w:rPr>
        <w:t xml:space="preserve"> GRC testimony adopted by the Commission as defining the WCA eastern sale implementation.</w:t>
      </w:r>
    </w:p>
  </w:footnote>
  <w:footnote w:id="135">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84.</w:t>
      </w:r>
      <w:proofErr w:type="gramEnd"/>
    </w:p>
  </w:footnote>
  <w:footnote w:id="136">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iCs/>
        </w:rPr>
        <w:t xml:space="preserve">Wash. </w:t>
      </w:r>
      <w:proofErr w:type="spellStart"/>
      <w:r w:rsidRPr="001E598A">
        <w:rPr>
          <w:rFonts w:ascii="Times New Roman" w:hAnsi="Times New Roman"/>
          <w:i/>
          <w:iCs/>
        </w:rPr>
        <w:t>Utils</w:t>
      </w:r>
      <w:proofErr w:type="spellEnd"/>
      <w:r w:rsidRPr="001E598A">
        <w:rPr>
          <w:rFonts w:ascii="Times New Roman" w:hAnsi="Times New Roman"/>
          <w:i/>
          <w:iCs/>
        </w:rPr>
        <w:t>.</w:t>
      </w:r>
      <w:proofErr w:type="gramEnd"/>
      <w:r w:rsidRPr="001E598A">
        <w:rPr>
          <w:rFonts w:ascii="Times New Roman" w:hAnsi="Times New Roman"/>
          <w:i/>
          <w:iCs/>
        </w:rPr>
        <w:t xml:space="preserve"> &amp; Transp. </w:t>
      </w:r>
      <w:proofErr w:type="spellStart"/>
      <w:r w:rsidRPr="001E598A">
        <w:rPr>
          <w:rFonts w:ascii="Times New Roman" w:hAnsi="Times New Roman"/>
          <w:i/>
          <w:iCs/>
        </w:rPr>
        <w:t>Comm'n</w:t>
      </w:r>
      <w:proofErr w:type="spellEnd"/>
      <w:r w:rsidRPr="001E598A">
        <w:rPr>
          <w:rFonts w:ascii="Times New Roman" w:hAnsi="Times New Roman"/>
          <w:i/>
        </w:rPr>
        <w:t xml:space="preserve"> v. PacifiCorp</w:t>
      </w:r>
      <w:r w:rsidRPr="001E598A">
        <w:rPr>
          <w:rFonts w:ascii="Times New Roman" w:hAnsi="Times New Roman"/>
        </w:rPr>
        <w:t>, Docket UE-061546, Order 08 ¶ 54 (June 21, 2007)</w:t>
      </w:r>
      <w:r w:rsidR="001C4916">
        <w:rPr>
          <w:rFonts w:ascii="Times New Roman" w:hAnsi="Times New Roman"/>
        </w:rPr>
        <w:fldChar w:fldCharType="begin"/>
      </w:r>
      <w:r w:rsidR="001A54E2">
        <w:instrText xml:space="preserve"> TA \l "</w:instrText>
      </w:r>
      <w:r w:rsidR="001A54E2" w:rsidRPr="001B68F4">
        <w:rPr>
          <w:rFonts w:ascii="Times New Roman" w:hAnsi="Times New Roman"/>
          <w:i/>
          <w:iCs/>
        </w:rPr>
        <w:instrText>Wash. Utils. &amp; Transp. Comm'n</w:instrText>
      </w:r>
      <w:r w:rsidR="001A54E2" w:rsidRPr="001B68F4">
        <w:rPr>
          <w:rFonts w:ascii="Times New Roman" w:hAnsi="Times New Roman"/>
          <w:i/>
        </w:rPr>
        <w:instrText xml:space="preserve"> v. PacifiCorp</w:instrText>
      </w:r>
      <w:r w:rsidR="001A54E2" w:rsidRPr="001B68F4">
        <w:rPr>
          <w:rFonts w:ascii="Times New Roman" w:hAnsi="Times New Roman"/>
        </w:rPr>
        <w:instrText>, Docket UE-061546, Order 08 (June 21, 2007)</w:instrText>
      </w:r>
      <w:r w:rsidR="001A54E2">
        <w:instrText xml:space="preserve">" \s "Docket UE-061546, Order 08" \c 8 </w:instrText>
      </w:r>
      <w:r w:rsidR="001C4916">
        <w:rPr>
          <w:rFonts w:ascii="Times New Roman" w:hAnsi="Times New Roman"/>
        </w:rPr>
        <w:fldChar w:fldCharType="end"/>
      </w:r>
    </w:p>
  </w:footnote>
  <w:footnote w:id="137">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Initial Brief on Behalf of Commission Staff ¶ 87; Post-Hearing Brief on Behalf of ICNU ¶</w:t>
      </w:r>
      <w:r>
        <w:rPr>
          <w:rFonts w:ascii="Times New Roman" w:hAnsi="Times New Roman"/>
        </w:rPr>
        <w:t xml:space="preserve"> </w:t>
      </w:r>
      <w:r w:rsidRPr="001E598A">
        <w:rPr>
          <w:rFonts w:ascii="Times New Roman" w:hAnsi="Times New Roman"/>
        </w:rPr>
        <w:t>94.</w:t>
      </w:r>
    </w:p>
  </w:footnote>
  <w:footnote w:id="138">
    <w:p w:rsidR="002A1B0D" w:rsidRPr="001E598A" w:rsidRDefault="002A1B0D" w:rsidP="001A54E2">
      <w:pPr>
        <w:pStyle w:val="FootnoteText"/>
        <w:tabs>
          <w:tab w:val="left" w:pos="3750"/>
        </w:tabs>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of Commission Staff ¶ 89.</w:t>
      </w:r>
      <w:proofErr w:type="gramEnd"/>
    </w:p>
  </w:footnote>
  <w:footnote w:id="13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GND-5T 41:4-16.</w:t>
      </w:r>
    </w:p>
  </w:footnote>
  <w:footnote w:id="140">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PacifiCorp’s Initial Post-Hearing Brief ¶ 79.</w:t>
      </w:r>
      <w:proofErr w:type="gramEnd"/>
    </w:p>
  </w:footnote>
  <w:footnote w:id="141">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of Commission Staff ¶ 97.</w:t>
      </w:r>
      <w:proofErr w:type="gramEnd"/>
    </w:p>
  </w:footnote>
  <w:footnote w:id="142">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Buckley, </w:t>
      </w:r>
      <w:proofErr w:type="spellStart"/>
      <w:r w:rsidRPr="001E598A">
        <w:rPr>
          <w:rFonts w:ascii="Times New Roman" w:hAnsi="Times New Roman"/>
        </w:rPr>
        <w:t>Exh</w:t>
      </w:r>
      <w:proofErr w:type="spellEnd"/>
      <w:r w:rsidRPr="001E598A">
        <w:rPr>
          <w:rFonts w:ascii="Times New Roman" w:hAnsi="Times New Roman"/>
        </w:rPr>
        <w:t>. No. APB-1CT 23:4-18.</w:t>
      </w:r>
    </w:p>
  </w:footnote>
  <w:footnote w:id="143">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Buckley, </w:t>
      </w:r>
      <w:proofErr w:type="spellStart"/>
      <w:r w:rsidRPr="001E598A">
        <w:rPr>
          <w:rFonts w:ascii="Times New Roman" w:hAnsi="Times New Roman"/>
        </w:rPr>
        <w:t>Exh</w:t>
      </w:r>
      <w:proofErr w:type="spellEnd"/>
      <w:r w:rsidRPr="001E598A">
        <w:rPr>
          <w:rFonts w:ascii="Times New Roman" w:hAnsi="Times New Roman"/>
        </w:rPr>
        <w:t>. No. APB-1CT 23:20-21.</w:t>
      </w:r>
    </w:p>
  </w:footnote>
  <w:footnote w:id="144">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of Commission Staff ¶ 95.</w:t>
      </w:r>
      <w:proofErr w:type="gramEnd"/>
    </w:p>
  </w:footnote>
  <w:footnote w:id="145">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n.208.</w:t>
      </w:r>
      <w:proofErr w:type="gramEnd"/>
    </w:p>
  </w:footnote>
  <w:footnote w:id="146">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w:t>
      </w:r>
      <w:proofErr w:type="spellStart"/>
      <w:r w:rsidRPr="001E598A">
        <w:rPr>
          <w:rFonts w:ascii="Times New Roman" w:hAnsi="Times New Roman"/>
        </w:rPr>
        <w:t>Exh</w:t>
      </w:r>
      <w:proofErr w:type="spellEnd"/>
      <w:r w:rsidRPr="001E598A">
        <w:rPr>
          <w:rFonts w:ascii="Times New Roman" w:hAnsi="Times New Roman"/>
        </w:rPr>
        <w:t>. No. GND-5T 28:11-23.</w:t>
      </w:r>
    </w:p>
  </w:footnote>
  <w:footnote w:id="147">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76.</w:t>
      </w:r>
      <w:proofErr w:type="gramEnd"/>
    </w:p>
  </w:footnote>
  <w:footnote w:id="148">
    <w:p w:rsidR="006227AC" w:rsidRDefault="006227AC">
      <w:pPr>
        <w:pStyle w:val="FootnoteText"/>
      </w:pPr>
      <w:r>
        <w:rPr>
          <w:rStyle w:val="FootnoteReference"/>
        </w:rPr>
        <w:footnoteRef/>
      </w:r>
      <w:r>
        <w:t xml:space="preserve"> Duvall, </w:t>
      </w:r>
      <w:proofErr w:type="spellStart"/>
      <w:r>
        <w:t>Exh</w:t>
      </w:r>
      <w:proofErr w:type="spellEnd"/>
      <w:r>
        <w:t>. No. GND-5t:8-11.</w:t>
      </w:r>
    </w:p>
  </w:footnote>
  <w:footnote w:id="14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of Commission Staff ¶ 75.</w:t>
      </w:r>
      <w:proofErr w:type="gramEnd"/>
    </w:p>
  </w:footnote>
  <w:footnote w:id="150">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GND-5T 36:21-22</w:t>
      </w:r>
      <w:proofErr w:type="gramStart"/>
      <w:r w:rsidRPr="001E598A">
        <w:rPr>
          <w:rFonts w:ascii="Times New Roman" w:hAnsi="Times New Roman"/>
        </w:rPr>
        <w:t>..</w:t>
      </w:r>
      <w:proofErr w:type="gramEnd"/>
    </w:p>
  </w:footnote>
  <w:footnote w:id="151">
    <w:p w:rsidR="002A1B0D" w:rsidRDefault="002A1B0D">
      <w:pPr>
        <w:pStyle w:val="FootnoteText"/>
      </w:pPr>
      <w:r>
        <w:rPr>
          <w:rStyle w:val="FootnoteReference"/>
        </w:rPr>
        <w:footnoteRef/>
      </w:r>
      <w:r>
        <w:t xml:space="preserve"> </w:t>
      </w:r>
      <w:proofErr w:type="gramStart"/>
      <w:r>
        <w:t>Post-Hearing Brief on Behalf of ICNU ¶ 66.</w:t>
      </w:r>
      <w:proofErr w:type="gramEnd"/>
    </w:p>
  </w:footnote>
  <w:footnote w:id="152">
    <w:p w:rsidR="002A1B0D" w:rsidRPr="004A3EE8" w:rsidRDefault="002A1B0D">
      <w:pPr>
        <w:pStyle w:val="FootnoteText"/>
      </w:pPr>
      <w:r>
        <w:rPr>
          <w:rStyle w:val="FootnoteReference"/>
        </w:rPr>
        <w:footnoteRef/>
      </w:r>
      <w:r>
        <w:t xml:space="preserve"> </w:t>
      </w:r>
      <w:r>
        <w:rPr>
          <w:i/>
        </w:rPr>
        <w:t xml:space="preserve">See </w:t>
      </w:r>
      <w:r>
        <w:t xml:space="preserve">Duvall, </w:t>
      </w:r>
      <w:proofErr w:type="spellStart"/>
      <w:r>
        <w:t>Exh</w:t>
      </w:r>
      <w:proofErr w:type="spellEnd"/>
      <w:r>
        <w:t>. No. GND 39:5-40:3.</w:t>
      </w:r>
    </w:p>
  </w:footnote>
  <w:footnote w:id="153">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77.</w:t>
      </w:r>
      <w:proofErr w:type="gramEnd"/>
    </w:p>
  </w:footnote>
  <w:footnote w:id="154">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Falkenberg</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RFJ-1CT 55:1-15.</w:t>
      </w:r>
    </w:p>
  </w:footnote>
  <w:footnote w:id="155">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69.</w:t>
      </w:r>
      <w:proofErr w:type="gramEnd"/>
    </w:p>
  </w:footnote>
  <w:footnote w:id="156">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w:t>
      </w:r>
      <w:proofErr w:type="spellStart"/>
      <w:r w:rsidRPr="001E598A">
        <w:rPr>
          <w:rFonts w:ascii="Times New Roman" w:hAnsi="Times New Roman"/>
        </w:rPr>
        <w:t>Exh</w:t>
      </w:r>
      <w:proofErr w:type="spellEnd"/>
      <w:r w:rsidRPr="001E598A">
        <w:rPr>
          <w:rFonts w:ascii="Times New Roman" w:hAnsi="Times New Roman"/>
        </w:rPr>
        <w:t>. No. GND-5T 27:6-18.</w:t>
      </w:r>
    </w:p>
  </w:footnote>
  <w:footnote w:id="157">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69.</w:t>
      </w:r>
      <w:proofErr w:type="gramEnd"/>
    </w:p>
  </w:footnote>
  <w:footnote w:id="158">
    <w:p w:rsidR="002A1B0D" w:rsidRPr="001E598A" w:rsidRDefault="002A1B0D" w:rsidP="00426917">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 xml:space="preserve">Re Application of Rocky Mountain Power for Authority to Increase its Retail Electric Utility Service Rates in Utah, </w:t>
      </w:r>
      <w:r w:rsidRPr="001E598A">
        <w:rPr>
          <w:rFonts w:ascii="Times New Roman" w:hAnsi="Times New Roman"/>
        </w:rPr>
        <w:t>Docket No. 10-35-124, Direct Testimony of Gregory N. Duvall at 18 (</w:t>
      </w:r>
      <w:r>
        <w:rPr>
          <w:rFonts w:ascii="Times New Roman" w:hAnsi="Times New Roman"/>
        </w:rPr>
        <w:t xml:space="preserve">Utah PSC </w:t>
      </w:r>
      <w:r w:rsidRPr="001E598A">
        <w:rPr>
          <w:rFonts w:ascii="Times New Roman" w:hAnsi="Times New Roman"/>
        </w:rPr>
        <w:t>Jan. 24, 2011).  The Company requests that the Commission take official notice of this document pursuant to WAC 480-07-495</w:t>
      </w:r>
      <w:r w:rsidR="0043076D">
        <w:rPr>
          <w:rFonts w:ascii="Times New Roman" w:hAnsi="Times New Roman"/>
        </w:rPr>
        <w:fldChar w:fldCharType="begin"/>
      </w:r>
      <w:r w:rsidR="0043076D">
        <w:instrText xml:space="preserve"> TA \s "WAC 480-07-495</w:instrText>
      </w:r>
      <w:proofErr w:type="gramStart"/>
      <w:r w:rsidR="0043076D">
        <w:instrText xml:space="preserve">" </w:instrText>
      </w:r>
      <w:proofErr w:type="gramEnd"/>
      <w:r w:rsidR="0043076D">
        <w:rPr>
          <w:rFonts w:ascii="Times New Roman" w:hAnsi="Times New Roman"/>
        </w:rPr>
        <w:fldChar w:fldCharType="end"/>
      </w:r>
      <w:r w:rsidRPr="001E598A">
        <w:rPr>
          <w:rFonts w:ascii="Times New Roman" w:hAnsi="Times New Roman"/>
        </w:rPr>
        <w:t>.</w:t>
      </w:r>
    </w:p>
  </w:footnote>
  <w:footnote w:id="15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69.</w:t>
      </w:r>
      <w:proofErr w:type="gramEnd"/>
    </w:p>
  </w:footnote>
  <w:footnote w:id="160">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w:t>
      </w:r>
      <w:proofErr w:type="spellStart"/>
      <w:r>
        <w:rPr>
          <w:rFonts w:ascii="Times New Roman" w:hAnsi="Times New Roman"/>
        </w:rPr>
        <w:t>Exh</w:t>
      </w:r>
      <w:proofErr w:type="spellEnd"/>
      <w:r>
        <w:rPr>
          <w:rFonts w:ascii="Times New Roman" w:hAnsi="Times New Roman"/>
        </w:rPr>
        <w:t xml:space="preserve">. No. </w:t>
      </w:r>
      <w:proofErr w:type="gramStart"/>
      <w:r w:rsidRPr="001E598A">
        <w:rPr>
          <w:rFonts w:ascii="Times New Roman" w:hAnsi="Times New Roman"/>
        </w:rPr>
        <w:t>GND-44 1.</w:t>
      </w:r>
      <w:proofErr w:type="gramEnd"/>
    </w:p>
  </w:footnote>
  <w:footnote w:id="161">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101.</w:t>
      </w:r>
      <w:proofErr w:type="gramEnd"/>
    </w:p>
  </w:footnote>
  <w:footnote w:id="162">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96.</w:t>
      </w:r>
      <w:proofErr w:type="gramEnd"/>
    </w:p>
  </w:footnote>
  <w:footnote w:id="163">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0A42B2">
        <w:rPr>
          <w:rFonts w:ascii="Times New Roman" w:hAnsi="Times New Roman"/>
          <w:i/>
        </w:rPr>
        <w:t>Id.</w:t>
      </w:r>
      <w:r w:rsidRPr="001E598A">
        <w:rPr>
          <w:rFonts w:ascii="Times New Roman" w:hAnsi="Times New Roman"/>
        </w:rPr>
        <w:t xml:space="preserve"> ¶ 96.</w:t>
      </w:r>
      <w:proofErr w:type="gramEnd"/>
    </w:p>
  </w:footnote>
  <w:footnote w:id="164">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Duvall, </w:t>
      </w:r>
      <w:proofErr w:type="spellStart"/>
      <w:r w:rsidRPr="001E598A">
        <w:rPr>
          <w:rFonts w:ascii="Times New Roman" w:hAnsi="Times New Roman"/>
        </w:rPr>
        <w:t>Exh</w:t>
      </w:r>
      <w:proofErr w:type="spellEnd"/>
      <w:r w:rsidRPr="001E598A">
        <w:rPr>
          <w:rFonts w:ascii="Times New Roman" w:hAnsi="Times New Roman"/>
        </w:rPr>
        <w:t>. No. GND-5T 56:3-6.</w:t>
      </w:r>
    </w:p>
  </w:footnote>
  <w:footnote w:id="165">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123.</w:t>
      </w:r>
      <w:proofErr w:type="gramEnd"/>
    </w:p>
  </w:footnote>
  <w:footnote w:id="166">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Breda, </w:t>
      </w:r>
      <w:proofErr w:type="spellStart"/>
      <w:r w:rsidRPr="001E598A">
        <w:rPr>
          <w:rFonts w:ascii="Times New Roman" w:hAnsi="Times New Roman"/>
        </w:rPr>
        <w:t>Exh</w:t>
      </w:r>
      <w:proofErr w:type="spellEnd"/>
      <w:r w:rsidRPr="001E598A">
        <w:rPr>
          <w:rFonts w:ascii="Times New Roman" w:hAnsi="Times New Roman"/>
        </w:rPr>
        <w:t>. No. KHB-1T 4: 18-22.</w:t>
      </w:r>
    </w:p>
  </w:footnote>
  <w:footnote w:id="167">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Breda, </w:t>
      </w:r>
      <w:proofErr w:type="spellStart"/>
      <w:r w:rsidRPr="001E598A">
        <w:rPr>
          <w:rFonts w:ascii="Times New Roman" w:hAnsi="Times New Roman"/>
        </w:rPr>
        <w:t>Exh</w:t>
      </w:r>
      <w:proofErr w:type="spellEnd"/>
      <w:r w:rsidRPr="001E598A">
        <w:rPr>
          <w:rFonts w:ascii="Times New Roman" w:hAnsi="Times New Roman"/>
        </w:rPr>
        <w:t>. No. KHB-1T 24: 17</w:t>
      </w:r>
    </w:p>
  </w:footnote>
  <w:footnote w:id="168">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Breda, </w:t>
      </w:r>
      <w:proofErr w:type="spellStart"/>
      <w:r w:rsidRPr="001E598A">
        <w:rPr>
          <w:rFonts w:ascii="Times New Roman" w:hAnsi="Times New Roman"/>
        </w:rPr>
        <w:t>Exh</w:t>
      </w:r>
      <w:proofErr w:type="spellEnd"/>
      <w:r w:rsidRPr="001E598A">
        <w:rPr>
          <w:rFonts w:ascii="Times New Roman" w:hAnsi="Times New Roman"/>
        </w:rPr>
        <w:t>. No. KHB-1T 7: 3-6.</w:t>
      </w:r>
    </w:p>
  </w:footnote>
  <w:footnote w:id="169">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 xml:space="preserve">Fuller, </w:t>
      </w:r>
      <w:proofErr w:type="spellStart"/>
      <w:r w:rsidRPr="001E598A">
        <w:rPr>
          <w:rFonts w:ascii="Times New Roman" w:hAnsi="Times New Roman"/>
        </w:rPr>
        <w:t>Exh</w:t>
      </w:r>
      <w:proofErr w:type="spellEnd"/>
      <w:r w:rsidRPr="001E598A">
        <w:rPr>
          <w:rFonts w:ascii="Times New Roman" w:hAnsi="Times New Roman"/>
        </w:rPr>
        <w:t xml:space="preserve"> No.</w:t>
      </w:r>
      <w:proofErr w:type="gramEnd"/>
      <w:r w:rsidRPr="001E598A">
        <w:rPr>
          <w:rFonts w:ascii="Times New Roman" w:hAnsi="Times New Roman"/>
        </w:rPr>
        <w:t xml:space="preserve"> RF-8T 12: 5-13.</w:t>
      </w:r>
    </w:p>
  </w:footnote>
  <w:footnote w:id="170">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rPr>
        <w:t>See e.g.</w:t>
      </w:r>
      <w:r w:rsidRPr="001E598A">
        <w:rPr>
          <w:rFonts w:ascii="Times New Roman" w:hAnsi="Times New Roman"/>
        </w:rPr>
        <w:t xml:space="preserve">, Breda, </w:t>
      </w:r>
      <w:proofErr w:type="spellStart"/>
      <w:r w:rsidRPr="001E598A">
        <w:rPr>
          <w:rFonts w:ascii="Times New Roman" w:hAnsi="Times New Roman"/>
        </w:rPr>
        <w:t>Exh</w:t>
      </w:r>
      <w:proofErr w:type="spellEnd"/>
      <w:r w:rsidRPr="001E598A">
        <w:rPr>
          <w:rFonts w:ascii="Times New Roman" w:hAnsi="Times New Roman"/>
        </w:rPr>
        <w:t>.</w:t>
      </w:r>
      <w:proofErr w:type="gramEnd"/>
      <w:r w:rsidRPr="001E598A">
        <w:rPr>
          <w:rFonts w:ascii="Times New Roman" w:hAnsi="Times New Roman"/>
        </w:rPr>
        <w:t xml:space="preserve"> No. KHB-1T 8:8-14; Fuller, </w:t>
      </w:r>
      <w:proofErr w:type="spellStart"/>
      <w:r w:rsidRPr="001E598A">
        <w:rPr>
          <w:rFonts w:ascii="Times New Roman" w:hAnsi="Times New Roman"/>
        </w:rPr>
        <w:t>Exh</w:t>
      </w:r>
      <w:proofErr w:type="spellEnd"/>
      <w:r w:rsidRPr="001E598A">
        <w:rPr>
          <w:rFonts w:ascii="Times New Roman" w:hAnsi="Times New Roman"/>
        </w:rPr>
        <w:t>. No. RF-9 (“it is difficult to discern what specific accounting treatment is implied without examining the underlying record in the docket”), Breda, TR. 752:18-20 (“it’s difficult to find an order that speaks specifically to tax normalization”); Breda, TR. 756:1-3 (“it’s difficult to come up with a list [or orders authorizing normalization] because it’s not always discussed”).</w:t>
      </w:r>
    </w:p>
  </w:footnote>
  <w:footnote w:id="171">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Fuller,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RF-9 1.</w:t>
      </w:r>
      <w:proofErr w:type="gramEnd"/>
    </w:p>
  </w:footnote>
  <w:footnote w:id="172">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Breda, </w:t>
      </w:r>
      <w:proofErr w:type="spellStart"/>
      <w:r w:rsidRPr="001E598A">
        <w:rPr>
          <w:rFonts w:ascii="Times New Roman" w:hAnsi="Times New Roman"/>
        </w:rPr>
        <w:t>Exh</w:t>
      </w:r>
      <w:proofErr w:type="spellEnd"/>
      <w:r w:rsidRPr="001E598A">
        <w:rPr>
          <w:rFonts w:ascii="Times New Roman" w:hAnsi="Times New Roman"/>
        </w:rPr>
        <w:t xml:space="preserve">. No. KBH-5T. </w:t>
      </w:r>
    </w:p>
  </w:footnote>
  <w:footnote w:id="173">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136.</w:t>
      </w:r>
      <w:proofErr w:type="gramEnd"/>
    </w:p>
  </w:footnote>
  <w:footnote w:id="174">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Breda, </w:t>
      </w:r>
      <w:proofErr w:type="spellStart"/>
      <w:r w:rsidRPr="001E598A">
        <w:rPr>
          <w:rFonts w:ascii="Times New Roman" w:hAnsi="Times New Roman"/>
        </w:rPr>
        <w:t>Exh</w:t>
      </w:r>
      <w:proofErr w:type="spellEnd"/>
      <w:r w:rsidRPr="001E598A">
        <w:rPr>
          <w:rFonts w:ascii="Times New Roman" w:hAnsi="Times New Roman"/>
        </w:rPr>
        <w:t xml:space="preserve">. No. KHB-1T 7:10-21, Breda, </w:t>
      </w:r>
      <w:proofErr w:type="spellStart"/>
      <w:r w:rsidRPr="001E598A">
        <w:rPr>
          <w:rFonts w:ascii="Times New Roman" w:hAnsi="Times New Roman"/>
        </w:rPr>
        <w:t>Exh</w:t>
      </w:r>
      <w:proofErr w:type="spellEnd"/>
      <w:r w:rsidRPr="001E598A">
        <w:rPr>
          <w:rFonts w:ascii="Times New Roman" w:hAnsi="Times New Roman"/>
        </w:rPr>
        <w:t>. No. KHB -5T 1:14-21, Initial Brief on Behalf of Commission Staff ¶¶ 127-128.</w:t>
      </w:r>
    </w:p>
  </w:footnote>
  <w:footnote w:id="175">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138.</w:t>
      </w:r>
      <w:proofErr w:type="gramEnd"/>
    </w:p>
  </w:footnote>
  <w:footnote w:id="176">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Pr>
          <w:rFonts w:ascii="Times New Roman" w:hAnsi="Times New Roman"/>
        </w:rPr>
        <w:t>Breda, TR. 755:6-12 (“</w:t>
      </w:r>
      <w:r w:rsidRPr="001E598A">
        <w:rPr>
          <w:rFonts w:ascii="Times New Roman" w:hAnsi="Times New Roman"/>
        </w:rPr>
        <w:t>If there’s deferred taxes present you’re authorizing a form of normalization.”); 756:17-18 (“And most of the time the associated tax gets the same treatment as the item that it’s related to.”).</w:t>
      </w:r>
    </w:p>
  </w:footnote>
  <w:footnote w:id="177">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Breda, </w:t>
      </w:r>
      <w:proofErr w:type="spellStart"/>
      <w:r w:rsidRPr="001E598A">
        <w:rPr>
          <w:rFonts w:ascii="Times New Roman" w:hAnsi="Times New Roman"/>
        </w:rPr>
        <w:t>Exh</w:t>
      </w:r>
      <w:proofErr w:type="spellEnd"/>
      <w:r w:rsidRPr="001E598A">
        <w:rPr>
          <w:rFonts w:ascii="Times New Roman" w:hAnsi="Times New Roman"/>
        </w:rPr>
        <w:t xml:space="preserve">. No. KHB-1T 7:12-13.  </w:t>
      </w:r>
    </w:p>
  </w:footnote>
  <w:footnote w:id="178">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141.</w:t>
      </w:r>
      <w:proofErr w:type="gramEnd"/>
    </w:p>
  </w:footnote>
  <w:footnote w:id="179">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Fuller, </w:t>
      </w:r>
      <w:proofErr w:type="spellStart"/>
      <w:r w:rsidRPr="001E598A">
        <w:rPr>
          <w:rFonts w:ascii="Times New Roman" w:hAnsi="Times New Roman"/>
        </w:rPr>
        <w:t>Exh</w:t>
      </w:r>
      <w:proofErr w:type="spellEnd"/>
      <w:r w:rsidRPr="001E598A">
        <w:rPr>
          <w:rFonts w:ascii="Times New Roman" w:hAnsi="Times New Roman"/>
        </w:rPr>
        <w:t>. No. RF-8T 3:18-4:5.</w:t>
      </w:r>
    </w:p>
  </w:footnote>
  <w:footnote w:id="180">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Fuller, </w:t>
      </w:r>
      <w:proofErr w:type="spellStart"/>
      <w:r w:rsidRPr="001E598A">
        <w:rPr>
          <w:rFonts w:ascii="Times New Roman" w:hAnsi="Times New Roman"/>
        </w:rPr>
        <w:t>Exh</w:t>
      </w:r>
      <w:proofErr w:type="spellEnd"/>
      <w:r w:rsidRPr="001E598A">
        <w:rPr>
          <w:rFonts w:ascii="Times New Roman" w:hAnsi="Times New Roman"/>
        </w:rPr>
        <w:t>. No. RF-8T 3:1-10.</w:t>
      </w:r>
    </w:p>
  </w:footnote>
  <w:footnote w:id="181">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Fuller, </w:t>
      </w:r>
      <w:proofErr w:type="spellStart"/>
      <w:r w:rsidRPr="001E598A">
        <w:rPr>
          <w:rFonts w:ascii="Times New Roman" w:hAnsi="Times New Roman"/>
        </w:rPr>
        <w:t>Exh</w:t>
      </w:r>
      <w:proofErr w:type="spellEnd"/>
      <w:r w:rsidRPr="001E598A">
        <w:rPr>
          <w:rFonts w:ascii="Times New Roman" w:hAnsi="Times New Roman"/>
        </w:rPr>
        <w:t>. No. RF-8T 3: 6-10</w:t>
      </w:r>
    </w:p>
  </w:footnote>
  <w:footnote w:id="182">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Breda, </w:t>
      </w:r>
      <w:proofErr w:type="spellStart"/>
      <w:r w:rsidRPr="001E598A">
        <w:rPr>
          <w:rFonts w:ascii="Times New Roman" w:hAnsi="Times New Roman"/>
        </w:rPr>
        <w:t>Exh</w:t>
      </w:r>
      <w:proofErr w:type="spellEnd"/>
      <w:r w:rsidRPr="001E598A">
        <w:rPr>
          <w:rFonts w:ascii="Times New Roman" w:hAnsi="Times New Roman"/>
        </w:rPr>
        <w:t>. No. KHB-1T 10:5-13.</w:t>
      </w:r>
    </w:p>
  </w:footnote>
  <w:footnote w:id="183">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Fuller, </w:t>
      </w:r>
      <w:proofErr w:type="spellStart"/>
      <w:r w:rsidRPr="001E598A">
        <w:rPr>
          <w:rFonts w:ascii="Times New Roman" w:hAnsi="Times New Roman"/>
        </w:rPr>
        <w:t>Exh</w:t>
      </w:r>
      <w:proofErr w:type="spellEnd"/>
      <w:r w:rsidRPr="001E598A">
        <w:rPr>
          <w:rFonts w:ascii="Times New Roman" w:hAnsi="Times New Roman"/>
        </w:rPr>
        <w:t>. No. RF-8T 4:8-14.</w:t>
      </w:r>
    </w:p>
  </w:footnote>
  <w:footnote w:id="184">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Breda, </w:t>
      </w:r>
      <w:proofErr w:type="spellStart"/>
      <w:r w:rsidRPr="001E598A">
        <w:rPr>
          <w:rFonts w:ascii="Times New Roman" w:hAnsi="Times New Roman"/>
        </w:rPr>
        <w:t>Exh</w:t>
      </w:r>
      <w:proofErr w:type="spellEnd"/>
      <w:r w:rsidRPr="001E598A">
        <w:rPr>
          <w:rFonts w:ascii="Times New Roman" w:hAnsi="Times New Roman"/>
        </w:rPr>
        <w:t xml:space="preserve">. No. KHB-1T 25:4-7; Breda, TR. 758:6-14; Fuller, </w:t>
      </w:r>
      <w:proofErr w:type="spellStart"/>
      <w:r w:rsidRPr="001E598A">
        <w:rPr>
          <w:rFonts w:ascii="Times New Roman" w:hAnsi="Times New Roman"/>
        </w:rPr>
        <w:t>Exh</w:t>
      </w:r>
      <w:proofErr w:type="spellEnd"/>
      <w:r w:rsidRPr="001E598A">
        <w:rPr>
          <w:rFonts w:ascii="Times New Roman" w:hAnsi="Times New Roman"/>
        </w:rPr>
        <w:t>. No. RF-8T 12:17-22.</w:t>
      </w:r>
    </w:p>
  </w:footnote>
  <w:footnote w:id="185">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146.</w:t>
      </w:r>
      <w:proofErr w:type="gramEnd"/>
    </w:p>
  </w:footnote>
  <w:footnote w:id="186">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0A42B2">
        <w:rPr>
          <w:rFonts w:ascii="Times New Roman" w:hAnsi="Times New Roman"/>
          <w:i/>
        </w:rPr>
        <w:t xml:space="preserve">Id. </w:t>
      </w:r>
      <w:r w:rsidRPr="001E598A">
        <w:rPr>
          <w:rFonts w:ascii="Times New Roman" w:hAnsi="Times New Roman"/>
        </w:rPr>
        <w:t>¶ 147.</w:t>
      </w:r>
      <w:proofErr w:type="gramEnd"/>
    </w:p>
  </w:footnote>
  <w:footnote w:id="187">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 xml:space="preserve">See </w:t>
      </w:r>
      <w:r w:rsidRPr="001E598A">
        <w:rPr>
          <w:rFonts w:ascii="Times New Roman" w:hAnsi="Times New Roman"/>
        </w:rPr>
        <w:t>Breda, TR. 758:15-18 (Ms. Breda did not propose to annualize any other rate base items).</w:t>
      </w:r>
    </w:p>
  </w:footnote>
  <w:footnote w:id="188">
    <w:p w:rsidR="002A1B0D" w:rsidRPr="001E598A" w:rsidRDefault="002A1B0D" w:rsidP="009B143E">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147.</w:t>
      </w:r>
      <w:proofErr w:type="gramEnd"/>
    </w:p>
  </w:footnote>
  <w:footnote w:id="189">
    <w:p w:rsidR="002A1B0D" w:rsidRPr="001E598A" w:rsidRDefault="002A1B0D" w:rsidP="001979C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0A42B2">
        <w:rPr>
          <w:rFonts w:ascii="Times New Roman" w:hAnsi="Times New Roman"/>
          <w:i/>
        </w:rPr>
        <w:t xml:space="preserve">Id. </w:t>
      </w:r>
      <w:r w:rsidRPr="001E598A">
        <w:rPr>
          <w:rFonts w:ascii="Times New Roman" w:hAnsi="Times New Roman"/>
        </w:rPr>
        <w:t>¶ 114.</w:t>
      </w:r>
      <w:proofErr w:type="gramEnd"/>
    </w:p>
  </w:footnote>
  <w:footnote w:id="190">
    <w:p w:rsidR="002A1B0D" w:rsidRPr="001E598A" w:rsidRDefault="002A1B0D" w:rsidP="001979C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Docket UE-061546, TR. 318:19-319:4.  </w:t>
      </w:r>
    </w:p>
  </w:footnote>
  <w:footnote w:id="191">
    <w:p w:rsidR="002A1B0D" w:rsidRPr="001E598A" w:rsidRDefault="002A1B0D" w:rsidP="001979C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iCs/>
        </w:rPr>
        <w:t xml:space="preserve">Wash. </w:t>
      </w:r>
      <w:proofErr w:type="spellStart"/>
      <w:r w:rsidRPr="001E598A">
        <w:rPr>
          <w:rFonts w:ascii="Times New Roman" w:hAnsi="Times New Roman"/>
          <w:i/>
          <w:iCs/>
        </w:rPr>
        <w:t>Utils</w:t>
      </w:r>
      <w:proofErr w:type="spellEnd"/>
      <w:r w:rsidRPr="001E598A">
        <w:rPr>
          <w:rFonts w:ascii="Times New Roman" w:hAnsi="Times New Roman"/>
          <w:i/>
          <w:iCs/>
        </w:rPr>
        <w:t>.</w:t>
      </w:r>
      <w:proofErr w:type="gramEnd"/>
      <w:r w:rsidRPr="001E598A">
        <w:rPr>
          <w:rFonts w:ascii="Times New Roman" w:hAnsi="Times New Roman"/>
          <w:i/>
          <w:iCs/>
        </w:rPr>
        <w:t xml:space="preserve"> &amp; Transp. </w:t>
      </w:r>
      <w:proofErr w:type="spellStart"/>
      <w:r w:rsidRPr="001E598A">
        <w:rPr>
          <w:rFonts w:ascii="Times New Roman" w:hAnsi="Times New Roman"/>
          <w:i/>
          <w:iCs/>
        </w:rPr>
        <w:t>Comm'n</w:t>
      </w:r>
      <w:proofErr w:type="spellEnd"/>
      <w:r w:rsidRPr="001E598A">
        <w:rPr>
          <w:rFonts w:ascii="Times New Roman" w:hAnsi="Times New Roman"/>
          <w:i/>
        </w:rPr>
        <w:t xml:space="preserve"> v. PacifiCorp</w:t>
      </w:r>
      <w:r w:rsidRPr="001E598A">
        <w:rPr>
          <w:rFonts w:ascii="Times New Roman" w:hAnsi="Times New Roman"/>
        </w:rPr>
        <w:t>, Docket UE-061546, Order 08</w:t>
      </w:r>
      <w:r w:rsidR="001C4916">
        <w:rPr>
          <w:rFonts w:ascii="Times New Roman" w:hAnsi="Times New Roman"/>
        </w:rPr>
        <w:fldChar w:fldCharType="begin"/>
      </w:r>
      <w:r w:rsidR="001A54E2">
        <w:rPr>
          <w:rFonts w:ascii="Times New Roman" w:hAnsi="Times New Roman"/>
        </w:rPr>
        <w:instrText xml:space="preserve"> TA \s "Docket UE-061546, Order 08" </w:instrText>
      </w:r>
      <w:r w:rsidR="001C4916">
        <w:rPr>
          <w:rFonts w:ascii="Times New Roman" w:hAnsi="Times New Roman"/>
        </w:rPr>
        <w:fldChar w:fldCharType="end"/>
      </w:r>
      <w:r w:rsidRPr="001E598A">
        <w:rPr>
          <w:rFonts w:ascii="Times New Roman" w:hAnsi="Times New Roman"/>
        </w:rPr>
        <w:t xml:space="preserve"> ¶ 162 (June 21, 2007).</w:t>
      </w:r>
    </w:p>
  </w:footnote>
  <w:footnote w:id="192">
    <w:p w:rsidR="002A1B0D" w:rsidRPr="001E598A" w:rsidRDefault="002A1B0D" w:rsidP="001979C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000A42B2">
        <w:rPr>
          <w:rFonts w:ascii="Times New Roman" w:hAnsi="Times New Roman"/>
          <w:i/>
        </w:rPr>
        <w:t>Id.</w:t>
      </w:r>
      <w:r w:rsidR="001C4916">
        <w:rPr>
          <w:rFonts w:ascii="Times New Roman" w:hAnsi="Times New Roman"/>
        </w:rPr>
        <w:fldChar w:fldCharType="begin"/>
      </w:r>
      <w:r w:rsidR="001A54E2">
        <w:rPr>
          <w:rFonts w:ascii="Times New Roman" w:hAnsi="Times New Roman"/>
        </w:rPr>
        <w:instrText xml:space="preserve"> TA \s "Docket UE-061546, Order 08" </w:instrText>
      </w:r>
      <w:r w:rsidR="001C4916">
        <w:rPr>
          <w:rFonts w:ascii="Times New Roman" w:hAnsi="Times New Roman"/>
        </w:rPr>
        <w:fldChar w:fldCharType="end"/>
      </w:r>
      <w:r w:rsidRPr="001E598A">
        <w:rPr>
          <w:rFonts w:ascii="Times New Roman" w:hAnsi="Times New Roman"/>
        </w:rPr>
        <w:t xml:space="preserve"> </w:t>
      </w:r>
    </w:p>
  </w:footnote>
  <w:footnote w:id="193">
    <w:p w:rsidR="002A1B0D" w:rsidRPr="001E598A" w:rsidRDefault="002A1B0D" w:rsidP="001979C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118.</w:t>
      </w:r>
      <w:proofErr w:type="gramEnd"/>
    </w:p>
  </w:footnote>
  <w:footnote w:id="194">
    <w:p w:rsidR="002A1B0D" w:rsidRPr="001E598A" w:rsidRDefault="002A1B0D" w:rsidP="001979C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Dalley, TR. 359:21-25.</w:t>
      </w:r>
    </w:p>
  </w:footnote>
  <w:footnote w:id="195">
    <w:p w:rsidR="002A1B0D" w:rsidRPr="001E598A" w:rsidRDefault="002A1B0D" w:rsidP="001979C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121.</w:t>
      </w:r>
      <w:proofErr w:type="gramEnd"/>
    </w:p>
  </w:footnote>
  <w:footnote w:id="196">
    <w:p w:rsidR="002A1B0D" w:rsidRPr="001E598A" w:rsidRDefault="002A1B0D" w:rsidP="001979C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Dalley, TR. 355:10-14</w:t>
      </w:r>
    </w:p>
  </w:footnote>
  <w:footnote w:id="197">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36.</w:t>
      </w:r>
      <w:proofErr w:type="gramEnd"/>
    </w:p>
  </w:footnote>
  <w:footnote w:id="198">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009B2509">
        <w:rPr>
          <w:rFonts w:ascii="Times New Roman" w:hAnsi="Times New Roman"/>
          <w:i/>
        </w:rPr>
        <w:t xml:space="preserve">Id. </w:t>
      </w:r>
      <w:r w:rsidRPr="001E598A">
        <w:rPr>
          <w:rFonts w:ascii="Times New Roman" w:hAnsi="Times New Roman"/>
        </w:rPr>
        <w:t>¶¶ 36-37.</w:t>
      </w:r>
    </w:p>
  </w:footnote>
  <w:footnote w:id="19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Applying the SO factor of 7.4084% to the total Company incentive compensation of $215,000 equals $15,928.  </w:t>
      </w:r>
      <w:r w:rsidRPr="001E598A">
        <w:rPr>
          <w:rFonts w:ascii="Times New Roman" w:hAnsi="Times New Roman"/>
          <w:i/>
        </w:rPr>
        <w:t>See</w:t>
      </w:r>
      <w:r w:rsidRPr="001E598A">
        <w:rPr>
          <w:rFonts w:ascii="Times New Roman" w:hAnsi="Times New Roman"/>
        </w:rPr>
        <w:t xml:space="preserve"> </w:t>
      </w:r>
      <w:proofErr w:type="spellStart"/>
      <w:r w:rsidRPr="001E598A">
        <w:rPr>
          <w:rFonts w:ascii="Times New Roman" w:hAnsi="Times New Roman"/>
        </w:rPr>
        <w:t>Dalley</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RBD-3 Page 10.2.</w:t>
      </w:r>
      <w:proofErr w:type="gramEnd"/>
    </w:p>
  </w:footnote>
  <w:footnote w:id="200">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9.</w:t>
      </w:r>
      <w:proofErr w:type="gramEnd"/>
    </w:p>
  </w:footnote>
  <w:footnote w:id="201">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Wilson, </w:t>
      </w:r>
      <w:proofErr w:type="spellStart"/>
      <w:r w:rsidRPr="001E598A">
        <w:rPr>
          <w:rFonts w:ascii="Times New Roman" w:hAnsi="Times New Roman"/>
        </w:rPr>
        <w:t>Exh</w:t>
      </w:r>
      <w:proofErr w:type="spellEnd"/>
      <w:r w:rsidRPr="001E598A">
        <w:rPr>
          <w:rFonts w:ascii="Times New Roman" w:hAnsi="Times New Roman"/>
        </w:rPr>
        <w:t>. No. EDW-15C.</w:t>
      </w:r>
    </w:p>
  </w:footnote>
  <w:footnote w:id="202">
    <w:p w:rsidR="00D279F6" w:rsidRPr="00D279F6" w:rsidRDefault="00D279F6">
      <w:pPr>
        <w:pStyle w:val="FootnoteText"/>
      </w:pPr>
      <w:r>
        <w:rPr>
          <w:rStyle w:val="FootnoteReference"/>
        </w:rPr>
        <w:footnoteRef/>
      </w:r>
      <w:r>
        <w:t xml:space="preserve"> </w:t>
      </w:r>
      <w:r>
        <w:rPr>
          <w:i/>
        </w:rPr>
        <w:t xml:space="preserve">See </w:t>
      </w:r>
      <w:proofErr w:type="spellStart"/>
      <w:r>
        <w:t>Dalley</w:t>
      </w:r>
      <w:proofErr w:type="spellEnd"/>
      <w:r>
        <w:t xml:space="preserve">, </w:t>
      </w:r>
      <w:proofErr w:type="spellStart"/>
      <w:r>
        <w:t>Exh</w:t>
      </w:r>
      <w:proofErr w:type="spellEnd"/>
      <w:r>
        <w:t xml:space="preserve">. No. </w:t>
      </w:r>
      <w:proofErr w:type="gramStart"/>
      <w:r>
        <w:t>RBD-12.</w:t>
      </w:r>
      <w:proofErr w:type="gramEnd"/>
    </w:p>
  </w:footnote>
  <w:footnote w:id="203">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20.</w:t>
      </w:r>
      <w:proofErr w:type="gramEnd"/>
    </w:p>
  </w:footnote>
  <w:footnote w:id="204">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9B2509">
        <w:rPr>
          <w:rFonts w:ascii="Times New Roman" w:hAnsi="Times New Roman"/>
          <w:i/>
        </w:rPr>
        <w:t xml:space="preserve">Id. </w:t>
      </w:r>
      <w:r w:rsidRPr="001E598A">
        <w:rPr>
          <w:rFonts w:ascii="Times New Roman" w:hAnsi="Times New Roman"/>
        </w:rPr>
        <w:t>¶ 23.</w:t>
      </w:r>
      <w:proofErr w:type="gramEnd"/>
    </w:p>
  </w:footnote>
  <w:footnote w:id="205">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Wilson,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EDW-19 1.</w:t>
      </w:r>
      <w:proofErr w:type="gramEnd"/>
    </w:p>
  </w:footnote>
  <w:footnote w:id="206">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Wilson,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EDW-20 1.</w:t>
      </w:r>
      <w:proofErr w:type="gramEnd"/>
    </w:p>
  </w:footnote>
  <w:footnote w:id="207">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24.</w:t>
      </w:r>
      <w:proofErr w:type="gramEnd"/>
    </w:p>
  </w:footnote>
  <w:footnote w:id="208">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9B2509">
        <w:rPr>
          <w:rFonts w:ascii="Times New Roman" w:hAnsi="Times New Roman"/>
          <w:i/>
        </w:rPr>
        <w:t xml:space="preserve">Id. </w:t>
      </w:r>
      <w:r w:rsidRPr="001E598A">
        <w:rPr>
          <w:rFonts w:ascii="Times New Roman" w:hAnsi="Times New Roman"/>
        </w:rPr>
        <w:t>¶ 28.</w:t>
      </w:r>
      <w:proofErr w:type="gramEnd"/>
    </w:p>
  </w:footnote>
  <w:footnote w:id="20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Wilson, TR 423:3-424:10.</w:t>
      </w:r>
    </w:p>
  </w:footnote>
  <w:footnote w:id="210">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29.</w:t>
      </w:r>
      <w:proofErr w:type="gramEnd"/>
    </w:p>
  </w:footnote>
  <w:footnote w:id="211">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40.</w:t>
      </w:r>
      <w:proofErr w:type="gramEnd"/>
    </w:p>
  </w:footnote>
  <w:footnote w:id="212">
    <w:p w:rsidR="002A1B0D" w:rsidRPr="001E598A" w:rsidRDefault="002A1B0D" w:rsidP="00360F60">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 xml:space="preserve">See </w:t>
      </w:r>
      <w:r w:rsidRPr="001E598A">
        <w:rPr>
          <w:rFonts w:ascii="Times New Roman" w:hAnsi="Times New Roman"/>
        </w:rPr>
        <w:t xml:space="preserve">Stuver, TR. 435:13-436:8; </w:t>
      </w:r>
      <w:proofErr w:type="spellStart"/>
      <w:r w:rsidRPr="001E598A">
        <w:rPr>
          <w:rFonts w:ascii="Times New Roman" w:hAnsi="Times New Roman"/>
        </w:rPr>
        <w:t>Stuver</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DKS-3.</w:t>
      </w:r>
      <w:proofErr w:type="gramEnd"/>
      <w:r w:rsidRPr="001E598A">
        <w:rPr>
          <w:rFonts w:ascii="Times New Roman" w:hAnsi="Times New Roman"/>
        </w:rPr>
        <w:t xml:space="preserve"> </w:t>
      </w:r>
    </w:p>
  </w:footnote>
  <w:footnote w:id="213">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Stuver</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DKS-4 8.</w:t>
      </w:r>
      <w:proofErr w:type="gramEnd"/>
    </w:p>
  </w:footnote>
  <w:footnote w:id="214">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Initial Brief on Behalf of Commission Staff ¶ 63.</w:t>
      </w:r>
      <w:proofErr w:type="gramEnd"/>
    </w:p>
  </w:footnote>
  <w:footnote w:id="215">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50.</w:t>
      </w:r>
      <w:proofErr w:type="gramEnd"/>
    </w:p>
  </w:footnote>
  <w:footnote w:id="216">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on Behalf of ICNU ¶ 105.</w:t>
      </w:r>
      <w:proofErr w:type="gramEnd"/>
    </w:p>
  </w:footnote>
  <w:footnote w:id="217">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0E3434">
        <w:rPr>
          <w:rFonts w:ascii="Times New Roman" w:hAnsi="Times New Roman"/>
          <w:i/>
        </w:rPr>
        <w:t xml:space="preserve">Id. </w:t>
      </w:r>
      <w:r w:rsidRPr="001E598A">
        <w:rPr>
          <w:rFonts w:ascii="Times New Roman" w:hAnsi="Times New Roman"/>
        </w:rPr>
        <w:t>¶ 105.</w:t>
      </w:r>
      <w:proofErr w:type="gramEnd"/>
    </w:p>
  </w:footnote>
  <w:footnote w:id="218">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iCs/>
        </w:rPr>
        <w:t xml:space="preserve">Wash. </w:t>
      </w:r>
      <w:proofErr w:type="spellStart"/>
      <w:r w:rsidRPr="001E598A">
        <w:rPr>
          <w:rFonts w:ascii="Times New Roman" w:hAnsi="Times New Roman"/>
          <w:i/>
          <w:iCs/>
        </w:rPr>
        <w:t>Utils</w:t>
      </w:r>
      <w:proofErr w:type="spellEnd"/>
      <w:r w:rsidRPr="001E598A">
        <w:rPr>
          <w:rFonts w:ascii="Times New Roman" w:hAnsi="Times New Roman"/>
          <w:i/>
          <w:iCs/>
        </w:rPr>
        <w:t>.</w:t>
      </w:r>
      <w:proofErr w:type="gramEnd"/>
      <w:r w:rsidRPr="001E598A">
        <w:rPr>
          <w:rFonts w:ascii="Times New Roman" w:hAnsi="Times New Roman"/>
          <w:i/>
          <w:iCs/>
        </w:rPr>
        <w:t xml:space="preserve"> &amp; Transp. </w:t>
      </w:r>
      <w:proofErr w:type="spellStart"/>
      <w:r w:rsidRPr="001E598A">
        <w:rPr>
          <w:rFonts w:ascii="Times New Roman" w:hAnsi="Times New Roman"/>
          <w:i/>
          <w:iCs/>
        </w:rPr>
        <w:t>Comm'n</w:t>
      </w:r>
      <w:proofErr w:type="spellEnd"/>
      <w:r w:rsidRPr="001E598A">
        <w:rPr>
          <w:rFonts w:ascii="Times New Roman" w:hAnsi="Times New Roman"/>
          <w:i/>
        </w:rPr>
        <w:t xml:space="preserve"> v. PacifiCorp</w:t>
      </w:r>
      <w:r w:rsidRPr="001E598A">
        <w:rPr>
          <w:rFonts w:ascii="Times New Roman" w:hAnsi="Times New Roman"/>
        </w:rPr>
        <w:t>, Docket No. UE-080220, Order 5 ¶ 14 (Oct. 8, 2008)</w:t>
      </w:r>
      <w:r w:rsidR="001C4916">
        <w:rPr>
          <w:rFonts w:ascii="Times New Roman" w:hAnsi="Times New Roman"/>
        </w:rPr>
        <w:fldChar w:fldCharType="begin"/>
      </w:r>
      <w:r w:rsidR="001A54E2">
        <w:instrText xml:space="preserve"> TA \l "</w:instrText>
      </w:r>
      <w:r w:rsidR="001A54E2" w:rsidRPr="001B68F4">
        <w:rPr>
          <w:rFonts w:ascii="Times New Roman" w:hAnsi="Times New Roman"/>
          <w:i/>
          <w:iCs/>
        </w:rPr>
        <w:instrText>Wash. Utils. &amp; Transp. Comm'n</w:instrText>
      </w:r>
      <w:r w:rsidR="001A54E2" w:rsidRPr="001B68F4">
        <w:rPr>
          <w:rFonts w:ascii="Times New Roman" w:hAnsi="Times New Roman"/>
          <w:i/>
        </w:rPr>
        <w:instrText xml:space="preserve"> v. PacifiCorp</w:instrText>
      </w:r>
      <w:r w:rsidR="001A54E2" w:rsidRPr="001B68F4">
        <w:rPr>
          <w:rFonts w:ascii="Times New Roman" w:hAnsi="Times New Roman"/>
        </w:rPr>
        <w:instrText>, Docket No. UE-080220, Order 5 (Oct. 8, 2008)</w:instrText>
      </w:r>
      <w:r w:rsidR="001A54E2">
        <w:instrText xml:space="preserve">" \s "Docket No. UE-080220, Order 5" \c 8 </w:instrText>
      </w:r>
      <w:r w:rsidR="001C4916">
        <w:rPr>
          <w:rFonts w:ascii="Times New Roman" w:hAnsi="Times New Roman"/>
        </w:rPr>
        <w:fldChar w:fldCharType="end"/>
      </w:r>
      <w:r w:rsidRPr="001E598A">
        <w:rPr>
          <w:rFonts w:ascii="Times New Roman" w:hAnsi="Times New Roman"/>
        </w:rPr>
        <w:t>.</w:t>
      </w:r>
    </w:p>
  </w:footnote>
  <w:footnote w:id="21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82.</w:t>
      </w:r>
      <w:proofErr w:type="gramEnd"/>
    </w:p>
  </w:footnote>
  <w:footnote w:id="220">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Griffith, TR 540:8-15; </w:t>
      </w:r>
      <w:proofErr w:type="spellStart"/>
      <w:r w:rsidRPr="001E598A">
        <w:rPr>
          <w:rFonts w:ascii="Times New Roman" w:hAnsi="Times New Roman"/>
        </w:rPr>
        <w:t>Paice</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CCP-6T 1:12-19</w:t>
      </w:r>
      <w:proofErr w:type="gramStart"/>
      <w:r w:rsidRPr="001E598A">
        <w:rPr>
          <w:rFonts w:ascii="Times New Roman" w:hAnsi="Times New Roman"/>
        </w:rPr>
        <w:t>..</w:t>
      </w:r>
      <w:proofErr w:type="gramEnd"/>
    </w:p>
  </w:footnote>
  <w:footnote w:id="221">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88.</w:t>
      </w:r>
      <w:proofErr w:type="gramEnd"/>
    </w:p>
  </w:footnote>
  <w:footnote w:id="222">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Schooley, TR. 482:13-21; Griffith, </w:t>
      </w:r>
      <w:proofErr w:type="spellStart"/>
      <w:r w:rsidRPr="001E598A">
        <w:rPr>
          <w:rFonts w:ascii="Times New Roman" w:hAnsi="Times New Roman"/>
        </w:rPr>
        <w:t>Exh</w:t>
      </w:r>
      <w:proofErr w:type="spellEnd"/>
      <w:r w:rsidRPr="001E598A">
        <w:rPr>
          <w:rFonts w:ascii="Times New Roman" w:hAnsi="Times New Roman"/>
        </w:rPr>
        <w:t xml:space="preserve">. No. WRG-7T 4:12-5:12; Griffith, </w:t>
      </w:r>
      <w:proofErr w:type="spellStart"/>
      <w:r w:rsidRPr="001E598A">
        <w:rPr>
          <w:rFonts w:ascii="Times New Roman" w:hAnsi="Times New Roman"/>
        </w:rPr>
        <w:t>Exh</w:t>
      </w:r>
      <w:proofErr w:type="spellEnd"/>
      <w:r w:rsidRPr="001E598A">
        <w:rPr>
          <w:rFonts w:ascii="Times New Roman" w:hAnsi="Times New Roman"/>
        </w:rPr>
        <w:t xml:space="preserve">. No. </w:t>
      </w:r>
      <w:proofErr w:type="gramStart"/>
      <w:r w:rsidRPr="001E598A">
        <w:rPr>
          <w:rFonts w:ascii="Times New Roman" w:hAnsi="Times New Roman"/>
        </w:rPr>
        <w:t>WRG-11.</w:t>
      </w:r>
      <w:proofErr w:type="gramEnd"/>
    </w:p>
  </w:footnote>
  <w:footnote w:id="223">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rPr>
        <w:t>Post-Hearing Brief of Public Counsel ¶ 90.</w:t>
      </w:r>
      <w:proofErr w:type="gramEnd"/>
    </w:p>
  </w:footnote>
  <w:footnote w:id="224">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000E3434">
        <w:rPr>
          <w:rFonts w:ascii="Times New Roman" w:hAnsi="Times New Roman"/>
          <w:i/>
        </w:rPr>
        <w:t xml:space="preserve">Id. </w:t>
      </w:r>
      <w:r w:rsidRPr="001E598A">
        <w:rPr>
          <w:rFonts w:ascii="Times New Roman" w:hAnsi="Times New Roman"/>
        </w:rPr>
        <w:t>¶ 91.</w:t>
      </w:r>
      <w:proofErr w:type="gramEnd"/>
    </w:p>
  </w:footnote>
  <w:footnote w:id="225">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Griffith, </w:t>
      </w:r>
      <w:proofErr w:type="spellStart"/>
      <w:r w:rsidRPr="001E598A">
        <w:rPr>
          <w:rFonts w:ascii="Times New Roman" w:hAnsi="Times New Roman"/>
        </w:rPr>
        <w:t>Exh</w:t>
      </w:r>
      <w:proofErr w:type="spellEnd"/>
      <w:r w:rsidRPr="001E598A">
        <w:rPr>
          <w:rFonts w:ascii="Times New Roman" w:hAnsi="Times New Roman"/>
        </w:rPr>
        <w:t>. No. WRG-7T 3:18-20.</w:t>
      </w:r>
    </w:p>
  </w:footnote>
  <w:footnote w:id="226">
    <w:p w:rsidR="002A1B0D" w:rsidRPr="001E598A" w:rsidRDefault="002A1B0D">
      <w:pPr>
        <w:pStyle w:val="FootnoteText"/>
        <w:rPr>
          <w:rFonts w:ascii="Times New Roman" w:hAnsi="Times New Roman"/>
          <w:i/>
        </w:rPr>
      </w:pPr>
      <w:r w:rsidRPr="001E598A">
        <w:rPr>
          <w:rStyle w:val="FootnoteReference"/>
          <w:rFonts w:ascii="Times New Roman" w:hAnsi="Times New Roman"/>
        </w:rPr>
        <w:footnoteRef/>
      </w:r>
      <w:r w:rsidRPr="001E598A">
        <w:rPr>
          <w:rFonts w:ascii="Times New Roman" w:hAnsi="Times New Roman"/>
        </w:rPr>
        <w:t xml:space="preserve"> </w:t>
      </w:r>
      <w:r w:rsidRPr="001E598A">
        <w:rPr>
          <w:rFonts w:ascii="Times New Roman" w:hAnsi="Times New Roman"/>
          <w:i/>
        </w:rPr>
        <w:t xml:space="preserve">See </w:t>
      </w:r>
      <w:r w:rsidRPr="001E598A">
        <w:rPr>
          <w:rFonts w:ascii="Times New Roman" w:hAnsi="Times New Roman"/>
        </w:rPr>
        <w:t>Post-Hearing Brief of Public Counsel ¶¶ 92-94.</w:t>
      </w:r>
    </w:p>
  </w:footnote>
  <w:footnote w:id="227">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The Energy Project’s Initial Post-Hearing Brief at 6-7.  </w:t>
      </w:r>
    </w:p>
  </w:footnote>
  <w:footnote w:id="228">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gramStart"/>
      <w:r w:rsidRPr="001E598A">
        <w:rPr>
          <w:rFonts w:ascii="Times New Roman" w:hAnsi="Times New Roman"/>
          <w:i/>
          <w:iCs/>
        </w:rPr>
        <w:t xml:space="preserve">Wash. </w:t>
      </w:r>
      <w:proofErr w:type="spellStart"/>
      <w:r w:rsidRPr="001E598A">
        <w:rPr>
          <w:rFonts w:ascii="Times New Roman" w:hAnsi="Times New Roman"/>
          <w:i/>
          <w:iCs/>
        </w:rPr>
        <w:t>Utils</w:t>
      </w:r>
      <w:proofErr w:type="spellEnd"/>
      <w:r w:rsidRPr="001E598A">
        <w:rPr>
          <w:rFonts w:ascii="Times New Roman" w:hAnsi="Times New Roman"/>
          <w:i/>
          <w:iCs/>
        </w:rPr>
        <w:t>.</w:t>
      </w:r>
      <w:proofErr w:type="gramEnd"/>
      <w:r w:rsidRPr="001E598A">
        <w:rPr>
          <w:rFonts w:ascii="Times New Roman" w:hAnsi="Times New Roman"/>
          <w:i/>
          <w:iCs/>
        </w:rPr>
        <w:t xml:space="preserve"> </w:t>
      </w:r>
      <w:proofErr w:type="gramStart"/>
      <w:r w:rsidRPr="001E598A">
        <w:rPr>
          <w:rFonts w:ascii="Times New Roman" w:hAnsi="Times New Roman"/>
          <w:i/>
          <w:iCs/>
        </w:rPr>
        <w:t xml:space="preserve">&amp; Transp. </w:t>
      </w:r>
      <w:proofErr w:type="spellStart"/>
      <w:r w:rsidRPr="001E598A">
        <w:rPr>
          <w:rFonts w:ascii="Times New Roman" w:hAnsi="Times New Roman"/>
          <w:i/>
          <w:iCs/>
        </w:rPr>
        <w:t>Comm'n</w:t>
      </w:r>
      <w:proofErr w:type="spellEnd"/>
      <w:r w:rsidRPr="001E598A">
        <w:rPr>
          <w:rFonts w:ascii="Times New Roman" w:hAnsi="Times New Roman"/>
          <w:i/>
        </w:rPr>
        <w:t xml:space="preserve"> v. PacifiCorp</w:t>
      </w:r>
      <w:r w:rsidRPr="001E598A">
        <w:rPr>
          <w:rFonts w:ascii="Times New Roman" w:hAnsi="Times New Roman"/>
        </w:rPr>
        <w:t>, Docket UE-090205, Order 09 ¶ 28 (Dec. 16, 2009)</w:t>
      </w:r>
      <w:r w:rsidR="001C4916">
        <w:rPr>
          <w:rFonts w:ascii="Times New Roman" w:hAnsi="Times New Roman"/>
        </w:rPr>
        <w:fldChar w:fldCharType="begin"/>
      </w:r>
      <w:r w:rsidR="001A54E2">
        <w:instrText xml:space="preserve"> TA \s "Docket UE-090205 Order 09" </w:instrText>
      </w:r>
      <w:r w:rsidR="001C4916">
        <w:rPr>
          <w:rFonts w:ascii="Times New Roman" w:hAnsi="Times New Roman"/>
        </w:rPr>
        <w:fldChar w:fldCharType="end"/>
      </w:r>
      <w:r w:rsidRPr="001E598A">
        <w:rPr>
          <w:rFonts w:ascii="Times New Roman" w:hAnsi="Times New Roman"/>
        </w:rPr>
        <w:t xml:space="preserve">; </w:t>
      </w:r>
      <w:proofErr w:type="spellStart"/>
      <w:r w:rsidRPr="001E598A">
        <w:rPr>
          <w:rFonts w:ascii="Times New Roman" w:hAnsi="Times New Roman"/>
        </w:rPr>
        <w:t>Eberle</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w:t>
      </w:r>
      <w:proofErr w:type="gramEnd"/>
      <w:r w:rsidRPr="001E598A">
        <w:rPr>
          <w:rFonts w:ascii="Times New Roman" w:hAnsi="Times New Roman"/>
        </w:rPr>
        <w:t xml:space="preserve"> No. RME-1T 5:15-6:2.</w:t>
      </w:r>
    </w:p>
  </w:footnote>
  <w:footnote w:id="229">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The Energy Project’s Initial Post-Hearing Brief at 8.  See </w:t>
      </w:r>
      <w:proofErr w:type="spellStart"/>
      <w:r w:rsidRPr="001E598A">
        <w:rPr>
          <w:rFonts w:ascii="Times New Roman" w:hAnsi="Times New Roman"/>
        </w:rPr>
        <w:t>Eberle</w:t>
      </w:r>
      <w:proofErr w:type="spellEnd"/>
      <w:r w:rsidRPr="001E598A">
        <w:rPr>
          <w:rFonts w:ascii="Times New Roman" w:hAnsi="Times New Roman"/>
        </w:rPr>
        <w:t>, TR. 524:5-7 (“Well, I don’t know if you’d consider it formal, but everyone was in the room, and I asked each person representing an agency.”)</w:t>
      </w:r>
    </w:p>
  </w:footnote>
  <w:footnote w:id="230">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The Energy Project’s Initial Post-Hearing Brief at 9.  </w:t>
      </w:r>
    </w:p>
  </w:footnote>
  <w:footnote w:id="231">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r w:rsidR="000E3434">
        <w:rPr>
          <w:rFonts w:ascii="Times New Roman" w:hAnsi="Times New Roman"/>
          <w:i/>
        </w:rPr>
        <w:t>Id.</w:t>
      </w:r>
      <w:r>
        <w:rPr>
          <w:rFonts w:ascii="Times New Roman" w:hAnsi="Times New Roman"/>
        </w:rPr>
        <w:t xml:space="preserve"> at </w:t>
      </w:r>
      <w:r w:rsidRPr="001E598A">
        <w:rPr>
          <w:rFonts w:ascii="Times New Roman" w:hAnsi="Times New Roman"/>
        </w:rPr>
        <w:t>9</w:t>
      </w:r>
      <w:r>
        <w:rPr>
          <w:rFonts w:ascii="Times New Roman" w:hAnsi="Times New Roman"/>
        </w:rPr>
        <w:t>-10</w:t>
      </w:r>
      <w:r w:rsidRPr="001E598A">
        <w:rPr>
          <w:rFonts w:ascii="Times New Roman" w:hAnsi="Times New Roman"/>
        </w:rPr>
        <w:t xml:space="preserve">.  </w:t>
      </w:r>
    </w:p>
  </w:footnote>
  <w:footnote w:id="232">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The Energy Project’s Initial Post-Hearing Brief at 12-13.</w:t>
      </w:r>
    </w:p>
  </w:footnote>
  <w:footnote w:id="233">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Eberle</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RME-1T 7:13-19.</w:t>
      </w:r>
    </w:p>
  </w:footnote>
  <w:footnote w:id="234">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Eberle</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RME-1T 6:19-21.</w:t>
      </w:r>
    </w:p>
  </w:footnote>
  <w:footnote w:id="235">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Eberle</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No. RME-1T 7:5-6.</w:t>
      </w:r>
    </w:p>
  </w:footnote>
  <w:footnote w:id="236">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Eberle</w:t>
      </w:r>
      <w:proofErr w:type="spellEnd"/>
      <w:r w:rsidRPr="001E598A">
        <w:rPr>
          <w:rFonts w:ascii="Times New Roman" w:hAnsi="Times New Roman"/>
        </w:rPr>
        <w:t xml:space="preserve">, </w:t>
      </w:r>
      <w:proofErr w:type="spellStart"/>
      <w:r w:rsidRPr="001E598A">
        <w:rPr>
          <w:rFonts w:ascii="Times New Roman" w:hAnsi="Times New Roman"/>
        </w:rPr>
        <w:t>Exh</w:t>
      </w:r>
      <w:proofErr w:type="spellEnd"/>
      <w:r w:rsidRPr="001E598A">
        <w:rPr>
          <w:rFonts w:ascii="Times New Roman" w:hAnsi="Times New Roman"/>
        </w:rPr>
        <w:t xml:space="preserve">. No. RME-1T 6:12-7:8.  The Energy Project incorrectly states that the Company’s programs in Utah and California use every-other-year certification.  The Energy Project’s Initial Post-Hearing Brief at 17.  The Company’s Utah program certifies every year through LIHEAP. </w:t>
      </w:r>
      <w:proofErr w:type="spellStart"/>
      <w:r w:rsidRPr="001E598A">
        <w:rPr>
          <w:rFonts w:ascii="Times New Roman" w:hAnsi="Times New Roman"/>
        </w:rPr>
        <w:t>Eberle</w:t>
      </w:r>
      <w:proofErr w:type="spellEnd"/>
      <w:r w:rsidRPr="001E598A">
        <w:rPr>
          <w:rFonts w:ascii="Times New Roman" w:hAnsi="Times New Roman"/>
        </w:rPr>
        <w:t>, TR. 530:11-14.</w:t>
      </w:r>
    </w:p>
  </w:footnote>
  <w:footnote w:id="237">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The Energy Project’s Initial Post-Hearing Brief at 22.</w:t>
      </w:r>
    </w:p>
  </w:footnote>
  <w:footnote w:id="238">
    <w:p w:rsidR="002A1B0D" w:rsidRPr="001E598A" w:rsidRDefault="002A1B0D" w:rsidP="00896585">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w:t>
      </w:r>
      <w:proofErr w:type="spellStart"/>
      <w:r w:rsidRPr="001E598A">
        <w:rPr>
          <w:rFonts w:ascii="Times New Roman" w:hAnsi="Times New Roman"/>
        </w:rPr>
        <w:t>Eberle</w:t>
      </w:r>
      <w:proofErr w:type="spellEnd"/>
      <w:r w:rsidRPr="001E598A">
        <w:rPr>
          <w:rFonts w:ascii="Times New Roman" w:hAnsi="Times New Roman"/>
        </w:rPr>
        <w:t>, TR. 535:8-12.</w:t>
      </w:r>
    </w:p>
  </w:footnote>
  <w:footnote w:id="239">
    <w:p w:rsidR="002A1B0D" w:rsidRPr="001E598A" w:rsidRDefault="002A1B0D">
      <w:pPr>
        <w:pStyle w:val="FootnoteText"/>
        <w:rPr>
          <w:rFonts w:ascii="Times New Roman" w:hAnsi="Times New Roman"/>
        </w:rPr>
      </w:pPr>
      <w:r w:rsidRPr="001E598A">
        <w:rPr>
          <w:rStyle w:val="FootnoteReference"/>
          <w:rFonts w:ascii="Times New Roman" w:hAnsi="Times New Roman"/>
        </w:rPr>
        <w:footnoteRef/>
      </w:r>
      <w:r w:rsidRPr="001E598A">
        <w:rPr>
          <w:rFonts w:ascii="Times New Roman" w:hAnsi="Times New Roman"/>
        </w:rPr>
        <w:t xml:space="preserve"> Initial Brief on Behalf of Commission Staff ¶¶ 238-241.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0D" w:rsidRDefault="002A1B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3">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5">
    <w:nsid w:val="50E35727"/>
    <w:multiLevelType w:val="multilevel"/>
    <w:tmpl w:val="78560072"/>
    <w:numStyleLink w:val="Style2"/>
  </w:abstractNum>
  <w:abstractNum w:abstractNumId="6">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7">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9">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12">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3">
    <w:nsid w:val="776A6DD5"/>
    <w:multiLevelType w:val="multilevel"/>
    <w:tmpl w:val="8A2AD740"/>
    <w:lvl w:ilvl="0">
      <w:start w:val="1"/>
      <w:numFmt w:val="decimal"/>
      <w:lvlText w:val="%1."/>
      <w:lvlJc w:val="left"/>
      <w:pPr>
        <w:tabs>
          <w:tab w:val="num" w:pos="1440"/>
        </w:tabs>
        <w:ind w:left="720" w:hanging="720"/>
      </w:pPr>
      <w:rPr>
        <w:rFonts w:hint="default"/>
        <w:b w:val="0"/>
        <w:i/>
        <w:color w:val="auto"/>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3"/>
  </w:num>
  <w:num w:numId="2">
    <w:abstractNumId w:val="1"/>
  </w:num>
  <w:num w:numId="3">
    <w:abstractNumId w:val="7"/>
  </w:num>
  <w:num w:numId="4">
    <w:abstractNumId w:val="10"/>
  </w:num>
  <w:num w:numId="5">
    <w:abstractNumId w:val="8"/>
  </w:num>
  <w:num w:numId="6">
    <w:abstractNumId w:val="2"/>
  </w:num>
  <w:num w:numId="7">
    <w:abstractNumId w:val="0"/>
  </w:num>
  <w:num w:numId="8">
    <w:abstractNumId w:val="5"/>
  </w:num>
  <w:num w:numId="9">
    <w:abstractNumId w:val="4"/>
  </w:num>
  <w:num w:numId="10">
    <w:abstractNumId w:val="6"/>
  </w:num>
  <w:num w:numId="11">
    <w:abstractNumId w:val="12"/>
  </w:num>
  <w:num w:numId="12">
    <w:abstractNumId w:val="13"/>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436B60"/>
    <w:rsid w:val="000024E1"/>
    <w:rsid w:val="00002ABE"/>
    <w:rsid w:val="000047EF"/>
    <w:rsid w:val="000061FC"/>
    <w:rsid w:val="00011113"/>
    <w:rsid w:val="000135CC"/>
    <w:rsid w:val="00015838"/>
    <w:rsid w:val="00017319"/>
    <w:rsid w:val="00022B04"/>
    <w:rsid w:val="000255BC"/>
    <w:rsid w:val="00027B99"/>
    <w:rsid w:val="00030846"/>
    <w:rsid w:val="00032E83"/>
    <w:rsid w:val="00037B64"/>
    <w:rsid w:val="00037F1F"/>
    <w:rsid w:val="00043309"/>
    <w:rsid w:val="0006237A"/>
    <w:rsid w:val="00065C8D"/>
    <w:rsid w:val="00066DA6"/>
    <w:rsid w:val="0007035F"/>
    <w:rsid w:val="000722F3"/>
    <w:rsid w:val="0007513A"/>
    <w:rsid w:val="000758D1"/>
    <w:rsid w:val="00076C55"/>
    <w:rsid w:val="00076EC9"/>
    <w:rsid w:val="00077651"/>
    <w:rsid w:val="000814D9"/>
    <w:rsid w:val="00082749"/>
    <w:rsid w:val="00082954"/>
    <w:rsid w:val="00082985"/>
    <w:rsid w:val="00083253"/>
    <w:rsid w:val="0008354B"/>
    <w:rsid w:val="00091D01"/>
    <w:rsid w:val="000920FA"/>
    <w:rsid w:val="00093AFC"/>
    <w:rsid w:val="000958E3"/>
    <w:rsid w:val="00096DE9"/>
    <w:rsid w:val="00097439"/>
    <w:rsid w:val="00097864"/>
    <w:rsid w:val="000A0FD2"/>
    <w:rsid w:val="000A1905"/>
    <w:rsid w:val="000A299A"/>
    <w:rsid w:val="000A3331"/>
    <w:rsid w:val="000A42B2"/>
    <w:rsid w:val="000A5150"/>
    <w:rsid w:val="000A5280"/>
    <w:rsid w:val="000A59EE"/>
    <w:rsid w:val="000B054D"/>
    <w:rsid w:val="000B2566"/>
    <w:rsid w:val="000B4931"/>
    <w:rsid w:val="000B68FF"/>
    <w:rsid w:val="000B7D7D"/>
    <w:rsid w:val="000C0367"/>
    <w:rsid w:val="000C4E28"/>
    <w:rsid w:val="000C66D7"/>
    <w:rsid w:val="000D0263"/>
    <w:rsid w:val="000D0590"/>
    <w:rsid w:val="000D3C0D"/>
    <w:rsid w:val="000D45C0"/>
    <w:rsid w:val="000D5FBE"/>
    <w:rsid w:val="000E158B"/>
    <w:rsid w:val="000E20AE"/>
    <w:rsid w:val="000E3434"/>
    <w:rsid w:val="000E4436"/>
    <w:rsid w:val="000E4642"/>
    <w:rsid w:val="000E5B9D"/>
    <w:rsid w:val="000E69C7"/>
    <w:rsid w:val="000F101B"/>
    <w:rsid w:val="000F48B1"/>
    <w:rsid w:val="000F5101"/>
    <w:rsid w:val="000F6325"/>
    <w:rsid w:val="00100885"/>
    <w:rsid w:val="00101647"/>
    <w:rsid w:val="00102C63"/>
    <w:rsid w:val="001051E9"/>
    <w:rsid w:val="00107581"/>
    <w:rsid w:val="001127D6"/>
    <w:rsid w:val="00113D93"/>
    <w:rsid w:val="00114699"/>
    <w:rsid w:val="0011709B"/>
    <w:rsid w:val="0011781D"/>
    <w:rsid w:val="00123DE0"/>
    <w:rsid w:val="00124969"/>
    <w:rsid w:val="00126616"/>
    <w:rsid w:val="00127051"/>
    <w:rsid w:val="00131144"/>
    <w:rsid w:val="001316FD"/>
    <w:rsid w:val="00131C4A"/>
    <w:rsid w:val="00132EE9"/>
    <w:rsid w:val="00134D85"/>
    <w:rsid w:val="00136104"/>
    <w:rsid w:val="00136D8E"/>
    <w:rsid w:val="00140CA1"/>
    <w:rsid w:val="0014686F"/>
    <w:rsid w:val="00151CBA"/>
    <w:rsid w:val="0015397F"/>
    <w:rsid w:val="00153DFE"/>
    <w:rsid w:val="0015445A"/>
    <w:rsid w:val="001551AE"/>
    <w:rsid w:val="00156702"/>
    <w:rsid w:val="00157BBA"/>
    <w:rsid w:val="00160429"/>
    <w:rsid w:val="00160B67"/>
    <w:rsid w:val="0016174B"/>
    <w:rsid w:val="00161AB7"/>
    <w:rsid w:val="00167755"/>
    <w:rsid w:val="00171471"/>
    <w:rsid w:val="00172A77"/>
    <w:rsid w:val="00172F35"/>
    <w:rsid w:val="00181347"/>
    <w:rsid w:val="00181A3F"/>
    <w:rsid w:val="001821C8"/>
    <w:rsid w:val="00182A2C"/>
    <w:rsid w:val="00184AF0"/>
    <w:rsid w:val="0018501A"/>
    <w:rsid w:val="00186735"/>
    <w:rsid w:val="00187EF1"/>
    <w:rsid w:val="00190760"/>
    <w:rsid w:val="00192230"/>
    <w:rsid w:val="00195BDE"/>
    <w:rsid w:val="0019609D"/>
    <w:rsid w:val="00197367"/>
    <w:rsid w:val="001979C5"/>
    <w:rsid w:val="001A02B4"/>
    <w:rsid w:val="001A54E2"/>
    <w:rsid w:val="001B5EBD"/>
    <w:rsid w:val="001B6C5D"/>
    <w:rsid w:val="001B7B16"/>
    <w:rsid w:val="001C1F48"/>
    <w:rsid w:val="001C23A0"/>
    <w:rsid w:val="001C3A55"/>
    <w:rsid w:val="001C4916"/>
    <w:rsid w:val="001C6D8B"/>
    <w:rsid w:val="001D0028"/>
    <w:rsid w:val="001D0D21"/>
    <w:rsid w:val="001D0FF2"/>
    <w:rsid w:val="001D2360"/>
    <w:rsid w:val="001D4421"/>
    <w:rsid w:val="001E0B28"/>
    <w:rsid w:val="001E11C2"/>
    <w:rsid w:val="001E2A97"/>
    <w:rsid w:val="001E3829"/>
    <w:rsid w:val="001E598A"/>
    <w:rsid w:val="001E61D5"/>
    <w:rsid w:val="001E6E1D"/>
    <w:rsid w:val="001E7DD3"/>
    <w:rsid w:val="001E7E5C"/>
    <w:rsid w:val="001F0020"/>
    <w:rsid w:val="001F112C"/>
    <w:rsid w:val="001F14CD"/>
    <w:rsid w:val="001F43E4"/>
    <w:rsid w:val="001F7016"/>
    <w:rsid w:val="00200277"/>
    <w:rsid w:val="0020075D"/>
    <w:rsid w:val="002031A6"/>
    <w:rsid w:val="00203FF7"/>
    <w:rsid w:val="00206357"/>
    <w:rsid w:val="0020650B"/>
    <w:rsid w:val="002112E2"/>
    <w:rsid w:val="00211FD1"/>
    <w:rsid w:val="00216488"/>
    <w:rsid w:val="0021765A"/>
    <w:rsid w:val="00217BA3"/>
    <w:rsid w:val="00217DE5"/>
    <w:rsid w:val="00217E78"/>
    <w:rsid w:val="002206CB"/>
    <w:rsid w:val="00220CD9"/>
    <w:rsid w:val="002217CA"/>
    <w:rsid w:val="002220BB"/>
    <w:rsid w:val="00222D06"/>
    <w:rsid w:val="0022319D"/>
    <w:rsid w:val="00223BA6"/>
    <w:rsid w:val="00224728"/>
    <w:rsid w:val="00224C98"/>
    <w:rsid w:val="002277A8"/>
    <w:rsid w:val="00232617"/>
    <w:rsid w:val="00232E31"/>
    <w:rsid w:val="00233CD5"/>
    <w:rsid w:val="00233F70"/>
    <w:rsid w:val="0023523C"/>
    <w:rsid w:val="00235F14"/>
    <w:rsid w:val="00236476"/>
    <w:rsid w:val="00240ED7"/>
    <w:rsid w:val="00242FAF"/>
    <w:rsid w:val="00243F60"/>
    <w:rsid w:val="00245040"/>
    <w:rsid w:val="002524C4"/>
    <w:rsid w:val="002525E9"/>
    <w:rsid w:val="0025319D"/>
    <w:rsid w:val="00254CEB"/>
    <w:rsid w:val="0025631A"/>
    <w:rsid w:val="00256773"/>
    <w:rsid w:val="00260208"/>
    <w:rsid w:val="00260679"/>
    <w:rsid w:val="00261F94"/>
    <w:rsid w:val="00264104"/>
    <w:rsid w:val="0026517A"/>
    <w:rsid w:val="0026578B"/>
    <w:rsid w:val="00266CDD"/>
    <w:rsid w:val="0027063B"/>
    <w:rsid w:val="00271E47"/>
    <w:rsid w:val="002741CE"/>
    <w:rsid w:val="00276F23"/>
    <w:rsid w:val="00280C71"/>
    <w:rsid w:val="00282D2E"/>
    <w:rsid w:val="00285BA2"/>
    <w:rsid w:val="00290585"/>
    <w:rsid w:val="00290DA9"/>
    <w:rsid w:val="002959D9"/>
    <w:rsid w:val="002A1117"/>
    <w:rsid w:val="002A1B0D"/>
    <w:rsid w:val="002A4560"/>
    <w:rsid w:val="002A539D"/>
    <w:rsid w:val="002B0EBF"/>
    <w:rsid w:val="002B0F2A"/>
    <w:rsid w:val="002B15C0"/>
    <w:rsid w:val="002B52DB"/>
    <w:rsid w:val="002C5AB9"/>
    <w:rsid w:val="002C5E77"/>
    <w:rsid w:val="002C6926"/>
    <w:rsid w:val="002C7E07"/>
    <w:rsid w:val="002D002C"/>
    <w:rsid w:val="002D32F9"/>
    <w:rsid w:val="002D4FD4"/>
    <w:rsid w:val="002D78CF"/>
    <w:rsid w:val="002D7E83"/>
    <w:rsid w:val="002E098B"/>
    <w:rsid w:val="002E151B"/>
    <w:rsid w:val="002E39C3"/>
    <w:rsid w:val="002E3C01"/>
    <w:rsid w:val="002E4C43"/>
    <w:rsid w:val="002E51C6"/>
    <w:rsid w:val="002E747C"/>
    <w:rsid w:val="002F7026"/>
    <w:rsid w:val="00300C44"/>
    <w:rsid w:val="0030309D"/>
    <w:rsid w:val="00303DA5"/>
    <w:rsid w:val="00304EFA"/>
    <w:rsid w:val="003057A2"/>
    <w:rsid w:val="003062A2"/>
    <w:rsid w:val="00306435"/>
    <w:rsid w:val="0030653A"/>
    <w:rsid w:val="00307AC7"/>
    <w:rsid w:val="0031044E"/>
    <w:rsid w:val="00310BA2"/>
    <w:rsid w:val="00311156"/>
    <w:rsid w:val="00315123"/>
    <w:rsid w:val="003159A5"/>
    <w:rsid w:val="00316E39"/>
    <w:rsid w:val="0032214D"/>
    <w:rsid w:val="00327F90"/>
    <w:rsid w:val="003308FA"/>
    <w:rsid w:val="003310D3"/>
    <w:rsid w:val="00333BF3"/>
    <w:rsid w:val="00336AB8"/>
    <w:rsid w:val="00337B53"/>
    <w:rsid w:val="003410B7"/>
    <w:rsid w:val="00343AF3"/>
    <w:rsid w:val="0034402A"/>
    <w:rsid w:val="00345AB1"/>
    <w:rsid w:val="00346F41"/>
    <w:rsid w:val="0034714C"/>
    <w:rsid w:val="00347EFA"/>
    <w:rsid w:val="00353819"/>
    <w:rsid w:val="003560DF"/>
    <w:rsid w:val="003566B5"/>
    <w:rsid w:val="003568FC"/>
    <w:rsid w:val="00357265"/>
    <w:rsid w:val="00357BD6"/>
    <w:rsid w:val="00357F79"/>
    <w:rsid w:val="00360F60"/>
    <w:rsid w:val="00363AFB"/>
    <w:rsid w:val="00371A07"/>
    <w:rsid w:val="0037204F"/>
    <w:rsid w:val="0037225E"/>
    <w:rsid w:val="003728BE"/>
    <w:rsid w:val="0037314F"/>
    <w:rsid w:val="00380341"/>
    <w:rsid w:val="003825DF"/>
    <w:rsid w:val="00385FED"/>
    <w:rsid w:val="003950CD"/>
    <w:rsid w:val="00397380"/>
    <w:rsid w:val="003977CD"/>
    <w:rsid w:val="003A0EDD"/>
    <w:rsid w:val="003A270F"/>
    <w:rsid w:val="003A296E"/>
    <w:rsid w:val="003A43AF"/>
    <w:rsid w:val="003A5BED"/>
    <w:rsid w:val="003A64B0"/>
    <w:rsid w:val="003A6B89"/>
    <w:rsid w:val="003B1562"/>
    <w:rsid w:val="003B1A6D"/>
    <w:rsid w:val="003B2BD2"/>
    <w:rsid w:val="003B3983"/>
    <w:rsid w:val="003B4D38"/>
    <w:rsid w:val="003B57CE"/>
    <w:rsid w:val="003B63DD"/>
    <w:rsid w:val="003B7746"/>
    <w:rsid w:val="003C1514"/>
    <w:rsid w:val="003C2003"/>
    <w:rsid w:val="003C3241"/>
    <w:rsid w:val="003C43D7"/>
    <w:rsid w:val="003C570E"/>
    <w:rsid w:val="003D09FD"/>
    <w:rsid w:val="003E04C7"/>
    <w:rsid w:val="003E5E6F"/>
    <w:rsid w:val="003E76C4"/>
    <w:rsid w:val="003E7B80"/>
    <w:rsid w:val="003F11A6"/>
    <w:rsid w:val="003F2FE6"/>
    <w:rsid w:val="003F3D2A"/>
    <w:rsid w:val="003F4583"/>
    <w:rsid w:val="003F7A1A"/>
    <w:rsid w:val="0040036F"/>
    <w:rsid w:val="0040067B"/>
    <w:rsid w:val="00402D19"/>
    <w:rsid w:val="00404BEB"/>
    <w:rsid w:val="00407F7A"/>
    <w:rsid w:val="0041250B"/>
    <w:rsid w:val="00415030"/>
    <w:rsid w:val="00415354"/>
    <w:rsid w:val="00415D26"/>
    <w:rsid w:val="00424D6B"/>
    <w:rsid w:val="00426917"/>
    <w:rsid w:val="0043076D"/>
    <w:rsid w:val="00430FAD"/>
    <w:rsid w:val="0043109F"/>
    <w:rsid w:val="00431B89"/>
    <w:rsid w:val="00433C8C"/>
    <w:rsid w:val="0043548B"/>
    <w:rsid w:val="004355A3"/>
    <w:rsid w:val="004356C4"/>
    <w:rsid w:val="00435760"/>
    <w:rsid w:val="00436B60"/>
    <w:rsid w:val="004408B0"/>
    <w:rsid w:val="00440A9F"/>
    <w:rsid w:val="00441310"/>
    <w:rsid w:val="004441B9"/>
    <w:rsid w:val="004444DA"/>
    <w:rsid w:val="00444582"/>
    <w:rsid w:val="00444D94"/>
    <w:rsid w:val="00445F09"/>
    <w:rsid w:val="004475BA"/>
    <w:rsid w:val="0044778F"/>
    <w:rsid w:val="00450E9C"/>
    <w:rsid w:val="00451544"/>
    <w:rsid w:val="0045342F"/>
    <w:rsid w:val="00453D58"/>
    <w:rsid w:val="00457572"/>
    <w:rsid w:val="00460488"/>
    <w:rsid w:val="004619B8"/>
    <w:rsid w:val="004657B6"/>
    <w:rsid w:val="004717B6"/>
    <w:rsid w:val="0047425A"/>
    <w:rsid w:val="00475F32"/>
    <w:rsid w:val="004765B3"/>
    <w:rsid w:val="00477253"/>
    <w:rsid w:val="0048188D"/>
    <w:rsid w:val="00483A35"/>
    <w:rsid w:val="004905A9"/>
    <w:rsid w:val="0049430F"/>
    <w:rsid w:val="0049485C"/>
    <w:rsid w:val="004949F5"/>
    <w:rsid w:val="00494D45"/>
    <w:rsid w:val="004A11A5"/>
    <w:rsid w:val="004A3EE8"/>
    <w:rsid w:val="004A54EA"/>
    <w:rsid w:val="004A6FD2"/>
    <w:rsid w:val="004B066C"/>
    <w:rsid w:val="004B0F6E"/>
    <w:rsid w:val="004B3E36"/>
    <w:rsid w:val="004B4341"/>
    <w:rsid w:val="004B7ABA"/>
    <w:rsid w:val="004C4028"/>
    <w:rsid w:val="004C42C8"/>
    <w:rsid w:val="004C5CB2"/>
    <w:rsid w:val="004C62B3"/>
    <w:rsid w:val="004D07FE"/>
    <w:rsid w:val="004D0851"/>
    <w:rsid w:val="004D2C15"/>
    <w:rsid w:val="004D40C2"/>
    <w:rsid w:val="004E21A0"/>
    <w:rsid w:val="004E2532"/>
    <w:rsid w:val="004E2D15"/>
    <w:rsid w:val="004E6202"/>
    <w:rsid w:val="004F0C42"/>
    <w:rsid w:val="004F1E9C"/>
    <w:rsid w:val="004F2709"/>
    <w:rsid w:val="004F3E3D"/>
    <w:rsid w:val="004F7362"/>
    <w:rsid w:val="00502295"/>
    <w:rsid w:val="00502BBB"/>
    <w:rsid w:val="0050354E"/>
    <w:rsid w:val="00503594"/>
    <w:rsid w:val="0050431F"/>
    <w:rsid w:val="0050442A"/>
    <w:rsid w:val="00504D71"/>
    <w:rsid w:val="00505546"/>
    <w:rsid w:val="005055FC"/>
    <w:rsid w:val="005058F1"/>
    <w:rsid w:val="00507099"/>
    <w:rsid w:val="00511131"/>
    <w:rsid w:val="00512AE6"/>
    <w:rsid w:val="0051593B"/>
    <w:rsid w:val="0051624A"/>
    <w:rsid w:val="005208C5"/>
    <w:rsid w:val="00521903"/>
    <w:rsid w:val="00522EF9"/>
    <w:rsid w:val="00524537"/>
    <w:rsid w:val="00530AA8"/>
    <w:rsid w:val="005312C5"/>
    <w:rsid w:val="005316AE"/>
    <w:rsid w:val="005329F5"/>
    <w:rsid w:val="0053439B"/>
    <w:rsid w:val="00535679"/>
    <w:rsid w:val="00537B28"/>
    <w:rsid w:val="00540E27"/>
    <w:rsid w:val="00543B17"/>
    <w:rsid w:val="005461A2"/>
    <w:rsid w:val="00550DB7"/>
    <w:rsid w:val="00550E22"/>
    <w:rsid w:val="00551A36"/>
    <w:rsid w:val="00552201"/>
    <w:rsid w:val="00557B47"/>
    <w:rsid w:val="0056012E"/>
    <w:rsid w:val="00562136"/>
    <w:rsid w:val="00562D4D"/>
    <w:rsid w:val="00563A16"/>
    <w:rsid w:val="00567C0E"/>
    <w:rsid w:val="00570B14"/>
    <w:rsid w:val="00571C8E"/>
    <w:rsid w:val="00572BB5"/>
    <w:rsid w:val="00573C9F"/>
    <w:rsid w:val="00574123"/>
    <w:rsid w:val="0057441E"/>
    <w:rsid w:val="00574B1E"/>
    <w:rsid w:val="005857A4"/>
    <w:rsid w:val="00587F78"/>
    <w:rsid w:val="005906F6"/>
    <w:rsid w:val="00590D5F"/>
    <w:rsid w:val="005918E4"/>
    <w:rsid w:val="005919C7"/>
    <w:rsid w:val="0059401F"/>
    <w:rsid w:val="005A0DB0"/>
    <w:rsid w:val="005A2586"/>
    <w:rsid w:val="005A39DD"/>
    <w:rsid w:val="005A7E82"/>
    <w:rsid w:val="005B06D3"/>
    <w:rsid w:val="005B3041"/>
    <w:rsid w:val="005B41A1"/>
    <w:rsid w:val="005B54F9"/>
    <w:rsid w:val="005B651B"/>
    <w:rsid w:val="005B7068"/>
    <w:rsid w:val="005B7E42"/>
    <w:rsid w:val="005C105C"/>
    <w:rsid w:val="005C34B3"/>
    <w:rsid w:val="005C365F"/>
    <w:rsid w:val="005C3FC6"/>
    <w:rsid w:val="005C7147"/>
    <w:rsid w:val="005C76B4"/>
    <w:rsid w:val="005D1ADE"/>
    <w:rsid w:val="005D4EA9"/>
    <w:rsid w:val="005D67DD"/>
    <w:rsid w:val="005E2830"/>
    <w:rsid w:val="005E3302"/>
    <w:rsid w:val="005F22D6"/>
    <w:rsid w:val="005F75D0"/>
    <w:rsid w:val="005F7F5A"/>
    <w:rsid w:val="00600546"/>
    <w:rsid w:val="0060128D"/>
    <w:rsid w:val="00602F59"/>
    <w:rsid w:val="006035F9"/>
    <w:rsid w:val="00605CAF"/>
    <w:rsid w:val="0060672F"/>
    <w:rsid w:val="00612880"/>
    <w:rsid w:val="00613674"/>
    <w:rsid w:val="00614CF5"/>
    <w:rsid w:val="00616D59"/>
    <w:rsid w:val="00621663"/>
    <w:rsid w:val="006216F3"/>
    <w:rsid w:val="00621D3B"/>
    <w:rsid w:val="006227AC"/>
    <w:rsid w:val="006269CD"/>
    <w:rsid w:val="00626F84"/>
    <w:rsid w:val="0062701D"/>
    <w:rsid w:val="006279A9"/>
    <w:rsid w:val="00627BCB"/>
    <w:rsid w:val="00630734"/>
    <w:rsid w:val="00631E69"/>
    <w:rsid w:val="00632AFA"/>
    <w:rsid w:val="00636D3F"/>
    <w:rsid w:val="0064475A"/>
    <w:rsid w:val="006458FE"/>
    <w:rsid w:val="00647A27"/>
    <w:rsid w:val="0065044B"/>
    <w:rsid w:val="0065107C"/>
    <w:rsid w:val="00652BCF"/>
    <w:rsid w:val="00653485"/>
    <w:rsid w:val="00655277"/>
    <w:rsid w:val="00655827"/>
    <w:rsid w:val="00656AD8"/>
    <w:rsid w:val="006603EB"/>
    <w:rsid w:val="00661E8E"/>
    <w:rsid w:val="006621D1"/>
    <w:rsid w:val="00664426"/>
    <w:rsid w:val="00666CBB"/>
    <w:rsid w:val="00666FE8"/>
    <w:rsid w:val="00667579"/>
    <w:rsid w:val="00667A58"/>
    <w:rsid w:val="00670355"/>
    <w:rsid w:val="00671E03"/>
    <w:rsid w:val="00672AB1"/>
    <w:rsid w:val="00675EB4"/>
    <w:rsid w:val="006773D3"/>
    <w:rsid w:val="00677A19"/>
    <w:rsid w:val="0068013C"/>
    <w:rsid w:val="00682041"/>
    <w:rsid w:val="00682884"/>
    <w:rsid w:val="00684787"/>
    <w:rsid w:val="00686CBB"/>
    <w:rsid w:val="0069589C"/>
    <w:rsid w:val="00696257"/>
    <w:rsid w:val="006A2498"/>
    <w:rsid w:val="006A3537"/>
    <w:rsid w:val="006A453F"/>
    <w:rsid w:val="006A4BB1"/>
    <w:rsid w:val="006A5271"/>
    <w:rsid w:val="006A582A"/>
    <w:rsid w:val="006B0AE4"/>
    <w:rsid w:val="006B195F"/>
    <w:rsid w:val="006B2548"/>
    <w:rsid w:val="006B3908"/>
    <w:rsid w:val="006B45ED"/>
    <w:rsid w:val="006B64FA"/>
    <w:rsid w:val="006B653C"/>
    <w:rsid w:val="006B7506"/>
    <w:rsid w:val="006B76C6"/>
    <w:rsid w:val="006B7743"/>
    <w:rsid w:val="006C049E"/>
    <w:rsid w:val="006C1A71"/>
    <w:rsid w:val="006C431D"/>
    <w:rsid w:val="006C4815"/>
    <w:rsid w:val="006C5D49"/>
    <w:rsid w:val="006C75F5"/>
    <w:rsid w:val="006D047B"/>
    <w:rsid w:val="006D0D94"/>
    <w:rsid w:val="006D1F05"/>
    <w:rsid w:val="006D3581"/>
    <w:rsid w:val="006D3EB1"/>
    <w:rsid w:val="006D6994"/>
    <w:rsid w:val="006D70B5"/>
    <w:rsid w:val="006E1B6E"/>
    <w:rsid w:val="006E2BE6"/>
    <w:rsid w:val="006E32CC"/>
    <w:rsid w:val="006E5711"/>
    <w:rsid w:val="006E5FFB"/>
    <w:rsid w:val="006F1C04"/>
    <w:rsid w:val="006F2C03"/>
    <w:rsid w:val="006F41D4"/>
    <w:rsid w:val="0070014D"/>
    <w:rsid w:val="0070082C"/>
    <w:rsid w:val="0070315C"/>
    <w:rsid w:val="00705584"/>
    <w:rsid w:val="007079B1"/>
    <w:rsid w:val="00707B38"/>
    <w:rsid w:val="00707CD8"/>
    <w:rsid w:val="00712621"/>
    <w:rsid w:val="007137F7"/>
    <w:rsid w:val="007141CE"/>
    <w:rsid w:val="00715509"/>
    <w:rsid w:val="00721CFE"/>
    <w:rsid w:val="00722BD1"/>
    <w:rsid w:val="00724642"/>
    <w:rsid w:val="00725499"/>
    <w:rsid w:val="00736BD4"/>
    <w:rsid w:val="007418E0"/>
    <w:rsid w:val="007447D2"/>
    <w:rsid w:val="00745CC5"/>
    <w:rsid w:val="0074622A"/>
    <w:rsid w:val="00746542"/>
    <w:rsid w:val="00750C2F"/>
    <w:rsid w:val="0076718E"/>
    <w:rsid w:val="00767C4C"/>
    <w:rsid w:val="0077375A"/>
    <w:rsid w:val="00774645"/>
    <w:rsid w:val="007754C1"/>
    <w:rsid w:val="0077682F"/>
    <w:rsid w:val="0077752F"/>
    <w:rsid w:val="00780437"/>
    <w:rsid w:val="00782923"/>
    <w:rsid w:val="00786789"/>
    <w:rsid w:val="007874D0"/>
    <w:rsid w:val="0079174D"/>
    <w:rsid w:val="00791BA3"/>
    <w:rsid w:val="00792DA5"/>
    <w:rsid w:val="00794907"/>
    <w:rsid w:val="00794B51"/>
    <w:rsid w:val="007964A4"/>
    <w:rsid w:val="007A1FBE"/>
    <w:rsid w:val="007B0947"/>
    <w:rsid w:val="007B1BB7"/>
    <w:rsid w:val="007B47FD"/>
    <w:rsid w:val="007B4A45"/>
    <w:rsid w:val="007B6ACB"/>
    <w:rsid w:val="007B797B"/>
    <w:rsid w:val="007C2408"/>
    <w:rsid w:val="007C3759"/>
    <w:rsid w:val="007C3842"/>
    <w:rsid w:val="007C3C10"/>
    <w:rsid w:val="007C4236"/>
    <w:rsid w:val="007C477C"/>
    <w:rsid w:val="007D4683"/>
    <w:rsid w:val="007E2D9C"/>
    <w:rsid w:val="007E31F2"/>
    <w:rsid w:val="007E422F"/>
    <w:rsid w:val="007E4ACE"/>
    <w:rsid w:val="007F37CC"/>
    <w:rsid w:val="007F494E"/>
    <w:rsid w:val="007F6908"/>
    <w:rsid w:val="007F7623"/>
    <w:rsid w:val="00801539"/>
    <w:rsid w:val="0080390D"/>
    <w:rsid w:val="008059C1"/>
    <w:rsid w:val="00810ADB"/>
    <w:rsid w:val="00811C2E"/>
    <w:rsid w:val="008136A7"/>
    <w:rsid w:val="00816025"/>
    <w:rsid w:val="0081667A"/>
    <w:rsid w:val="00817889"/>
    <w:rsid w:val="00822F90"/>
    <w:rsid w:val="00830424"/>
    <w:rsid w:val="00831159"/>
    <w:rsid w:val="00832ACB"/>
    <w:rsid w:val="00835C19"/>
    <w:rsid w:val="00835FE5"/>
    <w:rsid w:val="00836698"/>
    <w:rsid w:val="00840B5D"/>
    <w:rsid w:val="00842C54"/>
    <w:rsid w:val="00843017"/>
    <w:rsid w:val="00843969"/>
    <w:rsid w:val="00843D03"/>
    <w:rsid w:val="0084699F"/>
    <w:rsid w:val="00850348"/>
    <w:rsid w:val="008514FA"/>
    <w:rsid w:val="00851A45"/>
    <w:rsid w:val="00853F4F"/>
    <w:rsid w:val="00854557"/>
    <w:rsid w:val="008548E1"/>
    <w:rsid w:val="0085530A"/>
    <w:rsid w:val="008559B3"/>
    <w:rsid w:val="0085659B"/>
    <w:rsid w:val="00861252"/>
    <w:rsid w:val="008626B7"/>
    <w:rsid w:val="008661D0"/>
    <w:rsid w:val="00866688"/>
    <w:rsid w:val="00867FC8"/>
    <w:rsid w:val="00870B01"/>
    <w:rsid w:val="00870B90"/>
    <w:rsid w:val="008760FD"/>
    <w:rsid w:val="00882F63"/>
    <w:rsid w:val="00884B0F"/>
    <w:rsid w:val="00885204"/>
    <w:rsid w:val="008930EE"/>
    <w:rsid w:val="00894F74"/>
    <w:rsid w:val="00895A16"/>
    <w:rsid w:val="00895EC6"/>
    <w:rsid w:val="00896585"/>
    <w:rsid w:val="008A261B"/>
    <w:rsid w:val="008A38CA"/>
    <w:rsid w:val="008B2A3A"/>
    <w:rsid w:val="008B38E9"/>
    <w:rsid w:val="008B392B"/>
    <w:rsid w:val="008B46EC"/>
    <w:rsid w:val="008B61CB"/>
    <w:rsid w:val="008B6B34"/>
    <w:rsid w:val="008B73D2"/>
    <w:rsid w:val="008C0BAD"/>
    <w:rsid w:val="008C4D5D"/>
    <w:rsid w:val="008C67E0"/>
    <w:rsid w:val="008D0604"/>
    <w:rsid w:val="008D07B7"/>
    <w:rsid w:val="008D199F"/>
    <w:rsid w:val="008D288E"/>
    <w:rsid w:val="008E5E5E"/>
    <w:rsid w:val="008E638E"/>
    <w:rsid w:val="008F1BF7"/>
    <w:rsid w:val="0090028C"/>
    <w:rsid w:val="00900729"/>
    <w:rsid w:val="00903AF0"/>
    <w:rsid w:val="00905F1C"/>
    <w:rsid w:val="009071B0"/>
    <w:rsid w:val="009071EC"/>
    <w:rsid w:val="00911900"/>
    <w:rsid w:val="00912D70"/>
    <w:rsid w:val="00915FD5"/>
    <w:rsid w:val="00921C71"/>
    <w:rsid w:val="00927277"/>
    <w:rsid w:val="00927E94"/>
    <w:rsid w:val="009328A8"/>
    <w:rsid w:val="009369B6"/>
    <w:rsid w:val="009369F4"/>
    <w:rsid w:val="00936CEF"/>
    <w:rsid w:val="00942272"/>
    <w:rsid w:val="00946638"/>
    <w:rsid w:val="00952F46"/>
    <w:rsid w:val="00953EDB"/>
    <w:rsid w:val="00954183"/>
    <w:rsid w:val="00960585"/>
    <w:rsid w:val="00961BA7"/>
    <w:rsid w:val="00961D66"/>
    <w:rsid w:val="00964473"/>
    <w:rsid w:val="00965C53"/>
    <w:rsid w:val="00966C6A"/>
    <w:rsid w:val="0097109E"/>
    <w:rsid w:val="00971F1F"/>
    <w:rsid w:val="00973298"/>
    <w:rsid w:val="0097679A"/>
    <w:rsid w:val="00980016"/>
    <w:rsid w:val="00980C9F"/>
    <w:rsid w:val="00980DE2"/>
    <w:rsid w:val="0098280A"/>
    <w:rsid w:val="009832BD"/>
    <w:rsid w:val="009850F5"/>
    <w:rsid w:val="00985A60"/>
    <w:rsid w:val="00986EC7"/>
    <w:rsid w:val="00994D05"/>
    <w:rsid w:val="009A10AA"/>
    <w:rsid w:val="009A23C3"/>
    <w:rsid w:val="009A4B88"/>
    <w:rsid w:val="009A756E"/>
    <w:rsid w:val="009A7D4B"/>
    <w:rsid w:val="009B10E2"/>
    <w:rsid w:val="009B143E"/>
    <w:rsid w:val="009B2509"/>
    <w:rsid w:val="009B4DC6"/>
    <w:rsid w:val="009B6DC0"/>
    <w:rsid w:val="009C1356"/>
    <w:rsid w:val="009C24A8"/>
    <w:rsid w:val="009C2EEA"/>
    <w:rsid w:val="009D1941"/>
    <w:rsid w:val="009D19D8"/>
    <w:rsid w:val="009D2D0E"/>
    <w:rsid w:val="009D355E"/>
    <w:rsid w:val="009D3B99"/>
    <w:rsid w:val="009D4001"/>
    <w:rsid w:val="009E0A45"/>
    <w:rsid w:val="009E524B"/>
    <w:rsid w:val="009E6DD9"/>
    <w:rsid w:val="009F0823"/>
    <w:rsid w:val="009F28EB"/>
    <w:rsid w:val="009F3137"/>
    <w:rsid w:val="009F430E"/>
    <w:rsid w:val="009F49C5"/>
    <w:rsid w:val="009F5463"/>
    <w:rsid w:val="009F7732"/>
    <w:rsid w:val="00A01150"/>
    <w:rsid w:val="00A0191B"/>
    <w:rsid w:val="00A0245E"/>
    <w:rsid w:val="00A04782"/>
    <w:rsid w:val="00A04E33"/>
    <w:rsid w:val="00A0698A"/>
    <w:rsid w:val="00A079CF"/>
    <w:rsid w:val="00A119D2"/>
    <w:rsid w:val="00A14471"/>
    <w:rsid w:val="00A14B19"/>
    <w:rsid w:val="00A17538"/>
    <w:rsid w:val="00A175B5"/>
    <w:rsid w:val="00A207E4"/>
    <w:rsid w:val="00A21196"/>
    <w:rsid w:val="00A2173E"/>
    <w:rsid w:val="00A2459D"/>
    <w:rsid w:val="00A25A4F"/>
    <w:rsid w:val="00A25FBD"/>
    <w:rsid w:val="00A2610E"/>
    <w:rsid w:val="00A26E08"/>
    <w:rsid w:val="00A3120E"/>
    <w:rsid w:val="00A320A9"/>
    <w:rsid w:val="00A329F1"/>
    <w:rsid w:val="00A36515"/>
    <w:rsid w:val="00A3707F"/>
    <w:rsid w:val="00A4001F"/>
    <w:rsid w:val="00A41A56"/>
    <w:rsid w:val="00A4375F"/>
    <w:rsid w:val="00A449DE"/>
    <w:rsid w:val="00A47DAD"/>
    <w:rsid w:val="00A5171E"/>
    <w:rsid w:val="00A518B5"/>
    <w:rsid w:val="00A57C0F"/>
    <w:rsid w:val="00A57C72"/>
    <w:rsid w:val="00A63CEE"/>
    <w:rsid w:val="00A652AE"/>
    <w:rsid w:val="00A66DE9"/>
    <w:rsid w:val="00A74E2A"/>
    <w:rsid w:val="00A75AAA"/>
    <w:rsid w:val="00A7641B"/>
    <w:rsid w:val="00A80758"/>
    <w:rsid w:val="00A81379"/>
    <w:rsid w:val="00A85F44"/>
    <w:rsid w:val="00A931BB"/>
    <w:rsid w:val="00A95B23"/>
    <w:rsid w:val="00A960BF"/>
    <w:rsid w:val="00AA25AF"/>
    <w:rsid w:val="00AA26BB"/>
    <w:rsid w:val="00AA2B20"/>
    <w:rsid w:val="00AA423D"/>
    <w:rsid w:val="00AA5B00"/>
    <w:rsid w:val="00AA65E8"/>
    <w:rsid w:val="00AA6CE4"/>
    <w:rsid w:val="00AA749C"/>
    <w:rsid w:val="00AA76CA"/>
    <w:rsid w:val="00AA7961"/>
    <w:rsid w:val="00AB50E8"/>
    <w:rsid w:val="00AC034E"/>
    <w:rsid w:val="00AC127A"/>
    <w:rsid w:val="00AC1C9B"/>
    <w:rsid w:val="00AC2A24"/>
    <w:rsid w:val="00AC3F5A"/>
    <w:rsid w:val="00AC4967"/>
    <w:rsid w:val="00AC50B1"/>
    <w:rsid w:val="00AC5136"/>
    <w:rsid w:val="00AC625D"/>
    <w:rsid w:val="00AC6D17"/>
    <w:rsid w:val="00AC74C7"/>
    <w:rsid w:val="00AD2BD4"/>
    <w:rsid w:val="00AD6037"/>
    <w:rsid w:val="00AE049E"/>
    <w:rsid w:val="00AE12B5"/>
    <w:rsid w:val="00AE44B5"/>
    <w:rsid w:val="00AE44C0"/>
    <w:rsid w:val="00AE7F06"/>
    <w:rsid w:val="00AF2C97"/>
    <w:rsid w:val="00AF2EBC"/>
    <w:rsid w:val="00AF331E"/>
    <w:rsid w:val="00AF3DFB"/>
    <w:rsid w:val="00AF7260"/>
    <w:rsid w:val="00B02559"/>
    <w:rsid w:val="00B038F0"/>
    <w:rsid w:val="00B043C0"/>
    <w:rsid w:val="00B04D98"/>
    <w:rsid w:val="00B0668A"/>
    <w:rsid w:val="00B10BEB"/>
    <w:rsid w:val="00B1232E"/>
    <w:rsid w:val="00B13C7F"/>
    <w:rsid w:val="00B14599"/>
    <w:rsid w:val="00B155BB"/>
    <w:rsid w:val="00B15A07"/>
    <w:rsid w:val="00B164D9"/>
    <w:rsid w:val="00B203AF"/>
    <w:rsid w:val="00B20C4D"/>
    <w:rsid w:val="00B20FA7"/>
    <w:rsid w:val="00B24D94"/>
    <w:rsid w:val="00B255D7"/>
    <w:rsid w:val="00B26A87"/>
    <w:rsid w:val="00B26B7F"/>
    <w:rsid w:val="00B31029"/>
    <w:rsid w:val="00B3184D"/>
    <w:rsid w:val="00B31991"/>
    <w:rsid w:val="00B32AF4"/>
    <w:rsid w:val="00B363EC"/>
    <w:rsid w:val="00B3732E"/>
    <w:rsid w:val="00B37D9D"/>
    <w:rsid w:val="00B417B0"/>
    <w:rsid w:val="00B47F15"/>
    <w:rsid w:val="00B506CE"/>
    <w:rsid w:val="00B50CD4"/>
    <w:rsid w:val="00B5259E"/>
    <w:rsid w:val="00B53C20"/>
    <w:rsid w:val="00B53CA3"/>
    <w:rsid w:val="00B53D8F"/>
    <w:rsid w:val="00B54F31"/>
    <w:rsid w:val="00B55843"/>
    <w:rsid w:val="00B570C7"/>
    <w:rsid w:val="00B574BD"/>
    <w:rsid w:val="00B60919"/>
    <w:rsid w:val="00B60F9B"/>
    <w:rsid w:val="00B6389A"/>
    <w:rsid w:val="00B63AB6"/>
    <w:rsid w:val="00B64282"/>
    <w:rsid w:val="00B71B77"/>
    <w:rsid w:val="00B72D9D"/>
    <w:rsid w:val="00B74ED2"/>
    <w:rsid w:val="00B766DA"/>
    <w:rsid w:val="00B8306F"/>
    <w:rsid w:val="00B85BD2"/>
    <w:rsid w:val="00B97FB2"/>
    <w:rsid w:val="00BA0D17"/>
    <w:rsid w:val="00BA14E5"/>
    <w:rsid w:val="00BA573F"/>
    <w:rsid w:val="00BA6112"/>
    <w:rsid w:val="00BA64F2"/>
    <w:rsid w:val="00BA6C17"/>
    <w:rsid w:val="00BA7E86"/>
    <w:rsid w:val="00BB0698"/>
    <w:rsid w:val="00BB126A"/>
    <w:rsid w:val="00BB19C5"/>
    <w:rsid w:val="00BB4149"/>
    <w:rsid w:val="00BB593B"/>
    <w:rsid w:val="00BB6A56"/>
    <w:rsid w:val="00BC02DD"/>
    <w:rsid w:val="00BC04BD"/>
    <w:rsid w:val="00BC0EA4"/>
    <w:rsid w:val="00BC1C3D"/>
    <w:rsid w:val="00BC4594"/>
    <w:rsid w:val="00BC4B79"/>
    <w:rsid w:val="00BC5749"/>
    <w:rsid w:val="00BC5E0C"/>
    <w:rsid w:val="00BC7C4F"/>
    <w:rsid w:val="00BD3AEB"/>
    <w:rsid w:val="00BE0487"/>
    <w:rsid w:val="00BE30BE"/>
    <w:rsid w:val="00BE332B"/>
    <w:rsid w:val="00BE5993"/>
    <w:rsid w:val="00BF0593"/>
    <w:rsid w:val="00BF065D"/>
    <w:rsid w:val="00BF34A0"/>
    <w:rsid w:val="00BF4339"/>
    <w:rsid w:val="00BF4BC4"/>
    <w:rsid w:val="00C0005A"/>
    <w:rsid w:val="00C00BA5"/>
    <w:rsid w:val="00C012B0"/>
    <w:rsid w:val="00C01581"/>
    <w:rsid w:val="00C01859"/>
    <w:rsid w:val="00C025FD"/>
    <w:rsid w:val="00C04AF2"/>
    <w:rsid w:val="00C06DF9"/>
    <w:rsid w:val="00C06F12"/>
    <w:rsid w:val="00C1243E"/>
    <w:rsid w:val="00C165BE"/>
    <w:rsid w:val="00C17C81"/>
    <w:rsid w:val="00C24DA6"/>
    <w:rsid w:val="00C24F87"/>
    <w:rsid w:val="00C25243"/>
    <w:rsid w:val="00C2550F"/>
    <w:rsid w:val="00C2598C"/>
    <w:rsid w:val="00C273ED"/>
    <w:rsid w:val="00C30EC5"/>
    <w:rsid w:val="00C329CD"/>
    <w:rsid w:val="00C34D19"/>
    <w:rsid w:val="00C34EE5"/>
    <w:rsid w:val="00C35A97"/>
    <w:rsid w:val="00C370CE"/>
    <w:rsid w:val="00C37CBE"/>
    <w:rsid w:val="00C40984"/>
    <w:rsid w:val="00C42E26"/>
    <w:rsid w:val="00C432C5"/>
    <w:rsid w:val="00C47F75"/>
    <w:rsid w:val="00C500ED"/>
    <w:rsid w:val="00C53490"/>
    <w:rsid w:val="00C5497B"/>
    <w:rsid w:val="00C54B45"/>
    <w:rsid w:val="00C55B7A"/>
    <w:rsid w:val="00C56AE3"/>
    <w:rsid w:val="00C56EC7"/>
    <w:rsid w:val="00C5759A"/>
    <w:rsid w:val="00C5771F"/>
    <w:rsid w:val="00C57892"/>
    <w:rsid w:val="00C603D9"/>
    <w:rsid w:val="00C6066A"/>
    <w:rsid w:val="00C61637"/>
    <w:rsid w:val="00C676D2"/>
    <w:rsid w:val="00C716F3"/>
    <w:rsid w:val="00C722E4"/>
    <w:rsid w:val="00C73188"/>
    <w:rsid w:val="00C735A9"/>
    <w:rsid w:val="00C73F80"/>
    <w:rsid w:val="00C743F9"/>
    <w:rsid w:val="00C75FB4"/>
    <w:rsid w:val="00C81B80"/>
    <w:rsid w:val="00C859D6"/>
    <w:rsid w:val="00C87B20"/>
    <w:rsid w:val="00C87C63"/>
    <w:rsid w:val="00C90245"/>
    <w:rsid w:val="00C9288A"/>
    <w:rsid w:val="00C93FDA"/>
    <w:rsid w:val="00C95111"/>
    <w:rsid w:val="00C95F8B"/>
    <w:rsid w:val="00CA134D"/>
    <w:rsid w:val="00CA2F30"/>
    <w:rsid w:val="00CA3CE6"/>
    <w:rsid w:val="00CA55C7"/>
    <w:rsid w:val="00CA62FA"/>
    <w:rsid w:val="00CA636B"/>
    <w:rsid w:val="00CB02CA"/>
    <w:rsid w:val="00CB11E4"/>
    <w:rsid w:val="00CB1528"/>
    <w:rsid w:val="00CB17E7"/>
    <w:rsid w:val="00CB29D9"/>
    <w:rsid w:val="00CB3802"/>
    <w:rsid w:val="00CB3F2B"/>
    <w:rsid w:val="00CB584C"/>
    <w:rsid w:val="00CB600D"/>
    <w:rsid w:val="00CB618F"/>
    <w:rsid w:val="00CB701B"/>
    <w:rsid w:val="00CB764F"/>
    <w:rsid w:val="00CB7E0B"/>
    <w:rsid w:val="00CC0AA5"/>
    <w:rsid w:val="00CC43D3"/>
    <w:rsid w:val="00CC4C5A"/>
    <w:rsid w:val="00CC6416"/>
    <w:rsid w:val="00CD601D"/>
    <w:rsid w:val="00CD7285"/>
    <w:rsid w:val="00CE02B6"/>
    <w:rsid w:val="00CE087A"/>
    <w:rsid w:val="00CE21FA"/>
    <w:rsid w:val="00CE2723"/>
    <w:rsid w:val="00CE2E67"/>
    <w:rsid w:val="00CE6015"/>
    <w:rsid w:val="00CE6BD8"/>
    <w:rsid w:val="00CF0E4C"/>
    <w:rsid w:val="00CF0EAF"/>
    <w:rsid w:val="00CF2634"/>
    <w:rsid w:val="00CF2769"/>
    <w:rsid w:val="00CF4E7B"/>
    <w:rsid w:val="00CF5910"/>
    <w:rsid w:val="00CF756B"/>
    <w:rsid w:val="00D00CC0"/>
    <w:rsid w:val="00D06A33"/>
    <w:rsid w:val="00D1057F"/>
    <w:rsid w:val="00D15DC2"/>
    <w:rsid w:val="00D228F7"/>
    <w:rsid w:val="00D22C43"/>
    <w:rsid w:val="00D279F6"/>
    <w:rsid w:val="00D30F83"/>
    <w:rsid w:val="00D344FD"/>
    <w:rsid w:val="00D34C7F"/>
    <w:rsid w:val="00D43B6C"/>
    <w:rsid w:val="00D43B7E"/>
    <w:rsid w:val="00D45647"/>
    <w:rsid w:val="00D46DD4"/>
    <w:rsid w:val="00D502B3"/>
    <w:rsid w:val="00D502CE"/>
    <w:rsid w:val="00D502D5"/>
    <w:rsid w:val="00D52123"/>
    <w:rsid w:val="00D5252A"/>
    <w:rsid w:val="00D52837"/>
    <w:rsid w:val="00D5413E"/>
    <w:rsid w:val="00D542A1"/>
    <w:rsid w:val="00D56FD4"/>
    <w:rsid w:val="00D60186"/>
    <w:rsid w:val="00D60888"/>
    <w:rsid w:val="00D616BE"/>
    <w:rsid w:val="00D6346C"/>
    <w:rsid w:val="00D67C8B"/>
    <w:rsid w:val="00D706C2"/>
    <w:rsid w:val="00D70A60"/>
    <w:rsid w:val="00D70FB9"/>
    <w:rsid w:val="00D71DD6"/>
    <w:rsid w:val="00D73617"/>
    <w:rsid w:val="00D73DB9"/>
    <w:rsid w:val="00D7439F"/>
    <w:rsid w:val="00D7544C"/>
    <w:rsid w:val="00D75AF3"/>
    <w:rsid w:val="00D76B27"/>
    <w:rsid w:val="00D81935"/>
    <w:rsid w:val="00D81E34"/>
    <w:rsid w:val="00D83CD7"/>
    <w:rsid w:val="00D84134"/>
    <w:rsid w:val="00D85AE0"/>
    <w:rsid w:val="00D868AC"/>
    <w:rsid w:val="00D8795E"/>
    <w:rsid w:val="00D90CF3"/>
    <w:rsid w:val="00D95698"/>
    <w:rsid w:val="00D9670C"/>
    <w:rsid w:val="00D97CFF"/>
    <w:rsid w:val="00DA08FD"/>
    <w:rsid w:val="00DA23BE"/>
    <w:rsid w:val="00DA2560"/>
    <w:rsid w:val="00DA2D08"/>
    <w:rsid w:val="00DA3BB3"/>
    <w:rsid w:val="00DA4DF1"/>
    <w:rsid w:val="00DA6D43"/>
    <w:rsid w:val="00DB2360"/>
    <w:rsid w:val="00DB6762"/>
    <w:rsid w:val="00DB6E4A"/>
    <w:rsid w:val="00DB76FF"/>
    <w:rsid w:val="00DC1D6E"/>
    <w:rsid w:val="00DC3BA9"/>
    <w:rsid w:val="00DC7AD5"/>
    <w:rsid w:val="00DD0DEE"/>
    <w:rsid w:val="00DD1D28"/>
    <w:rsid w:val="00DD3397"/>
    <w:rsid w:val="00DD3E2D"/>
    <w:rsid w:val="00DD60BA"/>
    <w:rsid w:val="00DE1A1E"/>
    <w:rsid w:val="00DE2D75"/>
    <w:rsid w:val="00DE7714"/>
    <w:rsid w:val="00DF206D"/>
    <w:rsid w:val="00DF315C"/>
    <w:rsid w:val="00E00141"/>
    <w:rsid w:val="00E00D96"/>
    <w:rsid w:val="00E010DB"/>
    <w:rsid w:val="00E01F72"/>
    <w:rsid w:val="00E0419F"/>
    <w:rsid w:val="00E04627"/>
    <w:rsid w:val="00E0471F"/>
    <w:rsid w:val="00E10858"/>
    <w:rsid w:val="00E117C6"/>
    <w:rsid w:val="00E12952"/>
    <w:rsid w:val="00E14247"/>
    <w:rsid w:val="00E1485E"/>
    <w:rsid w:val="00E1726C"/>
    <w:rsid w:val="00E24277"/>
    <w:rsid w:val="00E27331"/>
    <w:rsid w:val="00E279C1"/>
    <w:rsid w:val="00E30C2C"/>
    <w:rsid w:val="00E31B3E"/>
    <w:rsid w:val="00E32322"/>
    <w:rsid w:val="00E44D6E"/>
    <w:rsid w:val="00E46694"/>
    <w:rsid w:val="00E532AC"/>
    <w:rsid w:val="00E57B6E"/>
    <w:rsid w:val="00E649E7"/>
    <w:rsid w:val="00E65F40"/>
    <w:rsid w:val="00E66580"/>
    <w:rsid w:val="00E66EC3"/>
    <w:rsid w:val="00E70A8C"/>
    <w:rsid w:val="00E7381D"/>
    <w:rsid w:val="00E74C9C"/>
    <w:rsid w:val="00E76E64"/>
    <w:rsid w:val="00E77E0F"/>
    <w:rsid w:val="00E805C5"/>
    <w:rsid w:val="00E80AF5"/>
    <w:rsid w:val="00E83AFD"/>
    <w:rsid w:val="00E84633"/>
    <w:rsid w:val="00E8551F"/>
    <w:rsid w:val="00E85521"/>
    <w:rsid w:val="00E85693"/>
    <w:rsid w:val="00E86464"/>
    <w:rsid w:val="00E90E65"/>
    <w:rsid w:val="00E95031"/>
    <w:rsid w:val="00E950B6"/>
    <w:rsid w:val="00E95A63"/>
    <w:rsid w:val="00EA1A10"/>
    <w:rsid w:val="00EA3000"/>
    <w:rsid w:val="00EA57AC"/>
    <w:rsid w:val="00EA6029"/>
    <w:rsid w:val="00EB110B"/>
    <w:rsid w:val="00EB6A2A"/>
    <w:rsid w:val="00EB7B10"/>
    <w:rsid w:val="00EC53BE"/>
    <w:rsid w:val="00EC6DB6"/>
    <w:rsid w:val="00ED1B73"/>
    <w:rsid w:val="00ED2A92"/>
    <w:rsid w:val="00ED41C9"/>
    <w:rsid w:val="00ED4948"/>
    <w:rsid w:val="00ED63C5"/>
    <w:rsid w:val="00ED6986"/>
    <w:rsid w:val="00EE01AC"/>
    <w:rsid w:val="00EE1648"/>
    <w:rsid w:val="00EE32A0"/>
    <w:rsid w:val="00EE32B4"/>
    <w:rsid w:val="00EE46B2"/>
    <w:rsid w:val="00EE5E5E"/>
    <w:rsid w:val="00EE748F"/>
    <w:rsid w:val="00EF2049"/>
    <w:rsid w:val="00EF20E4"/>
    <w:rsid w:val="00EF4E5A"/>
    <w:rsid w:val="00EF5977"/>
    <w:rsid w:val="00EF71DF"/>
    <w:rsid w:val="00F041DF"/>
    <w:rsid w:val="00F058D8"/>
    <w:rsid w:val="00F11223"/>
    <w:rsid w:val="00F1283E"/>
    <w:rsid w:val="00F16F87"/>
    <w:rsid w:val="00F1709E"/>
    <w:rsid w:val="00F20419"/>
    <w:rsid w:val="00F21091"/>
    <w:rsid w:val="00F214FD"/>
    <w:rsid w:val="00F21772"/>
    <w:rsid w:val="00F236F7"/>
    <w:rsid w:val="00F2465A"/>
    <w:rsid w:val="00F26967"/>
    <w:rsid w:val="00F27EBF"/>
    <w:rsid w:val="00F30FC5"/>
    <w:rsid w:val="00F32400"/>
    <w:rsid w:val="00F33574"/>
    <w:rsid w:val="00F346DF"/>
    <w:rsid w:val="00F3490F"/>
    <w:rsid w:val="00F409E4"/>
    <w:rsid w:val="00F40B95"/>
    <w:rsid w:val="00F446D3"/>
    <w:rsid w:val="00F505D8"/>
    <w:rsid w:val="00F51AB7"/>
    <w:rsid w:val="00F5290C"/>
    <w:rsid w:val="00F53B40"/>
    <w:rsid w:val="00F556C0"/>
    <w:rsid w:val="00F57D46"/>
    <w:rsid w:val="00F57E91"/>
    <w:rsid w:val="00F601C2"/>
    <w:rsid w:val="00F61DB3"/>
    <w:rsid w:val="00F621F9"/>
    <w:rsid w:val="00F64F0C"/>
    <w:rsid w:val="00F657BC"/>
    <w:rsid w:val="00F65926"/>
    <w:rsid w:val="00F6652D"/>
    <w:rsid w:val="00F71A32"/>
    <w:rsid w:val="00F71E89"/>
    <w:rsid w:val="00F7358B"/>
    <w:rsid w:val="00F753EB"/>
    <w:rsid w:val="00F7746E"/>
    <w:rsid w:val="00F77D8F"/>
    <w:rsid w:val="00F82D45"/>
    <w:rsid w:val="00F8433B"/>
    <w:rsid w:val="00F87601"/>
    <w:rsid w:val="00F96ABC"/>
    <w:rsid w:val="00F96B3C"/>
    <w:rsid w:val="00FA03CE"/>
    <w:rsid w:val="00FA17AE"/>
    <w:rsid w:val="00FA1AFA"/>
    <w:rsid w:val="00FA28D0"/>
    <w:rsid w:val="00FA41DD"/>
    <w:rsid w:val="00FA4A04"/>
    <w:rsid w:val="00FA5870"/>
    <w:rsid w:val="00FA67B7"/>
    <w:rsid w:val="00FA77BA"/>
    <w:rsid w:val="00FB0712"/>
    <w:rsid w:val="00FB24E2"/>
    <w:rsid w:val="00FB6B3F"/>
    <w:rsid w:val="00FC1612"/>
    <w:rsid w:val="00FC2575"/>
    <w:rsid w:val="00FC495A"/>
    <w:rsid w:val="00FC4B3E"/>
    <w:rsid w:val="00FC60A1"/>
    <w:rsid w:val="00FC643A"/>
    <w:rsid w:val="00FC6627"/>
    <w:rsid w:val="00FC785E"/>
    <w:rsid w:val="00FC7C13"/>
    <w:rsid w:val="00FD6013"/>
    <w:rsid w:val="00FD7C0E"/>
    <w:rsid w:val="00FE046C"/>
    <w:rsid w:val="00FE19DE"/>
    <w:rsid w:val="00FE28CB"/>
    <w:rsid w:val="00FE29E4"/>
    <w:rsid w:val="00FE2EFE"/>
    <w:rsid w:val="00FE341A"/>
    <w:rsid w:val="00FE39C7"/>
    <w:rsid w:val="00FE5B6A"/>
    <w:rsid w:val="00FF1780"/>
    <w:rsid w:val="00FF206C"/>
    <w:rsid w:val="00FF4B31"/>
    <w:rsid w:val="00FF579A"/>
    <w:rsid w:val="00FF59DF"/>
    <w:rsid w:val="00FF6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60"/>
    <w:pPr>
      <w:jc w:val="left"/>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494D45"/>
    <w:pPr>
      <w:spacing w:before="240"/>
    </w:pPr>
    <w:rPr>
      <w:szCs w:val="24"/>
    </w:rPr>
  </w:style>
  <w:style w:type="paragraph" w:styleId="ListParagraph">
    <w:name w:val="List Paragraph"/>
    <w:basedOn w:val="Normal"/>
    <w:uiPriority w:val="34"/>
    <w:qFormat/>
    <w:rsid w:val="002525E9"/>
    <w:pPr>
      <w:ind w:left="720"/>
      <w:contextualSpacing/>
    </w:pPr>
  </w:style>
  <w:style w:type="paragraph" w:styleId="Header">
    <w:name w:val="header"/>
    <w:basedOn w:val="Normal"/>
    <w:link w:val="HeaderChar"/>
    <w:uiPriority w:val="99"/>
    <w:semiHidden/>
    <w:unhideWhenUsed/>
    <w:rsid w:val="00235F14"/>
    <w:pPr>
      <w:tabs>
        <w:tab w:val="center" w:pos="4680"/>
        <w:tab w:val="right" w:pos="9360"/>
      </w:tabs>
    </w:pPr>
  </w:style>
  <w:style w:type="character" w:customStyle="1" w:styleId="HeaderChar">
    <w:name w:val="Header Char"/>
    <w:basedOn w:val="DefaultParagraphFont"/>
    <w:link w:val="Header"/>
    <w:uiPriority w:val="99"/>
    <w:semiHidden/>
    <w:rsid w:val="00235F14"/>
    <w:rPr>
      <w:rFonts w:ascii="Times" w:eastAsia="Times" w:hAnsi="Times" w:cs="Times New Roman"/>
      <w:sz w:val="24"/>
      <w:szCs w:val="20"/>
    </w:rPr>
  </w:style>
  <w:style w:type="paragraph" w:styleId="Footer">
    <w:name w:val="footer"/>
    <w:basedOn w:val="Normal"/>
    <w:link w:val="FooterChar"/>
    <w:uiPriority w:val="99"/>
    <w:unhideWhenUsed/>
    <w:rsid w:val="00235F14"/>
    <w:pPr>
      <w:tabs>
        <w:tab w:val="center" w:pos="4680"/>
        <w:tab w:val="right" w:pos="9360"/>
      </w:tabs>
    </w:pPr>
  </w:style>
  <w:style w:type="character" w:customStyle="1" w:styleId="FooterChar">
    <w:name w:val="Footer Char"/>
    <w:basedOn w:val="DefaultParagraphFont"/>
    <w:link w:val="Footer"/>
    <w:uiPriority w:val="99"/>
    <w:rsid w:val="00235F14"/>
    <w:rPr>
      <w:rFonts w:ascii="Times" w:eastAsia="Times" w:hAnsi="Times" w:cs="Times New Roman"/>
      <w:sz w:val="24"/>
      <w:szCs w:val="20"/>
    </w:rPr>
  </w:style>
  <w:style w:type="paragraph" w:customStyle="1" w:styleId="WashingtonParagraphs">
    <w:name w:val="Washington Paragraphs"/>
    <w:basedOn w:val="ListParagraph"/>
    <w:rsid w:val="00FA5870"/>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8760FD"/>
    <w:pPr>
      <w:numPr>
        <w:numId w:val="9"/>
      </w:numPr>
    </w:pPr>
  </w:style>
  <w:style w:type="paragraph" w:styleId="FootnoteText">
    <w:name w:val="footnote text"/>
    <w:basedOn w:val="Normal"/>
    <w:link w:val="FootnoteTextChar"/>
    <w:uiPriority w:val="99"/>
    <w:unhideWhenUsed/>
    <w:rsid w:val="00161AB7"/>
    <w:rPr>
      <w:sz w:val="20"/>
    </w:rPr>
  </w:style>
  <w:style w:type="character" w:customStyle="1" w:styleId="FootnoteTextChar">
    <w:name w:val="Footnote Text Char"/>
    <w:basedOn w:val="DefaultParagraphFont"/>
    <w:link w:val="FootnoteText"/>
    <w:uiPriority w:val="99"/>
    <w:rsid w:val="00161AB7"/>
    <w:rPr>
      <w:rFonts w:ascii="Times" w:eastAsia="Times" w:hAnsi="Times" w:cs="Times New Roman"/>
      <w:sz w:val="20"/>
      <w:szCs w:val="20"/>
    </w:rPr>
  </w:style>
  <w:style w:type="character" w:styleId="FootnoteReference">
    <w:name w:val="footnote reference"/>
    <w:basedOn w:val="DefaultParagraphFont"/>
    <w:uiPriority w:val="99"/>
    <w:semiHidden/>
    <w:unhideWhenUsed/>
    <w:rsid w:val="00161AB7"/>
    <w:rPr>
      <w:vertAlign w:val="superscript"/>
    </w:rPr>
  </w:style>
  <w:style w:type="paragraph" w:styleId="BalloonText">
    <w:name w:val="Balloon Text"/>
    <w:basedOn w:val="Normal"/>
    <w:link w:val="BalloonTextChar"/>
    <w:uiPriority w:val="99"/>
    <w:semiHidden/>
    <w:unhideWhenUsed/>
    <w:rsid w:val="00C24DA6"/>
    <w:rPr>
      <w:rFonts w:ascii="Tahoma" w:hAnsi="Tahoma"/>
      <w:sz w:val="16"/>
      <w:szCs w:val="16"/>
    </w:rPr>
  </w:style>
  <w:style w:type="character" w:customStyle="1" w:styleId="BalloonTextChar">
    <w:name w:val="Balloon Text Char"/>
    <w:basedOn w:val="DefaultParagraphFont"/>
    <w:link w:val="BalloonText"/>
    <w:uiPriority w:val="99"/>
    <w:semiHidden/>
    <w:rsid w:val="00C24DA6"/>
    <w:rPr>
      <w:rFonts w:ascii="Tahoma" w:eastAsia="Times" w:hAnsi="Tahoma" w:cs="Times New Roman"/>
      <w:sz w:val="16"/>
      <w:szCs w:val="16"/>
    </w:rPr>
  </w:style>
  <w:style w:type="paragraph" w:styleId="NormalWeb">
    <w:name w:val="Normal (Web)"/>
    <w:basedOn w:val="Normal"/>
    <w:uiPriority w:val="99"/>
    <w:semiHidden/>
    <w:unhideWhenUsed/>
    <w:rsid w:val="00612880"/>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2E4C43"/>
    <w:rPr>
      <w:sz w:val="16"/>
      <w:szCs w:val="16"/>
    </w:rPr>
  </w:style>
  <w:style w:type="paragraph" w:styleId="CommentText">
    <w:name w:val="annotation text"/>
    <w:basedOn w:val="Normal"/>
    <w:link w:val="CommentTextChar"/>
    <w:uiPriority w:val="99"/>
    <w:semiHidden/>
    <w:unhideWhenUsed/>
    <w:rsid w:val="002E4C43"/>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E4C43"/>
    <w:rPr>
      <w:sz w:val="20"/>
      <w:szCs w:val="20"/>
    </w:rPr>
  </w:style>
  <w:style w:type="paragraph" w:styleId="CommentSubject">
    <w:name w:val="annotation subject"/>
    <w:basedOn w:val="CommentText"/>
    <w:next w:val="CommentText"/>
    <w:link w:val="CommentSubjectChar"/>
    <w:uiPriority w:val="99"/>
    <w:semiHidden/>
    <w:unhideWhenUsed/>
    <w:rsid w:val="00E01F72"/>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E01F72"/>
    <w:rPr>
      <w:rFonts w:ascii="Times" w:eastAsia="Times" w:hAnsi="Times" w:cs="Times New Roman"/>
      <w:b/>
      <w:bCs/>
    </w:rPr>
  </w:style>
  <w:style w:type="paragraph" w:styleId="TableofAuthorities">
    <w:name w:val="table of authorities"/>
    <w:basedOn w:val="Normal"/>
    <w:next w:val="Normal"/>
    <w:uiPriority w:val="99"/>
    <w:unhideWhenUsed/>
    <w:rsid w:val="0043076D"/>
    <w:pPr>
      <w:spacing w:before="240"/>
      <w:ind w:left="240" w:hanging="240"/>
    </w:pPr>
    <w:rPr>
      <w:rFonts w:ascii="Times New Roman" w:hAnsi="Times New Roman" w:cstheme="minorHAnsi"/>
    </w:rPr>
  </w:style>
  <w:style w:type="paragraph" w:styleId="TOAHeading">
    <w:name w:val="toa heading"/>
    <w:basedOn w:val="Normal"/>
    <w:next w:val="Normal"/>
    <w:uiPriority w:val="99"/>
    <w:unhideWhenUsed/>
    <w:rsid w:val="00613674"/>
    <w:pPr>
      <w:spacing w:before="240"/>
    </w:pPr>
    <w:rPr>
      <w:rFonts w:asciiTheme="minorHAnsi" w:hAnsiTheme="minorHAnsi" w:cstheme="minorHAnsi"/>
      <w:b/>
      <w:bCs/>
      <w:i/>
      <w:iCs/>
      <w:szCs w:val="24"/>
    </w:rPr>
  </w:style>
  <w:style w:type="character" w:styleId="Hyperlink">
    <w:name w:val="Hyperlink"/>
    <w:basedOn w:val="DefaultParagraphFont"/>
    <w:rsid w:val="00156702"/>
    <w:rPr>
      <w:color w:val="0000FF"/>
      <w:u w:val="single"/>
    </w:rPr>
  </w:style>
  <w:style w:type="paragraph" w:customStyle="1" w:styleId="Default">
    <w:name w:val="Default"/>
    <w:rsid w:val="00D60186"/>
    <w:pPr>
      <w:autoSpaceDE w:val="0"/>
      <w:autoSpaceDN w:val="0"/>
      <w:adjustRightInd w:val="0"/>
      <w:jc w:val="left"/>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524537"/>
    <w:rPr>
      <w:sz w:val="20"/>
    </w:rPr>
  </w:style>
  <w:style w:type="character" w:customStyle="1" w:styleId="EndnoteTextChar">
    <w:name w:val="Endnote Text Char"/>
    <w:basedOn w:val="DefaultParagraphFont"/>
    <w:link w:val="EndnoteText"/>
    <w:uiPriority w:val="99"/>
    <w:semiHidden/>
    <w:rsid w:val="00524537"/>
    <w:rPr>
      <w:rFonts w:ascii="Times" w:eastAsia="Times" w:hAnsi="Times" w:cs="Times New Roman"/>
      <w:sz w:val="20"/>
      <w:szCs w:val="20"/>
    </w:rPr>
  </w:style>
  <w:style w:type="character" w:styleId="EndnoteReference">
    <w:name w:val="endnote reference"/>
    <w:basedOn w:val="DefaultParagraphFont"/>
    <w:uiPriority w:val="99"/>
    <w:semiHidden/>
    <w:unhideWhenUsed/>
    <w:rsid w:val="00524537"/>
    <w:rPr>
      <w:vertAlign w:val="superscript"/>
    </w:rPr>
  </w:style>
</w:styles>
</file>

<file path=word/webSettings.xml><?xml version="1.0" encoding="utf-8"?>
<w:webSettings xmlns:r="http://schemas.openxmlformats.org/officeDocument/2006/relationships" xmlns:w="http://schemas.openxmlformats.org/wordprocessingml/2006/main">
  <w:divs>
    <w:div w:id="331839594">
      <w:bodyDiv w:val="1"/>
      <w:marLeft w:val="0"/>
      <w:marRight w:val="0"/>
      <w:marTop w:val="0"/>
      <w:marBottom w:val="0"/>
      <w:divBdr>
        <w:top w:val="none" w:sz="0" w:space="0" w:color="auto"/>
        <w:left w:val="none" w:sz="0" w:space="0" w:color="auto"/>
        <w:bottom w:val="none" w:sz="0" w:space="0" w:color="auto"/>
        <w:right w:val="none" w:sz="0" w:space="0" w:color="auto"/>
      </w:divBdr>
    </w:div>
    <w:div w:id="578246601">
      <w:bodyDiv w:val="1"/>
      <w:marLeft w:val="0"/>
      <w:marRight w:val="0"/>
      <w:marTop w:val="0"/>
      <w:marBottom w:val="0"/>
      <w:divBdr>
        <w:top w:val="none" w:sz="0" w:space="0" w:color="auto"/>
        <w:left w:val="none" w:sz="0" w:space="0" w:color="auto"/>
        <w:bottom w:val="none" w:sz="0" w:space="0" w:color="auto"/>
        <w:right w:val="none" w:sz="0" w:space="0" w:color="auto"/>
      </w:divBdr>
    </w:div>
    <w:div w:id="645479440">
      <w:bodyDiv w:val="1"/>
      <w:marLeft w:val="0"/>
      <w:marRight w:val="0"/>
      <w:marTop w:val="0"/>
      <w:marBottom w:val="0"/>
      <w:divBdr>
        <w:top w:val="none" w:sz="0" w:space="0" w:color="auto"/>
        <w:left w:val="none" w:sz="0" w:space="0" w:color="auto"/>
        <w:bottom w:val="none" w:sz="0" w:space="0" w:color="auto"/>
        <w:right w:val="none" w:sz="0" w:space="0" w:color="auto"/>
      </w:divBdr>
      <w:divsChild>
        <w:div w:id="219488963">
          <w:marLeft w:val="0"/>
          <w:marRight w:val="0"/>
          <w:marTop w:val="0"/>
          <w:marBottom w:val="0"/>
          <w:divBdr>
            <w:top w:val="none" w:sz="0" w:space="0" w:color="auto"/>
            <w:left w:val="none" w:sz="0" w:space="0" w:color="auto"/>
            <w:bottom w:val="none" w:sz="0" w:space="0" w:color="auto"/>
            <w:right w:val="none" w:sz="0" w:space="0" w:color="auto"/>
          </w:divBdr>
          <w:divsChild>
            <w:div w:id="1395347775">
              <w:marLeft w:val="0"/>
              <w:marRight w:val="0"/>
              <w:marTop w:val="0"/>
              <w:marBottom w:val="0"/>
              <w:divBdr>
                <w:top w:val="none" w:sz="0" w:space="0" w:color="auto"/>
                <w:left w:val="none" w:sz="0" w:space="0" w:color="auto"/>
                <w:bottom w:val="none" w:sz="0" w:space="0" w:color="auto"/>
                <w:right w:val="none" w:sz="0" w:space="0" w:color="auto"/>
              </w:divBdr>
              <w:divsChild>
                <w:div w:id="230894947">
                  <w:marLeft w:val="0"/>
                  <w:marRight w:val="0"/>
                  <w:marTop w:val="0"/>
                  <w:marBottom w:val="0"/>
                  <w:divBdr>
                    <w:top w:val="none" w:sz="0" w:space="0" w:color="auto"/>
                    <w:left w:val="none" w:sz="0" w:space="0" w:color="auto"/>
                    <w:bottom w:val="none" w:sz="0" w:space="0" w:color="auto"/>
                    <w:right w:val="none" w:sz="0" w:space="0" w:color="auto"/>
                  </w:divBdr>
                  <w:divsChild>
                    <w:div w:id="1347176410">
                      <w:marLeft w:val="0"/>
                      <w:marRight w:val="0"/>
                      <w:marTop w:val="0"/>
                      <w:marBottom w:val="0"/>
                      <w:divBdr>
                        <w:top w:val="none" w:sz="0" w:space="0" w:color="auto"/>
                        <w:left w:val="none" w:sz="0" w:space="0" w:color="auto"/>
                        <w:bottom w:val="none" w:sz="0" w:space="0" w:color="auto"/>
                        <w:right w:val="none" w:sz="0" w:space="0" w:color="auto"/>
                      </w:divBdr>
                      <w:divsChild>
                        <w:div w:id="21157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95971">
      <w:bodyDiv w:val="1"/>
      <w:marLeft w:val="0"/>
      <w:marRight w:val="0"/>
      <w:marTop w:val="0"/>
      <w:marBottom w:val="0"/>
      <w:divBdr>
        <w:top w:val="none" w:sz="0" w:space="0" w:color="auto"/>
        <w:left w:val="none" w:sz="0" w:space="0" w:color="auto"/>
        <w:bottom w:val="none" w:sz="0" w:space="0" w:color="auto"/>
        <w:right w:val="none" w:sz="0" w:space="0" w:color="auto"/>
      </w:divBdr>
      <w:divsChild>
        <w:div w:id="1779450492">
          <w:marLeft w:val="0"/>
          <w:marRight w:val="0"/>
          <w:marTop w:val="0"/>
          <w:marBottom w:val="0"/>
          <w:divBdr>
            <w:top w:val="none" w:sz="0" w:space="0" w:color="auto"/>
            <w:left w:val="none" w:sz="0" w:space="0" w:color="auto"/>
            <w:bottom w:val="none" w:sz="0" w:space="0" w:color="auto"/>
            <w:right w:val="none" w:sz="0" w:space="0" w:color="auto"/>
          </w:divBdr>
          <w:divsChild>
            <w:div w:id="1634215404">
              <w:marLeft w:val="0"/>
              <w:marRight w:val="0"/>
              <w:marTop w:val="0"/>
              <w:marBottom w:val="0"/>
              <w:divBdr>
                <w:top w:val="none" w:sz="0" w:space="0" w:color="auto"/>
                <w:left w:val="none" w:sz="0" w:space="0" w:color="auto"/>
                <w:bottom w:val="none" w:sz="0" w:space="0" w:color="auto"/>
                <w:right w:val="none" w:sz="0" w:space="0" w:color="auto"/>
              </w:divBdr>
              <w:divsChild>
                <w:div w:id="825515397">
                  <w:marLeft w:val="0"/>
                  <w:marRight w:val="0"/>
                  <w:marTop w:val="0"/>
                  <w:marBottom w:val="0"/>
                  <w:divBdr>
                    <w:top w:val="none" w:sz="0" w:space="0" w:color="auto"/>
                    <w:left w:val="none" w:sz="0" w:space="0" w:color="auto"/>
                    <w:bottom w:val="none" w:sz="0" w:space="0" w:color="auto"/>
                    <w:right w:val="none" w:sz="0" w:space="0" w:color="auto"/>
                  </w:divBdr>
                  <w:divsChild>
                    <w:div w:id="403650572">
                      <w:marLeft w:val="0"/>
                      <w:marRight w:val="0"/>
                      <w:marTop w:val="0"/>
                      <w:marBottom w:val="0"/>
                      <w:divBdr>
                        <w:top w:val="none" w:sz="0" w:space="0" w:color="auto"/>
                        <w:left w:val="none" w:sz="0" w:space="0" w:color="auto"/>
                        <w:bottom w:val="none" w:sz="0" w:space="0" w:color="auto"/>
                        <w:right w:val="none" w:sz="0" w:space="0" w:color="auto"/>
                      </w:divBdr>
                      <w:divsChild>
                        <w:div w:id="1049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09858">
      <w:bodyDiv w:val="1"/>
      <w:marLeft w:val="0"/>
      <w:marRight w:val="0"/>
      <w:marTop w:val="0"/>
      <w:marBottom w:val="0"/>
      <w:divBdr>
        <w:top w:val="none" w:sz="0" w:space="0" w:color="auto"/>
        <w:left w:val="none" w:sz="0" w:space="0" w:color="auto"/>
        <w:bottom w:val="none" w:sz="0" w:space="0" w:color="auto"/>
        <w:right w:val="none" w:sz="0" w:space="0" w:color="auto"/>
      </w:divBdr>
    </w:div>
    <w:div w:id="819349241">
      <w:bodyDiv w:val="1"/>
      <w:marLeft w:val="0"/>
      <w:marRight w:val="0"/>
      <w:marTop w:val="0"/>
      <w:marBottom w:val="0"/>
      <w:divBdr>
        <w:top w:val="none" w:sz="0" w:space="0" w:color="auto"/>
        <w:left w:val="none" w:sz="0" w:space="0" w:color="auto"/>
        <w:bottom w:val="none" w:sz="0" w:space="0" w:color="auto"/>
        <w:right w:val="none" w:sz="0" w:space="0" w:color="auto"/>
      </w:divBdr>
    </w:div>
    <w:div w:id="904417250">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032808847">
      <w:bodyDiv w:val="1"/>
      <w:marLeft w:val="0"/>
      <w:marRight w:val="0"/>
      <w:marTop w:val="0"/>
      <w:marBottom w:val="0"/>
      <w:divBdr>
        <w:top w:val="none" w:sz="0" w:space="0" w:color="auto"/>
        <w:left w:val="none" w:sz="0" w:space="0" w:color="auto"/>
        <w:bottom w:val="none" w:sz="0" w:space="0" w:color="auto"/>
        <w:right w:val="none" w:sz="0" w:space="0" w:color="auto"/>
      </w:divBdr>
    </w:div>
    <w:div w:id="1292904271">
      <w:bodyDiv w:val="1"/>
      <w:marLeft w:val="0"/>
      <w:marRight w:val="0"/>
      <w:marTop w:val="0"/>
      <w:marBottom w:val="0"/>
      <w:divBdr>
        <w:top w:val="none" w:sz="0" w:space="0" w:color="auto"/>
        <w:left w:val="none" w:sz="0" w:space="0" w:color="auto"/>
        <w:bottom w:val="none" w:sz="0" w:space="0" w:color="auto"/>
        <w:right w:val="none" w:sz="0" w:space="0" w:color="auto"/>
      </w:divBdr>
    </w:div>
    <w:div w:id="1379819020">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971400454">
      <w:bodyDiv w:val="1"/>
      <w:marLeft w:val="0"/>
      <w:marRight w:val="0"/>
      <w:marTop w:val="0"/>
      <w:marBottom w:val="0"/>
      <w:divBdr>
        <w:top w:val="none" w:sz="0" w:space="0" w:color="auto"/>
        <w:left w:val="none" w:sz="0" w:space="0" w:color="auto"/>
        <w:bottom w:val="none" w:sz="0" w:space="0" w:color="auto"/>
        <w:right w:val="none" w:sz="0" w:space="0" w:color="auto"/>
      </w:divBdr>
    </w:div>
    <w:div w:id="20560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2011-02-18T08:00:00+00:00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0CBE43-5ABB-42D3-AC8A-473E9371997A}"/>
</file>

<file path=customXml/itemProps2.xml><?xml version="1.0" encoding="utf-8"?>
<ds:datastoreItem xmlns:ds="http://schemas.openxmlformats.org/officeDocument/2006/customXml" ds:itemID="{7DD377D8-B8A5-4780-AA7C-1163483E2539}"/>
</file>

<file path=customXml/itemProps3.xml><?xml version="1.0" encoding="utf-8"?>
<ds:datastoreItem xmlns:ds="http://schemas.openxmlformats.org/officeDocument/2006/customXml" ds:itemID="{160F3427-BA81-4D87-964E-263E3A6C02AA}"/>
</file>

<file path=customXml/itemProps4.xml><?xml version="1.0" encoding="utf-8"?>
<ds:datastoreItem xmlns:ds="http://schemas.openxmlformats.org/officeDocument/2006/customXml" ds:itemID="{5D37294A-41C0-4D45-9D31-9F640FD066F5}"/>
</file>

<file path=customXml/itemProps5.xml><?xml version="1.0" encoding="utf-8"?>
<ds:datastoreItem xmlns:ds="http://schemas.openxmlformats.org/officeDocument/2006/customXml" ds:itemID="{5155C839-CC63-4365-9565-240EF4B9160C}"/>
</file>

<file path=customXml/itemProps6.xml><?xml version="1.0" encoding="utf-8"?>
<ds:datastoreItem xmlns:ds="http://schemas.openxmlformats.org/officeDocument/2006/customXml" ds:itemID="{54EF5800-24EA-4759-8882-7278317AC2AA}"/>
</file>

<file path=docProps/app.xml><?xml version="1.0" encoding="utf-8"?>
<Properties xmlns="http://schemas.openxmlformats.org/officeDocument/2006/extended-properties" xmlns:vt="http://schemas.openxmlformats.org/officeDocument/2006/docPropsVTypes">
  <Template>Normal</Template>
  <TotalTime>96</TotalTime>
  <Pages>52</Pages>
  <Words>11816</Words>
  <Characters>67356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 Jamieson</dc:creator>
  <cp:lastModifiedBy>wendy</cp:lastModifiedBy>
  <cp:revision>48</cp:revision>
  <cp:lastPrinted>2011-02-18T22:48:00Z</cp:lastPrinted>
  <dcterms:created xsi:type="dcterms:W3CDTF">2011-02-18T21:01:00Z</dcterms:created>
  <dcterms:modified xsi:type="dcterms:W3CDTF">2011-02-18T22:48:00Z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