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3074E" w14:textId="359DDEC3" w:rsidR="00380457" w:rsidRPr="00380457" w:rsidRDefault="00EE7D1F" w:rsidP="00380457">
      <w:pPr>
        <w:spacing w:after="240"/>
        <w:rPr>
          <w:sz w:val="24"/>
        </w:rPr>
      </w:pPr>
      <w:bookmarkStart w:id="0" w:name="_GoBack"/>
      <w:bookmarkEnd w:id="0"/>
      <w:r>
        <w:rPr>
          <w:b/>
          <w:bCs/>
          <w:sz w:val="24"/>
        </w:rPr>
        <w:t xml:space="preserve">BENCH </w:t>
      </w:r>
      <w:r w:rsidR="00BE1605" w:rsidRPr="00380457">
        <w:rPr>
          <w:b/>
          <w:bCs/>
          <w:sz w:val="24"/>
        </w:rPr>
        <w:t xml:space="preserve">REQUEST NO. </w:t>
      </w:r>
      <w:r>
        <w:rPr>
          <w:b/>
          <w:bCs/>
          <w:sz w:val="24"/>
        </w:rPr>
        <w:t>3</w:t>
      </w:r>
      <w:r w:rsidR="00BE1605" w:rsidRPr="00380457">
        <w:rPr>
          <w:b/>
          <w:bCs/>
          <w:sz w:val="24"/>
        </w:rPr>
        <w:t xml:space="preserve">:  </w:t>
      </w:r>
      <w:r w:rsidRPr="00EE7D1F">
        <w:rPr>
          <w:sz w:val="24"/>
        </w:rPr>
        <w:t>Staff adjusted the Company input data for the supporting model relating to Adjustment 8.13 – Idaho Power Asset Exchange citing complex modeling issues. In reference to the table at the top of page 63 of Jason L. Ball’s testimony exhibit, Exh. No. JLB-1T, please provide separately the revenue requirement impact of the Reassignment Asset adjustment and the Correction Assets as proposed by Staff.</w:t>
      </w:r>
    </w:p>
    <w:p w14:paraId="40AB7A2E" w14:textId="044694D4" w:rsidR="00253474" w:rsidRDefault="00EF5647" w:rsidP="00157440">
      <w:pPr>
        <w:rPr>
          <w:sz w:val="24"/>
        </w:rPr>
      </w:pPr>
      <w:r>
        <w:rPr>
          <w:b/>
          <w:bCs/>
          <w:sz w:val="24"/>
        </w:rPr>
        <w:t>RESPONSE:</w:t>
      </w:r>
      <w:r w:rsidR="00DB0048">
        <w:rPr>
          <w:b/>
          <w:bCs/>
          <w:sz w:val="24"/>
        </w:rPr>
        <w:t xml:space="preserve">  </w:t>
      </w:r>
      <w:r w:rsidR="00B9013D">
        <w:rPr>
          <w:sz w:val="24"/>
        </w:rPr>
        <w:t xml:space="preserve">Below is a table showing the revenue requirement impact for Reassignment Assets and Correction Assets. </w:t>
      </w:r>
      <w:r w:rsidR="001E74BE">
        <w:rPr>
          <w:sz w:val="24"/>
        </w:rPr>
        <w:t xml:space="preserve"> </w:t>
      </w:r>
      <w:r w:rsidR="00FD14BD">
        <w:rPr>
          <w:sz w:val="24"/>
        </w:rPr>
        <w:t>During th</w:t>
      </w:r>
      <w:r w:rsidR="00B9013D">
        <w:rPr>
          <w:sz w:val="24"/>
        </w:rPr>
        <w:t>e course of responding to this bench r</w:t>
      </w:r>
      <w:r w:rsidR="00FD14BD">
        <w:rPr>
          <w:sz w:val="24"/>
        </w:rPr>
        <w:t xml:space="preserve">equest, </w:t>
      </w:r>
      <w:r w:rsidR="003A02D9">
        <w:rPr>
          <w:sz w:val="24"/>
        </w:rPr>
        <w:t>Staff</w:t>
      </w:r>
      <w:r w:rsidR="00FD14BD">
        <w:rPr>
          <w:sz w:val="24"/>
        </w:rPr>
        <w:t xml:space="preserve"> discovered an error in the calculation of the effect of the Reassignment Assets as reflected in Exhibit No. JLB-2. </w:t>
      </w:r>
      <w:r w:rsidR="00B9013D">
        <w:rPr>
          <w:sz w:val="24"/>
        </w:rPr>
        <w:t xml:space="preserve">The </w:t>
      </w:r>
      <w:r w:rsidR="00B55879">
        <w:rPr>
          <w:sz w:val="24"/>
        </w:rPr>
        <w:t xml:space="preserve">corrected calculation is incorporated into the </w:t>
      </w:r>
      <w:r w:rsidR="003A02D9">
        <w:rPr>
          <w:sz w:val="24"/>
        </w:rPr>
        <w:t>revenue requirement impact</w:t>
      </w:r>
      <w:r w:rsidR="0091084E">
        <w:rPr>
          <w:sz w:val="24"/>
        </w:rPr>
        <w:t>s</w:t>
      </w:r>
      <w:r w:rsidR="00B9013D">
        <w:rPr>
          <w:sz w:val="24"/>
        </w:rPr>
        <w:t xml:space="preserve"> below.</w:t>
      </w:r>
    </w:p>
    <w:p w14:paraId="2486CFCF" w14:textId="1D5D20F2" w:rsidR="00EE7D1F" w:rsidRDefault="00EE7D1F">
      <w:pPr>
        <w:widowControl/>
        <w:autoSpaceDE/>
        <w:autoSpaceDN/>
        <w:adjustRightInd/>
        <w:rPr>
          <w:b/>
          <w:bCs/>
          <w:sz w:val="24"/>
        </w:rPr>
      </w:pPr>
    </w:p>
    <w:tbl>
      <w:tblPr>
        <w:tblW w:w="9350" w:type="dxa"/>
        <w:tblLook w:val="04A0" w:firstRow="1" w:lastRow="0" w:firstColumn="1" w:lastColumn="0" w:noHBand="0" w:noVBand="1"/>
      </w:tblPr>
      <w:tblGrid>
        <w:gridCol w:w="3942"/>
        <w:gridCol w:w="1243"/>
        <w:gridCol w:w="1496"/>
        <w:gridCol w:w="1306"/>
        <w:gridCol w:w="1363"/>
      </w:tblGrid>
      <w:tr w:rsidR="00631C2F" w:rsidRPr="00631C2F" w14:paraId="1E1DB026" w14:textId="77777777" w:rsidTr="00631C2F">
        <w:trPr>
          <w:trHeight w:val="51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FD16" w14:textId="77777777" w:rsidR="00631C2F" w:rsidRPr="00631C2F" w:rsidRDefault="00631C2F">
            <w:pPr>
              <w:widowControl/>
              <w:autoSpaceDE/>
              <w:autoSpaceDN/>
              <w:adjustRightInd/>
              <w:rPr>
                <w:b/>
                <w:bCs/>
                <w:szCs w:val="20"/>
              </w:rPr>
            </w:pPr>
            <w:r w:rsidRPr="00631C2F">
              <w:rPr>
                <w:b/>
                <w:bCs/>
                <w:szCs w:val="20"/>
              </w:rPr>
              <w:t>Adjustment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19EB" w14:textId="77777777" w:rsidR="00631C2F" w:rsidRPr="00631C2F" w:rsidRDefault="00631C2F" w:rsidP="00631C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Cs w:val="20"/>
              </w:rPr>
            </w:pPr>
            <w:r w:rsidRPr="00631C2F">
              <w:rPr>
                <w:b/>
                <w:bCs/>
                <w:szCs w:val="20"/>
              </w:rPr>
              <w:t>Exchange Assets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A3FFB" w14:textId="58A55E97" w:rsidR="00631C2F" w:rsidRPr="00631C2F" w:rsidRDefault="00631C2F" w:rsidP="00631C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Reassignment</w:t>
            </w:r>
            <w:r w:rsidRPr="00631C2F">
              <w:rPr>
                <w:b/>
                <w:bCs/>
                <w:szCs w:val="20"/>
              </w:rPr>
              <w:t xml:space="preserve"> Assets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8ACE" w14:textId="77777777" w:rsidR="00631C2F" w:rsidRPr="00631C2F" w:rsidRDefault="00631C2F" w:rsidP="00631C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Cs w:val="20"/>
              </w:rPr>
            </w:pPr>
            <w:r w:rsidRPr="00631C2F">
              <w:rPr>
                <w:b/>
                <w:bCs/>
                <w:szCs w:val="20"/>
              </w:rPr>
              <w:t>Correction Assets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B5D0" w14:textId="77777777" w:rsidR="00631C2F" w:rsidRPr="00631C2F" w:rsidRDefault="00631C2F" w:rsidP="00631C2F">
            <w:pPr>
              <w:widowControl/>
              <w:autoSpaceDE/>
              <w:autoSpaceDN/>
              <w:adjustRightInd/>
              <w:jc w:val="center"/>
              <w:rPr>
                <w:b/>
                <w:bCs/>
                <w:szCs w:val="20"/>
              </w:rPr>
            </w:pPr>
            <w:r w:rsidRPr="00631C2F">
              <w:rPr>
                <w:b/>
                <w:bCs/>
                <w:szCs w:val="20"/>
              </w:rPr>
              <w:t>Total</w:t>
            </w:r>
          </w:p>
        </w:tc>
      </w:tr>
      <w:tr w:rsidR="00631C2F" w:rsidRPr="00631C2F" w14:paraId="2A5F2A6F" w14:textId="77777777" w:rsidTr="00631C2F">
        <w:trPr>
          <w:trHeight w:val="25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757F" w14:textId="77777777" w:rsidR="00631C2F" w:rsidRPr="00631C2F" w:rsidRDefault="00631C2F" w:rsidP="00631C2F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631C2F">
              <w:rPr>
                <w:szCs w:val="20"/>
              </w:rPr>
              <w:t>Adj. 6.1 – End-of-Period Reserves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8539" w14:textId="77777777" w:rsidR="00631C2F" w:rsidRPr="00631C2F" w:rsidRDefault="00631C2F" w:rsidP="00631C2F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631C2F">
              <w:rPr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8764" w14:textId="77777777" w:rsidR="00631C2F" w:rsidRPr="00631C2F" w:rsidRDefault="00631C2F" w:rsidP="00631C2F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631C2F">
              <w:rPr>
                <w:szCs w:val="20"/>
              </w:rPr>
              <w:t xml:space="preserve">$2,186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DD33" w14:textId="77777777" w:rsidR="00631C2F" w:rsidRPr="00631C2F" w:rsidRDefault="00631C2F" w:rsidP="00631C2F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631C2F">
              <w:rPr>
                <w:szCs w:val="20"/>
              </w:rPr>
              <w:t xml:space="preserve">$10,989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A726" w14:textId="77777777" w:rsidR="00631C2F" w:rsidRPr="00631C2F" w:rsidRDefault="00631C2F" w:rsidP="00631C2F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631C2F">
              <w:rPr>
                <w:szCs w:val="20"/>
              </w:rPr>
              <w:t xml:space="preserve">$13,175 </w:t>
            </w:r>
          </w:p>
        </w:tc>
      </w:tr>
      <w:tr w:rsidR="00631C2F" w:rsidRPr="00631C2F" w14:paraId="2D081542" w14:textId="77777777" w:rsidTr="00631C2F">
        <w:trPr>
          <w:trHeight w:val="25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9EB2" w14:textId="77777777" w:rsidR="00631C2F" w:rsidRPr="00631C2F" w:rsidRDefault="00631C2F" w:rsidP="00631C2F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631C2F">
              <w:rPr>
                <w:szCs w:val="20"/>
              </w:rPr>
              <w:t xml:space="preserve">Adj. 6.2 – Annualized </w:t>
            </w:r>
            <w:proofErr w:type="spellStart"/>
            <w:r w:rsidRPr="00631C2F">
              <w:rPr>
                <w:szCs w:val="20"/>
              </w:rPr>
              <w:t>Depr</w:t>
            </w:r>
            <w:proofErr w:type="spellEnd"/>
            <w:r w:rsidRPr="00631C2F">
              <w:rPr>
                <w:szCs w:val="20"/>
              </w:rPr>
              <w:t>/</w:t>
            </w:r>
            <w:proofErr w:type="spellStart"/>
            <w:r w:rsidRPr="00631C2F">
              <w:rPr>
                <w:szCs w:val="20"/>
              </w:rPr>
              <w:t>Amrt</w:t>
            </w:r>
            <w:proofErr w:type="spellEnd"/>
            <w:r w:rsidRPr="00631C2F">
              <w:rPr>
                <w:szCs w:val="20"/>
              </w:rPr>
              <w:t xml:space="preserve"> Exp.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D93F" w14:textId="77777777" w:rsidR="00631C2F" w:rsidRPr="00631C2F" w:rsidRDefault="00631C2F" w:rsidP="00631C2F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631C2F">
              <w:rPr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23C6" w14:textId="77777777" w:rsidR="00631C2F" w:rsidRPr="00631C2F" w:rsidRDefault="00631C2F" w:rsidP="00631C2F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631C2F">
              <w:rPr>
                <w:szCs w:val="20"/>
              </w:rPr>
              <w:t xml:space="preserve">$4,882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2D42" w14:textId="77777777" w:rsidR="00631C2F" w:rsidRPr="00631C2F" w:rsidRDefault="00631C2F" w:rsidP="00631C2F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631C2F">
              <w:rPr>
                <w:szCs w:val="20"/>
              </w:rPr>
              <w:t xml:space="preserve">$565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1E02" w14:textId="77777777" w:rsidR="00631C2F" w:rsidRPr="00631C2F" w:rsidRDefault="00631C2F" w:rsidP="00631C2F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631C2F">
              <w:rPr>
                <w:szCs w:val="20"/>
              </w:rPr>
              <w:t xml:space="preserve">$5,447 </w:t>
            </w:r>
          </w:p>
        </w:tc>
      </w:tr>
      <w:tr w:rsidR="00631C2F" w:rsidRPr="00631C2F" w14:paraId="3CF4673B" w14:textId="77777777" w:rsidTr="00631C2F">
        <w:trPr>
          <w:trHeight w:val="25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596C" w14:textId="53B75400" w:rsidR="00631C2F" w:rsidRPr="00631C2F" w:rsidRDefault="00631C2F" w:rsidP="00631C2F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631C2F">
              <w:rPr>
                <w:szCs w:val="20"/>
              </w:rPr>
              <w:t>Adj. 7.1 - Interest Sync</w:t>
            </w:r>
            <w:r w:rsidR="00443B24">
              <w:rPr>
                <w:szCs w:val="20"/>
              </w:rPr>
              <w:t xml:space="preserve"> (For these asset categories only)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52E9" w14:textId="77777777" w:rsidR="00631C2F" w:rsidRPr="00631C2F" w:rsidRDefault="00631C2F" w:rsidP="00631C2F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631C2F">
              <w:rPr>
                <w:color w:val="FF0000"/>
                <w:szCs w:val="20"/>
              </w:rPr>
              <w:t>($50,962)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83D9" w14:textId="77777777" w:rsidR="00631C2F" w:rsidRPr="00631C2F" w:rsidRDefault="00631C2F" w:rsidP="00631C2F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631C2F">
              <w:rPr>
                <w:color w:val="FF0000"/>
                <w:szCs w:val="20"/>
              </w:rPr>
              <w:t>($42,974)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2CF16" w14:textId="77777777" w:rsidR="00631C2F" w:rsidRPr="00631C2F" w:rsidRDefault="00631C2F" w:rsidP="00631C2F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631C2F">
              <w:rPr>
                <w:color w:val="FF0000"/>
                <w:szCs w:val="20"/>
              </w:rPr>
              <w:t>($152,238)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3BC3" w14:textId="77777777" w:rsidR="00631C2F" w:rsidRPr="00631C2F" w:rsidRDefault="00631C2F" w:rsidP="00631C2F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631C2F">
              <w:rPr>
                <w:color w:val="FF0000"/>
                <w:szCs w:val="20"/>
              </w:rPr>
              <w:t>($246,174)</w:t>
            </w:r>
          </w:p>
        </w:tc>
      </w:tr>
      <w:tr w:rsidR="00631C2F" w:rsidRPr="00631C2F" w14:paraId="18DA1BCB" w14:textId="77777777" w:rsidTr="00631C2F">
        <w:trPr>
          <w:trHeight w:val="25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0F8A" w14:textId="77777777" w:rsidR="00631C2F" w:rsidRPr="00631C2F" w:rsidRDefault="00631C2F" w:rsidP="00631C2F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631C2F">
              <w:rPr>
                <w:szCs w:val="20"/>
              </w:rPr>
              <w:t>Adj. 8.10 – Investors Supplied Working Cap.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D116" w14:textId="77777777" w:rsidR="00631C2F" w:rsidRPr="00631C2F" w:rsidRDefault="00631C2F" w:rsidP="00631C2F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631C2F">
              <w:rPr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1C6D" w14:textId="77777777" w:rsidR="00631C2F" w:rsidRPr="00631C2F" w:rsidRDefault="00631C2F" w:rsidP="00631C2F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631C2F">
              <w:rPr>
                <w:color w:val="FF0000"/>
                <w:szCs w:val="20"/>
              </w:rPr>
              <w:t>($5,008)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367E" w14:textId="77777777" w:rsidR="00631C2F" w:rsidRPr="00631C2F" w:rsidRDefault="00631C2F" w:rsidP="00631C2F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631C2F">
              <w:rPr>
                <w:color w:val="FF0000"/>
                <w:szCs w:val="20"/>
              </w:rPr>
              <w:t>($30,982)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891E" w14:textId="77777777" w:rsidR="00631C2F" w:rsidRPr="00631C2F" w:rsidRDefault="00631C2F" w:rsidP="00631C2F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631C2F">
              <w:rPr>
                <w:color w:val="FF0000"/>
                <w:szCs w:val="20"/>
              </w:rPr>
              <w:t>($35,990)</w:t>
            </w:r>
          </w:p>
        </w:tc>
      </w:tr>
      <w:tr w:rsidR="00631C2F" w:rsidRPr="00631C2F" w14:paraId="1ECFF81F" w14:textId="77777777" w:rsidTr="00631C2F">
        <w:trPr>
          <w:trHeight w:val="25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F0B3" w14:textId="77777777" w:rsidR="00631C2F" w:rsidRPr="00631C2F" w:rsidRDefault="00631C2F" w:rsidP="00631C2F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631C2F">
              <w:rPr>
                <w:szCs w:val="20"/>
              </w:rPr>
              <w:t>Adj. 8.11 – End-of-Period Plant Bal.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AE1D" w14:textId="77777777" w:rsidR="00631C2F" w:rsidRPr="00631C2F" w:rsidRDefault="00631C2F" w:rsidP="00631C2F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631C2F">
              <w:rPr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5306" w14:textId="77777777" w:rsidR="00631C2F" w:rsidRPr="00631C2F" w:rsidRDefault="00631C2F" w:rsidP="00631C2F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631C2F">
              <w:rPr>
                <w:szCs w:val="20"/>
              </w:rPr>
              <w:t xml:space="preserve">$25,594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7D868" w14:textId="77777777" w:rsidR="00631C2F" w:rsidRPr="00631C2F" w:rsidRDefault="00631C2F" w:rsidP="00631C2F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631C2F">
              <w:rPr>
                <w:szCs w:val="20"/>
              </w:rPr>
              <w:t xml:space="preserve">$3,738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F5B4" w14:textId="77777777" w:rsidR="00631C2F" w:rsidRPr="00631C2F" w:rsidRDefault="00631C2F" w:rsidP="00631C2F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631C2F">
              <w:rPr>
                <w:szCs w:val="20"/>
              </w:rPr>
              <w:t xml:space="preserve">$29,332 </w:t>
            </w:r>
          </w:p>
        </w:tc>
      </w:tr>
      <w:tr w:rsidR="00631C2F" w:rsidRPr="00631C2F" w14:paraId="1D093C12" w14:textId="77777777" w:rsidTr="00631C2F">
        <w:trPr>
          <w:trHeight w:val="25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8F29" w14:textId="77777777" w:rsidR="00631C2F" w:rsidRPr="00631C2F" w:rsidRDefault="00631C2F" w:rsidP="00631C2F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631C2F">
              <w:rPr>
                <w:szCs w:val="20"/>
              </w:rPr>
              <w:t>Adj. 8.13 – Idaho Asset Exchange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DFD3" w14:textId="77777777" w:rsidR="00631C2F" w:rsidRPr="00631C2F" w:rsidRDefault="00631C2F" w:rsidP="00631C2F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631C2F">
              <w:rPr>
                <w:szCs w:val="20"/>
              </w:rPr>
              <w:t xml:space="preserve">$395,500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89E1" w14:textId="77777777" w:rsidR="00631C2F" w:rsidRPr="00631C2F" w:rsidRDefault="00631C2F" w:rsidP="00631C2F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631C2F">
              <w:rPr>
                <w:szCs w:val="2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499D" w14:textId="77777777" w:rsidR="00631C2F" w:rsidRPr="00631C2F" w:rsidRDefault="00631C2F" w:rsidP="00631C2F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631C2F">
              <w:rPr>
                <w:szCs w:val="20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F3D0" w14:textId="77777777" w:rsidR="00631C2F" w:rsidRPr="00631C2F" w:rsidRDefault="00631C2F" w:rsidP="00631C2F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631C2F">
              <w:rPr>
                <w:szCs w:val="20"/>
              </w:rPr>
              <w:t xml:space="preserve">$395,500 </w:t>
            </w:r>
          </w:p>
        </w:tc>
      </w:tr>
      <w:tr w:rsidR="00631C2F" w:rsidRPr="00631C2F" w14:paraId="05A68CA3" w14:textId="77777777" w:rsidTr="00631C2F">
        <w:trPr>
          <w:trHeight w:val="25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3949" w14:textId="06103639" w:rsidR="00631C2F" w:rsidRPr="00631C2F" w:rsidRDefault="00631C2F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631C2F">
              <w:rPr>
                <w:szCs w:val="20"/>
              </w:rPr>
              <w:t xml:space="preserve">Input data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C6895" w14:textId="77777777" w:rsidR="00631C2F" w:rsidRPr="00631C2F" w:rsidRDefault="00631C2F" w:rsidP="00631C2F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631C2F">
              <w:rPr>
                <w:szCs w:val="20"/>
              </w:rPr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E569" w14:textId="77777777" w:rsidR="00631C2F" w:rsidRPr="00631C2F" w:rsidRDefault="00631C2F" w:rsidP="00631C2F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631C2F">
              <w:rPr>
                <w:szCs w:val="20"/>
              </w:rPr>
              <w:t xml:space="preserve">$180,922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B958" w14:textId="77777777" w:rsidR="00631C2F" w:rsidRPr="00631C2F" w:rsidRDefault="00631C2F" w:rsidP="00631C2F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631C2F">
              <w:rPr>
                <w:szCs w:val="20"/>
              </w:rPr>
              <w:t xml:space="preserve">$1,231,047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5AC3" w14:textId="77777777" w:rsidR="00631C2F" w:rsidRPr="00631C2F" w:rsidRDefault="00631C2F" w:rsidP="00631C2F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631C2F">
              <w:rPr>
                <w:szCs w:val="20"/>
              </w:rPr>
              <w:t xml:space="preserve">$1,411,969 </w:t>
            </w:r>
          </w:p>
        </w:tc>
      </w:tr>
      <w:tr w:rsidR="00631C2F" w:rsidRPr="00631C2F" w14:paraId="40BD1873" w14:textId="77777777" w:rsidTr="00631C2F">
        <w:trPr>
          <w:trHeight w:val="255"/>
        </w:trPr>
        <w:tc>
          <w:tcPr>
            <w:tcW w:w="3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6DF99E" w14:textId="77777777" w:rsidR="00631C2F" w:rsidRPr="00631C2F" w:rsidRDefault="00631C2F" w:rsidP="00631C2F">
            <w:pPr>
              <w:widowControl/>
              <w:autoSpaceDE/>
              <w:autoSpaceDN/>
              <w:adjustRightInd/>
              <w:rPr>
                <w:b/>
                <w:bCs/>
                <w:szCs w:val="20"/>
              </w:rPr>
            </w:pPr>
            <w:r w:rsidRPr="00631C2F">
              <w:rPr>
                <w:b/>
                <w:bCs/>
                <w:szCs w:val="20"/>
              </w:rPr>
              <w:t>Total Impact of Asset Reassignment/Exchange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14C5" w14:textId="77777777" w:rsidR="00631C2F" w:rsidRPr="00631C2F" w:rsidRDefault="00631C2F" w:rsidP="00631C2F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631C2F">
              <w:rPr>
                <w:szCs w:val="20"/>
              </w:rPr>
              <w:t xml:space="preserve">$344,538 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B982" w14:textId="77777777" w:rsidR="00631C2F" w:rsidRPr="00631C2F" w:rsidRDefault="00631C2F" w:rsidP="00631C2F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631C2F">
              <w:rPr>
                <w:szCs w:val="20"/>
              </w:rPr>
              <w:t xml:space="preserve">$165,602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984D" w14:textId="77777777" w:rsidR="00631C2F" w:rsidRPr="00631C2F" w:rsidRDefault="00631C2F" w:rsidP="00631C2F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631C2F">
              <w:rPr>
                <w:szCs w:val="20"/>
              </w:rPr>
              <w:t xml:space="preserve">$1,063,119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A746" w14:textId="77777777" w:rsidR="00631C2F" w:rsidRPr="00631C2F" w:rsidRDefault="00631C2F" w:rsidP="00631C2F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  <w:r w:rsidRPr="00631C2F">
              <w:rPr>
                <w:szCs w:val="20"/>
              </w:rPr>
              <w:t xml:space="preserve">$1,573,259 </w:t>
            </w:r>
          </w:p>
        </w:tc>
      </w:tr>
      <w:tr w:rsidR="00631C2F" w:rsidRPr="00631C2F" w14:paraId="09F77EB5" w14:textId="77777777" w:rsidTr="00631C2F">
        <w:trPr>
          <w:trHeight w:val="255"/>
        </w:trPr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BC76" w14:textId="77777777" w:rsidR="00631C2F" w:rsidRPr="00631C2F" w:rsidRDefault="00631C2F" w:rsidP="00631C2F">
            <w:pPr>
              <w:widowControl/>
              <w:autoSpaceDE/>
              <w:autoSpaceDN/>
              <w:adjustRightInd/>
              <w:jc w:val="right"/>
              <w:rPr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DB5B0" w14:textId="77777777" w:rsidR="00631C2F" w:rsidRPr="00631C2F" w:rsidRDefault="00631C2F" w:rsidP="00631C2F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EAF8" w14:textId="77777777" w:rsidR="00631C2F" w:rsidRPr="00631C2F" w:rsidRDefault="00631C2F" w:rsidP="00631C2F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5F141" w14:textId="77777777" w:rsidR="00631C2F" w:rsidRPr="00631C2F" w:rsidRDefault="00631C2F" w:rsidP="00631C2F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1730" w14:textId="77777777" w:rsidR="00631C2F" w:rsidRPr="00631C2F" w:rsidRDefault="00631C2F" w:rsidP="00631C2F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</w:tr>
      <w:tr w:rsidR="00631C2F" w:rsidRPr="00631C2F" w14:paraId="0CF821A1" w14:textId="77777777" w:rsidTr="00631C2F">
        <w:trPr>
          <w:trHeight w:val="315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994D" w14:textId="77777777" w:rsidR="00631C2F" w:rsidRPr="00631C2F" w:rsidRDefault="00631C2F" w:rsidP="00631C2F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631C2F">
              <w:rPr>
                <w:szCs w:val="20"/>
              </w:rPr>
              <w:t>Impact due to change in WCA Factors</w:t>
            </w:r>
            <w:r w:rsidRPr="00631C2F">
              <w:rPr>
                <w:szCs w:val="20"/>
                <w:vertAlign w:val="superscript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1DF9" w14:textId="77777777" w:rsidR="00631C2F" w:rsidRPr="00631C2F" w:rsidRDefault="00631C2F" w:rsidP="00631C2F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631C2F">
              <w:rPr>
                <w:szCs w:val="20"/>
              </w:rPr>
              <w:t> 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D52A" w14:textId="77777777" w:rsidR="00631C2F" w:rsidRPr="00631C2F" w:rsidRDefault="00631C2F" w:rsidP="00631C2F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631C2F">
              <w:rPr>
                <w:szCs w:val="20"/>
              </w:rPr>
              <w:t xml:space="preserve"> $            1,841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81E6" w14:textId="77777777" w:rsidR="00631C2F" w:rsidRPr="00631C2F" w:rsidRDefault="00631C2F" w:rsidP="00631C2F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631C2F">
              <w:rPr>
                <w:szCs w:val="20"/>
              </w:rPr>
              <w:t xml:space="preserve"> $        5,867 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45FE" w14:textId="77777777" w:rsidR="00631C2F" w:rsidRPr="00631C2F" w:rsidRDefault="00631C2F" w:rsidP="00631C2F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</w:tr>
      <w:tr w:rsidR="00631C2F" w:rsidRPr="00631C2F" w14:paraId="54799A6A" w14:textId="77777777" w:rsidTr="00631C2F">
        <w:trPr>
          <w:trHeight w:val="255"/>
        </w:trPr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D6CF" w14:textId="77777777" w:rsidR="00631C2F" w:rsidRPr="00631C2F" w:rsidRDefault="00631C2F" w:rsidP="00631C2F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39B50" w14:textId="77777777" w:rsidR="00631C2F" w:rsidRPr="00631C2F" w:rsidRDefault="00631C2F" w:rsidP="00631C2F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3D48" w14:textId="77777777" w:rsidR="00631C2F" w:rsidRPr="00631C2F" w:rsidRDefault="00631C2F" w:rsidP="00631C2F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B850" w14:textId="77777777" w:rsidR="00631C2F" w:rsidRPr="00631C2F" w:rsidRDefault="00631C2F" w:rsidP="00631C2F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4C800" w14:textId="77777777" w:rsidR="00631C2F" w:rsidRPr="00631C2F" w:rsidRDefault="00631C2F" w:rsidP="00631C2F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</w:tr>
      <w:tr w:rsidR="00631C2F" w:rsidRPr="00631C2F" w14:paraId="3AB7E5D2" w14:textId="77777777" w:rsidTr="00631C2F">
        <w:trPr>
          <w:trHeight w:val="315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BC5B" w14:textId="567C6219" w:rsidR="00631C2F" w:rsidRPr="00631C2F" w:rsidRDefault="00631C2F">
            <w:pPr>
              <w:widowControl/>
              <w:autoSpaceDE/>
              <w:autoSpaceDN/>
              <w:adjustRightInd/>
              <w:rPr>
                <w:szCs w:val="20"/>
              </w:rPr>
            </w:pPr>
            <w:r w:rsidRPr="00631C2F">
              <w:rPr>
                <w:szCs w:val="20"/>
                <w:vertAlign w:val="superscript"/>
              </w:rPr>
              <w:t xml:space="preserve">1 </w:t>
            </w:r>
            <w:r w:rsidRPr="00631C2F">
              <w:rPr>
                <w:szCs w:val="20"/>
              </w:rPr>
              <w:t>Staff did not include these impacts in its responsive testimony or in</w:t>
            </w:r>
            <w:r w:rsidR="006D3D80">
              <w:rPr>
                <w:szCs w:val="20"/>
              </w:rPr>
              <w:t xml:space="preserve"> the total calculation in</w:t>
            </w:r>
            <w:r w:rsidRPr="00631C2F">
              <w:rPr>
                <w:szCs w:val="20"/>
              </w:rPr>
              <w:t xml:space="preserve"> this response because </w:t>
            </w:r>
            <w:r w:rsidR="00CB03E5">
              <w:rPr>
                <w:szCs w:val="20"/>
              </w:rPr>
              <w:t xml:space="preserve">the </w:t>
            </w:r>
            <w:r w:rsidRPr="00631C2F">
              <w:rPr>
                <w:szCs w:val="20"/>
              </w:rPr>
              <w:t>effect is minimal.</w:t>
            </w:r>
          </w:p>
        </w:tc>
      </w:tr>
    </w:tbl>
    <w:p w14:paraId="59606F67" w14:textId="77777777" w:rsidR="00FD14BD" w:rsidRDefault="00FD14BD">
      <w:pPr>
        <w:widowControl/>
        <w:autoSpaceDE/>
        <w:autoSpaceDN/>
        <w:adjustRightInd/>
        <w:rPr>
          <w:b/>
          <w:bCs/>
          <w:sz w:val="24"/>
        </w:rPr>
      </w:pPr>
    </w:p>
    <w:p w14:paraId="2F44C20B" w14:textId="77777777" w:rsidR="0013050E" w:rsidRDefault="0008432E" w:rsidP="00B63487">
      <w:pPr>
        <w:rPr>
          <w:bCs/>
          <w:sz w:val="24"/>
        </w:rPr>
      </w:pPr>
      <w:r>
        <w:rPr>
          <w:bCs/>
          <w:sz w:val="24"/>
        </w:rPr>
        <w:t xml:space="preserve">Attached are </w:t>
      </w:r>
      <w:proofErr w:type="spellStart"/>
      <w:r>
        <w:rPr>
          <w:bCs/>
          <w:sz w:val="24"/>
        </w:rPr>
        <w:t>workpapers</w:t>
      </w:r>
      <w:proofErr w:type="spellEnd"/>
      <w:r>
        <w:rPr>
          <w:bCs/>
          <w:sz w:val="24"/>
        </w:rPr>
        <w:t xml:space="preserve"> </w:t>
      </w:r>
      <w:r w:rsidR="00943020">
        <w:rPr>
          <w:bCs/>
          <w:sz w:val="24"/>
        </w:rPr>
        <w:t>prepared in response to this bench r</w:t>
      </w:r>
      <w:r>
        <w:rPr>
          <w:bCs/>
          <w:sz w:val="24"/>
        </w:rPr>
        <w:t>equest.</w:t>
      </w:r>
    </w:p>
    <w:p w14:paraId="259DEA8B" w14:textId="77777777" w:rsidR="00097326" w:rsidRDefault="00097326" w:rsidP="00B63487">
      <w:pPr>
        <w:rPr>
          <w:bCs/>
          <w:sz w:val="24"/>
        </w:rPr>
      </w:pPr>
    </w:p>
    <w:p w14:paraId="328C4B23" w14:textId="37B76EE6" w:rsidR="00B63487" w:rsidRDefault="009F7291" w:rsidP="00B63487">
      <w:pPr>
        <w:rPr>
          <w:sz w:val="24"/>
        </w:rPr>
      </w:pPr>
      <w:r>
        <w:rPr>
          <w:bCs/>
          <w:sz w:val="24"/>
        </w:rPr>
        <w:t>Staff</w:t>
      </w:r>
      <w:r w:rsidR="0013050E">
        <w:rPr>
          <w:bCs/>
          <w:sz w:val="24"/>
        </w:rPr>
        <w:t xml:space="preserve"> devot</w:t>
      </w:r>
      <w:r>
        <w:rPr>
          <w:bCs/>
          <w:sz w:val="24"/>
        </w:rPr>
        <w:t>ed</w:t>
      </w:r>
      <w:r w:rsidR="0013050E">
        <w:rPr>
          <w:bCs/>
          <w:sz w:val="24"/>
        </w:rPr>
        <w:t xml:space="preserve"> as much time as was possible </w:t>
      </w:r>
      <w:r>
        <w:rPr>
          <w:bCs/>
          <w:sz w:val="24"/>
        </w:rPr>
        <w:t>to respond to</w:t>
      </w:r>
      <w:r w:rsidR="00B63487">
        <w:rPr>
          <w:bCs/>
          <w:sz w:val="24"/>
        </w:rPr>
        <w:t xml:space="preserve"> this bench request </w:t>
      </w:r>
      <w:r>
        <w:rPr>
          <w:bCs/>
          <w:sz w:val="24"/>
        </w:rPr>
        <w:t xml:space="preserve">and attempted to </w:t>
      </w:r>
      <w:r w:rsidR="005265CC">
        <w:rPr>
          <w:sz w:val="24"/>
        </w:rPr>
        <w:t xml:space="preserve">fully </w:t>
      </w:r>
      <w:r w:rsidR="00B63487">
        <w:rPr>
          <w:sz w:val="24"/>
        </w:rPr>
        <w:t xml:space="preserve">reconcile </w:t>
      </w:r>
      <w:r w:rsidR="00097326">
        <w:rPr>
          <w:sz w:val="24"/>
        </w:rPr>
        <w:t>the Staff</w:t>
      </w:r>
      <w:r>
        <w:rPr>
          <w:sz w:val="24"/>
        </w:rPr>
        <w:t xml:space="preserve"> outcome to the </w:t>
      </w:r>
      <w:r w:rsidR="00B63487">
        <w:rPr>
          <w:sz w:val="24"/>
        </w:rPr>
        <w:t xml:space="preserve">numbers provided </w:t>
      </w:r>
      <w:r>
        <w:rPr>
          <w:sz w:val="24"/>
        </w:rPr>
        <w:t>in</w:t>
      </w:r>
      <w:r w:rsidR="00B63487">
        <w:rPr>
          <w:sz w:val="24"/>
        </w:rPr>
        <w:t xml:space="preserve"> the Company’s response to Bench Request No. 03</w:t>
      </w:r>
      <w:r w:rsidR="00097326">
        <w:rPr>
          <w:sz w:val="24"/>
        </w:rPr>
        <w:t>;</w:t>
      </w:r>
      <w:r>
        <w:rPr>
          <w:sz w:val="24"/>
        </w:rPr>
        <w:t xml:space="preserve"> but we were unable to do so in the time allotted</w:t>
      </w:r>
      <w:r w:rsidR="00097326">
        <w:rPr>
          <w:sz w:val="24"/>
        </w:rPr>
        <w:t>.</w:t>
      </w:r>
    </w:p>
    <w:p w14:paraId="4BA4CA2B" w14:textId="4B2B4772" w:rsidR="00EE7D1F" w:rsidRDefault="00B63487" w:rsidP="00B63487">
      <w:pPr>
        <w:widowControl/>
        <w:autoSpaceDE/>
        <w:autoSpaceDN/>
        <w:adjustRightInd/>
        <w:rPr>
          <w:b/>
          <w:bCs/>
          <w:sz w:val="24"/>
        </w:rPr>
      </w:pPr>
      <w:r>
        <w:rPr>
          <w:b/>
          <w:bCs/>
          <w:sz w:val="24"/>
        </w:rPr>
        <w:t xml:space="preserve"> </w:t>
      </w:r>
      <w:r w:rsidR="00EE7D1F">
        <w:rPr>
          <w:b/>
          <w:bCs/>
          <w:sz w:val="24"/>
        </w:rPr>
        <w:br w:type="page"/>
      </w:r>
    </w:p>
    <w:p w14:paraId="3238C8E5" w14:textId="30340F38" w:rsidR="00380457" w:rsidRPr="00380457" w:rsidRDefault="00380457" w:rsidP="00380457">
      <w:pPr>
        <w:spacing w:after="240"/>
        <w:rPr>
          <w:sz w:val="24"/>
        </w:rPr>
      </w:pPr>
      <w:r w:rsidRPr="00380457">
        <w:rPr>
          <w:b/>
          <w:bCs/>
          <w:sz w:val="24"/>
        </w:rPr>
        <w:lastRenderedPageBreak/>
        <w:t xml:space="preserve">REQUEST NO. </w:t>
      </w:r>
      <w:r w:rsidR="00FF4B6A">
        <w:rPr>
          <w:b/>
          <w:bCs/>
          <w:sz w:val="24"/>
        </w:rPr>
        <w:t>4</w:t>
      </w:r>
      <w:r w:rsidRPr="00380457">
        <w:rPr>
          <w:b/>
          <w:bCs/>
          <w:sz w:val="24"/>
        </w:rPr>
        <w:t xml:space="preserve">:  </w:t>
      </w:r>
      <w:r w:rsidR="00EE7D1F" w:rsidRPr="00EE7D1F">
        <w:rPr>
          <w:sz w:val="24"/>
        </w:rPr>
        <w:t>Please provide an explanation for the depreciation rate utilized for Adjustment 8.4 – Pro Forma Plant Additions at Line 30 of Jason L. Ball’s exhibit, Exh. No. JLB-2.</w:t>
      </w:r>
    </w:p>
    <w:p w14:paraId="0A0BBD65" w14:textId="49F9D082" w:rsidR="00DF7F58" w:rsidRDefault="00D34852" w:rsidP="00EE7D1F">
      <w:pPr>
        <w:rPr>
          <w:sz w:val="24"/>
        </w:rPr>
      </w:pPr>
      <w:r>
        <w:rPr>
          <w:b/>
          <w:bCs/>
          <w:sz w:val="24"/>
        </w:rPr>
        <w:t>RESPONSE:</w:t>
      </w:r>
      <w:r w:rsidR="00DB0048">
        <w:rPr>
          <w:b/>
          <w:bCs/>
          <w:sz w:val="24"/>
        </w:rPr>
        <w:t xml:space="preserve">  </w:t>
      </w:r>
      <w:r w:rsidR="00DF7F58">
        <w:rPr>
          <w:sz w:val="24"/>
        </w:rPr>
        <w:t>The depreciation rate utilized in Tab “</w:t>
      </w:r>
      <w:proofErr w:type="spellStart"/>
      <w:r w:rsidR="00EB67C3">
        <w:rPr>
          <w:sz w:val="24"/>
        </w:rPr>
        <w:t>Adj</w:t>
      </w:r>
      <w:proofErr w:type="spellEnd"/>
      <w:r w:rsidR="00EB67C3">
        <w:rPr>
          <w:sz w:val="24"/>
        </w:rPr>
        <w:t xml:space="preserve"> 8.4 – Major Plant Add” is based on Pacific Power’s </w:t>
      </w:r>
      <w:r w:rsidR="00C0558B">
        <w:rPr>
          <w:sz w:val="24"/>
        </w:rPr>
        <w:t>assertion that “</w:t>
      </w:r>
      <w:r w:rsidR="006C35D0">
        <w:rPr>
          <w:sz w:val="24"/>
        </w:rPr>
        <w:t>[t]</w:t>
      </w:r>
      <w:r w:rsidR="00C0558B">
        <w:rPr>
          <w:sz w:val="24"/>
        </w:rPr>
        <w:t xml:space="preserve">he depreciable lives used for rate making for the selective catalytic reduction (SCR) and natural gas conversion alternatives were assumed to be the same.” </w:t>
      </w:r>
      <w:r w:rsidR="00112F96">
        <w:rPr>
          <w:sz w:val="24"/>
        </w:rPr>
        <w:t>Pacific Power response to UTC Staff Data Request</w:t>
      </w:r>
      <w:r w:rsidR="00262113">
        <w:rPr>
          <w:sz w:val="24"/>
        </w:rPr>
        <w:t xml:space="preserve"> </w:t>
      </w:r>
      <w:r w:rsidR="00112F96">
        <w:rPr>
          <w:sz w:val="24"/>
        </w:rPr>
        <w:t xml:space="preserve">No. </w:t>
      </w:r>
      <w:r w:rsidR="00262113">
        <w:rPr>
          <w:sz w:val="24"/>
        </w:rPr>
        <w:t>16</w:t>
      </w:r>
      <w:r w:rsidR="00112F96">
        <w:rPr>
          <w:sz w:val="24"/>
        </w:rPr>
        <w:t>, which is attached</w:t>
      </w:r>
      <w:r w:rsidR="00262113">
        <w:rPr>
          <w:sz w:val="24"/>
        </w:rPr>
        <w:t xml:space="preserve">. </w:t>
      </w:r>
      <w:r w:rsidR="00C0558B">
        <w:rPr>
          <w:sz w:val="24"/>
        </w:rPr>
        <w:t>Therefore, Staff</w:t>
      </w:r>
      <w:r w:rsidR="008F2AF3">
        <w:rPr>
          <w:sz w:val="24"/>
        </w:rPr>
        <w:t xml:space="preserve"> uses </w:t>
      </w:r>
      <w:r w:rsidR="00C0558B">
        <w:rPr>
          <w:sz w:val="24"/>
        </w:rPr>
        <w:t>a 22 year straight-line</w:t>
      </w:r>
      <w:r w:rsidR="008F2AF3">
        <w:rPr>
          <w:sz w:val="24"/>
        </w:rPr>
        <w:t xml:space="preserve"> depreciation schedule</w:t>
      </w:r>
      <w:r w:rsidR="00C346D0">
        <w:rPr>
          <w:sz w:val="24"/>
        </w:rPr>
        <w:t xml:space="preserve"> for the modeled natural gas plant in adjustment 8.4</w:t>
      </w:r>
      <w:r w:rsidR="00D673AD">
        <w:rPr>
          <w:sz w:val="24"/>
        </w:rPr>
        <w:t>.</w:t>
      </w:r>
    </w:p>
    <w:p w14:paraId="65AB4291" w14:textId="77777777" w:rsidR="008F2AF3" w:rsidRDefault="008F2AF3" w:rsidP="00EE7D1F">
      <w:pPr>
        <w:rPr>
          <w:sz w:val="24"/>
        </w:rPr>
      </w:pPr>
    </w:p>
    <w:p w14:paraId="37D5CEFC" w14:textId="079A6C4D" w:rsidR="008F2AF3" w:rsidRPr="00380457" w:rsidRDefault="008F2AF3" w:rsidP="00D673AD">
      <w:pPr>
        <w:tabs>
          <w:tab w:val="left" w:pos="7200"/>
        </w:tabs>
        <w:rPr>
          <w:sz w:val="24"/>
        </w:rPr>
      </w:pPr>
      <w:r>
        <w:rPr>
          <w:sz w:val="24"/>
        </w:rPr>
        <w:t xml:space="preserve">The annual depreciation expense of $1,985,185 is determined by </w:t>
      </w:r>
      <w:r w:rsidR="00EE7894">
        <w:rPr>
          <w:sz w:val="24"/>
        </w:rPr>
        <w:t>dividing</w:t>
      </w:r>
      <w:r>
        <w:rPr>
          <w:sz w:val="24"/>
        </w:rPr>
        <w:t xml:space="preserve"> the total steam production </w:t>
      </w:r>
      <w:r w:rsidR="00EE7894">
        <w:rPr>
          <w:sz w:val="24"/>
        </w:rPr>
        <w:t xml:space="preserve">rate base of $43,674,078 by its estimated useful </w:t>
      </w:r>
      <w:r w:rsidR="00D90149">
        <w:rPr>
          <w:sz w:val="24"/>
        </w:rPr>
        <w:t>life of 22 years.</w:t>
      </w:r>
    </w:p>
    <w:sectPr w:rsidR="008F2AF3" w:rsidRPr="00380457" w:rsidSect="00F95720">
      <w:headerReference w:type="default" r:id="rId12"/>
      <w:endnotePr>
        <w:numFmt w:val="decimal"/>
      </w:endnotePr>
      <w:pgSz w:w="12240" w:h="15840"/>
      <w:pgMar w:top="1440" w:right="1440" w:bottom="1440" w:left="1872" w:header="1440" w:footer="1440" w:gutter="0"/>
      <w:paperSrc w:first="7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EED950" w14:textId="77777777" w:rsidR="00EC67D5" w:rsidRDefault="00EC67D5">
      <w:r>
        <w:separator/>
      </w:r>
    </w:p>
  </w:endnote>
  <w:endnote w:type="continuationSeparator" w:id="0">
    <w:p w14:paraId="21D9388D" w14:textId="77777777" w:rsidR="00EC67D5" w:rsidRDefault="00EC67D5">
      <w:r>
        <w:continuationSeparator/>
      </w:r>
    </w:p>
  </w:endnote>
  <w:endnote w:type="continuationNotice" w:id="1">
    <w:p w14:paraId="374CEF80" w14:textId="77777777" w:rsidR="000F782E" w:rsidRDefault="000F78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BB4513" w14:textId="77777777" w:rsidR="00EC67D5" w:rsidRDefault="00EC67D5">
      <w:r>
        <w:separator/>
      </w:r>
    </w:p>
  </w:footnote>
  <w:footnote w:type="continuationSeparator" w:id="0">
    <w:p w14:paraId="09A1A669" w14:textId="77777777" w:rsidR="00EC67D5" w:rsidRDefault="00EC67D5">
      <w:r>
        <w:continuationSeparator/>
      </w:r>
    </w:p>
  </w:footnote>
  <w:footnote w:type="continuationNotice" w:id="1">
    <w:p w14:paraId="70469918" w14:textId="77777777" w:rsidR="000F782E" w:rsidRDefault="000F782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CED536" w14:textId="77777777" w:rsidR="00EC67D5" w:rsidRDefault="00EC67D5" w:rsidP="00801FFD">
    <w:pPr>
      <w:tabs>
        <w:tab w:val="center" w:pos="4680"/>
      </w:tabs>
      <w:jc w:val="center"/>
      <w:rPr>
        <w:sz w:val="24"/>
      </w:rPr>
    </w:pPr>
    <w:r>
      <w:rPr>
        <w:sz w:val="24"/>
      </w:rPr>
      <w:t>WASHINGTON UTILITIES AND TRANSPORTATION COMMISSION STAFF</w:t>
    </w:r>
  </w:p>
  <w:p w14:paraId="54D665F0" w14:textId="77777777" w:rsidR="00EC67D5" w:rsidRDefault="00EC67D5" w:rsidP="00801FFD">
    <w:pPr>
      <w:tabs>
        <w:tab w:val="center" w:pos="4680"/>
      </w:tabs>
      <w:jc w:val="center"/>
      <w:rPr>
        <w:sz w:val="24"/>
      </w:rPr>
    </w:pPr>
    <w:r>
      <w:rPr>
        <w:sz w:val="24"/>
      </w:rPr>
      <w:t>RESPONSE TO DATA REQUEST</w:t>
    </w:r>
  </w:p>
  <w:p w14:paraId="401182A0" w14:textId="77777777" w:rsidR="00EC67D5" w:rsidRDefault="00EC67D5">
    <w:pPr>
      <w:rPr>
        <w:sz w:val="24"/>
      </w:rPr>
    </w:pP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320"/>
      <w:gridCol w:w="720"/>
      <w:gridCol w:w="4320"/>
    </w:tblGrid>
    <w:tr w:rsidR="00EC67D5" w14:paraId="7C10B9AD" w14:textId="77777777">
      <w:tc>
        <w:tcPr>
          <w:tcW w:w="4320" w:type="dxa"/>
          <w:tcBorders>
            <w:top w:val="nil"/>
            <w:left w:val="nil"/>
            <w:bottom w:val="nil"/>
            <w:right w:val="nil"/>
          </w:tcBorders>
        </w:tcPr>
        <w:p w14:paraId="7ACD172D" w14:textId="19040E6E" w:rsidR="00EC67D5" w:rsidRDefault="00EC67D5">
          <w:pPr>
            <w:tabs>
              <w:tab w:val="left" w:pos="-1440"/>
            </w:tabs>
            <w:ind w:left="2160" w:hanging="2160"/>
            <w:rPr>
              <w:sz w:val="24"/>
            </w:rPr>
          </w:pPr>
          <w:r>
            <w:rPr>
              <w:sz w:val="24"/>
            </w:rPr>
            <w:t>DATE PREPARED:</w:t>
          </w:r>
          <w:r>
            <w:rPr>
              <w:sz w:val="24"/>
            </w:rPr>
            <w:tab/>
          </w:r>
          <w:r w:rsidR="00FF4B6A">
            <w:rPr>
              <w:sz w:val="24"/>
            </w:rPr>
            <w:t>April 2</w:t>
          </w:r>
          <w:r w:rsidR="007D5451">
            <w:rPr>
              <w:sz w:val="24"/>
            </w:rPr>
            <w:t>5</w:t>
          </w:r>
          <w:r>
            <w:rPr>
              <w:sz w:val="24"/>
            </w:rPr>
            <w:t>, 2016</w:t>
          </w:r>
        </w:p>
        <w:p w14:paraId="28FF1E7F" w14:textId="77777777" w:rsidR="00EC67D5" w:rsidRDefault="00EC67D5">
          <w:pPr>
            <w:tabs>
              <w:tab w:val="left" w:pos="-1440"/>
            </w:tabs>
            <w:ind w:left="1440" w:hanging="1440"/>
            <w:rPr>
              <w:sz w:val="24"/>
            </w:rPr>
          </w:pPr>
          <w:r>
            <w:rPr>
              <w:sz w:val="24"/>
            </w:rPr>
            <w:t>DOCKET:</w:t>
          </w:r>
          <w:r>
            <w:rPr>
              <w:sz w:val="24"/>
            </w:rPr>
            <w:tab/>
          </w:r>
          <w:r>
            <w:rPr>
              <w:sz w:val="24"/>
            </w:rPr>
            <w:tab/>
            <w:t>UE-152253</w:t>
          </w:r>
        </w:p>
        <w:p w14:paraId="5E41BF6F" w14:textId="5184391F" w:rsidR="00EC67D5" w:rsidRDefault="001D562F">
          <w:pPr>
            <w:rPr>
              <w:sz w:val="24"/>
            </w:rPr>
          </w:pPr>
          <w:r>
            <w:rPr>
              <w:sz w:val="24"/>
            </w:rPr>
            <w:t>REQUESTER:</w:t>
          </w:r>
          <w:r w:rsidR="00FF4B6A">
            <w:rPr>
              <w:sz w:val="24"/>
            </w:rPr>
            <w:tab/>
            <w:t>Bench</w:t>
          </w:r>
        </w:p>
        <w:p w14:paraId="1B59E23D" w14:textId="77777777" w:rsidR="00EC67D5" w:rsidRDefault="00EC67D5">
          <w:pPr>
            <w:rPr>
              <w:sz w:val="24"/>
            </w:rPr>
          </w:pPr>
        </w:p>
      </w:tc>
      <w:tc>
        <w:tcPr>
          <w:tcW w:w="720" w:type="dxa"/>
          <w:tcBorders>
            <w:top w:val="nil"/>
            <w:left w:val="nil"/>
            <w:bottom w:val="nil"/>
            <w:right w:val="nil"/>
          </w:tcBorders>
        </w:tcPr>
        <w:p w14:paraId="6248FAA0" w14:textId="77777777" w:rsidR="00EC67D5" w:rsidRDefault="00EC67D5">
          <w:pPr>
            <w:rPr>
              <w:sz w:val="24"/>
            </w:rPr>
          </w:pPr>
        </w:p>
      </w:tc>
      <w:tc>
        <w:tcPr>
          <w:tcW w:w="4320" w:type="dxa"/>
          <w:tcBorders>
            <w:top w:val="nil"/>
            <w:left w:val="nil"/>
            <w:bottom w:val="nil"/>
            <w:right w:val="nil"/>
          </w:tcBorders>
        </w:tcPr>
        <w:p w14:paraId="24C3BC5F" w14:textId="34C26B69" w:rsidR="00EC67D5" w:rsidRDefault="00EC67D5" w:rsidP="00380457">
          <w:pPr>
            <w:tabs>
              <w:tab w:val="left" w:pos="-1440"/>
              <w:tab w:val="left" w:pos="1620"/>
            </w:tabs>
            <w:rPr>
              <w:sz w:val="24"/>
            </w:rPr>
          </w:pPr>
          <w:r>
            <w:rPr>
              <w:sz w:val="24"/>
            </w:rPr>
            <w:t>WITNESS:</w:t>
          </w:r>
          <w:r>
            <w:rPr>
              <w:sz w:val="24"/>
            </w:rPr>
            <w:tab/>
          </w:r>
          <w:r w:rsidR="00EE7D1F">
            <w:rPr>
              <w:sz w:val="24"/>
            </w:rPr>
            <w:t>Jason L. Ball</w:t>
          </w:r>
        </w:p>
        <w:p w14:paraId="041E3FBD" w14:textId="370ED6F0" w:rsidR="00EC67D5" w:rsidRDefault="00EC67D5" w:rsidP="00380457">
          <w:pPr>
            <w:tabs>
              <w:tab w:val="left" w:pos="1620"/>
            </w:tabs>
            <w:rPr>
              <w:sz w:val="24"/>
            </w:rPr>
          </w:pPr>
          <w:r>
            <w:rPr>
              <w:sz w:val="24"/>
            </w:rPr>
            <w:t>RESPONDER:</w:t>
          </w:r>
          <w:r>
            <w:rPr>
              <w:sz w:val="24"/>
            </w:rPr>
            <w:tab/>
            <w:t>J</w:t>
          </w:r>
          <w:r w:rsidR="00EE7D1F">
            <w:rPr>
              <w:sz w:val="24"/>
            </w:rPr>
            <w:t>ason L. Ball</w:t>
          </w:r>
        </w:p>
        <w:p w14:paraId="177FE41E" w14:textId="5DE38DF3" w:rsidR="00EC67D5" w:rsidRDefault="00EC67D5" w:rsidP="00380457">
          <w:pPr>
            <w:tabs>
              <w:tab w:val="left" w:pos="1620"/>
            </w:tabs>
            <w:rPr>
              <w:sz w:val="24"/>
            </w:rPr>
          </w:pPr>
          <w:r>
            <w:rPr>
              <w:sz w:val="24"/>
            </w:rPr>
            <w:t>TELEPHONE:</w:t>
          </w:r>
          <w:r>
            <w:rPr>
              <w:sz w:val="24"/>
            </w:rPr>
            <w:tab/>
            <w:t>(360) 664-1</w:t>
          </w:r>
          <w:r w:rsidR="00EE7D1F">
            <w:rPr>
              <w:sz w:val="24"/>
            </w:rPr>
            <w:t>279</w:t>
          </w:r>
        </w:p>
        <w:p w14:paraId="205F1E0E" w14:textId="77777777" w:rsidR="00EC67D5" w:rsidRDefault="00EC67D5">
          <w:pPr>
            <w:rPr>
              <w:sz w:val="24"/>
            </w:rPr>
          </w:pPr>
        </w:p>
      </w:tc>
    </w:tr>
  </w:tbl>
  <w:p w14:paraId="28B023B3" w14:textId="77777777" w:rsidR="00EC67D5" w:rsidRDefault="00EC67D5">
    <w:pPr>
      <w:spacing w:line="240" w:lineRule="exac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C08E4"/>
    <w:multiLevelType w:val="hybridMultilevel"/>
    <w:tmpl w:val="B3765CC6"/>
    <w:lvl w:ilvl="0" w:tplc="A2D084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303FB"/>
    <w:multiLevelType w:val="hybridMultilevel"/>
    <w:tmpl w:val="446662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57185"/>
    <w:multiLevelType w:val="hybridMultilevel"/>
    <w:tmpl w:val="A55AD6AE"/>
    <w:lvl w:ilvl="0" w:tplc="37B6B2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216A8D"/>
    <w:multiLevelType w:val="hybridMultilevel"/>
    <w:tmpl w:val="38127B28"/>
    <w:lvl w:ilvl="0" w:tplc="C9BA98CC">
      <w:start w:val="1"/>
      <w:numFmt w:val="bullet"/>
      <w:lvlText w:val="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422CD3"/>
    <w:multiLevelType w:val="hybridMultilevel"/>
    <w:tmpl w:val="56985CD8"/>
    <w:lvl w:ilvl="0" w:tplc="81EE25E6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03761B9"/>
    <w:multiLevelType w:val="hybridMultilevel"/>
    <w:tmpl w:val="AE34A7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240004"/>
    <w:multiLevelType w:val="hybridMultilevel"/>
    <w:tmpl w:val="14E6F9C0"/>
    <w:lvl w:ilvl="0" w:tplc="FCAC05BA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05"/>
    <w:rsid w:val="00005B53"/>
    <w:rsid w:val="00040D17"/>
    <w:rsid w:val="00055E21"/>
    <w:rsid w:val="00067654"/>
    <w:rsid w:val="0008432E"/>
    <w:rsid w:val="00091562"/>
    <w:rsid w:val="000921A8"/>
    <w:rsid w:val="00097326"/>
    <w:rsid w:val="000A4DFD"/>
    <w:rsid w:val="000C0B72"/>
    <w:rsid w:val="000F3969"/>
    <w:rsid w:val="000F782E"/>
    <w:rsid w:val="00101742"/>
    <w:rsid w:val="00112F96"/>
    <w:rsid w:val="0011518B"/>
    <w:rsid w:val="0013050E"/>
    <w:rsid w:val="00130A5D"/>
    <w:rsid w:val="00157440"/>
    <w:rsid w:val="00162C06"/>
    <w:rsid w:val="0019539B"/>
    <w:rsid w:val="001A0018"/>
    <w:rsid w:val="001C5FCD"/>
    <w:rsid w:val="001C7849"/>
    <w:rsid w:val="001D562F"/>
    <w:rsid w:val="001D7CF7"/>
    <w:rsid w:val="001E74BE"/>
    <w:rsid w:val="00211A5F"/>
    <w:rsid w:val="00213093"/>
    <w:rsid w:val="00253474"/>
    <w:rsid w:val="00253D8E"/>
    <w:rsid w:val="00254020"/>
    <w:rsid w:val="00262113"/>
    <w:rsid w:val="00263C8D"/>
    <w:rsid w:val="002B055A"/>
    <w:rsid w:val="002B4D89"/>
    <w:rsid w:val="002C40EE"/>
    <w:rsid w:val="002F3A92"/>
    <w:rsid w:val="00313005"/>
    <w:rsid w:val="00332A6F"/>
    <w:rsid w:val="00380457"/>
    <w:rsid w:val="003A02D9"/>
    <w:rsid w:val="003F446F"/>
    <w:rsid w:val="00435551"/>
    <w:rsid w:val="00443B24"/>
    <w:rsid w:val="00457099"/>
    <w:rsid w:val="00480A6F"/>
    <w:rsid w:val="004B3D45"/>
    <w:rsid w:val="004D7FD5"/>
    <w:rsid w:val="005265CC"/>
    <w:rsid w:val="00526860"/>
    <w:rsid w:val="00531CB9"/>
    <w:rsid w:val="00554165"/>
    <w:rsid w:val="00570040"/>
    <w:rsid w:val="005B4D13"/>
    <w:rsid w:val="005C7426"/>
    <w:rsid w:val="00631C2F"/>
    <w:rsid w:val="00633CC7"/>
    <w:rsid w:val="0065095D"/>
    <w:rsid w:val="00651433"/>
    <w:rsid w:val="00660E84"/>
    <w:rsid w:val="006948EB"/>
    <w:rsid w:val="006A637E"/>
    <w:rsid w:val="006C35D0"/>
    <w:rsid w:val="006D3D80"/>
    <w:rsid w:val="00702CAD"/>
    <w:rsid w:val="00711CBC"/>
    <w:rsid w:val="00752E52"/>
    <w:rsid w:val="00762A0E"/>
    <w:rsid w:val="00774AE4"/>
    <w:rsid w:val="007C16DF"/>
    <w:rsid w:val="007D5451"/>
    <w:rsid w:val="007E2B88"/>
    <w:rsid w:val="00801FFD"/>
    <w:rsid w:val="00804353"/>
    <w:rsid w:val="0082585F"/>
    <w:rsid w:val="0084632F"/>
    <w:rsid w:val="00870494"/>
    <w:rsid w:val="00882AFA"/>
    <w:rsid w:val="00885091"/>
    <w:rsid w:val="008F2AF3"/>
    <w:rsid w:val="0091084E"/>
    <w:rsid w:val="00914156"/>
    <w:rsid w:val="00943020"/>
    <w:rsid w:val="00946EA7"/>
    <w:rsid w:val="009A29F4"/>
    <w:rsid w:val="009D333A"/>
    <w:rsid w:val="009F7291"/>
    <w:rsid w:val="00A01278"/>
    <w:rsid w:val="00A476E7"/>
    <w:rsid w:val="00A94E05"/>
    <w:rsid w:val="00B21085"/>
    <w:rsid w:val="00B3744B"/>
    <w:rsid w:val="00B41D72"/>
    <w:rsid w:val="00B55879"/>
    <w:rsid w:val="00B61A19"/>
    <w:rsid w:val="00B63487"/>
    <w:rsid w:val="00B9013D"/>
    <w:rsid w:val="00B921A1"/>
    <w:rsid w:val="00BA0AB4"/>
    <w:rsid w:val="00BA6AAE"/>
    <w:rsid w:val="00BA6BDC"/>
    <w:rsid w:val="00BC4449"/>
    <w:rsid w:val="00BC51CB"/>
    <w:rsid w:val="00BE1605"/>
    <w:rsid w:val="00BF1506"/>
    <w:rsid w:val="00C02DE8"/>
    <w:rsid w:val="00C0558B"/>
    <w:rsid w:val="00C24EF9"/>
    <w:rsid w:val="00C32009"/>
    <w:rsid w:val="00C3454B"/>
    <w:rsid w:val="00C346D0"/>
    <w:rsid w:val="00C3723E"/>
    <w:rsid w:val="00C47A9B"/>
    <w:rsid w:val="00C626A0"/>
    <w:rsid w:val="00CB03E5"/>
    <w:rsid w:val="00D10ED7"/>
    <w:rsid w:val="00D17F88"/>
    <w:rsid w:val="00D34852"/>
    <w:rsid w:val="00D40990"/>
    <w:rsid w:val="00D457FD"/>
    <w:rsid w:val="00D47C2A"/>
    <w:rsid w:val="00D65051"/>
    <w:rsid w:val="00D673AD"/>
    <w:rsid w:val="00D90149"/>
    <w:rsid w:val="00DB0048"/>
    <w:rsid w:val="00DF7F58"/>
    <w:rsid w:val="00E212B5"/>
    <w:rsid w:val="00E46831"/>
    <w:rsid w:val="00E77428"/>
    <w:rsid w:val="00E81693"/>
    <w:rsid w:val="00E81C12"/>
    <w:rsid w:val="00E84D5C"/>
    <w:rsid w:val="00EA6262"/>
    <w:rsid w:val="00EB2742"/>
    <w:rsid w:val="00EB3A3F"/>
    <w:rsid w:val="00EB67C3"/>
    <w:rsid w:val="00EC36B2"/>
    <w:rsid w:val="00EC67D5"/>
    <w:rsid w:val="00EC6AE3"/>
    <w:rsid w:val="00EE7894"/>
    <w:rsid w:val="00EE7D1F"/>
    <w:rsid w:val="00EF4522"/>
    <w:rsid w:val="00EF5647"/>
    <w:rsid w:val="00F27CE2"/>
    <w:rsid w:val="00F43FE1"/>
    <w:rsid w:val="00F874D4"/>
    <w:rsid w:val="00F95720"/>
    <w:rsid w:val="00FA6125"/>
    <w:rsid w:val="00FD14BD"/>
    <w:rsid w:val="00FD35E5"/>
    <w:rsid w:val="00FE5C1B"/>
    <w:rsid w:val="00FF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1ACD0C"/>
  <w15:chartTrackingRefBased/>
  <w15:docId w15:val="{AFB42900-0575-47DA-B8A0-20F29495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157440"/>
    <w:pPr>
      <w:ind w:left="720"/>
      <w:contextualSpacing/>
    </w:pPr>
  </w:style>
  <w:style w:type="character" w:styleId="CommentReference">
    <w:name w:val="annotation reference"/>
    <w:basedOn w:val="DefaultParagraphFont"/>
    <w:rsid w:val="00526860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860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526860"/>
  </w:style>
  <w:style w:type="paragraph" w:styleId="CommentSubject">
    <w:name w:val="annotation subject"/>
    <w:basedOn w:val="CommentText"/>
    <w:next w:val="CommentText"/>
    <w:link w:val="CommentSubjectChar"/>
    <w:rsid w:val="005268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860"/>
    <w:rPr>
      <w:b/>
      <w:bCs/>
    </w:rPr>
  </w:style>
  <w:style w:type="paragraph" w:styleId="BalloonText">
    <w:name w:val="Balloon Text"/>
    <w:basedOn w:val="Normal"/>
    <w:link w:val="BalloonTextChar"/>
    <w:rsid w:val="005268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2686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rsid w:val="00F43FE1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F43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5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6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Formal</CaseStatus>
    <OpenedDate xmlns="dc463f71-b30c-4ab2-9473-d307f9d35888">2015-11-25T08:00:00+00:00</OpenedDate>
    <Date1 xmlns="dc463f71-b30c-4ab2-9473-d307f9d35888">2016-04-25T22:26:05+00:00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2AA137-EF5F-4FD2-9ABB-8BF3ED7321B4}"/>
</file>

<file path=customXml/itemProps2.xml><?xml version="1.0" encoding="utf-8"?>
<ds:datastoreItem xmlns:ds="http://schemas.openxmlformats.org/officeDocument/2006/customXml" ds:itemID="{C84339C3-1803-4403-950C-584F2D848F68}"/>
</file>

<file path=customXml/itemProps3.xml><?xml version="1.0" encoding="utf-8"?>
<ds:datastoreItem xmlns:ds="http://schemas.openxmlformats.org/officeDocument/2006/customXml" ds:itemID="{A10988B2-097F-4864-937C-160D1B99BBF3}"/>
</file>

<file path=customXml/itemProps4.xml><?xml version="1.0" encoding="utf-8"?>
<ds:datastoreItem xmlns:ds="http://schemas.openxmlformats.org/officeDocument/2006/customXml" ds:itemID="{729E6ACA-E1DF-4F4D-A2F6-31D0093D7981}"/>
</file>

<file path=customXml/itemProps5.xml><?xml version="1.0" encoding="utf-8"?>
<ds:datastoreItem xmlns:ds="http://schemas.openxmlformats.org/officeDocument/2006/customXml" ds:itemID="{753AC1E7-2E03-4544-A519-44643FF6E285}"/>
</file>

<file path=customXml/itemProps6.xml><?xml version="1.0" encoding="utf-8"?>
<ds:datastoreItem xmlns:ds="http://schemas.openxmlformats.org/officeDocument/2006/customXml" ds:itemID="{AD9BCEF2-A333-45A1-AEEA-6AAACF7664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2</Pages>
  <Words>418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 Resp to Bench DRs 3-4</vt:lpstr>
    </vt:vector>
  </TitlesOfParts>
  <Company>WUTC</Company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Resp to Bench DRs 3-4</dc:title>
  <dc:subject/>
  <dc:creator>Information Services</dc:creator>
  <cp:keywords/>
  <dc:description/>
  <cp:lastModifiedBy>DeMarco, Betsy (UTC)</cp:lastModifiedBy>
  <cp:revision>49</cp:revision>
  <cp:lastPrinted>2016-04-25T20:17:00Z</cp:lastPrinted>
  <dcterms:created xsi:type="dcterms:W3CDTF">2016-04-18T16:06:00Z</dcterms:created>
  <dcterms:modified xsi:type="dcterms:W3CDTF">2016-04-25T20:23:00Z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Gross, Krista (UTC)</vt:lpwstr>
  </property>
  <property fmtid="{D5CDD505-2E9C-101B-9397-08002B2CF9AE}" pid="3" name="display_urn:schemas-microsoft-com:office:office#Author">
    <vt:lpwstr>Gross, Krista (UTC)</vt:lpwstr>
  </property>
  <property fmtid="{D5CDD505-2E9C-101B-9397-08002B2CF9AE}" pid="4" name="ContentTypeId">
    <vt:lpwstr>0x0101006E56B4D1795A2E4DB2F0B01679ED314A007595E2AA379E88449A4F511BF799667C</vt:lpwstr>
  </property>
  <property fmtid="{D5CDD505-2E9C-101B-9397-08002B2CF9AE}" pid="5" name="Modified Date">
    <vt:lpwstr/>
  </property>
  <property fmtid="{D5CDD505-2E9C-101B-9397-08002B2CF9AE}" pid="6" name="Status">
    <vt:lpwstr/>
  </property>
  <property fmtid="{D5CDD505-2E9C-101B-9397-08002B2CF9AE}" pid="7" name="Document Date">
    <vt:lpwstr/>
  </property>
  <property fmtid="{D5CDD505-2E9C-101B-9397-08002B2CF9AE}" pid="8" name="DR Nos.">
    <vt:lpwstr/>
  </property>
  <property fmtid="{D5CDD505-2E9C-101B-9397-08002B2CF9AE}" pid="9" name="Requesting Party">
    <vt:lpwstr/>
  </property>
  <property fmtid="{D5CDD505-2E9C-101B-9397-08002B2CF9AE}" pid="10" name="Document Type">
    <vt:lpwstr/>
  </property>
  <property fmtid="{D5CDD505-2E9C-101B-9397-08002B2CF9AE}" pid="11" name="DR Sort">
    <vt:lpwstr/>
  </property>
  <property fmtid="{D5CDD505-2E9C-101B-9397-08002B2CF9AE}" pid="12" name="Document Name">
    <vt:lpwstr/>
  </property>
  <property fmtid="{D5CDD505-2E9C-101B-9397-08002B2CF9AE}" pid="13" name="Responding Party">
    <vt:lpwstr/>
  </property>
  <property fmtid="{D5CDD505-2E9C-101B-9397-08002B2CF9AE}" pid="14" name="_docset_NoMedatataSyncRequired">
    <vt:lpwstr>False</vt:lpwstr>
  </property>
</Properties>
</file>