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pPr>
        <w:spacing w:line="480" w:lineRule="auto"/>
        <w:ind w:right="28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pPr>
        <w:spacing w:line="480" w:lineRule="auto"/>
        <w:ind w:right="288" w:firstLine="720"/>
        <w:jc w:val="both"/>
        <w:rPr>
          <w:sz w:val="24"/>
        </w:rPr>
      </w:pPr>
      <w:r>
        <w:rPr>
          <w:sz w:val="24"/>
        </w:rPr>
        <w:t xml:space="preserve">There are three basic steps involved in a cost of service study: functionalization,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pPr>
        <w:spacing w:line="480" w:lineRule="auto"/>
        <w:ind w:right="288" w:firstLine="720"/>
        <w:jc w:val="both"/>
        <w:rPr>
          <w:sz w:val="24"/>
        </w:rPr>
      </w:pPr>
      <w:r>
        <w:rPr>
          <w:sz w:val="24"/>
        </w:rPr>
        <w:t>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B514E2" w:rsidRDefault="00B514E2">
      <w:pPr>
        <w:spacing w:line="480" w:lineRule="auto"/>
        <w:ind w:right="288" w:firstLine="720"/>
        <w:jc w:val="both"/>
        <w:rPr>
          <w:sz w:val="24"/>
        </w:rPr>
      </w:pPr>
      <w:r>
        <w:rPr>
          <w:sz w:val="24"/>
        </w:rPr>
        <w:t>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these three cost components, any revenue related expense is allocated based on the proportion of revenues by rate schedule.</w:t>
      </w:r>
    </w:p>
    <w:p w:rsidR="00B514E2" w:rsidRDefault="00BF71D6">
      <w:pPr>
        <w:spacing w:line="480" w:lineRule="auto"/>
        <w:ind w:right="288"/>
        <w:jc w:val="both"/>
        <w:rPr>
          <w:sz w:val="24"/>
        </w:rPr>
      </w:pPr>
      <w:r w:rsidRPr="00BF71D6">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23.5pt;margin-top:.2pt;width:527.1pt;height:675.3pt;z-index:251657728">
            <v:imagedata r:id="rId7" o:title=""/>
            <w10:wrap type="topAndBottom"/>
          </v:shape>
          <o:OLEObject Type="Embed" ProgID="Excel.Sheet.8" ShapeID="_x0000_s2100" DrawAspect="Content" ObjectID="_1330077656" r:id="rId8"/>
        </w:pict>
      </w:r>
    </w:p>
    <w:p w:rsidR="00B514E2" w:rsidRDefault="00B514E2">
      <w:pPr>
        <w:spacing w:line="480" w:lineRule="auto"/>
        <w:ind w:right="28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pPr>
        <w:spacing w:line="480" w:lineRule="auto"/>
        <w:ind w:right="288" w:firstLine="720"/>
        <w:jc w:val="center"/>
        <w:rPr>
          <w:sz w:val="24"/>
        </w:rPr>
      </w:pPr>
      <w:r>
        <w:rPr>
          <w:b/>
          <w:sz w:val="24"/>
          <w:u w:val="single"/>
        </w:rPr>
        <w:t>BASE CASE COST OF SERVICE STUDY</w:t>
      </w:r>
    </w:p>
    <w:p w:rsidR="00B514E2" w:rsidRDefault="00B514E2">
      <w:pPr>
        <w:spacing w:line="480" w:lineRule="auto"/>
        <w:ind w:right="288" w:firstLine="720"/>
        <w:jc w:val="both"/>
        <w:rPr>
          <w:b/>
          <w:sz w:val="24"/>
        </w:rPr>
      </w:pPr>
      <w:r>
        <w:rPr>
          <w:b/>
          <w:sz w:val="24"/>
        </w:rPr>
        <w:t>Production - Purchased Gas Costs</w:t>
      </w:r>
    </w:p>
    <w:p w:rsidR="00B514E2" w:rsidRDefault="00B514E2">
      <w:pPr>
        <w:spacing w:line="480" w:lineRule="auto"/>
        <w:ind w:right="28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gas purchased to serve sales customers, pipeline transportation to get it to our system, and expenses of the gas supply department.  </w:t>
      </w:r>
    </w:p>
    <w:p w:rsidR="00B514E2" w:rsidRDefault="00B514E2">
      <w:pPr>
        <w:spacing w:line="480" w:lineRule="auto"/>
        <w:ind w:right="288" w:firstLine="720"/>
        <w:jc w:val="both"/>
        <w:rPr>
          <w:sz w:val="24"/>
        </w:rPr>
      </w:pPr>
      <w:r>
        <w:rPr>
          <w:sz w:val="24"/>
        </w:rPr>
        <w:t xml:space="preserve">The demand and commodity components of account 804 have been determined directly from the weighted average cost of gas (WACOG) approved in the most recent purchased gas adjustment (PGA) filing effective November </w:t>
      </w:r>
      <w:r w:rsidR="009D38B4">
        <w:rPr>
          <w:sz w:val="24"/>
        </w:rPr>
        <w:t>1</w:t>
      </w:r>
      <w:r>
        <w:rPr>
          <w:sz w:val="24"/>
        </w:rPr>
        <w:t>, 200</w:t>
      </w:r>
      <w:r w:rsidR="001D01B1">
        <w:rPr>
          <w:sz w:val="24"/>
        </w:rPr>
        <w:t>9</w:t>
      </w:r>
      <w:r>
        <w:rPr>
          <w:sz w:val="24"/>
        </w:rPr>
        <w:t xml:space="preserve">.  </w:t>
      </w:r>
      <w:r w:rsidRPr="006D5788">
        <w:rPr>
          <w:sz w:val="24"/>
        </w:rPr>
        <w:t xml:space="preserve">The allocation of the commodity portion of pro forma gas cost agrees with the WACOG based computation of </w:t>
      </w:r>
      <w:r w:rsidR="006D5788" w:rsidRPr="006D5788">
        <w:rPr>
          <w:sz w:val="24"/>
        </w:rPr>
        <w:t>commodity-related gas costs</w:t>
      </w:r>
      <w:r w:rsidRPr="006D5788">
        <w:rPr>
          <w:sz w:val="24"/>
        </w:rPr>
        <w:t xml:space="preserve">.  </w:t>
      </w:r>
      <w:r w:rsidR="006D5788" w:rsidRPr="006D5788">
        <w:rPr>
          <w:sz w:val="24"/>
        </w:rPr>
        <w:t>Likewise, t</w:t>
      </w:r>
      <w:r w:rsidRPr="006D5788">
        <w:rPr>
          <w:sz w:val="24"/>
        </w:rPr>
        <w:t xml:space="preserve">he allocation of the demand portion of pro forma 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-related gas costs</w:t>
      </w:r>
      <w:r w:rsidRPr="006D5788">
        <w:rPr>
          <w:sz w:val="24"/>
        </w:rPr>
        <w:t>.</w:t>
      </w:r>
      <w:r w:rsidR="007667E2" w:rsidRPr="007667E2">
        <w:rPr>
          <w:sz w:val="24"/>
        </w:rPr>
        <w:t xml:space="preserve"> </w:t>
      </w:r>
      <w:r w:rsidR="007667E2">
        <w:rPr>
          <w:sz w:val="24"/>
        </w:rPr>
        <w:t xml:space="preserve">Gas research contributions have been assigned to sales schedules by test period sales </w:t>
      </w:r>
      <w:r w:rsidR="004E2844">
        <w:rPr>
          <w:sz w:val="24"/>
        </w:rPr>
        <w:t>volumes</w:t>
      </w:r>
      <w:r w:rsidR="007667E2">
        <w:rPr>
          <w:sz w:val="24"/>
        </w:rPr>
        <w:t xml:space="preserve"> weighted by the GTI Voluntary Collection rates currently </w:t>
      </w:r>
      <w:r w:rsidR="004E2844">
        <w:rPr>
          <w:sz w:val="24"/>
        </w:rPr>
        <w:t>used to determine the contributions.</w:t>
      </w:r>
    </w:p>
    <w:p w:rsidR="00E75012" w:rsidRDefault="00B514E2">
      <w:pPr>
        <w:spacing w:line="480" w:lineRule="auto"/>
        <w:ind w:right="288" w:firstLine="720"/>
        <w:jc w:val="both"/>
        <w:rPr>
          <w:b/>
          <w:sz w:val="24"/>
        </w:rPr>
      </w:pPr>
      <w:r>
        <w:rPr>
          <w:sz w:val="24"/>
        </w:rPr>
        <w:t xml:space="preserve">The expenses of the gas supply department recorded in accounts 813 are classified as commodity related costs.  </w:t>
      </w:r>
      <w:r w:rsidRPr="007667E2">
        <w:rPr>
          <w:sz w:val="24"/>
        </w:rPr>
        <w:t xml:space="preserve">The 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gas supply department expenses are allocated by sales volumes.</w:t>
      </w:r>
    </w:p>
    <w:p w:rsidR="00B514E2" w:rsidRDefault="00B514E2">
      <w:pPr>
        <w:spacing w:line="480" w:lineRule="auto"/>
        <w:ind w:right="288" w:firstLine="720"/>
        <w:jc w:val="both"/>
        <w:rPr>
          <w:b/>
          <w:sz w:val="24"/>
        </w:rPr>
      </w:pPr>
      <w:r>
        <w:rPr>
          <w:b/>
          <w:sz w:val="24"/>
        </w:rPr>
        <w:t>Underground Storage</w:t>
      </w:r>
    </w:p>
    <w:p w:rsidR="00B514E2" w:rsidRDefault="00B514E2">
      <w:pPr>
        <w:pStyle w:val="BodyTextIndent2"/>
        <w:rPr>
          <w:color w:val="auto"/>
        </w:rPr>
      </w:pPr>
      <w:r>
        <w:rPr>
          <w:color w:val="auto"/>
        </w:rPr>
        <w:t xml:space="preserve">Underground storage rate base, operating and maintenance expenses are classified as commodity related.  Twenty percent of underground storage costs are allocated to customer groups by annual throughput, the remaining eighty percent are allocated by sales therms.  This allocation </w:t>
      </w:r>
      <w:r>
        <w:rPr>
          <w:color w:val="auto"/>
        </w:rPr>
        <w:lastRenderedPageBreak/>
        <w:t>methodology for underground storage costs matches the treatment of underground storage transportation costs in the last PGA filing.  It is based on analysis, performed in conjunction with the Washington Natural (now P</w:t>
      </w:r>
      <w:r w:rsidR="000A0216">
        <w:rPr>
          <w:color w:val="auto"/>
        </w:rPr>
        <w:t xml:space="preserve">uget </w:t>
      </w:r>
      <w:r>
        <w:rPr>
          <w:color w:val="auto"/>
        </w:rPr>
        <w:t>S</w:t>
      </w:r>
      <w:r w:rsidR="000A0216">
        <w:rPr>
          <w:color w:val="auto"/>
        </w:rPr>
        <w:t xml:space="preserve">ound </w:t>
      </w:r>
      <w:r>
        <w:rPr>
          <w:color w:val="auto"/>
        </w:rPr>
        <w:t>E</w:t>
      </w:r>
      <w:r w:rsidR="000A0216">
        <w:rPr>
          <w:color w:val="auto"/>
        </w:rPr>
        <w:t>nergy</w:t>
      </w:r>
      <w:r>
        <w:rPr>
          <w:color w:val="auto"/>
        </w:rPr>
        <w:t xml:space="preserve">) Docket No. UG-940814, that evaluated the extent to which transportation customers utilized the Jackson Prairie underground storage facility.  </w:t>
      </w:r>
    </w:p>
    <w:p w:rsidR="00B514E2" w:rsidRDefault="00B514E2">
      <w:pPr>
        <w:spacing w:line="480" w:lineRule="auto"/>
        <w:ind w:right="288" w:firstLine="720"/>
        <w:jc w:val="both"/>
        <w:rPr>
          <w:b/>
          <w:sz w:val="24"/>
        </w:rPr>
      </w:pPr>
      <w:r>
        <w:rPr>
          <w:b/>
          <w:sz w:val="24"/>
        </w:rPr>
        <w:t>Distribution Facilities Classification (Peak and Average)</w:t>
      </w:r>
    </w:p>
    <w:p w:rsidR="00B514E2" w:rsidRDefault="00B514E2">
      <w:pPr>
        <w:spacing w:line="480" w:lineRule="auto"/>
        <w:ind w:right="28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1D01B1">
        <w:rPr>
          <w:sz w:val="24"/>
        </w:rPr>
        <w:t>36.85</w:t>
      </w:r>
      <w:r w:rsidRPr="003C0D99">
        <w:rPr>
          <w:sz w:val="24"/>
        </w:rPr>
        <w:t>%</w:t>
      </w:r>
      <w:r>
        <w:rPr>
          <w:sz w:val="24"/>
        </w:rPr>
        <w:t xml:space="preserve">.  This proportion is classified as commodity related.  The remaining </w:t>
      </w:r>
      <w:r w:rsidR="001D01B1">
        <w:rPr>
          <w:sz w:val="24"/>
        </w:rPr>
        <w:t>63.15</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pPr>
        <w:spacing w:line="480" w:lineRule="auto"/>
        <w:ind w:right="288" w:firstLine="720"/>
        <w:jc w:val="both"/>
        <w:rPr>
          <w:b/>
          <w:sz w:val="24"/>
        </w:rPr>
      </w:pPr>
      <w:r>
        <w:rPr>
          <w:b/>
          <w:sz w:val="24"/>
        </w:rPr>
        <w:t>Customer Relations Distribution Cost Classification</w:t>
      </w:r>
    </w:p>
    <w:p w:rsidR="00B514E2" w:rsidRDefault="00B514E2">
      <w:pPr>
        <w:spacing w:line="480" w:lineRule="auto"/>
        <w:ind w:right="28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pPr>
        <w:spacing w:line="480" w:lineRule="auto"/>
        <w:ind w:right="288" w:firstLine="720"/>
        <w:jc w:val="both"/>
        <w:rPr>
          <w:b/>
          <w:sz w:val="24"/>
        </w:rPr>
      </w:pPr>
      <w:r>
        <w:rPr>
          <w:b/>
          <w:sz w:val="24"/>
        </w:rPr>
        <w:t>Distribution Cost Allocation</w:t>
      </w:r>
    </w:p>
    <w:p w:rsidR="00B514E2" w:rsidRDefault="00B514E2">
      <w:pPr>
        <w:pStyle w:val="BodyTextIndent"/>
      </w:pPr>
      <w:r>
        <w:t>Demand related distribution costs are allocated to customer groups (rate schedules) by each group</w:t>
      </w:r>
      <w:r w:rsidR="0075439B">
        <w:t>’</w:t>
      </w:r>
      <w:r>
        <w:t xml:space="preserve">s contribution to the three year average five-day sustained peak.  Commodity related </w:t>
      </w:r>
      <w:r>
        <w:lastRenderedPageBreak/>
        <w:t>distribution costs are allocated to customer groups by annual throughput.  Distribution main investment has been segregated into large and small mains.  Small mains are defined as less than four inches, with large mains being four inches or greater.  The small main costs use the same demand and commodity data, but large usage customers (Schedules 131 and 146) that connect to large system mains have been excluded from the allocations.</w:t>
      </w:r>
    </w:p>
    <w:p w:rsidR="00B514E2" w:rsidRDefault="00B514E2">
      <w:pPr>
        <w:pStyle w:val="BodyTextIndent"/>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1D01B1">
        <w:t>December 31, 2009</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pPr>
        <w:spacing w:line="480" w:lineRule="auto"/>
        <w:ind w:right="288" w:firstLine="720"/>
        <w:jc w:val="both"/>
        <w:rPr>
          <w:b/>
          <w:sz w:val="24"/>
        </w:rPr>
      </w:pPr>
      <w:r>
        <w:rPr>
          <w:b/>
          <w:sz w:val="24"/>
        </w:rPr>
        <w:t>Administrative and General Costs</w:t>
      </w:r>
    </w:p>
    <w:p w:rsidR="00B514E2" w:rsidRDefault="00B514E2">
      <w:pPr>
        <w:spacing w:line="480" w:lineRule="auto"/>
        <w:ind w:right="288" w:firstLine="720"/>
        <w:jc w:val="both"/>
        <w:rPr>
          <w:sz w:val="24"/>
        </w:rPr>
      </w:pPr>
      <w:r>
        <w:rPr>
          <w:sz w:val="24"/>
        </w:rPr>
        <w:t>General and intangible rate base items are allocated by the sum of Underground Storage and Distribution plant.  Administrative and general expenses are segregated into plant related, labor related, revenue related and other.  The plant related items are allocated based on total plant in service.  Labor related items are allocated by operating and maintenance labor expense.  Revenue related items are allocated by pro forma revenue.  Other administrative and general expenses are allocated 50% by annual throughput (classified commodity related) and 50% by the sum of operating and maintenance expenses not including purchased gas cost or administrative &amp; general expenses.  Whenever costs are allocated by sums of other items within the study, classifications are imputed from the relationship embedded in the summed items.</w:t>
      </w:r>
    </w:p>
    <w:p w:rsidR="00B514E2" w:rsidRDefault="00B514E2">
      <w:pPr>
        <w:spacing w:line="480" w:lineRule="auto"/>
        <w:ind w:right="288" w:firstLine="720"/>
        <w:jc w:val="both"/>
        <w:rPr>
          <w:b/>
          <w:bCs/>
          <w:sz w:val="24"/>
        </w:rPr>
      </w:pPr>
      <w:r>
        <w:rPr>
          <w:b/>
          <w:bCs/>
          <w:sz w:val="24"/>
        </w:rPr>
        <w:t>Special Contract Customer Revenue</w:t>
      </w:r>
    </w:p>
    <w:p w:rsidR="00B514E2" w:rsidRDefault="00B514E2">
      <w:pPr>
        <w:spacing w:line="480" w:lineRule="auto"/>
        <w:ind w:right="288" w:firstLine="720"/>
        <w:jc w:val="both"/>
        <w:rPr>
          <w:sz w:val="24"/>
        </w:rPr>
      </w:pPr>
      <w:r>
        <w:rPr>
          <w:sz w:val="24"/>
        </w:rPr>
        <w:t xml:space="preserve">Several special contract customers receive transportation service from the Company.  Rates for these customers were individually negotiated to cover any incremental costs and retain some contribution to margin.  The rates for these customers are not being adjusted in this case.  The </w:t>
      </w:r>
      <w:r>
        <w:rPr>
          <w:sz w:val="24"/>
        </w:rPr>
        <w:lastRenderedPageBreak/>
        <w:t>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pPr>
        <w:spacing w:line="480" w:lineRule="auto"/>
        <w:ind w:right="288" w:firstLine="720"/>
        <w:jc w:val="both"/>
        <w:rPr>
          <w:b/>
          <w:sz w:val="24"/>
        </w:rPr>
      </w:pPr>
      <w:r>
        <w:rPr>
          <w:b/>
          <w:sz w:val="24"/>
        </w:rPr>
        <w:t>Revenue Conversion Items</w:t>
      </w:r>
    </w:p>
    <w:p w:rsidR="00B514E2" w:rsidRDefault="00B514E2">
      <w:pPr>
        <w:spacing w:line="480" w:lineRule="auto"/>
        <w:ind w:right="28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pPr>
        <w:spacing w:line="480" w:lineRule="auto"/>
        <w:ind w:right="28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pPr>
        <w:spacing w:line="480" w:lineRule="auto"/>
        <w:ind w:right="288" w:firstLine="720"/>
        <w:jc w:val="both"/>
        <w:rPr>
          <w:sz w:val="24"/>
        </w:rPr>
      </w:pPr>
      <w:r>
        <w:rPr>
          <w:sz w:val="24"/>
        </w:rPr>
        <w:t>The following matrix outlines the methodology applied in the Company’s Base Case natural gas cost of service study.</w:t>
      </w:r>
    </w:p>
    <w:sectPr w:rsidR="00B514E2" w:rsidSect="003C0D99">
      <w:headerReference w:type="default" r:id="rId9"/>
      <w:footerReference w:type="default" r:id="rId10"/>
      <w:headerReference w:type="first" r:id="rId11"/>
      <w:footerReference w:type="first" r:id="rId12"/>
      <w:type w:val="continuous"/>
      <w:pgSz w:w="12240" w:h="15840" w:code="1"/>
      <w:pgMar w:top="1080" w:right="907" w:bottom="1166" w:left="1526"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E8" w:rsidRDefault="006638E8">
      <w:r>
        <w:separator/>
      </w:r>
    </w:p>
  </w:endnote>
  <w:endnote w:type="continuationSeparator" w:id="0">
    <w:p w:rsidR="006638E8" w:rsidRDefault="00663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left" w:pos="6120"/>
        <w:tab w:val="right" w:pos="9810"/>
      </w:tabs>
      <w:jc w:val="both"/>
    </w:pPr>
    <w:r>
      <w:tab/>
    </w:r>
    <w:r>
      <w:tab/>
    </w:r>
    <w:r>
      <w:tab/>
      <w:t xml:space="preserve">Page </w:t>
    </w:r>
    <w:r w:rsidR="00BF71D6">
      <w:rPr>
        <w:rStyle w:val="PageNumber"/>
      </w:rPr>
      <w:fldChar w:fldCharType="begin"/>
    </w:r>
    <w:r>
      <w:rPr>
        <w:rStyle w:val="PageNumber"/>
      </w:rPr>
      <w:instrText xml:space="preserve"> PAGE </w:instrText>
    </w:r>
    <w:r w:rsidR="00BF71D6">
      <w:rPr>
        <w:rStyle w:val="PageNumber"/>
      </w:rPr>
      <w:fldChar w:fldCharType="separate"/>
    </w:r>
    <w:r w:rsidR="00C2319E">
      <w:rPr>
        <w:rStyle w:val="PageNumber"/>
        <w:noProof/>
      </w:rPr>
      <w:t>6</w:t>
    </w:r>
    <w:r w:rsidR="00BF71D6">
      <w:rPr>
        <w:rStyle w:val="PageNumber"/>
      </w:rPr>
      <w:fldChar w:fldCharType="end"/>
    </w:r>
    <w:r>
      <w:rPr>
        <w:rStyle w:val="PageNumber"/>
      </w:rPr>
      <w:t xml:space="preserve"> of 9</w:t>
    </w:r>
  </w:p>
  <w:p w:rsidR="00B514E2" w:rsidRDefault="00B514E2">
    <w:pPr>
      <w:pStyle w:val="Footer"/>
      <w:tabs>
        <w:tab w:val="clear" w:pos="8640"/>
        <w:tab w:val="left" w:pos="6120"/>
      </w:tabs>
      <w:ind w:right="360"/>
      <w:jc w:val="both"/>
    </w:pPr>
    <w:r>
      <w:tab/>
    </w:r>
  </w:p>
  <w:p w:rsidR="00B514E2" w:rsidRDefault="00B514E2">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right" w:pos="9630"/>
      </w:tabs>
      <w:rPr>
        <w:rStyle w:val="PageNumber"/>
      </w:rPr>
    </w:pPr>
    <w:r>
      <w:tab/>
    </w:r>
    <w:r>
      <w:tab/>
      <w:t xml:space="preserve">Page </w:t>
    </w:r>
    <w:r w:rsidR="00BF71D6">
      <w:rPr>
        <w:rStyle w:val="PageNumber"/>
      </w:rPr>
      <w:fldChar w:fldCharType="begin"/>
    </w:r>
    <w:r>
      <w:rPr>
        <w:rStyle w:val="PageNumber"/>
      </w:rPr>
      <w:instrText xml:space="preserve"> PAGE </w:instrText>
    </w:r>
    <w:r w:rsidR="00BF71D6">
      <w:rPr>
        <w:rStyle w:val="PageNumber"/>
      </w:rPr>
      <w:fldChar w:fldCharType="separate"/>
    </w:r>
    <w:r w:rsidR="00C2319E">
      <w:rPr>
        <w:rStyle w:val="PageNumber"/>
        <w:noProof/>
      </w:rPr>
      <w:t>1</w:t>
    </w:r>
    <w:r w:rsidR="00BF71D6">
      <w:rPr>
        <w:rStyle w:val="PageNumber"/>
      </w:rPr>
      <w:fldChar w:fldCharType="end"/>
    </w:r>
    <w:r>
      <w:rPr>
        <w:rStyle w:val="PageNumber"/>
      </w:rPr>
      <w:t xml:space="preserve"> of 9</w:t>
    </w:r>
  </w:p>
  <w:p w:rsidR="00B514E2" w:rsidRDefault="00B514E2">
    <w:pPr>
      <w:pStyle w:val="Footer"/>
      <w:tabs>
        <w:tab w:val="clear" w:pos="8640"/>
        <w:tab w:val="right" w:pos="9630"/>
      </w:tabs>
      <w:rPr>
        <w:rStyle w:val="PageNumber"/>
      </w:rPr>
    </w:pPr>
  </w:p>
  <w:p w:rsidR="00B514E2" w:rsidRDefault="00B514E2">
    <w:pPr>
      <w:pStyle w:val="Footer"/>
      <w:tabs>
        <w:tab w:val="clear" w:pos="8640"/>
        <w:tab w:val="right" w:pos="96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E8" w:rsidRDefault="006638E8">
      <w:r>
        <w:separator/>
      </w:r>
    </w:p>
  </w:footnote>
  <w:footnote w:type="continuationSeparator" w:id="0">
    <w:p w:rsidR="006638E8" w:rsidRDefault="0066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12376C" w:rsidP="0012376C">
    <w:pPr>
      <w:pStyle w:val="Header"/>
      <w:tabs>
        <w:tab w:val="clear" w:pos="8640"/>
        <w:tab w:val="right" w:pos="9720"/>
      </w:tabs>
      <w:jc w:val="right"/>
    </w:pPr>
    <w:r>
      <w:t>Exhibit No. ___(TLK-6)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Header"/>
      <w:tabs>
        <w:tab w:val="clear" w:pos="8640"/>
        <w:tab w:val="right" w:pos="9540"/>
      </w:tabs>
    </w:pPr>
    <w:r>
      <w:tab/>
    </w:r>
    <w:r>
      <w:tab/>
    </w:r>
    <w:bookmarkStart w:id="0" w:name="OLE_LINK1"/>
    <w:bookmarkStart w:id="1" w:name="OLE_LINK2"/>
    <w:r>
      <w:t>Exhibit No. ___(TLK-</w:t>
    </w:r>
    <w:r w:rsidR="00DE204A">
      <w:t>6</w:t>
    </w:r>
    <w:r>
      <w:t>)</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01"/>
  </w:hdrShapeDefaults>
  <w:footnotePr>
    <w:footnote w:id="-1"/>
    <w:footnote w:id="0"/>
  </w:footnotePr>
  <w:endnotePr>
    <w:endnote w:id="-1"/>
    <w:endnote w:id="0"/>
  </w:endnotePr>
  <w:compat/>
  <w:rsids>
    <w:rsidRoot w:val="009D38B4"/>
    <w:rsid w:val="000A0216"/>
    <w:rsid w:val="0012376C"/>
    <w:rsid w:val="001D01B1"/>
    <w:rsid w:val="002177A5"/>
    <w:rsid w:val="002E1144"/>
    <w:rsid w:val="003526DD"/>
    <w:rsid w:val="003C0D99"/>
    <w:rsid w:val="004E2844"/>
    <w:rsid w:val="005C6318"/>
    <w:rsid w:val="005F399D"/>
    <w:rsid w:val="006638E8"/>
    <w:rsid w:val="006D5429"/>
    <w:rsid w:val="006D5788"/>
    <w:rsid w:val="00740EC2"/>
    <w:rsid w:val="0075439B"/>
    <w:rsid w:val="007667E2"/>
    <w:rsid w:val="007C76E5"/>
    <w:rsid w:val="009D38B4"/>
    <w:rsid w:val="00A65D1F"/>
    <w:rsid w:val="00B514E2"/>
    <w:rsid w:val="00B71622"/>
    <w:rsid w:val="00BF71D6"/>
    <w:rsid w:val="00C2319E"/>
    <w:rsid w:val="00D420AA"/>
    <w:rsid w:val="00D61B23"/>
    <w:rsid w:val="00DE16D2"/>
    <w:rsid w:val="00DE204A"/>
    <w:rsid w:val="00DE7513"/>
    <w:rsid w:val="00E15883"/>
    <w:rsid w:val="00E205B7"/>
    <w:rsid w:val="00E75012"/>
    <w:rsid w:val="00EE0069"/>
    <w:rsid w:val="00F410CD"/>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CD1523-B9F6-4A6F-A4A6-C4A53FAD7217}"/>
</file>

<file path=customXml/itemProps2.xml><?xml version="1.0" encoding="utf-8"?>
<ds:datastoreItem xmlns:ds="http://schemas.openxmlformats.org/officeDocument/2006/customXml" ds:itemID="{298C9424-8D3A-47CE-85DD-E5A970E02D88}"/>
</file>

<file path=customXml/itemProps3.xml><?xml version="1.0" encoding="utf-8"?>
<ds:datastoreItem xmlns:ds="http://schemas.openxmlformats.org/officeDocument/2006/customXml" ds:itemID="{07C47E4B-DA6C-4F32-BBCE-F089038E8D9E}"/>
</file>

<file path=customXml/itemProps4.xml><?xml version="1.0" encoding="utf-8"?>
<ds:datastoreItem xmlns:ds="http://schemas.openxmlformats.org/officeDocument/2006/customXml" ds:itemID="{7A22C53A-9625-41B7-B4D5-ABBE74FB5B13}"/>
</file>

<file path=docProps/app.xml><?xml version="1.0" encoding="utf-8"?>
<Properties xmlns="http://schemas.openxmlformats.org/officeDocument/2006/extended-properties" xmlns:vt="http://schemas.openxmlformats.org/officeDocument/2006/docPropsVTypes">
  <Template>Normal.dotm</Template>
  <TotalTime>28</TotalTime>
  <Pages>6</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Patrick Ehrbar</cp:lastModifiedBy>
  <cp:revision>7</cp:revision>
  <cp:lastPrinted>2010-03-12T22:00:00Z</cp:lastPrinted>
  <dcterms:created xsi:type="dcterms:W3CDTF">2010-03-09T16:33:00Z</dcterms:created>
  <dcterms:modified xsi:type="dcterms:W3CDTF">2010-03-14T20:14:00Z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